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6CD7A" w14:textId="45430772" w:rsidR="00B0088E" w:rsidRDefault="001C78F0" w:rsidP="0055508F">
      <w:pPr>
        <w:pStyle w:val="Heading1"/>
      </w:pPr>
      <w:bookmarkStart w:id="0" w:name="_Toc404024805"/>
      <w:bookmarkStart w:id="1" w:name="_GoBack"/>
      <w:bookmarkEnd w:id="1"/>
      <w:r>
        <w:t>Individuals</w:t>
      </w:r>
      <w:bookmarkEnd w:id="0"/>
      <w:r w:rsidR="00084D32">
        <w:t xml:space="preserve"> </w:t>
      </w:r>
    </w:p>
    <w:p w14:paraId="7E66C428" w14:textId="1F5B098D" w:rsidR="00855D4B" w:rsidRPr="00855D4B" w:rsidRDefault="00855D4B" w:rsidP="00855D4B">
      <w:r>
        <w:rPr>
          <w:noProof/>
        </w:rPr>
        <mc:AlternateContent>
          <mc:Choice Requires="wps">
            <w:drawing>
              <wp:anchor distT="0" distB="0" distL="114300" distR="114300" simplePos="0" relativeHeight="251658240" behindDoc="1" locked="0" layoutInCell="1" allowOverlap="1" wp14:anchorId="6F0C28AE" wp14:editId="5ACCEF25">
                <wp:simplePos x="0" y="0"/>
                <wp:positionH relativeFrom="column">
                  <wp:posOffset>-109855</wp:posOffset>
                </wp:positionH>
                <wp:positionV relativeFrom="paragraph">
                  <wp:posOffset>218440</wp:posOffset>
                </wp:positionV>
                <wp:extent cx="5975985" cy="5229225"/>
                <wp:effectExtent l="0" t="0" r="5715" b="9525"/>
                <wp:wrapNone/>
                <wp:docPr id="3" name="Rectangle 3"/>
                <wp:cNvGraphicFramePr/>
                <a:graphic xmlns:a="http://schemas.openxmlformats.org/drawingml/2006/main">
                  <a:graphicData uri="http://schemas.microsoft.com/office/word/2010/wordprocessingShape">
                    <wps:wsp>
                      <wps:cNvSpPr/>
                      <wps:spPr>
                        <a:xfrm>
                          <a:off x="0" y="0"/>
                          <a:ext cx="5975985" cy="5229225"/>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65pt;margin-top:17.2pt;width:470.55pt;height:41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NwLowIAAMQFAAAOAAAAZHJzL2Uyb0RvYy54bWysVE1v2zAMvQ/YfxB0X5249doEdYqgRYcB&#10;3Vq0HXpWZSk2IImapMTJfv0oyXG7fuww7CKLFPlIPpM8PdtqRTbC+Q5MTacHE0qE4dB0ZlXTH/eX&#10;n04o8YGZhikwoqY74enZ4uOH097ORQktqEY4giDGz3tb0zYEOy8Kz1uhmT8AKww+SnCaBRTdqmgc&#10;6xFdq6KcTD4XPbjGOuDCe9Re5Ee6SPhSCh6upfQiEFVTzC2k06XzMZ7F4pTNV47ZtuNDGuwfstCs&#10;Mxh0hLpggZG1615B6Y478CDDAQddgJQdF6kGrGY6eVHNXcusSLUgOd6ONPn/B8u/b24c6ZqaHlJi&#10;mMZfdIukMbNSghxGenrr52h1Z2/cIHm8xlq30un4xSrINlG6GykV20A4KqvZcTU7qSjh+FaV5aws&#10;q4haPLlb58MXAZrES00dhk9Uss2VD9l0bxKjeVBdc9kplYTYJ+JcObJh+IcZ58KEaXJXa/0NmqzH&#10;TpkM/xrV2BFZfbJXYzap4yJSyu2PIMrEUAZi0JxP1BSRmExFuoWdEtFOmVshkVEsvkyJjMivc/Qt&#10;a0RWV+/mkgAjssT4I3Yu8h3snOVgH11FGoXRefK3xLLz6JEigwmjs+4MuLcAFDI/RM72e5IyNZGl&#10;R2h22G8O8iB6yy87/OtXzIcb5nDycEZxm4RrPKSCvqYw3Chpwf16Sx/tcSDwlZIeJ7mm/ueaOUGJ&#10;+mpwVGbTo6M4+kk4qo5LFNzzl8fnL2atzwFbaYp7y/J0jfZB7a/SgX7ApbOMUfGJGY6xa8qD2wvn&#10;IW8YXFtcLJfJDMfdsnBl7iyP4JHV2NX32wfm7ND6AafmO+ynns1fTEC2jZ4GlusAskvj8cTrwDeu&#10;itTEw1qLu+i5nKyelu/iNwAAAP//AwBQSwMEFAAGAAgAAAAhAAl+HrTgAAAACgEAAA8AAABkcnMv&#10;ZG93bnJldi54bWxMj8FOwzAQRO9I/IO1SNxap01Lm5BNhRAIcYIWEFc3XpKIeB3ZbhL4eswJjqt9&#10;mnlT7CbTiYGcby0jLOYJCOLK6pZrhNeX+9kWhA+KteosE8IXediV52eFyrUdeU/DIdQihrDPFUIT&#10;Qp9L6auGjPJz2xPH34d1RoV4ulpqp8YYbjq5TJIraVTLsaFRPd02VH0eTgahesqe3fuwfhj2hvtH&#10;O2Zv33cB8fJiurkGEWgKfzD86kd1KKPT0Z5Ye9EhzBabNKII6WoFIgLZMo1bjgjb9SYDWRby/4Ty&#10;BwAA//8DAFBLAQItABQABgAIAAAAIQC2gziS/gAAAOEBAAATAAAAAAAAAAAAAAAAAAAAAABbQ29u&#10;dGVudF9UeXBlc10ueG1sUEsBAi0AFAAGAAgAAAAhADj9If/WAAAAlAEAAAsAAAAAAAAAAAAAAAAA&#10;LwEAAF9yZWxzLy5yZWxzUEsBAi0AFAAGAAgAAAAhACfQ3AujAgAAxAUAAA4AAAAAAAAAAAAAAAAA&#10;LgIAAGRycy9lMm9Eb2MueG1sUEsBAi0AFAAGAAgAAAAhAAl+HrTgAAAACgEAAA8AAAAAAAAAAAAA&#10;AAAA/QQAAGRycy9kb3ducmV2LnhtbFBLBQYAAAAABAAEAPMAAAAKBgAAAAA=&#10;" fillcolor="#d5edf6 [660]" stroked="f" strokeweight="2pt"/>
            </w:pict>
          </mc:Fallback>
        </mc:AlternateContent>
      </w:r>
    </w:p>
    <w:p w14:paraId="7FB1DB96" w14:textId="77777777" w:rsidR="00855D4B" w:rsidRPr="00A27B12" w:rsidRDefault="00855D4B" w:rsidP="00855D4B">
      <w:pPr>
        <w:pStyle w:val="Overviewheading"/>
      </w:pPr>
      <w:bookmarkStart w:id="2" w:name="_Toc404157012"/>
      <w:bookmarkStart w:id="3" w:name="_Toc402353955"/>
      <w:bookmarkStart w:id="4" w:name="_Toc402368732"/>
      <w:bookmarkStart w:id="5" w:name="_Toc402369818"/>
      <w:bookmarkStart w:id="6" w:name="_Toc402370483"/>
      <w:bookmarkStart w:id="7" w:name="_Toc402371430"/>
      <w:bookmarkStart w:id="8" w:name="_Toc402793556"/>
      <w:bookmarkStart w:id="9" w:name="_Toc402972762"/>
      <w:bookmarkStart w:id="10" w:name="_Toc403059567"/>
      <w:bookmarkStart w:id="11" w:name="_Toc403060887"/>
      <w:bookmarkStart w:id="12" w:name="_Toc403074101"/>
      <w:bookmarkStart w:id="13" w:name="_Toc403132948"/>
      <w:bookmarkStart w:id="14" w:name="_Toc403377209"/>
      <w:bookmarkStart w:id="15" w:name="_Toc403377675"/>
      <w:bookmarkStart w:id="16" w:name="_Toc403389932"/>
      <w:bookmarkStart w:id="17" w:name="_Toc403394387"/>
      <w:bookmarkStart w:id="18" w:name="_Toc403568168"/>
      <w:bookmarkStart w:id="19" w:name="_Toc403651125"/>
      <w:bookmarkStart w:id="20" w:name="_Toc403729290"/>
      <w:bookmarkStart w:id="21" w:name="_Toc403735463"/>
      <w:bookmarkStart w:id="22" w:name="_Toc403742013"/>
      <w:bookmarkStart w:id="23" w:name="_Toc403746124"/>
      <w:bookmarkStart w:id="24" w:name="_Toc403746285"/>
      <w:bookmarkStart w:id="25" w:name="_Toc403750232"/>
      <w:bookmarkStart w:id="26" w:name="_Toc403753134"/>
      <w:bookmarkStart w:id="27" w:name="_Toc403753181"/>
      <w:bookmarkStart w:id="28" w:name="_Toc404024807"/>
      <w:bookmarkStart w:id="29" w:name="_Toc404342076"/>
      <w:r w:rsidRPr="00A27B12">
        <w:t>Overview</w:t>
      </w:r>
    </w:p>
    <w:p w14:paraId="6541F935" w14:textId="75DB0949" w:rsidR="00855D4B" w:rsidRPr="00A27B12" w:rsidRDefault="00855D4B" w:rsidP="00855D4B">
      <w:pPr>
        <w:pStyle w:val="Overviewtext"/>
      </w:pPr>
      <w:r w:rsidRPr="00A27B12">
        <w:t>This chapter gives an overview of Australia</w:t>
      </w:r>
      <w:r w:rsidR="00A801BF">
        <w:t>’</w:t>
      </w:r>
      <w:r w:rsidRPr="00A27B12">
        <w:t xml:space="preserve">s </w:t>
      </w:r>
      <w:proofErr w:type="gramStart"/>
      <w:r w:rsidRPr="00A27B12">
        <w:t>individuals</w:t>
      </w:r>
      <w:proofErr w:type="gramEnd"/>
      <w:r w:rsidRPr="00A27B12">
        <w:t xml:space="preserve"> income tax system and issues arising in the current system that may present scope for reform.</w:t>
      </w:r>
    </w:p>
    <w:p w14:paraId="2F025FDD" w14:textId="77777777" w:rsidR="00855D4B" w:rsidRPr="00A27B12" w:rsidRDefault="00855D4B" w:rsidP="00855D4B">
      <w:pPr>
        <w:pStyle w:val="Overviewheading2"/>
      </w:pPr>
      <w:r w:rsidRPr="00A27B12">
        <w:t>Key points</w:t>
      </w:r>
    </w:p>
    <w:p w14:paraId="0924738F" w14:textId="776CFCB1" w:rsidR="00855D4B" w:rsidRPr="00A27B12" w:rsidRDefault="00855D4B" w:rsidP="00855D4B">
      <w:pPr>
        <w:pStyle w:val="Bullets"/>
      </w:pPr>
      <w:proofErr w:type="gramStart"/>
      <w:r w:rsidRPr="00A27B12">
        <w:t>Individuals</w:t>
      </w:r>
      <w:proofErr w:type="gramEnd"/>
      <w:r w:rsidRPr="00A27B12">
        <w:t xml:space="preserve"> income tax is the single most important source of government revenue and</w:t>
      </w:r>
      <w:r w:rsidR="005131DB" w:rsidRPr="00A27B12">
        <w:t> </w:t>
      </w:r>
      <w:r w:rsidRPr="00A27B12">
        <w:t xml:space="preserve">has consistently raised around half of the </w:t>
      </w:r>
      <w:r w:rsidR="000F5DB5" w:rsidRPr="00A27B12">
        <w:t>Australian G</w:t>
      </w:r>
      <w:r w:rsidRPr="00A27B12">
        <w:t>overnment</w:t>
      </w:r>
      <w:r w:rsidR="00A801BF">
        <w:t>’</w:t>
      </w:r>
      <w:r w:rsidRPr="00A27B12">
        <w:t>s tax receipts since the 1970s. It continues to be a stable and predictable source of revenue</w:t>
      </w:r>
      <w:r w:rsidR="002B771E">
        <w:t xml:space="preserve"> </w:t>
      </w:r>
      <w:r w:rsidRPr="00A27B12">
        <w:t>to this day.</w:t>
      </w:r>
      <w:bookmarkEnd w:id="2"/>
    </w:p>
    <w:p w14:paraId="5671F95C" w14:textId="2D932737" w:rsidR="00855D4B" w:rsidRPr="00A27B12" w:rsidRDefault="00AB60DD" w:rsidP="00855D4B">
      <w:pPr>
        <w:pStyle w:val="Bullets"/>
      </w:pPr>
      <w:proofErr w:type="gramStart"/>
      <w:r w:rsidRPr="00A27B12">
        <w:t>Individuals</w:t>
      </w:r>
      <w:proofErr w:type="gramEnd"/>
      <w:r w:rsidRPr="00A27B12">
        <w:t xml:space="preserve"> income tax thresholds are not automatically indexed to inflation. This results in bracket creep, which increases the reliance on </w:t>
      </w:r>
      <w:proofErr w:type="gramStart"/>
      <w:r w:rsidRPr="00A27B12">
        <w:t>individuals</w:t>
      </w:r>
      <w:proofErr w:type="gramEnd"/>
      <w:r w:rsidRPr="00A27B12">
        <w:t xml:space="preserve"> income tax over time. Unchecked bracket creep can also exacerbate any </w:t>
      </w:r>
      <w:r w:rsidR="002E5068" w:rsidRPr="00A27B12">
        <w:t xml:space="preserve">issues inherent in the </w:t>
      </w:r>
      <w:proofErr w:type="gramStart"/>
      <w:r w:rsidRPr="00A27B12">
        <w:t>individuals</w:t>
      </w:r>
      <w:proofErr w:type="gramEnd"/>
      <w:r w:rsidRPr="00A27B12">
        <w:t xml:space="preserve"> income tax system. </w:t>
      </w:r>
    </w:p>
    <w:p w14:paraId="6D78120A" w14:textId="66A62D29" w:rsidR="00855D4B" w:rsidRPr="00A27B12" w:rsidRDefault="00855D4B" w:rsidP="00855D4B">
      <w:pPr>
        <w:pStyle w:val="Bullets"/>
      </w:pPr>
      <w:bookmarkStart w:id="30" w:name="_Toc404157013"/>
      <w:r w:rsidRPr="00A27B12">
        <w:t xml:space="preserve">For many people, </w:t>
      </w:r>
      <w:proofErr w:type="gramStart"/>
      <w:r w:rsidRPr="00A27B12">
        <w:t>individuals</w:t>
      </w:r>
      <w:proofErr w:type="gramEnd"/>
      <w:r w:rsidRPr="00A27B12">
        <w:t xml:space="preserve"> income tax does not significantly alter their workforce participation. However, it can be more distorting for particular groups of taxpayers, such as low</w:t>
      </w:r>
      <w:r w:rsidR="00A801BF">
        <w:noBreakHyphen/>
      </w:r>
      <w:r w:rsidRPr="00A27B12">
        <w:t>income earners or the second income earner in a family, or high</w:t>
      </w:r>
      <w:r w:rsidR="00A801BF">
        <w:noBreakHyphen/>
      </w:r>
      <w:r w:rsidRPr="00A27B12">
        <w:t>income</w:t>
      </w:r>
      <w:r w:rsidR="005131DB" w:rsidRPr="00A27B12">
        <w:t> </w:t>
      </w:r>
      <w:r w:rsidRPr="00A27B12">
        <w:t>earners with the ability to plan their tax affairs.</w:t>
      </w:r>
      <w:bookmarkEnd w:id="30"/>
      <w:r w:rsidRPr="00A27B12">
        <w:t xml:space="preserve"> </w:t>
      </w:r>
    </w:p>
    <w:p w14:paraId="5C5BFE7C" w14:textId="665E3BF0" w:rsidR="00CF0E10" w:rsidRPr="00A27B12" w:rsidRDefault="00855D4B" w:rsidP="00855D4B">
      <w:pPr>
        <w:pStyle w:val="Bullets"/>
      </w:pPr>
      <w:r w:rsidRPr="00A27B12">
        <w:t>Australia</w:t>
      </w:r>
      <w:r w:rsidR="00A801BF">
        <w:t>’</w:t>
      </w:r>
      <w:r w:rsidRPr="00A27B12">
        <w:t xml:space="preserve">s </w:t>
      </w:r>
      <w:proofErr w:type="gramStart"/>
      <w:r w:rsidRPr="00A27B12">
        <w:t>individuals</w:t>
      </w:r>
      <w:proofErr w:type="gramEnd"/>
      <w:r w:rsidRPr="00A27B12">
        <w:t xml:space="preserve"> income tax regime is very progressive compared to other countries. We have relatively low average rates of tax at low levels of income, but we have relatively high marginal tax rates at </w:t>
      </w:r>
      <w:r w:rsidR="00AB60DD" w:rsidRPr="00A27B12">
        <w:t xml:space="preserve">medium and </w:t>
      </w:r>
      <w:r w:rsidRPr="00A27B12">
        <w:t>high levels of income.</w:t>
      </w:r>
      <w:r w:rsidR="00FD548F" w:rsidRPr="00A27B12">
        <w:t xml:space="preserve"> </w:t>
      </w:r>
    </w:p>
    <w:p w14:paraId="316D2F3E" w14:textId="77777777" w:rsidR="00855D4B" w:rsidRPr="00A27B12" w:rsidRDefault="00855D4B" w:rsidP="00855D4B">
      <w:pPr>
        <w:pStyle w:val="SingleParagraph"/>
      </w:pPr>
    </w:p>
    <w:p w14:paraId="6A1811B2" w14:textId="3EE7C520" w:rsidR="001C78F0" w:rsidRPr="00A27B12" w:rsidRDefault="001C78F0" w:rsidP="001C78F0">
      <w:pPr>
        <w:pStyle w:val="Heading2"/>
      </w:pPr>
      <w:bookmarkStart w:id="31" w:name="_Toc409796487"/>
      <w:r w:rsidRPr="00A27B12">
        <w:t xml:space="preserve">Overview of the </w:t>
      </w:r>
      <w:r w:rsidR="00EF3A59" w:rsidRPr="00A27B12">
        <w:t>individuals</w:t>
      </w:r>
      <w:r w:rsidRPr="00A27B12">
        <w:t xml:space="preserve"> income tax system</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1"/>
    </w:p>
    <w:p w14:paraId="386BD1A0" w14:textId="05C6FF4E" w:rsidR="001C78F0" w:rsidRPr="00A27B12" w:rsidRDefault="001C78F0" w:rsidP="001C78F0">
      <w:pPr>
        <w:pStyle w:val="Heading3"/>
      </w:pPr>
      <w:bookmarkStart w:id="32" w:name="_Toc402353956"/>
      <w:bookmarkStart w:id="33" w:name="_Toc402368733"/>
      <w:bookmarkStart w:id="34" w:name="_Toc402369819"/>
      <w:bookmarkStart w:id="35" w:name="_Toc402370484"/>
      <w:bookmarkStart w:id="36" w:name="_Toc402371431"/>
      <w:bookmarkStart w:id="37" w:name="_Toc402972763"/>
      <w:bookmarkStart w:id="38" w:name="_Toc403074102"/>
      <w:bookmarkStart w:id="39" w:name="_Toc403132949"/>
      <w:bookmarkStart w:id="40" w:name="_Toc404342077"/>
      <w:bookmarkStart w:id="41" w:name="_Toc409796488"/>
      <w:r w:rsidRPr="00A27B12">
        <w:t xml:space="preserve">What is </w:t>
      </w:r>
      <w:proofErr w:type="gramStart"/>
      <w:r w:rsidR="00EF3A59" w:rsidRPr="00A27B12">
        <w:t>individuals</w:t>
      </w:r>
      <w:proofErr w:type="gramEnd"/>
      <w:r w:rsidRPr="00A27B12">
        <w:t xml:space="preserve"> income tax?</w:t>
      </w:r>
      <w:bookmarkEnd w:id="32"/>
      <w:bookmarkEnd w:id="33"/>
      <w:bookmarkEnd w:id="34"/>
      <w:bookmarkEnd w:id="35"/>
      <w:bookmarkEnd w:id="36"/>
      <w:bookmarkEnd w:id="37"/>
      <w:bookmarkEnd w:id="38"/>
      <w:bookmarkEnd w:id="39"/>
      <w:bookmarkEnd w:id="40"/>
      <w:bookmarkEnd w:id="41"/>
    </w:p>
    <w:p w14:paraId="60F84B49" w14:textId="77777777" w:rsidR="00855D4B" w:rsidRPr="00A27B12" w:rsidRDefault="00EF3A59" w:rsidP="001C78F0">
      <w:pPr>
        <w:sectPr w:rsidR="00855D4B" w:rsidRPr="00A27B12" w:rsidSect="00A607C2">
          <w:headerReference w:type="even" r:id="rId13"/>
          <w:headerReference w:type="default" r:id="rId14"/>
          <w:footerReference w:type="even" r:id="rId15"/>
          <w:footerReference w:type="default" r:id="rId16"/>
          <w:headerReference w:type="first" r:id="rId17"/>
          <w:footerReference w:type="first" r:id="rId18"/>
          <w:footnotePr>
            <w:numStart w:val="23"/>
          </w:footnotePr>
          <w:pgSz w:w="11906" w:h="16838" w:code="9"/>
          <w:pgMar w:top="1361" w:right="1418" w:bottom="1418" w:left="1418" w:header="709" w:footer="709" w:gutter="0"/>
          <w:pgNumType w:start="35"/>
          <w:cols w:space="708"/>
          <w:titlePg/>
          <w:docGrid w:linePitch="360"/>
        </w:sectPr>
      </w:pPr>
      <w:proofErr w:type="gramStart"/>
      <w:r w:rsidRPr="00A27B12">
        <w:t>Individuals</w:t>
      </w:r>
      <w:proofErr w:type="gramEnd"/>
      <w:r w:rsidR="001C78F0" w:rsidRPr="00A27B12">
        <w:t xml:space="preserve"> income tax refers to the tax that people pay on their personal income, less any expenses </w:t>
      </w:r>
      <w:r w:rsidR="00BE7F9D" w:rsidRPr="00A27B12">
        <w:t xml:space="preserve">(called deductions) </w:t>
      </w:r>
      <w:r w:rsidR="001C78F0" w:rsidRPr="00A27B12">
        <w:t xml:space="preserve">incurred in generating that income. Examples of personal income include salary and wages; rent, interest, or net capital gains from investments; distributions from a trust or partnership; </w:t>
      </w:r>
      <w:r w:rsidR="00E24575" w:rsidRPr="00A27B12">
        <w:t xml:space="preserve">and </w:t>
      </w:r>
      <w:r w:rsidR="001C78F0" w:rsidRPr="00A27B12">
        <w:t>returns generat</w:t>
      </w:r>
      <w:r w:rsidR="00CF6D3F" w:rsidRPr="00A27B12">
        <w:t>ed from carrying on a</w:t>
      </w:r>
      <w:r w:rsidR="00AE34DA" w:rsidRPr="00A27B12">
        <w:t>n unincorporated</w:t>
      </w:r>
      <w:r w:rsidR="00CF6D3F" w:rsidRPr="00A27B12">
        <w:t xml:space="preserve"> business.</w:t>
      </w:r>
    </w:p>
    <w:p w14:paraId="42BC0235" w14:textId="48B8D446" w:rsidR="001C78F0" w:rsidRPr="00A27B12" w:rsidRDefault="001C78F0" w:rsidP="002B771E">
      <w:r w:rsidRPr="00A27B12">
        <w:lastRenderedPageBreak/>
        <w:t xml:space="preserve">Deductions for costs incurred in producing </w:t>
      </w:r>
      <w:r w:rsidR="00AE34DA" w:rsidRPr="00A27B12">
        <w:t xml:space="preserve">assessable </w:t>
      </w:r>
      <w:r w:rsidRPr="00A27B12">
        <w:t>income recognise that different people incur different costs in producing income. Examples of such costs include: work</w:t>
      </w:r>
      <w:r w:rsidR="00A801BF">
        <w:noBreakHyphen/>
      </w:r>
      <w:r w:rsidRPr="00A27B12">
        <w:t>related expenses (such as purchasing and cleaning uniforms, self</w:t>
      </w:r>
      <w:r w:rsidR="00A801BF">
        <w:noBreakHyphen/>
      </w:r>
      <w:r w:rsidRPr="00A27B12">
        <w:t xml:space="preserve">education expenses and motor vehicle expenses); interest repayments </w:t>
      </w:r>
      <w:r w:rsidR="002E711E" w:rsidRPr="00A27B12">
        <w:t xml:space="preserve">on loans used to purchase </w:t>
      </w:r>
      <w:r w:rsidRPr="00A27B12">
        <w:t>investments; and expenses incurred in carrying on a business</w:t>
      </w:r>
      <w:r w:rsidR="00CF6D3F" w:rsidRPr="00A27B12">
        <w:t>.</w:t>
      </w:r>
    </w:p>
    <w:p w14:paraId="41AD76A2" w14:textId="43EECBAA" w:rsidR="001C78F0" w:rsidRPr="00A27B12" w:rsidRDefault="00E24575" w:rsidP="002B771E">
      <w:r w:rsidRPr="00A27B12">
        <w:t>I</w:t>
      </w:r>
      <w:r w:rsidR="001C78F0" w:rsidRPr="00A27B12">
        <w:t xml:space="preserve">ncome that is subject to tax </w:t>
      </w:r>
      <w:r w:rsidRPr="00A27B12">
        <w:t xml:space="preserve">in the </w:t>
      </w:r>
      <w:proofErr w:type="gramStart"/>
      <w:r w:rsidR="00EF3A59" w:rsidRPr="00A27B12">
        <w:t>individuals</w:t>
      </w:r>
      <w:proofErr w:type="gramEnd"/>
      <w:r w:rsidRPr="00A27B12">
        <w:t xml:space="preserve"> income tax system </w:t>
      </w:r>
      <w:r w:rsidR="001C78F0" w:rsidRPr="00A27B12">
        <w:t xml:space="preserve">is called </w:t>
      </w:r>
      <w:r w:rsidR="00A801BF">
        <w:t>‘</w:t>
      </w:r>
      <w:r w:rsidR="001C78F0" w:rsidRPr="00A27B12">
        <w:t>taxable income</w:t>
      </w:r>
      <w:r w:rsidR="00A801BF">
        <w:t>’</w:t>
      </w:r>
      <w:r w:rsidR="001C78F0" w:rsidRPr="00A27B12">
        <w:t xml:space="preserve">. The amount of tax that people pay on their taxable income is primarily determined by the schedule of marginal rates and thresholds. It can also be </w:t>
      </w:r>
      <w:r w:rsidR="001020AE" w:rsidRPr="00A27B12">
        <w:t xml:space="preserve">either </w:t>
      </w:r>
      <w:r w:rsidR="001C78F0" w:rsidRPr="00A27B12">
        <w:t xml:space="preserve">increased by levies or reduced by any concessions or offsets </w:t>
      </w:r>
      <w:r w:rsidR="00C56359" w:rsidRPr="00A27B12">
        <w:t xml:space="preserve">for which a person is either liable or </w:t>
      </w:r>
      <w:r w:rsidR="00CF6D3F" w:rsidRPr="00A27B12">
        <w:t>eligible.</w:t>
      </w:r>
    </w:p>
    <w:p w14:paraId="7AF55871" w14:textId="55367610" w:rsidR="004333BE" w:rsidRPr="00A27B12" w:rsidRDefault="00566ECE" w:rsidP="002B771E">
      <w:r w:rsidRPr="00A27B12">
        <w:t xml:space="preserve">Individuals </w:t>
      </w:r>
      <w:r w:rsidR="001C78F0" w:rsidRPr="00A27B12">
        <w:t>may also receive non</w:t>
      </w:r>
      <w:r w:rsidR="00A801BF">
        <w:noBreakHyphen/>
      </w:r>
      <w:r w:rsidR="001C78F0" w:rsidRPr="00A27B12">
        <w:t xml:space="preserve">cash remuneration </w:t>
      </w:r>
      <w:r w:rsidR="00D76526" w:rsidRPr="00A27B12">
        <w:t xml:space="preserve">from employers, </w:t>
      </w:r>
      <w:r w:rsidR="00357390" w:rsidRPr="00A27B12">
        <w:t xml:space="preserve">called </w:t>
      </w:r>
      <w:r w:rsidR="00A801BF">
        <w:t>‘</w:t>
      </w:r>
      <w:r w:rsidR="001C78F0" w:rsidRPr="00A27B12">
        <w:t>fringe benefits</w:t>
      </w:r>
      <w:r w:rsidR="00A801BF">
        <w:t>’</w:t>
      </w:r>
      <w:r w:rsidR="00383B0F" w:rsidRPr="00A27B12">
        <w:t>,</w:t>
      </w:r>
      <w:r w:rsidR="001C78F0" w:rsidRPr="00A27B12">
        <w:t xml:space="preserve"> such as the use of a car or accommodation, as part of an employment relationship. These are taxed in the fringe benefits tax (FBT) system, rather than in the </w:t>
      </w:r>
      <w:proofErr w:type="gramStart"/>
      <w:r w:rsidR="00EF3A59" w:rsidRPr="00A27B12">
        <w:t>individuals</w:t>
      </w:r>
      <w:proofErr w:type="gramEnd"/>
      <w:r w:rsidR="001C78F0" w:rsidRPr="00A27B12">
        <w:t xml:space="preserve"> income tax system. While FBT is levied on and paid by employers, it relates to the non</w:t>
      </w:r>
      <w:r w:rsidR="00A801BF">
        <w:noBreakHyphen/>
      </w:r>
      <w:r w:rsidR="001C78F0" w:rsidRPr="00A27B12">
        <w:t xml:space="preserve">cash payments received by employees. FBT is discussed separately under </w:t>
      </w:r>
      <w:r w:rsidR="00A801BF">
        <w:t>‘</w:t>
      </w:r>
      <w:r w:rsidR="001C78F0" w:rsidRPr="00A27B12">
        <w:t>overview of the fringe benefits tax system</w:t>
      </w:r>
      <w:r w:rsidR="00A801BF">
        <w:t>’</w:t>
      </w:r>
      <w:r w:rsidR="001C78F0" w:rsidRPr="00A27B12">
        <w:t xml:space="preserve"> below.</w:t>
      </w:r>
    </w:p>
    <w:p w14:paraId="2426EFD2" w14:textId="77777777" w:rsidR="001C78F0" w:rsidRPr="00A27B12" w:rsidRDefault="001C78F0" w:rsidP="002B771E">
      <w:pPr>
        <w:pStyle w:val="Heading4"/>
      </w:pPr>
      <w:bookmarkStart w:id="42" w:name="_Toc404342078"/>
      <w:bookmarkStart w:id="43" w:name="_Toc409796489"/>
      <w:r w:rsidRPr="00A27B12">
        <w:t xml:space="preserve">Rates </w:t>
      </w:r>
      <w:r w:rsidRPr="002B771E">
        <w:t>and</w:t>
      </w:r>
      <w:r w:rsidRPr="00A27B12">
        <w:t xml:space="preserve"> thresholds</w:t>
      </w:r>
      <w:bookmarkEnd w:id="42"/>
      <w:bookmarkEnd w:id="43"/>
    </w:p>
    <w:p w14:paraId="67EA4552" w14:textId="15F37201" w:rsidR="00AF1A1B" w:rsidRPr="00A27B12" w:rsidRDefault="001C78F0" w:rsidP="002B771E">
      <w:r w:rsidRPr="00A27B12">
        <w:t>Australia</w:t>
      </w:r>
      <w:r w:rsidR="00A801BF">
        <w:t>’</w:t>
      </w:r>
      <w:r w:rsidRPr="00A27B12">
        <w:t xml:space="preserve">s </w:t>
      </w:r>
      <w:r w:rsidR="00EF3A59" w:rsidRPr="00A27B12">
        <w:t>individuals</w:t>
      </w:r>
      <w:r w:rsidR="00AE34DA" w:rsidRPr="00A27B12">
        <w:t xml:space="preserve"> income tax </w:t>
      </w:r>
      <w:r w:rsidRPr="00A27B12">
        <w:t>schedule is progressive, with a high tax</w:t>
      </w:r>
      <w:r w:rsidR="00A801BF">
        <w:noBreakHyphen/>
      </w:r>
      <w:r w:rsidRPr="00A27B12">
        <w:t xml:space="preserve">free threshold followed by increasing </w:t>
      </w:r>
      <w:r w:rsidR="00AE34DA" w:rsidRPr="00A27B12">
        <w:t xml:space="preserve">tax </w:t>
      </w:r>
      <w:r w:rsidRPr="00A27B12">
        <w:t>rates at subsequent thresholds (see</w:t>
      </w:r>
      <w:r w:rsidR="0012064F" w:rsidRPr="00A27B12">
        <w:t xml:space="preserve"> </w:t>
      </w:r>
      <w:r w:rsidR="00AD654E" w:rsidRPr="00A27B12">
        <w:t xml:space="preserve">Table </w:t>
      </w:r>
      <w:r w:rsidR="00273FBE" w:rsidRPr="00A27B12">
        <w:t>3</w:t>
      </w:r>
      <w:r w:rsidR="00AD654E" w:rsidRPr="00A27B12">
        <w:t>.1</w:t>
      </w:r>
      <w:r w:rsidRPr="00A27B12">
        <w:t xml:space="preserve">). The rate specified at each tax bracket is the </w:t>
      </w:r>
      <w:r w:rsidR="00A801BF">
        <w:t>‘</w:t>
      </w:r>
      <w:r w:rsidRPr="00A27B12">
        <w:t>marginal</w:t>
      </w:r>
      <w:r w:rsidR="00A801BF">
        <w:t>’</w:t>
      </w:r>
      <w:r w:rsidRPr="00A27B12">
        <w:t xml:space="preserve"> tax rate, which is the amount of tax payable on </w:t>
      </w:r>
      <w:r w:rsidR="00BA2A4E" w:rsidRPr="00A27B12">
        <w:t>a taxpayer</w:t>
      </w:r>
      <w:r w:rsidR="00A801BF">
        <w:t>’</w:t>
      </w:r>
      <w:r w:rsidR="00BA2A4E" w:rsidRPr="00A27B12">
        <w:t xml:space="preserve">s </w:t>
      </w:r>
      <w:r w:rsidRPr="00A27B12">
        <w:t xml:space="preserve">next dollar of taxable income, not the </w:t>
      </w:r>
      <w:r w:rsidR="00A801BF">
        <w:t>‘</w:t>
      </w:r>
      <w:r w:rsidRPr="00A27B12">
        <w:t>average</w:t>
      </w:r>
      <w:r w:rsidR="00A801BF">
        <w:t>’</w:t>
      </w:r>
      <w:r w:rsidRPr="00A27B12">
        <w:t xml:space="preserve"> tax rate on that person</w:t>
      </w:r>
      <w:r w:rsidR="00A801BF">
        <w:t>’</w:t>
      </w:r>
      <w:r w:rsidRPr="00A27B12">
        <w:t>s entire taxable income (see</w:t>
      </w:r>
      <w:r w:rsidR="00AD654E" w:rsidRPr="00A27B12">
        <w:t xml:space="preserve"> Chart </w:t>
      </w:r>
      <w:r w:rsidR="008D1C67" w:rsidRPr="00A27B12">
        <w:t>3</w:t>
      </w:r>
      <w:r w:rsidR="00AD654E" w:rsidRPr="00A27B12">
        <w:t>.1</w:t>
      </w:r>
      <w:r w:rsidRPr="00A27B12">
        <w:t>)</w:t>
      </w:r>
      <w:bookmarkStart w:id="44" w:name="_Ref403754312"/>
      <w:r w:rsidR="00CF6D3F" w:rsidRPr="00A27B12">
        <w:t>.</w:t>
      </w:r>
    </w:p>
    <w:p w14:paraId="7F484112" w14:textId="1144226F" w:rsidR="001C78F0" w:rsidRPr="00A27B12" w:rsidRDefault="003B56DF" w:rsidP="002B771E">
      <w:pPr>
        <w:pStyle w:val="TableMainHeading"/>
      </w:pPr>
      <w:bookmarkStart w:id="45" w:name="_Ref404167912"/>
      <w:proofErr w:type="gramStart"/>
      <w:r w:rsidRPr="00A27B12">
        <w:t xml:space="preserve">Table </w:t>
      </w:r>
      <w:fldSimple w:instr=" STYLEREF 1 \s ">
        <w:r w:rsidR="00B30F7B">
          <w:rPr>
            <w:noProof/>
          </w:rPr>
          <w:t>3</w:t>
        </w:r>
      </w:fldSimple>
      <w:r w:rsidRPr="00A27B12">
        <w:t>.</w:t>
      </w:r>
      <w:proofErr w:type="gramEnd"/>
      <w:r w:rsidR="00A56FA5">
        <w:fldChar w:fldCharType="begin"/>
      </w:r>
      <w:r w:rsidR="00A56FA5">
        <w:instrText xml:space="preserve"> SEQ Table \* ARABIC \s 1 </w:instrText>
      </w:r>
      <w:r w:rsidR="00A56FA5">
        <w:fldChar w:fldCharType="separate"/>
      </w:r>
      <w:r w:rsidR="00B30F7B">
        <w:rPr>
          <w:noProof/>
        </w:rPr>
        <w:t>1</w:t>
      </w:r>
      <w:r w:rsidR="00A56FA5">
        <w:rPr>
          <w:noProof/>
        </w:rPr>
        <w:fldChar w:fldCharType="end"/>
      </w:r>
      <w:r w:rsidRPr="00A27B12">
        <w:t xml:space="preserve"> </w:t>
      </w:r>
      <w:r w:rsidR="001C78F0" w:rsidRPr="002B771E">
        <w:t>Schedule</w:t>
      </w:r>
      <w:r w:rsidR="001C78F0" w:rsidRPr="00A27B12">
        <w:t xml:space="preserve"> of marginal rates and thresholds, 2014</w:t>
      </w:r>
      <w:r w:rsidR="00A801BF">
        <w:noBreakHyphen/>
      </w:r>
      <w:r w:rsidR="001C78F0" w:rsidRPr="00A27B12">
        <w:t>15</w:t>
      </w:r>
      <w:bookmarkEnd w:id="44"/>
      <w:bookmarkEnd w:id="45"/>
    </w:p>
    <w:tbl>
      <w:tblPr>
        <w:tblStyle w:val="TableGrid"/>
        <w:tblW w:w="0" w:type="auto"/>
        <w:tblInd w:w="108" w:type="dxa"/>
        <w:tblBorders>
          <w:top w:val="single" w:sz="4" w:space="0" w:color="31A7D4" w:themeColor="accent1"/>
          <w:left w:val="single" w:sz="4" w:space="0" w:color="31A7D4" w:themeColor="accent1"/>
          <w:bottom w:val="single" w:sz="4" w:space="0" w:color="31A7D4" w:themeColor="accent1"/>
          <w:right w:val="single" w:sz="4" w:space="0" w:color="31A7D4" w:themeColor="accent1"/>
          <w:insideH w:val="single" w:sz="4" w:space="0" w:color="31A7D4" w:themeColor="accent1"/>
          <w:insideV w:val="single" w:sz="4" w:space="0" w:color="31A7D4" w:themeColor="accent1"/>
        </w:tblBorders>
        <w:tblLook w:val="04A0" w:firstRow="1" w:lastRow="0" w:firstColumn="1" w:lastColumn="0" w:noHBand="0" w:noVBand="1"/>
        <w:tblCaption w:val="Table 3.1 Schedule of marginal rates and thresholds, 2014-15"/>
        <w:tblDescription w:val="This table shows the marginal tax rates and thresholds for Australia’s personal income tax system in 2014-15 (excluding the low-income tax offset, the Medicare levy and the Temporary Budget Repair Levy). Australia has a tax-free threshold of $18,200, and marginal tax rates that increase as an individual’s taxable income increases. The top marginal tax rate of 45 per cent takes effect once an individual’s taxable income exceeds $180,000 per year."/>
      </w:tblPr>
      <w:tblGrid>
        <w:gridCol w:w="2694"/>
        <w:gridCol w:w="6378"/>
      </w:tblGrid>
      <w:tr w:rsidR="001C78F0" w:rsidRPr="00A27B12" w14:paraId="16700217" w14:textId="77777777" w:rsidTr="006A4E1D">
        <w:tc>
          <w:tcPr>
            <w:tcW w:w="2694" w:type="dxa"/>
            <w:tcBorders>
              <w:bottom w:val="single" w:sz="4" w:space="0" w:color="31A7D4" w:themeColor="accent1"/>
            </w:tcBorders>
            <w:shd w:val="clear" w:color="auto" w:fill="31A7D4" w:themeFill="accent1"/>
          </w:tcPr>
          <w:p w14:paraId="11F55B49" w14:textId="77777777" w:rsidR="001C78F0" w:rsidRPr="00A27B12" w:rsidRDefault="001C78F0" w:rsidP="004333BE">
            <w:pPr>
              <w:pStyle w:val="TableColumnHeadingCentred"/>
            </w:pPr>
            <w:r w:rsidRPr="00A27B12">
              <w:t>Taxable income</w:t>
            </w:r>
          </w:p>
        </w:tc>
        <w:tc>
          <w:tcPr>
            <w:tcW w:w="6378" w:type="dxa"/>
            <w:tcBorders>
              <w:bottom w:val="single" w:sz="4" w:space="0" w:color="31A7D4" w:themeColor="accent1"/>
            </w:tcBorders>
            <w:shd w:val="clear" w:color="auto" w:fill="31A7D4" w:themeFill="accent1"/>
          </w:tcPr>
          <w:p w14:paraId="0CBBA9DC" w14:textId="77777777" w:rsidR="001C78F0" w:rsidRPr="00A27B12" w:rsidRDefault="001C78F0" w:rsidP="004333BE">
            <w:pPr>
              <w:pStyle w:val="TableColumnHeadingCentred"/>
            </w:pPr>
            <w:r w:rsidRPr="00A27B12">
              <w:t>Tax on this income</w:t>
            </w:r>
          </w:p>
        </w:tc>
      </w:tr>
      <w:tr w:rsidR="001C78F0" w:rsidRPr="002B771E" w14:paraId="294F66DE" w14:textId="77777777" w:rsidTr="006A4E1D">
        <w:tc>
          <w:tcPr>
            <w:tcW w:w="2694"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620CE36D" w14:textId="2CE46C66" w:rsidR="001C78F0" w:rsidRPr="002B771E" w:rsidRDefault="0055508F" w:rsidP="002B771E">
            <w:pPr>
              <w:pStyle w:val="TableTextLeft"/>
            </w:pPr>
            <w:r w:rsidRPr="002B771E">
              <w:t>$0—</w:t>
            </w:r>
            <w:r w:rsidR="001C78F0" w:rsidRPr="002B771E">
              <w:t>$18,200</w:t>
            </w:r>
          </w:p>
        </w:tc>
        <w:tc>
          <w:tcPr>
            <w:tcW w:w="637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237DB9D8" w14:textId="77777777" w:rsidR="001C78F0" w:rsidRPr="002B771E" w:rsidRDefault="001C78F0" w:rsidP="002B771E">
            <w:pPr>
              <w:pStyle w:val="TableTextLeft"/>
            </w:pPr>
            <w:r w:rsidRPr="002B771E">
              <w:t>Nil</w:t>
            </w:r>
          </w:p>
        </w:tc>
      </w:tr>
      <w:tr w:rsidR="001C78F0" w:rsidRPr="002B771E" w14:paraId="629A24B4" w14:textId="77777777" w:rsidTr="006A4E1D">
        <w:tc>
          <w:tcPr>
            <w:tcW w:w="2694"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662A0C7E" w14:textId="7C748737" w:rsidR="001C78F0" w:rsidRPr="002B771E" w:rsidRDefault="0055508F" w:rsidP="002B771E">
            <w:pPr>
              <w:pStyle w:val="TableTextLeft"/>
            </w:pPr>
            <w:r w:rsidRPr="002B771E">
              <w:t>$18,201—</w:t>
            </w:r>
            <w:r w:rsidR="001C78F0" w:rsidRPr="002B771E">
              <w:t>$37,000</w:t>
            </w:r>
          </w:p>
        </w:tc>
        <w:tc>
          <w:tcPr>
            <w:tcW w:w="637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762E204D" w14:textId="77777777" w:rsidR="001C78F0" w:rsidRPr="002B771E" w:rsidRDefault="001C78F0" w:rsidP="002B771E">
            <w:pPr>
              <w:pStyle w:val="TableTextLeft"/>
            </w:pPr>
            <w:r w:rsidRPr="002B771E">
              <w:t>19 cents for each $1 over $18,200</w:t>
            </w:r>
          </w:p>
        </w:tc>
      </w:tr>
      <w:tr w:rsidR="001C78F0" w:rsidRPr="002B771E" w14:paraId="227757AE" w14:textId="77777777" w:rsidTr="006A4E1D">
        <w:tc>
          <w:tcPr>
            <w:tcW w:w="2694"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4E7EFB76" w14:textId="2108744A" w:rsidR="001C78F0" w:rsidRPr="002B771E" w:rsidRDefault="0055508F" w:rsidP="002B771E">
            <w:pPr>
              <w:pStyle w:val="TableTextLeft"/>
            </w:pPr>
            <w:r w:rsidRPr="002B771E">
              <w:t>$37,001—</w:t>
            </w:r>
            <w:r w:rsidR="001C78F0" w:rsidRPr="002B771E">
              <w:t>$80,000</w:t>
            </w:r>
          </w:p>
        </w:tc>
        <w:tc>
          <w:tcPr>
            <w:tcW w:w="637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7881B12F" w14:textId="77777777" w:rsidR="001C78F0" w:rsidRPr="002B771E" w:rsidRDefault="001C78F0" w:rsidP="002B771E">
            <w:pPr>
              <w:pStyle w:val="TableTextLeft"/>
            </w:pPr>
            <w:r w:rsidRPr="002B771E">
              <w:t>$3,572 plus 32.5 cents for each $1 over $37,000</w:t>
            </w:r>
          </w:p>
        </w:tc>
      </w:tr>
      <w:tr w:rsidR="001C78F0" w:rsidRPr="002B771E" w14:paraId="29E25542" w14:textId="77777777" w:rsidTr="006A4E1D">
        <w:tc>
          <w:tcPr>
            <w:tcW w:w="2694"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576B6E93" w14:textId="690AB823" w:rsidR="001C78F0" w:rsidRPr="002B771E" w:rsidRDefault="0055508F" w:rsidP="002B771E">
            <w:pPr>
              <w:pStyle w:val="TableTextLeft"/>
            </w:pPr>
            <w:r w:rsidRPr="002B771E">
              <w:t>$80,001—</w:t>
            </w:r>
            <w:r w:rsidR="001C78F0" w:rsidRPr="002B771E">
              <w:t>$180,000</w:t>
            </w:r>
          </w:p>
        </w:tc>
        <w:tc>
          <w:tcPr>
            <w:tcW w:w="637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4F7DD85D" w14:textId="77777777" w:rsidR="001C78F0" w:rsidRPr="002B771E" w:rsidRDefault="001C78F0" w:rsidP="002B771E">
            <w:pPr>
              <w:pStyle w:val="TableTextLeft"/>
            </w:pPr>
            <w:r w:rsidRPr="002B771E">
              <w:t>$17,547 plus 37 cents for each $1 over $80,000</w:t>
            </w:r>
          </w:p>
        </w:tc>
      </w:tr>
      <w:tr w:rsidR="001C78F0" w:rsidRPr="002B771E" w14:paraId="61D798EC" w14:textId="77777777" w:rsidTr="006A4E1D">
        <w:tc>
          <w:tcPr>
            <w:tcW w:w="2694"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6AED86E9" w14:textId="77777777" w:rsidR="001C78F0" w:rsidRPr="002B771E" w:rsidRDefault="001C78F0" w:rsidP="002B771E">
            <w:pPr>
              <w:pStyle w:val="TableTextLeft"/>
            </w:pPr>
            <w:r w:rsidRPr="002B771E">
              <w:t>$180,001 and over</w:t>
            </w:r>
          </w:p>
        </w:tc>
        <w:tc>
          <w:tcPr>
            <w:tcW w:w="637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355D92DB" w14:textId="77777777" w:rsidR="001C78F0" w:rsidRPr="002B771E" w:rsidRDefault="001C78F0" w:rsidP="002B771E">
            <w:pPr>
              <w:pStyle w:val="TableTextLeft"/>
            </w:pPr>
            <w:r w:rsidRPr="002B771E">
              <w:t>$54,547 plus 45 cents for each $1 over $180,000</w:t>
            </w:r>
          </w:p>
        </w:tc>
      </w:tr>
      <w:tr w:rsidR="001C78F0" w:rsidRPr="00A27B12" w14:paraId="0DB31983" w14:textId="77777777" w:rsidTr="006A4E1D">
        <w:tc>
          <w:tcPr>
            <w:tcW w:w="9072" w:type="dxa"/>
            <w:gridSpan w:val="2"/>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397FA17B" w14:textId="4353E80E" w:rsidR="004333BE" w:rsidRPr="00A27B12" w:rsidRDefault="001C78F0" w:rsidP="002B771E">
            <w:pPr>
              <w:pStyle w:val="TableTextLeft"/>
            </w:pPr>
            <w:r w:rsidRPr="00A27B12">
              <w:t xml:space="preserve">The maximum </w:t>
            </w:r>
            <w:r w:rsidR="000A3B18" w:rsidRPr="00A27B12">
              <w:t>low</w:t>
            </w:r>
            <w:r w:rsidR="00A801BF">
              <w:noBreakHyphen/>
            </w:r>
            <w:r w:rsidRPr="00A27B12">
              <w:t xml:space="preserve">income tax offset (LITO) of $445 is available for individuals with income below $37,000. These </w:t>
            </w:r>
            <w:r w:rsidRPr="002B771E">
              <w:t>people</w:t>
            </w:r>
            <w:r w:rsidRPr="00A27B12">
              <w:t xml:space="preserve"> have an </w:t>
            </w:r>
            <w:r w:rsidR="00A801BF">
              <w:t>‘</w:t>
            </w:r>
            <w:r w:rsidRPr="00A27B12">
              <w:t>effective tax</w:t>
            </w:r>
            <w:r w:rsidR="00A801BF">
              <w:noBreakHyphen/>
            </w:r>
            <w:r w:rsidRPr="00A27B12">
              <w:t>free threshold</w:t>
            </w:r>
            <w:r w:rsidR="00A801BF">
              <w:t>’</w:t>
            </w:r>
            <w:r w:rsidRPr="00A27B12">
              <w:t xml:space="preserve"> of $20,542.</w:t>
            </w:r>
          </w:p>
          <w:p w14:paraId="7FDE3C2D" w14:textId="0C4683B5" w:rsidR="004333BE" w:rsidRPr="00A27B12" w:rsidRDefault="001C78F0" w:rsidP="002B771E">
            <w:pPr>
              <w:pStyle w:val="TableTextLeft"/>
            </w:pPr>
            <w:r w:rsidRPr="00A27B12">
              <w:t xml:space="preserve">The Medicare levy of </w:t>
            </w:r>
            <w:r w:rsidR="00BF5ABA" w:rsidRPr="00A27B12">
              <w:t>2</w:t>
            </w:r>
            <w:r w:rsidRPr="00A27B12">
              <w:t xml:space="preserve"> per cent </w:t>
            </w:r>
            <w:r w:rsidR="00C8087A" w:rsidRPr="00A27B12">
              <w:t xml:space="preserve">also separately </w:t>
            </w:r>
            <w:r w:rsidRPr="00A27B12">
              <w:t>applies to most taxpayers</w:t>
            </w:r>
            <w:r w:rsidR="00A801BF">
              <w:t>’</w:t>
            </w:r>
            <w:r w:rsidRPr="00A27B12">
              <w:t xml:space="preserve"> total taxable income.</w:t>
            </w:r>
          </w:p>
          <w:p w14:paraId="27128CDF" w14:textId="511076EC" w:rsidR="001C78F0" w:rsidRPr="00A27B12" w:rsidRDefault="001C78F0" w:rsidP="00F13221">
            <w:pPr>
              <w:pStyle w:val="TableTextLeft"/>
              <w:spacing w:before="40" w:after="0" w:line="240" w:lineRule="auto"/>
            </w:pPr>
            <w:r w:rsidRPr="00A27B12">
              <w:t xml:space="preserve">The Temporary Budget Repair Levy is payable at a rate of </w:t>
            </w:r>
            <w:r w:rsidR="00BF5ABA" w:rsidRPr="00A27B12">
              <w:t>2</w:t>
            </w:r>
            <w:r w:rsidRPr="00A27B12">
              <w:t xml:space="preserve"> per cent on taxable income over $180,000 between the years 2014</w:t>
            </w:r>
            <w:r w:rsidR="00A801BF">
              <w:noBreakHyphen/>
            </w:r>
            <w:r w:rsidRPr="00A27B12">
              <w:t>15 and 2016</w:t>
            </w:r>
            <w:r w:rsidR="00A801BF">
              <w:noBreakHyphen/>
            </w:r>
            <w:r w:rsidRPr="00A27B12">
              <w:t>17.</w:t>
            </w:r>
          </w:p>
        </w:tc>
      </w:tr>
    </w:tbl>
    <w:p w14:paraId="32F2CB1C" w14:textId="77777777" w:rsidR="003B56DF" w:rsidRPr="00A27B12" w:rsidRDefault="003B56DF" w:rsidP="002B771E"/>
    <w:p w14:paraId="2AE6698B" w14:textId="701A1DFD" w:rsidR="001C78F0" w:rsidRPr="00A27B12" w:rsidRDefault="001C78F0" w:rsidP="002B771E">
      <w:r w:rsidRPr="00A27B12">
        <w:t xml:space="preserve">Someone with taxable income of $85,000 would face a marginal tax rate of 39 cents on </w:t>
      </w:r>
      <w:r w:rsidR="00B20737" w:rsidRPr="00A27B12">
        <w:t xml:space="preserve">their next </w:t>
      </w:r>
      <w:r w:rsidRPr="00A27B12">
        <w:t xml:space="preserve">dollar of income (the statutory rate of 37 per cent and the Medicare levy of </w:t>
      </w:r>
      <w:r w:rsidR="004B15D1" w:rsidRPr="00A27B12">
        <w:t>2</w:t>
      </w:r>
      <w:r w:rsidRPr="00A27B12">
        <w:t> per cent). But their average tax rate would be much lower</w:t>
      </w:r>
      <w:r w:rsidR="00566ECE" w:rsidRPr="00A27B12">
        <w:t xml:space="preserve">: </w:t>
      </w:r>
      <w:r w:rsidRPr="00A27B12">
        <w:t xml:space="preserve">24.8 per cent, or $19,397 in tax and $1,700 in Medicare levy as a proportion of </w:t>
      </w:r>
      <w:r w:rsidR="00B20737" w:rsidRPr="00A27B12">
        <w:t xml:space="preserve">their </w:t>
      </w:r>
      <w:r w:rsidRPr="00A27B12">
        <w:t>taxable income of $85,000.</w:t>
      </w:r>
    </w:p>
    <w:p w14:paraId="05DC69F4" w14:textId="77777777" w:rsidR="002B771E" w:rsidRDefault="002B771E">
      <w:pPr>
        <w:spacing w:after="0" w:line="240" w:lineRule="auto"/>
      </w:pPr>
      <w:r>
        <w:br w:type="page"/>
      </w:r>
    </w:p>
    <w:p w14:paraId="1E31691D" w14:textId="6F5408A4" w:rsidR="00BA442C" w:rsidRPr="00A27B12" w:rsidRDefault="00BA442C" w:rsidP="002B771E">
      <w:r w:rsidRPr="00A27B12">
        <w:lastRenderedPageBreak/>
        <w:t>The tax thresholds are not indexed, which means that they do not automatically keep pace with either inflation or wage growth. As discuss</w:t>
      </w:r>
      <w:r w:rsidR="00BE23D4" w:rsidRPr="00A27B12">
        <w:t>ed in Chapter 2, this leads to bracket creep</w:t>
      </w:r>
      <w:r w:rsidRPr="00A27B12">
        <w:t>, which erodes the value of tax cuts and reduces the progressivity of the tax system over time. To address this, governments need to periodically give further tax cuts to maintain the rewards for effort, which in turn keep from discouraging workforce participation or from encouraging tax planning and structuring. These considerations are discussed further in section 3.</w:t>
      </w:r>
      <w:r w:rsidR="00747295" w:rsidRPr="00A27B12">
        <w:t>3</w:t>
      </w:r>
      <w:r w:rsidRPr="00A27B12">
        <w:t xml:space="preserve"> of this chapter. </w:t>
      </w:r>
    </w:p>
    <w:p w14:paraId="646BC0C0" w14:textId="79AAC7C8" w:rsidR="001C78F0" w:rsidRPr="00A27B12" w:rsidRDefault="003B56DF" w:rsidP="003B56DF">
      <w:pPr>
        <w:pStyle w:val="ChartMainHeading"/>
      </w:pPr>
      <w:bookmarkStart w:id="46" w:name="_Ref404266397"/>
      <w:bookmarkStart w:id="47" w:name="_Ref404148691"/>
      <w:proofErr w:type="gramStart"/>
      <w:r w:rsidRPr="00A27B12">
        <w:t xml:space="preserve">Chart </w:t>
      </w:r>
      <w:fldSimple w:instr=" STYLEREF 1 \s ">
        <w:r w:rsidR="00B30F7B">
          <w:rPr>
            <w:noProof/>
          </w:rPr>
          <w:t>3</w:t>
        </w:r>
      </w:fldSimple>
      <w:r w:rsidR="00A96B75" w:rsidRPr="00A27B12">
        <w:t>.</w:t>
      </w:r>
      <w:proofErr w:type="gramEnd"/>
      <w:r w:rsidR="00A56FA5">
        <w:fldChar w:fldCharType="begin"/>
      </w:r>
      <w:r w:rsidR="00A56FA5">
        <w:instrText xml:space="preserve"> SEQ Chart \* ARABIC \s 1 </w:instrText>
      </w:r>
      <w:r w:rsidR="00A56FA5">
        <w:fldChar w:fldCharType="separate"/>
      </w:r>
      <w:r w:rsidR="00B30F7B">
        <w:rPr>
          <w:noProof/>
        </w:rPr>
        <w:t>1</w:t>
      </w:r>
      <w:r w:rsidR="00A56FA5">
        <w:rPr>
          <w:noProof/>
        </w:rPr>
        <w:fldChar w:fldCharType="end"/>
      </w:r>
      <w:bookmarkEnd w:id="46"/>
      <w:r w:rsidRPr="00A27B12">
        <w:t xml:space="preserve"> </w:t>
      </w:r>
      <w:r w:rsidR="001C78F0" w:rsidRPr="00A27B12">
        <w:t xml:space="preserve">Average and </w:t>
      </w:r>
      <w:r w:rsidR="00B03AA0" w:rsidRPr="00A27B12">
        <w:t>m</w:t>
      </w:r>
      <w:r w:rsidR="001C78F0" w:rsidRPr="00A27B12">
        <w:t>arginal tax rates</w:t>
      </w:r>
      <w:bookmarkEnd w:id="47"/>
      <w:r w:rsidR="008C0E9D" w:rsidRPr="00A27B12">
        <w:t>, 201</w:t>
      </w:r>
      <w:r w:rsidR="00950195" w:rsidRPr="00A27B12">
        <w:t>4</w:t>
      </w:r>
      <w:r w:rsidR="00A801BF">
        <w:noBreakHyphen/>
      </w:r>
      <w:r w:rsidR="008C0E9D" w:rsidRPr="00A27B12">
        <w:t>1</w:t>
      </w:r>
      <w:r w:rsidR="00950195" w:rsidRPr="00A27B12">
        <w:t>5</w:t>
      </w:r>
    </w:p>
    <w:p w14:paraId="14CE7BFD" w14:textId="343E34CD" w:rsidR="001C78F0" w:rsidRPr="00A27B12" w:rsidRDefault="000C57C3" w:rsidP="00040740">
      <w:pPr>
        <w:pStyle w:val="ChartGraphic"/>
      </w:pPr>
      <w:r w:rsidRPr="00A27B12">
        <w:rPr>
          <w:noProof/>
        </w:rPr>
        <w:t xml:space="preserve"> </w:t>
      </w:r>
      <w:r w:rsidR="009C7759" w:rsidRPr="00A27B12">
        <w:rPr>
          <w:noProof/>
        </w:rPr>
        <w:object w:dxaOrig="8775" w:dyaOrig="4530" w14:anchorId="2FE25C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art 3.1 Average and marginal tax rates, 2014-15 &#10;This chart shows the average and marginal rates of tax paid at different levels of taxable income from $0 to $200,000, for a single taxpayer with no dependants and no eligibility for transfer payments. The chart shows that average rates of tax are less than marginal rates of tax at all levels of income. The chart also shows that: marginal tax rates generally increase with taxable income as described in table 2.1; no tax is paid on annual taxable income below $20,542; the phase-out of the Medicare levy low-income concession adds 10 percentage points to the statutory marginal rate of 19 per cent between taxable income of $20,542 and $25,677; and the phase-out of the low-income tax offset adds 1.5 percentage points to the statutory marginal rate of 32.5 per cent between taxable income of $37,000 and $66,667. &#10;" style="width:438.75pt;height:226.5pt" o:ole="">
            <v:imagedata r:id="rId19" o:title=""/>
          </v:shape>
          <o:OLEObject Type="Link" ProgID="Excel.Sheet.12" ShapeID="_x0000_i1025" DrawAspect="Content" r:id="rId20" UpdateMode="Always">
            <o:LinkType>EnhancedMetaFile</o:LinkType>
            <o:LockedField/>
            <o:FieldCodes>\* MERGEFORMAT</o:FieldCodes>
          </o:OLEObject>
        </w:object>
      </w:r>
    </w:p>
    <w:p w14:paraId="6A22D451" w14:textId="740E3B36" w:rsidR="00FA27D3" w:rsidRPr="00A27B12" w:rsidRDefault="001C78F0" w:rsidP="0069654F">
      <w:pPr>
        <w:pStyle w:val="ChartorTableNote"/>
        <w:ind w:left="567"/>
      </w:pPr>
      <w:r w:rsidRPr="00A27B12">
        <w:t xml:space="preserve">Notes: </w:t>
      </w:r>
      <w:r w:rsidR="00E7588A" w:rsidRPr="00A27B12">
        <w:t xml:space="preserve">The rates </w:t>
      </w:r>
      <w:r w:rsidR="0041484F" w:rsidRPr="00A27B12">
        <w:t xml:space="preserve">shown </w:t>
      </w:r>
      <w:r w:rsidR="00E7588A" w:rsidRPr="00A27B12">
        <w:t xml:space="preserve">are </w:t>
      </w:r>
      <w:r w:rsidR="0041484F" w:rsidRPr="00A27B12">
        <w:t xml:space="preserve">for a single person with no dependants </w:t>
      </w:r>
      <w:r w:rsidR="00E7588A" w:rsidRPr="00A27B12">
        <w:t xml:space="preserve">who </w:t>
      </w:r>
      <w:r w:rsidR="00885350" w:rsidRPr="00A27B12">
        <w:t xml:space="preserve">does </w:t>
      </w:r>
      <w:r w:rsidR="00E7588A" w:rsidRPr="00A27B12">
        <w:t xml:space="preserve">not </w:t>
      </w:r>
      <w:r w:rsidR="00885350" w:rsidRPr="00A27B12">
        <w:t xml:space="preserve">receive </w:t>
      </w:r>
      <w:r w:rsidR="00E7588A" w:rsidRPr="00A27B12">
        <w:t xml:space="preserve">any </w:t>
      </w:r>
      <w:r w:rsidR="00045B70" w:rsidRPr="00A27B12">
        <w:t xml:space="preserve">Australian </w:t>
      </w:r>
      <w:r w:rsidR="00E7588A" w:rsidRPr="00A27B12">
        <w:t>Government</w:t>
      </w:r>
      <w:r w:rsidR="0041484F" w:rsidRPr="00A27B12">
        <w:t xml:space="preserve"> transfer </w:t>
      </w:r>
      <w:r w:rsidR="00E7588A" w:rsidRPr="00A27B12">
        <w:t xml:space="preserve">payments. </w:t>
      </w:r>
      <w:r w:rsidR="004B0B7E" w:rsidRPr="00A27B12">
        <w:t>M</w:t>
      </w:r>
      <w:r w:rsidRPr="00A27B12">
        <w:t xml:space="preserve">arginal </w:t>
      </w:r>
      <w:r w:rsidR="004B0B7E" w:rsidRPr="00A27B12">
        <w:t xml:space="preserve">tax </w:t>
      </w:r>
      <w:r w:rsidRPr="00A27B12">
        <w:t xml:space="preserve">rates </w:t>
      </w:r>
      <w:r w:rsidR="00E7588A" w:rsidRPr="00A27B12">
        <w:t>take</w:t>
      </w:r>
      <w:r w:rsidRPr="00A27B12">
        <w:t xml:space="preserve"> account of the statutory rates shown in Table </w:t>
      </w:r>
      <w:r w:rsidR="00273FBE" w:rsidRPr="00A27B12">
        <w:t>3</w:t>
      </w:r>
      <w:r w:rsidR="0024071D" w:rsidRPr="00A27B12">
        <w:t>.</w:t>
      </w:r>
      <w:r w:rsidRPr="00A27B12">
        <w:t xml:space="preserve">1, as well as the Medicare levy of </w:t>
      </w:r>
      <w:r w:rsidR="004B15D1" w:rsidRPr="00A27B12">
        <w:t>2</w:t>
      </w:r>
      <w:r w:rsidRPr="00A27B12">
        <w:t> per cent</w:t>
      </w:r>
      <w:r w:rsidR="00487DA6" w:rsidRPr="00A27B12">
        <w:t xml:space="preserve">, the Temporary Budget Repair Levy (an additional </w:t>
      </w:r>
      <w:r w:rsidR="004B15D1" w:rsidRPr="00A27B12">
        <w:t>2</w:t>
      </w:r>
      <w:r w:rsidR="00487DA6" w:rsidRPr="00A27B12">
        <w:t xml:space="preserve"> per cent on taxable income in excess of $180,000 per year) </w:t>
      </w:r>
      <w:r w:rsidRPr="00A27B12">
        <w:t>and the LITO</w:t>
      </w:r>
      <w:r w:rsidR="003C20A8" w:rsidRPr="00A27B12">
        <w:t xml:space="preserve">. The LITO </w:t>
      </w:r>
      <w:r w:rsidRPr="00A27B12">
        <w:t xml:space="preserve">brings the effective </w:t>
      </w:r>
      <w:r w:rsidR="008D77C3" w:rsidRPr="00A27B12">
        <w:t>tax</w:t>
      </w:r>
      <w:r w:rsidR="00A801BF">
        <w:noBreakHyphen/>
      </w:r>
      <w:r w:rsidRPr="00A27B12">
        <w:t>free threshold to $20,542</w:t>
      </w:r>
      <w:r w:rsidR="003C20A8" w:rsidRPr="00A27B12">
        <w:t>. The 10 percentage point increase in marginal tax rates between $20,542 and $25,677 is due to the phase</w:t>
      </w:r>
      <w:r w:rsidR="00A801BF">
        <w:noBreakHyphen/>
      </w:r>
      <w:r w:rsidR="003C20A8" w:rsidRPr="00A27B12">
        <w:t>out of the Medicare levy low</w:t>
      </w:r>
      <w:r w:rsidR="00A801BF">
        <w:noBreakHyphen/>
      </w:r>
      <w:r w:rsidR="003C20A8" w:rsidRPr="00A27B12">
        <w:t>income concession. The</w:t>
      </w:r>
      <w:r w:rsidR="00F13221" w:rsidRPr="00A27B12">
        <w:t> </w:t>
      </w:r>
      <w:r w:rsidR="003C20A8" w:rsidRPr="00A27B12">
        <w:t xml:space="preserve">1.5 percentage point increase in marginal tax rates between </w:t>
      </w:r>
      <w:r w:rsidR="00CF6D3F" w:rsidRPr="00A27B12">
        <w:t>$37,001 and $66,667</w:t>
      </w:r>
      <w:r w:rsidR="003C20A8" w:rsidRPr="00A27B12">
        <w:t xml:space="preserve"> is due to the phase</w:t>
      </w:r>
      <w:r w:rsidR="00A801BF">
        <w:noBreakHyphen/>
      </w:r>
      <w:r w:rsidR="003C20A8" w:rsidRPr="00A27B12">
        <w:t>out of the LITO</w:t>
      </w:r>
      <w:r w:rsidR="00CF6D3F" w:rsidRPr="00A27B12">
        <w:t>.</w:t>
      </w:r>
    </w:p>
    <w:p w14:paraId="7FA5C269" w14:textId="77777777" w:rsidR="00F13221" w:rsidRPr="002B771E" w:rsidRDefault="00F13221" w:rsidP="002B771E">
      <w:pPr>
        <w:pStyle w:val="Singleparagraph0"/>
      </w:pPr>
    </w:p>
    <w:p w14:paraId="0F57D9FF" w14:textId="77777777" w:rsidR="001C78F0" w:rsidRPr="00A27B12" w:rsidRDefault="001C78F0" w:rsidP="004B15D1">
      <w:pPr>
        <w:pStyle w:val="Heading4"/>
      </w:pPr>
      <w:bookmarkStart w:id="48" w:name="_Toc404342079"/>
      <w:bookmarkStart w:id="49" w:name="_Toc409796490"/>
      <w:r w:rsidRPr="00A27B12">
        <w:t>Concessions</w:t>
      </w:r>
      <w:bookmarkEnd w:id="48"/>
      <w:bookmarkEnd w:id="49"/>
    </w:p>
    <w:p w14:paraId="3852CE66" w14:textId="18E65130" w:rsidR="001C78F0" w:rsidRPr="00A27B12" w:rsidRDefault="001C78F0" w:rsidP="001C78F0">
      <w:r w:rsidRPr="00A27B12">
        <w:t xml:space="preserve">Concessions refer to the treatment of income that may be exempt from tax or taxed at less than full marginal rates. Australia has a broad </w:t>
      </w:r>
      <w:r w:rsidR="00EF3A59" w:rsidRPr="00A27B12">
        <w:t>individuals</w:t>
      </w:r>
      <w:r w:rsidRPr="00A27B12">
        <w:t xml:space="preserve"> income tax base, with relatively limited concessions on labour income, although there is concessional treatment for income from saving (such as superannuation or capital gains —</w:t>
      </w:r>
      <w:r w:rsidR="00566ECE" w:rsidRPr="00A27B12">
        <w:t xml:space="preserve"> </w:t>
      </w:r>
      <w:r w:rsidRPr="00A27B12">
        <w:t xml:space="preserve">Chapter </w:t>
      </w:r>
      <w:r w:rsidR="008D1C67" w:rsidRPr="00A27B12">
        <w:t>4</w:t>
      </w:r>
      <w:r w:rsidRPr="00A27B12">
        <w:rPr>
          <w:rFonts w:cstheme="minorHAnsi"/>
        </w:rPr>
        <w:t xml:space="preserve">) and </w:t>
      </w:r>
      <w:r w:rsidRPr="00A27B12">
        <w:t>income from carrying on a business (such as capital gains tax concessions targeted to small business —</w:t>
      </w:r>
      <w:r w:rsidR="00A523AE" w:rsidRPr="00A27B12">
        <w:t xml:space="preserve"> </w:t>
      </w:r>
      <w:r w:rsidRPr="00A27B12">
        <w:t xml:space="preserve">Chapter </w:t>
      </w:r>
      <w:r w:rsidR="008D1C67" w:rsidRPr="00A27B12">
        <w:t>6</w:t>
      </w:r>
      <w:r w:rsidRPr="00A27B12">
        <w:t>)</w:t>
      </w:r>
      <w:r w:rsidR="00CF6D3F" w:rsidRPr="00A27B12">
        <w:t>.</w:t>
      </w:r>
    </w:p>
    <w:p w14:paraId="5BC4F2D3" w14:textId="77777777" w:rsidR="001C78F0" w:rsidRPr="00A27B12" w:rsidRDefault="001C78F0" w:rsidP="004B15D1">
      <w:pPr>
        <w:pStyle w:val="Heading4"/>
      </w:pPr>
      <w:bookmarkStart w:id="50" w:name="_Toc404342080"/>
      <w:bookmarkStart w:id="51" w:name="_Toc409796491"/>
      <w:r w:rsidRPr="00A27B12">
        <w:t>Levies</w:t>
      </w:r>
      <w:bookmarkEnd w:id="50"/>
      <w:bookmarkEnd w:id="51"/>
    </w:p>
    <w:p w14:paraId="2DA46557" w14:textId="520CDE6E" w:rsidR="001C78F0" w:rsidRPr="00A27B12" w:rsidRDefault="001C78F0" w:rsidP="00BF5ABA">
      <w:r w:rsidRPr="00A27B12">
        <w:t xml:space="preserve">In the Australian </w:t>
      </w:r>
      <w:r w:rsidR="00AE34DA" w:rsidRPr="00A27B12">
        <w:t xml:space="preserve">tax </w:t>
      </w:r>
      <w:r w:rsidRPr="00A27B12">
        <w:t xml:space="preserve">system levies are generally linked to funding </w:t>
      </w:r>
      <w:proofErr w:type="gramStart"/>
      <w:r w:rsidRPr="00A27B12">
        <w:t>a particular</w:t>
      </w:r>
      <w:proofErr w:type="gramEnd"/>
      <w:r w:rsidRPr="00A27B12">
        <w:t xml:space="preserve"> government expenditure. </w:t>
      </w:r>
      <w:r w:rsidR="00714C00" w:rsidRPr="00A27B12">
        <w:t xml:space="preserve">Temporary levies are sometimes imposed to raise revenue to meet a particular need. </w:t>
      </w:r>
      <w:r w:rsidRPr="00A27B12">
        <w:t>The main</w:t>
      </w:r>
      <w:r w:rsidR="00714C00" w:rsidRPr="00A27B12">
        <w:t xml:space="preserve"> permanent </w:t>
      </w:r>
      <w:r w:rsidRPr="00A27B12">
        <w:t xml:space="preserve">levy in the </w:t>
      </w:r>
      <w:proofErr w:type="gramStart"/>
      <w:r w:rsidR="00EF3A59" w:rsidRPr="00A27B12">
        <w:t>individuals</w:t>
      </w:r>
      <w:proofErr w:type="gramEnd"/>
      <w:r w:rsidRPr="00A27B12">
        <w:t xml:space="preserve"> income tax </w:t>
      </w:r>
      <w:r w:rsidR="00C17E10" w:rsidRPr="00A27B12">
        <w:t xml:space="preserve">system </w:t>
      </w:r>
      <w:r w:rsidRPr="00A27B12">
        <w:t>is the Medicare levy. It</w:t>
      </w:r>
      <w:r w:rsidR="00F13221" w:rsidRPr="00A27B12">
        <w:t> </w:t>
      </w:r>
      <w:r w:rsidRPr="00A27B12">
        <w:t>is similar to the social security contributions used in other countries because it is applied at a flat rate on a person</w:t>
      </w:r>
      <w:r w:rsidR="00A801BF">
        <w:t>’</w:t>
      </w:r>
      <w:r w:rsidRPr="00A27B12">
        <w:t>s entire taxable income. Low</w:t>
      </w:r>
      <w:r w:rsidR="00A801BF">
        <w:noBreakHyphen/>
      </w:r>
      <w:r w:rsidRPr="00A27B12">
        <w:t xml:space="preserve">income individuals and households may pay a reduced amount of </w:t>
      </w:r>
      <w:r w:rsidR="00DD5207" w:rsidRPr="00A27B12">
        <w:t xml:space="preserve">the </w:t>
      </w:r>
      <w:r w:rsidRPr="00A27B12">
        <w:t xml:space="preserve">Medicare levy or no Medicare levy at all. Singles with no </w:t>
      </w:r>
      <w:r w:rsidRPr="00A27B12">
        <w:lastRenderedPageBreak/>
        <w:t>dependants do not pay any Medicare levy until their taxable income exceeds $20,542.</w:t>
      </w:r>
      <w:r w:rsidRPr="00A27B12">
        <w:rPr>
          <w:rStyle w:val="FootnoteReference"/>
        </w:rPr>
        <w:footnoteReference w:id="2"/>
      </w:r>
      <w:r w:rsidRPr="00A27B12">
        <w:t xml:space="preserve"> </w:t>
      </w:r>
      <w:r w:rsidR="00566ECE" w:rsidRPr="00A27B12">
        <w:t xml:space="preserve">Above </w:t>
      </w:r>
      <w:r w:rsidRPr="00A27B12">
        <w:t xml:space="preserve">this threshold, the concession is withdrawn at a marginal rate of 10 per cent (shown in </w:t>
      </w:r>
      <w:r w:rsidR="00566ECE" w:rsidRPr="00A27B12">
        <w:t>C</w:t>
      </w:r>
      <w:r w:rsidRPr="00A27B12">
        <w:t xml:space="preserve">hart </w:t>
      </w:r>
      <w:r w:rsidR="008D1C67" w:rsidRPr="00A27B12">
        <w:t>3</w:t>
      </w:r>
      <w:r w:rsidR="00B9408E" w:rsidRPr="00A27B12">
        <w:t>.</w:t>
      </w:r>
      <w:r w:rsidRPr="00A27B12">
        <w:t>1) until the Medicare levy is fully phased in by $</w:t>
      </w:r>
      <w:r w:rsidR="00B76015" w:rsidRPr="00A27B12">
        <w:t>25</w:t>
      </w:r>
      <w:r w:rsidRPr="00A27B12">
        <w:t>,67</w:t>
      </w:r>
      <w:r w:rsidR="00A801BE" w:rsidRPr="00A27B12">
        <w:t>7</w:t>
      </w:r>
      <w:r w:rsidR="00CF6D3F" w:rsidRPr="00A27B12">
        <w:t>.</w:t>
      </w:r>
      <w:r w:rsidR="00C90354" w:rsidRPr="00A27B12">
        <w:t xml:space="preserve"> This ensures that lower</w:t>
      </w:r>
      <w:r w:rsidR="00A801BF">
        <w:noBreakHyphen/>
      </w:r>
      <w:r w:rsidR="00C90354" w:rsidRPr="00A27B12">
        <w:t>income earners do not face the full rate of Medicare levy suddenly when they reach the threshold, but that it is gradually phased in.</w:t>
      </w:r>
    </w:p>
    <w:p w14:paraId="16D08889" w14:textId="72C93A0E" w:rsidR="001C78F0" w:rsidRPr="00A27B12" w:rsidRDefault="001C78F0" w:rsidP="00BF5ABA">
      <w:r w:rsidRPr="00A27B12">
        <w:t xml:space="preserve">Although the Medicare levy was directly tied to the introduction of Medicare in 1984, it is not formally hypothecated to the costs of the Medicare scheme. In 2013–14 </w:t>
      </w:r>
      <w:r w:rsidR="00031738" w:rsidRPr="00A27B12">
        <w:t xml:space="preserve">it </w:t>
      </w:r>
      <w:r w:rsidRPr="00A27B12">
        <w:t>raised around $10.</w:t>
      </w:r>
      <w:r w:rsidR="00CB549E" w:rsidRPr="00A27B12">
        <w:t>3</w:t>
      </w:r>
      <w:r w:rsidRPr="00A27B12">
        <w:t xml:space="preserve"> billion in revenue</w:t>
      </w:r>
      <w:r w:rsidR="00250FD6" w:rsidRPr="00A27B12">
        <w:t>.</w:t>
      </w:r>
      <w:r w:rsidRPr="00A27B12">
        <w:rPr>
          <w:rStyle w:val="FootnoteReference"/>
        </w:rPr>
        <w:footnoteReference w:id="3"/>
      </w:r>
      <w:r w:rsidR="00E664C9" w:rsidRPr="00A27B12">
        <w:t xml:space="preserve"> This</w:t>
      </w:r>
      <w:r w:rsidRPr="00A27B12">
        <w:t xml:space="preserve"> only partially offset</w:t>
      </w:r>
      <w:r w:rsidR="00E664C9" w:rsidRPr="00A27B12">
        <w:t>s</w:t>
      </w:r>
      <w:r w:rsidRPr="00A27B12">
        <w:t xml:space="preserve"> </w:t>
      </w:r>
      <w:r w:rsidR="00E66F30" w:rsidRPr="00A27B12">
        <w:t xml:space="preserve">total Australian </w:t>
      </w:r>
      <w:r w:rsidR="00E664C9" w:rsidRPr="00A27B12">
        <w:t>Government expenditure on health, which for 2013</w:t>
      </w:r>
      <w:r w:rsidR="00A801BF">
        <w:noBreakHyphen/>
      </w:r>
      <w:r w:rsidR="00E664C9" w:rsidRPr="00A27B12">
        <w:t>14 was $64 billion</w:t>
      </w:r>
      <w:r w:rsidR="00E66F30" w:rsidRPr="00A27B12">
        <w:t>,</w:t>
      </w:r>
      <w:r w:rsidRPr="00A27B12">
        <w:rPr>
          <w:rStyle w:val="FootnoteReference"/>
        </w:rPr>
        <w:footnoteReference w:id="4"/>
      </w:r>
      <w:r w:rsidRPr="00A27B12">
        <w:t xml:space="preserve"> </w:t>
      </w:r>
      <w:r w:rsidR="00E66F30" w:rsidRPr="00A27B12">
        <w:t>or Australian Government expenditure on Medicare services, which for 2013</w:t>
      </w:r>
      <w:r w:rsidR="00A801BF">
        <w:noBreakHyphen/>
      </w:r>
      <w:r w:rsidR="00E66F30" w:rsidRPr="00A27B12">
        <w:t xml:space="preserve">14 was </w:t>
      </w:r>
      <w:r w:rsidR="000F5DB5" w:rsidRPr="00A27B12">
        <w:t>$19.3 billion</w:t>
      </w:r>
      <w:r w:rsidR="00E66F30" w:rsidRPr="00A27B12">
        <w:t>.</w:t>
      </w:r>
      <w:r w:rsidR="00E66F30" w:rsidRPr="00A27B12">
        <w:rPr>
          <w:rStyle w:val="FootnoteReference"/>
        </w:rPr>
        <w:footnoteReference w:id="5"/>
      </w:r>
      <w:r w:rsidR="000F5DB5" w:rsidRPr="00A27B12">
        <w:t xml:space="preserve"> </w:t>
      </w:r>
      <w:r w:rsidRPr="00A27B12">
        <w:t>The rate of the Medicare levy was recently increased by half a percentage point to 2 per cent from 1 July 2014 to help fund the introduction of the National Disability Insurance Scheme (NDIS). All additional revenue from the increase in the Medicare levy for ten years will go directly to</w:t>
      </w:r>
      <w:r w:rsidR="005F3F5F" w:rsidRPr="00A27B12">
        <w:t>ward</w:t>
      </w:r>
      <w:r w:rsidRPr="00A27B12">
        <w:t xml:space="preserve"> fund</w:t>
      </w:r>
      <w:r w:rsidR="005F3F5F" w:rsidRPr="00A27B12">
        <w:t>ing</w:t>
      </w:r>
      <w:r w:rsidR="00CF6D3F" w:rsidRPr="00A27B12">
        <w:t xml:space="preserve"> the NDIS.</w:t>
      </w:r>
    </w:p>
    <w:p w14:paraId="59129FA6" w14:textId="77777777" w:rsidR="001C78F0" w:rsidRPr="00A27B12" w:rsidRDefault="001C78F0" w:rsidP="004B15D1">
      <w:pPr>
        <w:pStyle w:val="Heading4"/>
      </w:pPr>
      <w:bookmarkStart w:id="52" w:name="_Toc404342081"/>
      <w:bookmarkStart w:id="53" w:name="_Toc409796492"/>
      <w:r w:rsidRPr="00A27B12">
        <w:t>Offsets</w:t>
      </w:r>
      <w:bookmarkEnd w:id="52"/>
      <w:bookmarkEnd w:id="53"/>
    </w:p>
    <w:p w14:paraId="3A837FC4" w14:textId="60181A9F" w:rsidR="001C78F0" w:rsidRPr="00A27B12" w:rsidRDefault="001C78F0" w:rsidP="001C78F0">
      <w:r w:rsidRPr="00A27B12">
        <w:t>Tax offsets</w:t>
      </w:r>
      <w:r w:rsidRPr="00A27B12">
        <w:rPr>
          <w:b/>
          <w:i/>
        </w:rPr>
        <w:t xml:space="preserve"> </w:t>
      </w:r>
      <w:r w:rsidRPr="00A27B12">
        <w:t>are concessions that reduce a person</w:t>
      </w:r>
      <w:r w:rsidR="00A801BF">
        <w:t>’</w:t>
      </w:r>
      <w:r w:rsidRPr="00A27B12">
        <w:t xml:space="preserve">s tax liability. If someone does not have a tax liability (for example, because their </w:t>
      </w:r>
      <w:r w:rsidR="004728C8" w:rsidRPr="00A27B12">
        <w:t xml:space="preserve">taxable </w:t>
      </w:r>
      <w:r w:rsidRPr="00A27B12">
        <w:t>income falls below the tax</w:t>
      </w:r>
      <w:r w:rsidR="00A801BF">
        <w:noBreakHyphen/>
      </w:r>
      <w:r w:rsidRPr="00A27B12">
        <w:t xml:space="preserve">free threshold), then they </w:t>
      </w:r>
      <w:r w:rsidR="00F7177D" w:rsidRPr="00A27B12">
        <w:t xml:space="preserve">generally </w:t>
      </w:r>
      <w:r w:rsidRPr="00A27B12">
        <w:t>canno</w:t>
      </w:r>
      <w:r w:rsidR="00CF6D3F" w:rsidRPr="00A27B12">
        <w:t>t benefit from offsets.</w:t>
      </w:r>
    </w:p>
    <w:p w14:paraId="61C96196" w14:textId="3DB1DBB5" w:rsidR="001C78F0" w:rsidRPr="00A27B12" w:rsidRDefault="001C78F0" w:rsidP="001C78F0">
      <w:r w:rsidRPr="00A27B12">
        <w:t xml:space="preserve">The main tax offset that is a structural part of the </w:t>
      </w:r>
      <w:r w:rsidR="00EF3A59" w:rsidRPr="00A27B12">
        <w:t>individuals</w:t>
      </w:r>
      <w:r w:rsidR="004728C8" w:rsidRPr="00A27B12">
        <w:t xml:space="preserve"> income </w:t>
      </w:r>
      <w:r w:rsidRPr="00A27B12">
        <w:t xml:space="preserve">tax system is the </w:t>
      </w:r>
      <w:r w:rsidR="008D77C3" w:rsidRPr="00A27B12">
        <w:t>low</w:t>
      </w:r>
      <w:r w:rsidR="00A801BF">
        <w:noBreakHyphen/>
      </w:r>
      <w:r w:rsidRPr="00A27B12">
        <w:t>income tax offset (LITO)</w:t>
      </w:r>
      <w:r w:rsidR="000B4C09" w:rsidRPr="00A27B12">
        <w:t>. The LITO</w:t>
      </w:r>
      <w:r w:rsidRPr="00A27B12">
        <w:t xml:space="preserve"> is available in full for individuals with taxable income up to $37,000, then withdrawn gradually after that. Combined with the $18,200 tax</w:t>
      </w:r>
      <w:r w:rsidR="00A801BF">
        <w:noBreakHyphen/>
      </w:r>
      <w:r w:rsidRPr="00A27B12">
        <w:t xml:space="preserve">free threshold, people do not begin to pay tax until their taxable income exceeds $20,542 (their </w:t>
      </w:r>
      <w:r w:rsidRPr="00A27B12">
        <w:rPr>
          <w:i/>
        </w:rPr>
        <w:t xml:space="preserve">effective </w:t>
      </w:r>
      <w:r w:rsidRPr="00A27B12">
        <w:t>tax</w:t>
      </w:r>
      <w:r w:rsidR="00A801BF">
        <w:noBreakHyphen/>
      </w:r>
      <w:r w:rsidRPr="00A27B12">
        <w:t>free threshold). The benefit from the LITO is fully withdrawn for people with taxable income in excess of $</w:t>
      </w:r>
      <w:r w:rsidR="00CF6D3F" w:rsidRPr="00A27B12">
        <w:t>66,667.</w:t>
      </w:r>
    </w:p>
    <w:p w14:paraId="05B19A1A" w14:textId="7DEA1978" w:rsidR="001C78F0" w:rsidRPr="00A27B12" w:rsidRDefault="001C78F0" w:rsidP="001C78F0">
      <w:r w:rsidRPr="00A27B12">
        <w:t xml:space="preserve">The number of tax offsets in the </w:t>
      </w:r>
      <w:proofErr w:type="gramStart"/>
      <w:r w:rsidR="00EF3A59" w:rsidRPr="00A27B12">
        <w:t>individuals</w:t>
      </w:r>
      <w:proofErr w:type="gramEnd"/>
      <w:r w:rsidRPr="00A27B12">
        <w:t xml:space="preserve"> income tax system has been reduced over time. Of those that remain, </w:t>
      </w:r>
      <w:r w:rsidR="00AE34DA" w:rsidRPr="00A27B12">
        <w:t xml:space="preserve">the seniors and pensioners tax offset (SAPTO) and the beneficiaries tax offset (BENTO) </w:t>
      </w:r>
      <w:r w:rsidRPr="00A27B12">
        <w:t xml:space="preserve">exist in order to ensure that recipients of </w:t>
      </w:r>
      <w:r w:rsidR="000F5DB5" w:rsidRPr="00A27B12">
        <w:t xml:space="preserve">Australian </w:t>
      </w:r>
      <w:r w:rsidRPr="00A27B12">
        <w:t xml:space="preserve">Government pensions and </w:t>
      </w:r>
      <w:r w:rsidR="000F5DB5" w:rsidRPr="00A27B12">
        <w:t>allowances</w:t>
      </w:r>
      <w:r w:rsidRPr="00A27B12">
        <w:t xml:space="preserve"> </w:t>
      </w:r>
      <w:r w:rsidR="00AE34DA" w:rsidRPr="00A27B12">
        <w:t xml:space="preserve">respectively </w:t>
      </w:r>
      <w:r w:rsidRPr="00A27B12">
        <w:t xml:space="preserve">do not pay any tax on </w:t>
      </w:r>
      <w:r w:rsidR="005A2719" w:rsidRPr="00A27B12">
        <w:t xml:space="preserve">those </w:t>
      </w:r>
      <w:r w:rsidRPr="00A27B12">
        <w:t>pension</w:t>
      </w:r>
      <w:r w:rsidR="00A77AD0" w:rsidRPr="00A27B12">
        <w:t>s</w:t>
      </w:r>
      <w:r w:rsidRPr="00A27B12">
        <w:t xml:space="preserve"> or </w:t>
      </w:r>
      <w:r w:rsidR="000F5DB5" w:rsidRPr="00A27B12">
        <w:t>allowances</w:t>
      </w:r>
      <w:r w:rsidRPr="00A27B12">
        <w:t xml:space="preserve">. Other tax offsets </w:t>
      </w:r>
      <w:r w:rsidR="005F3F5F" w:rsidRPr="00A27B12">
        <w:t xml:space="preserve">continue to be </w:t>
      </w:r>
      <w:r w:rsidRPr="00A27B12">
        <w:t xml:space="preserve">available in order to deliver assistance to particular groups of taxpayers, such as: the zone tax offset; </w:t>
      </w:r>
      <w:r w:rsidR="00FA52A8" w:rsidRPr="00A27B12">
        <w:t xml:space="preserve">the net medical expenses tax offset; </w:t>
      </w:r>
      <w:r w:rsidRPr="00A27B12">
        <w:t>the dependent (invalid an</w:t>
      </w:r>
      <w:r w:rsidR="005E223C" w:rsidRPr="00A27B12">
        <w:t>d carer</w:t>
      </w:r>
      <w:r w:rsidRPr="00A27B12">
        <w:t>) tax offset; and the employment t</w:t>
      </w:r>
      <w:r w:rsidR="00CF6D3F" w:rsidRPr="00A27B12">
        <w:t>ermination payments tax offset.</w:t>
      </w:r>
    </w:p>
    <w:p w14:paraId="15E6EB70" w14:textId="77777777" w:rsidR="002B771E" w:rsidRDefault="002B771E">
      <w:pPr>
        <w:spacing w:after="0" w:line="240" w:lineRule="auto"/>
        <w:rPr>
          <w:rFonts w:eastAsiaTheme="majorEastAsia" w:cstheme="majorBidi"/>
          <w:b/>
          <w:bCs/>
          <w:color w:val="31A7D4" w:themeColor="accent1"/>
          <w:sz w:val="30"/>
        </w:rPr>
      </w:pPr>
      <w:bookmarkStart w:id="54" w:name="_Toc402353957"/>
      <w:bookmarkStart w:id="55" w:name="_Toc402368734"/>
      <w:bookmarkStart w:id="56" w:name="_Toc402369820"/>
      <w:bookmarkStart w:id="57" w:name="_Toc402370485"/>
      <w:bookmarkStart w:id="58" w:name="_Toc402371432"/>
      <w:bookmarkStart w:id="59" w:name="_Toc402972764"/>
      <w:bookmarkStart w:id="60" w:name="_Toc403074103"/>
      <w:bookmarkStart w:id="61" w:name="_Toc403132950"/>
      <w:bookmarkStart w:id="62" w:name="_Toc404342082"/>
      <w:bookmarkStart w:id="63" w:name="_Toc409796493"/>
      <w:r>
        <w:br w:type="page"/>
      </w:r>
    </w:p>
    <w:p w14:paraId="09718C6C" w14:textId="775BC023" w:rsidR="001C78F0" w:rsidRPr="00A27B12" w:rsidRDefault="001C78F0" w:rsidP="001C78F0">
      <w:pPr>
        <w:pStyle w:val="Heading3"/>
      </w:pPr>
      <w:r w:rsidRPr="00A27B12">
        <w:lastRenderedPageBreak/>
        <w:t xml:space="preserve">How important is </w:t>
      </w:r>
      <w:proofErr w:type="gramStart"/>
      <w:r w:rsidR="00EF3A59" w:rsidRPr="00A27B12">
        <w:t>individuals</w:t>
      </w:r>
      <w:proofErr w:type="gramEnd"/>
      <w:r w:rsidRPr="00A27B12">
        <w:t xml:space="preserve"> income tax as a revenue source for government?</w:t>
      </w:r>
      <w:bookmarkEnd w:id="54"/>
      <w:bookmarkEnd w:id="55"/>
      <w:bookmarkEnd w:id="56"/>
      <w:bookmarkEnd w:id="57"/>
      <w:bookmarkEnd w:id="58"/>
      <w:bookmarkEnd w:id="59"/>
      <w:bookmarkEnd w:id="60"/>
      <w:bookmarkEnd w:id="61"/>
      <w:bookmarkEnd w:id="62"/>
      <w:bookmarkEnd w:id="63"/>
    </w:p>
    <w:p w14:paraId="350C3E2B" w14:textId="10EC3E76" w:rsidR="008F34EF" w:rsidRPr="00A27B12" w:rsidRDefault="008F34EF" w:rsidP="008F34EF">
      <w:bookmarkStart w:id="64" w:name="_Toc402353958"/>
      <w:bookmarkStart w:id="65" w:name="_Toc402368735"/>
      <w:bookmarkStart w:id="66" w:name="_Toc402369821"/>
      <w:bookmarkStart w:id="67" w:name="_Toc402370486"/>
      <w:bookmarkStart w:id="68" w:name="_Toc402371433"/>
      <w:bookmarkStart w:id="69" w:name="_Toc402972765"/>
      <w:bookmarkStart w:id="70" w:name="_Toc403074104"/>
      <w:bookmarkStart w:id="71" w:name="_Toc403132951"/>
      <w:bookmarkStart w:id="72" w:name="_Toc404342083"/>
      <w:proofErr w:type="gramStart"/>
      <w:r w:rsidRPr="00A27B12">
        <w:t>Individuals</w:t>
      </w:r>
      <w:proofErr w:type="gramEnd"/>
      <w:r w:rsidRPr="00A27B12">
        <w:t xml:space="preserve"> income tax is the single largest </w:t>
      </w:r>
      <w:r w:rsidR="000F5DB5" w:rsidRPr="00A27B12">
        <w:t>Australian Government</w:t>
      </w:r>
      <w:r w:rsidRPr="00A27B12">
        <w:t xml:space="preserve"> revenue source and has consistently raised around half of the </w:t>
      </w:r>
      <w:r w:rsidR="000F5DB5" w:rsidRPr="00A27B12">
        <w:t>Australian G</w:t>
      </w:r>
      <w:r w:rsidRPr="00A27B12">
        <w:t>overnment</w:t>
      </w:r>
      <w:r w:rsidR="00A801BF">
        <w:t>’</w:t>
      </w:r>
      <w:r w:rsidRPr="00A27B12">
        <w:t xml:space="preserve">s tax receipts since the 1970s. As employment and wage growth tends to be relatively steady, individuals income tax is a stable revenue source. To address bracket creep and maintain the rewards for effort, governments over recent decades have generally lowered rates or raised thresholds to deliver tax cuts from time to time, keeping the proportion of revenue raised from individuals income tax relatively stable. </w:t>
      </w:r>
    </w:p>
    <w:p w14:paraId="731F21FB" w14:textId="39DB9E84" w:rsidR="001C78F0" w:rsidRPr="00A27B12" w:rsidRDefault="001C78F0" w:rsidP="001C78F0">
      <w:pPr>
        <w:pStyle w:val="Heading3"/>
      </w:pPr>
      <w:bookmarkStart w:id="73" w:name="_Toc409796494"/>
      <w:r w:rsidRPr="00A27B12">
        <w:t xml:space="preserve">Who pays </w:t>
      </w:r>
      <w:r w:rsidR="00EF3A59" w:rsidRPr="00A27B12">
        <w:t>individuals</w:t>
      </w:r>
      <w:r w:rsidRPr="00A27B12">
        <w:t xml:space="preserve"> income tax?</w:t>
      </w:r>
      <w:bookmarkEnd w:id="64"/>
      <w:bookmarkEnd w:id="65"/>
      <w:bookmarkEnd w:id="66"/>
      <w:bookmarkEnd w:id="67"/>
      <w:bookmarkEnd w:id="68"/>
      <w:bookmarkEnd w:id="69"/>
      <w:bookmarkEnd w:id="70"/>
      <w:bookmarkEnd w:id="71"/>
      <w:bookmarkEnd w:id="72"/>
      <w:bookmarkEnd w:id="73"/>
    </w:p>
    <w:p w14:paraId="0C679645" w14:textId="322D8227" w:rsidR="001C78F0" w:rsidRPr="00A27B12" w:rsidRDefault="001C78F0" w:rsidP="001C78F0">
      <w:r w:rsidRPr="00A27B12">
        <w:t xml:space="preserve">The unit of assessment for </w:t>
      </w:r>
      <w:proofErr w:type="gramStart"/>
      <w:r w:rsidR="00EF3A59" w:rsidRPr="00A27B12">
        <w:t>individuals</w:t>
      </w:r>
      <w:proofErr w:type="gramEnd"/>
      <w:r w:rsidRPr="00A27B12">
        <w:t xml:space="preserve"> income taxation in Australia is the individual. This means the progressivity of the </w:t>
      </w:r>
      <w:r w:rsidR="00EF3A59" w:rsidRPr="00A27B12">
        <w:t>individuals</w:t>
      </w:r>
      <w:r w:rsidRPr="00A27B12">
        <w:t xml:space="preserve"> income tax system applies to taxable income in the</w:t>
      </w:r>
      <w:r w:rsidR="002D64AF" w:rsidRPr="00A27B12">
        <w:t> </w:t>
      </w:r>
      <w:r w:rsidR="00152630" w:rsidRPr="00A27B12">
        <w:t>individual</w:t>
      </w:r>
      <w:r w:rsidR="00A801BF">
        <w:t>’</w:t>
      </w:r>
      <w:r w:rsidR="00152630" w:rsidRPr="00A27B12">
        <w:t xml:space="preserve">s </w:t>
      </w:r>
      <w:r w:rsidRPr="00A27B12">
        <w:t>hands, but not necessarily to a household</w:t>
      </w:r>
      <w:r w:rsidR="00A801BF">
        <w:t>’</w:t>
      </w:r>
      <w:r w:rsidRPr="00A27B12">
        <w:t>s taxable income (</w:t>
      </w:r>
      <w:r w:rsidR="008D1C67" w:rsidRPr="00A27B12">
        <w:t>Box 3</w:t>
      </w:r>
      <w:r w:rsidR="00D84287" w:rsidRPr="00A27B12">
        <w:t>.1</w:t>
      </w:r>
      <w:r w:rsidRPr="00A27B12">
        <w:t xml:space="preserve">). </w:t>
      </w:r>
      <w:r w:rsidR="00493229" w:rsidRPr="00A27B12">
        <w:t>This</w:t>
      </w:r>
      <w:r w:rsidR="002D64AF" w:rsidRPr="00A27B12">
        <w:t> </w:t>
      </w:r>
      <w:r w:rsidR="00493229" w:rsidRPr="00A27B12">
        <w:t>is</w:t>
      </w:r>
      <w:r w:rsidR="002D64AF" w:rsidRPr="00A27B12">
        <w:t> </w:t>
      </w:r>
      <w:r w:rsidR="00493229" w:rsidRPr="00A27B12">
        <w:t xml:space="preserve">different </w:t>
      </w:r>
      <w:r w:rsidR="008964D3" w:rsidRPr="00A27B12">
        <w:t xml:space="preserve">from </w:t>
      </w:r>
      <w:r w:rsidR="00493229" w:rsidRPr="00A27B12">
        <w:t xml:space="preserve">the objectives of the transfer system where assistance is </w:t>
      </w:r>
      <w:r w:rsidR="00ED61C8" w:rsidRPr="00A27B12">
        <w:t xml:space="preserve">generally </w:t>
      </w:r>
      <w:r w:rsidR="00493229" w:rsidRPr="00A27B12">
        <w:t xml:space="preserve">targeted based on the </w:t>
      </w:r>
      <w:r w:rsidR="00AF354D" w:rsidRPr="00A27B12">
        <w:t xml:space="preserve">needs of a </w:t>
      </w:r>
      <w:r w:rsidR="00493229" w:rsidRPr="00A27B12">
        <w:t>household</w:t>
      </w:r>
      <w:r w:rsidR="00AF354D" w:rsidRPr="00A27B12">
        <w:t>, although certain tax concessions mirror assistance provided through the transfer system and adopt similar principles for targeting assistance.</w:t>
      </w:r>
      <w:r w:rsidR="00493229" w:rsidRPr="00A27B12">
        <w:rPr>
          <w:rStyle w:val="FootnoteReference"/>
        </w:rPr>
        <w:footnoteReference w:id="6"/>
      </w:r>
    </w:p>
    <w:p w14:paraId="73027C1C" w14:textId="5EA6BCB1" w:rsidR="001512A9" w:rsidRPr="00A27B12" w:rsidRDefault="00E54069" w:rsidP="001512A9">
      <w:r>
        <w:t>12.6</w:t>
      </w:r>
      <w:r w:rsidR="006756B4" w:rsidRPr="00A27B12">
        <w:t xml:space="preserve"> million Australians lodged an income tax return for the </w:t>
      </w:r>
      <w:r w:rsidR="001512A9" w:rsidRPr="00A27B12">
        <w:t>2011</w:t>
      </w:r>
      <w:r w:rsidR="00A801BF">
        <w:noBreakHyphen/>
      </w:r>
      <w:r w:rsidR="001512A9" w:rsidRPr="00A27B12">
        <w:t xml:space="preserve">12 income year, </w:t>
      </w:r>
      <w:r w:rsidR="006756B4" w:rsidRPr="00A27B12">
        <w:t xml:space="preserve">of which </w:t>
      </w:r>
      <w:r w:rsidR="001512A9" w:rsidRPr="00A27B12">
        <w:t>9.</w:t>
      </w:r>
      <w:r w:rsidR="006756B4" w:rsidRPr="00A27B12">
        <w:t>8 </w:t>
      </w:r>
      <w:r w:rsidR="001512A9" w:rsidRPr="00A27B12">
        <w:t>million Australians were net taxpayers.</w:t>
      </w:r>
      <w:r w:rsidR="001512A9" w:rsidRPr="00A27B12">
        <w:rPr>
          <w:rStyle w:val="FootnoteReference"/>
          <w:sz w:val="18"/>
        </w:rPr>
        <w:footnoteReference w:id="7"/>
      </w:r>
      <w:r w:rsidR="00A801BF">
        <w:rPr>
          <w:vertAlign w:val="superscript"/>
        </w:rPr>
        <w:t>,</w:t>
      </w:r>
      <w:r w:rsidR="008964D3" w:rsidRPr="00A27B12">
        <w:rPr>
          <w:rStyle w:val="FootnoteReference"/>
          <w:sz w:val="18"/>
        </w:rPr>
        <w:footnoteReference w:id="8"/>
      </w:r>
      <w:r w:rsidR="008964D3" w:rsidRPr="00A27B12">
        <w:rPr>
          <w:sz w:val="18"/>
        </w:rPr>
        <w:t xml:space="preserve"> </w:t>
      </w:r>
      <w:r w:rsidR="001512A9" w:rsidRPr="00A27B12">
        <w:t>The higher number of people lodging tax returns is due to a range of factors, including having too much tax withheld during the year (and receiving a refund upon assessment of the tax return); lodging a tax return to claim deductions that reduce taxable income</w:t>
      </w:r>
      <w:r w:rsidR="00613DC1" w:rsidRPr="00A27B12">
        <w:t>s</w:t>
      </w:r>
      <w:r w:rsidR="001512A9" w:rsidRPr="00A27B12">
        <w:t xml:space="preserve"> or offsets that reduce tax liabilit</w:t>
      </w:r>
      <w:r w:rsidR="00613DC1" w:rsidRPr="00A27B12">
        <w:t>ies</w:t>
      </w:r>
      <w:r w:rsidR="001512A9" w:rsidRPr="00A27B12">
        <w:t>; or carrying forward losses from earlier tax years that reduce taxable income</w:t>
      </w:r>
      <w:r w:rsidR="00613DC1" w:rsidRPr="00A27B12">
        <w:t>s</w:t>
      </w:r>
      <w:r w:rsidR="001512A9" w:rsidRPr="00A27B12">
        <w:t>.</w:t>
      </w:r>
    </w:p>
    <w:p w14:paraId="58B755DB" w14:textId="0FC5E51D" w:rsidR="001512A9" w:rsidRDefault="00C17FCB" w:rsidP="001C78F0">
      <w:r w:rsidRPr="00A27B12">
        <w:t xml:space="preserve">Australian residents pay tax on their </w:t>
      </w:r>
      <w:r w:rsidR="00A801BF">
        <w:t>‘</w:t>
      </w:r>
      <w:r w:rsidRPr="00A27B12">
        <w:t>world income</w:t>
      </w:r>
      <w:r w:rsidR="00A801BF">
        <w:t>’</w:t>
      </w:r>
      <w:r w:rsidRPr="00A27B12">
        <w:t xml:space="preserve"> which includes income sourced in Australia, as well as foreign</w:t>
      </w:r>
      <w:r w:rsidR="00A801BF">
        <w:noBreakHyphen/>
      </w:r>
      <w:r w:rsidRPr="00A27B12">
        <w:t>sourced income (</w:t>
      </w:r>
      <w:r w:rsidR="003C46F9" w:rsidRPr="00A27B12">
        <w:t xml:space="preserve">generally </w:t>
      </w:r>
      <w:r w:rsidRPr="00A27B12">
        <w:t>less a credit for any tax paid in the foreign country). Non</w:t>
      </w:r>
      <w:r w:rsidR="00A801BF">
        <w:noBreakHyphen/>
      </w:r>
      <w:r w:rsidRPr="00A27B12">
        <w:t>residents are generally subject to Australian tax on their Australian source income.</w:t>
      </w:r>
      <w:r w:rsidRPr="00A27B12">
        <w:rPr>
          <w:rStyle w:val="FootnoteReference"/>
        </w:rPr>
        <w:footnoteReference w:id="9"/>
      </w:r>
      <w:r w:rsidRPr="00A27B12">
        <w:t xml:space="preserve"> Given increased globalisation and digitisation, concepts of </w:t>
      </w:r>
      <w:r w:rsidR="00A801BF">
        <w:t>‘</w:t>
      </w:r>
      <w:r w:rsidRPr="00A27B12">
        <w:t>source</w:t>
      </w:r>
      <w:r w:rsidR="00A801BF">
        <w:t>’</w:t>
      </w:r>
      <w:r w:rsidRPr="00A27B12">
        <w:t xml:space="preserve"> or </w:t>
      </w:r>
      <w:r w:rsidR="00A801BF">
        <w:t>‘</w:t>
      </w:r>
      <w:r w:rsidRPr="00A27B12">
        <w:t xml:space="preserve">residency </w:t>
      </w:r>
      <w:proofErr w:type="gramStart"/>
      <w:r w:rsidRPr="00A27B12">
        <w:t>status</w:t>
      </w:r>
      <w:r w:rsidR="00A801BF">
        <w:t>’</w:t>
      </w:r>
      <w:proofErr w:type="gramEnd"/>
      <w:r w:rsidRPr="00A27B12">
        <w:t xml:space="preserve"> may not always be straightforward, particularly for taxpayers with complex income arrangements, or taxpayers who cross borders frequently</w:t>
      </w:r>
      <w:r w:rsidR="00CF6D3F" w:rsidRPr="00A27B12">
        <w:t>.</w:t>
      </w:r>
    </w:p>
    <w:p w14:paraId="17AE8B92" w14:textId="77777777" w:rsidR="002B771E" w:rsidRDefault="002B771E">
      <w:pPr>
        <w:spacing w:after="0" w:line="240" w:lineRule="auto"/>
      </w:pPr>
      <w:r>
        <w:br w:type="page"/>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855D4B" w:rsidRPr="00A27B12" w14:paraId="3ED626CB" w14:textId="77777777" w:rsidTr="002D64AF">
        <w:tc>
          <w:tcPr>
            <w:tcW w:w="9384" w:type="dxa"/>
            <w:tcBorders>
              <w:top w:val="nil"/>
              <w:left w:val="nil"/>
              <w:bottom w:val="nil"/>
              <w:right w:val="nil"/>
            </w:tcBorders>
            <w:shd w:val="clear" w:color="auto" w:fill="EBEAEA" w:themeFill="accent6" w:themeFillTint="33"/>
          </w:tcPr>
          <w:p w14:paraId="1BA00087" w14:textId="36F755AC" w:rsidR="00855D4B" w:rsidRPr="00A27B12" w:rsidRDefault="00855D4B" w:rsidP="002B771E">
            <w:pPr>
              <w:pStyle w:val="Casestudyboxheading"/>
              <w:numPr>
                <w:ilvl w:val="0"/>
                <w:numId w:val="0"/>
              </w:numPr>
              <w:spacing w:before="0" w:after="120"/>
              <w:ind w:left="39"/>
            </w:pPr>
            <w:r w:rsidRPr="00A27B12">
              <w:lastRenderedPageBreak/>
              <w:t>Box 3.</w:t>
            </w:r>
            <w:fldSimple w:instr=" SEQ Box \* ARABIC \s 1 ">
              <w:r w:rsidR="00B30F7B">
                <w:rPr>
                  <w:noProof/>
                </w:rPr>
                <w:t>1</w:t>
              </w:r>
            </w:fldSimple>
            <w:r w:rsidRPr="00A27B12">
              <w:t>: Progressivity and the income of a household</w:t>
            </w:r>
          </w:p>
          <w:p w14:paraId="64410DC3" w14:textId="2B781885" w:rsidR="00855D4B" w:rsidRPr="00A27B12" w:rsidRDefault="00855D4B" w:rsidP="00855D4B">
            <w:pPr>
              <w:pStyle w:val="BoxText"/>
            </w:pPr>
            <w:r w:rsidRPr="00A27B12">
              <w:t>Using an individual as the unit of assessment means that a couple with total taxable income of $100,000 would have different tax outcomes depending on who earns how much of that total income.</w:t>
            </w:r>
            <w:r w:rsidR="00FD4F11" w:rsidRPr="00A27B12">
              <w:rPr>
                <w:rStyle w:val="FootnoteReference"/>
              </w:rPr>
              <w:footnoteReference w:id="10"/>
            </w:r>
            <w:r w:rsidRPr="00A27B12">
              <w:t xml:space="preserve"> At one extreme, it may be a single</w:t>
            </w:r>
            <w:r w:rsidR="00A801BF">
              <w:noBreakHyphen/>
            </w:r>
            <w:r w:rsidRPr="00A27B12">
              <w:t xml:space="preserve">income couple with one person earning $100,000 and paying tax of $26,947 — </w:t>
            </w:r>
            <w:r w:rsidR="002D64AF" w:rsidRPr="00A27B12">
              <w:t>an average tax rate of 26.9 per </w:t>
            </w:r>
            <w:r w:rsidRPr="00A27B12">
              <w:t xml:space="preserve">cent for the couple. At the other extreme, each member of the couple may earn $50,000 and each pay tax of $8,547 — an average tax rate of 17.1 per cent for the couple. </w:t>
            </w:r>
          </w:p>
          <w:p w14:paraId="2EB9E010" w14:textId="37701F34" w:rsidR="00855D4B" w:rsidRPr="00A27B12" w:rsidRDefault="00855D4B" w:rsidP="00855D4B">
            <w:pPr>
              <w:pStyle w:val="BoxText"/>
            </w:pPr>
            <w:r w:rsidRPr="00A27B12">
              <w:t xml:space="preserve">This tax outcome is sometimes criticised as </w:t>
            </w:r>
            <w:r w:rsidR="00A801BF">
              <w:t>‘</w:t>
            </w:r>
            <w:r w:rsidRPr="00A27B12">
              <w:t>unfair</w:t>
            </w:r>
            <w:r w:rsidR="00A801BF">
              <w:t>’</w:t>
            </w:r>
            <w:r w:rsidRPr="00A27B12">
              <w:t xml:space="preserve"> as households with the same income pay different amounts of tax. However, taxing the individual improves the reward for effort for the secondary earner because they get a tax</w:t>
            </w:r>
            <w:r w:rsidR="00A801BF">
              <w:noBreakHyphen/>
            </w:r>
            <w:r w:rsidRPr="00A27B12">
              <w:t>free threshold, rather than facing the primary earner</w:t>
            </w:r>
            <w:r w:rsidR="00A801BF">
              <w:t>’</w:t>
            </w:r>
            <w:r w:rsidRPr="00A27B12">
              <w:t xml:space="preserve">s marginal rate on their first dollar of income. </w:t>
            </w:r>
          </w:p>
          <w:p w14:paraId="62D274C2" w14:textId="6FFF813C" w:rsidR="00855D4B" w:rsidRPr="00A27B12" w:rsidRDefault="00855D4B" w:rsidP="002B771E">
            <w:pPr>
              <w:pStyle w:val="BoxText"/>
              <w:spacing w:after="0"/>
            </w:pPr>
            <w:r w:rsidRPr="00A27B12">
              <w:t>The costs and benefits of using the household as the unit of assessment depend on how the tax thresholds are designed. If household tax thresholds were the same as individual tax thresholds, there would be no change for the single</w:t>
            </w:r>
            <w:r w:rsidR="00A801BF">
              <w:noBreakHyphen/>
            </w:r>
            <w:r w:rsidRPr="00A27B12">
              <w:t>income couple, while the double</w:t>
            </w:r>
            <w:r w:rsidR="00A801BF">
              <w:noBreakHyphen/>
            </w:r>
            <w:r w:rsidRPr="00A27B12">
              <w:t>income couple would pay more tax. If household tax thresholds were double individual tax thresholds, there would be no change for the double</w:t>
            </w:r>
            <w:r w:rsidR="00A801BF">
              <w:noBreakHyphen/>
            </w:r>
            <w:r w:rsidRPr="00A27B12">
              <w:t>income couple, while the single</w:t>
            </w:r>
            <w:r w:rsidR="00A801BF">
              <w:noBreakHyphen/>
            </w:r>
            <w:r w:rsidRPr="00A27B12">
              <w:t>income couple would pay less tax. If household tax thresholds were higher than, but less than double individual tax thresholds, the single</w:t>
            </w:r>
            <w:r w:rsidR="00A801BF">
              <w:noBreakHyphen/>
            </w:r>
            <w:r w:rsidRPr="00A27B12">
              <w:t>income would pay less tax, while the double</w:t>
            </w:r>
            <w:r w:rsidR="00A801BF">
              <w:noBreakHyphen/>
            </w:r>
            <w:r w:rsidRPr="00A27B12">
              <w:t>income couple would pay more tax.</w:t>
            </w:r>
          </w:p>
        </w:tc>
      </w:tr>
    </w:tbl>
    <w:p w14:paraId="5411DD0A" w14:textId="77777777" w:rsidR="004B15D1" w:rsidRPr="00A27B12" w:rsidRDefault="004B15D1" w:rsidP="002B771E">
      <w:pPr>
        <w:pStyle w:val="Singleparagraph0"/>
      </w:pPr>
      <w:bookmarkStart w:id="74" w:name="_Ref404266417"/>
      <w:bookmarkStart w:id="75" w:name="_Ref404148781"/>
    </w:p>
    <w:p w14:paraId="46828E09" w14:textId="0785F5F1" w:rsidR="001C78F0" w:rsidRPr="00A27B12" w:rsidRDefault="003B56DF" w:rsidP="004B15D1">
      <w:pPr>
        <w:pStyle w:val="ChartMainHeading"/>
      </w:pPr>
      <w:proofErr w:type="gramStart"/>
      <w:r w:rsidRPr="00A27B12">
        <w:t xml:space="preserve">Chart </w:t>
      </w:r>
      <w:fldSimple w:instr=" STYLEREF 1 \s ">
        <w:r w:rsidR="00B30F7B">
          <w:rPr>
            <w:noProof/>
          </w:rPr>
          <w:t>3</w:t>
        </w:r>
      </w:fldSimple>
      <w:r w:rsidR="00A96B75" w:rsidRPr="00A27B12">
        <w:t>.</w:t>
      </w:r>
      <w:proofErr w:type="gramEnd"/>
      <w:r w:rsidR="00FD4370">
        <w:fldChar w:fldCharType="begin"/>
      </w:r>
      <w:r w:rsidR="00FD4370">
        <w:instrText xml:space="preserve"> SEQ Chart \* ARABIC \s 1 </w:instrText>
      </w:r>
      <w:r w:rsidR="00FD4370">
        <w:fldChar w:fldCharType="separate"/>
      </w:r>
      <w:r w:rsidR="00B30F7B">
        <w:rPr>
          <w:noProof/>
        </w:rPr>
        <w:t>2</w:t>
      </w:r>
      <w:r w:rsidR="00FD4370">
        <w:rPr>
          <w:noProof/>
        </w:rPr>
        <w:fldChar w:fldCharType="end"/>
      </w:r>
      <w:bookmarkEnd w:id="74"/>
      <w:r w:rsidRPr="00A27B12">
        <w:t xml:space="preserve"> </w:t>
      </w:r>
      <w:r w:rsidR="00933CE0" w:rsidRPr="00A27B12">
        <w:t xml:space="preserve">Who paid </w:t>
      </w:r>
      <w:r w:rsidR="00EF3A59" w:rsidRPr="00A27B12">
        <w:t>individuals</w:t>
      </w:r>
      <w:r w:rsidR="001C78F0" w:rsidRPr="00A27B12">
        <w:t xml:space="preserve"> income tax</w:t>
      </w:r>
      <w:r w:rsidR="00933CE0" w:rsidRPr="00A27B12">
        <w:t xml:space="preserve">, </w:t>
      </w:r>
      <w:bookmarkEnd w:id="75"/>
      <w:proofErr w:type="gramStart"/>
      <w:r w:rsidR="008C0E9D" w:rsidRPr="00A27B12">
        <w:t>2011</w:t>
      </w:r>
      <w:r w:rsidR="00A801BF">
        <w:noBreakHyphen/>
      </w:r>
      <w:r w:rsidR="008C0E9D" w:rsidRPr="00A27B12">
        <w:t>12</w:t>
      </w:r>
      <w:proofErr w:type="gramEnd"/>
    </w:p>
    <w:p w14:paraId="1A6CDAFC" w14:textId="7903D078" w:rsidR="00302D6D" w:rsidRPr="00A27B12" w:rsidRDefault="008C17A8" w:rsidP="00382DF9">
      <w:pPr>
        <w:pStyle w:val="ChartGraphic"/>
      </w:pPr>
      <w:bookmarkStart w:id="76" w:name="_1480163372"/>
      <w:bookmarkEnd w:id="76"/>
      <w:r>
        <w:rPr>
          <w:noProof/>
        </w:rPr>
        <w:drawing>
          <wp:inline distT="0" distB="0" distL="0" distR="0" wp14:anchorId="22617818" wp14:editId="7845E35B">
            <wp:extent cx="5566811" cy="2520000"/>
            <wp:effectExtent l="0" t="0" r="0" b="0"/>
            <wp:docPr id="4" name="Chart 4" descr="This chart shows the number of taxpayers who filed tax returns, and tax payable, in 2011-12 in $1,000 increments of taxable income between $0 and $200,000. The chart shows that few taxpayers had taxable incomes below the effective tax free threshold in 2011-12 of $16,000. The number of taxpayers then rises steeply, peaking at over 175,000 taxpayers at an annual taxable income of $37,000. The number of taxpayers then falls steadily, with around 80,000 having an annual taxable income of $70,000, and under 3,000 having an annual taxable income of $200,000. The chart further shows that the amount of tax paid in 2011-12, taking account of the personal tax rate scale, Medicare Levy and Low Income Tax Offset, increases steadily once taxable income exceeds the effective tax free threshold of $16,000, reaching $18,750 at $80,000 and $66,550 at $200,000 per annum.&#10;" title="Chart 3.2 Who paid individuals income tax, 2011-12 "/>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F750545" w14:textId="5448836E" w:rsidR="00FA27D3" w:rsidRPr="00A27B12" w:rsidRDefault="003B56DF" w:rsidP="0069654F">
      <w:pPr>
        <w:pStyle w:val="ChartorTableNote"/>
        <w:ind w:left="709"/>
      </w:pPr>
      <w:bookmarkStart w:id="77" w:name="_1480152823"/>
      <w:bookmarkStart w:id="78" w:name="_1480153316"/>
      <w:bookmarkStart w:id="79" w:name="_1480155272"/>
      <w:bookmarkStart w:id="80" w:name="_1480155938"/>
      <w:bookmarkStart w:id="81" w:name="_1480161346"/>
      <w:bookmarkEnd w:id="77"/>
      <w:bookmarkEnd w:id="78"/>
      <w:bookmarkEnd w:id="79"/>
      <w:bookmarkEnd w:id="80"/>
      <w:bookmarkEnd w:id="81"/>
      <w:r w:rsidRPr="00A27B12">
        <w:t>Note:</w:t>
      </w:r>
      <w:r w:rsidR="000232E6" w:rsidRPr="00A27B12">
        <w:t xml:space="preserve"> </w:t>
      </w:r>
      <w:r w:rsidR="00302D6D" w:rsidRPr="00A27B12">
        <w:t xml:space="preserve">The chart </w:t>
      </w:r>
      <w:r w:rsidR="000232E6" w:rsidRPr="00A27B12">
        <w:t xml:space="preserve">shows </w:t>
      </w:r>
      <w:r w:rsidR="00302D6D" w:rsidRPr="00A27B12">
        <w:t xml:space="preserve">the </w:t>
      </w:r>
      <w:r w:rsidR="000232E6" w:rsidRPr="00A27B12">
        <w:t xml:space="preserve">number of </w:t>
      </w:r>
      <w:r w:rsidR="00EE1921" w:rsidRPr="00A27B12">
        <w:t>tax filers</w:t>
      </w:r>
      <w:r w:rsidR="00302D6D" w:rsidRPr="00A27B12">
        <w:t xml:space="preserve"> who paid net income tax</w:t>
      </w:r>
      <w:r w:rsidR="00EE1921" w:rsidRPr="00A27B12">
        <w:t xml:space="preserve"> </w:t>
      </w:r>
      <w:r w:rsidR="000232E6" w:rsidRPr="00A27B12">
        <w:t xml:space="preserve">in thousand dollar </w:t>
      </w:r>
      <w:r w:rsidR="00EE1921" w:rsidRPr="00A27B12">
        <w:t xml:space="preserve">taxable </w:t>
      </w:r>
      <w:r w:rsidR="00432C72" w:rsidRPr="00A27B12">
        <w:t>income brackets</w:t>
      </w:r>
      <w:r w:rsidR="00EE1921" w:rsidRPr="00A27B12">
        <w:t xml:space="preserve"> up to $200,000</w:t>
      </w:r>
      <w:r w:rsidR="00855D4B" w:rsidRPr="00A27B12">
        <w:t xml:space="preserve">. </w:t>
      </w:r>
      <w:r w:rsidR="00302D6D" w:rsidRPr="00A27B12">
        <w:t>Tax payable is calculated by applying the individual income tax rate scale, LITO and the Medicare levy to taxable income.</w:t>
      </w:r>
      <w:r w:rsidR="00CF6D3F" w:rsidRPr="00A27B12">
        <w:br/>
      </w:r>
      <w:r w:rsidR="00FA27D3" w:rsidRPr="00A27B12">
        <w:t xml:space="preserve">Source: </w:t>
      </w:r>
      <w:r w:rsidR="001800D2" w:rsidRPr="00A27B12">
        <w:t xml:space="preserve">Treasury </w:t>
      </w:r>
      <w:r w:rsidR="00E21846" w:rsidRPr="00A27B12">
        <w:t xml:space="preserve">calculations using administrative data from </w:t>
      </w:r>
      <w:r w:rsidR="001800D2" w:rsidRPr="00A27B12">
        <w:t>2011</w:t>
      </w:r>
      <w:r w:rsidR="00A801BF">
        <w:noBreakHyphen/>
      </w:r>
      <w:r w:rsidR="001800D2" w:rsidRPr="00A27B12">
        <w:t>12</w:t>
      </w:r>
      <w:r w:rsidR="00E21846" w:rsidRPr="00A27B12">
        <w:t xml:space="preserve"> tax returns for individuals</w:t>
      </w:r>
      <w:r w:rsidR="00855D4B" w:rsidRPr="00A27B12">
        <w:t xml:space="preserve">. </w:t>
      </w:r>
    </w:p>
    <w:p w14:paraId="7756B0C6" w14:textId="77777777" w:rsidR="00B30F7B" w:rsidRPr="00A27B12" w:rsidRDefault="00335E24" w:rsidP="00B30F7B">
      <w:pPr>
        <w:spacing w:after="120"/>
      </w:pPr>
      <w:r w:rsidRPr="00A27B12">
        <w:fldChar w:fldCharType="begin"/>
      </w:r>
      <w:r w:rsidRPr="00A27B12">
        <w:instrText xml:space="preserve"> REF _Ref404266417 \h </w:instrText>
      </w:r>
      <w:r w:rsidR="00BA442C" w:rsidRPr="00A27B12">
        <w:instrText xml:space="preserve"> \* MERGEFORMAT </w:instrText>
      </w:r>
      <w:r w:rsidRPr="00A27B12">
        <w:fldChar w:fldCharType="separate"/>
      </w:r>
    </w:p>
    <w:p w14:paraId="2EEF7D43" w14:textId="0FC014E6" w:rsidR="00FA52A8" w:rsidRPr="00A27B12" w:rsidRDefault="00B30F7B" w:rsidP="00FA52A8">
      <w:r w:rsidRPr="00A27B12">
        <w:t xml:space="preserve">Chart </w:t>
      </w:r>
      <w:r>
        <w:rPr>
          <w:noProof/>
        </w:rPr>
        <w:t>3</w:t>
      </w:r>
      <w:r w:rsidRPr="00A27B12">
        <w:rPr>
          <w:noProof/>
        </w:rPr>
        <w:t>.</w:t>
      </w:r>
      <w:r>
        <w:rPr>
          <w:noProof/>
        </w:rPr>
        <w:t>2</w:t>
      </w:r>
      <w:r w:rsidR="00335E24" w:rsidRPr="00A27B12">
        <w:fldChar w:fldCharType="end"/>
      </w:r>
      <w:r w:rsidR="00335E24" w:rsidRPr="00A27B12">
        <w:t xml:space="preserve"> </w:t>
      </w:r>
      <w:r w:rsidR="00FA52A8" w:rsidRPr="00A27B12">
        <w:t xml:space="preserve">shows the distribution of taxpayers across different taxable income levels. </w:t>
      </w:r>
      <w:r w:rsidR="00F81939" w:rsidRPr="00A27B12">
        <w:t>In 2011</w:t>
      </w:r>
      <w:r w:rsidR="00A801BF">
        <w:noBreakHyphen/>
      </w:r>
      <w:r w:rsidR="00341F00" w:rsidRPr="00A27B12">
        <w:t>12, most individual taxpayers had taxable income below the third threshold of $80,000.</w:t>
      </w:r>
      <w:r w:rsidR="00500A2D" w:rsidRPr="00A27B12">
        <w:t xml:space="preserve"> </w:t>
      </w:r>
      <w:r w:rsidR="009945A8" w:rsidRPr="00A27B12">
        <w:t>However</w:t>
      </w:r>
      <w:r w:rsidR="008D3ABE" w:rsidRPr="00A27B12">
        <w:t xml:space="preserve">, the largest amounts of </w:t>
      </w:r>
      <w:r w:rsidR="00341F00" w:rsidRPr="00A27B12">
        <w:t xml:space="preserve">income </w:t>
      </w:r>
      <w:r w:rsidR="008D3ABE" w:rsidRPr="00A27B12">
        <w:t xml:space="preserve">tax are paid by </w:t>
      </w:r>
      <w:r w:rsidR="00341F00" w:rsidRPr="00A27B12">
        <w:t xml:space="preserve">individuals who have </w:t>
      </w:r>
      <w:r w:rsidR="008D3ABE" w:rsidRPr="00A27B12">
        <w:t xml:space="preserve">higher taxable </w:t>
      </w:r>
      <w:r w:rsidR="008D3ABE" w:rsidRPr="00A27B12">
        <w:lastRenderedPageBreak/>
        <w:t xml:space="preserve">income. </w:t>
      </w:r>
      <w:r w:rsidR="007C5955" w:rsidRPr="00A27B12">
        <w:t>Table </w:t>
      </w:r>
      <w:r w:rsidR="008D1C67" w:rsidRPr="00A27B12">
        <w:t>3</w:t>
      </w:r>
      <w:r w:rsidR="007C5955" w:rsidRPr="00A27B12">
        <w:t>.2</w:t>
      </w:r>
      <w:r w:rsidR="00E9101C" w:rsidRPr="00A27B12">
        <w:t xml:space="preserve"> shows the number of individual tax filers</w:t>
      </w:r>
      <w:r w:rsidR="007C5955" w:rsidRPr="00A27B12">
        <w:t xml:space="preserve"> with taxable income in each of the tax thresholds. </w:t>
      </w:r>
      <w:r w:rsidR="008D3ABE" w:rsidRPr="00A27B12">
        <w:t>In 2011</w:t>
      </w:r>
      <w:r w:rsidR="00A801BF">
        <w:noBreakHyphen/>
      </w:r>
      <w:r w:rsidR="008D3ABE" w:rsidRPr="00A27B12">
        <w:t>12, a</w:t>
      </w:r>
      <w:r w:rsidR="00FA52A8" w:rsidRPr="00A27B12">
        <w:t xml:space="preserve">round </w:t>
      </w:r>
      <w:r w:rsidR="00DC3D60" w:rsidRPr="00A27B12">
        <w:t>27 </w:t>
      </w:r>
      <w:r w:rsidR="007C5955" w:rsidRPr="00A27B12">
        <w:t>per</w:t>
      </w:r>
      <w:r w:rsidR="00DC3D60" w:rsidRPr="00A27B12">
        <w:t> </w:t>
      </w:r>
      <w:r w:rsidR="007C5955" w:rsidRPr="00A27B12">
        <w:t>cent of individual</w:t>
      </w:r>
      <w:r w:rsidR="008D3ABE" w:rsidRPr="00A27B12">
        <w:t>s</w:t>
      </w:r>
      <w:r w:rsidR="007C5955" w:rsidRPr="00A27B12">
        <w:t xml:space="preserve"> </w:t>
      </w:r>
      <w:r w:rsidR="00FA52A8" w:rsidRPr="00A27B12">
        <w:t xml:space="preserve">had taxable income </w:t>
      </w:r>
      <w:r w:rsidR="00341F00" w:rsidRPr="00A27B12">
        <w:t xml:space="preserve">above the effective tax free threshold and </w:t>
      </w:r>
      <w:r w:rsidR="00FA52A8" w:rsidRPr="00A27B12">
        <w:t xml:space="preserve">below the $37,000 threshold and paid around </w:t>
      </w:r>
      <w:r w:rsidR="00DC3D60" w:rsidRPr="00A27B12">
        <w:t>4</w:t>
      </w:r>
      <w:r w:rsidR="000232E6" w:rsidRPr="00A27B12">
        <w:t> per </w:t>
      </w:r>
      <w:r w:rsidR="00FA52A8" w:rsidRPr="00A27B12">
        <w:t xml:space="preserve">cent of the total share of </w:t>
      </w:r>
      <w:proofErr w:type="gramStart"/>
      <w:r w:rsidR="00EF3A59" w:rsidRPr="00A27B12">
        <w:t>individuals</w:t>
      </w:r>
      <w:proofErr w:type="gramEnd"/>
      <w:r w:rsidR="00BD4408" w:rsidRPr="00A27B12">
        <w:t xml:space="preserve"> </w:t>
      </w:r>
      <w:r w:rsidR="00FA52A8" w:rsidRPr="00A27B12">
        <w:t xml:space="preserve">income tax. At the top end, around </w:t>
      </w:r>
      <w:r w:rsidR="007C5955" w:rsidRPr="00A27B12">
        <w:t xml:space="preserve">2 per cent of </w:t>
      </w:r>
      <w:r w:rsidR="00EF560F" w:rsidRPr="00A27B12">
        <w:t>individuals</w:t>
      </w:r>
      <w:r w:rsidR="007C5955" w:rsidRPr="00A27B12">
        <w:t xml:space="preserve"> </w:t>
      </w:r>
      <w:r w:rsidR="00FA52A8" w:rsidRPr="00A27B12">
        <w:t xml:space="preserve">had taxable income above the $180,000 threshold and collectively paid around </w:t>
      </w:r>
      <w:r w:rsidR="002D64AF" w:rsidRPr="00A27B12">
        <w:t>26 per cent of </w:t>
      </w:r>
      <w:r w:rsidR="00FA52A8" w:rsidRPr="00A27B12">
        <w:t xml:space="preserve">total </w:t>
      </w:r>
      <w:proofErr w:type="gramStart"/>
      <w:r w:rsidR="00EF3A59" w:rsidRPr="00A27B12">
        <w:t>individuals</w:t>
      </w:r>
      <w:proofErr w:type="gramEnd"/>
      <w:r w:rsidR="007F3BD0" w:rsidRPr="00A27B12">
        <w:t xml:space="preserve"> </w:t>
      </w:r>
      <w:r w:rsidR="00FA52A8" w:rsidRPr="00A27B12">
        <w:t>income tax.</w:t>
      </w:r>
    </w:p>
    <w:p w14:paraId="4A040AAE" w14:textId="6D48DA97" w:rsidR="00500A2D" w:rsidRPr="00A27B12" w:rsidRDefault="00426389" w:rsidP="00FA52A8">
      <w:r w:rsidRPr="00A27B12">
        <w:t xml:space="preserve">As the tax thresholds are not indexed, bracket creep means that the </w:t>
      </w:r>
      <w:r w:rsidR="00500A2D" w:rsidRPr="00A27B12">
        <w:t xml:space="preserve">proportion of individuals in the higher tax brackets will increase over time. For example, the percentage of </w:t>
      </w:r>
      <w:r w:rsidR="003961D4" w:rsidRPr="00A27B12">
        <w:t xml:space="preserve">taxpayers </w:t>
      </w:r>
      <w:r w:rsidR="00500A2D" w:rsidRPr="00A27B12">
        <w:t>with income between $80,000 and $180,000 is expected to be around 23 per cent in 2014</w:t>
      </w:r>
      <w:r w:rsidR="00A801BF">
        <w:noBreakHyphen/>
      </w:r>
      <w:r w:rsidR="00500A2D" w:rsidRPr="00A27B12">
        <w:t>15, and increase to 25 per cent by 2016</w:t>
      </w:r>
      <w:r w:rsidR="00A801BF">
        <w:noBreakHyphen/>
      </w:r>
      <w:r w:rsidR="00500A2D" w:rsidRPr="00A27B12">
        <w:t xml:space="preserve">17. </w:t>
      </w:r>
    </w:p>
    <w:p w14:paraId="4971184C" w14:textId="1A281E6E" w:rsidR="00233261" w:rsidRPr="00A27B12" w:rsidRDefault="00233261" w:rsidP="00233261">
      <w:pPr>
        <w:pStyle w:val="TableMainHeading"/>
      </w:pPr>
      <w:proofErr w:type="gramStart"/>
      <w:r w:rsidRPr="00A27B12">
        <w:t xml:space="preserve">Table </w:t>
      </w:r>
      <w:fldSimple w:instr=" STYLEREF 1 \s ">
        <w:r w:rsidR="00B30F7B">
          <w:rPr>
            <w:noProof/>
          </w:rPr>
          <w:t>3</w:t>
        </w:r>
      </w:fldSimple>
      <w:r w:rsidRPr="00A27B12">
        <w:t>.</w:t>
      </w:r>
      <w:proofErr w:type="gramEnd"/>
      <w:r w:rsidR="00FD4370">
        <w:fldChar w:fldCharType="begin"/>
      </w:r>
      <w:r w:rsidR="00FD4370">
        <w:instrText xml:space="preserve"> SEQ Table \* ARABIC \s 1 </w:instrText>
      </w:r>
      <w:r w:rsidR="00FD4370">
        <w:fldChar w:fldCharType="separate"/>
      </w:r>
      <w:r w:rsidR="00B30F7B">
        <w:rPr>
          <w:noProof/>
        </w:rPr>
        <w:t>2</w:t>
      </w:r>
      <w:r w:rsidR="00FD4370">
        <w:rPr>
          <w:noProof/>
        </w:rPr>
        <w:fldChar w:fldCharType="end"/>
      </w:r>
      <w:r w:rsidRPr="00A27B12">
        <w:t xml:space="preserve"> Individuals </w:t>
      </w:r>
      <w:r w:rsidR="00EF560F" w:rsidRPr="00A27B12">
        <w:t xml:space="preserve">income </w:t>
      </w:r>
      <w:r w:rsidRPr="00A27B12">
        <w:t>tax by tax bracket</w:t>
      </w:r>
      <w:r w:rsidR="005D76FE" w:rsidRPr="00A27B12">
        <w:t>,</w:t>
      </w:r>
      <w:r w:rsidR="00EF560F" w:rsidRPr="00A27B12">
        <w:t xml:space="preserve"> </w:t>
      </w:r>
      <w:r w:rsidR="005D76FE" w:rsidRPr="00A27B12">
        <w:t xml:space="preserve">all individual </w:t>
      </w:r>
      <w:r w:rsidR="00EF560F" w:rsidRPr="00A27B12">
        <w:t>tax filers</w:t>
      </w:r>
      <w:r w:rsidR="005D76FE" w:rsidRPr="00A27B12">
        <w:t>, 2011–12</w:t>
      </w:r>
    </w:p>
    <w:tbl>
      <w:tblPr>
        <w:tblStyle w:val="TableGrid"/>
        <w:tblW w:w="0" w:type="auto"/>
        <w:tblInd w:w="108" w:type="dxa"/>
        <w:tblBorders>
          <w:top w:val="single" w:sz="4" w:space="0" w:color="31A7D4" w:themeColor="accent1"/>
          <w:left w:val="single" w:sz="4" w:space="0" w:color="31A7D4" w:themeColor="accent1"/>
          <w:bottom w:val="single" w:sz="4" w:space="0" w:color="31A7D4" w:themeColor="accent1"/>
          <w:right w:val="single" w:sz="4" w:space="0" w:color="31A7D4" w:themeColor="accent1"/>
          <w:insideH w:val="single" w:sz="4" w:space="0" w:color="31A7D4" w:themeColor="accent1"/>
          <w:insideV w:val="single" w:sz="4" w:space="0" w:color="31A7D4" w:themeColor="accent1"/>
        </w:tblBorders>
        <w:tblLayout w:type="fixed"/>
        <w:tblLook w:val="04A0" w:firstRow="1" w:lastRow="0" w:firstColumn="1" w:lastColumn="0" w:noHBand="0" w:noVBand="1"/>
        <w:tblCaption w:val="Table 3.2 Individuals income tax by tax bracket, all individual tax filers, 2011–12"/>
        <w:tblDescription w:val="This table shows the number and proportion of individuals, and the amount and proportion of net tax paid, by tax bracket for the 2011-12 income year. &#10;"/>
      </w:tblPr>
      <w:tblGrid>
        <w:gridCol w:w="1685"/>
        <w:gridCol w:w="1150"/>
        <w:gridCol w:w="1740"/>
        <w:gridCol w:w="1578"/>
        <w:gridCol w:w="1506"/>
        <w:gridCol w:w="1413"/>
      </w:tblGrid>
      <w:tr w:rsidR="008D3ABE" w:rsidRPr="00A27B12" w14:paraId="2EABD630" w14:textId="77777777" w:rsidTr="002B771E">
        <w:tc>
          <w:tcPr>
            <w:tcW w:w="1685" w:type="dxa"/>
            <w:tcBorders>
              <w:bottom w:val="single" w:sz="4" w:space="0" w:color="31A7D4" w:themeColor="accent1"/>
            </w:tcBorders>
            <w:shd w:val="clear" w:color="auto" w:fill="31A7D4" w:themeFill="accent1"/>
          </w:tcPr>
          <w:p w14:paraId="12BDFFB7" w14:textId="45DA91C3" w:rsidR="008D3ABE" w:rsidRPr="00A27B12" w:rsidRDefault="008D3ABE" w:rsidP="00054751">
            <w:pPr>
              <w:pStyle w:val="TableColumnHeadingCentred"/>
            </w:pPr>
            <w:r w:rsidRPr="00A27B12">
              <w:t>Taxable income</w:t>
            </w:r>
            <w:r w:rsidR="00E618ED" w:rsidRPr="00A27B12">
              <w:t xml:space="preserve"> band</w:t>
            </w:r>
          </w:p>
        </w:tc>
        <w:tc>
          <w:tcPr>
            <w:tcW w:w="1150" w:type="dxa"/>
            <w:tcBorders>
              <w:bottom w:val="single" w:sz="4" w:space="0" w:color="31A7D4" w:themeColor="accent1"/>
            </w:tcBorders>
            <w:shd w:val="clear" w:color="auto" w:fill="31A7D4" w:themeFill="accent1"/>
          </w:tcPr>
          <w:p w14:paraId="39487FED" w14:textId="7E5ED68E" w:rsidR="008D3ABE" w:rsidRPr="00A27B12" w:rsidRDefault="008D3ABE" w:rsidP="00233261">
            <w:pPr>
              <w:pStyle w:val="TableColumnHeadingCentred"/>
            </w:pPr>
            <w:r w:rsidRPr="00A27B12">
              <w:t>Marginal income tax rate</w:t>
            </w:r>
          </w:p>
        </w:tc>
        <w:tc>
          <w:tcPr>
            <w:tcW w:w="1740" w:type="dxa"/>
            <w:tcBorders>
              <w:bottom w:val="single" w:sz="4" w:space="0" w:color="31A7D4" w:themeColor="accent1"/>
            </w:tcBorders>
            <w:shd w:val="clear" w:color="auto" w:fill="31A7D4" w:themeFill="accent1"/>
          </w:tcPr>
          <w:p w14:paraId="6F6453E7" w14:textId="6430A576" w:rsidR="008D3ABE" w:rsidRPr="00A27B12" w:rsidRDefault="008D3ABE" w:rsidP="00233261">
            <w:pPr>
              <w:pStyle w:val="TableColumnHeadingCentred"/>
            </w:pPr>
            <w:r w:rsidRPr="00A27B12">
              <w:t>Individuals — no.</w:t>
            </w:r>
          </w:p>
        </w:tc>
        <w:tc>
          <w:tcPr>
            <w:tcW w:w="1578" w:type="dxa"/>
            <w:tcBorders>
              <w:bottom w:val="single" w:sz="4" w:space="0" w:color="31A7D4" w:themeColor="accent1"/>
            </w:tcBorders>
            <w:shd w:val="clear" w:color="auto" w:fill="31A7D4" w:themeFill="accent1"/>
          </w:tcPr>
          <w:p w14:paraId="76F3C4AA" w14:textId="554D38C2" w:rsidR="008D3ABE" w:rsidRPr="00A27B12" w:rsidRDefault="008D3ABE" w:rsidP="00054751">
            <w:pPr>
              <w:pStyle w:val="TableColumnHeadingCentred"/>
            </w:pPr>
            <w:r w:rsidRPr="00A27B12">
              <w:t>Individuals — %</w:t>
            </w:r>
          </w:p>
        </w:tc>
        <w:tc>
          <w:tcPr>
            <w:tcW w:w="1506" w:type="dxa"/>
            <w:tcBorders>
              <w:bottom w:val="single" w:sz="4" w:space="0" w:color="31A7D4" w:themeColor="accent1"/>
            </w:tcBorders>
            <w:shd w:val="clear" w:color="auto" w:fill="31A7D4" w:themeFill="accent1"/>
          </w:tcPr>
          <w:p w14:paraId="00CC9AC8" w14:textId="60B75B91" w:rsidR="008D3ABE" w:rsidRPr="00A27B12" w:rsidRDefault="008D3ABE" w:rsidP="00233261">
            <w:pPr>
              <w:pStyle w:val="TableColumnHeadingCentred"/>
            </w:pPr>
            <w:r w:rsidRPr="00A27B12">
              <w:t xml:space="preserve">Net </w:t>
            </w:r>
            <w:r w:rsidR="00F81939" w:rsidRPr="00A27B12">
              <w:t xml:space="preserve">income </w:t>
            </w:r>
            <w:r w:rsidRPr="00A27B12">
              <w:t>tax — $b</w:t>
            </w:r>
          </w:p>
        </w:tc>
        <w:tc>
          <w:tcPr>
            <w:tcW w:w="1413" w:type="dxa"/>
            <w:tcBorders>
              <w:bottom w:val="single" w:sz="4" w:space="0" w:color="31A7D4" w:themeColor="accent1"/>
            </w:tcBorders>
            <w:shd w:val="clear" w:color="auto" w:fill="31A7D4" w:themeFill="accent1"/>
          </w:tcPr>
          <w:p w14:paraId="1E07DCBC" w14:textId="3799C6FC" w:rsidR="008D3ABE" w:rsidRPr="00A27B12" w:rsidRDefault="008D3ABE" w:rsidP="00054751">
            <w:pPr>
              <w:pStyle w:val="TableColumnHeadingCentred"/>
            </w:pPr>
            <w:r w:rsidRPr="00A27B12">
              <w:t xml:space="preserve">Net </w:t>
            </w:r>
            <w:r w:rsidR="00F81939" w:rsidRPr="00A27B12">
              <w:t xml:space="preserve">income </w:t>
            </w:r>
            <w:r w:rsidRPr="00A27B12">
              <w:t>tax — %</w:t>
            </w:r>
          </w:p>
        </w:tc>
      </w:tr>
      <w:tr w:rsidR="009526DD" w:rsidRPr="00A27B12" w14:paraId="7D5C72A6" w14:textId="77777777" w:rsidTr="002B771E">
        <w:tc>
          <w:tcPr>
            <w:tcW w:w="168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1144CAA1" w14:textId="16EE24BE" w:rsidR="009526DD" w:rsidRPr="00A27B12" w:rsidRDefault="009526DD" w:rsidP="00D46835">
            <w:pPr>
              <w:pStyle w:val="TableTextLeft"/>
              <w:spacing w:before="30" w:after="30"/>
            </w:pPr>
            <w:r w:rsidRPr="00A27B12">
              <w:t>$16,000 or less</w:t>
            </w:r>
          </w:p>
        </w:tc>
        <w:tc>
          <w:tcPr>
            <w:tcW w:w="1150" w:type="dxa"/>
            <w:tcBorders>
              <w:top w:val="single" w:sz="4" w:space="0" w:color="31A7D4" w:themeColor="accent1"/>
              <w:left w:val="single" w:sz="4" w:space="0" w:color="31A7D4" w:themeColor="accent1"/>
              <w:right w:val="single" w:sz="4" w:space="0" w:color="31A7D4" w:themeColor="accent1"/>
            </w:tcBorders>
            <w:shd w:val="clear" w:color="auto" w:fill="auto"/>
          </w:tcPr>
          <w:p w14:paraId="3CBD5218" w14:textId="0BC8A829" w:rsidR="009526DD" w:rsidRPr="00A27B12" w:rsidRDefault="009526DD" w:rsidP="00233261">
            <w:pPr>
              <w:pStyle w:val="TableTextLeft"/>
              <w:spacing w:before="30" w:after="30"/>
              <w:jc w:val="right"/>
            </w:pPr>
            <w:r w:rsidRPr="00A27B12">
              <w:t>0%</w:t>
            </w:r>
          </w:p>
        </w:tc>
        <w:tc>
          <w:tcPr>
            <w:tcW w:w="1740" w:type="dxa"/>
            <w:tcBorders>
              <w:top w:val="single" w:sz="4" w:space="0" w:color="31A7D4" w:themeColor="accent1"/>
              <w:left w:val="single" w:sz="4" w:space="0" w:color="31A7D4" w:themeColor="accent1"/>
              <w:right w:val="single" w:sz="4" w:space="0" w:color="31A7D4" w:themeColor="accent1"/>
            </w:tcBorders>
            <w:shd w:val="clear" w:color="auto" w:fill="auto"/>
          </w:tcPr>
          <w:p w14:paraId="5ABECE88" w14:textId="656281F6" w:rsidR="009526DD" w:rsidRPr="00A27B12" w:rsidRDefault="009526DD" w:rsidP="00233261">
            <w:pPr>
              <w:pStyle w:val="TableTextLeft"/>
              <w:spacing w:before="30" w:after="30"/>
              <w:jc w:val="right"/>
            </w:pPr>
            <w:r w:rsidRPr="00A27B12">
              <w:t>2,307,735</w:t>
            </w:r>
          </w:p>
        </w:tc>
        <w:tc>
          <w:tcPr>
            <w:tcW w:w="1578" w:type="dxa"/>
            <w:tcBorders>
              <w:top w:val="single" w:sz="4" w:space="0" w:color="31A7D4" w:themeColor="accent1"/>
              <w:left w:val="single" w:sz="4" w:space="0" w:color="31A7D4" w:themeColor="accent1"/>
              <w:right w:val="single" w:sz="4" w:space="0" w:color="31A7D4" w:themeColor="accent1"/>
            </w:tcBorders>
            <w:shd w:val="clear" w:color="auto" w:fill="auto"/>
          </w:tcPr>
          <w:p w14:paraId="65061F08" w14:textId="7033588B" w:rsidR="009526DD" w:rsidRPr="00A27B12" w:rsidRDefault="009526DD" w:rsidP="00893BB6">
            <w:pPr>
              <w:pStyle w:val="TableTextLeft"/>
              <w:spacing w:before="30" w:after="30"/>
              <w:jc w:val="right"/>
            </w:pPr>
            <w:r w:rsidRPr="00A27B12">
              <w:t>18.3</w:t>
            </w:r>
          </w:p>
        </w:tc>
        <w:tc>
          <w:tcPr>
            <w:tcW w:w="1506" w:type="dxa"/>
            <w:tcBorders>
              <w:top w:val="single" w:sz="4" w:space="0" w:color="31A7D4" w:themeColor="accent1"/>
              <w:left w:val="single" w:sz="4" w:space="0" w:color="31A7D4" w:themeColor="accent1"/>
              <w:right w:val="single" w:sz="4" w:space="0" w:color="31A7D4" w:themeColor="accent1"/>
            </w:tcBorders>
            <w:shd w:val="clear" w:color="auto" w:fill="auto"/>
          </w:tcPr>
          <w:p w14:paraId="36E157C3" w14:textId="0271EDF3" w:rsidR="009526DD" w:rsidRPr="00A27B12" w:rsidRDefault="009526DD" w:rsidP="00233261">
            <w:pPr>
              <w:pStyle w:val="TableTextLeft"/>
              <w:spacing w:before="30" w:after="30"/>
              <w:jc w:val="right"/>
            </w:pPr>
            <w:r w:rsidRPr="00A27B12">
              <w:t>0.0</w:t>
            </w:r>
          </w:p>
        </w:tc>
        <w:tc>
          <w:tcPr>
            <w:tcW w:w="1413" w:type="dxa"/>
            <w:tcBorders>
              <w:top w:val="single" w:sz="4" w:space="0" w:color="31A7D4" w:themeColor="accent1"/>
              <w:left w:val="single" w:sz="4" w:space="0" w:color="31A7D4" w:themeColor="accent1"/>
              <w:right w:val="single" w:sz="4" w:space="0" w:color="31A7D4" w:themeColor="accent1"/>
            </w:tcBorders>
            <w:shd w:val="clear" w:color="auto" w:fill="auto"/>
          </w:tcPr>
          <w:p w14:paraId="171E3824" w14:textId="4702710D" w:rsidR="009526DD" w:rsidRPr="00A27B12" w:rsidRDefault="009526DD" w:rsidP="00893BB6">
            <w:pPr>
              <w:pStyle w:val="TableTextLeft"/>
              <w:spacing w:before="30" w:after="30"/>
              <w:jc w:val="right"/>
            </w:pPr>
            <w:r w:rsidRPr="00A27B12">
              <w:t>0.0</w:t>
            </w:r>
          </w:p>
        </w:tc>
      </w:tr>
      <w:tr w:rsidR="009526DD" w:rsidRPr="00A27B12" w14:paraId="4A4D240D" w14:textId="77777777" w:rsidTr="002B771E">
        <w:tc>
          <w:tcPr>
            <w:tcW w:w="168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5EA745A3" w14:textId="2BE7DB0D" w:rsidR="009526DD" w:rsidRPr="00A27B12" w:rsidRDefault="009526DD" w:rsidP="00D46835">
            <w:pPr>
              <w:pStyle w:val="TableTextLeft"/>
              <w:spacing w:before="30" w:after="30"/>
            </w:pPr>
            <w:r w:rsidRPr="00A27B12">
              <w:t>$16,001 — $37,000</w:t>
            </w:r>
          </w:p>
        </w:tc>
        <w:tc>
          <w:tcPr>
            <w:tcW w:w="1150" w:type="dxa"/>
            <w:tcBorders>
              <w:left w:val="single" w:sz="4" w:space="0" w:color="31A7D4" w:themeColor="accent1"/>
              <w:right w:val="single" w:sz="4" w:space="0" w:color="31A7D4" w:themeColor="accent1"/>
            </w:tcBorders>
            <w:shd w:val="clear" w:color="auto" w:fill="auto"/>
          </w:tcPr>
          <w:p w14:paraId="3C5B887A" w14:textId="02E9ABAC" w:rsidR="009526DD" w:rsidRPr="00A27B12" w:rsidRDefault="009526DD" w:rsidP="00233261">
            <w:pPr>
              <w:pStyle w:val="TableTextLeft"/>
              <w:spacing w:before="30" w:after="30"/>
              <w:jc w:val="right"/>
            </w:pPr>
            <w:r w:rsidRPr="00A27B12">
              <w:t>15%</w:t>
            </w:r>
          </w:p>
        </w:tc>
        <w:tc>
          <w:tcPr>
            <w:tcW w:w="1740" w:type="dxa"/>
            <w:tcBorders>
              <w:left w:val="single" w:sz="4" w:space="0" w:color="31A7D4" w:themeColor="accent1"/>
              <w:right w:val="single" w:sz="4" w:space="0" w:color="31A7D4" w:themeColor="accent1"/>
            </w:tcBorders>
            <w:shd w:val="clear" w:color="auto" w:fill="auto"/>
          </w:tcPr>
          <w:p w14:paraId="1A8EC0C9" w14:textId="5A8D713E" w:rsidR="009526DD" w:rsidRPr="00A27B12" w:rsidRDefault="009526DD" w:rsidP="00233261">
            <w:pPr>
              <w:pStyle w:val="TableTextLeft"/>
              <w:spacing w:before="30" w:after="30"/>
              <w:jc w:val="right"/>
            </w:pPr>
            <w:r w:rsidRPr="00A27B12">
              <w:t>3,453,310</w:t>
            </w:r>
          </w:p>
        </w:tc>
        <w:tc>
          <w:tcPr>
            <w:tcW w:w="1578" w:type="dxa"/>
            <w:tcBorders>
              <w:left w:val="single" w:sz="4" w:space="0" w:color="31A7D4" w:themeColor="accent1"/>
              <w:right w:val="single" w:sz="4" w:space="0" w:color="31A7D4" w:themeColor="accent1"/>
            </w:tcBorders>
            <w:shd w:val="clear" w:color="auto" w:fill="auto"/>
          </w:tcPr>
          <w:p w14:paraId="7186A992" w14:textId="0A28B89F" w:rsidR="009526DD" w:rsidRPr="00A27B12" w:rsidRDefault="00893BB6" w:rsidP="00233261">
            <w:pPr>
              <w:pStyle w:val="TableTextLeft"/>
              <w:spacing w:before="30" w:after="30"/>
              <w:jc w:val="right"/>
            </w:pPr>
            <w:r w:rsidRPr="00A27B12">
              <w:t>27.3</w:t>
            </w:r>
          </w:p>
        </w:tc>
        <w:tc>
          <w:tcPr>
            <w:tcW w:w="1506" w:type="dxa"/>
            <w:tcBorders>
              <w:left w:val="single" w:sz="4" w:space="0" w:color="31A7D4" w:themeColor="accent1"/>
              <w:right w:val="single" w:sz="4" w:space="0" w:color="31A7D4" w:themeColor="accent1"/>
            </w:tcBorders>
            <w:shd w:val="clear" w:color="auto" w:fill="auto"/>
          </w:tcPr>
          <w:p w14:paraId="56243BFA" w14:textId="124A30DE" w:rsidR="009526DD" w:rsidRPr="00A27B12" w:rsidRDefault="009526DD" w:rsidP="00233261">
            <w:pPr>
              <w:pStyle w:val="TableTextLeft"/>
              <w:spacing w:before="30" w:after="30"/>
              <w:jc w:val="right"/>
            </w:pPr>
            <w:r w:rsidRPr="00A27B12">
              <w:t>5.3</w:t>
            </w:r>
          </w:p>
        </w:tc>
        <w:tc>
          <w:tcPr>
            <w:tcW w:w="1413" w:type="dxa"/>
            <w:tcBorders>
              <w:left w:val="single" w:sz="4" w:space="0" w:color="31A7D4" w:themeColor="accent1"/>
              <w:right w:val="single" w:sz="4" w:space="0" w:color="31A7D4" w:themeColor="accent1"/>
            </w:tcBorders>
            <w:shd w:val="clear" w:color="auto" w:fill="auto"/>
          </w:tcPr>
          <w:p w14:paraId="5227574E" w14:textId="50072B2C" w:rsidR="009526DD" w:rsidRPr="00A27B12" w:rsidRDefault="00893BB6" w:rsidP="00233261">
            <w:pPr>
              <w:pStyle w:val="TableTextLeft"/>
              <w:spacing w:before="30" w:after="30"/>
              <w:jc w:val="right"/>
            </w:pPr>
            <w:r w:rsidRPr="00A27B12">
              <w:t>3.7</w:t>
            </w:r>
          </w:p>
        </w:tc>
      </w:tr>
      <w:tr w:rsidR="009526DD" w:rsidRPr="00A27B12" w14:paraId="1D586A71" w14:textId="77777777" w:rsidTr="002B771E">
        <w:tc>
          <w:tcPr>
            <w:tcW w:w="168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0C6CE2F6" w14:textId="77777777" w:rsidR="009526DD" w:rsidRPr="00A27B12" w:rsidRDefault="009526DD" w:rsidP="00D46835">
            <w:pPr>
              <w:pStyle w:val="TableTextLeft"/>
              <w:spacing w:before="30" w:after="30"/>
            </w:pPr>
            <w:r w:rsidRPr="00A27B12">
              <w:t>$37,001 — $80,000</w:t>
            </w:r>
          </w:p>
        </w:tc>
        <w:tc>
          <w:tcPr>
            <w:tcW w:w="1150" w:type="dxa"/>
            <w:tcBorders>
              <w:left w:val="single" w:sz="4" w:space="0" w:color="31A7D4" w:themeColor="accent1"/>
              <w:right w:val="single" w:sz="4" w:space="0" w:color="31A7D4" w:themeColor="accent1"/>
            </w:tcBorders>
            <w:shd w:val="clear" w:color="auto" w:fill="auto"/>
          </w:tcPr>
          <w:p w14:paraId="123A89D6" w14:textId="4C6BD211" w:rsidR="009526DD" w:rsidRPr="00A27B12" w:rsidRDefault="009526DD" w:rsidP="00233261">
            <w:pPr>
              <w:pStyle w:val="TableTextLeft"/>
              <w:spacing w:before="30" w:after="30"/>
              <w:jc w:val="right"/>
            </w:pPr>
            <w:r w:rsidRPr="00A27B12">
              <w:t>30%</w:t>
            </w:r>
          </w:p>
        </w:tc>
        <w:tc>
          <w:tcPr>
            <w:tcW w:w="1740" w:type="dxa"/>
            <w:tcBorders>
              <w:left w:val="single" w:sz="4" w:space="0" w:color="31A7D4" w:themeColor="accent1"/>
              <w:right w:val="single" w:sz="4" w:space="0" w:color="31A7D4" w:themeColor="accent1"/>
            </w:tcBorders>
            <w:shd w:val="clear" w:color="auto" w:fill="auto"/>
          </w:tcPr>
          <w:p w14:paraId="029E87E9" w14:textId="5E9DC005" w:rsidR="009526DD" w:rsidRPr="00A27B12" w:rsidRDefault="009526DD" w:rsidP="00233261">
            <w:pPr>
              <w:pStyle w:val="TableTextLeft"/>
              <w:spacing w:before="30" w:after="30"/>
              <w:jc w:val="right"/>
            </w:pPr>
            <w:r w:rsidRPr="00A27B12">
              <w:t>4,745,935</w:t>
            </w:r>
          </w:p>
        </w:tc>
        <w:tc>
          <w:tcPr>
            <w:tcW w:w="1578" w:type="dxa"/>
            <w:tcBorders>
              <w:left w:val="single" w:sz="4" w:space="0" w:color="31A7D4" w:themeColor="accent1"/>
              <w:right w:val="single" w:sz="4" w:space="0" w:color="31A7D4" w:themeColor="accent1"/>
            </w:tcBorders>
            <w:shd w:val="clear" w:color="auto" w:fill="auto"/>
          </w:tcPr>
          <w:p w14:paraId="16D0A5E7" w14:textId="0A5451A3" w:rsidR="009526DD" w:rsidRPr="00A27B12" w:rsidRDefault="00893BB6" w:rsidP="00233261">
            <w:pPr>
              <w:pStyle w:val="TableTextLeft"/>
              <w:spacing w:before="30" w:after="30"/>
              <w:jc w:val="right"/>
            </w:pPr>
            <w:r w:rsidRPr="00A27B12">
              <w:t>37.6</w:t>
            </w:r>
          </w:p>
        </w:tc>
        <w:tc>
          <w:tcPr>
            <w:tcW w:w="1506" w:type="dxa"/>
            <w:tcBorders>
              <w:left w:val="single" w:sz="4" w:space="0" w:color="31A7D4" w:themeColor="accent1"/>
              <w:right w:val="single" w:sz="4" w:space="0" w:color="31A7D4" w:themeColor="accent1"/>
            </w:tcBorders>
            <w:shd w:val="clear" w:color="auto" w:fill="auto"/>
          </w:tcPr>
          <w:p w14:paraId="5D79417F" w14:textId="0D064D38" w:rsidR="009526DD" w:rsidRPr="00A27B12" w:rsidRDefault="009526DD" w:rsidP="00233261">
            <w:pPr>
              <w:pStyle w:val="TableTextLeft"/>
              <w:spacing w:before="30" w:after="30"/>
              <w:jc w:val="right"/>
            </w:pPr>
            <w:r w:rsidRPr="00A27B12">
              <w:t>47.4</w:t>
            </w:r>
          </w:p>
        </w:tc>
        <w:tc>
          <w:tcPr>
            <w:tcW w:w="1413" w:type="dxa"/>
            <w:tcBorders>
              <w:left w:val="single" w:sz="4" w:space="0" w:color="31A7D4" w:themeColor="accent1"/>
              <w:right w:val="single" w:sz="4" w:space="0" w:color="31A7D4" w:themeColor="accent1"/>
            </w:tcBorders>
            <w:shd w:val="clear" w:color="auto" w:fill="auto"/>
          </w:tcPr>
          <w:p w14:paraId="484BC1D9" w14:textId="5D6C0F72" w:rsidR="009526DD" w:rsidRPr="00A27B12" w:rsidRDefault="00893BB6" w:rsidP="00233261">
            <w:pPr>
              <w:pStyle w:val="TableTextLeft"/>
              <w:spacing w:before="30" w:after="30"/>
              <w:jc w:val="right"/>
            </w:pPr>
            <w:r w:rsidRPr="00A27B12">
              <w:t>32.8</w:t>
            </w:r>
          </w:p>
        </w:tc>
      </w:tr>
      <w:tr w:rsidR="009526DD" w:rsidRPr="00A27B12" w14:paraId="11B9F754" w14:textId="77777777" w:rsidTr="002B771E">
        <w:tc>
          <w:tcPr>
            <w:tcW w:w="168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63F824E6" w14:textId="77777777" w:rsidR="009526DD" w:rsidRPr="00A27B12" w:rsidRDefault="009526DD" w:rsidP="00D46835">
            <w:pPr>
              <w:pStyle w:val="TableTextLeft"/>
              <w:spacing w:before="30" w:after="30"/>
            </w:pPr>
            <w:r w:rsidRPr="00A27B12">
              <w:t>$80,001 — $180,000</w:t>
            </w:r>
          </w:p>
        </w:tc>
        <w:tc>
          <w:tcPr>
            <w:tcW w:w="1150" w:type="dxa"/>
            <w:tcBorders>
              <w:left w:val="single" w:sz="4" w:space="0" w:color="31A7D4" w:themeColor="accent1"/>
              <w:right w:val="single" w:sz="4" w:space="0" w:color="31A7D4" w:themeColor="accent1"/>
            </w:tcBorders>
            <w:shd w:val="clear" w:color="auto" w:fill="auto"/>
          </w:tcPr>
          <w:p w14:paraId="10452696" w14:textId="2784838D" w:rsidR="009526DD" w:rsidRPr="00A27B12" w:rsidRDefault="009526DD" w:rsidP="00233261">
            <w:pPr>
              <w:pStyle w:val="TableTextLeft"/>
              <w:spacing w:before="30" w:after="30"/>
              <w:jc w:val="right"/>
            </w:pPr>
            <w:r w:rsidRPr="00A27B12">
              <w:t>37%</w:t>
            </w:r>
          </w:p>
        </w:tc>
        <w:tc>
          <w:tcPr>
            <w:tcW w:w="1740" w:type="dxa"/>
            <w:tcBorders>
              <w:left w:val="single" w:sz="4" w:space="0" w:color="31A7D4" w:themeColor="accent1"/>
              <w:right w:val="single" w:sz="4" w:space="0" w:color="31A7D4" w:themeColor="accent1"/>
            </w:tcBorders>
            <w:shd w:val="clear" w:color="auto" w:fill="auto"/>
          </w:tcPr>
          <w:p w14:paraId="3E1A267B" w14:textId="0A6630A4" w:rsidR="009526DD" w:rsidRPr="00A27B12" w:rsidRDefault="009526DD" w:rsidP="00233261">
            <w:pPr>
              <w:pStyle w:val="TableTextLeft"/>
              <w:spacing w:before="30" w:after="30"/>
              <w:jc w:val="right"/>
            </w:pPr>
            <w:r w:rsidRPr="00A27B12">
              <w:t>1,836,900</w:t>
            </w:r>
          </w:p>
        </w:tc>
        <w:tc>
          <w:tcPr>
            <w:tcW w:w="1578" w:type="dxa"/>
            <w:tcBorders>
              <w:left w:val="single" w:sz="4" w:space="0" w:color="31A7D4" w:themeColor="accent1"/>
              <w:right w:val="single" w:sz="4" w:space="0" w:color="31A7D4" w:themeColor="accent1"/>
            </w:tcBorders>
            <w:shd w:val="clear" w:color="auto" w:fill="auto"/>
          </w:tcPr>
          <w:p w14:paraId="0C430332" w14:textId="416A41A5" w:rsidR="009526DD" w:rsidRPr="00A27B12" w:rsidRDefault="00893BB6" w:rsidP="00233261">
            <w:pPr>
              <w:pStyle w:val="TableTextLeft"/>
              <w:spacing w:before="30" w:after="30"/>
              <w:jc w:val="right"/>
            </w:pPr>
            <w:r w:rsidRPr="00A27B12">
              <w:t>14.5</w:t>
            </w:r>
          </w:p>
        </w:tc>
        <w:tc>
          <w:tcPr>
            <w:tcW w:w="1506" w:type="dxa"/>
            <w:tcBorders>
              <w:left w:val="single" w:sz="4" w:space="0" w:color="31A7D4" w:themeColor="accent1"/>
              <w:right w:val="single" w:sz="4" w:space="0" w:color="31A7D4" w:themeColor="accent1"/>
            </w:tcBorders>
            <w:shd w:val="clear" w:color="auto" w:fill="auto"/>
          </w:tcPr>
          <w:p w14:paraId="01DE45B9" w14:textId="22F63768" w:rsidR="009526DD" w:rsidRPr="00A27B12" w:rsidRDefault="009526DD" w:rsidP="00233261">
            <w:pPr>
              <w:pStyle w:val="TableTextLeft"/>
              <w:spacing w:before="30" w:after="30"/>
              <w:jc w:val="right"/>
            </w:pPr>
            <w:r w:rsidRPr="00A27B12">
              <w:t>54.0</w:t>
            </w:r>
          </w:p>
        </w:tc>
        <w:tc>
          <w:tcPr>
            <w:tcW w:w="1413" w:type="dxa"/>
            <w:tcBorders>
              <w:left w:val="single" w:sz="4" w:space="0" w:color="31A7D4" w:themeColor="accent1"/>
              <w:right w:val="single" w:sz="4" w:space="0" w:color="31A7D4" w:themeColor="accent1"/>
            </w:tcBorders>
            <w:shd w:val="clear" w:color="auto" w:fill="auto"/>
          </w:tcPr>
          <w:p w14:paraId="41AC8012" w14:textId="6C6903EB" w:rsidR="009526DD" w:rsidRPr="00A27B12" w:rsidRDefault="00893BB6" w:rsidP="00233261">
            <w:pPr>
              <w:pStyle w:val="TableTextLeft"/>
              <w:spacing w:before="30" w:after="30"/>
              <w:jc w:val="right"/>
            </w:pPr>
            <w:r w:rsidRPr="00A27B12">
              <w:t>37.4</w:t>
            </w:r>
          </w:p>
        </w:tc>
      </w:tr>
      <w:tr w:rsidR="009526DD" w:rsidRPr="00A27B12" w14:paraId="29AA3885" w14:textId="77777777" w:rsidTr="002B771E">
        <w:tc>
          <w:tcPr>
            <w:tcW w:w="168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2651FB41" w14:textId="77777777" w:rsidR="009526DD" w:rsidRPr="00A27B12" w:rsidRDefault="009526DD" w:rsidP="00D46835">
            <w:pPr>
              <w:pStyle w:val="TableTextLeft"/>
              <w:spacing w:before="30" w:after="30"/>
            </w:pPr>
            <w:r w:rsidRPr="00A27B12">
              <w:t>$180,001 and over</w:t>
            </w:r>
          </w:p>
        </w:tc>
        <w:tc>
          <w:tcPr>
            <w:tcW w:w="1150" w:type="dxa"/>
            <w:tcBorders>
              <w:left w:val="single" w:sz="4" w:space="0" w:color="31A7D4" w:themeColor="accent1"/>
              <w:right w:val="single" w:sz="4" w:space="0" w:color="31A7D4" w:themeColor="accent1"/>
            </w:tcBorders>
            <w:shd w:val="clear" w:color="auto" w:fill="auto"/>
          </w:tcPr>
          <w:p w14:paraId="3A6DC713" w14:textId="18A09ED2" w:rsidR="009526DD" w:rsidRPr="00A27B12" w:rsidRDefault="009526DD" w:rsidP="00233261">
            <w:pPr>
              <w:pStyle w:val="TableTextLeft"/>
              <w:spacing w:before="30" w:after="30"/>
              <w:jc w:val="right"/>
            </w:pPr>
            <w:r w:rsidRPr="00A27B12">
              <w:t>45%</w:t>
            </w:r>
          </w:p>
        </w:tc>
        <w:tc>
          <w:tcPr>
            <w:tcW w:w="1740" w:type="dxa"/>
            <w:tcBorders>
              <w:left w:val="single" w:sz="4" w:space="0" w:color="31A7D4" w:themeColor="accent1"/>
              <w:right w:val="single" w:sz="4" w:space="0" w:color="31A7D4" w:themeColor="accent1"/>
            </w:tcBorders>
            <w:shd w:val="clear" w:color="auto" w:fill="auto"/>
          </w:tcPr>
          <w:p w14:paraId="2AD79C35" w14:textId="4A8E1DB6" w:rsidR="009526DD" w:rsidRPr="00A27B12" w:rsidRDefault="009526DD" w:rsidP="00233261">
            <w:pPr>
              <w:pStyle w:val="TableTextLeft"/>
              <w:spacing w:before="30" w:after="30"/>
              <w:jc w:val="right"/>
            </w:pPr>
            <w:r w:rsidRPr="00A27B12">
              <w:t>292,500</w:t>
            </w:r>
          </w:p>
        </w:tc>
        <w:tc>
          <w:tcPr>
            <w:tcW w:w="1578" w:type="dxa"/>
            <w:tcBorders>
              <w:left w:val="single" w:sz="4" w:space="0" w:color="31A7D4" w:themeColor="accent1"/>
              <w:right w:val="single" w:sz="4" w:space="0" w:color="31A7D4" w:themeColor="accent1"/>
            </w:tcBorders>
            <w:shd w:val="clear" w:color="auto" w:fill="auto"/>
          </w:tcPr>
          <w:p w14:paraId="2C905C45" w14:textId="4C554216" w:rsidR="009526DD" w:rsidRPr="00A27B12" w:rsidRDefault="00893BB6" w:rsidP="00233261">
            <w:pPr>
              <w:pStyle w:val="TableTextLeft"/>
              <w:spacing w:before="30" w:after="30"/>
              <w:jc w:val="right"/>
            </w:pPr>
            <w:r w:rsidRPr="00A27B12">
              <w:t>2.3</w:t>
            </w:r>
          </w:p>
        </w:tc>
        <w:tc>
          <w:tcPr>
            <w:tcW w:w="1506" w:type="dxa"/>
            <w:tcBorders>
              <w:left w:val="single" w:sz="4" w:space="0" w:color="31A7D4" w:themeColor="accent1"/>
              <w:right w:val="single" w:sz="4" w:space="0" w:color="31A7D4" w:themeColor="accent1"/>
            </w:tcBorders>
            <w:shd w:val="clear" w:color="auto" w:fill="auto"/>
          </w:tcPr>
          <w:p w14:paraId="393093B1" w14:textId="1A533A49" w:rsidR="009526DD" w:rsidRPr="00A27B12" w:rsidRDefault="009526DD" w:rsidP="00233261">
            <w:pPr>
              <w:pStyle w:val="TableTextLeft"/>
              <w:spacing w:before="30" w:after="30"/>
              <w:jc w:val="right"/>
            </w:pPr>
            <w:r w:rsidRPr="00A27B12">
              <w:t>37.7</w:t>
            </w:r>
          </w:p>
        </w:tc>
        <w:tc>
          <w:tcPr>
            <w:tcW w:w="1413" w:type="dxa"/>
            <w:tcBorders>
              <w:left w:val="single" w:sz="4" w:space="0" w:color="31A7D4" w:themeColor="accent1"/>
              <w:right w:val="single" w:sz="4" w:space="0" w:color="31A7D4" w:themeColor="accent1"/>
            </w:tcBorders>
            <w:shd w:val="clear" w:color="auto" w:fill="auto"/>
          </w:tcPr>
          <w:p w14:paraId="3220A6C2" w14:textId="174F3BC9" w:rsidR="009526DD" w:rsidRPr="00A27B12" w:rsidRDefault="00893BB6" w:rsidP="00233261">
            <w:pPr>
              <w:pStyle w:val="TableTextLeft"/>
              <w:spacing w:before="30" w:after="30"/>
              <w:jc w:val="right"/>
            </w:pPr>
            <w:r w:rsidRPr="00A27B12">
              <w:t>26.1</w:t>
            </w:r>
          </w:p>
        </w:tc>
      </w:tr>
      <w:tr w:rsidR="009526DD" w:rsidRPr="00A27B12" w14:paraId="55DA0F3E" w14:textId="77777777" w:rsidTr="002B771E">
        <w:trPr>
          <w:trHeight w:val="339"/>
        </w:trPr>
        <w:tc>
          <w:tcPr>
            <w:tcW w:w="168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424A8C5B" w14:textId="22F58385" w:rsidR="009526DD" w:rsidRPr="00A27B12" w:rsidRDefault="009526DD" w:rsidP="00D46835">
            <w:pPr>
              <w:pStyle w:val="TableTextLeft"/>
              <w:spacing w:before="30" w:after="30"/>
              <w:rPr>
                <w:b/>
              </w:rPr>
            </w:pPr>
            <w:r w:rsidRPr="00A27B12">
              <w:rPr>
                <w:b/>
              </w:rPr>
              <w:t>TOTAL</w:t>
            </w:r>
          </w:p>
        </w:tc>
        <w:tc>
          <w:tcPr>
            <w:tcW w:w="1150" w:type="dxa"/>
            <w:tcBorders>
              <w:left w:val="single" w:sz="4" w:space="0" w:color="31A7D4" w:themeColor="accent1"/>
              <w:bottom w:val="single" w:sz="4" w:space="0" w:color="31A7D4" w:themeColor="accent1"/>
              <w:right w:val="single" w:sz="4" w:space="0" w:color="31A7D4" w:themeColor="accent1"/>
            </w:tcBorders>
            <w:shd w:val="clear" w:color="auto" w:fill="auto"/>
          </w:tcPr>
          <w:p w14:paraId="2A1CC0C1" w14:textId="108E4407" w:rsidR="009526DD" w:rsidRPr="00A27B12" w:rsidRDefault="009F4155" w:rsidP="009F4155">
            <w:pPr>
              <w:pStyle w:val="TableTextLeft"/>
              <w:spacing w:before="30" w:after="30"/>
              <w:jc w:val="right"/>
            </w:pPr>
            <w:proofErr w:type="spellStart"/>
            <w:r w:rsidRPr="00A27B12">
              <w:t>n.a</w:t>
            </w:r>
            <w:proofErr w:type="spellEnd"/>
            <w:r w:rsidRPr="00A27B12">
              <w:t>.</w:t>
            </w:r>
          </w:p>
        </w:tc>
        <w:tc>
          <w:tcPr>
            <w:tcW w:w="1740" w:type="dxa"/>
            <w:tcBorders>
              <w:left w:val="single" w:sz="4" w:space="0" w:color="31A7D4" w:themeColor="accent1"/>
              <w:bottom w:val="single" w:sz="4" w:space="0" w:color="31A7D4" w:themeColor="accent1"/>
              <w:right w:val="single" w:sz="4" w:space="0" w:color="31A7D4" w:themeColor="accent1"/>
            </w:tcBorders>
            <w:shd w:val="clear" w:color="auto" w:fill="auto"/>
          </w:tcPr>
          <w:p w14:paraId="40F75D52" w14:textId="07D58CCB" w:rsidR="009526DD" w:rsidRPr="00A27B12" w:rsidRDefault="009526DD" w:rsidP="00233261">
            <w:pPr>
              <w:pStyle w:val="TableTextLeft"/>
              <w:spacing w:before="30" w:after="30"/>
              <w:jc w:val="right"/>
              <w:rPr>
                <w:b/>
              </w:rPr>
            </w:pPr>
            <w:r w:rsidRPr="00A27B12">
              <w:t>12,636,380</w:t>
            </w:r>
          </w:p>
        </w:tc>
        <w:tc>
          <w:tcPr>
            <w:tcW w:w="1578" w:type="dxa"/>
            <w:tcBorders>
              <w:left w:val="single" w:sz="4" w:space="0" w:color="31A7D4" w:themeColor="accent1"/>
              <w:bottom w:val="single" w:sz="4" w:space="0" w:color="31A7D4" w:themeColor="accent1"/>
              <w:right w:val="single" w:sz="4" w:space="0" w:color="31A7D4" w:themeColor="accent1"/>
            </w:tcBorders>
            <w:shd w:val="clear" w:color="auto" w:fill="auto"/>
          </w:tcPr>
          <w:p w14:paraId="6CC3D998" w14:textId="4E93971C" w:rsidR="009526DD" w:rsidRPr="00A27B12" w:rsidRDefault="00893BB6" w:rsidP="00233261">
            <w:pPr>
              <w:pStyle w:val="TableTextLeft"/>
              <w:spacing w:before="30" w:after="30"/>
              <w:jc w:val="right"/>
              <w:rPr>
                <w:b/>
              </w:rPr>
            </w:pPr>
            <w:r w:rsidRPr="00A27B12">
              <w:t>100.0</w:t>
            </w:r>
          </w:p>
        </w:tc>
        <w:tc>
          <w:tcPr>
            <w:tcW w:w="1506" w:type="dxa"/>
            <w:tcBorders>
              <w:left w:val="single" w:sz="4" w:space="0" w:color="31A7D4" w:themeColor="accent1"/>
              <w:bottom w:val="single" w:sz="4" w:space="0" w:color="31A7D4" w:themeColor="accent1"/>
              <w:right w:val="single" w:sz="4" w:space="0" w:color="31A7D4" w:themeColor="accent1"/>
            </w:tcBorders>
            <w:shd w:val="clear" w:color="auto" w:fill="auto"/>
          </w:tcPr>
          <w:p w14:paraId="307F8F03" w14:textId="6AD6FD95" w:rsidR="009526DD" w:rsidRPr="00A27B12" w:rsidRDefault="009526DD" w:rsidP="00233261">
            <w:pPr>
              <w:pStyle w:val="TableTextLeft"/>
              <w:spacing w:before="30" w:after="30"/>
              <w:jc w:val="right"/>
              <w:rPr>
                <w:b/>
              </w:rPr>
            </w:pPr>
            <w:r w:rsidRPr="00A27B12">
              <w:t>144.4</w:t>
            </w:r>
          </w:p>
        </w:tc>
        <w:tc>
          <w:tcPr>
            <w:tcW w:w="1413" w:type="dxa"/>
            <w:tcBorders>
              <w:left w:val="single" w:sz="4" w:space="0" w:color="31A7D4" w:themeColor="accent1"/>
              <w:bottom w:val="single" w:sz="4" w:space="0" w:color="31A7D4" w:themeColor="accent1"/>
              <w:right w:val="single" w:sz="4" w:space="0" w:color="31A7D4" w:themeColor="accent1"/>
            </w:tcBorders>
            <w:shd w:val="clear" w:color="auto" w:fill="auto"/>
          </w:tcPr>
          <w:p w14:paraId="289E240F" w14:textId="0656E2C5" w:rsidR="009526DD" w:rsidRPr="00A27B12" w:rsidRDefault="00893BB6" w:rsidP="00233261">
            <w:pPr>
              <w:pStyle w:val="TableTextLeft"/>
              <w:spacing w:before="30" w:after="30"/>
              <w:jc w:val="right"/>
              <w:rPr>
                <w:b/>
              </w:rPr>
            </w:pPr>
            <w:r w:rsidRPr="00A27B12">
              <w:t>100.0</w:t>
            </w:r>
          </w:p>
        </w:tc>
      </w:tr>
    </w:tbl>
    <w:p w14:paraId="415A3331" w14:textId="325CA391" w:rsidR="00341F00" w:rsidRPr="00A27B12" w:rsidRDefault="00341F00" w:rsidP="00790F34">
      <w:pPr>
        <w:pStyle w:val="ChartorTableNote"/>
      </w:pPr>
      <w:r w:rsidRPr="00A27B12">
        <w:t xml:space="preserve">Note: </w:t>
      </w:r>
      <w:r w:rsidR="009526DD" w:rsidRPr="00A27B12">
        <w:t>The effective tax free threshold in 2011</w:t>
      </w:r>
      <w:r w:rsidR="00A801BF">
        <w:noBreakHyphen/>
      </w:r>
      <w:r w:rsidR="009526DD" w:rsidRPr="00A27B12">
        <w:t>12 was $16,000, after including the low</w:t>
      </w:r>
      <w:r w:rsidR="00A801BF">
        <w:noBreakHyphen/>
      </w:r>
      <w:r w:rsidR="009526DD" w:rsidRPr="00A27B12">
        <w:t>income tax offset. Totals are for those individuals lodging a tax return for that year</w:t>
      </w:r>
      <w:r w:rsidR="00855D4B" w:rsidRPr="00A27B12">
        <w:t xml:space="preserve">. </w:t>
      </w:r>
    </w:p>
    <w:p w14:paraId="52BAF1A2" w14:textId="24EC366E" w:rsidR="00233261" w:rsidRPr="001C70F5" w:rsidRDefault="00233261" w:rsidP="001C70F5">
      <w:pPr>
        <w:pStyle w:val="Source"/>
      </w:pPr>
      <w:r w:rsidRPr="001C70F5">
        <w:t xml:space="preserve">Source: Treasury estimates </w:t>
      </w:r>
      <w:r w:rsidR="00B364CC" w:rsidRPr="001C70F5">
        <w:t xml:space="preserve">using </w:t>
      </w:r>
      <w:r w:rsidR="008D3ABE" w:rsidRPr="001C70F5">
        <w:t xml:space="preserve">income tax returns </w:t>
      </w:r>
      <w:r w:rsidR="009526DD" w:rsidRPr="001C70F5">
        <w:t xml:space="preserve">for resident individuals </w:t>
      </w:r>
      <w:r w:rsidR="008D3ABE" w:rsidRPr="001C70F5">
        <w:t>for 2011</w:t>
      </w:r>
      <w:r w:rsidR="00A801BF" w:rsidRPr="001C70F5">
        <w:noBreakHyphen/>
      </w:r>
      <w:r w:rsidR="008D3ABE" w:rsidRPr="001C70F5">
        <w:t>12.</w:t>
      </w:r>
    </w:p>
    <w:p w14:paraId="38E5D1B8" w14:textId="77777777" w:rsidR="00790F34" w:rsidRPr="00A27B12" w:rsidRDefault="00790F34" w:rsidP="00790F34"/>
    <w:p w14:paraId="2A2F9881" w14:textId="540C3895" w:rsidR="001C78F0" w:rsidRPr="00A27B12" w:rsidRDefault="001C78F0" w:rsidP="001C78F0">
      <w:pPr>
        <w:pStyle w:val="Heading3"/>
      </w:pPr>
      <w:bookmarkStart w:id="82" w:name="_Toc402972766"/>
      <w:bookmarkStart w:id="83" w:name="_Toc403074105"/>
      <w:bookmarkStart w:id="84" w:name="_Toc403132952"/>
      <w:bookmarkStart w:id="85" w:name="_Toc404342084"/>
      <w:bookmarkStart w:id="86" w:name="_Toc409796495"/>
      <w:bookmarkStart w:id="87" w:name="_Toc402972767"/>
      <w:bookmarkStart w:id="88" w:name="_Toc403059568"/>
      <w:bookmarkStart w:id="89" w:name="_Toc403060888"/>
      <w:bookmarkStart w:id="90" w:name="_Toc403074106"/>
      <w:bookmarkStart w:id="91" w:name="_Toc403132953"/>
      <w:bookmarkStart w:id="92" w:name="_Toc403377210"/>
      <w:bookmarkStart w:id="93" w:name="_Toc403377676"/>
      <w:bookmarkStart w:id="94" w:name="_Toc403389933"/>
      <w:bookmarkStart w:id="95" w:name="_Toc403394388"/>
      <w:r w:rsidRPr="00A27B12">
        <w:t xml:space="preserve">What impact does </w:t>
      </w:r>
      <w:proofErr w:type="gramStart"/>
      <w:r w:rsidR="00EF3A59" w:rsidRPr="00A27B12">
        <w:t>individuals</w:t>
      </w:r>
      <w:proofErr w:type="gramEnd"/>
      <w:r w:rsidRPr="00A27B12">
        <w:t xml:space="preserve"> income tax have on economic growth and living standards?</w:t>
      </w:r>
      <w:bookmarkEnd w:id="82"/>
      <w:bookmarkEnd w:id="83"/>
      <w:bookmarkEnd w:id="84"/>
      <w:bookmarkEnd w:id="85"/>
      <w:bookmarkEnd w:id="86"/>
    </w:p>
    <w:p w14:paraId="7EFA5025" w14:textId="63E522B8" w:rsidR="001C78F0" w:rsidRPr="00A27B12" w:rsidRDefault="001C78F0" w:rsidP="001C78F0">
      <w:r w:rsidRPr="00A27B12">
        <w:t xml:space="preserve">As with all taxes, the imposition of tax on </w:t>
      </w:r>
      <w:proofErr w:type="gramStart"/>
      <w:r w:rsidRPr="00A27B12">
        <w:t>individuals</w:t>
      </w:r>
      <w:proofErr w:type="gramEnd"/>
      <w:r w:rsidRPr="00A27B12">
        <w:t xml:space="preserve"> income can adversely affect behaviour. This may be seen in people</w:t>
      </w:r>
      <w:r w:rsidR="00A801BF">
        <w:t>’</w:t>
      </w:r>
      <w:r w:rsidRPr="00A27B12">
        <w:t>s decisions about how much</w:t>
      </w:r>
      <w:r w:rsidR="00034D33" w:rsidRPr="00A27B12">
        <w:t xml:space="preserve">, and where, </w:t>
      </w:r>
      <w:r w:rsidRPr="00A27B12">
        <w:t>they work and earn</w:t>
      </w:r>
      <w:r w:rsidR="00034D33" w:rsidRPr="00A27B12">
        <w:t xml:space="preserve">. </w:t>
      </w:r>
      <w:r w:rsidR="003E07F1" w:rsidRPr="00A27B12">
        <w:t>Additionally</w:t>
      </w:r>
      <w:r w:rsidR="0063702E" w:rsidRPr="00A27B12">
        <w:t>, w</w:t>
      </w:r>
      <w:r w:rsidR="00034D33" w:rsidRPr="00A27B12">
        <w:t xml:space="preserve">hile </w:t>
      </w:r>
      <w:r w:rsidR="0063702E" w:rsidRPr="00A27B12">
        <w:t xml:space="preserve">there </w:t>
      </w:r>
      <w:r w:rsidR="00E94CD1" w:rsidRPr="00A27B12">
        <w:t xml:space="preserve">may </w:t>
      </w:r>
      <w:r w:rsidR="0063702E" w:rsidRPr="00A27B12">
        <w:t xml:space="preserve">be </w:t>
      </w:r>
      <w:r w:rsidR="00034D33" w:rsidRPr="00A27B12">
        <w:t xml:space="preserve">little impact on </w:t>
      </w:r>
      <w:r w:rsidR="006A7B2D" w:rsidRPr="00A27B12">
        <w:t xml:space="preserve">direct </w:t>
      </w:r>
      <w:r w:rsidR="00034D33" w:rsidRPr="00A27B12">
        <w:t xml:space="preserve">economic activity, it can also be seen in the way people choose to structure </w:t>
      </w:r>
      <w:r w:rsidR="003862CB" w:rsidRPr="00A27B12">
        <w:t>the</w:t>
      </w:r>
      <w:r w:rsidR="00034D33" w:rsidRPr="00A27B12">
        <w:t xml:space="preserve"> way they save, invest or carry on a business</w:t>
      </w:r>
      <w:r w:rsidR="00123F98" w:rsidRPr="00A27B12">
        <w:t xml:space="preserve"> (</w:t>
      </w:r>
      <w:r w:rsidR="00BE23D4" w:rsidRPr="00A27B12">
        <w:t>see</w:t>
      </w:r>
      <w:r w:rsidR="00BB14B0">
        <w:t> </w:t>
      </w:r>
      <w:r w:rsidR="00123F98" w:rsidRPr="00A27B12">
        <w:t xml:space="preserve">Chapters </w:t>
      </w:r>
      <w:r w:rsidR="008D1C67" w:rsidRPr="00A27B12">
        <w:t>4</w:t>
      </w:r>
      <w:r w:rsidR="00123F98" w:rsidRPr="00A27B12">
        <w:t xml:space="preserve"> and </w:t>
      </w:r>
      <w:r w:rsidR="008D1C67" w:rsidRPr="00A27B12">
        <w:t>6</w:t>
      </w:r>
      <w:r w:rsidR="00123F98" w:rsidRPr="00A27B12">
        <w:t>)</w:t>
      </w:r>
      <w:r w:rsidRPr="00A27B12">
        <w:t xml:space="preserve">. </w:t>
      </w:r>
      <w:r w:rsidR="004D2189" w:rsidRPr="00A27B12">
        <w:t xml:space="preserve">As shown in </w:t>
      </w:r>
      <w:r w:rsidR="003E07F1" w:rsidRPr="00A27B12">
        <w:t>C</w:t>
      </w:r>
      <w:r w:rsidR="004D2189" w:rsidRPr="00A27B12">
        <w:t xml:space="preserve">hart </w:t>
      </w:r>
      <w:r w:rsidR="008D1C67" w:rsidRPr="00A27B12">
        <w:t>3</w:t>
      </w:r>
      <w:r w:rsidR="004D2189" w:rsidRPr="00A27B12">
        <w:t>.2, the distribution of taxpayers across the taxable income scale clusters around the tax thresholds, su</w:t>
      </w:r>
      <w:r w:rsidR="00A801BF">
        <w:t>ggesting some people respond to </w:t>
      </w:r>
      <w:r w:rsidR="0063702E" w:rsidRPr="00A27B12">
        <w:t xml:space="preserve">increasing </w:t>
      </w:r>
      <w:r w:rsidR="004D2189" w:rsidRPr="00A27B12">
        <w:t xml:space="preserve">marginal tax rates. </w:t>
      </w:r>
      <w:r w:rsidRPr="00A27B12">
        <w:t xml:space="preserve">Compared to taxes </w:t>
      </w:r>
      <w:r w:rsidR="00AC3C28" w:rsidRPr="00A27B12">
        <w:t xml:space="preserve">with </w:t>
      </w:r>
      <w:r w:rsidR="009B65F0" w:rsidRPr="00A27B12">
        <w:t xml:space="preserve">a </w:t>
      </w:r>
      <w:r w:rsidR="00AC3C28" w:rsidRPr="00A27B12">
        <w:t xml:space="preserve">relatively significant impact on economic growth and living standards </w:t>
      </w:r>
      <w:r w:rsidRPr="00A27B12">
        <w:t>(</w:t>
      </w:r>
      <w:r w:rsidR="00AC3C28" w:rsidRPr="00A27B12">
        <w:t xml:space="preserve">such as </w:t>
      </w:r>
      <w:r w:rsidRPr="00A27B12">
        <w:t xml:space="preserve">company tax), </w:t>
      </w:r>
      <w:r w:rsidR="00EF3A59" w:rsidRPr="00A27B12">
        <w:t>individuals</w:t>
      </w:r>
      <w:r w:rsidRPr="00A27B12">
        <w:t xml:space="preserve"> income tax is usually considered to </w:t>
      </w:r>
      <w:r w:rsidR="006A7B2D" w:rsidRPr="00A27B12">
        <w:t xml:space="preserve">have </w:t>
      </w:r>
      <w:r w:rsidRPr="00A27B12">
        <w:t xml:space="preserve">a </w:t>
      </w:r>
      <w:r w:rsidR="00AC3C28" w:rsidRPr="00A27B12">
        <w:t xml:space="preserve">comparatively </w:t>
      </w:r>
      <w:r w:rsidRPr="00A27B12">
        <w:t xml:space="preserve">moderate impact on </w:t>
      </w:r>
      <w:r w:rsidR="00AC3C28" w:rsidRPr="00A27B12">
        <w:t xml:space="preserve">the behaviour of most </w:t>
      </w:r>
      <w:r w:rsidRPr="00A27B12">
        <w:t>people</w:t>
      </w:r>
      <w:r w:rsidR="00AC3C28" w:rsidRPr="00A27B12">
        <w:t xml:space="preserve">, and </w:t>
      </w:r>
      <w:r w:rsidRPr="00A27B12">
        <w:t xml:space="preserve">relatively minor adverse impacts on economic growth and living standards. </w:t>
      </w:r>
      <w:r w:rsidR="008C5CF7" w:rsidRPr="00A27B12">
        <w:t>However the impact on workforce participation (</w:t>
      </w:r>
      <w:r w:rsidR="00BE23D4" w:rsidRPr="00A27B12">
        <w:t xml:space="preserve">see </w:t>
      </w:r>
      <w:r w:rsidR="008C5CF7" w:rsidRPr="00A27B12">
        <w:t>section 3.3) should not be ignored, particularly in the context of an ageing population.</w:t>
      </w:r>
    </w:p>
    <w:p w14:paraId="553ECFE8" w14:textId="75F4A89F" w:rsidR="00790F34" w:rsidRPr="00A27B12" w:rsidRDefault="00B14FA0" w:rsidP="001C78F0">
      <w:pPr>
        <w:rPr>
          <w:rFonts w:eastAsiaTheme="minorHAnsi"/>
        </w:rPr>
      </w:pPr>
      <w:r w:rsidRPr="00A27B12">
        <w:rPr>
          <w:rFonts w:eastAsiaTheme="minorHAnsi"/>
        </w:rPr>
        <w:lastRenderedPageBreak/>
        <w:t xml:space="preserve">While </w:t>
      </w:r>
      <w:proofErr w:type="gramStart"/>
      <w:r w:rsidR="00EF3A59" w:rsidRPr="00A27B12">
        <w:rPr>
          <w:rFonts w:eastAsiaTheme="minorHAnsi"/>
        </w:rPr>
        <w:t>individuals</w:t>
      </w:r>
      <w:proofErr w:type="gramEnd"/>
      <w:r w:rsidR="001C78F0" w:rsidRPr="00A27B12">
        <w:rPr>
          <w:rFonts w:eastAsiaTheme="minorHAnsi"/>
        </w:rPr>
        <w:t xml:space="preserve"> income tax raises significant revenue across taxpayers with middle incomes with relatively little impact on their behaviour</w:t>
      </w:r>
      <w:r w:rsidRPr="00A27B12">
        <w:rPr>
          <w:rFonts w:eastAsiaTheme="minorHAnsi"/>
        </w:rPr>
        <w:t xml:space="preserve">, </w:t>
      </w:r>
      <w:r w:rsidR="001C78F0" w:rsidRPr="00A27B12">
        <w:rPr>
          <w:rFonts w:eastAsiaTheme="minorHAnsi"/>
        </w:rPr>
        <w:t>it can create greater distortions and lead to greater adverse effects</w:t>
      </w:r>
      <w:r w:rsidR="00C369F9" w:rsidRPr="00A27B12">
        <w:rPr>
          <w:rFonts w:eastAsiaTheme="minorHAnsi"/>
        </w:rPr>
        <w:t xml:space="preserve"> </w:t>
      </w:r>
      <w:r w:rsidR="001C78F0" w:rsidRPr="00A27B12">
        <w:rPr>
          <w:rFonts w:eastAsiaTheme="minorHAnsi"/>
        </w:rPr>
        <w:t xml:space="preserve">for taxpayers at the lower and higher ends of the income scale. Generally this is due to the interactions </w:t>
      </w:r>
      <w:r w:rsidR="00335BBB" w:rsidRPr="00A27B12">
        <w:rPr>
          <w:rFonts w:eastAsiaTheme="minorHAnsi"/>
        </w:rPr>
        <w:t>that</w:t>
      </w:r>
      <w:r w:rsidR="001C78F0" w:rsidRPr="00A27B12">
        <w:rPr>
          <w:rFonts w:eastAsiaTheme="minorHAnsi"/>
        </w:rPr>
        <w:t xml:space="preserve"> the </w:t>
      </w:r>
      <w:proofErr w:type="gramStart"/>
      <w:r w:rsidR="00EF3A59" w:rsidRPr="00A27B12">
        <w:rPr>
          <w:rFonts w:eastAsiaTheme="minorHAnsi"/>
        </w:rPr>
        <w:t>individuals</w:t>
      </w:r>
      <w:proofErr w:type="gramEnd"/>
      <w:r w:rsidR="001C78F0" w:rsidRPr="00A27B12">
        <w:rPr>
          <w:rFonts w:eastAsiaTheme="minorHAnsi"/>
        </w:rPr>
        <w:t xml:space="preserve"> income tax system has with other parts of the tax and transfer system. Relatively low</w:t>
      </w:r>
      <w:r w:rsidR="00A801BF">
        <w:rPr>
          <w:rFonts w:eastAsiaTheme="minorHAnsi"/>
        </w:rPr>
        <w:noBreakHyphen/>
      </w:r>
      <w:r w:rsidR="001C78F0" w:rsidRPr="00A27B12">
        <w:rPr>
          <w:rFonts w:eastAsiaTheme="minorHAnsi"/>
        </w:rPr>
        <w:t>income taxpayers</w:t>
      </w:r>
      <w:r w:rsidR="003E07F1" w:rsidRPr="00A27B12">
        <w:rPr>
          <w:rFonts w:eastAsiaTheme="minorHAnsi"/>
        </w:rPr>
        <w:t>,</w:t>
      </w:r>
      <w:r w:rsidR="001C78F0" w:rsidRPr="00A27B12">
        <w:rPr>
          <w:rFonts w:eastAsiaTheme="minorHAnsi"/>
        </w:rPr>
        <w:t xml:space="preserve"> particularly the secondary (or lower) earner in a couple, may receive transfer payments that are withdrawn as their income increases</w:t>
      </w:r>
      <w:r w:rsidR="003E07F1" w:rsidRPr="00A27B12">
        <w:rPr>
          <w:rFonts w:eastAsiaTheme="minorHAnsi"/>
        </w:rPr>
        <w:t xml:space="preserve"> and</w:t>
      </w:r>
      <w:r w:rsidR="001C78F0" w:rsidRPr="00A27B12">
        <w:rPr>
          <w:rFonts w:eastAsiaTheme="minorHAnsi"/>
        </w:rPr>
        <w:t xml:space="preserve"> at the same time they begin to pay tax, reducing the </w:t>
      </w:r>
      <w:r w:rsidR="00904C2E" w:rsidRPr="00A27B12">
        <w:rPr>
          <w:rFonts w:eastAsiaTheme="minorHAnsi"/>
        </w:rPr>
        <w:t xml:space="preserve">immediate </w:t>
      </w:r>
      <w:r w:rsidR="001C78F0" w:rsidRPr="00A27B12">
        <w:rPr>
          <w:rFonts w:eastAsiaTheme="minorHAnsi"/>
        </w:rPr>
        <w:t>reward for work. At higher income</w:t>
      </w:r>
      <w:r w:rsidR="00B9408E" w:rsidRPr="00A27B12">
        <w:rPr>
          <w:rFonts w:eastAsiaTheme="minorHAnsi"/>
        </w:rPr>
        <w:t>s</w:t>
      </w:r>
      <w:r w:rsidR="001C78F0" w:rsidRPr="00A27B12">
        <w:rPr>
          <w:rFonts w:eastAsiaTheme="minorHAnsi"/>
        </w:rPr>
        <w:t xml:space="preserve"> taxpayers have greater capacity to </w:t>
      </w:r>
      <w:r w:rsidR="005B6181" w:rsidRPr="00A27B12">
        <w:rPr>
          <w:rFonts w:eastAsiaTheme="minorHAnsi"/>
        </w:rPr>
        <w:t xml:space="preserve">legitimately </w:t>
      </w:r>
      <w:r w:rsidR="001C78F0" w:rsidRPr="00A27B12">
        <w:rPr>
          <w:rFonts w:eastAsiaTheme="minorHAnsi"/>
        </w:rPr>
        <w:t xml:space="preserve">structure their affairs to minimise the amount they pay and some may be more internationally mobile. </w:t>
      </w:r>
      <w:r w:rsidR="00403B2B" w:rsidRPr="00A27B12">
        <w:rPr>
          <w:rFonts w:eastAsiaTheme="minorHAnsi"/>
        </w:rPr>
        <w:t xml:space="preserve">These issues are discussed further in </w:t>
      </w:r>
      <w:r w:rsidR="003E07F1" w:rsidRPr="00A27B12">
        <w:rPr>
          <w:rFonts w:eastAsiaTheme="minorHAnsi"/>
        </w:rPr>
        <w:t>S</w:t>
      </w:r>
      <w:r w:rsidR="008D1C67" w:rsidRPr="00A27B12">
        <w:rPr>
          <w:rFonts w:eastAsiaTheme="minorHAnsi"/>
        </w:rPr>
        <w:t>ection 3</w:t>
      </w:r>
      <w:r w:rsidR="00403B2B" w:rsidRPr="00A27B12">
        <w:rPr>
          <w:rFonts w:eastAsiaTheme="minorHAnsi"/>
        </w:rPr>
        <w:t>.</w:t>
      </w:r>
      <w:r w:rsidR="003C1E70" w:rsidRPr="00A27B12">
        <w:rPr>
          <w:rFonts w:eastAsiaTheme="minorHAnsi"/>
        </w:rPr>
        <w:t>3</w:t>
      </w:r>
      <w:r w:rsidR="00403B2B" w:rsidRPr="00A27B12">
        <w:rPr>
          <w:rFonts w:eastAsiaTheme="minorHAnsi"/>
        </w:rPr>
        <w:t xml:space="preserve"> of this chapter.</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790F34" w:rsidRPr="00A27B12" w14:paraId="2157A4F8" w14:textId="77777777" w:rsidTr="00790F34">
        <w:tc>
          <w:tcPr>
            <w:tcW w:w="9384" w:type="dxa"/>
          </w:tcPr>
          <w:p w14:paraId="31168B7F" w14:textId="21DDCE44" w:rsidR="00790F34" w:rsidRPr="00A27B12" w:rsidRDefault="00790F34" w:rsidP="00790F34">
            <w:pPr>
              <w:pStyle w:val="Questionheading"/>
              <w:ind w:right="113"/>
            </w:pPr>
            <w:r w:rsidRPr="00A27B12">
              <w:t xml:space="preserve">Discussion questions: </w:t>
            </w:r>
          </w:p>
          <w:p w14:paraId="12D8C704" w14:textId="2B6C5F6D" w:rsidR="00790F34" w:rsidRPr="00A27B12" w:rsidRDefault="00790F34" w:rsidP="00E74A00">
            <w:pPr>
              <w:pStyle w:val="Questiontext"/>
            </w:pPr>
            <w:r w:rsidRPr="00A27B12">
              <w:t>What should our individuals income tax system look like and why?</w:t>
            </w:r>
          </w:p>
        </w:tc>
      </w:tr>
    </w:tbl>
    <w:p w14:paraId="667F23ED" w14:textId="77777777" w:rsidR="00790F34" w:rsidRPr="00A27B12" w:rsidRDefault="00790F34" w:rsidP="0069654F">
      <w:pPr>
        <w:pStyle w:val="Singleparagraph0"/>
        <w:rPr>
          <w:rFonts w:eastAsiaTheme="minorHAnsi"/>
        </w:rPr>
      </w:pPr>
    </w:p>
    <w:p w14:paraId="402C78F6" w14:textId="77777777" w:rsidR="0069654F" w:rsidRPr="00A27B12" w:rsidRDefault="0069654F" w:rsidP="001C78F0">
      <w:pPr>
        <w:rPr>
          <w:rFonts w:eastAsiaTheme="minorHAnsi"/>
        </w:rPr>
      </w:pPr>
    </w:p>
    <w:p w14:paraId="207838B4" w14:textId="609C6033" w:rsidR="001C78F0" w:rsidRPr="00A27B12" w:rsidRDefault="001C78F0" w:rsidP="001C78F0">
      <w:pPr>
        <w:pStyle w:val="Heading2"/>
      </w:pPr>
      <w:bookmarkStart w:id="96" w:name="_Toc404024808"/>
      <w:bookmarkStart w:id="97" w:name="_Toc404342085"/>
      <w:bookmarkStart w:id="98" w:name="_Toc409796496"/>
      <w:bookmarkStart w:id="99" w:name="_Toc403568169"/>
      <w:bookmarkStart w:id="100" w:name="_Toc403651126"/>
      <w:bookmarkStart w:id="101" w:name="_Toc403729291"/>
      <w:bookmarkStart w:id="102" w:name="_Toc403735464"/>
      <w:bookmarkStart w:id="103" w:name="_Toc403742014"/>
      <w:bookmarkStart w:id="104" w:name="_Toc403746125"/>
      <w:bookmarkStart w:id="105" w:name="_Toc403746286"/>
      <w:bookmarkStart w:id="106" w:name="_Toc403750233"/>
      <w:bookmarkStart w:id="107" w:name="_Toc403753135"/>
      <w:bookmarkStart w:id="108" w:name="_Toc403753182"/>
      <w:r w:rsidRPr="00A27B12">
        <w:t>Overview of the fringe benefits tax system</w:t>
      </w:r>
      <w:bookmarkEnd w:id="96"/>
      <w:bookmarkEnd w:id="97"/>
      <w:bookmarkEnd w:id="98"/>
    </w:p>
    <w:p w14:paraId="3F241739" w14:textId="77777777" w:rsidR="001C78F0" w:rsidRPr="00A27B12" w:rsidRDefault="001C78F0" w:rsidP="008D2901">
      <w:pPr>
        <w:pStyle w:val="Heading3"/>
        <w:spacing w:before="120"/>
      </w:pPr>
      <w:bookmarkStart w:id="109" w:name="_Toc402353964"/>
      <w:bookmarkStart w:id="110" w:name="_Toc402368741"/>
      <w:bookmarkStart w:id="111" w:name="_Toc402369827"/>
      <w:bookmarkStart w:id="112" w:name="_Toc402370492"/>
      <w:bookmarkStart w:id="113" w:name="_Toc402371439"/>
      <w:bookmarkStart w:id="114" w:name="_Toc402972771"/>
      <w:bookmarkStart w:id="115" w:name="_Toc403074110"/>
      <w:bookmarkStart w:id="116" w:name="_Toc403132957"/>
      <w:bookmarkStart w:id="117" w:name="_Toc404342086"/>
      <w:bookmarkStart w:id="118" w:name="_Toc409796497"/>
      <w:r w:rsidRPr="00A27B12">
        <w:t>What is fringe benefits tax?</w:t>
      </w:r>
      <w:bookmarkEnd w:id="109"/>
      <w:bookmarkEnd w:id="110"/>
      <w:bookmarkEnd w:id="111"/>
      <w:bookmarkEnd w:id="112"/>
      <w:bookmarkEnd w:id="113"/>
      <w:bookmarkEnd w:id="114"/>
      <w:bookmarkEnd w:id="115"/>
      <w:bookmarkEnd w:id="116"/>
      <w:bookmarkEnd w:id="117"/>
      <w:bookmarkEnd w:id="118"/>
    </w:p>
    <w:p w14:paraId="669BCAA2" w14:textId="0BD10120" w:rsidR="001C78F0" w:rsidRPr="00A27B12" w:rsidRDefault="001C78F0" w:rsidP="001C78F0">
      <w:r w:rsidRPr="00A27B12">
        <w:t xml:space="preserve">FBT is payable on the </w:t>
      </w:r>
      <w:r w:rsidR="00A801BF">
        <w:t>‘</w:t>
      </w:r>
      <w:r w:rsidRPr="00A27B12">
        <w:t>taxable value</w:t>
      </w:r>
      <w:r w:rsidR="00A801BF">
        <w:t>’</w:t>
      </w:r>
      <w:r w:rsidRPr="00A27B12">
        <w:t xml:space="preserve"> of fringe benefits provided to an employee by their employer in respect of their employment. The FBT rate is set at</w:t>
      </w:r>
      <w:r w:rsidR="002D64AF" w:rsidRPr="00A27B12">
        <w:t xml:space="preserve"> the top marginal tax rate plus </w:t>
      </w:r>
      <w:r w:rsidR="00C369F9" w:rsidRPr="00A27B12">
        <w:t xml:space="preserve">the </w:t>
      </w:r>
      <w:r w:rsidRPr="00A27B12">
        <w:t xml:space="preserve">Medicare levy. It is currently 47 per cent, and will increase to 49 per cent from 1 April 2015 </w:t>
      </w:r>
      <w:r w:rsidR="00C369F9" w:rsidRPr="00A27B12">
        <w:t xml:space="preserve">for a period of two years </w:t>
      </w:r>
      <w:r w:rsidRPr="00A27B12">
        <w:t xml:space="preserve">to reflect the imposition of the Temporary Budget Repair Levy. </w:t>
      </w:r>
    </w:p>
    <w:p w14:paraId="48B1859D" w14:textId="70D05CD1" w:rsidR="001C78F0" w:rsidRPr="00A27B12" w:rsidRDefault="001C78F0" w:rsidP="001C78F0">
      <w:r w:rsidRPr="00A27B12">
        <w:t xml:space="preserve">A fringe benefit is anything (other than salary and wages) provided by an employer to an employee. This includes making a car available for </w:t>
      </w:r>
      <w:r w:rsidR="00082626" w:rsidRPr="00A27B12">
        <w:t xml:space="preserve">an </w:t>
      </w:r>
      <w:r w:rsidRPr="00A27B12">
        <w:t>employee</w:t>
      </w:r>
      <w:r w:rsidR="00A801BF">
        <w:t>’</w:t>
      </w:r>
      <w:r w:rsidRPr="00A27B12">
        <w:t>s use</w:t>
      </w:r>
      <w:r w:rsidR="00C17FCB" w:rsidRPr="00A27B12">
        <w:t xml:space="preserve"> or </w:t>
      </w:r>
      <w:r w:rsidRPr="00A27B12">
        <w:t>paying an employee</w:t>
      </w:r>
      <w:r w:rsidR="00A801BF">
        <w:t>’</w:t>
      </w:r>
      <w:r w:rsidRPr="00A27B12">
        <w:t>s home power bill</w:t>
      </w:r>
      <w:r w:rsidR="00C17FCB" w:rsidRPr="00A27B12">
        <w:t xml:space="preserve">. </w:t>
      </w:r>
      <w:r w:rsidRPr="00A27B12">
        <w:t xml:space="preserve">The breadth of the system means </w:t>
      </w:r>
      <w:r w:rsidR="00082626" w:rsidRPr="00A27B12">
        <w:t xml:space="preserve">several </w:t>
      </w:r>
      <w:r w:rsidRPr="00A27B12">
        <w:t>exemptions are required</w:t>
      </w:r>
      <w:r w:rsidR="00082626" w:rsidRPr="00A27B12">
        <w:t xml:space="preserve"> </w:t>
      </w:r>
      <w:r w:rsidRPr="00A27B12">
        <w:t xml:space="preserve">to minimise the compliance costs of valuing very minor benefits. For example, </w:t>
      </w:r>
      <w:r w:rsidR="00C17FCB" w:rsidRPr="00A27B12">
        <w:t>allowing an employee to use office property on business premises — the office phone for a personal call or the office computer to send a private email — is an exempt benefit</w:t>
      </w:r>
      <w:r w:rsidR="00981B2C" w:rsidRPr="00A27B12">
        <w:t>.</w:t>
      </w:r>
      <w:r w:rsidRPr="00A27B12">
        <w:t xml:space="preserve"> Fringe benefits are not included in the employee</w:t>
      </w:r>
      <w:r w:rsidR="00A801BF">
        <w:t>’</w:t>
      </w:r>
      <w:r w:rsidRPr="00A27B12">
        <w:t xml:space="preserve">s assessable income for individual income tax purposes, but the </w:t>
      </w:r>
      <w:r w:rsidR="00981B2C" w:rsidRPr="00A27B12">
        <w:t xml:space="preserve">value of benefits required to be reported is </w:t>
      </w:r>
      <w:r w:rsidRPr="00A27B12">
        <w:t xml:space="preserve">relevant to a number of income </w:t>
      </w:r>
      <w:r w:rsidR="002D7FF4" w:rsidRPr="00A27B12">
        <w:t xml:space="preserve">definitions used to means test </w:t>
      </w:r>
      <w:r w:rsidRPr="00A27B12">
        <w:t>transfer payments and tax concessions.</w:t>
      </w:r>
    </w:p>
    <w:p w14:paraId="5D5FB758" w14:textId="227016EE" w:rsidR="001C78F0" w:rsidRPr="00A27B12" w:rsidRDefault="001C78F0" w:rsidP="001C78F0">
      <w:r w:rsidRPr="00A27B12">
        <w:t>The taxable value of fringe benefits is determined by applying a range of different valuation methodologies</w:t>
      </w:r>
      <w:r w:rsidR="00250E58" w:rsidRPr="00A27B12">
        <w:t>,</w:t>
      </w:r>
      <w:r w:rsidRPr="00A27B12">
        <w:t xml:space="preserve"> some of which provide concessional treatment (for example, </w:t>
      </w:r>
      <w:r w:rsidR="008D39F9" w:rsidRPr="00A27B12">
        <w:t>on motor vehicle fringe benefits</w:t>
      </w:r>
      <w:r w:rsidRPr="00A27B12">
        <w:t>). Certain employers in the not</w:t>
      </w:r>
      <w:r w:rsidR="00A801BF">
        <w:noBreakHyphen/>
      </w:r>
      <w:r w:rsidRPr="00A27B12">
        <w:t>for</w:t>
      </w:r>
      <w:r w:rsidR="00A801BF">
        <w:noBreakHyphen/>
      </w:r>
      <w:r w:rsidRPr="00A27B12">
        <w:t>profit sector have scope to offer a greater range of concessional or exempt fringe benefits (</w:t>
      </w:r>
      <w:r w:rsidR="00BE23D4" w:rsidRPr="00A27B12">
        <w:t xml:space="preserve">also </w:t>
      </w:r>
      <w:r w:rsidRPr="00A27B12">
        <w:t xml:space="preserve">see </w:t>
      </w:r>
      <w:r w:rsidR="00123F98" w:rsidRPr="00A27B12">
        <w:t>Chapter </w:t>
      </w:r>
      <w:r w:rsidR="00BE23D4" w:rsidRPr="00A27B12">
        <w:t>7</w:t>
      </w:r>
      <w:r w:rsidRPr="00A27B12">
        <w:t xml:space="preserve">). </w:t>
      </w:r>
    </w:p>
    <w:p w14:paraId="3C099D9C" w14:textId="77777777" w:rsidR="001C78F0" w:rsidRPr="00A27B12" w:rsidRDefault="001C78F0" w:rsidP="001C78F0">
      <w:pPr>
        <w:pStyle w:val="Heading3"/>
      </w:pPr>
      <w:bookmarkStart w:id="119" w:name="_Toc402353965"/>
      <w:bookmarkStart w:id="120" w:name="_Toc402368742"/>
      <w:bookmarkStart w:id="121" w:name="_Toc402369828"/>
      <w:bookmarkStart w:id="122" w:name="_Toc402370493"/>
      <w:bookmarkStart w:id="123" w:name="_Toc402371440"/>
      <w:bookmarkStart w:id="124" w:name="_Toc402972772"/>
      <w:bookmarkStart w:id="125" w:name="_Toc403074111"/>
      <w:bookmarkStart w:id="126" w:name="_Toc403132958"/>
      <w:bookmarkStart w:id="127" w:name="_Toc404342087"/>
      <w:bookmarkStart w:id="128" w:name="_Toc409796498"/>
      <w:r w:rsidRPr="00A27B12">
        <w:lastRenderedPageBreak/>
        <w:t>How important is fringe benefits tax as a revenue source for government?</w:t>
      </w:r>
      <w:bookmarkEnd w:id="119"/>
      <w:bookmarkEnd w:id="120"/>
      <w:bookmarkEnd w:id="121"/>
      <w:bookmarkEnd w:id="122"/>
      <w:bookmarkEnd w:id="123"/>
      <w:bookmarkEnd w:id="124"/>
      <w:bookmarkEnd w:id="125"/>
      <w:bookmarkEnd w:id="126"/>
      <w:bookmarkEnd w:id="127"/>
      <w:bookmarkEnd w:id="128"/>
    </w:p>
    <w:p w14:paraId="57F04010" w14:textId="5F2BA836" w:rsidR="001C78F0" w:rsidRPr="00A27B12" w:rsidRDefault="001C78F0" w:rsidP="002B771E">
      <w:r w:rsidRPr="00A27B12">
        <w:t>FBT was introduced as an integrity measure to ensure that all forms of remuneration paid to employees bear a fair measure of tax. While it only raised around $4.</w:t>
      </w:r>
      <w:r w:rsidR="00F258B3" w:rsidRPr="00A27B12">
        <w:t>3</w:t>
      </w:r>
      <w:r w:rsidRPr="00A27B12">
        <w:t> billion in revenue in 2013</w:t>
      </w:r>
      <w:r w:rsidR="00A801BF">
        <w:noBreakHyphen/>
      </w:r>
      <w:r w:rsidRPr="00A27B12">
        <w:t>14 (or about 1</w:t>
      </w:r>
      <w:r w:rsidR="000E1BB7" w:rsidRPr="00A27B12">
        <w:t>.2</w:t>
      </w:r>
      <w:r w:rsidRPr="00A27B12">
        <w:t xml:space="preserve"> per cent of total </w:t>
      </w:r>
      <w:r w:rsidR="00E66F30" w:rsidRPr="00A27B12">
        <w:t xml:space="preserve">Australian </w:t>
      </w:r>
      <w:r w:rsidRPr="00A27B12">
        <w:t xml:space="preserve">Government tax </w:t>
      </w:r>
      <w:r w:rsidR="00F258B3" w:rsidRPr="00A27B12">
        <w:t>revenue</w:t>
      </w:r>
      <w:r w:rsidRPr="00A27B12">
        <w:t>),</w:t>
      </w:r>
      <w:r w:rsidR="00E26818" w:rsidRPr="00A27B12">
        <w:rPr>
          <w:rStyle w:val="FootnoteReference"/>
        </w:rPr>
        <w:footnoteReference w:id="11"/>
      </w:r>
      <w:r w:rsidRPr="00A27B12">
        <w:t xml:space="preserve"> it plays an important role in preserving the integrity of the </w:t>
      </w:r>
      <w:r w:rsidR="00EF3A59" w:rsidRPr="00A27B12">
        <w:t>individuals</w:t>
      </w:r>
      <w:r w:rsidRPr="00A27B12">
        <w:t xml:space="preserve"> income tax system. </w:t>
      </w:r>
    </w:p>
    <w:p w14:paraId="36D69036" w14:textId="77777777" w:rsidR="001C78F0" w:rsidRPr="00A27B12" w:rsidRDefault="001C78F0" w:rsidP="00790F34">
      <w:pPr>
        <w:pStyle w:val="Heading3"/>
      </w:pPr>
      <w:bookmarkStart w:id="129" w:name="_Toc402353966"/>
      <w:bookmarkStart w:id="130" w:name="_Toc402368743"/>
      <w:bookmarkStart w:id="131" w:name="_Toc402369829"/>
      <w:bookmarkStart w:id="132" w:name="_Toc402370494"/>
      <w:bookmarkStart w:id="133" w:name="_Toc402371441"/>
      <w:bookmarkStart w:id="134" w:name="_Toc402972773"/>
      <w:bookmarkStart w:id="135" w:name="_Toc403074112"/>
      <w:bookmarkStart w:id="136" w:name="_Toc403132959"/>
      <w:bookmarkStart w:id="137" w:name="_Toc404342088"/>
      <w:bookmarkStart w:id="138" w:name="_Toc409796499"/>
      <w:r w:rsidRPr="00A27B12">
        <w:t>Who pays fringe benefits tax?</w:t>
      </w:r>
      <w:bookmarkEnd w:id="129"/>
      <w:bookmarkEnd w:id="130"/>
      <w:bookmarkEnd w:id="131"/>
      <w:bookmarkEnd w:id="132"/>
      <w:bookmarkEnd w:id="133"/>
      <w:bookmarkEnd w:id="134"/>
      <w:bookmarkEnd w:id="135"/>
      <w:bookmarkEnd w:id="136"/>
      <w:bookmarkEnd w:id="137"/>
      <w:bookmarkEnd w:id="138"/>
    </w:p>
    <w:p w14:paraId="60673EC2" w14:textId="1B3F9459" w:rsidR="001C78F0" w:rsidRPr="00A27B12" w:rsidRDefault="001C78F0" w:rsidP="001C78F0">
      <w:r w:rsidRPr="00A27B12">
        <w:t xml:space="preserve">The legal incidence of FBT </w:t>
      </w:r>
      <w:r w:rsidR="00E042F4" w:rsidRPr="00A27B12">
        <w:t xml:space="preserve">rests with </w:t>
      </w:r>
      <w:r w:rsidRPr="00A27B12">
        <w:t xml:space="preserve">the employer, </w:t>
      </w:r>
      <w:r w:rsidR="00CC18F4" w:rsidRPr="00A27B12">
        <w:t xml:space="preserve">but </w:t>
      </w:r>
      <w:r w:rsidRPr="00A27B12">
        <w:t>the economic incidence will vary depending on the extent to which the employer is able to effectively pass the tax through to the employee. Employees who receive fringe benefits through a salary sacrifice arrangement almost always bear the full economic incidence of FBT because they usually opt into these arrangements. In the long run, the economic incidence of FBT is generally expected to be on the employee.</w:t>
      </w:r>
    </w:p>
    <w:p w14:paraId="73DF7BD4" w14:textId="2F2CFDD8" w:rsidR="001C78F0" w:rsidRPr="00A27B12" w:rsidRDefault="001C78F0" w:rsidP="001C78F0">
      <w:r w:rsidRPr="00A27B12">
        <w:t xml:space="preserve">Only Australia and New Zealand impose FBT on employers, with all other countries taxing fringe benefits in the hands of employees and using far fewer valuation rules, concessions and exemptions. </w:t>
      </w:r>
      <w:r w:rsidR="006A78C4" w:rsidRPr="008C11A2">
        <w:t xml:space="preserve">The administration of the FBT system </w:t>
      </w:r>
      <w:r w:rsidR="00AD7EE2" w:rsidRPr="008C11A2">
        <w:t xml:space="preserve">can be </w:t>
      </w:r>
      <w:r w:rsidR="006A78C4" w:rsidRPr="008C11A2">
        <w:t>complex for employers. W</w:t>
      </w:r>
      <w:r w:rsidR="006341B9" w:rsidRPr="008C11A2">
        <w:t>hile FBT is paid by the employer, employers currently need to attribute certain fringe benefits to individual employees</w:t>
      </w:r>
      <w:r w:rsidR="00B9179C" w:rsidRPr="008C11A2">
        <w:t>,</w:t>
      </w:r>
      <w:r w:rsidR="006341B9" w:rsidRPr="008C11A2">
        <w:t xml:space="preserve"> and report the value of these fringe benefits on individual employee </w:t>
      </w:r>
      <w:r w:rsidR="006A78C4" w:rsidRPr="008C11A2">
        <w:t>payment summaries</w:t>
      </w:r>
      <w:r w:rsidR="006341B9" w:rsidRPr="008C11A2">
        <w:t xml:space="preserve">. This is because </w:t>
      </w:r>
      <w:r w:rsidR="00AD7EE2" w:rsidRPr="008C11A2">
        <w:t xml:space="preserve">some </w:t>
      </w:r>
      <w:r w:rsidR="006341B9" w:rsidRPr="008C11A2">
        <w:t>fringe benefits are included in income tests for transfer payments</w:t>
      </w:r>
      <w:r w:rsidR="006A78C4" w:rsidRPr="008C11A2">
        <w:t xml:space="preserve">, taxes and </w:t>
      </w:r>
      <w:r w:rsidR="006341B9" w:rsidRPr="008C11A2">
        <w:t xml:space="preserve">tax concessions </w:t>
      </w:r>
      <w:r w:rsidR="006A78C4" w:rsidRPr="008C11A2">
        <w:t>the employee</w:t>
      </w:r>
      <w:r w:rsidR="006341B9" w:rsidRPr="008C11A2">
        <w:t xml:space="preserve"> may be eligible for.</w:t>
      </w:r>
      <w:r w:rsidR="006341B9">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790F34" w:rsidRPr="00A27B12" w14:paraId="1B985CAA" w14:textId="77777777" w:rsidTr="00790F34">
        <w:tc>
          <w:tcPr>
            <w:tcW w:w="9384" w:type="dxa"/>
          </w:tcPr>
          <w:p w14:paraId="21C99DE9" w14:textId="216383E9" w:rsidR="00790F34" w:rsidRPr="00A27B12" w:rsidRDefault="00790F34" w:rsidP="00790F34">
            <w:pPr>
              <w:pStyle w:val="Questionheading"/>
              <w:ind w:right="113"/>
            </w:pPr>
            <w:r w:rsidRPr="00A27B12">
              <w:t xml:space="preserve">Discussion questions: </w:t>
            </w:r>
          </w:p>
          <w:p w14:paraId="13937912" w14:textId="49F92C95" w:rsidR="00790F34" w:rsidRPr="00A27B12" w:rsidRDefault="00790F34" w:rsidP="002D64AF">
            <w:pPr>
              <w:pStyle w:val="Questiontext"/>
            </w:pPr>
            <w:bookmarkStart w:id="139" w:name="_Toc404157017"/>
            <w:r w:rsidRPr="00A27B12">
              <w:t>What should our fringe benefits tax system look like and why?</w:t>
            </w:r>
            <w:bookmarkEnd w:id="139"/>
          </w:p>
        </w:tc>
      </w:tr>
    </w:tbl>
    <w:p w14:paraId="44A8D598" w14:textId="0E7023E0" w:rsidR="0056033C" w:rsidRPr="00A27B12" w:rsidRDefault="0056033C" w:rsidP="0069654F">
      <w:pPr>
        <w:pStyle w:val="Singleparagraph0"/>
      </w:pPr>
      <w:bookmarkStart w:id="140" w:name="_Toc404024809"/>
    </w:p>
    <w:p w14:paraId="6CCCBFEB" w14:textId="77777777" w:rsidR="0069654F" w:rsidRPr="00A27B12" w:rsidRDefault="0069654F" w:rsidP="00790F34"/>
    <w:p w14:paraId="6D41C750" w14:textId="78EA1384" w:rsidR="001C78F0" w:rsidRPr="00A27B12" w:rsidRDefault="001C78F0" w:rsidP="001C78F0">
      <w:pPr>
        <w:pStyle w:val="Heading2"/>
      </w:pPr>
      <w:bookmarkStart w:id="141" w:name="_Toc404342089"/>
      <w:bookmarkStart w:id="142" w:name="_Toc409796500"/>
      <w:r w:rsidRPr="00A27B12">
        <w:t xml:space="preserve">Issues in the </w:t>
      </w:r>
      <w:r w:rsidR="00EF3A59" w:rsidRPr="00A27B12">
        <w:t>individuals</w:t>
      </w:r>
      <w:r w:rsidRPr="00A27B12">
        <w:t xml:space="preserve"> income and fringe benefits tax </w:t>
      </w:r>
      <w:bookmarkEnd w:id="87"/>
      <w:bookmarkEnd w:id="88"/>
      <w:bookmarkEnd w:id="89"/>
      <w:bookmarkEnd w:id="90"/>
      <w:bookmarkEnd w:id="91"/>
      <w:bookmarkEnd w:id="92"/>
      <w:bookmarkEnd w:id="93"/>
      <w:bookmarkEnd w:id="94"/>
      <w:bookmarkEnd w:id="95"/>
      <w:bookmarkEnd w:id="99"/>
      <w:bookmarkEnd w:id="100"/>
      <w:bookmarkEnd w:id="101"/>
      <w:bookmarkEnd w:id="102"/>
      <w:r w:rsidRPr="00A27B12">
        <w:t>system</w:t>
      </w:r>
      <w:bookmarkEnd w:id="103"/>
      <w:bookmarkEnd w:id="104"/>
      <w:bookmarkEnd w:id="105"/>
      <w:bookmarkEnd w:id="106"/>
      <w:bookmarkEnd w:id="107"/>
      <w:bookmarkEnd w:id="108"/>
      <w:r w:rsidRPr="00A27B12">
        <w:t>s</w:t>
      </w:r>
      <w:bookmarkEnd w:id="140"/>
      <w:bookmarkEnd w:id="141"/>
      <w:bookmarkEnd w:id="142"/>
    </w:p>
    <w:p w14:paraId="02E7621C" w14:textId="156F3CB1" w:rsidR="00BD7053" w:rsidRPr="00A27B12" w:rsidRDefault="001C78F0" w:rsidP="001C78F0">
      <w:r w:rsidRPr="00A27B12">
        <w:t>Over recent decades there have been significant reforms to Australia</w:t>
      </w:r>
      <w:r w:rsidR="00A801BF">
        <w:t>’</w:t>
      </w:r>
      <w:r w:rsidRPr="00A27B12">
        <w:t xml:space="preserve">s </w:t>
      </w:r>
      <w:proofErr w:type="gramStart"/>
      <w:r w:rsidR="00EF3A59" w:rsidRPr="00A27B12">
        <w:t>individuals</w:t>
      </w:r>
      <w:proofErr w:type="gramEnd"/>
      <w:r w:rsidRPr="00A27B12">
        <w:t xml:space="preserve"> income tax system</w:t>
      </w:r>
      <w:r w:rsidR="009A00AD" w:rsidRPr="00A27B12">
        <w:t>. They have included</w:t>
      </w:r>
      <w:r w:rsidRPr="00A27B12">
        <w:t xml:space="preserve"> the introduction of capital gains </w:t>
      </w:r>
      <w:r w:rsidR="0003699E" w:rsidRPr="00A27B12">
        <w:t xml:space="preserve">tax </w:t>
      </w:r>
      <w:r w:rsidRPr="00A27B12">
        <w:t xml:space="preserve">and FBT in the </w:t>
      </w:r>
      <w:r w:rsidR="003C46F9" w:rsidRPr="00A27B12">
        <w:t>mid</w:t>
      </w:r>
      <w:r w:rsidR="00A801BF">
        <w:noBreakHyphen/>
      </w:r>
      <w:r w:rsidRPr="00A27B12">
        <w:t xml:space="preserve">1980s; integrity measures </w:t>
      </w:r>
      <w:r w:rsidR="009B65F0" w:rsidRPr="00A27B12">
        <w:t xml:space="preserve">like </w:t>
      </w:r>
      <w:r w:rsidRPr="00A27B12">
        <w:t>the introduction of non</w:t>
      </w:r>
      <w:r w:rsidR="00A801BF">
        <w:noBreakHyphen/>
      </w:r>
      <w:r w:rsidRPr="00A27B12">
        <w:t xml:space="preserve">commercial loss rules and expanded definitions of income to better target concessions in the 2000s; and the </w:t>
      </w:r>
      <w:r w:rsidR="009B65F0" w:rsidRPr="00A27B12">
        <w:t xml:space="preserve">recent </w:t>
      </w:r>
      <w:r w:rsidRPr="00A27B12">
        <w:t xml:space="preserve">abolition of poorly targeted concessional tax offsets. </w:t>
      </w:r>
    </w:p>
    <w:p w14:paraId="5B3DE2B0" w14:textId="713A92EF" w:rsidR="003E4CD9" w:rsidRPr="00A27B12" w:rsidRDefault="001C78F0" w:rsidP="001E0975">
      <w:r w:rsidRPr="00A27B12">
        <w:t xml:space="preserve">Nevertheless, there may </w:t>
      </w:r>
      <w:r w:rsidR="009B65F0" w:rsidRPr="00A27B12">
        <w:t xml:space="preserve">still be </w:t>
      </w:r>
      <w:r w:rsidRPr="00A27B12">
        <w:t xml:space="preserve">scope </w:t>
      </w:r>
      <w:r w:rsidR="009B65F0" w:rsidRPr="00A27B12">
        <w:t xml:space="preserve">for </w:t>
      </w:r>
      <w:r w:rsidRPr="00A27B12">
        <w:t>further reform</w:t>
      </w:r>
      <w:r w:rsidR="009B65F0" w:rsidRPr="00A27B12">
        <w:t>s</w:t>
      </w:r>
      <w:r w:rsidRPr="00A27B12">
        <w:t xml:space="preserve"> </w:t>
      </w:r>
      <w:r w:rsidR="009B65F0" w:rsidRPr="00A27B12">
        <w:t xml:space="preserve">of </w:t>
      </w:r>
      <w:r w:rsidRPr="00A27B12">
        <w:t xml:space="preserve">our </w:t>
      </w:r>
      <w:proofErr w:type="gramStart"/>
      <w:r w:rsidR="00EF3A59" w:rsidRPr="00A27B12">
        <w:t>individuals</w:t>
      </w:r>
      <w:proofErr w:type="gramEnd"/>
      <w:r w:rsidRPr="00A27B12">
        <w:t xml:space="preserve"> income tax system</w:t>
      </w:r>
      <w:r w:rsidR="00FA49F3" w:rsidRPr="00A27B12">
        <w:t xml:space="preserve"> given the impact that the </w:t>
      </w:r>
      <w:r w:rsidR="00EF3A59" w:rsidRPr="00A27B12">
        <w:t>individuals</w:t>
      </w:r>
      <w:r w:rsidR="00FA49F3" w:rsidRPr="00A27B12">
        <w:t xml:space="preserve"> income tax </w:t>
      </w:r>
      <w:r w:rsidR="002D7FF4" w:rsidRPr="00A27B12">
        <w:t xml:space="preserve">system </w:t>
      </w:r>
      <w:r w:rsidR="00FA49F3" w:rsidRPr="00A27B12">
        <w:t xml:space="preserve">can have on economic </w:t>
      </w:r>
      <w:r w:rsidR="00FA49F3" w:rsidRPr="00A27B12">
        <w:lastRenderedPageBreak/>
        <w:t>growth and living standards</w:t>
      </w:r>
      <w:r w:rsidRPr="00A27B12">
        <w:t xml:space="preserve">. </w:t>
      </w:r>
      <w:r w:rsidR="003E4CD9" w:rsidRPr="00A27B12">
        <w:t>This section discusses some of the issues that may warrant further consideration. Some of them arise from competing objectives and interactions with the transfer system. Others come from features of the tax system that may no longer be appropriate to a modern economy and societal expectations.</w:t>
      </w:r>
    </w:p>
    <w:p w14:paraId="3EF44C93" w14:textId="617B2258" w:rsidR="003E4CD9" w:rsidRPr="00A27B12" w:rsidRDefault="003E4CD9" w:rsidP="003E4CD9">
      <w:pPr>
        <w:pStyle w:val="Heading3"/>
      </w:pPr>
      <w:bookmarkStart w:id="143" w:name="_Toc409796501"/>
      <w:r w:rsidRPr="00A27B12">
        <w:t>Bracket creep</w:t>
      </w:r>
      <w:bookmarkEnd w:id="143"/>
    </w:p>
    <w:p w14:paraId="4FE855B2" w14:textId="4B2E2C62" w:rsidR="001E0975" w:rsidRPr="00A27B12" w:rsidRDefault="001E0975" w:rsidP="001E0975">
      <w:r w:rsidRPr="00A27B12">
        <w:t xml:space="preserve">As discussed in </w:t>
      </w:r>
      <w:r w:rsidR="003C1E70" w:rsidRPr="00A27B12">
        <w:t>C</w:t>
      </w:r>
      <w:r w:rsidRPr="00A27B12">
        <w:t xml:space="preserve">hapter 2, bracket creep erodes the real rewards for effort over time, and exacerbates </w:t>
      </w:r>
      <w:r w:rsidR="008E7ED0" w:rsidRPr="00A27B12">
        <w:t xml:space="preserve">existing </w:t>
      </w:r>
      <w:r w:rsidRPr="00A27B12">
        <w:t xml:space="preserve">disincentives to participate in the workforce and the incentives for tax planning and structuring. </w:t>
      </w:r>
      <w:r w:rsidR="008E7ED0" w:rsidRPr="00A27B12">
        <w:t xml:space="preserve">While it is important for governments to address the impact that unchecked bracket creep can have, it is also important to consider the features inherent in the current design of the individuals tax system </w:t>
      </w:r>
      <w:r w:rsidR="003E4CD9" w:rsidRPr="00A27B12">
        <w:t xml:space="preserve">that reinforce the need to hand back bracket creep in the form of tax cuts. </w:t>
      </w:r>
    </w:p>
    <w:p w14:paraId="455A8DFB" w14:textId="0559B440" w:rsidR="003E4CD9" w:rsidRPr="00A27B12" w:rsidRDefault="001E0975" w:rsidP="001C78F0">
      <w:r w:rsidRPr="00A27B12">
        <w:t>Governments have responded to these issues by adjust</w:t>
      </w:r>
      <w:r w:rsidR="00BA3806" w:rsidRPr="00A27B12">
        <w:t>ing the thresholds periodically and</w:t>
      </w:r>
      <w:r w:rsidRPr="00A27B12">
        <w:t xml:space="preserve"> providing tax cuts. As discussed below, it is important that barriers to workforce participation are limited in order to protect Australia</w:t>
      </w:r>
      <w:r w:rsidR="00A801BF">
        <w:t>’</w:t>
      </w:r>
      <w:r w:rsidRPr="00A27B12">
        <w:t>s living standards as our population ages. While other factors in the tax and social security systems may also contribute to potential work disincentives, bracket creep is a</w:t>
      </w:r>
      <w:r w:rsidR="00AB60DD" w:rsidRPr="00A27B12">
        <w:t>n</w:t>
      </w:r>
      <w:r w:rsidRPr="00A27B12">
        <w:t xml:space="preserve"> important consideration in maintaining reward for effort and the integrity of our tax system.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790F34" w:rsidRPr="00A27B12" w14:paraId="7783C263" w14:textId="77777777" w:rsidTr="00790F34">
        <w:tc>
          <w:tcPr>
            <w:tcW w:w="9384" w:type="dxa"/>
          </w:tcPr>
          <w:p w14:paraId="6AC2394A" w14:textId="62EF7412" w:rsidR="00790F34" w:rsidRPr="00A27B12" w:rsidRDefault="00790F34" w:rsidP="00790F34">
            <w:pPr>
              <w:pStyle w:val="Questionheading"/>
              <w:ind w:right="113"/>
            </w:pPr>
            <w:r w:rsidRPr="00A27B12">
              <w:t xml:space="preserve">Discussion questions: </w:t>
            </w:r>
          </w:p>
          <w:p w14:paraId="411C58B4" w14:textId="39F40EFB" w:rsidR="00790F34" w:rsidRPr="00A27B12" w:rsidRDefault="00790F34" w:rsidP="002D64AF">
            <w:pPr>
              <w:pStyle w:val="Questiontext"/>
            </w:pPr>
            <w:r w:rsidRPr="00A27B12">
              <w:t>At what levels of income is it most important to deliver tax cuts and why?</w:t>
            </w:r>
          </w:p>
        </w:tc>
      </w:tr>
    </w:tbl>
    <w:p w14:paraId="7F1CFCBF" w14:textId="77777777" w:rsidR="00790F34" w:rsidRPr="00A27B12" w:rsidRDefault="00790F34" w:rsidP="001C78F0"/>
    <w:p w14:paraId="745CA1B6" w14:textId="77777777" w:rsidR="001C78F0" w:rsidRPr="00A27B12" w:rsidRDefault="001C78F0" w:rsidP="001C78F0">
      <w:pPr>
        <w:pStyle w:val="Heading3"/>
      </w:pPr>
      <w:bookmarkStart w:id="144" w:name="_Toc404342090"/>
      <w:bookmarkStart w:id="145" w:name="_Toc409796502"/>
      <w:r w:rsidRPr="00A27B12">
        <w:t>Implications for labour supply</w:t>
      </w:r>
      <w:bookmarkEnd w:id="144"/>
      <w:bookmarkEnd w:id="145"/>
    </w:p>
    <w:p w14:paraId="20B4C56B" w14:textId="77777777" w:rsidR="001C78F0" w:rsidRPr="00A27B12" w:rsidRDefault="001C78F0" w:rsidP="001C78F0">
      <w:pPr>
        <w:pStyle w:val="Heading4"/>
        <w:rPr>
          <w:b w:val="0"/>
          <w:i/>
        </w:rPr>
      </w:pPr>
      <w:bookmarkStart w:id="146" w:name="_Toc404342091"/>
      <w:bookmarkStart w:id="147" w:name="_Toc409796503"/>
      <w:r w:rsidRPr="00A27B12">
        <w:t>Potential workforce participation disincentives</w:t>
      </w:r>
      <w:bookmarkEnd w:id="146"/>
      <w:bookmarkEnd w:id="147"/>
    </w:p>
    <w:p w14:paraId="52066EEA" w14:textId="797913C9" w:rsidR="001C78F0" w:rsidRPr="00A27B12" w:rsidRDefault="001C78F0" w:rsidP="001C78F0">
      <w:r w:rsidRPr="00A27B12">
        <w:t>Australia</w:t>
      </w:r>
      <w:r w:rsidR="00A801BF">
        <w:t>’</w:t>
      </w:r>
      <w:r w:rsidRPr="00A27B12">
        <w:t>s workforce participation rates,</w:t>
      </w:r>
      <w:r w:rsidRPr="00A27B12">
        <w:rPr>
          <w:rStyle w:val="FootnoteReference"/>
        </w:rPr>
        <w:footnoteReference w:id="12"/>
      </w:r>
      <w:r w:rsidRPr="00A27B12">
        <w:t xml:space="preserve"> particularly female participation rates, </w:t>
      </w:r>
      <w:r w:rsidR="00CE1C21" w:rsidRPr="00A27B12">
        <w:t xml:space="preserve">are </w:t>
      </w:r>
      <w:r w:rsidRPr="00A27B12">
        <w:t>low</w:t>
      </w:r>
      <w:r w:rsidR="000A12AD" w:rsidRPr="00A27B12">
        <w:t>er</w:t>
      </w:r>
      <w:r w:rsidRPr="00A27B12">
        <w:t xml:space="preserve"> </w:t>
      </w:r>
      <w:r w:rsidR="000A12AD" w:rsidRPr="00A27B12">
        <w:t xml:space="preserve">than </w:t>
      </w:r>
      <w:r w:rsidR="00596607" w:rsidRPr="00A27B12">
        <w:t xml:space="preserve">most </w:t>
      </w:r>
      <w:r w:rsidR="000A12AD" w:rsidRPr="00A27B12">
        <w:t xml:space="preserve">comparable </w:t>
      </w:r>
      <w:r w:rsidR="00234787" w:rsidRPr="00A27B12">
        <w:t>Organisation for Economic Co</w:t>
      </w:r>
      <w:r w:rsidR="00A801BF">
        <w:noBreakHyphen/>
      </w:r>
      <w:r w:rsidR="00234787" w:rsidRPr="00A27B12">
        <w:t>operation and Development (</w:t>
      </w:r>
      <w:r w:rsidR="00596607" w:rsidRPr="00A27B12">
        <w:t>OECD</w:t>
      </w:r>
      <w:r w:rsidR="00234787" w:rsidRPr="00A27B12">
        <w:t>)</w:t>
      </w:r>
      <w:r w:rsidR="00596607" w:rsidRPr="00A27B12">
        <w:t xml:space="preserve"> </w:t>
      </w:r>
      <w:r w:rsidRPr="00A27B12">
        <w:t>countries</w:t>
      </w:r>
      <w:r w:rsidR="008C3A3C" w:rsidRPr="00A27B12">
        <w:t>.</w:t>
      </w:r>
      <w:r w:rsidRPr="00A27B12">
        <w:t xml:space="preserve"> </w:t>
      </w:r>
      <w:r w:rsidR="008C3A3C" w:rsidRPr="00A27B12">
        <w:t>F</w:t>
      </w:r>
      <w:r w:rsidRPr="00A27B12">
        <w:t xml:space="preserve">or example, </w:t>
      </w:r>
      <w:r w:rsidR="008C3A3C" w:rsidRPr="00A27B12">
        <w:t xml:space="preserve">while the participation rate of women between the ages of 15 and 64 in Australia has increased from 65.3 per cent in 2000 to 70.5 per cent in 2013, </w:t>
      </w:r>
      <w:r w:rsidRPr="00A27B12">
        <w:t xml:space="preserve">Australia </w:t>
      </w:r>
      <w:r w:rsidR="008C3A3C" w:rsidRPr="00A27B12">
        <w:t xml:space="preserve">is </w:t>
      </w:r>
      <w:r w:rsidRPr="00A27B12">
        <w:t xml:space="preserve">ranked 13th </w:t>
      </w:r>
      <w:r w:rsidR="00AF354D" w:rsidRPr="00A27B12">
        <w:t xml:space="preserve">of the 34 OECD </w:t>
      </w:r>
      <w:r w:rsidR="002D7FF4" w:rsidRPr="00A27B12">
        <w:t xml:space="preserve">countries </w:t>
      </w:r>
      <w:r w:rsidR="00AF354D" w:rsidRPr="00A27B12">
        <w:t xml:space="preserve">for </w:t>
      </w:r>
      <w:r w:rsidR="008C3A3C" w:rsidRPr="00A27B12">
        <w:t>female participation</w:t>
      </w:r>
      <w:r w:rsidRPr="00A27B12">
        <w:t>.</w:t>
      </w:r>
      <w:r w:rsidRPr="00A27B12">
        <w:rPr>
          <w:rStyle w:val="FootnoteReference"/>
        </w:rPr>
        <w:footnoteReference w:id="13"/>
      </w:r>
      <w:r w:rsidR="00335E24" w:rsidRPr="00A27B12">
        <w:t xml:space="preserve"> </w:t>
      </w:r>
      <w:r w:rsidRPr="00A27B12">
        <w:t>With an ageing population leading to a higher proportion of the population in retirement it will be important to ensure that barriers to participation are minimised.</w:t>
      </w:r>
    </w:p>
    <w:p w14:paraId="5DA2C262" w14:textId="21915E64" w:rsidR="002D7FF4" w:rsidRPr="00A27B12" w:rsidRDefault="001C78F0" w:rsidP="001C78F0">
      <w:r w:rsidRPr="00A27B12">
        <w:t xml:space="preserve">An unavoidable feature of the progressivity in the </w:t>
      </w:r>
      <w:proofErr w:type="gramStart"/>
      <w:r w:rsidR="00EF3A59" w:rsidRPr="00A27B12">
        <w:t>individuals</w:t>
      </w:r>
      <w:proofErr w:type="gramEnd"/>
      <w:r w:rsidRPr="00A27B12">
        <w:t xml:space="preserve"> income tax system, combined with targeted assistance in the transfer system, is the creation of high effective tax rates that reduce the immediate rewards for work. A person choosing to pick up an additional shift may pay more tax on that income or receive a smaller amount of any </w:t>
      </w:r>
      <w:r w:rsidR="00F77E7B" w:rsidRPr="00A27B12">
        <w:t>means</w:t>
      </w:r>
      <w:r w:rsidR="00A801BF">
        <w:noBreakHyphen/>
      </w:r>
      <w:r w:rsidRPr="00A27B12">
        <w:t xml:space="preserve">tested transfer </w:t>
      </w:r>
      <w:r w:rsidRPr="00A27B12">
        <w:lastRenderedPageBreak/>
        <w:t xml:space="preserve">payment they </w:t>
      </w:r>
      <w:r w:rsidR="002D7FF4" w:rsidRPr="00A27B12">
        <w:t xml:space="preserve">are eligible to </w:t>
      </w:r>
      <w:r w:rsidRPr="00A27B12">
        <w:t xml:space="preserve">receive. Effective tax rates are the proportion of any increase in income that is lost to tax </w:t>
      </w:r>
      <w:r w:rsidR="00950291" w:rsidRPr="00A27B12">
        <w:t xml:space="preserve">or the </w:t>
      </w:r>
      <w:r w:rsidRPr="00A27B12">
        <w:t xml:space="preserve">withdrawal of transfer payments and may reduce incentives to work. </w:t>
      </w:r>
    </w:p>
    <w:p w14:paraId="51824BC5" w14:textId="442DD881" w:rsidR="001C78F0" w:rsidRPr="00A27B12" w:rsidRDefault="002D7FF4" w:rsidP="001C78F0">
      <w:r w:rsidRPr="00A27B12">
        <w:t>R</w:t>
      </w:r>
      <w:r w:rsidR="006736E4" w:rsidRPr="00A27B12">
        <w:t xml:space="preserve">educing effective tax rates </w:t>
      </w:r>
      <w:r w:rsidRPr="00A27B12">
        <w:t>is not straightforward</w:t>
      </w:r>
      <w:r w:rsidR="001C78F0" w:rsidRPr="00A27B12">
        <w:t xml:space="preserve"> because reducing the rate at which payments are withdrawn</w:t>
      </w:r>
      <w:r w:rsidR="00335BBB" w:rsidRPr="00A27B12">
        <w:t>, or removing targeting altogether,</w:t>
      </w:r>
      <w:r w:rsidR="001C78F0" w:rsidRPr="00A27B12">
        <w:t xml:space="preserve"> would extend assistance to higher income levels. </w:t>
      </w:r>
      <w:r w:rsidR="009B68A2" w:rsidRPr="00A27B12">
        <w:t>Alternatively, r</w:t>
      </w:r>
      <w:r w:rsidR="001C78F0" w:rsidRPr="00A27B12">
        <w:t>emoving taper rates</w:t>
      </w:r>
      <w:r w:rsidR="00335BBB" w:rsidRPr="00A27B12">
        <w:t xml:space="preserve"> while still preserving targeting</w:t>
      </w:r>
      <w:r w:rsidR="001C78F0" w:rsidRPr="00A27B12">
        <w:t xml:space="preserve"> would mean that people would face abrupt losses of entire payments. </w:t>
      </w:r>
      <w:r w:rsidR="00DB6C9D" w:rsidRPr="00A27B12">
        <w:t>Further, e</w:t>
      </w:r>
      <w:r w:rsidR="001C78F0" w:rsidRPr="00A27B12">
        <w:t>ffective tax rates capture the withdrawal of the transfer payment itself, but do not reflect the abrupt loss of any associated benefits which only happens when a person loses their very last dollar of payment.</w:t>
      </w:r>
    </w:p>
    <w:p w14:paraId="0EA1A12E" w14:textId="4467D936" w:rsidR="001C78F0" w:rsidRPr="00A27B12" w:rsidRDefault="002D7FF4" w:rsidP="00ED75F7">
      <w:r w:rsidRPr="00A27B12">
        <w:t>G</w:t>
      </w:r>
      <w:r w:rsidR="001C78F0" w:rsidRPr="00A27B12">
        <w:t xml:space="preserve">iven the complexity of the interactions between </w:t>
      </w:r>
      <w:r w:rsidR="006736E4" w:rsidRPr="00A27B12">
        <w:t xml:space="preserve">various components of </w:t>
      </w:r>
      <w:r w:rsidR="001C78F0" w:rsidRPr="00A27B12">
        <w:t>the tax and transfer system</w:t>
      </w:r>
      <w:r w:rsidR="00BE23D4" w:rsidRPr="00A27B12">
        <w:t>s</w:t>
      </w:r>
      <w:r w:rsidR="001C78F0" w:rsidRPr="00A27B12">
        <w:t xml:space="preserve"> </w:t>
      </w:r>
      <w:r w:rsidRPr="00A27B12">
        <w:t xml:space="preserve">it is possible </w:t>
      </w:r>
      <w:r w:rsidR="009921A5" w:rsidRPr="00A27B12">
        <w:t xml:space="preserve">that </w:t>
      </w:r>
      <w:r w:rsidR="001C78F0" w:rsidRPr="00A27B12">
        <w:t xml:space="preserve">some people do not have a good understanding of </w:t>
      </w:r>
      <w:r w:rsidR="006736E4" w:rsidRPr="00A27B12">
        <w:t xml:space="preserve">how </w:t>
      </w:r>
      <w:r w:rsidR="001C78F0" w:rsidRPr="00A27B12">
        <w:t xml:space="preserve">their participation decisions </w:t>
      </w:r>
      <w:r w:rsidR="006736E4" w:rsidRPr="00A27B12">
        <w:t xml:space="preserve">affect </w:t>
      </w:r>
      <w:r w:rsidR="001C78F0" w:rsidRPr="00A27B12">
        <w:t xml:space="preserve">their disposable incomes. The </w:t>
      </w:r>
      <w:r w:rsidR="006736E4" w:rsidRPr="00A27B12">
        <w:t xml:space="preserve">two </w:t>
      </w:r>
      <w:r w:rsidR="001C78F0" w:rsidRPr="00A27B12">
        <w:t>systems have different units of assessment, different periods of assessment and reconciliation, and differences in the timeliness of assistance. It is therefore difficult to say how important effective tax rates actually are in driving participation decisions at the margin, although it is likely that most people are broadly aware of the impact of substantial changes to the numbers of hours they</w:t>
      </w:r>
      <w:r w:rsidR="007C0A2C" w:rsidRPr="00A27B12">
        <w:t> </w:t>
      </w:r>
      <w:r w:rsidR="001C78F0" w:rsidRPr="00A27B12">
        <w:t xml:space="preserve">work. </w:t>
      </w:r>
    </w:p>
    <w:p w14:paraId="69B128AA" w14:textId="4D099190" w:rsidR="001C78F0" w:rsidRPr="00A27B12" w:rsidRDefault="001C78F0" w:rsidP="001C78F0">
      <w:r w:rsidRPr="00A27B12">
        <w:t>The extent to which someone</w:t>
      </w:r>
      <w:r w:rsidR="00A801BF">
        <w:t>’</w:t>
      </w:r>
      <w:r w:rsidRPr="00A27B12">
        <w:t xml:space="preserve">s workforce participation is influenced by effective tax rates </w:t>
      </w:r>
      <w:r w:rsidR="002D7FF4" w:rsidRPr="00A27B12">
        <w:t xml:space="preserve">also </w:t>
      </w:r>
      <w:r w:rsidRPr="00A27B12">
        <w:t xml:space="preserve">depends on the particular circumstances of the individual and their household. </w:t>
      </w:r>
      <w:r w:rsidR="00D10199" w:rsidRPr="00A27B12">
        <w:t>T</w:t>
      </w:r>
      <w:r w:rsidRPr="00A27B12">
        <w:t xml:space="preserve">he groups most likely to </w:t>
      </w:r>
      <w:r w:rsidR="002D7FF4" w:rsidRPr="00A27B12">
        <w:t xml:space="preserve">respond </w:t>
      </w:r>
      <w:r w:rsidRPr="00A27B12">
        <w:t xml:space="preserve">to high effective tax rates include the unemployed and </w:t>
      </w:r>
      <w:r w:rsidR="006736E4" w:rsidRPr="00A27B12">
        <w:t>lower</w:t>
      </w:r>
      <w:r w:rsidR="00A801BF">
        <w:noBreakHyphen/>
      </w:r>
      <w:r w:rsidRPr="00A27B12">
        <w:t>income earners (who often work part</w:t>
      </w:r>
      <w:r w:rsidR="00A801BF">
        <w:noBreakHyphen/>
      </w:r>
      <w:r w:rsidRPr="00A27B12">
        <w:t>time).</w:t>
      </w:r>
      <w:r w:rsidR="00FB0FFA" w:rsidRPr="00A27B12">
        <w:rPr>
          <w:rStyle w:val="FootnoteReference"/>
        </w:rPr>
        <w:footnoteReference w:id="14"/>
      </w:r>
      <w:r w:rsidR="00ED75F7" w:rsidRPr="00ED75F7">
        <w:rPr>
          <w:vertAlign w:val="superscript"/>
        </w:rPr>
        <w:t>,</w:t>
      </w:r>
      <w:r w:rsidR="00FB0FFA" w:rsidRPr="00A27B12">
        <w:rPr>
          <w:rStyle w:val="FootnoteReference"/>
        </w:rPr>
        <w:footnoteReference w:id="15"/>
      </w:r>
      <w:r w:rsidRPr="00A27B12">
        <w:t xml:space="preserve"> </w:t>
      </w:r>
      <w:r w:rsidR="00054BC9" w:rsidRPr="00A27B12">
        <w:t xml:space="preserve">Primary care givers, such as parents with </w:t>
      </w:r>
      <w:r w:rsidRPr="00A27B12">
        <w:t>young children</w:t>
      </w:r>
      <w:r w:rsidR="00054BC9" w:rsidRPr="00A27B12">
        <w:t>,</w:t>
      </w:r>
      <w:r w:rsidRPr="00A27B12">
        <w:t xml:space="preserve"> are also relatively responsive to effective tax rates but they also respon</w:t>
      </w:r>
      <w:r w:rsidR="00BE2FC2" w:rsidRPr="00A27B12">
        <w:t>d</w:t>
      </w:r>
      <w:r w:rsidRPr="00A27B12">
        <w:t xml:space="preserve"> to other costs associated with working, such as child care</w:t>
      </w:r>
      <w:r w:rsidR="00CC4C31" w:rsidRPr="00A27B12">
        <w:t xml:space="preserve"> </w:t>
      </w:r>
      <w:r w:rsidRPr="00A27B12">
        <w:t>— particularly if they are single parents or the secondary earner in a couple.</w:t>
      </w:r>
      <w:r w:rsidR="00FB0FFA" w:rsidRPr="00A27B12">
        <w:rPr>
          <w:rStyle w:val="FootnoteReference"/>
        </w:rPr>
        <w:footnoteReference w:id="16"/>
      </w:r>
      <w:r w:rsidRPr="00A27B12">
        <w:t xml:space="preserve"> Another </w:t>
      </w:r>
      <w:r w:rsidR="00BA3806" w:rsidRPr="00A27B12">
        <w:t>consideration</w:t>
      </w:r>
      <w:r w:rsidRPr="00A27B12">
        <w:t xml:space="preserve"> is </w:t>
      </w:r>
      <w:r w:rsidR="00C90354" w:rsidRPr="00A27B12">
        <w:t xml:space="preserve">access to </w:t>
      </w:r>
      <w:r w:rsidRPr="00A27B12">
        <w:t xml:space="preserve">public housing. </w:t>
      </w:r>
    </w:p>
    <w:p w14:paraId="4CD62B22" w14:textId="518EF546" w:rsidR="00335E24" w:rsidRPr="00A27B12" w:rsidRDefault="001C78F0" w:rsidP="001C78F0">
      <w:proofErr w:type="gramStart"/>
      <w:r w:rsidRPr="00A27B12">
        <w:t>Decisions about whether or how much to work can also be driven by non</w:t>
      </w:r>
      <w:r w:rsidR="00A801BF">
        <w:noBreakHyphen/>
      </w:r>
      <w:r w:rsidRPr="00A27B12">
        <w:t xml:space="preserve">financial considerations, such as the intrinsic value people place on </w:t>
      </w:r>
      <w:r w:rsidR="00934DC0" w:rsidRPr="00A27B12">
        <w:t xml:space="preserve">either </w:t>
      </w:r>
      <w:r w:rsidRPr="00A27B12">
        <w:t xml:space="preserve">their </w:t>
      </w:r>
      <w:r w:rsidR="00934DC0" w:rsidRPr="00A27B12">
        <w:t xml:space="preserve">work </w:t>
      </w:r>
      <w:r w:rsidRPr="00A27B12">
        <w:t xml:space="preserve">or </w:t>
      </w:r>
      <w:r w:rsidR="005C3BE3" w:rsidRPr="00A27B12">
        <w:t xml:space="preserve">on </w:t>
      </w:r>
      <w:r w:rsidRPr="00A27B12">
        <w:t>their roles outside work.</w:t>
      </w:r>
      <w:proofErr w:type="gramEnd"/>
      <w:r w:rsidRPr="00A27B12">
        <w:t xml:space="preserve"> </w:t>
      </w:r>
      <w:r w:rsidR="00BE2FC2" w:rsidRPr="00A27B12">
        <w:t xml:space="preserve">People </w:t>
      </w:r>
      <w:r w:rsidRPr="00A27B12">
        <w:t xml:space="preserve">may also </w:t>
      </w:r>
      <w:r w:rsidR="00D90BD1" w:rsidRPr="00A27B12">
        <w:t xml:space="preserve">value </w:t>
      </w:r>
      <w:r w:rsidRPr="00A27B12">
        <w:t xml:space="preserve">the potential </w:t>
      </w:r>
      <w:r w:rsidR="00BE2FC2" w:rsidRPr="00A27B12">
        <w:t>longer</w:t>
      </w:r>
      <w:r w:rsidR="00A801BF">
        <w:noBreakHyphen/>
      </w:r>
      <w:r w:rsidRPr="00A27B12">
        <w:t xml:space="preserve">term benefits </w:t>
      </w:r>
      <w:r w:rsidR="00BE2FC2" w:rsidRPr="00A27B12">
        <w:t xml:space="preserve">of attachment </w:t>
      </w:r>
      <w:r w:rsidRPr="00A27B12">
        <w:t xml:space="preserve">to the workforce (such as implications for future promotions or pay increases) and weigh these against the </w:t>
      </w:r>
      <w:r w:rsidR="00BE2FC2" w:rsidRPr="00A27B12">
        <w:t xml:space="preserve">function </w:t>
      </w:r>
      <w:r w:rsidRPr="00A27B12">
        <w:t xml:space="preserve">they wish to </w:t>
      </w:r>
      <w:r w:rsidR="00BE2FC2" w:rsidRPr="00A27B12">
        <w:t xml:space="preserve">perform </w:t>
      </w:r>
      <w:r w:rsidRPr="00A27B12">
        <w:t>outside work, such as caring.</w:t>
      </w:r>
      <w:r w:rsidR="00E14102" w:rsidRPr="00A27B12">
        <w:t xml:space="preserve"> These issues are being considered as part of the Government</w:t>
      </w:r>
      <w:r w:rsidR="00A801BF">
        <w:t>’</w:t>
      </w:r>
      <w:r w:rsidR="00E14102" w:rsidRPr="00A27B12">
        <w:t xml:space="preserve">s </w:t>
      </w:r>
      <w:proofErr w:type="gramStart"/>
      <w:r w:rsidR="00E14102" w:rsidRPr="00A27B12">
        <w:t>families</w:t>
      </w:r>
      <w:proofErr w:type="gramEnd"/>
      <w:r w:rsidR="00E14102" w:rsidRPr="00A27B12">
        <w:t xml:space="preserve"> package.</w:t>
      </w:r>
    </w:p>
    <w:p w14:paraId="27232321" w14:textId="7A80AAD6" w:rsidR="0056033C" w:rsidRPr="00A27B12" w:rsidRDefault="0056033C" w:rsidP="001C78F0">
      <w:r w:rsidRPr="00A27B12">
        <w:t xml:space="preserve">In the absence of any changes to payments or assistance, and all else being equal, targeting tax cuts at the lower end of the income spectrum should generate a higher participation </w:t>
      </w:r>
      <w:r w:rsidR="000A0614" w:rsidRPr="00A27B12">
        <w:t xml:space="preserve">response </w:t>
      </w:r>
      <w:r w:rsidRPr="00A27B12">
        <w:t xml:space="preserve">than if the same value of tax cuts were delivered at higher incomes. This is because </w:t>
      </w:r>
      <w:r w:rsidR="003C46F9" w:rsidRPr="00A27B12">
        <w:t>r</w:t>
      </w:r>
      <w:r w:rsidR="005C3BE3" w:rsidRPr="00A27B12">
        <w:t>elatively low</w:t>
      </w:r>
      <w:r w:rsidR="00A801BF">
        <w:noBreakHyphen/>
      </w:r>
      <w:r w:rsidR="005C3BE3" w:rsidRPr="00A27B12">
        <w:t xml:space="preserve">income </w:t>
      </w:r>
      <w:r w:rsidR="004B1833" w:rsidRPr="00A27B12">
        <w:t xml:space="preserve">individuals </w:t>
      </w:r>
      <w:r w:rsidRPr="00A27B12">
        <w:t xml:space="preserve">are more likely to </w:t>
      </w:r>
      <w:r w:rsidR="005C3BE3" w:rsidRPr="00A27B12">
        <w:t xml:space="preserve">be </w:t>
      </w:r>
      <w:r w:rsidRPr="00A27B12">
        <w:t>work</w:t>
      </w:r>
      <w:r w:rsidR="005C3BE3" w:rsidRPr="00A27B12">
        <w:t>ing</w:t>
      </w:r>
      <w:r w:rsidRPr="00A27B12">
        <w:t xml:space="preserve"> part</w:t>
      </w:r>
      <w:r w:rsidR="00A801BF">
        <w:noBreakHyphen/>
      </w:r>
      <w:r w:rsidRPr="00A27B12">
        <w:t>time or on a casual basis</w:t>
      </w:r>
      <w:r w:rsidR="008D1C67" w:rsidRPr="00A27B12">
        <w:t xml:space="preserve"> (as shown in Chart 3</w:t>
      </w:r>
      <w:r w:rsidRPr="00A27B12">
        <w:t xml:space="preserve">.3), and be more responsive to changes in disposable </w:t>
      </w:r>
      <w:r w:rsidRPr="00A27B12">
        <w:lastRenderedPageBreak/>
        <w:t>i</w:t>
      </w:r>
      <w:r w:rsidR="005C3BE3" w:rsidRPr="00A27B12">
        <w:t>ncome. In addition,</w:t>
      </w:r>
      <w:r w:rsidRPr="00A27B12">
        <w:t xml:space="preserve"> the same dollar value increase or decrease (which would be a bigger proportion of earnings at relatively low levels than at the higher end) will potentially provide a bigger incentive for </w:t>
      </w:r>
      <w:r w:rsidR="005C3BE3" w:rsidRPr="00A27B12">
        <w:t xml:space="preserve">increased workforce </w:t>
      </w:r>
      <w:r w:rsidRPr="00A27B12">
        <w:t>participation.</w:t>
      </w:r>
    </w:p>
    <w:p w14:paraId="5675D8B8" w14:textId="2C2AED45" w:rsidR="001C78F0" w:rsidRPr="00A27B12" w:rsidRDefault="00335E24" w:rsidP="00335E24">
      <w:pPr>
        <w:pStyle w:val="ChartMainHeading"/>
      </w:pPr>
      <w:bookmarkStart w:id="148" w:name="_Ref404149040"/>
      <w:proofErr w:type="gramStart"/>
      <w:r w:rsidRPr="00A27B12">
        <w:t xml:space="preserve">Chart </w:t>
      </w:r>
      <w:fldSimple w:instr=" STYLEREF 1 \s ">
        <w:r w:rsidR="00B30F7B">
          <w:rPr>
            <w:noProof/>
          </w:rPr>
          <w:t>3</w:t>
        </w:r>
      </w:fldSimple>
      <w:r w:rsidR="00A96B75" w:rsidRPr="00A27B12">
        <w:t>.</w:t>
      </w:r>
      <w:proofErr w:type="gramEnd"/>
      <w:r w:rsidR="00FD4370">
        <w:fldChar w:fldCharType="begin"/>
      </w:r>
      <w:r w:rsidR="00FD4370">
        <w:instrText xml:space="preserve"> SEQ Chart \* ARABIC \s 1 </w:instrText>
      </w:r>
      <w:r w:rsidR="00FD4370">
        <w:fldChar w:fldCharType="separate"/>
      </w:r>
      <w:proofErr w:type="gramStart"/>
      <w:r w:rsidR="00B30F7B">
        <w:rPr>
          <w:noProof/>
        </w:rPr>
        <w:t>3</w:t>
      </w:r>
      <w:r w:rsidR="00FD4370">
        <w:rPr>
          <w:noProof/>
        </w:rPr>
        <w:fldChar w:fldCharType="end"/>
      </w:r>
      <w:r w:rsidRPr="00A27B12">
        <w:t xml:space="preserve"> </w:t>
      </w:r>
      <w:r w:rsidR="001C78F0" w:rsidRPr="00A27B12">
        <w:t>Employment status</w:t>
      </w:r>
      <w:proofErr w:type="gramEnd"/>
      <w:r w:rsidR="001C78F0" w:rsidRPr="00A27B12">
        <w:t xml:space="preserve"> by </w:t>
      </w:r>
      <w:r w:rsidR="00DD2D06" w:rsidRPr="00A27B12">
        <w:t xml:space="preserve">taxable </w:t>
      </w:r>
      <w:r w:rsidR="001C78F0" w:rsidRPr="00A27B12">
        <w:t>income</w:t>
      </w:r>
      <w:bookmarkEnd w:id="148"/>
      <w:r w:rsidR="00DD2D06" w:rsidRPr="00A27B12">
        <w:t>, 2014</w:t>
      </w:r>
      <w:r w:rsidR="00A801BF">
        <w:noBreakHyphen/>
      </w:r>
      <w:r w:rsidR="00DD2D06" w:rsidRPr="00A27B12">
        <w:t>15</w:t>
      </w:r>
    </w:p>
    <w:bookmarkStart w:id="149" w:name="_1478425488"/>
    <w:bookmarkStart w:id="150" w:name="_1478511576"/>
    <w:bookmarkStart w:id="151" w:name="_1478511657"/>
    <w:bookmarkStart w:id="152" w:name="_1478519903"/>
    <w:bookmarkStart w:id="153" w:name="_1478524888"/>
    <w:bookmarkStart w:id="154" w:name="_1478685733"/>
    <w:bookmarkStart w:id="155" w:name="_1478691620"/>
    <w:bookmarkStart w:id="156" w:name="_1478697435"/>
    <w:bookmarkStart w:id="157" w:name="_1478697437"/>
    <w:bookmarkStart w:id="158" w:name="_1478957031"/>
    <w:bookmarkStart w:id="159" w:name="_1478960383"/>
    <w:bookmarkStart w:id="160" w:name="_1479112406"/>
    <w:bookmarkStart w:id="161" w:name="_1479126867"/>
    <w:bookmarkStart w:id="162" w:name="_1479127458"/>
    <w:bookmarkStart w:id="163" w:name="_1479133902"/>
    <w:bookmarkStart w:id="164" w:name="_1479133957"/>
    <w:bookmarkStart w:id="165" w:name="_1479281360"/>
    <w:bookmarkStart w:id="166" w:name="_1479292183"/>
    <w:bookmarkStart w:id="167" w:name="_1479292225"/>
    <w:bookmarkStart w:id="168" w:name="_1479299869"/>
    <w:bookmarkStart w:id="169" w:name="_1479717610"/>
    <w:bookmarkStart w:id="170" w:name="_1479735096"/>
    <w:bookmarkStart w:id="171" w:name="_1479736528"/>
    <w:bookmarkStart w:id="172" w:name="_1479825797"/>
    <w:bookmarkStart w:id="173" w:name="_1479826264"/>
    <w:bookmarkStart w:id="174" w:name="_1479825832"/>
    <w:bookmarkStart w:id="175" w:name="_1479826371"/>
    <w:bookmarkStart w:id="176" w:name="_1480152827"/>
    <w:bookmarkStart w:id="177" w:name="_1480153319"/>
    <w:bookmarkStart w:id="178" w:name="_1480155276"/>
    <w:bookmarkStart w:id="179" w:name="_1480155942"/>
    <w:bookmarkStart w:id="180" w:name="_1480161350"/>
    <w:bookmarkStart w:id="181" w:name="_1480163376"/>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05BA09C8" w14:textId="0DC444AD" w:rsidR="001C78F0" w:rsidRPr="00A27B12" w:rsidRDefault="009C7759" w:rsidP="005132DE">
      <w:pPr>
        <w:pStyle w:val="ChartGraphic"/>
      </w:pPr>
      <w:r>
        <w:object w:dxaOrig="8251" w:dyaOrig="4996" w14:anchorId="06A415A6">
          <v:shape id="_x0000_i1026" type="#_x0000_t75" alt="Chart 3.3 Employment status by taxable income, 2014-15&#10;This stacked column chart has columns at $5,000 increments of taxable income from $0 to $60,000 showing the number of people who are: in part time employment; in full time employment; unemployed; or not in the labour force at each income range. At $0 there are approximately two million people not in the labour force. This figure fluctuates over the following income ranges, decreasing to 1.2 million in the $20,000-$25,000 range, before dropping substantially in the next $5,000 increment to under 200,000 people, and tapering off from there. There are around 240,000 unemployed people, 50,000 part time and 50,000 full time employed people on zero taxable income. The number of part time employed people peaks at around 470,000 people in the $20,000-$25,000 range then decreases steadily to 60,000 people in the $55,000-$60,000 range. The number of full time employed people peaks at 610,000 in the $45,000-$50,000 range and remains relatively constant out to the $55,000-$60,000 range. The number of unemployed people fluctuates between $0 and $30,000, after which it remains at zero.&#10;" style="width:412.5pt;height:249.75pt" o:ole="">
            <v:imagedata r:id="rId22" o:title=""/>
          </v:shape>
          <o:OLEObject Type="Link" ProgID="Excel.Sheet.12" ShapeID="_x0000_i1026" DrawAspect="Content" r:id="rId23" UpdateMode="Always">
            <o:LinkType>EnhancedMetaFile</o:LinkType>
            <o:LockedField/>
          </o:OLEObject>
        </w:object>
      </w:r>
    </w:p>
    <w:p w14:paraId="0C3B094C" w14:textId="4B2D7A20" w:rsidR="00CF0E10" w:rsidRPr="00A27B12" w:rsidRDefault="00950195" w:rsidP="007C0A2C">
      <w:pPr>
        <w:pStyle w:val="ChartorTableNote"/>
        <w:ind w:left="709"/>
      </w:pPr>
      <w:r w:rsidRPr="00A27B12">
        <w:t>Source: Treasury estimates using Treasury</w:t>
      </w:r>
      <w:r w:rsidR="00A801BF">
        <w:t>’</w:t>
      </w:r>
      <w:r w:rsidRPr="00A27B12">
        <w:t>s version of STINMOD</w:t>
      </w:r>
    </w:p>
    <w:p w14:paraId="5B860D40" w14:textId="550602E1" w:rsidR="00790F34" w:rsidRPr="00A27B12" w:rsidRDefault="00790F34" w:rsidP="00790F34"/>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790F34" w:rsidRPr="00A27B12" w14:paraId="238BB11D" w14:textId="77777777" w:rsidTr="00790F34">
        <w:tc>
          <w:tcPr>
            <w:tcW w:w="9384" w:type="dxa"/>
          </w:tcPr>
          <w:p w14:paraId="5FD25F39" w14:textId="576BF7A8" w:rsidR="00790F34" w:rsidRPr="00A27B12" w:rsidRDefault="00790F34" w:rsidP="00790F34">
            <w:pPr>
              <w:pStyle w:val="Questionheading"/>
              <w:ind w:right="113"/>
            </w:pPr>
            <w:r w:rsidRPr="00A27B12">
              <w:t xml:space="preserve">Discussion questions: </w:t>
            </w:r>
          </w:p>
          <w:p w14:paraId="249BF03D" w14:textId="2FAC97D1" w:rsidR="00790F34" w:rsidRPr="00A27B12" w:rsidRDefault="00790F34" w:rsidP="002D64AF">
            <w:pPr>
              <w:pStyle w:val="Questiontext"/>
            </w:pPr>
            <w:r w:rsidRPr="00A27B12">
              <w:t>To what extent does taxation affect people</w:t>
            </w:r>
            <w:r w:rsidR="00A801BF">
              <w:t>’</w:t>
            </w:r>
            <w:r w:rsidRPr="00A27B12">
              <w:t>s workforce participation decisions?</w:t>
            </w:r>
          </w:p>
          <w:p w14:paraId="0D5C2888" w14:textId="1067778E" w:rsidR="00790F34" w:rsidRPr="00A27B12" w:rsidRDefault="00790F34" w:rsidP="005E04D4">
            <w:pPr>
              <w:pStyle w:val="Questiontext"/>
            </w:pPr>
            <w:r w:rsidRPr="00A27B12">
              <w:t xml:space="preserve">To what extent </w:t>
            </w:r>
            <w:bookmarkStart w:id="182" w:name="_Toc404157020"/>
            <w:r w:rsidRPr="00A27B12">
              <w:t xml:space="preserve">are the interactions between the tax and transfer system straightforward </w:t>
            </w:r>
            <w:r w:rsidR="005E04D4" w:rsidRPr="007B33CD">
              <w:t xml:space="preserve">for </w:t>
            </w:r>
            <w:r w:rsidRPr="007B33CD">
              <w:t>the</w:t>
            </w:r>
            <w:r w:rsidRPr="00A27B12">
              <w:t xml:space="preserve"> people who deal with both systems?</w:t>
            </w:r>
            <w:bookmarkEnd w:id="182"/>
          </w:p>
        </w:tc>
      </w:tr>
    </w:tbl>
    <w:p w14:paraId="4E08D519" w14:textId="46376D61" w:rsidR="0036469A" w:rsidRPr="00A27B12" w:rsidRDefault="0036469A" w:rsidP="00ED75F7"/>
    <w:p w14:paraId="08ABFBC9" w14:textId="77777777" w:rsidR="001C78F0" w:rsidRPr="00A27B12" w:rsidRDefault="001C78F0" w:rsidP="001C78F0">
      <w:pPr>
        <w:pStyle w:val="Heading4"/>
      </w:pPr>
      <w:bookmarkStart w:id="183" w:name="_Toc404342092"/>
      <w:bookmarkStart w:id="184" w:name="_Toc409796504"/>
      <w:r w:rsidRPr="00A27B12">
        <w:t>International labour mobility</w:t>
      </w:r>
      <w:bookmarkEnd w:id="183"/>
      <w:bookmarkEnd w:id="184"/>
    </w:p>
    <w:p w14:paraId="040596C0" w14:textId="095678BE" w:rsidR="00444C45" w:rsidRPr="00A27B12" w:rsidRDefault="005234CE" w:rsidP="00444C45">
      <w:r w:rsidRPr="00A27B12">
        <w:rPr>
          <w:color w:val="000000"/>
        </w:rPr>
        <w:t>Labour is typically less mobile than capital, but it is not perfectly immobile. Australia has a high</w:t>
      </w:r>
      <w:r w:rsidR="007A0A93" w:rsidRPr="00A27B12">
        <w:rPr>
          <w:color w:val="000000"/>
        </w:rPr>
        <w:t>er</w:t>
      </w:r>
      <w:r w:rsidRPr="00A27B12">
        <w:rPr>
          <w:color w:val="000000"/>
        </w:rPr>
        <w:t xml:space="preserve"> top marginal tax rate </w:t>
      </w:r>
      <w:r w:rsidR="007A0A93" w:rsidRPr="00A27B12">
        <w:rPr>
          <w:color w:val="000000"/>
        </w:rPr>
        <w:t xml:space="preserve">than several key </w:t>
      </w:r>
      <w:r w:rsidRPr="00A27B12">
        <w:rPr>
          <w:color w:val="000000"/>
        </w:rPr>
        <w:t>countries</w:t>
      </w:r>
      <w:r w:rsidR="007A0A93" w:rsidRPr="00A27B12">
        <w:rPr>
          <w:color w:val="000000"/>
        </w:rPr>
        <w:t xml:space="preserve"> in our region</w:t>
      </w:r>
      <w:r w:rsidR="007E4CD0" w:rsidRPr="00A27B12">
        <w:rPr>
          <w:color w:val="000000"/>
        </w:rPr>
        <w:t xml:space="preserve">. The rate itself is relatively similar to other </w:t>
      </w:r>
      <w:r w:rsidR="007A0A93" w:rsidRPr="00A27B12">
        <w:rPr>
          <w:color w:val="000000"/>
        </w:rPr>
        <w:t xml:space="preserve">OECD </w:t>
      </w:r>
      <w:r w:rsidR="007E4CD0" w:rsidRPr="00A27B12">
        <w:rPr>
          <w:color w:val="000000"/>
        </w:rPr>
        <w:t>countries once any state or provincial income tax rates that apply in other countries are included in the comparison. That said,</w:t>
      </w:r>
      <w:r w:rsidR="007E4CD0" w:rsidRPr="00A27B12" w:rsidDel="007E4CD0">
        <w:rPr>
          <w:color w:val="000000"/>
        </w:rPr>
        <w:t xml:space="preserve"> </w:t>
      </w:r>
      <w:r w:rsidRPr="00A27B12">
        <w:rPr>
          <w:color w:val="000000"/>
        </w:rPr>
        <w:t>Australia</w:t>
      </w:r>
      <w:r w:rsidR="00A801BF">
        <w:rPr>
          <w:color w:val="000000"/>
        </w:rPr>
        <w:t>’</w:t>
      </w:r>
      <w:r w:rsidRPr="00A27B12">
        <w:rPr>
          <w:color w:val="000000"/>
        </w:rPr>
        <w:t xml:space="preserve">s top marginal </w:t>
      </w:r>
      <w:r w:rsidR="007E4CD0" w:rsidRPr="00A27B12">
        <w:rPr>
          <w:color w:val="000000"/>
        </w:rPr>
        <w:t xml:space="preserve">tax </w:t>
      </w:r>
      <w:r w:rsidRPr="00A27B12">
        <w:rPr>
          <w:color w:val="000000"/>
        </w:rPr>
        <w:t xml:space="preserve">rate takes effect from a </w:t>
      </w:r>
      <w:r w:rsidR="007E4CD0" w:rsidRPr="00A27B12">
        <w:rPr>
          <w:color w:val="000000"/>
        </w:rPr>
        <w:t xml:space="preserve">threshold of around 2.3 times the average wage — a relatively </w:t>
      </w:r>
      <w:r w:rsidRPr="00A27B12">
        <w:rPr>
          <w:color w:val="000000"/>
        </w:rPr>
        <w:t>low income threshold compared to other OECD countries</w:t>
      </w:r>
      <w:r w:rsidR="002B5D4D" w:rsidRPr="00A27B12">
        <w:rPr>
          <w:color w:val="000000"/>
        </w:rPr>
        <w:t xml:space="preserve">, </w:t>
      </w:r>
      <w:r w:rsidR="00AD700F" w:rsidRPr="00A27B12">
        <w:rPr>
          <w:color w:val="000000"/>
        </w:rPr>
        <w:t xml:space="preserve">such as the UK at </w:t>
      </w:r>
      <w:r w:rsidR="007E4CD0" w:rsidRPr="00A27B12">
        <w:rPr>
          <w:color w:val="000000"/>
        </w:rPr>
        <w:t>4.2</w:t>
      </w:r>
      <w:r w:rsidR="00AD700F" w:rsidRPr="00A27B12">
        <w:rPr>
          <w:color w:val="000000"/>
        </w:rPr>
        <w:t> </w:t>
      </w:r>
      <w:r w:rsidR="007E4CD0" w:rsidRPr="00A27B12">
        <w:rPr>
          <w:color w:val="000000"/>
        </w:rPr>
        <w:t xml:space="preserve">times the average wage, the US </w:t>
      </w:r>
      <w:r w:rsidR="00AD700F" w:rsidRPr="00A27B12">
        <w:rPr>
          <w:color w:val="000000"/>
        </w:rPr>
        <w:t xml:space="preserve">at </w:t>
      </w:r>
      <w:r w:rsidR="007E4CD0" w:rsidRPr="00A27B12">
        <w:rPr>
          <w:color w:val="000000"/>
        </w:rPr>
        <w:t xml:space="preserve">8.5 or Canada </w:t>
      </w:r>
      <w:r w:rsidR="00AD700F" w:rsidRPr="00A27B12">
        <w:rPr>
          <w:color w:val="000000"/>
        </w:rPr>
        <w:t xml:space="preserve">at </w:t>
      </w:r>
      <w:r w:rsidR="007E4CD0" w:rsidRPr="00A27B12">
        <w:rPr>
          <w:color w:val="000000"/>
        </w:rPr>
        <w:t>10.6</w:t>
      </w:r>
      <w:r w:rsidRPr="00A27B12">
        <w:rPr>
          <w:color w:val="000000"/>
        </w:rPr>
        <w:t xml:space="preserve"> (</w:t>
      </w:r>
      <w:r w:rsidR="003E07F1" w:rsidRPr="00A27B12">
        <w:rPr>
          <w:color w:val="000000"/>
        </w:rPr>
        <w:t>C</w:t>
      </w:r>
      <w:r w:rsidRPr="00A27B12">
        <w:rPr>
          <w:color w:val="000000"/>
        </w:rPr>
        <w:t>hart </w:t>
      </w:r>
      <w:r w:rsidR="008D1C67" w:rsidRPr="00A27B12">
        <w:rPr>
          <w:color w:val="000000"/>
        </w:rPr>
        <w:t>3</w:t>
      </w:r>
      <w:r w:rsidRPr="00A27B12">
        <w:rPr>
          <w:color w:val="000000"/>
        </w:rPr>
        <w:t xml:space="preserve">.4). However, tax is only one factor affecting the decisions of workers who are mobile. Other reasons include salary potential; quality of life; language and culture; family and social connections; and immigration restrictions. </w:t>
      </w:r>
    </w:p>
    <w:p w14:paraId="49C171A5" w14:textId="7ED744A8" w:rsidR="00B02ACB" w:rsidRPr="00A27B12" w:rsidRDefault="00B02ACB" w:rsidP="00A801BF">
      <w:pPr>
        <w:keepLines/>
      </w:pPr>
      <w:r w:rsidRPr="00A27B12">
        <w:lastRenderedPageBreak/>
        <w:t xml:space="preserve">Empirical evidence on the extent to which income tax rate differentials drive migration is limited. What is available for other countries suggests that tax rate differentials have only a small impact on migration, </w:t>
      </w:r>
      <w:r w:rsidR="00031198" w:rsidRPr="00A27B12">
        <w:t xml:space="preserve">but </w:t>
      </w:r>
      <w:r w:rsidRPr="00A27B12">
        <w:t>that where there is an impact, it is generally larger for highly skilled, or for younger, highly educated workers.</w:t>
      </w:r>
      <w:r w:rsidRPr="00A27B12">
        <w:rPr>
          <w:rStyle w:val="FootnoteReference"/>
        </w:rPr>
        <w:footnoteReference w:id="17"/>
      </w:r>
      <w:r w:rsidRPr="00A27B12">
        <w:t xml:space="preserve"> In Australia, </w:t>
      </w:r>
      <w:r w:rsidR="005C3BE3" w:rsidRPr="00A27B12">
        <w:t xml:space="preserve">younger </w:t>
      </w:r>
      <w:r w:rsidRPr="00A27B12">
        <w:t>workers may be making income contingent repayments on higher education contribution scheme (HECS) or</w:t>
      </w:r>
      <w:r w:rsidR="007C0A2C" w:rsidRPr="00A27B12">
        <w:t> </w:t>
      </w:r>
      <w:r w:rsidRPr="00A27B12">
        <w:t xml:space="preserve">higher education loans programme (HELP) debts which can add up to </w:t>
      </w:r>
      <w:r w:rsidR="006C1B16" w:rsidRPr="00A27B12">
        <w:t>eight</w:t>
      </w:r>
      <w:r w:rsidRPr="00A27B12">
        <w:t> percentage points to amounts withheld from their salary during the year.</w:t>
      </w:r>
    </w:p>
    <w:p w14:paraId="0575FD76" w14:textId="733A41B4" w:rsidR="001C78F0" w:rsidRPr="00A27B12" w:rsidRDefault="00A96B75" w:rsidP="00A96B75">
      <w:pPr>
        <w:pStyle w:val="ChartMainHeading"/>
        <w:rPr>
          <w:iCs/>
        </w:rPr>
      </w:pPr>
      <w:proofErr w:type="gramStart"/>
      <w:r w:rsidRPr="00A27B12">
        <w:t xml:space="preserve">Chart </w:t>
      </w:r>
      <w:fldSimple w:instr=" STYLEREF 1 \s ">
        <w:r w:rsidR="00B30F7B">
          <w:rPr>
            <w:noProof/>
          </w:rPr>
          <w:t>3</w:t>
        </w:r>
      </w:fldSimple>
      <w:r w:rsidRPr="00A27B12">
        <w:t>.</w:t>
      </w:r>
      <w:proofErr w:type="gramEnd"/>
      <w:r w:rsidR="00FD4370">
        <w:fldChar w:fldCharType="begin"/>
      </w:r>
      <w:r w:rsidR="00FD4370">
        <w:instrText xml:space="preserve"> SEQ Chart \* ARABIC \s 1 </w:instrText>
      </w:r>
      <w:r w:rsidR="00FD4370">
        <w:fldChar w:fldCharType="separate"/>
      </w:r>
      <w:r w:rsidR="00B30F7B">
        <w:rPr>
          <w:noProof/>
        </w:rPr>
        <w:t>4</w:t>
      </w:r>
      <w:r w:rsidR="00FD4370">
        <w:rPr>
          <w:noProof/>
        </w:rPr>
        <w:fldChar w:fldCharType="end"/>
      </w:r>
      <w:r w:rsidRPr="00A27B12">
        <w:t xml:space="preserve"> </w:t>
      </w:r>
      <w:r w:rsidR="001C78F0" w:rsidRPr="00A27B12">
        <w:t>Top marginal tax rates comparison</w:t>
      </w:r>
      <w:r w:rsidR="00DD1472" w:rsidRPr="00A27B12">
        <w:t xml:space="preserve">, </w:t>
      </w:r>
      <w:r w:rsidR="001C78F0" w:rsidRPr="00A27B12">
        <w:t>OECD</w:t>
      </w:r>
      <w:r w:rsidR="00DD1472" w:rsidRPr="00A27B12">
        <w:t xml:space="preserve"> countries</w:t>
      </w:r>
      <w:r w:rsidR="001C78F0" w:rsidRPr="00A27B12">
        <w:t xml:space="preserve">, </w:t>
      </w:r>
      <w:proofErr w:type="gramStart"/>
      <w:r w:rsidR="001C78F0" w:rsidRPr="00A27B12">
        <w:t>2013</w:t>
      </w:r>
      <w:proofErr w:type="gramEnd"/>
    </w:p>
    <w:p w14:paraId="1A89565C" w14:textId="48EF0AEC" w:rsidR="001C78F0" w:rsidRPr="00A27B12" w:rsidRDefault="00EC11A7" w:rsidP="00157E05">
      <w:pPr>
        <w:pStyle w:val="ChartGraphic"/>
        <w:rPr>
          <w:noProof/>
        </w:rPr>
      </w:pPr>
      <w:bookmarkStart w:id="185" w:name="_1478692035"/>
      <w:bookmarkStart w:id="186" w:name="_1478692213"/>
      <w:bookmarkStart w:id="187" w:name="_1479112412"/>
      <w:bookmarkEnd w:id="185"/>
      <w:bookmarkEnd w:id="186"/>
      <w:bookmarkEnd w:id="187"/>
      <w:r w:rsidRPr="00A27B12">
        <w:rPr>
          <w:noProof/>
        </w:rPr>
        <w:t xml:space="preserve"> </w:t>
      </w:r>
      <w:bookmarkStart w:id="188" w:name="_1478425490"/>
      <w:bookmarkStart w:id="189" w:name="_1478511582"/>
      <w:bookmarkStart w:id="190" w:name="_1478511663"/>
      <w:bookmarkStart w:id="191" w:name="_1478519911"/>
      <w:bookmarkStart w:id="192" w:name="_1478524894"/>
      <w:bookmarkStart w:id="193" w:name="_1478691625"/>
      <w:bookmarkStart w:id="194" w:name="_1478697440"/>
      <w:bookmarkStart w:id="195" w:name="_1478957037"/>
      <w:bookmarkStart w:id="196" w:name="_1478960392"/>
      <w:bookmarkStart w:id="197" w:name="_1479126873"/>
      <w:bookmarkStart w:id="198" w:name="_1479127464"/>
      <w:bookmarkStart w:id="199" w:name="_1479133908"/>
      <w:bookmarkStart w:id="200" w:name="_1479133963"/>
      <w:bookmarkStart w:id="201" w:name="_1479281361"/>
      <w:bookmarkStart w:id="202" w:name="_1479292184"/>
      <w:bookmarkStart w:id="203" w:name="_1479292227"/>
      <w:bookmarkStart w:id="204" w:name="_1479299874"/>
      <w:bookmarkStart w:id="205" w:name="_1479717616"/>
      <w:bookmarkStart w:id="206" w:name="_1479735099"/>
      <w:bookmarkStart w:id="207" w:name="_1479736534"/>
      <w:bookmarkStart w:id="208" w:name="_1479825799"/>
      <w:bookmarkStart w:id="209" w:name="_1479826266"/>
      <w:bookmarkStart w:id="210" w:name="_1479825840"/>
      <w:bookmarkStart w:id="211" w:name="_1479826374"/>
      <w:bookmarkStart w:id="212" w:name="_1480152829"/>
      <w:bookmarkStart w:id="213" w:name="_1480153322"/>
      <w:bookmarkStart w:id="214" w:name="_1480155278"/>
      <w:bookmarkStart w:id="215" w:name="_1480155944"/>
      <w:bookmarkStart w:id="216" w:name="_1480161353"/>
      <w:bookmarkStart w:id="217" w:name="_148016337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009C7759" w:rsidRPr="00A27B12">
        <w:rPr>
          <w:noProof/>
        </w:rPr>
        <w:object w:dxaOrig="8775" w:dyaOrig="5400" w14:anchorId="4D447396">
          <v:shape id="_x0000_i1027" type="#_x0000_t75" alt="Chart 3.4 Top marginal tax rates comparison, OECD countries, 2013&#10;This chart shows the top marginal individuals’ income tax rates for all OECD countries in 2013, taking account of central government and sub-central government individuals’ income tax rates where applicable. It also shows the income threshold from which that top marginal individuals’ income tax rate takes effect, as a multiple of average earnings. Australia’s top marginal tax rate is 49 per cent, which is around the average for all OECD countries, however Australia’s top marginal tax rate applies from a relatively low threshold when compared to other OECD countries.&#10;" style="width:438.75pt;height:270pt" o:ole="">
            <v:imagedata r:id="rId24" o:title=""/>
          </v:shape>
          <o:OLEObject Type="Link" ProgID="Excel.Sheet.12" ShapeID="_x0000_i1027" DrawAspect="Content" r:id="rId25" UpdateMode="OnCall">
            <o:LinkType>EnhancedMetaFile</o:LinkType>
            <o:LockedField/>
            <o:FieldCodes>\* MERGEFORMAT</o:FieldCodes>
          </o:OLEObject>
        </w:object>
      </w:r>
    </w:p>
    <w:p w14:paraId="3B166925" w14:textId="4BD0D4E0" w:rsidR="00FA27D3" w:rsidRPr="00A27B12" w:rsidRDefault="00FA27D3" w:rsidP="00301606">
      <w:pPr>
        <w:pStyle w:val="ChartorTableNote"/>
        <w:ind w:left="426"/>
      </w:pPr>
      <w:r w:rsidRPr="00A27B12">
        <w:t>Note: Numbers for Australia are for 201</w:t>
      </w:r>
      <w:r w:rsidR="00EC11A7" w:rsidRPr="00A27B12">
        <w:t>3</w:t>
      </w:r>
      <w:r w:rsidR="00A801BF">
        <w:noBreakHyphen/>
      </w:r>
      <w:r w:rsidRPr="00A27B12">
        <w:t>1</w:t>
      </w:r>
      <w:r w:rsidR="00EC11A7" w:rsidRPr="00A27B12">
        <w:t>4</w:t>
      </w:r>
      <w:r w:rsidRPr="00A27B12">
        <w:t>.</w:t>
      </w:r>
      <w:r w:rsidR="00EC11A7" w:rsidRPr="00A27B12">
        <w:t xml:space="preserve"> Australia</w:t>
      </w:r>
      <w:r w:rsidR="00A801BF">
        <w:t>’</w:t>
      </w:r>
      <w:r w:rsidR="00EC11A7" w:rsidRPr="00A27B12">
        <w:t>s top marginal tax rate for 2014</w:t>
      </w:r>
      <w:r w:rsidR="00A801BF">
        <w:noBreakHyphen/>
      </w:r>
      <w:r w:rsidR="00EC11A7" w:rsidRPr="00A27B12">
        <w:t xml:space="preserve">15 has increased to 49 per cent (45 per cent top statutory personal income tax rate plus </w:t>
      </w:r>
      <w:r w:rsidR="00BF5ABA" w:rsidRPr="00A27B12">
        <w:t>2</w:t>
      </w:r>
      <w:r w:rsidR="00EC11A7" w:rsidRPr="00A27B12">
        <w:t xml:space="preserve"> per cent Medicare levy plus</w:t>
      </w:r>
      <w:r w:rsidR="00ED75F7">
        <w:t xml:space="preserve"> </w:t>
      </w:r>
      <w:r w:rsidR="004B15D1" w:rsidRPr="00A27B12">
        <w:t>2 </w:t>
      </w:r>
      <w:r w:rsidR="00ED75F7">
        <w:t>per </w:t>
      </w:r>
      <w:r w:rsidR="00EC11A7" w:rsidRPr="00A27B12">
        <w:t>cent Temporary Budget Repair Levy).</w:t>
      </w:r>
    </w:p>
    <w:p w14:paraId="0D99D683" w14:textId="1BCA772F" w:rsidR="00A96B75" w:rsidRPr="00A27B12" w:rsidRDefault="001C78F0" w:rsidP="00301606">
      <w:pPr>
        <w:pStyle w:val="ChartorTableNote"/>
        <w:ind w:left="426"/>
      </w:pPr>
      <w:r w:rsidRPr="00A27B12">
        <w:t xml:space="preserve">Source: OECD 2014, </w:t>
      </w:r>
      <w:r w:rsidR="002D64A1" w:rsidRPr="00A27B12">
        <w:rPr>
          <w:i/>
        </w:rPr>
        <w:t>Tax Database — Personal Income Tax Rates</w:t>
      </w:r>
      <w:r w:rsidRPr="00A27B12">
        <w:t xml:space="preserve">, </w:t>
      </w:r>
      <w:r w:rsidR="005D3B68" w:rsidRPr="00A27B12">
        <w:t xml:space="preserve">OECD, </w:t>
      </w:r>
      <w:proofErr w:type="gramStart"/>
      <w:r w:rsidR="005D3B68" w:rsidRPr="00A27B12">
        <w:t>Paris</w:t>
      </w:r>
      <w:proofErr w:type="gramEnd"/>
      <w:r w:rsidR="005D3B68" w:rsidRPr="00A27B12">
        <w:t xml:space="preserve">, </w:t>
      </w:r>
      <w:r w:rsidR="00367A15" w:rsidRPr="00A27B12">
        <w:t>viewed</w:t>
      </w:r>
      <w:r w:rsidR="004C705D" w:rsidRPr="00A27B12">
        <w:t xml:space="preserve"> </w:t>
      </w:r>
      <w:r w:rsidR="005D3B68" w:rsidRPr="00A27B12">
        <w:t>24 November 2014:</w:t>
      </w:r>
      <w:r w:rsidR="004C705D" w:rsidRPr="00A27B12">
        <w:t xml:space="preserve"> </w:t>
      </w:r>
      <w:hyperlink r:id="rId26" w:anchor="pird" w:history="1">
        <w:r w:rsidR="00556646" w:rsidRPr="00356595">
          <w:rPr>
            <w:rStyle w:val="Hyperlink"/>
            <w:color w:val="31A7D4" w:themeColor="accent1"/>
          </w:rPr>
          <w:t>www.oecd.org/ctp/tax</w:t>
        </w:r>
        <w:r w:rsidR="00A801BF">
          <w:rPr>
            <w:rStyle w:val="Hyperlink"/>
            <w:color w:val="31A7D4" w:themeColor="accent1"/>
          </w:rPr>
          <w:noBreakHyphen/>
        </w:r>
        <w:r w:rsidR="00556646" w:rsidRPr="00356595">
          <w:rPr>
            <w:rStyle w:val="Hyperlink"/>
            <w:color w:val="31A7D4" w:themeColor="accent1"/>
          </w:rPr>
          <w:t>policy/tax</w:t>
        </w:r>
        <w:r w:rsidR="00A801BF">
          <w:rPr>
            <w:rStyle w:val="Hyperlink"/>
            <w:color w:val="31A7D4" w:themeColor="accent1"/>
          </w:rPr>
          <w:noBreakHyphen/>
        </w:r>
        <w:r w:rsidR="00556646" w:rsidRPr="00356595">
          <w:rPr>
            <w:rStyle w:val="Hyperlink"/>
            <w:color w:val="31A7D4" w:themeColor="accent1"/>
          </w:rPr>
          <w:t>database.htm#pird</w:t>
        </w:r>
      </w:hyperlink>
      <w:r w:rsidR="00AF3FEB">
        <w:rPr>
          <w:rStyle w:val="Hyperlink"/>
          <w:color w:val="31A7D4" w:themeColor="accent1"/>
        </w:rPr>
        <w:t>.</w:t>
      </w:r>
    </w:p>
    <w:p w14:paraId="4A9A1FF6" w14:textId="77777777" w:rsidR="00BF5ABA" w:rsidRPr="00A27B12" w:rsidRDefault="00BF5ABA" w:rsidP="00ED75F7"/>
    <w:p w14:paraId="4792B104" w14:textId="71C51EDC" w:rsidR="003E7B65" w:rsidRPr="00A27B12" w:rsidRDefault="003E7B65" w:rsidP="003E7B65">
      <w:r w:rsidRPr="00A27B12">
        <w:t xml:space="preserve">As at 2010, 16 OECD countries offered concessions on individual income tax and/or social security contributions to attract </w:t>
      </w:r>
      <w:r w:rsidR="00A801BF">
        <w:t>‘</w:t>
      </w:r>
      <w:r w:rsidRPr="00A27B12">
        <w:t>knowledge workers</w:t>
      </w:r>
      <w:r w:rsidR="00A801BF">
        <w:t>’</w:t>
      </w:r>
      <w:r w:rsidRPr="00A27B12">
        <w:t>, researchers, managers or specialists — including incentives targeted at encouraging residents who currently live in other countries to return home.</w:t>
      </w:r>
      <w:r w:rsidRPr="00A27B12">
        <w:rPr>
          <w:rStyle w:val="FootnoteReference"/>
        </w:rPr>
        <w:footnoteReference w:id="18"/>
      </w:r>
      <w:r w:rsidRPr="00A27B12">
        <w:t xml:space="preserve"> Some countries also provide concessions on employee remuneration in the form of shares or options to assist start</w:t>
      </w:r>
      <w:r w:rsidR="00A801BF">
        <w:noBreakHyphen/>
      </w:r>
      <w:r w:rsidRPr="00A27B12">
        <w:t>ups to attract employees.</w:t>
      </w:r>
      <w:r w:rsidRPr="00A27B12">
        <w:rPr>
          <w:rStyle w:val="FootnoteReference"/>
        </w:rPr>
        <w:footnoteReference w:id="19"/>
      </w:r>
      <w:r w:rsidRPr="00A27B12">
        <w:t xml:space="preserve"> </w:t>
      </w:r>
    </w:p>
    <w:p w14:paraId="18F0FF57" w14:textId="2991FC1E" w:rsidR="00DD2D06" w:rsidRPr="00A27B12" w:rsidRDefault="00DD2D06" w:rsidP="00DD2D06">
      <w:r w:rsidRPr="00A27B12">
        <w:t xml:space="preserve">People at the higher end of the income scale face higher tax rates and have greater capacity to meet the costs of relocating. The emigration of skilled workers, who generally have high earning </w:t>
      </w:r>
      <w:proofErr w:type="gramStart"/>
      <w:r w:rsidRPr="00A27B12">
        <w:t>potential</w:t>
      </w:r>
      <w:proofErr w:type="gramEnd"/>
      <w:r w:rsidRPr="00A27B12">
        <w:t xml:space="preserve"> is sometimes viewed as a cost to the economy, characterised as </w:t>
      </w:r>
      <w:r w:rsidR="00A801BF">
        <w:t>‘</w:t>
      </w:r>
      <w:r w:rsidRPr="00A27B12">
        <w:t xml:space="preserve">brain </w:t>
      </w:r>
      <w:r w:rsidRPr="00A27B12">
        <w:lastRenderedPageBreak/>
        <w:t>drain</w:t>
      </w:r>
      <w:r w:rsidR="00A801BF">
        <w:t>’</w:t>
      </w:r>
      <w:r w:rsidRPr="00A27B12">
        <w:t xml:space="preserve"> associated with the loss of returns on investment in human capital. However, workers who temporarily leave Australia and then subsequently return can bring back new skills, knowledge and networks, with positive flow</w:t>
      </w:r>
      <w:r w:rsidR="00A801BF">
        <w:noBreakHyphen/>
      </w:r>
      <w:r w:rsidRPr="00A27B12">
        <w:t xml:space="preserve">on benefits for innovation and growth.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556646" w:rsidRPr="00A27B12" w14:paraId="5B992B91" w14:textId="77777777" w:rsidTr="0055508F">
        <w:tc>
          <w:tcPr>
            <w:tcW w:w="9384" w:type="dxa"/>
          </w:tcPr>
          <w:p w14:paraId="4B5CED4B" w14:textId="0611D864" w:rsidR="00556646" w:rsidRPr="00A27B12" w:rsidRDefault="00556646" w:rsidP="0055508F">
            <w:pPr>
              <w:pStyle w:val="Questionheading"/>
              <w:ind w:right="113"/>
            </w:pPr>
            <w:r w:rsidRPr="00A27B12">
              <w:t xml:space="preserve">Discussion questions: </w:t>
            </w:r>
          </w:p>
          <w:p w14:paraId="20042F59" w14:textId="7022EFFF" w:rsidR="00556646" w:rsidRPr="00A27B12" w:rsidRDefault="00556646" w:rsidP="002D64AF">
            <w:pPr>
              <w:pStyle w:val="Questiontext"/>
            </w:pPr>
            <w:bookmarkStart w:id="218" w:name="_Toc404157021"/>
            <w:r w:rsidRPr="00A27B12">
              <w:t>How important is tax as a factor influencing people</w:t>
            </w:r>
            <w:r w:rsidR="00A801BF">
              <w:t>’</w:t>
            </w:r>
            <w:r w:rsidRPr="00A27B12">
              <w:t>s decisions to work in other countries?</w:t>
            </w:r>
            <w:bookmarkEnd w:id="218"/>
          </w:p>
        </w:tc>
      </w:tr>
    </w:tbl>
    <w:p w14:paraId="2AF64981" w14:textId="77777777" w:rsidR="00556646" w:rsidRPr="00A27B12" w:rsidRDefault="00556646" w:rsidP="00ED75F7">
      <w:pPr>
        <w:spacing w:after="0"/>
      </w:pPr>
    </w:p>
    <w:p w14:paraId="4373CF52" w14:textId="77777777" w:rsidR="001C78F0" w:rsidRPr="00A27B12" w:rsidRDefault="001C78F0" w:rsidP="00ED75F7">
      <w:pPr>
        <w:pStyle w:val="Heading3"/>
        <w:spacing w:before="120"/>
      </w:pPr>
      <w:bookmarkStart w:id="219" w:name="_Toc402972769"/>
      <w:bookmarkStart w:id="220" w:name="_Toc403074108"/>
      <w:bookmarkStart w:id="221" w:name="_Toc403132955"/>
      <w:bookmarkStart w:id="222" w:name="_Toc404342093"/>
      <w:bookmarkStart w:id="223" w:name="_Toc409796505"/>
      <w:bookmarkEnd w:id="219"/>
      <w:bookmarkEnd w:id="220"/>
      <w:bookmarkEnd w:id="221"/>
      <w:r w:rsidRPr="00A27B12">
        <w:t>Balancing competing objectives</w:t>
      </w:r>
      <w:bookmarkEnd w:id="222"/>
      <w:bookmarkEnd w:id="223"/>
    </w:p>
    <w:p w14:paraId="4CE55B0C" w14:textId="71B20EF9" w:rsidR="001C78F0" w:rsidRPr="00A27B12" w:rsidRDefault="001C78F0" w:rsidP="001C78F0">
      <w:r w:rsidRPr="00A27B12">
        <w:t xml:space="preserve">One of the pressures on the </w:t>
      </w:r>
      <w:r w:rsidR="00EF3A59" w:rsidRPr="00A27B12">
        <w:t>individuals</w:t>
      </w:r>
      <w:r w:rsidRPr="00A27B12">
        <w:t xml:space="preserve"> income tax system is that it is expected to raise revenue as simply as possible, while also being economically efficient and delivering fairness </w:t>
      </w:r>
      <w:r w:rsidR="00A771CA" w:rsidRPr="00A27B12">
        <w:t xml:space="preserve">with </w:t>
      </w:r>
      <w:r w:rsidRPr="00A27B12">
        <w:t>a progressive schedule of rates and thresholds. There can be a trade</w:t>
      </w:r>
      <w:r w:rsidR="00A801BF">
        <w:noBreakHyphen/>
      </w:r>
      <w:r w:rsidRPr="00A27B12">
        <w:t xml:space="preserve">off between simplicity and fairness in particular, and a balance between these objectives must </w:t>
      </w:r>
      <w:r w:rsidR="00A771CA" w:rsidRPr="00A27B12">
        <w:t xml:space="preserve">therefore </w:t>
      </w:r>
      <w:r w:rsidRPr="00A27B12">
        <w:t xml:space="preserve">be managed. For a given amount of revenue the broader the base, the lower the rates required — this combination </w:t>
      </w:r>
      <w:r w:rsidR="00A771CA" w:rsidRPr="00A27B12">
        <w:t xml:space="preserve">could potentially </w:t>
      </w:r>
      <w:r w:rsidRPr="00A27B12">
        <w:t>satisfy all three objectives.</w:t>
      </w:r>
    </w:p>
    <w:p w14:paraId="15E2C888" w14:textId="79DEBAD1" w:rsidR="001C78F0" w:rsidRPr="00A27B12" w:rsidRDefault="001C78F0" w:rsidP="001C78F0">
      <w:pPr>
        <w:pStyle w:val="Heading4"/>
        <w:rPr>
          <w:b w:val="0"/>
          <w:i/>
        </w:rPr>
      </w:pPr>
      <w:bookmarkStart w:id="224" w:name="_Toc404342094"/>
      <w:bookmarkStart w:id="225" w:name="_Toc409796506"/>
      <w:bookmarkStart w:id="226" w:name="_Toc402972768"/>
      <w:bookmarkStart w:id="227" w:name="_Toc403074107"/>
      <w:bookmarkStart w:id="228" w:name="_Toc403132954"/>
      <w:bookmarkStart w:id="229" w:name="_Toc395714722"/>
      <w:bookmarkStart w:id="230" w:name="_Toc395714978"/>
      <w:bookmarkStart w:id="231" w:name="_Toc402353963"/>
      <w:bookmarkStart w:id="232" w:name="_Toc402368740"/>
      <w:bookmarkStart w:id="233" w:name="_Toc402369826"/>
      <w:bookmarkStart w:id="234" w:name="_Toc402370491"/>
      <w:bookmarkStart w:id="235" w:name="_Toc402371438"/>
      <w:bookmarkStart w:id="236" w:name="_Toc402793559"/>
      <w:bookmarkStart w:id="237" w:name="_Toc402972770"/>
      <w:bookmarkStart w:id="238" w:name="_Toc403059569"/>
      <w:bookmarkStart w:id="239" w:name="_Toc403060889"/>
      <w:bookmarkStart w:id="240" w:name="_Toc403074109"/>
      <w:bookmarkStart w:id="241" w:name="_Toc403132956"/>
      <w:bookmarkStart w:id="242" w:name="_Toc403377211"/>
      <w:bookmarkStart w:id="243" w:name="_Toc403377677"/>
      <w:bookmarkStart w:id="244" w:name="_Toc403389934"/>
      <w:bookmarkStart w:id="245" w:name="_Toc403394389"/>
      <w:bookmarkStart w:id="246" w:name="_Toc403568170"/>
      <w:bookmarkStart w:id="247" w:name="_Toc403651127"/>
      <w:bookmarkStart w:id="248" w:name="_Toc403729292"/>
      <w:bookmarkStart w:id="249" w:name="_Toc403735465"/>
      <w:bookmarkStart w:id="250" w:name="_Toc403742015"/>
      <w:bookmarkStart w:id="251" w:name="_Toc403746126"/>
      <w:bookmarkStart w:id="252" w:name="_Toc403746287"/>
      <w:bookmarkStart w:id="253" w:name="_Toc403750234"/>
      <w:bookmarkStart w:id="254" w:name="_Toc403753136"/>
      <w:bookmarkStart w:id="255" w:name="_Toc403753183"/>
      <w:r w:rsidRPr="00A27B12">
        <w:t>Tax planning and progressivity</w:t>
      </w:r>
      <w:bookmarkEnd w:id="224"/>
      <w:bookmarkEnd w:id="225"/>
    </w:p>
    <w:p w14:paraId="4D5C48BB" w14:textId="3BA40630" w:rsidR="00704E52" w:rsidRPr="00A27B12" w:rsidRDefault="00D055A3" w:rsidP="00CB07B5">
      <w:r w:rsidRPr="00A27B12">
        <w:t xml:space="preserve">Progressivity in the </w:t>
      </w:r>
      <w:proofErr w:type="gramStart"/>
      <w:r w:rsidR="00EF3A59" w:rsidRPr="00A27B12">
        <w:t>individuals</w:t>
      </w:r>
      <w:proofErr w:type="gramEnd"/>
      <w:r w:rsidRPr="00A27B12">
        <w:t xml:space="preserve"> income tax system is delivered through the schedule of marginal rates and thresholds, which apply to a person</w:t>
      </w:r>
      <w:r w:rsidR="00A801BF">
        <w:t>’</w:t>
      </w:r>
      <w:r w:rsidRPr="00A27B12">
        <w:t xml:space="preserve">s taxable income. </w:t>
      </w:r>
      <w:r w:rsidR="008C1AD6" w:rsidRPr="00A27B12">
        <w:t>T</w:t>
      </w:r>
      <w:r w:rsidRPr="00A27B12">
        <w:t>he</w:t>
      </w:r>
      <w:r w:rsidR="008C1AD6" w:rsidRPr="00A27B12">
        <w:t>se</w:t>
      </w:r>
      <w:r w:rsidRPr="00A27B12">
        <w:t xml:space="preserve"> headline rates and thresholds </w:t>
      </w:r>
      <w:r w:rsidR="008C1AD6" w:rsidRPr="00A27B12">
        <w:t xml:space="preserve">create an </w:t>
      </w:r>
      <w:r w:rsidRPr="00A27B12">
        <w:t xml:space="preserve">expectation that </w:t>
      </w:r>
      <w:r w:rsidR="002D0DD9" w:rsidRPr="00A27B12">
        <w:t xml:space="preserve">people on high incomes pay a higher average tax rate than people on low incomes. </w:t>
      </w:r>
      <w:r w:rsidR="00F3710D" w:rsidRPr="00A27B12">
        <w:t>At the same time</w:t>
      </w:r>
      <w:r w:rsidR="002D0DD9" w:rsidRPr="00A27B12">
        <w:t xml:space="preserve"> there are features of the tax system </w:t>
      </w:r>
      <w:r w:rsidR="002F4FFB" w:rsidRPr="00A27B12">
        <w:t xml:space="preserve">that can produce outcomes </w:t>
      </w:r>
      <w:r w:rsidR="002D0DD9" w:rsidRPr="00A27B12">
        <w:t xml:space="preserve">that </w:t>
      </w:r>
      <w:r w:rsidR="00A763AE" w:rsidRPr="00A27B12">
        <w:t>diverge from the headline rates</w:t>
      </w:r>
      <w:r w:rsidR="00034744" w:rsidRPr="00A27B12">
        <w:t xml:space="preserve"> (for example, </w:t>
      </w:r>
      <w:r w:rsidR="003E07F1" w:rsidRPr="00A27B12">
        <w:t>C</w:t>
      </w:r>
      <w:r w:rsidR="008D1C67" w:rsidRPr="00A27B12">
        <w:t>hart 4</w:t>
      </w:r>
      <w:r w:rsidR="003945F2">
        <w:t>.1</w:t>
      </w:r>
      <w:r w:rsidR="00034744" w:rsidRPr="00A27B12">
        <w:t>, which shows the tax outcomes associated with different forms of saving)</w:t>
      </w:r>
      <w:r w:rsidR="00A763AE" w:rsidRPr="00A27B12">
        <w:t xml:space="preserve">. These </w:t>
      </w:r>
      <w:r w:rsidR="00C36765" w:rsidRPr="00A27B12">
        <w:t xml:space="preserve">features </w:t>
      </w:r>
      <w:r w:rsidR="00A763AE" w:rsidRPr="00A27B12">
        <w:t xml:space="preserve">may </w:t>
      </w:r>
      <w:r w:rsidR="002D0DD9" w:rsidRPr="00A27B12">
        <w:t xml:space="preserve">exist to </w:t>
      </w:r>
      <w:r w:rsidR="00E36F6C" w:rsidRPr="00A27B12">
        <w:t xml:space="preserve">encourage </w:t>
      </w:r>
      <w:r w:rsidR="002D0DD9" w:rsidRPr="00A27B12">
        <w:t>particular behaviours (for example, high effective tax</w:t>
      </w:r>
      <w:r w:rsidR="00A801BF">
        <w:noBreakHyphen/>
      </w:r>
      <w:r w:rsidR="002D0DD9" w:rsidRPr="00A27B12">
        <w:t>free threshold</w:t>
      </w:r>
      <w:r w:rsidR="00C45C16" w:rsidRPr="00A27B12">
        <w:t>s</w:t>
      </w:r>
      <w:r w:rsidR="002D0DD9" w:rsidRPr="00A27B12">
        <w:t xml:space="preserve"> can improve the immediate rewards for work, and </w:t>
      </w:r>
      <w:proofErr w:type="spellStart"/>
      <w:r w:rsidR="002D0DD9" w:rsidRPr="00A27B12">
        <w:t>concessionally</w:t>
      </w:r>
      <w:proofErr w:type="spellEnd"/>
      <w:r w:rsidR="002D0DD9" w:rsidRPr="00A27B12">
        <w:t xml:space="preserve"> taxed superannuation can improve retirement income adequacy), or to reduce complexity </w:t>
      </w:r>
      <w:r w:rsidR="0014118C" w:rsidRPr="00A27B12">
        <w:t>or</w:t>
      </w:r>
      <w:r w:rsidR="002D0DD9" w:rsidRPr="00A27B12">
        <w:t xml:space="preserve"> compliance burden (for example, allowing a 50 per cent capital gains tax discount </w:t>
      </w:r>
      <w:r w:rsidR="00921F03" w:rsidRPr="00A27B12">
        <w:t xml:space="preserve">instead of </w:t>
      </w:r>
      <w:r w:rsidR="002D0DD9" w:rsidRPr="00A27B12">
        <w:t xml:space="preserve">indexation and averaging arrangements). </w:t>
      </w:r>
    </w:p>
    <w:p w14:paraId="0D5CDB82" w14:textId="375577A2" w:rsidR="00D055A3" w:rsidRPr="00A27B12" w:rsidRDefault="00F96498" w:rsidP="00CB07B5">
      <w:r w:rsidRPr="00A27B12">
        <w:t xml:space="preserve">Some people may </w:t>
      </w:r>
      <w:r w:rsidR="00CB07B5" w:rsidRPr="00A27B12">
        <w:t>not give any thought to these features of the tax system when they conduct their affairs</w:t>
      </w:r>
      <w:r w:rsidR="0034269F" w:rsidRPr="00A27B12">
        <w:t>. O</w:t>
      </w:r>
      <w:r w:rsidR="00CB07B5" w:rsidRPr="00A27B12">
        <w:t>ther</w:t>
      </w:r>
      <w:r w:rsidR="00704E52" w:rsidRPr="00A27B12">
        <w:t>s</w:t>
      </w:r>
      <w:r w:rsidR="00CB07B5" w:rsidRPr="00A27B12">
        <w:t xml:space="preserve"> may legitimately plan their affairs to take </w:t>
      </w:r>
      <w:r w:rsidR="00C36765" w:rsidRPr="00A27B12">
        <w:t xml:space="preserve">maximum </w:t>
      </w:r>
      <w:r w:rsidR="00CB07B5" w:rsidRPr="00A27B12">
        <w:t>advantage of</w:t>
      </w:r>
      <w:r w:rsidR="007C0A2C" w:rsidRPr="00A27B12">
        <w:t> </w:t>
      </w:r>
      <w:r w:rsidR="00CB07B5" w:rsidRPr="00A27B12">
        <w:t>these features</w:t>
      </w:r>
      <w:r w:rsidR="0034269F" w:rsidRPr="00A27B12">
        <w:t>, so that t</w:t>
      </w:r>
      <w:r w:rsidR="00CB07B5" w:rsidRPr="00A27B12">
        <w:t xml:space="preserve">he amount of tax they pay </w:t>
      </w:r>
      <w:r w:rsidR="0034269F" w:rsidRPr="00A27B12">
        <w:t xml:space="preserve">is </w:t>
      </w:r>
      <w:r w:rsidR="00CB07B5" w:rsidRPr="00A27B12">
        <w:t xml:space="preserve">less than the amount </w:t>
      </w:r>
      <w:r w:rsidR="001F3A81" w:rsidRPr="00A27B12">
        <w:t xml:space="preserve">that would otherwise be </w:t>
      </w:r>
      <w:r w:rsidR="00CB07B5" w:rsidRPr="00A27B12">
        <w:t>determined by the headline rates and thresholds</w:t>
      </w:r>
      <w:r w:rsidR="001F3A81" w:rsidRPr="00A27B12">
        <w:t xml:space="preserve">. This </w:t>
      </w:r>
      <w:r w:rsidR="00CB07B5" w:rsidRPr="00A27B12">
        <w:t xml:space="preserve">can affect </w:t>
      </w:r>
      <w:r w:rsidR="007C0A2C" w:rsidRPr="00A27B12">
        <w:t>perceptions of </w:t>
      </w:r>
      <w:r w:rsidR="00B20B3E" w:rsidRPr="00A27B12">
        <w:t xml:space="preserve">fairness of the </w:t>
      </w:r>
      <w:r w:rsidR="00EF3A59" w:rsidRPr="00A27B12">
        <w:t>individuals</w:t>
      </w:r>
      <w:r w:rsidR="00B20B3E" w:rsidRPr="00A27B12">
        <w:t xml:space="preserve"> income tax system</w:t>
      </w:r>
      <w:r w:rsidR="001F3A81" w:rsidRPr="00A27B12">
        <w:t xml:space="preserve">, particularly since the </w:t>
      </w:r>
      <w:r w:rsidR="00101C8D" w:rsidRPr="00A27B12">
        <w:t xml:space="preserve">parts of the tax system that create </w:t>
      </w:r>
      <w:r w:rsidR="00741A1A" w:rsidRPr="00A27B12">
        <w:t xml:space="preserve">the </w:t>
      </w:r>
      <w:r w:rsidR="00101C8D" w:rsidRPr="00A27B12">
        <w:t>incentives for tax planning are not as well understood as the headline rates and thresholds</w:t>
      </w:r>
      <w:r w:rsidR="00B20B3E" w:rsidRPr="00A27B12">
        <w:t>.</w:t>
      </w:r>
      <w:r w:rsidR="00B572A3" w:rsidRPr="00A27B12">
        <w:t xml:space="preserve"> </w:t>
      </w:r>
    </w:p>
    <w:p w14:paraId="3833D5D5" w14:textId="5579A6FB" w:rsidR="001C78F0" w:rsidRPr="00A27B12" w:rsidRDefault="00A801BF" w:rsidP="00ED75F7">
      <w:pPr>
        <w:spacing w:after="200"/>
      </w:pPr>
      <w:r>
        <w:t>‘</w:t>
      </w:r>
      <w:r w:rsidR="00BC1E7E" w:rsidRPr="00A27B12">
        <w:t>T</w:t>
      </w:r>
      <w:r w:rsidR="001C78F0" w:rsidRPr="00A27B12">
        <w:t>ax planning</w:t>
      </w:r>
      <w:r>
        <w:t>’</w:t>
      </w:r>
      <w:r w:rsidR="00B20B3E" w:rsidRPr="00A27B12">
        <w:t xml:space="preserve"> refers to the use of legitimate, legal strategies to reduce the amount of tax paid</w:t>
      </w:r>
      <w:r w:rsidR="001C78F0" w:rsidRPr="00A27B12">
        <w:rPr>
          <w:rStyle w:val="FootnoteReference"/>
        </w:rPr>
        <w:footnoteReference w:id="20"/>
      </w:r>
      <w:r w:rsidR="001C78F0" w:rsidRPr="00A27B12">
        <w:t xml:space="preserve"> </w:t>
      </w:r>
      <w:r w:rsidR="00B20B3E" w:rsidRPr="00A27B12">
        <w:t xml:space="preserve">and can </w:t>
      </w:r>
      <w:r w:rsidR="001C78F0" w:rsidRPr="00A27B12">
        <w:t xml:space="preserve">allow some people to reduce the amount of tax they pay without reducing their </w:t>
      </w:r>
      <w:r w:rsidR="007407E5" w:rsidRPr="00A27B12">
        <w:t xml:space="preserve">actual </w:t>
      </w:r>
      <w:r w:rsidR="001C78F0" w:rsidRPr="00A27B12">
        <w:t xml:space="preserve">income. </w:t>
      </w:r>
      <w:r w:rsidR="00980A53" w:rsidRPr="00A27B12">
        <w:t>T</w:t>
      </w:r>
      <w:r w:rsidR="001C78F0" w:rsidRPr="00A27B12">
        <w:t xml:space="preserve">ax planning in the </w:t>
      </w:r>
      <w:proofErr w:type="gramStart"/>
      <w:r w:rsidR="00EF3A59" w:rsidRPr="00A27B12">
        <w:t>individuals</w:t>
      </w:r>
      <w:proofErr w:type="gramEnd"/>
      <w:r w:rsidR="001C78F0" w:rsidRPr="00A27B12">
        <w:t xml:space="preserve"> income tax system can come from reducing assessable income or claiming deductions. </w:t>
      </w:r>
      <w:r w:rsidR="00E7053F" w:rsidRPr="00A27B12">
        <w:t xml:space="preserve">It </w:t>
      </w:r>
      <w:r w:rsidR="00C544DD" w:rsidRPr="00A27B12">
        <w:t xml:space="preserve">can also involve income splitting, </w:t>
      </w:r>
      <w:r w:rsidR="002C1033" w:rsidRPr="00A27B12">
        <w:lastRenderedPageBreak/>
        <w:t xml:space="preserve">where </w:t>
      </w:r>
      <w:r w:rsidR="00C544DD" w:rsidRPr="00A27B12">
        <w:t xml:space="preserve">income </w:t>
      </w:r>
      <w:r w:rsidR="002C1033" w:rsidRPr="00A27B12">
        <w:t xml:space="preserve">is </w:t>
      </w:r>
      <w:r w:rsidR="00C544DD" w:rsidRPr="00A27B12">
        <w:t xml:space="preserve">attributed to more than one individual, or </w:t>
      </w:r>
      <w:r w:rsidR="002C1033" w:rsidRPr="00A27B12">
        <w:t xml:space="preserve">is </w:t>
      </w:r>
      <w:r w:rsidR="00C544DD" w:rsidRPr="00A27B12">
        <w:t>distributed across more than one income year, in order to take advantage of more than one tax</w:t>
      </w:r>
      <w:r>
        <w:noBreakHyphen/>
      </w:r>
      <w:r w:rsidR="00C544DD" w:rsidRPr="00A27B12">
        <w:t>free threshold.</w:t>
      </w:r>
      <w:r w:rsidR="002F4FFB" w:rsidRPr="00A27B12">
        <w:t xml:space="preserve"> </w:t>
      </w:r>
      <w:r w:rsidR="00C544DD" w:rsidRPr="00A27B12">
        <w:t xml:space="preserve">The </w:t>
      </w:r>
      <w:r w:rsidR="004B09B5" w:rsidRPr="00A27B12">
        <w:t>benefits</w:t>
      </w:r>
      <w:r w:rsidR="00E40AEF" w:rsidRPr="00A27B12">
        <w:t xml:space="preserve"> </w:t>
      </w:r>
      <w:r w:rsidR="004B09B5" w:rsidRPr="00A27B12">
        <w:t>of common</w:t>
      </w:r>
      <w:r w:rsidR="002C1033" w:rsidRPr="00A27B12">
        <w:t>, legitimate</w:t>
      </w:r>
      <w:r w:rsidR="004B09B5" w:rsidRPr="00A27B12">
        <w:t xml:space="preserve"> </w:t>
      </w:r>
      <w:r w:rsidR="00C544DD" w:rsidRPr="00A27B12">
        <w:t xml:space="preserve">tax planning </w:t>
      </w:r>
      <w:r w:rsidR="004B09B5" w:rsidRPr="00A27B12">
        <w:t xml:space="preserve">strategies </w:t>
      </w:r>
      <w:r w:rsidR="001E3D3F" w:rsidRPr="00A27B12">
        <w:t xml:space="preserve">arise from </w:t>
      </w:r>
      <w:r w:rsidR="00B73F8D" w:rsidRPr="00A27B12">
        <w:t xml:space="preserve">a number of features of the tax system, including </w:t>
      </w:r>
      <w:r w:rsidR="00E40AEF" w:rsidRPr="00A27B12">
        <w:t xml:space="preserve">high </w:t>
      </w:r>
      <w:r w:rsidR="007A5627" w:rsidRPr="00A27B12">
        <w:t xml:space="preserve">effective </w:t>
      </w:r>
      <w:r w:rsidR="00E40AEF" w:rsidRPr="00A27B12">
        <w:t>tax</w:t>
      </w:r>
      <w:r>
        <w:noBreakHyphen/>
      </w:r>
      <w:r w:rsidR="00E40AEF" w:rsidRPr="00A27B12">
        <w:t>free threshold</w:t>
      </w:r>
      <w:r w:rsidR="00F75C93" w:rsidRPr="00A27B12">
        <w:t>s</w:t>
      </w:r>
      <w:r w:rsidR="00B73F8D" w:rsidRPr="00A27B12">
        <w:t>; the difference between marginal tax rate</w:t>
      </w:r>
      <w:r w:rsidR="00480D6A" w:rsidRPr="00A27B12">
        <w:t>s</w:t>
      </w:r>
      <w:r w:rsidR="00B73F8D" w:rsidRPr="00A27B12">
        <w:t xml:space="preserve"> and the company tax rate; </w:t>
      </w:r>
      <w:r w:rsidR="00E40AEF" w:rsidRPr="00A27B12">
        <w:t xml:space="preserve">the </w:t>
      </w:r>
      <w:r w:rsidR="001E3D3F" w:rsidRPr="00A27B12">
        <w:t>capital gains tax discount</w:t>
      </w:r>
      <w:r w:rsidR="00B73F8D" w:rsidRPr="00A27B12">
        <w:t xml:space="preserve">; </w:t>
      </w:r>
      <w:r w:rsidR="00BC6DB2" w:rsidRPr="00A27B12">
        <w:t xml:space="preserve">the </w:t>
      </w:r>
      <w:r w:rsidR="00B73F8D" w:rsidRPr="00A27B12">
        <w:t xml:space="preserve">tax treatment </w:t>
      </w:r>
      <w:r w:rsidR="00E40AEF" w:rsidRPr="00A27B12">
        <w:t xml:space="preserve">of </w:t>
      </w:r>
      <w:r w:rsidR="001E3D3F" w:rsidRPr="00A27B12">
        <w:t>superannuation</w:t>
      </w:r>
      <w:r w:rsidR="00954547" w:rsidRPr="00A27B12">
        <w:t xml:space="preserve">; </w:t>
      </w:r>
      <w:r w:rsidR="002C1033" w:rsidRPr="00A27B12">
        <w:t xml:space="preserve">and </w:t>
      </w:r>
      <w:r w:rsidR="00B73F8D" w:rsidRPr="00A27B12">
        <w:t xml:space="preserve">concessions </w:t>
      </w:r>
      <w:r w:rsidR="002C1033" w:rsidRPr="00A27B12">
        <w:t xml:space="preserve">or </w:t>
      </w:r>
      <w:r w:rsidR="00B73F8D" w:rsidRPr="00A27B12">
        <w:t xml:space="preserve">exemptions in the </w:t>
      </w:r>
      <w:r w:rsidR="001E3D3F" w:rsidRPr="00A27B12">
        <w:t>fringe benefits</w:t>
      </w:r>
      <w:r w:rsidR="00B73F8D" w:rsidRPr="00A27B12">
        <w:t xml:space="preserve"> tax system</w:t>
      </w:r>
      <w:r w:rsidR="001E3D3F" w:rsidRPr="00A27B12">
        <w:t xml:space="preserve">. </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174"/>
      </w:tblGrid>
      <w:tr w:rsidR="00556646" w:rsidRPr="00A27B12" w14:paraId="3E035648" w14:textId="77777777" w:rsidTr="0055508F">
        <w:tc>
          <w:tcPr>
            <w:tcW w:w="9174" w:type="dxa"/>
            <w:tcBorders>
              <w:top w:val="nil"/>
              <w:left w:val="nil"/>
              <w:bottom w:val="nil"/>
              <w:right w:val="nil"/>
            </w:tcBorders>
            <w:shd w:val="clear" w:color="auto" w:fill="EBEAEA" w:themeFill="accent6" w:themeFillTint="33"/>
          </w:tcPr>
          <w:p w14:paraId="7427B1B5" w14:textId="63CC65C0" w:rsidR="00556646" w:rsidRPr="00A27B12" w:rsidRDefault="00556646" w:rsidP="00ED75F7">
            <w:pPr>
              <w:pStyle w:val="BoxHeading"/>
              <w:spacing w:after="120"/>
            </w:pPr>
            <w:r w:rsidRPr="00A27B12">
              <w:t>Box</w:t>
            </w:r>
            <w:r w:rsidR="007D5A71" w:rsidRPr="00A27B12">
              <w:t xml:space="preserve"> </w:t>
            </w:r>
            <w:r w:rsidRPr="00A27B12">
              <w:t>3.</w:t>
            </w:r>
            <w:fldSimple w:instr=" SEQ Box \* ARABIC \s 1 ">
              <w:r w:rsidR="00B30F7B">
                <w:rPr>
                  <w:noProof/>
                </w:rPr>
                <w:t>2</w:t>
              </w:r>
            </w:fldSimple>
            <w:r w:rsidRPr="00A27B12">
              <w:t xml:space="preserve">: </w:t>
            </w:r>
            <w:bookmarkStart w:id="256" w:name="_Ref404149177"/>
            <w:r w:rsidRPr="00A27B12">
              <w:t>Income definitions</w:t>
            </w:r>
            <w:bookmarkEnd w:id="256"/>
          </w:p>
          <w:p w14:paraId="270F6491" w14:textId="77777777" w:rsidR="00556646" w:rsidRPr="00A27B12" w:rsidRDefault="00556646" w:rsidP="00556646">
            <w:pPr>
              <w:pStyle w:val="BoxText"/>
            </w:pPr>
            <w:r w:rsidRPr="00A27B12">
              <w:t xml:space="preserve">A number of the concessions and offsets administered through the tax system are targeted using means tests that use an expanded definition of income. There are several different definitions of income used for this purpose in the </w:t>
            </w:r>
            <w:proofErr w:type="gramStart"/>
            <w:r w:rsidRPr="00A27B12">
              <w:t>individuals</w:t>
            </w:r>
            <w:proofErr w:type="gramEnd"/>
            <w:r w:rsidRPr="00A27B12">
              <w:t xml:space="preserve"> income tax system. </w:t>
            </w:r>
          </w:p>
          <w:p w14:paraId="1491CA79" w14:textId="421B11F6" w:rsidR="00556646" w:rsidRPr="00A27B12" w:rsidRDefault="00556646" w:rsidP="00556646">
            <w:pPr>
              <w:pStyle w:val="BoxText"/>
            </w:pPr>
            <w:r w:rsidRPr="00A27B12">
              <w:t>Each definition seeks to better reflect a person</w:t>
            </w:r>
            <w:r w:rsidR="00A801BF">
              <w:t>’</w:t>
            </w:r>
            <w:r w:rsidRPr="00A27B12">
              <w:t xml:space="preserve">s means by taking account, in some way, of some or all of: voluntary superannuation contributions; fringe benefits; net investment losses (rental and financial); foreign income; and government payments that are exempt from tax. </w:t>
            </w:r>
          </w:p>
          <w:p w14:paraId="3811357C" w14:textId="02C2541F" w:rsidR="00556646" w:rsidRPr="00A27B12" w:rsidRDefault="00556646" w:rsidP="00556646">
            <w:pPr>
              <w:pStyle w:val="BoxText"/>
            </w:pPr>
            <w:r w:rsidRPr="00A27B12">
              <w:t>Currently, none of the income definitions used in the individuals income tax system include the capital gains tax discount, the value of exempt fringe benefits, or tax</w:t>
            </w:r>
            <w:r w:rsidR="00A801BF">
              <w:noBreakHyphen/>
            </w:r>
            <w:r w:rsidRPr="00A27B12">
              <w:t xml:space="preserve">free superannuation. As information about these is not collected for tax purposes, it is difficult to determine the extent to which they are used by people at different income levels. </w:t>
            </w:r>
          </w:p>
          <w:p w14:paraId="073DB25D" w14:textId="77777777" w:rsidR="00556646" w:rsidRPr="00A27B12" w:rsidRDefault="00556646" w:rsidP="00556646">
            <w:pPr>
              <w:pStyle w:val="BoxText"/>
            </w:pPr>
            <w:r w:rsidRPr="00A27B12">
              <w:t>The number of income definitions, and the extent to which they vary, adds significant complexity to the tax system — particularly for people trying to work out their eligibility for multiple concessions or offsets.</w:t>
            </w:r>
          </w:p>
          <w:p w14:paraId="14593999" w14:textId="64F044DE" w:rsidR="00556646" w:rsidRPr="00A27B12" w:rsidRDefault="00556646" w:rsidP="00ED75F7">
            <w:pPr>
              <w:pStyle w:val="BoxText"/>
              <w:spacing w:after="0"/>
            </w:pPr>
            <w:r w:rsidRPr="00A27B12">
              <w:t>A further source of</w:t>
            </w:r>
            <w:r w:rsidRPr="00A27B12" w:rsidDel="00C517AC">
              <w:t xml:space="preserve"> </w:t>
            </w:r>
            <w:r w:rsidRPr="00A27B12">
              <w:t xml:space="preserve">compliance burden arises when income tests are applied based on the income of a couple, which must be administered through the </w:t>
            </w:r>
            <w:proofErr w:type="gramStart"/>
            <w:r w:rsidRPr="00A27B12">
              <w:t>individuals</w:t>
            </w:r>
            <w:proofErr w:type="gramEnd"/>
            <w:r w:rsidRPr="00A27B12">
              <w:t xml:space="preserve"> income tax system that is designed using the individual as a unit of taxation.</w:t>
            </w:r>
          </w:p>
        </w:tc>
      </w:tr>
    </w:tbl>
    <w:p w14:paraId="7BEF1F8A" w14:textId="77777777" w:rsidR="00556646" w:rsidRPr="00A27B12" w:rsidRDefault="00556646" w:rsidP="00A801BF">
      <w:pPr>
        <w:spacing w:after="120"/>
      </w:pPr>
    </w:p>
    <w:p w14:paraId="0601489C" w14:textId="6EF6389B" w:rsidR="00522028" w:rsidRPr="00A27B12" w:rsidRDefault="00522028" w:rsidP="00ED75F7">
      <w:r w:rsidRPr="00A27B12">
        <w:t>While taxable income by definition determines the amount on which tax is paid, some of the concessions in the tax system are means tested using expanded definition</w:t>
      </w:r>
      <w:r w:rsidR="00FD47BB" w:rsidRPr="00A27B12">
        <w:t>s</w:t>
      </w:r>
      <w:r w:rsidRPr="00A27B12">
        <w:t xml:space="preserve"> of income, which are designed to reduce the benefits from tax planning. Over time, these income definitions have evolved to better reflect an individual</w:t>
      </w:r>
      <w:r w:rsidR="00A801BF">
        <w:t>’</w:t>
      </w:r>
      <w:r w:rsidRPr="00A27B12">
        <w:t xml:space="preserve">s means (Box </w:t>
      </w:r>
      <w:r w:rsidR="003F3BFE" w:rsidRPr="00A27B12">
        <w:t>3</w:t>
      </w:r>
      <w:r w:rsidRPr="00A27B12">
        <w:t>.</w:t>
      </w:r>
      <w:r w:rsidR="002B5D4D" w:rsidRPr="00A27B12">
        <w:t>2</w:t>
      </w:r>
      <w:r w:rsidRPr="00A27B12">
        <w:t>). Requiring taxpayers to report additional items adds to compliance burden</w:t>
      </w:r>
      <w:r w:rsidR="00CE497E" w:rsidRPr="00A27B12">
        <w:t>. H</w:t>
      </w:r>
      <w:r w:rsidRPr="00A27B12">
        <w:t xml:space="preserve">owever, </w:t>
      </w:r>
      <w:r w:rsidR="00BE23D4" w:rsidRPr="00A27B12">
        <w:t>these income definitions better target</w:t>
      </w:r>
      <w:r w:rsidRPr="00A27B12">
        <w:t xml:space="preserve"> assistance</w:t>
      </w:r>
      <w:r w:rsidR="002B5D4D" w:rsidRPr="00A27B12">
        <w:t xml:space="preserve"> and </w:t>
      </w:r>
      <w:r w:rsidR="00BE23D4" w:rsidRPr="00A27B12">
        <w:t>collect</w:t>
      </w:r>
      <w:r w:rsidRPr="00A27B12">
        <w:t xml:space="preserve"> data that can give an indication of the use, by income level, of certain concessions that would otherwise not be required to be reported by an individual. </w:t>
      </w:r>
    </w:p>
    <w:p w14:paraId="69E27D87" w14:textId="77777777" w:rsidR="001C78F0" w:rsidRPr="00A27B12" w:rsidRDefault="001C78F0" w:rsidP="00ED75F7">
      <w:pPr>
        <w:pStyle w:val="Heading5"/>
        <w:rPr>
          <w:i/>
        </w:rPr>
      </w:pPr>
      <w:bookmarkStart w:id="257" w:name="_Toc404342095"/>
      <w:bookmarkStart w:id="258" w:name="_Toc409796507"/>
      <w:r w:rsidRPr="00ED75F7">
        <w:t>Reducing</w:t>
      </w:r>
      <w:r w:rsidRPr="00A27B12">
        <w:t xml:space="preserve"> assessable income and maximising deductions</w:t>
      </w:r>
      <w:bookmarkEnd w:id="257"/>
      <w:bookmarkEnd w:id="258"/>
    </w:p>
    <w:p w14:paraId="30F689F2" w14:textId="52819487" w:rsidR="001C78F0" w:rsidRPr="00A27B12" w:rsidRDefault="001C78F0" w:rsidP="00ED75F7">
      <w:pPr>
        <w:spacing w:after="0"/>
      </w:pPr>
      <w:r w:rsidRPr="00A27B12">
        <w:t xml:space="preserve">One way </w:t>
      </w:r>
      <w:r w:rsidR="009C386E" w:rsidRPr="00A27B12">
        <w:t xml:space="preserve">employees </w:t>
      </w:r>
      <w:r w:rsidRPr="00A27B12">
        <w:t>can reduce their tax liabilities is by reweighting their remuneration away from wages toward</w:t>
      </w:r>
      <w:r w:rsidR="002B5D4D" w:rsidRPr="00A27B12">
        <w:t>s</w:t>
      </w:r>
      <w:r w:rsidRPr="00A27B12">
        <w:t xml:space="preserve"> </w:t>
      </w:r>
      <w:proofErr w:type="spellStart"/>
      <w:r w:rsidRPr="00A27B12">
        <w:t>concessionally</w:t>
      </w:r>
      <w:proofErr w:type="spellEnd"/>
      <w:r w:rsidRPr="00A27B12">
        <w:t xml:space="preserve"> taxed superannuation contributions (up to a prescribed cap), or </w:t>
      </w:r>
      <w:r w:rsidR="002B5D4D" w:rsidRPr="00A27B12">
        <w:t xml:space="preserve">to </w:t>
      </w:r>
      <w:r w:rsidRPr="00A27B12">
        <w:t>fringe benefits</w:t>
      </w:r>
      <w:r w:rsidR="00D9175E" w:rsidRPr="00A27B12">
        <w:t xml:space="preserve"> that are </w:t>
      </w:r>
      <w:proofErr w:type="spellStart"/>
      <w:r w:rsidR="00D9175E" w:rsidRPr="00A27B12">
        <w:t>concessional</w:t>
      </w:r>
      <w:r w:rsidR="00F416ED">
        <w:t>ly</w:t>
      </w:r>
      <w:proofErr w:type="spellEnd"/>
      <w:r w:rsidR="00D9175E" w:rsidRPr="00A27B12">
        <w:t xml:space="preserve"> taxed or exempt from tax</w:t>
      </w:r>
      <w:r w:rsidRPr="00A27B12">
        <w:t xml:space="preserve">. </w:t>
      </w:r>
      <w:r w:rsidR="009C386E" w:rsidRPr="00A27B12">
        <w:t xml:space="preserve">Another way is to apply losses from other activities to reduce </w:t>
      </w:r>
      <w:r w:rsidR="00684840" w:rsidRPr="00A27B12">
        <w:t xml:space="preserve">the amount of </w:t>
      </w:r>
      <w:r w:rsidR="009C386E" w:rsidRPr="00A27B12">
        <w:t xml:space="preserve">tax payable on wage or salary income. </w:t>
      </w:r>
      <w:r w:rsidRPr="00A27B12">
        <w:t xml:space="preserve">Unsurprisingly, </w:t>
      </w:r>
      <w:r w:rsidR="00684840" w:rsidRPr="00A27B12">
        <w:t xml:space="preserve">the </w:t>
      </w:r>
      <w:r w:rsidRPr="00A27B12">
        <w:t xml:space="preserve">use </w:t>
      </w:r>
      <w:r w:rsidR="00684840" w:rsidRPr="00A27B12">
        <w:t xml:space="preserve">of these </w:t>
      </w:r>
      <w:r w:rsidR="00B1153F" w:rsidRPr="00A27B12">
        <w:t xml:space="preserve">approaches </w:t>
      </w:r>
      <w:r w:rsidRPr="00A27B12">
        <w:t xml:space="preserve">is higher </w:t>
      </w:r>
      <w:r w:rsidR="0066029E" w:rsidRPr="00A27B12">
        <w:t xml:space="preserve">among people </w:t>
      </w:r>
      <w:r w:rsidRPr="00A27B12">
        <w:t xml:space="preserve">on higher </w:t>
      </w:r>
      <w:r w:rsidR="00657811" w:rsidRPr="00A27B12">
        <w:t xml:space="preserve">assessable </w:t>
      </w:r>
      <w:r w:rsidRPr="00A27B12">
        <w:t>incomes</w:t>
      </w:r>
      <w:r w:rsidR="00BD2B26" w:rsidRPr="00A27B12">
        <w:t xml:space="preserve">, but not disproportionately </w:t>
      </w:r>
      <w:r w:rsidR="00657811" w:rsidRPr="00A27B12">
        <w:t>so</w:t>
      </w:r>
      <w:r w:rsidRPr="00A27B12">
        <w:t xml:space="preserve"> (see </w:t>
      </w:r>
      <w:r w:rsidR="00B02ACB" w:rsidRPr="00A27B12">
        <w:t xml:space="preserve">Chart </w:t>
      </w:r>
      <w:r w:rsidR="00273FBE" w:rsidRPr="00A27B12">
        <w:t>3</w:t>
      </w:r>
      <w:r w:rsidR="00B02ACB" w:rsidRPr="00A27B12">
        <w:t>.5</w:t>
      </w:r>
      <w:r w:rsidRPr="00A27B12">
        <w:t xml:space="preserve">). </w:t>
      </w:r>
      <w:r w:rsidR="00657811" w:rsidRPr="00A27B12">
        <w:t xml:space="preserve">It is difficult to draw any conclusions </w:t>
      </w:r>
      <w:r w:rsidR="00522028" w:rsidRPr="00A27B12">
        <w:t xml:space="preserve">on the implications this may have for the progressivity of the </w:t>
      </w:r>
      <w:proofErr w:type="gramStart"/>
      <w:r w:rsidR="00EF3A59" w:rsidRPr="00A27B12">
        <w:t>individuals</w:t>
      </w:r>
      <w:proofErr w:type="gramEnd"/>
      <w:r w:rsidR="00522028" w:rsidRPr="00A27B12">
        <w:t xml:space="preserve"> income tax system, </w:t>
      </w:r>
      <w:r w:rsidR="00657811" w:rsidRPr="00A27B12">
        <w:t xml:space="preserve">as greater use of fringe benefits or superannuation would reduce assessable </w:t>
      </w:r>
      <w:r w:rsidR="00522028" w:rsidRPr="00A27B12">
        <w:t xml:space="preserve">and taxable </w:t>
      </w:r>
      <w:r w:rsidR="00657811" w:rsidRPr="00A27B12">
        <w:t xml:space="preserve">income. Further, the data </w:t>
      </w:r>
      <w:r w:rsidR="002B5D4D" w:rsidRPr="00A27B12">
        <w:t>is</w:t>
      </w:r>
      <w:r w:rsidR="00657811" w:rsidRPr="00A27B12">
        <w:t xml:space="preserve"> sourced from the individual income tax return, and therefore do</w:t>
      </w:r>
      <w:r w:rsidR="002B5D4D" w:rsidRPr="00A27B12">
        <w:t>es</w:t>
      </w:r>
      <w:r w:rsidR="00657811" w:rsidRPr="00A27B12">
        <w:t xml:space="preserve"> not reflect the use of </w:t>
      </w:r>
      <w:r w:rsidR="007941B6" w:rsidRPr="00A27B12">
        <w:t xml:space="preserve">unreported or exempt </w:t>
      </w:r>
      <w:r w:rsidR="00657811" w:rsidRPr="00A27B12">
        <w:t xml:space="preserve">fringe benefits. </w:t>
      </w:r>
    </w:p>
    <w:p w14:paraId="7D16E3F3" w14:textId="525A6D9E" w:rsidR="001C78F0" w:rsidRPr="00A27B12" w:rsidRDefault="00A96B75" w:rsidP="008B6F8C">
      <w:pPr>
        <w:pStyle w:val="ChartMainHeading"/>
        <w:spacing w:before="0" w:after="0"/>
      </w:pPr>
      <w:bookmarkStart w:id="259" w:name="_Ref404091936"/>
      <w:bookmarkStart w:id="260" w:name="_Ref404172435"/>
      <w:proofErr w:type="gramStart"/>
      <w:r w:rsidRPr="00A27B12">
        <w:lastRenderedPageBreak/>
        <w:t xml:space="preserve">Chart </w:t>
      </w:r>
      <w:fldSimple w:instr=" STYLEREF 1 \s ">
        <w:r w:rsidR="00B30F7B">
          <w:rPr>
            <w:noProof/>
          </w:rPr>
          <w:t>3</w:t>
        </w:r>
      </w:fldSimple>
      <w:r w:rsidRPr="00A27B12">
        <w:t>.</w:t>
      </w:r>
      <w:proofErr w:type="gramEnd"/>
      <w:r w:rsidR="00FD4370">
        <w:fldChar w:fldCharType="begin"/>
      </w:r>
      <w:r w:rsidR="00FD4370">
        <w:instrText xml:space="preserve"> SEQ Chart \* ARABIC \s 1 </w:instrText>
      </w:r>
      <w:r w:rsidR="00FD4370">
        <w:fldChar w:fldCharType="separate"/>
      </w:r>
      <w:r w:rsidR="00B30F7B">
        <w:rPr>
          <w:noProof/>
        </w:rPr>
        <w:t>5</w:t>
      </w:r>
      <w:r w:rsidR="00FD4370">
        <w:rPr>
          <w:noProof/>
        </w:rPr>
        <w:fldChar w:fldCharType="end"/>
      </w:r>
      <w:r w:rsidRPr="00A27B12">
        <w:t xml:space="preserve"> </w:t>
      </w:r>
      <w:r w:rsidR="001C78F0" w:rsidRPr="00A27B12">
        <w:t xml:space="preserve">Use of concessions and losses, by </w:t>
      </w:r>
      <w:r w:rsidR="00950195" w:rsidRPr="00A27B12">
        <w:t xml:space="preserve">total </w:t>
      </w:r>
      <w:r w:rsidR="001C78F0" w:rsidRPr="00A27B12">
        <w:t>income</w:t>
      </w:r>
      <w:bookmarkEnd w:id="259"/>
      <w:bookmarkEnd w:id="260"/>
      <w:r w:rsidR="008C0E9D" w:rsidRPr="00A27B12">
        <w:t>, 2011</w:t>
      </w:r>
      <w:r w:rsidR="00A801BF">
        <w:noBreakHyphen/>
      </w:r>
      <w:r w:rsidR="008C0E9D" w:rsidRPr="00A27B12">
        <w:t>12</w:t>
      </w:r>
    </w:p>
    <w:p w14:paraId="7233D5B7" w14:textId="7C28B3C2" w:rsidR="001C78F0" w:rsidRPr="00A27B12" w:rsidRDefault="009C7759" w:rsidP="00A75D07">
      <w:pPr>
        <w:pStyle w:val="ChartGraphic"/>
      </w:pPr>
      <w:r w:rsidRPr="00A27B12">
        <w:object w:dxaOrig="8775" w:dyaOrig="5100" w14:anchorId="3B946479">
          <v:shape id="_x0000_i1028" type="#_x0000_t75" alt="Chart 3.5 Use of concessions and losses, by total income, 2011-12&#10;This chart shows the extent to which certain concessions and losses were used at different income levels in 2011-12. The chart shows that the use of reportable fringe benefits, reportable and personal superannuation contributions, and financial and property losses increased in dollar terms as total income increased.&#10;The chart also shows that the use of these items as a proportion of total income is around 6 per cent for total incomes between $20,000 and $1,000,000. However this proportion increases significantly for total incomes below $20,000 and deceases significantly for taxable income over $1,000,000. &#10;For example:&#10;• Individuals who have a total income less than $20,000 receive on average $970 in the selected concessions and losses, which corresponds to 10.6 per cent of the average income of this group. &#10;• Individuals who have total income between $50,000 and $100,000 receive around $4,000 on average in the selected concessions and losses, which corresponds to 5.7 per cent of the average income of this group. &#10;• Individuals who have total income over $1,000,000 receive around $45,000 on average in the selected concessions and losses, which represents around 2.2 per cent of the average income of this group.&#10;" style="width:438.75pt;height:255pt;mso-position-vertical:absolute" o:ole="">
            <v:imagedata r:id="rId27" o:title=""/>
          </v:shape>
          <o:OLEObject Type="Link" ProgID="Excel.Sheet.12" ShapeID="_x0000_i1028" DrawAspect="Content" r:id="rId28" UpdateMode="Always">
            <o:LinkType>EnhancedMetaFile</o:LinkType>
            <o:LockedField/>
            <o:FieldCodes>\* MERGEFORMAT</o:FieldCodes>
          </o:OLEObject>
        </w:object>
      </w:r>
    </w:p>
    <w:p w14:paraId="4E9E74B0" w14:textId="23C63FD9" w:rsidR="001C78F0" w:rsidRPr="00A27B12" w:rsidRDefault="001C78F0" w:rsidP="00556646">
      <w:pPr>
        <w:pStyle w:val="ChartandTableNote"/>
        <w:ind w:left="567"/>
        <w:rPr>
          <w:lang w:val="en-US"/>
        </w:rPr>
      </w:pPr>
      <w:r w:rsidRPr="00A27B12">
        <w:t xml:space="preserve">Source: </w:t>
      </w:r>
      <w:r w:rsidR="00B066DF" w:rsidRPr="00A27B12">
        <w:t xml:space="preserve">Treasury estimates based on </w:t>
      </w:r>
      <w:r w:rsidR="002D64A1" w:rsidRPr="00A27B12">
        <w:t>ATO</w:t>
      </w:r>
      <w:r w:rsidRPr="00A27B12">
        <w:t xml:space="preserve"> 2014, </w:t>
      </w:r>
      <w:r w:rsidRPr="00A27B12">
        <w:rPr>
          <w:i/>
        </w:rPr>
        <w:t>Taxation Statistics 2011</w:t>
      </w:r>
      <w:r w:rsidR="00A801BF">
        <w:rPr>
          <w:i/>
        </w:rPr>
        <w:noBreakHyphen/>
      </w:r>
      <w:r w:rsidRPr="00A27B12">
        <w:rPr>
          <w:i/>
        </w:rPr>
        <w:t>12</w:t>
      </w:r>
      <w:r w:rsidR="008A2434" w:rsidRPr="00A27B12">
        <w:rPr>
          <w:i/>
        </w:rPr>
        <w:t xml:space="preserve">, </w:t>
      </w:r>
      <w:r w:rsidR="002D64A1" w:rsidRPr="00A27B12">
        <w:t>ATO</w:t>
      </w:r>
      <w:r w:rsidR="008A2434" w:rsidRPr="00A27B12">
        <w:t>, Canberra.</w:t>
      </w:r>
    </w:p>
    <w:p w14:paraId="4CC734CF" w14:textId="77777777" w:rsidR="004B15D1" w:rsidRPr="00A27B12" w:rsidRDefault="004B15D1" w:rsidP="00ED75F7">
      <w:bookmarkStart w:id="261" w:name="_Ref404149200"/>
    </w:p>
    <w:p w14:paraId="2FEF6B0A" w14:textId="292DC743" w:rsidR="001C78F0" w:rsidRPr="00A27B12" w:rsidRDefault="00A96B75" w:rsidP="004B15D1">
      <w:pPr>
        <w:pStyle w:val="ChartMainHeading"/>
      </w:pPr>
      <w:proofErr w:type="gramStart"/>
      <w:r w:rsidRPr="00A27B12">
        <w:t xml:space="preserve">Chart </w:t>
      </w:r>
      <w:fldSimple w:instr=" STYLEREF 1 \s ">
        <w:r w:rsidR="00B30F7B">
          <w:rPr>
            <w:noProof/>
          </w:rPr>
          <w:t>3</w:t>
        </w:r>
      </w:fldSimple>
      <w:r w:rsidRPr="00A27B12">
        <w:t>.</w:t>
      </w:r>
      <w:proofErr w:type="gramEnd"/>
      <w:r w:rsidR="00FD4370">
        <w:fldChar w:fldCharType="begin"/>
      </w:r>
      <w:r w:rsidR="00FD4370">
        <w:instrText xml:space="preserve"> SEQ Chart \* ARABIC \s 1 </w:instrText>
      </w:r>
      <w:r w:rsidR="00FD4370">
        <w:fldChar w:fldCharType="separate"/>
      </w:r>
      <w:r w:rsidR="00B30F7B">
        <w:rPr>
          <w:noProof/>
        </w:rPr>
        <w:t>6</w:t>
      </w:r>
      <w:r w:rsidR="00FD4370">
        <w:rPr>
          <w:noProof/>
        </w:rPr>
        <w:fldChar w:fldCharType="end"/>
      </w:r>
      <w:r w:rsidRPr="00A27B12">
        <w:t xml:space="preserve"> </w:t>
      </w:r>
      <w:r w:rsidR="001C78F0" w:rsidRPr="00A27B12">
        <w:t>Major sources of income and deductions, 2011</w:t>
      </w:r>
      <w:r w:rsidR="00A801BF">
        <w:noBreakHyphen/>
      </w:r>
      <w:r w:rsidR="001C78F0" w:rsidRPr="00A27B12">
        <w:t>12</w:t>
      </w:r>
      <w:bookmarkEnd w:id="261"/>
    </w:p>
    <w:p w14:paraId="0EEA3614" w14:textId="4C264CD4" w:rsidR="001C78F0" w:rsidRPr="00A27B12" w:rsidRDefault="009C7759" w:rsidP="00157E05">
      <w:pPr>
        <w:pStyle w:val="ChartGraphic"/>
      </w:pPr>
      <w:r w:rsidRPr="00A27B12">
        <w:object w:dxaOrig="8775" w:dyaOrig="4771" w14:anchorId="772A87E2">
          <v:shape id="_x0000_i1029" type="#_x0000_t75" alt="Chart 3.6 Major sources of income and deductions, 2011-12&#10;This chart shows the major sources of assessable income, non-assessable income and deductions reported in Australia’s individual income tax returns in 2011-12. Salary and wages is by far the largest source of assessable income ($536 billion), followed by business income ($102 billion) and other income ($93 billion). Business expenses are the largest source of deductions ($74 billion), followed by rental deductions ($42 billion) and work related expenses ($19 billion).&#10;" style="width:438.75pt;height:238.5pt" o:ole="">
            <v:imagedata r:id="rId29" o:title=""/>
          </v:shape>
          <o:OLEObject Type="Link" ProgID="Excel.Sheet.12" ShapeID="_x0000_i1029" DrawAspect="Content" r:id="rId30" UpdateMode="Always">
            <o:LinkType>EnhancedMetaFile</o:LinkType>
            <o:LockedField/>
            <o:FieldCodes>\* MERGEFORMAT</o:FieldCodes>
          </o:OLEObject>
        </w:object>
      </w:r>
    </w:p>
    <w:p w14:paraId="5A9D90E4" w14:textId="2CCE7D27" w:rsidR="00D9110D" w:rsidRPr="00A27B12" w:rsidRDefault="00D9110D" w:rsidP="00556646">
      <w:pPr>
        <w:pStyle w:val="ChartandTableNote"/>
        <w:ind w:left="567"/>
      </w:pPr>
      <w:r w:rsidRPr="00A27B12">
        <w:t xml:space="preserve">Notes: </w:t>
      </w:r>
      <w:r w:rsidR="00A801BF">
        <w:t>‘</w:t>
      </w:r>
      <w:r w:rsidR="00B16B41" w:rsidRPr="00A27B12">
        <w:t>Business income</w:t>
      </w:r>
      <w:r w:rsidR="00A801BF">
        <w:t>’</w:t>
      </w:r>
      <w:r w:rsidR="00B16B41" w:rsidRPr="00A27B12">
        <w:t xml:space="preserve"> and </w:t>
      </w:r>
      <w:r w:rsidR="00A801BF">
        <w:t>‘</w:t>
      </w:r>
      <w:r w:rsidR="00B16B41" w:rsidRPr="00A27B12">
        <w:t>business deductions</w:t>
      </w:r>
      <w:r w:rsidR="00A801BF">
        <w:t>’</w:t>
      </w:r>
      <w:r w:rsidR="00B16B41" w:rsidRPr="00A27B12">
        <w:t xml:space="preserve"> are income earned and deductions incurred by individuals carrying on a business (for example, as a sole trader). </w:t>
      </w:r>
      <w:r w:rsidR="00A801BF">
        <w:t>‘</w:t>
      </w:r>
      <w:r w:rsidRPr="00A27B12">
        <w:t>Other income</w:t>
      </w:r>
      <w:r w:rsidR="00A801BF">
        <w:t>’</w:t>
      </w:r>
      <w:r w:rsidRPr="00A27B12">
        <w:t xml:space="preserve"> includes distributions from partnerships and trusts; taxable </w:t>
      </w:r>
      <w:r w:rsidR="00E66F30" w:rsidRPr="00A27B12">
        <w:t xml:space="preserve">Australian </w:t>
      </w:r>
      <w:r w:rsidRPr="00A27B12">
        <w:t xml:space="preserve">Government transfer payments; and allowances, benefits, earnings and tips. </w:t>
      </w:r>
      <w:r w:rsidR="00A801BF">
        <w:t>‘</w:t>
      </w:r>
      <w:r w:rsidRPr="00A27B12">
        <w:t>Other deductions</w:t>
      </w:r>
      <w:r w:rsidR="00A801BF">
        <w:t>’</w:t>
      </w:r>
      <w:r w:rsidRPr="00A27B12">
        <w:t xml:space="preserve"> includes charitable donations</w:t>
      </w:r>
      <w:r w:rsidR="00250E58" w:rsidRPr="00A27B12">
        <w:t xml:space="preserve"> and </w:t>
      </w:r>
      <w:r w:rsidRPr="00A27B12">
        <w:t xml:space="preserve">the cost of managing tax affairs. </w:t>
      </w:r>
      <w:r w:rsidR="00A801BF">
        <w:t>‘</w:t>
      </w:r>
      <w:r w:rsidRPr="00A27B12">
        <w:t>Superannuation contributions</w:t>
      </w:r>
      <w:r w:rsidR="00A801BF">
        <w:t>’</w:t>
      </w:r>
      <w:r w:rsidRPr="00A27B12">
        <w:t xml:space="preserve"> includes reportable employer superannuation contributions and personal superannuation contributions, but not superannuation guarantee contributions. </w:t>
      </w:r>
      <w:r w:rsidR="00A801BF">
        <w:t>‘</w:t>
      </w:r>
      <w:r w:rsidRPr="00A27B12">
        <w:t>Reportable fringe benefits</w:t>
      </w:r>
      <w:r w:rsidR="00A801BF">
        <w:t>’</w:t>
      </w:r>
      <w:r w:rsidRPr="00A27B12">
        <w:t xml:space="preserve"> does not fully reflect remuneration in the form of fringe benefits</w:t>
      </w:r>
      <w:r w:rsidR="00706C80" w:rsidRPr="00A27B12">
        <w:t xml:space="preserve"> as,</w:t>
      </w:r>
      <w:r w:rsidRPr="00A27B12">
        <w:t xml:space="preserve"> </w:t>
      </w:r>
      <w:r w:rsidR="00706C80" w:rsidRPr="00A27B12">
        <w:t>a</w:t>
      </w:r>
      <w:r w:rsidRPr="00A27B12">
        <w:t xml:space="preserve">mong other things, it does not include fringe benefits below the $2,000 threshold (that are not required to be reported) or fringe benefits that are exempt from tax. </w:t>
      </w:r>
    </w:p>
    <w:p w14:paraId="4A294FC4" w14:textId="72410792" w:rsidR="001C78F0" w:rsidRPr="00A27B12" w:rsidRDefault="001C78F0" w:rsidP="00556646">
      <w:pPr>
        <w:pStyle w:val="ChartandTableNote"/>
        <w:spacing w:after="240"/>
        <w:ind w:left="567"/>
      </w:pPr>
      <w:r w:rsidRPr="00A27B12">
        <w:t xml:space="preserve">Source: </w:t>
      </w:r>
      <w:r w:rsidR="002D64A1" w:rsidRPr="00A27B12">
        <w:t xml:space="preserve">ATO </w:t>
      </w:r>
      <w:r w:rsidRPr="00A27B12">
        <w:t xml:space="preserve">2014, </w:t>
      </w:r>
      <w:r w:rsidRPr="00A27B12">
        <w:rPr>
          <w:i/>
        </w:rPr>
        <w:t>Taxation Statistics 2011</w:t>
      </w:r>
      <w:r w:rsidR="00A801BF">
        <w:rPr>
          <w:i/>
        </w:rPr>
        <w:noBreakHyphen/>
      </w:r>
      <w:r w:rsidRPr="00A27B12">
        <w:rPr>
          <w:i/>
        </w:rPr>
        <w:t>12</w:t>
      </w:r>
      <w:r w:rsidR="00706C80" w:rsidRPr="00A27B12">
        <w:t xml:space="preserve">, </w:t>
      </w:r>
      <w:r w:rsidR="002D64A1" w:rsidRPr="00A27B12">
        <w:t>ATO</w:t>
      </w:r>
      <w:r w:rsidR="00706C80" w:rsidRPr="00A27B12">
        <w:t>, Canberra.</w:t>
      </w:r>
      <w:r w:rsidR="00AE50C2" w:rsidRPr="00A27B12">
        <w:t xml:space="preserve"> </w:t>
      </w:r>
    </w:p>
    <w:p w14:paraId="2F591D71" w14:textId="77777777" w:rsidR="00556646" w:rsidRPr="00A27B12" w:rsidRDefault="00556646" w:rsidP="00B16B41"/>
    <w:p w14:paraId="0ADC2EE9" w14:textId="04697D2D" w:rsidR="00B16B41" w:rsidRPr="00A27B12" w:rsidRDefault="00B16B41" w:rsidP="00B16B41">
      <w:r w:rsidRPr="00A27B12">
        <w:lastRenderedPageBreak/>
        <w:t>People can also reduce their taxable income by claiming deductions, although there is generally only a tax planning benefit from claiming deductions that provide a private benefit. In the case of work</w:t>
      </w:r>
      <w:r w:rsidR="00A801BF">
        <w:noBreakHyphen/>
      </w:r>
      <w:r w:rsidRPr="00A27B12">
        <w:t>related expense deductions the tax planning benefit is limited by the requirement that these expenses should generally be apportioned based on how much is for private use</w:t>
      </w:r>
      <w:r w:rsidRPr="00A27B12">
        <w:rPr>
          <w:lang w:val="en-US"/>
        </w:rPr>
        <w:t>. There is generally greater scope to claim legitimate deductions related to income from savings or from carrying on a business. Business or investment deductions usually make up a greater share of the income they are linked to, compared to work</w:t>
      </w:r>
      <w:r w:rsidR="00A801BF">
        <w:rPr>
          <w:lang w:val="en-US"/>
        </w:rPr>
        <w:noBreakHyphen/>
      </w:r>
      <w:r w:rsidRPr="00A27B12">
        <w:rPr>
          <w:lang w:val="en-US"/>
        </w:rPr>
        <w:t xml:space="preserve">related expense deductions and wage and salary income (Chart </w:t>
      </w:r>
      <w:r w:rsidR="000319CD" w:rsidRPr="00A27B12">
        <w:rPr>
          <w:lang w:val="en-US"/>
        </w:rPr>
        <w:t>3</w:t>
      </w:r>
      <w:r w:rsidRPr="00A27B12">
        <w:rPr>
          <w:lang w:val="en-US"/>
        </w:rPr>
        <w:t>.6).</w:t>
      </w:r>
    </w:p>
    <w:p w14:paraId="6B0FD779" w14:textId="77777777" w:rsidR="001C78F0" w:rsidRPr="00A27B12" w:rsidRDefault="001C78F0" w:rsidP="001C78F0">
      <w:pPr>
        <w:pStyle w:val="Heading5"/>
      </w:pPr>
      <w:bookmarkStart w:id="262" w:name="_Toc404342096"/>
      <w:bookmarkStart w:id="263" w:name="_Toc409796508"/>
      <w:r w:rsidRPr="00A27B12">
        <w:t>Income splitting</w:t>
      </w:r>
      <w:bookmarkEnd w:id="262"/>
      <w:bookmarkEnd w:id="263"/>
    </w:p>
    <w:p w14:paraId="7A895AEA" w14:textId="53D0F628" w:rsidR="00C832EF" w:rsidRPr="00A27B12" w:rsidRDefault="001C78F0" w:rsidP="001C78F0">
      <w:r w:rsidRPr="00A27B12">
        <w:t xml:space="preserve">Outside of the </w:t>
      </w:r>
      <w:proofErr w:type="gramStart"/>
      <w:r w:rsidR="00EF3A59" w:rsidRPr="00A27B12">
        <w:t>individuals</w:t>
      </w:r>
      <w:proofErr w:type="gramEnd"/>
      <w:r w:rsidRPr="00A27B12">
        <w:t xml:space="preserve"> income tax system, people may be able to use </w:t>
      </w:r>
      <w:r w:rsidR="00723449" w:rsidRPr="00A27B12">
        <w:t xml:space="preserve">entities such as trusts or private companies </w:t>
      </w:r>
      <w:r w:rsidRPr="00A27B12">
        <w:t xml:space="preserve">to </w:t>
      </w:r>
      <w:r w:rsidR="00A801BF">
        <w:t>‘</w:t>
      </w:r>
      <w:r w:rsidRPr="00A27B12">
        <w:t>income split</w:t>
      </w:r>
      <w:r w:rsidR="00A801BF">
        <w:t>’</w:t>
      </w:r>
      <w:r w:rsidRPr="00A27B12">
        <w:t xml:space="preserve">. </w:t>
      </w:r>
      <w:r w:rsidR="00494B53" w:rsidRPr="00A27B12">
        <w:t xml:space="preserve">The potential benefits from income splitting arise from the progressivity </w:t>
      </w:r>
      <w:r w:rsidR="001E469C" w:rsidRPr="00A27B12">
        <w:t>and effective tax</w:t>
      </w:r>
      <w:r w:rsidR="00A801BF">
        <w:noBreakHyphen/>
      </w:r>
      <w:r w:rsidR="001E469C" w:rsidRPr="00A27B12">
        <w:t xml:space="preserve">free thresholds </w:t>
      </w:r>
      <w:r w:rsidR="00494B53" w:rsidRPr="00A27B12">
        <w:t xml:space="preserve">in the </w:t>
      </w:r>
      <w:proofErr w:type="gramStart"/>
      <w:r w:rsidR="00EF3A59" w:rsidRPr="00A27B12">
        <w:t>individuals</w:t>
      </w:r>
      <w:proofErr w:type="gramEnd"/>
      <w:r w:rsidR="00494B53" w:rsidRPr="00A27B12">
        <w:t xml:space="preserve"> income tax system (</w:t>
      </w:r>
      <w:r w:rsidR="007D5A71" w:rsidRPr="00A27B12">
        <w:t>Box 3.3</w:t>
      </w:r>
      <w:r w:rsidR="00494B53" w:rsidRPr="00A27B12">
        <w:t xml:space="preserve">). </w:t>
      </w:r>
      <w:r w:rsidR="00B16B41" w:rsidRPr="00A27B12">
        <w:t>L</w:t>
      </w:r>
      <w:r w:rsidR="000F467B" w:rsidRPr="00A27B12">
        <w:t xml:space="preserve">egitimate </w:t>
      </w:r>
      <w:r w:rsidR="004C0094" w:rsidRPr="00A27B12">
        <w:t>income splitting is not straightforward to do</w:t>
      </w:r>
      <w:r w:rsidR="000F467B" w:rsidRPr="00A27B12">
        <w:t xml:space="preserve">. This is because </w:t>
      </w:r>
      <w:r w:rsidR="004C0094" w:rsidRPr="00A27B12">
        <w:t>t</w:t>
      </w:r>
      <w:r w:rsidR="00494B53" w:rsidRPr="00A27B12">
        <w:t>he general anti</w:t>
      </w:r>
      <w:r w:rsidR="00A801BF">
        <w:noBreakHyphen/>
      </w:r>
      <w:r w:rsidR="00494B53" w:rsidRPr="00A27B12">
        <w:t xml:space="preserve">avoidance rule </w:t>
      </w:r>
      <w:r w:rsidR="000F467B" w:rsidRPr="00A27B12">
        <w:t xml:space="preserve">and other integrity rules </w:t>
      </w:r>
      <w:r w:rsidR="00494B53" w:rsidRPr="00A27B12">
        <w:t xml:space="preserve">in the tax law </w:t>
      </w:r>
      <w:r w:rsidR="000F467B" w:rsidRPr="00A27B12">
        <w:t xml:space="preserve">are </w:t>
      </w:r>
      <w:r w:rsidR="00494B53" w:rsidRPr="00A27B12">
        <w:t xml:space="preserve">intended to counter schemes </w:t>
      </w:r>
      <w:r w:rsidR="00494B53" w:rsidRPr="00A27B12" w:rsidDel="00946D9E">
        <w:t xml:space="preserve">that </w:t>
      </w:r>
      <w:r w:rsidR="00494B53" w:rsidRPr="00A27B12">
        <w:t xml:space="preserve">have a </w:t>
      </w:r>
      <w:r w:rsidR="00A801BF">
        <w:t>‘</w:t>
      </w:r>
      <w:r w:rsidR="00494B53" w:rsidRPr="00A27B12">
        <w:t>dominant purpose</w:t>
      </w:r>
      <w:r w:rsidR="00A801BF">
        <w:t>’</w:t>
      </w:r>
      <w:r w:rsidR="00494B53" w:rsidRPr="00A27B12">
        <w:t xml:space="preserve"> of avoiding tax</w:t>
      </w:r>
      <w:r w:rsidR="00946D9E" w:rsidRPr="00A27B12">
        <w:t>, even though they comply with the technical requirements of the tax law</w:t>
      </w:r>
      <w:r w:rsidR="00494B53" w:rsidRPr="00A27B12">
        <w:t xml:space="preserve">. For example </w:t>
      </w:r>
      <w:r w:rsidR="00A801BF">
        <w:t>‘</w:t>
      </w:r>
      <w:r w:rsidR="00494B53" w:rsidRPr="00A27B12">
        <w:t>personal services income</w:t>
      </w:r>
      <w:r w:rsidR="00A801BF">
        <w:t>’</w:t>
      </w:r>
      <w:r w:rsidR="00494B53" w:rsidRPr="00A27B12">
        <w:t xml:space="preserve"> is the reward for someone</w:t>
      </w:r>
      <w:r w:rsidR="00A801BF">
        <w:t>’</w:t>
      </w:r>
      <w:r w:rsidR="00494B53" w:rsidRPr="00A27B12">
        <w:t>s personal efforts or skills and should be taxed according to that person</w:t>
      </w:r>
      <w:r w:rsidR="00A801BF">
        <w:t>’</w:t>
      </w:r>
      <w:r w:rsidR="00494B53" w:rsidRPr="00A27B12">
        <w:t xml:space="preserve">s marginal rates. </w:t>
      </w:r>
      <w:r w:rsidR="00873803" w:rsidRPr="00A27B12">
        <w:t>A special tax regime for personal services income exists to prevent people from reducing their tax by shifting this income to another person or entity (such as a company).</w:t>
      </w:r>
    </w:p>
    <w:p w14:paraId="59CA2CAD" w14:textId="09F993C6" w:rsidR="001C78F0" w:rsidRPr="00A27B12" w:rsidRDefault="002F49BE" w:rsidP="001C78F0">
      <w:r w:rsidRPr="00A27B12">
        <w:t xml:space="preserve">A further incentive for tax planning is the difference between the marginal rates in the </w:t>
      </w:r>
      <w:proofErr w:type="gramStart"/>
      <w:r w:rsidR="00EF3A59" w:rsidRPr="00A27B12">
        <w:t>individuals</w:t>
      </w:r>
      <w:proofErr w:type="gramEnd"/>
      <w:r w:rsidRPr="00A27B12">
        <w:t xml:space="preserve"> income tax system and the company tax rate, which can allow incomes to be split between individuals to take advantage of different personal marginal rates of tax, and further, allow tax to be deferred by retaining profits in a company structure</w:t>
      </w:r>
      <w:r w:rsidR="00855D4B" w:rsidRPr="00A27B12">
        <w:t>.</w:t>
      </w:r>
      <w:r w:rsidRPr="00A27B12">
        <w:t xml:space="preserve"> This can increase the incentives to carry on a business through, or hold wealth in, private companies</w:t>
      </w:r>
      <w:r w:rsidR="00855D4B" w:rsidRPr="00A27B12">
        <w:t xml:space="preserve">. </w:t>
      </w:r>
      <w:r w:rsidRPr="00A27B12">
        <w:t xml:space="preserve">However, there are integrity provisions aimed at preventing private </w:t>
      </w:r>
      <w:r w:rsidR="00CF6D3F" w:rsidRPr="00A27B12">
        <w:t>companies from</w:t>
      </w:r>
      <w:r w:rsidRPr="00A27B12">
        <w:t xml:space="preserve"> making distributions of profits to shareholders without paying additional tax through the personal income tax system.</w:t>
      </w:r>
      <w:r w:rsidR="001C78F0" w:rsidRPr="00A27B12">
        <w:t xml:space="preserve"> </w:t>
      </w:r>
      <w:r w:rsidR="00D9295C" w:rsidRPr="00A27B12">
        <w:t xml:space="preserve">Income splitting is discussed further in Chapter </w:t>
      </w:r>
      <w:r w:rsidR="00BE23D4" w:rsidRPr="00A27B12">
        <w:t>6</w:t>
      </w:r>
      <w:r w:rsidR="00D9295C" w:rsidRPr="00A27B12">
        <w:t>.</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556646" w:rsidRPr="00A27B12" w14:paraId="46C820BF" w14:textId="77777777" w:rsidTr="007C0A2C">
        <w:tc>
          <w:tcPr>
            <w:tcW w:w="9384" w:type="dxa"/>
            <w:tcBorders>
              <w:top w:val="nil"/>
              <w:left w:val="nil"/>
              <w:bottom w:val="nil"/>
              <w:right w:val="nil"/>
            </w:tcBorders>
            <w:shd w:val="clear" w:color="auto" w:fill="EBEAEA" w:themeFill="accent6" w:themeFillTint="33"/>
          </w:tcPr>
          <w:p w14:paraId="7F611047" w14:textId="6216EAAA" w:rsidR="00556646" w:rsidRPr="00A27B12" w:rsidRDefault="00556646" w:rsidP="0055508F">
            <w:pPr>
              <w:pStyle w:val="BoxHeading"/>
            </w:pPr>
            <w:r w:rsidRPr="00A27B12">
              <w:t>Box 3.</w:t>
            </w:r>
            <w:fldSimple w:instr=" SEQ Box \* ARABIC \s 1 ">
              <w:r w:rsidR="00B30F7B">
                <w:rPr>
                  <w:noProof/>
                </w:rPr>
                <w:t>3</w:t>
              </w:r>
            </w:fldSimple>
            <w:r w:rsidRPr="00A27B12">
              <w:t xml:space="preserve">: </w:t>
            </w:r>
            <w:bookmarkStart w:id="264" w:name="_Ref404149215"/>
            <w:r w:rsidRPr="00A27B12">
              <w:t>Income splitting</w:t>
            </w:r>
            <w:bookmarkEnd w:id="264"/>
          </w:p>
          <w:p w14:paraId="3B0086ED" w14:textId="6A10073D" w:rsidR="00556646" w:rsidRPr="00A27B12" w:rsidRDefault="00556646" w:rsidP="00556646">
            <w:pPr>
              <w:pStyle w:val="BoxText"/>
            </w:pPr>
            <w:r w:rsidRPr="00A27B12">
              <w:t>Going back to the single</w:t>
            </w:r>
            <w:r w:rsidR="00A801BF">
              <w:noBreakHyphen/>
            </w:r>
            <w:r w:rsidRPr="00A27B12">
              <w:t xml:space="preserve">income couple in Box 3.1: if the $100,000 is their only income and they are able to legitimately income split, they could distribute the $100,000 equally between them, so that their average tax rate is 17.1 per cent as a couple, compared to 26.9 per cent above. </w:t>
            </w:r>
          </w:p>
          <w:p w14:paraId="1E4516CE" w14:textId="77777777" w:rsidR="00556646" w:rsidRPr="00A27B12" w:rsidRDefault="00556646" w:rsidP="00556646">
            <w:pPr>
              <w:pStyle w:val="BoxText"/>
            </w:pPr>
            <w:r w:rsidRPr="00A27B12">
              <w:t xml:space="preserve">If the couple has children or other family members, they could benefit further by distributing the income to them as well. For example, if they have two children over the age of 18, they can distribute $25,000 to each member of the family, and each pay tax of $1,293, or an average tax rate of 5.2 per cent. </w:t>
            </w:r>
          </w:p>
          <w:p w14:paraId="6EB8E8CE" w14:textId="2AAD6E94" w:rsidR="00556646" w:rsidRPr="00A27B12" w:rsidRDefault="00556646" w:rsidP="00556646">
            <w:pPr>
              <w:pStyle w:val="BoxText"/>
            </w:pPr>
            <w:r w:rsidRPr="00A27B12">
              <w:t>If the children are under 18, then there is little benefit in distributing more than $416 to each child as the rate of tax on a minor</w:t>
            </w:r>
            <w:r w:rsidR="00A801BF">
              <w:t>’</w:t>
            </w:r>
            <w:r w:rsidRPr="00A27B12">
              <w:t xml:space="preserve">s </w:t>
            </w:r>
            <w:r w:rsidR="00A801BF">
              <w:t>‘</w:t>
            </w:r>
            <w:r w:rsidRPr="00A27B12">
              <w:t>unearned</w:t>
            </w:r>
            <w:r w:rsidR="00A801BF">
              <w:t>’</w:t>
            </w:r>
            <w:r w:rsidRPr="00A27B12">
              <w:t xml:space="preserve"> income (that is, other than income from working) is deliberately high in order to discourage income</w:t>
            </w:r>
            <w:r w:rsidR="00A801BF">
              <w:noBreakHyphen/>
            </w:r>
            <w:r w:rsidRPr="00A27B12">
              <w:t>splitting to, or holding assets in the name of, minors.</w:t>
            </w:r>
          </w:p>
        </w:tc>
      </w:tr>
    </w:tbl>
    <w:p w14:paraId="7BAFA83B" w14:textId="77777777" w:rsidR="00556646" w:rsidRPr="00A27B12" w:rsidRDefault="00556646" w:rsidP="001C78F0"/>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556646" w:rsidRPr="00A27B12" w14:paraId="102A29F2" w14:textId="77777777" w:rsidTr="0055508F">
        <w:tc>
          <w:tcPr>
            <w:tcW w:w="9384" w:type="dxa"/>
          </w:tcPr>
          <w:p w14:paraId="559A9A24" w14:textId="2BDF6A2B" w:rsidR="00556646" w:rsidRPr="00A27B12" w:rsidRDefault="00556646" w:rsidP="0055508F">
            <w:pPr>
              <w:pStyle w:val="Questionheading"/>
              <w:ind w:right="113"/>
            </w:pPr>
            <w:r w:rsidRPr="00A27B12">
              <w:lastRenderedPageBreak/>
              <w:t xml:space="preserve">Discussion questions: </w:t>
            </w:r>
          </w:p>
          <w:p w14:paraId="271827A1" w14:textId="573633E1" w:rsidR="00556646" w:rsidRPr="00A27B12" w:rsidRDefault="00556646" w:rsidP="002D64AF">
            <w:pPr>
              <w:pStyle w:val="Questiontext"/>
            </w:pPr>
            <w:bookmarkStart w:id="265" w:name="_Toc404157022"/>
            <w:r w:rsidRPr="00A27B12">
              <w:t xml:space="preserve">To what extent is tax planning a problem in the </w:t>
            </w:r>
            <w:proofErr w:type="gramStart"/>
            <w:r w:rsidRPr="00A27B12">
              <w:t>individuals</w:t>
            </w:r>
            <w:proofErr w:type="gramEnd"/>
            <w:r w:rsidRPr="00A27B12">
              <w:t xml:space="preserve"> income tax system? Are existing integrity measures appropriate?</w:t>
            </w:r>
            <w:bookmarkEnd w:id="265"/>
          </w:p>
          <w:p w14:paraId="64B50914" w14:textId="73978589" w:rsidR="00556646" w:rsidRPr="00A27B12" w:rsidRDefault="00556646" w:rsidP="002D64AF">
            <w:pPr>
              <w:pStyle w:val="Questiontext"/>
            </w:pPr>
            <w:r w:rsidRPr="00A27B12">
              <w:t xml:space="preserve">What creates incentives for tax planning in the </w:t>
            </w:r>
            <w:proofErr w:type="gramStart"/>
            <w:r w:rsidRPr="00A27B12">
              <w:t>individuals</w:t>
            </w:r>
            <w:proofErr w:type="gramEnd"/>
            <w:r w:rsidRPr="00A27B12">
              <w:t xml:space="preserve"> income tax system? What could be done about these things?</w:t>
            </w:r>
          </w:p>
        </w:tc>
      </w:tr>
    </w:tbl>
    <w:p w14:paraId="4BC412B2" w14:textId="77777777" w:rsidR="00F1299B" w:rsidRPr="00A27B12" w:rsidRDefault="00F1299B" w:rsidP="00CF0E10">
      <w:pPr>
        <w:pStyle w:val="SingleParagraph"/>
      </w:pPr>
    </w:p>
    <w:p w14:paraId="3BB79AC7" w14:textId="77777777" w:rsidR="001C78F0" w:rsidRPr="00A27B12" w:rsidRDefault="001C78F0" w:rsidP="00A96B75">
      <w:pPr>
        <w:pStyle w:val="Heading4"/>
      </w:pPr>
      <w:bookmarkStart w:id="266" w:name="_Toc404342097"/>
      <w:bookmarkStart w:id="267" w:name="_Toc409796509"/>
      <w:r w:rsidRPr="00A27B12">
        <w:t>Targeting assistance in the tax system</w:t>
      </w:r>
      <w:bookmarkEnd w:id="266"/>
      <w:bookmarkEnd w:id="267"/>
    </w:p>
    <w:p w14:paraId="0DB99C7D" w14:textId="4F76068E" w:rsidR="001C78F0" w:rsidRPr="00A27B12" w:rsidRDefault="001C78F0" w:rsidP="001C78F0">
      <w:r w:rsidRPr="00A27B12">
        <w:t>Direct assistance</w:t>
      </w:r>
      <w:r w:rsidR="00AC2CA3" w:rsidRPr="00A27B12">
        <w:t>,</w:t>
      </w:r>
      <w:r w:rsidR="00025699" w:rsidRPr="00A27B12">
        <w:t xml:space="preserve"> like </w:t>
      </w:r>
      <w:r w:rsidRPr="00A27B12">
        <w:t>income support payments or family assistance</w:t>
      </w:r>
      <w:r w:rsidR="00AC2CA3" w:rsidRPr="00A27B12">
        <w:t>,</w:t>
      </w:r>
      <w:r w:rsidRPr="00A27B12">
        <w:t xml:space="preserve"> is delivered through the transfer system. The tax system generally cannot deliver </w:t>
      </w:r>
      <w:r w:rsidR="00743D82" w:rsidRPr="00A27B12">
        <w:t xml:space="preserve">tax </w:t>
      </w:r>
      <w:r w:rsidRPr="00A27B12">
        <w:t>assistance to people with the lowest</w:t>
      </w:r>
      <w:r w:rsidR="00AC2CA3" w:rsidRPr="00A27B12">
        <w:t xml:space="preserve"> </w:t>
      </w:r>
      <w:r w:rsidRPr="00A27B12">
        <w:t>taxable incomes</w:t>
      </w:r>
      <w:r w:rsidR="00025699" w:rsidRPr="00A27B12">
        <w:t xml:space="preserve"> because</w:t>
      </w:r>
      <w:r w:rsidRPr="00A27B12">
        <w:t xml:space="preserve"> they do not pay any tax.</w:t>
      </w:r>
      <w:r w:rsidRPr="00A27B12">
        <w:rPr>
          <w:rStyle w:val="FootnoteReference"/>
        </w:rPr>
        <w:footnoteReference w:id="21"/>
      </w:r>
      <w:r w:rsidRPr="00A27B12">
        <w:t xml:space="preserve"> Tax offsets are the main delivery mechanism for assistance</w:t>
      </w:r>
      <w:r w:rsidR="00910448" w:rsidRPr="00A27B12">
        <w:t xml:space="preserve"> but, </w:t>
      </w:r>
      <w:r w:rsidRPr="00A27B12">
        <w:t>as the tax and transfer system</w:t>
      </w:r>
      <w:r w:rsidR="00CD0A4F" w:rsidRPr="00A27B12">
        <w:t>s</w:t>
      </w:r>
      <w:r w:rsidRPr="00A27B12">
        <w:t xml:space="preserve"> </w:t>
      </w:r>
      <w:r w:rsidR="00BE21B4" w:rsidRPr="00A27B12">
        <w:t>ha</w:t>
      </w:r>
      <w:r w:rsidR="00CD0A4F" w:rsidRPr="00A27B12">
        <w:t>ve</w:t>
      </w:r>
      <w:r w:rsidR="00BE21B4" w:rsidRPr="00A27B12">
        <w:t xml:space="preserve"> </w:t>
      </w:r>
      <w:r w:rsidRPr="00A27B12">
        <w:t xml:space="preserve">evolved over time the extent to which some of the remaining offsets are appropriate is questionable. </w:t>
      </w:r>
    </w:p>
    <w:p w14:paraId="24B529E0" w14:textId="77777777" w:rsidR="001C78F0" w:rsidRPr="00A27B12" w:rsidRDefault="001C78F0" w:rsidP="001C78F0">
      <w:pPr>
        <w:pStyle w:val="Heading5"/>
      </w:pPr>
      <w:bookmarkStart w:id="268" w:name="_Toc404342098"/>
      <w:bookmarkStart w:id="269" w:name="_Toc409796510"/>
      <w:r w:rsidRPr="00A27B12">
        <w:t>Structural offsets</w:t>
      </w:r>
      <w:bookmarkEnd w:id="268"/>
      <w:bookmarkEnd w:id="269"/>
    </w:p>
    <w:p w14:paraId="55142E45" w14:textId="055723C2" w:rsidR="001C78F0" w:rsidRPr="00A27B12" w:rsidRDefault="001C78F0" w:rsidP="001C78F0">
      <w:r w:rsidRPr="00A27B12">
        <w:t xml:space="preserve">Some transfer payments are taxed, others are not. Recipients of </w:t>
      </w:r>
      <w:r w:rsidR="00E66F30" w:rsidRPr="00A27B12">
        <w:t>Australian</w:t>
      </w:r>
      <w:r w:rsidRPr="00A27B12">
        <w:t xml:space="preserve"> Government transfer payments that are taxed are eligible </w:t>
      </w:r>
      <w:r w:rsidR="001512A9" w:rsidRPr="00A27B12">
        <w:t xml:space="preserve">for </w:t>
      </w:r>
      <w:r w:rsidR="00377D8A" w:rsidRPr="00A27B12">
        <w:t xml:space="preserve">either the SAPTO or the BENTO </w:t>
      </w:r>
      <w:r w:rsidRPr="00A27B12">
        <w:t>(on top of the LITO). This is so that maximum rate payment recipients effectively do</w:t>
      </w:r>
      <w:r w:rsidR="007C0A2C" w:rsidRPr="00A27B12">
        <w:t> </w:t>
      </w:r>
      <w:r w:rsidRPr="00A27B12">
        <w:t>not pay tax on their payment income</w:t>
      </w:r>
      <w:r w:rsidR="00111121" w:rsidRPr="00A27B12">
        <w:t>,</w:t>
      </w:r>
      <w:r w:rsidR="001512A9" w:rsidRPr="00A27B12">
        <w:t xml:space="preserve"> but </w:t>
      </w:r>
      <w:r w:rsidR="00CD0A4F" w:rsidRPr="00A27B12">
        <w:t xml:space="preserve">delivering this outcome through offsets </w:t>
      </w:r>
      <w:r w:rsidR="001512A9" w:rsidRPr="00A27B12">
        <w:t xml:space="preserve">is </w:t>
      </w:r>
      <w:r w:rsidR="002E1E8C" w:rsidRPr="00A27B12">
        <w:t xml:space="preserve">a confusing </w:t>
      </w:r>
      <w:r w:rsidRPr="00A27B12">
        <w:t>arrangement</w:t>
      </w:r>
      <w:r w:rsidR="00054BC9" w:rsidRPr="00A27B12">
        <w:t xml:space="preserve"> and </w:t>
      </w:r>
      <w:r w:rsidR="00CD0A4F" w:rsidRPr="00A27B12">
        <w:t xml:space="preserve">is </w:t>
      </w:r>
      <w:r w:rsidR="00054BC9" w:rsidRPr="00A27B12">
        <w:t>not transparent about their actual tax outcome</w:t>
      </w:r>
      <w:r w:rsidR="001512A9" w:rsidRPr="00A27B12">
        <w:t xml:space="preserve">. As a result, some </w:t>
      </w:r>
      <w:r w:rsidRPr="00A27B12">
        <w:t xml:space="preserve">payment recipients </w:t>
      </w:r>
      <w:r w:rsidR="00844251" w:rsidRPr="00A27B12">
        <w:t xml:space="preserve">may </w:t>
      </w:r>
      <w:r w:rsidRPr="00A27B12">
        <w:t xml:space="preserve">believe they are being unfairly taxed on their </w:t>
      </w:r>
      <w:r w:rsidR="00045B70" w:rsidRPr="00A27B12">
        <w:t xml:space="preserve">Australian </w:t>
      </w:r>
      <w:r w:rsidRPr="00A27B12">
        <w:t xml:space="preserve">Government payments when in fact they are not. </w:t>
      </w:r>
      <w:r w:rsidR="005A51BE" w:rsidRPr="00A27B12">
        <w:t>Further, t</w:t>
      </w:r>
      <w:r w:rsidR="00844251" w:rsidRPr="00A27B12">
        <w:t>he current effective tax</w:t>
      </w:r>
      <w:r w:rsidR="00A801BF">
        <w:noBreakHyphen/>
      </w:r>
      <w:r w:rsidR="00844251" w:rsidRPr="00A27B12">
        <w:t>free threshold of $20,542 is higher than or only slightly below the maximum rate of many benefits and pensions</w:t>
      </w:r>
      <w:r w:rsidR="005A51BE" w:rsidRPr="00A27B12">
        <w:t>. Maximum rate payment recipients</w:t>
      </w:r>
      <w:r w:rsidR="00CD0A4F" w:rsidRPr="00A27B12">
        <w:t>, for whom these offsets were created,</w:t>
      </w:r>
      <w:r w:rsidR="005A51BE" w:rsidRPr="00A27B12">
        <w:t xml:space="preserve"> therefore receive little or no benefit from structural tax offsets.</w:t>
      </w:r>
      <w:r w:rsidR="00844251" w:rsidRPr="00A27B12">
        <w:t xml:space="preserve"> </w:t>
      </w:r>
    </w:p>
    <w:p w14:paraId="3DF9E2D7" w14:textId="050D5CAE" w:rsidR="00CC3871" w:rsidRPr="00A27B12" w:rsidRDefault="00111121" w:rsidP="001C78F0">
      <w:r w:rsidRPr="00A27B12">
        <w:t>T</w:t>
      </w:r>
      <w:r w:rsidR="00CC3871" w:rsidRPr="00A27B12">
        <w:t>he</w:t>
      </w:r>
      <w:r w:rsidR="00377D8A" w:rsidRPr="00A27B12">
        <w:t xml:space="preserve"> SAPTO and BENTO </w:t>
      </w:r>
      <w:r w:rsidRPr="00A27B12">
        <w:t xml:space="preserve">now </w:t>
      </w:r>
      <w:r w:rsidR="00CC3871" w:rsidRPr="00A27B12">
        <w:t xml:space="preserve">provide the greatest benefit to people who have some private income as well as some payment income. This </w:t>
      </w:r>
      <w:r w:rsidR="00106A53" w:rsidRPr="00A27B12">
        <w:t xml:space="preserve">can </w:t>
      </w:r>
      <w:r w:rsidR="00CC3871" w:rsidRPr="00A27B12">
        <w:t xml:space="preserve">smooth the transition for a person who is moving from income support to working. However, it means that people who have some </w:t>
      </w:r>
      <w:r w:rsidR="00B16B41" w:rsidRPr="00A27B12">
        <w:t xml:space="preserve">transfer </w:t>
      </w:r>
      <w:r w:rsidR="00CC3871" w:rsidRPr="00A27B12">
        <w:t xml:space="preserve">payment income pay less tax than someone who only has </w:t>
      </w:r>
      <w:r w:rsidR="00DC235F" w:rsidRPr="00A27B12">
        <w:t xml:space="preserve">income from working </w:t>
      </w:r>
      <w:r w:rsidR="00CC3871" w:rsidRPr="00A27B12">
        <w:t>(</w:t>
      </w:r>
      <w:r w:rsidR="007D5A71" w:rsidRPr="00A27B12">
        <w:t>Box 3.4</w:t>
      </w:r>
      <w:r w:rsidR="00CC3871" w:rsidRPr="00A27B12">
        <w:t xml:space="preserve">). Addressing this issue is not straight forward. Exempting transfer payments from tax altogether </w:t>
      </w:r>
      <w:r w:rsidR="005645FA" w:rsidRPr="00A27B12">
        <w:t xml:space="preserve">entails </w:t>
      </w:r>
      <w:r w:rsidR="00CC3871" w:rsidRPr="00A27B12">
        <w:t xml:space="preserve">greater transparency for maximum rate payment recipients, and may mean that some of them no longer need to deal with the tax system. However, doing so would come at a cost, and would worsen the outcome </w:t>
      </w:r>
      <w:r w:rsidR="00CD0A4F" w:rsidRPr="00A27B12">
        <w:t>that structural offsets can create</w:t>
      </w:r>
      <w:r w:rsidR="00CC3871" w:rsidRPr="00A27B12">
        <w:t>.</w:t>
      </w:r>
    </w:p>
    <w:p w14:paraId="4C7F9F42" w14:textId="77777777" w:rsidR="00556646" w:rsidRPr="00A27B12" w:rsidRDefault="00556646" w:rsidP="001C78F0"/>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556646" w:rsidRPr="00A27B12" w14:paraId="77FF6D7D" w14:textId="77777777" w:rsidTr="007C0A2C">
        <w:tc>
          <w:tcPr>
            <w:tcW w:w="9384" w:type="dxa"/>
            <w:tcBorders>
              <w:top w:val="nil"/>
              <w:left w:val="nil"/>
              <w:bottom w:val="nil"/>
              <w:right w:val="nil"/>
            </w:tcBorders>
            <w:shd w:val="clear" w:color="auto" w:fill="EBEAEA" w:themeFill="accent6" w:themeFillTint="33"/>
          </w:tcPr>
          <w:p w14:paraId="1444917D" w14:textId="35622913" w:rsidR="00556646" w:rsidRPr="00A27B12" w:rsidRDefault="00556646" w:rsidP="0055508F">
            <w:pPr>
              <w:pStyle w:val="BoxHeading"/>
            </w:pPr>
            <w:r w:rsidRPr="00A27B12">
              <w:lastRenderedPageBreak/>
              <w:t>Box 3.</w:t>
            </w:r>
            <w:fldSimple w:instr=" SEQ Box \* ARABIC \s 1 ">
              <w:r w:rsidR="00B30F7B">
                <w:rPr>
                  <w:noProof/>
                </w:rPr>
                <w:t>4</w:t>
              </w:r>
            </w:fldSimple>
            <w:r w:rsidRPr="00A27B12">
              <w:t xml:space="preserve">: </w:t>
            </w:r>
            <w:bookmarkStart w:id="270" w:name="_Ref404149276"/>
            <w:r w:rsidRPr="00A27B12">
              <w:t>Tax outcomes — with and without structural offsets</w:t>
            </w:r>
            <w:bookmarkEnd w:id="270"/>
          </w:p>
          <w:p w14:paraId="45709D1A" w14:textId="257D710D" w:rsidR="00556646" w:rsidRPr="00A27B12" w:rsidRDefault="00556646" w:rsidP="00556646">
            <w:pPr>
              <w:pStyle w:val="BoxText"/>
            </w:pPr>
            <w:r w:rsidRPr="00A27B12">
              <w:t>In 2014</w:t>
            </w:r>
            <w:r w:rsidR="00A801BF">
              <w:noBreakHyphen/>
            </w:r>
            <w:r w:rsidRPr="00A27B12">
              <w:t>15, a student receiving the full rate of Youth Allowance receives $10,</w:t>
            </w:r>
            <w:r w:rsidR="00070735" w:rsidRPr="00A27B12">
              <w:t>936</w:t>
            </w:r>
            <w:r w:rsidRPr="00A27B12">
              <w:t>.</w:t>
            </w:r>
            <w:r w:rsidRPr="00A27B12">
              <w:rPr>
                <w:rStyle w:val="FootnoteReference"/>
              </w:rPr>
              <w:footnoteReference w:id="22"/>
            </w:r>
            <w:r w:rsidRPr="00A27B12">
              <w:t xml:space="preserve"> If they also work part</w:t>
            </w:r>
            <w:r w:rsidR="00A801BF">
              <w:noBreakHyphen/>
            </w:r>
            <w:r w:rsidRPr="00A27B12">
              <w:t>time to earn the maximum allowable private income (for a Youth Allowance recipient) of $10,9</w:t>
            </w:r>
            <w:r w:rsidR="00070735" w:rsidRPr="00A27B12">
              <w:t>46</w:t>
            </w:r>
            <w:r w:rsidRPr="00A27B12">
              <w:t xml:space="preserve"> per year, then their total taxable income is $21,</w:t>
            </w:r>
            <w:r w:rsidR="00070735" w:rsidRPr="00A27B12">
              <w:t>882</w:t>
            </w:r>
            <w:r w:rsidRPr="00A27B12">
              <w:t>. Because their tax liability before offsets and Medicare levy is $</w:t>
            </w:r>
            <w:r w:rsidR="00070735" w:rsidRPr="00A27B12">
              <w:t>700</w:t>
            </w:r>
            <w:r w:rsidRPr="00A27B12">
              <w:t xml:space="preserve"> and they are entitled to $445 of LITO and $7</w:t>
            </w:r>
            <w:r w:rsidR="00070735" w:rsidRPr="00A27B12">
              <w:t>40</w:t>
            </w:r>
            <w:r w:rsidRPr="00A27B12">
              <w:t xml:space="preserve"> of BENTO, they pay no tax. </w:t>
            </w:r>
          </w:p>
          <w:p w14:paraId="57DA97D3" w14:textId="282F4237" w:rsidR="00556646" w:rsidRPr="00A27B12" w:rsidRDefault="00556646" w:rsidP="00070735">
            <w:pPr>
              <w:pStyle w:val="BoxText"/>
            </w:pPr>
            <w:r w:rsidRPr="00A27B12">
              <w:t>Someone who earns $21,</w:t>
            </w:r>
            <w:r w:rsidR="00070735" w:rsidRPr="00A27B12">
              <w:t>882</w:t>
            </w:r>
            <w:r w:rsidRPr="00A27B12">
              <w:t xml:space="preserve"> without any government payments would also have a tax liability of $</w:t>
            </w:r>
            <w:r w:rsidR="00070735" w:rsidRPr="00A27B12">
              <w:t>700</w:t>
            </w:r>
            <w:r w:rsidRPr="00A27B12">
              <w:t xml:space="preserve"> before offsets and the Medicare levy. However, since they do not receive any direct government assistance, they are only eligible for $445 of LITO, which leaves them</w:t>
            </w:r>
            <w:r w:rsidR="007C0A2C" w:rsidRPr="00A27B12">
              <w:t> </w:t>
            </w:r>
            <w:r w:rsidRPr="00A27B12">
              <w:t>with a remaining tax liability of $</w:t>
            </w:r>
            <w:r w:rsidR="00070735" w:rsidRPr="00A27B12">
              <w:t>255</w:t>
            </w:r>
            <w:r w:rsidRPr="00A27B12">
              <w:t>.</w:t>
            </w:r>
          </w:p>
        </w:tc>
      </w:tr>
    </w:tbl>
    <w:p w14:paraId="4917B9CB" w14:textId="696B418C" w:rsidR="00A96B75" w:rsidRPr="00A27B12" w:rsidRDefault="00A96B75" w:rsidP="00556646"/>
    <w:p w14:paraId="6F478414" w14:textId="5165CA89" w:rsidR="001C78F0" w:rsidRPr="00A27B12" w:rsidRDefault="001C78F0" w:rsidP="001C78F0">
      <w:pPr>
        <w:pStyle w:val="Heading5"/>
      </w:pPr>
      <w:bookmarkStart w:id="271" w:name="_Toc404342099"/>
      <w:bookmarkStart w:id="272" w:name="_Toc409796511"/>
      <w:r w:rsidRPr="00A27B12">
        <w:t>Concessional offsets</w:t>
      </w:r>
      <w:bookmarkEnd w:id="271"/>
      <w:bookmarkEnd w:id="272"/>
    </w:p>
    <w:p w14:paraId="25A2EB14" w14:textId="616039AE" w:rsidR="001C78F0" w:rsidRPr="00A27B12" w:rsidRDefault="001C78F0" w:rsidP="001C78F0">
      <w:r w:rsidRPr="00A27B12">
        <w:t>Concessional offsets provide assistance to certain groups of taxpayers, but the</w:t>
      </w:r>
      <w:r w:rsidR="00603EA7" w:rsidRPr="00A27B12">
        <w:t>ir</w:t>
      </w:r>
      <w:r w:rsidRPr="00A27B12">
        <w:t xml:space="preserve"> delivery </w:t>
      </w:r>
      <w:r w:rsidR="007D2C4E" w:rsidRPr="00A27B12">
        <w:t xml:space="preserve">may be </w:t>
      </w:r>
      <w:r w:rsidRPr="00A27B12">
        <w:t xml:space="preserve">less effective than </w:t>
      </w:r>
      <w:r w:rsidR="00603EA7" w:rsidRPr="00A27B12">
        <w:t xml:space="preserve">the assistance </w:t>
      </w:r>
      <w:r w:rsidRPr="00A27B12">
        <w:t xml:space="preserve">provided </w:t>
      </w:r>
      <w:r w:rsidR="00603EA7" w:rsidRPr="00A27B12">
        <w:t xml:space="preserve">by </w:t>
      </w:r>
      <w:r w:rsidRPr="00A27B12">
        <w:t xml:space="preserve">the transfer system. People </w:t>
      </w:r>
      <w:r w:rsidR="00FF0446" w:rsidRPr="00A27B12">
        <w:t xml:space="preserve">generally </w:t>
      </w:r>
      <w:r w:rsidRPr="00A27B12">
        <w:t xml:space="preserve">need a tax liability to benefit from offsets, and assistance is generally payable after assessment of tax returns rather than during the year. </w:t>
      </w:r>
      <w:r w:rsidR="00B30AF8" w:rsidRPr="00A27B12">
        <w:t xml:space="preserve">Some people may not know </w:t>
      </w:r>
      <w:r w:rsidR="00293EEC" w:rsidRPr="00A27B12">
        <w:t xml:space="preserve">that </w:t>
      </w:r>
      <w:r w:rsidR="00B30AF8" w:rsidRPr="00A27B12">
        <w:t xml:space="preserve">they benefit from offsets, as offsets may be claimed on their behalf by a tax agent or calculated by the Australian Taxation Office. </w:t>
      </w:r>
      <w:r w:rsidRPr="00A27B12">
        <w:t xml:space="preserve">Further, the amount of assistance available through concessional offsets is often not adequate to fully assist people in genuine need throughout the year. For these reasons many concessional offsets have been abolished in recent years. </w:t>
      </w:r>
    </w:p>
    <w:p w14:paraId="39D7032A" w14:textId="0851D6D3" w:rsidR="00F07FD3" w:rsidRPr="00A27B12" w:rsidRDefault="005645FA" w:rsidP="001C78F0">
      <w:pPr>
        <w:tabs>
          <w:tab w:val="left" w:pos="720"/>
        </w:tabs>
      </w:pPr>
      <w:r w:rsidRPr="00A27B12">
        <w:t xml:space="preserve">The remainder of the </w:t>
      </w:r>
      <w:r w:rsidR="001C78F0" w:rsidRPr="00A27B12">
        <w:t xml:space="preserve">concessional offsets </w:t>
      </w:r>
      <w:r w:rsidR="007D2C4E" w:rsidRPr="00A27B12">
        <w:t xml:space="preserve">to which more of these issues apply </w:t>
      </w:r>
      <w:r w:rsidR="001C78F0" w:rsidRPr="00A27B12">
        <w:t>are the dependent (invalid and carer) tax offset, zone tax offset</w:t>
      </w:r>
      <w:r w:rsidR="00AE1504" w:rsidRPr="00A27B12">
        <w:t>, net medical expenses tax offset,</w:t>
      </w:r>
      <w:r w:rsidR="001C78F0" w:rsidRPr="00A27B12">
        <w:t xml:space="preserve"> and</w:t>
      </w:r>
      <w:r w:rsidR="007C0A2C" w:rsidRPr="00A27B12">
        <w:t> </w:t>
      </w:r>
      <w:r w:rsidR="001C78F0" w:rsidRPr="00A27B12">
        <w:t>employment termination payment tax offset. The dependent (invalid and carer) tax offset is available to taxpayers who contribute to the maintenance of a dependant who is unable to work due to a carer obligation or a disability</w:t>
      </w:r>
      <w:r w:rsidR="006F2263" w:rsidRPr="00A27B12">
        <w:t>. T</w:t>
      </w:r>
      <w:r w:rsidR="001C78F0" w:rsidRPr="00A27B12">
        <w:t xml:space="preserve">he maximum value of assistance provided by the dependent (invalid and carer) tax offset (around $2,500) is significantly less than the direct assistance provided through the transfer system to carers or people with disabilities. </w:t>
      </w:r>
      <w:r w:rsidR="001456A6" w:rsidRPr="00A27B12">
        <w:t xml:space="preserve">The maximum value of net medical expenses tax offset a person can receive is 20 per cent of the amount by which their eligible expenses exceed $2,162, which means a person </w:t>
      </w:r>
      <w:r w:rsidR="00BE21B4" w:rsidRPr="00A27B12">
        <w:t xml:space="preserve">must first incur the expenses during an income year, </w:t>
      </w:r>
      <w:r w:rsidR="00853298" w:rsidRPr="00A27B12">
        <w:t xml:space="preserve">and then determine whether they </w:t>
      </w:r>
      <w:r w:rsidR="00BE21B4" w:rsidRPr="00A27B12">
        <w:t>can receive any assistance upon assessment of their tax return.</w:t>
      </w:r>
      <w:r w:rsidR="001456A6" w:rsidRPr="00A27B12">
        <w:t xml:space="preserve"> </w:t>
      </w:r>
    </w:p>
    <w:p w14:paraId="762122D2" w14:textId="437D8C34" w:rsidR="001C78F0" w:rsidRPr="00A27B12" w:rsidRDefault="001C78F0" w:rsidP="001C78F0">
      <w:pPr>
        <w:tabs>
          <w:tab w:val="left" w:pos="720"/>
        </w:tabs>
      </w:pPr>
      <w:r w:rsidRPr="00A27B12">
        <w:t xml:space="preserve">The employment termination payment tax offset </w:t>
      </w:r>
      <w:r w:rsidRPr="00A27B12" w:rsidDel="00D67E58">
        <w:t xml:space="preserve">was </w:t>
      </w:r>
      <w:r w:rsidR="0018682F" w:rsidRPr="00A27B12">
        <w:t xml:space="preserve">originally </w:t>
      </w:r>
      <w:r w:rsidRPr="00A27B12">
        <w:t xml:space="preserve">intended to </w:t>
      </w:r>
      <w:proofErr w:type="spellStart"/>
      <w:r w:rsidRPr="00A27B12">
        <w:t>concessionally</w:t>
      </w:r>
      <w:proofErr w:type="spellEnd"/>
      <w:r w:rsidRPr="00A27B12">
        <w:t xml:space="preserve"> tax </w:t>
      </w:r>
      <w:r w:rsidR="00AE1504" w:rsidRPr="00A27B12">
        <w:t xml:space="preserve">lump sum payments made on termination of </w:t>
      </w:r>
      <w:r w:rsidRPr="00A27B12">
        <w:t>employment</w:t>
      </w:r>
      <w:r w:rsidR="00AE1504" w:rsidRPr="00A27B12">
        <w:t xml:space="preserve">, as a form of tax smoothing and retirement income support. Over time </w:t>
      </w:r>
      <w:r w:rsidR="00500C19" w:rsidRPr="00A27B12">
        <w:t xml:space="preserve">its </w:t>
      </w:r>
      <w:r w:rsidR="00AE1504" w:rsidRPr="00A27B12">
        <w:t xml:space="preserve">purpose </w:t>
      </w:r>
      <w:r w:rsidR="00500C19" w:rsidRPr="00A27B12">
        <w:t xml:space="preserve">has become </w:t>
      </w:r>
      <w:r w:rsidR="00AE1504" w:rsidRPr="00A27B12">
        <w:t>less certain</w:t>
      </w:r>
      <w:r w:rsidR="00F07FD3" w:rsidRPr="00A27B12">
        <w:t>. T</w:t>
      </w:r>
      <w:r w:rsidR="00AE1504" w:rsidRPr="00A27B12">
        <w:t xml:space="preserve">he introduction of the superannuation system </w:t>
      </w:r>
      <w:r w:rsidR="00F07FD3" w:rsidRPr="00A27B12">
        <w:t>has superseded</w:t>
      </w:r>
      <w:r w:rsidR="00AE1504" w:rsidRPr="00A27B12">
        <w:t xml:space="preserve"> the </w:t>
      </w:r>
      <w:r w:rsidR="004A4617" w:rsidRPr="00A27B12">
        <w:t>offset</w:t>
      </w:r>
      <w:r w:rsidR="00A801BF">
        <w:t>’</w:t>
      </w:r>
      <w:r w:rsidR="004A4617" w:rsidRPr="00A27B12">
        <w:t xml:space="preserve">s </w:t>
      </w:r>
      <w:r w:rsidR="00AE1504" w:rsidRPr="00A27B12">
        <w:t xml:space="preserve">retirement income </w:t>
      </w:r>
      <w:r w:rsidR="004A4617" w:rsidRPr="00A27B12">
        <w:t>objective</w:t>
      </w:r>
      <w:r w:rsidR="00AE1504" w:rsidRPr="00A27B12">
        <w:t xml:space="preserve">, and the introduction of a maximum cap on the amount of offset a person can receive limits the extent to which </w:t>
      </w:r>
      <w:r w:rsidR="004A4617" w:rsidRPr="00A27B12">
        <w:t xml:space="preserve">it </w:t>
      </w:r>
      <w:r w:rsidR="00AE1504" w:rsidRPr="00A27B12">
        <w:t xml:space="preserve">can </w:t>
      </w:r>
      <w:r w:rsidR="00F07FD3" w:rsidRPr="00A27B12">
        <w:t xml:space="preserve">actually </w:t>
      </w:r>
      <w:r w:rsidR="00AE1504" w:rsidRPr="00A27B12">
        <w:t>smooth the effects of lumpy income</w:t>
      </w:r>
      <w:r w:rsidR="004A4617" w:rsidRPr="00A27B12">
        <w:t>.</w:t>
      </w:r>
      <w:r w:rsidRPr="00A27B12">
        <w:t xml:space="preserve"> </w:t>
      </w:r>
    </w:p>
    <w:p w14:paraId="7041DA35" w14:textId="3477F874" w:rsidR="001C78F0" w:rsidRPr="00A27B12" w:rsidRDefault="001C78F0" w:rsidP="007C0A2C">
      <w:pPr>
        <w:keepLines/>
        <w:tabs>
          <w:tab w:val="left" w:pos="720"/>
        </w:tabs>
      </w:pPr>
      <w:r w:rsidRPr="00A27B12">
        <w:lastRenderedPageBreak/>
        <w:t>In the case of the zone tax offset, submissions to recent inquiries suggest that it may no longer meet its original policy intent. As the zone tax offset is administered based on geographic boundaries that were last updated in 1981, some people question whether the areas within the zone are truly those with the highest living costs or remoteness. Further, in a</w:t>
      </w:r>
      <w:r w:rsidR="007C0A2C" w:rsidRPr="00A27B12">
        <w:t> </w:t>
      </w:r>
      <w:r w:rsidRPr="00A27B12">
        <w:t>recent report tabled by the House Standing Committee on Regional Australia in February</w:t>
      </w:r>
      <w:r w:rsidR="00FA4DCE" w:rsidRPr="00A27B12">
        <w:t> </w:t>
      </w:r>
      <w:r w:rsidRPr="00A27B12">
        <w:t>2013,</w:t>
      </w:r>
      <w:r w:rsidRPr="00A27B12">
        <w:rPr>
          <w:rStyle w:val="FootnoteReference"/>
        </w:rPr>
        <w:footnoteReference w:id="23"/>
      </w:r>
      <w:r w:rsidRPr="00A27B12">
        <w:t xml:space="preserve"> some of the submissions raised the concern that </w:t>
      </w:r>
      <w:r w:rsidR="00A801BF">
        <w:t>‘</w:t>
      </w:r>
      <w:r w:rsidRPr="00A27B12">
        <w:t>fly</w:t>
      </w:r>
      <w:r w:rsidR="00A801BF">
        <w:noBreakHyphen/>
      </w:r>
      <w:r w:rsidRPr="00A27B12">
        <w:t>in, fly</w:t>
      </w:r>
      <w:r w:rsidR="00A801BF">
        <w:noBreakHyphen/>
      </w:r>
      <w:r w:rsidRPr="00A27B12">
        <w:t>out</w:t>
      </w:r>
      <w:r w:rsidR="00A801BF">
        <w:t>’</w:t>
      </w:r>
      <w:r w:rsidRPr="00A27B12">
        <w:t xml:space="preserve"> workers should not receive the zone tax offset. This was on the grounds that fly</w:t>
      </w:r>
      <w:r w:rsidR="00A801BF">
        <w:noBreakHyphen/>
      </w:r>
      <w:r w:rsidRPr="00A27B12">
        <w:t>in, fly</w:t>
      </w:r>
      <w:r w:rsidR="00A801BF">
        <w:noBreakHyphen/>
      </w:r>
      <w:r w:rsidRPr="00A27B12">
        <w:t xml:space="preserve">out workers tend to spend and invest their money where their families reside, and do not necessarily incur the higher costs of living in the zone.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556646" w:rsidRPr="00A27B12" w14:paraId="39548ED0" w14:textId="77777777" w:rsidTr="0055508F">
        <w:tc>
          <w:tcPr>
            <w:tcW w:w="9384" w:type="dxa"/>
          </w:tcPr>
          <w:p w14:paraId="5A382AF9" w14:textId="71B673ED" w:rsidR="00556646" w:rsidRPr="00A27B12" w:rsidRDefault="00556646" w:rsidP="0055508F">
            <w:pPr>
              <w:pStyle w:val="Questionheading"/>
              <w:ind w:right="113"/>
            </w:pPr>
            <w:r w:rsidRPr="00A27B12">
              <w:t xml:space="preserve">Discussion questions: </w:t>
            </w:r>
          </w:p>
          <w:p w14:paraId="11385654" w14:textId="7FE79119" w:rsidR="00556646" w:rsidRPr="00A27B12" w:rsidRDefault="00556646" w:rsidP="002D64AF">
            <w:pPr>
              <w:pStyle w:val="Questiontext"/>
            </w:pPr>
            <w:bookmarkStart w:id="273" w:name="_Toc404157024"/>
            <w:r w:rsidRPr="00A27B12">
              <w:t>Under what circumstances is it appropriate for assistance to be delivered through tax offsets?</w:t>
            </w:r>
            <w:bookmarkEnd w:id="273"/>
          </w:p>
        </w:tc>
      </w:tr>
    </w:tbl>
    <w:p w14:paraId="1F1CAF83" w14:textId="1545472A" w:rsidR="004B15D1" w:rsidRPr="00A27B12" w:rsidRDefault="004B15D1" w:rsidP="00ED75F7">
      <w:bookmarkStart w:id="274" w:name="_Toc404342100"/>
    </w:p>
    <w:p w14:paraId="397EEA77" w14:textId="77777777" w:rsidR="001C78F0" w:rsidRPr="00A27B12" w:rsidRDefault="001C78F0" w:rsidP="007C0A2C">
      <w:pPr>
        <w:pStyle w:val="Heading4"/>
        <w:spacing w:after="120"/>
      </w:pPr>
      <w:bookmarkStart w:id="275" w:name="_Toc409796512"/>
      <w:r w:rsidRPr="00A27B12">
        <w:t>Compliance burden</w:t>
      </w:r>
      <w:bookmarkEnd w:id="274"/>
      <w:bookmarkEnd w:id="275"/>
    </w:p>
    <w:p w14:paraId="54F59738" w14:textId="24EE12A8" w:rsidR="001C78F0" w:rsidRPr="00A27B12" w:rsidRDefault="001C78F0" w:rsidP="007C0A2C">
      <w:pPr>
        <w:pStyle w:val="Heading5"/>
        <w:spacing w:before="120"/>
      </w:pPr>
      <w:bookmarkStart w:id="276" w:name="_Toc404342101"/>
      <w:bookmarkStart w:id="277" w:name="_Toc409796513"/>
      <w:r w:rsidRPr="00A27B12">
        <w:t>Work</w:t>
      </w:r>
      <w:r w:rsidR="00A801BF">
        <w:noBreakHyphen/>
      </w:r>
      <w:r w:rsidRPr="00A27B12">
        <w:t>related expense deductions</w:t>
      </w:r>
      <w:bookmarkEnd w:id="276"/>
      <w:bookmarkEnd w:id="277"/>
    </w:p>
    <w:p w14:paraId="6CB71DD3" w14:textId="55A5721F" w:rsidR="001C78F0" w:rsidRPr="00A27B12" w:rsidRDefault="001C78F0" w:rsidP="001C78F0">
      <w:r w:rsidRPr="00A27B12">
        <w:t xml:space="preserve">Compared to </w:t>
      </w:r>
      <w:r w:rsidR="0018682F" w:rsidRPr="00A27B12">
        <w:t xml:space="preserve">some </w:t>
      </w:r>
      <w:r w:rsidRPr="00A27B12">
        <w:t>other countries, Australia</w:t>
      </w:r>
      <w:r w:rsidR="00A801BF">
        <w:t>’</w:t>
      </w:r>
      <w:r w:rsidRPr="00A27B12">
        <w:t>s tax system is relatively generous in respect of work</w:t>
      </w:r>
      <w:r w:rsidR="00A801BF">
        <w:noBreakHyphen/>
      </w:r>
      <w:r w:rsidRPr="00A27B12">
        <w:t>related expense (WRE) claims, which are widely utilised. In 2011</w:t>
      </w:r>
      <w:r w:rsidR="00A801BF">
        <w:noBreakHyphen/>
      </w:r>
      <w:r w:rsidR="007C0A2C" w:rsidRPr="00A27B12">
        <w:t>12, around 8.5 </w:t>
      </w:r>
      <w:r w:rsidRPr="00A27B12">
        <w:t>million people claimed WREs totalling nearly $19.4 billion,</w:t>
      </w:r>
      <w:r w:rsidRPr="00A27B12">
        <w:rPr>
          <w:rStyle w:val="FootnoteReference"/>
        </w:rPr>
        <w:footnoteReference w:id="24"/>
      </w:r>
      <w:r w:rsidRPr="00A27B12">
        <w:t xml:space="preserve"> although around 38 per cent of tax</w:t>
      </w:r>
      <w:r w:rsidR="0018682F" w:rsidRPr="00A27B12">
        <w:t> </w:t>
      </w:r>
      <w:r w:rsidRPr="00A27B12">
        <w:t>filers had claims of less than $500. Under Australia</w:t>
      </w:r>
      <w:r w:rsidR="00A801BF">
        <w:t>’</w:t>
      </w:r>
      <w:r w:rsidRPr="00A27B12">
        <w:t xml:space="preserve">s approach individuals are able to claim a broad range of WREs against their assessable income as long as they are used for work. </w:t>
      </w:r>
      <w:r w:rsidR="005645FA" w:rsidRPr="00A27B12">
        <w:t>T</w:t>
      </w:r>
      <w:r w:rsidRPr="00A27B12">
        <w:t>o</w:t>
      </w:r>
      <w:r w:rsidR="007C0A2C" w:rsidRPr="00A27B12">
        <w:t> </w:t>
      </w:r>
      <w:r w:rsidRPr="00A27B12">
        <w:t>reduce compliance burden and allow greater use of pre</w:t>
      </w:r>
      <w:r w:rsidR="00A801BF">
        <w:noBreakHyphen/>
      </w:r>
      <w:r w:rsidRPr="00A27B12">
        <w:t xml:space="preserve">filled income tax returns, Australia has in the past considered, but not proceeded with, a </w:t>
      </w:r>
      <w:r w:rsidR="00A801BF">
        <w:t>‘</w:t>
      </w:r>
      <w:r w:rsidRPr="00A27B12">
        <w:t>standard deduction</w:t>
      </w:r>
      <w:r w:rsidR="00A801BF">
        <w:t>’</w:t>
      </w:r>
      <w:r w:rsidRPr="00A27B12">
        <w:t xml:space="preserve"> on WREs (</w:t>
      </w:r>
      <w:r w:rsidR="00B2668A" w:rsidRPr="00A27B12">
        <w:t>Box 3.5</w:t>
      </w:r>
      <w:r w:rsidRPr="00A27B12">
        <w:t xml:space="preserve">). </w:t>
      </w:r>
    </w:p>
    <w:p w14:paraId="480029BA" w14:textId="270765E9" w:rsidR="001C78F0" w:rsidRPr="00A27B12" w:rsidRDefault="005645FA" w:rsidP="001C78F0">
      <w:r w:rsidRPr="00A27B12">
        <w:t xml:space="preserve">The approaches of some other countries </w:t>
      </w:r>
      <w:r w:rsidR="00251C15" w:rsidRPr="00A27B12">
        <w:t xml:space="preserve">are </w:t>
      </w:r>
      <w:r w:rsidR="001C78F0" w:rsidRPr="00A27B12">
        <w:t>more prescriptive or limited. For example, the United Kingdom specifies a tighter nexus on WREs and limits deductions to those that are incurred wholly, exclusively and necessarily in the performance of an employee</w:t>
      </w:r>
      <w:r w:rsidR="00A801BF">
        <w:t>’</w:t>
      </w:r>
      <w:r w:rsidR="001C78F0" w:rsidRPr="00A27B12">
        <w:t xml:space="preserve">s duties, although the compliance burden associated with substantiating deductions remains. New Zealand </w:t>
      </w:r>
      <w:r w:rsidR="00A801BF">
        <w:t>‘</w:t>
      </w:r>
      <w:r w:rsidR="001C78F0" w:rsidRPr="00A27B12">
        <w:t>cashed out</w:t>
      </w:r>
      <w:r w:rsidR="00A801BF">
        <w:t>’</w:t>
      </w:r>
      <w:r w:rsidR="001C78F0" w:rsidRPr="00A27B12">
        <w:t xml:space="preserve"> WRE deductions in the late 1980s by providing income tax cuts in exchange for disallowing WRE deductions. This has been a major driver of compliance savings</w:t>
      </w:r>
      <w:r w:rsidR="00607476" w:rsidRPr="00A27B12">
        <w:t xml:space="preserve"> by reducing the number of people needing to file a tax return </w:t>
      </w:r>
      <w:r w:rsidR="001C78F0" w:rsidRPr="00A27B12">
        <w:t>— in the 2012 tax year around 1.25 million individual tax returns were filed in New</w:t>
      </w:r>
      <w:r w:rsidR="0018682F" w:rsidRPr="00A27B12">
        <w:t> </w:t>
      </w:r>
      <w:r w:rsidR="001C78F0" w:rsidRPr="00A27B12">
        <w:t>Zealand</w:t>
      </w:r>
      <w:r w:rsidR="001C78F0" w:rsidRPr="00A27B12">
        <w:rPr>
          <w:rStyle w:val="FootnoteReference"/>
        </w:rPr>
        <w:footnoteReference w:id="25"/>
      </w:r>
      <w:r w:rsidR="001C78F0" w:rsidRPr="00A27B12">
        <w:t xml:space="preserve"> out of an estimated 3.3 million individual tax payers.</w:t>
      </w:r>
      <w:r w:rsidR="001C78F0" w:rsidRPr="00A27B12">
        <w:rPr>
          <w:rStyle w:val="FootnoteReference"/>
        </w:rPr>
        <w:footnoteReference w:id="26"/>
      </w:r>
      <w:r w:rsidR="001C78F0" w:rsidRPr="00A27B12">
        <w:t xml:space="preserve"> </w:t>
      </w:r>
    </w:p>
    <w:p w14:paraId="494DAAFF" w14:textId="21293744" w:rsidR="001C78F0" w:rsidRPr="00A27B12" w:rsidRDefault="005645FA" w:rsidP="001C78F0">
      <w:r w:rsidRPr="00A27B12">
        <w:lastRenderedPageBreak/>
        <w:t xml:space="preserve">Despite </w:t>
      </w:r>
      <w:r w:rsidR="001C78F0" w:rsidRPr="00A27B12">
        <w:t xml:space="preserve">the compliance burden associated with WRE deductions in Australia they are valued by those who claim them. Tightening the arrangements for WRE deductions in Australia would require careful consideration of how to manage legitimate expenses incurred by employees. In some cases, the expense could be met by an employer providing the necessary item (for example, uniforms or protective equipment), and then having </w:t>
      </w:r>
      <w:r w:rsidR="0018682F" w:rsidRPr="00A27B12">
        <w:t xml:space="preserve">the item </w:t>
      </w:r>
      <w:r w:rsidR="001C78F0" w:rsidRPr="00A27B12">
        <w:t xml:space="preserve">returned if the employee </w:t>
      </w:r>
      <w:r w:rsidR="0018682F" w:rsidRPr="00A27B12">
        <w:t>leaves</w:t>
      </w:r>
      <w:r w:rsidR="001C78F0" w:rsidRPr="00A27B12">
        <w:t>. In other cases, this is less straightforward, such as with self</w:t>
      </w:r>
      <w:r w:rsidR="00A801BF">
        <w:noBreakHyphen/>
      </w:r>
      <w:r w:rsidR="001C78F0" w:rsidRPr="00A27B12">
        <w:t>education expense</w:t>
      </w:r>
      <w:r w:rsidR="009B6A86" w:rsidRPr="00A27B12">
        <w:t>s where the benefit is embodied in the employee</w:t>
      </w:r>
      <w:r w:rsidR="00A801BF">
        <w:t>’</w:t>
      </w:r>
      <w:r w:rsidR="009B6A86" w:rsidRPr="00A27B12">
        <w:t>s human capital</w:t>
      </w:r>
      <w:r w:rsidR="001C78F0" w:rsidRPr="00A27B12">
        <w:t xml:space="preserve">. </w:t>
      </w:r>
      <w:r w:rsidR="000E4011" w:rsidRPr="00A27B12">
        <w:t xml:space="preserve">These </w:t>
      </w:r>
      <w:r w:rsidR="0018682F" w:rsidRPr="00A27B12">
        <w:t>arrangement</w:t>
      </w:r>
      <w:r w:rsidR="000E4011" w:rsidRPr="00A27B12">
        <w:t>s</w:t>
      </w:r>
      <w:r w:rsidR="0018682F" w:rsidRPr="00A27B12">
        <w:t xml:space="preserve"> would also need to be coordinated with the FBT regime so that employers could provide employees with things that </w:t>
      </w:r>
      <w:r w:rsidR="000E4011" w:rsidRPr="00A27B12">
        <w:t xml:space="preserve">may </w:t>
      </w:r>
      <w:r w:rsidR="0018682F" w:rsidRPr="00A27B12">
        <w:t xml:space="preserve">no longer </w:t>
      </w:r>
      <w:r w:rsidR="000E4011" w:rsidRPr="00A27B12">
        <w:t xml:space="preserve">be </w:t>
      </w:r>
      <w:r w:rsidR="00A801BF">
        <w:t>‘</w:t>
      </w:r>
      <w:r w:rsidR="0018682F" w:rsidRPr="00A27B12">
        <w:t>otherwise deductible</w:t>
      </w:r>
      <w:r w:rsidR="00A801BF">
        <w:t>’</w:t>
      </w:r>
      <w:r w:rsidR="0018682F" w:rsidRPr="00A27B12">
        <w:t xml:space="preserve"> without attracting FBT on those things. </w:t>
      </w:r>
    </w:p>
    <w:p w14:paraId="43A5DE17" w14:textId="599DE916" w:rsidR="001C78F0" w:rsidRPr="00A27B12" w:rsidRDefault="008748CD" w:rsidP="001C78F0">
      <w:r w:rsidRPr="00A27B12">
        <w:t xml:space="preserve">It is also possible </w:t>
      </w:r>
      <w:r w:rsidR="001C78F0" w:rsidRPr="00A27B12">
        <w:t>that the existing arrangements for self</w:t>
      </w:r>
      <w:r w:rsidR="00A801BF">
        <w:noBreakHyphen/>
      </w:r>
      <w:r w:rsidR="001C78F0" w:rsidRPr="00A27B12">
        <w:t xml:space="preserve">education expense deductions are </w:t>
      </w:r>
      <w:r w:rsidR="0091772B" w:rsidRPr="00A27B12">
        <w:t xml:space="preserve">somewhat </w:t>
      </w:r>
      <w:r w:rsidR="001C78F0" w:rsidRPr="00A27B12">
        <w:t>restrictive, particularly when structural change in the economy makes re</w:t>
      </w:r>
      <w:r w:rsidR="00A801BF">
        <w:noBreakHyphen/>
      </w:r>
      <w:r w:rsidR="001C78F0" w:rsidRPr="00A27B12">
        <w:t xml:space="preserve">training </w:t>
      </w:r>
      <w:r w:rsidR="00251C15" w:rsidRPr="00A27B12">
        <w:t xml:space="preserve">more important </w:t>
      </w:r>
      <w:r w:rsidR="001C78F0" w:rsidRPr="00A27B12">
        <w:t>to meet ever</w:t>
      </w:r>
      <w:r w:rsidR="00A801BF">
        <w:noBreakHyphen/>
      </w:r>
      <w:r w:rsidR="001C78F0" w:rsidRPr="00A27B12">
        <w:t>changing labour demand needs. This is because self</w:t>
      </w:r>
      <w:r w:rsidR="00A801BF">
        <w:noBreakHyphen/>
      </w:r>
      <w:r w:rsidR="001C78F0" w:rsidRPr="00A27B12">
        <w:t>education expenses may only legitimately be claimed if they maintain or improve the specific skills or knowledge required in someone</w:t>
      </w:r>
      <w:r w:rsidR="00A801BF">
        <w:t>’</w:t>
      </w:r>
      <w:r w:rsidR="001C78F0" w:rsidRPr="00A27B12">
        <w:t xml:space="preserve">s </w:t>
      </w:r>
      <w:r w:rsidR="001C78F0" w:rsidRPr="00A27B12">
        <w:rPr>
          <w:i/>
        </w:rPr>
        <w:t>current</w:t>
      </w:r>
      <w:r w:rsidR="001C78F0" w:rsidRPr="00A27B12">
        <w:t xml:space="preserve"> employment. </w:t>
      </w:r>
      <w:proofErr w:type="gramStart"/>
      <w:r w:rsidR="001C78F0" w:rsidRPr="00A27B12">
        <w:t xml:space="preserve">Someone working in one occupation, </w:t>
      </w:r>
      <w:r w:rsidR="00BF6994" w:rsidRPr="00A27B12">
        <w:t xml:space="preserve">who is </w:t>
      </w:r>
      <w:r w:rsidR="001C78F0" w:rsidRPr="00A27B12">
        <w:t xml:space="preserve">seeking to retrain or reskill so that they can transition to another occupation, </w:t>
      </w:r>
      <w:r w:rsidR="00C91DFE" w:rsidRPr="00A27B12">
        <w:t xml:space="preserve">generally </w:t>
      </w:r>
      <w:r w:rsidR="001C78F0" w:rsidRPr="00A27B12">
        <w:t>cannot deduct that expenditure.</w:t>
      </w:r>
      <w:proofErr w:type="gramEnd"/>
      <w:r w:rsidR="001F5EBB" w:rsidRPr="00A27B12">
        <w:t xml:space="preserve"> </w:t>
      </w:r>
      <w:r w:rsidR="00283B75" w:rsidRPr="00A27B12">
        <w:t>However, a</w:t>
      </w:r>
      <w:r w:rsidR="001F5EBB" w:rsidRPr="00A27B12">
        <w:t xml:space="preserve">ny loosening of this eligibility could lead to problems with compliance. </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556646" w:rsidRPr="00A27B12" w14:paraId="58449A2D" w14:textId="77777777" w:rsidTr="007C0A2C">
        <w:tc>
          <w:tcPr>
            <w:tcW w:w="9384" w:type="dxa"/>
            <w:tcBorders>
              <w:top w:val="nil"/>
              <w:left w:val="nil"/>
              <w:bottom w:val="nil"/>
              <w:right w:val="nil"/>
            </w:tcBorders>
            <w:shd w:val="clear" w:color="auto" w:fill="EBEAEA" w:themeFill="accent6" w:themeFillTint="33"/>
          </w:tcPr>
          <w:p w14:paraId="3504763E" w14:textId="5DADAB71" w:rsidR="00556646" w:rsidRPr="00A27B12" w:rsidRDefault="00556646" w:rsidP="0055508F">
            <w:pPr>
              <w:pStyle w:val="BoxHeading"/>
            </w:pPr>
            <w:r w:rsidRPr="00A27B12">
              <w:t>Box 3.</w:t>
            </w:r>
            <w:fldSimple w:instr=" SEQ Box \* ARABIC \s 1 ">
              <w:r w:rsidR="00B30F7B">
                <w:rPr>
                  <w:noProof/>
                </w:rPr>
                <w:t>5</w:t>
              </w:r>
            </w:fldSimple>
            <w:r w:rsidRPr="00A27B12">
              <w:t xml:space="preserve">: </w:t>
            </w:r>
            <w:bookmarkStart w:id="278" w:name="_Ref404149321"/>
            <w:r w:rsidRPr="00A27B12">
              <w:t>A standard deduction for WREs</w:t>
            </w:r>
            <w:bookmarkEnd w:id="278"/>
          </w:p>
          <w:p w14:paraId="5DDB6A89" w14:textId="23D2ABEE" w:rsidR="00556646" w:rsidRPr="00A27B12" w:rsidRDefault="00556646" w:rsidP="00556646">
            <w:pPr>
              <w:pStyle w:val="BoxText"/>
            </w:pPr>
            <w:r w:rsidRPr="00A27B12">
              <w:t xml:space="preserve">Given the high proportion of taxpayers who incur a relatively low total value of legitimate WREs, a </w:t>
            </w:r>
            <w:r w:rsidR="00A801BF">
              <w:t>‘</w:t>
            </w:r>
            <w:r w:rsidRPr="00A27B12">
              <w:t>standard deduction</w:t>
            </w:r>
            <w:r w:rsidR="00A801BF">
              <w:t>’</w:t>
            </w:r>
            <w:r w:rsidRPr="00A27B12">
              <w:t xml:space="preserve"> could provide significant compliance savings. Rather than substantiating WRE expense claims with receipts, these taxpayers could instead choose to </w:t>
            </w:r>
            <w:r w:rsidR="00A801BF">
              <w:t>‘</w:t>
            </w:r>
            <w:r w:rsidRPr="00A27B12">
              <w:t>tick a box</w:t>
            </w:r>
            <w:r w:rsidR="00A801BF">
              <w:t>’</w:t>
            </w:r>
            <w:r w:rsidRPr="00A27B12">
              <w:t xml:space="preserve"> to claim a standard deduction at a set amount (for example, $500). </w:t>
            </w:r>
          </w:p>
          <w:p w14:paraId="30195E54" w14:textId="4592E508" w:rsidR="00556646" w:rsidRPr="00A27B12" w:rsidRDefault="00556646" w:rsidP="00556646">
            <w:pPr>
              <w:pStyle w:val="BoxText"/>
            </w:pPr>
            <w:r w:rsidRPr="00A27B12">
              <w:t>While it could deliver a simplicity benefit, a standard deduction would come at significant cost — people who do not currently have any WRE deductions could reduce their taxable income by the value of the standard deduction.</w:t>
            </w:r>
          </w:p>
        </w:tc>
      </w:tr>
    </w:tbl>
    <w:p w14:paraId="222C6FB5" w14:textId="77777777" w:rsidR="00556646" w:rsidRPr="00A27B12" w:rsidRDefault="00556646" w:rsidP="001C78F0"/>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556646" w:rsidRPr="00A27B12" w14:paraId="6C2B8FFD" w14:textId="77777777" w:rsidTr="0055508F">
        <w:tc>
          <w:tcPr>
            <w:tcW w:w="9384" w:type="dxa"/>
          </w:tcPr>
          <w:p w14:paraId="417B470E" w14:textId="512A43BE" w:rsidR="00556646" w:rsidRPr="00A27B12" w:rsidRDefault="00556646" w:rsidP="0055508F">
            <w:pPr>
              <w:pStyle w:val="Questionheading"/>
              <w:ind w:right="113"/>
            </w:pPr>
            <w:r w:rsidRPr="00A27B12">
              <w:t xml:space="preserve">Discussion questions: </w:t>
            </w:r>
          </w:p>
          <w:p w14:paraId="0EABB42B" w14:textId="1E18E74E" w:rsidR="00556646" w:rsidRPr="00A27B12" w:rsidRDefault="00556646" w:rsidP="002D64AF">
            <w:pPr>
              <w:pStyle w:val="Questiontext"/>
            </w:pPr>
            <w:bookmarkStart w:id="279" w:name="_Toc404157026"/>
            <w:r w:rsidRPr="00A27B12">
              <w:t>To what extent do our arrangements for work</w:t>
            </w:r>
            <w:r w:rsidR="00A801BF">
              <w:noBreakHyphen/>
            </w:r>
            <w:r w:rsidRPr="00A27B12">
              <w:t>related expense deductions strike the right balance between simplicity and fairness? What could be done to improve this?</w:t>
            </w:r>
            <w:bookmarkEnd w:id="279"/>
          </w:p>
        </w:tc>
      </w:tr>
    </w:tbl>
    <w:p w14:paraId="77653008" w14:textId="77777777" w:rsidR="004B15D1" w:rsidRPr="00A27B12" w:rsidRDefault="004B15D1" w:rsidP="00556646">
      <w:bookmarkStart w:id="280" w:name="_Toc404342102"/>
    </w:p>
    <w:p w14:paraId="71E157EF" w14:textId="77777777" w:rsidR="001C78F0" w:rsidRPr="00A27B12" w:rsidRDefault="001C78F0" w:rsidP="001C78F0">
      <w:pPr>
        <w:pStyle w:val="Heading5"/>
      </w:pPr>
      <w:bookmarkStart w:id="281" w:name="_Toc409796514"/>
      <w:r w:rsidRPr="00A27B12">
        <w:t>Fringe benefits tax</w:t>
      </w:r>
      <w:bookmarkEnd w:id="280"/>
      <w:bookmarkEnd w:id="281"/>
    </w:p>
    <w:p w14:paraId="6CF750D3" w14:textId="6C22DC36" w:rsidR="001C78F0" w:rsidRPr="00A27B12" w:rsidRDefault="001C78F0" w:rsidP="001C78F0">
      <w:r w:rsidRPr="00A27B12">
        <w:t>Australia</w:t>
      </w:r>
      <w:r w:rsidR="00A801BF">
        <w:t>’</w:t>
      </w:r>
      <w:r w:rsidRPr="00A27B12">
        <w:t xml:space="preserve">s FBT system was designed to fill a perceived gap in the income tax base. However, the imposition of highly prescriptive rules to cover every possible fringe benefit provided by an employer to an employee means that it is highly complex. Further, much of the complexity in FBT arises when working out who is not liable and which fringe benefits are exempt or excluded from </w:t>
      </w:r>
      <w:r w:rsidR="007A0D59" w:rsidRPr="00A27B12">
        <w:t xml:space="preserve">FBT </w:t>
      </w:r>
      <w:r w:rsidRPr="00A27B12">
        <w:t>reporting requirement</w:t>
      </w:r>
      <w:r w:rsidR="005779B4" w:rsidRPr="00A27B12">
        <w:t>s</w:t>
      </w:r>
      <w:r w:rsidRPr="00A27B12">
        <w:t>.</w:t>
      </w:r>
    </w:p>
    <w:p w14:paraId="66E4A928" w14:textId="5AAE652C" w:rsidR="001C78F0" w:rsidRPr="00A27B12" w:rsidRDefault="00751A93" w:rsidP="001C78F0">
      <w:r w:rsidRPr="00A27B12">
        <w:lastRenderedPageBreak/>
        <w:t xml:space="preserve">As with the offsets in the </w:t>
      </w:r>
      <w:proofErr w:type="gramStart"/>
      <w:r w:rsidR="00EF3A59" w:rsidRPr="00A27B12">
        <w:t>individuals</w:t>
      </w:r>
      <w:proofErr w:type="gramEnd"/>
      <w:r w:rsidRPr="00A27B12">
        <w:t xml:space="preserve"> income tax system, some of the concessions and exemptions in the FBT system may not be well targeted</w:t>
      </w:r>
      <w:r w:rsidR="001439B2" w:rsidRPr="00A27B12">
        <w:t>.</w:t>
      </w:r>
      <w:r w:rsidRPr="00A27B12">
        <w:t xml:space="preserve"> </w:t>
      </w:r>
      <w:r w:rsidR="001C78F0" w:rsidRPr="00A27B12">
        <w:t>For example, the use of child care services provided for the benefit of employees on an employer</w:t>
      </w:r>
      <w:r w:rsidR="00A801BF">
        <w:t>’</w:t>
      </w:r>
      <w:r w:rsidR="001C78F0" w:rsidRPr="00A27B12">
        <w:t>s business premises is exempt from FBT. This can create inequities in the provision of child care services as not all employers are likely to be able to provide such services. Further, the largest benefits go to individuals on the top marginal tax rate. Another area of concern is the FBT concessions for remote area housing and exemptions for transporting fly</w:t>
      </w:r>
      <w:r w:rsidR="00A801BF">
        <w:noBreakHyphen/>
      </w:r>
      <w:r w:rsidR="001C78F0" w:rsidRPr="00A27B12">
        <w:t>in, fly</w:t>
      </w:r>
      <w:r w:rsidR="00A801BF">
        <w:noBreakHyphen/>
      </w:r>
      <w:r w:rsidR="001C78F0" w:rsidRPr="00A27B12">
        <w:t>out employees. Some longer</w:t>
      </w:r>
      <w:r w:rsidR="00A801BF">
        <w:noBreakHyphen/>
      </w:r>
      <w:r w:rsidR="001C78F0" w:rsidRPr="00A27B12">
        <w:t>term residents of rural and remote areas claim that this encourages fly</w:t>
      </w:r>
      <w:r w:rsidR="00A801BF">
        <w:noBreakHyphen/>
      </w:r>
      <w:r w:rsidR="001C78F0" w:rsidRPr="00A27B12">
        <w:t>in, fly</w:t>
      </w:r>
      <w:r w:rsidR="00A801BF">
        <w:noBreakHyphen/>
      </w:r>
      <w:r w:rsidR="001C78F0" w:rsidRPr="00A27B12">
        <w:t xml:space="preserve">out arrangements, which </w:t>
      </w:r>
      <w:r w:rsidR="008B0ADD" w:rsidRPr="00A27B12">
        <w:t xml:space="preserve">can </w:t>
      </w:r>
      <w:r w:rsidR="001C78F0" w:rsidRPr="00A27B12">
        <w:t xml:space="preserve">contribute to higher rents. </w:t>
      </w:r>
    </w:p>
    <w:p w14:paraId="6D3A6322" w14:textId="25FEC21B" w:rsidR="001C78F0" w:rsidRPr="00A27B12" w:rsidRDefault="00421824" w:rsidP="001C78F0">
      <w:r w:rsidRPr="00A27B12">
        <w:t>T</w:t>
      </w:r>
      <w:r w:rsidR="001C78F0" w:rsidRPr="00A27B12">
        <w:t>he complexity of Australia</w:t>
      </w:r>
      <w:r w:rsidR="00A801BF">
        <w:t>’</w:t>
      </w:r>
      <w:r w:rsidR="001C78F0" w:rsidRPr="00A27B12">
        <w:t xml:space="preserve">s FBT system </w:t>
      </w:r>
      <w:r w:rsidRPr="00A27B12">
        <w:t xml:space="preserve">may be </w:t>
      </w:r>
      <w:r w:rsidR="001C78F0" w:rsidRPr="00A27B12">
        <w:t xml:space="preserve">exacerbated by the </w:t>
      </w:r>
      <w:r w:rsidRPr="00A27B12">
        <w:t xml:space="preserve">fact that the </w:t>
      </w:r>
      <w:r w:rsidR="001C78F0" w:rsidRPr="00A27B12">
        <w:t xml:space="preserve">legal incidence </w:t>
      </w:r>
      <w:r w:rsidRPr="00A27B12">
        <w:t xml:space="preserve">rests with </w:t>
      </w:r>
      <w:r w:rsidR="001C78F0" w:rsidRPr="00A27B12">
        <w:t xml:space="preserve">employers. Three taxing systems apply to each fringe benefit (FBT, income tax and GST), and several methodologies are available to employers in calculating the FBT liability in </w:t>
      </w:r>
      <w:r w:rsidRPr="00A27B12">
        <w:t xml:space="preserve">relation to </w:t>
      </w:r>
      <w:r w:rsidR="001C78F0" w:rsidRPr="00A27B12">
        <w:t>certain fringe benefits. This adds unnecessary compliance costs</w:t>
      </w:r>
      <w:r w:rsidR="007C0A2C" w:rsidRPr="00A27B12">
        <w:t> </w:t>
      </w:r>
      <w:r w:rsidR="009401B3" w:rsidRPr="00A27B12">
        <w:t xml:space="preserve">for </w:t>
      </w:r>
      <w:r w:rsidR="001C78F0" w:rsidRPr="00A27B12">
        <w:t xml:space="preserve">employers, with </w:t>
      </w:r>
      <w:r w:rsidR="009401B3" w:rsidRPr="00A27B12">
        <w:t xml:space="preserve">FBT forms taking 12 hours on average to complete, compared to </w:t>
      </w:r>
      <w:r w:rsidR="00D608AC" w:rsidRPr="00A27B12">
        <w:t>two</w:t>
      </w:r>
      <w:r w:rsidR="009401B3" w:rsidRPr="00A27B12">
        <w:t xml:space="preserve"> hours on average for a business activity statement or </w:t>
      </w:r>
      <w:r w:rsidR="00D608AC" w:rsidRPr="00A27B12">
        <w:t>six </w:t>
      </w:r>
      <w:r w:rsidR="009401B3" w:rsidRPr="00A27B12">
        <w:t>hours on average for a superannuation return</w:t>
      </w:r>
      <w:r w:rsidR="001C78F0" w:rsidRPr="00A27B12">
        <w:t>.</w:t>
      </w:r>
      <w:r w:rsidR="001C78F0" w:rsidRPr="00A27B12">
        <w:rPr>
          <w:rStyle w:val="FootnoteReference"/>
        </w:rPr>
        <w:footnoteReference w:id="27"/>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556646" w14:paraId="70D60CB3" w14:textId="77777777" w:rsidTr="0055508F">
        <w:tc>
          <w:tcPr>
            <w:tcW w:w="9384" w:type="dxa"/>
          </w:tcPr>
          <w:p w14:paraId="66C74C76" w14:textId="64A5CFFD" w:rsidR="00556646" w:rsidRPr="00A27B12" w:rsidRDefault="00556646" w:rsidP="0055508F">
            <w:pPr>
              <w:pStyle w:val="Questionheading"/>
              <w:ind w:right="113"/>
            </w:pPr>
            <w:r w:rsidRPr="00A27B12">
              <w:t xml:space="preserve">Discussion questions: </w:t>
            </w:r>
          </w:p>
          <w:p w14:paraId="06CD3E43" w14:textId="5C5580F0" w:rsidR="00556646" w:rsidRPr="00A27B12" w:rsidRDefault="00556646" w:rsidP="002D64AF">
            <w:pPr>
              <w:pStyle w:val="Questiontext"/>
            </w:pPr>
            <w:bookmarkStart w:id="282" w:name="_Toc404157027"/>
            <w:r w:rsidRPr="00A27B12">
              <w:t>To what extent does our fringe benefits tax system strike the right balance between simplicity and fairness? What could be done to improve this?</w:t>
            </w:r>
            <w:bookmarkEnd w:id="282"/>
          </w:p>
          <w:p w14:paraId="0ADA3954" w14:textId="73856B59" w:rsidR="00556646" w:rsidRPr="00A27B12" w:rsidRDefault="00556646" w:rsidP="002D64AF">
            <w:pPr>
              <w:pStyle w:val="Questiontext"/>
            </w:pPr>
            <w:r w:rsidRPr="00A27B12">
              <w:t>To what extent are the concessions and exemptions in the fringe benefits tax system appropriate?</w:t>
            </w:r>
          </w:p>
        </w:tc>
      </w:t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tbl>
    <w:p w14:paraId="7B2772ED" w14:textId="77777777" w:rsidR="003E4CD9" w:rsidRDefault="003E4CD9" w:rsidP="00C32953"/>
    <w:sectPr w:rsidR="003E4CD9" w:rsidSect="00BB14B0">
      <w:headerReference w:type="first" r:id="rId31"/>
      <w:footerReference w:type="first" r:id="rId32"/>
      <w:footnotePr>
        <w:numStart w:val="24"/>
      </w:footnotePr>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BF2353" w14:textId="77777777" w:rsidR="00A56FA5" w:rsidRDefault="00A56FA5">
      <w:r>
        <w:separator/>
      </w:r>
    </w:p>
  </w:endnote>
  <w:endnote w:type="continuationSeparator" w:id="0">
    <w:p w14:paraId="69B47B59" w14:textId="77777777" w:rsidR="00A56FA5" w:rsidRDefault="00A56FA5">
      <w:r>
        <w:continuationSeparator/>
      </w:r>
    </w:p>
  </w:endnote>
  <w:endnote w:type="continuationNotice" w:id="1">
    <w:p w14:paraId="5C28AAE7" w14:textId="77777777" w:rsidR="00A56FA5" w:rsidRDefault="00A56FA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56FA5" w14:paraId="732798F7" w14:textId="77777777" w:rsidTr="002B771E">
      <w:tc>
        <w:tcPr>
          <w:tcW w:w="4643" w:type="dxa"/>
          <w:vAlign w:val="bottom"/>
        </w:tcPr>
        <w:p w14:paraId="41E4F8A9" w14:textId="77777777" w:rsidR="00A56FA5" w:rsidRDefault="00A56FA5" w:rsidP="002B771E">
          <w:pPr>
            <w:pStyle w:val="FooterOdd"/>
          </w:pPr>
          <w:r w:rsidRPr="000217EE">
            <w:fldChar w:fldCharType="begin"/>
          </w:r>
          <w:r w:rsidRPr="000217EE">
            <w:instrText xml:space="preserve"> PAGE   \* MERGEFORMAT </w:instrText>
          </w:r>
          <w:r w:rsidRPr="000217EE">
            <w:fldChar w:fldCharType="separate"/>
          </w:r>
          <w:r w:rsidR="00CF2E13">
            <w:rPr>
              <w:noProof/>
            </w:rPr>
            <w:t>56</w:t>
          </w:r>
          <w:r w:rsidRPr="000217EE">
            <w:fldChar w:fldCharType="end"/>
          </w:r>
        </w:p>
      </w:tc>
      <w:tc>
        <w:tcPr>
          <w:tcW w:w="4643" w:type="dxa"/>
          <w:vAlign w:val="bottom"/>
        </w:tcPr>
        <w:p w14:paraId="08244995" w14:textId="04840717" w:rsidR="00A56FA5" w:rsidRDefault="00A56FA5" w:rsidP="002B771E">
          <w:pPr>
            <w:pStyle w:val="FooterOdd"/>
            <w:jc w:val="right"/>
          </w:pPr>
          <w:r>
            <w:rPr>
              <w:noProof/>
            </w:rPr>
            <w:drawing>
              <wp:inline distT="0" distB="0" distL="0" distR="0" wp14:anchorId="5810AFDB" wp14:editId="13374EBC">
                <wp:extent cx="1008000" cy="287658"/>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55877FD0" w14:textId="5C5EF4DF" w:rsidR="00A56FA5" w:rsidRPr="00D939E4" w:rsidRDefault="00A56FA5" w:rsidP="00D939E4">
    <w:pPr>
      <w:pStyle w:val="Footer"/>
      <w:rPr>
        <w:rStyle w:val="PageNumbe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56FA5" w14:paraId="7875643C" w14:textId="77777777" w:rsidTr="002B771E">
      <w:tc>
        <w:tcPr>
          <w:tcW w:w="4643" w:type="dxa"/>
          <w:vAlign w:val="bottom"/>
        </w:tcPr>
        <w:p w14:paraId="2A01B004" w14:textId="2ED964E7" w:rsidR="00A56FA5" w:rsidRDefault="00A56FA5" w:rsidP="002B771E">
          <w:pPr>
            <w:pStyle w:val="FooterOdd"/>
          </w:pPr>
          <w:r>
            <w:rPr>
              <w:noProof/>
            </w:rPr>
            <w:drawing>
              <wp:inline distT="0" distB="0" distL="0" distR="0" wp14:anchorId="6500C84F" wp14:editId="6A116918">
                <wp:extent cx="1008000" cy="287658"/>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1DCA6445" w14:textId="0A6FD4C8" w:rsidR="00A56FA5" w:rsidRDefault="00A56FA5" w:rsidP="00D939E4">
          <w:pPr>
            <w:pStyle w:val="FooterOdd"/>
            <w:jc w:val="right"/>
          </w:pPr>
          <w:r w:rsidRPr="000217EE">
            <w:fldChar w:fldCharType="begin"/>
          </w:r>
          <w:r w:rsidRPr="000217EE">
            <w:instrText xml:space="preserve"> PAGE   \* MERGEFORMAT </w:instrText>
          </w:r>
          <w:r w:rsidRPr="000217EE">
            <w:fldChar w:fldCharType="separate"/>
          </w:r>
          <w:r w:rsidR="00CF2E13">
            <w:rPr>
              <w:noProof/>
            </w:rPr>
            <w:t>55</w:t>
          </w:r>
          <w:r w:rsidRPr="000217EE">
            <w:fldChar w:fldCharType="end"/>
          </w:r>
        </w:p>
      </w:tc>
    </w:tr>
  </w:tbl>
  <w:p w14:paraId="5626B947" w14:textId="43BFA3F4" w:rsidR="00A56FA5" w:rsidRPr="00D939E4" w:rsidRDefault="00A56FA5" w:rsidP="00D939E4">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56FA5" w14:paraId="31BA4013" w14:textId="77777777" w:rsidTr="002B771E">
      <w:tc>
        <w:tcPr>
          <w:tcW w:w="4643" w:type="dxa"/>
          <w:vAlign w:val="bottom"/>
        </w:tcPr>
        <w:p w14:paraId="5FE3E3DC" w14:textId="645C7CA7" w:rsidR="00A56FA5" w:rsidRDefault="00A56FA5" w:rsidP="002B771E">
          <w:pPr>
            <w:pStyle w:val="FooterOdd"/>
          </w:pPr>
          <w:r>
            <w:rPr>
              <w:noProof/>
            </w:rPr>
            <w:drawing>
              <wp:inline distT="0" distB="0" distL="0" distR="0" wp14:anchorId="4B2704EF" wp14:editId="4BD44488">
                <wp:extent cx="1008000" cy="287658"/>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44A965FC" w14:textId="77777777" w:rsidR="00A56FA5" w:rsidRDefault="00A56FA5" w:rsidP="002B771E">
          <w:pPr>
            <w:pStyle w:val="FooterOdd"/>
            <w:jc w:val="right"/>
          </w:pPr>
          <w:r w:rsidRPr="000217EE">
            <w:fldChar w:fldCharType="begin"/>
          </w:r>
          <w:r w:rsidRPr="000217EE">
            <w:instrText xml:space="preserve"> PAGE   \* MERGEFORMAT </w:instrText>
          </w:r>
          <w:r w:rsidRPr="000217EE">
            <w:fldChar w:fldCharType="separate"/>
          </w:r>
          <w:r w:rsidR="00CF2E13">
            <w:rPr>
              <w:noProof/>
            </w:rPr>
            <w:t>35</w:t>
          </w:r>
          <w:r w:rsidRPr="000217EE">
            <w:fldChar w:fldCharType="end"/>
          </w:r>
        </w:p>
      </w:tc>
    </w:tr>
  </w:tbl>
  <w:p w14:paraId="58547732" w14:textId="789154FE" w:rsidR="00A56FA5" w:rsidRPr="007D308C" w:rsidRDefault="00A56FA5" w:rsidP="007D308C">
    <w:pPr>
      <w:pStyle w:val="Foote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56FA5" w14:paraId="2454711F" w14:textId="77777777" w:rsidTr="002B771E">
      <w:tc>
        <w:tcPr>
          <w:tcW w:w="4643" w:type="dxa"/>
          <w:vAlign w:val="bottom"/>
        </w:tcPr>
        <w:p w14:paraId="218A4E4B" w14:textId="77777777" w:rsidR="00A56FA5" w:rsidRDefault="00A56FA5" w:rsidP="002B771E">
          <w:pPr>
            <w:pStyle w:val="FooterOdd"/>
          </w:pPr>
          <w:r w:rsidRPr="000217EE">
            <w:fldChar w:fldCharType="begin"/>
          </w:r>
          <w:r w:rsidRPr="000217EE">
            <w:instrText xml:space="preserve"> PAGE   \* MERGEFORMAT </w:instrText>
          </w:r>
          <w:r w:rsidRPr="000217EE">
            <w:fldChar w:fldCharType="separate"/>
          </w:r>
          <w:r w:rsidR="00CF2E13">
            <w:rPr>
              <w:noProof/>
            </w:rPr>
            <w:t>36</w:t>
          </w:r>
          <w:r w:rsidRPr="000217EE">
            <w:fldChar w:fldCharType="end"/>
          </w:r>
        </w:p>
      </w:tc>
      <w:tc>
        <w:tcPr>
          <w:tcW w:w="4643" w:type="dxa"/>
          <w:vAlign w:val="bottom"/>
        </w:tcPr>
        <w:p w14:paraId="51EA4B37" w14:textId="43E21A7F" w:rsidR="00A56FA5" w:rsidRDefault="00A56FA5" w:rsidP="002B771E">
          <w:pPr>
            <w:pStyle w:val="FooterOdd"/>
            <w:jc w:val="right"/>
          </w:pPr>
          <w:r>
            <w:rPr>
              <w:noProof/>
            </w:rPr>
            <w:drawing>
              <wp:inline distT="0" distB="0" distL="0" distR="0" wp14:anchorId="541F443D" wp14:editId="4E89CAA6">
                <wp:extent cx="1008000" cy="287658"/>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32D7BBFA" w14:textId="5C5AC6D2" w:rsidR="00A56FA5" w:rsidRPr="00D939E4" w:rsidRDefault="00A56FA5" w:rsidP="00D939E4">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A3B9A" w14:textId="77777777" w:rsidR="00A56FA5" w:rsidRDefault="00A56FA5" w:rsidP="00335E24">
      <w:pPr>
        <w:spacing w:after="0"/>
      </w:pPr>
      <w:r>
        <w:separator/>
      </w:r>
    </w:p>
  </w:footnote>
  <w:footnote w:type="continuationSeparator" w:id="0">
    <w:p w14:paraId="1310DA0D" w14:textId="77777777" w:rsidR="00A56FA5" w:rsidRDefault="00A56FA5">
      <w:r>
        <w:continuationSeparator/>
      </w:r>
    </w:p>
  </w:footnote>
  <w:footnote w:type="continuationNotice" w:id="1">
    <w:p w14:paraId="2D5CF580" w14:textId="77777777" w:rsidR="00A56FA5" w:rsidRDefault="00A56FA5">
      <w:pPr>
        <w:spacing w:after="0"/>
      </w:pPr>
    </w:p>
  </w:footnote>
  <w:footnote w:id="2">
    <w:p w14:paraId="6F08F590" w14:textId="1B89B859" w:rsidR="00A56FA5" w:rsidRPr="00465752" w:rsidRDefault="00A56FA5" w:rsidP="00465752">
      <w:pPr>
        <w:pStyle w:val="FootnoteText"/>
      </w:pPr>
      <w:r w:rsidRPr="00A801BF">
        <w:rPr>
          <w:rStyle w:val="FootnoteReference"/>
          <w:vertAlign w:val="baseline"/>
        </w:rPr>
        <w:footnoteRef/>
      </w:r>
      <w:r w:rsidRPr="00465752">
        <w:t xml:space="preserve"> </w:t>
      </w:r>
      <w:r w:rsidRPr="00465752">
        <w:tab/>
        <w:t xml:space="preserve">Couples, families with children, senior Australians and recipients of </w:t>
      </w:r>
      <w:r>
        <w:t xml:space="preserve">Australian </w:t>
      </w:r>
      <w:r w:rsidRPr="00465752">
        <w:t>Government pensions and benefits may have higher amounts of taxable income before they begin to pay the Medicare levy. In addition, certain groups are exempt from paying the Medicare levy, for example blind pensioners and defence force personnel.</w:t>
      </w:r>
    </w:p>
  </w:footnote>
  <w:footnote w:id="3">
    <w:p w14:paraId="45C180AF" w14:textId="6CFBDBEC" w:rsidR="00A56FA5" w:rsidRPr="00465752" w:rsidRDefault="00A56FA5" w:rsidP="00465752">
      <w:pPr>
        <w:pStyle w:val="FootnoteText"/>
      </w:pPr>
      <w:r w:rsidRPr="00A801BF">
        <w:rPr>
          <w:rStyle w:val="FootnoteReference"/>
          <w:vertAlign w:val="baseline"/>
        </w:rPr>
        <w:footnoteRef/>
      </w:r>
      <w:r w:rsidRPr="00465752">
        <w:t xml:space="preserve"> </w:t>
      </w:r>
      <w:r w:rsidRPr="00465752">
        <w:tab/>
      </w:r>
      <w:proofErr w:type="gramStart"/>
      <w:r w:rsidRPr="00465752">
        <w:t xml:space="preserve">Australian Government 2014, </w:t>
      </w:r>
      <w:r w:rsidRPr="00DA71F7">
        <w:rPr>
          <w:i/>
        </w:rPr>
        <w:t>2013</w:t>
      </w:r>
      <w:r>
        <w:rPr>
          <w:i/>
        </w:rPr>
        <w:noBreakHyphen/>
      </w:r>
      <w:r w:rsidRPr="00DA71F7">
        <w:rPr>
          <w:i/>
        </w:rPr>
        <w:t>14</w:t>
      </w:r>
      <w:r>
        <w:rPr>
          <w:i/>
        </w:rPr>
        <w:t xml:space="preserve"> </w:t>
      </w:r>
      <w:r w:rsidRPr="00DA71F7">
        <w:rPr>
          <w:i/>
        </w:rPr>
        <w:t>Final Budget Outcome</w:t>
      </w:r>
      <w:r w:rsidRPr="00465752">
        <w:t>, Australian Government, Canberra.</w:t>
      </w:r>
      <w:proofErr w:type="gramEnd"/>
    </w:p>
  </w:footnote>
  <w:footnote w:id="4">
    <w:p w14:paraId="2B729EA7" w14:textId="4C67B152" w:rsidR="00A56FA5" w:rsidRPr="00465752" w:rsidRDefault="00A56FA5" w:rsidP="00465752">
      <w:pPr>
        <w:pStyle w:val="FootnoteText"/>
      </w:pPr>
      <w:r w:rsidRPr="00A801BF">
        <w:rPr>
          <w:rStyle w:val="FootnoteReference"/>
          <w:vertAlign w:val="baseline"/>
        </w:rPr>
        <w:footnoteRef/>
      </w:r>
      <w:r w:rsidRPr="00465752">
        <w:t xml:space="preserve"> </w:t>
      </w:r>
      <w:r w:rsidRPr="00465752">
        <w:tab/>
      </w:r>
      <w:proofErr w:type="gramStart"/>
      <w:r w:rsidRPr="00465752">
        <w:t xml:space="preserve">Australian Government 2014, </w:t>
      </w:r>
      <w:r w:rsidRPr="00DA71F7">
        <w:rPr>
          <w:i/>
        </w:rPr>
        <w:t>2013</w:t>
      </w:r>
      <w:r>
        <w:rPr>
          <w:i/>
        </w:rPr>
        <w:noBreakHyphen/>
      </w:r>
      <w:r w:rsidRPr="00DA71F7">
        <w:rPr>
          <w:i/>
        </w:rPr>
        <w:t>14</w:t>
      </w:r>
      <w:r>
        <w:rPr>
          <w:i/>
        </w:rPr>
        <w:t xml:space="preserve"> </w:t>
      </w:r>
      <w:r w:rsidRPr="00DA71F7">
        <w:rPr>
          <w:i/>
        </w:rPr>
        <w:t>Final Budget Outcome</w:t>
      </w:r>
      <w:r w:rsidRPr="00465752">
        <w:t>, Australian Government, Canberra.</w:t>
      </w:r>
      <w:proofErr w:type="gramEnd"/>
    </w:p>
  </w:footnote>
  <w:footnote w:id="5">
    <w:p w14:paraId="383F4FD8" w14:textId="18ECD653" w:rsidR="00A56FA5" w:rsidRPr="00465752" w:rsidRDefault="00A56FA5" w:rsidP="00E66F30">
      <w:pPr>
        <w:pStyle w:val="FootnoteText"/>
      </w:pPr>
      <w:r w:rsidRPr="00A801BF">
        <w:rPr>
          <w:rStyle w:val="FootnoteReference"/>
          <w:vertAlign w:val="baseline"/>
        </w:rPr>
        <w:footnoteRef/>
      </w:r>
      <w:r w:rsidRPr="00465752">
        <w:t xml:space="preserve"> </w:t>
      </w:r>
      <w:r w:rsidRPr="00465752">
        <w:tab/>
        <w:t xml:space="preserve">Australian Government 2014, </w:t>
      </w:r>
      <w:r w:rsidRPr="00E66F30">
        <w:rPr>
          <w:i/>
        </w:rPr>
        <w:t>2014</w:t>
      </w:r>
      <w:r>
        <w:rPr>
          <w:i/>
        </w:rPr>
        <w:noBreakHyphen/>
      </w:r>
      <w:r w:rsidRPr="00E66F30">
        <w:rPr>
          <w:i/>
        </w:rPr>
        <w:t>15</w:t>
      </w:r>
      <w:r>
        <w:t xml:space="preserve"> </w:t>
      </w:r>
      <w:r w:rsidRPr="00E66F30">
        <w:rPr>
          <w:i/>
        </w:rPr>
        <w:t>Budget</w:t>
      </w:r>
      <w:r>
        <w:rPr>
          <w:i/>
        </w:rPr>
        <w:t>: Budget Strategy and Outlook Paper No. 1</w:t>
      </w:r>
      <w:r w:rsidRPr="00465752">
        <w:t>, Australian Government, Canberra.</w:t>
      </w:r>
    </w:p>
  </w:footnote>
  <w:footnote w:id="6">
    <w:p w14:paraId="32CD4B15" w14:textId="421762D7" w:rsidR="00A56FA5" w:rsidRPr="00465752" w:rsidRDefault="00A56FA5" w:rsidP="00465752">
      <w:pPr>
        <w:pStyle w:val="FootnoteText"/>
      </w:pPr>
      <w:r w:rsidRPr="00A801BF">
        <w:rPr>
          <w:rStyle w:val="FootnoteReference"/>
          <w:vertAlign w:val="baseline"/>
        </w:rPr>
        <w:footnoteRef/>
      </w:r>
      <w:r w:rsidRPr="00465752">
        <w:t xml:space="preserve"> </w:t>
      </w:r>
      <w:r w:rsidRPr="00465752">
        <w:tab/>
        <w:t>These include the Medicare levy low</w:t>
      </w:r>
      <w:r>
        <w:noBreakHyphen/>
      </w:r>
      <w:r w:rsidRPr="00465752">
        <w:t xml:space="preserve">income thresholds, the seniors and pensioners tax offset, the net medical expenses tax offset, and the dependent (invalid and carer) tax offset. </w:t>
      </w:r>
    </w:p>
  </w:footnote>
  <w:footnote w:id="7">
    <w:p w14:paraId="24347B66" w14:textId="192602ED" w:rsidR="00A56FA5" w:rsidRPr="00465752" w:rsidRDefault="00A56FA5" w:rsidP="00465752">
      <w:pPr>
        <w:pStyle w:val="FootnoteText"/>
      </w:pPr>
      <w:r w:rsidRPr="00A801BF">
        <w:rPr>
          <w:rStyle w:val="FootnoteReference"/>
          <w:vertAlign w:val="baseline"/>
        </w:rPr>
        <w:footnoteRef/>
      </w:r>
      <w:r w:rsidRPr="00465752">
        <w:t xml:space="preserve"> </w:t>
      </w:r>
      <w:r w:rsidRPr="00465752">
        <w:tab/>
        <w:t xml:space="preserve">Australian Taxation Office (ATO) 2014, </w:t>
      </w:r>
      <w:r w:rsidRPr="00DA71F7">
        <w:rPr>
          <w:i/>
        </w:rPr>
        <w:t>Taxation Statistics 2011</w:t>
      </w:r>
      <w:r>
        <w:rPr>
          <w:i/>
        </w:rPr>
        <w:noBreakHyphen/>
      </w:r>
      <w:r w:rsidRPr="00DA71F7">
        <w:rPr>
          <w:i/>
        </w:rPr>
        <w:t>12</w:t>
      </w:r>
      <w:r w:rsidRPr="00465752">
        <w:t xml:space="preserve">, ATO, Canberra. </w:t>
      </w:r>
    </w:p>
  </w:footnote>
  <w:footnote w:id="8">
    <w:p w14:paraId="78E9C84F" w14:textId="5E2C2D3B" w:rsidR="00A56FA5" w:rsidRPr="00465752" w:rsidRDefault="00A56FA5" w:rsidP="00465752">
      <w:pPr>
        <w:pStyle w:val="FootnoteText"/>
      </w:pPr>
      <w:r w:rsidRPr="00A801BF">
        <w:rPr>
          <w:rStyle w:val="FootnoteReference"/>
          <w:vertAlign w:val="baseline"/>
        </w:rPr>
        <w:footnoteRef/>
      </w:r>
      <w:r w:rsidRPr="00465752">
        <w:t xml:space="preserve"> </w:t>
      </w:r>
      <w:r w:rsidRPr="00465752">
        <w:tab/>
      </w:r>
      <w:r>
        <w:t>‘</w:t>
      </w:r>
      <w:r w:rsidRPr="00465752">
        <w:t>Net tax paid</w:t>
      </w:r>
      <w:r>
        <w:t>’</w:t>
      </w:r>
      <w:r w:rsidRPr="00465752">
        <w:t xml:space="preserve"> does not take account of any transfer payments a person may be eligible for, such as Family</w:t>
      </w:r>
      <w:r>
        <w:t> </w:t>
      </w:r>
      <w:r w:rsidRPr="00465752">
        <w:t>Tax Benefit, Child Care Benefit</w:t>
      </w:r>
      <w:r>
        <w:t>.</w:t>
      </w:r>
      <w:r w:rsidRPr="00465752">
        <w:t xml:space="preserve"> </w:t>
      </w:r>
    </w:p>
  </w:footnote>
  <w:footnote w:id="9">
    <w:p w14:paraId="1442FBA0" w14:textId="7566D553" w:rsidR="00A56FA5" w:rsidRPr="00465752" w:rsidRDefault="00A56FA5" w:rsidP="00465752">
      <w:pPr>
        <w:pStyle w:val="FootnoteText"/>
      </w:pPr>
      <w:r w:rsidRPr="00A801BF">
        <w:rPr>
          <w:rStyle w:val="FootnoteReference"/>
          <w:vertAlign w:val="baseline"/>
        </w:rPr>
        <w:footnoteRef/>
      </w:r>
      <w:r w:rsidRPr="00465752">
        <w:t xml:space="preserve"> </w:t>
      </w:r>
      <w:r w:rsidRPr="00465752">
        <w:tab/>
        <w:t xml:space="preserve">This treatment applies in the absence of a tax treaty between Australia and another country. Australia currently has tax treaties with over 40 countries, which are intended to prevent double taxation and minimise tax evasion. </w:t>
      </w:r>
    </w:p>
  </w:footnote>
  <w:footnote w:id="10">
    <w:p w14:paraId="73B097CE" w14:textId="006C0378" w:rsidR="00A56FA5" w:rsidRPr="00465752" w:rsidRDefault="00A56FA5" w:rsidP="00FD4F11">
      <w:pPr>
        <w:pStyle w:val="FootnoteText"/>
      </w:pPr>
      <w:r w:rsidRPr="00A801BF">
        <w:rPr>
          <w:rStyle w:val="FootnoteReference"/>
          <w:vertAlign w:val="baseline"/>
        </w:rPr>
        <w:footnoteRef/>
      </w:r>
      <w:r w:rsidRPr="00465752">
        <w:t xml:space="preserve"> </w:t>
      </w:r>
      <w:r w:rsidRPr="00465752">
        <w:tab/>
        <w:t xml:space="preserve">The example discussed in this box does not take account of the transfer system or any assistance the secondary earner may be entitled to if they have caring responsibilities. </w:t>
      </w:r>
    </w:p>
  </w:footnote>
  <w:footnote w:id="11">
    <w:p w14:paraId="5DAD64E9" w14:textId="677F5A2F" w:rsidR="00A56FA5" w:rsidRPr="00465752" w:rsidRDefault="00A56FA5" w:rsidP="00465752">
      <w:pPr>
        <w:pStyle w:val="FootnoteText"/>
      </w:pPr>
      <w:r w:rsidRPr="00A801BF">
        <w:rPr>
          <w:rStyle w:val="FootnoteReference"/>
          <w:vertAlign w:val="baseline"/>
        </w:rPr>
        <w:footnoteRef/>
      </w:r>
      <w:r w:rsidRPr="00465752">
        <w:t xml:space="preserve"> </w:t>
      </w:r>
      <w:r w:rsidRPr="00465752">
        <w:tab/>
      </w:r>
      <w:proofErr w:type="gramStart"/>
      <w:r w:rsidRPr="00465752">
        <w:t xml:space="preserve">Australian Government 2014, </w:t>
      </w:r>
      <w:r>
        <w:rPr>
          <w:i/>
        </w:rPr>
        <w:t>2013</w:t>
      </w:r>
      <w:r>
        <w:rPr>
          <w:i/>
        </w:rPr>
        <w:noBreakHyphen/>
        <w:t xml:space="preserve">14 </w:t>
      </w:r>
      <w:r w:rsidRPr="00DA71F7">
        <w:rPr>
          <w:i/>
        </w:rPr>
        <w:t>Final Budget Outcome</w:t>
      </w:r>
      <w:r w:rsidRPr="00465752">
        <w:t>, Australian Government, Canberra.</w:t>
      </w:r>
      <w:proofErr w:type="gramEnd"/>
    </w:p>
  </w:footnote>
  <w:footnote w:id="12">
    <w:p w14:paraId="26AC7F97" w14:textId="7BEC4C08" w:rsidR="00A56FA5" w:rsidRPr="00465752" w:rsidRDefault="00A56FA5" w:rsidP="00465752">
      <w:pPr>
        <w:pStyle w:val="FootnoteText"/>
      </w:pPr>
      <w:r w:rsidRPr="00A801BF">
        <w:rPr>
          <w:rStyle w:val="FootnoteReference"/>
          <w:vertAlign w:val="baseline"/>
        </w:rPr>
        <w:footnoteRef/>
      </w:r>
      <w:r w:rsidRPr="00465752">
        <w:t xml:space="preserve"> </w:t>
      </w:r>
      <w:r w:rsidRPr="00465752">
        <w:tab/>
        <w:t>To be counted as participating in the workforce, a person must either be working or actively be looking for work.</w:t>
      </w:r>
    </w:p>
  </w:footnote>
  <w:footnote w:id="13">
    <w:p w14:paraId="42A77A1B" w14:textId="11ACE222" w:rsidR="00A56FA5" w:rsidRPr="00862F43" w:rsidRDefault="00A56FA5" w:rsidP="00862F43">
      <w:pPr>
        <w:pStyle w:val="FootnoteText"/>
      </w:pPr>
      <w:r w:rsidRPr="00A801BF">
        <w:rPr>
          <w:rStyle w:val="FootnoteReference"/>
          <w:vertAlign w:val="baseline"/>
        </w:rPr>
        <w:footnoteRef/>
      </w:r>
      <w:r w:rsidRPr="00862F43">
        <w:t xml:space="preserve"> </w:t>
      </w:r>
      <w:r w:rsidRPr="00862F43">
        <w:tab/>
        <w:t xml:space="preserve">OECD 2014, </w:t>
      </w:r>
      <w:r w:rsidRPr="00946768">
        <w:rPr>
          <w:i/>
        </w:rPr>
        <w:t>Labour Force Statistics</w:t>
      </w:r>
      <w:r w:rsidRPr="00862F43">
        <w:t xml:space="preserve">, OECD, Paris, viewed 11 November 2014: </w:t>
      </w:r>
      <w:hyperlink r:id="rId1" w:history="1">
        <w:r w:rsidRPr="00356595">
          <w:rPr>
            <w:color w:val="31A7D4" w:themeColor="accent1"/>
          </w:rPr>
          <w:t>http://stats.oecd.org/Index.aspx?DataSetCode=LFS_SEXAGE_I_R</w:t>
        </w:r>
      </w:hyperlink>
      <w:r>
        <w:t>.</w:t>
      </w:r>
    </w:p>
  </w:footnote>
  <w:footnote w:id="14">
    <w:p w14:paraId="6404FE99" w14:textId="0F62439F" w:rsidR="00A56FA5" w:rsidRPr="00862F43" w:rsidRDefault="00A56FA5" w:rsidP="00862F43">
      <w:pPr>
        <w:pStyle w:val="FootnoteText"/>
      </w:pPr>
      <w:r w:rsidRPr="00A801BF">
        <w:rPr>
          <w:rStyle w:val="FootnoteReference"/>
          <w:vertAlign w:val="baseline"/>
        </w:rPr>
        <w:footnoteRef/>
      </w:r>
      <w:r w:rsidRPr="00862F43">
        <w:t xml:space="preserve"> </w:t>
      </w:r>
      <w:r w:rsidRPr="00862F43">
        <w:tab/>
        <w:t xml:space="preserve">Dockery, M., Ong, R. and Wood, G. 2007, </w:t>
      </w:r>
      <w:r>
        <w:t>‘</w:t>
      </w:r>
      <w:r w:rsidRPr="00862F43">
        <w:t>Welfare traps in Australia: Do they bite?</w:t>
      </w:r>
      <w:r>
        <w:t>’</w:t>
      </w:r>
      <w:r w:rsidRPr="00862F43">
        <w:t xml:space="preserve"> Paper presented to the HILDA Survey Research Conference, 19</w:t>
      </w:r>
      <w:r>
        <w:noBreakHyphen/>
      </w:r>
      <w:r w:rsidRPr="00862F43">
        <w:t>20 July Melbourne.</w:t>
      </w:r>
    </w:p>
  </w:footnote>
  <w:footnote w:id="15">
    <w:p w14:paraId="2EA81E82" w14:textId="1666A020" w:rsidR="00A56FA5" w:rsidRPr="00862F43" w:rsidRDefault="00A56FA5" w:rsidP="00862F43">
      <w:pPr>
        <w:pStyle w:val="FootnoteText"/>
      </w:pPr>
      <w:r w:rsidRPr="00A801BF">
        <w:rPr>
          <w:rStyle w:val="FootnoteReference"/>
          <w:vertAlign w:val="baseline"/>
        </w:rPr>
        <w:footnoteRef/>
      </w:r>
      <w:r w:rsidRPr="00862F43">
        <w:t xml:space="preserve"> </w:t>
      </w:r>
      <w:r w:rsidRPr="00862F43">
        <w:tab/>
        <w:t xml:space="preserve">OECD 2011, </w:t>
      </w:r>
      <w:r w:rsidRPr="00A75AFD">
        <w:rPr>
          <w:i/>
        </w:rPr>
        <w:t>Taxation and Employment</w:t>
      </w:r>
      <w:r>
        <w:t>,</w:t>
      </w:r>
      <w:r w:rsidRPr="00465752">
        <w:t xml:space="preserve"> tax policy studies no. 21, OECD Paris, </w:t>
      </w:r>
      <w:r w:rsidRPr="00862F43">
        <w:t>p</w:t>
      </w:r>
      <w:r>
        <w:t>ages</w:t>
      </w:r>
      <w:r w:rsidRPr="00862F43">
        <w:t xml:space="preserve"> 34</w:t>
      </w:r>
      <w:r>
        <w:noBreakHyphen/>
      </w:r>
      <w:r w:rsidRPr="00862F43">
        <w:t>35</w:t>
      </w:r>
      <w:r>
        <w:t>.</w:t>
      </w:r>
    </w:p>
  </w:footnote>
  <w:footnote w:id="16">
    <w:p w14:paraId="4133934F" w14:textId="2F1E1070" w:rsidR="00A56FA5" w:rsidRPr="00862F43" w:rsidRDefault="00A56FA5" w:rsidP="00862F43">
      <w:pPr>
        <w:pStyle w:val="FootnoteText"/>
      </w:pPr>
      <w:r w:rsidRPr="00A801BF">
        <w:rPr>
          <w:rStyle w:val="FootnoteReference"/>
          <w:vertAlign w:val="baseline"/>
        </w:rPr>
        <w:footnoteRef/>
      </w:r>
      <w:r w:rsidRPr="00862F43">
        <w:t xml:space="preserve"> </w:t>
      </w:r>
      <w:r w:rsidRPr="00862F43">
        <w:tab/>
        <w:t xml:space="preserve">Blundell, R., </w:t>
      </w:r>
      <w:proofErr w:type="spellStart"/>
      <w:r w:rsidRPr="00862F43">
        <w:t>Dunanc</w:t>
      </w:r>
      <w:proofErr w:type="spellEnd"/>
      <w:r w:rsidRPr="00862F43">
        <w:t xml:space="preserve">, A. and </w:t>
      </w:r>
      <w:proofErr w:type="spellStart"/>
      <w:r w:rsidRPr="00862F43">
        <w:t>Meghir</w:t>
      </w:r>
      <w:proofErr w:type="spellEnd"/>
      <w:r w:rsidRPr="00862F43">
        <w:t xml:space="preserve">, C. 1998. </w:t>
      </w:r>
      <w:r>
        <w:t>‘</w:t>
      </w:r>
      <w:r w:rsidRPr="00862F43">
        <w:t xml:space="preserve">Estimating </w:t>
      </w:r>
      <w:proofErr w:type="spellStart"/>
      <w:r w:rsidRPr="00862F43">
        <w:t>labor</w:t>
      </w:r>
      <w:proofErr w:type="spellEnd"/>
      <w:r w:rsidRPr="00862F43">
        <w:t xml:space="preserve"> supply responses using tax reforms</w:t>
      </w:r>
      <w:r>
        <w:t>’</w:t>
      </w:r>
      <w:r w:rsidRPr="00862F43">
        <w:t xml:space="preserve">, </w:t>
      </w:r>
      <w:proofErr w:type="spellStart"/>
      <w:r w:rsidRPr="00303C45">
        <w:rPr>
          <w:i/>
        </w:rPr>
        <w:t>Econometrica</w:t>
      </w:r>
      <w:proofErr w:type="spellEnd"/>
      <w:r w:rsidRPr="00862F43">
        <w:t>, 66:4:827</w:t>
      </w:r>
      <w:r>
        <w:noBreakHyphen/>
      </w:r>
      <w:r w:rsidRPr="00862F43">
        <w:t xml:space="preserve">861; </w:t>
      </w:r>
      <w:proofErr w:type="spellStart"/>
      <w:r w:rsidRPr="00862F43">
        <w:t>Dandie</w:t>
      </w:r>
      <w:proofErr w:type="spellEnd"/>
      <w:r w:rsidRPr="00862F43">
        <w:t xml:space="preserve">, S. and </w:t>
      </w:r>
      <w:proofErr w:type="spellStart"/>
      <w:r w:rsidRPr="00862F43">
        <w:t>Mercante</w:t>
      </w:r>
      <w:proofErr w:type="spellEnd"/>
      <w:r w:rsidRPr="00862F43">
        <w:t xml:space="preserve">, J. 2007, </w:t>
      </w:r>
      <w:r w:rsidRPr="00303C45">
        <w:rPr>
          <w:i/>
        </w:rPr>
        <w:t xml:space="preserve">Australian labour supply </w:t>
      </w:r>
      <w:proofErr w:type="spellStart"/>
      <w:r w:rsidRPr="00303C45">
        <w:rPr>
          <w:i/>
        </w:rPr>
        <w:t>elasticities</w:t>
      </w:r>
      <w:proofErr w:type="spellEnd"/>
      <w:r w:rsidRPr="00303C45">
        <w:rPr>
          <w:i/>
        </w:rPr>
        <w:t>: Comparison and critical review</w:t>
      </w:r>
      <w:r>
        <w:t>, w</w:t>
      </w:r>
      <w:r w:rsidRPr="00862F43">
        <w:t xml:space="preserve">orking </w:t>
      </w:r>
      <w:r>
        <w:t>p</w:t>
      </w:r>
      <w:r w:rsidRPr="00862F43">
        <w:t xml:space="preserve">aper </w:t>
      </w:r>
      <w:r>
        <w:t xml:space="preserve">no. </w:t>
      </w:r>
      <w:r w:rsidRPr="00862F43">
        <w:t>2007</w:t>
      </w:r>
      <w:r>
        <w:noBreakHyphen/>
      </w:r>
      <w:r w:rsidRPr="00862F43">
        <w:t xml:space="preserve">04, Australian Treasury, Canberra. </w:t>
      </w:r>
    </w:p>
  </w:footnote>
  <w:footnote w:id="17">
    <w:p w14:paraId="5D092BB1" w14:textId="79F45313" w:rsidR="00A56FA5" w:rsidRPr="00862F43" w:rsidRDefault="00A56FA5" w:rsidP="00862F43">
      <w:pPr>
        <w:pStyle w:val="FootnoteText"/>
      </w:pPr>
      <w:r w:rsidRPr="00A801BF">
        <w:rPr>
          <w:rStyle w:val="FootnoteReference"/>
          <w:vertAlign w:val="baseline"/>
        </w:rPr>
        <w:footnoteRef/>
      </w:r>
      <w:r w:rsidRPr="00862F43">
        <w:t xml:space="preserve"> </w:t>
      </w:r>
      <w:r w:rsidRPr="00862F43">
        <w:tab/>
        <w:t xml:space="preserve">OECD 2011, </w:t>
      </w:r>
      <w:r w:rsidRPr="00A75AFD">
        <w:rPr>
          <w:i/>
        </w:rPr>
        <w:t>Taxation and Employment</w:t>
      </w:r>
      <w:r w:rsidRPr="00862F43">
        <w:t>, tax policy studies no. 21, OECD, Paris, pages 128</w:t>
      </w:r>
      <w:r>
        <w:noBreakHyphen/>
      </w:r>
      <w:r w:rsidRPr="00862F43">
        <w:t>129.</w:t>
      </w:r>
    </w:p>
  </w:footnote>
  <w:footnote w:id="18">
    <w:p w14:paraId="619DB4FA" w14:textId="24911413" w:rsidR="00A56FA5" w:rsidRPr="00465752" w:rsidRDefault="00A56FA5" w:rsidP="00465752">
      <w:pPr>
        <w:pStyle w:val="FootnoteText"/>
      </w:pPr>
      <w:r w:rsidRPr="00A801BF">
        <w:rPr>
          <w:rStyle w:val="FootnoteReference"/>
          <w:vertAlign w:val="baseline"/>
        </w:rPr>
        <w:footnoteRef/>
      </w:r>
      <w:r w:rsidRPr="00465752">
        <w:t xml:space="preserve"> </w:t>
      </w:r>
      <w:r w:rsidRPr="00465752">
        <w:tab/>
        <w:t xml:space="preserve">OECD 2011, </w:t>
      </w:r>
      <w:r w:rsidRPr="00DA71F7">
        <w:rPr>
          <w:i/>
        </w:rPr>
        <w:t>Taxation and Employment</w:t>
      </w:r>
      <w:r w:rsidRPr="00465752">
        <w:t>, tax policy studies no. 21, OECD Paris, page 137.</w:t>
      </w:r>
    </w:p>
  </w:footnote>
  <w:footnote w:id="19">
    <w:p w14:paraId="7A34C271" w14:textId="0CEC4DCB" w:rsidR="00A56FA5" w:rsidRPr="00465752" w:rsidRDefault="00A56FA5" w:rsidP="00465752">
      <w:pPr>
        <w:pStyle w:val="FootnoteText"/>
      </w:pPr>
      <w:r w:rsidRPr="00A801BF">
        <w:rPr>
          <w:rStyle w:val="FootnoteReference"/>
          <w:vertAlign w:val="baseline"/>
        </w:rPr>
        <w:footnoteRef/>
      </w:r>
      <w:r w:rsidRPr="00465752">
        <w:t xml:space="preserve"> </w:t>
      </w:r>
      <w:r w:rsidRPr="00465752">
        <w:tab/>
        <w:t xml:space="preserve">In Australia </w:t>
      </w:r>
      <w:r>
        <w:t xml:space="preserve">last </w:t>
      </w:r>
      <w:r w:rsidRPr="00465752">
        <w:t xml:space="preserve">year, the Government announced it will reform the tax treatment of employee share schemes in part to improve the competitiveness of innovative </w:t>
      </w:r>
      <w:r w:rsidRPr="00A27B12">
        <w:t>firms in Australia looking to attract and retain high</w:t>
      </w:r>
      <w:r>
        <w:noBreakHyphen/>
      </w:r>
      <w:r w:rsidRPr="00A27B12">
        <w:t>quality employees in the international labour market (discussed further in Chapter 5).</w:t>
      </w:r>
    </w:p>
  </w:footnote>
  <w:footnote w:id="20">
    <w:p w14:paraId="3291EF27" w14:textId="1FA90A9E" w:rsidR="00A56FA5" w:rsidRPr="00465752" w:rsidRDefault="00A56FA5" w:rsidP="00465752">
      <w:pPr>
        <w:pStyle w:val="FootnoteText"/>
      </w:pPr>
      <w:r w:rsidRPr="00A801BF">
        <w:rPr>
          <w:rStyle w:val="FootnoteReference"/>
          <w:vertAlign w:val="baseline"/>
        </w:rPr>
        <w:footnoteRef/>
      </w:r>
      <w:r w:rsidRPr="00465752">
        <w:t xml:space="preserve"> </w:t>
      </w:r>
      <w:r w:rsidRPr="00465752">
        <w:tab/>
        <w:t xml:space="preserve">This is distinct from </w:t>
      </w:r>
      <w:r>
        <w:t>‘</w:t>
      </w:r>
      <w:r w:rsidRPr="00465752">
        <w:t>tax evasion</w:t>
      </w:r>
      <w:r>
        <w:t>’</w:t>
      </w:r>
      <w:r w:rsidRPr="00465752">
        <w:t>, which is non</w:t>
      </w:r>
      <w:r>
        <w:noBreakHyphen/>
      </w:r>
      <w:r w:rsidRPr="00465752">
        <w:t xml:space="preserve">compliant behaviour (such as not declaring income). </w:t>
      </w:r>
    </w:p>
  </w:footnote>
  <w:footnote w:id="21">
    <w:p w14:paraId="79A796C4" w14:textId="31A84113" w:rsidR="00A56FA5" w:rsidRPr="00465752" w:rsidRDefault="00A56FA5" w:rsidP="00465752">
      <w:pPr>
        <w:pStyle w:val="FootnoteText"/>
      </w:pPr>
      <w:r w:rsidRPr="00A801BF">
        <w:rPr>
          <w:rStyle w:val="FootnoteReference"/>
          <w:vertAlign w:val="baseline"/>
        </w:rPr>
        <w:footnoteRef/>
      </w:r>
      <w:r w:rsidRPr="00465752">
        <w:t xml:space="preserve"> </w:t>
      </w:r>
      <w:r w:rsidRPr="00465752">
        <w:tab/>
        <w:t xml:space="preserve">The tax system can be used to administer assistance related to other programmes, such as the private health insurance rebate. </w:t>
      </w:r>
    </w:p>
  </w:footnote>
  <w:footnote w:id="22">
    <w:p w14:paraId="38FB08C5" w14:textId="64B52E16" w:rsidR="00A56FA5" w:rsidRPr="00465752" w:rsidRDefault="00A56FA5" w:rsidP="00556646">
      <w:pPr>
        <w:pStyle w:val="FootnoteText"/>
      </w:pPr>
      <w:r w:rsidRPr="00A801BF">
        <w:rPr>
          <w:rStyle w:val="FootnoteReference"/>
          <w:vertAlign w:val="baseline"/>
        </w:rPr>
        <w:footnoteRef/>
      </w:r>
      <w:r w:rsidRPr="00465752">
        <w:t xml:space="preserve"> </w:t>
      </w:r>
      <w:r w:rsidRPr="00465752">
        <w:tab/>
        <w:t>This rate is for a single student under the age of 18 with no children, who is required to live away from their parental home to study, undertake training, or look for work.</w:t>
      </w:r>
      <w:r>
        <w:t xml:space="preserve"> The amount is the annual average for 2014</w:t>
      </w:r>
      <w:r>
        <w:noBreakHyphen/>
        <w:t>15.</w:t>
      </w:r>
    </w:p>
  </w:footnote>
  <w:footnote w:id="23">
    <w:p w14:paraId="6C918914" w14:textId="6CDBBBD4" w:rsidR="00A56FA5" w:rsidRPr="00465752" w:rsidRDefault="00A56FA5" w:rsidP="00465752">
      <w:pPr>
        <w:pStyle w:val="FootnoteText"/>
      </w:pPr>
      <w:r w:rsidRPr="00A801BF">
        <w:rPr>
          <w:rStyle w:val="FootnoteReference"/>
          <w:vertAlign w:val="baseline"/>
        </w:rPr>
        <w:footnoteRef/>
      </w:r>
      <w:r w:rsidRPr="00465752">
        <w:t xml:space="preserve"> </w:t>
      </w:r>
      <w:r w:rsidRPr="00465752">
        <w:tab/>
      </w:r>
      <w:proofErr w:type="gramStart"/>
      <w:r w:rsidRPr="00465752">
        <w:t xml:space="preserve">House of Representatives 2013, </w:t>
      </w:r>
      <w:r w:rsidRPr="00DA71F7">
        <w:rPr>
          <w:i/>
        </w:rPr>
        <w:t xml:space="preserve">Inquiry into the use of </w:t>
      </w:r>
      <w:r>
        <w:rPr>
          <w:i/>
        </w:rPr>
        <w:t>‘</w:t>
      </w:r>
      <w:r w:rsidRPr="00DA71F7">
        <w:rPr>
          <w:i/>
        </w:rPr>
        <w:t>fly</w:t>
      </w:r>
      <w:r>
        <w:rPr>
          <w:i/>
        </w:rPr>
        <w:noBreakHyphen/>
      </w:r>
      <w:r w:rsidRPr="00DA71F7">
        <w:rPr>
          <w:i/>
        </w:rPr>
        <w:t>in, fly</w:t>
      </w:r>
      <w:r>
        <w:rPr>
          <w:i/>
        </w:rPr>
        <w:noBreakHyphen/>
      </w:r>
      <w:r w:rsidRPr="00DA71F7">
        <w:rPr>
          <w:i/>
        </w:rPr>
        <w:t>out</w:t>
      </w:r>
      <w:r>
        <w:rPr>
          <w:i/>
        </w:rPr>
        <w:t>’</w:t>
      </w:r>
      <w:r w:rsidRPr="00DA71F7">
        <w:rPr>
          <w:i/>
        </w:rPr>
        <w:t xml:space="preserve"> (FIFO) workforce practices in regional Australia,</w:t>
      </w:r>
      <w:r w:rsidRPr="00465752">
        <w:t xml:space="preserve"> Standing Committee on Regional Australia, Canberra.</w:t>
      </w:r>
      <w:proofErr w:type="gramEnd"/>
    </w:p>
  </w:footnote>
  <w:footnote w:id="24">
    <w:p w14:paraId="2644BF4D" w14:textId="4653A2FD" w:rsidR="00A56FA5" w:rsidRPr="00465752" w:rsidRDefault="00A56FA5" w:rsidP="00465752">
      <w:pPr>
        <w:pStyle w:val="FootnoteText"/>
      </w:pPr>
      <w:r w:rsidRPr="00A801BF">
        <w:rPr>
          <w:rStyle w:val="FootnoteReference"/>
          <w:vertAlign w:val="baseline"/>
        </w:rPr>
        <w:footnoteRef/>
      </w:r>
      <w:r w:rsidRPr="00465752">
        <w:t xml:space="preserve"> </w:t>
      </w:r>
      <w:r w:rsidRPr="00465752">
        <w:tab/>
      </w:r>
      <w:proofErr w:type="gramStart"/>
      <w:r w:rsidRPr="00465752">
        <w:t xml:space="preserve">ATO 2014, </w:t>
      </w:r>
      <w:r w:rsidRPr="00DA71F7">
        <w:rPr>
          <w:i/>
        </w:rPr>
        <w:t>Taxation Statistics 2011</w:t>
      </w:r>
      <w:r>
        <w:rPr>
          <w:i/>
        </w:rPr>
        <w:noBreakHyphen/>
      </w:r>
      <w:r w:rsidRPr="00DA71F7">
        <w:rPr>
          <w:i/>
        </w:rPr>
        <w:t>12</w:t>
      </w:r>
      <w:r w:rsidRPr="00465752">
        <w:t>, ATO, Canberra.</w:t>
      </w:r>
      <w:proofErr w:type="gramEnd"/>
      <w:r w:rsidRPr="00465752">
        <w:t xml:space="preserve"> </w:t>
      </w:r>
    </w:p>
  </w:footnote>
  <w:footnote w:id="25">
    <w:p w14:paraId="366BAA31" w14:textId="61FFC4A0" w:rsidR="00A56FA5" w:rsidRPr="00465752" w:rsidRDefault="00A56FA5" w:rsidP="00465752">
      <w:pPr>
        <w:pStyle w:val="FootnoteText"/>
      </w:pPr>
      <w:r w:rsidRPr="00A801BF">
        <w:rPr>
          <w:rStyle w:val="FootnoteReference"/>
          <w:vertAlign w:val="baseline"/>
        </w:rPr>
        <w:footnoteRef/>
      </w:r>
      <w:r w:rsidRPr="00465752">
        <w:t xml:space="preserve"> </w:t>
      </w:r>
      <w:r w:rsidRPr="00465752">
        <w:tab/>
        <w:t xml:space="preserve">Inland Revenue Department of New Zealand 2014, </w:t>
      </w:r>
      <w:r w:rsidRPr="00DA71F7">
        <w:rPr>
          <w:i/>
        </w:rPr>
        <w:t>Returns Filed 2004 to 2013</w:t>
      </w:r>
      <w:r w:rsidRPr="00465752">
        <w:t xml:space="preserve">, Inland Revenue, viewed 1 December 2014, </w:t>
      </w:r>
      <w:hyperlink r:id="rId2" w:history="1">
        <w:r w:rsidRPr="00356595">
          <w:rPr>
            <w:rStyle w:val="Hyperlink"/>
            <w:color w:val="31A7D4" w:themeColor="accent1"/>
          </w:rPr>
          <w:t>www.ird.govt.nz/aboutir/external</w:t>
        </w:r>
        <w:r>
          <w:rPr>
            <w:rStyle w:val="Hyperlink"/>
            <w:color w:val="31A7D4" w:themeColor="accent1"/>
          </w:rPr>
          <w:noBreakHyphen/>
        </w:r>
        <w:r w:rsidRPr="00356595">
          <w:rPr>
            <w:rStyle w:val="Hyperlink"/>
            <w:color w:val="31A7D4" w:themeColor="accent1"/>
          </w:rPr>
          <w:t>stats/tax</w:t>
        </w:r>
        <w:r>
          <w:rPr>
            <w:rStyle w:val="Hyperlink"/>
            <w:color w:val="31A7D4" w:themeColor="accent1"/>
          </w:rPr>
          <w:noBreakHyphen/>
        </w:r>
        <w:r w:rsidRPr="00356595">
          <w:rPr>
            <w:rStyle w:val="Hyperlink"/>
            <w:color w:val="31A7D4" w:themeColor="accent1"/>
          </w:rPr>
          <w:t>returns/returns</w:t>
        </w:r>
        <w:r>
          <w:rPr>
            <w:rStyle w:val="Hyperlink"/>
            <w:color w:val="31A7D4" w:themeColor="accent1"/>
          </w:rPr>
          <w:noBreakHyphen/>
        </w:r>
        <w:r w:rsidRPr="00356595">
          <w:rPr>
            <w:rStyle w:val="Hyperlink"/>
            <w:color w:val="31A7D4" w:themeColor="accent1"/>
          </w:rPr>
          <w:t>filed/</w:t>
        </w:r>
      </w:hyperlink>
      <w:r>
        <w:rPr>
          <w:rStyle w:val="Hyperlink"/>
          <w:color w:val="31A7D4" w:themeColor="accent1"/>
        </w:rPr>
        <w:t>.</w:t>
      </w:r>
      <w:r w:rsidRPr="00465752">
        <w:t xml:space="preserve"> </w:t>
      </w:r>
    </w:p>
  </w:footnote>
  <w:footnote w:id="26">
    <w:p w14:paraId="5B6CDCA3" w14:textId="1CDC44F9" w:rsidR="00A56FA5" w:rsidRPr="00465752" w:rsidRDefault="00A56FA5" w:rsidP="00465752">
      <w:pPr>
        <w:pStyle w:val="FootnoteText"/>
      </w:pPr>
      <w:r w:rsidRPr="00A801BF">
        <w:rPr>
          <w:rStyle w:val="FootnoteReference"/>
          <w:vertAlign w:val="baseline"/>
        </w:rPr>
        <w:footnoteRef/>
      </w:r>
      <w:r w:rsidRPr="00465752">
        <w:t xml:space="preserve"> </w:t>
      </w:r>
      <w:r w:rsidRPr="00465752">
        <w:tab/>
        <w:t xml:space="preserve">The Treasury (New Zealand) 2012, </w:t>
      </w:r>
      <w:r w:rsidRPr="00DA71F7">
        <w:rPr>
          <w:i/>
        </w:rPr>
        <w:t>2012 Budget Key Facts for Taxpayers: Who pays income tax</w:t>
      </w:r>
      <w:r>
        <w:rPr>
          <w:i/>
        </w:rPr>
        <w:t xml:space="preserve"> </w:t>
      </w:r>
      <w:r w:rsidRPr="00DA71F7">
        <w:rPr>
          <w:i/>
        </w:rPr>
        <w:t>… and how much</w:t>
      </w:r>
      <w:proofErr w:type="gramStart"/>
      <w:r w:rsidRPr="00DA71F7">
        <w:rPr>
          <w:i/>
        </w:rPr>
        <w:t>?</w:t>
      </w:r>
      <w:r>
        <w:t>,</w:t>
      </w:r>
      <w:proofErr w:type="gramEnd"/>
      <w:r w:rsidRPr="00465752">
        <w:t xml:space="preserve"> New Zealand Government,</w:t>
      </w:r>
      <w:r>
        <w:t xml:space="preserve"> viewed 1 December 2014: </w:t>
      </w:r>
      <w:hyperlink r:id="rId3" w:history="1">
        <w:r w:rsidRPr="00356595">
          <w:rPr>
            <w:color w:val="31A7D4" w:themeColor="accent1"/>
          </w:rPr>
          <w:t>www.treasury.govt.nz/budget/2012/taxpayers/02.htm</w:t>
        </w:r>
      </w:hyperlink>
      <w:r>
        <w:rPr>
          <w:color w:val="31A7D4" w:themeColor="accent1"/>
        </w:rPr>
        <w:t>.</w:t>
      </w:r>
      <w:r w:rsidRPr="00465752">
        <w:t xml:space="preserve"> </w:t>
      </w:r>
    </w:p>
  </w:footnote>
  <w:footnote w:id="27">
    <w:p w14:paraId="7A5933F3" w14:textId="5BDF78EF" w:rsidR="00A56FA5" w:rsidRPr="00465752" w:rsidRDefault="00A56FA5" w:rsidP="00465752">
      <w:pPr>
        <w:pStyle w:val="FootnoteText"/>
      </w:pPr>
      <w:r w:rsidRPr="00A801BF">
        <w:rPr>
          <w:rStyle w:val="FootnoteReference"/>
          <w:vertAlign w:val="baseline"/>
        </w:rPr>
        <w:footnoteRef/>
      </w:r>
      <w:r w:rsidRPr="00465752">
        <w:t xml:space="preserve"> </w:t>
      </w:r>
      <w:r w:rsidRPr="00465752">
        <w:tab/>
      </w:r>
      <w:proofErr w:type="gramStart"/>
      <w:r w:rsidRPr="00465752">
        <w:t xml:space="preserve">ATO 2014, </w:t>
      </w:r>
      <w:r w:rsidRPr="002C173F">
        <w:rPr>
          <w:i/>
        </w:rPr>
        <w:t>Taxation Statistics 2011</w:t>
      </w:r>
      <w:r>
        <w:rPr>
          <w:i/>
        </w:rPr>
        <w:noBreakHyphen/>
      </w:r>
      <w:r w:rsidRPr="002C173F">
        <w:rPr>
          <w:i/>
        </w:rPr>
        <w:t>12</w:t>
      </w:r>
      <w:r w:rsidRPr="00465752">
        <w:t>, ATO, Canberra.</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5D249" w14:textId="32E4765C" w:rsidR="00A56FA5" w:rsidRPr="00BB14B0" w:rsidRDefault="004E54FD" w:rsidP="00BB14B0">
    <w:pPr>
      <w:pStyle w:val="HeaderEven"/>
    </w:pPr>
    <w:fldSimple w:instr=" TITLE   \* MERGEFORMAT ">
      <w:r w:rsidR="00B30F7B">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1F2C0" w14:textId="5FA0AD17" w:rsidR="00A56FA5" w:rsidRPr="00714216" w:rsidRDefault="004E54FD" w:rsidP="00714216">
    <w:pPr>
      <w:pStyle w:val="HeaderOdd"/>
    </w:pPr>
    <w:fldSimple w:instr=" STYLEREF  &quot;Heading 1&quot;  \* MERGEFORMAT ">
      <w:r w:rsidR="00CF2E13">
        <w:rPr>
          <w:noProof/>
        </w:rPr>
        <w:t>Individuals</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FA466" w14:textId="2008E0FB" w:rsidR="00A56FA5" w:rsidRDefault="00A56FA5" w:rsidP="00473116">
    <w:pPr>
      <w:pStyle w:val="Header"/>
    </w:pPr>
    <w:r w:rsidRPr="009B64BA">
      <w:rPr>
        <w:noProof/>
        <w:sz w:val="12"/>
        <w:szCs w:val="12"/>
      </w:rPr>
      <mc:AlternateContent>
        <mc:Choice Requires="wps">
          <w:drawing>
            <wp:anchor distT="0" distB="0" distL="114300" distR="114300" simplePos="0" relativeHeight="251658240" behindDoc="1" locked="0" layoutInCell="1" allowOverlap="1" wp14:anchorId="0FABB1B6" wp14:editId="095CDDA0">
              <wp:simplePos x="0" y="0"/>
              <wp:positionH relativeFrom="column">
                <wp:posOffset>-909955</wp:posOffset>
              </wp:positionH>
              <wp:positionV relativeFrom="paragraph">
                <wp:posOffset>-469265</wp:posOffset>
              </wp:positionV>
              <wp:extent cx="7595870" cy="1620000"/>
              <wp:effectExtent l="0" t="0" r="5080" b="0"/>
              <wp:wrapNone/>
              <wp:docPr id="2" name="Rectangle 2"/>
              <wp:cNvGraphicFramePr/>
              <a:graphic xmlns:a="http://schemas.openxmlformats.org/drawingml/2006/main">
                <a:graphicData uri="http://schemas.microsoft.com/office/word/2010/wordprocessingShape">
                  <wps:wsp>
                    <wps:cNvSpPr/>
                    <wps:spPr>
                      <a:xfrm>
                        <a:off x="0" y="0"/>
                        <a:ext cx="7595870" cy="162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1.65pt;margin-top:-36.95pt;width:598.1pt;height:12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m6iAIAAIkFAAAOAAAAZHJzL2Uyb0RvYy54bWysVG1r2zAQ/j7YfxD6vjgOTV9CnRJaOgah&#10;LU1HP6uyFAsknSYpcbJfv5PsuFlbNhj7Yut0z709urvLq53RZCt8UGArWo7GlAjLoVZ2XdHvT7df&#10;zikJkdmaabCionsR6NX886fL1s3EBBrQtfAEndgwa11FmxjdrCgCb4RhYQROWFRK8IZFFP26qD1r&#10;0bvRxWQ8Pi1a8LXzwEUIeHvTKek8+5dS8HgvZRCR6IpibjF/ff6+pG8xv2SztWeuUbxPg/1DFoYp&#10;i0EHVzcsMrLx6p0ro7iHADKOOJgCpFRc5BqwmnL8pppVw5zItSA5wQ00hf/nlt9tHzxRdUUnlFhm&#10;8IkekTRm11qQSaKndWGGqJV78L0U8Jhq3Ulv0h+rILtM6X6gVOwi4Xh5Nr2Ynp8h8xx15Sk+2TiT&#10;XryaOx/iVwGGpENFPYbPVLLtMkQMidADJEULoFV9q7TOQuoTca092TJ8Yca5sLFMaaPVb0htE95C&#10;suzU6aZI1XX15FPca5Fw2j4KibRgBZOcTG7I94FyDg2rRRd/elTeYJFzyQ4TWmL8wXf5J99dlj0+&#10;mYrcz4Px+O/Gg0WODDYOxkZZ8B850AN9ssMfSOqoSSy9QL3HpvHQTVNw/Fbh0y1ZiA/M4/jgc+NK&#10;iPf4kRraikJ/oqQB//Oj+4THrkYtJS2OY0XDjw3zghL9zWK/X5QnJ2l+s3AyPZug4I81L8cauzHX&#10;gP1Q4vJxPB8TPurDUXowz7g5FikqqpjlGLuiPPqDcB27NYG7h4vFIsNwZh2LS7tyPDlPrKbWfNo9&#10;M+/6/o3Y+ndwGF02e9PGHTZZWlhsIkiVe/yV155vnPfcOP1uSgvlWM6o1w06/wUAAP//AwBQSwME&#10;FAAGAAgAAAAhAE5tE0vhAAAADQEAAA8AAABkcnMvZG93bnJldi54bWxMj8tOwzAQRfdI/IM1SOxa&#10;50FLCXEqQKJrWioEOzd244h4bMVOk/L1TFewO6O5unOmXE+2Yyfdh9ahgHSeANNYO9ViI2D//jpb&#10;AQtRopKdQy3grAOsq+urUhbKjbjVp11sGJVgKKQAE6MvOA+10VaGufMaaXd0vZWRxr7hqpcjlduO&#10;Z0my5Fa2SBeM9PrF6Pp7N1gBfrN/+zqaZz8uzx+LzdQMnz/tIMTtzfT0CCzqKf6F4aJP6lCR08EN&#10;qALrBMzSuzynLNF9/gDsEkkWGdGBaJVmwKuS//+i+gUAAP//AwBQSwECLQAUAAYACAAAACEAtoM4&#10;kv4AAADhAQAAEwAAAAAAAAAAAAAAAAAAAAAAW0NvbnRlbnRfVHlwZXNdLnhtbFBLAQItABQABgAI&#10;AAAAIQA4/SH/1gAAAJQBAAALAAAAAAAAAAAAAAAAAC8BAABfcmVscy8ucmVsc1BLAQItABQABgAI&#10;AAAAIQAjtlm6iAIAAIkFAAAOAAAAAAAAAAAAAAAAAC4CAABkcnMvZTJvRG9jLnhtbFBLAQItABQA&#10;BgAIAAAAIQBObRNL4QAAAA0BAAAPAAAAAAAAAAAAAAAAAOIEAABkcnMvZG93bnJldi54bWxQSwUG&#10;AAAAAAQABADzAAAA8AUAAAAA&#10;" fillcolor="#31a7d4 [3204]" stroked="f" strokeweight="2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5EC13" w14:textId="29CE9D7E" w:rsidR="00A56FA5" w:rsidRPr="00BB14B0" w:rsidRDefault="004E54FD" w:rsidP="00BB14B0">
    <w:pPr>
      <w:pStyle w:val="HeaderEven"/>
    </w:pPr>
    <w:fldSimple w:instr=" TITLE   \* MERGEFORMAT ">
      <w:r w:rsidR="00B30F7B">
        <w:t>Tax Discussion Paper</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ED3FC7"/>
    <w:multiLevelType w:val="multilevel"/>
    <w:tmpl w:val="F8BE2F76"/>
    <w:lvl w:ilvl="0">
      <w:start w:val="1"/>
      <w:numFmt w:val="bullet"/>
      <w:lvlRestart w:val="0"/>
      <w:lvlText w:val="•"/>
      <w:lvlJc w:val="left"/>
      <w:pPr>
        <w:tabs>
          <w:tab w:val="num" w:pos="283"/>
        </w:tabs>
        <w:ind w:left="283" w:hanging="283"/>
      </w:pPr>
      <w:rPr>
        <w:rFonts w:ascii="Times New Roman" w:hAnsi="Times New Roman" w:cs="Times New Roman" w:hint="default"/>
        <w:b w:val="0"/>
        <w:i w:val="0"/>
        <w:sz w:val="20"/>
      </w:rPr>
    </w:lvl>
    <w:lvl w:ilvl="1">
      <w:start w:val="1"/>
      <w:numFmt w:val="bullet"/>
      <w:lvlText w:val="–"/>
      <w:lvlJc w:val="left"/>
      <w:pPr>
        <w:tabs>
          <w:tab w:val="num" w:pos="567"/>
        </w:tabs>
        <w:ind w:left="567" w:hanging="284"/>
      </w:pPr>
      <w:rPr>
        <w:rFonts w:hint="default"/>
        <w:b w:val="0"/>
        <w:i w:val="0"/>
      </w:rPr>
    </w:lvl>
    <w:lvl w:ilvl="2">
      <w:start w:val="1"/>
      <w:numFmt w:val="bulle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3">
    <w:nsid w:val="12B26652"/>
    <w:multiLevelType w:val="multilevel"/>
    <w:tmpl w:val="B7C46700"/>
    <w:name w:val="HeadingList22322"/>
    <w:lvl w:ilvl="0">
      <w:start w:val="1"/>
      <w:numFmt w:val="decimal"/>
      <w:lvlText w:val="%1."/>
      <w:lvlJc w:val="left"/>
      <w:pPr>
        <w:ind w:left="357" w:hanging="357"/>
      </w:pPr>
      <w:rPr>
        <w:rFonts w:hint="default"/>
        <w:b/>
        <w:i w:val="0"/>
        <w:color w:val="31A7D4" w:themeColor="accent1"/>
      </w:rPr>
    </w:lvl>
    <w:lvl w:ilvl="1">
      <w:start w:val="1"/>
      <w:numFmt w:val="decimal"/>
      <w:lvlText w:val="Box 2.%2"/>
      <w:lvlJc w:val="left"/>
      <w:pPr>
        <w:ind w:left="714" w:hanging="357"/>
      </w:pPr>
      <w:rPr>
        <w:rFonts w:ascii="Calibri" w:hAnsi="Calibri" w:hint="default"/>
        <w:b/>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nsid w:val="174D1D00"/>
    <w:multiLevelType w:val="multilevel"/>
    <w:tmpl w:val="CDBAE604"/>
    <w:name w:val="HeadingList223"/>
    <w:lvl w:ilvl="0">
      <w:start w:val="1"/>
      <w:numFmt w:val="decimal"/>
      <w:lvlRestart w:val="0"/>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rt %1.%2"/>
      <w:lvlJc w:val="left"/>
      <w:pPr>
        <w:tabs>
          <w:tab w:val="num" w:pos="1134"/>
        </w:tabs>
        <w:ind w:left="1134"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1"/>
        </w:tabs>
        <w:ind w:left="1701" w:hanging="567"/>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5">
    <w:nsid w:val="18313C8F"/>
    <w:multiLevelType w:val="multilevel"/>
    <w:tmpl w:val="EBB4089A"/>
    <w:lvl w:ilvl="0">
      <w:start w:val="3"/>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7">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8">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7440C8B"/>
    <w:multiLevelType w:val="multilevel"/>
    <w:tmpl w:val="BE70450A"/>
    <w:lvl w:ilvl="0">
      <w:start w:val="1"/>
      <w:numFmt w:val="bullet"/>
      <w:lvlRestart w:val="0"/>
      <w:pStyle w:val="TOC2"/>
      <w:lvlText w:val="•"/>
      <w:lvlJc w:val="left"/>
      <w:pPr>
        <w:tabs>
          <w:tab w:val="num" w:pos="566"/>
        </w:tabs>
        <w:ind w:left="566" w:hanging="566"/>
      </w:pPr>
      <w:rPr>
        <w:rFonts w:ascii="Times New Roman" w:hAnsi="Times New Roman" w:cs="Times New Roman"/>
        <w:b w:val="0"/>
        <w:i w:val="0"/>
      </w:rPr>
    </w:lvl>
    <w:lvl w:ilvl="1">
      <w:start w:val="1"/>
      <w:numFmt w:val="bullet"/>
      <w:lvlText w:val="–"/>
      <w:lvlJc w:val="left"/>
      <w:pPr>
        <w:tabs>
          <w:tab w:val="num" w:pos="1134"/>
        </w:tabs>
        <w:ind w:left="1134" w:hanging="568"/>
      </w:pPr>
      <w:rPr>
        <w:rFonts w:ascii="Times New Roman" w:hAnsi="Times New Roman" w:cs="Times New Roman"/>
        <w:b w:val="0"/>
        <w:i w:val="0"/>
      </w:rPr>
    </w:lvl>
    <w:lvl w:ilvl="2">
      <w:start w:val="1"/>
      <w:numFmt w:val="bulle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0">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1">
    <w:nsid w:val="29C6418B"/>
    <w:multiLevelType w:val="hybridMultilevel"/>
    <w:tmpl w:val="17E06662"/>
    <w:name w:val="HeadingList2233"/>
    <w:lvl w:ilvl="0" w:tplc="1FF8E786">
      <w:start w:val="1"/>
      <w:numFmt w:val="bullet"/>
      <w:pStyle w:val="Keyfinding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4">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5">
    <w:nsid w:val="327319FD"/>
    <w:multiLevelType w:val="hybridMultilevel"/>
    <w:tmpl w:val="C14C352C"/>
    <w:name w:val="StandardNumberedList22"/>
    <w:lvl w:ilvl="0" w:tplc="4F8C420E">
      <w:start w:val="1"/>
      <w:numFmt w:val="bullet"/>
      <w:pStyle w:val="Keyfindingtex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3921C4B"/>
    <w:multiLevelType w:val="hybridMultilevel"/>
    <w:tmpl w:val="2B6C4D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C542EA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F7C2D6F"/>
    <w:multiLevelType w:val="hybridMultilevel"/>
    <w:tmpl w:val="C44A0796"/>
    <w:lvl w:ilvl="0" w:tplc="5C1641C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nsid w:val="45F34343"/>
    <w:multiLevelType w:val="multilevel"/>
    <w:tmpl w:val="7F4E3652"/>
    <w:name w:val="StandardBulletedList"/>
    <w:lvl w:ilvl="0">
      <w:start w:val="1"/>
      <w:numFmt w:val="bullet"/>
      <w:pStyle w:val="Bullet"/>
      <w:lvlText w:val="•"/>
      <w:lvlJc w:val="left"/>
      <w:pPr>
        <w:tabs>
          <w:tab w:val="num" w:pos="520"/>
        </w:tabs>
        <w:ind w:left="520" w:hanging="520"/>
      </w:pPr>
      <w:rPr>
        <w:rFonts w:ascii="Times New Roman" w:hAnsi="Times New Roman" w:cs="Times New Roman"/>
      </w:rPr>
    </w:lvl>
    <w:lvl w:ilvl="1">
      <w:start w:val="1"/>
      <w:numFmt w:val="bullet"/>
      <w:pStyle w:val="Dash"/>
      <w:lvlText w:val="–"/>
      <w:lvlJc w:val="left"/>
      <w:pPr>
        <w:tabs>
          <w:tab w:val="num" w:pos="1040"/>
        </w:tabs>
        <w:ind w:left="1040" w:hanging="520"/>
      </w:pPr>
      <w:rPr>
        <w:rFonts w:ascii="Times New Roman" w:hAnsi="Times New Roman" w:cs="Times New Roman"/>
      </w:rPr>
    </w:lvl>
    <w:lvl w:ilvl="2">
      <w:start w:val="1"/>
      <w:numFmt w:val="bullet"/>
      <w:pStyle w:val="DoubleDo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8D66B1F"/>
    <w:multiLevelType w:val="hybridMultilevel"/>
    <w:tmpl w:val="8BEE96DA"/>
    <w:lvl w:ilvl="0" w:tplc="2C400FE0">
      <w:start w:val="5"/>
      <w:numFmt w:val="decimal"/>
      <w:lvlText w:val="%1."/>
      <w:lvlJc w:val="left"/>
      <w:pPr>
        <w:ind w:left="720" w:hanging="360"/>
      </w:pPr>
      <w:rPr>
        <w:rFonts w:hint="default"/>
        <w:color w:val="31A7D4"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4">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5">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6">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33A59A1"/>
    <w:multiLevelType w:val="hybridMultilevel"/>
    <w:tmpl w:val="C1B4B2CC"/>
    <w:lvl w:ilvl="0" w:tplc="8B7A2B04">
      <w:start w:val="6"/>
      <w:numFmt w:val="decimal"/>
      <w:pStyle w:val="Questiontext"/>
      <w:lvlText w:val="%1."/>
      <w:lvlJc w:val="left"/>
      <w:pPr>
        <w:tabs>
          <w:tab w:val="num" w:pos="425"/>
        </w:tabs>
        <w:ind w:left="425" w:hanging="425"/>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752434D9"/>
    <w:multiLevelType w:val="multilevel"/>
    <w:tmpl w:val="0C09001D"/>
    <w:name w:val="StandardNumberedList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944750A"/>
    <w:multiLevelType w:val="hybridMultilevel"/>
    <w:tmpl w:val="02024FCE"/>
    <w:name w:val="StandardNumberedList232"/>
    <w:lvl w:ilvl="0" w:tplc="D3284FD4">
      <w:start w:val="1"/>
      <w:numFmt w:val="decimal"/>
      <w:pStyle w:val="Casestudyboxheading"/>
      <w:lvlText w:val="Box 3.%1"/>
      <w:lvlJc w:val="left"/>
      <w:pPr>
        <w:ind w:left="399" w:hanging="360"/>
      </w:pPr>
      <w:rPr>
        <w:rFonts w:ascii="Calibri" w:hAnsi="Calibri" w:hint="default"/>
        <w:b/>
        <w:i w:val="0"/>
        <w:color w:val="31A7D4"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14"/>
  </w:num>
  <w:num w:numId="4">
    <w:abstractNumId w:val="23"/>
  </w:num>
  <w:num w:numId="5">
    <w:abstractNumId w:val="24"/>
  </w:num>
  <w:num w:numId="6">
    <w:abstractNumId w:val="6"/>
  </w:num>
  <w:num w:numId="7">
    <w:abstractNumId w:val="25"/>
  </w:num>
  <w:num w:numId="8">
    <w:abstractNumId w:val="10"/>
  </w:num>
  <w:num w:numId="9">
    <w:abstractNumId w:val="13"/>
  </w:num>
  <w:num w:numId="10">
    <w:abstractNumId w:val="22"/>
  </w:num>
  <w:num w:numId="11">
    <w:abstractNumId w:val="3"/>
  </w:num>
  <w:num w:numId="12">
    <w:abstractNumId w:val="16"/>
  </w:num>
  <w:num w:numId="13">
    <w:abstractNumId w:val="4"/>
    <w:lvlOverride w:ilvl="0">
      <w:startOverride w:val="1"/>
    </w:lvlOverride>
  </w:num>
  <w:num w:numId="14">
    <w:abstractNumId w:val="11"/>
  </w:num>
  <w:num w:numId="15">
    <w:abstractNumId w:val="32"/>
  </w:num>
  <w:num w:numId="16">
    <w:abstractNumId w:val="8"/>
  </w:num>
  <w:num w:numId="17">
    <w:abstractNumId w:val="15"/>
  </w:num>
  <w:num w:numId="18">
    <w:abstractNumId w:val="28"/>
  </w:num>
  <w:num w:numId="19">
    <w:abstractNumId w:val="31"/>
  </w:num>
  <w:num w:numId="20">
    <w:abstractNumId w:val="22"/>
    <w:lvlOverride w:ilvl="0">
      <w:startOverride w:val="5"/>
    </w:lvlOverride>
  </w:num>
  <w:num w:numId="21">
    <w:abstractNumId w:val="2"/>
  </w:num>
  <w:num w:numId="22">
    <w:abstractNumId w:val="21"/>
  </w:num>
  <w:num w:numId="23">
    <w:abstractNumId w:val="26"/>
  </w:num>
  <w:num w:numId="24">
    <w:abstractNumId w:val="27"/>
  </w:num>
  <w:num w:numId="25">
    <w:abstractNumId w:val="0"/>
  </w:num>
  <w:num w:numId="26">
    <w:abstractNumId w:val="12"/>
  </w:num>
  <w:num w:numId="27">
    <w:abstractNumId w:val="19"/>
  </w:num>
  <w:num w:numId="28">
    <w:abstractNumId w:val="5"/>
  </w:num>
  <w:num w:numId="2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evenAndOddHeaders/>
  <w:drawingGridHorizontalSpacing w:val="100"/>
  <w:displayHorizontalDrawingGridEvery w:val="2"/>
  <w:displayVerticalDrawingGridEvery w:val="2"/>
  <w:noPunctuationKerning/>
  <w:characterSpacingControl w:val="doNotCompress"/>
  <w:hdrShapeDefaults>
    <o:shapedefaults v:ext="edit" spidmax="321537"/>
  </w:hdrShapeDefaults>
  <w:footnotePr>
    <w:numStart w:val="23"/>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8F0"/>
    <w:rsid w:val="000024F4"/>
    <w:rsid w:val="00002DB1"/>
    <w:rsid w:val="000049E2"/>
    <w:rsid w:val="0000609C"/>
    <w:rsid w:val="00006F7E"/>
    <w:rsid w:val="0000739F"/>
    <w:rsid w:val="000104BF"/>
    <w:rsid w:val="000106C8"/>
    <w:rsid w:val="00012952"/>
    <w:rsid w:val="0001450F"/>
    <w:rsid w:val="00020315"/>
    <w:rsid w:val="000207D3"/>
    <w:rsid w:val="000207E1"/>
    <w:rsid w:val="00022BC6"/>
    <w:rsid w:val="000232E6"/>
    <w:rsid w:val="00024309"/>
    <w:rsid w:val="00025699"/>
    <w:rsid w:val="00026975"/>
    <w:rsid w:val="000271DF"/>
    <w:rsid w:val="00031198"/>
    <w:rsid w:val="00031738"/>
    <w:rsid w:val="000319CD"/>
    <w:rsid w:val="00032D0F"/>
    <w:rsid w:val="00034744"/>
    <w:rsid w:val="00034D33"/>
    <w:rsid w:val="0003699E"/>
    <w:rsid w:val="00040740"/>
    <w:rsid w:val="00040F0F"/>
    <w:rsid w:val="00042C4C"/>
    <w:rsid w:val="0004481B"/>
    <w:rsid w:val="000454EC"/>
    <w:rsid w:val="00045864"/>
    <w:rsid w:val="00045B70"/>
    <w:rsid w:val="00046BF5"/>
    <w:rsid w:val="000512BE"/>
    <w:rsid w:val="0005260C"/>
    <w:rsid w:val="00054751"/>
    <w:rsid w:val="00054BC9"/>
    <w:rsid w:val="00057308"/>
    <w:rsid w:val="00062FF4"/>
    <w:rsid w:val="0006590E"/>
    <w:rsid w:val="00070735"/>
    <w:rsid w:val="0007212E"/>
    <w:rsid w:val="00072629"/>
    <w:rsid w:val="00082626"/>
    <w:rsid w:val="00084D32"/>
    <w:rsid w:val="000877A0"/>
    <w:rsid w:val="0009119E"/>
    <w:rsid w:val="00094F0B"/>
    <w:rsid w:val="000A0614"/>
    <w:rsid w:val="000A12AD"/>
    <w:rsid w:val="000A3B18"/>
    <w:rsid w:val="000B4C09"/>
    <w:rsid w:val="000C333D"/>
    <w:rsid w:val="000C50CF"/>
    <w:rsid w:val="000C57C3"/>
    <w:rsid w:val="000D032D"/>
    <w:rsid w:val="000D30D8"/>
    <w:rsid w:val="000D3109"/>
    <w:rsid w:val="000D7FFA"/>
    <w:rsid w:val="000E1BB7"/>
    <w:rsid w:val="000E3DF0"/>
    <w:rsid w:val="000E4011"/>
    <w:rsid w:val="000E4101"/>
    <w:rsid w:val="000E7462"/>
    <w:rsid w:val="000F2DD3"/>
    <w:rsid w:val="000F3C0D"/>
    <w:rsid w:val="000F466E"/>
    <w:rsid w:val="000F467B"/>
    <w:rsid w:val="000F5DB5"/>
    <w:rsid w:val="000F64EA"/>
    <w:rsid w:val="000F6B74"/>
    <w:rsid w:val="001019F6"/>
    <w:rsid w:val="00101A7C"/>
    <w:rsid w:val="00101C8D"/>
    <w:rsid w:val="001020AE"/>
    <w:rsid w:val="00103C20"/>
    <w:rsid w:val="00103EE9"/>
    <w:rsid w:val="00104D9B"/>
    <w:rsid w:val="001060CC"/>
    <w:rsid w:val="00106A53"/>
    <w:rsid w:val="00111121"/>
    <w:rsid w:val="00111619"/>
    <w:rsid w:val="0011691C"/>
    <w:rsid w:val="00116CCA"/>
    <w:rsid w:val="0012064F"/>
    <w:rsid w:val="00121D7A"/>
    <w:rsid w:val="00123F98"/>
    <w:rsid w:val="00124611"/>
    <w:rsid w:val="0012637D"/>
    <w:rsid w:val="00126675"/>
    <w:rsid w:val="00127E02"/>
    <w:rsid w:val="00127E3F"/>
    <w:rsid w:val="001319BD"/>
    <w:rsid w:val="00133A57"/>
    <w:rsid w:val="00136DA3"/>
    <w:rsid w:val="00137D56"/>
    <w:rsid w:val="0014118C"/>
    <w:rsid w:val="00141719"/>
    <w:rsid w:val="00141A3B"/>
    <w:rsid w:val="00141A99"/>
    <w:rsid w:val="001439B2"/>
    <w:rsid w:val="001456A6"/>
    <w:rsid w:val="001456F2"/>
    <w:rsid w:val="00145986"/>
    <w:rsid w:val="001505E3"/>
    <w:rsid w:val="001512A9"/>
    <w:rsid w:val="0015163A"/>
    <w:rsid w:val="00152630"/>
    <w:rsid w:val="0015390B"/>
    <w:rsid w:val="001569A8"/>
    <w:rsid w:val="00157E05"/>
    <w:rsid w:val="00160404"/>
    <w:rsid w:val="00161298"/>
    <w:rsid w:val="001618A5"/>
    <w:rsid w:val="00162468"/>
    <w:rsid w:val="00163F01"/>
    <w:rsid w:val="00165095"/>
    <w:rsid w:val="00167010"/>
    <w:rsid w:val="00167760"/>
    <w:rsid w:val="00172590"/>
    <w:rsid w:val="001742B9"/>
    <w:rsid w:val="00177BEB"/>
    <w:rsid w:val="001800D2"/>
    <w:rsid w:val="001826F5"/>
    <w:rsid w:val="00183B03"/>
    <w:rsid w:val="00184AC8"/>
    <w:rsid w:val="00185E1F"/>
    <w:rsid w:val="0018682F"/>
    <w:rsid w:val="00191EC7"/>
    <w:rsid w:val="00194CEA"/>
    <w:rsid w:val="001A15B4"/>
    <w:rsid w:val="001A2239"/>
    <w:rsid w:val="001A233B"/>
    <w:rsid w:val="001A4260"/>
    <w:rsid w:val="001A5376"/>
    <w:rsid w:val="001A66F6"/>
    <w:rsid w:val="001A6705"/>
    <w:rsid w:val="001A73F8"/>
    <w:rsid w:val="001B5E1A"/>
    <w:rsid w:val="001C03A5"/>
    <w:rsid w:val="001C0D26"/>
    <w:rsid w:val="001C2E41"/>
    <w:rsid w:val="001C6E20"/>
    <w:rsid w:val="001C70F5"/>
    <w:rsid w:val="001C78F0"/>
    <w:rsid w:val="001D1284"/>
    <w:rsid w:val="001D253A"/>
    <w:rsid w:val="001D6C0F"/>
    <w:rsid w:val="001E0975"/>
    <w:rsid w:val="001E2DFA"/>
    <w:rsid w:val="001E3D3F"/>
    <w:rsid w:val="001E469C"/>
    <w:rsid w:val="001E4F3A"/>
    <w:rsid w:val="001E6FFD"/>
    <w:rsid w:val="001E78AB"/>
    <w:rsid w:val="001F3A81"/>
    <w:rsid w:val="001F4250"/>
    <w:rsid w:val="001F5EBB"/>
    <w:rsid w:val="001F678E"/>
    <w:rsid w:val="00201E27"/>
    <w:rsid w:val="00205B3B"/>
    <w:rsid w:val="0020750B"/>
    <w:rsid w:val="002076A8"/>
    <w:rsid w:val="00211B11"/>
    <w:rsid w:val="00224A32"/>
    <w:rsid w:val="00225089"/>
    <w:rsid w:val="00232411"/>
    <w:rsid w:val="00233261"/>
    <w:rsid w:val="00233AD3"/>
    <w:rsid w:val="00233D6C"/>
    <w:rsid w:val="00234229"/>
    <w:rsid w:val="00234787"/>
    <w:rsid w:val="002371CE"/>
    <w:rsid w:val="0024071D"/>
    <w:rsid w:val="00240AAC"/>
    <w:rsid w:val="0024227C"/>
    <w:rsid w:val="00245CA3"/>
    <w:rsid w:val="00246237"/>
    <w:rsid w:val="00247D91"/>
    <w:rsid w:val="00247FE5"/>
    <w:rsid w:val="00250E58"/>
    <w:rsid w:val="00250FD6"/>
    <w:rsid w:val="00251C15"/>
    <w:rsid w:val="00255AAD"/>
    <w:rsid w:val="002565BC"/>
    <w:rsid w:val="00256D9F"/>
    <w:rsid w:val="00261EAD"/>
    <w:rsid w:val="002634E0"/>
    <w:rsid w:val="00266F0F"/>
    <w:rsid w:val="00272584"/>
    <w:rsid w:val="00273DFB"/>
    <w:rsid w:val="00273FBE"/>
    <w:rsid w:val="0028210D"/>
    <w:rsid w:val="00282E3B"/>
    <w:rsid w:val="0028318C"/>
    <w:rsid w:val="00283B75"/>
    <w:rsid w:val="002845BF"/>
    <w:rsid w:val="002846F1"/>
    <w:rsid w:val="00285298"/>
    <w:rsid w:val="00285777"/>
    <w:rsid w:val="00286381"/>
    <w:rsid w:val="00292389"/>
    <w:rsid w:val="00292B1F"/>
    <w:rsid w:val="00293EEC"/>
    <w:rsid w:val="002A0E02"/>
    <w:rsid w:val="002A1A8B"/>
    <w:rsid w:val="002A2516"/>
    <w:rsid w:val="002A2908"/>
    <w:rsid w:val="002A2C88"/>
    <w:rsid w:val="002A2FC5"/>
    <w:rsid w:val="002A34B0"/>
    <w:rsid w:val="002A3F41"/>
    <w:rsid w:val="002A48A6"/>
    <w:rsid w:val="002A74A9"/>
    <w:rsid w:val="002A7988"/>
    <w:rsid w:val="002B122E"/>
    <w:rsid w:val="002B2313"/>
    <w:rsid w:val="002B26AD"/>
    <w:rsid w:val="002B55D6"/>
    <w:rsid w:val="002B5D4D"/>
    <w:rsid w:val="002B5EE9"/>
    <w:rsid w:val="002B734E"/>
    <w:rsid w:val="002B771E"/>
    <w:rsid w:val="002C1033"/>
    <w:rsid w:val="002C173F"/>
    <w:rsid w:val="002C1E4E"/>
    <w:rsid w:val="002C2FDF"/>
    <w:rsid w:val="002C3028"/>
    <w:rsid w:val="002C3BB8"/>
    <w:rsid w:val="002C6880"/>
    <w:rsid w:val="002D0DD9"/>
    <w:rsid w:val="002D2743"/>
    <w:rsid w:val="002D64A1"/>
    <w:rsid w:val="002D64AF"/>
    <w:rsid w:val="002D7FF4"/>
    <w:rsid w:val="002E1553"/>
    <w:rsid w:val="002E1E8C"/>
    <w:rsid w:val="002E5068"/>
    <w:rsid w:val="002E5931"/>
    <w:rsid w:val="002E6061"/>
    <w:rsid w:val="002E711E"/>
    <w:rsid w:val="002E77DC"/>
    <w:rsid w:val="002F09B5"/>
    <w:rsid w:val="002F347C"/>
    <w:rsid w:val="002F354C"/>
    <w:rsid w:val="002F377B"/>
    <w:rsid w:val="002F3A28"/>
    <w:rsid w:val="002F3D8E"/>
    <w:rsid w:val="002F48A3"/>
    <w:rsid w:val="002F49BE"/>
    <w:rsid w:val="002F4FFB"/>
    <w:rsid w:val="00300CAF"/>
    <w:rsid w:val="00301606"/>
    <w:rsid w:val="00302D6D"/>
    <w:rsid w:val="00303C45"/>
    <w:rsid w:val="00304A0F"/>
    <w:rsid w:val="00306771"/>
    <w:rsid w:val="0030776E"/>
    <w:rsid w:val="00312095"/>
    <w:rsid w:val="00312F99"/>
    <w:rsid w:val="00321173"/>
    <w:rsid w:val="00321E04"/>
    <w:rsid w:val="003222F2"/>
    <w:rsid w:val="0032527A"/>
    <w:rsid w:val="0033013B"/>
    <w:rsid w:val="00330FF4"/>
    <w:rsid w:val="003316DB"/>
    <w:rsid w:val="0033172C"/>
    <w:rsid w:val="00331D42"/>
    <w:rsid w:val="00335BBB"/>
    <w:rsid w:val="00335E24"/>
    <w:rsid w:val="00341F00"/>
    <w:rsid w:val="0034269F"/>
    <w:rsid w:val="00342C42"/>
    <w:rsid w:val="00343F7D"/>
    <w:rsid w:val="00355EF3"/>
    <w:rsid w:val="00356595"/>
    <w:rsid w:val="00357390"/>
    <w:rsid w:val="00357E2F"/>
    <w:rsid w:val="00362982"/>
    <w:rsid w:val="00362C3B"/>
    <w:rsid w:val="00362C42"/>
    <w:rsid w:val="003636A2"/>
    <w:rsid w:val="0036469A"/>
    <w:rsid w:val="00365E57"/>
    <w:rsid w:val="00367266"/>
    <w:rsid w:val="00367A15"/>
    <w:rsid w:val="00370364"/>
    <w:rsid w:val="003707CD"/>
    <w:rsid w:val="003732CD"/>
    <w:rsid w:val="00377D8A"/>
    <w:rsid w:val="00382DF9"/>
    <w:rsid w:val="00383B0F"/>
    <w:rsid w:val="00385B2B"/>
    <w:rsid w:val="003862CB"/>
    <w:rsid w:val="003868A1"/>
    <w:rsid w:val="0038772E"/>
    <w:rsid w:val="00387FF0"/>
    <w:rsid w:val="00390749"/>
    <w:rsid w:val="00393624"/>
    <w:rsid w:val="00393A41"/>
    <w:rsid w:val="003945F2"/>
    <w:rsid w:val="00395B48"/>
    <w:rsid w:val="003961D4"/>
    <w:rsid w:val="003A52A6"/>
    <w:rsid w:val="003A59C2"/>
    <w:rsid w:val="003A66FD"/>
    <w:rsid w:val="003A70B0"/>
    <w:rsid w:val="003A75A8"/>
    <w:rsid w:val="003B02EC"/>
    <w:rsid w:val="003B39BE"/>
    <w:rsid w:val="003B56DF"/>
    <w:rsid w:val="003B621C"/>
    <w:rsid w:val="003C1E70"/>
    <w:rsid w:val="003C20A8"/>
    <w:rsid w:val="003C3DE1"/>
    <w:rsid w:val="003C46F9"/>
    <w:rsid w:val="003C6FF1"/>
    <w:rsid w:val="003D0ECF"/>
    <w:rsid w:val="003E07F1"/>
    <w:rsid w:val="003E2CA2"/>
    <w:rsid w:val="003E4CD9"/>
    <w:rsid w:val="003E73C6"/>
    <w:rsid w:val="003E7B65"/>
    <w:rsid w:val="003E7D79"/>
    <w:rsid w:val="003F135F"/>
    <w:rsid w:val="003F303A"/>
    <w:rsid w:val="003F375C"/>
    <w:rsid w:val="003F3BFE"/>
    <w:rsid w:val="003F3F2F"/>
    <w:rsid w:val="003F3FAC"/>
    <w:rsid w:val="003F440F"/>
    <w:rsid w:val="003F4E0C"/>
    <w:rsid w:val="003F6F27"/>
    <w:rsid w:val="003F79C9"/>
    <w:rsid w:val="004018FC"/>
    <w:rsid w:val="00401B43"/>
    <w:rsid w:val="00402563"/>
    <w:rsid w:val="0040372C"/>
    <w:rsid w:val="00403B2B"/>
    <w:rsid w:val="00404EEE"/>
    <w:rsid w:val="0040579A"/>
    <w:rsid w:val="00406A74"/>
    <w:rsid w:val="004132D5"/>
    <w:rsid w:val="00414509"/>
    <w:rsid w:val="0041484F"/>
    <w:rsid w:val="00421697"/>
    <w:rsid w:val="00421824"/>
    <w:rsid w:val="00421984"/>
    <w:rsid w:val="00421D10"/>
    <w:rsid w:val="0042321C"/>
    <w:rsid w:val="00424549"/>
    <w:rsid w:val="00425B17"/>
    <w:rsid w:val="00426389"/>
    <w:rsid w:val="004303AA"/>
    <w:rsid w:val="00430525"/>
    <w:rsid w:val="004327FA"/>
    <w:rsid w:val="00432C72"/>
    <w:rsid w:val="004333BE"/>
    <w:rsid w:val="00437E9B"/>
    <w:rsid w:val="00444C45"/>
    <w:rsid w:val="00445563"/>
    <w:rsid w:val="00446751"/>
    <w:rsid w:val="0045339B"/>
    <w:rsid w:val="00453C1C"/>
    <w:rsid w:val="004544DE"/>
    <w:rsid w:val="004548EA"/>
    <w:rsid w:val="00457711"/>
    <w:rsid w:val="00463E61"/>
    <w:rsid w:val="00465752"/>
    <w:rsid w:val="0046604F"/>
    <w:rsid w:val="004678C9"/>
    <w:rsid w:val="00467E7F"/>
    <w:rsid w:val="0047120F"/>
    <w:rsid w:val="004728C8"/>
    <w:rsid w:val="00473116"/>
    <w:rsid w:val="00474424"/>
    <w:rsid w:val="004745C9"/>
    <w:rsid w:val="00480D6A"/>
    <w:rsid w:val="00482849"/>
    <w:rsid w:val="004829C2"/>
    <w:rsid w:val="00482BC2"/>
    <w:rsid w:val="004852BA"/>
    <w:rsid w:val="00486CD4"/>
    <w:rsid w:val="0048777E"/>
    <w:rsid w:val="00487CAD"/>
    <w:rsid w:val="00487DA6"/>
    <w:rsid w:val="00487E6C"/>
    <w:rsid w:val="00493229"/>
    <w:rsid w:val="00494B53"/>
    <w:rsid w:val="00495A64"/>
    <w:rsid w:val="00496CC6"/>
    <w:rsid w:val="004A1773"/>
    <w:rsid w:val="004A2A02"/>
    <w:rsid w:val="004A4617"/>
    <w:rsid w:val="004A46FA"/>
    <w:rsid w:val="004A4BF0"/>
    <w:rsid w:val="004B09B5"/>
    <w:rsid w:val="004B0B7E"/>
    <w:rsid w:val="004B15D1"/>
    <w:rsid w:val="004B1833"/>
    <w:rsid w:val="004B3B3D"/>
    <w:rsid w:val="004B4982"/>
    <w:rsid w:val="004B4F66"/>
    <w:rsid w:val="004B67D3"/>
    <w:rsid w:val="004B7EF0"/>
    <w:rsid w:val="004C0094"/>
    <w:rsid w:val="004C3F85"/>
    <w:rsid w:val="004C438E"/>
    <w:rsid w:val="004C59A5"/>
    <w:rsid w:val="004C705D"/>
    <w:rsid w:val="004D007A"/>
    <w:rsid w:val="004D1FCD"/>
    <w:rsid w:val="004D2189"/>
    <w:rsid w:val="004D29B1"/>
    <w:rsid w:val="004D335D"/>
    <w:rsid w:val="004E19F2"/>
    <w:rsid w:val="004E3E2F"/>
    <w:rsid w:val="004E54FD"/>
    <w:rsid w:val="004E5C9C"/>
    <w:rsid w:val="004E62D2"/>
    <w:rsid w:val="004E7CA1"/>
    <w:rsid w:val="004E7E9F"/>
    <w:rsid w:val="004F1E22"/>
    <w:rsid w:val="004F2F37"/>
    <w:rsid w:val="004F52D6"/>
    <w:rsid w:val="0050060F"/>
    <w:rsid w:val="00500A2D"/>
    <w:rsid w:val="00500C19"/>
    <w:rsid w:val="00501A14"/>
    <w:rsid w:val="00502DA1"/>
    <w:rsid w:val="005050F4"/>
    <w:rsid w:val="005131DB"/>
    <w:rsid w:val="005132DE"/>
    <w:rsid w:val="00517563"/>
    <w:rsid w:val="00522028"/>
    <w:rsid w:val="00522228"/>
    <w:rsid w:val="005224B7"/>
    <w:rsid w:val="005234CE"/>
    <w:rsid w:val="0052543A"/>
    <w:rsid w:val="00527F68"/>
    <w:rsid w:val="00532167"/>
    <w:rsid w:val="0053275B"/>
    <w:rsid w:val="00532E77"/>
    <w:rsid w:val="00534F3D"/>
    <w:rsid w:val="0053748F"/>
    <w:rsid w:val="005374E0"/>
    <w:rsid w:val="00544C89"/>
    <w:rsid w:val="0054517F"/>
    <w:rsid w:val="005471BA"/>
    <w:rsid w:val="00550444"/>
    <w:rsid w:val="0055045A"/>
    <w:rsid w:val="005531C9"/>
    <w:rsid w:val="0055411B"/>
    <w:rsid w:val="0055508F"/>
    <w:rsid w:val="00556166"/>
    <w:rsid w:val="00556646"/>
    <w:rsid w:val="00556EF7"/>
    <w:rsid w:val="0056033C"/>
    <w:rsid w:val="005620EC"/>
    <w:rsid w:val="005645FA"/>
    <w:rsid w:val="00566ECE"/>
    <w:rsid w:val="0057139C"/>
    <w:rsid w:val="00571A2A"/>
    <w:rsid w:val="00571D52"/>
    <w:rsid w:val="00573264"/>
    <w:rsid w:val="005774C0"/>
    <w:rsid w:val="005779B4"/>
    <w:rsid w:val="00580816"/>
    <w:rsid w:val="00584EAC"/>
    <w:rsid w:val="0058685E"/>
    <w:rsid w:val="00587F53"/>
    <w:rsid w:val="00592097"/>
    <w:rsid w:val="00593E84"/>
    <w:rsid w:val="00593FE6"/>
    <w:rsid w:val="005961F9"/>
    <w:rsid w:val="00596607"/>
    <w:rsid w:val="005A089C"/>
    <w:rsid w:val="005A1496"/>
    <w:rsid w:val="005A2719"/>
    <w:rsid w:val="005A3D75"/>
    <w:rsid w:val="005A51BE"/>
    <w:rsid w:val="005B00BF"/>
    <w:rsid w:val="005B1DED"/>
    <w:rsid w:val="005B6181"/>
    <w:rsid w:val="005C3BE3"/>
    <w:rsid w:val="005C4054"/>
    <w:rsid w:val="005D3648"/>
    <w:rsid w:val="005D3B68"/>
    <w:rsid w:val="005D42B0"/>
    <w:rsid w:val="005D442D"/>
    <w:rsid w:val="005D5280"/>
    <w:rsid w:val="005D76C5"/>
    <w:rsid w:val="005D76FE"/>
    <w:rsid w:val="005E04D4"/>
    <w:rsid w:val="005E223C"/>
    <w:rsid w:val="005E5A87"/>
    <w:rsid w:val="005E66D6"/>
    <w:rsid w:val="005E76C1"/>
    <w:rsid w:val="005E7888"/>
    <w:rsid w:val="005F3BFA"/>
    <w:rsid w:val="005F3F5F"/>
    <w:rsid w:val="005F5751"/>
    <w:rsid w:val="005F59CA"/>
    <w:rsid w:val="005F6AA2"/>
    <w:rsid w:val="005F77D2"/>
    <w:rsid w:val="005F78AF"/>
    <w:rsid w:val="0060001A"/>
    <w:rsid w:val="006002D8"/>
    <w:rsid w:val="006016E3"/>
    <w:rsid w:val="00602350"/>
    <w:rsid w:val="00602EB8"/>
    <w:rsid w:val="00603EA7"/>
    <w:rsid w:val="00604552"/>
    <w:rsid w:val="006046BE"/>
    <w:rsid w:val="00607476"/>
    <w:rsid w:val="00607C4C"/>
    <w:rsid w:val="00611762"/>
    <w:rsid w:val="00613219"/>
    <w:rsid w:val="00613DC1"/>
    <w:rsid w:val="0062003C"/>
    <w:rsid w:val="006220EC"/>
    <w:rsid w:val="00623865"/>
    <w:rsid w:val="00623CBE"/>
    <w:rsid w:val="00625583"/>
    <w:rsid w:val="00627D13"/>
    <w:rsid w:val="00631C23"/>
    <w:rsid w:val="006341B9"/>
    <w:rsid w:val="00634302"/>
    <w:rsid w:val="00634574"/>
    <w:rsid w:val="00634909"/>
    <w:rsid w:val="0063702E"/>
    <w:rsid w:val="0063737C"/>
    <w:rsid w:val="00640EA3"/>
    <w:rsid w:val="00644F3F"/>
    <w:rsid w:val="00652885"/>
    <w:rsid w:val="00657811"/>
    <w:rsid w:val="0066006D"/>
    <w:rsid w:val="0066029E"/>
    <w:rsid w:val="00660400"/>
    <w:rsid w:val="0066047A"/>
    <w:rsid w:val="00664B85"/>
    <w:rsid w:val="00667F8D"/>
    <w:rsid w:val="00670535"/>
    <w:rsid w:val="0067089C"/>
    <w:rsid w:val="00670B60"/>
    <w:rsid w:val="006728EC"/>
    <w:rsid w:val="006736E4"/>
    <w:rsid w:val="00674C4E"/>
    <w:rsid w:val="006756B4"/>
    <w:rsid w:val="0067716B"/>
    <w:rsid w:val="00683589"/>
    <w:rsid w:val="00683BAB"/>
    <w:rsid w:val="00684840"/>
    <w:rsid w:val="00686F06"/>
    <w:rsid w:val="00690C68"/>
    <w:rsid w:val="00693FE2"/>
    <w:rsid w:val="00694F52"/>
    <w:rsid w:val="0069654F"/>
    <w:rsid w:val="00696D2E"/>
    <w:rsid w:val="006A0D08"/>
    <w:rsid w:val="006A1F4C"/>
    <w:rsid w:val="006A3B0A"/>
    <w:rsid w:val="006A4869"/>
    <w:rsid w:val="006A4E1D"/>
    <w:rsid w:val="006A52A6"/>
    <w:rsid w:val="006A771D"/>
    <w:rsid w:val="006A787E"/>
    <w:rsid w:val="006A78C4"/>
    <w:rsid w:val="006A7B2D"/>
    <w:rsid w:val="006A7D5F"/>
    <w:rsid w:val="006B1007"/>
    <w:rsid w:val="006B28C5"/>
    <w:rsid w:val="006B4106"/>
    <w:rsid w:val="006C1442"/>
    <w:rsid w:val="006C1B16"/>
    <w:rsid w:val="006C3615"/>
    <w:rsid w:val="006C5F3B"/>
    <w:rsid w:val="006C655C"/>
    <w:rsid w:val="006C760C"/>
    <w:rsid w:val="006D076E"/>
    <w:rsid w:val="006D0A8C"/>
    <w:rsid w:val="006D5163"/>
    <w:rsid w:val="006F2263"/>
    <w:rsid w:val="006F3307"/>
    <w:rsid w:val="006F5AF6"/>
    <w:rsid w:val="00700619"/>
    <w:rsid w:val="00701C0D"/>
    <w:rsid w:val="00703538"/>
    <w:rsid w:val="00704E52"/>
    <w:rsid w:val="00706C80"/>
    <w:rsid w:val="00707F31"/>
    <w:rsid w:val="007119C2"/>
    <w:rsid w:val="00714216"/>
    <w:rsid w:val="00714C00"/>
    <w:rsid w:val="007202FC"/>
    <w:rsid w:val="00723449"/>
    <w:rsid w:val="00725173"/>
    <w:rsid w:val="00725ECF"/>
    <w:rsid w:val="00726BA2"/>
    <w:rsid w:val="0073215D"/>
    <w:rsid w:val="00732538"/>
    <w:rsid w:val="007333B8"/>
    <w:rsid w:val="00734BC7"/>
    <w:rsid w:val="00735237"/>
    <w:rsid w:val="0073647B"/>
    <w:rsid w:val="00737153"/>
    <w:rsid w:val="00737CAB"/>
    <w:rsid w:val="007407E5"/>
    <w:rsid w:val="00740922"/>
    <w:rsid w:val="00741A1A"/>
    <w:rsid w:val="0074235A"/>
    <w:rsid w:val="00743D82"/>
    <w:rsid w:val="0074460E"/>
    <w:rsid w:val="00747295"/>
    <w:rsid w:val="00750281"/>
    <w:rsid w:val="00750F54"/>
    <w:rsid w:val="00751A93"/>
    <w:rsid w:val="007537B8"/>
    <w:rsid w:val="007607AE"/>
    <w:rsid w:val="00762CF0"/>
    <w:rsid w:val="00763B40"/>
    <w:rsid w:val="0077523B"/>
    <w:rsid w:val="00777862"/>
    <w:rsid w:val="0077799F"/>
    <w:rsid w:val="00777AAC"/>
    <w:rsid w:val="00781A80"/>
    <w:rsid w:val="00782113"/>
    <w:rsid w:val="007855BE"/>
    <w:rsid w:val="00786B60"/>
    <w:rsid w:val="0079067D"/>
    <w:rsid w:val="00790B69"/>
    <w:rsid w:val="00790F34"/>
    <w:rsid w:val="00791CB9"/>
    <w:rsid w:val="00792F6F"/>
    <w:rsid w:val="007941B6"/>
    <w:rsid w:val="007A0A93"/>
    <w:rsid w:val="007A0D59"/>
    <w:rsid w:val="007A5627"/>
    <w:rsid w:val="007A61B6"/>
    <w:rsid w:val="007A70F4"/>
    <w:rsid w:val="007A7830"/>
    <w:rsid w:val="007B1577"/>
    <w:rsid w:val="007B33CD"/>
    <w:rsid w:val="007B5010"/>
    <w:rsid w:val="007C0A2C"/>
    <w:rsid w:val="007C1E35"/>
    <w:rsid w:val="007C2061"/>
    <w:rsid w:val="007C3FE0"/>
    <w:rsid w:val="007C4532"/>
    <w:rsid w:val="007C4AF5"/>
    <w:rsid w:val="007C5955"/>
    <w:rsid w:val="007D042B"/>
    <w:rsid w:val="007D2A9B"/>
    <w:rsid w:val="007D2C4E"/>
    <w:rsid w:val="007D308C"/>
    <w:rsid w:val="007D494F"/>
    <w:rsid w:val="007D53EA"/>
    <w:rsid w:val="007D5A71"/>
    <w:rsid w:val="007D7847"/>
    <w:rsid w:val="007E0935"/>
    <w:rsid w:val="007E1CA4"/>
    <w:rsid w:val="007E4CD0"/>
    <w:rsid w:val="007E6A26"/>
    <w:rsid w:val="007E7BA4"/>
    <w:rsid w:val="007F113D"/>
    <w:rsid w:val="007F21D7"/>
    <w:rsid w:val="007F37C3"/>
    <w:rsid w:val="007F3BD0"/>
    <w:rsid w:val="007F5EA9"/>
    <w:rsid w:val="007F64AA"/>
    <w:rsid w:val="007F77B9"/>
    <w:rsid w:val="007F7C8E"/>
    <w:rsid w:val="00801B2C"/>
    <w:rsid w:val="00802B1E"/>
    <w:rsid w:val="00803193"/>
    <w:rsid w:val="0080477D"/>
    <w:rsid w:val="008055E3"/>
    <w:rsid w:val="00813F31"/>
    <w:rsid w:val="00815210"/>
    <w:rsid w:val="00815E51"/>
    <w:rsid w:val="00826DB3"/>
    <w:rsid w:val="008330F7"/>
    <w:rsid w:val="008335CF"/>
    <w:rsid w:val="00834DED"/>
    <w:rsid w:val="00836324"/>
    <w:rsid w:val="00842070"/>
    <w:rsid w:val="0084214D"/>
    <w:rsid w:val="0084397A"/>
    <w:rsid w:val="00844251"/>
    <w:rsid w:val="00844F59"/>
    <w:rsid w:val="00847125"/>
    <w:rsid w:val="008472BE"/>
    <w:rsid w:val="008476CA"/>
    <w:rsid w:val="00850EA4"/>
    <w:rsid w:val="00853298"/>
    <w:rsid w:val="00853671"/>
    <w:rsid w:val="008545AC"/>
    <w:rsid w:val="00855D4B"/>
    <w:rsid w:val="00856905"/>
    <w:rsid w:val="00861116"/>
    <w:rsid w:val="00862F43"/>
    <w:rsid w:val="00865B4D"/>
    <w:rsid w:val="0086698E"/>
    <w:rsid w:val="00873803"/>
    <w:rsid w:val="008744F5"/>
    <w:rsid w:val="008748CD"/>
    <w:rsid w:val="00882640"/>
    <w:rsid w:val="00885350"/>
    <w:rsid w:val="008874CE"/>
    <w:rsid w:val="00893BB6"/>
    <w:rsid w:val="0089468C"/>
    <w:rsid w:val="00895841"/>
    <w:rsid w:val="0089621C"/>
    <w:rsid w:val="008964D3"/>
    <w:rsid w:val="008A2434"/>
    <w:rsid w:val="008A2865"/>
    <w:rsid w:val="008B0ADD"/>
    <w:rsid w:val="008B2331"/>
    <w:rsid w:val="008B2A8D"/>
    <w:rsid w:val="008B39A1"/>
    <w:rsid w:val="008B4088"/>
    <w:rsid w:val="008B4B70"/>
    <w:rsid w:val="008B5519"/>
    <w:rsid w:val="008B69FA"/>
    <w:rsid w:val="008B6F8C"/>
    <w:rsid w:val="008B76C1"/>
    <w:rsid w:val="008C0E9D"/>
    <w:rsid w:val="008C11A2"/>
    <w:rsid w:val="008C17A8"/>
    <w:rsid w:val="008C1AD6"/>
    <w:rsid w:val="008C1B5C"/>
    <w:rsid w:val="008C1D44"/>
    <w:rsid w:val="008C3A3C"/>
    <w:rsid w:val="008C5CF7"/>
    <w:rsid w:val="008C5FB5"/>
    <w:rsid w:val="008C7D42"/>
    <w:rsid w:val="008C7DBF"/>
    <w:rsid w:val="008D0862"/>
    <w:rsid w:val="008D1C67"/>
    <w:rsid w:val="008D2901"/>
    <w:rsid w:val="008D2E8B"/>
    <w:rsid w:val="008D39F9"/>
    <w:rsid w:val="008D3ABE"/>
    <w:rsid w:val="008D6100"/>
    <w:rsid w:val="008D647F"/>
    <w:rsid w:val="008D6825"/>
    <w:rsid w:val="008D77C3"/>
    <w:rsid w:val="008E0722"/>
    <w:rsid w:val="008E3B84"/>
    <w:rsid w:val="008E411A"/>
    <w:rsid w:val="008E4785"/>
    <w:rsid w:val="008E5D9E"/>
    <w:rsid w:val="008E76CD"/>
    <w:rsid w:val="008E7ED0"/>
    <w:rsid w:val="008F0740"/>
    <w:rsid w:val="008F0D00"/>
    <w:rsid w:val="008F3168"/>
    <w:rsid w:val="008F34EF"/>
    <w:rsid w:val="00900811"/>
    <w:rsid w:val="00900BBC"/>
    <w:rsid w:val="009027B8"/>
    <w:rsid w:val="00904C2E"/>
    <w:rsid w:val="00906556"/>
    <w:rsid w:val="00906CCF"/>
    <w:rsid w:val="00906E01"/>
    <w:rsid w:val="00907A18"/>
    <w:rsid w:val="00910448"/>
    <w:rsid w:val="0091066C"/>
    <w:rsid w:val="00911DE8"/>
    <w:rsid w:val="00916EA1"/>
    <w:rsid w:val="0091772B"/>
    <w:rsid w:val="009208DC"/>
    <w:rsid w:val="00921F03"/>
    <w:rsid w:val="00923359"/>
    <w:rsid w:val="00923EDD"/>
    <w:rsid w:val="00924955"/>
    <w:rsid w:val="009267BD"/>
    <w:rsid w:val="009269C6"/>
    <w:rsid w:val="009278C3"/>
    <w:rsid w:val="00927B2A"/>
    <w:rsid w:val="00930C0D"/>
    <w:rsid w:val="00933CE0"/>
    <w:rsid w:val="00934DC0"/>
    <w:rsid w:val="00936496"/>
    <w:rsid w:val="009401B3"/>
    <w:rsid w:val="00941D20"/>
    <w:rsid w:val="009421D7"/>
    <w:rsid w:val="00942526"/>
    <w:rsid w:val="009436A9"/>
    <w:rsid w:val="00944C23"/>
    <w:rsid w:val="00946768"/>
    <w:rsid w:val="00946D9E"/>
    <w:rsid w:val="00950195"/>
    <w:rsid w:val="00950291"/>
    <w:rsid w:val="00951511"/>
    <w:rsid w:val="009526DD"/>
    <w:rsid w:val="00953AA4"/>
    <w:rsid w:val="00954547"/>
    <w:rsid w:val="009555CC"/>
    <w:rsid w:val="00955FEE"/>
    <w:rsid w:val="00957C91"/>
    <w:rsid w:val="00961889"/>
    <w:rsid w:val="00963FC7"/>
    <w:rsid w:val="00970866"/>
    <w:rsid w:val="009732A8"/>
    <w:rsid w:val="00977F7F"/>
    <w:rsid w:val="00980A53"/>
    <w:rsid w:val="00981231"/>
    <w:rsid w:val="009817F1"/>
    <w:rsid w:val="00981880"/>
    <w:rsid w:val="00981AAB"/>
    <w:rsid w:val="00981B2C"/>
    <w:rsid w:val="00982738"/>
    <w:rsid w:val="00982DF7"/>
    <w:rsid w:val="009872BD"/>
    <w:rsid w:val="00990728"/>
    <w:rsid w:val="009921A5"/>
    <w:rsid w:val="00992504"/>
    <w:rsid w:val="009945A8"/>
    <w:rsid w:val="009A00AD"/>
    <w:rsid w:val="009A3541"/>
    <w:rsid w:val="009B0F0A"/>
    <w:rsid w:val="009B1BEA"/>
    <w:rsid w:val="009B408C"/>
    <w:rsid w:val="009B54F6"/>
    <w:rsid w:val="009B65F0"/>
    <w:rsid w:val="009B68A2"/>
    <w:rsid w:val="009B6A86"/>
    <w:rsid w:val="009B70D5"/>
    <w:rsid w:val="009C386E"/>
    <w:rsid w:val="009C6115"/>
    <w:rsid w:val="009C7759"/>
    <w:rsid w:val="009D0E74"/>
    <w:rsid w:val="009D15A5"/>
    <w:rsid w:val="009D1929"/>
    <w:rsid w:val="009D5392"/>
    <w:rsid w:val="009D557E"/>
    <w:rsid w:val="009D6B8A"/>
    <w:rsid w:val="009D75DB"/>
    <w:rsid w:val="009E3087"/>
    <w:rsid w:val="009E40DF"/>
    <w:rsid w:val="009E5823"/>
    <w:rsid w:val="009F150D"/>
    <w:rsid w:val="009F1BFF"/>
    <w:rsid w:val="009F2A8B"/>
    <w:rsid w:val="009F4155"/>
    <w:rsid w:val="00A00F15"/>
    <w:rsid w:val="00A04E63"/>
    <w:rsid w:val="00A06A2E"/>
    <w:rsid w:val="00A105CE"/>
    <w:rsid w:val="00A113AF"/>
    <w:rsid w:val="00A12959"/>
    <w:rsid w:val="00A16C23"/>
    <w:rsid w:val="00A20EF7"/>
    <w:rsid w:val="00A23070"/>
    <w:rsid w:val="00A2591D"/>
    <w:rsid w:val="00A2653B"/>
    <w:rsid w:val="00A27B12"/>
    <w:rsid w:val="00A3033C"/>
    <w:rsid w:val="00A32199"/>
    <w:rsid w:val="00A32B3B"/>
    <w:rsid w:val="00A36A0B"/>
    <w:rsid w:val="00A43003"/>
    <w:rsid w:val="00A43F18"/>
    <w:rsid w:val="00A4440A"/>
    <w:rsid w:val="00A444C6"/>
    <w:rsid w:val="00A523AE"/>
    <w:rsid w:val="00A52F48"/>
    <w:rsid w:val="00A55A61"/>
    <w:rsid w:val="00A562C9"/>
    <w:rsid w:val="00A567D3"/>
    <w:rsid w:val="00A56FA5"/>
    <w:rsid w:val="00A57506"/>
    <w:rsid w:val="00A57B2C"/>
    <w:rsid w:val="00A607C2"/>
    <w:rsid w:val="00A61250"/>
    <w:rsid w:val="00A6152F"/>
    <w:rsid w:val="00A654A1"/>
    <w:rsid w:val="00A67DA3"/>
    <w:rsid w:val="00A70D38"/>
    <w:rsid w:val="00A71471"/>
    <w:rsid w:val="00A71CA6"/>
    <w:rsid w:val="00A7300C"/>
    <w:rsid w:val="00A748CE"/>
    <w:rsid w:val="00A75AFD"/>
    <w:rsid w:val="00A75D07"/>
    <w:rsid w:val="00A763AE"/>
    <w:rsid w:val="00A771CA"/>
    <w:rsid w:val="00A77AD0"/>
    <w:rsid w:val="00A801BE"/>
    <w:rsid w:val="00A801BF"/>
    <w:rsid w:val="00A812F5"/>
    <w:rsid w:val="00A840D2"/>
    <w:rsid w:val="00A86876"/>
    <w:rsid w:val="00A907F9"/>
    <w:rsid w:val="00A91078"/>
    <w:rsid w:val="00A927C2"/>
    <w:rsid w:val="00A92E4A"/>
    <w:rsid w:val="00A93D6F"/>
    <w:rsid w:val="00A94DA6"/>
    <w:rsid w:val="00A96405"/>
    <w:rsid w:val="00A96B75"/>
    <w:rsid w:val="00A96D6B"/>
    <w:rsid w:val="00AA095F"/>
    <w:rsid w:val="00AA1B9E"/>
    <w:rsid w:val="00AA7ED3"/>
    <w:rsid w:val="00AB07AD"/>
    <w:rsid w:val="00AB3F38"/>
    <w:rsid w:val="00AB60DD"/>
    <w:rsid w:val="00AB6CAF"/>
    <w:rsid w:val="00AC2CA3"/>
    <w:rsid w:val="00AC346C"/>
    <w:rsid w:val="00AC3C28"/>
    <w:rsid w:val="00AC4182"/>
    <w:rsid w:val="00AD6296"/>
    <w:rsid w:val="00AD654E"/>
    <w:rsid w:val="00AD700F"/>
    <w:rsid w:val="00AD7EE2"/>
    <w:rsid w:val="00AE1504"/>
    <w:rsid w:val="00AE34DA"/>
    <w:rsid w:val="00AE50C2"/>
    <w:rsid w:val="00AE7A62"/>
    <w:rsid w:val="00AE7E60"/>
    <w:rsid w:val="00AF0602"/>
    <w:rsid w:val="00AF1A1B"/>
    <w:rsid w:val="00AF354D"/>
    <w:rsid w:val="00AF3FEB"/>
    <w:rsid w:val="00AF56D0"/>
    <w:rsid w:val="00B00552"/>
    <w:rsid w:val="00B0088E"/>
    <w:rsid w:val="00B012D5"/>
    <w:rsid w:val="00B01FA7"/>
    <w:rsid w:val="00B02ACB"/>
    <w:rsid w:val="00B03AA0"/>
    <w:rsid w:val="00B05FF4"/>
    <w:rsid w:val="00B066DF"/>
    <w:rsid w:val="00B06902"/>
    <w:rsid w:val="00B10451"/>
    <w:rsid w:val="00B1153F"/>
    <w:rsid w:val="00B1338A"/>
    <w:rsid w:val="00B13846"/>
    <w:rsid w:val="00B14FA0"/>
    <w:rsid w:val="00B16B41"/>
    <w:rsid w:val="00B16D6C"/>
    <w:rsid w:val="00B174B9"/>
    <w:rsid w:val="00B20737"/>
    <w:rsid w:val="00B20B3E"/>
    <w:rsid w:val="00B2418A"/>
    <w:rsid w:val="00B24E49"/>
    <w:rsid w:val="00B250E4"/>
    <w:rsid w:val="00B2668A"/>
    <w:rsid w:val="00B30931"/>
    <w:rsid w:val="00B30AF8"/>
    <w:rsid w:val="00B30F7B"/>
    <w:rsid w:val="00B33943"/>
    <w:rsid w:val="00B33E4A"/>
    <w:rsid w:val="00B347D9"/>
    <w:rsid w:val="00B34997"/>
    <w:rsid w:val="00B364CC"/>
    <w:rsid w:val="00B424DD"/>
    <w:rsid w:val="00B430C4"/>
    <w:rsid w:val="00B43C4A"/>
    <w:rsid w:val="00B4557D"/>
    <w:rsid w:val="00B51C5F"/>
    <w:rsid w:val="00B53164"/>
    <w:rsid w:val="00B5555D"/>
    <w:rsid w:val="00B572A3"/>
    <w:rsid w:val="00B57C3D"/>
    <w:rsid w:val="00B60F31"/>
    <w:rsid w:val="00B62DA1"/>
    <w:rsid w:val="00B6525F"/>
    <w:rsid w:val="00B6600E"/>
    <w:rsid w:val="00B73783"/>
    <w:rsid w:val="00B73F76"/>
    <w:rsid w:val="00B73F8D"/>
    <w:rsid w:val="00B74926"/>
    <w:rsid w:val="00B76015"/>
    <w:rsid w:val="00B76908"/>
    <w:rsid w:val="00B76F28"/>
    <w:rsid w:val="00B80F5C"/>
    <w:rsid w:val="00B83C55"/>
    <w:rsid w:val="00B845F9"/>
    <w:rsid w:val="00B84AD6"/>
    <w:rsid w:val="00B86391"/>
    <w:rsid w:val="00B9179C"/>
    <w:rsid w:val="00B92381"/>
    <w:rsid w:val="00B92399"/>
    <w:rsid w:val="00B92FB8"/>
    <w:rsid w:val="00B9408E"/>
    <w:rsid w:val="00B9426A"/>
    <w:rsid w:val="00BA192F"/>
    <w:rsid w:val="00BA2A4E"/>
    <w:rsid w:val="00BA3806"/>
    <w:rsid w:val="00BA442C"/>
    <w:rsid w:val="00BA51B8"/>
    <w:rsid w:val="00BA5982"/>
    <w:rsid w:val="00BB035D"/>
    <w:rsid w:val="00BB0F9A"/>
    <w:rsid w:val="00BB14B0"/>
    <w:rsid w:val="00BB2270"/>
    <w:rsid w:val="00BC0373"/>
    <w:rsid w:val="00BC0477"/>
    <w:rsid w:val="00BC1E7E"/>
    <w:rsid w:val="00BC57B4"/>
    <w:rsid w:val="00BC6004"/>
    <w:rsid w:val="00BC6DB2"/>
    <w:rsid w:val="00BC71EC"/>
    <w:rsid w:val="00BC76FA"/>
    <w:rsid w:val="00BC7DEF"/>
    <w:rsid w:val="00BD0FEE"/>
    <w:rsid w:val="00BD2B26"/>
    <w:rsid w:val="00BD32F3"/>
    <w:rsid w:val="00BD3F72"/>
    <w:rsid w:val="00BD4408"/>
    <w:rsid w:val="00BD6B53"/>
    <w:rsid w:val="00BD7053"/>
    <w:rsid w:val="00BD7A7B"/>
    <w:rsid w:val="00BE21B4"/>
    <w:rsid w:val="00BE23D4"/>
    <w:rsid w:val="00BE2FC2"/>
    <w:rsid w:val="00BE7F9D"/>
    <w:rsid w:val="00BF239E"/>
    <w:rsid w:val="00BF3C87"/>
    <w:rsid w:val="00BF5ABA"/>
    <w:rsid w:val="00BF6994"/>
    <w:rsid w:val="00C04A39"/>
    <w:rsid w:val="00C07A80"/>
    <w:rsid w:val="00C13EAA"/>
    <w:rsid w:val="00C1408A"/>
    <w:rsid w:val="00C148A3"/>
    <w:rsid w:val="00C17929"/>
    <w:rsid w:val="00C17E10"/>
    <w:rsid w:val="00C17FCB"/>
    <w:rsid w:val="00C23C17"/>
    <w:rsid w:val="00C24C41"/>
    <w:rsid w:val="00C25017"/>
    <w:rsid w:val="00C263C8"/>
    <w:rsid w:val="00C26733"/>
    <w:rsid w:val="00C26CC3"/>
    <w:rsid w:val="00C301C7"/>
    <w:rsid w:val="00C32953"/>
    <w:rsid w:val="00C36765"/>
    <w:rsid w:val="00C369F9"/>
    <w:rsid w:val="00C37998"/>
    <w:rsid w:val="00C42A10"/>
    <w:rsid w:val="00C42DB8"/>
    <w:rsid w:val="00C43297"/>
    <w:rsid w:val="00C43B54"/>
    <w:rsid w:val="00C4481E"/>
    <w:rsid w:val="00C45C16"/>
    <w:rsid w:val="00C466C6"/>
    <w:rsid w:val="00C46FED"/>
    <w:rsid w:val="00C517AC"/>
    <w:rsid w:val="00C51CAF"/>
    <w:rsid w:val="00C5202E"/>
    <w:rsid w:val="00C544DD"/>
    <w:rsid w:val="00C54E7F"/>
    <w:rsid w:val="00C56359"/>
    <w:rsid w:val="00C60A5C"/>
    <w:rsid w:val="00C616C4"/>
    <w:rsid w:val="00C622C8"/>
    <w:rsid w:val="00C6339F"/>
    <w:rsid w:val="00C64EA5"/>
    <w:rsid w:val="00C66571"/>
    <w:rsid w:val="00C675E3"/>
    <w:rsid w:val="00C71985"/>
    <w:rsid w:val="00C727B5"/>
    <w:rsid w:val="00C729D4"/>
    <w:rsid w:val="00C72C59"/>
    <w:rsid w:val="00C7405B"/>
    <w:rsid w:val="00C767E4"/>
    <w:rsid w:val="00C8087A"/>
    <w:rsid w:val="00C80F1F"/>
    <w:rsid w:val="00C832EF"/>
    <w:rsid w:val="00C8522E"/>
    <w:rsid w:val="00C869C5"/>
    <w:rsid w:val="00C900D6"/>
    <w:rsid w:val="00C90354"/>
    <w:rsid w:val="00C91DFE"/>
    <w:rsid w:val="00C91E07"/>
    <w:rsid w:val="00C934DE"/>
    <w:rsid w:val="00C944AE"/>
    <w:rsid w:val="00C97F8C"/>
    <w:rsid w:val="00CA0B71"/>
    <w:rsid w:val="00CA1F17"/>
    <w:rsid w:val="00CA2588"/>
    <w:rsid w:val="00CA3178"/>
    <w:rsid w:val="00CA41D2"/>
    <w:rsid w:val="00CA447F"/>
    <w:rsid w:val="00CA594D"/>
    <w:rsid w:val="00CA698F"/>
    <w:rsid w:val="00CA78B1"/>
    <w:rsid w:val="00CB07B5"/>
    <w:rsid w:val="00CB3852"/>
    <w:rsid w:val="00CB42FF"/>
    <w:rsid w:val="00CB549E"/>
    <w:rsid w:val="00CB5BDA"/>
    <w:rsid w:val="00CB64BD"/>
    <w:rsid w:val="00CC1240"/>
    <w:rsid w:val="00CC18F4"/>
    <w:rsid w:val="00CC37B7"/>
    <w:rsid w:val="00CC3863"/>
    <w:rsid w:val="00CC3871"/>
    <w:rsid w:val="00CC40CD"/>
    <w:rsid w:val="00CC47A0"/>
    <w:rsid w:val="00CC4C31"/>
    <w:rsid w:val="00CD0A4F"/>
    <w:rsid w:val="00CD147C"/>
    <w:rsid w:val="00CD59D1"/>
    <w:rsid w:val="00CE0DC4"/>
    <w:rsid w:val="00CE1C21"/>
    <w:rsid w:val="00CE3A8B"/>
    <w:rsid w:val="00CE3CEB"/>
    <w:rsid w:val="00CE497E"/>
    <w:rsid w:val="00CE6963"/>
    <w:rsid w:val="00CE71FD"/>
    <w:rsid w:val="00CF0E10"/>
    <w:rsid w:val="00CF2175"/>
    <w:rsid w:val="00CF2215"/>
    <w:rsid w:val="00CF2E13"/>
    <w:rsid w:val="00CF635C"/>
    <w:rsid w:val="00CF6BA0"/>
    <w:rsid w:val="00CF6D3F"/>
    <w:rsid w:val="00D026EA"/>
    <w:rsid w:val="00D03180"/>
    <w:rsid w:val="00D03BBC"/>
    <w:rsid w:val="00D055A3"/>
    <w:rsid w:val="00D10199"/>
    <w:rsid w:val="00D226C9"/>
    <w:rsid w:val="00D24633"/>
    <w:rsid w:val="00D250BA"/>
    <w:rsid w:val="00D262E9"/>
    <w:rsid w:val="00D3064D"/>
    <w:rsid w:val="00D31BA9"/>
    <w:rsid w:val="00D3750D"/>
    <w:rsid w:val="00D4243E"/>
    <w:rsid w:val="00D43D61"/>
    <w:rsid w:val="00D43E62"/>
    <w:rsid w:val="00D44FC5"/>
    <w:rsid w:val="00D46835"/>
    <w:rsid w:val="00D50B24"/>
    <w:rsid w:val="00D6028B"/>
    <w:rsid w:val="00D608AC"/>
    <w:rsid w:val="00D61676"/>
    <w:rsid w:val="00D6281E"/>
    <w:rsid w:val="00D643C8"/>
    <w:rsid w:val="00D659FF"/>
    <w:rsid w:val="00D67E58"/>
    <w:rsid w:val="00D705F9"/>
    <w:rsid w:val="00D73C59"/>
    <w:rsid w:val="00D76526"/>
    <w:rsid w:val="00D7798A"/>
    <w:rsid w:val="00D83395"/>
    <w:rsid w:val="00D84250"/>
    <w:rsid w:val="00D84287"/>
    <w:rsid w:val="00D85328"/>
    <w:rsid w:val="00D87AFB"/>
    <w:rsid w:val="00D90BD1"/>
    <w:rsid w:val="00D9110D"/>
    <w:rsid w:val="00D9165F"/>
    <w:rsid w:val="00D9175E"/>
    <w:rsid w:val="00D9295C"/>
    <w:rsid w:val="00D9346F"/>
    <w:rsid w:val="00D939E4"/>
    <w:rsid w:val="00D95761"/>
    <w:rsid w:val="00D9663E"/>
    <w:rsid w:val="00D966C5"/>
    <w:rsid w:val="00D9730D"/>
    <w:rsid w:val="00DA0499"/>
    <w:rsid w:val="00DA07EF"/>
    <w:rsid w:val="00DA0A60"/>
    <w:rsid w:val="00DA1D7E"/>
    <w:rsid w:val="00DA2696"/>
    <w:rsid w:val="00DA28D7"/>
    <w:rsid w:val="00DA71F7"/>
    <w:rsid w:val="00DB45BB"/>
    <w:rsid w:val="00DB476A"/>
    <w:rsid w:val="00DB5EA2"/>
    <w:rsid w:val="00DB6795"/>
    <w:rsid w:val="00DB6C9D"/>
    <w:rsid w:val="00DB7989"/>
    <w:rsid w:val="00DC1B81"/>
    <w:rsid w:val="00DC235F"/>
    <w:rsid w:val="00DC3D60"/>
    <w:rsid w:val="00DC4DA1"/>
    <w:rsid w:val="00DC6BAB"/>
    <w:rsid w:val="00DD1472"/>
    <w:rsid w:val="00DD1DA3"/>
    <w:rsid w:val="00DD2D06"/>
    <w:rsid w:val="00DD46FA"/>
    <w:rsid w:val="00DD5207"/>
    <w:rsid w:val="00DD7209"/>
    <w:rsid w:val="00DE086B"/>
    <w:rsid w:val="00DE51C4"/>
    <w:rsid w:val="00DE7FA3"/>
    <w:rsid w:val="00DF456F"/>
    <w:rsid w:val="00DF5B0F"/>
    <w:rsid w:val="00DF71FC"/>
    <w:rsid w:val="00E02553"/>
    <w:rsid w:val="00E04183"/>
    <w:rsid w:val="00E042F4"/>
    <w:rsid w:val="00E06DED"/>
    <w:rsid w:val="00E07793"/>
    <w:rsid w:val="00E07913"/>
    <w:rsid w:val="00E11BE4"/>
    <w:rsid w:val="00E14102"/>
    <w:rsid w:val="00E1427C"/>
    <w:rsid w:val="00E14595"/>
    <w:rsid w:val="00E14FE9"/>
    <w:rsid w:val="00E15F5C"/>
    <w:rsid w:val="00E21846"/>
    <w:rsid w:val="00E21C71"/>
    <w:rsid w:val="00E225EB"/>
    <w:rsid w:val="00E22E94"/>
    <w:rsid w:val="00E24575"/>
    <w:rsid w:val="00E246AB"/>
    <w:rsid w:val="00E25E02"/>
    <w:rsid w:val="00E26818"/>
    <w:rsid w:val="00E3411C"/>
    <w:rsid w:val="00E36F6C"/>
    <w:rsid w:val="00E40AEF"/>
    <w:rsid w:val="00E40B11"/>
    <w:rsid w:val="00E42617"/>
    <w:rsid w:val="00E44068"/>
    <w:rsid w:val="00E54069"/>
    <w:rsid w:val="00E541CA"/>
    <w:rsid w:val="00E54394"/>
    <w:rsid w:val="00E618ED"/>
    <w:rsid w:val="00E61A98"/>
    <w:rsid w:val="00E61DC8"/>
    <w:rsid w:val="00E63746"/>
    <w:rsid w:val="00E656C6"/>
    <w:rsid w:val="00E664C9"/>
    <w:rsid w:val="00E66D91"/>
    <w:rsid w:val="00E66F30"/>
    <w:rsid w:val="00E7053F"/>
    <w:rsid w:val="00E71862"/>
    <w:rsid w:val="00E71E61"/>
    <w:rsid w:val="00E72218"/>
    <w:rsid w:val="00E73797"/>
    <w:rsid w:val="00E73B9E"/>
    <w:rsid w:val="00E74A00"/>
    <w:rsid w:val="00E7588A"/>
    <w:rsid w:val="00E82CC5"/>
    <w:rsid w:val="00E872B4"/>
    <w:rsid w:val="00E87AEE"/>
    <w:rsid w:val="00E9101C"/>
    <w:rsid w:val="00E9322F"/>
    <w:rsid w:val="00E94CD1"/>
    <w:rsid w:val="00EA10AF"/>
    <w:rsid w:val="00EA1C82"/>
    <w:rsid w:val="00EA349C"/>
    <w:rsid w:val="00EA6E99"/>
    <w:rsid w:val="00EA746F"/>
    <w:rsid w:val="00EB2A00"/>
    <w:rsid w:val="00EB5407"/>
    <w:rsid w:val="00EB54C8"/>
    <w:rsid w:val="00EB6A5F"/>
    <w:rsid w:val="00EC1046"/>
    <w:rsid w:val="00EC11A7"/>
    <w:rsid w:val="00EC1BE9"/>
    <w:rsid w:val="00EC36CB"/>
    <w:rsid w:val="00EC4582"/>
    <w:rsid w:val="00ED1BF4"/>
    <w:rsid w:val="00ED397F"/>
    <w:rsid w:val="00ED3ACB"/>
    <w:rsid w:val="00ED61C8"/>
    <w:rsid w:val="00ED75F7"/>
    <w:rsid w:val="00EE0FC9"/>
    <w:rsid w:val="00EE18F9"/>
    <w:rsid w:val="00EE1921"/>
    <w:rsid w:val="00EE4516"/>
    <w:rsid w:val="00EE4AE6"/>
    <w:rsid w:val="00EE6876"/>
    <w:rsid w:val="00EE776C"/>
    <w:rsid w:val="00EF003F"/>
    <w:rsid w:val="00EF1078"/>
    <w:rsid w:val="00EF27D0"/>
    <w:rsid w:val="00EF3A59"/>
    <w:rsid w:val="00EF560F"/>
    <w:rsid w:val="00F01C05"/>
    <w:rsid w:val="00F03A9D"/>
    <w:rsid w:val="00F055F0"/>
    <w:rsid w:val="00F07FD3"/>
    <w:rsid w:val="00F119FD"/>
    <w:rsid w:val="00F1299B"/>
    <w:rsid w:val="00F13221"/>
    <w:rsid w:val="00F14054"/>
    <w:rsid w:val="00F17185"/>
    <w:rsid w:val="00F2149F"/>
    <w:rsid w:val="00F22556"/>
    <w:rsid w:val="00F2296B"/>
    <w:rsid w:val="00F23AEE"/>
    <w:rsid w:val="00F258B3"/>
    <w:rsid w:val="00F25CF3"/>
    <w:rsid w:val="00F272A4"/>
    <w:rsid w:val="00F30448"/>
    <w:rsid w:val="00F3127C"/>
    <w:rsid w:val="00F34233"/>
    <w:rsid w:val="00F352AA"/>
    <w:rsid w:val="00F35419"/>
    <w:rsid w:val="00F3710D"/>
    <w:rsid w:val="00F37874"/>
    <w:rsid w:val="00F416ED"/>
    <w:rsid w:val="00F41893"/>
    <w:rsid w:val="00F44D2F"/>
    <w:rsid w:val="00F521CB"/>
    <w:rsid w:val="00F52BB2"/>
    <w:rsid w:val="00F625CD"/>
    <w:rsid w:val="00F62A11"/>
    <w:rsid w:val="00F62C33"/>
    <w:rsid w:val="00F63640"/>
    <w:rsid w:val="00F64D78"/>
    <w:rsid w:val="00F65A3A"/>
    <w:rsid w:val="00F67E4A"/>
    <w:rsid w:val="00F7177D"/>
    <w:rsid w:val="00F742D3"/>
    <w:rsid w:val="00F75C93"/>
    <w:rsid w:val="00F7645B"/>
    <w:rsid w:val="00F77E7B"/>
    <w:rsid w:val="00F80D28"/>
    <w:rsid w:val="00F81939"/>
    <w:rsid w:val="00F84EA8"/>
    <w:rsid w:val="00F8548B"/>
    <w:rsid w:val="00F85EBD"/>
    <w:rsid w:val="00F872D3"/>
    <w:rsid w:val="00F877FB"/>
    <w:rsid w:val="00F932BF"/>
    <w:rsid w:val="00F944FC"/>
    <w:rsid w:val="00F96498"/>
    <w:rsid w:val="00F96DA4"/>
    <w:rsid w:val="00FA238A"/>
    <w:rsid w:val="00FA27D3"/>
    <w:rsid w:val="00FA49F3"/>
    <w:rsid w:val="00FA4DCE"/>
    <w:rsid w:val="00FA52A8"/>
    <w:rsid w:val="00FA5D46"/>
    <w:rsid w:val="00FB0C45"/>
    <w:rsid w:val="00FB0FFA"/>
    <w:rsid w:val="00FB420A"/>
    <w:rsid w:val="00FB6A4D"/>
    <w:rsid w:val="00FB740B"/>
    <w:rsid w:val="00FC0A21"/>
    <w:rsid w:val="00FC15D2"/>
    <w:rsid w:val="00FC21C3"/>
    <w:rsid w:val="00FC2AC3"/>
    <w:rsid w:val="00FC3B5D"/>
    <w:rsid w:val="00FD19AA"/>
    <w:rsid w:val="00FD19DC"/>
    <w:rsid w:val="00FD31CE"/>
    <w:rsid w:val="00FD4370"/>
    <w:rsid w:val="00FD47BB"/>
    <w:rsid w:val="00FD4F11"/>
    <w:rsid w:val="00FD548F"/>
    <w:rsid w:val="00FD6341"/>
    <w:rsid w:val="00FD6C1D"/>
    <w:rsid w:val="00FE674C"/>
    <w:rsid w:val="00FE72AE"/>
    <w:rsid w:val="00FF0446"/>
    <w:rsid w:val="00FF32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1537"/>
    <o:shapelayout v:ext="edit">
      <o:idmap v:ext="edit" data="1"/>
    </o:shapelayout>
  </w:shapeDefaults>
  <w:decimalSymbol w:val="."/>
  <w:listSeparator w:val=","/>
  <w14:docId w14:val="4DEB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iPriority="2"/>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5D4B"/>
    <w:pPr>
      <w:spacing w:after="240" w:line="276" w:lineRule="auto"/>
    </w:pPr>
    <w:rPr>
      <w:rFonts w:ascii="Arial" w:hAnsi="Arial"/>
      <w:sz w:val="22"/>
    </w:rPr>
  </w:style>
  <w:style w:type="paragraph" w:styleId="Heading1">
    <w:name w:val="heading 1"/>
    <w:basedOn w:val="Normal"/>
    <w:next w:val="Normal"/>
    <w:link w:val="Heading1Char"/>
    <w:qFormat/>
    <w:rsid w:val="00855D4B"/>
    <w:pPr>
      <w:keepNext/>
      <w:numPr>
        <w:numId w:val="28"/>
      </w:numPr>
      <w:spacing w:before="240" w:after="360" w:line="600" w:lineRule="exact"/>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790F34"/>
    <w:pPr>
      <w:numPr>
        <w:ilvl w:val="1"/>
      </w:numPr>
      <w:pBdr>
        <w:top w:val="single" w:sz="12" w:space="3" w:color="31A7D4" w:themeColor="accent1"/>
        <w:bottom w:val="single" w:sz="12" w:space="3" w:color="31A7D4" w:themeColor="accent1"/>
      </w:pBdr>
      <w:spacing w:before="300" w:line="240" w:lineRule="auto"/>
      <w:ind w:left="992" w:hanging="992"/>
      <w:outlineLvl w:val="1"/>
    </w:pPr>
    <w:rPr>
      <w:sz w:val="40"/>
    </w:rPr>
  </w:style>
  <w:style w:type="paragraph" w:styleId="Heading3">
    <w:name w:val="heading 3"/>
    <w:basedOn w:val="Normal"/>
    <w:next w:val="Normal"/>
    <w:link w:val="Heading3Char"/>
    <w:unhideWhenUsed/>
    <w:qFormat/>
    <w:rsid w:val="00855D4B"/>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855D4B"/>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855D4B"/>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2F347C"/>
    <w:pPr>
      <w:numPr>
        <w:ilvl w:val="5"/>
        <w:numId w:val="15"/>
      </w:numPr>
      <w:spacing w:after="120"/>
      <w:outlineLvl w:val="5"/>
    </w:pPr>
    <w:rPr>
      <w:bCs/>
      <w:sz w:val="22"/>
      <w:szCs w:val="22"/>
    </w:rPr>
  </w:style>
  <w:style w:type="paragraph" w:styleId="Heading7">
    <w:name w:val="heading 7"/>
    <w:basedOn w:val="HeadingBase"/>
    <w:next w:val="Normal"/>
    <w:semiHidden/>
    <w:rsid w:val="002F347C"/>
    <w:pPr>
      <w:numPr>
        <w:ilvl w:val="6"/>
        <w:numId w:val="15"/>
      </w:numPr>
      <w:spacing w:after="120"/>
      <w:outlineLvl w:val="6"/>
    </w:pPr>
    <w:rPr>
      <w:szCs w:val="24"/>
    </w:rPr>
  </w:style>
  <w:style w:type="paragraph" w:styleId="Heading8">
    <w:name w:val="heading 8"/>
    <w:basedOn w:val="HeadingBase"/>
    <w:next w:val="Normal"/>
    <w:semiHidden/>
    <w:rsid w:val="002F347C"/>
    <w:pPr>
      <w:numPr>
        <w:ilvl w:val="7"/>
        <w:numId w:val="15"/>
      </w:numPr>
      <w:spacing w:before="60" w:after="60"/>
      <w:jc w:val="center"/>
      <w:outlineLvl w:val="7"/>
    </w:pPr>
    <w:rPr>
      <w:iCs/>
      <w:smallCaps/>
      <w:sz w:val="22"/>
      <w:szCs w:val="24"/>
    </w:rPr>
  </w:style>
  <w:style w:type="paragraph" w:styleId="Heading9">
    <w:name w:val="heading 9"/>
    <w:basedOn w:val="HeadingBase"/>
    <w:next w:val="Normal"/>
    <w:semiHidden/>
    <w:rsid w:val="002F347C"/>
    <w:pPr>
      <w:numPr>
        <w:ilvl w:val="8"/>
        <w:numId w:val="15"/>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2F347C"/>
    <w:pPr>
      <w:spacing w:after="0"/>
    </w:pPr>
  </w:style>
  <w:style w:type="character" w:styleId="Hyperlink">
    <w:name w:val="Hyperlink"/>
    <w:basedOn w:val="DefaultParagraphFont"/>
    <w:uiPriority w:val="99"/>
    <w:unhideWhenUsed/>
    <w:rsid w:val="002F347C"/>
    <w:rPr>
      <w:color w:val="31A7D4" w:themeColor="text2"/>
      <w:u w:val="none"/>
    </w:rPr>
  </w:style>
  <w:style w:type="character" w:customStyle="1" w:styleId="BoldandItalic">
    <w:name w:val="Bold and Italic"/>
    <w:basedOn w:val="DefaultParagraphFont"/>
    <w:rsid w:val="002F347C"/>
    <w:rPr>
      <w:rFonts w:ascii="Calibri" w:hAnsi="Calibri"/>
      <w:b/>
      <w:i/>
    </w:rPr>
  </w:style>
  <w:style w:type="table" w:styleId="TableGrid">
    <w:name w:val="Table Grid"/>
    <w:basedOn w:val="TableNormal"/>
    <w:uiPriority w:val="59"/>
    <w:rsid w:val="00855D4B"/>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3B56DF"/>
    <w:pPr>
      <w:spacing w:before="40" w:after="40"/>
    </w:pPr>
    <w:rPr>
      <w:b/>
      <w:color w:val="FFFFFF" w:themeColor="background1"/>
      <w:sz w:val="20"/>
    </w:rPr>
  </w:style>
  <w:style w:type="paragraph" w:styleId="FootnoteText">
    <w:name w:val="footnote text"/>
    <w:basedOn w:val="Normal"/>
    <w:link w:val="FootnoteTextChar"/>
    <w:uiPriority w:val="99"/>
    <w:rsid w:val="00855D4B"/>
    <w:pPr>
      <w:spacing w:before="40" w:after="0" w:line="240" w:lineRule="auto"/>
      <w:ind w:left="426" w:hanging="426"/>
    </w:pPr>
    <w:rPr>
      <w:sz w:val="18"/>
    </w:rPr>
  </w:style>
  <w:style w:type="paragraph" w:customStyle="1" w:styleId="Dash">
    <w:name w:val="Dash"/>
    <w:basedOn w:val="Normal"/>
    <w:link w:val="DashChar"/>
    <w:rsid w:val="00855D4B"/>
    <w:pPr>
      <w:numPr>
        <w:ilvl w:val="1"/>
        <w:numId w:val="22"/>
      </w:numPr>
      <w:spacing w:before="120" w:after="120" w:line="240" w:lineRule="auto"/>
    </w:pPr>
    <w:rPr>
      <w:color w:val="000000" w:themeColor="text1"/>
    </w:rPr>
  </w:style>
  <w:style w:type="paragraph" w:customStyle="1" w:styleId="DoubleDot">
    <w:name w:val="Double Dot"/>
    <w:basedOn w:val="Normal"/>
    <w:rsid w:val="00855D4B"/>
    <w:pPr>
      <w:numPr>
        <w:ilvl w:val="2"/>
        <w:numId w:val="22"/>
      </w:numPr>
      <w:spacing w:before="120" w:after="120" w:line="240" w:lineRule="auto"/>
    </w:pPr>
    <w:rPr>
      <w:color w:val="000000" w:themeColor="text1"/>
    </w:rPr>
  </w:style>
  <w:style w:type="paragraph" w:customStyle="1" w:styleId="OutlineNumbered1">
    <w:name w:val="Outline Numbered 1"/>
    <w:basedOn w:val="Normal"/>
    <w:uiPriority w:val="2"/>
    <w:rsid w:val="002F347C"/>
    <w:pPr>
      <w:numPr>
        <w:numId w:val="2"/>
      </w:numPr>
      <w:spacing w:line="280" w:lineRule="exact"/>
      <w:jc w:val="both"/>
    </w:pPr>
  </w:style>
  <w:style w:type="paragraph" w:customStyle="1" w:styleId="OutlineNumbered2">
    <w:name w:val="Outline Numbered 2"/>
    <w:basedOn w:val="Normal"/>
    <w:uiPriority w:val="2"/>
    <w:rsid w:val="002F347C"/>
    <w:pPr>
      <w:numPr>
        <w:ilvl w:val="1"/>
        <w:numId w:val="9"/>
      </w:numPr>
      <w:spacing w:line="280" w:lineRule="exact"/>
      <w:jc w:val="both"/>
    </w:pPr>
  </w:style>
  <w:style w:type="paragraph" w:customStyle="1" w:styleId="AlphaParagraph">
    <w:name w:val="Alpha Paragraph"/>
    <w:basedOn w:val="Normal"/>
    <w:uiPriority w:val="1"/>
    <w:rsid w:val="002F347C"/>
    <w:pPr>
      <w:numPr>
        <w:numId w:val="3"/>
      </w:numPr>
    </w:pPr>
  </w:style>
  <w:style w:type="paragraph" w:customStyle="1" w:styleId="HeadingBase">
    <w:name w:val="Heading Base"/>
    <w:next w:val="Normal"/>
    <w:rsid w:val="002F347C"/>
    <w:pPr>
      <w:keepNext/>
    </w:pPr>
    <w:rPr>
      <w:rFonts w:ascii="Calibri" w:hAnsi="Calibri"/>
      <w:color w:val="31A7D4" w:themeColor="accent1"/>
    </w:rPr>
  </w:style>
  <w:style w:type="paragraph" w:customStyle="1" w:styleId="AppendixHeading">
    <w:name w:val="Appendix Heading"/>
    <w:basedOn w:val="HeadingBase"/>
    <w:next w:val="Normal"/>
    <w:rsid w:val="002F347C"/>
    <w:pPr>
      <w:spacing w:before="720" w:after="360"/>
      <w:outlineLvl w:val="0"/>
    </w:pPr>
    <w:rPr>
      <w:b/>
      <w:smallCaps/>
      <w:sz w:val="36"/>
      <w:szCs w:val="36"/>
    </w:rPr>
  </w:style>
  <w:style w:type="character" w:customStyle="1" w:styleId="Bold">
    <w:name w:val="Bold"/>
    <w:basedOn w:val="DefaultParagraphFont"/>
    <w:rsid w:val="002F347C"/>
    <w:rPr>
      <w:b/>
    </w:rPr>
  </w:style>
  <w:style w:type="paragraph" w:customStyle="1" w:styleId="BoxHeading">
    <w:name w:val="Box Heading"/>
    <w:basedOn w:val="Caption"/>
    <w:next w:val="BoxText"/>
    <w:unhideWhenUsed/>
    <w:rsid w:val="00855D4B"/>
    <w:rPr>
      <w:sz w:val="28"/>
      <w:szCs w:val="28"/>
    </w:rPr>
  </w:style>
  <w:style w:type="paragraph" w:customStyle="1" w:styleId="BoxTextBase">
    <w:name w:val="Box Text Base"/>
    <w:basedOn w:val="Normal"/>
    <w:unhideWhenUsed/>
    <w:rsid w:val="00855D4B"/>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855D4B"/>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855D4B"/>
    <w:pPr>
      <w:keepNext/>
      <w:spacing w:after="0" w:line="240" w:lineRule="auto"/>
      <w:jc w:val="center"/>
    </w:pPr>
    <w:rPr>
      <w:color w:val="636363" w:themeColor="accent2"/>
    </w:rPr>
  </w:style>
  <w:style w:type="paragraph" w:customStyle="1" w:styleId="ChartMainHeading">
    <w:name w:val="Chart Main Heading"/>
    <w:basedOn w:val="Caption"/>
    <w:next w:val="ChartGraphic"/>
    <w:rsid w:val="00855D4B"/>
    <w:pPr>
      <w:keepNext/>
      <w:spacing w:before="120" w:after="60"/>
      <w:jc w:val="center"/>
    </w:pPr>
    <w:rPr>
      <w:sz w:val="20"/>
      <w:szCs w:val="20"/>
    </w:rPr>
  </w:style>
  <w:style w:type="paragraph" w:customStyle="1" w:styleId="ChartorTableNote">
    <w:name w:val="Chart or Table Note"/>
    <w:next w:val="Normal"/>
    <w:rsid w:val="00556646"/>
    <w:rPr>
      <w:rFonts w:ascii="Arial" w:hAnsi="Arial"/>
      <w:color w:val="000000"/>
      <w:sz w:val="18"/>
    </w:rPr>
  </w:style>
  <w:style w:type="paragraph" w:customStyle="1" w:styleId="ChartSecondHeading">
    <w:name w:val="Chart Second Heading"/>
    <w:basedOn w:val="HeadingBase"/>
    <w:next w:val="ChartGraphic"/>
    <w:rsid w:val="002F347C"/>
    <w:pPr>
      <w:spacing w:after="20"/>
      <w:jc w:val="center"/>
    </w:pPr>
  </w:style>
  <w:style w:type="paragraph" w:customStyle="1" w:styleId="Classification">
    <w:name w:val="Classification"/>
    <w:basedOn w:val="HeadingBase"/>
    <w:next w:val="Footer"/>
    <w:semiHidden/>
    <w:rsid w:val="002F347C"/>
    <w:pPr>
      <w:spacing w:after="120"/>
      <w:jc w:val="center"/>
    </w:pPr>
    <w:rPr>
      <w:b/>
      <w:smallCaps/>
    </w:rPr>
  </w:style>
  <w:style w:type="paragraph" w:styleId="Footer">
    <w:name w:val="footer"/>
    <w:basedOn w:val="Normal"/>
    <w:link w:val="FooterChar"/>
    <w:uiPriority w:val="99"/>
    <w:unhideWhenUsed/>
    <w:rsid w:val="00855D4B"/>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2F347C"/>
    <w:pPr>
      <w:spacing w:after="360"/>
      <w:jc w:val="center"/>
    </w:pPr>
    <w:rPr>
      <w:smallCaps/>
      <w:sz w:val="40"/>
      <w:szCs w:val="36"/>
    </w:rPr>
  </w:style>
  <w:style w:type="paragraph" w:customStyle="1" w:styleId="CoverTitleMain">
    <w:name w:val="Cover Title Main"/>
    <w:basedOn w:val="HeadingBase"/>
    <w:next w:val="Normal"/>
    <w:uiPriority w:val="2"/>
    <w:rsid w:val="002F347C"/>
    <w:pPr>
      <w:spacing w:before="720" w:after="480"/>
    </w:pPr>
    <w:rPr>
      <w:b/>
      <w:caps/>
      <w:sz w:val="48"/>
    </w:rPr>
  </w:style>
  <w:style w:type="paragraph" w:customStyle="1" w:styleId="CoverTitleSub">
    <w:name w:val="Cover Title Sub"/>
    <w:basedOn w:val="HeadingBase"/>
    <w:uiPriority w:val="2"/>
    <w:rsid w:val="002F347C"/>
    <w:pPr>
      <w:pBdr>
        <w:top w:val="single" w:sz="4" w:space="1" w:color="009976"/>
      </w:pBdr>
      <w:spacing w:after="360"/>
      <w:jc w:val="right"/>
    </w:pPr>
    <w:rPr>
      <w:sz w:val="36"/>
    </w:rPr>
  </w:style>
  <w:style w:type="paragraph" w:customStyle="1" w:styleId="FooterCentered">
    <w:name w:val="Footer Centered"/>
    <w:basedOn w:val="Footer"/>
    <w:unhideWhenUsed/>
    <w:rsid w:val="002F347C"/>
    <w:pPr>
      <w:jc w:val="center"/>
    </w:pPr>
  </w:style>
  <w:style w:type="paragraph" w:customStyle="1" w:styleId="FooterEven">
    <w:name w:val="Footer Even"/>
    <w:basedOn w:val="Footer"/>
    <w:unhideWhenUsed/>
    <w:rsid w:val="00714216"/>
  </w:style>
  <w:style w:type="paragraph" w:customStyle="1" w:styleId="FooterOdd">
    <w:name w:val="Footer Odd"/>
    <w:basedOn w:val="Footer"/>
    <w:unhideWhenUsed/>
    <w:rsid w:val="00714216"/>
  </w:style>
  <w:style w:type="character" w:customStyle="1" w:styleId="FramedFooter">
    <w:name w:val="Framed Footer"/>
    <w:semiHidden/>
    <w:rsid w:val="002F347C"/>
    <w:rPr>
      <w:rFonts w:ascii="Arial" w:hAnsi="Arial"/>
      <w:color w:val="31A7D4" w:themeColor="accent1"/>
      <w:sz w:val="18"/>
    </w:rPr>
  </w:style>
  <w:style w:type="character" w:customStyle="1" w:styleId="FramedHeader">
    <w:name w:val="Framed Header"/>
    <w:basedOn w:val="DefaultParagraphFont"/>
    <w:semiHidden/>
    <w:rsid w:val="002F347C"/>
    <w:rPr>
      <w:rFonts w:ascii="Arial" w:hAnsi="Arial"/>
      <w:dstrike w:val="0"/>
      <w:color w:val="31A7D4" w:themeColor="accent1"/>
      <w:sz w:val="18"/>
      <w:vertAlign w:val="baseline"/>
    </w:rPr>
  </w:style>
  <w:style w:type="paragraph" w:styleId="Header">
    <w:name w:val="header"/>
    <w:basedOn w:val="Normal"/>
    <w:link w:val="HeaderChar"/>
    <w:uiPriority w:val="99"/>
    <w:unhideWhenUsed/>
    <w:rsid w:val="00855D4B"/>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714216"/>
    <w:pPr>
      <w:jc w:val="left"/>
    </w:pPr>
  </w:style>
  <w:style w:type="paragraph" w:customStyle="1" w:styleId="HeaderOdd">
    <w:name w:val="Header Odd"/>
    <w:basedOn w:val="Header"/>
    <w:rsid w:val="00714216"/>
  </w:style>
  <w:style w:type="paragraph" w:styleId="NormalIndent">
    <w:name w:val="Normal Indent"/>
    <w:basedOn w:val="Normal"/>
    <w:semiHidden/>
    <w:rsid w:val="002F347C"/>
    <w:pPr>
      <w:ind w:left="567"/>
    </w:pPr>
    <w:rPr>
      <w:i/>
    </w:rPr>
  </w:style>
  <w:style w:type="paragraph" w:customStyle="1" w:styleId="Questionheading">
    <w:name w:val="Question heading"/>
    <w:basedOn w:val="Normal"/>
    <w:qFormat/>
    <w:rsid w:val="00855D4B"/>
    <w:pPr>
      <w:spacing w:before="80" w:line="240" w:lineRule="auto"/>
    </w:pPr>
    <w:rPr>
      <w:b/>
      <w:color w:val="31A7D4" w:themeColor="accent1"/>
      <w:sz w:val="28"/>
      <w:szCs w:val="28"/>
    </w:rPr>
  </w:style>
  <w:style w:type="paragraph" w:customStyle="1" w:styleId="RecommendationTextBase">
    <w:name w:val="Recommendation Text Base"/>
    <w:basedOn w:val="Normal"/>
    <w:rsid w:val="002F347C"/>
    <w:pPr>
      <w:spacing w:after="120"/>
    </w:pPr>
  </w:style>
  <w:style w:type="paragraph" w:customStyle="1" w:styleId="Questiontext">
    <w:name w:val="Question text"/>
    <w:basedOn w:val="ListParagraph"/>
    <w:qFormat/>
    <w:rsid w:val="002D64AF"/>
    <w:pPr>
      <w:numPr>
        <w:numId w:val="24"/>
      </w:numPr>
      <w:spacing w:after="120" w:line="240" w:lineRule="auto"/>
      <w:contextualSpacing w:val="0"/>
    </w:pPr>
    <w:rPr>
      <w:rFonts w:cstheme="minorBidi"/>
      <w:color w:val="000000" w:themeColor="text1"/>
      <w:szCs w:val="22"/>
      <w:lang w:eastAsia="en-US"/>
    </w:rPr>
  </w:style>
  <w:style w:type="paragraph" w:customStyle="1" w:styleId="TableTextBase">
    <w:name w:val="Table Text Base"/>
    <w:uiPriority w:val="1"/>
    <w:unhideWhenUsed/>
    <w:rsid w:val="00855D4B"/>
    <w:pPr>
      <w:spacing w:before="40" w:after="40"/>
    </w:pPr>
    <w:rPr>
      <w:rFonts w:ascii="Arial" w:hAnsi="Arial"/>
      <w:color w:val="31A7D4" w:themeColor="accent1"/>
    </w:rPr>
  </w:style>
  <w:style w:type="paragraph" w:customStyle="1" w:styleId="TableColumnHeadingCentred">
    <w:name w:val="Table Column Heading Centred"/>
    <w:basedOn w:val="TableColumnHeadingBase"/>
    <w:uiPriority w:val="1"/>
    <w:unhideWhenUsed/>
    <w:rsid w:val="002F347C"/>
    <w:pPr>
      <w:jc w:val="center"/>
    </w:pPr>
  </w:style>
  <w:style w:type="paragraph" w:customStyle="1" w:styleId="TableColumnHeadingLeft">
    <w:name w:val="Table Column Heading Left"/>
    <w:basedOn w:val="TableColumnHeadingBase"/>
    <w:uiPriority w:val="1"/>
    <w:unhideWhenUsed/>
    <w:rsid w:val="002F347C"/>
  </w:style>
  <w:style w:type="paragraph" w:customStyle="1" w:styleId="TableColumnHeadingRight">
    <w:name w:val="Table Column Heading Right"/>
    <w:basedOn w:val="TableColumnHeadingBase"/>
    <w:uiPriority w:val="1"/>
    <w:unhideWhenUsed/>
    <w:rsid w:val="002F347C"/>
    <w:pPr>
      <w:jc w:val="right"/>
    </w:pPr>
  </w:style>
  <w:style w:type="paragraph" w:customStyle="1" w:styleId="TableGraphic">
    <w:name w:val="Table Graphic"/>
    <w:basedOn w:val="Normal"/>
    <w:next w:val="Normal"/>
    <w:rsid w:val="00855D4B"/>
    <w:pPr>
      <w:keepNext/>
      <w:spacing w:after="0" w:line="240" w:lineRule="auto"/>
    </w:pPr>
    <w:rPr>
      <w:color w:val="636363" w:themeColor="accent2"/>
    </w:rPr>
  </w:style>
  <w:style w:type="paragraph" w:customStyle="1" w:styleId="TableMainHeading">
    <w:name w:val="Table Main Heading"/>
    <w:basedOn w:val="Normal"/>
    <w:next w:val="Normal"/>
    <w:uiPriority w:val="1"/>
    <w:rsid w:val="00855D4B"/>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2F347C"/>
    <w:pPr>
      <w:pageBreakBefore/>
      <w:spacing w:after="20"/>
    </w:pPr>
    <w:rPr>
      <w:b/>
      <w:sz w:val="22"/>
    </w:rPr>
  </w:style>
  <w:style w:type="paragraph" w:customStyle="1" w:styleId="TableSecondHeading">
    <w:name w:val="Table Second Heading"/>
    <w:basedOn w:val="HeadingBase"/>
    <w:next w:val="TableGraphic"/>
    <w:uiPriority w:val="1"/>
    <w:unhideWhenUsed/>
    <w:rsid w:val="002F347C"/>
    <w:pPr>
      <w:spacing w:after="20"/>
    </w:pPr>
  </w:style>
  <w:style w:type="paragraph" w:customStyle="1" w:styleId="TableTextCentered">
    <w:name w:val="Table Text Centered"/>
    <w:basedOn w:val="TableTextBase"/>
    <w:uiPriority w:val="1"/>
    <w:unhideWhenUsed/>
    <w:rsid w:val="002F347C"/>
    <w:pPr>
      <w:jc w:val="center"/>
    </w:pPr>
  </w:style>
  <w:style w:type="paragraph" w:customStyle="1" w:styleId="TableTextIndented">
    <w:name w:val="Table Text Indented"/>
    <w:basedOn w:val="TableTextBase"/>
    <w:uiPriority w:val="1"/>
    <w:unhideWhenUsed/>
    <w:rsid w:val="002F347C"/>
    <w:pPr>
      <w:ind w:left="284"/>
    </w:pPr>
  </w:style>
  <w:style w:type="paragraph" w:customStyle="1" w:styleId="TableTextLeft">
    <w:name w:val="Table Text Left"/>
    <w:basedOn w:val="Normal"/>
    <w:rsid w:val="00855D4B"/>
    <w:pPr>
      <w:spacing w:before="60" w:after="60"/>
    </w:pPr>
    <w:rPr>
      <w:sz w:val="20"/>
    </w:rPr>
  </w:style>
  <w:style w:type="paragraph" w:customStyle="1" w:styleId="TableTextRight">
    <w:name w:val="Table Text Right"/>
    <w:basedOn w:val="TableTextBase"/>
    <w:uiPriority w:val="1"/>
    <w:unhideWhenUsed/>
    <w:rsid w:val="002F347C"/>
    <w:pPr>
      <w:jc w:val="right"/>
    </w:pPr>
  </w:style>
  <w:style w:type="paragraph" w:styleId="TOC1">
    <w:name w:val="toc 1"/>
    <w:basedOn w:val="HeadingBase"/>
    <w:next w:val="Normal"/>
    <w:uiPriority w:val="39"/>
    <w:rsid w:val="002F347C"/>
    <w:pPr>
      <w:tabs>
        <w:tab w:val="left" w:pos="284"/>
        <w:tab w:val="left" w:pos="567"/>
        <w:tab w:val="right" w:leader="dot" w:pos="9072"/>
      </w:tabs>
      <w:spacing w:before="180" w:after="60"/>
      <w:ind w:left="284" w:right="851" w:hanging="284"/>
    </w:pPr>
    <w:rPr>
      <w:caps/>
      <w:sz w:val="24"/>
      <w:szCs w:val="22"/>
    </w:rPr>
  </w:style>
  <w:style w:type="paragraph" w:styleId="TOC2">
    <w:name w:val="toc 2"/>
    <w:basedOn w:val="Normal"/>
    <w:next w:val="Normal"/>
    <w:uiPriority w:val="39"/>
    <w:rsid w:val="0069654F"/>
    <w:pPr>
      <w:numPr>
        <w:numId w:val="1"/>
      </w:num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2F347C"/>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2F347C"/>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2F347C"/>
    <w:rPr>
      <w:i/>
    </w:rPr>
  </w:style>
  <w:style w:type="paragraph" w:customStyle="1" w:styleId="OneLevelNumberedParagraph">
    <w:name w:val="One Level Numbered Paragraph"/>
    <w:basedOn w:val="Normal"/>
    <w:semiHidden/>
    <w:rsid w:val="002F347C"/>
    <w:pPr>
      <w:numPr>
        <w:numId w:val="6"/>
      </w:numPr>
    </w:pPr>
  </w:style>
  <w:style w:type="paragraph" w:customStyle="1" w:styleId="BoxText">
    <w:name w:val="Box Text"/>
    <w:basedOn w:val="BoxTextBase"/>
    <w:unhideWhenUsed/>
    <w:rsid w:val="00790F34"/>
    <w:pPr>
      <w:shd w:val="clear" w:color="auto" w:fill="auto"/>
      <w:spacing w:after="120" w:line="264" w:lineRule="auto"/>
    </w:pPr>
  </w:style>
  <w:style w:type="paragraph" w:customStyle="1" w:styleId="BoxBullet">
    <w:name w:val="Box Bullet"/>
    <w:basedOn w:val="BoxTextBase"/>
    <w:unhideWhenUsed/>
    <w:rsid w:val="00855D4B"/>
    <w:pPr>
      <w:numPr>
        <w:numId w:val="5"/>
      </w:numPr>
      <w:shd w:val="clear" w:color="auto" w:fill="auto"/>
    </w:pPr>
  </w:style>
  <w:style w:type="paragraph" w:customStyle="1" w:styleId="BoxDash">
    <w:name w:val="Box Dash"/>
    <w:basedOn w:val="BoxTextBase"/>
    <w:unhideWhenUsed/>
    <w:rsid w:val="00855D4B"/>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855D4B"/>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2F347C"/>
    <w:pPr>
      <w:numPr>
        <w:numId w:val="7"/>
      </w:numPr>
    </w:pPr>
  </w:style>
  <w:style w:type="paragraph" w:customStyle="1" w:styleId="RecommendationDash">
    <w:name w:val="Recommendation Dash"/>
    <w:basedOn w:val="RecommendationTextBase"/>
    <w:rsid w:val="002F347C"/>
    <w:pPr>
      <w:numPr>
        <w:ilvl w:val="1"/>
        <w:numId w:val="7"/>
      </w:numPr>
    </w:pPr>
  </w:style>
  <w:style w:type="paragraph" w:customStyle="1" w:styleId="RecommendationDoubleDot">
    <w:name w:val="Recommendation Double Dot"/>
    <w:basedOn w:val="RecommendationTextBase"/>
    <w:rsid w:val="002F347C"/>
    <w:pPr>
      <w:numPr>
        <w:ilvl w:val="2"/>
        <w:numId w:val="7"/>
      </w:numPr>
    </w:pPr>
  </w:style>
  <w:style w:type="character" w:styleId="FollowedHyperlink">
    <w:name w:val="FollowedHyperlink"/>
    <w:basedOn w:val="DefaultParagraphFont"/>
    <w:unhideWhenUsed/>
    <w:rsid w:val="002F347C"/>
    <w:rPr>
      <w:color w:val="auto"/>
      <w:u w:val="none"/>
    </w:rPr>
  </w:style>
  <w:style w:type="paragraph" w:customStyle="1" w:styleId="Heading1NotNumbered">
    <w:name w:val="Heading 1 Not Numbered"/>
    <w:basedOn w:val="HeadingBase"/>
    <w:next w:val="Normal"/>
    <w:rsid w:val="002F347C"/>
    <w:pPr>
      <w:spacing w:before="720" w:after="360"/>
    </w:pPr>
    <w:rPr>
      <w:smallCaps/>
      <w:sz w:val="40"/>
      <w:szCs w:val="36"/>
    </w:rPr>
  </w:style>
  <w:style w:type="paragraph" w:customStyle="1" w:styleId="Heading2NotNumbered">
    <w:name w:val="Heading 2 Not Numbered"/>
    <w:basedOn w:val="HeadingBase"/>
    <w:next w:val="Normal"/>
    <w:rsid w:val="002F347C"/>
    <w:pPr>
      <w:spacing w:before="360" w:after="180"/>
    </w:pPr>
    <w:rPr>
      <w:smallCaps/>
      <w:sz w:val="32"/>
      <w:szCs w:val="28"/>
    </w:rPr>
  </w:style>
  <w:style w:type="paragraph" w:customStyle="1" w:styleId="Heading3NotNumbered">
    <w:name w:val="Heading 3 Not Numbered"/>
    <w:basedOn w:val="HeadingBase"/>
    <w:next w:val="Normal"/>
    <w:rsid w:val="002F347C"/>
    <w:pPr>
      <w:spacing w:before="240" w:after="120"/>
    </w:pPr>
    <w:rPr>
      <w:sz w:val="28"/>
      <w:szCs w:val="26"/>
    </w:rPr>
  </w:style>
  <w:style w:type="paragraph" w:customStyle="1" w:styleId="Heading4NotNumbered">
    <w:name w:val="Heading 4 Not Numbered"/>
    <w:basedOn w:val="HeadingBase"/>
    <w:unhideWhenUsed/>
    <w:rsid w:val="002F347C"/>
    <w:pPr>
      <w:spacing w:before="120" w:after="120"/>
      <w:outlineLvl w:val="3"/>
    </w:pPr>
    <w:rPr>
      <w:i/>
      <w:sz w:val="26"/>
    </w:rPr>
  </w:style>
  <w:style w:type="paragraph" w:styleId="BalloonText">
    <w:name w:val="Balloon Text"/>
    <w:basedOn w:val="Normal"/>
    <w:link w:val="BalloonTextChar"/>
    <w:uiPriority w:val="99"/>
    <w:semiHidden/>
    <w:unhideWhenUsed/>
    <w:rsid w:val="00855D4B"/>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855D4B"/>
    <w:pPr>
      <w:spacing w:after="200" w:line="240" w:lineRule="auto"/>
    </w:pPr>
    <w:rPr>
      <w:b/>
      <w:bCs/>
      <w:color w:val="31A7D4" w:themeColor="accent1"/>
      <w:sz w:val="18"/>
      <w:szCs w:val="18"/>
    </w:rPr>
  </w:style>
  <w:style w:type="character" w:styleId="CommentReference">
    <w:name w:val="annotation reference"/>
    <w:basedOn w:val="DefaultParagraphFont"/>
    <w:semiHidden/>
    <w:rsid w:val="002F347C"/>
    <w:rPr>
      <w:sz w:val="16"/>
      <w:szCs w:val="16"/>
    </w:rPr>
  </w:style>
  <w:style w:type="paragraph" w:styleId="CommentText">
    <w:name w:val="annotation text"/>
    <w:basedOn w:val="Normal"/>
    <w:semiHidden/>
    <w:rsid w:val="002F347C"/>
  </w:style>
  <w:style w:type="paragraph" w:styleId="CommentSubject">
    <w:name w:val="annotation subject"/>
    <w:basedOn w:val="CommentText"/>
    <w:next w:val="CommentText"/>
    <w:semiHidden/>
    <w:rsid w:val="002F347C"/>
    <w:rPr>
      <w:b/>
      <w:bCs/>
    </w:rPr>
  </w:style>
  <w:style w:type="paragraph" w:styleId="DocumentMap">
    <w:name w:val="Document Map"/>
    <w:basedOn w:val="Normal"/>
    <w:semiHidden/>
    <w:rsid w:val="002F347C"/>
    <w:pPr>
      <w:shd w:val="clear" w:color="auto" w:fill="000080"/>
    </w:pPr>
    <w:rPr>
      <w:rFonts w:ascii="Tahoma" w:hAnsi="Tahoma" w:cs="Tahoma"/>
    </w:rPr>
  </w:style>
  <w:style w:type="character" w:styleId="EndnoteReference">
    <w:name w:val="endnote reference"/>
    <w:basedOn w:val="DefaultParagraphFont"/>
    <w:semiHidden/>
    <w:rsid w:val="002F347C"/>
    <w:rPr>
      <w:vertAlign w:val="superscript"/>
    </w:rPr>
  </w:style>
  <w:style w:type="paragraph" w:styleId="EndnoteText">
    <w:name w:val="endnote text"/>
    <w:basedOn w:val="Normal"/>
    <w:semiHidden/>
    <w:rsid w:val="002F347C"/>
  </w:style>
  <w:style w:type="character" w:styleId="FootnoteReference">
    <w:name w:val="footnote reference"/>
    <w:basedOn w:val="DefaultParagraphFont"/>
    <w:unhideWhenUsed/>
    <w:rsid w:val="00855D4B"/>
    <w:rPr>
      <w:vertAlign w:val="superscript"/>
    </w:rPr>
  </w:style>
  <w:style w:type="paragraph" w:styleId="Index1">
    <w:name w:val="index 1"/>
    <w:basedOn w:val="Normal"/>
    <w:next w:val="Normal"/>
    <w:autoRedefine/>
    <w:semiHidden/>
    <w:rsid w:val="002F347C"/>
    <w:pPr>
      <w:ind w:left="200" w:hanging="200"/>
    </w:pPr>
  </w:style>
  <w:style w:type="paragraph" w:styleId="Index2">
    <w:name w:val="index 2"/>
    <w:basedOn w:val="Normal"/>
    <w:next w:val="Normal"/>
    <w:autoRedefine/>
    <w:semiHidden/>
    <w:rsid w:val="002F347C"/>
    <w:pPr>
      <w:ind w:left="400" w:hanging="200"/>
    </w:pPr>
  </w:style>
  <w:style w:type="paragraph" w:styleId="Index3">
    <w:name w:val="index 3"/>
    <w:basedOn w:val="Normal"/>
    <w:next w:val="Normal"/>
    <w:autoRedefine/>
    <w:semiHidden/>
    <w:rsid w:val="002F347C"/>
    <w:pPr>
      <w:ind w:left="600" w:hanging="200"/>
    </w:pPr>
  </w:style>
  <w:style w:type="paragraph" w:styleId="Index4">
    <w:name w:val="index 4"/>
    <w:basedOn w:val="Normal"/>
    <w:next w:val="Normal"/>
    <w:autoRedefine/>
    <w:semiHidden/>
    <w:rsid w:val="002F347C"/>
    <w:pPr>
      <w:ind w:left="800" w:hanging="200"/>
    </w:pPr>
  </w:style>
  <w:style w:type="paragraph" w:styleId="Index5">
    <w:name w:val="index 5"/>
    <w:basedOn w:val="Normal"/>
    <w:next w:val="Normal"/>
    <w:autoRedefine/>
    <w:semiHidden/>
    <w:rsid w:val="002F347C"/>
    <w:pPr>
      <w:ind w:left="1000" w:hanging="200"/>
    </w:pPr>
  </w:style>
  <w:style w:type="paragraph" w:styleId="Index6">
    <w:name w:val="index 6"/>
    <w:basedOn w:val="Normal"/>
    <w:next w:val="Normal"/>
    <w:autoRedefine/>
    <w:semiHidden/>
    <w:rsid w:val="002F347C"/>
    <w:pPr>
      <w:ind w:left="1200" w:hanging="200"/>
    </w:pPr>
  </w:style>
  <w:style w:type="paragraph" w:styleId="Index7">
    <w:name w:val="index 7"/>
    <w:basedOn w:val="Normal"/>
    <w:next w:val="Normal"/>
    <w:autoRedefine/>
    <w:semiHidden/>
    <w:rsid w:val="002F347C"/>
    <w:pPr>
      <w:ind w:left="1400" w:hanging="200"/>
    </w:pPr>
  </w:style>
  <w:style w:type="paragraph" w:styleId="Index8">
    <w:name w:val="index 8"/>
    <w:basedOn w:val="Normal"/>
    <w:next w:val="Normal"/>
    <w:autoRedefine/>
    <w:semiHidden/>
    <w:rsid w:val="002F347C"/>
    <w:pPr>
      <w:ind w:left="1600" w:hanging="200"/>
    </w:pPr>
  </w:style>
  <w:style w:type="paragraph" w:styleId="Index9">
    <w:name w:val="index 9"/>
    <w:basedOn w:val="Normal"/>
    <w:next w:val="Normal"/>
    <w:autoRedefine/>
    <w:semiHidden/>
    <w:rsid w:val="002F347C"/>
    <w:pPr>
      <w:ind w:left="1800" w:hanging="200"/>
    </w:pPr>
  </w:style>
  <w:style w:type="paragraph" w:styleId="IndexHeading">
    <w:name w:val="index heading"/>
    <w:basedOn w:val="Normal"/>
    <w:next w:val="Index1"/>
    <w:semiHidden/>
    <w:rsid w:val="002F347C"/>
    <w:rPr>
      <w:rFonts w:cs="Arial"/>
      <w:b/>
      <w:bCs/>
    </w:rPr>
  </w:style>
  <w:style w:type="paragraph" w:styleId="MacroText">
    <w:name w:val="macro"/>
    <w:semiHidden/>
    <w:rsid w:val="002F347C"/>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2F347C"/>
    <w:pPr>
      <w:ind w:left="200" w:hanging="200"/>
    </w:pPr>
  </w:style>
  <w:style w:type="paragraph" w:styleId="TableofFigures">
    <w:name w:val="table of figures"/>
    <w:basedOn w:val="Normal"/>
    <w:next w:val="Normal"/>
    <w:semiHidden/>
    <w:rsid w:val="002F347C"/>
  </w:style>
  <w:style w:type="paragraph" w:styleId="TOAHeading">
    <w:name w:val="toa heading"/>
    <w:basedOn w:val="Normal"/>
    <w:next w:val="Normal"/>
    <w:semiHidden/>
    <w:rsid w:val="002F347C"/>
    <w:rPr>
      <w:rFonts w:cs="Arial"/>
      <w:b/>
      <w:bCs/>
      <w:szCs w:val="24"/>
    </w:rPr>
  </w:style>
  <w:style w:type="paragraph" w:styleId="TOC5">
    <w:name w:val="toc 5"/>
    <w:basedOn w:val="Normal"/>
    <w:next w:val="Normal"/>
    <w:autoRedefine/>
    <w:semiHidden/>
    <w:rsid w:val="002F347C"/>
    <w:pPr>
      <w:ind w:left="800"/>
    </w:pPr>
  </w:style>
  <w:style w:type="paragraph" w:styleId="TOC6">
    <w:name w:val="toc 6"/>
    <w:basedOn w:val="Normal"/>
    <w:next w:val="Normal"/>
    <w:autoRedefine/>
    <w:semiHidden/>
    <w:rsid w:val="002F347C"/>
    <w:pPr>
      <w:ind w:left="1000"/>
    </w:pPr>
  </w:style>
  <w:style w:type="paragraph" w:styleId="TOC7">
    <w:name w:val="toc 7"/>
    <w:basedOn w:val="Normal"/>
    <w:next w:val="Normal"/>
    <w:autoRedefine/>
    <w:semiHidden/>
    <w:rsid w:val="002F347C"/>
    <w:pPr>
      <w:ind w:left="1200"/>
    </w:pPr>
  </w:style>
  <w:style w:type="paragraph" w:styleId="TOC8">
    <w:name w:val="toc 8"/>
    <w:basedOn w:val="Normal"/>
    <w:next w:val="Normal"/>
    <w:autoRedefine/>
    <w:semiHidden/>
    <w:rsid w:val="002F347C"/>
    <w:pPr>
      <w:ind w:left="1400"/>
    </w:pPr>
  </w:style>
  <w:style w:type="paragraph" w:styleId="TOC9">
    <w:name w:val="toc 9"/>
    <w:basedOn w:val="Normal"/>
    <w:next w:val="Normal"/>
    <w:autoRedefine/>
    <w:semiHidden/>
    <w:rsid w:val="002F347C"/>
    <w:pPr>
      <w:ind w:left="1600"/>
    </w:pPr>
  </w:style>
  <w:style w:type="paragraph" w:customStyle="1" w:styleId="Heading5NotNumbered">
    <w:name w:val="Heading 5 Not Numbered"/>
    <w:basedOn w:val="HeadingBase"/>
    <w:unhideWhenUsed/>
    <w:rsid w:val="002F347C"/>
    <w:pPr>
      <w:spacing w:after="120"/>
      <w:outlineLvl w:val="4"/>
    </w:pPr>
    <w:rPr>
      <w:b/>
      <w:i/>
      <w:sz w:val="22"/>
    </w:rPr>
  </w:style>
  <w:style w:type="table" w:customStyle="1" w:styleId="OptionsTable">
    <w:name w:val="Options Table"/>
    <w:basedOn w:val="TableNormal"/>
    <w:rsid w:val="002F347C"/>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2F347C"/>
    <w:pPr>
      <w:numPr>
        <w:numId w:val="8"/>
      </w:numPr>
    </w:pPr>
  </w:style>
  <w:style w:type="paragraph" w:customStyle="1" w:styleId="OutlineNumbered5">
    <w:name w:val="Outline Numbered 5"/>
    <w:basedOn w:val="Normal"/>
    <w:uiPriority w:val="2"/>
    <w:rsid w:val="002F347C"/>
    <w:pPr>
      <w:numPr>
        <w:ilvl w:val="4"/>
        <w:numId w:val="2"/>
      </w:numPr>
      <w:spacing w:line="280" w:lineRule="exact"/>
      <w:jc w:val="both"/>
    </w:pPr>
  </w:style>
  <w:style w:type="paragraph" w:customStyle="1" w:styleId="Crest">
    <w:name w:val="Crest"/>
    <w:basedOn w:val="Header"/>
    <w:uiPriority w:val="2"/>
    <w:semiHidden/>
    <w:rsid w:val="002F347C"/>
    <w:pPr>
      <w:spacing w:after="480"/>
    </w:pPr>
  </w:style>
  <w:style w:type="character" w:customStyle="1" w:styleId="SingleParagraphChar">
    <w:name w:val="Single Paragraph Char"/>
    <w:basedOn w:val="DefaultParagraphFont"/>
    <w:link w:val="SingleParagraph"/>
    <w:rsid w:val="002F347C"/>
    <w:rPr>
      <w:rFonts w:asciiTheme="minorHAnsi" w:hAnsiTheme="minorHAnsi"/>
      <w:color w:val="000000" w:themeColor="text1"/>
      <w:sz w:val="24"/>
    </w:rPr>
  </w:style>
  <w:style w:type="character" w:customStyle="1" w:styleId="Heading5Char">
    <w:name w:val="Heading 5 Char"/>
    <w:basedOn w:val="DefaultParagraphFont"/>
    <w:link w:val="Heading5"/>
    <w:rsid w:val="00855D4B"/>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855D4B"/>
    <w:rPr>
      <w:rFonts w:ascii="Arial" w:eastAsiaTheme="majorEastAsia" w:hAnsi="Arial" w:cstheme="majorBidi"/>
      <w:b/>
      <w:bCs/>
      <w:iCs/>
      <w:color w:val="31A7D4" w:themeColor="accent1"/>
      <w:sz w:val="26"/>
    </w:rPr>
  </w:style>
  <w:style w:type="character" w:customStyle="1" w:styleId="FooterChar">
    <w:name w:val="Footer Char"/>
    <w:basedOn w:val="DefaultParagraphFont"/>
    <w:link w:val="Footer"/>
    <w:uiPriority w:val="99"/>
    <w:rsid w:val="00855D4B"/>
    <w:rPr>
      <w:rFonts w:ascii="Arial" w:hAnsi="Arial"/>
      <w:color w:val="31A7D4" w:themeColor="accent1"/>
      <w:sz w:val="28"/>
    </w:rPr>
  </w:style>
  <w:style w:type="paragraph" w:customStyle="1" w:styleId="SecurityClassificationFooter">
    <w:name w:val="Security Classification Footer"/>
    <w:link w:val="SecurityClassificationFooterChar"/>
    <w:rsid w:val="002F347C"/>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2F347C"/>
    <w:rPr>
      <w:b/>
      <w:caps/>
      <w:color w:val="009976"/>
      <w:sz w:val="24"/>
    </w:rPr>
  </w:style>
  <w:style w:type="paragraph" w:customStyle="1" w:styleId="MinuteNumber">
    <w:name w:val="Minute Number"/>
    <w:basedOn w:val="Header"/>
    <w:uiPriority w:val="2"/>
    <w:semiHidden/>
    <w:rsid w:val="002F347C"/>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2F347C"/>
    <w:pPr>
      <w:spacing w:before="120"/>
    </w:pPr>
    <w:rPr>
      <w:b w:val="0"/>
      <w:sz w:val="24"/>
    </w:rPr>
  </w:style>
  <w:style w:type="paragraph" w:customStyle="1" w:styleId="QAText">
    <w:name w:val="QA Text"/>
    <w:basedOn w:val="Normal"/>
    <w:unhideWhenUsed/>
    <w:rsid w:val="002F347C"/>
    <w:pPr>
      <w:spacing w:after="120"/>
    </w:pPr>
  </w:style>
  <w:style w:type="paragraph" w:customStyle="1" w:styleId="Copyrightheadings">
    <w:name w:val="Copyright headings"/>
    <w:basedOn w:val="HeadingBase"/>
    <w:uiPriority w:val="2"/>
    <w:rsid w:val="002F347C"/>
    <w:pPr>
      <w:spacing w:after="80"/>
    </w:pPr>
    <w:rPr>
      <w:b/>
      <w:color w:val="000000" w:themeColor="text1"/>
      <w:sz w:val="22"/>
    </w:rPr>
  </w:style>
  <w:style w:type="paragraph" w:customStyle="1" w:styleId="Quotes">
    <w:name w:val="Quotes"/>
    <w:basedOn w:val="Normal"/>
    <w:qFormat/>
    <w:rsid w:val="002F347C"/>
    <w:pPr>
      <w:spacing w:after="120"/>
      <w:ind w:left="567" w:right="423"/>
    </w:pPr>
    <w:rPr>
      <w:color w:val="595959" w:themeColor="text1" w:themeTint="A6"/>
    </w:rPr>
  </w:style>
  <w:style w:type="paragraph" w:customStyle="1" w:styleId="Keymessageheading">
    <w:name w:val="Key message heading"/>
    <w:basedOn w:val="Questionheading"/>
    <w:uiPriority w:val="1"/>
    <w:qFormat/>
    <w:rsid w:val="002F347C"/>
  </w:style>
  <w:style w:type="paragraph" w:customStyle="1" w:styleId="Keyfindingtext">
    <w:name w:val="Key finding text"/>
    <w:basedOn w:val="BoxText"/>
    <w:uiPriority w:val="1"/>
    <w:qFormat/>
    <w:rsid w:val="003B56DF"/>
    <w:pPr>
      <w:numPr>
        <w:numId w:val="17"/>
      </w:numPr>
      <w:ind w:left="357" w:hanging="357"/>
    </w:pPr>
  </w:style>
  <w:style w:type="paragraph" w:customStyle="1" w:styleId="Casestudyboxheading">
    <w:name w:val="Case study box heading"/>
    <w:basedOn w:val="Questionheading"/>
    <w:qFormat/>
    <w:rsid w:val="000319CD"/>
    <w:pPr>
      <w:numPr>
        <w:numId w:val="19"/>
      </w:numPr>
      <w:tabs>
        <w:tab w:val="left" w:pos="113"/>
      </w:tabs>
      <w:ind w:left="357" w:hanging="357"/>
    </w:pPr>
  </w:style>
  <w:style w:type="paragraph" w:customStyle="1" w:styleId="Casestudyboxtext">
    <w:name w:val="Case study box text"/>
    <w:basedOn w:val="BoxText"/>
    <w:qFormat/>
    <w:rsid w:val="002F347C"/>
  </w:style>
  <w:style w:type="paragraph" w:styleId="ListParagraph">
    <w:name w:val="List Paragraph"/>
    <w:basedOn w:val="Normal"/>
    <w:link w:val="ListParagraphChar"/>
    <w:uiPriority w:val="34"/>
    <w:unhideWhenUsed/>
    <w:qFormat/>
    <w:rsid w:val="00855D4B"/>
    <w:pPr>
      <w:ind w:left="720"/>
      <w:contextualSpacing/>
    </w:pPr>
  </w:style>
  <w:style w:type="paragraph" w:customStyle="1" w:styleId="Copyrightheading">
    <w:name w:val="Copyright heading"/>
    <w:basedOn w:val="Normal"/>
    <w:rsid w:val="002F347C"/>
    <w:pPr>
      <w:spacing w:before="200" w:after="120"/>
    </w:pPr>
    <w:rPr>
      <w:rFonts w:eastAsiaTheme="minorHAnsi" w:cstheme="minorBidi"/>
      <w:b/>
      <w:szCs w:val="22"/>
      <w:lang w:eastAsia="en-US"/>
    </w:rPr>
  </w:style>
  <w:style w:type="character" w:styleId="PageNumber">
    <w:name w:val="page number"/>
    <w:basedOn w:val="DefaultParagraphFont"/>
    <w:rsid w:val="002F347C"/>
  </w:style>
  <w:style w:type="paragraph" w:customStyle="1" w:styleId="Source">
    <w:name w:val="Source"/>
    <w:basedOn w:val="Normal"/>
    <w:uiPriority w:val="1"/>
    <w:qFormat/>
    <w:rsid w:val="001C70F5"/>
    <w:pPr>
      <w:spacing w:before="20" w:after="0" w:line="240" w:lineRule="auto"/>
      <w:jc w:val="both"/>
    </w:pPr>
    <w:rPr>
      <w:color w:val="000000" w:themeColor="text1"/>
      <w:sz w:val="18"/>
    </w:rPr>
  </w:style>
  <w:style w:type="paragraph" w:customStyle="1" w:styleId="RecommendationHeading">
    <w:name w:val="Recommendation Heading"/>
    <w:basedOn w:val="HeadingBase"/>
    <w:next w:val="RecommendationText"/>
    <w:qFormat/>
    <w:rsid w:val="001C78F0"/>
    <w:pPr>
      <w:spacing w:before="120" w:after="120"/>
    </w:pPr>
    <w:rPr>
      <w:b/>
      <w:sz w:val="24"/>
    </w:rPr>
  </w:style>
  <w:style w:type="paragraph" w:customStyle="1" w:styleId="RecommendationText">
    <w:name w:val="Recommendation Text"/>
    <w:basedOn w:val="Normal"/>
    <w:qFormat/>
    <w:rsid w:val="004B15D1"/>
    <w:pPr>
      <w:spacing w:after="120"/>
      <w:ind w:left="459" w:hanging="425"/>
    </w:pPr>
    <w:rPr>
      <w:color w:val="000000"/>
    </w:rPr>
  </w:style>
  <w:style w:type="character" w:customStyle="1" w:styleId="FootnoteTextChar">
    <w:name w:val="Footnote Text Char"/>
    <w:basedOn w:val="DefaultParagraphFont"/>
    <w:link w:val="FootnoteText"/>
    <w:uiPriority w:val="99"/>
    <w:rsid w:val="00855D4B"/>
    <w:rPr>
      <w:rFonts w:ascii="Arial" w:hAnsi="Arial"/>
      <w:sz w:val="18"/>
    </w:rPr>
  </w:style>
  <w:style w:type="character" w:customStyle="1" w:styleId="DashChar">
    <w:name w:val="Dash Char"/>
    <w:basedOn w:val="DefaultParagraphFont"/>
    <w:link w:val="Dash"/>
    <w:rsid w:val="001C78F0"/>
    <w:rPr>
      <w:rFonts w:ascii="Arial" w:hAnsi="Arial"/>
      <w:color w:val="000000" w:themeColor="text1"/>
      <w:sz w:val="22"/>
    </w:rPr>
  </w:style>
  <w:style w:type="paragraph" w:customStyle="1" w:styleId="Keyfindingbullet">
    <w:name w:val="Key finding bullet"/>
    <w:basedOn w:val="Keyfindingtext"/>
    <w:uiPriority w:val="1"/>
    <w:qFormat/>
    <w:rsid w:val="001C2E41"/>
    <w:pPr>
      <w:numPr>
        <w:numId w:val="14"/>
      </w:numPr>
    </w:pPr>
    <w:rPr>
      <w:rFonts w:eastAsiaTheme="minorHAnsi"/>
    </w:rPr>
  </w:style>
  <w:style w:type="paragraph" w:customStyle="1" w:styleId="Overviewheading">
    <w:name w:val="Overview heading"/>
    <w:basedOn w:val="Heading2"/>
    <w:qFormat/>
    <w:rsid w:val="00855D4B"/>
    <w:pPr>
      <w:numPr>
        <w:numId w:val="0"/>
      </w:numPr>
      <w:spacing w:after="240"/>
    </w:pPr>
  </w:style>
  <w:style w:type="paragraph" w:styleId="NormalWeb">
    <w:name w:val="Normal (Web)"/>
    <w:basedOn w:val="Normal"/>
    <w:semiHidden/>
    <w:rsid w:val="00CF0E10"/>
    <w:rPr>
      <w:rFonts w:ascii="Times New Roman" w:hAnsi="Times New Roman"/>
      <w:szCs w:val="24"/>
    </w:rPr>
  </w:style>
  <w:style w:type="paragraph" w:styleId="Revision">
    <w:name w:val="Revision"/>
    <w:hidden/>
    <w:uiPriority w:val="99"/>
    <w:semiHidden/>
    <w:rsid w:val="004C3F85"/>
    <w:rPr>
      <w:rFonts w:asciiTheme="minorHAnsi" w:hAnsiTheme="minorHAnsi"/>
      <w:color w:val="000000" w:themeColor="text1"/>
      <w:sz w:val="24"/>
    </w:rPr>
  </w:style>
  <w:style w:type="character" w:customStyle="1" w:styleId="Heading1Char">
    <w:name w:val="Heading 1 Char"/>
    <w:basedOn w:val="DefaultParagraphFont"/>
    <w:link w:val="Heading1"/>
    <w:rsid w:val="00855D4B"/>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790F34"/>
    <w:rPr>
      <w:rFonts w:ascii="Arial" w:hAnsi="Arial" w:cs="Arial"/>
      <w:b/>
      <w:bCs/>
      <w:color w:val="000000" w:themeColor="text1"/>
      <w:kern w:val="32"/>
      <w:sz w:val="40"/>
      <w:szCs w:val="36"/>
    </w:rPr>
  </w:style>
  <w:style w:type="paragraph" w:styleId="Title">
    <w:name w:val="Title"/>
    <w:basedOn w:val="Normal"/>
    <w:next w:val="Normal"/>
    <w:link w:val="TitleChar"/>
    <w:uiPriority w:val="10"/>
    <w:rsid w:val="00855D4B"/>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855D4B"/>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855D4B"/>
    <w:pPr>
      <w:numPr>
        <w:numId w:val="23"/>
      </w:numPr>
      <w:spacing w:after="120"/>
      <w:ind w:left="567" w:hanging="567"/>
      <w:contextualSpacing w:val="0"/>
    </w:pPr>
  </w:style>
  <w:style w:type="paragraph" w:styleId="Quote">
    <w:name w:val="Quote"/>
    <w:basedOn w:val="Normal"/>
    <w:next w:val="Normal"/>
    <w:link w:val="QuoteChar"/>
    <w:uiPriority w:val="29"/>
    <w:qFormat/>
    <w:rsid w:val="00855D4B"/>
    <w:pPr>
      <w:spacing w:before="120"/>
      <w:ind w:left="567"/>
    </w:pPr>
    <w:rPr>
      <w:iCs/>
      <w:color w:val="000000" w:themeColor="text1"/>
    </w:rPr>
  </w:style>
  <w:style w:type="character" w:customStyle="1" w:styleId="QuoteChar">
    <w:name w:val="Quote Char"/>
    <w:basedOn w:val="DefaultParagraphFont"/>
    <w:link w:val="Quote"/>
    <w:uiPriority w:val="29"/>
    <w:rsid w:val="00855D4B"/>
    <w:rPr>
      <w:rFonts w:ascii="Arial" w:hAnsi="Arial"/>
      <w:iCs/>
      <w:color w:val="000000" w:themeColor="text1"/>
      <w:sz w:val="22"/>
    </w:rPr>
  </w:style>
  <w:style w:type="character" w:customStyle="1" w:styleId="Heading3Char">
    <w:name w:val="Heading 3 Char"/>
    <w:basedOn w:val="DefaultParagraphFont"/>
    <w:link w:val="Heading3"/>
    <w:rsid w:val="00855D4B"/>
    <w:rPr>
      <w:rFonts w:ascii="Arial" w:eastAsiaTheme="majorEastAsia" w:hAnsi="Arial" w:cstheme="majorBidi"/>
      <w:b/>
      <w:bCs/>
      <w:color w:val="31A7D4" w:themeColor="accent1"/>
      <w:sz w:val="30"/>
    </w:rPr>
  </w:style>
  <w:style w:type="paragraph" w:customStyle="1" w:styleId="Overviewtext">
    <w:name w:val="Overview text"/>
    <w:basedOn w:val="Normal"/>
    <w:qFormat/>
    <w:rsid w:val="00855D4B"/>
    <w:rPr>
      <w:sz w:val="32"/>
      <w:szCs w:val="32"/>
    </w:rPr>
  </w:style>
  <w:style w:type="paragraph" w:customStyle="1" w:styleId="Singleparagraph0">
    <w:name w:val="Single paragraph"/>
    <w:basedOn w:val="Normal"/>
    <w:qFormat/>
    <w:rsid w:val="00855D4B"/>
    <w:pPr>
      <w:spacing w:after="0" w:line="240" w:lineRule="auto"/>
    </w:pPr>
  </w:style>
  <w:style w:type="character" w:customStyle="1" w:styleId="HeaderChar">
    <w:name w:val="Header Char"/>
    <w:basedOn w:val="DefaultParagraphFont"/>
    <w:link w:val="Header"/>
    <w:uiPriority w:val="99"/>
    <w:rsid w:val="00855D4B"/>
    <w:rPr>
      <w:rFonts w:ascii="Arial" w:hAnsi="Arial"/>
      <w:color w:val="636363" w:themeColor="accent2"/>
      <w:sz w:val="22"/>
    </w:rPr>
  </w:style>
  <w:style w:type="paragraph" w:customStyle="1" w:styleId="Overviewheading2">
    <w:name w:val="Overview heading 2"/>
    <w:basedOn w:val="Heading2"/>
    <w:qFormat/>
    <w:rsid w:val="00855D4B"/>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855D4B"/>
    <w:rPr>
      <w:rFonts w:ascii="Tahoma" w:hAnsi="Tahoma" w:cs="Tahoma"/>
      <w:sz w:val="16"/>
      <w:szCs w:val="16"/>
    </w:rPr>
  </w:style>
  <w:style w:type="paragraph" w:customStyle="1" w:styleId="ChartandTableNote">
    <w:name w:val="Chart and Table Note"/>
    <w:next w:val="Normal"/>
    <w:rsid w:val="00855D4B"/>
    <w:rPr>
      <w:rFonts w:ascii="Arial" w:hAnsi="Arial"/>
      <w:color w:val="000000" w:themeColor="text1"/>
      <w:sz w:val="18"/>
    </w:rPr>
  </w:style>
  <w:style w:type="paragraph" w:customStyle="1" w:styleId="Bullet">
    <w:name w:val="Bullet"/>
    <w:basedOn w:val="Normal"/>
    <w:link w:val="BulletChar"/>
    <w:rsid w:val="00500A2D"/>
    <w:pPr>
      <w:numPr>
        <w:numId w:val="22"/>
      </w:numPr>
      <w:spacing w:after="0" w:line="240" w:lineRule="auto"/>
    </w:pPr>
  </w:style>
  <w:style w:type="character" w:customStyle="1" w:styleId="ListParagraphChar">
    <w:name w:val="List Paragraph Char"/>
    <w:basedOn w:val="DefaultParagraphFont"/>
    <w:link w:val="ListParagraph"/>
    <w:uiPriority w:val="34"/>
    <w:rsid w:val="00500A2D"/>
    <w:rPr>
      <w:rFonts w:ascii="Arial" w:hAnsi="Arial"/>
      <w:sz w:val="22"/>
    </w:rPr>
  </w:style>
  <w:style w:type="character" w:customStyle="1" w:styleId="BulletChar">
    <w:name w:val="Bullet Char"/>
    <w:basedOn w:val="ListParagraphChar"/>
    <w:link w:val="Bullet"/>
    <w:rsid w:val="00500A2D"/>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iPriority="2"/>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5D4B"/>
    <w:pPr>
      <w:spacing w:after="240" w:line="276" w:lineRule="auto"/>
    </w:pPr>
    <w:rPr>
      <w:rFonts w:ascii="Arial" w:hAnsi="Arial"/>
      <w:sz w:val="22"/>
    </w:rPr>
  </w:style>
  <w:style w:type="paragraph" w:styleId="Heading1">
    <w:name w:val="heading 1"/>
    <w:basedOn w:val="Normal"/>
    <w:next w:val="Normal"/>
    <w:link w:val="Heading1Char"/>
    <w:qFormat/>
    <w:rsid w:val="00855D4B"/>
    <w:pPr>
      <w:keepNext/>
      <w:numPr>
        <w:numId w:val="28"/>
      </w:numPr>
      <w:spacing w:before="240" w:after="360" w:line="600" w:lineRule="exact"/>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790F34"/>
    <w:pPr>
      <w:numPr>
        <w:ilvl w:val="1"/>
      </w:numPr>
      <w:pBdr>
        <w:top w:val="single" w:sz="12" w:space="3" w:color="31A7D4" w:themeColor="accent1"/>
        <w:bottom w:val="single" w:sz="12" w:space="3" w:color="31A7D4" w:themeColor="accent1"/>
      </w:pBdr>
      <w:spacing w:before="300" w:line="240" w:lineRule="auto"/>
      <w:ind w:left="992" w:hanging="992"/>
      <w:outlineLvl w:val="1"/>
    </w:pPr>
    <w:rPr>
      <w:sz w:val="40"/>
    </w:rPr>
  </w:style>
  <w:style w:type="paragraph" w:styleId="Heading3">
    <w:name w:val="heading 3"/>
    <w:basedOn w:val="Normal"/>
    <w:next w:val="Normal"/>
    <w:link w:val="Heading3Char"/>
    <w:unhideWhenUsed/>
    <w:qFormat/>
    <w:rsid w:val="00855D4B"/>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855D4B"/>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855D4B"/>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2F347C"/>
    <w:pPr>
      <w:numPr>
        <w:ilvl w:val="5"/>
        <w:numId w:val="15"/>
      </w:numPr>
      <w:spacing w:after="120"/>
      <w:outlineLvl w:val="5"/>
    </w:pPr>
    <w:rPr>
      <w:bCs/>
      <w:sz w:val="22"/>
      <w:szCs w:val="22"/>
    </w:rPr>
  </w:style>
  <w:style w:type="paragraph" w:styleId="Heading7">
    <w:name w:val="heading 7"/>
    <w:basedOn w:val="HeadingBase"/>
    <w:next w:val="Normal"/>
    <w:semiHidden/>
    <w:rsid w:val="002F347C"/>
    <w:pPr>
      <w:numPr>
        <w:ilvl w:val="6"/>
        <w:numId w:val="15"/>
      </w:numPr>
      <w:spacing w:after="120"/>
      <w:outlineLvl w:val="6"/>
    </w:pPr>
    <w:rPr>
      <w:szCs w:val="24"/>
    </w:rPr>
  </w:style>
  <w:style w:type="paragraph" w:styleId="Heading8">
    <w:name w:val="heading 8"/>
    <w:basedOn w:val="HeadingBase"/>
    <w:next w:val="Normal"/>
    <w:semiHidden/>
    <w:rsid w:val="002F347C"/>
    <w:pPr>
      <w:numPr>
        <w:ilvl w:val="7"/>
        <w:numId w:val="15"/>
      </w:numPr>
      <w:spacing w:before="60" w:after="60"/>
      <w:jc w:val="center"/>
      <w:outlineLvl w:val="7"/>
    </w:pPr>
    <w:rPr>
      <w:iCs/>
      <w:smallCaps/>
      <w:sz w:val="22"/>
      <w:szCs w:val="24"/>
    </w:rPr>
  </w:style>
  <w:style w:type="paragraph" w:styleId="Heading9">
    <w:name w:val="heading 9"/>
    <w:basedOn w:val="HeadingBase"/>
    <w:next w:val="Normal"/>
    <w:semiHidden/>
    <w:rsid w:val="002F347C"/>
    <w:pPr>
      <w:numPr>
        <w:ilvl w:val="8"/>
        <w:numId w:val="15"/>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2F347C"/>
    <w:pPr>
      <w:spacing w:after="0"/>
    </w:pPr>
  </w:style>
  <w:style w:type="character" w:styleId="Hyperlink">
    <w:name w:val="Hyperlink"/>
    <w:basedOn w:val="DefaultParagraphFont"/>
    <w:uiPriority w:val="99"/>
    <w:unhideWhenUsed/>
    <w:rsid w:val="002F347C"/>
    <w:rPr>
      <w:color w:val="31A7D4" w:themeColor="text2"/>
      <w:u w:val="none"/>
    </w:rPr>
  </w:style>
  <w:style w:type="character" w:customStyle="1" w:styleId="BoldandItalic">
    <w:name w:val="Bold and Italic"/>
    <w:basedOn w:val="DefaultParagraphFont"/>
    <w:rsid w:val="002F347C"/>
    <w:rPr>
      <w:rFonts w:ascii="Calibri" w:hAnsi="Calibri"/>
      <w:b/>
      <w:i/>
    </w:rPr>
  </w:style>
  <w:style w:type="table" w:styleId="TableGrid">
    <w:name w:val="Table Grid"/>
    <w:basedOn w:val="TableNormal"/>
    <w:uiPriority w:val="59"/>
    <w:rsid w:val="00855D4B"/>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3B56DF"/>
    <w:pPr>
      <w:spacing w:before="40" w:after="40"/>
    </w:pPr>
    <w:rPr>
      <w:b/>
      <w:color w:val="FFFFFF" w:themeColor="background1"/>
      <w:sz w:val="20"/>
    </w:rPr>
  </w:style>
  <w:style w:type="paragraph" w:styleId="FootnoteText">
    <w:name w:val="footnote text"/>
    <w:basedOn w:val="Normal"/>
    <w:link w:val="FootnoteTextChar"/>
    <w:uiPriority w:val="99"/>
    <w:rsid w:val="00855D4B"/>
    <w:pPr>
      <w:spacing w:before="40" w:after="0" w:line="240" w:lineRule="auto"/>
      <w:ind w:left="426" w:hanging="426"/>
    </w:pPr>
    <w:rPr>
      <w:sz w:val="18"/>
    </w:rPr>
  </w:style>
  <w:style w:type="paragraph" w:customStyle="1" w:styleId="Dash">
    <w:name w:val="Dash"/>
    <w:basedOn w:val="Normal"/>
    <w:link w:val="DashChar"/>
    <w:rsid w:val="00855D4B"/>
    <w:pPr>
      <w:numPr>
        <w:ilvl w:val="1"/>
        <w:numId w:val="22"/>
      </w:numPr>
      <w:spacing w:before="120" w:after="120" w:line="240" w:lineRule="auto"/>
    </w:pPr>
    <w:rPr>
      <w:color w:val="000000" w:themeColor="text1"/>
    </w:rPr>
  </w:style>
  <w:style w:type="paragraph" w:customStyle="1" w:styleId="DoubleDot">
    <w:name w:val="Double Dot"/>
    <w:basedOn w:val="Normal"/>
    <w:rsid w:val="00855D4B"/>
    <w:pPr>
      <w:numPr>
        <w:ilvl w:val="2"/>
        <w:numId w:val="22"/>
      </w:numPr>
      <w:spacing w:before="120" w:after="120" w:line="240" w:lineRule="auto"/>
    </w:pPr>
    <w:rPr>
      <w:color w:val="000000" w:themeColor="text1"/>
    </w:rPr>
  </w:style>
  <w:style w:type="paragraph" w:customStyle="1" w:styleId="OutlineNumbered1">
    <w:name w:val="Outline Numbered 1"/>
    <w:basedOn w:val="Normal"/>
    <w:uiPriority w:val="2"/>
    <w:rsid w:val="002F347C"/>
    <w:pPr>
      <w:numPr>
        <w:numId w:val="2"/>
      </w:numPr>
      <w:spacing w:line="280" w:lineRule="exact"/>
      <w:jc w:val="both"/>
    </w:pPr>
  </w:style>
  <w:style w:type="paragraph" w:customStyle="1" w:styleId="OutlineNumbered2">
    <w:name w:val="Outline Numbered 2"/>
    <w:basedOn w:val="Normal"/>
    <w:uiPriority w:val="2"/>
    <w:rsid w:val="002F347C"/>
    <w:pPr>
      <w:numPr>
        <w:ilvl w:val="1"/>
        <w:numId w:val="9"/>
      </w:numPr>
      <w:spacing w:line="280" w:lineRule="exact"/>
      <w:jc w:val="both"/>
    </w:pPr>
  </w:style>
  <w:style w:type="paragraph" w:customStyle="1" w:styleId="AlphaParagraph">
    <w:name w:val="Alpha Paragraph"/>
    <w:basedOn w:val="Normal"/>
    <w:uiPriority w:val="1"/>
    <w:rsid w:val="002F347C"/>
    <w:pPr>
      <w:numPr>
        <w:numId w:val="3"/>
      </w:numPr>
    </w:pPr>
  </w:style>
  <w:style w:type="paragraph" w:customStyle="1" w:styleId="HeadingBase">
    <w:name w:val="Heading Base"/>
    <w:next w:val="Normal"/>
    <w:rsid w:val="002F347C"/>
    <w:pPr>
      <w:keepNext/>
    </w:pPr>
    <w:rPr>
      <w:rFonts w:ascii="Calibri" w:hAnsi="Calibri"/>
      <w:color w:val="31A7D4" w:themeColor="accent1"/>
    </w:rPr>
  </w:style>
  <w:style w:type="paragraph" w:customStyle="1" w:styleId="AppendixHeading">
    <w:name w:val="Appendix Heading"/>
    <w:basedOn w:val="HeadingBase"/>
    <w:next w:val="Normal"/>
    <w:rsid w:val="002F347C"/>
    <w:pPr>
      <w:spacing w:before="720" w:after="360"/>
      <w:outlineLvl w:val="0"/>
    </w:pPr>
    <w:rPr>
      <w:b/>
      <w:smallCaps/>
      <w:sz w:val="36"/>
      <w:szCs w:val="36"/>
    </w:rPr>
  </w:style>
  <w:style w:type="character" w:customStyle="1" w:styleId="Bold">
    <w:name w:val="Bold"/>
    <w:basedOn w:val="DefaultParagraphFont"/>
    <w:rsid w:val="002F347C"/>
    <w:rPr>
      <w:b/>
    </w:rPr>
  </w:style>
  <w:style w:type="paragraph" w:customStyle="1" w:styleId="BoxHeading">
    <w:name w:val="Box Heading"/>
    <w:basedOn w:val="Caption"/>
    <w:next w:val="BoxText"/>
    <w:unhideWhenUsed/>
    <w:rsid w:val="00855D4B"/>
    <w:rPr>
      <w:sz w:val="28"/>
      <w:szCs w:val="28"/>
    </w:rPr>
  </w:style>
  <w:style w:type="paragraph" w:customStyle="1" w:styleId="BoxTextBase">
    <w:name w:val="Box Text Base"/>
    <w:basedOn w:val="Normal"/>
    <w:unhideWhenUsed/>
    <w:rsid w:val="00855D4B"/>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855D4B"/>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855D4B"/>
    <w:pPr>
      <w:keepNext/>
      <w:spacing w:after="0" w:line="240" w:lineRule="auto"/>
      <w:jc w:val="center"/>
    </w:pPr>
    <w:rPr>
      <w:color w:val="636363" w:themeColor="accent2"/>
    </w:rPr>
  </w:style>
  <w:style w:type="paragraph" w:customStyle="1" w:styleId="ChartMainHeading">
    <w:name w:val="Chart Main Heading"/>
    <w:basedOn w:val="Caption"/>
    <w:next w:val="ChartGraphic"/>
    <w:rsid w:val="00855D4B"/>
    <w:pPr>
      <w:keepNext/>
      <w:spacing w:before="120" w:after="60"/>
      <w:jc w:val="center"/>
    </w:pPr>
    <w:rPr>
      <w:sz w:val="20"/>
      <w:szCs w:val="20"/>
    </w:rPr>
  </w:style>
  <w:style w:type="paragraph" w:customStyle="1" w:styleId="ChartorTableNote">
    <w:name w:val="Chart or Table Note"/>
    <w:next w:val="Normal"/>
    <w:rsid w:val="00556646"/>
    <w:rPr>
      <w:rFonts w:ascii="Arial" w:hAnsi="Arial"/>
      <w:color w:val="000000"/>
      <w:sz w:val="18"/>
    </w:rPr>
  </w:style>
  <w:style w:type="paragraph" w:customStyle="1" w:styleId="ChartSecondHeading">
    <w:name w:val="Chart Second Heading"/>
    <w:basedOn w:val="HeadingBase"/>
    <w:next w:val="ChartGraphic"/>
    <w:rsid w:val="002F347C"/>
    <w:pPr>
      <w:spacing w:after="20"/>
      <w:jc w:val="center"/>
    </w:pPr>
  </w:style>
  <w:style w:type="paragraph" w:customStyle="1" w:styleId="Classification">
    <w:name w:val="Classification"/>
    <w:basedOn w:val="HeadingBase"/>
    <w:next w:val="Footer"/>
    <w:semiHidden/>
    <w:rsid w:val="002F347C"/>
    <w:pPr>
      <w:spacing w:after="120"/>
      <w:jc w:val="center"/>
    </w:pPr>
    <w:rPr>
      <w:b/>
      <w:smallCaps/>
    </w:rPr>
  </w:style>
  <w:style w:type="paragraph" w:styleId="Footer">
    <w:name w:val="footer"/>
    <w:basedOn w:val="Normal"/>
    <w:link w:val="FooterChar"/>
    <w:uiPriority w:val="99"/>
    <w:unhideWhenUsed/>
    <w:rsid w:val="00855D4B"/>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2F347C"/>
    <w:pPr>
      <w:spacing w:after="360"/>
      <w:jc w:val="center"/>
    </w:pPr>
    <w:rPr>
      <w:smallCaps/>
      <w:sz w:val="40"/>
      <w:szCs w:val="36"/>
    </w:rPr>
  </w:style>
  <w:style w:type="paragraph" w:customStyle="1" w:styleId="CoverTitleMain">
    <w:name w:val="Cover Title Main"/>
    <w:basedOn w:val="HeadingBase"/>
    <w:next w:val="Normal"/>
    <w:uiPriority w:val="2"/>
    <w:rsid w:val="002F347C"/>
    <w:pPr>
      <w:spacing w:before="720" w:after="480"/>
    </w:pPr>
    <w:rPr>
      <w:b/>
      <w:caps/>
      <w:sz w:val="48"/>
    </w:rPr>
  </w:style>
  <w:style w:type="paragraph" w:customStyle="1" w:styleId="CoverTitleSub">
    <w:name w:val="Cover Title Sub"/>
    <w:basedOn w:val="HeadingBase"/>
    <w:uiPriority w:val="2"/>
    <w:rsid w:val="002F347C"/>
    <w:pPr>
      <w:pBdr>
        <w:top w:val="single" w:sz="4" w:space="1" w:color="009976"/>
      </w:pBdr>
      <w:spacing w:after="360"/>
      <w:jc w:val="right"/>
    </w:pPr>
    <w:rPr>
      <w:sz w:val="36"/>
    </w:rPr>
  </w:style>
  <w:style w:type="paragraph" w:customStyle="1" w:styleId="FooterCentered">
    <w:name w:val="Footer Centered"/>
    <w:basedOn w:val="Footer"/>
    <w:unhideWhenUsed/>
    <w:rsid w:val="002F347C"/>
    <w:pPr>
      <w:jc w:val="center"/>
    </w:pPr>
  </w:style>
  <w:style w:type="paragraph" w:customStyle="1" w:styleId="FooterEven">
    <w:name w:val="Footer Even"/>
    <w:basedOn w:val="Footer"/>
    <w:unhideWhenUsed/>
    <w:rsid w:val="00714216"/>
  </w:style>
  <w:style w:type="paragraph" w:customStyle="1" w:styleId="FooterOdd">
    <w:name w:val="Footer Odd"/>
    <w:basedOn w:val="Footer"/>
    <w:unhideWhenUsed/>
    <w:rsid w:val="00714216"/>
  </w:style>
  <w:style w:type="character" w:customStyle="1" w:styleId="FramedFooter">
    <w:name w:val="Framed Footer"/>
    <w:semiHidden/>
    <w:rsid w:val="002F347C"/>
    <w:rPr>
      <w:rFonts w:ascii="Arial" w:hAnsi="Arial"/>
      <w:color w:val="31A7D4" w:themeColor="accent1"/>
      <w:sz w:val="18"/>
    </w:rPr>
  </w:style>
  <w:style w:type="character" w:customStyle="1" w:styleId="FramedHeader">
    <w:name w:val="Framed Header"/>
    <w:basedOn w:val="DefaultParagraphFont"/>
    <w:semiHidden/>
    <w:rsid w:val="002F347C"/>
    <w:rPr>
      <w:rFonts w:ascii="Arial" w:hAnsi="Arial"/>
      <w:dstrike w:val="0"/>
      <w:color w:val="31A7D4" w:themeColor="accent1"/>
      <w:sz w:val="18"/>
      <w:vertAlign w:val="baseline"/>
    </w:rPr>
  </w:style>
  <w:style w:type="paragraph" w:styleId="Header">
    <w:name w:val="header"/>
    <w:basedOn w:val="Normal"/>
    <w:link w:val="HeaderChar"/>
    <w:uiPriority w:val="99"/>
    <w:unhideWhenUsed/>
    <w:rsid w:val="00855D4B"/>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714216"/>
    <w:pPr>
      <w:jc w:val="left"/>
    </w:pPr>
  </w:style>
  <w:style w:type="paragraph" w:customStyle="1" w:styleId="HeaderOdd">
    <w:name w:val="Header Odd"/>
    <w:basedOn w:val="Header"/>
    <w:rsid w:val="00714216"/>
  </w:style>
  <w:style w:type="paragraph" w:styleId="NormalIndent">
    <w:name w:val="Normal Indent"/>
    <w:basedOn w:val="Normal"/>
    <w:semiHidden/>
    <w:rsid w:val="002F347C"/>
    <w:pPr>
      <w:ind w:left="567"/>
    </w:pPr>
    <w:rPr>
      <w:i/>
    </w:rPr>
  </w:style>
  <w:style w:type="paragraph" w:customStyle="1" w:styleId="Questionheading">
    <w:name w:val="Question heading"/>
    <w:basedOn w:val="Normal"/>
    <w:qFormat/>
    <w:rsid w:val="00855D4B"/>
    <w:pPr>
      <w:spacing w:before="80" w:line="240" w:lineRule="auto"/>
    </w:pPr>
    <w:rPr>
      <w:b/>
      <w:color w:val="31A7D4" w:themeColor="accent1"/>
      <w:sz w:val="28"/>
      <w:szCs w:val="28"/>
    </w:rPr>
  </w:style>
  <w:style w:type="paragraph" w:customStyle="1" w:styleId="RecommendationTextBase">
    <w:name w:val="Recommendation Text Base"/>
    <w:basedOn w:val="Normal"/>
    <w:rsid w:val="002F347C"/>
    <w:pPr>
      <w:spacing w:after="120"/>
    </w:pPr>
  </w:style>
  <w:style w:type="paragraph" w:customStyle="1" w:styleId="Questiontext">
    <w:name w:val="Question text"/>
    <w:basedOn w:val="ListParagraph"/>
    <w:qFormat/>
    <w:rsid w:val="002D64AF"/>
    <w:pPr>
      <w:numPr>
        <w:numId w:val="24"/>
      </w:numPr>
      <w:spacing w:after="120" w:line="240" w:lineRule="auto"/>
      <w:contextualSpacing w:val="0"/>
    </w:pPr>
    <w:rPr>
      <w:rFonts w:cstheme="minorBidi"/>
      <w:color w:val="000000" w:themeColor="text1"/>
      <w:szCs w:val="22"/>
      <w:lang w:eastAsia="en-US"/>
    </w:rPr>
  </w:style>
  <w:style w:type="paragraph" w:customStyle="1" w:styleId="TableTextBase">
    <w:name w:val="Table Text Base"/>
    <w:uiPriority w:val="1"/>
    <w:unhideWhenUsed/>
    <w:rsid w:val="00855D4B"/>
    <w:pPr>
      <w:spacing w:before="40" w:after="40"/>
    </w:pPr>
    <w:rPr>
      <w:rFonts w:ascii="Arial" w:hAnsi="Arial"/>
      <w:color w:val="31A7D4" w:themeColor="accent1"/>
    </w:rPr>
  </w:style>
  <w:style w:type="paragraph" w:customStyle="1" w:styleId="TableColumnHeadingCentred">
    <w:name w:val="Table Column Heading Centred"/>
    <w:basedOn w:val="TableColumnHeadingBase"/>
    <w:uiPriority w:val="1"/>
    <w:unhideWhenUsed/>
    <w:rsid w:val="002F347C"/>
    <w:pPr>
      <w:jc w:val="center"/>
    </w:pPr>
  </w:style>
  <w:style w:type="paragraph" w:customStyle="1" w:styleId="TableColumnHeadingLeft">
    <w:name w:val="Table Column Heading Left"/>
    <w:basedOn w:val="TableColumnHeadingBase"/>
    <w:uiPriority w:val="1"/>
    <w:unhideWhenUsed/>
    <w:rsid w:val="002F347C"/>
  </w:style>
  <w:style w:type="paragraph" w:customStyle="1" w:styleId="TableColumnHeadingRight">
    <w:name w:val="Table Column Heading Right"/>
    <w:basedOn w:val="TableColumnHeadingBase"/>
    <w:uiPriority w:val="1"/>
    <w:unhideWhenUsed/>
    <w:rsid w:val="002F347C"/>
    <w:pPr>
      <w:jc w:val="right"/>
    </w:pPr>
  </w:style>
  <w:style w:type="paragraph" w:customStyle="1" w:styleId="TableGraphic">
    <w:name w:val="Table Graphic"/>
    <w:basedOn w:val="Normal"/>
    <w:next w:val="Normal"/>
    <w:rsid w:val="00855D4B"/>
    <w:pPr>
      <w:keepNext/>
      <w:spacing w:after="0" w:line="240" w:lineRule="auto"/>
    </w:pPr>
    <w:rPr>
      <w:color w:val="636363" w:themeColor="accent2"/>
    </w:rPr>
  </w:style>
  <w:style w:type="paragraph" w:customStyle="1" w:styleId="TableMainHeading">
    <w:name w:val="Table Main Heading"/>
    <w:basedOn w:val="Normal"/>
    <w:next w:val="Normal"/>
    <w:uiPriority w:val="1"/>
    <w:rsid w:val="00855D4B"/>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2F347C"/>
    <w:pPr>
      <w:pageBreakBefore/>
      <w:spacing w:after="20"/>
    </w:pPr>
    <w:rPr>
      <w:b/>
      <w:sz w:val="22"/>
    </w:rPr>
  </w:style>
  <w:style w:type="paragraph" w:customStyle="1" w:styleId="TableSecondHeading">
    <w:name w:val="Table Second Heading"/>
    <w:basedOn w:val="HeadingBase"/>
    <w:next w:val="TableGraphic"/>
    <w:uiPriority w:val="1"/>
    <w:unhideWhenUsed/>
    <w:rsid w:val="002F347C"/>
    <w:pPr>
      <w:spacing w:after="20"/>
    </w:pPr>
  </w:style>
  <w:style w:type="paragraph" w:customStyle="1" w:styleId="TableTextCentered">
    <w:name w:val="Table Text Centered"/>
    <w:basedOn w:val="TableTextBase"/>
    <w:uiPriority w:val="1"/>
    <w:unhideWhenUsed/>
    <w:rsid w:val="002F347C"/>
    <w:pPr>
      <w:jc w:val="center"/>
    </w:pPr>
  </w:style>
  <w:style w:type="paragraph" w:customStyle="1" w:styleId="TableTextIndented">
    <w:name w:val="Table Text Indented"/>
    <w:basedOn w:val="TableTextBase"/>
    <w:uiPriority w:val="1"/>
    <w:unhideWhenUsed/>
    <w:rsid w:val="002F347C"/>
    <w:pPr>
      <w:ind w:left="284"/>
    </w:pPr>
  </w:style>
  <w:style w:type="paragraph" w:customStyle="1" w:styleId="TableTextLeft">
    <w:name w:val="Table Text Left"/>
    <w:basedOn w:val="Normal"/>
    <w:rsid w:val="00855D4B"/>
    <w:pPr>
      <w:spacing w:before="60" w:after="60"/>
    </w:pPr>
    <w:rPr>
      <w:sz w:val="20"/>
    </w:rPr>
  </w:style>
  <w:style w:type="paragraph" w:customStyle="1" w:styleId="TableTextRight">
    <w:name w:val="Table Text Right"/>
    <w:basedOn w:val="TableTextBase"/>
    <w:uiPriority w:val="1"/>
    <w:unhideWhenUsed/>
    <w:rsid w:val="002F347C"/>
    <w:pPr>
      <w:jc w:val="right"/>
    </w:pPr>
  </w:style>
  <w:style w:type="paragraph" w:styleId="TOC1">
    <w:name w:val="toc 1"/>
    <w:basedOn w:val="HeadingBase"/>
    <w:next w:val="Normal"/>
    <w:uiPriority w:val="39"/>
    <w:rsid w:val="002F347C"/>
    <w:pPr>
      <w:tabs>
        <w:tab w:val="left" w:pos="284"/>
        <w:tab w:val="left" w:pos="567"/>
        <w:tab w:val="right" w:leader="dot" w:pos="9072"/>
      </w:tabs>
      <w:spacing w:before="180" w:after="60"/>
      <w:ind w:left="284" w:right="851" w:hanging="284"/>
    </w:pPr>
    <w:rPr>
      <w:caps/>
      <w:sz w:val="24"/>
      <w:szCs w:val="22"/>
    </w:rPr>
  </w:style>
  <w:style w:type="paragraph" w:styleId="TOC2">
    <w:name w:val="toc 2"/>
    <w:basedOn w:val="Normal"/>
    <w:next w:val="Normal"/>
    <w:uiPriority w:val="39"/>
    <w:rsid w:val="0069654F"/>
    <w:pPr>
      <w:numPr>
        <w:numId w:val="1"/>
      </w:num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2F347C"/>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2F347C"/>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2F347C"/>
    <w:rPr>
      <w:i/>
    </w:rPr>
  </w:style>
  <w:style w:type="paragraph" w:customStyle="1" w:styleId="OneLevelNumberedParagraph">
    <w:name w:val="One Level Numbered Paragraph"/>
    <w:basedOn w:val="Normal"/>
    <w:semiHidden/>
    <w:rsid w:val="002F347C"/>
    <w:pPr>
      <w:numPr>
        <w:numId w:val="6"/>
      </w:numPr>
    </w:pPr>
  </w:style>
  <w:style w:type="paragraph" w:customStyle="1" w:styleId="BoxText">
    <w:name w:val="Box Text"/>
    <w:basedOn w:val="BoxTextBase"/>
    <w:unhideWhenUsed/>
    <w:rsid w:val="00790F34"/>
    <w:pPr>
      <w:shd w:val="clear" w:color="auto" w:fill="auto"/>
      <w:spacing w:after="120" w:line="264" w:lineRule="auto"/>
    </w:pPr>
  </w:style>
  <w:style w:type="paragraph" w:customStyle="1" w:styleId="BoxBullet">
    <w:name w:val="Box Bullet"/>
    <w:basedOn w:val="BoxTextBase"/>
    <w:unhideWhenUsed/>
    <w:rsid w:val="00855D4B"/>
    <w:pPr>
      <w:numPr>
        <w:numId w:val="5"/>
      </w:numPr>
      <w:shd w:val="clear" w:color="auto" w:fill="auto"/>
    </w:pPr>
  </w:style>
  <w:style w:type="paragraph" w:customStyle="1" w:styleId="BoxDash">
    <w:name w:val="Box Dash"/>
    <w:basedOn w:val="BoxTextBase"/>
    <w:unhideWhenUsed/>
    <w:rsid w:val="00855D4B"/>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855D4B"/>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2F347C"/>
    <w:pPr>
      <w:numPr>
        <w:numId w:val="7"/>
      </w:numPr>
    </w:pPr>
  </w:style>
  <w:style w:type="paragraph" w:customStyle="1" w:styleId="RecommendationDash">
    <w:name w:val="Recommendation Dash"/>
    <w:basedOn w:val="RecommendationTextBase"/>
    <w:rsid w:val="002F347C"/>
    <w:pPr>
      <w:numPr>
        <w:ilvl w:val="1"/>
        <w:numId w:val="7"/>
      </w:numPr>
    </w:pPr>
  </w:style>
  <w:style w:type="paragraph" w:customStyle="1" w:styleId="RecommendationDoubleDot">
    <w:name w:val="Recommendation Double Dot"/>
    <w:basedOn w:val="RecommendationTextBase"/>
    <w:rsid w:val="002F347C"/>
    <w:pPr>
      <w:numPr>
        <w:ilvl w:val="2"/>
        <w:numId w:val="7"/>
      </w:numPr>
    </w:pPr>
  </w:style>
  <w:style w:type="character" w:styleId="FollowedHyperlink">
    <w:name w:val="FollowedHyperlink"/>
    <w:basedOn w:val="DefaultParagraphFont"/>
    <w:unhideWhenUsed/>
    <w:rsid w:val="002F347C"/>
    <w:rPr>
      <w:color w:val="auto"/>
      <w:u w:val="none"/>
    </w:rPr>
  </w:style>
  <w:style w:type="paragraph" w:customStyle="1" w:styleId="Heading1NotNumbered">
    <w:name w:val="Heading 1 Not Numbered"/>
    <w:basedOn w:val="HeadingBase"/>
    <w:next w:val="Normal"/>
    <w:rsid w:val="002F347C"/>
    <w:pPr>
      <w:spacing w:before="720" w:after="360"/>
    </w:pPr>
    <w:rPr>
      <w:smallCaps/>
      <w:sz w:val="40"/>
      <w:szCs w:val="36"/>
    </w:rPr>
  </w:style>
  <w:style w:type="paragraph" w:customStyle="1" w:styleId="Heading2NotNumbered">
    <w:name w:val="Heading 2 Not Numbered"/>
    <w:basedOn w:val="HeadingBase"/>
    <w:next w:val="Normal"/>
    <w:rsid w:val="002F347C"/>
    <w:pPr>
      <w:spacing w:before="360" w:after="180"/>
    </w:pPr>
    <w:rPr>
      <w:smallCaps/>
      <w:sz w:val="32"/>
      <w:szCs w:val="28"/>
    </w:rPr>
  </w:style>
  <w:style w:type="paragraph" w:customStyle="1" w:styleId="Heading3NotNumbered">
    <w:name w:val="Heading 3 Not Numbered"/>
    <w:basedOn w:val="HeadingBase"/>
    <w:next w:val="Normal"/>
    <w:rsid w:val="002F347C"/>
    <w:pPr>
      <w:spacing w:before="240" w:after="120"/>
    </w:pPr>
    <w:rPr>
      <w:sz w:val="28"/>
      <w:szCs w:val="26"/>
    </w:rPr>
  </w:style>
  <w:style w:type="paragraph" w:customStyle="1" w:styleId="Heading4NotNumbered">
    <w:name w:val="Heading 4 Not Numbered"/>
    <w:basedOn w:val="HeadingBase"/>
    <w:unhideWhenUsed/>
    <w:rsid w:val="002F347C"/>
    <w:pPr>
      <w:spacing w:before="120" w:after="120"/>
      <w:outlineLvl w:val="3"/>
    </w:pPr>
    <w:rPr>
      <w:i/>
      <w:sz w:val="26"/>
    </w:rPr>
  </w:style>
  <w:style w:type="paragraph" w:styleId="BalloonText">
    <w:name w:val="Balloon Text"/>
    <w:basedOn w:val="Normal"/>
    <w:link w:val="BalloonTextChar"/>
    <w:uiPriority w:val="99"/>
    <w:semiHidden/>
    <w:unhideWhenUsed/>
    <w:rsid w:val="00855D4B"/>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855D4B"/>
    <w:pPr>
      <w:spacing w:after="200" w:line="240" w:lineRule="auto"/>
    </w:pPr>
    <w:rPr>
      <w:b/>
      <w:bCs/>
      <w:color w:val="31A7D4" w:themeColor="accent1"/>
      <w:sz w:val="18"/>
      <w:szCs w:val="18"/>
    </w:rPr>
  </w:style>
  <w:style w:type="character" w:styleId="CommentReference">
    <w:name w:val="annotation reference"/>
    <w:basedOn w:val="DefaultParagraphFont"/>
    <w:semiHidden/>
    <w:rsid w:val="002F347C"/>
    <w:rPr>
      <w:sz w:val="16"/>
      <w:szCs w:val="16"/>
    </w:rPr>
  </w:style>
  <w:style w:type="paragraph" w:styleId="CommentText">
    <w:name w:val="annotation text"/>
    <w:basedOn w:val="Normal"/>
    <w:semiHidden/>
    <w:rsid w:val="002F347C"/>
  </w:style>
  <w:style w:type="paragraph" w:styleId="CommentSubject">
    <w:name w:val="annotation subject"/>
    <w:basedOn w:val="CommentText"/>
    <w:next w:val="CommentText"/>
    <w:semiHidden/>
    <w:rsid w:val="002F347C"/>
    <w:rPr>
      <w:b/>
      <w:bCs/>
    </w:rPr>
  </w:style>
  <w:style w:type="paragraph" w:styleId="DocumentMap">
    <w:name w:val="Document Map"/>
    <w:basedOn w:val="Normal"/>
    <w:semiHidden/>
    <w:rsid w:val="002F347C"/>
    <w:pPr>
      <w:shd w:val="clear" w:color="auto" w:fill="000080"/>
    </w:pPr>
    <w:rPr>
      <w:rFonts w:ascii="Tahoma" w:hAnsi="Tahoma" w:cs="Tahoma"/>
    </w:rPr>
  </w:style>
  <w:style w:type="character" w:styleId="EndnoteReference">
    <w:name w:val="endnote reference"/>
    <w:basedOn w:val="DefaultParagraphFont"/>
    <w:semiHidden/>
    <w:rsid w:val="002F347C"/>
    <w:rPr>
      <w:vertAlign w:val="superscript"/>
    </w:rPr>
  </w:style>
  <w:style w:type="paragraph" w:styleId="EndnoteText">
    <w:name w:val="endnote text"/>
    <w:basedOn w:val="Normal"/>
    <w:semiHidden/>
    <w:rsid w:val="002F347C"/>
  </w:style>
  <w:style w:type="character" w:styleId="FootnoteReference">
    <w:name w:val="footnote reference"/>
    <w:basedOn w:val="DefaultParagraphFont"/>
    <w:unhideWhenUsed/>
    <w:rsid w:val="00855D4B"/>
    <w:rPr>
      <w:vertAlign w:val="superscript"/>
    </w:rPr>
  </w:style>
  <w:style w:type="paragraph" w:styleId="Index1">
    <w:name w:val="index 1"/>
    <w:basedOn w:val="Normal"/>
    <w:next w:val="Normal"/>
    <w:autoRedefine/>
    <w:semiHidden/>
    <w:rsid w:val="002F347C"/>
    <w:pPr>
      <w:ind w:left="200" w:hanging="200"/>
    </w:pPr>
  </w:style>
  <w:style w:type="paragraph" w:styleId="Index2">
    <w:name w:val="index 2"/>
    <w:basedOn w:val="Normal"/>
    <w:next w:val="Normal"/>
    <w:autoRedefine/>
    <w:semiHidden/>
    <w:rsid w:val="002F347C"/>
    <w:pPr>
      <w:ind w:left="400" w:hanging="200"/>
    </w:pPr>
  </w:style>
  <w:style w:type="paragraph" w:styleId="Index3">
    <w:name w:val="index 3"/>
    <w:basedOn w:val="Normal"/>
    <w:next w:val="Normal"/>
    <w:autoRedefine/>
    <w:semiHidden/>
    <w:rsid w:val="002F347C"/>
    <w:pPr>
      <w:ind w:left="600" w:hanging="200"/>
    </w:pPr>
  </w:style>
  <w:style w:type="paragraph" w:styleId="Index4">
    <w:name w:val="index 4"/>
    <w:basedOn w:val="Normal"/>
    <w:next w:val="Normal"/>
    <w:autoRedefine/>
    <w:semiHidden/>
    <w:rsid w:val="002F347C"/>
    <w:pPr>
      <w:ind w:left="800" w:hanging="200"/>
    </w:pPr>
  </w:style>
  <w:style w:type="paragraph" w:styleId="Index5">
    <w:name w:val="index 5"/>
    <w:basedOn w:val="Normal"/>
    <w:next w:val="Normal"/>
    <w:autoRedefine/>
    <w:semiHidden/>
    <w:rsid w:val="002F347C"/>
    <w:pPr>
      <w:ind w:left="1000" w:hanging="200"/>
    </w:pPr>
  </w:style>
  <w:style w:type="paragraph" w:styleId="Index6">
    <w:name w:val="index 6"/>
    <w:basedOn w:val="Normal"/>
    <w:next w:val="Normal"/>
    <w:autoRedefine/>
    <w:semiHidden/>
    <w:rsid w:val="002F347C"/>
    <w:pPr>
      <w:ind w:left="1200" w:hanging="200"/>
    </w:pPr>
  </w:style>
  <w:style w:type="paragraph" w:styleId="Index7">
    <w:name w:val="index 7"/>
    <w:basedOn w:val="Normal"/>
    <w:next w:val="Normal"/>
    <w:autoRedefine/>
    <w:semiHidden/>
    <w:rsid w:val="002F347C"/>
    <w:pPr>
      <w:ind w:left="1400" w:hanging="200"/>
    </w:pPr>
  </w:style>
  <w:style w:type="paragraph" w:styleId="Index8">
    <w:name w:val="index 8"/>
    <w:basedOn w:val="Normal"/>
    <w:next w:val="Normal"/>
    <w:autoRedefine/>
    <w:semiHidden/>
    <w:rsid w:val="002F347C"/>
    <w:pPr>
      <w:ind w:left="1600" w:hanging="200"/>
    </w:pPr>
  </w:style>
  <w:style w:type="paragraph" w:styleId="Index9">
    <w:name w:val="index 9"/>
    <w:basedOn w:val="Normal"/>
    <w:next w:val="Normal"/>
    <w:autoRedefine/>
    <w:semiHidden/>
    <w:rsid w:val="002F347C"/>
    <w:pPr>
      <w:ind w:left="1800" w:hanging="200"/>
    </w:pPr>
  </w:style>
  <w:style w:type="paragraph" w:styleId="IndexHeading">
    <w:name w:val="index heading"/>
    <w:basedOn w:val="Normal"/>
    <w:next w:val="Index1"/>
    <w:semiHidden/>
    <w:rsid w:val="002F347C"/>
    <w:rPr>
      <w:rFonts w:cs="Arial"/>
      <w:b/>
      <w:bCs/>
    </w:rPr>
  </w:style>
  <w:style w:type="paragraph" w:styleId="MacroText">
    <w:name w:val="macro"/>
    <w:semiHidden/>
    <w:rsid w:val="002F347C"/>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2F347C"/>
    <w:pPr>
      <w:ind w:left="200" w:hanging="200"/>
    </w:pPr>
  </w:style>
  <w:style w:type="paragraph" w:styleId="TableofFigures">
    <w:name w:val="table of figures"/>
    <w:basedOn w:val="Normal"/>
    <w:next w:val="Normal"/>
    <w:semiHidden/>
    <w:rsid w:val="002F347C"/>
  </w:style>
  <w:style w:type="paragraph" w:styleId="TOAHeading">
    <w:name w:val="toa heading"/>
    <w:basedOn w:val="Normal"/>
    <w:next w:val="Normal"/>
    <w:semiHidden/>
    <w:rsid w:val="002F347C"/>
    <w:rPr>
      <w:rFonts w:cs="Arial"/>
      <w:b/>
      <w:bCs/>
      <w:szCs w:val="24"/>
    </w:rPr>
  </w:style>
  <w:style w:type="paragraph" w:styleId="TOC5">
    <w:name w:val="toc 5"/>
    <w:basedOn w:val="Normal"/>
    <w:next w:val="Normal"/>
    <w:autoRedefine/>
    <w:semiHidden/>
    <w:rsid w:val="002F347C"/>
    <w:pPr>
      <w:ind w:left="800"/>
    </w:pPr>
  </w:style>
  <w:style w:type="paragraph" w:styleId="TOC6">
    <w:name w:val="toc 6"/>
    <w:basedOn w:val="Normal"/>
    <w:next w:val="Normal"/>
    <w:autoRedefine/>
    <w:semiHidden/>
    <w:rsid w:val="002F347C"/>
    <w:pPr>
      <w:ind w:left="1000"/>
    </w:pPr>
  </w:style>
  <w:style w:type="paragraph" w:styleId="TOC7">
    <w:name w:val="toc 7"/>
    <w:basedOn w:val="Normal"/>
    <w:next w:val="Normal"/>
    <w:autoRedefine/>
    <w:semiHidden/>
    <w:rsid w:val="002F347C"/>
    <w:pPr>
      <w:ind w:left="1200"/>
    </w:pPr>
  </w:style>
  <w:style w:type="paragraph" w:styleId="TOC8">
    <w:name w:val="toc 8"/>
    <w:basedOn w:val="Normal"/>
    <w:next w:val="Normal"/>
    <w:autoRedefine/>
    <w:semiHidden/>
    <w:rsid w:val="002F347C"/>
    <w:pPr>
      <w:ind w:left="1400"/>
    </w:pPr>
  </w:style>
  <w:style w:type="paragraph" w:styleId="TOC9">
    <w:name w:val="toc 9"/>
    <w:basedOn w:val="Normal"/>
    <w:next w:val="Normal"/>
    <w:autoRedefine/>
    <w:semiHidden/>
    <w:rsid w:val="002F347C"/>
    <w:pPr>
      <w:ind w:left="1600"/>
    </w:pPr>
  </w:style>
  <w:style w:type="paragraph" w:customStyle="1" w:styleId="Heading5NotNumbered">
    <w:name w:val="Heading 5 Not Numbered"/>
    <w:basedOn w:val="HeadingBase"/>
    <w:unhideWhenUsed/>
    <w:rsid w:val="002F347C"/>
    <w:pPr>
      <w:spacing w:after="120"/>
      <w:outlineLvl w:val="4"/>
    </w:pPr>
    <w:rPr>
      <w:b/>
      <w:i/>
      <w:sz w:val="22"/>
    </w:rPr>
  </w:style>
  <w:style w:type="table" w:customStyle="1" w:styleId="OptionsTable">
    <w:name w:val="Options Table"/>
    <w:basedOn w:val="TableNormal"/>
    <w:rsid w:val="002F347C"/>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2F347C"/>
    <w:pPr>
      <w:numPr>
        <w:numId w:val="8"/>
      </w:numPr>
    </w:pPr>
  </w:style>
  <w:style w:type="paragraph" w:customStyle="1" w:styleId="OutlineNumbered5">
    <w:name w:val="Outline Numbered 5"/>
    <w:basedOn w:val="Normal"/>
    <w:uiPriority w:val="2"/>
    <w:rsid w:val="002F347C"/>
    <w:pPr>
      <w:numPr>
        <w:ilvl w:val="4"/>
        <w:numId w:val="2"/>
      </w:numPr>
      <w:spacing w:line="280" w:lineRule="exact"/>
      <w:jc w:val="both"/>
    </w:pPr>
  </w:style>
  <w:style w:type="paragraph" w:customStyle="1" w:styleId="Crest">
    <w:name w:val="Crest"/>
    <w:basedOn w:val="Header"/>
    <w:uiPriority w:val="2"/>
    <w:semiHidden/>
    <w:rsid w:val="002F347C"/>
    <w:pPr>
      <w:spacing w:after="480"/>
    </w:pPr>
  </w:style>
  <w:style w:type="character" w:customStyle="1" w:styleId="SingleParagraphChar">
    <w:name w:val="Single Paragraph Char"/>
    <w:basedOn w:val="DefaultParagraphFont"/>
    <w:link w:val="SingleParagraph"/>
    <w:rsid w:val="002F347C"/>
    <w:rPr>
      <w:rFonts w:asciiTheme="minorHAnsi" w:hAnsiTheme="minorHAnsi"/>
      <w:color w:val="000000" w:themeColor="text1"/>
      <w:sz w:val="24"/>
    </w:rPr>
  </w:style>
  <w:style w:type="character" w:customStyle="1" w:styleId="Heading5Char">
    <w:name w:val="Heading 5 Char"/>
    <w:basedOn w:val="DefaultParagraphFont"/>
    <w:link w:val="Heading5"/>
    <w:rsid w:val="00855D4B"/>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855D4B"/>
    <w:rPr>
      <w:rFonts w:ascii="Arial" w:eastAsiaTheme="majorEastAsia" w:hAnsi="Arial" w:cstheme="majorBidi"/>
      <w:b/>
      <w:bCs/>
      <w:iCs/>
      <w:color w:val="31A7D4" w:themeColor="accent1"/>
      <w:sz w:val="26"/>
    </w:rPr>
  </w:style>
  <w:style w:type="character" w:customStyle="1" w:styleId="FooterChar">
    <w:name w:val="Footer Char"/>
    <w:basedOn w:val="DefaultParagraphFont"/>
    <w:link w:val="Footer"/>
    <w:uiPriority w:val="99"/>
    <w:rsid w:val="00855D4B"/>
    <w:rPr>
      <w:rFonts w:ascii="Arial" w:hAnsi="Arial"/>
      <w:color w:val="31A7D4" w:themeColor="accent1"/>
      <w:sz w:val="28"/>
    </w:rPr>
  </w:style>
  <w:style w:type="paragraph" w:customStyle="1" w:styleId="SecurityClassificationFooter">
    <w:name w:val="Security Classification Footer"/>
    <w:link w:val="SecurityClassificationFooterChar"/>
    <w:rsid w:val="002F347C"/>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2F347C"/>
    <w:rPr>
      <w:b/>
      <w:caps/>
      <w:color w:val="009976"/>
      <w:sz w:val="24"/>
    </w:rPr>
  </w:style>
  <w:style w:type="paragraph" w:customStyle="1" w:styleId="MinuteNumber">
    <w:name w:val="Minute Number"/>
    <w:basedOn w:val="Header"/>
    <w:uiPriority w:val="2"/>
    <w:semiHidden/>
    <w:rsid w:val="002F347C"/>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2F347C"/>
    <w:pPr>
      <w:spacing w:before="120"/>
    </w:pPr>
    <w:rPr>
      <w:b w:val="0"/>
      <w:sz w:val="24"/>
    </w:rPr>
  </w:style>
  <w:style w:type="paragraph" w:customStyle="1" w:styleId="QAText">
    <w:name w:val="QA Text"/>
    <w:basedOn w:val="Normal"/>
    <w:unhideWhenUsed/>
    <w:rsid w:val="002F347C"/>
    <w:pPr>
      <w:spacing w:after="120"/>
    </w:pPr>
  </w:style>
  <w:style w:type="paragraph" w:customStyle="1" w:styleId="Copyrightheadings">
    <w:name w:val="Copyright headings"/>
    <w:basedOn w:val="HeadingBase"/>
    <w:uiPriority w:val="2"/>
    <w:rsid w:val="002F347C"/>
    <w:pPr>
      <w:spacing w:after="80"/>
    </w:pPr>
    <w:rPr>
      <w:b/>
      <w:color w:val="000000" w:themeColor="text1"/>
      <w:sz w:val="22"/>
    </w:rPr>
  </w:style>
  <w:style w:type="paragraph" w:customStyle="1" w:styleId="Quotes">
    <w:name w:val="Quotes"/>
    <w:basedOn w:val="Normal"/>
    <w:qFormat/>
    <w:rsid w:val="002F347C"/>
    <w:pPr>
      <w:spacing w:after="120"/>
      <w:ind w:left="567" w:right="423"/>
    </w:pPr>
    <w:rPr>
      <w:color w:val="595959" w:themeColor="text1" w:themeTint="A6"/>
    </w:rPr>
  </w:style>
  <w:style w:type="paragraph" w:customStyle="1" w:styleId="Keymessageheading">
    <w:name w:val="Key message heading"/>
    <w:basedOn w:val="Questionheading"/>
    <w:uiPriority w:val="1"/>
    <w:qFormat/>
    <w:rsid w:val="002F347C"/>
  </w:style>
  <w:style w:type="paragraph" w:customStyle="1" w:styleId="Keyfindingtext">
    <w:name w:val="Key finding text"/>
    <w:basedOn w:val="BoxText"/>
    <w:uiPriority w:val="1"/>
    <w:qFormat/>
    <w:rsid w:val="003B56DF"/>
    <w:pPr>
      <w:numPr>
        <w:numId w:val="17"/>
      </w:numPr>
      <w:ind w:left="357" w:hanging="357"/>
    </w:pPr>
  </w:style>
  <w:style w:type="paragraph" w:customStyle="1" w:styleId="Casestudyboxheading">
    <w:name w:val="Case study box heading"/>
    <w:basedOn w:val="Questionheading"/>
    <w:qFormat/>
    <w:rsid w:val="000319CD"/>
    <w:pPr>
      <w:numPr>
        <w:numId w:val="19"/>
      </w:numPr>
      <w:tabs>
        <w:tab w:val="left" w:pos="113"/>
      </w:tabs>
      <w:ind w:left="357" w:hanging="357"/>
    </w:pPr>
  </w:style>
  <w:style w:type="paragraph" w:customStyle="1" w:styleId="Casestudyboxtext">
    <w:name w:val="Case study box text"/>
    <w:basedOn w:val="BoxText"/>
    <w:qFormat/>
    <w:rsid w:val="002F347C"/>
  </w:style>
  <w:style w:type="paragraph" w:styleId="ListParagraph">
    <w:name w:val="List Paragraph"/>
    <w:basedOn w:val="Normal"/>
    <w:link w:val="ListParagraphChar"/>
    <w:uiPriority w:val="34"/>
    <w:unhideWhenUsed/>
    <w:qFormat/>
    <w:rsid w:val="00855D4B"/>
    <w:pPr>
      <w:ind w:left="720"/>
      <w:contextualSpacing/>
    </w:pPr>
  </w:style>
  <w:style w:type="paragraph" w:customStyle="1" w:styleId="Copyrightheading">
    <w:name w:val="Copyright heading"/>
    <w:basedOn w:val="Normal"/>
    <w:rsid w:val="002F347C"/>
    <w:pPr>
      <w:spacing w:before="200" w:after="120"/>
    </w:pPr>
    <w:rPr>
      <w:rFonts w:eastAsiaTheme="minorHAnsi" w:cstheme="minorBidi"/>
      <w:b/>
      <w:szCs w:val="22"/>
      <w:lang w:eastAsia="en-US"/>
    </w:rPr>
  </w:style>
  <w:style w:type="character" w:styleId="PageNumber">
    <w:name w:val="page number"/>
    <w:basedOn w:val="DefaultParagraphFont"/>
    <w:rsid w:val="002F347C"/>
  </w:style>
  <w:style w:type="paragraph" w:customStyle="1" w:styleId="Source">
    <w:name w:val="Source"/>
    <w:basedOn w:val="Normal"/>
    <w:uiPriority w:val="1"/>
    <w:qFormat/>
    <w:rsid w:val="001C70F5"/>
    <w:pPr>
      <w:spacing w:before="20" w:after="0" w:line="240" w:lineRule="auto"/>
      <w:jc w:val="both"/>
    </w:pPr>
    <w:rPr>
      <w:color w:val="000000" w:themeColor="text1"/>
      <w:sz w:val="18"/>
    </w:rPr>
  </w:style>
  <w:style w:type="paragraph" w:customStyle="1" w:styleId="RecommendationHeading">
    <w:name w:val="Recommendation Heading"/>
    <w:basedOn w:val="HeadingBase"/>
    <w:next w:val="RecommendationText"/>
    <w:qFormat/>
    <w:rsid w:val="001C78F0"/>
    <w:pPr>
      <w:spacing w:before="120" w:after="120"/>
    </w:pPr>
    <w:rPr>
      <w:b/>
      <w:sz w:val="24"/>
    </w:rPr>
  </w:style>
  <w:style w:type="paragraph" w:customStyle="1" w:styleId="RecommendationText">
    <w:name w:val="Recommendation Text"/>
    <w:basedOn w:val="Normal"/>
    <w:qFormat/>
    <w:rsid w:val="004B15D1"/>
    <w:pPr>
      <w:spacing w:after="120"/>
      <w:ind w:left="459" w:hanging="425"/>
    </w:pPr>
    <w:rPr>
      <w:color w:val="000000"/>
    </w:rPr>
  </w:style>
  <w:style w:type="character" w:customStyle="1" w:styleId="FootnoteTextChar">
    <w:name w:val="Footnote Text Char"/>
    <w:basedOn w:val="DefaultParagraphFont"/>
    <w:link w:val="FootnoteText"/>
    <w:uiPriority w:val="99"/>
    <w:rsid w:val="00855D4B"/>
    <w:rPr>
      <w:rFonts w:ascii="Arial" w:hAnsi="Arial"/>
      <w:sz w:val="18"/>
    </w:rPr>
  </w:style>
  <w:style w:type="character" w:customStyle="1" w:styleId="DashChar">
    <w:name w:val="Dash Char"/>
    <w:basedOn w:val="DefaultParagraphFont"/>
    <w:link w:val="Dash"/>
    <w:rsid w:val="001C78F0"/>
    <w:rPr>
      <w:rFonts w:ascii="Arial" w:hAnsi="Arial"/>
      <w:color w:val="000000" w:themeColor="text1"/>
      <w:sz w:val="22"/>
    </w:rPr>
  </w:style>
  <w:style w:type="paragraph" w:customStyle="1" w:styleId="Keyfindingbullet">
    <w:name w:val="Key finding bullet"/>
    <w:basedOn w:val="Keyfindingtext"/>
    <w:uiPriority w:val="1"/>
    <w:qFormat/>
    <w:rsid w:val="001C2E41"/>
    <w:pPr>
      <w:numPr>
        <w:numId w:val="14"/>
      </w:numPr>
    </w:pPr>
    <w:rPr>
      <w:rFonts w:eastAsiaTheme="minorHAnsi"/>
    </w:rPr>
  </w:style>
  <w:style w:type="paragraph" w:customStyle="1" w:styleId="Overviewheading">
    <w:name w:val="Overview heading"/>
    <w:basedOn w:val="Heading2"/>
    <w:qFormat/>
    <w:rsid w:val="00855D4B"/>
    <w:pPr>
      <w:numPr>
        <w:numId w:val="0"/>
      </w:numPr>
      <w:spacing w:after="240"/>
    </w:pPr>
  </w:style>
  <w:style w:type="paragraph" w:styleId="NormalWeb">
    <w:name w:val="Normal (Web)"/>
    <w:basedOn w:val="Normal"/>
    <w:semiHidden/>
    <w:rsid w:val="00CF0E10"/>
    <w:rPr>
      <w:rFonts w:ascii="Times New Roman" w:hAnsi="Times New Roman"/>
      <w:szCs w:val="24"/>
    </w:rPr>
  </w:style>
  <w:style w:type="paragraph" w:styleId="Revision">
    <w:name w:val="Revision"/>
    <w:hidden/>
    <w:uiPriority w:val="99"/>
    <w:semiHidden/>
    <w:rsid w:val="004C3F85"/>
    <w:rPr>
      <w:rFonts w:asciiTheme="minorHAnsi" w:hAnsiTheme="minorHAnsi"/>
      <w:color w:val="000000" w:themeColor="text1"/>
      <w:sz w:val="24"/>
    </w:rPr>
  </w:style>
  <w:style w:type="character" w:customStyle="1" w:styleId="Heading1Char">
    <w:name w:val="Heading 1 Char"/>
    <w:basedOn w:val="DefaultParagraphFont"/>
    <w:link w:val="Heading1"/>
    <w:rsid w:val="00855D4B"/>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790F34"/>
    <w:rPr>
      <w:rFonts w:ascii="Arial" w:hAnsi="Arial" w:cs="Arial"/>
      <w:b/>
      <w:bCs/>
      <w:color w:val="000000" w:themeColor="text1"/>
      <w:kern w:val="32"/>
      <w:sz w:val="40"/>
      <w:szCs w:val="36"/>
    </w:rPr>
  </w:style>
  <w:style w:type="paragraph" w:styleId="Title">
    <w:name w:val="Title"/>
    <w:basedOn w:val="Normal"/>
    <w:next w:val="Normal"/>
    <w:link w:val="TitleChar"/>
    <w:uiPriority w:val="10"/>
    <w:rsid w:val="00855D4B"/>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855D4B"/>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855D4B"/>
    <w:pPr>
      <w:numPr>
        <w:numId w:val="23"/>
      </w:numPr>
      <w:spacing w:after="120"/>
      <w:ind w:left="567" w:hanging="567"/>
      <w:contextualSpacing w:val="0"/>
    </w:pPr>
  </w:style>
  <w:style w:type="paragraph" w:styleId="Quote">
    <w:name w:val="Quote"/>
    <w:basedOn w:val="Normal"/>
    <w:next w:val="Normal"/>
    <w:link w:val="QuoteChar"/>
    <w:uiPriority w:val="29"/>
    <w:qFormat/>
    <w:rsid w:val="00855D4B"/>
    <w:pPr>
      <w:spacing w:before="120"/>
      <w:ind w:left="567"/>
    </w:pPr>
    <w:rPr>
      <w:iCs/>
      <w:color w:val="000000" w:themeColor="text1"/>
    </w:rPr>
  </w:style>
  <w:style w:type="character" w:customStyle="1" w:styleId="QuoteChar">
    <w:name w:val="Quote Char"/>
    <w:basedOn w:val="DefaultParagraphFont"/>
    <w:link w:val="Quote"/>
    <w:uiPriority w:val="29"/>
    <w:rsid w:val="00855D4B"/>
    <w:rPr>
      <w:rFonts w:ascii="Arial" w:hAnsi="Arial"/>
      <w:iCs/>
      <w:color w:val="000000" w:themeColor="text1"/>
      <w:sz w:val="22"/>
    </w:rPr>
  </w:style>
  <w:style w:type="character" w:customStyle="1" w:styleId="Heading3Char">
    <w:name w:val="Heading 3 Char"/>
    <w:basedOn w:val="DefaultParagraphFont"/>
    <w:link w:val="Heading3"/>
    <w:rsid w:val="00855D4B"/>
    <w:rPr>
      <w:rFonts w:ascii="Arial" w:eastAsiaTheme="majorEastAsia" w:hAnsi="Arial" w:cstheme="majorBidi"/>
      <w:b/>
      <w:bCs/>
      <w:color w:val="31A7D4" w:themeColor="accent1"/>
      <w:sz w:val="30"/>
    </w:rPr>
  </w:style>
  <w:style w:type="paragraph" w:customStyle="1" w:styleId="Overviewtext">
    <w:name w:val="Overview text"/>
    <w:basedOn w:val="Normal"/>
    <w:qFormat/>
    <w:rsid w:val="00855D4B"/>
    <w:rPr>
      <w:sz w:val="32"/>
      <w:szCs w:val="32"/>
    </w:rPr>
  </w:style>
  <w:style w:type="paragraph" w:customStyle="1" w:styleId="Singleparagraph0">
    <w:name w:val="Single paragraph"/>
    <w:basedOn w:val="Normal"/>
    <w:qFormat/>
    <w:rsid w:val="00855D4B"/>
    <w:pPr>
      <w:spacing w:after="0" w:line="240" w:lineRule="auto"/>
    </w:pPr>
  </w:style>
  <w:style w:type="character" w:customStyle="1" w:styleId="HeaderChar">
    <w:name w:val="Header Char"/>
    <w:basedOn w:val="DefaultParagraphFont"/>
    <w:link w:val="Header"/>
    <w:uiPriority w:val="99"/>
    <w:rsid w:val="00855D4B"/>
    <w:rPr>
      <w:rFonts w:ascii="Arial" w:hAnsi="Arial"/>
      <w:color w:val="636363" w:themeColor="accent2"/>
      <w:sz w:val="22"/>
    </w:rPr>
  </w:style>
  <w:style w:type="paragraph" w:customStyle="1" w:styleId="Overviewheading2">
    <w:name w:val="Overview heading 2"/>
    <w:basedOn w:val="Heading2"/>
    <w:qFormat/>
    <w:rsid w:val="00855D4B"/>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855D4B"/>
    <w:rPr>
      <w:rFonts w:ascii="Tahoma" w:hAnsi="Tahoma" w:cs="Tahoma"/>
      <w:sz w:val="16"/>
      <w:szCs w:val="16"/>
    </w:rPr>
  </w:style>
  <w:style w:type="paragraph" w:customStyle="1" w:styleId="ChartandTableNote">
    <w:name w:val="Chart and Table Note"/>
    <w:next w:val="Normal"/>
    <w:rsid w:val="00855D4B"/>
    <w:rPr>
      <w:rFonts w:ascii="Arial" w:hAnsi="Arial"/>
      <w:color w:val="000000" w:themeColor="text1"/>
      <w:sz w:val="18"/>
    </w:rPr>
  </w:style>
  <w:style w:type="paragraph" w:customStyle="1" w:styleId="Bullet">
    <w:name w:val="Bullet"/>
    <w:basedOn w:val="Normal"/>
    <w:link w:val="BulletChar"/>
    <w:rsid w:val="00500A2D"/>
    <w:pPr>
      <w:numPr>
        <w:numId w:val="22"/>
      </w:numPr>
      <w:spacing w:after="0" w:line="240" w:lineRule="auto"/>
    </w:pPr>
  </w:style>
  <w:style w:type="character" w:customStyle="1" w:styleId="ListParagraphChar">
    <w:name w:val="List Paragraph Char"/>
    <w:basedOn w:val="DefaultParagraphFont"/>
    <w:link w:val="ListParagraph"/>
    <w:uiPriority w:val="34"/>
    <w:rsid w:val="00500A2D"/>
    <w:rPr>
      <w:rFonts w:ascii="Arial" w:hAnsi="Arial"/>
      <w:sz w:val="22"/>
    </w:rPr>
  </w:style>
  <w:style w:type="character" w:customStyle="1" w:styleId="BulletChar">
    <w:name w:val="Bullet Char"/>
    <w:basedOn w:val="ListParagraphChar"/>
    <w:link w:val="Bullet"/>
    <w:rsid w:val="00500A2D"/>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 w:id="1504279402">
      <w:bodyDiv w:val="1"/>
      <w:marLeft w:val="0"/>
      <w:marRight w:val="0"/>
      <w:marTop w:val="0"/>
      <w:marBottom w:val="0"/>
      <w:divBdr>
        <w:top w:val="none" w:sz="0" w:space="0" w:color="auto"/>
        <w:left w:val="none" w:sz="0" w:space="0" w:color="auto"/>
        <w:bottom w:val="none" w:sz="0" w:space="0" w:color="auto"/>
        <w:right w:val="none" w:sz="0" w:space="0" w:color="auto"/>
      </w:divBdr>
    </w:div>
    <w:div w:id="1550998615">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oecd.org/ctp/taxpolicy/taxdatabase.htm" TargetMode="External"/><Relationship Id="rId3" Type="http://schemas.openxmlformats.org/officeDocument/2006/relationships/customXml" Target="../customXml/item3.xml"/><Relationship Id="rId21" Type="http://schemas.openxmlformats.org/officeDocument/2006/relationships/chart" Target="charts/chart1.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oleObject" Target="http://tweb/sites/rg/project/twptf/twp/20.%20Issues%20Paper/Issues%20Paper%20soft%20close/Charts/03.%20Individuals/3-4%20Top%20marginal%20tax%20rate%20comparison%20OECD.xlsx!Chart!%5b3-4%20Top%20marginal%20tax%20rate%20comparison%20OECD.xlsx%5dChart%20Chart%20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oleObject" Target="http://tweb/sites/rg/project/twptf/twp/20.%20Issues%20Paper/Issues%20Paper%20soft%20close/Charts/03.%20Individuals/3-1%20Average%20and%20marginal%20tax%20rates.xlsx!Chart!%5b3-1%20Average%20and%20marginal%20tax%20rates.xlsx%5dChart%20Chart%204" TargetMode="Externa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4.emf"/><Relationship Id="rId32"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oleObject" Target="http://tweb/sites/rg/project/twptf/twp/20.%20Issues%20Paper/Issues%20Paper%20soft%20close/Charts/03.%20Individuals/3-3%20Employment%20status%20by%20taxable%20income.xlsx!Chart!%5b3-3%20Employment%20status%20by%20taxable%20income.xlsx%5dChart%20Chart%202" TargetMode="External"/><Relationship Id="rId28" Type="http://schemas.openxmlformats.org/officeDocument/2006/relationships/oleObject" Target="http://tweb/sites/rg/project/twptf/twp/20.%20Issues%20Paper/Issues%20Paper%20soft%20close/Charts/03.%20Individuals/3-5%20Use%20of%20concessions%20and%20losses,%20by%20total%20income%202011-12.xlsx!Chart!%5b3-5%20Use%20of%20concessions%20and%20losses,%20by%20total%20income%202011-12.xlsx%5dChart%20Chart%202" TargetMode="External"/><Relationship Id="rId10" Type="http://schemas.openxmlformats.org/officeDocument/2006/relationships/webSettings" Target="webSettings.xml"/><Relationship Id="rId19" Type="http://schemas.openxmlformats.org/officeDocument/2006/relationships/image" Target="media/image2.emf"/><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3.emf"/><Relationship Id="rId27" Type="http://schemas.openxmlformats.org/officeDocument/2006/relationships/image" Target="media/image5.emf"/><Relationship Id="rId30" Type="http://schemas.openxmlformats.org/officeDocument/2006/relationships/oleObject" Target="http://tweb/sites/rg/project/twptf/twp/20.%20Issues%20Paper/Issues%20Paper%20soft%20close/Charts/03.%20Individuals/3-6%20Major%20sources%20of%20income%20and%20deductions%202011%2012%20PTTU.xlsx!Chart!%5b3-6%20Major%20sources%20of%20income%20and%20deductions%202011%2012%20PTTU.xlsx%5dChart%20Chart%20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treasury.govt.nz/budget/2012/taxpayers/02.htm" TargetMode="External"/><Relationship Id="rId2" Type="http://schemas.openxmlformats.org/officeDocument/2006/relationships/hyperlink" Target="http://www.ird.govt.nz/aboutir/external-stats/tax-returns/returns-filed/" TargetMode="External"/><Relationship Id="rId1" Type="http://schemas.openxmlformats.org/officeDocument/2006/relationships/hyperlink" Target="http://stats.oecd.org/Index.aspx?DataSetCode=LFS_SEXAGE_I_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http://tweb/sites/rg/project/twptf/twp/20.%20Issues%20Paper/Issues%20Paper%20soft%20close/Charts/03.%20Individuals/3-2%20Who%20paid%20individuals%20tax%202011-1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4011469534050179E-2"/>
          <c:y val="0.10818928571428571"/>
          <c:w val="0.80867688172043006"/>
          <c:h val="0.74938095238095226"/>
        </c:manualLayout>
      </c:layout>
      <c:barChart>
        <c:barDir val="col"/>
        <c:grouping val="clustered"/>
        <c:varyColors val="0"/>
        <c:ser>
          <c:idx val="0"/>
          <c:order val="0"/>
          <c:tx>
            <c:v>Number of taxpayers (left axis)</c:v>
          </c:tx>
          <c:spPr>
            <a:solidFill>
              <a:schemeClr val="accent1">
                <a:alpha val="80000"/>
              </a:schemeClr>
            </a:solidFill>
          </c:spPr>
          <c:invertIfNegative val="0"/>
          <c:cat>
            <c:numRef>
              <c:f>Taxpayers!$A$7:$A$207</c:f>
              <c:numCache>
                <c:formatCode>#,##0</c:formatCode>
                <c:ptCount val="201"/>
                <c:pt idx="0" formatCode="General">
                  <c:v>0</c:v>
                </c:pt>
                <c:pt idx="1">
                  <c:v>1000</c:v>
                </c:pt>
                <c:pt idx="2">
                  <c:v>2000</c:v>
                </c:pt>
                <c:pt idx="3">
                  <c:v>3000</c:v>
                </c:pt>
                <c:pt idx="4">
                  <c:v>4000</c:v>
                </c:pt>
                <c:pt idx="5">
                  <c:v>5000</c:v>
                </c:pt>
                <c:pt idx="6">
                  <c:v>6000</c:v>
                </c:pt>
                <c:pt idx="7">
                  <c:v>7000</c:v>
                </c:pt>
                <c:pt idx="8">
                  <c:v>8000</c:v>
                </c:pt>
                <c:pt idx="9">
                  <c:v>9000</c:v>
                </c:pt>
                <c:pt idx="10">
                  <c:v>10000</c:v>
                </c:pt>
                <c:pt idx="11">
                  <c:v>11000</c:v>
                </c:pt>
                <c:pt idx="12">
                  <c:v>12000</c:v>
                </c:pt>
                <c:pt idx="13">
                  <c:v>13000</c:v>
                </c:pt>
                <c:pt idx="14">
                  <c:v>14000</c:v>
                </c:pt>
                <c:pt idx="15">
                  <c:v>15000</c:v>
                </c:pt>
                <c:pt idx="16">
                  <c:v>16000</c:v>
                </c:pt>
                <c:pt idx="17">
                  <c:v>17000</c:v>
                </c:pt>
                <c:pt idx="18">
                  <c:v>18000</c:v>
                </c:pt>
                <c:pt idx="19">
                  <c:v>19000</c:v>
                </c:pt>
                <c:pt idx="20">
                  <c:v>20000</c:v>
                </c:pt>
                <c:pt idx="21">
                  <c:v>21000</c:v>
                </c:pt>
                <c:pt idx="22">
                  <c:v>22000</c:v>
                </c:pt>
                <c:pt idx="23">
                  <c:v>23000</c:v>
                </c:pt>
                <c:pt idx="24">
                  <c:v>24000</c:v>
                </c:pt>
                <c:pt idx="25">
                  <c:v>25000</c:v>
                </c:pt>
                <c:pt idx="26">
                  <c:v>26000</c:v>
                </c:pt>
                <c:pt idx="27">
                  <c:v>27000</c:v>
                </c:pt>
                <c:pt idx="28">
                  <c:v>28000</c:v>
                </c:pt>
                <c:pt idx="29">
                  <c:v>29000</c:v>
                </c:pt>
                <c:pt idx="30">
                  <c:v>30000</c:v>
                </c:pt>
                <c:pt idx="31">
                  <c:v>31000</c:v>
                </c:pt>
                <c:pt idx="32">
                  <c:v>32000</c:v>
                </c:pt>
                <c:pt idx="33">
                  <c:v>33000</c:v>
                </c:pt>
                <c:pt idx="34">
                  <c:v>34000</c:v>
                </c:pt>
                <c:pt idx="35">
                  <c:v>35000</c:v>
                </c:pt>
                <c:pt idx="36">
                  <c:v>36000</c:v>
                </c:pt>
                <c:pt idx="37">
                  <c:v>37000</c:v>
                </c:pt>
                <c:pt idx="38">
                  <c:v>38000</c:v>
                </c:pt>
                <c:pt idx="39">
                  <c:v>39000</c:v>
                </c:pt>
                <c:pt idx="40">
                  <c:v>40000</c:v>
                </c:pt>
                <c:pt idx="41">
                  <c:v>41000</c:v>
                </c:pt>
                <c:pt idx="42">
                  <c:v>42000</c:v>
                </c:pt>
                <c:pt idx="43">
                  <c:v>43000</c:v>
                </c:pt>
                <c:pt idx="44">
                  <c:v>44000</c:v>
                </c:pt>
                <c:pt idx="45">
                  <c:v>45000</c:v>
                </c:pt>
                <c:pt idx="46">
                  <c:v>46000</c:v>
                </c:pt>
                <c:pt idx="47">
                  <c:v>47000</c:v>
                </c:pt>
                <c:pt idx="48">
                  <c:v>48000</c:v>
                </c:pt>
                <c:pt idx="49">
                  <c:v>49000</c:v>
                </c:pt>
                <c:pt idx="50">
                  <c:v>50000</c:v>
                </c:pt>
                <c:pt idx="51">
                  <c:v>51000</c:v>
                </c:pt>
                <c:pt idx="52">
                  <c:v>52000</c:v>
                </c:pt>
                <c:pt idx="53">
                  <c:v>53000</c:v>
                </c:pt>
                <c:pt idx="54">
                  <c:v>54000</c:v>
                </c:pt>
                <c:pt idx="55">
                  <c:v>55000</c:v>
                </c:pt>
                <c:pt idx="56">
                  <c:v>56000</c:v>
                </c:pt>
                <c:pt idx="57">
                  <c:v>57000</c:v>
                </c:pt>
                <c:pt idx="58">
                  <c:v>58000</c:v>
                </c:pt>
                <c:pt idx="59">
                  <c:v>59000</c:v>
                </c:pt>
                <c:pt idx="60">
                  <c:v>60000</c:v>
                </c:pt>
                <c:pt idx="61">
                  <c:v>61000</c:v>
                </c:pt>
                <c:pt idx="62">
                  <c:v>62000</c:v>
                </c:pt>
                <c:pt idx="63">
                  <c:v>63000</c:v>
                </c:pt>
                <c:pt idx="64">
                  <c:v>64000</c:v>
                </c:pt>
                <c:pt idx="65">
                  <c:v>65000</c:v>
                </c:pt>
                <c:pt idx="66">
                  <c:v>66000</c:v>
                </c:pt>
                <c:pt idx="67">
                  <c:v>67000</c:v>
                </c:pt>
                <c:pt idx="68">
                  <c:v>68000</c:v>
                </c:pt>
                <c:pt idx="69">
                  <c:v>69000</c:v>
                </c:pt>
                <c:pt idx="70">
                  <c:v>70000</c:v>
                </c:pt>
                <c:pt idx="71">
                  <c:v>71000</c:v>
                </c:pt>
                <c:pt idx="72">
                  <c:v>72000</c:v>
                </c:pt>
                <c:pt idx="73">
                  <c:v>73000</c:v>
                </c:pt>
                <c:pt idx="74">
                  <c:v>74000</c:v>
                </c:pt>
                <c:pt idx="75">
                  <c:v>75000</c:v>
                </c:pt>
                <c:pt idx="76">
                  <c:v>76000</c:v>
                </c:pt>
                <c:pt idx="77">
                  <c:v>77000</c:v>
                </c:pt>
                <c:pt idx="78">
                  <c:v>78000</c:v>
                </c:pt>
                <c:pt idx="79">
                  <c:v>79000</c:v>
                </c:pt>
                <c:pt idx="80">
                  <c:v>80000</c:v>
                </c:pt>
                <c:pt idx="81">
                  <c:v>81000</c:v>
                </c:pt>
                <c:pt idx="82">
                  <c:v>82000</c:v>
                </c:pt>
                <c:pt idx="83">
                  <c:v>83000</c:v>
                </c:pt>
                <c:pt idx="84">
                  <c:v>84000</c:v>
                </c:pt>
                <c:pt idx="85">
                  <c:v>85000</c:v>
                </c:pt>
                <c:pt idx="86">
                  <c:v>86000</c:v>
                </c:pt>
                <c:pt idx="87">
                  <c:v>87000</c:v>
                </c:pt>
                <c:pt idx="88">
                  <c:v>88000</c:v>
                </c:pt>
                <c:pt idx="89">
                  <c:v>89000</c:v>
                </c:pt>
                <c:pt idx="90">
                  <c:v>90000</c:v>
                </c:pt>
                <c:pt idx="91">
                  <c:v>91000</c:v>
                </c:pt>
                <c:pt idx="92">
                  <c:v>92000</c:v>
                </c:pt>
                <c:pt idx="93">
                  <c:v>93000</c:v>
                </c:pt>
                <c:pt idx="94">
                  <c:v>94000</c:v>
                </c:pt>
                <c:pt idx="95">
                  <c:v>95000</c:v>
                </c:pt>
                <c:pt idx="96">
                  <c:v>96000</c:v>
                </c:pt>
                <c:pt idx="97">
                  <c:v>97000</c:v>
                </c:pt>
                <c:pt idx="98">
                  <c:v>98000</c:v>
                </c:pt>
                <c:pt idx="99">
                  <c:v>99000</c:v>
                </c:pt>
                <c:pt idx="100">
                  <c:v>100000</c:v>
                </c:pt>
                <c:pt idx="101">
                  <c:v>101000</c:v>
                </c:pt>
                <c:pt idx="102">
                  <c:v>102000</c:v>
                </c:pt>
                <c:pt idx="103">
                  <c:v>103000</c:v>
                </c:pt>
                <c:pt idx="104">
                  <c:v>104000</c:v>
                </c:pt>
                <c:pt idx="105">
                  <c:v>105000</c:v>
                </c:pt>
                <c:pt idx="106">
                  <c:v>106000</c:v>
                </c:pt>
                <c:pt idx="107">
                  <c:v>107000</c:v>
                </c:pt>
                <c:pt idx="108">
                  <c:v>108000</c:v>
                </c:pt>
                <c:pt idx="109">
                  <c:v>109000</c:v>
                </c:pt>
                <c:pt idx="110">
                  <c:v>110000</c:v>
                </c:pt>
                <c:pt idx="111">
                  <c:v>111000</c:v>
                </c:pt>
                <c:pt idx="112">
                  <c:v>112000</c:v>
                </c:pt>
                <c:pt idx="113">
                  <c:v>113000</c:v>
                </c:pt>
                <c:pt idx="114">
                  <c:v>114000</c:v>
                </c:pt>
                <c:pt idx="115">
                  <c:v>115000</c:v>
                </c:pt>
                <c:pt idx="116">
                  <c:v>116000</c:v>
                </c:pt>
                <c:pt idx="117">
                  <c:v>117000</c:v>
                </c:pt>
                <c:pt idx="118">
                  <c:v>118000</c:v>
                </c:pt>
                <c:pt idx="119">
                  <c:v>119000</c:v>
                </c:pt>
                <c:pt idx="120">
                  <c:v>120000</c:v>
                </c:pt>
                <c:pt idx="121">
                  <c:v>121000</c:v>
                </c:pt>
                <c:pt idx="122">
                  <c:v>122000</c:v>
                </c:pt>
                <c:pt idx="123">
                  <c:v>123000</c:v>
                </c:pt>
                <c:pt idx="124">
                  <c:v>124000</c:v>
                </c:pt>
                <c:pt idx="125">
                  <c:v>125000</c:v>
                </c:pt>
                <c:pt idx="126">
                  <c:v>126000</c:v>
                </c:pt>
                <c:pt idx="127">
                  <c:v>127000</c:v>
                </c:pt>
                <c:pt idx="128">
                  <c:v>128000</c:v>
                </c:pt>
                <c:pt idx="129">
                  <c:v>129000</c:v>
                </c:pt>
                <c:pt idx="130">
                  <c:v>130000</c:v>
                </c:pt>
                <c:pt idx="131">
                  <c:v>131000</c:v>
                </c:pt>
                <c:pt idx="132">
                  <c:v>132000</c:v>
                </c:pt>
                <c:pt idx="133">
                  <c:v>133000</c:v>
                </c:pt>
                <c:pt idx="134">
                  <c:v>134000</c:v>
                </c:pt>
                <c:pt idx="135">
                  <c:v>135000</c:v>
                </c:pt>
                <c:pt idx="136">
                  <c:v>136000</c:v>
                </c:pt>
                <c:pt idx="137">
                  <c:v>137000</c:v>
                </c:pt>
                <c:pt idx="138">
                  <c:v>138000</c:v>
                </c:pt>
                <c:pt idx="139">
                  <c:v>139000</c:v>
                </c:pt>
                <c:pt idx="140">
                  <c:v>140000</c:v>
                </c:pt>
                <c:pt idx="141">
                  <c:v>141000</c:v>
                </c:pt>
                <c:pt idx="142">
                  <c:v>142000</c:v>
                </c:pt>
                <c:pt idx="143">
                  <c:v>143000</c:v>
                </c:pt>
                <c:pt idx="144">
                  <c:v>144000</c:v>
                </c:pt>
                <c:pt idx="145">
                  <c:v>145000</c:v>
                </c:pt>
                <c:pt idx="146">
                  <c:v>146000</c:v>
                </c:pt>
                <c:pt idx="147">
                  <c:v>147000</c:v>
                </c:pt>
                <c:pt idx="148">
                  <c:v>148000</c:v>
                </c:pt>
                <c:pt idx="149">
                  <c:v>149000</c:v>
                </c:pt>
                <c:pt idx="150">
                  <c:v>150000</c:v>
                </c:pt>
                <c:pt idx="151">
                  <c:v>151000</c:v>
                </c:pt>
                <c:pt idx="152">
                  <c:v>152000</c:v>
                </c:pt>
                <c:pt idx="153">
                  <c:v>153000</c:v>
                </c:pt>
                <c:pt idx="154">
                  <c:v>154000</c:v>
                </c:pt>
                <c:pt idx="155">
                  <c:v>155000</c:v>
                </c:pt>
                <c:pt idx="156">
                  <c:v>156000</c:v>
                </c:pt>
                <c:pt idx="157">
                  <c:v>157000</c:v>
                </c:pt>
                <c:pt idx="158">
                  <c:v>158000</c:v>
                </c:pt>
                <c:pt idx="159">
                  <c:v>159000</c:v>
                </c:pt>
                <c:pt idx="160">
                  <c:v>160000</c:v>
                </c:pt>
                <c:pt idx="161">
                  <c:v>161000</c:v>
                </c:pt>
                <c:pt idx="162">
                  <c:v>162000</c:v>
                </c:pt>
                <c:pt idx="163">
                  <c:v>163000</c:v>
                </c:pt>
                <c:pt idx="164">
                  <c:v>164000</c:v>
                </c:pt>
                <c:pt idx="165">
                  <c:v>165000</c:v>
                </c:pt>
                <c:pt idx="166">
                  <c:v>166000</c:v>
                </c:pt>
                <c:pt idx="167">
                  <c:v>167000</c:v>
                </c:pt>
                <c:pt idx="168">
                  <c:v>168000</c:v>
                </c:pt>
                <c:pt idx="169">
                  <c:v>169000</c:v>
                </c:pt>
                <c:pt idx="170">
                  <c:v>170000</c:v>
                </c:pt>
                <c:pt idx="171">
                  <c:v>171000</c:v>
                </c:pt>
                <c:pt idx="172">
                  <c:v>172000</c:v>
                </c:pt>
                <c:pt idx="173">
                  <c:v>173000</c:v>
                </c:pt>
                <c:pt idx="174">
                  <c:v>174000</c:v>
                </c:pt>
                <c:pt idx="175">
                  <c:v>175000</c:v>
                </c:pt>
                <c:pt idx="176">
                  <c:v>176000</c:v>
                </c:pt>
                <c:pt idx="177">
                  <c:v>177000</c:v>
                </c:pt>
                <c:pt idx="178">
                  <c:v>178000</c:v>
                </c:pt>
                <c:pt idx="179">
                  <c:v>179000</c:v>
                </c:pt>
                <c:pt idx="180">
                  <c:v>180000</c:v>
                </c:pt>
                <c:pt idx="181">
                  <c:v>181000</c:v>
                </c:pt>
                <c:pt idx="182">
                  <c:v>182000</c:v>
                </c:pt>
                <c:pt idx="183">
                  <c:v>183000</c:v>
                </c:pt>
                <c:pt idx="184">
                  <c:v>184000</c:v>
                </c:pt>
                <c:pt idx="185">
                  <c:v>185000</c:v>
                </c:pt>
                <c:pt idx="186">
                  <c:v>186000</c:v>
                </c:pt>
                <c:pt idx="187">
                  <c:v>187000</c:v>
                </c:pt>
                <c:pt idx="188">
                  <c:v>188000</c:v>
                </c:pt>
                <c:pt idx="189">
                  <c:v>189000</c:v>
                </c:pt>
                <c:pt idx="190">
                  <c:v>190000</c:v>
                </c:pt>
                <c:pt idx="191">
                  <c:v>191000</c:v>
                </c:pt>
                <c:pt idx="192">
                  <c:v>192000</c:v>
                </c:pt>
                <c:pt idx="193">
                  <c:v>193000</c:v>
                </c:pt>
                <c:pt idx="194">
                  <c:v>194000</c:v>
                </c:pt>
                <c:pt idx="195">
                  <c:v>195000</c:v>
                </c:pt>
                <c:pt idx="196">
                  <c:v>196000</c:v>
                </c:pt>
                <c:pt idx="197">
                  <c:v>197000</c:v>
                </c:pt>
                <c:pt idx="198">
                  <c:v>198000</c:v>
                </c:pt>
                <c:pt idx="199">
                  <c:v>199000</c:v>
                </c:pt>
                <c:pt idx="200">
                  <c:v>200000</c:v>
                </c:pt>
              </c:numCache>
            </c:numRef>
          </c:cat>
          <c:val>
            <c:numRef>
              <c:f>Taxpayers!$B$7:$B$207</c:f>
              <c:numCache>
                <c:formatCode>General</c:formatCode>
                <c:ptCount val="201"/>
                <c:pt idx="0">
                  <c:v>8571</c:v>
                </c:pt>
                <c:pt idx="1">
                  <c:v>4477</c:v>
                </c:pt>
                <c:pt idx="2">
                  <c:v>3406</c:v>
                </c:pt>
                <c:pt idx="3">
                  <c:v>3035</c:v>
                </c:pt>
                <c:pt idx="4">
                  <c:v>2725</c:v>
                </c:pt>
                <c:pt idx="5">
                  <c:v>2778</c:v>
                </c:pt>
                <c:pt idx="6">
                  <c:v>4023</c:v>
                </c:pt>
                <c:pt idx="7">
                  <c:v>3484</c:v>
                </c:pt>
                <c:pt idx="8">
                  <c:v>3038</c:v>
                </c:pt>
                <c:pt idx="9">
                  <c:v>2652</c:v>
                </c:pt>
                <c:pt idx="10">
                  <c:v>2339</c:v>
                </c:pt>
                <c:pt idx="11">
                  <c:v>2343</c:v>
                </c:pt>
                <c:pt idx="12">
                  <c:v>3099</c:v>
                </c:pt>
                <c:pt idx="13">
                  <c:v>3821</c:v>
                </c:pt>
                <c:pt idx="14">
                  <c:v>4433</c:v>
                </c:pt>
                <c:pt idx="15">
                  <c:v>5042</c:v>
                </c:pt>
                <c:pt idx="16">
                  <c:v>98388</c:v>
                </c:pt>
                <c:pt idx="17">
                  <c:v>100779</c:v>
                </c:pt>
                <c:pt idx="18">
                  <c:v>105291</c:v>
                </c:pt>
                <c:pt idx="19">
                  <c:v>126781</c:v>
                </c:pt>
                <c:pt idx="20">
                  <c:v>133710</c:v>
                </c:pt>
                <c:pt idx="21">
                  <c:v>130981</c:v>
                </c:pt>
                <c:pt idx="22">
                  <c:v>129506</c:v>
                </c:pt>
                <c:pt idx="23">
                  <c:v>127671</c:v>
                </c:pt>
                <c:pt idx="24">
                  <c:v>127444</c:v>
                </c:pt>
                <c:pt idx="25">
                  <c:v>128201</c:v>
                </c:pt>
                <c:pt idx="26">
                  <c:v>129538</c:v>
                </c:pt>
                <c:pt idx="27">
                  <c:v>132968</c:v>
                </c:pt>
                <c:pt idx="28">
                  <c:v>134807</c:v>
                </c:pt>
                <c:pt idx="29">
                  <c:v>140093</c:v>
                </c:pt>
                <c:pt idx="30">
                  <c:v>145146</c:v>
                </c:pt>
                <c:pt idx="31">
                  <c:v>153890</c:v>
                </c:pt>
                <c:pt idx="32">
                  <c:v>154894</c:v>
                </c:pt>
                <c:pt idx="33">
                  <c:v>157591</c:v>
                </c:pt>
                <c:pt idx="34">
                  <c:v>161334</c:v>
                </c:pt>
                <c:pt idx="35">
                  <c:v>164520</c:v>
                </c:pt>
                <c:pt idx="36">
                  <c:v>183447</c:v>
                </c:pt>
                <c:pt idx="37">
                  <c:v>173072</c:v>
                </c:pt>
                <c:pt idx="38">
                  <c:v>165792</c:v>
                </c:pt>
                <c:pt idx="39">
                  <c:v>164656</c:v>
                </c:pt>
                <c:pt idx="40">
                  <c:v>160525</c:v>
                </c:pt>
                <c:pt idx="41">
                  <c:v>156883</c:v>
                </c:pt>
                <c:pt idx="42">
                  <c:v>154104</c:v>
                </c:pt>
                <c:pt idx="43">
                  <c:v>150668</c:v>
                </c:pt>
                <c:pt idx="44">
                  <c:v>148415</c:v>
                </c:pt>
                <c:pt idx="45">
                  <c:v>144522</c:v>
                </c:pt>
                <c:pt idx="46">
                  <c:v>143548</c:v>
                </c:pt>
                <c:pt idx="47">
                  <c:v>138184</c:v>
                </c:pt>
                <c:pt idx="48">
                  <c:v>133340</c:v>
                </c:pt>
                <c:pt idx="49">
                  <c:v>132933</c:v>
                </c:pt>
                <c:pt idx="50">
                  <c:v>127337</c:v>
                </c:pt>
                <c:pt idx="51">
                  <c:v>124513</c:v>
                </c:pt>
                <c:pt idx="52">
                  <c:v>120717</c:v>
                </c:pt>
                <c:pt idx="53">
                  <c:v>117120</c:v>
                </c:pt>
                <c:pt idx="54">
                  <c:v>116061</c:v>
                </c:pt>
                <c:pt idx="55">
                  <c:v>112708</c:v>
                </c:pt>
                <c:pt idx="56">
                  <c:v>110513</c:v>
                </c:pt>
                <c:pt idx="57">
                  <c:v>107754</c:v>
                </c:pt>
                <c:pt idx="58">
                  <c:v>105371</c:v>
                </c:pt>
                <c:pt idx="59">
                  <c:v>104379</c:v>
                </c:pt>
                <c:pt idx="60">
                  <c:v>101499</c:v>
                </c:pt>
                <c:pt idx="61">
                  <c:v>97812</c:v>
                </c:pt>
                <c:pt idx="62">
                  <c:v>95357</c:v>
                </c:pt>
                <c:pt idx="63">
                  <c:v>93524</c:v>
                </c:pt>
                <c:pt idx="64">
                  <c:v>91305</c:v>
                </c:pt>
                <c:pt idx="65">
                  <c:v>88473</c:v>
                </c:pt>
                <c:pt idx="66">
                  <c:v>85650</c:v>
                </c:pt>
                <c:pt idx="67">
                  <c:v>82571</c:v>
                </c:pt>
                <c:pt idx="68">
                  <c:v>80500</c:v>
                </c:pt>
                <c:pt idx="69">
                  <c:v>79303</c:v>
                </c:pt>
                <c:pt idx="70">
                  <c:v>77351</c:v>
                </c:pt>
                <c:pt idx="71">
                  <c:v>75500</c:v>
                </c:pt>
                <c:pt idx="72">
                  <c:v>73848</c:v>
                </c:pt>
                <c:pt idx="73">
                  <c:v>71742</c:v>
                </c:pt>
                <c:pt idx="74">
                  <c:v>71091</c:v>
                </c:pt>
                <c:pt idx="75">
                  <c:v>69085</c:v>
                </c:pt>
                <c:pt idx="76">
                  <c:v>68367</c:v>
                </c:pt>
                <c:pt idx="77">
                  <c:v>67406</c:v>
                </c:pt>
                <c:pt idx="78">
                  <c:v>69155</c:v>
                </c:pt>
                <c:pt idx="79">
                  <c:v>90189</c:v>
                </c:pt>
                <c:pt idx="80">
                  <c:v>67418</c:v>
                </c:pt>
                <c:pt idx="81">
                  <c:v>60786</c:v>
                </c:pt>
                <c:pt idx="82">
                  <c:v>57808</c:v>
                </c:pt>
                <c:pt idx="83">
                  <c:v>55271</c:v>
                </c:pt>
                <c:pt idx="84">
                  <c:v>53076</c:v>
                </c:pt>
                <c:pt idx="85">
                  <c:v>50266</c:v>
                </c:pt>
                <c:pt idx="86">
                  <c:v>48366</c:v>
                </c:pt>
                <c:pt idx="87">
                  <c:v>45861</c:v>
                </c:pt>
                <c:pt idx="88">
                  <c:v>44725</c:v>
                </c:pt>
                <c:pt idx="89">
                  <c:v>42895</c:v>
                </c:pt>
                <c:pt idx="90">
                  <c:v>41126</c:v>
                </c:pt>
                <c:pt idx="91">
                  <c:v>39613</c:v>
                </c:pt>
                <c:pt idx="92">
                  <c:v>38117</c:v>
                </c:pt>
                <c:pt idx="93">
                  <c:v>37024</c:v>
                </c:pt>
                <c:pt idx="94">
                  <c:v>35901</c:v>
                </c:pt>
                <c:pt idx="95">
                  <c:v>34190</c:v>
                </c:pt>
                <c:pt idx="96">
                  <c:v>33669</c:v>
                </c:pt>
                <c:pt idx="97">
                  <c:v>32454</c:v>
                </c:pt>
                <c:pt idx="98">
                  <c:v>31441</c:v>
                </c:pt>
                <c:pt idx="99">
                  <c:v>31150</c:v>
                </c:pt>
                <c:pt idx="100">
                  <c:v>29651</c:v>
                </c:pt>
                <c:pt idx="101">
                  <c:v>28419</c:v>
                </c:pt>
                <c:pt idx="102">
                  <c:v>27255</c:v>
                </c:pt>
                <c:pt idx="103">
                  <c:v>26123</c:v>
                </c:pt>
                <c:pt idx="104">
                  <c:v>25414</c:v>
                </c:pt>
                <c:pt idx="105">
                  <c:v>24496</c:v>
                </c:pt>
                <c:pt idx="106">
                  <c:v>23567</c:v>
                </c:pt>
                <c:pt idx="107">
                  <c:v>23061</c:v>
                </c:pt>
                <c:pt idx="108">
                  <c:v>22418</c:v>
                </c:pt>
                <c:pt idx="109">
                  <c:v>21614</c:v>
                </c:pt>
                <c:pt idx="110">
                  <c:v>21041</c:v>
                </c:pt>
                <c:pt idx="111">
                  <c:v>20470</c:v>
                </c:pt>
                <c:pt idx="112">
                  <c:v>19777</c:v>
                </c:pt>
                <c:pt idx="113">
                  <c:v>19263</c:v>
                </c:pt>
                <c:pt idx="114">
                  <c:v>19290</c:v>
                </c:pt>
                <c:pt idx="115">
                  <c:v>18506</c:v>
                </c:pt>
                <c:pt idx="116">
                  <c:v>17956</c:v>
                </c:pt>
                <c:pt idx="117">
                  <c:v>17289</c:v>
                </c:pt>
                <c:pt idx="118">
                  <c:v>16631</c:v>
                </c:pt>
                <c:pt idx="119">
                  <c:v>16551</c:v>
                </c:pt>
                <c:pt idx="120">
                  <c:v>15960</c:v>
                </c:pt>
                <c:pt idx="121">
                  <c:v>15507</c:v>
                </c:pt>
                <c:pt idx="122">
                  <c:v>15055</c:v>
                </c:pt>
                <c:pt idx="123">
                  <c:v>14701</c:v>
                </c:pt>
                <c:pt idx="124">
                  <c:v>14535</c:v>
                </c:pt>
                <c:pt idx="125">
                  <c:v>14182</c:v>
                </c:pt>
                <c:pt idx="126">
                  <c:v>13675</c:v>
                </c:pt>
                <c:pt idx="127">
                  <c:v>13513</c:v>
                </c:pt>
                <c:pt idx="128">
                  <c:v>13008</c:v>
                </c:pt>
                <c:pt idx="129">
                  <c:v>12950</c:v>
                </c:pt>
                <c:pt idx="130">
                  <c:v>12144</c:v>
                </c:pt>
                <c:pt idx="131">
                  <c:v>12037</c:v>
                </c:pt>
                <c:pt idx="132">
                  <c:v>11821</c:v>
                </c:pt>
                <c:pt idx="133">
                  <c:v>11496</c:v>
                </c:pt>
                <c:pt idx="134">
                  <c:v>11259</c:v>
                </c:pt>
                <c:pt idx="135">
                  <c:v>10824</c:v>
                </c:pt>
                <c:pt idx="136">
                  <c:v>10741</c:v>
                </c:pt>
                <c:pt idx="137">
                  <c:v>10251</c:v>
                </c:pt>
                <c:pt idx="138">
                  <c:v>10025</c:v>
                </c:pt>
                <c:pt idx="139">
                  <c:v>9781</c:v>
                </c:pt>
                <c:pt idx="140">
                  <c:v>9545</c:v>
                </c:pt>
                <c:pt idx="141">
                  <c:v>9355</c:v>
                </c:pt>
                <c:pt idx="142">
                  <c:v>9212</c:v>
                </c:pt>
                <c:pt idx="143">
                  <c:v>8855</c:v>
                </c:pt>
                <c:pt idx="144">
                  <c:v>8653</c:v>
                </c:pt>
                <c:pt idx="145">
                  <c:v>8558</c:v>
                </c:pt>
                <c:pt idx="146">
                  <c:v>8405</c:v>
                </c:pt>
                <c:pt idx="147">
                  <c:v>8109</c:v>
                </c:pt>
                <c:pt idx="148">
                  <c:v>8059</c:v>
                </c:pt>
                <c:pt idx="149">
                  <c:v>8303</c:v>
                </c:pt>
                <c:pt idx="150">
                  <c:v>7571</c:v>
                </c:pt>
                <c:pt idx="151">
                  <c:v>7349</c:v>
                </c:pt>
                <c:pt idx="152">
                  <c:v>7139</c:v>
                </c:pt>
                <c:pt idx="153">
                  <c:v>6929</c:v>
                </c:pt>
                <c:pt idx="154">
                  <c:v>6777</c:v>
                </c:pt>
                <c:pt idx="155">
                  <c:v>6645</c:v>
                </c:pt>
                <c:pt idx="156">
                  <c:v>6610</c:v>
                </c:pt>
                <c:pt idx="157">
                  <c:v>6379</c:v>
                </c:pt>
                <c:pt idx="158">
                  <c:v>6226</c:v>
                </c:pt>
                <c:pt idx="159">
                  <c:v>6153</c:v>
                </c:pt>
                <c:pt idx="160">
                  <c:v>5991</c:v>
                </c:pt>
                <c:pt idx="161">
                  <c:v>5774</c:v>
                </c:pt>
                <c:pt idx="162">
                  <c:v>5663</c:v>
                </c:pt>
                <c:pt idx="163">
                  <c:v>5610</c:v>
                </c:pt>
                <c:pt idx="164">
                  <c:v>5561</c:v>
                </c:pt>
                <c:pt idx="165">
                  <c:v>5262</c:v>
                </c:pt>
                <c:pt idx="166">
                  <c:v>5334</c:v>
                </c:pt>
                <c:pt idx="167">
                  <c:v>5252</c:v>
                </c:pt>
                <c:pt idx="168">
                  <c:v>5056</c:v>
                </c:pt>
                <c:pt idx="169">
                  <c:v>5025</c:v>
                </c:pt>
                <c:pt idx="170">
                  <c:v>5052</c:v>
                </c:pt>
                <c:pt idx="171">
                  <c:v>4978</c:v>
                </c:pt>
                <c:pt idx="172">
                  <c:v>4805</c:v>
                </c:pt>
                <c:pt idx="173">
                  <c:v>4798</c:v>
                </c:pt>
                <c:pt idx="174">
                  <c:v>4910</c:v>
                </c:pt>
                <c:pt idx="175">
                  <c:v>4967</c:v>
                </c:pt>
                <c:pt idx="176">
                  <c:v>5081</c:v>
                </c:pt>
                <c:pt idx="177">
                  <c:v>5186</c:v>
                </c:pt>
                <c:pt idx="178">
                  <c:v>5646</c:v>
                </c:pt>
                <c:pt idx="179">
                  <c:v>9788</c:v>
                </c:pt>
                <c:pt idx="180">
                  <c:v>6120</c:v>
                </c:pt>
                <c:pt idx="181">
                  <c:v>4576</c:v>
                </c:pt>
                <c:pt idx="182">
                  <c:v>4142</c:v>
                </c:pt>
                <c:pt idx="183">
                  <c:v>4045</c:v>
                </c:pt>
                <c:pt idx="184">
                  <c:v>3894</c:v>
                </c:pt>
                <c:pt idx="185">
                  <c:v>3724</c:v>
                </c:pt>
                <c:pt idx="186">
                  <c:v>3721</c:v>
                </c:pt>
                <c:pt idx="187">
                  <c:v>3560</c:v>
                </c:pt>
                <c:pt idx="188">
                  <c:v>3393</c:v>
                </c:pt>
                <c:pt idx="189">
                  <c:v>3299</c:v>
                </c:pt>
                <c:pt idx="190">
                  <c:v>3221</c:v>
                </c:pt>
                <c:pt idx="191">
                  <c:v>3133</c:v>
                </c:pt>
                <c:pt idx="192">
                  <c:v>3195</c:v>
                </c:pt>
                <c:pt idx="193">
                  <c:v>3031</c:v>
                </c:pt>
                <c:pt idx="194">
                  <c:v>2870</c:v>
                </c:pt>
                <c:pt idx="195">
                  <c:v>2846</c:v>
                </c:pt>
                <c:pt idx="196">
                  <c:v>2749</c:v>
                </c:pt>
                <c:pt idx="197">
                  <c:v>2721</c:v>
                </c:pt>
                <c:pt idx="198">
                  <c:v>2798</c:v>
                </c:pt>
                <c:pt idx="199">
                  <c:v>2747</c:v>
                </c:pt>
                <c:pt idx="200">
                  <c:v>2769</c:v>
                </c:pt>
              </c:numCache>
            </c:numRef>
          </c:val>
        </c:ser>
        <c:dLbls>
          <c:showLegendKey val="0"/>
          <c:showVal val="0"/>
          <c:showCatName val="0"/>
          <c:showSerName val="0"/>
          <c:showPercent val="0"/>
          <c:showBubbleSize val="0"/>
        </c:dLbls>
        <c:gapWidth val="0"/>
        <c:axId val="118612352"/>
        <c:axId val="118614272"/>
      </c:barChart>
      <c:lineChart>
        <c:grouping val="standard"/>
        <c:varyColors val="0"/>
        <c:ser>
          <c:idx val="1"/>
          <c:order val="1"/>
          <c:tx>
            <c:v>Tax payable at each level of taxable income (right axis)</c:v>
          </c:tx>
          <c:spPr>
            <a:ln>
              <a:solidFill>
                <a:schemeClr val="accent6"/>
              </a:solidFill>
            </a:ln>
          </c:spPr>
          <c:marker>
            <c:symbol val="none"/>
          </c:marker>
          <c:cat>
            <c:numRef>
              <c:f>Taxpayers!$A$8:$A$207</c:f>
              <c:numCache>
                <c:formatCode>#,##0</c:formatCode>
                <c:ptCount val="200"/>
                <c:pt idx="0">
                  <c:v>1000</c:v>
                </c:pt>
                <c:pt idx="1">
                  <c:v>2000</c:v>
                </c:pt>
                <c:pt idx="2">
                  <c:v>3000</c:v>
                </c:pt>
                <c:pt idx="3">
                  <c:v>4000</c:v>
                </c:pt>
                <c:pt idx="4">
                  <c:v>5000</c:v>
                </c:pt>
                <c:pt idx="5">
                  <c:v>6000</c:v>
                </c:pt>
                <c:pt idx="6">
                  <c:v>7000</c:v>
                </c:pt>
                <c:pt idx="7">
                  <c:v>8000</c:v>
                </c:pt>
                <c:pt idx="8">
                  <c:v>9000</c:v>
                </c:pt>
                <c:pt idx="9">
                  <c:v>10000</c:v>
                </c:pt>
                <c:pt idx="10">
                  <c:v>11000</c:v>
                </c:pt>
                <c:pt idx="11">
                  <c:v>12000</c:v>
                </c:pt>
                <c:pt idx="12">
                  <c:v>13000</c:v>
                </c:pt>
                <c:pt idx="13">
                  <c:v>14000</c:v>
                </c:pt>
                <c:pt idx="14">
                  <c:v>15000</c:v>
                </c:pt>
                <c:pt idx="15">
                  <c:v>16000</c:v>
                </c:pt>
                <c:pt idx="16">
                  <c:v>17000</c:v>
                </c:pt>
                <c:pt idx="17">
                  <c:v>18000</c:v>
                </c:pt>
                <c:pt idx="18">
                  <c:v>19000</c:v>
                </c:pt>
                <c:pt idx="19">
                  <c:v>20000</c:v>
                </c:pt>
                <c:pt idx="20">
                  <c:v>21000</c:v>
                </c:pt>
                <c:pt idx="21">
                  <c:v>22000</c:v>
                </c:pt>
                <c:pt idx="22">
                  <c:v>23000</c:v>
                </c:pt>
                <c:pt idx="23">
                  <c:v>24000</c:v>
                </c:pt>
                <c:pt idx="24">
                  <c:v>25000</c:v>
                </c:pt>
                <c:pt idx="25">
                  <c:v>26000</c:v>
                </c:pt>
                <c:pt idx="26">
                  <c:v>27000</c:v>
                </c:pt>
                <c:pt idx="27">
                  <c:v>28000</c:v>
                </c:pt>
                <c:pt idx="28">
                  <c:v>29000</c:v>
                </c:pt>
                <c:pt idx="29">
                  <c:v>30000</c:v>
                </c:pt>
                <c:pt idx="30">
                  <c:v>31000</c:v>
                </c:pt>
                <c:pt idx="31">
                  <c:v>32000</c:v>
                </c:pt>
                <c:pt idx="32">
                  <c:v>33000</c:v>
                </c:pt>
                <c:pt idx="33">
                  <c:v>34000</c:v>
                </c:pt>
                <c:pt idx="34">
                  <c:v>35000</c:v>
                </c:pt>
                <c:pt idx="35">
                  <c:v>36000</c:v>
                </c:pt>
                <c:pt idx="36">
                  <c:v>37000</c:v>
                </c:pt>
                <c:pt idx="37">
                  <c:v>38000</c:v>
                </c:pt>
                <c:pt idx="38">
                  <c:v>39000</c:v>
                </c:pt>
                <c:pt idx="39">
                  <c:v>40000</c:v>
                </c:pt>
                <c:pt idx="40">
                  <c:v>41000</c:v>
                </c:pt>
                <c:pt idx="41">
                  <c:v>42000</c:v>
                </c:pt>
                <c:pt idx="42">
                  <c:v>43000</c:v>
                </c:pt>
                <c:pt idx="43">
                  <c:v>44000</c:v>
                </c:pt>
                <c:pt idx="44">
                  <c:v>45000</c:v>
                </c:pt>
                <c:pt idx="45">
                  <c:v>46000</c:v>
                </c:pt>
                <c:pt idx="46">
                  <c:v>47000</c:v>
                </c:pt>
                <c:pt idx="47">
                  <c:v>48000</c:v>
                </c:pt>
                <c:pt idx="48">
                  <c:v>49000</c:v>
                </c:pt>
                <c:pt idx="49">
                  <c:v>50000</c:v>
                </c:pt>
                <c:pt idx="50">
                  <c:v>51000</c:v>
                </c:pt>
                <c:pt idx="51">
                  <c:v>52000</c:v>
                </c:pt>
                <c:pt idx="52">
                  <c:v>53000</c:v>
                </c:pt>
                <c:pt idx="53">
                  <c:v>54000</c:v>
                </c:pt>
                <c:pt idx="54">
                  <c:v>55000</c:v>
                </c:pt>
                <c:pt idx="55">
                  <c:v>56000</c:v>
                </c:pt>
                <c:pt idx="56">
                  <c:v>57000</c:v>
                </c:pt>
                <c:pt idx="57">
                  <c:v>58000</c:v>
                </c:pt>
                <c:pt idx="58">
                  <c:v>59000</c:v>
                </c:pt>
                <c:pt idx="59">
                  <c:v>60000</c:v>
                </c:pt>
                <c:pt idx="60">
                  <c:v>61000</c:v>
                </c:pt>
                <c:pt idx="61">
                  <c:v>62000</c:v>
                </c:pt>
                <c:pt idx="62">
                  <c:v>63000</c:v>
                </c:pt>
                <c:pt idx="63">
                  <c:v>64000</c:v>
                </c:pt>
                <c:pt idx="64">
                  <c:v>65000</c:v>
                </c:pt>
                <c:pt idx="65">
                  <c:v>66000</c:v>
                </c:pt>
                <c:pt idx="66">
                  <c:v>67000</c:v>
                </c:pt>
                <c:pt idx="67">
                  <c:v>68000</c:v>
                </c:pt>
                <c:pt idx="68">
                  <c:v>69000</c:v>
                </c:pt>
                <c:pt idx="69">
                  <c:v>70000</c:v>
                </c:pt>
                <c:pt idx="70">
                  <c:v>71000</c:v>
                </c:pt>
                <c:pt idx="71">
                  <c:v>72000</c:v>
                </c:pt>
                <c:pt idx="72">
                  <c:v>73000</c:v>
                </c:pt>
                <c:pt idx="73">
                  <c:v>74000</c:v>
                </c:pt>
                <c:pt idx="74">
                  <c:v>75000</c:v>
                </c:pt>
                <c:pt idx="75">
                  <c:v>76000</c:v>
                </c:pt>
                <c:pt idx="76">
                  <c:v>77000</c:v>
                </c:pt>
                <c:pt idx="77">
                  <c:v>78000</c:v>
                </c:pt>
                <c:pt idx="78">
                  <c:v>79000</c:v>
                </c:pt>
                <c:pt idx="79">
                  <c:v>80000</c:v>
                </c:pt>
                <c:pt idx="80">
                  <c:v>81000</c:v>
                </c:pt>
                <c:pt idx="81">
                  <c:v>82000</c:v>
                </c:pt>
                <c:pt idx="82">
                  <c:v>83000</c:v>
                </c:pt>
                <c:pt idx="83">
                  <c:v>84000</c:v>
                </c:pt>
                <c:pt idx="84">
                  <c:v>85000</c:v>
                </c:pt>
                <c:pt idx="85">
                  <c:v>86000</c:v>
                </c:pt>
                <c:pt idx="86">
                  <c:v>87000</c:v>
                </c:pt>
                <c:pt idx="87">
                  <c:v>88000</c:v>
                </c:pt>
                <c:pt idx="88">
                  <c:v>89000</c:v>
                </c:pt>
                <c:pt idx="89">
                  <c:v>90000</c:v>
                </c:pt>
                <c:pt idx="90">
                  <c:v>91000</c:v>
                </c:pt>
                <c:pt idx="91">
                  <c:v>92000</c:v>
                </c:pt>
                <c:pt idx="92">
                  <c:v>93000</c:v>
                </c:pt>
                <c:pt idx="93">
                  <c:v>94000</c:v>
                </c:pt>
                <c:pt idx="94">
                  <c:v>95000</c:v>
                </c:pt>
                <c:pt idx="95">
                  <c:v>96000</c:v>
                </c:pt>
                <c:pt idx="96">
                  <c:v>97000</c:v>
                </c:pt>
                <c:pt idx="97">
                  <c:v>98000</c:v>
                </c:pt>
                <c:pt idx="98">
                  <c:v>99000</c:v>
                </c:pt>
                <c:pt idx="99">
                  <c:v>100000</c:v>
                </c:pt>
                <c:pt idx="100">
                  <c:v>101000</c:v>
                </c:pt>
                <c:pt idx="101">
                  <c:v>102000</c:v>
                </c:pt>
                <c:pt idx="102">
                  <c:v>103000</c:v>
                </c:pt>
                <c:pt idx="103">
                  <c:v>104000</c:v>
                </c:pt>
                <c:pt idx="104">
                  <c:v>105000</c:v>
                </c:pt>
                <c:pt idx="105">
                  <c:v>106000</c:v>
                </c:pt>
                <c:pt idx="106">
                  <c:v>107000</c:v>
                </c:pt>
                <c:pt idx="107">
                  <c:v>108000</c:v>
                </c:pt>
                <c:pt idx="108">
                  <c:v>109000</c:v>
                </c:pt>
                <c:pt idx="109">
                  <c:v>110000</c:v>
                </c:pt>
                <c:pt idx="110">
                  <c:v>111000</c:v>
                </c:pt>
                <c:pt idx="111">
                  <c:v>112000</c:v>
                </c:pt>
                <c:pt idx="112">
                  <c:v>113000</c:v>
                </c:pt>
                <c:pt idx="113">
                  <c:v>114000</c:v>
                </c:pt>
                <c:pt idx="114">
                  <c:v>115000</c:v>
                </c:pt>
                <c:pt idx="115">
                  <c:v>116000</c:v>
                </c:pt>
                <c:pt idx="116">
                  <c:v>117000</c:v>
                </c:pt>
                <c:pt idx="117">
                  <c:v>118000</c:v>
                </c:pt>
                <c:pt idx="118">
                  <c:v>119000</c:v>
                </c:pt>
                <c:pt idx="119">
                  <c:v>120000</c:v>
                </c:pt>
                <c:pt idx="120">
                  <c:v>121000</c:v>
                </c:pt>
                <c:pt idx="121">
                  <c:v>122000</c:v>
                </c:pt>
                <c:pt idx="122">
                  <c:v>123000</c:v>
                </c:pt>
                <c:pt idx="123">
                  <c:v>124000</c:v>
                </c:pt>
                <c:pt idx="124">
                  <c:v>125000</c:v>
                </c:pt>
                <c:pt idx="125">
                  <c:v>126000</c:v>
                </c:pt>
                <c:pt idx="126">
                  <c:v>127000</c:v>
                </c:pt>
                <c:pt idx="127">
                  <c:v>128000</c:v>
                </c:pt>
                <c:pt idx="128">
                  <c:v>129000</c:v>
                </c:pt>
                <c:pt idx="129">
                  <c:v>130000</c:v>
                </c:pt>
                <c:pt idx="130">
                  <c:v>131000</c:v>
                </c:pt>
                <c:pt idx="131">
                  <c:v>132000</c:v>
                </c:pt>
                <c:pt idx="132">
                  <c:v>133000</c:v>
                </c:pt>
                <c:pt idx="133">
                  <c:v>134000</c:v>
                </c:pt>
                <c:pt idx="134">
                  <c:v>135000</c:v>
                </c:pt>
                <c:pt idx="135">
                  <c:v>136000</c:v>
                </c:pt>
                <c:pt idx="136">
                  <c:v>137000</c:v>
                </c:pt>
                <c:pt idx="137">
                  <c:v>138000</c:v>
                </c:pt>
                <c:pt idx="138">
                  <c:v>139000</c:v>
                </c:pt>
                <c:pt idx="139">
                  <c:v>140000</c:v>
                </c:pt>
                <c:pt idx="140">
                  <c:v>141000</c:v>
                </c:pt>
                <c:pt idx="141">
                  <c:v>142000</c:v>
                </c:pt>
                <c:pt idx="142">
                  <c:v>143000</c:v>
                </c:pt>
                <c:pt idx="143">
                  <c:v>144000</c:v>
                </c:pt>
                <c:pt idx="144">
                  <c:v>145000</c:v>
                </c:pt>
                <c:pt idx="145">
                  <c:v>146000</c:v>
                </c:pt>
                <c:pt idx="146">
                  <c:v>147000</c:v>
                </c:pt>
                <c:pt idx="147">
                  <c:v>148000</c:v>
                </c:pt>
                <c:pt idx="148">
                  <c:v>149000</c:v>
                </c:pt>
                <c:pt idx="149">
                  <c:v>150000</c:v>
                </c:pt>
                <c:pt idx="150">
                  <c:v>151000</c:v>
                </c:pt>
                <c:pt idx="151">
                  <c:v>152000</c:v>
                </c:pt>
                <c:pt idx="152">
                  <c:v>153000</c:v>
                </c:pt>
                <c:pt idx="153">
                  <c:v>154000</c:v>
                </c:pt>
                <c:pt idx="154">
                  <c:v>155000</c:v>
                </c:pt>
                <c:pt idx="155">
                  <c:v>156000</c:v>
                </c:pt>
                <c:pt idx="156">
                  <c:v>157000</c:v>
                </c:pt>
                <c:pt idx="157">
                  <c:v>158000</c:v>
                </c:pt>
                <c:pt idx="158">
                  <c:v>159000</c:v>
                </c:pt>
                <c:pt idx="159">
                  <c:v>160000</c:v>
                </c:pt>
                <c:pt idx="160">
                  <c:v>161000</c:v>
                </c:pt>
                <c:pt idx="161">
                  <c:v>162000</c:v>
                </c:pt>
                <c:pt idx="162">
                  <c:v>163000</c:v>
                </c:pt>
                <c:pt idx="163">
                  <c:v>164000</c:v>
                </c:pt>
                <c:pt idx="164">
                  <c:v>165000</c:v>
                </c:pt>
                <c:pt idx="165">
                  <c:v>166000</c:v>
                </c:pt>
                <c:pt idx="166">
                  <c:v>167000</c:v>
                </c:pt>
                <c:pt idx="167">
                  <c:v>168000</c:v>
                </c:pt>
                <c:pt idx="168">
                  <c:v>169000</c:v>
                </c:pt>
                <c:pt idx="169">
                  <c:v>170000</c:v>
                </c:pt>
                <c:pt idx="170">
                  <c:v>171000</c:v>
                </c:pt>
                <c:pt idx="171">
                  <c:v>172000</c:v>
                </c:pt>
                <c:pt idx="172">
                  <c:v>173000</c:v>
                </c:pt>
                <c:pt idx="173">
                  <c:v>174000</c:v>
                </c:pt>
                <c:pt idx="174">
                  <c:v>175000</c:v>
                </c:pt>
                <c:pt idx="175">
                  <c:v>176000</c:v>
                </c:pt>
                <c:pt idx="176">
                  <c:v>177000</c:v>
                </c:pt>
                <c:pt idx="177">
                  <c:v>178000</c:v>
                </c:pt>
                <c:pt idx="178">
                  <c:v>179000</c:v>
                </c:pt>
                <c:pt idx="179">
                  <c:v>180000</c:v>
                </c:pt>
                <c:pt idx="180">
                  <c:v>181000</c:v>
                </c:pt>
                <c:pt idx="181">
                  <c:v>182000</c:v>
                </c:pt>
                <c:pt idx="182">
                  <c:v>183000</c:v>
                </c:pt>
                <c:pt idx="183">
                  <c:v>184000</c:v>
                </c:pt>
                <c:pt idx="184">
                  <c:v>185000</c:v>
                </c:pt>
                <c:pt idx="185">
                  <c:v>186000</c:v>
                </c:pt>
                <c:pt idx="186">
                  <c:v>187000</c:v>
                </c:pt>
                <c:pt idx="187">
                  <c:v>188000</c:v>
                </c:pt>
                <c:pt idx="188">
                  <c:v>189000</c:v>
                </c:pt>
                <c:pt idx="189">
                  <c:v>190000</c:v>
                </c:pt>
                <c:pt idx="190">
                  <c:v>191000</c:v>
                </c:pt>
                <c:pt idx="191">
                  <c:v>192000</c:v>
                </c:pt>
                <c:pt idx="192">
                  <c:v>193000</c:v>
                </c:pt>
                <c:pt idx="193">
                  <c:v>194000</c:v>
                </c:pt>
                <c:pt idx="194">
                  <c:v>195000</c:v>
                </c:pt>
                <c:pt idx="195">
                  <c:v>196000</c:v>
                </c:pt>
                <c:pt idx="196">
                  <c:v>197000</c:v>
                </c:pt>
                <c:pt idx="197">
                  <c:v>198000</c:v>
                </c:pt>
                <c:pt idx="198">
                  <c:v>199000</c:v>
                </c:pt>
                <c:pt idx="199">
                  <c:v>200000</c:v>
                </c:pt>
              </c:numCache>
            </c:numRef>
          </c:cat>
          <c:val>
            <c:numRef>
              <c:f>Taxpayers!$R$7:$R$207</c:f>
              <c:numCache>
                <c:formatCode>General</c:formatCode>
                <c:ptCount val="20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150</c:v>
                </c:pt>
                <c:pt idx="18">
                  <c:v>300</c:v>
                </c:pt>
                <c:pt idx="19">
                  <c:v>450</c:v>
                </c:pt>
                <c:pt idx="20">
                  <c:v>659.6</c:v>
                </c:pt>
                <c:pt idx="21">
                  <c:v>909.6</c:v>
                </c:pt>
                <c:pt idx="22">
                  <c:v>1159.5999999999999</c:v>
                </c:pt>
                <c:pt idx="23">
                  <c:v>1395</c:v>
                </c:pt>
                <c:pt idx="24">
                  <c:v>1560</c:v>
                </c:pt>
                <c:pt idx="25">
                  <c:v>1725</c:v>
                </c:pt>
                <c:pt idx="26">
                  <c:v>1890</c:v>
                </c:pt>
                <c:pt idx="27">
                  <c:v>2055</c:v>
                </c:pt>
                <c:pt idx="28">
                  <c:v>2220</c:v>
                </c:pt>
                <c:pt idx="29">
                  <c:v>2385</c:v>
                </c:pt>
                <c:pt idx="30">
                  <c:v>2550</c:v>
                </c:pt>
                <c:pt idx="31">
                  <c:v>2755</c:v>
                </c:pt>
                <c:pt idx="32">
                  <c:v>2960</c:v>
                </c:pt>
                <c:pt idx="33">
                  <c:v>3165</c:v>
                </c:pt>
                <c:pt idx="34">
                  <c:v>3370</c:v>
                </c:pt>
                <c:pt idx="35">
                  <c:v>3575</c:v>
                </c:pt>
                <c:pt idx="36">
                  <c:v>3780</c:v>
                </c:pt>
                <c:pt idx="37">
                  <c:v>3985</c:v>
                </c:pt>
                <c:pt idx="38">
                  <c:v>4340</c:v>
                </c:pt>
                <c:pt idx="39">
                  <c:v>4695</c:v>
                </c:pt>
                <c:pt idx="40">
                  <c:v>5050</c:v>
                </c:pt>
                <c:pt idx="41">
                  <c:v>5405</c:v>
                </c:pt>
                <c:pt idx="42">
                  <c:v>5760</c:v>
                </c:pt>
                <c:pt idx="43">
                  <c:v>6115</c:v>
                </c:pt>
                <c:pt idx="44">
                  <c:v>6470</c:v>
                </c:pt>
                <c:pt idx="45">
                  <c:v>6825</c:v>
                </c:pt>
                <c:pt idx="46">
                  <c:v>7180</c:v>
                </c:pt>
                <c:pt idx="47">
                  <c:v>7535</c:v>
                </c:pt>
                <c:pt idx="48">
                  <c:v>7890</c:v>
                </c:pt>
                <c:pt idx="49">
                  <c:v>8245</c:v>
                </c:pt>
                <c:pt idx="50">
                  <c:v>8600</c:v>
                </c:pt>
                <c:pt idx="51">
                  <c:v>8955</c:v>
                </c:pt>
                <c:pt idx="52">
                  <c:v>9310</c:v>
                </c:pt>
                <c:pt idx="53">
                  <c:v>9665</c:v>
                </c:pt>
                <c:pt idx="54">
                  <c:v>10020</c:v>
                </c:pt>
                <c:pt idx="55">
                  <c:v>10375</c:v>
                </c:pt>
                <c:pt idx="56">
                  <c:v>10730</c:v>
                </c:pt>
                <c:pt idx="57">
                  <c:v>11085</c:v>
                </c:pt>
                <c:pt idx="58">
                  <c:v>11440</c:v>
                </c:pt>
                <c:pt idx="59">
                  <c:v>11795</c:v>
                </c:pt>
                <c:pt idx="60">
                  <c:v>12150</c:v>
                </c:pt>
                <c:pt idx="61">
                  <c:v>12505</c:v>
                </c:pt>
                <c:pt idx="62">
                  <c:v>12860</c:v>
                </c:pt>
                <c:pt idx="63">
                  <c:v>13215</c:v>
                </c:pt>
                <c:pt idx="64">
                  <c:v>13570</c:v>
                </c:pt>
                <c:pt idx="65">
                  <c:v>13925</c:v>
                </c:pt>
                <c:pt idx="66">
                  <c:v>14280</c:v>
                </c:pt>
                <c:pt idx="67">
                  <c:v>14635</c:v>
                </c:pt>
                <c:pt idx="68">
                  <c:v>14970</c:v>
                </c:pt>
                <c:pt idx="69">
                  <c:v>15285</c:v>
                </c:pt>
                <c:pt idx="70">
                  <c:v>15600</c:v>
                </c:pt>
                <c:pt idx="71">
                  <c:v>15915</c:v>
                </c:pt>
                <c:pt idx="72">
                  <c:v>16230</c:v>
                </c:pt>
                <c:pt idx="73">
                  <c:v>16545</c:v>
                </c:pt>
                <c:pt idx="74">
                  <c:v>16860</c:v>
                </c:pt>
                <c:pt idx="75">
                  <c:v>17175</c:v>
                </c:pt>
                <c:pt idx="76">
                  <c:v>17490</c:v>
                </c:pt>
                <c:pt idx="77">
                  <c:v>17805</c:v>
                </c:pt>
                <c:pt idx="78">
                  <c:v>18120</c:v>
                </c:pt>
                <c:pt idx="79">
                  <c:v>18435</c:v>
                </c:pt>
                <c:pt idx="80">
                  <c:v>18750</c:v>
                </c:pt>
                <c:pt idx="81">
                  <c:v>19135</c:v>
                </c:pt>
                <c:pt idx="82">
                  <c:v>19520</c:v>
                </c:pt>
                <c:pt idx="83">
                  <c:v>19905</c:v>
                </c:pt>
                <c:pt idx="84">
                  <c:v>20290</c:v>
                </c:pt>
                <c:pt idx="85">
                  <c:v>20675</c:v>
                </c:pt>
                <c:pt idx="86">
                  <c:v>21060</c:v>
                </c:pt>
                <c:pt idx="87">
                  <c:v>21445</c:v>
                </c:pt>
                <c:pt idx="88">
                  <c:v>21830</c:v>
                </c:pt>
                <c:pt idx="89">
                  <c:v>22215</c:v>
                </c:pt>
                <c:pt idx="90">
                  <c:v>22600</c:v>
                </c:pt>
                <c:pt idx="91">
                  <c:v>22985</c:v>
                </c:pt>
                <c:pt idx="92">
                  <c:v>23370</c:v>
                </c:pt>
                <c:pt idx="93">
                  <c:v>23755</c:v>
                </c:pt>
                <c:pt idx="94">
                  <c:v>24140</c:v>
                </c:pt>
                <c:pt idx="95">
                  <c:v>24525</c:v>
                </c:pt>
                <c:pt idx="96">
                  <c:v>24910</c:v>
                </c:pt>
                <c:pt idx="97">
                  <c:v>25295</c:v>
                </c:pt>
                <c:pt idx="98">
                  <c:v>25680</c:v>
                </c:pt>
                <c:pt idx="99">
                  <c:v>26065</c:v>
                </c:pt>
                <c:pt idx="100">
                  <c:v>26450</c:v>
                </c:pt>
                <c:pt idx="101">
                  <c:v>26835</c:v>
                </c:pt>
                <c:pt idx="102">
                  <c:v>27220</c:v>
                </c:pt>
                <c:pt idx="103">
                  <c:v>27605</c:v>
                </c:pt>
                <c:pt idx="104">
                  <c:v>27990</c:v>
                </c:pt>
                <c:pt idx="105">
                  <c:v>28375</c:v>
                </c:pt>
                <c:pt idx="106">
                  <c:v>28760</c:v>
                </c:pt>
                <c:pt idx="107">
                  <c:v>29145</c:v>
                </c:pt>
                <c:pt idx="108">
                  <c:v>29530</c:v>
                </c:pt>
                <c:pt idx="109">
                  <c:v>29915</c:v>
                </c:pt>
                <c:pt idx="110">
                  <c:v>30300</c:v>
                </c:pt>
                <c:pt idx="111">
                  <c:v>30685</c:v>
                </c:pt>
                <c:pt idx="112">
                  <c:v>31070</c:v>
                </c:pt>
                <c:pt idx="113">
                  <c:v>31455</c:v>
                </c:pt>
                <c:pt idx="114">
                  <c:v>31840</c:v>
                </c:pt>
                <c:pt idx="115">
                  <c:v>32225</c:v>
                </c:pt>
                <c:pt idx="116">
                  <c:v>32610</c:v>
                </c:pt>
                <c:pt idx="117">
                  <c:v>32995</c:v>
                </c:pt>
                <c:pt idx="118">
                  <c:v>33380</c:v>
                </c:pt>
                <c:pt idx="119">
                  <c:v>33765</c:v>
                </c:pt>
                <c:pt idx="120">
                  <c:v>34150</c:v>
                </c:pt>
                <c:pt idx="121">
                  <c:v>34535</c:v>
                </c:pt>
                <c:pt idx="122">
                  <c:v>34920</c:v>
                </c:pt>
                <c:pt idx="123">
                  <c:v>35305</c:v>
                </c:pt>
                <c:pt idx="124">
                  <c:v>35690</c:v>
                </c:pt>
                <c:pt idx="125">
                  <c:v>36075</c:v>
                </c:pt>
                <c:pt idx="126">
                  <c:v>36460</c:v>
                </c:pt>
                <c:pt idx="127">
                  <c:v>36845</c:v>
                </c:pt>
                <c:pt idx="128">
                  <c:v>37230</c:v>
                </c:pt>
                <c:pt idx="129">
                  <c:v>37615</c:v>
                </c:pt>
                <c:pt idx="130">
                  <c:v>38000</c:v>
                </c:pt>
                <c:pt idx="131">
                  <c:v>38385</c:v>
                </c:pt>
                <c:pt idx="132">
                  <c:v>38770</c:v>
                </c:pt>
                <c:pt idx="133">
                  <c:v>39155</c:v>
                </c:pt>
                <c:pt idx="134">
                  <c:v>39540</c:v>
                </c:pt>
                <c:pt idx="135">
                  <c:v>39925</c:v>
                </c:pt>
                <c:pt idx="136">
                  <c:v>40310</c:v>
                </c:pt>
                <c:pt idx="137">
                  <c:v>40695</c:v>
                </c:pt>
                <c:pt idx="138">
                  <c:v>41080</c:v>
                </c:pt>
                <c:pt idx="139">
                  <c:v>41465</c:v>
                </c:pt>
                <c:pt idx="140">
                  <c:v>41850</c:v>
                </c:pt>
                <c:pt idx="141">
                  <c:v>42235</c:v>
                </c:pt>
                <c:pt idx="142">
                  <c:v>42620</c:v>
                </c:pt>
                <c:pt idx="143">
                  <c:v>43005</c:v>
                </c:pt>
                <c:pt idx="144">
                  <c:v>43390</c:v>
                </c:pt>
                <c:pt idx="145">
                  <c:v>43775</c:v>
                </c:pt>
                <c:pt idx="146">
                  <c:v>44160</c:v>
                </c:pt>
                <c:pt idx="147">
                  <c:v>44545</c:v>
                </c:pt>
                <c:pt idx="148">
                  <c:v>44930</c:v>
                </c:pt>
                <c:pt idx="149">
                  <c:v>45315</c:v>
                </c:pt>
                <c:pt idx="150">
                  <c:v>45700</c:v>
                </c:pt>
                <c:pt idx="151">
                  <c:v>46085</c:v>
                </c:pt>
                <c:pt idx="152">
                  <c:v>46470</c:v>
                </c:pt>
                <c:pt idx="153">
                  <c:v>46855</c:v>
                </c:pt>
                <c:pt idx="154">
                  <c:v>47240</c:v>
                </c:pt>
                <c:pt idx="155">
                  <c:v>47625</c:v>
                </c:pt>
                <c:pt idx="156">
                  <c:v>48010</c:v>
                </c:pt>
                <c:pt idx="157">
                  <c:v>48395</c:v>
                </c:pt>
                <c:pt idx="158">
                  <c:v>48780</c:v>
                </c:pt>
                <c:pt idx="159">
                  <c:v>49165</c:v>
                </c:pt>
                <c:pt idx="160">
                  <c:v>49550</c:v>
                </c:pt>
                <c:pt idx="161">
                  <c:v>49935</c:v>
                </c:pt>
                <c:pt idx="162">
                  <c:v>50320</c:v>
                </c:pt>
                <c:pt idx="163">
                  <c:v>50705</c:v>
                </c:pt>
                <c:pt idx="164">
                  <c:v>51090</c:v>
                </c:pt>
                <c:pt idx="165">
                  <c:v>51475</c:v>
                </c:pt>
                <c:pt idx="166">
                  <c:v>51860</c:v>
                </c:pt>
                <c:pt idx="167">
                  <c:v>52245</c:v>
                </c:pt>
                <c:pt idx="168">
                  <c:v>52630</c:v>
                </c:pt>
                <c:pt idx="169">
                  <c:v>53015</c:v>
                </c:pt>
                <c:pt idx="170">
                  <c:v>53400</c:v>
                </c:pt>
                <c:pt idx="171">
                  <c:v>53785</c:v>
                </c:pt>
                <c:pt idx="172">
                  <c:v>54170</c:v>
                </c:pt>
                <c:pt idx="173">
                  <c:v>54555</c:v>
                </c:pt>
                <c:pt idx="174">
                  <c:v>54940</c:v>
                </c:pt>
                <c:pt idx="175">
                  <c:v>55325</c:v>
                </c:pt>
                <c:pt idx="176">
                  <c:v>55710</c:v>
                </c:pt>
                <c:pt idx="177">
                  <c:v>56095</c:v>
                </c:pt>
                <c:pt idx="178">
                  <c:v>56480</c:v>
                </c:pt>
                <c:pt idx="179">
                  <c:v>56865</c:v>
                </c:pt>
                <c:pt idx="180">
                  <c:v>57250</c:v>
                </c:pt>
                <c:pt idx="181">
                  <c:v>57715</c:v>
                </c:pt>
                <c:pt idx="182">
                  <c:v>58180</c:v>
                </c:pt>
                <c:pt idx="183">
                  <c:v>58645</c:v>
                </c:pt>
                <c:pt idx="184">
                  <c:v>59110</c:v>
                </c:pt>
                <c:pt idx="185">
                  <c:v>59575</c:v>
                </c:pt>
                <c:pt idx="186">
                  <c:v>60040</c:v>
                </c:pt>
                <c:pt idx="187">
                  <c:v>60505</c:v>
                </c:pt>
                <c:pt idx="188">
                  <c:v>60970</c:v>
                </c:pt>
                <c:pt idx="189">
                  <c:v>61435</c:v>
                </c:pt>
                <c:pt idx="190">
                  <c:v>61900</c:v>
                </c:pt>
                <c:pt idx="191">
                  <c:v>62365</c:v>
                </c:pt>
                <c:pt idx="192">
                  <c:v>62830</c:v>
                </c:pt>
                <c:pt idx="193">
                  <c:v>63295</c:v>
                </c:pt>
                <c:pt idx="194">
                  <c:v>63760</c:v>
                </c:pt>
                <c:pt idx="195">
                  <c:v>64225</c:v>
                </c:pt>
                <c:pt idx="196">
                  <c:v>64690</c:v>
                </c:pt>
                <c:pt idx="197">
                  <c:v>65155</c:v>
                </c:pt>
                <c:pt idx="198">
                  <c:v>65620</c:v>
                </c:pt>
                <c:pt idx="199">
                  <c:v>66085</c:v>
                </c:pt>
                <c:pt idx="200">
                  <c:v>66550</c:v>
                </c:pt>
              </c:numCache>
            </c:numRef>
          </c:val>
          <c:smooth val="0"/>
        </c:ser>
        <c:dLbls>
          <c:showLegendKey val="0"/>
          <c:showVal val="0"/>
          <c:showCatName val="0"/>
          <c:showSerName val="0"/>
          <c:showPercent val="0"/>
          <c:showBubbleSize val="0"/>
        </c:dLbls>
        <c:marker val="1"/>
        <c:smooth val="0"/>
        <c:axId val="111412736"/>
        <c:axId val="111411200"/>
      </c:lineChart>
      <c:catAx>
        <c:axId val="118612352"/>
        <c:scaling>
          <c:orientation val="minMax"/>
        </c:scaling>
        <c:delete val="0"/>
        <c:axPos val="b"/>
        <c:title>
          <c:tx>
            <c:rich>
              <a:bodyPr/>
              <a:lstStyle/>
              <a:p>
                <a:pPr>
                  <a:defRPr/>
                </a:pPr>
                <a:r>
                  <a:rPr lang="en-AU" b="0"/>
                  <a:t>Taxable Income</a:t>
                </a:r>
              </a:p>
            </c:rich>
          </c:tx>
          <c:overlay val="0"/>
        </c:title>
        <c:numFmt formatCode="&quot;$&quot;#,##0" sourceLinked="0"/>
        <c:majorTickMark val="in"/>
        <c:minorTickMark val="none"/>
        <c:tickLblPos val="low"/>
        <c:spPr>
          <a:ln w="12700">
            <a:solidFill>
              <a:schemeClr val="tx1"/>
            </a:solidFill>
            <a:prstDash val="solid"/>
          </a:ln>
        </c:spPr>
        <c:crossAx val="118614272"/>
        <c:crosses val="autoZero"/>
        <c:auto val="1"/>
        <c:lblAlgn val="ctr"/>
        <c:lblOffset val="100"/>
        <c:tickLblSkip val="20"/>
        <c:tickMarkSkip val="20"/>
        <c:noMultiLvlLbl val="0"/>
      </c:catAx>
      <c:valAx>
        <c:axId val="118614272"/>
        <c:scaling>
          <c:orientation val="minMax"/>
        </c:scaling>
        <c:delete val="0"/>
        <c:axPos val="l"/>
        <c:numFmt formatCode="#,##0" sourceLinked="0"/>
        <c:majorTickMark val="in"/>
        <c:minorTickMark val="none"/>
        <c:tickLblPos val="nextTo"/>
        <c:spPr>
          <a:ln w="12700">
            <a:solidFill>
              <a:srgbClr val="808080"/>
            </a:solidFill>
            <a:prstDash val="solid"/>
          </a:ln>
        </c:spPr>
        <c:crossAx val="118612352"/>
        <c:crosses val="autoZero"/>
        <c:crossBetween val="between"/>
      </c:valAx>
      <c:valAx>
        <c:axId val="111411200"/>
        <c:scaling>
          <c:orientation val="minMax"/>
          <c:max val="100000"/>
        </c:scaling>
        <c:delete val="0"/>
        <c:axPos val="r"/>
        <c:numFmt formatCode="&quot;$&quot;#,##0" sourceLinked="0"/>
        <c:majorTickMark val="in"/>
        <c:minorTickMark val="none"/>
        <c:tickLblPos val="nextTo"/>
        <c:spPr>
          <a:ln w="12700">
            <a:solidFill>
              <a:srgbClr val="808080"/>
            </a:solidFill>
            <a:prstDash val="solid"/>
          </a:ln>
        </c:spPr>
        <c:crossAx val="111412736"/>
        <c:crosses val="max"/>
        <c:crossBetween val="between"/>
      </c:valAx>
      <c:catAx>
        <c:axId val="111412736"/>
        <c:scaling>
          <c:orientation val="minMax"/>
        </c:scaling>
        <c:delete val="1"/>
        <c:axPos val="b"/>
        <c:numFmt formatCode="#,##0" sourceLinked="1"/>
        <c:majorTickMark val="out"/>
        <c:minorTickMark val="none"/>
        <c:tickLblPos val="nextTo"/>
        <c:crossAx val="111411200"/>
        <c:crosses val="autoZero"/>
        <c:auto val="1"/>
        <c:lblAlgn val="ctr"/>
        <c:lblOffset val="100"/>
        <c:noMultiLvlLbl val="0"/>
      </c:catAx>
      <c:spPr>
        <a:solidFill>
          <a:srgbClr val="FFFFFF"/>
        </a:solidFill>
        <a:ln>
          <a:noFill/>
          <a:round/>
        </a:ln>
        <a:effectLst/>
        <a:extLst>
          <a:ext uri="{91240B29-F687-4F45-9708-019B960494DF}">
            <a14:hiddenLine xmlns:a14="http://schemas.microsoft.com/office/drawing/2010/main">
              <a:noFill/>
              <a:round/>
            </a14:hiddenLine>
          </a:ext>
        </a:extLst>
      </c:spPr>
    </c:plotArea>
    <c:legend>
      <c:legendPos val="t"/>
      <c:layout>
        <c:manualLayout>
          <c:xMode val="edge"/>
          <c:yMode val="edge"/>
          <c:x val="0.48437139324471407"/>
          <c:y val="0.14615079365079364"/>
          <c:w val="0.25248064516129032"/>
          <c:h val="0.26752103174603176"/>
        </c:manualLayout>
      </c:layout>
      <c:overlay val="0"/>
    </c:legend>
    <c:plotVisOnly val="1"/>
    <c:dispBlanksAs val="gap"/>
    <c:showDLblsOverMax val="0"/>
  </c:chart>
  <c:spPr>
    <a:solidFill>
      <a:srgbClr val="FFFFFF"/>
    </a:solidFill>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txPr>
    <a:bodyPr/>
    <a:lstStyle/>
    <a:p>
      <a:pPr>
        <a:defRPr sz="800">
          <a:latin typeface="Arial" panose="020B0604020202020204" pitchFamily="34" charset="0"/>
          <a:cs typeface="Arial" panose="020B0604020202020204" pitchFamily="34"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0.8185</cdr:x>
      <cdr:y>0.1484</cdr:y>
    </cdr:from>
    <cdr:to>
      <cdr:x>0.81914</cdr:x>
      <cdr:y>0.85034</cdr:y>
    </cdr:to>
    <cdr:cxnSp macro="">
      <cdr:nvCxnSpPr>
        <cdr:cNvPr id="2" name="Straight Connector 1"/>
        <cdr:cNvCxnSpPr/>
      </cdr:nvCxnSpPr>
      <cdr:spPr>
        <a:xfrm xmlns:a="http://schemas.openxmlformats.org/drawingml/2006/main" flipH="1">
          <a:off x="4567226" y="373969"/>
          <a:ext cx="3554" cy="1768880"/>
        </a:xfrm>
        <a:prstGeom xmlns:a="http://schemas.openxmlformats.org/drawingml/2006/main" prst="line">
          <a:avLst/>
        </a:prstGeom>
        <a:ln xmlns:a="http://schemas.openxmlformats.org/drawingml/2006/main" w="6350">
          <a:solidFill>
            <a:srgbClr val="00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0.4158</cdr:x>
      <cdr:y>0.13466</cdr:y>
    </cdr:from>
    <cdr:to>
      <cdr:x>0.41603</cdr:x>
      <cdr:y>0.84249</cdr:y>
    </cdr:to>
    <cdr:cxnSp macro="">
      <cdr:nvCxnSpPr>
        <cdr:cNvPr id="6" name="Straight Connector 5"/>
        <cdr:cNvCxnSpPr/>
      </cdr:nvCxnSpPr>
      <cdr:spPr>
        <a:xfrm xmlns:a="http://schemas.openxmlformats.org/drawingml/2006/main" flipH="1">
          <a:off x="2320164" y="339343"/>
          <a:ext cx="1283" cy="1783732"/>
        </a:xfrm>
        <a:prstGeom xmlns:a="http://schemas.openxmlformats.org/drawingml/2006/main" prst="line">
          <a:avLst/>
        </a:prstGeom>
        <a:ln xmlns:a="http://schemas.openxmlformats.org/drawingml/2006/main" w="6350">
          <a:solidFill>
            <a:srgbClr val="00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0.2431</cdr:x>
      <cdr:y>0.12143</cdr:y>
    </cdr:from>
    <cdr:to>
      <cdr:x>0.24338</cdr:x>
      <cdr:y>0.85684</cdr:y>
    </cdr:to>
    <cdr:cxnSp macro="">
      <cdr:nvCxnSpPr>
        <cdr:cNvPr id="7" name="Straight Connector 6"/>
        <cdr:cNvCxnSpPr/>
      </cdr:nvCxnSpPr>
      <cdr:spPr>
        <a:xfrm xmlns:a="http://schemas.openxmlformats.org/drawingml/2006/main" flipH="1">
          <a:off x="1356498" y="306004"/>
          <a:ext cx="1562" cy="1853233"/>
        </a:xfrm>
        <a:prstGeom xmlns:a="http://schemas.openxmlformats.org/drawingml/2006/main" prst="line">
          <a:avLst/>
        </a:prstGeom>
        <a:ln xmlns:a="http://schemas.openxmlformats.org/drawingml/2006/main" w="6350">
          <a:solidFill>
            <a:srgbClr val="00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0.15878</cdr:x>
      <cdr:y>0.21709</cdr:y>
    </cdr:from>
    <cdr:to>
      <cdr:x>0.15886</cdr:x>
      <cdr:y>0.85665</cdr:y>
    </cdr:to>
    <cdr:cxnSp macro="">
      <cdr:nvCxnSpPr>
        <cdr:cNvPr id="11" name="Straight Connector 10"/>
        <cdr:cNvCxnSpPr/>
      </cdr:nvCxnSpPr>
      <cdr:spPr>
        <a:xfrm xmlns:a="http://schemas.openxmlformats.org/drawingml/2006/main" flipH="1">
          <a:off x="885965" y="547067"/>
          <a:ext cx="489" cy="1611689"/>
        </a:xfrm>
        <a:prstGeom xmlns:a="http://schemas.openxmlformats.org/drawingml/2006/main" prst="line">
          <a:avLst/>
        </a:prstGeom>
        <a:ln xmlns:a="http://schemas.openxmlformats.org/drawingml/2006/main" w="6350">
          <a:solidFill>
            <a:srgbClr val="00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0.06947</cdr:x>
      <cdr:y>0.07177</cdr:y>
    </cdr:from>
    <cdr:to>
      <cdr:x>0.24057</cdr:x>
      <cdr:y>0.33548</cdr:y>
    </cdr:to>
    <cdr:sp macro="" textlink="">
      <cdr:nvSpPr>
        <cdr:cNvPr id="12" name="TextBox 11"/>
        <cdr:cNvSpPr txBox="1"/>
      </cdr:nvSpPr>
      <cdr:spPr>
        <a:xfrm xmlns:a="http://schemas.openxmlformats.org/drawingml/2006/main">
          <a:off x="388914" y="180865"/>
          <a:ext cx="957826" cy="66454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en-AU" sz="700">
              <a:latin typeface="Arial" panose="020B0604020202020204" pitchFamily="34" charset="0"/>
              <a:cs typeface="Arial" panose="020B0604020202020204" pitchFamily="34" charset="0"/>
            </a:rPr>
            <a:t>Effective</a:t>
          </a:r>
          <a:r>
            <a:rPr lang="en-AU" sz="700" baseline="0">
              <a:latin typeface="Arial" panose="020B0604020202020204" pitchFamily="34" charset="0"/>
              <a:cs typeface="Arial" panose="020B0604020202020204" pitchFamily="34" charset="0"/>
            </a:rPr>
            <a:t> tax-</a:t>
          </a:r>
        </a:p>
        <a:p xmlns:a="http://schemas.openxmlformats.org/drawingml/2006/main">
          <a:pPr algn="ctr"/>
          <a:r>
            <a:rPr lang="en-AU" sz="700" baseline="0">
              <a:latin typeface="Arial" panose="020B0604020202020204" pitchFamily="34" charset="0"/>
              <a:cs typeface="Arial" panose="020B0604020202020204" pitchFamily="34" charset="0"/>
            </a:rPr>
            <a:t>free threshold </a:t>
          </a:r>
        </a:p>
        <a:p xmlns:a="http://schemas.openxmlformats.org/drawingml/2006/main">
          <a:pPr algn="ctr"/>
          <a:r>
            <a:rPr lang="en-AU" sz="700" baseline="0">
              <a:latin typeface="Arial" panose="020B0604020202020204" pitchFamily="34" charset="0"/>
              <a:cs typeface="Arial" panose="020B0604020202020204" pitchFamily="34" charset="0"/>
            </a:rPr>
            <a:t>$16,000</a:t>
          </a:r>
          <a:endParaRPr lang="en-AU" sz="7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0.18039</cdr:x>
      <cdr:y>0.00709</cdr:y>
    </cdr:from>
    <cdr:to>
      <cdr:x>0.3367</cdr:x>
      <cdr:y>0.1545</cdr:y>
    </cdr:to>
    <cdr:sp macro="" textlink="">
      <cdr:nvSpPr>
        <cdr:cNvPr id="14" name="TextBox 1"/>
        <cdr:cNvSpPr txBox="1"/>
      </cdr:nvSpPr>
      <cdr:spPr>
        <a:xfrm xmlns:a="http://schemas.openxmlformats.org/drawingml/2006/main">
          <a:off x="1004180" y="17867"/>
          <a:ext cx="870148" cy="37147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700">
              <a:latin typeface="Arial" panose="020B0604020202020204" pitchFamily="34" charset="0"/>
              <a:cs typeface="Arial" panose="020B0604020202020204" pitchFamily="34" charset="0"/>
            </a:rPr>
            <a:t>Second tax bracket </a:t>
          </a:r>
        </a:p>
        <a:p xmlns:a="http://schemas.openxmlformats.org/drawingml/2006/main">
          <a:pPr algn="ctr"/>
          <a:r>
            <a:rPr lang="en-AU" sz="700">
              <a:latin typeface="Arial" panose="020B0604020202020204" pitchFamily="34" charset="0"/>
              <a:cs typeface="Arial" panose="020B0604020202020204" pitchFamily="34" charset="0"/>
            </a:rPr>
            <a:t>$37,000</a:t>
          </a:r>
        </a:p>
      </cdr:txBody>
    </cdr:sp>
  </cdr:relSizeAnchor>
  <cdr:relSizeAnchor xmlns:cdr="http://schemas.openxmlformats.org/drawingml/2006/chartDrawing">
    <cdr:from>
      <cdr:x>0.33661</cdr:x>
      <cdr:y>0.02089</cdr:y>
    </cdr:from>
    <cdr:to>
      <cdr:x>0.49293</cdr:x>
      <cdr:y>0.1683</cdr:y>
    </cdr:to>
    <cdr:sp macro="" textlink="">
      <cdr:nvSpPr>
        <cdr:cNvPr id="17" name="TextBox 1"/>
        <cdr:cNvSpPr txBox="1"/>
      </cdr:nvSpPr>
      <cdr:spPr>
        <a:xfrm xmlns:a="http://schemas.openxmlformats.org/drawingml/2006/main">
          <a:off x="1871064" y="52632"/>
          <a:ext cx="868906" cy="3714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700">
              <a:latin typeface="Arial" panose="020B0604020202020204" pitchFamily="34" charset="0"/>
              <a:cs typeface="Arial" panose="020B0604020202020204" pitchFamily="34" charset="0"/>
            </a:rPr>
            <a:t>Third tax bracket </a:t>
          </a:r>
        </a:p>
        <a:p xmlns:a="http://schemas.openxmlformats.org/drawingml/2006/main">
          <a:pPr algn="ctr"/>
          <a:r>
            <a:rPr lang="en-AU" sz="700">
              <a:latin typeface="Arial" panose="020B0604020202020204" pitchFamily="34" charset="0"/>
              <a:cs typeface="Arial" panose="020B0604020202020204" pitchFamily="34" charset="0"/>
            </a:rPr>
            <a:t>$80,000</a:t>
          </a:r>
        </a:p>
      </cdr:txBody>
    </cdr:sp>
  </cdr:relSizeAnchor>
  <cdr:relSizeAnchor xmlns:cdr="http://schemas.openxmlformats.org/drawingml/2006/chartDrawing">
    <cdr:from>
      <cdr:x>0.72513</cdr:x>
      <cdr:y>0.02616</cdr:y>
    </cdr:from>
    <cdr:to>
      <cdr:x>0.88144</cdr:x>
      <cdr:y>0.17358</cdr:y>
    </cdr:to>
    <cdr:sp macro="" textlink="">
      <cdr:nvSpPr>
        <cdr:cNvPr id="18" name="TextBox 1"/>
        <cdr:cNvSpPr txBox="1"/>
      </cdr:nvSpPr>
      <cdr:spPr>
        <a:xfrm xmlns:a="http://schemas.openxmlformats.org/drawingml/2006/main">
          <a:off x="4036664" y="65930"/>
          <a:ext cx="870148" cy="3714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700">
              <a:latin typeface="Arial" panose="020B0604020202020204" pitchFamily="34" charset="0"/>
              <a:cs typeface="Arial" panose="020B0604020202020204" pitchFamily="34" charset="0"/>
            </a:rPr>
            <a:t>Fourth tax bracket </a:t>
          </a:r>
        </a:p>
        <a:p xmlns:a="http://schemas.openxmlformats.org/drawingml/2006/main">
          <a:pPr algn="ctr"/>
          <a:r>
            <a:rPr lang="en-AU" sz="700">
              <a:latin typeface="Arial" panose="020B0604020202020204" pitchFamily="34" charset="0"/>
              <a:cs typeface="Arial" panose="020B0604020202020204" pitchFamily="34" charset="0"/>
            </a:rPr>
            <a:t>$180,000</a:t>
          </a:r>
        </a:p>
      </cdr:txBody>
    </cdr:sp>
  </cdr:relSizeAnchor>
  <cdr:relSizeAnchor xmlns:cdr="http://schemas.openxmlformats.org/drawingml/2006/chartDrawing">
    <cdr:from>
      <cdr:x>1.79636E-7</cdr:x>
      <cdr:y>0.01163</cdr:y>
    </cdr:from>
    <cdr:to>
      <cdr:x>0.19835</cdr:x>
      <cdr:y>0.10961</cdr:y>
    </cdr:to>
    <cdr:sp macro="" textlink="">
      <cdr:nvSpPr>
        <cdr:cNvPr id="3" name="TextBox 2"/>
        <cdr:cNvSpPr txBox="1"/>
      </cdr:nvSpPr>
      <cdr:spPr>
        <a:xfrm xmlns:a="http://schemas.openxmlformats.org/drawingml/2006/main">
          <a:off x="1" y="29308"/>
          <a:ext cx="1104166" cy="24691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l"/>
          <a:r>
            <a:rPr lang="en-AU" sz="700">
              <a:latin typeface="Arial" panose="020B0604020202020204" pitchFamily="34" charset="0"/>
              <a:cs typeface="Arial" panose="020B0604020202020204" pitchFamily="34" charset="0"/>
            </a:rPr>
            <a:t>Number of taxpayers</a:t>
          </a:r>
        </a:p>
      </cdr:txBody>
    </cdr:sp>
  </cdr:relSizeAnchor>
  <cdr:relSizeAnchor xmlns:cdr="http://schemas.openxmlformats.org/drawingml/2006/chartDrawing">
    <cdr:from>
      <cdr:x>0.86434</cdr:x>
      <cdr:y>0.00872</cdr:y>
    </cdr:from>
    <cdr:to>
      <cdr:x>0.98705</cdr:x>
      <cdr:y>0.09886</cdr:y>
    </cdr:to>
    <cdr:sp macro="" textlink="">
      <cdr:nvSpPr>
        <cdr:cNvPr id="13" name="TextBox 1"/>
        <cdr:cNvSpPr txBox="1"/>
      </cdr:nvSpPr>
      <cdr:spPr>
        <a:xfrm xmlns:a="http://schemas.openxmlformats.org/drawingml/2006/main">
          <a:off x="4811590" y="21981"/>
          <a:ext cx="683114" cy="22713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700">
              <a:latin typeface="Arial" panose="020B0604020202020204" pitchFamily="34" charset="0"/>
              <a:cs typeface="Arial" panose="020B0604020202020204" pitchFamily="34" charset="0"/>
            </a:rPr>
            <a:t>Tax payable</a:t>
          </a:r>
        </a:p>
      </cdr:txBody>
    </cdr:sp>
  </cdr:relSizeAnchor>
</c:userShape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2014RG-82-6636</_dlc_DocId>
    <_dlc_DocIdUrl xmlns="9f7bc583-7cbe-45b9-a2bd-8bbb6543b37e">
      <Url>http://tweb/sites/rg/project/twptf/_layouts/15/DocIdRedir.aspx?ID=2014RG-82-6636</Url>
      <Description>2014RG-82-6636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48CA7-0446-41A8-94F7-20B31182C5A2}">
  <ds:schemaRefs>
    <ds:schemaRef ds:uri="http://schemas.microsoft.com/office/2006/documentManagement/types"/>
    <ds:schemaRef ds:uri="http://www.w3.org/XML/1998/namespace"/>
    <ds:schemaRef ds:uri="http://purl.org/dc/terms/"/>
    <ds:schemaRef ds:uri="http://schemas.microsoft.com/sharepoint/v3"/>
    <ds:schemaRef ds:uri="http://purl.org/dc/elements/1.1/"/>
    <ds:schemaRef ds:uri="http://purl.org/dc/dcmitype/"/>
    <ds:schemaRef ds:uri="9f7bc583-7cbe-45b9-a2bd-8bbb6543b37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40EF1BAB-19E3-44C9-A5C6-E442B992DE00}">
  <ds:schemaRefs>
    <ds:schemaRef ds:uri="http://schemas.microsoft.com/sharepoint/v3/contenttype/forms"/>
  </ds:schemaRefs>
</ds:datastoreItem>
</file>

<file path=customXml/itemProps3.xml><?xml version="1.0" encoding="utf-8"?>
<ds:datastoreItem xmlns:ds="http://schemas.openxmlformats.org/officeDocument/2006/customXml" ds:itemID="{A9870EAC-C059-4A3D-A848-3864C512F9E0}">
  <ds:schemaRefs>
    <ds:schemaRef ds:uri="http://schemas.microsoft.com/sharepoint/events"/>
  </ds:schemaRefs>
</ds:datastoreItem>
</file>

<file path=customXml/itemProps4.xml><?xml version="1.0" encoding="utf-8"?>
<ds:datastoreItem xmlns:ds="http://schemas.openxmlformats.org/officeDocument/2006/customXml" ds:itemID="{ACD42531-A6E8-4FB6-AEAC-61116A630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627A637-5FC4-4E7F-9F21-FB547B555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22</Pages>
  <Words>8314</Words>
  <Characters>46344</Characters>
  <Application>Microsoft Office Word</Application>
  <DocSecurity>0</DocSecurity>
  <Lines>386</Lines>
  <Paragraphs>109</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54549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3: Individuals</dc:subject>
  <dc:creator/>
  <cp:lastModifiedBy/>
  <cp:revision>1</cp:revision>
  <dcterms:created xsi:type="dcterms:W3CDTF">2015-03-27T07:56:00Z</dcterms:created>
  <dcterms:modified xsi:type="dcterms:W3CDTF">2015-03-27T08:03:00Z</dcterms:modified>
  <dc:language>English</dc:language>
</cp:coreProperties>
</file>