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FFC2E" w14:textId="6C95FB6D" w:rsidR="00D7744B" w:rsidRDefault="00E85149" w:rsidP="00BA550B">
      <w:pPr>
        <w:pStyle w:val="Heading1"/>
        <w:ind w:left="709" w:hanging="709"/>
        <w:rPr>
          <w:rFonts w:eastAsiaTheme="minorHAnsi"/>
        </w:rPr>
      </w:pPr>
      <w:bookmarkStart w:id="0" w:name="_Toc403555871"/>
      <w:bookmarkStart w:id="1" w:name="_GoBack"/>
      <w:bookmarkEnd w:id="1"/>
      <w:r>
        <w:rPr>
          <w:rFonts w:eastAsiaTheme="minorHAnsi"/>
        </w:rPr>
        <w:t>T</w:t>
      </w:r>
      <w:r w:rsidR="0027373E">
        <w:rPr>
          <w:rFonts w:eastAsiaTheme="minorHAnsi"/>
        </w:rPr>
        <w:t xml:space="preserve">he </w:t>
      </w:r>
      <w:r w:rsidR="001576F4">
        <w:rPr>
          <w:rFonts w:eastAsiaTheme="minorHAnsi"/>
        </w:rPr>
        <w:t>G</w:t>
      </w:r>
      <w:r>
        <w:rPr>
          <w:rFonts w:eastAsiaTheme="minorHAnsi"/>
        </w:rPr>
        <w:t xml:space="preserve">oods and </w:t>
      </w:r>
      <w:r w:rsidR="001576F4">
        <w:rPr>
          <w:rFonts w:eastAsiaTheme="minorHAnsi"/>
        </w:rPr>
        <w:t>S</w:t>
      </w:r>
      <w:r>
        <w:rPr>
          <w:rFonts w:eastAsiaTheme="minorHAnsi"/>
        </w:rPr>
        <w:t xml:space="preserve">ervices </w:t>
      </w:r>
      <w:r w:rsidR="001576F4">
        <w:rPr>
          <w:rFonts w:eastAsiaTheme="minorHAnsi"/>
        </w:rPr>
        <w:t>T</w:t>
      </w:r>
      <w:r>
        <w:rPr>
          <w:rFonts w:eastAsiaTheme="minorHAnsi"/>
        </w:rPr>
        <w:t xml:space="preserve">ax </w:t>
      </w:r>
      <w:r w:rsidR="0027373E">
        <w:rPr>
          <w:rFonts w:eastAsiaTheme="minorHAnsi"/>
        </w:rPr>
        <w:t xml:space="preserve">and </w:t>
      </w:r>
      <w:r>
        <w:rPr>
          <w:rFonts w:eastAsiaTheme="minorHAnsi"/>
        </w:rPr>
        <w:t>s</w:t>
      </w:r>
      <w:r w:rsidR="00432B15">
        <w:rPr>
          <w:rFonts w:eastAsiaTheme="minorHAnsi"/>
        </w:rPr>
        <w:t xml:space="preserve">tate </w:t>
      </w:r>
      <w:r w:rsidR="00432B15" w:rsidRPr="00786B97">
        <w:rPr>
          <w:rFonts w:eastAsiaTheme="minorHAnsi"/>
        </w:rPr>
        <w:t>taxes</w:t>
      </w:r>
      <w:r w:rsidR="00432B15">
        <w:rPr>
          <w:rFonts w:eastAsiaTheme="minorHAnsi"/>
        </w:rPr>
        <w:t xml:space="preserve"> </w:t>
      </w:r>
      <w:bookmarkEnd w:id="0"/>
    </w:p>
    <w:p w14:paraId="74112496" w14:textId="15E91591" w:rsidR="00BA550B" w:rsidRDefault="00BA550B" w:rsidP="00FE3891">
      <w:pPr>
        <w:spacing w:after="180"/>
        <w:rPr>
          <w:rFonts w:eastAsiaTheme="minorHAnsi"/>
        </w:rPr>
      </w:pPr>
      <w:r>
        <w:rPr>
          <w:noProof/>
        </w:rPr>
        <mc:AlternateContent>
          <mc:Choice Requires="wps">
            <w:drawing>
              <wp:anchor distT="0" distB="0" distL="114300" distR="114300" simplePos="0" relativeHeight="251658240" behindDoc="1" locked="0" layoutInCell="1" allowOverlap="1" wp14:anchorId="30F789BB" wp14:editId="512B1131">
                <wp:simplePos x="0" y="0"/>
                <wp:positionH relativeFrom="column">
                  <wp:posOffset>-52070</wp:posOffset>
                </wp:positionH>
                <wp:positionV relativeFrom="paragraph">
                  <wp:posOffset>160020</wp:posOffset>
                </wp:positionV>
                <wp:extent cx="5886450" cy="6238875"/>
                <wp:effectExtent l="0" t="0" r="0" b="9525"/>
                <wp:wrapNone/>
                <wp:docPr id="3" name="Rectangle 3"/>
                <wp:cNvGraphicFramePr/>
                <a:graphic xmlns:a="http://schemas.openxmlformats.org/drawingml/2006/main">
                  <a:graphicData uri="http://schemas.microsoft.com/office/word/2010/wordprocessingShape">
                    <wps:wsp>
                      <wps:cNvSpPr/>
                      <wps:spPr>
                        <a:xfrm>
                          <a:off x="0" y="0"/>
                          <a:ext cx="5886450" cy="623887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1pt;margin-top:12.6pt;width:463.5pt;height:49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" fillcolor="#d5edf6 [660]" stroked="f" strokeweight="2pt"/>
            </w:pict>
          </mc:Fallback>
        </mc:AlternateContent>
      </w:r>
    </w:p>
    <w:p w14:paraId="2452D0CD" w14:textId="77777777" w:rsidR="00BA550B" w:rsidRPr="009B6DD3" w:rsidRDefault="00BA550B" w:rsidP="00FE3891">
      <w:pPr>
        <w:pStyle w:val="Overviewheading"/>
        <w:numPr>
          <w:ilvl w:val="0"/>
          <w:numId w:val="0"/>
        </w:numPr>
        <w:spacing w:before="180"/>
      </w:pPr>
      <w:r w:rsidRPr="009B6DD3">
        <w:t>Overview</w:t>
      </w:r>
    </w:p>
    <w:p w14:paraId="18212097" w14:textId="75216C46" w:rsidR="00BA550B" w:rsidRPr="009B6DD3" w:rsidRDefault="00BA550B" w:rsidP="00FE3891">
      <w:pPr>
        <w:pStyle w:val="Overviewtext"/>
        <w:spacing w:line="264" w:lineRule="auto"/>
        <w:rPr>
          <w:sz w:val="30"/>
          <w:szCs w:val="30"/>
        </w:rPr>
      </w:pPr>
      <w:r w:rsidRPr="009B6DD3">
        <w:rPr>
          <w:sz w:val="30"/>
          <w:szCs w:val="30"/>
        </w:rPr>
        <w:t>This chapter provides an overview of t</w:t>
      </w:r>
      <w:r w:rsidR="000757B5">
        <w:rPr>
          <w:sz w:val="30"/>
          <w:szCs w:val="30"/>
        </w:rPr>
        <w:t>axes that generate revenue for s</w:t>
      </w:r>
      <w:r w:rsidRPr="009B6DD3">
        <w:rPr>
          <w:sz w:val="30"/>
          <w:szCs w:val="30"/>
        </w:rPr>
        <w:t xml:space="preserve">tate and </w:t>
      </w:r>
      <w:r w:rsidR="000757B5">
        <w:rPr>
          <w:sz w:val="30"/>
          <w:szCs w:val="30"/>
        </w:rPr>
        <w:t>t</w:t>
      </w:r>
      <w:r w:rsidRPr="009B6DD3">
        <w:rPr>
          <w:sz w:val="30"/>
          <w:szCs w:val="30"/>
        </w:rPr>
        <w:t>erritory governments (including local councils)</w:t>
      </w:r>
      <w:r w:rsidR="003C54B4" w:rsidRPr="009B6DD3">
        <w:rPr>
          <w:sz w:val="30"/>
          <w:szCs w:val="30"/>
        </w:rPr>
        <w:t xml:space="preserve">. </w:t>
      </w:r>
      <w:r w:rsidRPr="009B6DD3">
        <w:rPr>
          <w:sz w:val="30"/>
          <w:szCs w:val="30"/>
        </w:rPr>
        <w:t xml:space="preserve">This includes payroll tax, stamp duties, land tax and the Goods and Services Tax (GST). </w:t>
      </w:r>
    </w:p>
    <w:p w14:paraId="49EC0BB5" w14:textId="6ABAC1DF" w:rsidR="00BA550B" w:rsidRPr="009B6DD3" w:rsidRDefault="00BA550B" w:rsidP="00BA550B">
      <w:pPr>
        <w:pStyle w:val="Overviewheading2"/>
        <w:numPr>
          <w:ilvl w:val="0"/>
          <w:numId w:val="0"/>
        </w:numPr>
      </w:pPr>
      <w:r w:rsidRPr="009B6DD3">
        <w:t xml:space="preserve">Key </w:t>
      </w:r>
      <w:r w:rsidR="00FE3891" w:rsidRPr="009B6DD3">
        <w:t>p</w:t>
      </w:r>
      <w:r w:rsidRPr="009B6DD3">
        <w:t>oints</w:t>
      </w:r>
    </w:p>
    <w:p w14:paraId="7F8A0A33" w14:textId="4FF8D4FC" w:rsidR="00BA550B" w:rsidRPr="009B6DD3" w:rsidRDefault="00BA550B" w:rsidP="00BA550B">
      <w:pPr>
        <w:pStyle w:val="Bullets"/>
      </w:pPr>
      <w:r w:rsidRPr="009B6DD3">
        <w:t xml:space="preserve">As with most other federations around the world, in Australia, </w:t>
      </w:r>
      <w:r w:rsidR="000757B5">
        <w:t>state and t</w:t>
      </w:r>
      <w:r w:rsidRPr="009B6DD3">
        <w:t xml:space="preserve">erritory governments (including local governments) spend more than they raise in revenue, with the difference made up by </w:t>
      </w:r>
      <w:r w:rsidR="00CA4488" w:rsidRPr="009B6DD3">
        <w:t>grants from the Australian</w:t>
      </w:r>
      <w:r w:rsidR="00AD7513" w:rsidRPr="009B6DD3">
        <w:t xml:space="preserve"> Government</w:t>
      </w:r>
      <w:r w:rsidRPr="009B6DD3">
        <w:t xml:space="preserve">. </w:t>
      </w:r>
    </w:p>
    <w:p w14:paraId="6DB6327F" w14:textId="09323EF2" w:rsidR="00BA550B" w:rsidRPr="009B6DD3" w:rsidRDefault="00BA550B" w:rsidP="00BA550B">
      <w:pPr>
        <w:pStyle w:val="Bullets"/>
      </w:pPr>
      <w:r w:rsidRPr="009B6DD3">
        <w:t xml:space="preserve">The </w:t>
      </w:r>
      <w:r w:rsidR="000757B5">
        <w:t>states and t</w:t>
      </w:r>
      <w:r w:rsidRPr="009B6DD3">
        <w:t xml:space="preserve">erritories receive all of the revenue raised by the GST. </w:t>
      </w:r>
      <w:r w:rsidR="00F65ED2" w:rsidRPr="009B6DD3">
        <w:t>About 23</w:t>
      </w:r>
      <w:r w:rsidR="003A0A91" w:rsidRPr="009B6DD3">
        <w:t> </w:t>
      </w:r>
      <w:r w:rsidR="00F65ED2" w:rsidRPr="009B6DD3">
        <w:t>per</w:t>
      </w:r>
      <w:r w:rsidR="003A0A91" w:rsidRPr="009B6DD3">
        <w:t> </w:t>
      </w:r>
      <w:r w:rsidR="00F65ED2" w:rsidRPr="009B6DD3">
        <w:t>cent of total state revenue comes from the GST, with state</w:t>
      </w:r>
      <w:r w:rsidR="00435E86">
        <w:noBreakHyphen/>
      </w:r>
      <w:r w:rsidR="00F65ED2" w:rsidRPr="009B6DD3">
        <w:t xml:space="preserve">levied taxes generating about 31 per cent of total state revenue. </w:t>
      </w:r>
      <w:r w:rsidRPr="009B6DD3">
        <w:t xml:space="preserve">The GST is relatively efficient compared to some other taxes </w:t>
      </w:r>
      <w:r w:rsidR="00A52FB4" w:rsidRPr="009B6DD3">
        <w:t>because it has a much bro</w:t>
      </w:r>
      <w:r w:rsidR="00B766DD" w:rsidRPr="009B6DD3">
        <w:t>ader base than many other taxes.</w:t>
      </w:r>
      <w:r w:rsidR="00A52FB4" w:rsidRPr="009B6DD3">
        <w:t xml:space="preserve"> </w:t>
      </w:r>
      <w:r w:rsidR="00B766DD" w:rsidRPr="009B6DD3">
        <w:t>H</w:t>
      </w:r>
      <w:r w:rsidR="00A52FB4" w:rsidRPr="009B6DD3">
        <w:t>owever</w:t>
      </w:r>
      <w:r w:rsidR="00B766DD" w:rsidRPr="009B6DD3">
        <w:t>,</w:t>
      </w:r>
      <w:r w:rsidRPr="009B6DD3">
        <w:t xml:space="preserve"> exemptions reduce its efficiency and introduce significant complexity</w:t>
      </w:r>
      <w:r w:rsidR="003C54B4" w:rsidRPr="009B6DD3">
        <w:t xml:space="preserve">. </w:t>
      </w:r>
      <w:r w:rsidRPr="009B6DD3">
        <w:t>In total, around 47 per cent of Australia</w:t>
      </w:r>
      <w:r w:rsidR="00435E86">
        <w:t>’</w:t>
      </w:r>
      <w:r w:rsidRPr="009B6DD3">
        <w:t>s national consumption is subject to GST.</w:t>
      </w:r>
    </w:p>
    <w:p w14:paraId="01BC289A" w14:textId="69CF0ECD" w:rsidR="00BA550B" w:rsidRPr="009B6DD3" w:rsidRDefault="00BA550B" w:rsidP="00BA550B">
      <w:pPr>
        <w:pStyle w:val="Bullets"/>
      </w:pPr>
      <w:r w:rsidRPr="009B6DD3">
        <w:t xml:space="preserve">Legislation requires that changes to the GST base or rate require unanimous agreement by all </w:t>
      </w:r>
      <w:r w:rsidR="000757B5">
        <w:t>s</w:t>
      </w:r>
      <w:r w:rsidRPr="009B6DD3">
        <w:t xml:space="preserve">tate and </w:t>
      </w:r>
      <w:r w:rsidR="000757B5">
        <w:t>t</w:t>
      </w:r>
      <w:r w:rsidRPr="009B6DD3">
        <w:t xml:space="preserve">erritory governments, as well as both </w:t>
      </w:r>
      <w:r w:rsidR="001576F4" w:rsidRPr="009B6DD3">
        <w:t>H</w:t>
      </w:r>
      <w:r w:rsidRPr="009B6DD3">
        <w:t xml:space="preserve">ouses of the </w:t>
      </w:r>
      <w:r w:rsidR="00CA4488" w:rsidRPr="009B6DD3">
        <w:t>Australian</w:t>
      </w:r>
      <w:r w:rsidRPr="009B6DD3">
        <w:t xml:space="preserve"> Parliament. The </w:t>
      </w:r>
      <w:r w:rsidR="00CA4488" w:rsidRPr="009B6DD3">
        <w:t>Australian</w:t>
      </w:r>
      <w:r w:rsidR="003C08B4" w:rsidRPr="009B6DD3">
        <w:t xml:space="preserve"> </w:t>
      </w:r>
      <w:r w:rsidRPr="009B6DD3">
        <w:t xml:space="preserve">Government will not support changes to the GST without a broad political consensus for change, including agreement by all </w:t>
      </w:r>
      <w:r w:rsidR="000757B5">
        <w:t>state and t</w:t>
      </w:r>
      <w:r w:rsidRPr="009B6DD3">
        <w:t>erritory governments.</w:t>
      </w:r>
    </w:p>
    <w:p w14:paraId="2A6E562B" w14:textId="07E30994" w:rsidR="00BA550B" w:rsidRPr="009B6DD3" w:rsidRDefault="00BA550B" w:rsidP="00BA550B">
      <w:pPr>
        <w:pStyle w:val="Bullets"/>
      </w:pPr>
      <w:r w:rsidRPr="009B6DD3">
        <w:t>The major sources of state tax revenue are payroll taxes and stamp duties</w:t>
      </w:r>
      <w:r w:rsidR="003C54B4" w:rsidRPr="009B6DD3">
        <w:t xml:space="preserve">. </w:t>
      </w:r>
      <w:r w:rsidRPr="009B6DD3">
        <w:t>State governments also impose taxes on land, gambling and motor vehicles. Municipal rates are the sole source of local government tax revenue.</w:t>
      </w:r>
    </w:p>
    <w:p w14:paraId="6163A67F" w14:textId="65EC6844" w:rsidR="00BA550B" w:rsidRPr="009B6DD3" w:rsidRDefault="00BA550B" w:rsidP="00FE3891">
      <w:pPr>
        <w:pStyle w:val="Bullets"/>
        <w:spacing w:after="240"/>
        <w:rPr>
          <w:rFonts w:eastAsiaTheme="minorHAnsi"/>
        </w:rPr>
      </w:pPr>
      <w:r w:rsidRPr="009B6DD3">
        <w:t>Some studies have suggested there are significant economic gains associated with state tax reform, particularly reducing stamp duties and making greater use of potentially efficient payroll and land taxes.</w:t>
      </w:r>
    </w:p>
    <w:p w14:paraId="0D94A244" w14:textId="77777777" w:rsidR="00820EE1" w:rsidRDefault="00820EE1" w:rsidP="00F063B4">
      <w:pPr>
        <w:spacing w:after="200"/>
        <w:sectPr w:rsidR="00820EE1" w:rsidSect="00F063B4">
          <w:headerReference w:type="even" r:id="rId13"/>
          <w:headerReference w:type="default" r:id="rId14"/>
          <w:footerReference w:type="even" r:id="rId15"/>
          <w:footerReference w:type="default" r:id="rId16"/>
          <w:headerReference w:type="first" r:id="rId17"/>
          <w:footerReference w:type="first" r:id="rId18"/>
          <w:footnotePr>
            <w:numStart w:val="148"/>
          </w:footnotePr>
          <w:type w:val="continuous"/>
          <w:pgSz w:w="11906" w:h="16838" w:code="9"/>
          <w:pgMar w:top="261" w:right="1418" w:bottom="1418" w:left="1418" w:header="709" w:footer="709" w:gutter="0"/>
          <w:pgNumType w:start="129"/>
          <w:cols w:space="708"/>
          <w:titlePg/>
          <w:docGrid w:linePitch="360"/>
        </w:sectPr>
      </w:pPr>
    </w:p>
    <w:p w14:paraId="5CCB7A9A" w14:textId="3CDB5EB6" w:rsidR="00820EE1" w:rsidRPr="009B6DD3" w:rsidRDefault="00820EE1" w:rsidP="00820EE1">
      <w:pPr>
        <w:pStyle w:val="Heading2"/>
      </w:pPr>
      <w:bookmarkStart w:id="2" w:name="_Toc403555872"/>
      <w:bookmarkEnd w:id="2"/>
      <w:r w:rsidRPr="009B6DD3">
        <w:lastRenderedPageBreak/>
        <w:t>Context</w:t>
      </w:r>
    </w:p>
    <w:p w14:paraId="052B4063" w14:textId="77777777" w:rsidR="00820EE1" w:rsidRDefault="00820EE1" w:rsidP="00820EE1">
      <w:pPr>
        <w:spacing w:after="200"/>
      </w:pPr>
      <w:r w:rsidRPr="009B6DD3">
        <w:t>The size and distribution of taxes in Australia today is distinctly different from the early days of Australia</w:t>
      </w:r>
      <w:r>
        <w:t>’</w:t>
      </w:r>
      <w:r w:rsidRPr="009B6DD3">
        <w:t>s Federation.</w:t>
      </w:r>
    </w:p>
    <w:p w14:paraId="5162248C" w14:textId="2DB55BBD" w:rsidR="00FE3891" w:rsidRPr="009B6DD3" w:rsidRDefault="00FE3891" w:rsidP="00F063B4">
      <w:pPr>
        <w:spacing w:after="200"/>
      </w:pPr>
      <w:r w:rsidRPr="009B6DD3">
        <w:t xml:space="preserve">Before 1901 the Australian colonies collected most of their tax revenue through customs duties and excises. The colonies also imposed income tax, stamp duties, land taxes and estate taxes. At Federation, the Constitution granted the </w:t>
      </w:r>
      <w:r w:rsidR="00CA4488" w:rsidRPr="009B6DD3">
        <w:t>Australian</w:t>
      </w:r>
      <w:r w:rsidR="00AD7513" w:rsidRPr="009B6DD3">
        <w:t xml:space="preserve"> Government</w:t>
      </w:r>
      <w:r w:rsidRPr="009B6DD3">
        <w:t xml:space="preserve"> exclusive rights to levy customs duties and excises, reflecting the importance of free interstate trade.</w:t>
      </w:r>
    </w:p>
    <w:p w14:paraId="3322FB55" w14:textId="42A1F7BF" w:rsidR="00432B15" w:rsidRPr="009B6DD3" w:rsidRDefault="00432B15" w:rsidP="00C26E42">
      <w:pPr>
        <w:spacing w:line="240" w:lineRule="auto"/>
      </w:pPr>
      <w:r w:rsidRPr="009B6DD3">
        <w:t xml:space="preserve">Today, </w:t>
      </w:r>
      <w:r w:rsidR="009F0763" w:rsidRPr="009B6DD3">
        <w:t xml:space="preserve">about </w:t>
      </w:r>
      <w:r w:rsidR="00515934" w:rsidRPr="009B6DD3">
        <w:t>23</w:t>
      </w:r>
      <w:r w:rsidR="009F0763" w:rsidRPr="009B6DD3">
        <w:t xml:space="preserve"> per cent of total state revenue comes from </w:t>
      </w:r>
      <w:r w:rsidR="00515934" w:rsidRPr="009B6DD3">
        <w:t xml:space="preserve">the </w:t>
      </w:r>
      <w:r w:rsidR="00815875" w:rsidRPr="009B6DD3">
        <w:t>GST</w:t>
      </w:r>
      <w:r w:rsidR="009F0763" w:rsidRPr="009B6DD3">
        <w:t>, with state</w:t>
      </w:r>
      <w:r w:rsidR="00435E86">
        <w:noBreakHyphen/>
      </w:r>
      <w:r w:rsidR="009F0763" w:rsidRPr="009B6DD3">
        <w:t>levied taxes generating a</w:t>
      </w:r>
      <w:r w:rsidR="00515934" w:rsidRPr="009B6DD3">
        <w:t>bout 31 per cent of total state revenue.</w:t>
      </w:r>
      <w:r w:rsidR="00706482" w:rsidRPr="009B6DD3">
        <w:rPr>
          <w:rStyle w:val="FootnoteReference"/>
        </w:rPr>
        <w:footnoteReference w:id="2"/>
      </w:r>
      <w:r w:rsidR="00515934" w:rsidRPr="009B6DD3">
        <w:t xml:space="preserve"> </w:t>
      </w:r>
      <w:r w:rsidRPr="009B6DD3">
        <w:t xml:space="preserve">Royalties also play an important role in supporting many </w:t>
      </w:r>
      <w:r w:rsidR="000757B5">
        <w:t>s</w:t>
      </w:r>
      <w:r w:rsidRPr="009B6DD3">
        <w:t>tate</w:t>
      </w:r>
      <w:r w:rsidR="006F4822" w:rsidRPr="009B6DD3">
        <w:t xml:space="preserve"> and </w:t>
      </w:r>
      <w:r w:rsidR="000757B5">
        <w:t>t</w:t>
      </w:r>
      <w:r w:rsidR="006F4822" w:rsidRPr="009B6DD3">
        <w:t>erritory</w:t>
      </w:r>
      <w:r w:rsidRPr="009B6DD3">
        <w:t xml:space="preserve"> budgets</w:t>
      </w:r>
      <w:r w:rsidR="00F64440" w:rsidRPr="009B6DD3">
        <w:t>.</w:t>
      </w:r>
      <w:r w:rsidR="005620CE" w:rsidRPr="009B6DD3">
        <w:rPr>
          <w:rStyle w:val="FootnoteReference"/>
        </w:rPr>
        <w:footnoteReference w:id="3"/>
      </w:r>
      <w:r w:rsidR="00F64440" w:rsidRPr="009B6DD3">
        <w:t xml:space="preserve"> </w:t>
      </w:r>
      <w:r w:rsidRPr="009B6DD3">
        <w:t xml:space="preserve">The </w:t>
      </w:r>
      <w:r w:rsidR="000757B5">
        <w:t>s</w:t>
      </w:r>
      <w:r w:rsidRPr="009B6DD3">
        <w:t xml:space="preserve">tates </w:t>
      </w:r>
      <w:r w:rsidR="006F4822" w:rsidRPr="009B6DD3">
        <w:t xml:space="preserve">and </w:t>
      </w:r>
      <w:r w:rsidR="000757B5">
        <w:t>t</w:t>
      </w:r>
      <w:r w:rsidR="006F4822" w:rsidRPr="009B6DD3">
        <w:t xml:space="preserve">erritories </w:t>
      </w:r>
      <w:r w:rsidRPr="009B6DD3">
        <w:t>no longer lev</w:t>
      </w:r>
      <w:r w:rsidR="00BA1E79" w:rsidRPr="009B6DD3">
        <w:t>y estate taxes or income taxes.</w:t>
      </w:r>
    </w:p>
    <w:p w14:paraId="12A97DD4" w14:textId="75449A9A" w:rsidR="009D2F9F" w:rsidRPr="009B6DD3" w:rsidRDefault="009D2F9F" w:rsidP="00C26E42">
      <w:pPr>
        <w:spacing w:line="240" w:lineRule="auto"/>
      </w:pPr>
      <w:r w:rsidRPr="009B6DD3">
        <w:t xml:space="preserve">The </w:t>
      </w:r>
      <w:r w:rsidR="00CA4488" w:rsidRPr="009B6DD3">
        <w:t>Australian</w:t>
      </w:r>
      <w:r w:rsidRPr="009B6DD3">
        <w:t xml:space="preserve"> Governm</w:t>
      </w:r>
      <w:r w:rsidR="003C08B4" w:rsidRPr="009B6DD3">
        <w:t>ent has committed to produce a w</w:t>
      </w:r>
      <w:r w:rsidRPr="009B6DD3">
        <w:t xml:space="preserve">hite </w:t>
      </w:r>
      <w:r w:rsidR="003C08B4" w:rsidRPr="009B6DD3">
        <w:t>p</w:t>
      </w:r>
      <w:r w:rsidRPr="009B6DD3">
        <w:t xml:space="preserve">aper on the </w:t>
      </w:r>
      <w:r w:rsidR="003C08B4" w:rsidRPr="009B6DD3">
        <w:t>r</w:t>
      </w:r>
      <w:r w:rsidRPr="009B6DD3">
        <w:t xml:space="preserve">eform of the Federation (Federation White Paper) to clarify roles and responsibilities and to ensure that, as far as possible, the </w:t>
      </w:r>
      <w:r w:rsidR="00FB686C">
        <w:t>s</w:t>
      </w:r>
      <w:r w:rsidRPr="009B6DD3">
        <w:t xml:space="preserve">tates and </w:t>
      </w:r>
      <w:r w:rsidR="00FB686C">
        <w:t>t</w:t>
      </w:r>
      <w:r w:rsidRPr="009B6DD3">
        <w:t>erritories are sovereign in their own sphere. In doing so, its objectives include reducing waste, duplication and second</w:t>
      </w:r>
      <w:r w:rsidR="00435E86">
        <w:noBreakHyphen/>
      </w:r>
      <w:r w:rsidRPr="009B6DD3">
        <w:t xml:space="preserve">guessing between different levels of government and achieving </w:t>
      </w:r>
      <w:r w:rsidR="004C039E" w:rsidRPr="009B6DD3">
        <w:t>a more efficient and effective F</w:t>
      </w:r>
      <w:r w:rsidRPr="009B6DD3">
        <w:t xml:space="preserve">ederation </w:t>
      </w:r>
      <w:r w:rsidR="00D8733B" w:rsidRPr="009B6DD3">
        <w:t xml:space="preserve">that </w:t>
      </w:r>
      <w:r w:rsidRPr="009B6DD3">
        <w:t>supports Australia</w:t>
      </w:r>
      <w:r w:rsidR="00435E86">
        <w:t>’</w:t>
      </w:r>
      <w:r w:rsidRPr="009B6DD3">
        <w:t>s economic growth and</w:t>
      </w:r>
      <w:r w:rsidR="00BA1E79" w:rsidRPr="009B6DD3">
        <w:t xml:space="preserve"> international competitiveness.</w:t>
      </w:r>
    </w:p>
    <w:p w14:paraId="197A4D61" w14:textId="62EACBA8" w:rsidR="00276140" w:rsidRPr="009B6DD3" w:rsidRDefault="00432B15" w:rsidP="00432B15">
      <w:r w:rsidRPr="009B6DD3">
        <w:t>There are significant points of overlap between the Tax and Federation White Papers, incl</w:t>
      </w:r>
      <w:r w:rsidR="004C039E" w:rsidRPr="009B6DD3">
        <w:t>uding how the structure of our F</w:t>
      </w:r>
      <w:r w:rsidRPr="009B6DD3">
        <w:t xml:space="preserve">ederation influences which taxes are raised by which level of government, and how those taxes are used. </w:t>
      </w:r>
      <w:r w:rsidR="006143F4" w:rsidRPr="009B6DD3">
        <w:t xml:space="preserve">This chapter discusses some of the broader issues relating to the </w:t>
      </w:r>
      <w:r w:rsidR="004C039E" w:rsidRPr="009B6DD3">
        <w:t>F</w:t>
      </w:r>
      <w:r w:rsidR="006143F4" w:rsidRPr="009B6DD3">
        <w:t xml:space="preserve">ederation that are also </w:t>
      </w:r>
      <w:r w:rsidR="00345553" w:rsidRPr="009B6DD3">
        <w:t xml:space="preserve">being </w:t>
      </w:r>
      <w:r w:rsidR="006143F4" w:rsidRPr="009B6DD3">
        <w:t xml:space="preserve">discussed in the Federation White Paper. </w:t>
      </w:r>
      <w:r w:rsidR="00D8733B" w:rsidRPr="009B6DD3">
        <w:t>I</w:t>
      </w:r>
      <w:r w:rsidR="009D2F9F" w:rsidRPr="009B6DD3">
        <w:t xml:space="preserve">ssues relating to the distribution of tax revenue from the </w:t>
      </w:r>
      <w:r w:rsidR="00CA4488" w:rsidRPr="009B6DD3">
        <w:t>Australian</w:t>
      </w:r>
      <w:r w:rsidR="00AD7513" w:rsidRPr="009B6DD3">
        <w:t xml:space="preserve"> Government</w:t>
      </w:r>
      <w:r w:rsidR="009D2F9F" w:rsidRPr="009B6DD3">
        <w:t xml:space="preserve"> to </w:t>
      </w:r>
      <w:r w:rsidR="00FB686C">
        <w:t>state and t</w:t>
      </w:r>
      <w:r w:rsidR="009D2F9F" w:rsidRPr="009B6DD3">
        <w:t xml:space="preserve">erritory governments </w:t>
      </w:r>
      <w:r w:rsidR="00D34E65" w:rsidRPr="009B6DD3">
        <w:t>are</w:t>
      </w:r>
      <w:r w:rsidR="009D2F9F" w:rsidRPr="009B6DD3">
        <w:t xml:space="preserve"> being considered by the Federation White Paper.</w:t>
      </w:r>
    </w:p>
    <w:p w14:paraId="672BD8F2" w14:textId="4320E20F" w:rsidR="00432B15" w:rsidRPr="009B6DD3" w:rsidRDefault="00432B15" w:rsidP="00820EE1">
      <w:pPr>
        <w:spacing w:after="0"/>
      </w:pPr>
      <w:r w:rsidRPr="009B6DD3">
        <w:t>Th</w:t>
      </w:r>
      <w:r w:rsidR="00D8733B" w:rsidRPr="009B6DD3">
        <w:t>is</w:t>
      </w:r>
      <w:r w:rsidRPr="009B6DD3">
        <w:t xml:space="preserve"> chapter </w:t>
      </w:r>
      <w:r w:rsidR="00D8733B" w:rsidRPr="009B6DD3">
        <w:t>begins</w:t>
      </w:r>
      <w:r w:rsidRPr="009B6DD3">
        <w:t xml:space="preserve"> with an examination of the</w:t>
      </w:r>
      <w:r w:rsidR="00B23D7C" w:rsidRPr="009B6DD3">
        <w:t xml:space="preserve"> GST and the major</w:t>
      </w:r>
      <w:r w:rsidRPr="009B6DD3">
        <w:t xml:space="preserve"> taxes raised by </w:t>
      </w:r>
      <w:r w:rsidR="00FB686C">
        <w:t>s</w:t>
      </w:r>
      <w:r w:rsidRPr="009B6DD3">
        <w:t xml:space="preserve">tate, </w:t>
      </w:r>
      <w:r w:rsidR="00FB686C">
        <w:t>t</w:t>
      </w:r>
      <w:r w:rsidRPr="009B6DD3">
        <w:t>erritory and local governments.</w:t>
      </w:r>
    </w:p>
    <w:p w14:paraId="6FDD24FE" w14:textId="6946C0FA" w:rsidR="00820EE1" w:rsidRDefault="00820EE1">
      <w:pPr>
        <w:spacing w:after="0" w:line="240" w:lineRule="auto"/>
      </w:pPr>
      <w:r>
        <w:br w:type="page"/>
      </w:r>
    </w:p>
    <w:p w14:paraId="47907393" w14:textId="414A3EC4" w:rsidR="005F63DA" w:rsidRPr="009B6DD3" w:rsidRDefault="005F63DA" w:rsidP="00BA550B">
      <w:pPr>
        <w:pStyle w:val="Heading2"/>
      </w:pPr>
      <w:bookmarkStart w:id="3" w:name="_Toc403555873"/>
      <w:bookmarkStart w:id="4" w:name="_Toc406155409"/>
      <w:bookmarkStart w:id="5" w:name="_Toc402353697"/>
      <w:bookmarkStart w:id="6" w:name="_Toc402362225"/>
      <w:bookmarkStart w:id="7" w:name="_Toc402368814"/>
      <w:bookmarkStart w:id="8" w:name="_Toc402369899"/>
      <w:bookmarkStart w:id="9" w:name="_Toc402370564"/>
      <w:bookmarkStart w:id="10" w:name="_Toc402371511"/>
      <w:r w:rsidRPr="009B6DD3">
        <w:lastRenderedPageBreak/>
        <w:t xml:space="preserve">The </w:t>
      </w:r>
      <w:r w:rsidR="004240E6" w:rsidRPr="009B6DD3">
        <w:t>G</w:t>
      </w:r>
      <w:r w:rsidRPr="009B6DD3">
        <w:t xml:space="preserve">oods and </w:t>
      </w:r>
      <w:r w:rsidR="004240E6" w:rsidRPr="009B6DD3">
        <w:t>S</w:t>
      </w:r>
      <w:r w:rsidRPr="009B6DD3">
        <w:t xml:space="preserve">ervices </w:t>
      </w:r>
      <w:r w:rsidR="004240E6" w:rsidRPr="009B6DD3">
        <w:t>T</w:t>
      </w:r>
      <w:r w:rsidRPr="009B6DD3">
        <w:t>ax (GST)</w:t>
      </w:r>
      <w:bookmarkEnd w:id="3"/>
      <w:bookmarkEnd w:id="4"/>
      <w:r w:rsidRPr="009B6DD3">
        <w:t xml:space="preserve"> </w:t>
      </w:r>
    </w:p>
    <w:p w14:paraId="0BAEA03A" w14:textId="740B24A5" w:rsidR="005F63DA" w:rsidRPr="009B6DD3" w:rsidRDefault="005F63DA" w:rsidP="00B34631">
      <w:pPr>
        <w:pStyle w:val="Heading3"/>
      </w:pPr>
      <w:bookmarkStart w:id="11" w:name="_Toc402326908"/>
      <w:bookmarkStart w:id="12" w:name="_Toc402333561"/>
      <w:bookmarkStart w:id="13" w:name="_Toc402340342"/>
      <w:bookmarkStart w:id="14" w:name="_Toc402343436"/>
      <w:bookmarkStart w:id="15" w:name="_Toc402346672"/>
      <w:bookmarkStart w:id="16" w:name="_Toc402349128"/>
      <w:bookmarkStart w:id="17" w:name="_Toc402350656"/>
      <w:bookmarkStart w:id="18" w:name="_Toc402353677"/>
      <w:bookmarkStart w:id="19" w:name="_Toc402368794"/>
      <w:bookmarkStart w:id="20" w:name="_Toc402369879"/>
      <w:bookmarkStart w:id="21" w:name="_Toc402370544"/>
      <w:bookmarkStart w:id="22" w:name="_Toc402371491"/>
      <w:bookmarkStart w:id="23" w:name="_Toc406155410"/>
      <w:r w:rsidRPr="009B6DD3">
        <w:t xml:space="preserve">What is the </w:t>
      </w:r>
      <w:r w:rsidR="00815875" w:rsidRPr="009B6DD3">
        <w:t>GST</w:t>
      </w:r>
      <w:r w:rsidRPr="009B6DD3">
        <w:t>?</w:t>
      </w:r>
      <w:bookmarkEnd w:id="11"/>
      <w:bookmarkEnd w:id="12"/>
      <w:bookmarkEnd w:id="13"/>
      <w:bookmarkEnd w:id="14"/>
      <w:bookmarkEnd w:id="15"/>
      <w:bookmarkEnd w:id="16"/>
      <w:bookmarkEnd w:id="17"/>
      <w:bookmarkEnd w:id="18"/>
      <w:bookmarkEnd w:id="19"/>
      <w:bookmarkEnd w:id="20"/>
      <w:bookmarkEnd w:id="21"/>
      <w:bookmarkEnd w:id="22"/>
      <w:bookmarkEnd w:id="23"/>
    </w:p>
    <w:p w14:paraId="028FE525" w14:textId="7173D166" w:rsidR="00E90956" w:rsidRPr="009B6DD3" w:rsidRDefault="005F63DA" w:rsidP="00814408">
      <w:r w:rsidRPr="009B6DD3">
        <w:t>The GST is Australia</w:t>
      </w:r>
      <w:r w:rsidR="00435E86">
        <w:t>’</w:t>
      </w:r>
      <w:r w:rsidRPr="009B6DD3">
        <w:t>s primary tax on consumption. It applies at a rate of 10 per cent to a broad range of goods and services.</w:t>
      </w:r>
      <w:r w:rsidR="001D07C4" w:rsidRPr="009B6DD3">
        <w:t xml:space="preserve"> </w:t>
      </w:r>
      <w:r w:rsidR="009B753D" w:rsidRPr="009B6DD3">
        <w:t>In total, around 47 per cent of Australia</w:t>
      </w:r>
      <w:r w:rsidR="00435E86">
        <w:t>’</w:t>
      </w:r>
      <w:r w:rsidR="009B753D" w:rsidRPr="009B6DD3">
        <w:t>s national consumption is subject to GST</w:t>
      </w:r>
      <w:r w:rsidR="00A20F1D" w:rsidRPr="009B6DD3">
        <w:t>,</w:t>
      </w:r>
      <w:r w:rsidR="00A20F1D" w:rsidRPr="009B6DD3">
        <w:rPr>
          <w:rStyle w:val="FootnoteReference"/>
        </w:rPr>
        <w:footnoteReference w:id="4"/>
      </w:r>
      <w:r w:rsidR="00A20F1D" w:rsidRPr="009B6DD3">
        <w:t xml:space="preserve"> however</w:t>
      </w:r>
      <w:r w:rsidR="00FB686C">
        <w:t>,</w:t>
      </w:r>
      <w:r w:rsidR="00A20F1D" w:rsidRPr="009B6DD3">
        <w:t xml:space="preserve"> there are also other forms of consumption taxation in Australia (as outlined i</w:t>
      </w:r>
      <w:r w:rsidR="00E55E57">
        <w:t>n more detail in Chart 2.5</w:t>
      </w:r>
      <w:r w:rsidR="00FB686C">
        <w:t xml:space="preserve"> and C</w:t>
      </w:r>
      <w:r w:rsidR="00A20F1D" w:rsidRPr="009B6DD3">
        <w:t>hapter 9)</w:t>
      </w:r>
      <w:r w:rsidR="009E7AAC" w:rsidRPr="009B6DD3">
        <w:t>.</w:t>
      </w:r>
      <w:r w:rsidR="00A20F1D" w:rsidRPr="009B6DD3" w:rsidDel="00A20F1D">
        <w:rPr>
          <w:rStyle w:val="FootnoteReference"/>
        </w:rPr>
        <w:t xml:space="preserve"> </w:t>
      </w:r>
    </w:p>
    <w:p w14:paraId="363B6F1E" w14:textId="2B249716" w:rsidR="005F63DA" w:rsidRPr="009B6DD3" w:rsidRDefault="005F63DA" w:rsidP="005F63DA">
      <w:r w:rsidRPr="009B6DD3">
        <w:t>The GST was introduced in 2000 to</w:t>
      </w:r>
      <w:r w:rsidR="003C08B4" w:rsidRPr="009B6DD3">
        <w:t xml:space="preserve"> replace a number of narrow</w:t>
      </w:r>
      <w:r w:rsidR="00435E86">
        <w:noBreakHyphen/>
      </w:r>
      <w:r w:rsidRPr="009B6DD3">
        <w:t xml:space="preserve">based taxes. It primarily replaced the </w:t>
      </w:r>
      <w:r w:rsidR="00CA4488" w:rsidRPr="009B6DD3">
        <w:t>Australian</w:t>
      </w:r>
      <w:r w:rsidR="00AD7513" w:rsidRPr="009B6DD3">
        <w:t xml:space="preserve"> Government</w:t>
      </w:r>
      <w:r w:rsidR="00435E86">
        <w:t>’</w:t>
      </w:r>
      <w:r w:rsidRPr="009B6DD3">
        <w:t xml:space="preserve">s system of wholesale sales </w:t>
      </w:r>
      <w:r w:rsidR="000E4425" w:rsidRPr="009B6DD3">
        <w:t>taxes</w:t>
      </w:r>
      <w:r w:rsidRPr="009B6DD3">
        <w:t xml:space="preserve"> which, by that time, had be</w:t>
      </w:r>
      <w:r w:rsidR="004306CC">
        <w:t>come very complex and distorti</w:t>
      </w:r>
      <w:r w:rsidR="004C34D6">
        <w:t>ve</w:t>
      </w:r>
      <w:r w:rsidRPr="009B6DD3">
        <w:t xml:space="preserve"> with a multitude of tax rates. It al</w:t>
      </w:r>
      <w:r w:rsidR="003C08B4" w:rsidRPr="009B6DD3">
        <w:t>so replaced a number of narrow</w:t>
      </w:r>
      <w:r w:rsidR="00435E86">
        <w:noBreakHyphen/>
      </w:r>
      <w:r w:rsidRPr="009B6DD3">
        <w:t>based taxes at the state level, including financial institutions duties and various kinds of stamp duties</w:t>
      </w:r>
      <w:r w:rsidR="00F64440" w:rsidRPr="009B6DD3">
        <w:t>.</w:t>
      </w:r>
      <w:r w:rsidR="00D524C9" w:rsidRPr="009B6DD3">
        <w:rPr>
          <w:rStyle w:val="FootnoteReference"/>
        </w:rPr>
        <w:footnoteReference w:id="5"/>
      </w:r>
      <w:r w:rsidRPr="009B6DD3">
        <w:t xml:space="preserve"> </w:t>
      </w:r>
      <w:r w:rsidR="003121DB" w:rsidRPr="009B6DD3">
        <w:t xml:space="preserve">At the same time as the introduction of the GST, the </w:t>
      </w:r>
      <w:r w:rsidR="00CA4488" w:rsidRPr="009B6DD3">
        <w:t>Australian</w:t>
      </w:r>
      <w:r w:rsidR="00AD7513" w:rsidRPr="009B6DD3">
        <w:t xml:space="preserve"> Government</w:t>
      </w:r>
      <w:r w:rsidR="003121DB" w:rsidRPr="009B6DD3">
        <w:t xml:space="preserve"> also made reforms to </w:t>
      </w:r>
      <w:r w:rsidR="00C1298E" w:rsidRPr="009B6DD3">
        <w:t>individuals income</w:t>
      </w:r>
      <w:r w:rsidR="003121DB" w:rsidRPr="009B6DD3">
        <w:t xml:space="preserve"> tax and family </w:t>
      </w:r>
      <w:r w:rsidR="00C1298E" w:rsidRPr="009B6DD3">
        <w:t>payments</w:t>
      </w:r>
      <w:r w:rsidR="00742F1E" w:rsidRPr="009B6DD3">
        <w:t>, in part</w:t>
      </w:r>
      <w:r w:rsidR="003121DB" w:rsidRPr="009B6DD3">
        <w:t xml:space="preserve"> </w:t>
      </w:r>
      <w:r w:rsidR="000D5E6A" w:rsidRPr="009B6DD3">
        <w:t>to compensate</w:t>
      </w:r>
      <w:r w:rsidR="003121DB" w:rsidRPr="009B6DD3">
        <w:t xml:space="preserve"> for the effect of a</w:t>
      </w:r>
      <w:r w:rsidR="000D5E6A" w:rsidRPr="009B6DD3">
        <w:t>n expected</w:t>
      </w:r>
      <w:r w:rsidR="003121DB" w:rsidRPr="009B6DD3">
        <w:t xml:space="preserve"> small net increase in indirect taxes</w:t>
      </w:r>
      <w:r w:rsidR="00F64440" w:rsidRPr="009B6DD3">
        <w:t>.</w:t>
      </w:r>
      <w:r w:rsidR="002E5388" w:rsidRPr="009B6DD3">
        <w:rPr>
          <w:rStyle w:val="FootnoteReference"/>
        </w:rPr>
        <w:footnoteReference w:id="6"/>
      </w:r>
    </w:p>
    <w:p w14:paraId="1F5C6D2D" w14:textId="07FCA263" w:rsidR="00EB26B2" w:rsidRPr="009B6DD3" w:rsidRDefault="00EB26B2" w:rsidP="00EB26B2">
      <w:r w:rsidRPr="009B6DD3">
        <w:t xml:space="preserve">The GST is levied by the </w:t>
      </w:r>
      <w:r w:rsidR="00CA4488" w:rsidRPr="009B6DD3">
        <w:t>Australian</w:t>
      </w:r>
      <w:r w:rsidR="00AD7513" w:rsidRPr="009B6DD3">
        <w:t xml:space="preserve"> Government</w:t>
      </w:r>
      <w:r w:rsidR="00FB686C">
        <w:t xml:space="preserve"> on behalf of the states and t</w:t>
      </w:r>
      <w:r w:rsidRPr="009B6DD3">
        <w:t xml:space="preserve">erritories. All of the money raised by the GST is provided to the </w:t>
      </w:r>
      <w:r w:rsidR="00FB686C">
        <w:t>s</w:t>
      </w:r>
      <w:r w:rsidRPr="009B6DD3">
        <w:t xml:space="preserve">tates and </w:t>
      </w:r>
      <w:r w:rsidR="00FB686C">
        <w:t>t</w:t>
      </w:r>
      <w:r w:rsidRPr="009B6DD3">
        <w:t>erritories</w:t>
      </w:r>
      <w:r w:rsidR="004240E6" w:rsidRPr="009B6DD3">
        <w:t xml:space="preserve"> (except for non</w:t>
      </w:r>
      <w:r w:rsidR="00435E86">
        <w:noBreakHyphen/>
      </w:r>
      <w:r w:rsidR="004240E6" w:rsidRPr="009B6DD3">
        <w:t>general interest charge penalties)</w:t>
      </w:r>
      <w:r w:rsidRPr="009B6DD3">
        <w:t xml:space="preserve">, and the </w:t>
      </w:r>
      <w:r w:rsidR="00FB686C">
        <w:t>states and t</w:t>
      </w:r>
      <w:r w:rsidRPr="009B6DD3">
        <w:t xml:space="preserve">erritories compensate the </w:t>
      </w:r>
      <w:r w:rsidR="00CA4488" w:rsidRPr="009B6DD3">
        <w:t>Australian</w:t>
      </w:r>
      <w:r w:rsidR="00AD7513" w:rsidRPr="009B6DD3">
        <w:t xml:space="preserve"> Government</w:t>
      </w:r>
      <w:r w:rsidRPr="009B6DD3">
        <w:t xml:space="preserve"> for the costs incurred by the Australian Taxation Office</w:t>
      </w:r>
      <w:r w:rsidR="004240E6" w:rsidRPr="009B6DD3">
        <w:t xml:space="preserve"> (ATO)</w:t>
      </w:r>
      <w:r w:rsidRPr="009B6DD3">
        <w:t xml:space="preserve"> in administering the GST.</w:t>
      </w:r>
    </w:p>
    <w:p w14:paraId="03B44A4F" w14:textId="2C69C422" w:rsidR="00EB26B2" w:rsidRPr="009B6DD3" w:rsidRDefault="00280517" w:rsidP="00EB26B2">
      <w:r w:rsidRPr="009B6DD3">
        <w:t>A</w:t>
      </w:r>
      <w:r w:rsidR="00730714" w:rsidRPr="009B6DD3">
        <w:t xml:space="preserve">ny </w:t>
      </w:r>
      <w:r w:rsidRPr="009B6DD3">
        <w:t>change to the GST rate or base would require the unanimous supp</w:t>
      </w:r>
      <w:r w:rsidR="00FE3522" w:rsidRPr="009B6DD3">
        <w:t>o</w:t>
      </w:r>
      <w:r w:rsidR="00FB686C">
        <w:t>rt of the state and t</w:t>
      </w:r>
      <w:r w:rsidR="00FE3522" w:rsidRPr="009B6DD3">
        <w:t>erritory g</w:t>
      </w:r>
      <w:r w:rsidRPr="009B6DD3">
        <w:t>overnments</w:t>
      </w:r>
      <w:r w:rsidR="003B5F07" w:rsidRPr="009B6DD3">
        <w:t xml:space="preserve">, the endorsement of the </w:t>
      </w:r>
      <w:r w:rsidR="00CA4488" w:rsidRPr="009B6DD3">
        <w:t>Australian</w:t>
      </w:r>
      <w:r w:rsidR="003B5F07" w:rsidRPr="009B6DD3">
        <w:t xml:space="preserve"> Government</w:t>
      </w:r>
      <w:r w:rsidRPr="009B6DD3">
        <w:t xml:space="preserve"> and the passage of relevant legislation by both Houses of the </w:t>
      </w:r>
      <w:r w:rsidR="00CA4488" w:rsidRPr="009B6DD3">
        <w:t>Australian</w:t>
      </w:r>
      <w:r w:rsidRPr="009B6DD3">
        <w:t xml:space="preserve"> Parliament. These requirements are codified in </w:t>
      </w:r>
      <w:r w:rsidR="00EB26B2" w:rsidRPr="009B6DD3">
        <w:t xml:space="preserve">the 2008 </w:t>
      </w:r>
      <w:r w:rsidR="00EB26B2" w:rsidRPr="009B6DD3">
        <w:rPr>
          <w:i/>
          <w:iCs/>
        </w:rPr>
        <w:t>Intergovernmental Agreement on Federal Financial Relations</w:t>
      </w:r>
      <w:r w:rsidR="00EB26B2" w:rsidRPr="009B6DD3">
        <w:t xml:space="preserve"> and the </w:t>
      </w:r>
      <w:r w:rsidR="00EB26B2" w:rsidRPr="009B6DD3">
        <w:rPr>
          <w:i/>
        </w:rPr>
        <w:t>A New Tax System (Managing the GST Rate and Base) Act 1999</w:t>
      </w:r>
      <w:r w:rsidR="00730714" w:rsidRPr="009B6DD3">
        <w:t>.</w:t>
      </w:r>
    </w:p>
    <w:p w14:paraId="51ABA27A" w14:textId="3B538303" w:rsidR="00EB26B2" w:rsidRPr="009B6DD3" w:rsidRDefault="00EB26B2" w:rsidP="00EB26B2">
      <w:r w:rsidRPr="009B6DD3">
        <w:t xml:space="preserve">As part of the Tax White Paper process, interested parties are welcome to put forward </w:t>
      </w:r>
      <w:r w:rsidR="00B72602" w:rsidRPr="009B6DD3">
        <w:t xml:space="preserve">proposals </w:t>
      </w:r>
      <w:r w:rsidRPr="009B6DD3">
        <w:t xml:space="preserve">to </w:t>
      </w:r>
      <w:r w:rsidR="00B72602" w:rsidRPr="009B6DD3">
        <w:t>change</w:t>
      </w:r>
      <w:r w:rsidRPr="009B6DD3">
        <w:t xml:space="preserve"> the GST. However, the </w:t>
      </w:r>
      <w:r w:rsidR="00CA4488" w:rsidRPr="009B6DD3">
        <w:t>Australian</w:t>
      </w:r>
      <w:r w:rsidR="004240E6" w:rsidRPr="009B6DD3">
        <w:t xml:space="preserve"> </w:t>
      </w:r>
      <w:r w:rsidRPr="009B6DD3">
        <w:t xml:space="preserve">Government will only consider progressing any such proposals if there is a broad </w:t>
      </w:r>
      <w:r w:rsidR="00EB6CA6" w:rsidRPr="009B6DD3">
        <w:t xml:space="preserve">political </w:t>
      </w:r>
      <w:r w:rsidRPr="009B6DD3">
        <w:t xml:space="preserve">consensus for change, including </w:t>
      </w:r>
      <w:r w:rsidR="00B72602" w:rsidRPr="009B6DD3">
        <w:t xml:space="preserve">agreement by all </w:t>
      </w:r>
      <w:r w:rsidR="00FB686C">
        <w:t>s</w:t>
      </w:r>
      <w:r w:rsidR="003B5F07" w:rsidRPr="009B6DD3">
        <w:t>tate and</w:t>
      </w:r>
      <w:r w:rsidR="00974BF3" w:rsidRPr="009B6DD3">
        <w:t xml:space="preserve"> </w:t>
      </w:r>
      <w:r w:rsidR="00FB686C">
        <w:t>t</w:t>
      </w:r>
      <w:r w:rsidR="00974BF3" w:rsidRPr="009B6DD3">
        <w:t xml:space="preserve">erritory </w:t>
      </w:r>
      <w:r w:rsidR="00B72602" w:rsidRPr="009B6DD3">
        <w:t>governments</w:t>
      </w:r>
      <w:r w:rsidRPr="009B6DD3">
        <w:t>.</w:t>
      </w:r>
    </w:p>
    <w:p w14:paraId="4701476A" w14:textId="77777777" w:rsidR="005F63DA" w:rsidRPr="009B6DD3" w:rsidRDefault="005F63DA" w:rsidP="005F63DA">
      <w:pPr>
        <w:pStyle w:val="Heading4"/>
      </w:pPr>
      <w:bookmarkStart w:id="24" w:name="_Toc406155412"/>
      <w:r w:rsidRPr="009B6DD3">
        <w:lastRenderedPageBreak/>
        <w:t>The GST rate</w:t>
      </w:r>
      <w:bookmarkEnd w:id="24"/>
    </w:p>
    <w:p w14:paraId="171D85C7" w14:textId="61873682" w:rsidR="005F63DA" w:rsidRPr="009B6DD3" w:rsidRDefault="005F63DA" w:rsidP="005F63DA">
      <w:r w:rsidRPr="009B6DD3">
        <w:t>Australia</w:t>
      </w:r>
      <w:r w:rsidR="00435E86">
        <w:t>’</w:t>
      </w:r>
      <w:r w:rsidRPr="009B6DD3">
        <w:t xml:space="preserve">s GST rate is one of the lowest </w:t>
      </w:r>
      <w:r w:rsidR="00F9172E" w:rsidRPr="009B6DD3">
        <w:t>among developed countries</w:t>
      </w:r>
      <w:r w:rsidRPr="009B6DD3">
        <w:t xml:space="preserve"> and is roughly half of the average rate among OECD countries</w:t>
      </w:r>
      <w:r w:rsidR="00F9172E" w:rsidRPr="009B6DD3">
        <w:t xml:space="preserve"> </w:t>
      </w:r>
      <w:r w:rsidR="00FC31C9" w:rsidRPr="009B6DD3">
        <w:t>(see Chart 8.1</w:t>
      </w:r>
      <w:r w:rsidR="00F9172E" w:rsidRPr="009B6DD3">
        <w:t>)</w:t>
      </w:r>
      <w:r w:rsidRPr="009B6DD3">
        <w:t>. Of the 33 countries in the OECD that operate taxes like the GST (known more generally as value added taxes or VATs), only Canada, Japan and Switzerland have lower rates.</w:t>
      </w:r>
    </w:p>
    <w:p w14:paraId="5FDB0049" w14:textId="2F786E19" w:rsidR="00F64440" w:rsidRPr="009B6DD3" w:rsidRDefault="00C0489E" w:rsidP="00E85149">
      <w:r w:rsidRPr="009B6DD3">
        <w:t xml:space="preserve">However, some </w:t>
      </w:r>
      <w:r w:rsidR="005F63DA" w:rsidRPr="009B6DD3">
        <w:t xml:space="preserve">Canadian provinces have higher tax rates </w:t>
      </w:r>
      <w:r w:rsidR="00F86044" w:rsidRPr="009B6DD3">
        <w:t xml:space="preserve">than Australia </w:t>
      </w:r>
      <w:r w:rsidR="005F63DA" w:rsidRPr="009B6DD3">
        <w:t xml:space="preserve">when </w:t>
      </w:r>
      <w:r w:rsidR="00C1298E" w:rsidRPr="009B6DD3">
        <w:t>sub</w:t>
      </w:r>
      <w:r w:rsidR="00435E86">
        <w:noBreakHyphen/>
      </w:r>
      <w:r w:rsidR="00C1298E" w:rsidRPr="009B6DD3">
        <w:t>central government</w:t>
      </w:r>
      <w:r w:rsidR="005F63DA" w:rsidRPr="009B6DD3">
        <w:t xml:space="preserve"> </w:t>
      </w:r>
      <w:r w:rsidRPr="009B6DD3">
        <w:t xml:space="preserve">VATs and </w:t>
      </w:r>
      <w:r w:rsidR="005F63DA" w:rsidRPr="009B6DD3">
        <w:t>sales taxes (another type of consumption tax) are taken into account.</w:t>
      </w:r>
      <w:r w:rsidR="00FF7AC2" w:rsidRPr="009B6DD3">
        <w:t xml:space="preserve"> </w:t>
      </w:r>
      <w:r w:rsidR="005F63DA" w:rsidRPr="009B6DD3">
        <w:t xml:space="preserve">The United States is the only OECD country that does not impose a VAT. Nonetheless, many of its states, counties and cities impose sales taxes, the rates of which range from zero to </w:t>
      </w:r>
      <w:r w:rsidR="00F64440" w:rsidRPr="009B6DD3">
        <w:t>around 10 </w:t>
      </w:r>
      <w:r w:rsidR="00862B9F" w:rsidRPr="009B6DD3">
        <w:t>per </w:t>
      </w:r>
      <w:r w:rsidR="005F63DA" w:rsidRPr="009B6DD3">
        <w:t>cent.</w:t>
      </w:r>
      <w:r w:rsidR="00043322" w:rsidRPr="009B6DD3">
        <w:t xml:space="preserve"> These sales taxes are not included in</w:t>
      </w:r>
      <w:r w:rsidR="00FC31C9" w:rsidRPr="009B6DD3">
        <w:t xml:space="preserve"> Chart 8.1</w:t>
      </w:r>
      <w:r w:rsidR="00043322" w:rsidRPr="009B6DD3">
        <w:t>.</w:t>
      </w:r>
    </w:p>
    <w:p w14:paraId="5096D414" w14:textId="1ACF5C5A" w:rsidR="005F63DA" w:rsidRPr="009B6DD3" w:rsidRDefault="00F64440" w:rsidP="00A40461">
      <w:pPr>
        <w:pStyle w:val="ChartMainHeading"/>
        <w:spacing w:before="0" w:after="0"/>
      </w:pPr>
      <w:bookmarkStart w:id="25" w:name="_Ref404677809"/>
      <w:r w:rsidRPr="009B6DD3">
        <w:t xml:space="preserve">Chart </w:t>
      </w:r>
      <w:fldSimple w:instr=" STYLEREF 1 \s ">
        <w:r w:rsidR="00B51480">
          <w:rPr>
            <w:noProof/>
          </w:rPr>
          <w:t>8</w:t>
        </w:r>
      </w:fldSimple>
      <w:r w:rsidR="00870BFF" w:rsidRPr="009B6DD3">
        <w:t>.</w:t>
      </w:r>
      <w:fldSimple w:instr=" SEQ Chart \* ARABIC \s 1 ">
        <w:r w:rsidR="00B51480">
          <w:rPr>
            <w:noProof/>
          </w:rPr>
          <w:t>1</w:t>
        </w:r>
      </w:fldSimple>
      <w:bookmarkEnd w:id="25"/>
      <w:r w:rsidRPr="009B6DD3">
        <w:t xml:space="preserve"> </w:t>
      </w:r>
      <w:r w:rsidR="005F63DA" w:rsidRPr="009B6DD3">
        <w:t>VAT rates in OECD</w:t>
      </w:r>
      <w:r w:rsidR="00526C77" w:rsidRPr="009B6DD3">
        <w:t>, July 2014</w:t>
      </w:r>
      <w:r w:rsidR="005F63DA" w:rsidRPr="009B6DD3">
        <w:t xml:space="preserve"> </w:t>
      </w:r>
      <w:r w:rsidR="00A03874" w:rsidRPr="009B6DD3">
        <w:t>and</w:t>
      </w:r>
      <w:r w:rsidR="00526C77" w:rsidRPr="009B6DD3">
        <w:t xml:space="preserve"> selected</w:t>
      </w:r>
      <w:r w:rsidR="00A03874" w:rsidRPr="009B6DD3">
        <w:t xml:space="preserve"> Asian </w:t>
      </w:r>
      <w:r w:rsidR="005F63DA" w:rsidRPr="009B6DD3">
        <w:t>countries</w:t>
      </w:r>
      <w:r w:rsidR="00526C77" w:rsidRPr="009B6DD3">
        <w:t>, January 2015</w:t>
      </w:r>
    </w:p>
    <w:bookmarkStart w:id="26" w:name="_1479548948"/>
    <w:bookmarkStart w:id="27" w:name="_1479566078"/>
    <w:bookmarkStart w:id="28" w:name="_1479566909"/>
    <w:bookmarkStart w:id="29" w:name="_1479566568"/>
    <w:bookmarkStart w:id="30" w:name="_1479566829"/>
    <w:bookmarkStart w:id="31" w:name="_1479644213"/>
    <w:bookmarkStart w:id="32" w:name="_1479731225"/>
    <w:bookmarkStart w:id="33" w:name="_1479731990"/>
    <w:bookmarkStart w:id="34" w:name="_1479732313"/>
    <w:bookmarkStart w:id="35" w:name="_1479731811"/>
    <w:bookmarkStart w:id="36" w:name="_1479731330"/>
    <w:bookmarkStart w:id="37" w:name="_1479731580"/>
    <w:bookmarkStart w:id="38" w:name="_1479732010"/>
    <w:bookmarkStart w:id="39" w:name="_1479736143"/>
    <w:bookmarkStart w:id="40" w:name="_1479733757"/>
    <w:bookmarkStart w:id="41" w:name="_1479737039"/>
    <w:bookmarkStart w:id="42" w:name="_1479737895"/>
    <w:bookmarkStart w:id="43" w:name="_1479737294"/>
    <w:bookmarkStart w:id="44" w:name="_1479737865"/>
    <w:bookmarkStart w:id="45" w:name="_1479737578"/>
    <w:bookmarkStart w:id="46" w:name="_1479837786"/>
    <w:bookmarkStart w:id="47" w:name="_1479882299"/>
    <w:bookmarkStart w:id="48" w:name="_1479897251"/>
    <w:bookmarkStart w:id="49" w:name="_1479995439"/>
    <w:bookmarkStart w:id="50" w:name="_1480143040"/>
    <w:bookmarkStart w:id="51" w:name="_1480150216"/>
    <w:bookmarkStart w:id="52" w:name="_1480152554"/>
    <w:bookmarkStart w:id="53" w:name="_1480153942"/>
    <w:bookmarkStart w:id="54" w:name="_1480160199"/>
    <w:bookmarkStart w:id="55" w:name="_1480162039"/>
    <w:bookmarkStart w:id="56" w:name="_1483961702"/>
    <w:bookmarkStart w:id="57" w:name="_1483966615"/>
    <w:bookmarkStart w:id="58" w:name="_1484567225"/>
    <w:bookmarkStart w:id="59" w:name="_1484573508"/>
    <w:bookmarkStart w:id="60" w:name="_1485682236"/>
    <w:bookmarkStart w:id="61" w:name="_1486206425"/>
    <w:bookmarkStart w:id="62" w:name="_1486208414"/>
    <w:bookmarkStart w:id="63" w:name="_1486208858"/>
    <w:bookmarkStart w:id="64" w:name="_1486209312"/>
    <w:bookmarkStart w:id="65" w:name="_1486976335"/>
    <w:bookmarkStart w:id="66" w:name="_1487153784"/>
    <w:bookmarkStart w:id="67" w:name="_1487154128"/>
    <w:bookmarkStart w:id="68" w:name="_1488697576"/>
    <w:bookmarkStart w:id="69" w:name="_148873187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1E03BA22" w14:textId="02B43B4E" w:rsidR="006C0D1B" w:rsidRPr="009B6DD3" w:rsidRDefault="008A1CFC" w:rsidP="001F2686">
      <w:pPr>
        <w:pStyle w:val="ChartGraphic"/>
      </w:pPr>
      <w:r w:rsidRPr="009B6DD3">
        <w:object w:dxaOrig="8775" w:dyaOrig="4335" w14:anchorId="532040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8.1 VAT rates in OECD, July 2014 and selected Asian countries, January 2015.&#10;&#10;This chart illustrates the different VAT/GST tax rates, as at 1 July 2014, for each of the 32 OECD countries that have a VAT or GST. Four Asian countries (Malaysia, Singapore, Indonesia and China) that have a VAT or GST are also included in this chart. Australia’s tax rate is the fourth lowest of the 32 OECD countries which have a VAT or GST and is around half the unweighted OECD average rate of 19.2 per cent. Hungary has the highest tax rate at 27 per cent, while Canada has the lowest tax rate at 5 per cent. All four Asian countries have a tax rate below the OECD average of 19.2 per cent. &#10;" style="width:438pt;height:216.75pt" o:ole="">
            <v:imagedata r:id="rId19" o:title=""/>
          </v:shape>
          <o:OLEObject Type="Link" ProgID="Excel.Sheet.12" ShapeID="_x0000_i1025" DrawAspect="Content" r:id="rId20" UpdateMode="Always">
            <o:LinkType>EnhancedMetaFile</o:LinkType>
            <o:LockedField/>
            <o:FieldCodes>\* MERGEFORMAT</o:FieldCodes>
          </o:OLEObject>
        </w:object>
      </w:r>
    </w:p>
    <w:p w14:paraId="51E7BDED" w14:textId="3433D0AD" w:rsidR="00130E0A" w:rsidRPr="009B6DD3" w:rsidRDefault="00130E0A" w:rsidP="00FE3891">
      <w:pPr>
        <w:pStyle w:val="ChartandTableNote"/>
        <w:ind w:left="284"/>
      </w:pPr>
      <w:r w:rsidRPr="009B6DD3">
        <w:t xml:space="preserve">Note: </w:t>
      </w:r>
      <w:r w:rsidR="008B664D" w:rsidRPr="009B6DD3">
        <w:t>The VAT rate for Japan has been adjusted to account for the increase in the rate from 1 April 2014. The rate for Malaysia reflects the GST scheduled to replace separate sales and service taxes in April 2015. The US and Hong Kong are not included in the list of countries in this chart as</w:t>
      </w:r>
      <w:r w:rsidR="00265155" w:rsidRPr="009B6DD3">
        <w:t xml:space="preserve"> they do not have a VAT. India i</w:t>
      </w:r>
      <w:r w:rsidR="008B664D" w:rsidRPr="009B6DD3">
        <w:t>s not included in the chart due to extensive variation in consumption tax rates.</w:t>
      </w:r>
    </w:p>
    <w:p w14:paraId="1A35013D" w14:textId="55D3FCD0" w:rsidR="005F63DA" w:rsidRPr="009B6DD3" w:rsidRDefault="005F63DA" w:rsidP="00FE3891">
      <w:pPr>
        <w:pStyle w:val="ChartandTableNote"/>
        <w:ind w:left="284"/>
      </w:pPr>
      <w:r w:rsidRPr="009B6DD3">
        <w:t xml:space="preserve">Source: </w:t>
      </w:r>
      <w:r w:rsidR="00DE32B8" w:rsidRPr="009B6DD3">
        <w:t xml:space="preserve">OECD 2014, </w:t>
      </w:r>
      <w:r w:rsidR="00DE32B8" w:rsidRPr="009B6DD3">
        <w:rPr>
          <w:i/>
        </w:rPr>
        <w:t>Consumption Tax Trends 2014</w:t>
      </w:r>
      <w:r w:rsidR="00DE32B8" w:rsidRPr="009B6DD3">
        <w:t xml:space="preserve">, OECD, Paris; Deloitte 2015, </w:t>
      </w:r>
      <w:r w:rsidR="00DE32B8" w:rsidRPr="009B6DD3">
        <w:rPr>
          <w:i/>
        </w:rPr>
        <w:t>Global Indirect Tax Rates</w:t>
      </w:r>
      <w:r w:rsidR="00DE32B8" w:rsidRPr="009B6DD3">
        <w:t xml:space="preserve">, viewed </w:t>
      </w:r>
      <w:r w:rsidR="00FE3891" w:rsidRPr="009B6DD3">
        <w:t xml:space="preserve">22 January 2015: </w:t>
      </w:r>
      <w:r w:rsidR="00DE32B8" w:rsidRPr="00C42575">
        <w:rPr>
          <w:color w:val="31A7D4" w:themeColor="accent1"/>
        </w:rPr>
        <w:t>www2.deloitte.com/global/en/pages/tax/solutions/global</w:t>
      </w:r>
      <w:r w:rsidR="00435E86">
        <w:rPr>
          <w:color w:val="31A7D4" w:themeColor="accent1"/>
        </w:rPr>
        <w:noBreakHyphen/>
      </w:r>
      <w:r w:rsidR="00DE32B8" w:rsidRPr="00C42575">
        <w:rPr>
          <w:color w:val="31A7D4" w:themeColor="accent1"/>
        </w:rPr>
        <w:t>indirect</w:t>
      </w:r>
      <w:r w:rsidR="00435E86">
        <w:rPr>
          <w:color w:val="31A7D4" w:themeColor="accent1"/>
        </w:rPr>
        <w:noBreakHyphen/>
      </w:r>
      <w:r w:rsidR="00DE32B8" w:rsidRPr="00C42575">
        <w:rPr>
          <w:color w:val="31A7D4" w:themeColor="accent1"/>
        </w:rPr>
        <w:t>tax</w:t>
      </w:r>
      <w:r w:rsidR="00435E86">
        <w:rPr>
          <w:color w:val="31A7D4" w:themeColor="accent1"/>
        </w:rPr>
        <w:noBreakHyphen/>
      </w:r>
      <w:r w:rsidR="00DE32B8" w:rsidRPr="00C42575">
        <w:rPr>
          <w:color w:val="31A7D4" w:themeColor="accent1"/>
        </w:rPr>
        <w:t>rates.html</w:t>
      </w:r>
      <w:r w:rsidR="00435E86">
        <w:rPr>
          <w:color w:val="31A7D4" w:themeColor="accent1"/>
        </w:rPr>
        <w:t>.</w:t>
      </w:r>
      <w:r w:rsidR="00C42575">
        <w:t xml:space="preserve"> </w:t>
      </w:r>
    </w:p>
    <w:p w14:paraId="38074EB8" w14:textId="77777777" w:rsidR="007A1641" w:rsidRPr="009B6DD3" w:rsidRDefault="007A1641" w:rsidP="00BA550B"/>
    <w:p w14:paraId="7E7D3695" w14:textId="4200ADE6" w:rsidR="005F63DA" w:rsidRPr="009B6DD3" w:rsidRDefault="00862B9F" w:rsidP="003B5021">
      <w:pPr>
        <w:pStyle w:val="Heading4"/>
        <w:spacing w:before="0"/>
      </w:pPr>
      <w:bookmarkStart w:id="70" w:name="_Toc406155413"/>
      <w:r w:rsidRPr="009B6DD3">
        <w:t>The GST b</w:t>
      </w:r>
      <w:r w:rsidR="005F63DA" w:rsidRPr="009B6DD3">
        <w:t>ase</w:t>
      </w:r>
      <w:bookmarkEnd w:id="70"/>
    </w:p>
    <w:p w14:paraId="3DC2F903" w14:textId="1F472526" w:rsidR="005F63DA" w:rsidRPr="009B6DD3" w:rsidRDefault="005F63DA" w:rsidP="004D05FC">
      <w:r w:rsidRPr="009B6DD3">
        <w:t xml:space="preserve">The GST applies to most types of goods and services. However, a significant portion of </w:t>
      </w:r>
      <w:r w:rsidR="00E47591" w:rsidRPr="009B6DD3">
        <w:t xml:space="preserve">consumption </w:t>
      </w:r>
      <w:r w:rsidRPr="009B6DD3">
        <w:t>is excluded. Australia is not unique in this regard</w:t>
      </w:r>
      <w:r w:rsidR="000E4425" w:rsidRPr="009B6DD3">
        <w:t>, as</w:t>
      </w:r>
      <w:r w:rsidRPr="009B6DD3">
        <w:t xml:space="preserve"> most </w:t>
      </w:r>
      <w:r w:rsidR="00A67756" w:rsidRPr="009B6DD3">
        <w:t>developed</w:t>
      </w:r>
      <w:r w:rsidRPr="009B6DD3">
        <w:t xml:space="preserve"> countries also have a range of exemptions to their VATs. The exemptions to Australia</w:t>
      </w:r>
      <w:r w:rsidR="00435E86">
        <w:t>’</w:t>
      </w:r>
      <w:r w:rsidR="00F65847" w:rsidRPr="009B6DD3">
        <w:t>s GST mean</w:t>
      </w:r>
      <w:r w:rsidRPr="009B6DD3">
        <w:t xml:space="preserve"> that it was paid on only </w:t>
      </w:r>
      <w:r w:rsidR="00B06CD6" w:rsidRPr="009B6DD3">
        <w:t>47</w:t>
      </w:r>
      <w:r w:rsidR="00FE3891" w:rsidRPr="009B6DD3">
        <w:t> per </w:t>
      </w:r>
      <w:r w:rsidRPr="009B6DD3">
        <w:t xml:space="preserve">cent </w:t>
      </w:r>
      <w:r w:rsidR="008B1752" w:rsidRPr="009B6DD3">
        <w:t xml:space="preserve">(see </w:t>
      </w:r>
      <w:r w:rsidR="00971910" w:rsidRPr="009B6DD3">
        <w:fldChar w:fldCharType="begin"/>
      </w:r>
      <w:r w:rsidR="00971910" w:rsidRPr="009B6DD3">
        <w:instrText xml:space="preserve"> REF _Ref404677847 \h </w:instrText>
      </w:r>
      <w:r w:rsidR="009B6DD3">
        <w:instrText xml:space="preserve"> \* MERGEFORMAT </w:instrText>
      </w:r>
      <w:r w:rsidR="00971910" w:rsidRPr="009B6DD3">
        <w:fldChar w:fldCharType="separate"/>
      </w:r>
      <w:r w:rsidR="00B51480" w:rsidRPr="009B6DD3">
        <w:t xml:space="preserve">Chart </w:t>
      </w:r>
      <w:r w:rsidR="00B51480">
        <w:rPr>
          <w:noProof/>
        </w:rPr>
        <w:t>8</w:t>
      </w:r>
      <w:r w:rsidR="00B51480" w:rsidRPr="009B6DD3">
        <w:rPr>
          <w:noProof/>
        </w:rPr>
        <w:t>.</w:t>
      </w:r>
      <w:r w:rsidR="00B51480">
        <w:rPr>
          <w:noProof/>
        </w:rPr>
        <w:t>2</w:t>
      </w:r>
      <w:r w:rsidR="00971910" w:rsidRPr="009B6DD3">
        <w:fldChar w:fldCharType="end"/>
      </w:r>
      <w:r w:rsidR="008B1752" w:rsidRPr="009B6DD3">
        <w:t xml:space="preserve">) </w:t>
      </w:r>
      <w:r w:rsidRPr="009B6DD3">
        <w:t>of the consumption of all goods and services</w:t>
      </w:r>
      <w:r w:rsidR="00B06CD6" w:rsidRPr="009B6DD3">
        <w:t xml:space="preserve"> in 2012</w:t>
      </w:r>
      <w:r w:rsidRPr="009B6DD3">
        <w:t xml:space="preserve">. This was </w:t>
      </w:r>
      <w:r w:rsidR="00DE6AC2" w:rsidRPr="009B6DD3">
        <w:t xml:space="preserve">slightly </w:t>
      </w:r>
      <w:r w:rsidRPr="009B6DD3">
        <w:t>less than the OECD average of 55 per cent and much lower than New Zealand</w:t>
      </w:r>
      <w:r w:rsidR="00B06CD6" w:rsidRPr="009B6DD3">
        <w:t xml:space="preserve"> (96 per cent)</w:t>
      </w:r>
      <w:r w:rsidRPr="009B6DD3">
        <w:t>, where almost all goods and services are subject to a consumption tax.</w:t>
      </w:r>
      <w:r w:rsidR="00FF06A4" w:rsidRPr="009B6DD3">
        <w:t xml:space="preserve"> </w:t>
      </w:r>
      <w:r w:rsidR="00F5708C" w:rsidRPr="009B6DD3">
        <w:t>Furthermore, th</w:t>
      </w:r>
      <w:r w:rsidR="00EF41A7" w:rsidRPr="009B6DD3">
        <w:t>e coverage of Australia</w:t>
      </w:r>
      <w:r w:rsidR="00435E86">
        <w:t>’</w:t>
      </w:r>
      <w:r w:rsidR="00EF41A7" w:rsidRPr="009B6DD3">
        <w:t>s GST</w:t>
      </w:r>
      <w:r w:rsidR="00F5708C" w:rsidRPr="009B6DD3">
        <w:t xml:space="preserve"> </w:t>
      </w:r>
      <w:r w:rsidR="00734C22" w:rsidRPr="009B6DD3">
        <w:t>has</w:t>
      </w:r>
      <w:r w:rsidR="00F5708C" w:rsidRPr="009B6DD3">
        <w:t xml:space="preserve"> decrease</w:t>
      </w:r>
      <w:r w:rsidR="00734C22" w:rsidRPr="009B6DD3">
        <w:t>d</w:t>
      </w:r>
      <w:r w:rsidR="00F5708C" w:rsidRPr="009B6DD3">
        <w:t xml:space="preserve"> </w:t>
      </w:r>
      <w:r w:rsidR="009829C0" w:rsidRPr="009B6DD3">
        <w:t xml:space="preserve">from its peak in </w:t>
      </w:r>
      <w:r w:rsidR="00193A61" w:rsidRPr="009B6DD3">
        <w:t>2005</w:t>
      </w:r>
      <w:r w:rsidR="00435E86">
        <w:noBreakHyphen/>
      </w:r>
      <w:r w:rsidR="00193A61" w:rsidRPr="009B6DD3">
        <w:t xml:space="preserve">06 </w:t>
      </w:r>
      <w:r w:rsidR="00F5708C" w:rsidRPr="009B6DD3">
        <w:t>whe</w:t>
      </w:r>
      <w:r w:rsidR="00734C22" w:rsidRPr="009B6DD3">
        <w:t>n</w:t>
      </w:r>
      <w:r w:rsidR="00F5708C" w:rsidRPr="009B6DD3">
        <w:t xml:space="preserve"> </w:t>
      </w:r>
      <w:r w:rsidR="00193A61" w:rsidRPr="009B6DD3">
        <w:t>Australia</w:t>
      </w:r>
      <w:r w:rsidR="00435E86">
        <w:t>’</w:t>
      </w:r>
      <w:r w:rsidR="00193A61" w:rsidRPr="009B6DD3">
        <w:t xml:space="preserve">s </w:t>
      </w:r>
      <w:r w:rsidR="00435E86">
        <w:t>‘</w:t>
      </w:r>
      <w:r w:rsidR="00193A61" w:rsidRPr="009B6DD3">
        <w:t>VAT coverage ratio</w:t>
      </w:r>
      <w:r w:rsidR="00435E86">
        <w:t>’</w:t>
      </w:r>
      <w:r w:rsidR="00193A61" w:rsidRPr="009B6DD3">
        <w:t xml:space="preserve"> was 56</w:t>
      </w:r>
      <w:r w:rsidR="00F84C9D" w:rsidRPr="009B6DD3">
        <w:t> </w:t>
      </w:r>
      <w:r w:rsidR="00193A61" w:rsidRPr="009B6DD3">
        <w:t>per cent</w:t>
      </w:r>
      <w:r w:rsidR="00F5708C" w:rsidRPr="009B6DD3">
        <w:t>.</w:t>
      </w:r>
    </w:p>
    <w:p w14:paraId="7BD7C00D" w14:textId="13518F5C" w:rsidR="005F63DA" w:rsidRPr="009B6DD3" w:rsidRDefault="00F64440" w:rsidP="00BA1E79">
      <w:pPr>
        <w:pStyle w:val="ChartMainHeading"/>
        <w:spacing w:after="0"/>
      </w:pPr>
      <w:bookmarkStart w:id="71" w:name="_Ref404677847"/>
      <w:r w:rsidRPr="009B6DD3">
        <w:lastRenderedPageBreak/>
        <w:t xml:space="preserve">Chart </w:t>
      </w:r>
      <w:fldSimple w:instr=" STYLEREF 1 \s ">
        <w:r w:rsidR="00B51480">
          <w:rPr>
            <w:noProof/>
          </w:rPr>
          <w:t>8</w:t>
        </w:r>
      </w:fldSimple>
      <w:r w:rsidR="00870BFF" w:rsidRPr="009B6DD3">
        <w:t>.</w:t>
      </w:r>
      <w:fldSimple w:instr=" SEQ Chart \* ARABIC \s 1 ">
        <w:r w:rsidR="00B51480">
          <w:rPr>
            <w:noProof/>
          </w:rPr>
          <w:t>2</w:t>
        </w:r>
      </w:fldSimple>
      <w:bookmarkEnd w:id="71"/>
      <w:r w:rsidRPr="009B6DD3">
        <w:rPr>
          <w:rFonts w:asciiTheme="majorHAnsi" w:hAnsiTheme="majorHAnsi" w:cstheme="majorHAnsi"/>
        </w:rPr>
        <w:t xml:space="preserve"> </w:t>
      </w:r>
      <w:r w:rsidR="005F63DA" w:rsidRPr="009B6DD3">
        <w:t>VAT cov</w:t>
      </w:r>
      <w:r w:rsidR="000A2576" w:rsidRPr="009B6DD3">
        <w:t xml:space="preserve">erage ratios in OECD countries, </w:t>
      </w:r>
      <w:r w:rsidR="00482C3F" w:rsidRPr="009B6DD3">
        <w:t>2012</w:t>
      </w:r>
    </w:p>
    <w:bookmarkStart w:id="72" w:name="_1479037095"/>
    <w:bookmarkStart w:id="73" w:name="_1479039157"/>
    <w:bookmarkStart w:id="74" w:name="_1479113318"/>
    <w:bookmarkStart w:id="75" w:name="_1479113510"/>
    <w:bookmarkStart w:id="76" w:name="_1479118377"/>
    <w:bookmarkStart w:id="77" w:name="_1479123259"/>
    <w:bookmarkStart w:id="78" w:name="_1479293458"/>
    <w:bookmarkStart w:id="79" w:name="_1479293766"/>
    <w:bookmarkStart w:id="80" w:name="_1479294258"/>
    <w:bookmarkStart w:id="81" w:name="_1479297968"/>
    <w:bookmarkStart w:id="82" w:name="_1479548949"/>
    <w:bookmarkStart w:id="83" w:name="_1479566079"/>
    <w:bookmarkStart w:id="84" w:name="_1479566910"/>
    <w:bookmarkStart w:id="85" w:name="_1479566569"/>
    <w:bookmarkStart w:id="86" w:name="_1479566831"/>
    <w:bookmarkStart w:id="87" w:name="_1479644218"/>
    <w:bookmarkStart w:id="88" w:name="_1479731229"/>
    <w:bookmarkStart w:id="89" w:name="_1479731815"/>
    <w:bookmarkStart w:id="90" w:name="_1479731331"/>
    <w:bookmarkStart w:id="91" w:name="_1479731582"/>
    <w:bookmarkStart w:id="92" w:name="_1479732015"/>
    <w:bookmarkStart w:id="93" w:name="_1479736144"/>
    <w:bookmarkStart w:id="94" w:name="_1479737041"/>
    <w:bookmarkStart w:id="95" w:name="_1479737897"/>
    <w:bookmarkStart w:id="96" w:name="_1479737295"/>
    <w:bookmarkStart w:id="97" w:name="_1479737866"/>
    <w:bookmarkStart w:id="98" w:name="_1479737580"/>
    <w:bookmarkStart w:id="99" w:name="_1479837788"/>
    <w:bookmarkStart w:id="100" w:name="_1479882303"/>
    <w:bookmarkStart w:id="101" w:name="_1479897256"/>
    <w:bookmarkStart w:id="102" w:name="_1480143042"/>
    <w:bookmarkStart w:id="103" w:name="_1480150218"/>
    <w:bookmarkStart w:id="104" w:name="_1480152559"/>
    <w:bookmarkStart w:id="105" w:name="_1480153944"/>
    <w:bookmarkStart w:id="106" w:name="_1480160201"/>
    <w:bookmarkStart w:id="107" w:name="_1480162040"/>
    <w:bookmarkStart w:id="108" w:name="_1483520305"/>
    <w:bookmarkStart w:id="109" w:name="_1483520470"/>
    <w:bookmarkStart w:id="110" w:name="_1483520448"/>
    <w:bookmarkStart w:id="111" w:name="_1483961704"/>
    <w:bookmarkStart w:id="112" w:name="_1483966617"/>
    <w:bookmarkStart w:id="113" w:name="_1484567227"/>
    <w:bookmarkStart w:id="114" w:name="_1484573510"/>
    <w:bookmarkStart w:id="115" w:name="_1485682237"/>
    <w:bookmarkStart w:id="116" w:name="_1486206426"/>
    <w:bookmarkStart w:id="117" w:name="_1486208415"/>
    <w:bookmarkStart w:id="118" w:name="_1486208860"/>
    <w:bookmarkStart w:id="119" w:name="_1486209314"/>
    <w:bookmarkStart w:id="120" w:name="_1486976337"/>
    <w:bookmarkStart w:id="121" w:name="_1487153785"/>
    <w:bookmarkStart w:id="122" w:name="_1487154130"/>
    <w:bookmarkStart w:id="123" w:name="_1488697577"/>
    <w:bookmarkStart w:id="124" w:name="_1488731877"/>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14:paraId="592660F7" w14:textId="13AFC0EB" w:rsidR="0018699A" w:rsidRPr="009B6DD3" w:rsidRDefault="008A1CFC" w:rsidP="00706B23">
      <w:pPr>
        <w:pStyle w:val="ChartGraphic"/>
      </w:pPr>
      <w:r w:rsidRPr="009B6DD3">
        <w:object w:dxaOrig="8775" w:dyaOrig="3961" w14:anchorId="02CD0E62">
          <v:shape id="_x0000_i1026" type="#_x0000_t75" alt="Chart 8.2 VAT coverage ratios in OECD countries, 2012.&#10;&#10;This chart illustrates the VAT/GST coverage ratios for the 2012 year, in each of the 32 OECD countries that have a VAT or GST. The VAT/GST coverage ratio is a measure of the breadth of the base of each country’s VAT or GST. Australia’s VAT coverage ratio in 2012 was 47 per cent, which was slightly less than the unweighted OECD average of 55 per cent. The country with the lowest VAT coverage ratio was Mexico at 31 per cent, while Luxembourg had the highest VAT coverage ratio at 113 per cent.&#10;" style="width:438pt;height:198.75pt;mso-position-vertical:absolute" o:ole="">
            <v:imagedata r:id="rId21" o:title=""/>
          </v:shape>
          <o:OLEObject Type="Link" ProgID="Excel.Sheet.12" ShapeID="_x0000_i1026" DrawAspect="Content" r:id="rId22" UpdateMode="Always">
            <o:LinkType>EnhancedMetaFile</o:LinkType>
            <o:LockedField/>
            <o:FieldCodes>\* MERGEFORMAT</o:FieldCodes>
          </o:OLEObject>
        </w:object>
      </w:r>
    </w:p>
    <w:p w14:paraId="02A0F121" w14:textId="6094846A" w:rsidR="00E46314" w:rsidRPr="009B6DD3" w:rsidRDefault="00E46314" w:rsidP="00FE3891">
      <w:pPr>
        <w:pStyle w:val="ChartandTableNote"/>
        <w:ind w:left="426"/>
      </w:pPr>
      <w:r w:rsidRPr="009B6DD3">
        <w:t>Note: Luxembourg</w:t>
      </w:r>
      <w:r w:rsidR="00435E86">
        <w:t>’</w:t>
      </w:r>
      <w:r w:rsidRPr="009B6DD3">
        <w:t>s VAT coverage ratio of greater than 100 per cent is likely a consequence of its role as an international financial centre and an international centre for e</w:t>
      </w:r>
      <w:r w:rsidR="00435E86">
        <w:noBreakHyphen/>
      </w:r>
      <w:r w:rsidRPr="009B6DD3">
        <w:t>commerce which can result in Luxembourg collecting VAT revenue even though the final consumption of these services occurs in other countries</w:t>
      </w:r>
      <w:r w:rsidR="00706482" w:rsidRPr="009B6DD3">
        <w:t>.</w:t>
      </w:r>
    </w:p>
    <w:p w14:paraId="641716C1" w14:textId="35D4A691" w:rsidR="00BA1E79" w:rsidRPr="009B6DD3" w:rsidRDefault="003B5021" w:rsidP="00FE3891">
      <w:pPr>
        <w:pStyle w:val="ChartandTableNote"/>
        <w:ind w:left="426"/>
      </w:pPr>
      <w:r w:rsidRPr="009B6DD3">
        <w:t xml:space="preserve">Source: OECD 2014, </w:t>
      </w:r>
      <w:r w:rsidRPr="009B6DD3">
        <w:rPr>
          <w:i/>
        </w:rPr>
        <w:t>Consumption Tax Trends 2014</w:t>
      </w:r>
      <w:r w:rsidRPr="009B6DD3">
        <w:t>, OECD, Paris.</w:t>
      </w:r>
    </w:p>
    <w:p w14:paraId="3029DA64" w14:textId="77777777" w:rsidR="00674423" w:rsidRPr="009B6DD3" w:rsidRDefault="00674423" w:rsidP="00435E86">
      <w:pPr>
        <w:spacing w:after="120"/>
      </w:pPr>
    </w:p>
    <w:p w14:paraId="7D9F000C" w14:textId="70B12605" w:rsidR="005F63DA" w:rsidRPr="009B6DD3" w:rsidRDefault="005F63DA" w:rsidP="00BA550B">
      <w:r w:rsidRPr="009B6DD3">
        <w:t xml:space="preserve">Most of the categories of consumption not subject to GST are </w:t>
      </w:r>
      <w:r w:rsidR="00435E86">
        <w:t>‘</w:t>
      </w:r>
      <w:r w:rsidRPr="009B6DD3">
        <w:t>GST</w:t>
      </w:r>
      <w:r w:rsidR="00435E86">
        <w:noBreakHyphen/>
      </w:r>
      <w:r w:rsidRPr="009B6DD3">
        <w:t>free</w:t>
      </w:r>
      <w:r w:rsidR="00435E86">
        <w:t>’</w:t>
      </w:r>
      <w:r w:rsidRPr="009B6DD3">
        <w:t>. This means that not only are these goods and services not subject to GST when sold, but their suppliers can also claim a refund o</w:t>
      </w:r>
      <w:r w:rsidR="00B12089" w:rsidRPr="009B6DD3">
        <w:t>n</w:t>
      </w:r>
      <w:r w:rsidRPr="009B6DD3">
        <w:t xml:space="preserve"> any GST levied on the inputs they used </w:t>
      </w:r>
      <w:r w:rsidR="00B12089" w:rsidRPr="009B6DD3">
        <w:t xml:space="preserve">to </w:t>
      </w:r>
      <w:r w:rsidRPr="009B6DD3">
        <w:t>produc</w:t>
      </w:r>
      <w:r w:rsidR="00B12089" w:rsidRPr="009B6DD3">
        <w:t>e</w:t>
      </w:r>
      <w:r w:rsidRPr="009B6DD3">
        <w:t xml:space="preserve"> them.</w:t>
      </w:r>
    </w:p>
    <w:p w14:paraId="70CB0017" w14:textId="1821F006" w:rsidR="00742F1E" w:rsidRPr="009B6DD3" w:rsidRDefault="005F63DA" w:rsidP="005F63DA">
      <w:r w:rsidRPr="009B6DD3">
        <w:t>The main</w:t>
      </w:r>
      <w:r w:rsidR="00B12089" w:rsidRPr="009B6DD3">
        <w:t xml:space="preserve"> </w:t>
      </w:r>
      <w:r w:rsidRPr="009B6DD3">
        <w:t xml:space="preserve">categories of consumption </w:t>
      </w:r>
      <w:r w:rsidRPr="009B6DD3" w:rsidDel="00B12089">
        <w:t>that are GST</w:t>
      </w:r>
      <w:r w:rsidR="00435E86">
        <w:noBreakHyphen/>
      </w:r>
      <w:r w:rsidRPr="009B6DD3" w:rsidDel="00B12089">
        <w:t xml:space="preserve">free </w:t>
      </w:r>
      <w:r w:rsidRPr="009B6DD3">
        <w:t xml:space="preserve">are </w:t>
      </w:r>
      <w:r w:rsidR="00423E21" w:rsidRPr="009B6DD3">
        <w:t>fresh</w:t>
      </w:r>
      <w:r w:rsidR="002334E1" w:rsidRPr="009B6DD3">
        <w:t xml:space="preserve"> </w:t>
      </w:r>
      <w:r w:rsidRPr="009B6DD3">
        <w:t xml:space="preserve">food, health, education, childcare, </w:t>
      </w:r>
      <w:r w:rsidRPr="009B6DD3" w:rsidDel="00B12089">
        <w:t xml:space="preserve">as well as </w:t>
      </w:r>
      <w:r w:rsidRPr="009B6DD3">
        <w:t>water, sewerage and drainage services.</w:t>
      </w:r>
    </w:p>
    <w:p w14:paraId="3E6BC0F1" w14:textId="0548BC35" w:rsidR="00742F1E" w:rsidRPr="009B6DD3" w:rsidRDefault="00742F1E" w:rsidP="00742F1E">
      <w:r w:rsidRPr="009B6DD3">
        <w:t>When the GST was introduced, health and education, for example, were made GST</w:t>
      </w:r>
      <w:r w:rsidR="00435E86">
        <w:noBreakHyphen/>
      </w:r>
      <w:r w:rsidRPr="009B6DD3">
        <w:t>free because of the significant public sector provision of these goods and services and concerns that applying the GST to them would put private providers at a competitive disadvantage.</w:t>
      </w:r>
      <w:r w:rsidR="002D6544" w:rsidRPr="009B6DD3">
        <w:rPr>
          <w:rStyle w:val="FootnoteReference"/>
        </w:rPr>
        <w:footnoteReference w:id="7"/>
      </w:r>
    </w:p>
    <w:p w14:paraId="46D5C3D4" w14:textId="1D8397A5" w:rsidR="00742F1E" w:rsidRPr="009B6DD3" w:rsidRDefault="00742F1E" w:rsidP="00742F1E">
      <w:r w:rsidRPr="009B6DD3">
        <w:t>Fresh food was made GST</w:t>
      </w:r>
      <w:r w:rsidR="00435E86">
        <w:noBreakHyphen/>
      </w:r>
      <w:r w:rsidRPr="009B6DD3">
        <w:t>free as part of negotiations with the Australian Democrats to secure passage of the GST legislation through the Senate.</w:t>
      </w:r>
      <w:r w:rsidRPr="009B6DD3">
        <w:rPr>
          <w:rStyle w:val="FootnoteReference"/>
        </w:rPr>
        <w:footnoteReference w:id="8"/>
      </w:r>
    </w:p>
    <w:p w14:paraId="57D1C5AB" w14:textId="583A962D" w:rsidR="005F63DA" w:rsidRPr="009B6DD3" w:rsidRDefault="00075925" w:rsidP="005F63DA">
      <w:r w:rsidRPr="009B6DD3">
        <w:t xml:space="preserve">Some stakeholders support the retention of </w:t>
      </w:r>
      <w:r w:rsidR="00742F1E" w:rsidRPr="009B6DD3">
        <w:t xml:space="preserve">many of </w:t>
      </w:r>
      <w:r w:rsidRPr="009B6DD3">
        <w:t xml:space="preserve">these exemptions on the basis that these goods and services are </w:t>
      </w:r>
      <w:r w:rsidR="00435E86">
        <w:t>‘</w:t>
      </w:r>
      <w:r w:rsidRPr="009B6DD3">
        <w:t>basic necessities</w:t>
      </w:r>
      <w:r w:rsidR="00435E86">
        <w:t>’</w:t>
      </w:r>
      <w:r w:rsidRPr="009B6DD3">
        <w:t xml:space="preserve"> and </w:t>
      </w:r>
      <w:r w:rsidR="0083515C" w:rsidRPr="009B6DD3">
        <w:t xml:space="preserve">argue </w:t>
      </w:r>
      <w:r w:rsidR="00E9656D" w:rsidRPr="009B6DD3">
        <w:t xml:space="preserve">that </w:t>
      </w:r>
      <w:r w:rsidRPr="009B6DD3">
        <w:t xml:space="preserve">the burden of applying GST to them would fall disproportionally on </w:t>
      </w:r>
      <w:r w:rsidR="003E3B91" w:rsidRPr="009B6DD3">
        <w:t>lower</w:t>
      </w:r>
      <w:r w:rsidR="00435E86">
        <w:noBreakHyphen/>
      </w:r>
      <w:r w:rsidR="003E3B91" w:rsidRPr="009B6DD3">
        <w:t>income households</w:t>
      </w:r>
      <w:r w:rsidRPr="009B6DD3">
        <w:t>.</w:t>
      </w:r>
    </w:p>
    <w:p w14:paraId="1F4F9444" w14:textId="0860FBF0" w:rsidR="00370CAF" w:rsidRPr="009B6DD3" w:rsidRDefault="005F63DA" w:rsidP="005F63DA">
      <w:r w:rsidRPr="009B6DD3">
        <w:t xml:space="preserve">Imported goods (but not imported services) are generally subject to GST, unless the value is </w:t>
      </w:r>
      <w:r w:rsidR="00E34C84" w:rsidRPr="009B6DD3">
        <w:t>$1</w:t>
      </w:r>
      <w:r w:rsidR="0048780A">
        <w:t>,</w:t>
      </w:r>
      <w:r w:rsidR="00E34C84" w:rsidRPr="009B6DD3">
        <w:t xml:space="preserve">000 or </w:t>
      </w:r>
      <w:r w:rsidRPr="009B6DD3">
        <w:t>less.</w:t>
      </w:r>
      <w:r w:rsidR="00A67756" w:rsidRPr="009B6DD3">
        <w:rPr>
          <w:rStyle w:val="FootnoteReference"/>
        </w:rPr>
        <w:footnoteReference w:id="9"/>
      </w:r>
      <w:r w:rsidRPr="009B6DD3">
        <w:t xml:space="preserve"> </w:t>
      </w:r>
      <w:r w:rsidR="0075340B" w:rsidRPr="009B6DD3">
        <w:t xml:space="preserve">On the other hand, most imported services and intangibles </w:t>
      </w:r>
      <w:r w:rsidR="007A3A45" w:rsidRPr="009B6DD3">
        <w:t>purchased by</w:t>
      </w:r>
      <w:r w:rsidR="0075340B" w:rsidRPr="009B6DD3">
        <w:t xml:space="preserve"> consumers (primarily those purchased online, </w:t>
      </w:r>
      <w:r w:rsidR="0075340B" w:rsidRPr="009B6DD3" w:rsidDel="00F22E0B">
        <w:t>such as</w:t>
      </w:r>
      <w:r w:rsidR="0075340B" w:rsidRPr="009B6DD3">
        <w:t xml:space="preserve"> multimedia downloads) are not subject to GST.</w:t>
      </w:r>
      <w:r w:rsidR="0075340B" w:rsidRPr="009B6DD3" w:rsidDel="0075340B">
        <w:t xml:space="preserve"> </w:t>
      </w:r>
      <w:r w:rsidR="00DF3A99" w:rsidRPr="009B6DD3">
        <w:t xml:space="preserve">Issues </w:t>
      </w:r>
      <w:r w:rsidR="00E01392" w:rsidRPr="009B6DD3">
        <w:t>regarding</w:t>
      </w:r>
      <w:r w:rsidR="00DF3A99" w:rsidRPr="009B6DD3">
        <w:t xml:space="preserve"> the low value threshold </w:t>
      </w:r>
      <w:r w:rsidR="00F30855" w:rsidRPr="009B6DD3">
        <w:t>on imported goods</w:t>
      </w:r>
      <w:r w:rsidR="0075340B" w:rsidRPr="009B6DD3">
        <w:t>, and imported services and intangibles,</w:t>
      </w:r>
      <w:r w:rsidR="00F30855" w:rsidRPr="009B6DD3">
        <w:t xml:space="preserve"> </w:t>
      </w:r>
      <w:r w:rsidR="00DF3A99" w:rsidRPr="009B6DD3">
        <w:t xml:space="preserve">are discussed in more detail </w:t>
      </w:r>
      <w:r w:rsidR="006816DD" w:rsidRPr="009B6DD3">
        <w:t xml:space="preserve">in the section </w:t>
      </w:r>
      <w:r w:rsidR="00DF3A99" w:rsidRPr="009B6DD3">
        <w:t>Pressures on the GST base</w:t>
      </w:r>
      <w:r w:rsidR="00461BB2" w:rsidRPr="009B6DD3">
        <w:t>: GST and the digital economy</w:t>
      </w:r>
      <w:r w:rsidR="00DF3A99" w:rsidRPr="009B6DD3">
        <w:t>.</w:t>
      </w:r>
    </w:p>
    <w:p w14:paraId="0EA051A7" w14:textId="09E76F6D" w:rsidR="005F63DA" w:rsidRPr="009B6DD3" w:rsidRDefault="005F63DA" w:rsidP="005F63DA">
      <w:r w:rsidRPr="009B6DD3">
        <w:lastRenderedPageBreak/>
        <w:t>There are other categories of consumption that are neither subject to GST nor GST</w:t>
      </w:r>
      <w:r w:rsidR="00435E86">
        <w:noBreakHyphen/>
      </w:r>
      <w:r w:rsidRPr="009B6DD3">
        <w:t xml:space="preserve">free. Instead, these goods and services are </w:t>
      </w:r>
      <w:r w:rsidR="00435E86">
        <w:t>‘</w:t>
      </w:r>
      <w:r w:rsidRPr="009B6DD3">
        <w:t>input</w:t>
      </w:r>
      <w:r w:rsidR="00435E86">
        <w:noBreakHyphen/>
      </w:r>
      <w:r w:rsidRPr="009B6DD3">
        <w:t>taxed</w:t>
      </w:r>
      <w:r w:rsidR="00435E86">
        <w:t>’</w:t>
      </w:r>
      <w:r w:rsidRPr="009B6DD3">
        <w:t>. This means that, while they are not subject to GST when sold, their suppliers cannot claim a credit or refund on the GST levied on the inputs used for producing them. In this way, input</w:t>
      </w:r>
      <w:r w:rsidR="00435E86">
        <w:noBreakHyphen/>
      </w:r>
      <w:r w:rsidRPr="009B6DD3">
        <w:t>taxed goods and services will include some GST embedded in their prices, but not the full 10 per cent.</w:t>
      </w:r>
      <w:r w:rsidR="007A3A45" w:rsidRPr="009B6DD3">
        <w:t xml:space="preserve"> </w:t>
      </w:r>
      <w:r w:rsidRPr="009B6DD3">
        <w:t>The main categories of consumption that are input</w:t>
      </w:r>
      <w:r w:rsidR="00435E86">
        <w:noBreakHyphen/>
      </w:r>
      <w:r w:rsidRPr="009B6DD3">
        <w:t>taxed are residential rent and financial supplies.</w:t>
      </w:r>
    </w:p>
    <w:p w14:paraId="37692A97" w14:textId="76761158" w:rsidR="005F63DA" w:rsidRPr="009B6DD3" w:rsidRDefault="005F63DA" w:rsidP="005F63DA">
      <w:r w:rsidRPr="009B6DD3">
        <w:t>When the GST was introduced, residential rent was input</w:t>
      </w:r>
      <w:r w:rsidR="00435E86">
        <w:noBreakHyphen/>
      </w:r>
      <w:r w:rsidRPr="009B6DD3">
        <w:t>taxed so that it would not distort household decisions about whether to rent or live in owner</w:t>
      </w:r>
      <w:r w:rsidR="00435E86">
        <w:noBreakHyphen/>
      </w:r>
      <w:r w:rsidRPr="009B6DD3">
        <w:t>occupied properties. Applying GST to residential rent would also result in many more taxpayers being required to register for GST resulting in significant additional administration and compliance costs.</w:t>
      </w:r>
    </w:p>
    <w:p w14:paraId="5893C22A" w14:textId="2EEB7483" w:rsidR="005F63DA" w:rsidRPr="009B6DD3" w:rsidRDefault="005F63DA" w:rsidP="005F63DA">
      <w:r w:rsidRPr="009B6DD3">
        <w:t>Financial supplies, that is, the lending and borrowing of money, were input</w:t>
      </w:r>
      <w:r w:rsidR="00435E86">
        <w:noBreakHyphen/>
      </w:r>
      <w:r w:rsidRPr="009B6DD3">
        <w:t xml:space="preserve">taxed </w:t>
      </w:r>
      <w:r w:rsidR="00B12089" w:rsidRPr="009B6DD3">
        <w:t>due to</w:t>
      </w:r>
      <w:r w:rsidRPr="009B6DD3">
        <w:t xml:space="preserve"> the difficulty </w:t>
      </w:r>
      <w:r w:rsidR="00B12089" w:rsidRPr="009B6DD3">
        <w:t xml:space="preserve">of </w:t>
      </w:r>
      <w:r w:rsidRPr="009B6DD3">
        <w:t>identifying and measuring their value, which is often not explicit. While applying GST to financial supplies would introduce significant complexity, the current approach brings its own complexities and also means these services are taxed</w:t>
      </w:r>
      <w:r w:rsidR="00DE6AC2" w:rsidRPr="009B6DD3">
        <w:t xml:space="preserve"> more lightly than others</w:t>
      </w:r>
      <w:r w:rsidRPr="009B6DD3">
        <w:t xml:space="preserve">. The current treatment of financial supplies is estimated to be worth over $4 billion in </w:t>
      </w:r>
      <w:r w:rsidR="00B12089" w:rsidRPr="009B6DD3">
        <w:t xml:space="preserve">forgone </w:t>
      </w:r>
      <w:r w:rsidRPr="009B6DD3">
        <w:t>revenue in 2014</w:t>
      </w:r>
      <w:r w:rsidR="00435E86">
        <w:noBreakHyphen/>
      </w:r>
      <w:r w:rsidRPr="009B6DD3">
        <w:t>15</w:t>
      </w:r>
      <w:r w:rsidR="00F64440" w:rsidRPr="009B6DD3">
        <w:t>.</w:t>
      </w:r>
      <w:r w:rsidR="006143F4" w:rsidRPr="009B6DD3">
        <w:rPr>
          <w:rStyle w:val="FootnoteReference"/>
        </w:rPr>
        <w:footnoteReference w:id="10"/>
      </w:r>
    </w:p>
    <w:p w14:paraId="378CA0E5" w14:textId="77777777" w:rsidR="005F63DA" w:rsidRPr="009B6DD3" w:rsidRDefault="005F63DA" w:rsidP="005F63DA">
      <w:r w:rsidRPr="009B6DD3">
        <w:t xml:space="preserve">One of the key advantages of the GST is that it applies at a uniform rate to a broad range of goods and services. By taxing most goods and services in the same way and at the same rate, the GST reduces the complexity and distortions that arise when things are taxed differently. </w:t>
      </w:r>
    </w:p>
    <w:p w14:paraId="290550A7" w14:textId="5354927C" w:rsidR="005F63DA" w:rsidRPr="009B6DD3" w:rsidRDefault="005F63DA" w:rsidP="005F63DA">
      <w:r w:rsidRPr="009B6DD3">
        <w:t>However, exemptions to the GST detract from this.</w:t>
      </w:r>
      <w:r w:rsidRPr="009B6DD3" w:rsidDel="00B12089">
        <w:t xml:space="preserve"> </w:t>
      </w:r>
      <w:r w:rsidR="00B12089" w:rsidRPr="009B6DD3">
        <w:t xml:space="preserve">Exemptions </w:t>
      </w:r>
      <w:r w:rsidRPr="009B6DD3">
        <w:t>significantly increase the complexity of the GST and introduce distortions by changing the relative prices of goods and</w:t>
      </w:r>
      <w:r w:rsidR="00FE3891" w:rsidRPr="009B6DD3">
        <w:t> </w:t>
      </w:r>
      <w:r w:rsidRPr="009B6DD3">
        <w:t xml:space="preserve">services. This complexity is discussed in more detail </w:t>
      </w:r>
      <w:r w:rsidR="00F65ED2" w:rsidRPr="009B6DD3">
        <w:t>later in this chapter</w:t>
      </w:r>
      <w:r w:rsidRPr="009B6DD3">
        <w:t>.</w:t>
      </w:r>
    </w:p>
    <w:p w14:paraId="4BF3D9E1" w14:textId="77777777" w:rsidR="005F63DA" w:rsidRPr="009B6DD3" w:rsidRDefault="005F63DA" w:rsidP="005F63DA">
      <w:pPr>
        <w:pStyle w:val="Heading3"/>
      </w:pPr>
      <w:bookmarkStart w:id="125" w:name="_Toc402326910"/>
      <w:bookmarkStart w:id="126" w:name="_Toc402333563"/>
      <w:bookmarkStart w:id="127" w:name="_Toc402340344"/>
      <w:bookmarkStart w:id="128" w:name="_Toc402343438"/>
      <w:bookmarkStart w:id="129" w:name="_Toc402346674"/>
      <w:bookmarkStart w:id="130" w:name="_Toc402349130"/>
      <w:bookmarkStart w:id="131" w:name="_Toc402350658"/>
      <w:bookmarkStart w:id="132" w:name="_Toc402353679"/>
      <w:bookmarkStart w:id="133" w:name="_Toc402368796"/>
      <w:bookmarkStart w:id="134" w:name="_Toc402369881"/>
      <w:bookmarkStart w:id="135" w:name="_Toc402370546"/>
      <w:bookmarkStart w:id="136" w:name="_Toc402371493"/>
      <w:bookmarkStart w:id="137" w:name="_Toc406155414"/>
      <w:r w:rsidRPr="009B6DD3">
        <w:t>How important is the GST?</w:t>
      </w:r>
      <w:bookmarkEnd w:id="125"/>
      <w:bookmarkEnd w:id="126"/>
      <w:bookmarkEnd w:id="127"/>
      <w:bookmarkEnd w:id="128"/>
      <w:bookmarkEnd w:id="129"/>
      <w:bookmarkEnd w:id="130"/>
      <w:bookmarkEnd w:id="131"/>
      <w:bookmarkEnd w:id="132"/>
      <w:bookmarkEnd w:id="133"/>
      <w:bookmarkEnd w:id="134"/>
      <w:bookmarkEnd w:id="135"/>
      <w:bookmarkEnd w:id="136"/>
      <w:bookmarkEnd w:id="137"/>
    </w:p>
    <w:p w14:paraId="64FA63F4" w14:textId="39A0AACE" w:rsidR="005F63DA" w:rsidRPr="009B6DD3" w:rsidRDefault="005F63DA" w:rsidP="005F63DA">
      <w:r w:rsidRPr="009B6DD3">
        <w:t>The GST is Australia</w:t>
      </w:r>
      <w:r w:rsidR="00435E86">
        <w:t>’</w:t>
      </w:r>
      <w:r w:rsidRPr="009B6DD3">
        <w:t>s third</w:t>
      </w:r>
      <w:r w:rsidR="00435E86">
        <w:noBreakHyphen/>
      </w:r>
      <w:r w:rsidRPr="009B6DD3">
        <w:t>largest tax source. In 2013</w:t>
      </w:r>
      <w:r w:rsidR="00435E86">
        <w:noBreakHyphen/>
      </w:r>
      <w:r w:rsidRPr="009B6DD3">
        <w:t>14</w:t>
      </w:r>
      <w:r w:rsidR="00B12089" w:rsidRPr="009B6DD3">
        <w:t>,</w:t>
      </w:r>
      <w:r w:rsidRPr="009B6DD3">
        <w:t xml:space="preserve"> it raised $56 billion, or 16 per cent of total </w:t>
      </w:r>
      <w:r w:rsidR="00CA4488" w:rsidRPr="009B6DD3">
        <w:t>Australian</w:t>
      </w:r>
      <w:r w:rsidR="00AD7513" w:rsidRPr="009B6DD3">
        <w:t xml:space="preserve"> Government</w:t>
      </w:r>
      <w:r w:rsidRPr="009B6DD3">
        <w:t xml:space="preserve"> taxation revenue. All the money raised by the GST is distributed to the </w:t>
      </w:r>
      <w:r w:rsidR="00E50274">
        <w:t>s</w:t>
      </w:r>
      <w:r w:rsidRPr="009B6DD3">
        <w:t xml:space="preserve">tates and </w:t>
      </w:r>
      <w:r w:rsidR="00E50274">
        <w:t>t</w:t>
      </w:r>
      <w:r w:rsidRPr="009B6DD3">
        <w:t>erritories</w:t>
      </w:r>
      <w:r w:rsidR="003D37BC" w:rsidRPr="009B6DD3">
        <w:t xml:space="preserve"> (except for non</w:t>
      </w:r>
      <w:r w:rsidR="00435E86">
        <w:noBreakHyphen/>
      </w:r>
      <w:r w:rsidR="003D37BC" w:rsidRPr="009B6DD3">
        <w:t>general interest charge penalties)</w:t>
      </w:r>
      <w:r w:rsidRPr="009B6DD3">
        <w:t xml:space="preserve">. </w:t>
      </w:r>
    </w:p>
    <w:p w14:paraId="74D971F6" w14:textId="77777777" w:rsidR="005F63DA" w:rsidRPr="009B6DD3" w:rsidRDefault="005F63DA" w:rsidP="005F63DA">
      <w:pPr>
        <w:pStyle w:val="Heading3"/>
      </w:pPr>
      <w:bookmarkStart w:id="138" w:name="_Toc402326911"/>
      <w:bookmarkStart w:id="139" w:name="_Toc402333564"/>
      <w:bookmarkStart w:id="140" w:name="_Toc402340345"/>
      <w:bookmarkStart w:id="141" w:name="_Toc402343439"/>
      <w:bookmarkStart w:id="142" w:name="_Toc402346675"/>
      <w:bookmarkStart w:id="143" w:name="_Toc402349131"/>
      <w:bookmarkStart w:id="144" w:name="_Toc402350659"/>
      <w:bookmarkStart w:id="145" w:name="_Toc402353680"/>
      <w:bookmarkStart w:id="146" w:name="_Toc402362208"/>
      <w:bookmarkStart w:id="147" w:name="_Toc402368797"/>
      <w:bookmarkStart w:id="148" w:name="_Toc402369882"/>
      <w:bookmarkStart w:id="149" w:name="_Toc402370547"/>
      <w:bookmarkStart w:id="150" w:name="_Toc402371494"/>
      <w:bookmarkStart w:id="151" w:name="_Toc406155415"/>
      <w:r w:rsidRPr="009B6DD3">
        <w:t>Who pays GST?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4F5E0E7" w14:textId="6B9C3690" w:rsidR="005F63DA" w:rsidRPr="009B6DD3" w:rsidRDefault="006D07E9" w:rsidP="005F63DA">
      <w:r w:rsidRPr="0031346E">
        <w:rPr>
          <w:rFonts w:cs="Arial"/>
          <w:color w:val="000000"/>
        </w:rPr>
        <w:t xml:space="preserve">Businesses are </w:t>
      </w:r>
      <w:r w:rsidRPr="0031346E">
        <w:rPr>
          <w:rFonts w:cs="Arial"/>
        </w:rPr>
        <w:t xml:space="preserve">generally legally liable to collect GST on the sale of taxable goods and services and remit </w:t>
      </w:r>
      <w:r w:rsidRPr="0031346E">
        <w:rPr>
          <w:rFonts w:cs="Arial"/>
          <w:color w:val="000000"/>
        </w:rPr>
        <w:t>this GST to the ATO.</w:t>
      </w:r>
      <w:r w:rsidR="005F63DA" w:rsidRPr="0031346E">
        <w:t xml:space="preserve"> While businesses have a legal requirement and incur the compliance burden of collecting and paying</w:t>
      </w:r>
      <w:r w:rsidR="005F63DA" w:rsidRPr="009B6DD3">
        <w:t xml:space="preserve"> the GST, these costs are ultimately passed on to consumer</w:t>
      </w:r>
      <w:r w:rsidR="00A67756" w:rsidRPr="009B6DD3">
        <w:t>s</w:t>
      </w:r>
      <w:r w:rsidR="005F63DA" w:rsidRPr="009B6DD3">
        <w:t>. As such, all Australians pay the GST when they purchase taxable goods and services.</w:t>
      </w:r>
    </w:p>
    <w:p w14:paraId="4FD3EAEA" w14:textId="246B2783" w:rsidR="00FA3A8E" w:rsidRPr="009B6DD3" w:rsidRDefault="000218B3" w:rsidP="000218B3">
      <w:r w:rsidRPr="009B6DD3">
        <w:t xml:space="preserve">Households that save a greater </w:t>
      </w:r>
      <w:r w:rsidR="00D05AB3" w:rsidRPr="009B6DD3">
        <w:t>pro</w:t>
      </w:r>
      <w:r w:rsidRPr="009B6DD3">
        <w:t xml:space="preserve">portion of their income </w:t>
      </w:r>
      <w:r w:rsidR="00D639F7" w:rsidRPr="009B6DD3">
        <w:t xml:space="preserve">in any given year </w:t>
      </w:r>
      <w:r w:rsidRPr="009B6DD3">
        <w:t>will typically incur less GST as a proportion of their income</w:t>
      </w:r>
      <w:r w:rsidR="00D639F7" w:rsidRPr="009B6DD3">
        <w:t xml:space="preserve"> on an annual basis</w:t>
      </w:r>
      <w:r w:rsidRPr="009B6DD3">
        <w:t>.</w:t>
      </w:r>
      <w:r w:rsidR="00815875" w:rsidRPr="009B6DD3">
        <w:t xml:space="preserve"> </w:t>
      </w:r>
      <w:r w:rsidR="00FA3A8E" w:rsidRPr="009B6DD3">
        <w:t>Because higher</w:t>
      </w:r>
      <w:r w:rsidR="00435E86">
        <w:noBreakHyphen/>
      </w:r>
      <w:r w:rsidR="00FA3A8E" w:rsidRPr="009B6DD3">
        <w:t>income households tend to save more than lower</w:t>
      </w:r>
      <w:r w:rsidR="00435E86">
        <w:noBreakHyphen/>
      </w:r>
      <w:r w:rsidR="00FA3A8E" w:rsidRPr="009B6DD3">
        <w:t>incom</w:t>
      </w:r>
      <w:r w:rsidR="00D05AB3" w:rsidRPr="009B6DD3">
        <w:t>e households, this means higher</w:t>
      </w:r>
      <w:r w:rsidR="00435E86">
        <w:noBreakHyphen/>
      </w:r>
      <w:r w:rsidR="00FA3A8E" w:rsidRPr="009B6DD3">
        <w:t>income households will typically incur less GST as a proportion of their income on an annual basis.</w:t>
      </w:r>
    </w:p>
    <w:p w14:paraId="77C1E564" w14:textId="2B39626D" w:rsidR="005F63DA" w:rsidRPr="009B6DD3" w:rsidRDefault="000218B3" w:rsidP="000218B3">
      <w:r w:rsidRPr="009B6DD3">
        <w:lastRenderedPageBreak/>
        <w:t xml:space="preserve">However, when viewed over an entire lifecycle, many individuals will ultimately incur a similar amount of </w:t>
      </w:r>
      <w:r w:rsidR="00A151A2" w:rsidRPr="009B6DD3">
        <w:t>tax from a broad</w:t>
      </w:r>
      <w:r w:rsidR="00435E86">
        <w:noBreakHyphen/>
      </w:r>
      <w:r w:rsidR="00A151A2" w:rsidRPr="009B6DD3">
        <w:t>based consumption tax</w:t>
      </w:r>
      <w:r w:rsidRPr="009B6DD3">
        <w:t xml:space="preserve"> as a propo</w:t>
      </w:r>
      <w:r w:rsidR="00122B9F" w:rsidRPr="009B6DD3">
        <w:t>rtion of their lifetime income</w:t>
      </w:r>
      <w:r w:rsidR="00D639F7" w:rsidRPr="009B6DD3">
        <w:t>.</w:t>
      </w:r>
      <w:r w:rsidRPr="009B6DD3">
        <w:t xml:space="preserve"> </w:t>
      </w:r>
      <w:r w:rsidR="00D639F7" w:rsidRPr="009B6DD3">
        <w:t>W</w:t>
      </w:r>
      <w:r w:rsidRPr="009B6DD3">
        <w:t xml:space="preserve">hile households that save a greater </w:t>
      </w:r>
      <w:r w:rsidR="00D05AB3" w:rsidRPr="009B6DD3">
        <w:t>pro</w:t>
      </w:r>
      <w:r w:rsidRPr="009B6DD3">
        <w:t xml:space="preserve">portion of their income in any year will incur less </w:t>
      </w:r>
      <w:r w:rsidR="00A151A2" w:rsidRPr="009B6DD3">
        <w:t>tax</w:t>
      </w:r>
      <w:r w:rsidRPr="009B6DD3">
        <w:t xml:space="preserve"> as a proportion of that year</w:t>
      </w:r>
      <w:r w:rsidR="00435E86">
        <w:t>’</w:t>
      </w:r>
      <w:r w:rsidRPr="009B6DD3">
        <w:t xml:space="preserve">s income, if and when these households eventually run down their savings they will incur more </w:t>
      </w:r>
      <w:r w:rsidR="00A151A2" w:rsidRPr="009B6DD3">
        <w:t>tax</w:t>
      </w:r>
      <w:r w:rsidRPr="009B6DD3">
        <w:t xml:space="preserve"> as a proportion of their income in those years compared to other households.</w:t>
      </w:r>
      <w:r w:rsidR="00017F4C" w:rsidRPr="009B6DD3">
        <w:rPr>
          <w:rStyle w:val="FootnoteReference"/>
        </w:rPr>
        <w:footnoteReference w:id="11"/>
      </w:r>
      <w:r w:rsidR="00FA0186" w:rsidRPr="009B6DD3">
        <w:rPr>
          <w:rStyle w:val="FootnoteReference"/>
        </w:rPr>
        <w:t xml:space="preserve"> </w:t>
      </w:r>
    </w:p>
    <w:p w14:paraId="02C1B22C" w14:textId="30F4EF15" w:rsidR="00532DE2" w:rsidRPr="009B6DD3" w:rsidRDefault="00532DE2" w:rsidP="00532DE2">
      <w:r w:rsidRPr="009B6DD3">
        <w:t xml:space="preserve">Chart </w:t>
      </w:r>
      <w:r w:rsidR="00DD282B" w:rsidRPr="009B6DD3">
        <w:t>8</w:t>
      </w:r>
      <w:r w:rsidRPr="009B6DD3">
        <w:t>.3 shows how this can occur</w:t>
      </w:r>
      <w:r w:rsidR="003C54B4" w:rsidRPr="009B6DD3">
        <w:t xml:space="preserve">. </w:t>
      </w:r>
      <w:r w:rsidRPr="009B6DD3">
        <w:t xml:space="preserve">It shows that </w:t>
      </w:r>
      <w:r w:rsidR="00E21B1B" w:rsidRPr="009B6DD3">
        <w:t>when</w:t>
      </w:r>
      <w:r w:rsidRPr="009B6DD3">
        <w:t xml:space="preserve"> young, individuals</w:t>
      </w:r>
      <w:r w:rsidR="00435E86">
        <w:t>’</w:t>
      </w:r>
      <w:r w:rsidRPr="009B6DD3">
        <w:t xml:space="preserve"> labour income is lower than their spending</w:t>
      </w:r>
      <w:r w:rsidR="006106D3" w:rsidRPr="009B6DD3">
        <w:t>. This</w:t>
      </w:r>
      <w:r w:rsidRPr="009B6DD3">
        <w:t xml:space="preserve"> then becomes higher th</w:t>
      </w:r>
      <w:r w:rsidR="006106D3" w:rsidRPr="009B6DD3">
        <w:t>an their spending in middle age</w:t>
      </w:r>
      <w:r w:rsidRPr="009B6DD3">
        <w:t xml:space="preserve"> </w:t>
      </w:r>
      <w:r w:rsidR="006106D3" w:rsidRPr="009B6DD3">
        <w:t>(</w:t>
      </w:r>
      <w:r w:rsidRPr="009B6DD3">
        <w:t>when they have the highest incomes and are saving</w:t>
      </w:r>
      <w:r w:rsidR="006106D3" w:rsidRPr="009B6DD3">
        <w:t>)</w:t>
      </w:r>
      <w:r w:rsidRPr="009B6DD3">
        <w:t xml:space="preserve"> and then falls, becoming lower than their spending</w:t>
      </w:r>
      <w:r w:rsidR="006106D3" w:rsidRPr="009B6DD3">
        <w:t>,</w:t>
      </w:r>
      <w:r w:rsidRPr="009B6DD3">
        <w:t xml:space="preserve"> when they are older and are running down their savings.</w:t>
      </w:r>
    </w:p>
    <w:p w14:paraId="68C0BB77" w14:textId="432872FE" w:rsidR="00A57EA3" w:rsidRPr="009B6DD3" w:rsidRDefault="00A57EA3" w:rsidP="00190950">
      <w:pPr>
        <w:pStyle w:val="ChartMainHeading"/>
      </w:pPr>
      <w:r w:rsidRPr="009B6DD3">
        <w:t xml:space="preserve">Chart </w:t>
      </w:r>
      <w:fldSimple w:instr=" STYLEREF 1 \s ">
        <w:r w:rsidR="00B51480">
          <w:rPr>
            <w:noProof/>
          </w:rPr>
          <w:t>8</w:t>
        </w:r>
      </w:fldSimple>
      <w:r w:rsidRPr="009B6DD3">
        <w:t xml:space="preserve">.3 </w:t>
      </w:r>
      <w:r w:rsidR="00190950" w:rsidRPr="009B6DD3">
        <w:t xml:space="preserve">Estimated per capita </w:t>
      </w:r>
      <w:r w:rsidR="00742327" w:rsidRPr="009B6DD3">
        <w:t>c</w:t>
      </w:r>
      <w:r w:rsidRPr="009B6DD3">
        <w:t>o</w:t>
      </w:r>
      <w:r w:rsidR="00742327" w:rsidRPr="009B6DD3">
        <w:t>nsumption and l</w:t>
      </w:r>
      <w:r w:rsidRPr="009B6DD3">
        <w:t xml:space="preserve">abour </w:t>
      </w:r>
      <w:r w:rsidR="00742327" w:rsidRPr="009B6DD3">
        <w:t>i</w:t>
      </w:r>
      <w:r w:rsidRPr="009B6DD3">
        <w:t xml:space="preserve">ncome </w:t>
      </w:r>
      <w:r w:rsidR="00251117" w:rsidRPr="009B6DD3">
        <w:t xml:space="preserve">by age </w:t>
      </w:r>
      <w:r w:rsidRPr="009B6DD3">
        <w:t>in 2003</w:t>
      </w:r>
      <w:r w:rsidR="00435E86">
        <w:noBreakHyphen/>
      </w:r>
      <w:r w:rsidRPr="009B6DD3">
        <w:t>04</w:t>
      </w:r>
    </w:p>
    <w:p w14:paraId="18D05F64" w14:textId="3D6750FB" w:rsidR="00A57EA3" w:rsidRPr="009B6DD3" w:rsidRDefault="008041EC" w:rsidP="008041EC">
      <w:pPr>
        <w:pStyle w:val="ChartGraphic"/>
      </w:pPr>
      <w:r w:rsidRPr="009B6DD3">
        <w:fldChar w:fldCharType="begin" w:fldLock="1"/>
      </w:r>
      <w:r w:rsidRPr="009B6DD3">
        <w:instrText xml:space="preserve"> LINK Excel.Sheet.12 "" "" \a \p </w:instrText>
      </w:r>
      <w:r w:rsidR="009B6DD3">
        <w:instrText xml:space="preserve"> \* MERGEFORMAT </w:instrText>
      </w:r>
      <w:r w:rsidRPr="009B6DD3">
        <w:fldChar w:fldCharType="separate"/>
      </w:r>
      <w:r w:rsidR="00A51D14">
        <w:object w:dxaOrig="11707" w:dyaOrig="6013" w14:anchorId="4CEB6B3D">
          <v:shape id="_x0000_i1027" type="#_x0000_t75" alt="Chart 8.3 Estimated per capita consumption and labour income by age in 2003-04.&#10;&#10;This chart shows estimates of average per capita consumption and labour income in Australia in 2003-04 by single units of age (from age zero to 85). Consumption rises from around $16,000 per capita at age 0 to around $30,000 at age 23, and then remains around $32,000 per capita until age 85. In contrast, the per capita labour income profile by age has an inverted U-shape and plateaus at $40,000 to $46,000 per capita from age 27 to age 53. From ages 24 to 55 years, labour income exceeds consumption, while at ages below 24 years and ages above 55 years consumption exceeds labour income.&#10;" style="width:439.5pt;height:225.75pt;mso-position-vertical:absolute">
            <v:imagedata r:id="rId23" o:title=""/>
          </v:shape>
        </w:object>
      </w:r>
      <w:r w:rsidRPr="009B6DD3">
        <w:fldChar w:fldCharType="end"/>
      </w:r>
    </w:p>
    <w:p w14:paraId="71C48B44" w14:textId="30B348A6" w:rsidR="00190950" w:rsidRPr="009B6DD3" w:rsidRDefault="00190950" w:rsidP="00FE3891">
      <w:pPr>
        <w:pStyle w:val="ChartandTableNote"/>
        <w:ind w:left="709"/>
      </w:pPr>
      <w:r w:rsidRPr="009B6DD3">
        <w:t>Note: Consumption includes both public and private consumption, such as on housing, education, child care, aged car</w:t>
      </w:r>
      <w:r w:rsidR="00E00996" w:rsidRPr="009B6DD3">
        <w:t>e</w:t>
      </w:r>
      <w:r w:rsidRPr="009B6DD3">
        <w:t xml:space="preserve"> and health. Labour income </w:t>
      </w:r>
      <w:r w:rsidR="00EC329C" w:rsidRPr="009B6DD3">
        <w:t>comprises</w:t>
      </w:r>
      <w:r w:rsidRPr="009B6DD3">
        <w:t xml:space="preserve"> labour earnings, </w:t>
      </w:r>
      <w:r w:rsidR="00EC329C" w:rsidRPr="009B6DD3">
        <w:t xml:space="preserve">including </w:t>
      </w:r>
      <w:r w:rsidRPr="009B6DD3">
        <w:t>fringe benefits</w:t>
      </w:r>
      <w:r w:rsidR="00EC329C" w:rsidRPr="009B6DD3">
        <w:t xml:space="preserve"> and self</w:t>
      </w:r>
      <w:r w:rsidR="00435E86">
        <w:noBreakHyphen/>
      </w:r>
      <w:r w:rsidRPr="009B6DD3">
        <w:t>employed labour income.</w:t>
      </w:r>
    </w:p>
    <w:p w14:paraId="05BE8446" w14:textId="6EFE03ED" w:rsidR="00A57EA3" w:rsidRPr="009B6DD3" w:rsidRDefault="00A57EA3" w:rsidP="00FE3891">
      <w:pPr>
        <w:pStyle w:val="ChartandTableNote"/>
        <w:ind w:left="709"/>
      </w:pPr>
      <w:r w:rsidRPr="009B6DD3">
        <w:t xml:space="preserve">Source: </w:t>
      </w:r>
      <w:r w:rsidR="00A41435" w:rsidRPr="009B6DD3">
        <w:t xml:space="preserve">The National Transfer Accounts Project 2014, </w:t>
      </w:r>
      <w:r w:rsidRPr="009B6DD3">
        <w:rPr>
          <w:i/>
        </w:rPr>
        <w:t>National Transfer Accounts</w:t>
      </w:r>
      <w:r w:rsidR="00742327" w:rsidRPr="009B6DD3">
        <w:t>,</w:t>
      </w:r>
      <w:r w:rsidR="00C169E6" w:rsidRPr="009B6DD3">
        <w:t xml:space="preserve"> viewed </w:t>
      </w:r>
      <w:r w:rsidR="00A41435" w:rsidRPr="009B6DD3">
        <w:t>26 November </w:t>
      </w:r>
      <w:r w:rsidR="00C169E6" w:rsidRPr="009B6DD3">
        <w:t>2014</w:t>
      </w:r>
      <w:r w:rsidR="004B0603" w:rsidRPr="009B6DD3">
        <w:t>:</w:t>
      </w:r>
      <w:r w:rsidR="00742327" w:rsidRPr="009B6DD3">
        <w:t xml:space="preserve"> </w:t>
      </w:r>
      <w:hyperlink r:id="rId24" w:history="1">
        <w:r w:rsidR="009B0A3A" w:rsidRPr="00C42575">
          <w:rPr>
            <w:rStyle w:val="Hyperlink"/>
            <w:color w:val="31A7D4" w:themeColor="accent1"/>
          </w:rPr>
          <w:t>www.ntaccounts.org</w:t>
        </w:r>
      </w:hyperlink>
      <w:r w:rsidR="00435E86">
        <w:rPr>
          <w:rStyle w:val="Hyperlink"/>
          <w:color w:val="31A7D4" w:themeColor="accent1"/>
        </w:rPr>
        <w:t>.</w:t>
      </w:r>
      <w:r w:rsidR="00A41435" w:rsidRPr="009B6DD3">
        <w:rPr>
          <w:rStyle w:val="FootnoteReference"/>
          <w:color w:val="auto"/>
        </w:rPr>
        <w:footnoteReference w:id="12"/>
      </w:r>
    </w:p>
    <w:p w14:paraId="1D903D21" w14:textId="77777777" w:rsidR="00F84C9D" w:rsidRPr="009B6DD3" w:rsidRDefault="00F84C9D" w:rsidP="00435E86">
      <w:pPr>
        <w:spacing w:after="120"/>
      </w:pPr>
    </w:p>
    <w:p w14:paraId="582D3D41" w14:textId="5EAE17E3" w:rsidR="00532DE2" w:rsidRPr="009B6DD3" w:rsidRDefault="00532DE2" w:rsidP="005F63DA">
      <w:r w:rsidRPr="009B6DD3">
        <w:t xml:space="preserve">Therefore, except for the effect of bequests and exemptions </w:t>
      </w:r>
      <w:r w:rsidR="00DE6AC2" w:rsidRPr="009B6DD3">
        <w:t>for</w:t>
      </w:r>
      <w:r w:rsidRPr="009B6DD3">
        <w:t xml:space="preserve"> certain categories of spending, </w:t>
      </w:r>
      <w:r w:rsidR="00265155" w:rsidRPr="009B6DD3">
        <w:t xml:space="preserve">it is likely that </w:t>
      </w:r>
      <w:r w:rsidRPr="009B6DD3">
        <w:t>most individuals w</w:t>
      </w:r>
      <w:r w:rsidR="00CD27B9" w:rsidRPr="009B6DD3">
        <w:t>ould</w:t>
      </w:r>
      <w:r w:rsidRPr="009B6DD3">
        <w:t xml:space="preserve"> ultimately pay a similar amount of </w:t>
      </w:r>
      <w:r w:rsidR="00CD27B9" w:rsidRPr="009B6DD3">
        <w:t>tax from a broad</w:t>
      </w:r>
      <w:r w:rsidR="00435E86">
        <w:noBreakHyphen/>
      </w:r>
      <w:r w:rsidR="00CD27B9" w:rsidRPr="009B6DD3">
        <w:t>based consumption tax</w:t>
      </w:r>
      <w:r w:rsidRPr="009B6DD3">
        <w:t xml:space="preserve"> as a proportion of their lifetime income.</w:t>
      </w:r>
      <w:r w:rsidRPr="009B6DD3">
        <w:rPr>
          <w:rStyle w:val="FootnoteReference"/>
        </w:rPr>
        <w:footnoteReference w:id="13"/>
      </w:r>
    </w:p>
    <w:p w14:paraId="648A279C" w14:textId="0C0058D7" w:rsidR="005F63DA" w:rsidRPr="009B6DD3" w:rsidRDefault="00CD27B9" w:rsidP="005F63DA">
      <w:r w:rsidRPr="009B6DD3">
        <w:t>Broad</w:t>
      </w:r>
      <w:r w:rsidR="00435E86">
        <w:noBreakHyphen/>
      </w:r>
      <w:r w:rsidRPr="009B6DD3">
        <w:t xml:space="preserve">based consumption taxes </w:t>
      </w:r>
      <w:r w:rsidR="005F63DA" w:rsidRPr="009B6DD3">
        <w:t xml:space="preserve">increase the price </w:t>
      </w:r>
      <w:r w:rsidRPr="009B6DD3">
        <w:t xml:space="preserve">that </w:t>
      </w:r>
      <w:r w:rsidR="005F63DA" w:rsidRPr="009B6DD3">
        <w:t xml:space="preserve">consumers pay for goods and services, which therefore reduces the real value of the stock of </w:t>
      </w:r>
      <w:r w:rsidR="002334E1" w:rsidRPr="009B6DD3">
        <w:t xml:space="preserve">existing </w:t>
      </w:r>
      <w:r w:rsidR="005F63DA" w:rsidRPr="009B6DD3">
        <w:t xml:space="preserve">household savings. In this way, </w:t>
      </w:r>
      <w:r w:rsidRPr="009B6DD3">
        <w:t>broad</w:t>
      </w:r>
      <w:r w:rsidR="00435E86">
        <w:noBreakHyphen/>
      </w:r>
      <w:r w:rsidRPr="009B6DD3">
        <w:t>based consumption taxes have</w:t>
      </w:r>
      <w:r w:rsidR="005F63DA" w:rsidRPr="009B6DD3">
        <w:t xml:space="preserve"> an impact on wealth, even if households do not consume all their income over their lifetimes.</w:t>
      </w:r>
    </w:p>
    <w:p w14:paraId="6B18C033" w14:textId="3EDC6B32" w:rsidR="00030A33" w:rsidRPr="009B6DD3" w:rsidRDefault="00030A33" w:rsidP="005F63DA">
      <w:r w:rsidRPr="009B6DD3">
        <w:lastRenderedPageBreak/>
        <w:t>While it is useful to underst</w:t>
      </w:r>
      <w:r w:rsidR="009F7021" w:rsidRPr="009B6DD3">
        <w:t>and the distributional effects o</w:t>
      </w:r>
      <w:r w:rsidRPr="009B6DD3">
        <w:t xml:space="preserve">f </w:t>
      </w:r>
      <w:r w:rsidR="00CD27B9" w:rsidRPr="009B6DD3">
        <w:t>individual taxes</w:t>
      </w:r>
      <w:r w:rsidRPr="009B6DD3">
        <w:t xml:space="preserve">, it is not the progressivity of any particular tax base </w:t>
      </w:r>
      <w:r w:rsidR="00B12089" w:rsidRPr="009B6DD3">
        <w:t xml:space="preserve">that </w:t>
      </w:r>
      <w:r w:rsidRPr="009B6DD3">
        <w:t>ultimately matters but</w:t>
      </w:r>
      <w:r w:rsidR="00075F90" w:rsidRPr="009B6DD3">
        <w:t>,</w:t>
      </w:r>
      <w:r w:rsidRPr="009B6DD3">
        <w:t xml:space="preserve"> rather</w:t>
      </w:r>
      <w:r w:rsidR="00075F90" w:rsidRPr="009B6DD3">
        <w:t>,</w:t>
      </w:r>
      <w:r w:rsidRPr="009B6DD3">
        <w:t xml:space="preserve"> that the tax </w:t>
      </w:r>
      <w:r w:rsidR="00D00F36" w:rsidRPr="009B6DD3">
        <w:t xml:space="preserve">and </w:t>
      </w:r>
      <w:r w:rsidR="000502A0" w:rsidRPr="009B6DD3">
        <w:t xml:space="preserve">transfer </w:t>
      </w:r>
      <w:r w:rsidRPr="009B6DD3">
        <w:t>system as a whole delivers fair outcomes.</w:t>
      </w:r>
    </w:p>
    <w:p w14:paraId="231E764C" w14:textId="07A719DE" w:rsidR="005F63DA" w:rsidRPr="009B6DD3" w:rsidRDefault="00B20AA2" w:rsidP="005F63DA">
      <w:pPr>
        <w:pStyle w:val="Heading4"/>
      </w:pPr>
      <w:bookmarkStart w:id="152" w:name="_Toc406155416"/>
      <w:r w:rsidRPr="009B6DD3">
        <w:t>Distributional effects of GST e</w:t>
      </w:r>
      <w:r w:rsidR="005F63DA" w:rsidRPr="009B6DD3">
        <w:t>xemptions</w:t>
      </w:r>
      <w:bookmarkEnd w:id="152"/>
    </w:p>
    <w:p w14:paraId="62AD074A" w14:textId="2C669790" w:rsidR="005F63DA" w:rsidRPr="009B6DD3" w:rsidRDefault="005F63DA" w:rsidP="005F63DA">
      <w:r w:rsidRPr="009B6DD3">
        <w:t xml:space="preserve">Unlike </w:t>
      </w:r>
      <w:r w:rsidR="00AE714A" w:rsidRPr="009B6DD3">
        <w:t>transfer payments</w:t>
      </w:r>
      <w:r w:rsidRPr="009B6DD3">
        <w:t xml:space="preserve"> (which </w:t>
      </w:r>
      <w:r w:rsidR="00AE714A" w:rsidRPr="009B6DD3">
        <w:t>are</w:t>
      </w:r>
      <w:r w:rsidRPr="009B6DD3">
        <w:t xml:space="preserve"> generally means</w:t>
      </w:r>
      <w:r w:rsidR="00435E86">
        <w:noBreakHyphen/>
      </w:r>
      <w:r w:rsidRPr="009B6DD3">
        <w:t>tested and highly targeted to lower</w:t>
      </w:r>
      <w:r w:rsidR="00435E86">
        <w:noBreakHyphen/>
      </w:r>
      <w:r w:rsidRPr="009B6DD3">
        <w:t>income households), GST</w:t>
      </w:r>
      <w:r w:rsidR="00435E86">
        <w:noBreakHyphen/>
      </w:r>
      <w:r w:rsidRPr="009B6DD3">
        <w:t>exemptions cannot be means</w:t>
      </w:r>
      <w:r w:rsidR="00435E86">
        <w:noBreakHyphen/>
      </w:r>
      <w:r w:rsidRPr="009B6DD3">
        <w:t>tested</w:t>
      </w:r>
      <w:r w:rsidR="00265155" w:rsidRPr="009B6DD3">
        <w:t xml:space="preserve">. </w:t>
      </w:r>
      <w:r w:rsidR="00544186" w:rsidRPr="009B6DD3">
        <w:t xml:space="preserve">The main exemptions to GST include: </w:t>
      </w:r>
      <w:r w:rsidR="00A20F1D" w:rsidRPr="009B6DD3">
        <w:t xml:space="preserve">fresh food, </w:t>
      </w:r>
      <w:r w:rsidR="00544186" w:rsidRPr="009B6DD3">
        <w:t xml:space="preserve">health, education, child care, </w:t>
      </w:r>
      <w:r w:rsidR="00A20F1D" w:rsidRPr="009B6DD3">
        <w:t xml:space="preserve">water sewerage and drainage, residential </w:t>
      </w:r>
      <w:r w:rsidR="00544186" w:rsidRPr="009B6DD3">
        <w:t xml:space="preserve">rent and financial services. </w:t>
      </w:r>
      <w:r w:rsidR="00265155" w:rsidRPr="009B6DD3">
        <w:t xml:space="preserve">They </w:t>
      </w:r>
      <w:r w:rsidRPr="009B6DD3">
        <w:t xml:space="preserve">are available to all households, regardless of their income level. This </w:t>
      </w:r>
      <w:r w:rsidR="00DE6AC2" w:rsidRPr="009B6DD3">
        <w:t xml:space="preserve">potentially </w:t>
      </w:r>
      <w:r w:rsidRPr="009B6DD3">
        <w:t>makes GST exemptions less effective and more costly than other means of targeting assistance to lower</w:t>
      </w:r>
      <w:r w:rsidR="00435E86">
        <w:noBreakHyphen/>
      </w:r>
      <w:r w:rsidRPr="009B6DD3">
        <w:t>income households.</w:t>
      </w:r>
    </w:p>
    <w:p w14:paraId="22FD9F3D" w14:textId="6FCAF7D6" w:rsidR="005F63DA" w:rsidRPr="009B6DD3" w:rsidRDefault="005F63DA" w:rsidP="005F63DA">
      <w:r w:rsidRPr="009B6DD3">
        <w:t>As a proportion of their income, lower</w:t>
      </w:r>
      <w:r w:rsidR="00435E86">
        <w:noBreakHyphen/>
      </w:r>
      <w:r w:rsidRPr="009B6DD3">
        <w:t>income households spend more on GST</w:t>
      </w:r>
      <w:r w:rsidR="00435E86">
        <w:noBreakHyphen/>
      </w:r>
      <w:r w:rsidRPr="009B6DD3">
        <w:t>exempt goods and services than higher</w:t>
      </w:r>
      <w:r w:rsidR="00435E86">
        <w:noBreakHyphen/>
      </w:r>
      <w:r w:rsidRPr="009B6DD3">
        <w:t>income households. This is largely due to higher</w:t>
      </w:r>
      <w:r w:rsidR="00435E86">
        <w:noBreakHyphen/>
      </w:r>
      <w:r w:rsidRPr="009B6DD3">
        <w:t xml:space="preserve">income households saving a greater </w:t>
      </w:r>
      <w:r w:rsidR="00A6380A" w:rsidRPr="009B6DD3">
        <w:t>pro</w:t>
      </w:r>
      <w:r w:rsidRPr="009B6DD3">
        <w:t>portion of their income</w:t>
      </w:r>
      <w:r w:rsidR="00075F90" w:rsidRPr="009B6DD3">
        <w:t>,</w:t>
      </w:r>
      <w:r w:rsidRPr="009B6DD3">
        <w:t xml:space="preserve"> meaning </w:t>
      </w:r>
      <w:r w:rsidR="00265155" w:rsidRPr="009B6DD3">
        <w:t xml:space="preserve">that </w:t>
      </w:r>
      <w:r w:rsidRPr="009B6DD3">
        <w:t xml:space="preserve">their total spending represents a smaller </w:t>
      </w:r>
      <w:r w:rsidR="00A6380A" w:rsidRPr="009B6DD3">
        <w:t>pro</w:t>
      </w:r>
      <w:r w:rsidRPr="009B6DD3">
        <w:t>portion of their income.</w:t>
      </w:r>
    </w:p>
    <w:p w14:paraId="4196ACCC" w14:textId="078E898B" w:rsidR="002E6E39" w:rsidRPr="009B6DD3" w:rsidRDefault="005F63DA" w:rsidP="005F63DA">
      <w:r w:rsidRPr="009B6DD3">
        <w:t>On the other hand, as a proportion of total spending, lower</w:t>
      </w:r>
      <w:r w:rsidR="00435E86">
        <w:noBreakHyphen/>
      </w:r>
      <w:r w:rsidRPr="009B6DD3" w:rsidDel="00075F90">
        <w:t>income</w:t>
      </w:r>
      <w:r w:rsidRPr="009B6DD3">
        <w:t xml:space="preserve"> and higher</w:t>
      </w:r>
      <w:r w:rsidR="00435E86">
        <w:noBreakHyphen/>
      </w:r>
      <w:r w:rsidRPr="009B6DD3">
        <w:t>income households spend a similar proportion on GST</w:t>
      </w:r>
      <w:r w:rsidR="00435E86">
        <w:noBreakHyphen/>
      </w:r>
      <w:r w:rsidRPr="009B6DD3">
        <w:t>exempt goods and services</w:t>
      </w:r>
      <w:r w:rsidR="002E6E39" w:rsidRPr="009B6DD3">
        <w:t xml:space="preserve"> in aggregate</w:t>
      </w:r>
      <w:r w:rsidRPr="009B6DD3">
        <w:t xml:space="preserve">. This indicates that the distributional effects resulting from </w:t>
      </w:r>
      <w:r w:rsidR="00AC3C6E" w:rsidRPr="009B6DD3">
        <w:t xml:space="preserve">having </w:t>
      </w:r>
      <w:r w:rsidRPr="009B6DD3">
        <w:t>exempt</w:t>
      </w:r>
      <w:r w:rsidR="00AC3C6E" w:rsidRPr="009B6DD3">
        <w:t>ed</w:t>
      </w:r>
      <w:r w:rsidRPr="009B6DD3">
        <w:t xml:space="preserve"> these goods and services </w:t>
      </w:r>
      <w:r w:rsidR="0077121B" w:rsidRPr="009B6DD3">
        <w:t>c</w:t>
      </w:r>
      <w:r w:rsidRPr="009B6DD3">
        <w:t xml:space="preserve">ould be </w:t>
      </w:r>
      <w:r w:rsidR="0077121B" w:rsidRPr="009B6DD3">
        <w:t xml:space="preserve">somewhat </w:t>
      </w:r>
      <w:r w:rsidRPr="009B6DD3">
        <w:t xml:space="preserve">similar to the distributional effects of instead </w:t>
      </w:r>
      <w:r w:rsidR="00AC3C6E" w:rsidRPr="009B6DD3">
        <w:t xml:space="preserve">having </w:t>
      </w:r>
      <w:r w:rsidR="002334E1" w:rsidRPr="009B6DD3">
        <w:t xml:space="preserve">taxed </w:t>
      </w:r>
      <w:r w:rsidRPr="009B6DD3">
        <w:t>all goods and services, but at a lower GST rate</w:t>
      </w:r>
      <w:r w:rsidR="00F64440" w:rsidRPr="009B6DD3">
        <w:t xml:space="preserve">. </w:t>
      </w:r>
    </w:p>
    <w:p w14:paraId="76D2BC93" w14:textId="5D1A8EFC" w:rsidR="005F63DA" w:rsidRPr="009B6DD3" w:rsidRDefault="002E6E39" w:rsidP="005F63DA">
      <w:r w:rsidRPr="009B6DD3">
        <w:t xml:space="preserve">While households may spend a similar proportion of their </w:t>
      </w:r>
      <w:r w:rsidR="00EA134F" w:rsidRPr="009B6DD3">
        <w:t xml:space="preserve">total </w:t>
      </w:r>
      <w:r w:rsidRPr="009B6DD3">
        <w:t>spending on GST</w:t>
      </w:r>
      <w:r w:rsidR="00435E86">
        <w:noBreakHyphen/>
      </w:r>
      <w:r w:rsidRPr="009B6DD3">
        <w:t>exempt goods and services in aggregate, this is not necessarily true for the individual exempted categories of spending</w:t>
      </w:r>
      <w:r w:rsidR="00F64440" w:rsidRPr="009B6DD3">
        <w:t xml:space="preserve">. </w:t>
      </w:r>
      <w:r w:rsidRPr="009B6DD3">
        <w:t>For example, low</w:t>
      </w:r>
      <w:r w:rsidR="00112C8B" w:rsidRPr="009B6DD3">
        <w:t>er</w:t>
      </w:r>
      <w:r w:rsidR="00435E86">
        <w:noBreakHyphen/>
      </w:r>
      <w:r w:rsidRPr="009B6DD3">
        <w:t xml:space="preserve">income households may be more likely to spend </w:t>
      </w:r>
      <w:r w:rsidR="0077121B" w:rsidRPr="009B6DD3">
        <w:t xml:space="preserve">comparatively more </w:t>
      </w:r>
      <w:r w:rsidRPr="009B6DD3">
        <w:t>of their total spending on GST</w:t>
      </w:r>
      <w:r w:rsidR="00435E86">
        <w:noBreakHyphen/>
      </w:r>
      <w:r w:rsidRPr="009B6DD3">
        <w:t>exempt food</w:t>
      </w:r>
      <w:r w:rsidR="0077121B" w:rsidRPr="009B6DD3">
        <w:t>, medical products and health services, or residential rent</w:t>
      </w:r>
      <w:r w:rsidR="00F64440" w:rsidRPr="009B6DD3">
        <w:t xml:space="preserve">. </w:t>
      </w:r>
      <w:r w:rsidR="00A6380A" w:rsidRPr="009B6DD3">
        <w:t>Conversely</w:t>
      </w:r>
      <w:r w:rsidR="000245D4" w:rsidRPr="009B6DD3">
        <w:t xml:space="preserve">, </w:t>
      </w:r>
      <w:r w:rsidRPr="009B6DD3">
        <w:t>high</w:t>
      </w:r>
      <w:r w:rsidR="00112C8B" w:rsidRPr="009B6DD3">
        <w:t>er</w:t>
      </w:r>
      <w:r w:rsidR="00435E86">
        <w:noBreakHyphen/>
      </w:r>
      <w:r w:rsidR="00171142" w:rsidRPr="009B6DD3">
        <w:t xml:space="preserve">income households </w:t>
      </w:r>
      <w:r w:rsidRPr="009B6DD3">
        <w:t xml:space="preserve">may be more likely to spend </w:t>
      </w:r>
      <w:r w:rsidR="0077121B" w:rsidRPr="009B6DD3">
        <w:t xml:space="preserve">comparatively more </w:t>
      </w:r>
      <w:r w:rsidRPr="009B6DD3">
        <w:t xml:space="preserve">of their total spending on </w:t>
      </w:r>
      <w:r w:rsidR="00AE714A" w:rsidRPr="009B6DD3">
        <w:t>GST</w:t>
      </w:r>
      <w:r w:rsidR="00435E86">
        <w:noBreakHyphen/>
      </w:r>
      <w:r w:rsidR="00AE714A" w:rsidRPr="009B6DD3">
        <w:t xml:space="preserve">exempt </w:t>
      </w:r>
      <w:r w:rsidR="0077121B" w:rsidRPr="009B6DD3">
        <w:t>education or childcare services</w:t>
      </w:r>
      <w:r w:rsidRPr="009B6DD3">
        <w:t>.</w:t>
      </w:r>
      <w:r w:rsidR="00EA0316" w:rsidRPr="009B6DD3" w:rsidDel="00EA0316">
        <w:rPr>
          <w:rStyle w:val="FootnoteReference"/>
          <w:sz w:val="18"/>
        </w:rPr>
        <w:t xml:space="preserve"> </w:t>
      </w:r>
    </w:p>
    <w:p w14:paraId="0D99564E" w14:textId="3E6AFB85" w:rsidR="005F63DA" w:rsidRPr="009B6DD3" w:rsidRDefault="00947FC7" w:rsidP="00BA550B">
      <w:pPr>
        <w:pStyle w:val="ChartMainHeading"/>
        <w:spacing w:before="80" w:after="40"/>
        <w:rPr>
          <w:rFonts w:asciiTheme="majorHAnsi" w:hAnsiTheme="majorHAnsi" w:cstheme="majorHAnsi"/>
        </w:rPr>
      </w:pPr>
      <w:r w:rsidRPr="009B6DD3">
        <w:lastRenderedPageBreak/>
        <w:t xml:space="preserve">Chart </w:t>
      </w:r>
      <w:fldSimple w:instr=" STYLEREF 1 \s ">
        <w:r w:rsidR="00B51480">
          <w:rPr>
            <w:noProof/>
          </w:rPr>
          <w:t>8</w:t>
        </w:r>
      </w:fldSimple>
      <w:r w:rsidR="00870BFF" w:rsidRPr="009B6DD3">
        <w:t>.</w:t>
      </w:r>
      <w:r w:rsidR="00A57EA3" w:rsidRPr="009B6DD3">
        <w:t>4</w:t>
      </w:r>
      <w:r w:rsidRPr="009B6DD3">
        <w:rPr>
          <w:rFonts w:asciiTheme="majorHAnsi" w:hAnsiTheme="majorHAnsi" w:cstheme="majorHAnsi"/>
        </w:rPr>
        <w:t xml:space="preserve"> </w:t>
      </w:r>
      <w:r w:rsidR="00AC598D" w:rsidRPr="009B6DD3">
        <w:t>GST</w:t>
      </w:r>
      <w:r w:rsidR="00435E86">
        <w:noBreakHyphen/>
      </w:r>
      <w:r w:rsidR="007A2B2F" w:rsidRPr="009B6DD3">
        <w:t>exempt spending by</w:t>
      </w:r>
      <w:r w:rsidR="00CE074D" w:rsidRPr="009B6DD3">
        <w:t xml:space="preserve"> gross household</w:t>
      </w:r>
      <w:r w:rsidR="007A2B2F" w:rsidRPr="009B6DD3">
        <w:t xml:space="preserve"> income q</w:t>
      </w:r>
      <w:r w:rsidR="005F63DA" w:rsidRPr="009B6DD3">
        <w:t>uintile</w:t>
      </w:r>
      <w:r w:rsidR="007A2B2F" w:rsidRPr="009B6DD3">
        <w:t>, 2009</w:t>
      </w:r>
      <w:r w:rsidR="00435E86">
        <w:noBreakHyphen/>
      </w:r>
      <w:r w:rsidR="007A2B2F" w:rsidRPr="009B6DD3">
        <w:t>10</w:t>
      </w:r>
    </w:p>
    <w:bookmarkStart w:id="153" w:name="_1479037099"/>
    <w:bookmarkStart w:id="154" w:name="_1479039162"/>
    <w:bookmarkStart w:id="155" w:name="_1479112446"/>
    <w:bookmarkStart w:id="156" w:name="_1479113326"/>
    <w:bookmarkStart w:id="157" w:name="_1479113513"/>
    <w:bookmarkStart w:id="158" w:name="_1479118380"/>
    <w:bookmarkStart w:id="159" w:name="_1479123262"/>
    <w:bookmarkStart w:id="160" w:name="_1479293461"/>
    <w:bookmarkStart w:id="161" w:name="_1479293769"/>
    <w:bookmarkStart w:id="162" w:name="_1479294261"/>
    <w:bookmarkStart w:id="163" w:name="_1479297249"/>
    <w:bookmarkStart w:id="164" w:name="_1479298551"/>
    <w:bookmarkStart w:id="165" w:name="_1479548952"/>
    <w:bookmarkStart w:id="166" w:name="_1479566082"/>
    <w:bookmarkStart w:id="167" w:name="_1479566913"/>
    <w:bookmarkStart w:id="168" w:name="_1479566579"/>
    <w:bookmarkStart w:id="169" w:name="_1479566834"/>
    <w:bookmarkStart w:id="170" w:name="_1479644221"/>
    <w:bookmarkStart w:id="171" w:name="_1479731233"/>
    <w:bookmarkStart w:id="172" w:name="_1479731998"/>
    <w:bookmarkStart w:id="173" w:name="_1479732319"/>
    <w:bookmarkStart w:id="174" w:name="_1479731819"/>
    <w:bookmarkStart w:id="175" w:name="_1479731334"/>
    <w:bookmarkStart w:id="176" w:name="_1479731585"/>
    <w:bookmarkStart w:id="177" w:name="_1479732018"/>
    <w:bookmarkStart w:id="178" w:name="_1479736147"/>
    <w:bookmarkStart w:id="179" w:name="_1479733764"/>
    <w:bookmarkStart w:id="180" w:name="_1479737044"/>
    <w:bookmarkStart w:id="181" w:name="_1479737900"/>
    <w:bookmarkStart w:id="182" w:name="_1479737298"/>
    <w:bookmarkStart w:id="183" w:name="_1479737869"/>
    <w:bookmarkStart w:id="184" w:name="_1479737583"/>
    <w:bookmarkStart w:id="185" w:name="_1479837791"/>
    <w:bookmarkStart w:id="186" w:name="_1479882306"/>
    <w:bookmarkStart w:id="187" w:name="_1479897259"/>
    <w:bookmarkStart w:id="188" w:name="_1479995445"/>
    <w:bookmarkStart w:id="189" w:name="_1480143044"/>
    <w:bookmarkStart w:id="190" w:name="_1480150220"/>
    <w:bookmarkStart w:id="191" w:name="_1480152562"/>
    <w:bookmarkStart w:id="192" w:name="_1480153947"/>
    <w:bookmarkStart w:id="193" w:name="_1480160204"/>
    <w:bookmarkStart w:id="194" w:name="_148016204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0FD2073B" w14:textId="3733EC75" w:rsidR="000C4E37" w:rsidRPr="009B6DD3" w:rsidRDefault="004D4B6D" w:rsidP="004D4B6D">
      <w:pPr>
        <w:pStyle w:val="ChartGraphic"/>
      </w:pPr>
      <w:r w:rsidRPr="009B6DD3">
        <w:fldChar w:fldCharType="begin" w:fldLock="1"/>
      </w:r>
      <w:r w:rsidRPr="009B6DD3">
        <w:instrText xml:space="preserve"> LINK Excel.Sheet.12 "" "" \a \p </w:instrText>
      </w:r>
      <w:r w:rsidR="009B6DD3">
        <w:instrText xml:space="preserve"> \* MERGEFORMAT </w:instrText>
      </w:r>
      <w:r w:rsidRPr="009B6DD3">
        <w:fldChar w:fldCharType="separate"/>
      </w:r>
      <w:r w:rsidR="00A51D14">
        <w:object w:dxaOrig="11712" w:dyaOrig="6016" w14:anchorId="3363B516">
          <v:shape id="_x0000_i1028" type="#_x0000_t75" alt="Chart 8.4 GST-exempt spending by gross household income quintile, 2009-10.&#10;&#10;This chart illustrates the proportion of disposable income and the proportion of total spending that was spent on GST-exempt goods and services in 2009-10 by gross household income quintile.&#10;As a proportion of disposable income, higher-income households spent less on GST-exempt items. While the lowest-income quintile spent around 60 per cent of their disposable income on GST-exempt goods and services, the highest income quintile spent only 25 per cent of their disposable income on GST-exempt goods and services.&#10;However, as a proportion of total spending, high-income households and low-income households spent a similar amount on GST-exempt goods and services. While the lowest-income quintile spent around 42 per cent of their total spending on GST-exempt goods and services, the highest-income quintile spent 38 per cent of their total spending on GST-exempt goods and services.&#10;" style="width:438.75pt;height:225.75pt">
            <v:imagedata r:id="rId25" o:title=""/>
          </v:shape>
        </w:object>
      </w:r>
      <w:r w:rsidRPr="009B6DD3">
        <w:fldChar w:fldCharType="end"/>
      </w:r>
    </w:p>
    <w:p w14:paraId="0CEF8DD4" w14:textId="506537AB" w:rsidR="00141AEB" w:rsidRPr="009B6DD3" w:rsidRDefault="00141AEB" w:rsidP="00947FC7">
      <w:pPr>
        <w:pStyle w:val="ChartorTableNote"/>
        <w:ind w:left="567"/>
      </w:pPr>
      <w:r w:rsidRPr="009B6DD3">
        <w:t>Note: The main categories of GST exempt spending are fresh food, health, education, rent, and financial supplies.</w:t>
      </w:r>
    </w:p>
    <w:p w14:paraId="6D0F0623" w14:textId="176C5A86" w:rsidR="00947FC7" w:rsidRPr="009B6DD3" w:rsidRDefault="00947FC7" w:rsidP="00BA550B">
      <w:pPr>
        <w:pStyle w:val="Source"/>
        <w:spacing w:before="0"/>
        <w:ind w:left="567"/>
      </w:pPr>
      <w:r w:rsidRPr="009B6DD3">
        <w:t xml:space="preserve">Source: Treasury estimates using </w:t>
      </w:r>
      <w:r w:rsidR="003F2C2B" w:rsidRPr="009B6DD3">
        <w:t>ABS</w:t>
      </w:r>
      <w:r w:rsidR="00FC3111" w:rsidRPr="009B6DD3">
        <w:t xml:space="preserve"> </w:t>
      </w:r>
      <w:r w:rsidR="003F2C2B" w:rsidRPr="009B6DD3">
        <w:t>2011</w:t>
      </w:r>
      <w:r w:rsidR="00FC3111" w:rsidRPr="009B6DD3">
        <w:t xml:space="preserve">, </w:t>
      </w:r>
      <w:r w:rsidR="003F2C2B" w:rsidRPr="009B6DD3">
        <w:rPr>
          <w:i/>
        </w:rPr>
        <w:t>Household Expenditure Survey 2009</w:t>
      </w:r>
      <w:r w:rsidR="00435E86">
        <w:rPr>
          <w:i/>
        </w:rPr>
        <w:noBreakHyphen/>
      </w:r>
      <w:r w:rsidR="003F2C2B" w:rsidRPr="009B6DD3">
        <w:rPr>
          <w:i/>
        </w:rPr>
        <w:t>10</w:t>
      </w:r>
      <w:r w:rsidR="00FC3111" w:rsidRPr="009B6DD3">
        <w:t>,</w:t>
      </w:r>
      <w:r w:rsidRPr="009B6DD3">
        <w:t xml:space="preserve"> </w:t>
      </w:r>
      <w:r w:rsidR="003F2C2B" w:rsidRPr="009B6DD3">
        <w:t>cat. no. </w:t>
      </w:r>
      <w:r w:rsidRPr="009B6DD3">
        <w:t>6530</w:t>
      </w:r>
      <w:r w:rsidR="003F2C2B" w:rsidRPr="009B6DD3">
        <w:t>.0</w:t>
      </w:r>
      <w:r w:rsidR="00FC3111" w:rsidRPr="009B6DD3">
        <w:t xml:space="preserve">, </w:t>
      </w:r>
      <w:r w:rsidR="003F2C2B" w:rsidRPr="009B6DD3">
        <w:t>ABS</w:t>
      </w:r>
      <w:r w:rsidR="00FC3111" w:rsidRPr="009B6DD3">
        <w:t>, Canberra.</w:t>
      </w:r>
    </w:p>
    <w:p w14:paraId="1A5EFA8A" w14:textId="77777777" w:rsidR="007A1641" w:rsidRPr="009B6DD3" w:rsidRDefault="007A1641" w:rsidP="00BA550B">
      <w:pPr>
        <w:spacing w:after="0"/>
      </w:pPr>
    </w:p>
    <w:p w14:paraId="22031BE1" w14:textId="4E618E43" w:rsidR="00545267" w:rsidRPr="009B6DD3" w:rsidRDefault="005F63DA" w:rsidP="00BA550B">
      <w:pPr>
        <w:spacing w:after="200"/>
      </w:pPr>
      <w:r w:rsidRPr="009B6DD3">
        <w:t>Despite lower</w:t>
      </w:r>
      <w:r w:rsidR="00435E86">
        <w:noBreakHyphen/>
      </w:r>
      <w:r w:rsidRPr="009B6DD3">
        <w:t>income households spending a greater proportion of their income on exempt goods and services</w:t>
      </w:r>
      <w:r w:rsidR="00C645A8" w:rsidRPr="009B6DD3">
        <w:t xml:space="preserve"> (Chart 8.4)</w:t>
      </w:r>
      <w:r w:rsidRPr="009B6DD3">
        <w:t>, most of the benefits from these exemptions are received by the highest</w:t>
      </w:r>
      <w:r w:rsidR="00435E86">
        <w:noBreakHyphen/>
      </w:r>
      <w:r w:rsidRPr="009B6DD3">
        <w:t>income households</w:t>
      </w:r>
      <w:r w:rsidR="006D0F9D">
        <w:t>,</w:t>
      </w:r>
      <w:r w:rsidRPr="009B6DD3">
        <w:t xml:space="preserve"> because </w:t>
      </w:r>
      <w:r w:rsidRPr="009B6DD3" w:rsidDel="00075F90">
        <w:t>these households</w:t>
      </w:r>
      <w:r w:rsidRPr="009B6DD3">
        <w:t xml:space="preserve"> spend more in absolute dollar terms</w:t>
      </w:r>
      <w:r w:rsidR="00287799" w:rsidRPr="009B6DD3">
        <w:t xml:space="preserve"> (</w:t>
      </w:r>
      <w:r w:rsidR="003224DA" w:rsidRPr="009B6DD3">
        <w:t>similarly, the highest</w:t>
      </w:r>
      <w:r w:rsidR="00435E86">
        <w:noBreakHyphen/>
      </w:r>
      <w:r w:rsidR="003224DA" w:rsidRPr="009B6DD3">
        <w:t xml:space="preserve">income households </w:t>
      </w:r>
      <w:r w:rsidR="00A6380A" w:rsidRPr="009B6DD3">
        <w:t xml:space="preserve">also </w:t>
      </w:r>
      <w:r w:rsidR="003224DA" w:rsidRPr="009B6DD3">
        <w:t>spend more in absolute dollar terms on goods and services which attract GST</w:t>
      </w:r>
      <w:r w:rsidR="00287799" w:rsidRPr="009B6DD3">
        <w:t>)</w:t>
      </w:r>
      <w:r w:rsidR="000D531A" w:rsidRPr="009B6DD3">
        <w:t xml:space="preserve">. </w:t>
      </w:r>
      <w:r w:rsidRPr="009B6DD3">
        <w:t>In 2009</w:t>
      </w:r>
      <w:r w:rsidR="00435E86">
        <w:noBreakHyphen/>
      </w:r>
      <w:r w:rsidRPr="009B6DD3">
        <w:t>10, the top 20 per cent of highest</w:t>
      </w:r>
      <w:r w:rsidR="00435E86">
        <w:noBreakHyphen/>
      </w:r>
      <w:r w:rsidRPr="009B6DD3">
        <w:t xml:space="preserve">income households </w:t>
      </w:r>
      <w:r w:rsidR="00C645A8" w:rsidRPr="009B6DD3">
        <w:t>benefited from</w:t>
      </w:r>
      <w:r w:rsidRPr="009B6DD3">
        <w:t xml:space="preserve"> GST exemptions estimated to be</w:t>
      </w:r>
      <w:r w:rsidR="00075F90" w:rsidRPr="009B6DD3">
        <w:t>,</w:t>
      </w:r>
      <w:r w:rsidRPr="009B6DD3">
        <w:t xml:space="preserve"> on average</w:t>
      </w:r>
      <w:r w:rsidR="00075F90" w:rsidRPr="009B6DD3">
        <w:t>,</w:t>
      </w:r>
      <w:r w:rsidRPr="009B6DD3">
        <w:t xml:space="preserve"> 3.5 times more in absolute terms than th</w:t>
      </w:r>
      <w:r w:rsidR="00075F90" w:rsidRPr="009B6DD3">
        <w:t>ose</w:t>
      </w:r>
      <w:r w:rsidRPr="009B6DD3">
        <w:t xml:space="preserve"> received by the lowest 20 per cent</w:t>
      </w:r>
      <w:r w:rsidR="00C645A8" w:rsidRPr="009B6DD3">
        <w:t xml:space="preserve"> (Chart 8.5)</w:t>
      </w:r>
      <w:r w:rsidRPr="009B6DD3">
        <w:t>.</w:t>
      </w:r>
    </w:p>
    <w:p w14:paraId="71106F80" w14:textId="001F0FE5" w:rsidR="005F63DA" w:rsidRPr="009B6DD3" w:rsidRDefault="00545267" w:rsidP="00BA550B">
      <w:pPr>
        <w:pStyle w:val="ChartMainHeading"/>
        <w:spacing w:before="80" w:after="40"/>
      </w:pPr>
      <w:r w:rsidRPr="009B6DD3">
        <w:t xml:space="preserve">Chart </w:t>
      </w:r>
      <w:fldSimple w:instr=" STYLEREF 1 \s ">
        <w:r w:rsidR="00B51480">
          <w:rPr>
            <w:noProof/>
          </w:rPr>
          <w:t>8</w:t>
        </w:r>
      </w:fldSimple>
      <w:r w:rsidR="00870BFF" w:rsidRPr="009B6DD3">
        <w:t>.</w:t>
      </w:r>
      <w:r w:rsidR="00A57EA3" w:rsidRPr="009B6DD3">
        <w:t>5</w:t>
      </w:r>
      <w:r w:rsidR="002835FC" w:rsidRPr="009B6DD3">
        <w:t xml:space="preserve"> </w:t>
      </w:r>
      <w:r w:rsidR="005F63DA" w:rsidRPr="009B6DD3">
        <w:t xml:space="preserve">GST revenue </w:t>
      </w:r>
      <w:r w:rsidR="005C739B" w:rsidRPr="009B6DD3">
        <w:t xml:space="preserve">paid and </w:t>
      </w:r>
      <w:r w:rsidR="00B96080" w:rsidRPr="009B6DD3">
        <w:t xml:space="preserve">GST revenue </w:t>
      </w:r>
      <w:r w:rsidR="005F63DA" w:rsidRPr="009B6DD3">
        <w:t>forgone</w:t>
      </w:r>
      <w:r w:rsidR="007A2B2F" w:rsidRPr="009B6DD3">
        <w:t xml:space="preserve"> </w:t>
      </w:r>
      <w:r w:rsidR="006D70CA" w:rsidRPr="009B6DD3">
        <w:t>(</w:t>
      </w:r>
      <w:r w:rsidR="00D428FD" w:rsidRPr="009B6DD3">
        <w:t>as a result of exemptions to the GST</w:t>
      </w:r>
      <w:r w:rsidR="006D70CA" w:rsidRPr="009B6DD3">
        <w:t>)</w:t>
      </w:r>
      <w:r w:rsidR="00D428FD" w:rsidRPr="009B6DD3">
        <w:t xml:space="preserve"> </w:t>
      </w:r>
      <w:r w:rsidR="005F63DA" w:rsidRPr="009B6DD3">
        <w:t xml:space="preserve">by </w:t>
      </w:r>
      <w:r w:rsidR="00CE074D" w:rsidRPr="009B6DD3">
        <w:t xml:space="preserve">gross </w:t>
      </w:r>
      <w:r w:rsidR="00761067">
        <w:t xml:space="preserve">household </w:t>
      </w:r>
      <w:r w:rsidR="007A2B2F" w:rsidRPr="009B6DD3">
        <w:t xml:space="preserve">income </w:t>
      </w:r>
      <w:r w:rsidR="005F63DA" w:rsidRPr="009B6DD3">
        <w:t>quintile</w:t>
      </w:r>
      <w:r w:rsidR="00882E80" w:rsidRPr="009B6DD3">
        <w:t>, 2009–</w:t>
      </w:r>
      <w:r w:rsidR="007A2B2F" w:rsidRPr="009B6DD3">
        <w:t>10</w:t>
      </w:r>
    </w:p>
    <w:p w14:paraId="3F2C5B9C" w14:textId="40E83325" w:rsidR="00545267" w:rsidRPr="009B6DD3" w:rsidRDefault="00165297" w:rsidP="00165297">
      <w:pPr>
        <w:pStyle w:val="ChartGraphic"/>
      </w:pPr>
      <w:r w:rsidRPr="009B6DD3">
        <w:fldChar w:fldCharType="begin"/>
      </w:r>
      <w:r w:rsidRPr="009B6DD3">
        <w:instrText xml:space="preserve"> LINK Excel.Sheet.12 "" "" \a \p </w:instrText>
      </w:r>
      <w:r w:rsidR="009B6DD3">
        <w:instrText xml:space="preserve"> \* MERGEFORMAT </w:instrText>
      </w:r>
      <w:r w:rsidRPr="009B6DD3">
        <w:fldChar w:fldCharType="separate"/>
      </w:r>
      <w:r w:rsidR="00A51D14">
        <w:object w:dxaOrig="11712" w:dyaOrig="6036" w14:anchorId="52F27DB2">
          <v:shape id="_x0000_i1029" type="#_x0000_t75" alt="Chart 8.5 GST revenue paid and GST revenue forgone (as a result of exemptions to the GST) by gross household income quintile, 2009-10.&#10;&#10;This chart illustrates the percentage of GST revenue paid by each household income quintile and the percentage of GST revenue forgone for each household income quintile as a result of GST exemptions.&#10;The proportion of GST revenue paid per household and GST revenue forgone per household both increase with household income. The lowest-income quintile was responsible for around 9 per cent of GST revenue paid and 10 per cent of GST revenue forgone. These proportions steadily increase as income increases. The highest-income quintile was responsible for around 36 per cent of GST revenue paid and 33 per cent of GST revenue forgone.&#10;" style="width:438.75pt;height:226.5pt">
            <v:imagedata r:id="rId26" o:title=""/>
          </v:shape>
        </w:object>
      </w:r>
      <w:r w:rsidRPr="009B6DD3">
        <w:fldChar w:fldCharType="end"/>
      </w:r>
    </w:p>
    <w:p w14:paraId="095513AD" w14:textId="5B8B3E4B" w:rsidR="00884AD0" w:rsidRPr="009B6DD3" w:rsidRDefault="00141AEB" w:rsidP="00BA550B">
      <w:pPr>
        <w:pStyle w:val="ChartorTableNote"/>
        <w:ind w:left="426"/>
      </w:pPr>
      <w:r w:rsidRPr="009B6DD3">
        <w:t>Note: The main categories of GST</w:t>
      </w:r>
      <w:r w:rsidR="00435E86">
        <w:noBreakHyphen/>
      </w:r>
      <w:r w:rsidRPr="009B6DD3">
        <w:t>exempt spending are fresh food, health, education, rent, and financial supplies.</w:t>
      </w:r>
      <w:r w:rsidR="006549EA" w:rsidRPr="009B6DD3">
        <w:t xml:space="preserve"> </w:t>
      </w:r>
    </w:p>
    <w:p w14:paraId="5490B713" w14:textId="78D4FE50" w:rsidR="00884AD0" w:rsidRPr="009B6DD3" w:rsidRDefault="00884AD0" w:rsidP="00BA550B">
      <w:pPr>
        <w:pStyle w:val="Source"/>
        <w:spacing w:before="0"/>
        <w:ind w:left="426"/>
      </w:pPr>
      <w:r w:rsidRPr="009B6DD3">
        <w:t xml:space="preserve">Source: Treasury estimates using </w:t>
      </w:r>
      <w:r w:rsidR="00611494" w:rsidRPr="009B6DD3">
        <w:t xml:space="preserve">ABS 2011, </w:t>
      </w:r>
      <w:r w:rsidR="00611494" w:rsidRPr="009B6DD3">
        <w:rPr>
          <w:i/>
        </w:rPr>
        <w:t>Household Expenditure Survey 2009</w:t>
      </w:r>
      <w:r w:rsidR="00435E86">
        <w:rPr>
          <w:i/>
        </w:rPr>
        <w:noBreakHyphen/>
      </w:r>
      <w:r w:rsidR="00611494" w:rsidRPr="009B6DD3">
        <w:rPr>
          <w:i/>
        </w:rPr>
        <w:t>10</w:t>
      </w:r>
      <w:r w:rsidR="00611494" w:rsidRPr="009B6DD3">
        <w:t>, cat. no. 6530.0, ABS, Canberra.</w:t>
      </w:r>
    </w:p>
    <w:p w14:paraId="7219EF81" w14:textId="77777777" w:rsidR="005F63DA" w:rsidRPr="009B6DD3" w:rsidRDefault="005F63DA" w:rsidP="005F63DA">
      <w:pPr>
        <w:pStyle w:val="Heading3"/>
        <w:rPr>
          <w:b w:val="0"/>
          <w:iCs/>
        </w:rPr>
      </w:pPr>
      <w:bookmarkStart w:id="195" w:name="_Toc402326912"/>
      <w:bookmarkStart w:id="196" w:name="_Toc402333565"/>
      <w:bookmarkStart w:id="197" w:name="_Toc402340346"/>
      <w:bookmarkStart w:id="198" w:name="_Toc402343440"/>
      <w:bookmarkStart w:id="199" w:name="_Toc402346676"/>
      <w:bookmarkStart w:id="200" w:name="_Toc402349132"/>
      <w:bookmarkStart w:id="201" w:name="_Toc402350660"/>
      <w:bookmarkStart w:id="202" w:name="_Toc402353681"/>
      <w:bookmarkStart w:id="203" w:name="_Toc402362209"/>
      <w:bookmarkStart w:id="204" w:name="_Toc402368798"/>
      <w:bookmarkStart w:id="205" w:name="_Toc402369883"/>
      <w:bookmarkStart w:id="206" w:name="_Toc402370548"/>
      <w:bookmarkStart w:id="207" w:name="_Toc402371495"/>
      <w:bookmarkStart w:id="208" w:name="_Toc406155417"/>
      <w:r w:rsidRPr="009B6DD3">
        <w:lastRenderedPageBreak/>
        <w:t>What impact does the GST have on economic growth and living standards?</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68061E8C" w14:textId="46723C5E" w:rsidR="005F63DA" w:rsidRPr="009B6DD3" w:rsidRDefault="005F63DA" w:rsidP="005F63DA">
      <w:r w:rsidRPr="009B6DD3">
        <w:t>A broad</w:t>
      </w:r>
      <w:r w:rsidR="00435E86">
        <w:noBreakHyphen/>
      </w:r>
      <w:r w:rsidRPr="009B6DD3">
        <w:t>based consumption tax like the GST is considered a relatively efficient tax. This means it has relatively lower adverse impacts on economic growth and living standards than other</w:t>
      </w:r>
      <w:r w:rsidR="002E1E15" w:rsidRPr="009B6DD3">
        <w:t>,</w:t>
      </w:r>
      <w:r w:rsidRPr="009B6DD3">
        <w:t xml:space="preserve"> less efficient taxes.</w:t>
      </w:r>
    </w:p>
    <w:p w14:paraId="4DCED646" w14:textId="5E727F12" w:rsidR="005F63DA" w:rsidRPr="009B6DD3" w:rsidRDefault="005F63DA" w:rsidP="005F63DA">
      <w:r w:rsidRPr="009B6DD3">
        <w:t>The GST can</w:t>
      </w:r>
      <w:r w:rsidR="00075F90" w:rsidRPr="009B6DD3">
        <w:t>,</w:t>
      </w:r>
      <w:r w:rsidRPr="009B6DD3">
        <w:t xml:space="preserve"> however, reduce </w:t>
      </w:r>
      <w:r w:rsidR="002E1E15" w:rsidRPr="009B6DD3">
        <w:t xml:space="preserve">the reward for effort and </w:t>
      </w:r>
      <w:r w:rsidRPr="009B6DD3">
        <w:t>incentives to work in a similar way to a labour income tax. Both taxes reduce the incentive to work by reducing the real purchasing power of additional pay earned from working an extra hour. The GST does this by increasing the price of goods and services an individual can buy with their pay, while a labour income tax reduces the take</w:t>
      </w:r>
      <w:r w:rsidR="00435E86">
        <w:noBreakHyphen/>
      </w:r>
      <w:r w:rsidRPr="009B6DD3">
        <w:t>hom</w:t>
      </w:r>
      <w:r w:rsidR="008454FE" w:rsidRPr="009B6DD3">
        <w:t>e pay by the amount of the tax.</w:t>
      </w:r>
    </w:p>
    <w:p w14:paraId="12FF071C" w14:textId="31A77197" w:rsidR="005F63DA" w:rsidRPr="009B6DD3" w:rsidRDefault="005F63DA" w:rsidP="005F63DA">
      <w:r w:rsidRPr="009B6DD3">
        <w:t>Exemptions to the GST base reduce the efficiency of the tax. Taxing some goods and services but not others changes the relative prices of taxed and non</w:t>
      </w:r>
      <w:r w:rsidR="00435E86">
        <w:noBreakHyphen/>
      </w:r>
      <w:r w:rsidRPr="009B6DD3">
        <w:t xml:space="preserve">taxed goods, which distorts consumer decisions about which goods and services </w:t>
      </w:r>
      <w:r w:rsidRPr="009B6DD3" w:rsidDel="00F22E0B">
        <w:t xml:space="preserve">they </w:t>
      </w:r>
      <w:r w:rsidRPr="009B6DD3">
        <w:t>buy.</w:t>
      </w:r>
    </w:p>
    <w:p w14:paraId="5CC0822E" w14:textId="77777777" w:rsidR="005F63DA" w:rsidRPr="009B6DD3" w:rsidRDefault="005F63DA" w:rsidP="005F63DA">
      <w:pPr>
        <w:pStyle w:val="Heading3"/>
      </w:pPr>
      <w:bookmarkStart w:id="209" w:name="_Toc402326913"/>
      <w:bookmarkStart w:id="210" w:name="_Toc402333566"/>
      <w:bookmarkStart w:id="211" w:name="_Toc402340347"/>
      <w:bookmarkStart w:id="212" w:name="_Toc402343441"/>
      <w:bookmarkStart w:id="213" w:name="_Toc402346677"/>
      <w:bookmarkStart w:id="214" w:name="_Toc402349133"/>
      <w:bookmarkStart w:id="215" w:name="_Toc402350661"/>
      <w:bookmarkStart w:id="216" w:name="_Toc402353682"/>
      <w:bookmarkStart w:id="217" w:name="_Toc402362210"/>
      <w:bookmarkStart w:id="218" w:name="_Toc402368799"/>
      <w:bookmarkStart w:id="219" w:name="_Toc402369884"/>
      <w:bookmarkStart w:id="220" w:name="_Toc402370549"/>
      <w:bookmarkStart w:id="221" w:name="_Toc402371496"/>
      <w:bookmarkStart w:id="222" w:name="_Toc406155418"/>
      <w:r w:rsidRPr="009B6DD3">
        <w:t>Complexity</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04F03B6" w14:textId="21F50CE7" w:rsidR="005F63DA" w:rsidRPr="009B6DD3" w:rsidRDefault="00705FA3" w:rsidP="005F63DA">
      <w:r w:rsidRPr="009B6DD3">
        <w:t xml:space="preserve">Exemptions to the GST </w:t>
      </w:r>
      <w:r w:rsidR="005F63DA" w:rsidRPr="009B6DD3">
        <w:t>significantly add to its complexity and increase the compliance costs incurred by businesses</w:t>
      </w:r>
      <w:r w:rsidR="002E1E15" w:rsidRPr="009B6DD3">
        <w:t xml:space="preserve"> (see Box 8.1)</w:t>
      </w:r>
      <w:r w:rsidR="005F63DA" w:rsidRPr="009B6DD3">
        <w:t>. For example, businesses can incur significant costs in attempting to work through exemptions, concessions and having to classify whether goods and services are taxable, GST</w:t>
      </w:r>
      <w:r w:rsidR="00435E86">
        <w:noBreakHyphen/>
      </w:r>
      <w:r w:rsidR="005F63DA" w:rsidRPr="009B6DD3">
        <w:t>free or input taxed. In Australia, these costs fall disproportionately on small businesses.</w:t>
      </w:r>
      <w:r w:rsidR="002E1E15" w:rsidRPr="009B6DD3">
        <w:t xml:space="preserv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BA550B" w:rsidRPr="009B6DD3" w14:paraId="51CBBC94" w14:textId="77777777" w:rsidTr="00BA550B">
        <w:tc>
          <w:tcPr>
            <w:tcW w:w="9384" w:type="dxa"/>
            <w:tcBorders>
              <w:top w:val="nil"/>
              <w:left w:val="nil"/>
              <w:bottom w:val="nil"/>
              <w:right w:val="nil"/>
            </w:tcBorders>
            <w:shd w:val="clear" w:color="auto" w:fill="EBEAEA" w:themeFill="accent6" w:themeFillTint="33"/>
          </w:tcPr>
          <w:p w14:paraId="28B8834C" w14:textId="49D37E7A" w:rsidR="00BA550B" w:rsidRPr="009B6DD3" w:rsidRDefault="00BA550B" w:rsidP="00897847">
            <w:pPr>
              <w:pStyle w:val="BoxHeading"/>
            </w:pPr>
            <w:r w:rsidRPr="009B6DD3">
              <w:t xml:space="preserve">Box </w:t>
            </w:r>
            <w:fldSimple w:instr=" STYLEREF 1 \s ">
              <w:r w:rsidR="00B51480">
                <w:rPr>
                  <w:noProof/>
                </w:rPr>
                <w:t>8</w:t>
              </w:r>
            </w:fldSimple>
            <w:r w:rsidRPr="009B6DD3">
              <w:t>.</w:t>
            </w:r>
            <w:fldSimple w:instr=" SEQ Box \* ARABIC \s 1 ">
              <w:r w:rsidR="00B51480">
                <w:rPr>
                  <w:noProof/>
                </w:rPr>
                <w:t>1</w:t>
              </w:r>
            </w:fldSimple>
            <w:r w:rsidRPr="009B6DD3">
              <w:t>: GST and pizza rolls</w:t>
            </w:r>
          </w:p>
          <w:p w14:paraId="71E15221" w14:textId="0BA2AA31" w:rsidR="00BA550B" w:rsidRPr="009B6DD3" w:rsidRDefault="00BA550B" w:rsidP="00BA550B">
            <w:pPr>
              <w:pStyle w:val="BoxText"/>
            </w:pPr>
            <w:r w:rsidRPr="009B6DD3">
              <w:t>Under the GST law, food is generally GST</w:t>
            </w:r>
            <w:r w:rsidR="00435E86">
              <w:noBreakHyphen/>
            </w:r>
            <w:r w:rsidRPr="009B6DD3">
              <w:t>free unless it is a type of food specifically listed as being subject to GST. This appears to be reasonably</w:t>
            </w:r>
            <w:r w:rsidR="00784D44" w:rsidRPr="009B6DD3">
              <w:t xml:space="preserve"> straightforward but is not</w:t>
            </w:r>
            <w:r w:rsidRPr="009B6DD3">
              <w:t xml:space="preserve">. </w:t>
            </w:r>
          </w:p>
          <w:p w14:paraId="6C18BBAA" w14:textId="7B2B4136" w:rsidR="00BA550B" w:rsidRPr="009B6DD3" w:rsidRDefault="00BA550B" w:rsidP="00BA550B">
            <w:pPr>
              <w:pStyle w:val="BoxText"/>
            </w:pPr>
            <w:r w:rsidRPr="009B6DD3">
              <w:t>Pizzas, pizza subs, pizza pockets and similar foods are subject to GST. In contrast, pizza rolls are generally GST</w:t>
            </w:r>
            <w:r w:rsidR="00435E86">
              <w:noBreakHyphen/>
            </w:r>
            <w:r w:rsidRPr="009B6DD3">
              <w:t xml:space="preserve">free but can be subject to GST when they are similar to </w:t>
            </w:r>
            <w:r w:rsidR="00435E86">
              <w:t>‘</w:t>
            </w:r>
            <w:r w:rsidRPr="009B6DD3">
              <w:t>pizzas, pizza subs or pizza pockets</w:t>
            </w:r>
            <w:r w:rsidR="00435E86">
              <w:t>’</w:t>
            </w:r>
            <w:r w:rsidRPr="009B6DD3">
              <w:t xml:space="preserve">. </w:t>
            </w:r>
          </w:p>
          <w:p w14:paraId="0BE45662" w14:textId="77777777" w:rsidR="00BA550B" w:rsidRPr="009B6DD3" w:rsidRDefault="00BA550B" w:rsidP="00BA550B">
            <w:pPr>
              <w:pStyle w:val="BoxText"/>
            </w:pPr>
            <w:r w:rsidRPr="009B6DD3">
              <w:t>Defining whether something is a pizza or a similar food has proved complex in the context of various baked goods. The ATO has advised that determining whether a pizza roll is taxable requires consideration of the depth of any filling or topping, the recipe for the dough and whether the roll can be cut, have additional filling added or is expected to be served as is.</w:t>
            </w:r>
          </w:p>
          <w:p w14:paraId="664DCD59" w14:textId="51D29730" w:rsidR="00BA550B" w:rsidRPr="009B6DD3" w:rsidRDefault="00BA550B" w:rsidP="00BA550B">
            <w:pPr>
              <w:pStyle w:val="BoxText"/>
            </w:pPr>
            <w:r w:rsidRPr="009B6DD3">
              <w:t>This analysis is complex and undertaking it places a considerable burden on businesses. The rationale for having different tax treatments apply to pizza rolls with thicker topping is not clear.</w:t>
            </w:r>
          </w:p>
        </w:tc>
      </w:tr>
    </w:tbl>
    <w:p w14:paraId="65E4C015" w14:textId="77777777" w:rsidR="00BA550B" w:rsidRPr="009B6DD3" w:rsidRDefault="00BA550B" w:rsidP="005F63DA"/>
    <w:p w14:paraId="39C936DE" w14:textId="1E8F4CAE" w:rsidR="005F63DA" w:rsidRPr="009B6DD3" w:rsidRDefault="005F63DA" w:rsidP="005F63DA">
      <w:r w:rsidRPr="009B6DD3">
        <w:t>Further, the administrative costs for businesses associated with paying, collecting, claiming credits and remitting GST on sales and purchases can be significant. These costs are currently felt particularly by small businesses, despite many of these businesses paying very little GST.</w:t>
      </w:r>
    </w:p>
    <w:p w14:paraId="65EDEC97" w14:textId="6723C0D8" w:rsidR="009127FC" w:rsidRPr="009B6DD3" w:rsidRDefault="009127FC" w:rsidP="009127FC">
      <w:pPr>
        <w:pStyle w:val="Heading3"/>
      </w:pPr>
      <w:bookmarkStart w:id="223" w:name="_Toc406155419"/>
      <w:bookmarkStart w:id="224" w:name="_Toc402326915"/>
      <w:bookmarkStart w:id="225" w:name="_Toc402333568"/>
      <w:bookmarkStart w:id="226" w:name="_Toc402340349"/>
      <w:bookmarkStart w:id="227" w:name="_Toc402343443"/>
      <w:bookmarkStart w:id="228" w:name="_Toc402346679"/>
      <w:bookmarkStart w:id="229" w:name="_Toc402349135"/>
      <w:bookmarkStart w:id="230" w:name="_Toc402350663"/>
      <w:bookmarkStart w:id="231" w:name="_Toc402353684"/>
      <w:bookmarkStart w:id="232" w:name="_Toc402362212"/>
      <w:bookmarkStart w:id="233" w:name="_Toc402368801"/>
      <w:bookmarkStart w:id="234" w:name="_Toc402369886"/>
      <w:bookmarkStart w:id="235" w:name="_Toc402370551"/>
      <w:bookmarkStart w:id="236" w:name="_Toc402371498"/>
      <w:r w:rsidRPr="009B6DD3">
        <w:lastRenderedPageBreak/>
        <w:t>Pressures on the GST base</w:t>
      </w:r>
      <w:bookmarkEnd w:id="223"/>
    </w:p>
    <w:p w14:paraId="0930B8F5" w14:textId="2EBC23FA" w:rsidR="005F63DA" w:rsidRPr="009B6DD3" w:rsidRDefault="00B20AA2" w:rsidP="00BA550B">
      <w:pPr>
        <w:pStyle w:val="Heading4"/>
        <w:spacing w:before="120"/>
        <w:rPr>
          <w:i/>
        </w:rPr>
      </w:pPr>
      <w:bookmarkStart w:id="237" w:name="_Toc406155420"/>
      <w:r w:rsidRPr="009B6DD3">
        <w:t>GST and the digital e</w:t>
      </w:r>
      <w:r w:rsidR="005F63DA" w:rsidRPr="009B6DD3">
        <w:t>conomy</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D343DFC" w14:textId="389D47AD" w:rsidR="005F63DA" w:rsidRPr="009B6DD3" w:rsidRDefault="005F63DA" w:rsidP="005F63DA">
      <w:r w:rsidRPr="009B6DD3">
        <w:t xml:space="preserve">While most imported goods are subject to GST, </w:t>
      </w:r>
      <w:r w:rsidR="00171142" w:rsidRPr="009B6DD3">
        <w:t>goods valued at or below the $1</w:t>
      </w:r>
      <w:r w:rsidR="003B0AE9" w:rsidRPr="009B6DD3">
        <w:t>,</w:t>
      </w:r>
      <w:r w:rsidR="00DF3A99" w:rsidRPr="009B6DD3">
        <w:t xml:space="preserve">000 low value threshold and </w:t>
      </w:r>
      <w:r w:rsidRPr="009B6DD3">
        <w:t xml:space="preserve">most imported services and intangibles provided to consumers (primarily those purchased online, </w:t>
      </w:r>
      <w:r w:rsidRPr="009B6DD3" w:rsidDel="00F22E0B">
        <w:t>such as</w:t>
      </w:r>
      <w:r w:rsidRPr="009B6DD3">
        <w:t xml:space="preserve"> multimedia downloads) are not subject to GST.</w:t>
      </w:r>
    </w:p>
    <w:p w14:paraId="5721F8D1" w14:textId="52EBBE22" w:rsidR="003B208F" w:rsidRPr="009B6DD3" w:rsidRDefault="00DF3A99" w:rsidP="005F63DA">
      <w:r w:rsidRPr="009B6DD3">
        <w:t xml:space="preserve">A low value threshold on imported goods has been in operation since the implementation of the GST. </w:t>
      </w:r>
      <w:r w:rsidR="000678BB" w:rsidRPr="009B6DD3">
        <w:t xml:space="preserve">The current $1,000 low value threshold was set in 2005. </w:t>
      </w:r>
      <w:r w:rsidR="003B208F" w:rsidRPr="009B6DD3">
        <w:t>Prior to this, import thresholds for postal items were still set at $1,000, however, import thresholds for non</w:t>
      </w:r>
      <w:r w:rsidR="00435E86">
        <w:noBreakHyphen/>
      </w:r>
      <w:r w:rsidR="003B208F" w:rsidRPr="009B6DD3">
        <w:t>postal goods (those arriving by air and sea cargo) had a threshold of $250</w:t>
      </w:r>
      <w:r w:rsidR="009B0A3A">
        <w:t xml:space="preserve">. </w:t>
      </w:r>
      <w:r w:rsidR="003B208F" w:rsidRPr="009B6DD3">
        <w:t xml:space="preserve">The thresholds </w:t>
      </w:r>
      <w:r w:rsidR="00B766DD" w:rsidRPr="009B6DD3">
        <w:t xml:space="preserve">were aligned </w:t>
      </w:r>
      <w:r w:rsidR="0001159F" w:rsidRPr="009B6DD3">
        <w:t xml:space="preserve">at $1000 </w:t>
      </w:r>
      <w:r w:rsidR="00B766DD" w:rsidRPr="009B6DD3">
        <w:t>to ensure all mode</w:t>
      </w:r>
      <w:r w:rsidR="003B208F" w:rsidRPr="009B6DD3">
        <w:t>s of transport were treated in the same manner.</w:t>
      </w:r>
      <w:r w:rsidR="003B208F" w:rsidRPr="009B6DD3">
        <w:rPr>
          <w:rStyle w:val="FootnoteReference"/>
        </w:rPr>
        <w:footnoteReference w:id="14"/>
      </w:r>
    </w:p>
    <w:p w14:paraId="63E79984" w14:textId="4D535479" w:rsidR="007F3C2C" w:rsidRPr="009B6DD3" w:rsidRDefault="007542ED" w:rsidP="005F63DA">
      <w:r w:rsidRPr="009B6DD3">
        <w:t xml:space="preserve">There is growing concern both internationally and domestically that the strong growth in online retail spending by consumers will continue to increase imports of low value goods, services and intangibles directly over the internet. Without reform, this would increase foregone GST revenue and affect the competitiveness of domestic businesses over time. </w:t>
      </w:r>
    </w:p>
    <w:p w14:paraId="722D8829" w14:textId="069AB6AB" w:rsidR="000678BB" w:rsidRPr="009B6DD3" w:rsidRDefault="00040AD6" w:rsidP="000678BB">
      <w:r w:rsidRPr="009B6DD3">
        <w:t>A</w:t>
      </w:r>
      <w:r w:rsidR="000678BB" w:rsidRPr="009B6DD3">
        <w:t xml:space="preserve"> </w:t>
      </w:r>
      <w:r w:rsidR="0001159F" w:rsidRPr="009B6DD3">
        <w:t xml:space="preserve">2011 </w:t>
      </w:r>
      <w:r w:rsidR="00173FA3">
        <w:t>Productivity Commission</w:t>
      </w:r>
      <w:r w:rsidR="000678BB" w:rsidRPr="009B6DD3">
        <w:t xml:space="preserve"> inquiry into the retail industry found there were strong in</w:t>
      </w:r>
      <w:r w:rsidR="00435E86">
        <w:noBreakHyphen/>
      </w:r>
      <w:r w:rsidR="000678BB" w:rsidRPr="009B6DD3">
        <w:t xml:space="preserve">principle grounds for the </w:t>
      </w:r>
      <w:r w:rsidRPr="009B6DD3">
        <w:t xml:space="preserve">low value </w:t>
      </w:r>
      <w:r w:rsidR="000678BB" w:rsidRPr="009B6DD3">
        <w:t>threshold to be lowered significantly. On the basis of tax neutrality, goods sourced</w:t>
      </w:r>
      <w:r w:rsidR="00811D61" w:rsidRPr="009B6DD3">
        <w:t xml:space="preserve"> from</w:t>
      </w:r>
      <w:r w:rsidR="000678BB" w:rsidRPr="009B6DD3">
        <w:t xml:space="preserve"> overseas should face the same tax regime as goods sourced domestically. </w:t>
      </w:r>
      <w:r w:rsidR="0029225D" w:rsidRPr="009B6DD3">
        <w:t xml:space="preserve">The </w:t>
      </w:r>
      <w:r w:rsidR="0001159F" w:rsidRPr="009B6DD3">
        <w:t xml:space="preserve">Productivity </w:t>
      </w:r>
      <w:r w:rsidR="0029225D" w:rsidRPr="009B6DD3">
        <w:t xml:space="preserve">Commission estimated in its final report that in the absence of radically redesigned and highly efficient revenue collection systems, the collection costs would outweigh the revenue gains. </w:t>
      </w:r>
      <w:r w:rsidR="000678BB" w:rsidRPr="009B6DD3">
        <w:t>By its estimates, removing the threshold completely would generate revenue of around $600 million per annum but at a cost of well over $2</w:t>
      </w:r>
      <w:r w:rsidR="00171142" w:rsidRPr="009B6DD3">
        <w:t> </w:t>
      </w:r>
      <w:r w:rsidR="000678BB" w:rsidRPr="009B6DD3">
        <w:t>billion borne by businesses, consumers and government</w:t>
      </w:r>
      <w:r w:rsidR="0001159F" w:rsidRPr="009B6DD3">
        <w:t>s</w:t>
      </w:r>
      <w:r w:rsidR="000678BB" w:rsidRPr="009B6DD3">
        <w:t>.</w:t>
      </w:r>
      <w:r w:rsidR="0029225D" w:rsidRPr="009B6DD3">
        <w:rPr>
          <w:rStyle w:val="FootnoteReference"/>
        </w:rPr>
        <w:footnoteReference w:id="15"/>
      </w:r>
      <w:r w:rsidR="000678BB" w:rsidRPr="009B6DD3">
        <w:t xml:space="preserve"> </w:t>
      </w:r>
      <w:r w:rsidR="00E9075C" w:rsidRPr="009B6DD3">
        <w:t xml:space="preserve">Accordingly, the </w:t>
      </w:r>
      <w:r w:rsidR="0001159F" w:rsidRPr="009B6DD3">
        <w:t xml:space="preserve">Productivity </w:t>
      </w:r>
      <w:r w:rsidR="00E9075C" w:rsidRPr="009B6DD3">
        <w:t>Commission recommended the low value threshold should not be lowered until it is cost effective to do so.</w:t>
      </w:r>
    </w:p>
    <w:p w14:paraId="47534035" w14:textId="5CB40FAC" w:rsidR="000678BB" w:rsidRPr="009B6DD3" w:rsidRDefault="00E9075C" w:rsidP="005F63DA">
      <w:r w:rsidRPr="009B6DD3">
        <w:t xml:space="preserve">Some subsequent </w:t>
      </w:r>
      <w:r w:rsidR="00C87C65" w:rsidRPr="009B6DD3">
        <w:t xml:space="preserve">studies undertaken by stakeholders suggest that there are alternative </w:t>
      </w:r>
      <w:r w:rsidR="0075340B" w:rsidRPr="009B6DD3">
        <w:t xml:space="preserve">arrangements for collecting GST on low value goods </w:t>
      </w:r>
      <w:r w:rsidR="008B29AD" w:rsidRPr="009B6DD3">
        <w:t>that would not be as prohibitive</w:t>
      </w:r>
      <w:r w:rsidRPr="009B6DD3">
        <w:t>ly expensive</w:t>
      </w:r>
      <w:r w:rsidR="008B29AD" w:rsidRPr="009B6DD3">
        <w:t xml:space="preserve"> as </w:t>
      </w:r>
      <w:r w:rsidR="0075340B" w:rsidRPr="009B6DD3">
        <w:t>current arrangements</w:t>
      </w:r>
      <w:r w:rsidR="00154210" w:rsidRPr="009B6DD3">
        <w:t>.</w:t>
      </w:r>
      <w:r w:rsidR="00154210" w:rsidRPr="009B6DD3">
        <w:rPr>
          <w:rStyle w:val="FootnoteReference"/>
        </w:rPr>
        <w:footnoteReference w:id="16"/>
      </w:r>
      <w:r w:rsidR="00154210" w:rsidRPr="009B6DD3">
        <w:t xml:space="preserve"> </w:t>
      </w:r>
      <w:r w:rsidR="0075340B" w:rsidRPr="009B6DD3">
        <w:t xml:space="preserve">Other developed </w:t>
      </w:r>
      <w:r w:rsidR="00622B05" w:rsidRPr="009B6DD3">
        <w:t xml:space="preserve">countries </w:t>
      </w:r>
      <w:r w:rsidR="00154210" w:rsidRPr="009B6DD3">
        <w:t>have relatively low thresholds</w:t>
      </w:r>
      <w:r w:rsidR="0075340B" w:rsidRPr="009B6DD3">
        <w:t xml:space="preserve"> compared to Australia</w:t>
      </w:r>
      <w:r w:rsidR="00171142" w:rsidRPr="009B6DD3">
        <w:t>,</w:t>
      </w:r>
      <w:r w:rsidR="00040AD6" w:rsidRPr="009B6DD3">
        <w:rPr>
          <w:rStyle w:val="FootnoteReference"/>
        </w:rPr>
        <w:footnoteReference w:id="17"/>
      </w:r>
      <w:r w:rsidR="00154210" w:rsidRPr="009B6DD3">
        <w:t xml:space="preserve"> </w:t>
      </w:r>
      <w:r w:rsidR="00B72BED" w:rsidRPr="009B6DD3">
        <w:t xml:space="preserve">suggesting that a </w:t>
      </w:r>
      <w:r w:rsidR="0075340B" w:rsidRPr="009B6DD3">
        <w:t>cost</w:t>
      </w:r>
      <w:r w:rsidR="00435E86">
        <w:noBreakHyphen/>
      </w:r>
      <w:r w:rsidR="0075340B" w:rsidRPr="009B6DD3">
        <w:t xml:space="preserve">effective </w:t>
      </w:r>
      <w:r w:rsidR="00B72BED" w:rsidRPr="009B6DD3">
        <w:t xml:space="preserve">reduction in the low value threshold </w:t>
      </w:r>
      <w:r w:rsidR="0075340B" w:rsidRPr="009B6DD3">
        <w:t>c</w:t>
      </w:r>
      <w:r w:rsidR="00B72BED" w:rsidRPr="009B6DD3">
        <w:t>ould be feasible</w:t>
      </w:r>
      <w:r w:rsidR="00154210" w:rsidRPr="009B6DD3">
        <w:t>.</w:t>
      </w:r>
    </w:p>
    <w:p w14:paraId="6274BD4D" w14:textId="4B5C4463" w:rsidR="0075340B" w:rsidRPr="009B6DD3" w:rsidRDefault="0075340B" w:rsidP="005F63DA">
      <w:r w:rsidRPr="009B6DD3">
        <w:t>The </w:t>
      </w:r>
      <w:r w:rsidR="00CA4488" w:rsidRPr="009B6DD3">
        <w:t>Australian</w:t>
      </w:r>
      <w:r w:rsidR="00AD7513" w:rsidRPr="009B6DD3">
        <w:t xml:space="preserve"> Government</w:t>
      </w:r>
      <w:r w:rsidR="006D0F9D">
        <w:t xml:space="preserve"> agreed to a request from the s</w:t>
      </w:r>
      <w:r w:rsidRPr="009B6DD3">
        <w:t xml:space="preserve">tates and </w:t>
      </w:r>
      <w:r w:rsidR="006D0F9D">
        <w:t>t</w:t>
      </w:r>
      <w:r w:rsidRPr="009B6DD3">
        <w:t xml:space="preserve">erritories to explore options around lowering the threshold, however, at the 19 September 2014 meeting of the Council on Federal Financial Relations, the </w:t>
      </w:r>
      <w:r w:rsidR="006D0F9D">
        <w:t>s</w:t>
      </w:r>
      <w:r w:rsidRPr="009B6DD3">
        <w:t xml:space="preserve">tates and </w:t>
      </w:r>
      <w:r w:rsidR="006D0F9D">
        <w:t>t</w:t>
      </w:r>
      <w:r w:rsidRPr="009B6DD3">
        <w:t xml:space="preserve">erritories indicated they had not agreed </w:t>
      </w:r>
      <w:r w:rsidR="003E0951" w:rsidRPr="009B6DD3">
        <w:t xml:space="preserve">on </w:t>
      </w:r>
      <w:r w:rsidRPr="009B6DD3">
        <w:t xml:space="preserve">a preferred workable approach </w:t>
      </w:r>
      <w:r w:rsidR="003E0951" w:rsidRPr="009B6DD3">
        <w:t xml:space="preserve">to </w:t>
      </w:r>
      <w:r w:rsidRPr="009B6DD3">
        <w:t>this issue.</w:t>
      </w:r>
    </w:p>
    <w:p w14:paraId="483AC21D" w14:textId="43033B6A" w:rsidR="005F63DA" w:rsidRPr="009B6DD3" w:rsidRDefault="00ED01DD" w:rsidP="005F63DA">
      <w:r w:rsidRPr="009B6DD3">
        <w:lastRenderedPageBreak/>
        <w:t>T</w:t>
      </w:r>
      <w:r w:rsidR="00561DE6" w:rsidRPr="009B6DD3">
        <w:t>he</w:t>
      </w:r>
      <w:r w:rsidR="00811D61" w:rsidRPr="009B6DD3">
        <w:t xml:space="preserve"> </w:t>
      </w:r>
      <w:r w:rsidR="005F63DA" w:rsidRPr="009B6DD3">
        <w:t xml:space="preserve">exclusion from the GST base </w:t>
      </w:r>
      <w:r w:rsidRPr="009B6DD3">
        <w:t xml:space="preserve">for imported services </w:t>
      </w:r>
      <w:r w:rsidR="005F63DA" w:rsidRPr="009B6DD3">
        <w:t xml:space="preserve">reflects how difficult it is to identify the supplier and recipient in a transaction </w:t>
      </w:r>
      <w:r w:rsidR="005F63DA" w:rsidRPr="009B6DD3" w:rsidDel="00F22E0B">
        <w:t>because it</w:t>
      </w:r>
      <w:r w:rsidR="005F63DA" w:rsidRPr="009B6DD3">
        <w:t xml:space="preserve"> has not occurred physically and, unlike imported goods, cannot be stopped at a border.</w:t>
      </w:r>
      <w:r w:rsidR="00811D61" w:rsidRPr="009B6DD3">
        <w:t xml:space="preserve"> </w:t>
      </w:r>
    </w:p>
    <w:p w14:paraId="1135BD03" w14:textId="372702F8" w:rsidR="005F63DA" w:rsidRPr="009B6DD3" w:rsidRDefault="005F63DA" w:rsidP="005F63DA">
      <w:r w:rsidRPr="009B6DD3">
        <w:t>Both the OECD and the broader OECD Global Forum on VAT are investigating the taxation of imported services and intangibles.</w:t>
      </w:r>
      <w:r w:rsidR="00FC3111" w:rsidRPr="009B6DD3">
        <w:rPr>
          <w:rStyle w:val="FootnoteReference"/>
        </w:rPr>
        <w:footnoteReference w:id="18"/>
      </w:r>
      <w:r w:rsidRPr="009B6DD3">
        <w:t xml:space="preserve"> </w:t>
      </w:r>
      <w:r w:rsidR="000E73FE" w:rsidRPr="009B6DD3">
        <w:t xml:space="preserve">Working Party </w:t>
      </w:r>
      <w:r w:rsidR="00C45DC2" w:rsidRPr="009B6DD3">
        <w:t xml:space="preserve">No.9 of the </w:t>
      </w:r>
      <w:r w:rsidR="00234446" w:rsidRPr="009B6DD3">
        <w:t>OECD</w:t>
      </w:r>
      <w:r w:rsidR="00435E86">
        <w:t>’</w:t>
      </w:r>
      <w:r w:rsidR="00C45DC2" w:rsidRPr="009B6DD3">
        <w:t>s Committee on Fiscal Affairs</w:t>
      </w:r>
      <w:r w:rsidR="000E73FE" w:rsidRPr="009B6DD3">
        <w:t xml:space="preserve"> </w:t>
      </w:r>
      <w:r w:rsidR="00234446" w:rsidRPr="009B6DD3">
        <w:t>is also considering the cross</w:t>
      </w:r>
      <w:r w:rsidR="00435E86">
        <w:noBreakHyphen/>
      </w:r>
      <w:r w:rsidR="00234446" w:rsidRPr="009B6DD3">
        <w:t>border taxation of low value goods.</w:t>
      </w:r>
      <w:r w:rsidR="00C45DC2" w:rsidRPr="009B6DD3">
        <w:rPr>
          <w:rStyle w:val="FootnoteReference"/>
        </w:rPr>
        <w:footnoteReference w:id="19"/>
      </w:r>
      <w:r w:rsidR="00234446" w:rsidRPr="009B6DD3">
        <w:t xml:space="preserve"> </w:t>
      </w:r>
    </w:p>
    <w:p w14:paraId="55A0D3D6" w14:textId="2E83E52D" w:rsidR="005F63DA" w:rsidRPr="009B6DD3" w:rsidRDefault="00B20AA2" w:rsidP="009127FC">
      <w:pPr>
        <w:pStyle w:val="Heading4"/>
        <w:rPr>
          <w:i/>
        </w:rPr>
      </w:pPr>
      <w:bookmarkStart w:id="238" w:name="_Toc402326916"/>
      <w:bookmarkStart w:id="239" w:name="_Toc402333569"/>
      <w:bookmarkStart w:id="240" w:name="_Toc402340350"/>
      <w:bookmarkStart w:id="241" w:name="_Toc402343444"/>
      <w:bookmarkStart w:id="242" w:name="_Toc402346680"/>
      <w:bookmarkStart w:id="243" w:name="_Toc402349136"/>
      <w:bookmarkStart w:id="244" w:name="_Toc402350664"/>
      <w:bookmarkStart w:id="245" w:name="_Toc402353685"/>
      <w:bookmarkStart w:id="246" w:name="_Toc402362213"/>
      <w:bookmarkStart w:id="247" w:name="_Toc402368802"/>
      <w:bookmarkStart w:id="248" w:name="_Toc402369887"/>
      <w:bookmarkStart w:id="249" w:name="_Toc402370552"/>
      <w:bookmarkStart w:id="250" w:name="_Toc402371499"/>
      <w:bookmarkStart w:id="251" w:name="_Toc406155421"/>
      <w:r w:rsidRPr="009B6DD3">
        <w:t>The impact of changing consumption p</w:t>
      </w:r>
      <w:r w:rsidR="005F63DA" w:rsidRPr="009B6DD3">
        <w:t>atterns</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5EB97FB" w14:textId="5BDCB879" w:rsidR="005F63DA" w:rsidRPr="009B6DD3" w:rsidRDefault="005F63DA" w:rsidP="005F63DA">
      <w:r w:rsidRPr="009B6DD3">
        <w:t>Since 2002</w:t>
      </w:r>
      <w:r w:rsidR="00435E86">
        <w:noBreakHyphen/>
      </w:r>
      <w:r w:rsidRPr="009B6DD3">
        <w:t>03, GST revenue has declined relative to the size of the economy. In 2002</w:t>
      </w:r>
      <w:r w:rsidR="00435E86">
        <w:noBreakHyphen/>
      </w:r>
      <w:r w:rsidRPr="009B6DD3">
        <w:t>03, GST revenue was 3.9 per cent of gross domestic product (GDP) but</w:t>
      </w:r>
      <w:r w:rsidR="00F22E0B" w:rsidRPr="009B6DD3">
        <w:t>,</w:t>
      </w:r>
      <w:r w:rsidRPr="009B6DD3">
        <w:t xml:space="preserve"> by 2013</w:t>
      </w:r>
      <w:r w:rsidR="00435E86">
        <w:noBreakHyphen/>
      </w:r>
      <w:r w:rsidRPr="009B6DD3">
        <w:t>14</w:t>
      </w:r>
      <w:r w:rsidR="00F22E0B" w:rsidRPr="009B6DD3">
        <w:t>,</w:t>
      </w:r>
      <w:r w:rsidRPr="009B6DD3">
        <w:t xml:space="preserve"> this had fallen to 3.5 per cent of GDP</w:t>
      </w:r>
      <w:r w:rsidR="00F64440" w:rsidRPr="009B6DD3">
        <w:t xml:space="preserve"> — </w:t>
      </w:r>
      <w:r w:rsidRPr="009B6DD3">
        <w:t>in dollar terms, this is equivalent to reduced GST revenue in 2013</w:t>
      </w:r>
      <w:r w:rsidR="00435E86">
        <w:noBreakHyphen/>
      </w:r>
      <w:r w:rsidRPr="009B6DD3">
        <w:t>14 of more than $6 billion (</w:t>
      </w:r>
      <w:r w:rsidR="00971910" w:rsidRPr="009B6DD3">
        <w:fldChar w:fldCharType="begin"/>
      </w:r>
      <w:r w:rsidR="00971910" w:rsidRPr="009B6DD3">
        <w:instrText xml:space="preserve"> REF _Ref404677896 \h </w:instrText>
      </w:r>
      <w:r w:rsidR="009B6DD3">
        <w:instrText xml:space="preserve"> \* MERGEFORMAT </w:instrText>
      </w:r>
      <w:r w:rsidR="00971910" w:rsidRPr="009B6DD3">
        <w:fldChar w:fldCharType="separate"/>
      </w:r>
      <w:r w:rsidR="00B51480" w:rsidRPr="009B6DD3">
        <w:t xml:space="preserve">Chart </w:t>
      </w:r>
      <w:r w:rsidR="00B51480">
        <w:rPr>
          <w:noProof/>
        </w:rPr>
        <w:t>8</w:t>
      </w:r>
      <w:r w:rsidR="00B51480" w:rsidRPr="009B6DD3">
        <w:rPr>
          <w:noProof/>
        </w:rPr>
        <w:t>.</w:t>
      </w:r>
      <w:r w:rsidR="00971910" w:rsidRPr="009B6DD3">
        <w:fldChar w:fldCharType="end"/>
      </w:r>
      <w:r w:rsidR="00A101DC" w:rsidRPr="009B6DD3">
        <w:t>6</w:t>
      </w:r>
      <w:r w:rsidRPr="009B6DD3">
        <w:t>). This decline is the result of two main factors.</w:t>
      </w:r>
    </w:p>
    <w:p w14:paraId="0A32267E" w14:textId="43ED82C0" w:rsidR="005F63DA" w:rsidRPr="009B6DD3" w:rsidRDefault="005F63DA" w:rsidP="005F63DA">
      <w:r w:rsidRPr="009B6DD3" w:rsidDel="00F22E0B">
        <w:t>Firstly,</w:t>
      </w:r>
      <w:r w:rsidRPr="009B6DD3">
        <w:t xml:space="preserve"> the decline in GST</w:t>
      </w:r>
      <w:r w:rsidR="003B6D20" w:rsidRPr="009B6DD3">
        <w:t xml:space="preserve"> revenue</w:t>
      </w:r>
      <w:r w:rsidRPr="009B6DD3">
        <w:t xml:space="preserve"> </w:t>
      </w:r>
      <w:r w:rsidR="00736171" w:rsidRPr="009B6DD3">
        <w:t xml:space="preserve">as a share of GDP </w:t>
      </w:r>
      <w:r w:rsidRPr="009B6DD3" w:rsidDel="00F22E0B">
        <w:t xml:space="preserve">has </w:t>
      </w:r>
      <w:r w:rsidRPr="009B6DD3">
        <w:t>result</w:t>
      </w:r>
      <w:r w:rsidRPr="009B6DD3" w:rsidDel="00F22E0B">
        <w:t>ed</w:t>
      </w:r>
      <w:r w:rsidRPr="009B6DD3">
        <w:t xml:space="preserve"> </w:t>
      </w:r>
      <w:r w:rsidRPr="009B6DD3" w:rsidDel="00F22E0B">
        <w:t xml:space="preserve">from </w:t>
      </w:r>
      <w:r w:rsidRPr="009B6DD3">
        <w:t>a decline in household consumption</w:t>
      </w:r>
      <w:r w:rsidR="00736171" w:rsidRPr="009B6DD3">
        <w:t xml:space="preserve"> as a share of GDP</w:t>
      </w:r>
      <w:r w:rsidRPr="009B6DD3">
        <w:t>. Since 2002</w:t>
      </w:r>
      <w:r w:rsidR="00435E86">
        <w:noBreakHyphen/>
      </w:r>
      <w:r w:rsidRPr="009B6DD3">
        <w:t xml:space="preserve">03, total household consumption has fallen from 59 per cent of GDP to </w:t>
      </w:r>
      <w:r w:rsidR="00AC7F93" w:rsidRPr="009B6DD3">
        <w:t>56 </w:t>
      </w:r>
      <w:r w:rsidR="00545267" w:rsidRPr="009B6DD3">
        <w:t>per </w:t>
      </w:r>
      <w:r w:rsidRPr="009B6DD3">
        <w:t>cent in 2013</w:t>
      </w:r>
      <w:r w:rsidR="00435E86">
        <w:noBreakHyphen/>
      </w:r>
      <w:r w:rsidRPr="009B6DD3">
        <w:t>14</w:t>
      </w:r>
      <w:r w:rsidR="00742F1E" w:rsidRPr="009B6DD3">
        <w:t>,</w:t>
      </w:r>
      <w:r w:rsidR="00FC3111" w:rsidRPr="009B6DD3">
        <w:rPr>
          <w:rStyle w:val="FootnoteReference"/>
        </w:rPr>
        <w:footnoteReference w:id="20"/>
      </w:r>
      <w:r w:rsidR="00742F1E" w:rsidRPr="009B6DD3">
        <w:t xml:space="preserve"> given</w:t>
      </w:r>
      <w:r w:rsidRPr="009B6DD3">
        <w:t xml:space="preserve"> </w:t>
      </w:r>
      <w:r w:rsidR="00742F1E" w:rsidRPr="009B6DD3">
        <w:t>the unprecedented growth in mining investment which was driven by record high commodity prices throughout the 2000s.</w:t>
      </w:r>
      <w:r w:rsidRPr="009B6DD3">
        <w:t xml:space="preserve"> </w:t>
      </w:r>
    </w:p>
    <w:p w14:paraId="2584BCBB" w14:textId="429CCC10" w:rsidR="00DE3C21" w:rsidRPr="009B6DD3" w:rsidRDefault="005F63DA" w:rsidP="005F63DA">
      <w:r w:rsidRPr="009B6DD3" w:rsidDel="00F22E0B">
        <w:t>Secondly,</w:t>
      </w:r>
      <w:r w:rsidRPr="009B6DD3">
        <w:t xml:space="preserve"> the decline in GST </w:t>
      </w:r>
      <w:r w:rsidR="003B6D20" w:rsidRPr="009B6DD3">
        <w:t xml:space="preserve">revenue </w:t>
      </w:r>
      <w:r w:rsidR="00742F1E" w:rsidRPr="009B6DD3">
        <w:t xml:space="preserve">as a share of GDP </w:t>
      </w:r>
      <w:r w:rsidRPr="009B6DD3" w:rsidDel="00F22E0B">
        <w:t xml:space="preserve">has </w:t>
      </w:r>
      <w:r w:rsidRPr="009B6DD3">
        <w:t>resulted</w:t>
      </w:r>
      <w:r w:rsidRPr="009B6DD3" w:rsidDel="00F22E0B">
        <w:t xml:space="preserve"> from </w:t>
      </w:r>
      <w:r w:rsidRPr="009B6DD3">
        <w:t>a</w:t>
      </w:r>
      <w:r w:rsidR="002E6E39" w:rsidRPr="009B6DD3">
        <w:t xml:space="preserve"> decrease in the </w:t>
      </w:r>
      <w:r w:rsidR="00222A45" w:rsidRPr="009B6DD3">
        <w:t>pro</w:t>
      </w:r>
      <w:r w:rsidR="002E6E39" w:rsidRPr="009B6DD3">
        <w:t>portion of household spending spent on taxable goods and services</w:t>
      </w:r>
      <w:r w:rsidR="00742F1E" w:rsidRPr="009B6DD3">
        <w:t xml:space="preserve">, and a corresponding increase in the </w:t>
      </w:r>
      <w:r w:rsidR="00222A45" w:rsidRPr="009B6DD3">
        <w:t>pro</w:t>
      </w:r>
      <w:r w:rsidR="00742F1E" w:rsidRPr="009B6DD3">
        <w:t>portion spent on GST</w:t>
      </w:r>
      <w:r w:rsidR="00435E86">
        <w:noBreakHyphen/>
      </w:r>
      <w:r w:rsidR="00742F1E" w:rsidRPr="009B6DD3">
        <w:t>exempt goods and services</w:t>
      </w:r>
      <w:r w:rsidR="002E6E39" w:rsidRPr="009B6DD3">
        <w:t>.</w:t>
      </w:r>
      <w:r w:rsidRPr="009B6DD3">
        <w:t xml:space="preserve"> In particular, the </w:t>
      </w:r>
      <w:r w:rsidR="00222A45" w:rsidRPr="009B6DD3">
        <w:t>pro</w:t>
      </w:r>
      <w:r w:rsidRPr="009B6DD3">
        <w:t>portion of total household spending on health, education, rent and financial services has been increasing. Spending on these categories in 2013</w:t>
      </w:r>
      <w:r w:rsidR="00435E86">
        <w:noBreakHyphen/>
      </w:r>
      <w:r w:rsidRPr="009B6DD3">
        <w:t>14 made up 40 per cent of total household spending compared to just 33 per cent when the GST was introduced</w:t>
      </w:r>
      <w:r w:rsidR="005D321C" w:rsidRPr="009B6DD3">
        <w:t xml:space="preserve"> in 2000</w:t>
      </w:r>
      <w:r w:rsidR="00435E86">
        <w:noBreakHyphen/>
      </w:r>
      <w:r w:rsidR="005D321C" w:rsidRPr="009B6DD3">
        <w:t>01</w:t>
      </w:r>
      <w:r w:rsidRPr="009B6DD3">
        <w:t>.</w:t>
      </w:r>
      <w:r w:rsidR="00FC3111" w:rsidRPr="009B6DD3">
        <w:rPr>
          <w:rStyle w:val="FootnoteReference"/>
        </w:rPr>
        <w:footnoteReference w:id="21"/>
      </w:r>
      <w:r w:rsidRPr="009B6DD3">
        <w:t xml:space="preserve"> </w:t>
      </w:r>
      <w:r w:rsidR="00AC6A4C" w:rsidRPr="009B6DD3">
        <w:t xml:space="preserve">In large part, this has been the result of increases in the relative prices of these goods and services, rather than an increase in the volume of these goods and services consumed. </w:t>
      </w:r>
      <w:r w:rsidRPr="009B6DD3">
        <w:t>If this trend persists, it will tend to reduce the amount of GST revenue as a proportion of GDP.</w:t>
      </w:r>
    </w:p>
    <w:p w14:paraId="3FFD7FE9" w14:textId="16A6B129" w:rsidR="005F63DA" w:rsidRPr="009B6DD3" w:rsidRDefault="00545267" w:rsidP="00545267">
      <w:pPr>
        <w:pStyle w:val="ChartMainHeading"/>
      </w:pPr>
      <w:bookmarkStart w:id="252" w:name="_Ref404677896"/>
      <w:r w:rsidRPr="009B6DD3">
        <w:lastRenderedPageBreak/>
        <w:t xml:space="preserve">Chart </w:t>
      </w:r>
      <w:fldSimple w:instr=" STYLEREF 1 \s ">
        <w:r w:rsidR="00B51480">
          <w:rPr>
            <w:noProof/>
          </w:rPr>
          <w:t>8</w:t>
        </w:r>
      </w:fldSimple>
      <w:r w:rsidR="00870BFF" w:rsidRPr="009B6DD3">
        <w:t>.</w:t>
      </w:r>
      <w:bookmarkEnd w:id="252"/>
      <w:r w:rsidR="00A57EA3" w:rsidRPr="009B6DD3">
        <w:t>6</w:t>
      </w:r>
      <w:r w:rsidRPr="009B6DD3">
        <w:rPr>
          <w:rFonts w:asciiTheme="majorHAnsi" w:hAnsiTheme="majorHAnsi" w:cstheme="majorHAnsi"/>
        </w:rPr>
        <w:t xml:space="preserve"> </w:t>
      </w:r>
      <w:r w:rsidR="005F63DA" w:rsidRPr="009B6DD3">
        <w:t>GST revenue over time</w:t>
      </w:r>
    </w:p>
    <w:bookmarkStart w:id="253" w:name="_1479995467"/>
    <w:bookmarkStart w:id="254" w:name="_1480143046"/>
    <w:bookmarkStart w:id="255" w:name="_1483520477"/>
    <w:bookmarkStart w:id="256" w:name="_1483961705"/>
    <w:bookmarkStart w:id="257" w:name="_1483966619"/>
    <w:bookmarkStart w:id="258" w:name="_1484567229"/>
    <w:bookmarkStart w:id="259" w:name="_1484573511"/>
    <w:bookmarkStart w:id="260" w:name="_1485682239"/>
    <w:bookmarkStart w:id="261" w:name="_1486206428"/>
    <w:bookmarkStart w:id="262" w:name="_1486208417"/>
    <w:bookmarkStart w:id="263" w:name="_1486208861"/>
    <w:bookmarkStart w:id="264" w:name="_1486209315"/>
    <w:bookmarkStart w:id="265" w:name="_1486976338"/>
    <w:bookmarkStart w:id="266" w:name="_1487153787"/>
    <w:bookmarkStart w:id="267" w:name="_1487154131"/>
    <w:bookmarkStart w:id="268" w:name="_1488697587"/>
    <w:bookmarkStart w:id="269" w:name="_1488731879"/>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14:paraId="44367439" w14:textId="2D966879" w:rsidR="00DE3C21" w:rsidRPr="009B6DD3" w:rsidRDefault="008A1CFC" w:rsidP="00287531">
      <w:pPr>
        <w:pStyle w:val="ChartGraphic"/>
      </w:pPr>
      <w:r>
        <w:object w:dxaOrig="8791" w:dyaOrig="3961" w14:anchorId="53EA3EAA">
          <v:shape id="_x0000_i1030" type="#_x0000_t75" alt="Chart 8.6 GST revenue over time.&#10;&#10;This chart illustrates GST revenue as a percentage of GDP over time. GST revenue as a share of GDP was at a peak of roughly 4.0 per cent of GDP in 2003-04 and gradually fell to around 3.3 per cent of GDP in 2012-13. As a percentage of GDP, GST revenue has increased slightly to around 3.5 per cent in 2013-14, and is projected to increase further to about 3.6 per cent in 2017-18.&#10;" style="width:439.5pt;height:198.75pt;mso-position-vertical:absolute" o:ole="">
            <v:imagedata r:id="rId27" o:title=""/>
          </v:shape>
          <o:OLEObject Type="Link" ProgID="Excel.Sheet.12" ShapeID="_x0000_i1030" DrawAspect="Content" r:id="rId28" UpdateMode="Always">
            <o:LinkType>EnhancedMetaFile</o:LinkType>
            <o:LockedField/>
          </o:OLEObject>
        </w:object>
      </w:r>
    </w:p>
    <w:p w14:paraId="55DD80D1" w14:textId="5EBAF7D1" w:rsidR="00E81C1C" w:rsidRPr="009B6DD3" w:rsidRDefault="00E81C1C" w:rsidP="00FE3891">
      <w:pPr>
        <w:pStyle w:val="ChartorTableNote"/>
        <w:ind w:left="284"/>
      </w:pPr>
      <w:bookmarkStart w:id="270" w:name="_1479039163"/>
      <w:bookmarkStart w:id="271" w:name="_1479112449"/>
      <w:bookmarkStart w:id="272" w:name="_1479113329"/>
      <w:bookmarkStart w:id="273" w:name="_1479113528"/>
      <w:bookmarkStart w:id="274" w:name="_1479118382"/>
      <w:bookmarkStart w:id="275" w:name="_1479123277"/>
      <w:bookmarkStart w:id="276" w:name="_1479293463"/>
      <w:bookmarkStart w:id="277" w:name="_1479293771"/>
      <w:bookmarkStart w:id="278" w:name="_1479294262"/>
      <w:bookmarkStart w:id="279" w:name="_1479297250"/>
      <w:bookmarkStart w:id="280" w:name="_1479298552"/>
      <w:bookmarkStart w:id="281" w:name="_1479548954"/>
      <w:bookmarkStart w:id="282" w:name="_1479566100"/>
      <w:bookmarkStart w:id="283" w:name="_1479566932"/>
      <w:bookmarkStart w:id="284" w:name="_1479566580"/>
      <w:bookmarkStart w:id="285" w:name="_1479566835"/>
      <w:bookmarkStart w:id="286" w:name="_1479644238"/>
      <w:bookmarkStart w:id="287" w:name="_1479731250"/>
      <w:bookmarkStart w:id="288" w:name="_1479732022"/>
      <w:bookmarkStart w:id="289" w:name="_1479732343"/>
      <w:bookmarkStart w:id="290" w:name="_1479731836"/>
      <w:bookmarkStart w:id="291" w:name="_1479731352"/>
      <w:bookmarkStart w:id="292" w:name="_1479731603"/>
      <w:bookmarkStart w:id="293" w:name="_1479732035"/>
      <w:bookmarkStart w:id="294" w:name="_1479736149"/>
      <w:bookmarkStart w:id="295" w:name="_1479733790"/>
      <w:bookmarkStart w:id="296" w:name="_1479737046"/>
      <w:bookmarkStart w:id="297" w:name="_1479737902"/>
      <w:bookmarkStart w:id="298" w:name="_1479737299"/>
      <w:bookmarkStart w:id="299" w:name="_1479737872"/>
      <w:bookmarkStart w:id="300" w:name="_1479837807"/>
      <w:bookmarkStart w:id="301" w:name="_1479882322"/>
      <w:bookmarkStart w:id="302" w:name="_1479897275"/>
      <w:bookmarkStart w:id="303" w:name="_1479995469"/>
      <w:bookmarkStart w:id="304" w:name="_Toc402353696"/>
      <w:bookmarkStart w:id="305" w:name="_Toc402362224"/>
      <w:bookmarkStart w:id="306" w:name="_Toc402368813"/>
      <w:bookmarkStart w:id="307" w:name="_Toc402369898"/>
      <w:bookmarkStart w:id="308" w:name="_Toc402370563"/>
      <w:bookmarkStart w:id="309" w:name="_Toc402371510"/>
      <w:bookmarkStart w:id="310" w:name="_Toc403555876"/>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9B6DD3">
        <w:t xml:space="preserve">Source: </w:t>
      </w:r>
      <w:r w:rsidR="00BC0016" w:rsidRPr="009B6DD3">
        <w:t>Treasury estimates</w:t>
      </w:r>
      <w:r w:rsidR="003746EF" w:rsidRPr="009B6DD3">
        <w:t xml:space="preserve">. </w:t>
      </w:r>
    </w:p>
    <w:p w14:paraId="4C8765D7" w14:textId="77777777" w:rsidR="007A1641" w:rsidRPr="009B6DD3" w:rsidRDefault="007A1641" w:rsidP="00BA550B"/>
    <w:p w14:paraId="25A9A83D" w14:textId="2DF7FEE0" w:rsidR="009D2F9F" w:rsidRPr="009B6DD3" w:rsidRDefault="00C63C75" w:rsidP="00276140">
      <w:r w:rsidRPr="009B6DD3">
        <w:t xml:space="preserve">The GST is distributed to the </w:t>
      </w:r>
      <w:r w:rsidR="006D0F9D">
        <w:t>s</w:t>
      </w:r>
      <w:r w:rsidRPr="009B6DD3">
        <w:t xml:space="preserve">tates and </w:t>
      </w:r>
      <w:r w:rsidR="006D0F9D">
        <w:t>t</w:t>
      </w:r>
      <w:r w:rsidRPr="009B6DD3">
        <w:t>erritories under the principle of horizontal fiscal equalisation (</w:t>
      </w:r>
      <w:r w:rsidR="009D2F9F" w:rsidRPr="009B6DD3">
        <w:t>HFE</w:t>
      </w:r>
      <w:r w:rsidRPr="009B6DD3">
        <w:t>). HFE</w:t>
      </w:r>
      <w:r w:rsidR="009D2F9F" w:rsidRPr="009B6DD3">
        <w:t xml:space="preserve"> seeks to reduce fiscal disparities between </w:t>
      </w:r>
      <w:r w:rsidR="006D0F9D">
        <w:t>s</w:t>
      </w:r>
      <w:r w:rsidR="009D2F9F" w:rsidRPr="009B6DD3">
        <w:t xml:space="preserve">tates and </w:t>
      </w:r>
      <w:r w:rsidR="006D0F9D">
        <w:t>t</w:t>
      </w:r>
      <w:r w:rsidR="009D2F9F" w:rsidRPr="009B6DD3">
        <w:t xml:space="preserve">erritories, ensuring they all have the </w:t>
      </w:r>
      <w:r w:rsidRPr="009B6DD3">
        <w:t xml:space="preserve">fiscal </w:t>
      </w:r>
      <w:r w:rsidR="009D2F9F" w:rsidRPr="009B6DD3">
        <w:t xml:space="preserve">capacity to provide an equivalent level of public services. Issues around the distribution of the GST and HFE </w:t>
      </w:r>
      <w:r w:rsidR="00081BE1" w:rsidRPr="009B6DD3">
        <w:t>have been</w:t>
      </w:r>
      <w:r w:rsidR="009D2F9F" w:rsidRPr="009B6DD3">
        <w:t xml:space="preserve"> considered in more detail in </w:t>
      </w:r>
      <w:r w:rsidR="00621E6D" w:rsidRPr="009B6DD3">
        <w:t>an</w:t>
      </w:r>
      <w:r w:rsidR="009D2F9F" w:rsidRPr="009B6DD3">
        <w:t xml:space="preserve"> </w:t>
      </w:r>
      <w:r w:rsidR="00E024E8" w:rsidRPr="009B6DD3">
        <w:t>issues</w:t>
      </w:r>
      <w:r w:rsidR="009D2F9F" w:rsidRPr="009B6DD3">
        <w:t xml:space="preserve"> paper on </w:t>
      </w:r>
      <w:r w:rsidR="00621E6D" w:rsidRPr="009B6DD3">
        <w:t xml:space="preserve">the </w:t>
      </w:r>
      <w:r w:rsidR="009D2F9F" w:rsidRPr="009B6DD3">
        <w:t>C</w:t>
      </w:r>
      <w:r w:rsidR="00A1484F" w:rsidRPr="009B6DD3">
        <w:t xml:space="preserve">ouncil </w:t>
      </w:r>
      <w:r w:rsidR="00143E7B" w:rsidRPr="009B6DD3">
        <w:t>o</w:t>
      </w:r>
      <w:r w:rsidR="00A1484F" w:rsidRPr="009B6DD3">
        <w:t xml:space="preserve">f </w:t>
      </w:r>
      <w:r w:rsidR="009D2F9F" w:rsidRPr="009B6DD3">
        <w:t>A</w:t>
      </w:r>
      <w:r w:rsidR="00A1484F" w:rsidRPr="009B6DD3">
        <w:t xml:space="preserve">ustralian </w:t>
      </w:r>
      <w:r w:rsidR="009D2F9F" w:rsidRPr="009B6DD3">
        <w:t>G</w:t>
      </w:r>
      <w:r w:rsidR="00A1484F" w:rsidRPr="009B6DD3">
        <w:t>overnments (COAG)</w:t>
      </w:r>
      <w:r w:rsidR="009D2F9F" w:rsidRPr="009B6DD3">
        <w:t xml:space="preserve"> and Federal Financial Relations, </w:t>
      </w:r>
      <w:r w:rsidR="00081BE1" w:rsidRPr="009B6DD3">
        <w:t>released</w:t>
      </w:r>
      <w:r w:rsidR="009D2F9F" w:rsidRPr="009B6DD3">
        <w:t xml:space="preserve"> as part</w:t>
      </w:r>
      <w:r w:rsidR="00276140" w:rsidRPr="009B6DD3">
        <w:t xml:space="preserve"> of the Federation White Paper</w:t>
      </w:r>
      <w:r w:rsidR="00B20AA2" w:rsidRPr="009B6DD3">
        <w:t xml:space="preserve"> process</w:t>
      </w:r>
      <w:r w:rsidR="00276140" w:rsidRPr="009B6DD3">
        <w:t>.</w:t>
      </w:r>
      <w:r w:rsidR="00081BE1" w:rsidRPr="009B6DD3">
        <w:t xml:space="preserve"> The issues paper is available at </w:t>
      </w:r>
      <w:hyperlink r:id="rId29" w:history="1">
        <w:r w:rsidR="00C42575" w:rsidRPr="002F3190">
          <w:rPr>
            <w:rStyle w:val="Hyperlink"/>
          </w:rPr>
          <w:t>www.federation.dpmc.gov.au</w:t>
        </w:r>
      </w:hyperlink>
      <w:r w:rsidR="00C42575">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BA550B" w:rsidRPr="009B6DD3" w14:paraId="1B90D1DE" w14:textId="77777777" w:rsidTr="00897847">
        <w:tc>
          <w:tcPr>
            <w:tcW w:w="9384" w:type="dxa"/>
          </w:tcPr>
          <w:p w14:paraId="1232A8B7" w14:textId="66B85F70" w:rsidR="00BA550B" w:rsidRPr="009B6DD3" w:rsidRDefault="00BA550B" w:rsidP="00897847">
            <w:pPr>
              <w:pStyle w:val="Questionheading"/>
              <w:ind w:right="113"/>
            </w:pPr>
            <w:r w:rsidRPr="009B6DD3">
              <w:t xml:space="preserve">Discussion questions: </w:t>
            </w:r>
          </w:p>
          <w:p w14:paraId="7657A639" w14:textId="5BB5DAEC" w:rsidR="00BA550B" w:rsidRPr="009B6DD3" w:rsidRDefault="00BA550B" w:rsidP="00D4747F">
            <w:pPr>
              <w:pStyle w:val="Questiontext"/>
            </w:pPr>
            <w:r w:rsidRPr="009B6DD3">
              <w:t>To what extent are the tax settings (</w:t>
            </w:r>
            <w:r w:rsidR="006D0F9D">
              <w:t>that is,</w:t>
            </w:r>
            <w:r w:rsidRPr="009B6DD3">
              <w:t xml:space="preserve"> the rate, base and administration) for the GST appropriate? What changes, if any, could be made to these settings to make a better tax system to delive</w:t>
            </w:r>
            <w:r w:rsidR="00D8772F">
              <w:t>r taxes that are lower, simpler</w:t>
            </w:r>
            <w:r w:rsidR="00E362B5">
              <w:t>,</w:t>
            </w:r>
            <w:r w:rsidR="006D0F9D">
              <w:t xml:space="preserve"> </w:t>
            </w:r>
            <w:r w:rsidRPr="009B6DD3">
              <w:t>fairer?</w:t>
            </w:r>
          </w:p>
        </w:tc>
      </w:tr>
    </w:tbl>
    <w:p w14:paraId="7C7160B9" w14:textId="77777777" w:rsidR="00BA550B" w:rsidRPr="009B6DD3" w:rsidRDefault="00BA550B" w:rsidP="003148AB"/>
    <w:p w14:paraId="0D03CBD3" w14:textId="77777777" w:rsidR="00545267" w:rsidRPr="009B6DD3" w:rsidRDefault="00545267" w:rsidP="00545267">
      <w:pPr>
        <w:pStyle w:val="SingleParagraph"/>
      </w:pPr>
    </w:p>
    <w:p w14:paraId="75B3817E" w14:textId="4F3435AA" w:rsidR="00B23D7C" w:rsidRPr="009B6DD3" w:rsidRDefault="000D531A" w:rsidP="00BA550B">
      <w:pPr>
        <w:pStyle w:val="Heading2"/>
      </w:pPr>
      <w:bookmarkStart w:id="311" w:name="_Toc406155422"/>
      <w:r w:rsidRPr="009B6DD3">
        <w:t>F</w:t>
      </w:r>
      <w:r w:rsidR="00B23D7C" w:rsidRPr="009B6DD3">
        <w:t>eatures of state (including local government) taxes</w:t>
      </w:r>
      <w:bookmarkEnd w:id="304"/>
      <w:bookmarkEnd w:id="305"/>
      <w:bookmarkEnd w:id="306"/>
      <w:bookmarkEnd w:id="307"/>
      <w:bookmarkEnd w:id="308"/>
      <w:bookmarkEnd w:id="309"/>
      <w:bookmarkEnd w:id="310"/>
      <w:bookmarkEnd w:id="311"/>
    </w:p>
    <w:p w14:paraId="027BB397" w14:textId="499AF91F" w:rsidR="00B23D7C" w:rsidRPr="009B6DD3" w:rsidRDefault="00B23D7C" w:rsidP="00BA550B">
      <w:r w:rsidRPr="009B6DD3">
        <w:t xml:space="preserve">All </w:t>
      </w:r>
      <w:r w:rsidR="006D0F9D">
        <w:t>s</w:t>
      </w:r>
      <w:r w:rsidRPr="009B6DD3">
        <w:t xml:space="preserve">tates and </w:t>
      </w:r>
      <w:r w:rsidR="006D0F9D">
        <w:t>t</w:t>
      </w:r>
      <w:r w:rsidRPr="009B6DD3">
        <w:t>erritories raise tax revenue from broadly the same range of taxes (noting the Northern Territory does not have a land tax), although each sets its own rates and thresholds</w:t>
      </w:r>
      <w:r w:rsidR="00F22E0B" w:rsidRPr="009B6DD3">
        <w:t>. A</w:t>
      </w:r>
      <w:r w:rsidRPr="009B6DD3">
        <w:t xml:space="preserve">s such, </w:t>
      </w:r>
      <w:r w:rsidR="00F22E0B" w:rsidRPr="009B6DD3">
        <w:t xml:space="preserve">each </w:t>
      </w:r>
      <w:r w:rsidRPr="009B6DD3">
        <w:t xml:space="preserve">has differing reliance on particular taxes. </w:t>
      </w:r>
    </w:p>
    <w:p w14:paraId="223E270B" w14:textId="77777777" w:rsidR="003148AB" w:rsidRPr="009B6DD3" w:rsidRDefault="003148AB">
      <w:pPr>
        <w:spacing w:after="0" w:line="240" w:lineRule="auto"/>
      </w:pPr>
      <w:r w:rsidRPr="009B6DD3">
        <w:br w:type="page"/>
      </w:r>
    </w:p>
    <w:p w14:paraId="4890DFE6" w14:textId="12AE9D95" w:rsidR="00545267" w:rsidRPr="009B6DD3" w:rsidRDefault="0016554A" w:rsidP="00BA550B">
      <w:r w:rsidRPr="009B6DD3">
        <w:lastRenderedPageBreak/>
        <w:t>In aggregate</w:t>
      </w:r>
      <w:r w:rsidR="00D34E65" w:rsidRPr="009B6DD3">
        <w:t xml:space="preserve">, </w:t>
      </w:r>
      <w:r w:rsidR="006D0F9D">
        <w:t>s</w:t>
      </w:r>
      <w:r w:rsidR="00B23D7C" w:rsidRPr="009B6DD3">
        <w:t xml:space="preserve">tates and </w:t>
      </w:r>
      <w:r w:rsidR="006D0F9D">
        <w:t>t</w:t>
      </w:r>
      <w:r w:rsidR="00B23D7C" w:rsidRPr="009B6DD3">
        <w:t>erritories generate about 31 per cent of their revenue thro</w:t>
      </w:r>
      <w:r w:rsidR="00B20AA2" w:rsidRPr="009B6DD3">
        <w:t xml:space="preserve">ugh </w:t>
      </w:r>
      <w:r w:rsidR="00E91D30">
        <w:t>s</w:t>
      </w:r>
      <w:r w:rsidR="00B23D7C" w:rsidRPr="009B6DD3">
        <w:t>tate taxes</w:t>
      </w:r>
      <w:r w:rsidR="00F64440" w:rsidRPr="009B6DD3">
        <w:t>.</w:t>
      </w:r>
      <w:r w:rsidR="00E263F8" w:rsidRPr="009B6DD3">
        <w:rPr>
          <w:rStyle w:val="FootnoteReference"/>
        </w:rPr>
        <w:footnoteReference w:id="22"/>
      </w:r>
      <w:r w:rsidR="00F64440" w:rsidRPr="009B6DD3">
        <w:t xml:space="preserve"> </w:t>
      </w:r>
      <w:r w:rsidR="00B23D7C" w:rsidRPr="009B6DD3">
        <w:t>Chart </w:t>
      </w:r>
      <w:r w:rsidR="00DD282B" w:rsidRPr="009B6DD3">
        <w:t>8</w:t>
      </w:r>
      <w:r w:rsidR="000D531A" w:rsidRPr="009B6DD3">
        <w:t>.</w:t>
      </w:r>
      <w:r w:rsidR="00A101DC" w:rsidRPr="009B6DD3">
        <w:t>7</w:t>
      </w:r>
      <w:r w:rsidR="00B23D7C" w:rsidRPr="009B6DD3">
        <w:t xml:space="preserve"> shows </w:t>
      </w:r>
      <w:r w:rsidR="00B20AA2" w:rsidRPr="009B6DD3">
        <w:t xml:space="preserve">the major sources of </w:t>
      </w:r>
      <w:r w:rsidR="00E91D30">
        <w:t>s</w:t>
      </w:r>
      <w:r w:rsidR="004A127B" w:rsidRPr="009B6DD3">
        <w:t xml:space="preserve">tate and local government </w:t>
      </w:r>
      <w:r w:rsidR="00B23D7C" w:rsidRPr="009B6DD3">
        <w:t>tax revenue</w:t>
      </w:r>
      <w:r w:rsidR="00F64440" w:rsidRPr="009B6DD3">
        <w:t xml:space="preserve">. </w:t>
      </w:r>
      <w:r w:rsidR="004A127B" w:rsidRPr="009B6DD3">
        <w:t>The chart shows the majority of state tax revenue comes from payroll taxes and stamp duties on conveyances</w:t>
      </w:r>
      <w:r w:rsidR="00F64440" w:rsidRPr="009B6DD3">
        <w:t xml:space="preserve">. </w:t>
      </w:r>
      <w:r w:rsidR="004A127B" w:rsidRPr="009B6DD3">
        <w:t xml:space="preserve">Municipal rates are the sole source of local government </w:t>
      </w:r>
      <w:r w:rsidRPr="009B6DD3">
        <w:t xml:space="preserve">tax </w:t>
      </w:r>
      <w:r w:rsidR="004A127B" w:rsidRPr="009B6DD3">
        <w:t>revenue.</w:t>
      </w:r>
      <w:r w:rsidR="00DA4B3A" w:rsidRPr="009B6DD3">
        <w:t xml:space="preserve"> </w:t>
      </w:r>
    </w:p>
    <w:p w14:paraId="2AA62209" w14:textId="7709C41B" w:rsidR="00DA4B3A" w:rsidRPr="009B6DD3" w:rsidRDefault="00545267" w:rsidP="00545267">
      <w:pPr>
        <w:pStyle w:val="ChartMainHeading"/>
      </w:pPr>
      <w:r w:rsidRPr="009B6DD3">
        <w:t xml:space="preserve">Chart </w:t>
      </w:r>
      <w:fldSimple w:instr=" STYLEREF 1 \s ">
        <w:r w:rsidR="00B51480">
          <w:rPr>
            <w:noProof/>
          </w:rPr>
          <w:t>8</w:t>
        </w:r>
      </w:fldSimple>
      <w:r w:rsidR="00870BFF" w:rsidRPr="009B6DD3">
        <w:t>.</w:t>
      </w:r>
      <w:r w:rsidR="00A57EA3" w:rsidRPr="009B6DD3">
        <w:t>7</w:t>
      </w:r>
      <w:r w:rsidRPr="009B6DD3">
        <w:t xml:space="preserve"> </w:t>
      </w:r>
      <w:r w:rsidR="007A2772" w:rsidRPr="009B6DD3">
        <w:t>S</w:t>
      </w:r>
      <w:r w:rsidR="00DA4B3A" w:rsidRPr="009B6DD3">
        <w:t xml:space="preserve">ources of </w:t>
      </w:r>
      <w:r w:rsidR="00E91D30">
        <w:t>s</w:t>
      </w:r>
      <w:r w:rsidR="00DA4B3A" w:rsidRPr="009B6DD3">
        <w:t>tate</w:t>
      </w:r>
      <w:r w:rsidR="00B20AA2" w:rsidRPr="009B6DD3">
        <w:t>,</w:t>
      </w:r>
      <w:r w:rsidR="00DA4B3A" w:rsidRPr="009B6DD3">
        <w:t xml:space="preserve"> </w:t>
      </w:r>
      <w:r w:rsidR="00E91D30">
        <w:t>t</w:t>
      </w:r>
      <w:r w:rsidR="007A2772" w:rsidRPr="009B6DD3">
        <w:t xml:space="preserve">erritory </w:t>
      </w:r>
      <w:r w:rsidR="00DA4B3A" w:rsidRPr="009B6DD3">
        <w:t>and local government tax revenue, 2012</w:t>
      </w:r>
      <w:r w:rsidR="00435E86">
        <w:noBreakHyphen/>
      </w:r>
      <w:r w:rsidR="00DA4B3A" w:rsidRPr="009B6DD3">
        <w:t>13</w:t>
      </w:r>
    </w:p>
    <w:bookmarkStart w:id="312" w:name="_1478525910"/>
    <w:bookmarkStart w:id="313" w:name="_1479026314"/>
    <w:bookmarkStart w:id="314" w:name="_1479026522"/>
    <w:bookmarkStart w:id="315" w:name="_1479027202"/>
    <w:bookmarkStart w:id="316" w:name="_1479030217"/>
    <w:bookmarkStart w:id="317" w:name="_1479035088"/>
    <w:bookmarkStart w:id="318" w:name="_1479037104"/>
    <w:bookmarkStart w:id="319" w:name="_1479043928"/>
    <w:bookmarkStart w:id="320" w:name="_1479293464"/>
    <w:bookmarkStart w:id="321" w:name="_1479293772"/>
    <w:bookmarkStart w:id="322" w:name="_1479294263"/>
    <w:bookmarkStart w:id="323" w:name="_1479548955"/>
    <w:bookmarkStart w:id="324" w:name="_1479566103"/>
    <w:bookmarkStart w:id="325" w:name="_1479566935"/>
    <w:bookmarkStart w:id="326" w:name="_1479566582"/>
    <w:bookmarkStart w:id="327" w:name="_1479566837"/>
    <w:bookmarkStart w:id="328" w:name="_1479644241"/>
    <w:bookmarkStart w:id="329" w:name="_1479731253"/>
    <w:bookmarkStart w:id="330" w:name="_1479732024"/>
    <w:bookmarkStart w:id="331" w:name="_1479732345"/>
    <w:bookmarkStart w:id="332" w:name="_1479731839"/>
    <w:bookmarkStart w:id="333" w:name="_1479731355"/>
    <w:bookmarkStart w:id="334" w:name="_1479731605"/>
    <w:bookmarkStart w:id="335" w:name="_1479732037"/>
    <w:bookmarkStart w:id="336" w:name="_1479736150"/>
    <w:bookmarkStart w:id="337" w:name="_1479733793"/>
    <w:bookmarkStart w:id="338" w:name="_1479737047"/>
    <w:bookmarkStart w:id="339" w:name="_1479737903"/>
    <w:bookmarkStart w:id="340" w:name="_1479737301"/>
    <w:bookmarkStart w:id="341" w:name="_1479737874"/>
    <w:bookmarkStart w:id="342" w:name="_1479737586"/>
    <w:bookmarkStart w:id="343" w:name="_1479837810"/>
    <w:bookmarkStart w:id="344" w:name="_1479882324"/>
    <w:bookmarkStart w:id="345" w:name="_1479897278"/>
    <w:bookmarkStart w:id="346" w:name="_1479995472"/>
    <w:bookmarkStart w:id="347" w:name="_1480143047"/>
    <w:bookmarkStart w:id="348" w:name="_1480150222"/>
    <w:bookmarkStart w:id="349" w:name="_1480152577"/>
    <w:bookmarkStart w:id="350" w:name="_1480153962"/>
    <w:bookmarkStart w:id="351" w:name="_1480160218"/>
    <w:bookmarkStart w:id="352" w:name="_148016205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14:paraId="3D6B8FF1" w14:textId="1FF5E155" w:rsidR="004A127B" w:rsidRPr="009B6DD3" w:rsidRDefault="004E667B" w:rsidP="004E667B">
      <w:pPr>
        <w:pStyle w:val="ChartGraphic"/>
      </w:pPr>
      <w:r>
        <w:fldChar w:fldCharType="begin" w:fldLock="1"/>
      </w:r>
      <w:r>
        <w:instrText xml:space="preserve"> LINK Excel.Sheet.12 "" "" \a \p </w:instrText>
      </w:r>
      <w:r>
        <w:fldChar w:fldCharType="separate"/>
      </w:r>
      <w:r w:rsidR="00A51D14">
        <w:object w:dxaOrig="11712" w:dyaOrig="8294" w14:anchorId="40A52DBD">
          <v:shape id="_x0000_i1031" type="#_x0000_t75" alt="Chart 8.7  Sources of state, territory and local government tax revenue, 2012-13.&#10;&#10;This is a two column chart. The left column shows sources of State and Territory Tax revenue. Reading from the bottom it is split between land tax of around $6 billion, stamp duties on conveyances of around $13 billion, other property taxes of around $3 billion, payroll tax of around $21 billion, taxes on goods and services of around $11 billion and other taxes of around $10 billion.&#10;The right column shows local government revenue which shows that all of the around $14 billion local government tax revenue in 2012-13 came from municipal rates.&#10;" style="width:438.75pt;height:312pt">
            <v:imagedata r:id="rId30" o:title=""/>
          </v:shape>
        </w:object>
      </w:r>
      <w:r>
        <w:fldChar w:fldCharType="end"/>
      </w:r>
      <w:r w:rsidR="00E91D30">
        <w:br/>
      </w:r>
    </w:p>
    <w:p w14:paraId="61316BF9" w14:textId="2C6C7525" w:rsidR="007A1641" w:rsidRPr="00E91D30" w:rsidRDefault="007A1641" w:rsidP="003148AB">
      <w:pPr>
        <w:pStyle w:val="ChartandTableFootnoteAlpha"/>
        <w:tabs>
          <w:tab w:val="clear" w:pos="360"/>
          <w:tab w:val="num" w:pos="709"/>
        </w:tabs>
        <w:ind w:left="284"/>
        <w:rPr>
          <w:sz w:val="18"/>
          <w:szCs w:val="18"/>
        </w:rPr>
      </w:pPr>
      <w:bookmarkStart w:id="353" w:name="tempbookmark"/>
      <w:bookmarkEnd w:id="353"/>
      <w:r w:rsidRPr="00E91D30">
        <w:rPr>
          <w:sz w:val="18"/>
          <w:szCs w:val="18"/>
        </w:rPr>
        <w:tab/>
      </w:r>
      <w:r w:rsidR="007A2772" w:rsidRPr="00E91D30">
        <w:rPr>
          <w:sz w:val="18"/>
          <w:szCs w:val="18"/>
        </w:rPr>
        <w:t>Primarily motor vehicle taxes.</w:t>
      </w:r>
      <w:r w:rsidR="007A2772" w:rsidRPr="00E91D30" w:rsidDel="007A2772">
        <w:rPr>
          <w:sz w:val="18"/>
          <w:szCs w:val="18"/>
        </w:rPr>
        <w:t xml:space="preserve"> </w:t>
      </w:r>
    </w:p>
    <w:p w14:paraId="6E015F53" w14:textId="266DA060" w:rsidR="007A1641" w:rsidRPr="00E91D30" w:rsidRDefault="007A1641" w:rsidP="003148AB">
      <w:pPr>
        <w:pStyle w:val="ChartandTableFootnoteAlpha"/>
        <w:tabs>
          <w:tab w:val="clear" w:pos="360"/>
          <w:tab w:val="num" w:pos="709"/>
        </w:tabs>
        <w:ind w:left="284"/>
        <w:rPr>
          <w:sz w:val="18"/>
          <w:szCs w:val="18"/>
        </w:rPr>
      </w:pPr>
      <w:r w:rsidRPr="00E91D30">
        <w:rPr>
          <w:sz w:val="18"/>
          <w:szCs w:val="18"/>
        </w:rPr>
        <w:tab/>
      </w:r>
      <w:r w:rsidR="007A2772" w:rsidRPr="00E91D30">
        <w:rPr>
          <w:sz w:val="18"/>
          <w:szCs w:val="18"/>
        </w:rPr>
        <w:t>Primarily gambling and insurance taxes.</w:t>
      </w:r>
      <w:r w:rsidR="002C0D3A" w:rsidRPr="00E91D30">
        <w:rPr>
          <w:sz w:val="18"/>
          <w:szCs w:val="18"/>
        </w:rPr>
        <w:t xml:space="preserve"> This does not include GST revenue. </w:t>
      </w:r>
    </w:p>
    <w:p w14:paraId="2CB1CE94" w14:textId="5C6352EE" w:rsidR="002E51B1" w:rsidRPr="009B6DD3" w:rsidRDefault="007A1641" w:rsidP="003148AB">
      <w:pPr>
        <w:pStyle w:val="ChartorTableNote"/>
        <w:ind w:left="284"/>
      </w:pPr>
      <w:r w:rsidRPr="009B6DD3">
        <w:t xml:space="preserve">Note: </w:t>
      </w:r>
      <w:r w:rsidR="002E51B1" w:rsidRPr="009B6DD3">
        <w:t>Figures are for 2012</w:t>
      </w:r>
      <w:r w:rsidR="00435E86">
        <w:noBreakHyphen/>
      </w:r>
      <w:r w:rsidR="002E51B1" w:rsidRPr="009B6DD3">
        <w:t xml:space="preserve">13, as this is the most recent year local </w:t>
      </w:r>
      <w:r w:rsidR="007B5006" w:rsidRPr="009B6DD3">
        <w:t>government data is available</w:t>
      </w:r>
      <w:r w:rsidR="00F64440" w:rsidRPr="009B6DD3">
        <w:t xml:space="preserve">. </w:t>
      </w:r>
    </w:p>
    <w:p w14:paraId="587D57DC" w14:textId="3CC6FB46" w:rsidR="00545267" w:rsidRPr="009B6DD3" w:rsidRDefault="00C970B3" w:rsidP="003148AB">
      <w:pPr>
        <w:pStyle w:val="ChartorTableNote"/>
        <w:ind w:left="284"/>
      </w:pPr>
      <w:r w:rsidRPr="009B6DD3">
        <w:t xml:space="preserve">Source: </w:t>
      </w:r>
      <w:r w:rsidR="00EB260D" w:rsidRPr="009B6DD3">
        <w:t>ABS</w:t>
      </w:r>
      <w:r w:rsidRPr="009B6DD3">
        <w:t xml:space="preserve"> 2014, </w:t>
      </w:r>
      <w:r w:rsidRPr="009B6DD3">
        <w:rPr>
          <w:i/>
        </w:rPr>
        <w:t>Taxation Revenue, Australia, 2012</w:t>
      </w:r>
      <w:r w:rsidR="00435E86">
        <w:rPr>
          <w:i/>
        </w:rPr>
        <w:noBreakHyphen/>
      </w:r>
      <w:r w:rsidRPr="009B6DD3">
        <w:rPr>
          <w:i/>
        </w:rPr>
        <w:t>13</w:t>
      </w:r>
      <w:r w:rsidRPr="009B6DD3">
        <w:t xml:space="preserve">, </w:t>
      </w:r>
      <w:r w:rsidR="00EB260D" w:rsidRPr="009B6DD3">
        <w:t>cat. no.</w:t>
      </w:r>
      <w:r w:rsidR="00C64183" w:rsidRPr="009B6DD3">
        <w:t> </w:t>
      </w:r>
      <w:r w:rsidRPr="009B6DD3">
        <w:t xml:space="preserve">5506.0, </w:t>
      </w:r>
      <w:r w:rsidR="00EB260D" w:rsidRPr="009B6DD3">
        <w:t>ABS</w:t>
      </w:r>
      <w:r w:rsidRPr="009B6DD3">
        <w:t>, Canberra.</w:t>
      </w:r>
    </w:p>
    <w:p w14:paraId="1DEDC7DC" w14:textId="77777777" w:rsidR="007A1641" w:rsidRPr="009B6DD3" w:rsidRDefault="007A1641" w:rsidP="003148AB"/>
    <w:p w14:paraId="13D79177" w14:textId="4A991E2F" w:rsidR="00545267" w:rsidRPr="009B6DD3" w:rsidRDefault="004A127B" w:rsidP="00881A48">
      <w:pPr>
        <w:spacing w:after="0"/>
      </w:pPr>
      <w:r w:rsidRPr="009B6DD3">
        <w:t xml:space="preserve">Looking more closely at state taxes, </w:t>
      </w:r>
      <w:r w:rsidR="00F65847" w:rsidRPr="009B6DD3">
        <w:t>C</w:t>
      </w:r>
      <w:r w:rsidR="00B23D7C" w:rsidRPr="009B6DD3">
        <w:t xml:space="preserve">hart </w:t>
      </w:r>
      <w:r w:rsidR="00DD282B" w:rsidRPr="009B6DD3">
        <w:t>8</w:t>
      </w:r>
      <w:r w:rsidR="00B965F6" w:rsidRPr="009B6DD3">
        <w:t>.</w:t>
      </w:r>
      <w:r w:rsidR="00A101DC" w:rsidRPr="009B6DD3">
        <w:t>8</w:t>
      </w:r>
      <w:r w:rsidR="00B965F6" w:rsidRPr="009B6DD3">
        <w:t xml:space="preserve"> </w:t>
      </w:r>
      <w:r w:rsidR="00B23D7C" w:rsidRPr="009B6DD3">
        <w:t xml:space="preserve">shows </w:t>
      </w:r>
      <w:r w:rsidR="0010465A" w:rsidRPr="009B6DD3">
        <w:t xml:space="preserve">about </w:t>
      </w:r>
      <w:r w:rsidR="00D614CE" w:rsidRPr="009B6DD3">
        <w:t>two</w:t>
      </w:r>
      <w:r w:rsidR="00435E86">
        <w:noBreakHyphen/>
      </w:r>
      <w:r w:rsidR="00D614CE" w:rsidRPr="009B6DD3">
        <w:t>thirds</w:t>
      </w:r>
      <w:r w:rsidR="00B23D7C" w:rsidRPr="009B6DD3">
        <w:t xml:space="preserve"> of state tax revenue is generated from payroll tax and stamp duties on conveyances</w:t>
      </w:r>
      <w:r w:rsidR="0016554A" w:rsidRPr="009B6DD3">
        <w:t>,</w:t>
      </w:r>
      <w:r w:rsidR="00B23D7C" w:rsidRPr="009B6DD3">
        <w:t xml:space="preserve"> vehicle</w:t>
      </w:r>
      <w:r w:rsidR="000152DD" w:rsidRPr="009B6DD3">
        <w:t xml:space="preserve"> registration</w:t>
      </w:r>
      <w:r w:rsidR="00B23D7C" w:rsidRPr="009B6DD3">
        <w:t>,</w:t>
      </w:r>
      <w:r w:rsidR="0016554A" w:rsidRPr="009B6DD3">
        <w:t xml:space="preserve"> and insurance taxes,</w:t>
      </w:r>
      <w:r w:rsidR="00B23D7C" w:rsidRPr="009B6DD3">
        <w:t xml:space="preserve"> with taxes on land</w:t>
      </w:r>
      <w:r w:rsidR="00DB2B47" w:rsidRPr="009B6DD3">
        <w:t>,</w:t>
      </w:r>
      <w:r w:rsidR="00B23D7C" w:rsidRPr="009B6DD3">
        <w:t xml:space="preserve"> gambling</w:t>
      </w:r>
      <w:r w:rsidR="00DB2B47" w:rsidRPr="009B6DD3">
        <w:t>,</w:t>
      </w:r>
      <w:r w:rsidR="00B23D7C" w:rsidRPr="009B6DD3">
        <w:t xml:space="preserve"> </w:t>
      </w:r>
      <w:r w:rsidR="000152DD" w:rsidRPr="009B6DD3">
        <w:t>motor vehicles</w:t>
      </w:r>
      <w:r w:rsidR="007C1F41" w:rsidRPr="009B6DD3">
        <w:t xml:space="preserve"> </w:t>
      </w:r>
      <w:r w:rsidR="00C315D7" w:rsidRPr="009B6DD3">
        <w:t xml:space="preserve">and other taxes </w:t>
      </w:r>
      <w:r w:rsidR="00B23D7C" w:rsidRPr="009B6DD3">
        <w:t xml:space="preserve">making up around </w:t>
      </w:r>
      <w:r w:rsidR="00D07E16" w:rsidRPr="009B6DD3">
        <w:t>one</w:t>
      </w:r>
      <w:r w:rsidR="00D62E37" w:rsidRPr="009B6DD3">
        <w:t xml:space="preserve"> </w:t>
      </w:r>
      <w:r w:rsidR="00043C54" w:rsidRPr="009B6DD3">
        <w:t>third</w:t>
      </w:r>
      <w:r w:rsidR="0010465A" w:rsidRPr="009B6DD3">
        <w:t xml:space="preserve"> of state tax revenue</w:t>
      </w:r>
      <w:r w:rsidR="00F64440" w:rsidRPr="009B6DD3">
        <w:t xml:space="preserve">. </w:t>
      </w:r>
    </w:p>
    <w:p w14:paraId="36A6ABF8" w14:textId="6333351A" w:rsidR="0010465A" w:rsidRPr="009B6DD3" w:rsidRDefault="00545267" w:rsidP="00545267">
      <w:pPr>
        <w:pStyle w:val="ChartMainHeading"/>
      </w:pPr>
      <w:r w:rsidRPr="009B6DD3">
        <w:lastRenderedPageBreak/>
        <w:t xml:space="preserve">Chart </w:t>
      </w:r>
      <w:fldSimple w:instr=" STYLEREF 1 \s ">
        <w:r w:rsidR="00B51480">
          <w:rPr>
            <w:noProof/>
          </w:rPr>
          <w:t>8</w:t>
        </w:r>
      </w:fldSimple>
      <w:r w:rsidR="00870BFF" w:rsidRPr="009B6DD3">
        <w:t>.</w:t>
      </w:r>
      <w:r w:rsidR="00A57EA3" w:rsidRPr="009B6DD3">
        <w:t>8</w:t>
      </w:r>
      <w:r w:rsidRPr="009B6DD3">
        <w:t xml:space="preserve"> </w:t>
      </w:r>
      <w:r w:rsidR="00B20AA2" w:rsidRPr="009B6DD3">
        <w:t xml:space="preserve">Sources of </w:t>
      </w:r>
      <w:r w:rsidR="00E91D30">
        <w:t>s</w:t>
      </w:r>
      <w:r w:rsidR="00DA4B3A" w:rsidRPr="009B6DD3">
        <w:t>tate and</w:t>
      </w:r>
      <w:r w:rsidR="00E91D30">
        <w:t xml:space="preserve"> t</w:t>
      </w:r>
      <w:r w:rsidR="00B23D7C" w:rsidRPr="009B6DD3">
        <w:t>erritory tax revenue</w:t>
      </w:r>
      <w:r w:rsidR="00DA4B3A" w:rsidRPr="009B6DD3">
        <w:t>, 2013</w:t>
      </w:r>
      <w:r w:rsidR="00435E86">
        <w:noBreakHyphen/>
      </w:r>
      <w:r w:rsidR="00DA4B3A" w:rsidRPr="009B6DD3">
        <w:t>14</w:t>
      </w:r>
    </w:p>
    <w:bookmarkStart w:id="354" w:name="_1479039168"/>
    <w:bookmarkStart w:id="355" w:name="_1479112459"/>
    <w:bookmarkStart w:id="356" w:name="_1479113339"/>
    <w:bookmarkStart w:id="357" w:name="_1479113538"/>
    <w:bookmarkStart w:id="358" w:name="_1479118385"/>
    <w:bookmarkStart w:id="359" w:name="_1479123291"/>
    <w:bookmarkStart w:id="360" w:name="_1479293776"/>
    <w:bookmarkStart w:id="361" w:name="_1479294266"/>
    <w:bookmarkStart w:id="362" w:name="_1479297256"/>
    <w:bookmarkStart w:id="363" w:name="_1479298557"/>
    <w:bookmarkStart w:id="364" w:name="_1479548956"/>
    <w:bookmarkStart w:id="365" w:name="_1479566105"/>
    <w:bookmarkStart w:id="366" w:name="_1479566583"/>
    <w:bookmarkStart w:id="367" w:name="_1479566937"/>
    <w:bookmarkStart w:id="368" w:name="_1479566838"/>
    <w:bookmarkStart w:id="369" w:name="_1479644243"/>
    <w:bookmarkStart w:id="370" w:name="_1479731256"/>
    <w:bookmarkStart w:id="371" w:name="_1479732027"/>
    <w:bookmarkStart w:id="372" w:name="_1479732348"/>
    <w:bookmarkStart w:id="373" w:name="_1479731841"/>
    <w:bookmarkStart w:id="374" w:name="_1479731358"/>
    <w:bookmarkStart w:id="375" w:name="_1479731608"/>
    <w:bookmarkStart w:id="376" w:name="_1479732040"/>
    <w:bookmarkStart w:id="377" w:name="_1479736152"/>
    <w:bookmarkStart w:id="378" w:name="_1479733796"/>
    <w:bookmarkStart w:id="379" w:name="_1479737048"/>
    <w:bookmarkStart w:id="380" w:name="_1479737904"/>
    <w:bookmarkStart w:id="381" w:name="_1479737302"/>
    <w:bookmarkStart w:id="382" w:name="_1479737875"/>
    <w:bookmarkStart w:id="383" w:name="_1479737588"/>
    <w:bookmarkStart w:id="384" w:name="_1479837812"/>
    <w:bookmarkStart w:id="385" w:name="_1479882327"/>
    <w:bookmarkStart w:id="386" w:name="_1479897280"/>
    <w:bookmarkStart w:id="387" w:name="_1479995475"/>
    <w:bookmarkStart w:id="388" w:name="_1480143049"/>
    <w:bookmarkStart w:id="389" w:name="_1480150223"/>
    <w:bookmarkStart w:id="390" w:name="_1480152580"/>
    <w:bookmarkStart w:id="391" w:name="_1480153964"/>
    <w:bookmarkStart w:id="392" w:name="_1480160221"/>
    <w:bookmarkStart w:id="393" w:name="_1480162060"/>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14:paraId="6714C81A" w14:textId="4377AF1C" w:rsidR="006525C0" w:rsidRPr="009B6DD3" w:rsidRDefault="00D90991" w:rsidP="0065380F">
      <w:pPr>
        <w:pStyle w:val="ChartGraphic"/>
      </w:pPr>
      <w:r>
        <w:fldChar w:fldCharType="begin" w:fldLock="1"/>
      </w:r>
      <w:r>
        <w:instrText xml:space="preserve"> LINK Excel.Sheet.12 "" "" \a \p </w:instrText>
      </w:r>
      <w:r>
        <w:fldChar w:fldCharType="separate"/>
      </w:r>
      <w:r w:rsidR="00A51D14">
        <w:object w:dxaOrig="11731" w:dyaOrig="5296" w14:anchorId="2E7D99C0">
          <v:shape id="_x0000_i1032" type="#_x0000_t75" alt="Chart 8.8 Sources of state and territory tax revenue, 2013-14.&#10;&#10;This pie chart shows all of the major sources of state and territory tax revenue. It shows that payroll tax makes up 31 per cent of total state and territory tax revenue in 2013-14, Stamp duty on conveyances 24 per cent, motor vehicle taxes 10 per cent, motor vehicle — stamp duty on vehicle registration 4 per cent, land tax 9 per cent, insurance tax 8 per cent, gambling tax 8 per cent and other taxes 6 per cent.&#10;" style="width:439.5pt;height:198.75pt;mso-position-vertical:absolute">
            <v:imagedata r:id="rId31" o:title=""/>
          </v:shape>
        </w:object>
      </w:r>
      <w:r>
        <w:fldChar w:fldCharType="end"/>
      </w:r>
    </w:p>
    <w:p w14:paraId="2FA31E4E" w14:textId="6BD3C6B8" w:rsidR="00884AD0" w:rsidRDefault="00542248" w:rsidP="003148AB">
      <w:pPr>
        <w:pStyle w:val="ChartandTableNote"/>
        <w:ind w:left="709"/>
      </w:pPr>
      <w:r w:rsidRPr="009B6DD3">
        <w:t xml:space="preserve">Source: </w:t>
      </w:r>
      <w:r w:rsidR="008A41EA" w:rsidRPr="009B6DD3">
        <w:t xml:space="preserve">Treasury calculations </w:t>
      </w:r>
      <w:r w:rsidR="00912A4C" w:rsidRPr="009B6DD3">
        <w:t>using</w:t>
      </w:r>
      <w:r w:rsidR="008A41EA" w:rsidRPr="009B6DD3">
        <w:t xml:space="preserve"> </w:t>
      </w:r>
      <w:r w:rsidR="00E91D30">
        <w:t>state and t</w:t>
      </w:r>
      <w:r w:rsidR="007A2772" w:rsidRPr="009B6DD3">
        <w:t>erritory 2013</w:t>
      </w:r>
      <w:r w:rsidR="00435E86">
        <w:noBreakHyphen/>
      </w:r>
      <w:r w:rsidR="007A2772" w:rsidRPr="009B6DD3">
        <w:t xml:space="preserve">14 </w:t>
      </w:r>
      <w:r w:rsidR="00E91D30">
        <w:t>f</w:t>
      </w:r>
      <w:r w:rsidR="007A2772" w:rsidRPr="009B6DD3">
        <w:t xml:space="preserve">inal </w:t>
      </w:r>
      <w:r w:rsidR="00E91D30">
        <w:t>budget o</w:t>
      </w:r>
      <w:r w:rsidR="007A2772" w:rsidRPr="009B6DD3">
        <w:t>utcomes</w:t>
      </w:r>
      <w:r w:rsidR="007A2772" w:rsidRPr="009B6DD3">
        <w:rPr>
          <w:i/>
        </w:rPr>
        <w:t xml:space="preserve"> </w:t>
      </w:r>
      <w:r w:rsidR="007A2772" w:rsidRPr="009B6DD3">
        <w:t>(or equivalent</w:t>
      </w:r>
      <w:r w:rsidR="00912A4C" w:rsidRPr="009B6DD3">
        <w:t>s</w:t>
      </w:r>
      <w:r w:rsidR="007A2772" w:rsidRPr="009B6DD3">
        <w:t>) and 2014</w:t>
      </w:r>
      <w:r w:rsidR="00435E86">
        <w:noBreakHyphen/>
      </w:r>
      <w:r w:rsidR="007A2772" w:rsidRPr="009B6DD3">
        <w:t xml:space="preserve">15 </w:t>
      </w:r>
      <w:r w:rsidR="00E91D30">
        <w:t>s</w:t>
      </w:r>
      <w:r w:rsidR="000C6C8A" w:rsidRPr="009B6DD3">
        <w:t xml:space="preserve">tate and </w:t>
      </w:r>
      <w:r w:rsidR="00E91D30">
        <w:t>t</w:t>
      </w:r>
      <w:r w:rsidR="000C6C8A" w:rsidRPr="009B6DD3">
        <w:t xml:space="preserve">erritory </w:t>
      </w:r>
      <w:r w:rsidR="00E91D30">
        <w:t>b</w:t>
      </w:r>
      <w:r w:rsidR="007A2772" w:rsidRPr="009B6DD3">
        <w:t>udgets</w:t>
      </w:r>
      <w:bookmarkStart w:id="394" w:name="_Toc403555877"/>
      <w:r w:rsidR="007A2772" w:rsidRPr="009B6DD3">
        <w:t>.</w:t>
      </w:r>
      <w:r w:rsidR="008A41EA" w:rsidRPr="009B6DD3">
        <w:rPr>
          <w:rStyle w:val="FootnoteReference"/>
        </w:rPr>
        <w:footnoteReference w:id="23"/>
      </w:r>
      <w:r w:rsidR="004B0603" w:rsidRPr="009B6DD3">
        <w:t xml:space="preserve"> </w:t>
      </w:r>
    </w:p>
    <w:p w14:paraId="4642B6D4" w14:textId="6B1DAA56" w:rsidR="003148AB" w:rsidRPr="00576018" w:rsidRDefault="00576018" w:rsidP="00576018">
      <w:pPr>
        <w:ind w:firstLine="709"/>
        <w:rPr>
          <w:color w:val="000000" w:themeColor="text1"/>
          <w:sz w:val="18"/>
        </w:rPr>
      </w:pPr>
      <w:r w:rsidRPr="00576018">
        <w:rPr>
          <w:color w:val="000000" w:themeColor="text1"/>
          <w:sz w:val="18"/>
        </w:rPr>
        <w:t>Note</w:t>
      </w:r>
      <w:r>
        <w:rPr>
          <w:color w:val="000000" w:themeColor="text1"/>
          <w:sz w:val="18"/>
        </w:rPr>
        <w:t xml:space="preserve">: </w:t>
      </w:r>
      <w:r w:rsidR="00435E86">
        <w:rPr>
          <w:color w:val="000000" w:themeColor="text1"/>
          <w:sz w:val="18"/>
        </w:rPr>
        <w:t>‘</w:t>
      </w:r>
      <w:r>
        <w:rPr>
          <w:color w:val="000000" w:themeColor="text1"/>
          <w:sz w:val="18"/>
        </w:rPr>
        <w:t>Motor vehicle taxes</w:t>
      </w:r>
      <w:r w:rsidR="00435E86">
        <w:rPr>
          <w:color w:val="000000" w:themeColor="text1"/>
          <w:sz w:val="18"/>
        </w:rPr>
        <w:t>’</w:t>
      </w:r>
      <w:r>
        <w:rPr>
          <w:color w:val="000000" w:themeColor="text1"/>
          <w:sz w:val="18"/>
        </w:rPr>
        <w:t xml:space="preserve"> excludes stamp duty on vehicle registration</w:t>
      </w:r>
      <w:r w:rsidR="009B0A3A">
        <w:rPr>
          <w:color w:val="000000" w:themeColor="text1"/>
          <w:sz w:val="18"/>
        </w:rPr>
        <w:t xml:space="preserve">. </w:t>
      </w:r>
    </w:p>
    <w:p w14:paraId="2A6210CA" w14:textId="05E0FF60" w:rsidR="0010465A" w:rsidRPr="009B6DD3" w:rsidRDefault="0010465A" w:rsidP="0010465A">
      <w:r w:rsidRPr="009B6DD3">
        <w:t>Some studies have suggested there are significant economic gains associated with state tax reform</w:t>
      </w:r>
      <w:r w:rsidR="00F64440" w:rsidRPr="009B6DD3">
        <w:t xml:space="preserve">. </w:t>
      </w:r>
      <w:r w:rsidRPr="009B6DD3">
        <w:t>For example, Independent Economics and the 2011 NSW Financial Audit both estimated that replacing stamp duties on conveyancing with broad</w:t>
      </w:r>
      <w:r w:rsidR="00435E86">
        <w:noBreakHyphen/>
      </w:r>
      <w:r w:rsidRPr="009B6DD3">
        <w:t>based land tax could generate long</w:t>
      </w:r>
      <w:r w:rsidR="00435E86">
        <w:noBreakHyphen/>
      </w:r>
      <w:r w:rsidRPr="009B6DD3">
        <w:t>run gains to economic activity of about 1.3 per cent.</w:t>
      </w:r>
      <w:r w:rsidR="009F0E18" w:rsidRPr="009B6DD3">
        <w:rPr>
          <w:rStyle w:val="FootnoteReference"/>
        </w:rPr>
        <w:footnoteReference w:id="24"/>
      </w:r>
    </w:p>
    <w:p w14:paraId="2EDAFF2F" w14:textId="77777777" w:rsidR="00432B15" w:rsidRPr="009B6DD3" w:rsidRDefault="00432B15" w:rsidP="009127FC">
      <w:pPr>
        <w:pStyle w:val="Heading3"/>
      </w:pPr>
      <w:bookmarkStart w:id="395" w:name="_Toc406155423"/>
      <w:r w:rsidRPr="009B6DD3">
        <w:t>Payroll tax</w:t>
      </w:r>
      <w:bookmarkEnd w:id="5"/>
      <w:bookmarkEnd w:id="6"/>
      <w:bookmarkEnd w:id="7"/>
      <w:bookmarkEnd w:id="8"/>
      <w:bookmarkEnd w:id="9"/>
      <w:bookmarkEnd w:id="10"/>
      <w:bookmarkEnd w:id="394"/>
      <w:bookmarkEnd w:id="395"/>
    </w:p>
    <w:p w14:paraId="732E69B0" w14:textId="29AD751C" w:rsidR="00432B15" w:rsidRPr="009B6DD3" w:rsidRDefault="00432B15" w:rsidP="003148AB">
      <w:r w:rsidRPr="009B6DD3">
        <w:t>Payroll tax is levied on employers and is based on</w:t>
      </w:r>
      <w:r w:rsidR="00DA2209" w:rsidRPr="009B6DD3">
        <w:t xml:space="preserve"> components of employee remuneration</w:t>
      </w:r>
      <w:r w:rsidR="008454FE" w:rsidRPr="009B6DD3">
        <w:t>.</w:t>
      </w:r>
      <w:r w:rsidR="00B143CD" w:rsidRPr="009B6DD3">
        <w:t xml:space="preserve"> </w:t>
      </w:r>
      <w:r w:rsidRPr="009B6DD3">
        <w:t>Payroll taxes are legally imposed on business</w:t>
      </w:r>
      <w:r w:rsidR="00E91D30">
        <w:t>es. In the short run (around 12 </w:t>
      </w:r>
      <w:r w:rsidRPr="009B6DD3">
        <w:t>months), business are unlikely to be able to change existing wages and prices. As such, business</w:t>
      </w:r>
      <w:r w:rsidR="00B20AA2" w:rsidRPr="009B6DD3">
        <w:t xml:space="preserve"> </w:t>
      </w:r>
      <w:r w:rsidR="004F56FE" w:rsidRPr="009B6DD3">
        <w:t>owners</w:t>
      </w:r>
      <w:r w:rsidRPr="009B6DD3">
        <w:t xml:space="preserve"> will bear any costs associated with increased payroll taxes.</w:t>
      </w:r>
      <w:r w:rsidR="00B143CD" w:rsidRPr="009B6DD3">
        <w:t xml:space="preserve"> </w:t>
      </w:r>
      <w:r w:rsidRPr="009B6DD3">
        <w:t>In the long run, the cost of the tax is likely to be passed onto employees (through lower wages) and cons</w:t>
      </w:r>
      <w:r w:rsidR="008454FE" w:rsidRPr="009B6DD3">
        <w:t>umers (through higher prices).</w:t>
      </w:r>
    </w:p>
    <w:p w14:paraId="5699842A" w14:textId="708B63D9" w:rsidR="00432B15" w:rsidRPr="009B6DD3" w:rsidRDefault="00432B15" w:rsidP="003148AB">
      <w:r w:rsidRPr="009B6DD3">
        <w:lastRenderedPageBreak/>
        <w:t>Broad</w:t>
      </w:r>
      <w:r w:rsidR="00435E86">
        <w:noBreakHyphen/>
      </w:r>
      <w:r w:rsidRPr="009B6DD3">
        <w:t>based payroll taxes have similar economic consequences to a broad</w:t>
      </w:r>
      <w:r w:rsidR="00435E86">
        <w:noBreakHyphen/>
      </w:r>
      <w:r w:rsidRPr="009B6DD3">
        <w:t>based consumption tax, making them a relatively efficient way of raising revenue.</w:t>
      </w:r>
      <w:r w:rsidR="00881A48" w:rsidRPr="009B6DD3">
        <w:rPr>
          <w:rStyle w:val="FootnoteReference"/>
        </w:rPr>
        <w:footnoteReference w:id="25"/>
      </w:r>
      <w:r w:rsidRPr="009B6DD3">
        <w:t xml:space="preserve"> For governments, payroll tax revenue grows with wages</w:t>
      </w:r>
      <w:r w:rsidR="00F732EE" w:rsidRPr="009B6DD3">
        <w:t xml:space="preserve">. Without increases to the threshold, average payroll tax rates </w:t>
      </w:r>
      <w:r w:rsidR="000152DD" w:rsidRPr="009B6DD3">
        <w:t xml:space="preserve">on businesses </w:t>
      </w:r>
      <w:r w:rsidR="00F732EE" w:rsidRPr="009B6DD3">
        <w:t xml:space="preserve">will increase </w:t>
      </w:r>
      <w:r w:rsidRPr="009B6DD3">
        <w:t xml:space="preserve">as the payrolls of </w:t>
      </w:r>
      <w:r w:rsidR="00A0225B" w:rsidRPr="009B6DD3">
        <w:t>businesses</w:t>
      </w:r>
      <w:r w:rsidR="00790598" w:rsidRPr="009B6DD3">
        <w:t xml:space="preserve"> grow.</w:t>
      </w:r>
    </w:p>
    <w:p w14:paraId="5A70296E" w14:textId="5DD7A2B5" w:rsidR="00432B15" w:rsidRPr="009B6DD3" w:rsidRDefault="00432B15" w:rsidP="003148AB">
      <w:r w:rsidRPr="009B6DD3">
        <w:t>In practice, payroll tax in Australia is less efficient and more complex than it could be because of tax</w:t>
      </w:r>
      <w:r w:rsidR="00435E86">
        <w:noBreakHyphen/>
      </w:r>
      <w:r w:rsidRPr="009B6DD3">
        <w:t>free thresholds and other exemptions, often introduced to reduce tax paid by groups such as small business</w:t>
      </w:r>
      <w:r w:rsidR="000152DD" w:rsidRPr="009B6DD3">
        <w:t>es</w:t>
      </w:r>
      <w:r w:rsidRPr="009B6DD3">
        <w:t>. These include exemptions relat</w:t>
      </w:r>
      <w:r w:rsidR="001674C0" w:rsidRPr="009B6DD3">
        <w:t>ed</w:t>
      </w:r>
      <w:r w:rsidRPr="009B6DD3">
        <w:t xml:space="preserve"> to size of payroll, business type and wage type (fo</w:t>
      </w:r>
      <w:r w:rsidR="008454FE" w:rsidRPr="009B6DD3">
        <w:t>r example</w:t>
      </w:r>
      <w:r w:rsidR="001674C0" w:rsidRPr="009B6DD3">
        <w:t>,</w:t>
      </w:r>
      <w:r w:rsidR="008454FE" w:rsidRPr="009B6DD3">
        <w:t xml:space="preserve"> maternity pay).</w:t>
      </w:r>
    </w:p>
    <w:p w14:paraId="58908D4A" w14:textId="2AEB2D53" w:rsidR="00432B15" w:rsidRPr="009B6DD3" w:rsidRDefault="00432B15" w:rsidP="003148AB">
      <w:r w:rsidRPr="009B6DD3">
        <w:t>As a result of current exemptions and thresholds, a significant proportion of the payroll base is not subject to tax</w:t>
      </w:r>
      <w:r w:rsidR="000D531A" w:rsidRPr="009B6DD3">
        <w:t xml:space="preserve">. </w:t>
      </w:r>
      <w:r w:rsidR="000A40A1" w:rsidRPr="009B6DD3">
        <w:t xml:space="preserve">Estimates by the </w:t>
      </w:r>
      <w:r w:rsidR="00E91D30">
        <w:t>s</w:t>
      </w:r>
      <w:r w:rsidR="000A40A1" w:rsidRPr="009B6DD3">
        <w:t>tates of their tax expenditure on payroll tax give some indication of the size of the payroll tax base not subject to tax</w:t>
      </w:r>
      <w:r w:rsidR="006F2A21" w:rsidRPr="009B6DD3">
        <w:t>. These estimates can</w:t>
      </w:r>
      <w:r w:rsidR="000A40A1" w:rsidRPr="009B6DD3">
        <w:t xml:space="preserve"> </w:t>
      </w:r>
      <w:r w:rsidR="0062685A" w:rsidRPr="009B6DD3">
        <w:t>underestimate revenue foregone</w:t>
      </w:r>
      <w:r w:rsidR="006F2A21" w:rsidRPr="009B6DD3">
        <w:t xml:space="preserve"> because they do not measure the impact of the threshold itself</w:t>
      </w:r>
      <w:r w:rsidR="0062685A" w:rsidRPr="009B6DD3">
        <w:t xml:space="preserve">. </w:t>
      </w:r>
      <w:r w:rsidR="00437AAF" w:rsidRPr="009B6DD3">
        <w:t xml:space="preserve">For example, </w:t>
      </w:r>
      <w:r w:rsidR="000A40A1" w:rsidRPr="009B6DD3">
        <w:t>NSW reports that tax expenditure on payroll tax amounted to $1.</w:t>
      </w:r>
      <w:r w:rsidR="001F2D76" w:rsidRPr="009B6DD3">
        <w:t>3</w:t>
      </w:r>
      <w:r w:rsidR="000A40A1" w:rsidRPr="009B6DD3">
        <w:t xml:space="preserve"> billion in 201</w:t>
      </w:r>
      <w:r w:rsidR="001F2D76" w:rsidRPr="009B6DD3">
        <w:t>3</w:t>
      </w:r>
      <w:r w:rsidR="00435E86">
        <w:noBreakHyphen/>
      </w:r>
      <w:r w:rsidR="000A40A1" w:rsidRPr="009B6DD3">
        <w:t>1</w:t>
      </w:r>
      <w:r w:rsidR="001F2D76" w:rsidRPr="009B6DD3">
        <w:t>4</w:t>
      </w:r>
      <w:r w:rsidR="000A40A1" w:rsidRPr="009B6DD3">
        <w:t xml:space="preserve"> or about 1</w:t>
      </w:r>
      <w:r w:rsidR="001F2D76" w:rsidRPr="009B6DD3">
        <w:t>8</w:t>
      </w:r>
      <w:r w:rsidR="000A40A1" w:rsidRPr="009B6DD3">
        <w:t xml:space="preserve"> per cent of payroll tax revenue</w:t>
      </w:r>
      <w:r w:rsidR="00545267" w:rsidRPr="009B6DD3">
        <w:t>.</w:t>
      </w:r>
      <w:r w:rsidR="000A40A1" w:rsidRPr="009B6DD3">
        <w:rPr>
          <w:rStyle w:val="FootnoteReference"/>
        </w:rPr>
        <w:footnoteReference w:id="26"/>
      </w:r>
      <w:r w:rsidR="00F64440" w:rsidRPr="009B6DD3">
        <w:t xml:space="preserve"> </w:t>
      </w:r>
      <w:r w:rsidR="00386063" w:rsidRPr="009B6DD3">
        <w:t>The Business Council of Australia has estimated that closer to half of the potential payroll tax base is exempt.</w:t>
      </w:r>
      <w:r w:rsidR="00386063" w:rsidRPr="009B6DD3">
        <w:rPr>
          <w:rStyle w:val="FootnoteReference"/>
        </w:rPr>
        <w:footnoteReference w:id="27"/>
      </w:r>
      <w:r w:rsidR="00B143CD" w:rsidRPr="009B6DD3">
        <w:t xml:space="preserve"> </w:t>
      </w:r>
      <w:r w:rsidRPr="009B6DD3">
        <w:t xml:space="preserve">Current payroll tax arrangements may also impact on </w:t>
      </w:r>
      <w:r w:rsidR="00A0225B" w:rsidRPr="009B6DD3">
        <w:t>business</w:t>
      </w:r>
      <w:r w:rsidRPr="009B6DD3">
        <w:t xml:space="preserve"> </w:t>
      </w:r>
      <w:r w:rsidR="008454FE" w:rsidRPr="009B6DD3">
        <w:t>decisions to expand</w:t>
      </w:r>
      <w:r w:rsidR="000152DD" w:rsidRPr="009B6DD3">
        <w:t>.</w:t>
      </w:r>
      <w:r w:rsidR="00276140" w:rsidRPr="009B6DD3">
        <w:t xml:space="preserve"> </w:t>
      </w:r>
      <w:r w:rsidRPr="009B6DD3">
        <w:t>For these reasons, some reviews</w:t>
      </w:r>
      <w:r w:rsidR="00B20AA2" w:rsidRPr="009B6DD3">
        <w:t xml:space="preserve"> </w:t>
      </w:r>
      <w:r w:rsidRPr="009B6DD3">
        <w:t>have suggested broadening existing payroll taxes by lowering the threshold, removing</w:t>
      </w:r>
      <w:r w:rsidR="008454FE" w:rsidRPr="009B6DD3">
        <w:t xml:space="preserve"> exemptions and cutting rates.</w:t>
      </w:r>
      <w:r w:rsidR="00B20AA2" w:rsidRPr="009B6DD3">
        <w:rPr>
          <w:rStyle w:val="FootnoteReference"/>
        </w:rPr>
        <w:footnoteReference w:id="28"/>
      </w:r>
    </w:p>
    <w:p w14:paraId="3C89418D" w14:textId="1A039CDA" w:rsidR="00432B15" w:rsidRPr="009B6DD3" w:rsidRDefault="00432B15" w:rsidP="003148AB">
      <w:r w:rsidRPr="009B6DD3">
        <w:t xml:space="preserve">However, there is </w:t>
      </w:r>
      <w:r w:rsidR="0010465A" w:rsidRPr="009B6DD3">
        <w:t>significant</w:t>
      </w:r>
      <w:r w:rsidRPr="009B6DD3">
        <w:t xml:space="preserve"> criticism of payroll tax, </w:t>
      </w:r>
      <w:r w:rsidR="000345B3" w:rsidRPr="009B6DD3">
        <w:t>including of its short</w:t>
      </w:r>
      <w:r w:rsidR="00435E86">
        <w:noBreakHyphen/>
      </w:r>
      <w:r w:rsidR="000345B3" w:rsidRPr="009B6DD3">
        <w:t xml:space="preserve">run impact on business costs. While the </w:t>
      </w:r>
      <w:r w:rsidR="00E91D30">
        <w:t>s</w:t>
      </w:r>
      <w:r w:rsidR="000345B3" w:rsidRPr="009B6DD3">
        <w:t xml:space="preserve">tates and </w:t>
      </w:r>
      <w:r w:rsidR="00E91D30">
        <w:t>t</w:t>
      </w:r>
      <w:r w:rsidR="000345B3" w:rsidRPr="009B6DD3">
        <w:t>erritories have substantially harmonised legislation and the administration of payroll tax in recent years, s</w:t>
      </w:r>
      <w:r w:rsidRPr="009B6DD3">
        <w:t xml:space="preserve">ome business groups, particularly those operating across state borders, </w:t>
      </w:r>
      <w:r w:rsidR="00143E7B" w:rsidRPr="009B6DD3">
        <w:t>remain</w:t>
      </w:r>
      <w:r w:rsidR="000345B3" w:rsidRPr="009B6DD3">
        <w:t xml:space="preserve"> </w:t>
      </w:r>
      <w:r w:rsidRPr="009B6DD3">
        <w:t xml:space="preserve">concerned about the complexity associated with differing thresholds and rates across </w:t>
      </w:r>
      <w:r w:rsidR="00E91D30">
        <w:t>s</w:t>
      </w:r>
      <w:r w:rsidRPr="009B6DD3">
        <w:t>tates</w:t>
      </w:r>
      <w:r w:rsidR="00545267" w:rsidRPr="009B6DD3">
        <w:t>.</w:t>
      </w:r>
      <w:r w:rsidR="00A04CC2" w:rsidRPr="009B6DD3">
        <w:rPr>
          <w:rStyle w:val="FootnoteReference"/>
        </w:rPr>
        <w:footnoteReference w:id="29"/>
      </w:r>
      <w:r w:rsidR="008F491D" w:rsidRPr="009B6DD3">
        <w:t xml:space="preserve"> A zero threshold would also likely impose significant administrative costs and compliance burdens on very small businesses.</w:t>
      </w:r>
    </w:p>
    <w:p w14:paraId="78B9C7B5" w14:textId="525874E1" w:rsidR="00437AAF" w:rsidRPr="009B6DD3" w:rsidRDefault="009127FC" w:rsidP="009127FC">
      <w:pPr>
        <w:pStyle w:val="Heading3"/>
      </w:pPr>
      <w:bookmarkStart w:id="396" w:name="_Toc406155424"/>
      <w:bookmarkStart w:id="397" w:name="_Toc402353698"/>
      <w:bookmarkStart w:id="398" w:name="_Toc402362226"/>
      <w:bookmarkStart w:id="399" w:name="_Toc402368815"/>
      <w:bookmarkStart w:id="400" w:name="_Toc402369900"/>
      <w:bookmarkStart w:id="401" w:name="_Toc402370565"/>
      <w:bookmarkStart w:id="402" w:name="_Toc402371512"/>
      <w:bookmarkStart w:id="403" w:name="_Toc403555878"/>
      <w:r w:rsidRPr="009B6DD3">
        <w:t>S</w:t>
      </w:r>
      <w:r w:rsidR="00437AAF" w:rsidRPr="009B6DD3">
        <w:t>tamp duties</w:t>
      </w:r>
      <w:bookmarkEnd w:id="396"/>
    </w:p>
    <w:p w14:paraId="5E21E4D9" w14:textId="24D372E9" w:rsidR="00E2476B" w:rsidRPr="009B6DD3" w:rsidRDefault="00437AAF" w:rsidP="00B34631">
      <w:r w:rsidRPr="009B6DD3">
        <w:t>State governments levy stamp duties on a range of transactions, including conveyances, insurance and motor vehicles.</w:t>
      </w:r>
      <w:r w:rsidR="00447A30" w:rsidRPr="009B6DD3">
        <w:t xml:space="preserve"> Australia is relatively more reliant on these taxes (largely stamp duties on conveyances) than other countries, as </w:t>
      </w:r>
      <w:r w:rsidR="00971910" w:rsidRPr="009B6DD3">
        <w:fldChar w:fldCharType="begin"/>
      </w:r>
      <w:r w:rsidR="00971910" w:rsidRPr="009B6DD3">
        <w:instrText xml:space="preserve"> REF _Ref404677965 \h </w:instrText>
      </w:r>
      <w:r w:rsidR="009B6DD3">
        <w:instrText xml:space="preserve"> \* MERGEFORMAT </w:instrText>
      </w:r>
      <w:r w:rsidR="00971910" w:rsidRPr="009B6DD3">
        <w:fldChar w:fldCharType="separate"/>
      </w:r>
      <w:r w:rsidR="00B51480" w:rsidRPr="009B6DD3">
        <w:t xml:space="preserve">Chart </w:t>
      </w:r>
      <w:r w:rsidR="00B51480">
        <w:rPr>
          <w:noProof/>
        </w:rPr>
        <w:t>8</w:t>
      </w:r>
      <w:r w:rsidR="00B51480" w:rsidRPr="009B6DD3">
        <w:rPr>
          <w:noProof/>
        </w:rPr>
        <w:t>.</w:t>
      </w:r>
      <w:r w:rsidR="00971910" w:rsidRPr="009B6DD3">
        <w:fldChar w:fldCharType="end"/>
      </w:r>
      <w:r w:rsidR="00A101DC" w:rsidRPr="009B6DD3">
        <w:t>9</w:t>
      </w:r>
      <w:r w:rsidR="00971910" w:rsidRPr="009B6DD3">
        <w:t xml:space="preserve"> </w:t>
      </w:r>
      <w:r w:rsidR="00447A30" w:rsidRPr="009B6DD3">
        <w:t xml:space="preserve">shows. </w:t>
      </w:r>
    </w:p>
    <w:p w14:paraId="14EC9BA2" w14:textId="565A8DCF" w:rsidR="00F2445F" w:rsidRPr="009B6DD3" w:rsidRDefault="00545267" w:rsidP="00545267">
      <w:pPr>
        <w:pStyle w:val="ChartMainHeading"/>
      </w:pPr>
      <w:bookmarkStart w:id="404" w:name="_Ref404677965"/>
      <w:r w:rsidRPr="009B6DD3">
        <w:lastRenderedPageBreak/>
        <w:t xml:space="preserve">Chart </w:t>
      </w:r>
      <w:fldSimple w:instr=" STYLEREF 1 \s ">
        <w:r w:rsidR="00B51480">
          <w:rPr>
            <w:noProof/>
          </w:rPr>
          <w:t>8</w:t>
        </w:r>
      </w:fldSimple>
      <w:r w:rsidR="00870BFF" w:rsidRPr="009B6DD3">
        <w:t>.</w:t>
      </w:r>
      <w:bookmarkEnd w:id="404"/>
      <w:r w:rsidR="00A57EA3" w:rsidRPr="009B6DD3">
        <w:t>9</w:t>
      </w:r>
      <w:r w:rsidRPr="009B6DD3">
        <w:t xml:space="preserve"> </w:t>
      </w:r>
      <w:r w:rsidR="00F2445F" w:rsidRPr="009B6DD3">
        <w:t>Taxes on financial and capital transactions as a percentage of total taxation, OECD</w:t>
      </w:r>
      <w:r w:rsidR="005C7CCA" w:rsidRPr="009B6DD3">
        <w:t> </w:t>
      </w:r>
      <w:r w:rsidR="00F2445F" w:rsidRPr="009B6DD3">
        <w:t xml:space="preserve">countries, </w:t>
      </w:r>
      <w:r w:rsidR="00D43F9E" w:rsidRPr="009B6DD3">
        <w:t xml:space="preserve">2012 </w:t>
      </w:r>
    </w:p>
    <w:bookmarkStart w:id="405" w:name="_1479548958"/>
    <w:bookmarkStart w:id="406" w:name="_1479566108"/>
    <w:bookmarkStart w:id="407" w:name="_1479566940"/>
    <w:bookmarkStart w:id="408" w:name="_1479566585"/>
    <w:bookmarkStart w:id="409" w:name="_1479566840"/>
    <w:bookmarkStart w:id="410" w:name="_1479644245"/>
    <w:bookmarkStart w:id="411" w:name="_1485682240"/>
    <w:bookmarkStart w:id="412" w:name="_1486208433"/>
    <w:bookmarkStart w:id="413" w:name="_1486208873"/>
    <w:bookmarkStart w:id="414" w:name="_1486209328"/>
    <w:bookmarkEnd w:id="405"/>
    <w:bookmarkEnd w:id="406"/>
    <w:bookmarkEnd w:id="407"/>
    <w:bookmarkEnd w:id="408"/>
    <w:bookmarkEnd w:id="409"/>
    <w:bookmarkEnd w:id="410"/>
    <w:bookmarkEnd w:id="411"/>
    <w:bookmarkEnd w:id="412"/>
    <w:bookmarkEnd w:id="413"/>
    <w:bookmarkEnd w:id="414"/>
    <w:p w14:paraId="7C9FC518" w14:textId="41451A26" w:rsidR="00F2445F" w:rsidRPr="009B6DD3" w:rsidRDefault="008A1CFC" w:rsidP="00EF524C">
      <w:pPr>
        <w:pStyle w:val="ChartGraphic"/>
      </w:pPr>
      <w:r w:rsidRPr="009B6DD3">
        <w:rPr>
          <w:noProof/>
        </w:rPr>
        <w:object w:dxaOrig="8775" w:dyaOrig="4560" w14:anchorId="0D07C6BD">
          <v:shape id="_x0000_i1033" type="#_x0000_t75" alt="Chart 8.9 Taxes on financial and capital transactions as a percentage of total taxation, OECD countries, 2012.&#10;&#10;This chart shows taxes on financial and capital transactions as a share of total taxation across the 34 OECD countries in 2012. Transaction taxes were second highest in Australia and highest in South Korea.&#10;" style="width:438pt;height:228pt" o:ole="">
            <v:imagedata r:id="rId32" o:title=""/>
          </v:shape>
          <o:OLEObject Type="Link" ProgID="Excel.Sheet.12" ShapeID="_x0000_i1033" DrawAspect="Content" r:id="rId33" UpdateMode="Always">
            <o:LinkType>EnhancedMetaFile</o:LinkType>
            <o:LockedField/>
            <o:FieldCodes>\* MERGEFORMAT</o:FieldCodes>
          </o:OLEObject>
        </w:object>
      </w:r>
    </w:p>
    <w:p w14:paraId="11056187" w14:textId="6A43F559" w:rsidR="00F2445F" w:rsidRPr="009B6DD3" w:rsidRDefault="00F2445F" w:rsidP="005C7CCA">
      <w:pPr>
        <w:pStyle w:val="ChartandTableNote"/>
        <w:ind w:left="284"/>
      </w:pPr>
      <w:r w:rsidRPr="009B6DD3">
        <w:t>Note: Taxes on financial and capital transactions include taxes on the issue, transfer, purchase and sale of securities, taxes on cheques, and taxes levied on specific legal transactions such as validation of contracts and the sale of immovable property.</w:t>
      </w:r>
    </w:p>
    <w:p w14:paraId="6AEBBBF7" w14:textId="79DC17F9" w:rsidR="00F2445F" w:rsidRPr="009B6DD3" w:rsidRDefault="00F2445F" w:rsidP="005C7CCA">
      <w:pPr>
        <w:pStyle w:val="ChartandTableNote"/>
        <w:ind w:left="284"/>
      </w:pPr>
      <w:r w:rsidRPr="009B6DD3">
        <w:t>Source: OECD</w:t>
      </w:r>
      <w:r w:rsidR="00F25626" w:rsidRPr="009B6DD3">
        <w:t xml:space="preserve"> 2014,</w:t>
      </w:r>
      <w:r w:rsidRPr="009B6DD3">
        <w:t xml:space="preserve"> </w:t>
      </w:r>
      <w:r w:rsidRPr="009B6DD3">
        <w:rPr>
          <w:i/>
        </w:rPr>
        <w:t>Revenue Statistics</w:t>
      </w:r>
      <w:r w:rsidR="00DD6130" w:rsidRPr="009B6DD3">
        <w:rPr>
          <w:i/>
        </w:rPr>
        <w:t xml:space="preserve"> 2014</w:t>
      </w:r>
      <w:r w:rsidR="00DD6130" w:rsidRPr="009B6DD3">
        <w:t>, OECD Publications, Paris.</w:t>
      </w:r>
    </w:p>
    <w:p w14:paraId="4F17C7E5" w14:textId="77777777" w:rsidR="00F84C9D" w:rsidRPr="009B6DD3" w:rsidRDefault="00F84C9D" w:rsidP="003148AB"/>
    <w:p w14:paraId="20B679EF" w14:textId="3571C532" w:rsidR="00E2476B" w:rsidRPr="009B6DD3" w:rsidRDefault="00E2476B" w:rsidP="003148AB">
      <w:r w:rsidRPr="009B6DD3">
        <w:t>Stamp duties are some of the most inefficient taxes levied in Australia</w:t>
      </w:r>
      <w:r w:rsidR="00F64440" w:rsidRPr="009B6DD3">
        <w:t xml:space="preserve">. </w:t>
      </w:r>
      <w:r w:rsidRPr="009B6DD3">
        <w:t>Unlike broad</w:t>
      </w:r>
      <w:r w:rsidR="00435E86">
        <w:noBreakHyphen/>
      </w:r>
      <w:r w:rsidRPr="009B6DD3">
        <w:t>based taxes on consumption or payroll</w:t>
      </w:r>
      <w:r w:rsidR="00143E7B" w:rsidRPr="009B6DD3">
        <w:t>s</w:t>
      </w:r>
      <w:r w:rsidRPr="009B6DD3">
        <w:t>, they are levied selectively on activities or product</w:t>
      </w:r>
      <w:r w:rsidR="005609D4" w:rsidRPr="009B6DD3">
        <w:t xml:space="preserve">s and are taxed on the total transaction value, rather than the </w:t>
      </w:r>
      <w:r w:rsidR="00435E86">
        <w:t>‘</w:t>
      </w:r>
      <w:r w:rsidR="005609D4" w:rsidRPr="009B6DD3">
        <w:t>value added</w:t>
      </w:r>
      <w:r w:rsidR="00435E86">
        <w:t>’</w:t>
      </w:r>
      <w:r w:rsidR="005609D4" w:rsidRPr="009B6DD3">
        <w:t xml:space="preserve"> component</w:t>
      </w:r>
      <w:r w:rsidR="00F64440" w:rsidRPr="009B6DD3">
        <w:t xml:space="preserve">. </w:t>
      </w:r>
      <w:r w:rsidR="005609D4" w:rsidRPr="009B6DD3">
        <w:t xml:space="preserve">Such </w:t>
      </w:r>
      <w:r w:rsidR="00241474" w:rsidRPr="009B6DD3">
        <w:t xml:space="preserve">transaction </w:t>
      </w:r>
      <w:r w:rsidR="005609D4" w:rsidRPr="009B6DD3">
        <w:t>taxes are more likely to discourage turnover of taxed goods</w:t>
      </w:r>
      <w:r w:rsidR="0059400B" w:rsidRPr="009B6DD3">
        <w:t>,</w:t>
      </w:r>
      <w:r w:rsidR="005609D4" w:rsidRPr="009B6DD3">
        <w:t xml:space="preserve"> as taxpayers attempt to reduce or avoid paying the tax.</w:t>
      </w:r>
    </w:p>
    <w:p w14:paraId="78A486C0" w14:textId="77777777" w:rsidR="00432B15" w:rsidRPr="009B6DD3" w:rsidRDefault="00432B15" w:rsidP="007A1641">
      <w:pPr>
        <w:pStyle w:val="Heading4"/>
      </w:pPr>
      <w:bookmarkStart w:id="415" w:name="_Toc406155425"/>
      <w:r w:rsidRPr="009B6DD3">
        <w:t>Stamp duties on conveyances</w:t>
      </w:r>
      <w:bookmarkEnd w:id="397"/>
      <w:bookmarkEnd w:id="398"/>
      <w:bookmarkEnd w:id="399"/>
      <w:bookmarkEnd w:id="400"/>
      <w:bookmarkEnd w:id="401"/>
      <w:bookmarkEnd w:id="402"/>
      <w:bookmarkEnd w:id="403"/>
      <w:bookmarkEnd w:id="415"/>
    </w:p>
    <w:p w14:paraId="5AD26D5B" w14:textId="0EB86347" w:rsidR="00432B15" w:rsidRPr="00A1677A" w:rsidRDefault="00432B15" w:rsidP="005C7CCA">
      <w:r w:rsidRPr="009B6DD3">
        <w:t xml:space="preserve">Stamp duties on the transfer of residential and commercial property </w:t>
      </w:r>
      <w:r w:rsidR="00B20AA2" w:rsidRPr="009B6DD3">
        <w:t>(</w:t>
      </w:r>
      <w:r w:rsidR="00435E86">
        <w:t>‘</w:t>
      </w:r>
      <w:r w:rsidR="005609D4" w:rsidRPr="009B6DD3">
        <w:t>stamp duties on conveyances</w:t>
      </w:r>
      <w:r w:rsidR="00435E86">
        <w:t>’</w:t>
      </w:r>
      <w:r w:rsidR="005609D4" w:rsidRPr="009B6DD3">
        <w:t xml:space="preserve">) </w:t>
      </w:r>
      <w:r w:rsidRPr="009B6DD3">
        <w:t>are the second</w:t>
      </w:r>
      <w:r w:rsidR="00435E86">
        <w:noBreakHyphen/>
      </w:r>
      <w:r w:rsidRPr="00A1677A">
        <w:t xml:space="preserve">largest source of state tax revenue (generating </w:t>
      </w:r>
      <w:r w:rsidR="004431DC" w:rsidRPr="00A1677A">
        <w:t>24</w:t>
      </w:r>
      <w:r w:rsidRPr="00A1677A">
        <w:t xml:space="preserve"> per cent</w:t>
      </w:r>
      <w:r w:rsidR="00D020D5" w:rsidRPr="00A1677A">
        <w:t xml:space="preserve"> of </w:t>
      </w:r>
      <w:r w:rsidR="00E91D30" w:rsidRPr="00A1677A">
        <w:t>s</w:t>
      </w:r>
      <w:r w:rsidRPr="00A1677A">
        <w:t>tate tax revenue</w:t>
      </w:r>
      <w:r w:rsidR="00B20AA2" w:rsidRPr="00A1677A">
        <w:t>).</w:t>
      </w:r>
      <w:r w:rsidR="00DB2B47" w:rsidRPr="00A1677A">
        <w:rPr>
          <w:rStyle w:val="FootnoteReference"/>
        </w:rPr>
        <w:footnoteReference w:id="30"/>
      </w:r>
      <w:r w:rsidRPr="00A1677A">
        <w:t xml:space="preserve"> All </w:t>
      </w:r>
      <w:r w:rsidR="00E91D30" w:rsidRPr="00A1677A">
        <w:t>s</w:t>
      </w:r>
      <w:r w:rsidRPr="00A1677A">
        <w:t xml:space="preserve">tates and </w:t>
      </w:r>
      <w:r w:rsidR="00E91D30" w:rsidRPr="00A1677A">
        <w:t>t</w:t>
      </w:r>
      <w:r w:rsidRPr="00A1677A">
        <w:t>erritories have progressive rate scales, although the rates</w:t>
      </w:r>
      <w:r w:rsidR="00B143CD" w:rsidRPr="00A1677A">
        <w:t>,</w:t>
      </w:r>
      <w:r w:rsidRPr="00A1677A">
        <w:t xml:space="preserve"> thresholds </w:t>
      </w:r>
      <w:r w:rsidR="00B143CD" w:rsidRPr="00A1677A">
        <w:t xml:space="preserve">and exemptions (for example for first home buyers) </w:t>
      </w:r>
      <w:r w:rsidRPr="00A1677A">
        <w:t xml:space="preserve">differ in different </w:t>
      </w:r>
      <w:r w:rsidR="00E91D30" w:rsidRPr="00A1677A">
        <w:t>s</w:t>
      </w:r>
      <w:r w:rsidRPr="00A1677A">
        <w:t>tates</w:t>
      </w:r>
      <w:r w:rsidR="008454FE" w:rsidRPr="00A1677A">
        <w:t>.</w:t>
      </w:r>
    </w:p>
    <w:p w14:paraId="638734F1" w14:textId="1E2F7A9D" w:rsidR="00432B15" w:rsidRPr="00A1677A" w:rsidRDefault="00432B15" w:rsidP="005C7CCA">
      <w:r w:rsidRPr="00A1677A">
        <w:t>Because revenue growth is driven by property prices and numbers of transactions, stamp duties on conveyances are a highly</w:t>
      </w:r>
      <w:r w:rsidR="00253535" w:rsidRPr="00A1677A">
        <w:t xml:space="preserve"> volatile tax</w:t>
      </w:r>
      <w:r w:rsidR="00A1677A" w:rsidRPr="00A1677A">
        <w:t xml:space="preserve">, </w:t>
      </w:r>
      <w:r w:rsidR="00A1677A" w:rsidRPr="00A1677A">
        <w:rPr>
          <w:rFonts w:cs="Arial"/>
          <w:color w:val="000000"/>
          <w:szCs w:val="22"/>
        </w:rPr>
        <w:t>with</w:t>
      </w:r>
      <w:r w:rsidR="00A1677A">
        <w:rPr>
          <w:rFonts w:cs="Arial"/>
          <w:color w:val="000000"/>
          <w:szCs w:val="22"/>
        </w:rPr>
        <w:t xml:space="preserve"> revenue collected from stamp duties on conveyances fluctuating by over 50 per cent in previous years</w:t>
      </w:r>
      <w:r w:rsidR="008454FE" w:rsidRPr="00A1677A">
        <w:t>.</w:t>
      </w:r>
      <w:r w:rsidR="00E263F8" w:rsidRPr="00A1677A">
        <w:rPr>
          <w:rStyle w:val="FootnoteReference"/>
        </w:rPr>
        <w:footnoteReference w:id="31"/>
      </w:r>
      <w:r w:rsidR="0010465A" w:rsidRPr="00A1677A">
        <w:t xml:space="preserve"> </w:t>
      </w:r>
      <w:r w:rsidRPr="00A1677A">
        <w:t xml:space="preserve">Stamp duties </w:t>
      </w:r>
      <w:r w:rsidR="005609D4" w:rsidRPr="00A1677A">
        <w:t xml:space="preserve">on conveyances </w:t>
      </w:r>
      <w:r w:rsidRPr="00A1677A">
        <w:t>add to the costs of buying and selling property and can discourage businesses from undertaking productivity enhancing purchases of existing land and capital. The outcome can be retention of land for relatively unproductive purposes.</w:t>
      </w:r>
    </w:p>
    <w:p w14:paraId="5803D098" w14:textId="114A33C9" w:rsidR="00410E6E" w:rsidRPr="009B6DD3" w:rsidRDefault="00432B15" w:rsidP="00435E86">
      <w:pPr>
        <w:keepLines/>
      </w:pPr>
      <w:r w:rsidRPr="00A1677A">
        <w:lastRenderedPageBreak/>
        <w:t>Stamp duties also impact on consumers by increasing the cost of buying and selling houses</w:t>
      </w:r>
      <w:r w:rsidR="00F64440" w:rsidRPr="00A1677A">
        <w:t xml:space="preserve">. </w:t>
      </w:r>
      <w:r w:rsidR="00410E6E" w:rsidRPr="00A1677A">
        <w:t xml:space="preserve">As house prices increase over time, </w:t>
      </w:r>
      <w:r w:rsidR="00224B80" w:rsidRPr="00A1677A">
        <w:t xml:space="preserve">unadjusted </w:t>
      </w:r>
      <w:r w:rsidR="00410E6E" w:rsidRPr="00A1677A">
        <w:t>progressive tax</w:t>
      </w:r>
      <w:r w:rsidR="00410E6E" w:rsidRPr="009B6DD3">
        <w:t xml:space="preserve"> rates </w:t>
      </w:r>
      <w:r w:rsidR="000C682F" w:rsidRPr="009B6DD3">
        <w:t xml:space="preserve">also </w:t>
      </w:r>
      <w:r w:rsidR="00410E6E" w:rsidRPr="009B6DD3">
        <w:t>increase the tax burden associated with stamp duty</w:t>
      </w:r>
      <w:r w:rsidR="00F64440" w:rsidRPr="009B6DD3">
        <w:t xml:space="preserve">. </w:t>
      </w:r>
      <w:r w:rsidR="000C682F" w:rsidRPr="009B6DD3">
        <w:t>For example, the burden of stamp duty on a median</w:t>
      </w:r>
      <w:r w:rsidR="00435E86">
        <w:noBreakHyphen/>
      </w:r>
      <w:r w:rsidR="000C682F" w:rsidRPr="009B6DD3">
        <w:t>priced house in Melbourne has almost doubled over the past 20 years</w:t>
      </w:r>
      <w:r w:rsidR="00F64440" w:rsidRPr="009B6DD3">
        <w:t xml:space="preserve"> — </w:t>
      </w:r>
      <w:r w:rsidR="000C682F" w:rsidRPr="009B6DD3">
        <w:t>from</w:t>
      </w:r>
      <w:r w:rsidR="00406CC3" w:rsidRPr="009B6DD3">
        <w:t xml:space="preserve"> 2.67 </w:t>
      </w:r>
      <w:r w:rsidR="00410E6E" w:rsidRPr="009B6DD3">
        <w:t>per cent of the sale price</w:t>
      </w:r>
      <w:r w:rsidR="000C682F" w:rsidRPr="009B6DD3">
        <w:t xml:space="preserve"> in 1988</w:t>
      </w:r>
      <w:r w:rsidR="00410E6E" w:rsidRPr="009B6DD3">
        <w:t xml:space="preserve"> to 5.16 per cent in 2011</w:t>
      </w:r>
      <w:r w:rsidR="000C682F" w:rsidRPr="009B6DD3">
        <w:t>.</w:t>
      </w:r>
      <w:r w:rsidR="000C682F" w:rsidRPr="009B6DD3">
        <w:rPr>
          <w:rStyle w:val="FootnoteReference"/>
        </w:rPr>
        <w:footnoteReference w:id="32"/>
      </w:r>
      <w:r w:rsidR="00545267" w:rsidRPr="009B6DD3">
        <w:t xml:space="preserve"> </w:t>
      </w:r>
    </w:p>
    <w:p w14:paraId="074E6CA3" w14:textId="776C7252" w:rsidR="00432B15" w:rsidRPr="009B6DD3" w:rsidRDefault="00432B15" w:rsidP="005C7CCA">
      <w:r w:rsidRPr="009B6DD3">
        <w:t xml:space="preserve">This </w:t>
      </w:r>
      <w:r w:rsidR="000C682F" w:rsidRPr="009B6DD3">
        <w:t xml:space="preserve">clearly </w:t>
      </w:r>
      <w:r w:rsidRPr="009B6DD3">
        <w:t>adds to transaction costs and contributes to Australia</w:t>
      </w:r>
      <w:r w:rsidR="00435E86">
        <w:t>’</w:t>
      </w:r>
      <w:r w:rsidRPr="009B6DD3">
        <w:t xml:space="preserve">s high </w:t>
      </w:r>
      <w:r w:rsidR="001674C0" w:rsidRPr="009B6DD3">
        <w:t>(</w:t>
      </w:r>
      <w:r w:rsidRPr="009B6DD3">
        <w:t>by international standards</w:t>
      </w:r>
      <w:r w:rsidR="001674C0" w:rsidRPr="009B6DD3">
        <w:t>)</w:t>
      </w:r>
      <w:r w:rsidRPr="009B6DD3">
        <w:t xml:space="preserve"> costs of moving.</w:t>
      </w:r>
      <w:r w:rsidRPr="009B6DD3">
        <w:rPr>
          <w:rStyle w:val="FootnoteReference"/>
        </w:rPr>
        <w:footnoteReference w:id="33"/>
      </w:r>
      <w:r w:rsidRPr="009B6DD3">
        <w:t xml:space="preserve"> These costs </w:t>
      </w:r>
      <w:r w:rsidR="00F1581B" w:rsidRPr="009B6DD3">
        <w:t xml:space="preserve">can discourage householders from moving to housing that best suits their needs and </w:t>
      </w:r>
      <w:r w:rsidRPr="009B6DD3">
        <w:t xml:space="preserve">can be an </w:t>
      </w:r>
      <w:r w:rsidR="008454FE" w:rsidRPr="009B6DD3">
        <w:t xml:space="preserve">important barrier to </w:t>
      </w:r>
      <w:r w:rsidR="00F838C2" w:rsidRPr="009B6DD3">
        <w:t xml:space="preserve">labour </w:t>
      </w:r>
      <w:r w:rsidR="008454FE" w:rsidRPr="009B6DD3">
        <w:t>mobility</w:t>
      </w:r>
      <w:r w:rsidR="00545267" w:rsidRPr="009B6DD3">
        <w:t>.</w:t>
      </w:r>
      <w:r w:rsidR="00F838C2" w:rsidRPr="009B6DD3">
        <w:rPr>
          <w:rStyle w:val="FootnoteReference"/>
        </w:rPr>
        <w:footnoteReference w:id="34"/>
      </w:r>
      <w:r w:rsidR="00F64440" w:rsidRPr="009B6DD3">
        <w:t xml:space="preserve"> </w:t>
      </w:r>
      <w:r w:rsidRPr="009B6DD3">
        <w:t>A number of reviews have found that</w:t>
      </w:r>
      <w:r w:rsidR="001674C0" w:rsidRPr="009B6DD3">
        <w:t>,</w:t>
      </w:r>
      <w:r w:rsidRPr="009B6DD3">
        <w:t xml:space="preserve"> by dampening the number of house sales, stamp duties can also add to commuting times</w:t>
      </w:r>
      <w:r w:rsidR="00545267" w:rsidRPr="009B6DD3">
        <w:t>.</w:t>
      </w:r>
      <w:r w:rsidR="00D955A2" w:rsidRPr="009B6DD3">
        <w:rPr>
          <w:rStyle w:val="FootnoteReference"/>
        </w:rPr>
        <w:footnoteReference w:id="35"/>
      </w:r>
      <w:r w:rsidRPr="009B6DD3">
        <w:t xml:space="preserve"> Stamp duty can also be inequitable</w:t>
      </w:r>
      <w:r w:rsidR="00F64440" w:rsidRPr="009B6DD3">
        <w:t xml:space="preserve"> — </w:t>
      </w:r>
      <w:r w:rsidRPr="009B6DD3">
        <w:t>those who move more frequently face higher costs than those who move less frequently, even if their circumstances are otherwise similar.</w:t>
      </w:r>
    </w:p>
    <w:p w14:paraId="66AA557F" w14:textId="72058F03" w:rsidR="00432B15" w:rsidRPr="009B6DD3" w:rsidRDefault="00A8389E" w:rsidP="009670F9">
      <w:pPr>
        <w:pStyle w:val="Heading4"/>
      </w:pPr>
      <w:bookmarkStart w:id="416" w:name="_Toc402353699"/>
      <w:bookmarkStart w:id="417" w:name="_Toc402362227"/>
      <w:bookmarkStart w:id="418" w:name="_Toc402368816"/>
      <w:bookmarkStart w:id="419" w:name="_Toc402369901"/>
      <w:bookmarkStart w:id="420" w:name="_Toc402370566"/>
      <w:bookmarkStart w:id="421" w:name="_Toc402371513"/>
      <w:bookmarkStart w:id="422" w:name="_Toc403555879"/>
      <w:bookmarkStart w:id="423" w:name="_Toc406155426"/>
      <w:r w:rsidRPr="009B6DD3">
        <w:t>Stamp duties on i</w:t>
      </w:r>
      <w:r w:rsidR="00432B15" w:rsidRPr="009B6DD3">
        <w:t xml:space="preserve">nsurance </w:t>
      </w:r>
      <w:bookmarkEnd w:id="416"/>
      <w:bookmarkEnd w:id="417"/>
      <w:bookmarkEnd w:id="418"/>
      <w:bookmarkEnd w:id="419"/>
      <w:bookmarkEnd w:id="420"/>
      <w:bookmarkEnd w:id="421"/>
      <w:bookmarkEnd w:id="422"/>
      <w:bookmarkEnd w:id="423"/>
    </w:p>
    <w:p w14:paraId="2F9ED064" w14:textId="7EECE13F" w:rsidR="00432B15" w:rsidRPr="009B6DD3" w:rsidRDefault="00432B15" w:rsidP="005C7CCA">
      <w:r w:rsidRPr="009B6DD3">
        <w:t xml:space="preserve">The </w:t>
      </w:r>
      <w:r w:rsidR="00333263">
        <w:t>s</w:t>
      </w:r>
      <w:r w:rsidRPr="009B6DD3">
        <w:t xml:space="preserve">tates and </w:t>
      </w:r>
      <w:r w:rsidR="00333263">
        <w:t>t</w:t>
      </w:r>
      <w:r w:rsidRPr="009B6DD3">
        <w:t xml:space="preserve">erritories levy stamp duties on </w:t>
      </w:r>
      <w:r w:rsidR="00733703" w:rsidRPr="009B6DD3">
        <w:t xml:space="preserve">insurance products, including </w:t>
      </w:r>
      <w:r w:rsidRPr="009B6DD3">
        <w:t xml:space="preserve">life insurance and general insurance. Some </w:t>
      </w:r>
      <w:r w:rsidR="00333263">
        <w:t>s</w:t>
      </w:r>
      <w:r w:rsidRPr="009B6DD3">
        <w:t xml:space="preserve">tates also levy taxes on insurance products to partially fund fire and emergency services, although there has been a trend since the </w:t>
      </w:r>
      <w:r w:rsidR="00733703" w:rsidRPr="009B6DD3">
        <w:t xml:space="preserve">late </w:t>
      </w:r>
      <w:r w:rsidRPr="009B6DD3">
        <w:t>1990s to fund these services from additional taxes on p</w:t>
      </w:r>
      <w:r w:rsidR="008454FE" w:rsidRPr="009B6DD3">
        <w:t>roperty, rather than insurance.</w:t>
      </w:r>
    </w:p>
    <w:p w14:paraId="7AAD4B57" w14:textId="1422B30C" w:rsidR="00432B15" w:rsidRPr="009B6DD3" w:rsidRDefault="00432B15" w:rsidP="005C7CCA">
      <w:r w:rsidRPr="009B6DD3">
        <w:t xml:space="preserve">In general, </w:t>
      </w:r>
      <w:r w:rsidR="00333263">
        <w:t>s</w:t>
      </w:r>
      <w:r w:rsidRPr="009B6DD3">
        <w:t>tates provide a number of exemptions from tax on general insurance</w:t>
      </w:r>
      <w:r w:rsidR="00496A2E" w:rsidRPr="009B6DD3">
        <w:t>,</w:t>
      </w:r>
      <w:r w:rsidRPr="009B6DD3">
        <w:t xml:space="preserve"> including workers compensation, public liability insurance for not</w:t>
      </w:r>
      <w:r w:rsidR="00435E86">
        <w:noBreakHyphen/>
      </w:r>
      <w:r w:rsidRPr="009B6DD3">
        <w:t>for</w:t>
      </w:r>
      <w:r w:rsidR="00435E86">
        <w:noBreakHyphen/>
      </w:r>
      <w:r w:rsidRPr="009B6DD3">
        <w:t>profit organisatio</w:t>
      </w:r>
      <w:r w:rsidR="008454FE" w:rsidRPr="009B6DD3">
        <w:t xml:space="preserve">ns and </w:t>
      </w:r>
      <w:r w:rsidR="00130AF9" w:rsidRPr="009B6DD3">
        <w:t xml:space="preserve">insurance on </w:t>
      </w:r>
      <w:r w:rsidR="008454FE" w:rsidRPr="009B6DD3">
        <w:t>the transport of goods.</w:t>
      </w:r>
    </w:p>
    <w:p w14:paraId="65303F97" w14:textId="43EDFBF9" w:rsidR="00432B15" w:rsidRPr="009B6DD3" w:rsidRDefault="00432B15" w:rsidP="005C7CCA">
      <w:r w:rsidRPr="009B6DD3">
        <w:t>As with stamp duties more broadly, insurance taxes are among the most inefficient taxes in Australia. Insurance taxes increase the cost of insurance to consumers and place a large burden on home insurance. They may lead to under</w:t>
      </w:r>
      <w:r w:rsidR="00435E86">
        <w:noBreakHyphen/>
      </w:r>
      <w:r w:rsidRPr="009B6DD3">
        <w:t>insurance or to people not insuring at all</w:t>
      </w:r>
      <w:r w:rsidR="00704EE7" w:rsidRPr="009B6DD3">
        <w:t>, particularly if householders are sensitive to price increases</w:t>
      </w:r>
      <w:r w:rsidRPr="009B6DD3">
        <w:t xml:space="preserve">. </w:t>
      </w:r>
      <w:r w:rsidR="0010465A" w:rsidRPr="009B6DD3">
        <w:t xml:space="preserve">In this regard, </w:t>
      </w:r>
      <w:r w:rsidR="00217356" w:rsidRPr="009B6DD3">
        <w:t>Tooth and Barker found that rates of non</w:t>
      </w:r>
      <w:r w:rsidR="00435E86">
        <w:noBreakHyphen/>
      </w:r>
      <w:r w:rsidR="00217356" w:rsidRPr="009B6DD3">
        <w:t>insurance can be higher for particular demographic groups,</w:t>
      </w:r>
      <w:r w:rsidR="00A0225B" w:rsidRPr="009B6DD3">
        <w:t xml:space="preserve"> </w:t>
      </w:r>
      <w:r w:rsidR="00217356" w:rsidRPr="009B6DD3">
        <w:t>including retirees with mortgages and single parents</w:t>
      </w:r>
      <w:r w:rsidR="004F57AC" w:rsidRPr="009B6DD3">
        <w:t xml:space="preserve">, leaving </w:t>
      </w:r>
      <w:r w:rsidR="00496A2E" w:rsidRPr="009B6DD3">
        <w:t>them</w:t>
      </w:r>
      <w:r w:rsidR="004F57AC" w:rsidRPr="009B6DD3">
        <w:t xml:space="preserve"> more financially vulnerable in the event of loss</w:t>
      </w:r>
      <w:r w:rsidR="00545267" w:rsidRPr="009B6DD3">
        <w:t>.</w:t>
      </w:r>
      <w:r w:rsidR="004F57AC" w:rsidRPr="009B6DD3">
        <w:rPr>
          <w:rStyle w:val="FootnoteReference"/>
        </w:rPr>
        <w:footnoteReference w:id="36"/>
      </w:r>
      <w:r w:rsidR="00F64440" w:rsidRPr="009B6DD3">
        <w:t xml:space="preserve"> </w:t>
      </w:r>
    </w:p>
    <w:p w14:paraId="08B1EB9E" w14:textId="77777777" w:rsidR="009B0A3A" w:rsidRDefault="009B0A3A">
      <w:pPr>
        <w:spacing w:after="0" w:line="240" w:lineRule="auto"/>
        <w:rPr>
          <w:rFonts w:eastAsiaTheme="majorEastAsia" w:cstheme="majorBidi"/>
          <w:b/>
          <w:bCs/>
          <w:iCs/>
          <w:color w:val="31A7D4" w:themeColor="accent1"/>
          <w:sz w:val="26"/>
        </w:rPr>
      </w:pPr>
      <w:bookmarkStart w:id="424" w:name="_Toc406155427"/>
      <w:bookmarkStart w:id="425" w:name="_Toc402353700"/>
      <w:bookmarkStart w:id="426" w:name="_Toc402362228"/>
      <w:bookmarkStart w:id="427" w:name="_Toc402368817"/>
      <w:bookmarkStart w:id="428" w:name="_Toc402369902"/>
      <w:bookmarkStart w:id="429" w:name="_Toc402370567"/>
      <w:bookmarkStart w:id="430" w:name="_Toc402371514"/>
      <w:bookmarkStart w:id="431" w:name="_Toc403555880"/>
      <w:r>
        <w:br w:type="page"/>
      </w:r>
    </w:p>
    <w:p w14:paraId="7A50AA70" w14:textId="7F87681C" w:rsidR="00F732EE" w:rsidRPr="009B6DD3" w:rsidRDefault="00276140" w:rsidP="009670F9">
      <w:pPr>
        <w:pStyle w:val="Heading4"/>
      </w:pPr>
      <w:r w:rsidRPr="009B6DD3">
        <w:lastRenderedPageBreak/>
        <w:t>Motor vehicle stamp duties</w:t>
      </w:r>
      <w:bookmarkEnd w:id="424"/>
    </w:p>
    <w:p w14:paraId="00E08D62" w14:textId="7D579EE7" w:rsidR="00C8605C" w:rsidRPr="009B6DD3" w:rsidRDefault="00B112D8" w:rsidP="003148AB">
      <w:r w:rsidRPr="009B6DD3">
        <w:t>S</w:t>
      </w:r>
      <w:r w:rsidR="00C8605C" w:rsidRPr="009B6DD3">
        <w:t xml:space="preserve">tates and </w:t>
      </w:r>
      <w:r w:rsidR="00333263">
        <w:t>t</w:t>
      </w:r>
      <w:r w:rsidR="00C8605C" w:rsidRPr="009B6DD3">
        <w:t xml:space="preserve">erritories raise taxes from road users </w:t>
      </w:r>
      <w:r w:rsidR="00496A2E" w:rsidRPr="009B6DD3">
        <w:t xml:space="preserve">by way of </w:t>
      </w:r>
      <w:r w:rsidR="00C8605C" w:rsidRPr="009B6DD3">
        <w:t xml:space="preserve">annual motor vehicle registration charges, stamp duties on the sale of new and used vehicles, </w:t>
      </w:r>
      <w:r w:rsidR="00031552" w:rsidRPr="009B6DD3">
        <w:t xml:space="preserve">weight taxes, </w:t>
      </w:r>
      <w:r w:rsidR="00C8605C" w:rsidRPr="009B6DD3">
        <w:t>surcharges and levies on compulsory third party insurance, car parking space levies and a range of minor taxes.</w:t>
      </w:r>
      <w:r w:rsidR="00031552" w:rsidRPr="009B6DD3">
        <w:rPr>
          <w:rStyle w:val="FootnoteReference"/>
          <w:rFonts w:ascii="Calibri" w:hAnsi="Calibri"/>
        </w:rPr>
        <w:footnoteReference w:id="37"/>
      </w:r>
    </w:p>
    <w:p w14:paraId="4CCB0C19" w14:textId="3CE73C93" w:rsidR="00A240DB" w:rsidRPr="009B6DD3" w:rsidRDefault="00B42B4C" w:rsidP="00C315D7">
      <w:r w:rsidRPr="009B6DD3">
        <w:t>Stamp duties on the registration of new and used vehicles raised about $</w:t>
      </w:r>
      <w:r w:rsidR="000C682F" w:rsidRPr="009B6DD3">
        <w:t>2.</w:t>
      </w:r>
      <w:r w:rsidR="00C315D7" w:rsidRPr="009B6DD3">
        <w:t>4</w:t>
      </w:r>
      <w:r w:rsidRPr="009B6DD3">
        <w:t xml:space="preserve"> billion (or</w:t>
      </w:r>
      <w:r w:rsidR="00C315D7" w:rsidRPr="009B6DD3">
        <w:t> </w:t>
      </w:r>
      <w:r w:rsidR="004431DC" w:rsidRPr="009B6DD3">
        <w:t>4</w:t>
      </w:r>
      <w:r w:rsidR="00545267" w:rsidRPr="009B6DD3">
        <w:t> per </w:t>
      </w:r>
      <w:r w:rsidRPr="009B6DD3">
        <w:t xml:space="preserve">cent) of state </w:t>
      </w:r>
      <w:r w:rsidR="000C682F" w:rsidRPr="009B6DD3">
        <w:t xml:space="preserve">tax </w:t>
      </w:r>
      <w:r w:rsidRPr="009B6DD3">
        <w:t>revenue in 201</w:t>
      </w:r>
      <w:r w:rsidR="004431DC" w:rsidRPr="009B6DD3">
        <w:t>3</w:t>
      </w:r>
      <w:r w:rsidR="00435E86">
        <w:noBreakHyphen/>
      </w:r>
      <w:r w:rsidRPr="009B6DD3">
        <w:t>1</w:t>
      </w:r>
      <w:r w:rsidR="004431DC" w:rsidRPr="009B6DD3">
        <w:t>4</w:t>
      </w:r>
      <w:r w:rsidR="00F64440" w:rsidRPr="009B6DD3">
        <w:t>.</w:t>
      </w:r>
      <w:r w:rsidR="00E263F8" w:rsidRPr="009B6DD3">
        <w:rPr>
          <w:rStyle w:val="FootnoteReference"/>
        </w:rPr>
        <w:footnoteReference w:id="38"/>
      </w:r>
      <w:r w:rsidR="00F64440" w:rsidRPr="009B6DD3">
        <w:t xml:space="preserve"> </w:t>
      </w:r>
      <w:r w:rsidR="00A240DB" w:rsidRPr="009B6DD3">
        <w:t>These taxes add to the costs of transferring new and used vehicles</w:t>
      </w:r>
      <w:r w:rsidR="00031552" w:rsidRPr="009B6DD3">
        <w:t>.</w:t>
      </w:r>
    </w:p>
    <w:p w14:paraId="4BE6D01A" w14:textId="36FFA734" w:rsidR="00365C82" w:rsidRPr="009B6DD3" w:rsidRDefault="009127FC" w:rsidP="009127FC">
      <w:pPr>
        <w:pStyle w:val="Heading3"/>
      </w:pPr>
      <w:bookmarkStart w:id="432" w:name="_Toc406155428"/>
      <w:r w:rsidRPr="009B6DD3">
        <w:t>T</w:t>
      </w:r>
      <w:r w:rsidR="000C682F" w:rsidRPr="009B6DD3">
        <w:t>axes on land</w:t>
      </w:r>
      <w:bookmarkEnd w:id="432"/>
    </w:p>
    <w:p w14:paraId="31502499" w14:textId="74CD461E" w:rsidR="0010465A" w:rsidRPr="009B6DD3" w:rsidRDefault="00641B16" w:rsidP="000C682F">
      <w:pPr>
        <w:pStyle w:val="Dash"/>
        <w:numPr>
          <w:ilvl w:val="0"/>
          <w:numId w:val="0"/>
        </w:numPr>
      </w:pPr>
      <w:r w:rsidRPr="009B6DD3">
        <w:t xml:space="preserve">In Australia, taxes on land are levied by </w:t>
      </w:r>
      <w:r w:rsidR="00333263">
        <w:t>s</w:t>
      </w:r>
      <w:r w:rsidRPr="009B6DD3">
        <w:t xml:space="preserve">tate governments in the form of land tax and by local governments in the form of municipal rates. </w:t>
      </w:r>
      <w:r w:rsidR="00923126" w:rsidRPr="009B6DD3">
        <w:t>Currently, t</w:t>
      </w:r>
      <w:r w:rsidR="005F1986" w:rsidRPr="009B6DD3">
        <w:t xml:space="preserve">he </w:t>
      </w:r>
      <w:r w:rsidR="00406CC3" w:rsidRPr="009B6DD3">
        <w:t>ACT</w:t>
      </w:r>
      <w:r w:rsidR="005F1986" w:rsidRPr="009B6DD3">
        <w:t xml:space="preserve"> levies both land tax and municipal rates (see </w:t>
      </w:r>
      <w:r w:rsidR="00E55E57">
        <w:t>B</w:t>
      </w:r>
      <w:r w:rsidR="00105744" w:rsidRPr="009B6DD3">
        <w:t xml:space="preserve">ox </w:t>
      </w:r>
      <w:r w:rsidR="00DD282B" w:rsidRPr="009B6DD3">
        <w:t>8</w:t>
      </w:r>
      <w:r w:rsidR="00105744" w:rsidRPr="009B6DD3">
        <w:t xml:space="preserve">.2 </w:t>
      </w:r>
      <w:r w:rsidR="005F1986" w:rsidRPr="009B6DD3">
        <w:t xml:space="preserve">for </w:t>
      </w:r>
      <w:r w:rsidR="004F57AC" w:rsidRPr="009B6DD3">
        <w:t xml:space="preserve">more </w:t>
      </w:r>
      <w:r w:rsidR="005F1986" w:rsidRPr="009B6DD3">
        <w:t xml:space="preserve">detail on ACT land tax reforms). </w:t>
      </w:r>
    </w:p>
    <w:p w14:paraId="32AD50B7" w14:textId="14AABE7E" w:rsidR="00641B16" w:rsidRPr="009B6DD3" w:rsidRDefault="00825CE7" w:rsidP="005C7CCA">
      <w:pPr>
        <w:pStyle w:val="Dash"/>
        <w:numPr>
          <w:ilvl w:val="0"/>
          <w:numId w:val="0"/>
        </w:numPr>
        <w:spacing w:after="240"/>
      </w:pPr>
      <w:r w:rsidRPr="009B6DD3">
        <w:t xml:space="preserve">Chart </w:t>
      </w:r>
      <w:r w:rsidR="00DD282B" w:rsidRPr="009B6DD3">
        <w:t>8</w:t>
      </w:r>
      <w:r w:rsidR="00E24DCB" w:rsidRPr="009B6DD3">
        <w:t>.</w:t>
      </w:r>
      <w:r w:rsidR="00A101DC" w:rsidRPr="009B6DD3">
        <w:t>10</w:t>
      </w:r>
      <w:r w:rsidR="00E24DCB" w:rsidRPr="009B6DD3">
        <w:t xml:space="preserve"> </w:t>
      </w:r>
      <w:r w:rsidRPr="009B6DD3">
        <w:t xml:space="preserve">compares tax revenue raised from land in Australia to </w:t>
      </w:r>
      <w:r w:rsidR="00406CC3" w:rsidRPr="009B6DD3">
        <w:t xml:space="preserve">other </w:t>
      </w:r>
      <w:r w:rsidR="00E6459B" w:rsidRPr="009B6DD3">
        <w:t>developed</w:t>
      </w:r>
      <w:r w:rsidRPr="009B6DD3">
        <w:t xml:space="preserve"> countries</w:t>
      </w:r>
      <w:r w:rsidR="00F64440" w:rsidRPr="009B6DD3">
        <w:t xml:space="preserve">. </w:t>
      </w:r>
      <w:r w:rsidRPr="009B6DD3">
        <w:t>It shows</w:t>
      </w:r>
      <w:r w:rsidR="000C682F" w:rsidRPr="009B6DD3">
        <w:t xml:space="preserve"> Australia</w:t>
      </w:r>
      <w:r w:rsidR="00435E86">
        <w:t>’</w:t>
      </w:r>
      <w:r w:rsidR="000C682F" w:rsidRPr="009B6DD3">
        <w:t>s reliance on taxes on land</w:t>
      </w:r>
      <w:r w:rsidRPr="009B6DD3">
        <w:t xml:space="preserve">, as a percentage of total taxation is higher than the OECD average, but </w:t>
      </w:r>
      <w:r w:rsidR="000C682F" w:rsidRPr="009B6DD3">
        <w:t xml:space="preserve">around half the </w:t>
      </w:r>
      <w:r w:rsidRPr="009B6DD3">
        <w:t>proportion</w:t>
      </w:r>
      <w:r w:rsidR="000C682F" w:rsidRPr="009B6DD3">
        <w:t xml:space="preserve"> raised in the </w:t>
      </w:r>
      <w:r w:rsidR="004035AF" w:rsidRPr="009B6DD3">
        <w:t>US</w:t>
      </w:r>
      <w:r w:rsidRPr="009B6DD3">
        <w:t xml:space="preserve">, </w:t>
      </w:r>
      <w:r w:rsidR="004035AF" w:rsidRPr="009B6DD3">
        <w:t>UK</w:t>
      </w:r>
      <w:r w:rsidRPr="009B6DD3">
        <w:t xml:space="preserve"> and</w:t>
      </w:r>
      <w:r w:rsidR="000C682F" w:rsidRPr="009B6DD3">
        <w:t xml:space="preserve"> Canada. </w:t>
      </w:r>
    </w:p>
    <w:p w14:paraId="1B9379D1" w14:textId="138B28ED" w:rsidR="001A26CD" w:rsidRPr="009B6DD3" w:rsidRDefault="00545267" w:rsidP="00545267">
      <w:pPr>
        <w:pStyle w:val="ChartMainHeading"/>
      </w:pPr>
      <w:r w:rsidRPr="009B6DD3">
        <w:t xml:space="preserve">Chart </w:t>
      </w:r>
      <w:fldSimple w:instr=" STYLEREF 1 \s ">
        <w:r w:rsidR="00B51480">
          <w:rPr>
            <w:noProof/>
          </w:rPr>
          <w:t>8</w:t>
        </w:r>
      </w:fldSimple>
      <w:r w:rsidR="00870BFF" w:rsidRPr="009B6DD3">
        <w:t>.</w:t>
      </w:r>
      <w:r w:rsidR="00A57EA3" w:rsidRPr="009B6DD3">
        <w:t>10</w:t>
      </w:r>
      <w:r w:rsidRPr="009B6DD3">
        <w:t xml:space="preserve"> </w:t>
      </w:r>
      <w:r w:rsidR="001A26CD" w:rsidRPr="009B6DD3">
        <w:t xml:space="preserve">Recurrent taxes on immovable property as a percentage of total taxation, </w:t>
      </w:r>
      <w:r w:rsidR="00435E86">
        <w:t>OECD </w:t>
      </w:r>
      <w:r w:rsidR="001A26CD" w:rsidRPr="009B6DD3">
        <w:t>countries, 201</w:t>
      </w:r>
      <w:r w:rsidR="00D43F9E" w:rsidRPr="009B6DD3">
        <w:t>2</w:t>
      </w:r>
    </w:p>
    <w:p w14:paraId="21B41976" w14:textId="6DA52160" w:rsidR="00365C82" w:rsidRPr="009B6DD3" w:rsidRDefault="00DC3A2E" w:rsidP="00DC3A2E">
      <w:pPr>
        <w:pStyle w:val="ChartGraphic"/>
      </w:pPr>
      <w:r w:rsidRPr="009B6DD3">
        <w:fldChar w:fldCharType="begin"/>
      </w:r>
      <w:r w:rsidRPr="009B6DD3">
        <w:instrText xml:space="preserve"> LINK Excel.Sheet.12 "" "" \a \p </w:instrText>
      </w:r>
      <w:r w:rsidR="009B6DD3">
        <w:instrText xml:space="preserve"> \* MERGEFORMAT </w:instrText>
      </w:r>
      <w:r w:rsidRPr="009B6DD3">
        <w:fldChar w:fldCharType="separate"/>
      </w:r>
      <w:r w:rsidR="00A51D14">
        <w:object w:dxaOrig="11712" w:dyaOrig="6016" w14:anchorId="255B4B6E">
          <v:shape id="_x0000_i1034" type="#_x0000_t75" alt="Chart 8.10 Recurrent taxes on immovable property as a percentage of total taxation, OECD countries, 2012.&#10;&#10;This chart shows recurrent taxes on immovable property as a share of total taxation across the 34 OECD countries in 2012. Taxes on immovable property in Australia were 5.2 per cent of total taxation, which was higher than the OECD average of 3.3 per cent but lower the share in seven other OECD countries (including the United States, United Kingdom, Canada, New Zealand and Japan). &#10;" style="width:438.75pt;height:225.75pt">
            <v:imagedata r:id="rId34" o:title=""/>
          </v:shape>
        </w:object>
      </w:r>
      <w:r w:rsidRPr="009B6DD3">
        <w:fldChar w:fldCharType="end"/>
      </w:r>
    </w:p>
    <w:p w14:paraId="021CAF29" w14:textId="7F40843D" w:rsidR="001A26CD" w:rsidRPr="009B6DD3" w:rsidRDefault="001A26CD" w:rsidP="003148AB">
      <w:pPr>
        <w:pStyle w:val="ChartandTableNote"/>
        <w:ind w:left="426"/>
      </w:pPr>
      <w:r w:rsidRPr="009B6DD3">
        <w:t xml:space="preserve">Note: </w:t>
      </w:r>
      <w:r w:rsidR="00A47956" w:rsidRPr="009B6DD3">
        <w:t>Recurrent t</w:t>
      </w:r>
      <w:r w:rsidRPr="009B6DD3">
        <w:t xml:space="preserve">axes on </w:t>
      </w:r>
      <w:r w:rsidR="00A47956" w:rsidRPr="009B6DD3">
        <w:t>immovable property cover taxes levied regularly in respect of the use or ownership of immovable property</w:t>
      </w:r>
      <w:r w:rsidRPr="009B6DD3">
        <w:t>.</w:t>
      </w:r>
    </w:p>
    <w:p w14:paraId="38194A0D" w14:textId="7EE8587A" w:rsidR="00276140" w:rsidRPr="009B6DD3" w:rsidRDefault="001A26CD" w:rsidP="003148AB">
      <w:pPr>
        <w:pStyle w:val="ChartandTableNote"/>
        <w:ind w:left="426"/>
      </w:pPr>
      <w:r w:rsidRPr="009B6DD3">
        <w:t xml:space="preserve">Source: </w:t>
      </w:r>
      <w:r w:rsidR="00F25626" w:rsidRPr="009B6DD3">
        <w:t xml:space="preserve">OECD 2014, </w:t>
      </w:r>
      <w:r w:rsidR="00F25626" w:rsidRPr="009B6DD3">
        <w:rPr>
          <w:i/>
        </w:rPr>
        <w:t>Revenue Statistics</w:t>
      </w:r>
      <w:r w:rsidR="005114F8" w:rsidRPr="009B6DD3">
        <w:rPr>
          <w:i/>
        </w:rPr>
        <w:t xml:space="preserve"> 2014</w:t>
      </w:r>
      <w:r w:rsidR="005114F8" w:rsidRPr="009B6DD3">
        <w:t>, OECD Publications, Paris</w:t>
      </w:r>
      <w:r w:rsidR="00F25626" w:rsidRPr="009B6DD3">
        <w:t>.</w:t>
      </w:r>
    </w:p>
    <w:p w14:paraId="110CB08C" w14:textId="77777777" w:rsidR="007A1641" w:rsidRPr="009B6DD3" w:rsidRDefault="007A1641" w:rsidP="007A1641">
      <w:pPr>
        <w:pStyle w:val="SingleParagraph"/>
      </w:pPr>
    </w:p>
    <w:p w14:paraId="37989B62" w14:textId="77777777" w:rsidR="009B0A3A" w:rsidRDefault="009B0A3A" w:rsidP="00435E86">
      <w:pPr>
        <w:rPr>
          <w:rFonts w:eastAsiaTheme="majorEastAsia" w:cstheme="majorBidi"/>
          <w:color w:val="31A7D4" w:themeColor="accent1"/>
          <w:sz w:val="26"/>
        </w:rPr>
      </w:pPr>
      <w:bookmarkStart w:id="433" w:name="_Toc406155429"/>
      <w:r>
        <w:br w:type="page"/>
      </w:r>
    </w:p>
    <w:p w14:paraId="07046EC8" w14:textId="60A86787" w:rsidR="00432B15" w:rsidRPr="00435E86" w:rsidRDefault="00432B15" w:rsidP="00435E86">
      <w:pPr>
        <w:pStyle w:val="Heading4"/>
      </w:pPr>
      <w:r w:rsidRPr="00435E86">
        <w:lastRenderedPageBreak/>
        <w:t>Land tax</w:t>
      </w:r>
      <w:bookmarkEnd w:id="425"/>
      <w:bookmarkEnd w:id="426"/>
      <w:bookmarkEnd w:id="427"/>
      <w:bookmarkEnd w:id="428"/>
      <w:bookmarkEnd w:id="429"/>
      <w:bookmarkEnd w:id="430"/>
      <w:bookmarkEnd w:id="431"/>
      <w:bookmarkEnd w:id="433"/>
    </w:p>
    <w:p w14:paraId="29F2D6B4" w14:textId="6EB78F93" w:rsidR="00432B15" w:rsidRPr="009B6DD3" w:rsidRDefault="00432B15" w:rsidP="003148AB">
      <w:r w:rsidRPr="009B6DD3">
        <w:t xml:space="preserve">All </w:t>
      </w:r>
      <w:r w:rsidR="00333263">
        <w:t>s</w:t>
      </w:r>
      <w:r w:rsidRPr="009B6DD3">
        <w:t xml:space="preserve">tates and </w:t>
      </w:r>
      <w:r w:rsidR="00333263">
        <w:t>t</w:t>
      </w:r>
      <w:r w:rsidRPr="009B6DD3">
        <w:t>erri</w:t>
      </w:r>
      <w:r w:rsidR="00D020D5" w:rsidRPr="009B6DD3">
        <w:t>tories, apart from the Northern </w:t>
      </w:r>
      <w:r w:rsidRPr="009B6DD3">
        <w:t>Territo</w:t>
      </w:r>
      <w:r w:rsidR="00D020D5" w:rsidRPr="009B6DD3">
        <w:t>ry, levy annual lan</w:t>
      </w:r>
      <w:r w:rsidR="00333263">
        <w:t>d taxes on property, with some s</w:t>
      </w:r>
      <w:r w:rsidRPr="009B6DD3">
        <w:t xml:space="preserve">tates using unimproved land </w:t>
      </w:r>
      <w:r w:rsidR="00406CC3" w:rsidRPr="009B6DD3">
        <w:t xml:space="preserve">value and other </w:t>
      </w:r>
      <w:r w:rsidR="00333263">
        <w:t>s</w:t>
      </w:r>
      <w:r w:rsidR="00406CC3" w:rsidRPr="009B6DD3">
        <w:t>tates using</w:t>
      </w:r>
      <w:r w:rsidRPr="009B6DD3">
        <w:t xml:space="preserve"> market value to determine land value. State land tax regimes commonly feature a tax</w:t>
      </w:r>
      <w:r w:rsidR="00435E86">
        <w:noBreakHyphen/>
      </w:r>
      <w:r w:rsidRPr="009B6DD3">
        <w:t>free threshold and progressive rate scales</w:t>
      </w:r>
      <w:r w:rsidR="00F64440" w:rsidRPr="009B6DD3">
        <w:t xml:space="preserve">. </w:t>
      </w:r>
    </w:p>
    <w:p w14:paraId="43173B26" w14:textId="2C51F862" w:rsidR="00432B15" w:rsidRPr="009B6DD3" w:rsidRDefault="000345B3" w:rsidP="003148AB">
      <w:r w:rsidRPr="009B6DD3">
        <w:t>T</w:t>
      </w:r>
      <w:r w:rsidR="00432B15" w:rsidRPr="009B6DD3">
        <w:t>he land tax base in Australia is narrow due to tax</w:t>
      </w:r>
      <w:r w:rsidR="00435E86">
        <w:noBreakHyphen/>
      </w:r>
      <w:r w:rsidR="00432B15" w:rsidRPr="009B6DD3">
        <w:t>free thresholds and many exemptions, some of which are motivated by equity concerns</w:t>
      </w:r>
      <w:r w:rsidR="00F64440" w:rsidRPr="009B6DD3">
        <w:t xml:space="preserve">. </w:t>
      </w:r>
      <w:r w:rsidR="00432B15" w:rsidRPr="009B6DD3">
        <w:t>Exemptions apply primarily to owner</w:t>
      </w:r>
      <w:r w:rsidR="00435E86">
        <w:noBreakHyphen/>
      </w:r>
      <w:r w:rsidR="00432B15" w:rsidRPr="009B6DD3">
        <w:t xml:space="preserve">occupied housing and primary production land. In fact, </w:t>
      </w:r>
      <w:r w:rsidR="009D2F9F" w:rsidRPr="009B6DD3">
        <w:t>more than half of the potential</w:t>
      </w:r>
      <w:r w:rsidR="00432B15" w:rsidRPr="009B6DD3">
        <w:t xml:space="preserve"> land</w:t>
      </w:r>
      <w:r w:rsidR="009D2F9F" w:rsidRPr="009B6DD3">
        <w:t xml:space="preserve"> tax base</w:t>
      </w:r>
      <w:r w:rsidR="00333263">
        <w:t>, by value, is exempted from s</w:t>
      </w:r>
      <w:r w:rsidR="00432B15" w:rsidRPr="009B6DD3">
        <w:t>tate land taxes.</w:t>
      </w:r>
      <w:r w:rsidR="00432B15" w:rsidRPr="009B6DD3">
        <w:rPr>
          <w:rStyle w:val="FootnoteReference"/>
        </w:rPr>
        <w:footnoteReference w:id="39"/>
      </w:r>
      <w:r w:rsidR="00432B15" w:rsidRPr="009B6DD3">
        <w:t xml:space="preserve"> </w:t>
      </w:r>
    </w:p>
    <w:p w14:paraId="6D450176" w14:textId="5E7E908C" w:rsidR="00432B15" w:rsidRPr="009B6DD3" w:rsidRDefault="00432B15" w:rsidP="003148AB">
      <w:r w:rsidRPr="009B6DD3">
        <w:t>This results in forgone revenue and distorts land</w:t>
      </w:r>
      <w:r w:rsidR="00435E86">
        <w:noBreakHyphen/>
      </w:r>
      <w:r w:rsidRPr="009B6DD3">
        <w:t xml:space="preserve">use. For example, levying land tax at </w:t>
      </w:r>
      <w:r w:rsidR="00B80327" w:rsidRPr="009B6DD3">
        <w:t xml:space="preserve">progressive </w:t>
      </w:r>
      <w:r w:rsidRPr="009B6DD3">
        <w:t>rates on total landholdings leads to higher taxes on large landhold</w:t>
      </w:r>
      <w:r w:rsidR="00527898" w:rsidRPr="009B6DD3">
        <w:t>ings</w:t>
      </w:r>
      <w:r w:rsidRPr="009B6DD3">
        <w:t>, compared to smaller landholdings. The OECD argues this introduces a bias against large investments in residential property and discourages institutional investors from investing in private rental housing.</w:t>
      </w:r>
      <w:r w:rsidRPr="009B6DD3">
        <w:rPr>
          <w:rStyle w:val="FootnoteReference"/>
        </w:rPr>
        <w:footnoteReference w:id="40"/>
      </w:r>
    </w:p>
    <w:p w14:paraId="0B55F1D9" w14:textId="0EC68B20" w:rsidR="00432B15" w:rsidRPr="009B6DD3" w:rsidRDefault="00432B15" w:rsidP="003148AB">
      <w:r w:rsidRPr="009B6DD3">
        <w:t>Unlike capital and labour, land is an immobile and fixed factor in productive activity. An ideally</w:t>
      </w:r>
      <w:r w:rsidR="00406CC3" w:rsidRPr="009B6DD3">
        <w:t xml:space="preserve"> </w:t>
      </w:r>
      <w:r w:rsidRPr="009B6DD3">
        <w:t xml:space="preserve">designed land tax </w:t>
      </w:r>
      <w:r w:rsidR="00406CC3" w:rsidRPr="009B6DD3">
        <w:t>would result</w:t>
      </w:r>
      <w:r w:rsidR="0088618D" w:rsidRPr="009B6DD3">
        <w:t xml:space="preserve"> in a once</w:t>
      </w:r>
      <w:r w:rsidR="00435E86">
        <w:noBreakHyphen/>
      </w:r>
      <w:r w:rsidR="0088618D" w:rsidRPr="009B6DD3">
        <w:t>off reduction in the value of the land</w:t>
      </w:r>
      <w:r w:rsidRPr="009B6DD3">
        <w:t xml:space="preserve">. Even with </w:t>
      </w:r>
      <w:r w:rsidR="0088618D" w:rsidRPr="009B6DD3">
        <w:t>this reduction in land value</w:t>
      </w:r>
      <w:r w:rsidRPr="009B6DD3">
        <w:t xml:space="preserve">, land supply remains fixed and cannot fall. Without a decline in </w:t>
      </w:r>
      <w:r w:rsidR="00406CC3" w:rsidRPr="009B6DD3">
        <w:t>the supply of land, renters would</w:t>
      </w:r>
      <w:r w:rsidRPr="009B6DD3">
        <w:t xml:space="preserve"> be unwilling to pay higher rents. As such, in</w:t>
      </w:r>
      <w:r w:rsidRPr="009B6DD3">
        <w:rPr>
          <w:szCs w:val="24"/>
        </w:rPr>
        <w:t xml:space="preserve"> </w:t>
      </w:r>
      <w:r w:rsidRPr="009B6DD3">
        <w:t xml:space="preserve">an ideal land tax, land owners </w:t>
      </w:r>
      <w:r w:rsidR="00406CC3" w:rsidRPr="009B6DD3">
        <w:t xml:space="preserve">would </w:t>
      </w:r>
      <w:r w:rsidRPr="009B6DD3">
        <w:t>be</w:t>
      </w:r>
      <w:r w:rsidR="007C1F41" w:rsidRPr="009B6DD3">
        <w:t>ar</w:t>
      </w:r>
      <w:r w:rsidRPr="009B6DD3">
        <w:t xml:space="preserve"> the full cost of the tax and </w:t>
      </w:r>
      <w:r w:rsidR="00406CC3" w:rsidRPr="009B6DD3">
        <w:t>would</w:t>
      </w:r>
      <w:r w:rsidRPr="009B6DD3">
        <w:t xml:space="preserve"> not pass any onto renters.</w:t>
      </w:r>
    </w:p>
    <w:p w14:paraId="7B2BCD8C" w14:textId="5874D397" w:rsidR="00432B15" w:rsidRPr="009B6DD3" w:rsidRDefault="00432B15" w:rsidP="003148AB">
      <w:r w:rsidRPr="009B6DD3">
        <w:t>In practice, no land tax fits the</w:t>
      </w:r>
      <w:r w:rsidR="002A3546" w:rsidRPr="009B6DD3">
        <w:t xml:space="preserve"> theoretical</w:t>
      </w:r>
      <w:r w:rsidRPr="009B6DD3">
        <w:t xml:space="preserve"> ideal. Land tax as currently implemented </w:t>
      </w:r>
      <w:r w:rsidR="00406CC3" w:rsidRPr="009B6DD3">
        <w:t xml:space="preserve">in Australia </w:t>
      </w:r>
      <w:r w:rsidRPr="009B6DD3">
        <w:t xml:space="preserve">is far from </w:t>
      </w:r>
      <w:r w:rsidR="002A3546" w:rsidRPr="009B6DD3">
        <w:t>such a model</w:t>
      </w:r>
      <w:r w:rsidRPr="009B6DD3">
        <w:t xml:space="preserve"> because </w:t>
      </w:r>
      <w:r w:rsidR="002A3546" w:rsidRPr="009B6DD3">
        <w:t>of exclusions</w:t>
      </w:r>
      <w:r w:rsidRPr="009B6DD3">
        <w:t xml:space="preserve"> and because different types of land attract different rates of tax</w:t>
      </w:r>
      <w:r w:rsidR="00496A2E" w:rsidRPr="009B6DD3">
        <w:t xml:space="preserve"> (for example, commercial versus residential)</w:t>
      </w:r>
      <w:r w:rsidR="00F64440" w:rsidRPr="009B6DD3">
        <w:t xml:space="preserve">. </w:t>
      </w:r>
      <w:r w:rsidRPr="009B6DD3">
        <w:t xml:space="preserve">Because of this, the burden of land tax is likely to be shared </w:t>
      </w:r>
      <w:r w:rsidR="00496A2E" w:rsidRPr="009B6DD3">
        <w:t xml:space="preserve">by </w:t>
      </w:r>
      <w:r w:rsidRPr="009B6DD3">
        <w:t>landowners and downstream users.</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BF0E87" w:rsidRPr="009B6DD3" w14:paraId="7FF99EA0" w14:textId="77777777" w:rsidTr="005C7CCA">
        <w:tc>
          <w:tcPr>
            <w:tcW w:w="9384" w:type="dxa"/>
            <w:tcBorders>
              <w:top w:val="nil"/>
              <w:left w:val="nil"/>
              <w:bottom w:val="nil"/>
              <w:right w:val="nil"/>
            </w:tcBorders>
            <w:shd w:val="clear" w:color="auto" w:fill="EBEAEA" w:themeFill="accent6" w:themeFillTint="33"/>
          </w:tcPr>
          <w:p w14:paraId="7751FBAD" w14:textId="2FF8AE5A" w:rsidR="00BF0E87" w:rsidRPr="009B6DD3" w:rsidRDefault="00BF0E87" w:rsidP="00897847">
            <w:pPr>
              <w:pStyle w:val="BoxHeading"/>
            </w:pPr>
            <w:r w:rsidRPr="009B6DD3">
              <w:t xml:space="preserve">Box </w:t>
            </w:r>
            <w:fldSimple w:instr=" STYLEREF 1 \s ">
              <w:r w:rsidR="00B51480">
                <w:rPr>
                  <w:noProof/>
                </w:rPr>
                <w:t>8</w:t>
              </w:r>
            </w:fldSimple>
            <w:r w:rsidRPr="009B6DD3">
              <w:t>.</w:t>
            </w:r>
            <w:fldSimple w:instr=" SEQ Box \* ARABIC \s 1 ">
              <w:r w:rsidR="00B51480">
                <w:rPr>
                  <w:noProof/>
                </w:rPr>
                <w:t>2</w:t>
              </w:r>
            </w:fldSimple>
            <w:r w:rsidRPr="009B6DD3">
              <w:t>: Australian Capital Territory tax reforms</w:t>
            </w:r>
          </w:p>
          <w:p w14:paraId="2CD7EE5F" w14:textId="0AF3141D" w:rsidR="00BF0E87" w:rsidRPr="009B6DD3" w:rsidRDefault="003B0AE9" w:rsidP="00BF0E87">
            <w:pPr>
              <w:pStyle w:val="BoxText"/>
            </w:pPr>
            <w:r w:rsidRPr="009B6DD3">
              <w:t>In its 2012</w:t>
            </w:r>
            <w:r w:rsidR="00435E86">
              <w:noBreakHyphen/>
            </w:r>
            <w:r w:rsidR="00BF0E87" w:rsidRPr="009B6DD3">
              <w:t>13 Budget, the ACT Government committed to a 20 year tax reform process to replace insurance duties and stamp dut</w:t>
            </w:r>
            <w:r w:rsidR="00406CC3" w:rsidRPr="009B6DD3">
              <w:t>ies on conveyances with a broad</w:t>
            </w:r>
            <w:r w:rsidR="00435E86">
              <w:noBreakHyphen/>
            </w:r>
            <w:r w:rsidR="00BF0E87" w:rsidRPr="009B6DD3">
              <w:t>based land tax regime</w:t>
            </w:r>
            <w:r w:rsidR="0044524C" w:rsidRPr="009B6DD3">
              <w:t xml:space="preserve"> </w:t>
            </w:r>
            <w:r w:rsidR="00ED7B63" w:rsidRPr="009B6DD3">
              <w:t>that includes</w:t>
            </w:r>
            <w:r w:rsidR="00333263">
              <w:t xml:space="preserve"> owner</w:t>
            </w:r>
            <w:r w:rsidR="00435E86">
              <w:noBreakHyphen/>
            </w:r>
            <w:r w:rsidR="0044524C" w:rsidRPr="009B6DD3">
              <w:t>occupied housing</w:t>
            </w:r>
            <w:r w:rsidR="003C54B4" w:rsidRPr="009B6DD3">
              <w:t xml:space="preserve">. </w:t>
            </w:r>
          </w:p>
          <w:p w14:paraId="72E06B74" w14:textId="5155419D" w:rsidR="00BF0E87" w:rsidRPr="009B6DD3" w:rsidRDefault="00BF0E87" w:rsidP="00BF0E87">
            <w:pPr>
              <w:pStyle w:val="BoxText"/>
            </w:pPr>
            <w:r w:rsidRPr="009B6DD3">
              <w:t>The reform involved significant transitional costs, including to governments (with short</w:t>
            </w:r>
            <w:r w:rsidR="00435E86">
              <w:noBreakHyphen/>
            </w:r>
            <w:r w:rsidRPr="009B6DD3">
              <w:t xml:space="preserve">term falls in revenue as stamp duties decline), new home buyers (with equity concerns about people who have recently purchased a house </w:t>
            </w:r>
            <w:r w:rsidR="00406CC3" w:rsidRPr="009B6DD3">
              <w:t>facing double taxation) and low</w:t>
            </w:r>
            <w:r w:rsidR="00435E86">
              <w:noBreakHyphen/>
            </w:r>
            <w:r w:rsidRPr="009B6DD3">
              <w:t>income home owners (who might have financial difficulty making regular land tax payments).</w:t>
            </w:r>
          </w:p>
          <w:p w14:paraId="701C125E" w14:textId="300597CB" w:rsidR="00BF0E87" w:rsidRPr="009B6DD3" w:rsidRDefault="00BF0E87" w:rsidP="009B0A3A">
            <w:pPr>
              <w:pStyle w:val="BoxText"/>
              <w:spacing w:after="0"/>
            </w:pPr>
            <w:r w:rsidRPr="009B6DD3">
              <w:t xml:space="preserve">The </w:t>
            </w:r>
            <w:r w:rsidR="00406CC3" w:rsidRPr="009B6DD3">
              <w:t xml:space="preserve">ACT </w:t>
            </w:r>
            <w:r w:rsidRPr="009B6DD3">
              <w:t>government</w:t>
            </w:r>
            <w:r w:rsidR="00435E86">
              <w:t>’</w:t>
            </w:r>
            <w:r w:rsidR="00406CC3" w:rsidRPr="009B6DD3">
              <w:t>s</w:t>
            </w:r>
            <w:r w:rsidRPr="009B6DD3">
              <w:t xml:space="preserve"> response to these concerns included a range of concessional schemes and a long and phased implementation programme (with insurance duties abolished over five years and conveyance duties over 20 years).</w:t>
            </w:r>
          </w:p>
        </w:tc>
      </w:tr>
    </w:tbl>
    <w:p w14:paraId="09CE1B5E" w14:textId="77777777" w:rsidR="003148AB" w:rsidRPr="009B6DD3" w:rsidRDefault="003148AB" w:rsidP="003148AB"/>
    <w:p w14:paraId="5680DE9C" w14:textId="77777777" w:rsidR="00432B15" w:rsidRPr="009B6DD3" w:rsidRDefault="00432B15" w:rsidP="009127FC">
      <w:pPr>
        <w:pStyle w:val="Heading4"/>
      </w:pPr>
      <w:bookmarkStart w:id="434" w:name="_Toc402353701"/>
      <w:bookmarkStart w:id="435" w:name="_Toc402362229"/>
      <w:bookmarkStart w:id="436" w:name="_Toc402368818"/>
      <w:bookmarkStart w:id="437" w:name="_Toc402369903"/>
      <w:bookmarkStart w:id="438" w:name="_Toc402370568"/>
      <w:bookmarkStart w:id="439" w:name="_Toc402371515"/>
      <w:bookmarkStart w:id="440" w:name="_Toc403555881"/>
      <w:bookmarkStart w:id="441" w:name="_Toc406155430"/>
      <w:r w:rsidRPr="009B6DD3">
        <w:lastRenderedPageBreak/>
        <w:t>Municipal rates</w:t>
      </w:r>
      <w:bookmarkEnd w:id="434"/>
      <w:bookmarkEnd w:id="435"/>
      <w:bookmarkEnd w:id="436"/>
      <w:bookmarkEnd w:id="437"/>
      <w:bookmarkEnd w:id="438"/>
      <w:bookmarkEnd w:id="439"/>
      <w:bookmarkEnd w:id="440"/>
      <w:bookmarkEnd w:id="441"/>
    </w:p>
    <w:p w14:paraId="28E8E994" w14:textId="77A21444" w:rsidR="00432B15" w:rsidRPr="009B6DD3" w:rsidRDefault="00432B15" w:rsidP="00870BFF">
      <w:r w:rsidRPr="009B6DD3">
        <w:t xml:space="preserve">Local councils levy municipal (or council) rates under powers provided </w:t>
      </w:r>
      <w:r w:rsidR="0070356D" w:rsidRPr="009B6DD3">
        <w:t xml:space="preserve">by </w:t>
      </w:r>
      <w:r w:rsidR="00BE0D1D">
        <w:t>s</w:t>
      </w:r>
      <w:r w:rsidRPr="009B6DD3">
        <w:t>tate governments</w:t>
      </w:r>
      <w:r w:rsidR="007C1F41" w:rsidRPr="009B6DD3">
        <w:t>.</w:t>
      </w:r>
      <w:r w:rsidRPr="009B6DD3">
        <w:t xml:space="preserve"> They are applied broadly across all residential land based on land valuations with few exemptions and are used to fund a broad range of local activities. </w:t>
      </w:r>
    </w:p>
    <w:p w14:paraId="0A55A39E" w14:textId="2C23DCB3" w:rsidR="00432B15" w:rsidRPr="009B6DD3" w:rsidRDefault="00432B15" w:rsidP="00870BFF">
      <w:r w:rsidRPr="009B6DD3">
        <w:t>As with broad</w:t>
      </w:r>
      <w:r w:rsidR="00435E86">
        <w:noBreakHyphen/>
      </w:r>
      <w:r w:rsidRPr="009B6DD3">
        <w:t xml:space="preserve">based land taxes, municipal rates are an efficient way to raise revenue. </w:t>
      </w:r>
      <w:r w:rsidR="008B3E13" w:rsidRPr="009B6DD3">
        <w:t xml:space="preserve">In the theoretical scenario, land is a fixed factor of production and therefore the </w:t>
      </w:r>
      <w:r w:rsidR="00BE0D1D">
        <w:t>tax burden of broadly</w:t>
      </w:r>
      <w:r w:rsidR="00435E86">
        <w:noBreakHyphen/>
      </w:r>
      <w:r w:rsidRPr="009B6DD3">
        <w:t xml:space="preserve">applied municipal rates is paid by landowners, rather than </w:t>
      </w:r>
      <w:r w:rsidR="001B0FEC" w:rsidRPr="009B6DD3">
        <w:t>passed onto</w:t>
      </w:r>
      <w:r w:rsidRPr="009B6DD3">
        <w:t xml:space="preserve"> final </w:t>
      </w:r>
      <w:r w:rsidR="001B0FEC" w:rsidRPr="009B6DD3">
        <w:t xml:space="preserve">land </w:t>
      </w:r>
      <w:r w:rsidRPr="009B6DD3">
        <w:t>users</w:t>
      </w:r>
      <w:r w:rsidR="001B0FEC" w:rsidRPr="009B6DD3">
        <w:t>.</w:t>
      </w:r>
      <w:r w:rsidRPr="009B6DD3">
        <w:t xml:space="preserve"> Low rates and few concessions </w:t>
      </w:r>
      <w:r w:rsidR="00406CC3" w:rsidRPr="009B6DD3">
        <w:t xml:space="preserve">or exemptions </w:t>
      </w:r>
      <w:r w:rsidRPr="009B6DD3">
        <w:t xml:space="preserve">also reduce the incentives </w:t>
      </w:r>
      <w:r w:rsidR="00D15CA5" w:rsidRPr="009B6DD3">
        <w:t xml:space="preserve">and ability </w:t>
      </w:r>
      <w:r w:rsidRPr="009B6DD3">
        <w:t>to avoid the tax.</w:t>
      </w:r>
    </w:p>
    <w:p w14:paraId="512ADEB1" w14:textId="4514E24C" w:rsidR="00432B15" w:rsidRPr="009B6DD3" w:rsidRDefault="00432B15" w:rsidP="00870BFF">
      <w:r w:rsidRPr="009B6DD3">
        <w:t>While municipal rates are widely agreed to be one of the most efficient taxes in Australia, there are some concerns about how land values are determined and rates are set. For example, some councils determine land value on the basis of improved value, rather than unimproved value, which can discourage capital improvement</w:t>
      </w:r>
      <w:r w:rsidR="00870BFF" w:rsidRPr="009B6DD3">
        <w:t>.</w:t>
      </w:r>
      <w:r w:rsidR="00790598" w:rsidRPr="009B6DD3">
        <w:rPr>
          <w:rStyle w:val="FootnoteReference"/>
        </w:rPr>
        <w:footnoteReference w:id="41"/>
      </w:r>
      <w:r w:rsidRPr="009B6DD3">
        <w:t xml:space="preserve"> </w:t>
      </w:r>
    </w:p>
    <w:p w14:paraId="74AE1A4B" w14:textId="209F5ABD" w:rsidR="00432B15" w:rsidRPr="009B6DD3" w:rsidRDefault="00432B15" w:rsidP="00870BFF">
      <w:r w:rsidRPr="009B6DD3">
        <w:t>Differences between councils may also generate some complexity for people with landholdings in different regions. Councils collect substantially different amounts of revenue through rates. In 2010</w:t>
      </w:r>
      <w:r w:rsidR="00435E86">
        <w:noBreakHyphen/>
      </w:r>
      <w:r w:rsidRPr="009B6DD3">
        <w:t>11, the proportion of revenue raised from rates varied between a high of 57 per cent for South Australia and a low of 20 per cent for the Northern Territory.</w:t>
      </w:r>
      <w:r w:rsidRPr="009B6DD3">
        <w:rPr>
          <w:rStyle w:val="FootnoteReference"/>
        </w:rPr>
        <w:footnoteReference w:id="42"/>
      </w:r>
    </w:p>
    <w:p w14:paraId="15D937CE" w14:textId="7B3C285A" w:rsidR="00432B15" w:rsidRPr="009B6DD3" w:rsidRDefault="00432B15" w:rsidP="00870BFF">
      <w:r w:rsidRPr="009B6DD3">
        <w:t>Part of the explanation for this variation is due to institutional differences. While most local councils have the authority to set municipal rates in</w:t>
      </w:r>
      <w:r w:rsidR="00F65847" w:rsidRPr="009B6DD3">
        <w:t xml:space="preserve"> their area, in New South Wales</w:t>
      </w:r>
      <w:r w:rsidRPr="009B6DD3">
        <w:t xml:space="preserve"> the </w:t>
      </w:r>
      <w:r w:rsidR="00E15CCF" w:rsidRPr="009B6DD3">
        <w:t xml:space="preserve">Independent Pricing and Regulatory Tribunal </w:t>
      </w:r>
      <w:r w:rsidRPr="009B6DD3">
        <w:t xml:space="preserve">determines the maximum percentage rate rise each year. In addition, there is substantial variation across Australia in </w:t>
      </w:r>
      <w:r w:rsidR="00CD2483" w:rsidRPr="009B6DD3">
        <w:t xml:space="preserve">population density, </w:t>
      </w:r>
      <w:r w:rsidRPr="009B6DD3">
        <w:t>average incomes</w:t>
      </w:r>
      <w:r w:rsidR="00CD2483" w:rsidRPr="009B6DD3">
        <w:t xml:space="preserve"> and land values</w:t>
      </w:r>
      <w:r w:rsidRPr="009B6DD3">
        <w:t xml:space="preserve">, which </w:t>
      </w:r>
      <w:r w:rsidR="00006CB3" w:rsidRPr="009B6DD3">
        <w:t xml:space="preserve">has an </w:t>
      </w:r>
      <w:r w:rsidRPr="009B6DD3">
        <w:t>impact on the ability of some councils to raise additional revenue through rates.</w:t>
      </w:r>
    </w:p>
    <w:p w14:paraId="655B914B" w14:textId="52C989DD" w:rsidR="00DB740D" w:rsidRPr="009B6DD3" w:rsidRDefault="00DB740D" w:rsidP="00870BFF">
      <w:r w:rsidRPr="009B6DD3">
        <w:t>Both the ACT and South Australia have rate deferral schemes, which allow eligible homeowners to defer rates using a mechanism akin to a reverse mortgage</w:t>
      </w:r>
      <w:r w:rsidR="00583ADB" w:rsidRPr="009B6DD3">
        <w:t>.</w:t>
      </w:r>
      <w:r w:rsidRPr="009B6DD3">
        <w:rPr>
          <w:rStyle w:val="FootnoteReference"/>
        </w:rPr>
        <w:footnoteReference w:id="43"/>
      </w:r>
      <w:r w:rsidRPr="009B6DD3">
        <w:t xml:space="preserve"> These schemes help taxpayers, particularly with low incomes, meet the costs of </w:t>
      </w:r>
      <w:r w:rsidR="0010465A" w:rsidRPr="009B6DD3">
        <w:t>municipal rates</w:t>
      </w:r>
      <w:r w:rsidRPr="009B6DD3">
        <w:t>.</w:t>
      </w:r>
    </w:p>
    <w:p w14:paraId="493EA0B8" w14:textId="77777777" w:rsidR="00432B15" w:rsidRPr="009B6DD3" w:rsidRDefault="00432B15" w:rsidP="009127FC">
      <w:pPr>
        <w:pStyle w:val="Heading3"/>
      </w:pPr>
      <w:bookmarkStart w:id="442" w:name="_Toc402353702"/>
      <w:bookmarkStart w:id="443" w:name="_Toc402362230"/>
      <w:bookmarkStart w:id="444" w:name="_Toc402368819"/>
      <w:bookmarkStart w:id="445" w:name="_Toc402369904"/>
      <w:bookmarkStart w:id="446" w:name="_Toc402370569"/>
      <w:bookmarkStart w:id="447" w:name="_Toc402371516"/>
      <w:bookmarkStart w:id="448" w:name="_Toc403555882"/>
      <w:bookmarkStart w:id="449" w:name="_Toc406155431"/>
      <w:r w:rsidRPr="009B6DD3">
        <w:t>Gambling taxes</w:t>
      </w:r>
      <w:bookmarkEnd w:id="442"/>
      <w:bookmarkEnd w:id="443"/>
      <w:bookmarkEnd w:id="444"/>
      <w:bookmarkEnd w:id="445"/>
      <w:bookmarkEnd w:id="446"/>
      <w:bookmarkEnd w:id="447"/>
      <w:bookmarkEnd w:id="448"/>
      <w:bookmarkEnd w:id="449"/>
    </w:p>
    <w:p w14:paraId="02A8863E" w14:textId="24D7F189" w:rsidR="00432B15" w:rsidRPr="009B6DD3" w:rsidRDefault="00432B15" w:rsidP="00870BFF">
      <w:r w:rsidRPr="009B6DD3">
        <w:t>Gambling taxes are a tax on gambling activity and take many forms</w:t>
      </w:r>
      <w:r w:rsidR="00006CB3" w:rsidRPr="009B6DD3">
        <w:t>,</w:t>
      </w:r>
      <w:r w:rsidRPr="009B6DD3">
        <w:t xml:space="preserve"> including a turnover tax, a tax on net profits and a tax on player loss and licencing fees. Rates differ on the basis of both the form of gambling and the type of venue. In general, lotteries are taxed more heavily than other forms of gambling</w:t>
      </w:r>
      <w:r w:rsidR="00F64440" w:rsidRPr="009B6DD3">
        <w:t xml:space="preserve">. </w:t>
      </w:r>
    </w:p>
    <w:p w14:paraId="1632B25F" w14:textId="1D73425E" w:rsidR="00432B15" w:rsidRPr="009B6DD3" w:rsidRDefault="00432B15" w:rsidP="00870BFF">
      <w:r w:rsidRPr="009B6DD3">
        <w:t>The gambling sector is highly regulated, with restrictions on the numbers of machines and venues. State tax reviews</w:t>
      </w:r>
      <w:r w:rsidR="007C1F41" w:rsidRPr="009B6DD3">
        <w:t xml:space="preserve"> </w:t>
      </w:r>
      <w:r w:rsidRPr="009B6DD3">
        <w:t>in the ACT and NSW</w:t>
      </w:r>
      <w:r w:rsidR="00156908" w:rsidRPr="009B6DD3">
        <w:t xml:space="preserve"> </w:t>
      </w:r>
      <w:r w:rsidRPr="009B6DD3">
        <w:t xml:space="preserve">have argued that government restrictions on competition to deal with problem gambling generate </w:t>
      </w:r>
      <w:r w:rsidR="00435E86">
        <w:t>‘</w:t>
      </w:r>
      <w:r w:rsidRPr="009B6DD3">
        <w:t>excess profits</w:t>
      </w:r>
      <w:r w:rsidR="00435E86">
        <w:t>’</w:t>
      </w:r>
      <w:r w:rsidRPr="009B6DD3">
        <w:t xml:space="preserve"> for the owners of </w:t>
      </w:r>
      <w:r w:rsidRPr="009B6DD3">
        <w:lastRenderedPageBreak/>
        <w:t>gambling venues and that taxing these profits is an efficient way to raise revenue.</w:t>
      </w:r>
      <w:r w:rsidR="00D020D5" w:rsidRPr="009B6DD3">
        <w:rPr>
          <w:rStyle w:val="FootnoteReference"/>
        </w:rPr>
        <w:footnoteReference w:id="44"/>
      </w:r>
      <w:r w:rsidRPr="009B6DD3">
        <w:t xml:space="preserve"> Both of these reviews recommended increasing gambling taxes.</w:t>
      </w:r>
    </w:p>
    <w:p w14:paraId="31F1A2AF" w14:textId="2B8F5E52" w:rsidR="00432B15" w:rsidRPr="009B6DD3" w:rsidRDefault="00432B15" w:rsidP="00870BFF">
      <w:r w:rsidRPr="009B6DD3">
        <w:t>In a similar vein, the Productivity Commission recommended that governments eliminate tax concessions for particular types of gambling</w:t>
      </w:r>
      <w:r w:rsidR="001D62E1" w:rsidRPr="009B6DD3">
        <w:t xml:space="preserve"> providers</w:t>
      </w:r>
      <w:r w:rsidRPr="009B6DD3">
        <w:t xml:space="preserve">. </w:t>
      </w:r>
      <w:r w:rsidR="00156908" w:rsidRPr="009B6DD3">
        <w:t xml:space="preserve">The Productivity Commission </w:t>
      </w:r>
      <w:r w:rsidRPr="009B6DD3">
        <w:t xml:space="preserve">argued that support for these businesses would be better provided </w:t>
      </w:r>
      <w:r w:rsidR="001D62E1" w:rsidRPr="009B6DD3">
        <w:t xml:space="preserve">by way of </w:t>
      </w:r>
      <w:r w:rsidRPr="009B6DD3">
        <w:t>transparent and direct government funding</w:t>
      </w:r>
      <w:r w:rsidR="00870BFF" w:rsidRPr="009B6DD3">
        <w:t>.</w:t>
      </w:r>
      <w:r w:rsidR="00156908" w:rsidRPr="009B6DD3">
        <w:rPr>
          <w:rStyle w:val="FootnoteReference"/>
        </w:rPr>
        <w:footnoteReference w:id="45"/>
      </w:r>
    </w:p>
    <w:p w14:paraId="00533008" w14:textId="31760454" w:rsidR="00276140" w:rsidRPr="009B6DD3" w:rsidRDefault="00432B15" w:rsidP="00870BFF">
      <w:r w:rsidRPr="009B6DD3">
        <w:t xml:space="preserve">While gambling taxes have historically been a stable source of revenue for governments, competition between </w:t>
      </w:r>
      <w:r w:rsidR="00BE0D1D">
        <w:t>s</w:t>
      </w:r>
      <w:r w:rsidRPr="009B6DD3">
        <w:t>tates and growing trends in online</w:t>
      </w:r>
      <w:r w:rsidR="001158BD" w:rsidRPr="009B6DD3">
        <w:t xml:space="preserve"> gambling, particularly with providers outside Australia,</w:t>
      </w:r>
      <w:r w:rsidRPr="009B6DD3">
        <w:t xml:space="preserve"> may threaten gambling revenues.</w:t>
      </w:r>
      <w:bookmarkStart w:id="450" w:name="_Toc402353703"/>
      <w:bookmarkStart w:id="451" w:name="_Toc402362231"/>
      <w:bookmarkStart w:id="452" w:name="_Toc402368820"/>
      <w:bookmarkStart w:id="453" w:name="_Toc402369905"/>
      <w:bookmarkStart w:id="454" w:name="_Toc402370570"/>
      <w:bookmarkStart w:id="455" w:name="_Toc402371517"/>
      <w:bookmarkStart w:id="456" w:name="_Toc403555883"/>
    </w:p>
    <w:p w14:paraId="3B53B122" w14:textId="12664AD9" w:rsidR="00432B15" w:rsidRPr="009B6DD3" w:rsidRDefault="00432B15" w:rsidP="009127FC">
      <w:pPr>
        <w:pStyle w:val="Heading3"/>
      </w:pPr>
      <w:bookmarkStart w:id="457" w:name="_Toc406155432"/>
      <w:r w:rsidRPr="009B6DD3">
        <w:t>Royalties</w:t>
      </w:r>
      <w:bookmarkEnd w:id="450"/>
      <w:bookmarkEnd w:id="451"/>
      <w:bookmarkEnd w:id="452"/>
      <w:bookmarkEnd w:id="453"/>
      <w:bookmarkEnd w:id="454"/>
      <w:bookmarkEnd w:id="455"/>
      <w:bookmarkEnd w:id="456"/>
      <w:bookmarkEnd w:id="457"/>
    </w:p>
    <w:p w14:paraId="276D1F61" w14:textId="1F5E57E4" w:rsidR="0036031F" w:rsidRPr="009B6DD3" w:rsidRDefault="00C432F5" w:rsidP="00870BFF">
      <w:r w:rsidRPr="009B6DD3">
        <w:t xml:space="preserve">A mineral royalty is the price charged by </w:t>
      </w:r>
      <w:r w:rsidR="00D020D5" w:rsidRPr="009B6DD3">
        <w:t>g</w:t>
      </w:r>
      <w:r w:rsidRPr="009B6DD3">
        <w:t xml:space="preserve">overnment for the transfer of the right to extract a mineral resource. The prices (royalty rates) for different minerals are prescribed in mining legislation and associated regulations. Royalties are </w:t>
      </w:r>
      <w:r w:rsidR="005C2314" w:rsidRPr="009B6DD3">
        <w:t>generally</w:t>
      </w:r>
      <w:r w:rsidRPr="009B6DD3">
        <w:t xml:space="preserve"> based on a percentage of the value of production (ad valorem) or a fee per unit produced (volumetric).</w:t>
      </w:r>
    </w:p>
    <w:p w14:paraId="070D964E" w14:textId="63BD997C" w:rsidR="00432B15" w:rsidRPr="009B6DD3" w:rsidRDefault="00432B15" w:rsidP="00870BFF">
      <w:r w:rsidRPr="009B6DD3">
        <w:t>Royalties are not classified as taxes</w:t>
      </w:r>
      <w:r w:rsidR="00C432F5" w:rsidRPr="009B6DD3">
        <w:t>,</w:t>
      </w:r>
      <w:r w:rsidRPr="009B6DD3">
        <w:t xml:space="preserve"> but do make up a significant proportion of revenue in resource</w:t>
      </w:r>
      <w:r w:rsidR="00435E86">
        <w:noBreakHyphen/>
      </w:r>
      <w:r w:rsidRPr="009B6DD3">
        <w:t xml:space="preserve">rich </w:t>
      </w:r>
      <w:r w:rsidR="00BE0D1D">
        <w:t>s</w:t>
      </w:r>
      <w:r w:rsidR="00C432F5" w:rsidRPr="009B6DD3">
        <w:t>tates.</w:t>
      </w:r>
      <w:r w:rsidRPr="009B6DD3">
        <w:t xml:space="preserve"> For example, royalties generated 22 per cent of Western Australia</w:t>
      </w:r>
      <w:r w:rsidR="00435E86">
        <w:t>’</w:t>
      </w:r>
      <w:r w:rsidRPr="009B6DD3">
        <w:t>s revenue in 2013</w:t>
      </w:r>
      <w:r w:rsidR="00435E86">
        <w:noBreakHyphen/>
      </w:r>
      <w:r w:rsidRPr="009B6DD3">
        <w:t>14, up from 6 per cent of revenue in 2004</w:t>
      </w:r>
      <w:r w:rsidR="00435E86">
        <w:noBreakHyphen/>
      </w:r>
      <w:r w:rsidRPr="009B6DD3">
        <w:t>05</w:t>
      </w:r>
      <w:r w:rsidR="000D531A" w:rsidRPr="009B6DD3">
        <w:t>.</w:t>
      </w:r>
      <w:r w:rsidR="00DB2B47" w:rsidRPr="009B6DD3">
        <w:rPr>
          <w:rStyle w:val="FootnoteReference"/>
        </w:rPr>
        <w:footnoteReference w:id="46"/>
      </w:r>
    </w:p>
    <w:p w14:paraId="2F4BE7A8" w14:textId="12359C54" w:rsidR="00432B15" w:rsidRPr="009B6DD3" w:rsidRDefault="00432B15" w:rsidP="00870BFF">
      <w:r w:rsidRPr="009B6DD3">
        <w:t xml:space="preserve">The efficiency of </w:t>
      </w:r>
      <w:r w:rsidR="005C2314" w:rsidRPr="009B6DD3">
        <w:t xml:space="preserve">volumetric </w:t>
      </w:r>
      <w:r w:rsidRPr="009B6DD3">
        <w:t xml:space="preserve">royalties depends on the prevailing price for mineral products. When prices are high, the impact of </w:t>
      </w:r>
      <w:r w:rsidR="00166459" w:rsidRPr="009B6DD3">
        <w:t xml:space="preserve">volumetric </w:t>
      </w:r>
      <w:r w:rsidRPr="009B6DD3">
        <w:t xml:space="preserve">royalties on economic activity is relatively low but revenue does not reflect the full value of the resources. When prices are low, </w:t>
      </w:r>
      <w:r w:rsidR="00166459" w:rsidRPr="009B6DD3">
        <w:t>they</w:t>
      </w:r>
      <w:r w:rsidRPr="009B6DD3">
        <w:t xml:space="preserve"> have a</w:t>
      </w:r>
      <w:r w:rsidR="005C7CCA" w:rsidRPr="009B6DD3">
        <w:t> </w:t>
      </w:r>
      <w:r w:rsidRPr="009B6DD3">
        <w:t>larger impact on a project</w:t>
      </w:r>
      <w:r w:rsidR="00435E86">
        <w:t>’</w:t>
      </w:r>
      <w:r w:rsidRPr="009B6DD3">
        <w:t xml:space="preserve">s viability and can </w:t>
      </w:r>
      <w:r w:rsidR="007E0AFA" w:rsidRPr="009B6DD3">
        <w:t>affect</w:t>
      </w:r>
      <w:r w:rsidR="00C432F5" w:rsidRPr="009B6DD3">
        <w:t xml:space="preserve"> the viability of some mines</w:t>
      </w:r>
      <w:r w:rsidR="000D531A" w:rsidRPr="009B6DD3">
        <w:t xml:space="preserve">. </w:t>
      </w:r>
      <w:r w:rsidR="00C432F5" w:rsidRPr="009B6DD3">
        <w:t>Ad</w:t>
      </w:r>
      <w:r w:rsidR="00BE0D1D">
        <w:t xml:space="preserve"> valorem royalties, being price</w:t>
      </w:r>
      <w:r w:rsidR="00435E86">
        <w:noBreakHyphen/>
      </w:r>
      <w:r w:rsidR="00C432F5" w:rsidRPr="009B6DD3">
        <w:t>based, will reflect rising prices</w:t>
      </w:r>
      <w:r w:rsidR="00BE0D1D">
        <w:t>,</w:t>
      </w:r>
      <w:r w:rsidR="00C432F5" w:rsidRPr="009B6DD3">
        <w:t xml:space="preserve"> but as they are levied on the price of a unit of production rather than profit, ad valorem royalties may still compromise marginal projects</w:t>
      </w:r>
      <w:r w:rsidR="00093951" w:rsidRPr="009B6DD3">
        <w:t xml:space="preserve">. </w:t>
      </w:r>
      <w:r w:rsidR="002E5FB7" w:rsidRPr="009B6DD3">
        <w:t>For example, the unit sale price and hence royalty payments may be increasing but if costs of production are increasing at a rate faster than unit price growth, profitability will be decreasing as royalty</w:t>
      </w:r>
      <w:r w:rsidR="00BE0D1D">
        <w:t xml:space="preserve"> payments are increasing. Some s</w:t>
      </w:r>
      <w:r w:rsidR="002E5FB7" w:rsidRPr="009B6DD3">
        <w:t>tates have adopted a progressive scale of royalties to give themselves more flexibility.</w:t>
      </w:r>
    </w:p>
    <w:p w14:paraId="2A890B1E" w14:textId="77777777" w:rsidR="00435E86" w:rsidRDefault="00166459" w:rsidP="00870BFF">
      <w:r w:rsidRPr="009B6DD3">
        <w:t>Royalty</w:t>
      </w:r>
      <w:r w:rsidR="005F1986" w:rsidRPr="009B6DD3">
        <w:t xml:space="preserve"> revenue</w:t>
      </w:r>
      <w:r w:rsidR="00432B15" w:rsidRPr="009B6DD3">
        <w:t xml:space="preserve"> depends on commodity prices, the exchange rate and production volumes. The inherent volatility of the resources sector and the size of royalties in some state budgets can make budget planning more challenging. There is a trade</w:t>
      </w:r>
      <w:r w:rsidR="00435E86">
        <w:noBreakHyphen/>
      </w:r>
      <w:r w:rsidR="00997767" w:rsidRPr="009B6DD3">
        <w:t xml:space="preserve">off between </w:t>
      </w:r>
      <w:r w:rsidR="000B0033" w:rsidRPr="009B6DD3">
        <w:t>pr</w:t>
      </w:r>
      <w:r w:rsidR="00DD77B2" w:rsidRPr="009B6DD3">
        <w:t>ice</w:t>
      </w:r>
      <w:r w:rsidR="00435E86">
        <w:noBreakHyphen/>
      </w:r>
      <w:r w:rsidR="000B0033" w:rsidRPr="009B6DD3">
        <w:t xml:space="preserve">based and volumetric </w:t>
      </w:r>
      <w:r w:rsidR="00997767" w:rsidRPr="009B6DD3">
        <w:t>royalties</w:t>
      </w:r>
      <w:r w:rsidR="009B0A3A">
        <w:t xml:space="preserve">. </w:t>
      </w:r>
      <w:r w:rsidR="000B0033" w:rsidRPr="009B6DD3">
        <w:t>Profit</w:t>
      </w:r>
      <w:r w:rsidR="00435E86">
        <w:noBreakHyphen/>
      </w:r>
      <w:r w:rsidR="000B0033" w:rsidRPr="009B6DD3">
        <w:t>based royalties</w:t>
      </w:r>
      <w:r w:rsidR="00432B15" w:rsidRPr="009B6DD3">
        <w:t xml:space="preserve"> respond </w:t>
      </w:r>
      <w:r w:rsidR="00DD77B2" w:rsidRPr="009B6DD3">
        <w:t xml:space="preserve">better </w:t>
      </w:r>
      <w:r w:rsidR="00432B15" w:rsidRPr="009B6DD3">
        <w:t xml:space="preserve">to changes in profitability and </w:t>
      </w:r>
      <w:r w:rsidR="00DD77B2" w:rsidRPr="009B6DD3">
        <w:t xml:space="preserve">are less likely to </w:t>
      </w:r>
      <w:r w:rsidR="00432B15" w:rsidRPr="009B6DD3">
        <w:t>compromise a project</w:t>
      </w:r>
      <w:r w:rsidR="00435E86">
        <w:t>’</w:t>
      </w:r>
      <w:r w:rsidR="00432B15" w:rsidRPr="009B6DD3">
        <w:t>s viability</w:t>
      </w:r>
      <w:r w:rsidRPr="009B6DD3">
        <w:t xml:space="preserve">, </w:t>
      </w:r>
      <w:r w:rsidR="000B0033" w:rsidRPr="009B6DD3">
        <w:t>but are more volatile</w:t>
      </w:r>
      <w:r w:rsidR="009B0A3A">
        <w:t xml:space="preserve">. </w:t>
      </w:r>
      <w:r w:rsidR="000B0033" w:rsidRPr="009B6DD3">
        <w:t xml:space="preserve">Volumetric royalties </w:t>
      </w:r>
      <w:r w:rsidR="00C432F5" w:rsidRPr="009B6DD3">
        <w:t xml:space="preserve">are simple, have low compliance costs for industry, are easily enforced, and </w:t>
      </w:r>
      <w:r w:rsidR="00E01D56" w:rsidRPr="009B6DD3">
        <w:t>are more stable in terms of revenue generated</w:t>
      </w:r>
      <w:r w:rsidR="00432B15" w:rsidRPr="009B6DD3">
        <w:t xml:space="preserve">, </w:t>
      </w:r>
      <w:r w:rsidR="00A82E8F" w:rsidRPr="009B6DD3">
        <w:t xml:space="preserve">but </w:t>
      </w:r>
      <w:r w:rsidR="00432B15" w:rsidRPr="009B6DD3">
        <w:t>by not responding to changes in profitability, may negatively</w:t>
      </w:r>
      <w:r w:rsidR="00435E86">
        <w:br/>
      </w:r>
    </w:p>
    <w:p w14:paraId="00A3A859" w14:textId="667C441B" w:rsidR="003C54B4" w:rsidRPr="009B6DD3" w:rsidRDefault="00432B15" w:rsidP="00870BFF">
      <w:r w:rsidRPr="009B6DD3">
        <w:lastRenderedPageBreak/>
        <w:t>impact a marginal project</w:t>
      </w:r>
      <w:r w:rsidR="00435E86">
        <w:t>’</w:t>
      </w:r>
      <w:r w:rsidRPr="009B6DD3">
        <w:t xml:space="preserve">s viability. Of the two </w:t>
      </w:r>
      <w:r w:rsidR="005F1986" w:rsidRPr="009B6DD3">
        <w:t xml:space="preserve">forms of </w:t>
      </w:r>
      <w:r w:rsidRPr="009B6DD3">
        <w:t>royalt</w:t>
      </w:r>
      <w:r w:rsidR="005F1986" w:rsidRPr="009B6DD3">
        <w:t>ies</w:t>
      </w:r>
      <w:r w:rsidR="00E01D56" w:rsidRPr="009B6DD3">
        <w:t>,</w:t>
      </w:r>
      <w:r w:rsidRPr="009B6DD3">
        <w:t xml:space="preserve"> royalties based on the volume of resources extracted are more stable than royalties based on </w:t>
      </w:r>
      <w:r w:rsidR="00DD77B2" w:rsidRPr="009B6DD3">
        <w:t xml:space="preserve">prices </w:t>
      </w:r>
      <w:r w:rsidR="00C432F5" w:rsidRPr="009B6DD3">
        <w:t>but may be less economically efficient.</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3C54B4" w:rsidRPr="009B6DD3" w14:paraId="171CC96C" w14:textId="77777777" w:rsidTr="00897847">
        <w:tc>
          <w:tcPr>
            <w:tcW w:w="9384" w:type="dxa"/>
          </w:tcPr>
          <w:p w14:paraId="2647618A" w14:textId="06F25BCB" w:rsidR="003C54B4" w:rsidRPr="009B6DD3" w:rsidRDefault="003C54B4" w:rsidP="00897847">
            <w:pPr>
              <w:pStyle w:val="Questionheading"/>
              <w:ind w:right="113"/>
            </w:pPr>
            <w:r w:rsidRPr="009B6DD3">
              <w:t xml:space="preserve">Discussion questions: </w:t>
            </w:r>
          </w:p>
          <w:p w14:paraId="0E380B79" w14:textId="44B02234" w:rsidR="003C54B4" w:rsidRPr="009B6DD3" w:rsidRDefault="003C54B4" w:rsidP="003C54B4">
            <w:pPr>
              <w:pStyle w:val="Questiontext"/>
              <w:ind w:right="113"/>
            </w:pPr>
            <w:bookmarkStart w:id="458" w:name="_Toc404158165"/>
            <w:r w:rsidRPr="009B6DD3">
              <w:t>What a</w:t>
            </w:r>
            <w:r w:rsidR="00BE0D1D">
              <w:t>re the relative priorities for s</w:t>
            </w:r>
            <w:r w:rsidRPr="009B6DD3">
              <w:t>tate and local tax reform and why?</w:t>
            </w:r>
            <w:bookmarkEnd w:id="458"/>
            <w:r w:rsidRPr="009B6DD3">
              <w:t xml:space="preserve"> In considering reform opportunities for particular state taxes, what are the broader considerations that need to be taken into account to balance equity, efficiency and transitional costs?</w:t>
            </w:r>
          </w:p>
        </w:tc>
      </w:tr>
    </w:tbl>
    <w:p w14:paraId="42235070" w14:textId="77777777" w:rsidR="003C54B4" w:rsidRPr="009B6DD3" w:rsidRDefault="003C54B4" w:rsidP="003C54B4">
      <w:pPr>
        <w:pStyle w:val="Singleparagraph0"/>
      </w:pPr>
    </w:p>
    <w:p w14:paraId="3334D1CC" w14:textId="77777777" w:rsidR="00432B15" w:rsidRPr="009B6DD3" w:rsidRDefault="00432B15" w:rsidP="005C7CCA"/>
    <w:p w14:paraId="75936BAC" w14:textId="77777777" w:rsidR="00432B15" w:rsidRPr="009B6DD3" w:rsidRDefault="00432B15" w:rsidP="00BA550B">
      <w:pPr>
        <w:pStyle w:val="Heading2"/>
      </w:pPr>
      <w:bookmarkStart w:id="459" w:name="_Toc402353705"/>
      <w:bookmarkStart w:id="460" w:name="_Toc402362233"/>
      <w:bookmarkStart w:id="461" w:name="_Toc402368822"/>
      <w:bookmarkStart w:id="462" w:name="_Toc402369907"/>
      <w:bookmarkStart w:id="463" w:name="_Toc402370572"/>
      <w:bookmarkStart w:id="464" w:name="_Toc402371519"/>
      <w:bookmarkStart w:id="465" w:name="_Toc403555885"/>
      <w:bookmarkStart w:id="466" w:name="_Toc406155433"/>
      <w:r w:rsidRPr="009B6DD3">
        <w:t>Principles for assigning taxes in a Federation</w:t>
      </w:r>
      <w:bookmarkEnd w:id="459"/>
      <w:bookmarkEnd w:id="460"/>
      <w:bookmarkEnd w:id="461"/>
      <w:bookmarkEnd w:id="462"/>
      <w:bookmarkEnd w:id="463"/>
      <w:bookmarkEnd w:id="464"/>
      <w:bookmarkEnd w:id="465"/>
      <w:bookmarkEnd w:id="466"/>
      <w:r w:rsidRPr="009B6DD3">
        <w:t xml:space="preserve"> </w:t>
      </w:r>
    </w:p>
    <w:p w14:paraId="33969534" w14:textId="6CC5A8C5" w:rsidR="00432B15" w:rsidRPr="009B6DD3" w:rsidRDefault="00432B15" w:rsidP="003C54B4">
      <w:r w:rsidRPr="009B6DD3">
        <w:t xml:space="preserve">A full consideration of taxation in Australia needs to take into account </w:t>
      </w:r>
      <w:r w:rsidR="00BE0D1D">
        <w:t>s</w:t>
      </w:r>
      <w:r w:rsidRPr="009B6DD3">
        <w:t>tate government revenue raising as people bear the cost of poorly performing and inefficient taxes, no matter which level of government levies them. However, there are broa</w:t>
      </w:r>
      <w:r w:rsidR="004C039E" w:rsidRPr="009B6DD3">
        <w:t>der issues relating to how the F</w:t>
      </w:r>
      <w:r w:rsidRPr="009B6DD3">
        <w:t>ederation works that help explain why and how governments levy the taxes they do.</w:t>
      </w:r>
    </w:p>
    <w:p w14:paraId="32E6BF23" w14:textId="6B0DE049" w:rsidR="00432B15" w:rsidRPr="009B6DD3" w:rsidRDefault="00432B15" w:rsidP="003C54B4">
      <w:pPr>
        <w:spacing w:after="120"/>
      </w:pPr>
      <w:r w:rsidRPr="009B6DD3">
        <w:t xml:space="preserve">On this topic, </w:t>
      </w:r>
      <w:r w:rsidR="0090566A" w:rsidRPr="009B6DD3">
        <w:t>much</w:t>
      </w:r>
      <w:r w:rsidRPr="009B6DD3">
        <w:t xml:space="preserve"> academic literature </w:t>
      </w:r>
      <w:r w:rsidR="001D62E1" w:rsidRPr="009B6DD3">
        <w:t xml:space="preserve">has </w:t>
      </w:r>
      <w:r w:rsidRPr="009B6DD3">
        <w:t>focussed on the principles of effective federations</w:t>
      </w:r>
      <w:r w:rsidR="00870BFF" w:rsidRPr="009B6DD3">
        <w:t>.</w:t>
      </w:r>
      <w:r w:rsidR="00FA2230" w:rsidRPr="009B6DD3">
        <w:rPr>
          <w:rStyle w:val="FootnoteReference"/>
        </w:rPr>
        <w:footnoteReference w:id="47"/>
      </w:r>
      <w:r w:rsidRPr="009B6DD3">
        <w:t xml:space="preserve"> </w:t>
      </w:r>
      <w:r w:rsidR="001D62E1" w:rsidRPr="009B6DD3">
        <w:t>Discussion has centred on principles</w:t>
      </w:r>
      <w:r w:rsidR="00305E84">
        <w:t>,</w:t>
      </w:r>
      <w:r w:rsidR="001D62E1" w:rsidRPr="009B6DD3">
        <w:t xml:space="preserve"> </w:t>
      </w:r>
      <w:r w:rsidR="00CD7745">
        <w:t>including that</w:t>
      </w:r>
      <w:r w:rsidRPr="009B6DD3">
        <w:t>:</w:t>
      </w:r>
    </w:p>
    <w:p w14:paraId="593F73FC" w14:textId="33F946A4" w:rsidR="00432B15" w:rsidRPr="009B6DD3" w:rsidRDefault="00432B15" w:rsidP="001C1B81">
      <w:pPr>
        <w:pStyle w:val="OutlineNumbered1"/>
        <w:numPr>
          <w:ilvl w:val="0"/>
          <w:numId w:val="15"/>
        </w:numPr>
        <w:tabs>
          <w:tab w:val="clear" w:pos="851"/>
          <w:tab w:val="num" w:pos="567"/>
        </w:tabs>
        <w:spacing w:after="120" w:line="276" w:lineRule="auto"/>
        <w:ind w:left="567" w:hanging="567"/>
        <w:jc w:val="left"/>
      </w:pPr>
      <w:r w:rsidRPr="009B6DD3">
        <w:t xml:space="preserve">each level of government should have access to tax revenue it can use to finance new spending decisions; </w:t>
      </w:r>
    </w:p>
    <w:p w14:paraId="72517551" w14:textId="616FFAD7" w:rsidR="00432B15" w:rsidRPr="009B6DD3" w:rsidRDefault="00432B15" w:rsidP="001C1B81">
      <w:pPr>
        <w:pStyle w:val="OutlineNumbered1"/>
        <w:numPr>
          <w:ilvl w:val="0"/>
          <w:numId w:val="15"/>
        </w:numPr>
        <w:tabs>
          <w:tab w:val="clear" w:pos="851"/>
          <w:tab w:val="num" w:pos="567"/>
        </w:tabs>
        <w:spacing w:after="120" w:line="276" w:lineRule="auto"/>
        <w:ind w:left="567" w:hanging="567"/>
        <w:jc w:val="left"/>
      </w:pPr>
      <w:r w:rsidRPr="009B6DD3">
        <w:t xml:space="preserve">the </w:t>
      </w:r>
      <w:r w:rsidR="00DA2209" w:rsidRPr="009B6DD3">
        <w:t>central</w:t>
      </w:r>
      <w:r w:rsidRPr="009B6DD3">
        <w:t xml:space="preserve"> government should levy taxes </w:t>
      </w:r>
      <w:r w:rsidR="00A42A7E" w:rsidRPr="009B6DD3">
        <w:t>for</w:t>
      </w:r>
      <w:r w:rsidR="009828FF" w:rsidRPr="009B6DD3">
        <w:t xml:space="preserve"> macroeconomic stabilisation,</w:t>
      </w:r>
      <w:r w:rsidR="00A42A7E" w:rsidRPr="009B6DD3">
        <w:t xml:space="preserve"> redistribution purposes and taxes </w:t>
      </w:r>
      <w:r w:rsidRPr="009B6DD3">
        <w:t>on mobile bases; and</w:t>
      </w:r>
    </w:p>
    <w:p w14:paraId="3A0E9E69" w14:textId="524E542C" w:rsidR="00432B15" w:rsidRPr="009B6DD3" w:rsidRDefault="00432B15" w:rsidP="005C7CCA">
      <w:pPr>
        <w:pStyle w:val="OutlineNumbered1"/>
        <w:numPr>
          <w:ilvl w:val="0"/>
          <w:numId w:val="15"/>
        </w:numPr>
        <w:tabs>
          <w:tab w:val="clear" w:pos="851"/>
          <w:tab w:val="num" w:pos="567"/>
        </w:tabs>
        <w:spacing w:line="276" w:lineRule="auto"/>
        <w:ind w:left="567" w:hanging="567"/>
        <w:jc w:val="left"/>
      </w:pPr>
      <w:r w:rsidRPr="009B6DD3">
        <w:t>the assignment of tax responsibility should take account of how different arrangements affect the complexity of the tax system</w:t>
      </w:r>
      <w:r w:rsidR="00583ADB" w:rsidRPr="009B6DD3">
        <w:t>.</w:t>
      </w:r>
      <w:r w:rsidR="000C6FAE" w:rsidRPr="009B6DD3">
        <w:rPr>
          <w:rStyle w:val="FootnoteReference"/>
        </w:rPr>
        <w:footnoteReference w:id="48"/>
      </w:r>
    </w:p>
    <w:p w14:paraId="332AD0D9" w14:textId="28177D06" w:rsidR="003C54B4" w:rsidRPr="009B6DD3" w:rsidRDefault="00432B15" w:rsidP="003C54B4">
      <w:r w:rsidRPr="009B6DD3">
        <w:t>Another principle that falls more squarely within the scope of the Federation White Paper, but is clearly relevant to this discussion</w:t>
      </w:r>
      <w:r w:rsidR="00456F91" w:rsidRPr="009B6DD3">
        <w:t>,</w:t>
      </w:r>
      <w:r w:rsidRPr="009B6DD3">
        <w:t xml:space="preserve"> is</w:t>
      </w:r>
      <w:r w:rsidR="001D62E1" w:rsidRPr="009B6DD3">
        <w:t xml:space="preserve"> that i</w:t>
      </w:r>
      <w:r w:rsidRPr="009B6DD3">
        <w:t xml:space="preserve">ntergovernmental grants should be transparent. This is to ensure </w:t>
      </w:r>
      <w:r w:rsidR="00DA2209" w:rsidRPr="009B6DD3">
        <w:t>all levels of government</w:t>
      </w:r>
      <w:r w:rsidRPr="009B6DD3">
        <w:t xml:space="preserve"> are accountable for their taxing and spending decisions.</w:t>
      </w:r>
    </w:p>
    <w:p w14:paraId="140939EB" w14:textId="77777777" w:rsidR="00432B15" w:rsidRPr="009B6DD3" w:rsidRDefault="00432B15" w:rsidP="00BA550B">
      <w:pPr>
        <w:pStyle w:val="Heading2"/>
      </w:pPr>
      <w:bookmarkStart w:id="467" w:name="_Toc396824793"/>
      <w:bookmarkStart w:id="468" w:name="_Toc402353706"/>
      <w:bookmarkStart w:id="469" w:name="_Toc402362234"/>
      <w:bookmarkStart w:id="470" w:name="_Toc402368823"/>
      <w:bookmarkStart w:id="471" w:name="_Toc402369908"/>
      <w:bookmarkStart w:id="472" w:name="_Toc402370573"/>
      <w:bookmarkStart w:id="473" w:name="_Toc402371520"/>
      <w:bookmarkStart w:id="474" w:name="_Toc403555886"/>
      <w:bookmarkStart w:id="475" w:name="_Toc406155434"/>
      <w:r w:rsidRPr="009B6DD3">
        <w:lastRenderedPageBreak/>
        <w:t>Issues in the Federation</w:t>
      </w:r>
      <w:bookmarkEnd w:id="467"/>
      <w:bookmarkEnd w:id="468"/>
      <w:bookmarkEnd w:id="469"/>
      <w:bookmarkEnd w:id="470"/>
      <w:bookmarkEnd w:id="471"/>
      <w:bookmarkEnd w:id="472"/>
      <w:bookmarkEnd w:id="473"/>
      <w:bookmarkEnd w:id="474"/>
      <w:bookmarkEnd w:id="475"/>
    </w:p>
    <w:p w14:paraId="40FFA996" w14:textId="51D3DDF4" w:rsidR="00432B15" w:rsidRPr="009B6DD3" w:rsidRDefault="00432B15" w:rsidP="00870BFF">
      <w:bookmarkStart w:id="476" w:name="_Toc396824795"/>
      <w:r w:rsidRPr="009B6DD3">
        <w:t xml:space="preserve">How individual federations measure against the principles listed above is a matter of judgement, </w:t>
      </w:r>
      <w:r w:rsidR="001D62E1" w:rsidRPr="009B6DD3">
        <w:t xml:space="preserve">but </w:t>
      </w:r>
      <w:r w:rsidRPr="009B6DD3">
        <w:t xml:space="preserve">it is clear that no federation meets all these principles. In fact, principles </w:t>
      </w:r>
      <w:r w:rsidR="001D62E1" w:rsidRPr="009B6DD3">
        <w:t>may well</w:t>
      </w:r>
      <w:r w:rsidRPr="009B6DD3">
        <w:t xml:space="preserve"> need to be balanced against each other, rather than achieved entirely. </w:t>
      </w:r>
    </w:p>
    <w:p w14:paraId="2B19C8B1" w14:textId="6E09D1C7" w:rsidR="00432B15" w:rsidRPr="009B6DD3" w:rsidRDefault="00432B15" w:rsidP="00870BFF">
      <w:r w:rsidRPr="009B6DD3">
        <w:t>The remainder of this chapte</w:t>
      </w:r>
      <w:r w:rsidR="00456F91" w:rsidRPr="009B6DD3">
        <w:t>r discusses how the Australian F</w:t>
      </w:r>
      <w:r w:rsidRPr="009B6DD3">
        <w:t xml:space="preserve">ederation meets these principles and highlights points where particular principles might be </w:t>
      </w:r>
      <w:r w:rsidR="001D62E1" w:rsidRPr="009B6DD3">
        <w:t>at odds</w:t>
      </w:r>
      <w:r w:rsidRPr="009B6DD3">
        <w:t xml:space="preserve">. </w:t>
      </w:r>
    </w:p>
    <w:p w14:paraId="1735090B" w14:textId="77777777" w:rsidR="00432B15" w:rsidRPr="009B6DD3" w:rsidRDefault="00432B15" w:rsidP="009127FC">
      <w:pPr>
        <w:pStyle w:val="Heading3"/>
      </w:pPr>
      <w:bookmarkStart w:id="477" w:name="_Toc402353707"/>
      <w:bookmarkStart w:id="478" w:name="_Toc402362235"/>
      <w:bookmarkStart w:id="479" w:name="_Toc402368824"/>
      <w:bookmarkStart w:id="480" w:name="_Toc402369909"/>
      <w:bookmarkStart w:id="481" w:name="_Toc402370574"/>
      <w:bookmarkStart w:id="482" w:name="_Toc402371521"/>
      <w:bookmarkStart w:id="483" w:name="_Toc406155435"/>
      <w:r w:rsidRPr="009B6DD3">
        <w:t>Does each level of government have access to tax revenue bases sufficient to finance new spending decisions?</w:t>
      </w:r>
      <w:bookmarkEnd w:id="477"/>
      <w:bookmarkEnd w:id="478"/>
      <w:bookmarkEnd w:id="479"/>
      <w:bookmarkEnd w:id="480"/>
      <w:bookmarkEnd w:id="481"/>
      <w:bookmarkEnd w:id="482"/>
      <w:bookmarkEnd w:id="483"/>
    </w:p>
    <w:p w14:paraId="68A89D32" w14:textId="642B5B44" w:rsidR="00432B15" w:rsidRPr="009B6DD3" w:rsidRDefault="001D62E1" w:rsidP="00870BFF">
      <w:r w:rsidRPr="009B6DD3">
        <w:t>Accountability in federations is achieved with t</w:t>
      </w:r>
      <w:r w:rsidR="00432B15" w:rsidRPr="009B6DD3">
        <w:t xml:space="preserve">he principle that each level of government should have access to tax revenue bases </w:t>
      </w:r>
      <w:r w:rsidRPr="009B6DD3">
        <w:t xml:space="preserve">in order </w:t>
      </w:r>
      <w:r w:rsidR="00432B15" w:rsidRPr="009B6DD3">
        <w:t xml:space="preserve">to finance marginal expenditure decisions. It ensures that all governments face the full </w:t>
      </w:r>
      <w:r w:rsidR="006136BB" w:rsidRPr="009B6DD3">
        <w:t xml:space="preserve">(electoral and financial) </w:t>
      </w:r>
      <w:r w:rsidR="00432B15" w:rsidRPr="009B6DD3">
        <w:t>costs associated with new spending decisions.</w:t>
      </w:r>
    </w:p>
    <w:p w14:paraId="27A37BD4" w14:textId="0F397348" w:rsidR="00432B15" w:rsidRPr="0031346E" w:rsidRDefault="00432B15" w:rsidP="00870BFF">
      <w:r w:rsidRPr="009B6DD3">
        <w:t>As with most other federations around the world, in Australia</w:t>
      </w:r>
      <w:r w:rsidR="006136BB" w:rsidRPr="009B6DD3">
        <w:t>,</w:t>
      </w:r>
      <w:r w:rsidRPr="009B6DD3">
        <w:t xml:space="preserve"> the </w:t>
      </w:r>
      <w:r w:rsidR="00CA4488" w:rsidRPr="009B6DD3">
        <w:t>Australian</w:t>
      </w:r>
      <w:r w:rsidR="006136BB" w:rsidRPr="009B6DD3">
        <w:t xml:space="preserve"> </w:t>
      </w:r>
      <w:r w:rsidR="00456F91" w:rsidRPr="009B6DD3">
        <w:t>G</w:t>
      </w:r>
      <w:r w:rsidRPr="009B6DD3">
        <w:t xml:space="preserve">overnment </w:t>
      </w:r>
      <w:r w:rsidRPr="0031346E">
        <w:t>raises more tax revenue than it spends on its own program</w:t>
      </w:r>
      <w:r w:rsidR="006136BB" w:rsidRPr="0031346E">
        <w:t>me</w:t>
      </w:r>
      <w:r w:rsidRPr="0031346E">
        <w:t xml:space="preserve">s. The </w:t>
      </w:r>
      <w:r w:rsidR="00CD7745" w:rsidRPr="0031346E">
        <w:t>s</w:t>
      </w:r>
      <w:r w:rsidRPr="0031346E">
        <w:t xml:space="preserve">tates (including local governments) spend more than they raise in revenue, with the difference made up </w:t>
      </w:r>
      <w:r w:rsidR="000C6FAE" w:rsidRPr="0031346E">
        <w:t xml:space="preserve">by </w:t>
      </w:r>
      <w:r w:rsidR="00CA4488" w:rsidRPr="0031346E">
        <w:t>Australian</w:t>
      </w:r>
      <w:r w:rsidR="00AD7513" w:rsidRPr="0031346E">
        <w:t xml:space="preserve"> Government</w:t>
      </w:r>
      <w:r w:rsidR="000C6FAE" w:rsidRPr="0031346E">
        <w:t xml:space="preserve"> </w:t>
      </w:r>
      <w:r w:rsidRPr="0031346E">
        <w:t>grants. In fact, about 4</w:t>
      </w:r>
      <w:r w:rsidR="004431DC" w:rsidRPr="0031346E">
        <w:t>5</w:t>
      </w:r>
      <w:r w:rsidRPr="0031346E">
        <w:t xml:space="preserve"> per cent of </w:t>
      </w:r>
      <w:r w:rsidR="00CD7745" w:rsidRPr="0031346E">
        <w:t>s</w:t>
      </w:r>
      <w:r w:rsidRPr="0031346E">
        <w:t xml:space="preserve">tate </w:t>
      </w:r>
      <w:r w:rsidR="004431DC" w:rsidRPr="0031346E">
        <w:t xml:space="preserve">government </w:t>
      </w:r>
      <w:r w:rsidRPr="0031346E">
        <w:t>revenue comes fro</w:t>
      </w:r>
      <w:r w:rsidR="00456F91" w:rsidRPr="0031346E">
        <w:t xml:space="preserve">m the </w:t>
      </w:r>
      <w:r w:rsidR="00CA4488" w:rsidRPr="0031346E">
        <w:t>Australian</w:t>
      </w:r>
      <w:r w:rsidR="00456F91" w:rsidRPr="0031346E">
        <w:t xml:space="preserve"> G</w:t>
      </w:r>
      <w:r w:rsidR="005F63DA" w:rsidRPr="0031346E">
        <w:t>overnment.</w:t>
      </w:r>
      <w:r w:rsidR="003257FE" w:rsidRPr="0031346E">
        <w:rPr>
          <w:rStyle w:val="FootnoteReference"/>
        </w:rPr>
        <w:footnoteReference w:id="49"/>
      </w:r>
    </w:p>
    <w:p w14:paraId="45D246BD" w14:textId="3889396E" w:rsidR="00432B15" w:rsidRPr="009B6DD3" w:rsidRDefault="00432B15" w:rsidP="00870BFF">
      <w:r w:rsidRPr="0031346E">
        <w:t xml:space="preserve">Chart </w:t>
      </w:r>
      <w:r w:rsidR="00DD282B" w:rsidRPr="0031346E">
        <w:t>8</w:t>
      </w:r>
      <w:r w:rsidR="00480ACC" w:rsidRPr="0031346E">
        <w:t>.1</w:t>
      </w:r>
      <w:r w:rsidR="00A101DC" w:rsidRPr="0031346E">
        <w:t>1</w:t>
      </w:r>
      <w:r w:rsidRPr="0031346E">
        <w:t xml:space="preserve"> shows the difference between </w:t>
      </w:r>
      <w:r w:rsidR="00CD7745" w:rsidRPr="0031346E">
        <w:t>s</w:t>
      </w:r>
      <w:r w:rsidRPr="0031346E">
        <w:t xml:space="preserve">tate </w:t>
      </w:r>
      <w:r w:rsidR="00DA4B3A" w:rsidRPr="0031346E">
        <w:t xml:space="preserve">and </w:t>
      </w:r>
      <w:r w:rsidR="00CD7745" w:rsidRPr="0031346E">
        <w:t>t</w:t>
      </w:r>
      <w:r w:rsidR="00DA4B3A" w:rsidRPr="0031346E">
        <w:t>erritory</w:t>
      </w:r>
      <w:r w:rsidRPr="0031346E">
        <w:t xml:space="preserve"> expenses and own</w:t>
      </w:r>
      <w:r w:rsidR="00435E86">
        <w:noBreakHyphen/>
      </w:r>
      <w:r w:rsidRPr="0031346E">
        <w:t>source reven</w:t>
      </w:r>
      <w:r w:rsidR="00DA4B3A" w:rsidRPr="0031346E">
        <w:t>ue, with the difference</w:t>
      </w:r>
      <w:r w:rsidRPr="0031346E">
        <w:t xml:space="preserve"> made up fro</w:t>
      </w:r>
      <w:r w:rsidR="00456F91" w:rsidRPr="0031346E">
        <w:t xml:space="preserve">m grants from the </w:t>
      </w:r>
      <w:r w:rsidR="00CA4488" w:rsidRPr="0031346E">
        <w:t>Australian</w:t>
      </w:r>
      <w:r w:rsidR="00456F91" w:rsidRPr="0031346E">
        <w:t xml:space="preserve"> G</w:t>
      </w:r>
      <w:r w:rsidRPr="0031346E">
        <w:t>overnment</w:t>
      </w:r>
      <w:r w:rsidR="00AD0AF5" w:rsidRPr="0031346E">
        <w:t xml:space="preserve"> (a</w:t>
      </w:r>
      <w:r w:rsidR="00403C89" w:rsidRPr="0031346E">
        <w:t>round</w:t>
      </w:r>
      <w:r w:rsidR="00AD0AF5" w:rsidRPr="0031346E">
        <w:t xml:space="preserve"> </w:t>
      </w:r>
      <w:r w:rsidR="00CA4488" w:rsidRPr="0031346E">
        <w:t>$</w:t>
      </w:r>
      <w:r w:rsidR="00403C89" w:rsidRPr="0031346E">
        <w:t>100</w:t>
      </w:r>
      <w:r w:rsidR="00CA4488" w:rsidRPr="0031346E">
        <w:t> </w:t>
      </w:r>
      <w:r w:rsidR="00AD0AF5" w:rsidRPr="0031346E">
        <w:t>billion in 2013</w:t>
      </w:r>
      <w:r w:rsidR="00435E86">
        <w:noBreakHyphen/>
      </w:r>
      <w:r w:rsidR="00AD0AF5" w:rsidRPr="0031346E">
        <w:t>14</w:t>
      </w:r>
      <w:r w:rsidR="002A3546" w:rsidRPr="0031346E">
        <w:t xml:space="preserve"> including</w:t>
      </w:r>
      <w:r w:rsidR="002A3546" w:rsidRPr="009B6DD3">
        <w:t xml:space="preserve"> the transfer of GST receipts</w:t>
      </w:r>
      <w:r w:rsidR="00AD0AF5" w:rsidRPr="009B6DD3">
        <w:t>)</w:t>
      </w:r>
      <w:r w:rsidRPr="009B6DD3">
        <w:t>.</w:t>
      </w:r>
      <w:r w:rsidR="00DB2B47" w:rsidRPr="009B6DD3">
        <w:rPr>
          <w:rStyle w:val="FootnoteReference"/>
        </w:rPr>
        <w:footnoteReference w:id="50"/>
      </w:r>
    </w:p>
    <w:p w14:paraId="74E6F347" w14:textId="056D1861" w:rsidR="006525C0" w:rsidRPr="009B6DD3" w:rsidRDefault="00870BFF" w:rsidP="001C1B81">
      <w:pPr>
        <w:pStyle w:val="ChartMainHeading"/>
        <w:spacing w:after="0"/>
      </w:pPr>
      <w:r w:rsidRPr="009B6DD3">
        <w:lastRenderedPageBreak/>
        <w:t xml:space="preserve">Chart </w:t>
      </w:r>
      <w:fldSimple w:instr=" STYLEREF 1 \s ">
        <w:r w:rsidR="00B51480">
          <w:rPr>
            <w:noProof/>
          </w:rPr>
          <w:t>8</w:t>
        </w:r>
      </w:fldSimple>
      <w:r w:rsidRPr="009B6DD3">
        <w:t>.</w:t>
      </w:r>
      <w:r w:rsidR="00961788" w:rsidRPr="009B6DD3">
        <w:t xml:space="preserve">11 </w:t>
      </w:r>
      <w:r w:rsidR="006525C0" w:rsidRPr="009B6DD3">
        <w:t xml:space="preserve">State </w:t>
      </w:r>
      <w:r w:rsidR="00DA4B3A" w:rsidRPr="009B6DD3">
        <w:t xml:space="preserve">and </w:t>
      </w:r>
      <w:r w:rsidR="00CD7745">
        <w:t>t</w:t>
      </w:r>
      <w:r w:rsidR="00DA4B3A" w:rsidRPr="009B6DD3">
        <w:t>erritory</w:t>
      </w:r>
      <w:r w:rsidR="006525C0" w:rsidRPr="009B6DD3">
        <w:t xml:space="preserve"> government expenses and own source revenue</w:t>
      </w:r>
      <w:r w:rsidR="00DA4B3A" w:rsidRPr="009B6DD3">
        <w:t>, 2013</w:t>
      </w:r>
      <w:r w:rsidR="00435E86">
        <w:noBreakHyphen/>
      </w:r>
      <w:r w:rsidR="00DA4B3A" w:rsidRPr="009B6DD3">
        <w:t>14</w:t>
      </w:r>
    </w:p>
    <w:p w14:paraId="2EF08885" w14:textId="320D08DB" w:rsidR="00432B15" w:rsidRPr="009B6DD3" w:rsidRDefault="004D6FD3" w:rsidP="004D6FD3">
      <w:pPr>
        <w:pStyle w:val="ChartGraphic"/>
      </w:pPr>
      <w:r>
        <w:fldChar w:fldCharType="begin" w:fldLock="1"/>
      </w:r>
      <w:r>
        <w:instrText xml:space="preserve"> LINK Excel.Sheet.12 "" "" \a \p </w:instrText>
      </w:r>
      <w:r>
        <w:fldChar w:fldCharType="separate"/>
      </w:r>
      <w:r w:rsidR="00A51D14">
        <w:object w:dxaOrig="11712" w:dyaOrig="8294" w14:anchorId="676B43AC">
          <v:shape id="_x0000_i1035" type="#_x0000_t75" alt="Chart 8.11 State and Territory government expenses and own source revenue, 2013-14.&#10;&#10;This is a two column chart which illustrates the level of vertical fiscal imbalance in Australia. The left column shows state expenses by function in 2013-14, comprising health expenses of around $61 billion, education expenses of around $51 billion, transport and communications expenses of around $24 billion, public order expenses of around $22 billion, and other expenses of around $62 billion. This equals total state expenses of around $220 billion.&#10;The right column shows that total state own source revenue in 2013-14 was equal to around $122 billion. The gap between the heights of the two columns illustrate the level of vertical fiscal imbalance in Australia.&#10;" style="width:438.75pt;height:312pt;mso-position-vertical:absolute">
            <v:imagedata r:id="rId35" o:title=""/>
          </v:shape>
        </w:object>
      </w:r>
      <w:r>
        <w:fldChar w:fldCharType="end"/>
      </w:r>
    </w:p>
    <w:p w14:paraId="56C88FC3" w14:textId="48CDBD97" w:rsidR="002C0D3A" w:rsidRPr="009B6DD3" w:rsidRDefault="002C0D3A" w:rsidP="003C54B4">
      <w:pPr>
        <w:pStyle w:val="ChartandTableNote"/>
        <w:ind w:left="426"/>
      </w:pPr>
      <w:r w:rsidRPr="009B6DD3">
        <w:t xml:space="preserve">Note: </w:t>
      </w:r>
      <w:r w:rsidR="00435E86">
        <w:t>‘</w:t>
      </w:r>
      <w:r w:rsidR="00CD7745">
        <w:t>Sales of goods and s</w:t>
      </w:r>
      <w:r w:rsidRPr="009B6DD3">
        <w:t>ervices</w:t>
      </w:r>
      <w:r w:rsidR="00435E86">
        <w:t>’</w:t>
      </w:r>
      <w:r w:rsidRPr="009B6DD3">
        <w:t xml:space="preserve"> </w:t>
      </w:r>
      <w:r w:rsidR="00BB7D65" w:rsidRPr="009B6DD3">
        <w:t>includes user charging on state provided services</w:t>
      </w:r>
      <w:r w:rsidR="009B0A3A">
        <w:t xml:space="preserve">. </w:t>
      </w:r>
      <w:r w:rsidR="00BB7D65" w:rsidRPr="009B6DD3">
        <w:t>For the purpose of this chart</w:t>
      </w:r>
      <w:r w:rsidRPr="009B6DD3">
        <w:t xml:space="preserve"> </w:t>
      </w:r>
      <w:r w:rsidR="00BB7D65" w:rsidRPr="009B6DD3">
        <w:t xml:space="preserve">the distribution of </w:t>
      </w:r>
      <w:r w:rsidRPr="009B6DD3">
        <w:t>GST revenue</w:t>
      </w:r>
      <w:r w:rsidR="00BB7D65" w:rsidRPr="009B6DD3">
        <w:t xml:space="preserve"> is not considered state own</w:t>
      </w:r>
      <w:r w:rsidR="00435E86">
        <w:noBreakHyphen/>
      </w:r>
      <w:r w:rsidR="00BB7D65" w:rsidRPr="009B6DD3">
        <w:t>source revenue</w:t>
      </w:r>
      <w:r w:rsidR="009B0A3A">
        <w:t xml:space="preserve">. </w:t>
      </w:r>
      <w:r w:rsidR="00435E86">
        <w:t>‘</w:t>
      </w:r>
      <w:r w:rsidR="00714D49" w:rsidRPr="009B6DD3">
        <w:t>Own source tax revenue</w:t>
      </w:r>
      <w:r w:rsidR="00435E86">
        <w:t>’</w:t>
      </w:r>
      <w:r w:rsidR="00714D49" w:rsidRPr="009B6DD3">
        <w:t xml:space="preserve"> includes stamp duties on conveyances, </w:t>
      </w:r>
      <w:r w:rsidR="00BB7D65" w:rsidRPr="009B6DD3">
        <w:t xml:space="preserve">land tax, </w:t>
      </w:r>
      <w:r w:rsidR="00714D49" w:rsidRPr="009B6DD3">
        <w:t xml:space="preserve">other property taxes, and payroll tax, among other state taxes. </w:t>
      </w:r>
    </w:p>
    <w:p w14:paraId="567B0E87" w14:textId="3CC64F85" w:rsidR="00884AD0" w:rsidRPr="009B6DD3" w:rsidRDefault="00884AD0" w:rsidP="003C54B4">
      <w:pPr>
        <w:pStyle w:val="ChartandTableNote"/>
        <w:ind w:left="426"/>
      </w:pPr>
      <w:r w:rsidRPr="009B6DD3">
        <w:t xml:space="preserve">Source: </w:t>
      </w:r>
      <w:r w:rsidR="00C852B3" w:rsidRPr="009B6DD3">
        <w:t xml:space="preserve">Treasury calculations based on </w:t>
      </w:r>
      <w:r w:rsidR="00CD7745">
        <w:t>s</w:t>
      </w:r>
      <w:r w:rsidR="007A2772" w:rsidRPr="009B6DD3">
        <w:t xml:space="preserve">tate and </w:t>
      </w:r>
      <w:r w:rsidR="00CD7745">
        <w:t>t</w:t>
      </w:r>
      <w:r w:rsidR="007A2772" w:rsidRPr="009B6DD3">
        <w:t>erritory 2013</w:t>
      </w:r>
      <w:r w:rsidR="00435E86">
        <w:noBreakHyphen/>
      </w:r>
      <w:r w:rsidR="007A2772" w:rsidRPr="009B6DD3">
        <w:t xml:space="preserve">14 </w:t>
      </w:r>
      <w:r w:rsidR="00CD7745">
        <w:t>f</w:t>
      </w:r>
      <w:r w:rsidR="007A2772" w:rsidRPr="009B6DD3">
        <w:t xml:space="preserve">inal </w:t>
      </w:r>
      <w:r w:rsidR="00CD7745">
        <w:t>budget o</w:t>
      </w:r>
      <w:r w:rsidR="007A2772" w:rsidRPr="009B6DD3">
        <w:t xml:space="preserve">utcomes (or equivalent) and </w:t>
      </w:r>
      <w:r w:rsidR="00CD7745">
        <w:t>s</w:t>
      </w:r>
      <w:r w:rsidR="000C6C8A" w:rsidRPr="009B6DD3">
        <w:t xml:space="preserve">tate and </w:t>
      </w:r>
      <w:r w:rsidR="00CD7745">
        <w:t>t</w:t>
      </w:r>
      <w:r w:rsidR="000C6C8A" w:rsidRPr="009B6DD3">
        <w:t xml:space="preserve">erritory </w:t>
      </w:r>
      <w:r w:rsidR="007A2772" w:rsidRPr="009B6DD3">
        <w:t>2014</w:t>
      </w:r>
      <w:r w:rsidR="00435E86">
        <w:noBreakHyphen/>
      </w:r>
      <w:r w:rsidR="007A2772" w:rsidRPr="009B6DD3">
        <w:t xml:space="preserve">15 </w:t>
      </w:r>
      <w:r w:rsidR="00CD7745">
        <w:t>b</w:t>
      </w:r>
      <w:r w:rsidR="007A2772" w:rsidRPr="009B6DD3">
        <w:t>udgets</w:t>
      </w:r>
      <w:r w:rsidR="00456F91" w:rsidRPr="009B6DD3">
        <w:t>.</w:t>
      </w:r>
      <w:r w:rsidR="00C852B3" w:rsidRPr="009B6DD3">
        <w:rPr>
          <w:rStyle w:val="FootnoteReference"/>
        </w:rPr>
        <w:footnoteReference w:id="51"/>
      </w:r>
      <w:r w:rsidR="007877FA" w:rsidRPr="009B6DD3">
        <w:t xml:space="preserve"> </w:t>
      </w:r>
    </w:p>
    <w:p w14:paraId="7E748809" w14:textId="77777777" w:rsidR="007A1641" w:rsidRPr="009B6DD3" w:rsidRDefault="007A1641" w:rsidP="00F11884">
      <w:pPr>
        <w:spacing w:after="360"/>
      </w:pPr>
    </w:p>
    <w:p w14:paraId="5CB21135" w14:textId="66B2282E" w:rsidR="00432B15" w:rsidRPr="009B6DD3" w:rsidRDefault="00432B15" w:rsidP="00870BFF">
      <w:r w:rsidRPr="009B6DD3">
        <w:t xml:space="preserve">While fiscal imbalance exists in all federations, vertical fiscal imbalance (with central governments collecting more tax revenue than they spend, </w:t>
      </w:r>
      <w:r w:rsidR="006136BB" w:rsidRPr="009B6DD3">
        <w:t xml:space="preserve">and </w:t>
      </w:r>
      <w:r w:rsidR="00CA4488" w:rsidRPr="009B6DD3">
        <w:t>sub</w:t>
      </w:r>
      <w:r w:rsidR="00435E86">
        <w:noBreakHyphen/>
      </w:r>
      <w:r w:rsidR="00CA4488" w:rsidRPr="009B6DD3">
        <w:t>central</w:t>
      </w:r>
      <w:r w:rsidRPr="009B6DD3">
        <w:t xml:space="preserve"> governments spend</w:t>
      </w:r>
      <w:r w:rsidR="006136BB" w:rsidRPr="009B6DD3">
        <w:t>ing</w:t>
      </w:r>
      <w:r w:rsidRPr="009B6DD3">
        <w:t xml:space="preserve"> more than they directly finance) is higher in Australia than in other federations.</w:t>
      </w:r>
    </w:p>
    <w:p w14:paraId="364B159E" w14:textId="1198AA68" w:rsidR="00432B15" w:rsidRPr="009B6DD3" w:rsidRDefault="00432B15" w:rsidP="00870BFF">
      <w:r w:rsidRPr="009B6DD3">
        <w:t xml:space="preserve">How vertical fiscal imbalance impacts </w:t>
      </w:r>
      <w:r w:rsidR="006136BB" w:rsidRPr="009B6DD3">
        <w:t xml:space="preserve">on </w:t>
      </w:r>
      <w:r w:rsidRPr="009B6DD3">
        <w:t>the principle that each level of government has access to sufficient tax revenue to finance marginal expenditure decisions has been the source of much debate</w:t>
      </w:r>
      <w:r w:rsidR="00F64440" w:rsidRPr="009B6DD3">
        <w:t xml:space="preserve">. </w:t>
      </w:r>
    </w:p>
    <w:p w14:paraId="79890F6F" w14:textId="416162DB" w:rsidR="00432B15" w:rsidRPr="009B6DD3" w:rsidRDefault="00432B15" w:rsidP="00F11884">
      <w:pPr>
        <w:keepNext/>
        <w:keepLines/>
      </w:pPr>
      <w:r w:rsidRPr="009B6DD3">
        <w:lastRenderedPageBreak/>
        <w:t xml:space="preserve">On the one hand, some have argued that the growth of grants tied to particular activities has added to complexity in service delivery and reduced </w:t>
      </w:r>
      <w:r w:rsidR="00CD7745">
        <w:t>s</w:t>
      </w:r>
      <w:r w:rsidRPr="009B6DD3">
        <w:t xml:space="preserve">tate government autonomy. State governments have also argued that </w:t>
      </w:r>
      <w:r w:rsidR="00CA4488" w:rsidRPr="009B6DD3">
        <w:t>Australian</w:t>
      </w:r>
      <w:r w:rsidR="00AD7513" w:rsidRPr="009B6DD3">
        <w:t xml:space="preserve"> Government</w:t>
      </w:r>
      <w:r w:rsidRPr="009B6DD3">
        <w:t xml:space="preserve"> decisions to change the size, growth rate and form of payments to the </w:t>
      </w:r>
      <w:r w:rsidR="00CD7745">
        <w:t>s</w:t>
      </w:r>
      <w:r w:rsidRPr="009B6DD3">
        <w:t>tates reduce their ability to effectively manage their own budgets.</w:t>
      </w:r>
    </w:p>
    <w:p w14:paraId="1A2208A4" w14:textId="4476DC0D" w:rsidR="00432B15" w:rsidRPr="009B6DD3" w:rsidRDefault="000C6FAE" w:rsidP="00870BFF">
      <w:pPr>
        <w:rPr>
          <w:szCs w:val="22"/>
        </w:rPr>
      </w:pPr>
      <w:r w:rsidRPr="009B6DD3">
        <w:t>At the same time,</w:t>
      </w:r>
      <w:r w:rsidR="00432B15" w:rsidRPr="009B6DD3">
        <w:t xml:space="preserve"> </w:t>
      </w:r>
      <w:r w:rsidR="00AD0AF5" w:rsidRPr="009B6DD3">
        <w:t xml:space="preserve">there is an opportunity for </w:t>
      </w:r>
      <w:r w:rsidR="00CD7745">
        <w:t>s</w:t>
      </w:r>
      <w:r w:rsidRPr="009B6DD3">
        <w:t xml:space="preserve">tates </w:t>
      </w:r>
      <w:r w:rsidR="00AD0AF5" w:rsidRPr="009B6DD3">
        <w:t xml:space="preserve">to make better use of their existing efficient tax bases. </w:t>
      </w:r>
      <w:r w:rsidRPr="009B6DD3">
        <w:t xml:space="preserve">Importantly, the </w:t>
      </w:r>
      <w:r w:rsidR="00432B15" w:rsidRPr="009B6DD3">
        <w:t xml:space="preserve">principle </w:t>
      </w:r>
      <w:r w:rsidRPr="009B6DD3">
        <w:t xml:space="preserve">that each level of government should have access to tax revenue bases </w:t>
      </w:r>
      <w:r w:rsidR="00432B15" w:rsidRPr="009B6DD3">
        <w:t xml:space="preserve">does not require that governments raise all the revenue they spend. Instead, this principle is about imposing a </w:t>
      </w:r>
      <w:r w:rsidR="00435E86">
        <w:t>‘</w:t>
      </w:r>
      <w:r w:rsidR="00432B15" w:rsidRPr="009B6DD3">
        <w:t>hard budget constraint</w:t>
      </w:r>
      <w:r w:rsidR="00435E86">
        <w:t>’</w:t>
      </w:r>
      <w:r w:rsidR="00432B15" w:rsidRPr="009B6DD3">
        <w:t xml:space="preserve"> to ensure that governments </w:t>
      </w:r>
      <w:r w:rsidR="006136BB" w:rsidRPr="009B6DD3">
        <w:t xml:space="preserve">that want </w:t>
      </w:r>
      <w:r w:rsidR="00432B15" w:rsidRPr="009B6DD3">
        <w:t xml:space="preserve">to increase spending </w:t>
      </w:r>
      <w:r w:rsidR="006136BB" w:rsidRPr="009B6DD3">
        <w:t xml:space="preserve">should </w:t>
      </w:r>
      <w:r w:rsidR="00432B15" w:rsidRPr="009B6DD3">
        <w:t>finance new spending themselves. Governments need not fund all of their own activities to meet this principle — just those on the margin</w:t>
      </w:r>
      <w:r w:rsidR="00F64440" w:rsidRPr="009B6DD3">
        <w:t xml:space="preserve">. </w:t>
      </w:r>
      <w:r w:rsidR="00D72599" w:rsidRPr="009B6DD3">
        <w:t>A more detailed discussion of the a</w:t>
      </w:r>
      <w:r w:rsidR="00456F91" w:rsidRPr="009B6DD3">
        <w:t>dvantages and disadvantages of vertical fiscal i</w:t>
      </w:r>
      <w:r w:rsidR="00D72599" w:rsidRPr="009B6DD3">
        <w:t xml:space="preserve">mbalance </w:t>
      </w:r>
      <w:r w:rsidR="00081BE1" w:rsidRPr="009B6DD3">
        <w:t>is</w:t>
      </w:r>
      <w:r w:rsidR="00D72599" w:rsidRPr="009B6DD3">
        <w:t xml:space="preserve"> included in a</w:t>
      </w:r>
      <w:r w:rsidR="006136BB" w:rsidRPr="009B6DD3">
        <w:t>n</w:t>
      </w:r>
      <w:r w:rsidR="00D72599" w:rsidRPr="009B6DD3">
        <w:t xml:space="preserve"> issues paper on COAG and Federal Financial Relations, </w:t>
      </w:r>
      <w:r w:rsidR="00081BE1" w:rsidRPr="009B6DD3">
        <w:t>released</w:t>
      </w:r>
      <w:r w:rsidR="00D72599" w:rsidRPr="009B6DD3">
        <w:t xml:space="preserve"> as part of the Federation White Paper</w:t>
      </w:r>
      <w:r w:rsidR="00D72599" w:rsidRPr="009B6DD3">
        <w:rPr>
          <w:rFonts w:cs="Arial"/>
          <w:szCs w:val="22"/>
        </w:rPr>
        <w:t>.</w:t>
      </w:r>
      <w:r w:rsidR="00081BE1" w:rsidRPr="009B6DD3">
        <w:rPr>
          <w:rFonts w:cs="Arial"/>
          <w:szCs w:val="22"/>
        </w:rPr>
        <w:t xml:space="preserve"> The issues paper is available at </w:t>
      </w:r>
      <w:hyperlink r:id="rId36" w:history="1">
        <w:r w:rsidR="00C42575" w:rsidRPr="002F3190">
          <w:rPr>
            <w:rStyle w:val="Hyperlink"/>
            <w:rFonts w:cs="Arial"/>
            <w:szCs w:val="22"/>
          </w:rPr>
          <w:t>www.federation.dpmc.gov.au</w:t>
        </w:r>
      </w:hyperlink>
      <w:r w:rsidR="00081BE1" w:rsidRPr="009B6DD3">
        <w:rPr>
          <w:rFonts w:cs="Arial"/>
          <w:szCs w:val="22"/>
        </w:rPr>
        <w:t>.</w:t>
      </w:r>
    </w:p>
    <w:p w14:paraId="26B24409" w14:textId="5B965558" w:rsidR="00432B15" w:rsidRPr="009B6DD3" w:rsidRDefault="00432B15" w:rsidP="00432B15">
      <w:pPr>
        <w:pStyle w:val="Heading3"/>
      </w:pPr>
      <w:bookmarkStart w:id="484" w:name="_Toc402353708"/>
      <w:bookmarkStart w:id="485" w:name="_Toc402362236"/>
      <w:bookmarkStart w:id="486" w:name="_Toc402368825"/>
      <w:bookmarkStart w:id="487" w:name="_Toc402369910"/>
      <w:bookmarkStart w:id="488" w:name="_Toc402370575"/>
      <w:bookmarkStart w:id="489" w:name="_Toc402371522"/>
      <w:bookmarkStart w:id="490" w:name="_Toc406155436"/>
      <w:r w:rsidRPr="009B6DD3">
        <w:t xml:space="preserve">Should the </w:t>
      </w:r>
      <w:r w:rsidR="00CD7745">
        <w:t>s</w:t>
      </w:r>
      <w:r w:rsidRPr="009B6DD3">
        <w:t xml:space="preserve">tates and </w:t>
      </w:r>
      <w:r w:rsidR="00CD7745">
        <w:t>t</w:t>
      </w:r>
      <w:r w:rsidRPr="009B6DD3">
        <w:t>erritories only levy taxes on immobile bases?</w:t>
      </w:r>
      <w:bookmarkEnd w:id="484"/>
      <w:bookmarkEnd w:id="485"/>
      <w:bookmarkEnd w:id="486"/>
      <w:bookmarkEnd w:id="487"/>
      <w:bookmarkEnd w:id="488"/>
      <w:bookmarkEnd w:id="489"/>
      <w:bookmarkEnd w:id="490"/>
    </w:p>
    <w:p w14:paraId="1FE8D98C" w14:textId="3B5CA534" w:rsidR="00432B15" w:rsidRPr="009B6DD3" w:rsidRDefault="00432B15" w:rsidP="00870BFF">
      <w:r w:rsidRPr="009B6DD3">
        <w:t xml:space="preserve">Much of the discussion on </w:t>
      </w:r>
      <w:r w:rsidR="00480ACC" w:rsidRPr="009B6DD3">
        <w:t xml:space="preserve">whether the </w:t>
      </w:r>
      <w:r w:rsidR="00CD7745">
        <w:t>s</w:t>
      </w:r>
      <w:r w:rsidR="00480ACC" w:rsidRPr="009B6DD3">
        <w:t xml:space="preserve">tates and </w:t>
      </w:r>
      <w:r w:rsidR="00CD7745">
        <w:t>t</w:t>
      </w:r>
      <w:r w:rsidR="00480ACC" w:rsidRPr="009B6DD3">
        <w:t>erritories should only levy taxes on immobile bases</w:t>
      </w:r>
      <w:r w:rsidRPr="009B6DD3">
        <w:t xml:space="preserve"> is </w:t>
      </w:r>
      <w:r w:rsidR="00480ACC" w:rsidRPr="009B6DD3">
        <w:t xml:space="preserve">centred </w:t>
      </w:r>
      <w:r w:rsidRPr="009B6DD3">
        <w:t xml:space="preserve">on the argument that </w:t>
      </w:r>
      <w:r w:rsidR="008F0901">
        <w:t>s</w:t>
      </w:r>
      <w:r w:rsidRPr="009B6DD3">
        <w:t>tates in a federation will compete against each other to attract business and particular groups of people, including by reducing tax rates and introducing greater exemptions and concessions. The result is lower taxes overall</w:t>
      </w:r>
      <w:r w:rsidR="006136BB" w:rsidRPr="009B6DD3">
        <w:t xml:space="preserve">, </w:t>
      </w:r>
      <w:r w:rsidRPr="009B6DD3">
        <w:t xml:space="preserve">particularly on mobile tax bases. </w:t>
      </w:r>
    </w:p>
    <w:p w14:paraId="42EEA640" w14:textId="30708294" w:rsidR="00432B15" w:rsidRPr="009B6DD3" w:rsidRDefault="00432B15" w:rsidP="00870BFF">
      <w:r w:rsidRPr="009B6DD3">
        <w:t xml:space="preserve">In Australia, examples of competitive forces </w:t>
      </w:r>
      <w:r w:rsidR="002528CF" w:rsidRPr="009B6DD3">
        <w:t xml:space="preserve">include decisions by </w:t>
      </w:r>
      <w:r w:rsidR="005102C0">
        <w:t>s</w:t>
      </w:r>
      <w:r w:rsidR="002528CF" w:rsidRPr="009B6DD3">
        <w:t>tates to increase their statutory payroll tax thresholds.</w:t>
      </w:r>
      <w:r w:rsidR="002E5142" w:rsidRPr="009B6DD3">
        <w:t xml:space="preserve"> </w:t>
      </w:r>
      <w:r w:rsidR="00CD4078" w:rsidRPr="009B6DD3">
        <w:t>A second example is the abolition of estate duties</w:t>
      </w:r>
      <w:r w:rsidR="002E5142" w:rsidRPr="009B6DD3">
        <w:t xml:space="preserve">, </w:t>
      </w:r>
      <w:r w:rsidR="002528CF" w:rsidRPr="009B6DD3">
        <w:t xml:space="preserve">starting with Queensland in 1977 and quickly followed by the </w:t>
      </w:r>
      <w:r w:rsidR="00CA4488" w:rsidRPr="009B6DD3">
        <w:t>Australian</w:t>
      </w:r>
      <w:r w:rsidR="00AD7513" w:rsidRPr="009B6DD3">
        <w:t xml:space="preserve"> Government</w:t>
      </w:r>
      <w:r w:rsidR="00CA4488" w:rsidRPr="009B6DD3">
        <w:t xml:space="preserve"> (1979), South </w:t>
      </w:r>
      <w:r w:rsidR="002528CF" w:rsidRPr="009B6DD3">
        <w:t xml:space="preserve">Australia and Western Australia (1980), Victoria and New South Wales (1981) and Tasmania (1982). </w:t>
      </w:r>
      <w:r w:rsidR="006136BB" w:rsidRPr="009B6DD3">
        <w:t>N</w:t>
      </w:r>
      <w:r w:rsidR="0001130A" w:rsidRPr="009B6DD3">
        <w:t xml:space="preserve">arrowing the land tax base by </w:t>
      </w:r>
      <w:r w:rsidR="00F838C2" w:rsidRPr="009B6DD3">
        <w:t>introducing exemptions for</w:t>
      </w:r>
      <w:r w:rsidR="0001130A" w:rsidRPr="009B6DD3">
        <w:t xml:space="preserve"> primary production land and </w:t>
      </w:r>
      <w:r w:rsidR="00F838C2" w:rsidRPr="009B6DD3">
        <w:t>princip</w:t>
      </w:r>
      <w:r w:rsidR="00BE4D13" w:rsidRPr="009B6DD3">
        <w:t>a</w:t>
      </w:r>
      <w:r w:rsidR="00F838C2" w:rsidRPr="009B6DD3">
        <w:t>l place of residence</w:t>
      </w:r>
      <w:r w:rsidR="0001130A" w:rsidRPr="009B6DD3">
        <w:t xml:space="preserve"> </w:t>
      </w:r>
      <w:r w:rsidR="00EC5067" w:rsidRPr="009B6DD3">
        <w:t>from the 1970s onwards</w:t>
      </w:r>
      <w:r w:rsidR="0001130A" w:rsidRPr="009B6DD3">
        <w:t xml:space="preserve"> might </w:t>
      </w:r>
      <w:r w:rsidR="005A2777" w:rsidRPr="009B6DD3">
        <w:t>be a further example.</w:t>
      </w:r>
      <w:r w:rsidR="00456F91" w:rsidRPr="009B6DD3">
        <w:rPr>
          <w:rStyle w:val="FootnoteReference"/>
        </w:rPr>
        <w:footnoteReference w:id="52"/>
      </w:r>
      <w:r w:rsidR="0001130A" w:rsidRPr="009B6DD3">
        <w:t xml:space="preserve"> </w:t>
      </w:r>
    </w:p>
    <w:p w14:paraId="5677669C" w14:textId="08F547C8" w:rsidR="003C54B4" w:rsidRPr="009B6DD3" w:rsidRDefault="00432B15" w:rsidP="00870BFF">
      <w:r w:rsidRPr="009B6DD3">
        <w:t>There has been a mixed assessment of these competitive forces, with some academics arguing that devolved and competitive federal structures give citizens more control over government decisions.</w:t>
      </w:r>
      <w:r w:rsidRPr="009B6DD3">
        <w:rPr>
          <w:rStyle w:val="FootnoteReference"/>
        </w:rPr>
        <w:footnoteReference w:id="53"/>
      </w:r>
      <w:r w:rsidRPr="009B6DD3">
        <w:t xml:space="preserve"> The outcome is </w:t>
      </w:r>
      <w:r w:rsidR="00ED1BB0">
        <w:t xml:space="preserve">argued to be </w:t>
      </w:r>
      <w:r w:rsidRPr="009B6DD3">
        <w:t xml:space="preserve">an optimal mix of taxes and services that meets the needs of the population. </w:t>
      </w:r>
      <w:r w:rsidR="00EC5067" w:rsidRPr="009B6DD3">
        <w:t xml:space="preserve">Alternatively, </w:t>
      </w:r>
      <w:r w:rsidRPr="009B6DD3">
        <w:t xml:space="preserve">competition between </w:t>
      </w:r>
      <w:r w:rsidR="005102C0">
        <w:t>s</w:t>
      </w:r>
      <w:r w:rsidRPr="009B6DD3">
        <w:t xml:space="preserve">tates </w:t>
      </w:r>
      <w:r w:rsidR="00EC5067" w:rsidRPr="009B6DD3">
        <w:t xml:space="preserve">may </w:t>
      </w:r>
      <w:r w:rsidRPr="009B6DD3">
        <w:t xml:space="preserve">result in a </w:t>
      </w:r>
      <w:r w:rsidR="00435E86">
        <w:t>‘</w:t>
      </w:r>
      <w:r w:rsidRPr="009B6DD3">
        <w:t>race to the bottom</w:t>
      </w:r>
      <w:r w:rsidR="00435E86">
        <w:t>’</w:t>
      </w:r>
      <w:r w:rsidR="00456F91" w:rsidRPr="009B6DD3">
        <w:t xml:space="preserve">, with </w:t>
      </w:r>
      <w:r w:rsidR="005102C0">
        <w:t>s</w:t>
      </w:r>
      <w:r w:rsidRPr="009B6DD3">
        <w:t>tates competing against each other to lower their taxes and, as a consequence, deliver fewer services</w:t>
      </w:r>
      <w:r w:rsidR="00F64440" w:rsidRPr="009B6DD3">
        <w:t xml:space="preserve">. </w:t>
      </w:r>
    </w:p>
    <w:p w14:paraId="6166EA72" w14:textId="76C4D2AD" w:rsidR="00432B15" w:rsidRPr="009B6DD3" w:rsidRDefault="00432B15" w:rsidP="00432B15">
      <w:pPr>
        <w:pStyle w:val="Heading3"/>
      </w:pPr>
      <w:bookmarkStart w:id="491" w:name="_Toc402353709"/>
      <w:bookmarkStart w:id="492" w:name="_Toc402362237"/>
      <w:bookmarkStart w:id="493" w:name="_Toc402368826"/>
      <w:bookmarkStart w:id="494" w:name="_Toc402369911"/>
      <w:bookmarkStart w:id="495" w:name="_Toc402370576"/>
      <w:bookmarkStart w:id="496" w:name="_Toc402371523"/>
      <w:bookmarkStart w:id="497" w:name="_Toc406155437"/>
      <w:r w:rsidRPr="009B6DD3">
        <w:lastRenderedPageBreak/>
        <w:t>How important is complexity</w:t>
      </w:r>
      <w:r w:rsidR="004C039E" w:rsidRPr="009B6DD3">
        <w:t xml:space="preserve"> across the F</w:t>
      </w:r>
      <w:r w:rsidRPr="009B6DD3">
        <w:t>ederation?</w:t>
      </w:r>
      <w:bookmarkEnd w:id="491"/>
      <w:bookmarkEnd w:id="492"/>
      <w:bookmarkEnd w:id="493"/>
      <w:bookmarkEnd w:id="494"/>
      <w:bookmarkEnd w:id="495"/>
      <w:bookmarkEnd w:id="496"/>
      <w:bookmarkEnd w:id="497"/>
      <w:r w:rsidRPr="009B6DD3">
        <w:t xml:space="preserve"> </w:t>
      </w:r>
    </w:p>
    <w:p w14:paraId="443CFAC5" w14:textId="25CD4C97" w:rsidR="00432B15" w:rsidRPr="009B6DD3" w:rsidRDefault="00432B15" w:rsidP="00F11884">
      <w:pPr>
        <w:keepNext/>
      </w:pPr>
      <w:r w:rsidRPr="009B6DD3">
        <w:t xml:space="preserve">Because </w:t>
      </w:r>
      <w:r w:rsidR="005102C0">
        <w:t>s</w:t>
      </w:r>
      <w:r w:rsidRPr="009B6DD3">
        <w:t xml:space="preserve">tates and </w:t>
      </w:r>
      <w:r w:rsidR="005102C0">
        <w:t>t</w:t>
      </w:r>
      <w:r w:rsidRPr="009B6DD3">
        <w:t>erritories set the rates, base and exemptions of the taxes they levy, it is likely that there will always be some difference between them, which adds to complexity</w:t>
      </w:r>
      <w:r w:rsidR="00F64440" w:rsidRPr="009B6DD3">
        <w:t xml:space="preserve">. </w:t>
      </w:r>
    </w:p>
    <w:p w14:paraId="726D2BDC" w14:textId="7B1DEC82" w:rsidR="00432B15" w:rsidRPr="009B6DD3" w:rsidRDefault="00432B15" w:rsidP="00870BFF">
      <w:r w:rsidRPr="009B6DD3">
        <w:t xml:space="preserve">Further efforts to support the principles outlined above may come at the cost of greater complexity. For example, proposals that the </w:t>
      </w:r>
      <w:r w:rsidR="005102C0">
        <w:t>s</w:t>
      </w:r>
      <w:r w:rsidRPr="009B6DD3">
        <w:t xml:space="preserve">tates levy personal income </w:t>
      </w:r>
      <w:r w:rsidR="00456F91" w:rsidRPr="009B6DD3">
        <w:t xml:space="preserve">tax alongside the </w:t>
      </w:r>
      <w:r w:rsidR="00CA4488" w:rsidRPr="009B6DD3">
        <w:t>Australian</w:t>
      </w:r>
      <w:r w:rsidR="00456F91" w:rsidRPr="009B6DD3">
        <w:t xml:space="preserve"> G</w:t>
      </w:r>
      <w:r w:rsidRPr="009B6DD3">
        <w:t xml:space="preserve">overnment, and be permitted to vary the rate, could help ensure that </w:t>
      </w:r>
      <w:r w:rsidR="006136BB" w:rsidRPr="009B6DD3">
        <w:t xml:space="preserve">they </w:t>
      </w:r>
      <w:r w:rsidRPr="009B6DD3">
        <w:t xml:space="preserve">have access to revenue to fund their activities. At the same time, this option </w:t>
      </w:r>
      <w:r w:rsidR="002A3546" w:rsidRPr="009B6DD3">
        <w:t>could</w:t>
      </w:r>
      <w:r w:rsidRPr="009B6DD3">
        <w:t xml:space="preserve"> add complexity for governments and taxpayers alike, particularly in determining the location of income where rates differ across </w:t>
      </w:r>
      <w:r w:rsidR="005102C0">
        <w:t>s</w:t>
      </w:r>
      <w:r w:rsidRPr="009B6DD3">
        <w:t>tates. In assessing this and other reform options, it will be important to weigh potential costs from complexity alongside other benefits.</w:t>
      </w:r>
    </w:p>
    <w:p w14:paraId="7DC2D837" w14:textId="77777777" w:rsidR="003C54B4" w:rsidRPr="009B6DD3" w:rsidRDefault="003C54B4" w:rsidP="003C54B4">
      <w:pPr>
        <w:pStyle w:val="Singleparagraph0"/>
      </w:pP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3C54B4" w14:paraId="1FA203FB" w14:textId="77777777" w:rsidTr="00897847">
        <w:tc>
          <w:tcPr>
            <w:tcW w:w="9384" w:type="dxa"/>
          </w:tcPr>
          <w:p w14:paraId="4D6C756A" w14:textId="1C4DF349" w:rsidR="003C54B4" w:rsidRPr="009B6DD3" w:rsidRDefault="003C54B4" w:rsidP="00897847">
            <w:pPr>
              <w:pStyle w:val="Questionheading"/>
              <w:ind w:right="113"/>
            </w:pPr>
            <w:r w:rsidRPr="009B6DD3">
              <w:t xml:space="preserve">Discussion questions: </w:t>
            </w:r>
          </w:p>
          <w:p w14:paraId="621D786E" w14:textId="2F38FC4C" w:rsidR="003C54B4" w:rsidRPr="009B6DD3" w:rsidRDefault="003C54B4" w:rsidP="003C54B4">
            <w:pPr>
              <w:pStyle w:val="Questiontext"/>
              <w:ind w:right="113"/>
            </w:pPr>
            <w:bookmarkStart w:id="498" w:name="_Toc404158167"/>
            <w:r w:rsidRPr="009B6DD3">
              <w:t>Does each level of government have access to tax revenue bases to finance new spending decisions? If not, should arrangements change to achieve this? How should they change? How important is it that the national government levies taxes on mobile bases?  Could some taxes be shared?</w:t>
            </w:r>
            <w:bookmarkEnd w:id="498"/>
          </w:p>
        </w:tc>
      </w:tr>
    </w:tbl>
    <w:p w14:paraId="4610E765" w14:textId="77777777" w:rsidR="003C54B4" w:rsidRPr="00A02745" w:rsidRDefault="003C54B4" w:rsidP="00870BFF"/>
    <w:bookmarkEnd w:id="476"/>
    <w:p w14:paraId="66D67CFC" w14:textId="77777777" w:rsidR="003C54B4" w:rsidRDefault="003C54B4" w:rsidP="00BA1E79">
      <w:pPr>
        <w:tabs>
          <w:tab w:val="left" w:pos="6300"/>
        </w:tabs>
        <w:sectPr w:rsidR="003C54B4" w:rsidSect="00F063B4">
          <w:headerReference w:type="first" r:id="rId37"/>
          <w:footerReference w:type="first" r:id="rId38"/>
          <w:footnotePr>
            <w:numStart w:val="150"/>
          </w:footnotePr>
          <w:pgSz w:w="11906" w:h="16838" w:code="9"/>
          <w:pgMar w:top="1418" w:right="1418" w:bottom="1418" w:left="1418" w:header="709" w:footer="709" w:gutter="0"/>
          <w:cols w:space="708"/>
          <w:titlePg/>
          <w:docGrid w:linePitch="360"/>
        </w:sectPr>
      </w:pPr>
    </w:p>
    <w:p w14:paraId="4168FFE5" w14:textId="59F9FFC8" w:rsidR="00432B15" w:rsidRDefault="00432B15" w:rsidP="00BA1E79">
      <w:pPr>
        <w:tabs>
          <w:tab w:val="left" w:pos="6300"/>
        </w:tabs>
      </w:pPr>
    </w:p>
    <w:p w14:paraId="54BF4F89" w14:textId="77777777" w:rsidR="003C54B4" w:rsidRPr="00BA1E79" w:rsidRDefault="003C54B4" w:rsidP="00BA1E79">
      <w:pPr>
        <w:tabs>
          <w:tab w:val="left" w:pos="6300"/>
        </w:tabs>
      </w:pPr>
    </w:p>
    <w:sectPr w:rsidR="003C54B4" w:rsidRPr="00BA1E79" w:rsidSect="00F063B4">
      <w:headerReference w:type="first" r:id="rId39"/>
      <w:footerReference w:type="first" r:id="rId40"/>
      <w:footnotePr>
        <w:numStart w:val="133"/>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33238" w14:textId="77777777" w:rsidR="00153AE5" w:rsidRDefault="00153AE5">
      <w:r>
        <w:separator/>
      </w:r>
    </w:p>
  </w:endnote>
  <w:endnote w:type="continuationSeparator" w:id="0">
    <w:p w14:paraId="48D66DB0" w14:textId="77777777" w:rsidR="00153AE5" w:rsidRDefault="00153AE5">
      <w:r>
        <w:continuationSeparator/>
      </w:r>
    </w:p>
  </w:endnote>
  <w:endnote w:type="continuationNotice" w:id="1">
    <w:p w14:paraId="1A424A29" w14:textId="77777777" w:rsidR="00153AE5" w:rsidRDefault="00153A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53AE5" w14:paraId="74AC003C" w14:textId="77777777" w:rsidTr="006D0F9D">
      <w:tc>
        <w:tcPr>
          <w:tcW w:w="4643" w:type="dxa"/>
          <w:vAlign w:val="bottom"/>
        </w:tcPr>
        <w:p w14:paraId="4DAF3B37" w14:textId="77777777" w:rsidR="00153AE5" w:rsidRDefault="00153AE5" w:rsidP="006D0F9D">
          <w:pPr>
            <w:pStyle w:val="FooterOdd"/>
          </w:pPr>
          <w:r w:rsidRPr="000217EE">
            <w:fldChar w:fldCharType="begin"/>
          </w:r>
          <w:r w:rsidRPr="000217EE">
            <w:instrText xml:space="preserve"> PAGE   \* MERGEFORMAT </w:instrText>
          </w:r>
          <w:r w:rsidRPr="000217EE">
            <w:fldChar w:fldCharType="separate"/>
          </w:r>
          <w:r w:rsidR="00A51D14">
            <w:rPr>
              <w:noProof/>
            </w:rPr>
            <w:t>152</w:t>
          </w:r>
          <w:r w:rsidRPr="000217EE">
            <w:fldChar w:fldCharType="end"/>
          </w:r>
        </w:p>
      </w:tc>
      <w:tc>
        <w:tcPr>
          <w:tcW w:w="4643" w:type="dxa"/>
          <w:vAlign w:val="bottom"/>
        </w:tcPr>
        <w:p w14:paraId="567F8206" w14:textId="373772B6" w:rsidR="00153AE5" w:rsidRDefault="00153AE5" w:rsidP="006D0F9D">
          <w:pPr>
            <w:pStyle w:val="FooterOdd"/>
            <w:jc w:val="right"/>
          </w:pPr>
          <w:r>
            <w:rPr>
              <w:noProof/>
            </w:rPr>
            <w:drawing>
              <wp:inline distT="0" distB="0" distL="0" distR="0" wp14:anchorId="65387533" wp14:editId="41F51180">
                <wp:extent cx="1008000" cy="287658"/>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1588E0D0" w14:textId="77777777" w:rsidR="00153AE5" w:rsidRPr="00F063B4" w:rsidRDefault="00153AE5">
    <w:pPr>
      <w:pStyle w:val="Foote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53AE5" w14:paraId="57887F27" w14:textId="77777777" w:rsidTr="006D0F9D">
      <w:tc>
        <w:tcPr>
          <w:tcW w:w="4643" w:type="dxa"/>
          <w:vAlign w:val="bottom"/>
        </w:tcPr>
        <w:p w14:paraId="4139335A" w14:textId="5618BBC7" w:rsidR="00153AE5" w:rsidRDefault="00153AE5" w:rsidP="006D0F9D">
          <w:pPr>
            <w:pStyle w:val="FooterOdd"/>
          </w:pPr>
          <w:r>
            <w:rPr>
              <w:noProof/>
            </w:rPr>
            <w:drawing>
              <wp:inline distT="0" distB="0" distL="0" distR="0" wp14:anchorId="0DE8ACAB" wp14:editId="3234DAC3">
                <wp:extent cx="1008000" cy="287658"/>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4A73CCE6" w14:textId="77777777" w:rsidR="00153AE5" w:rsidRDefault="00153AE5" w:rsidP="006D0F9D">
          <w:pPr>
            <w:pStyle w:val="FooterOdd"/>
            <w:jc w:val="right"/>
          </w:pPr>
          <w:r w:rsidRPr="000217EE">
            <w:fldChar w:fldCharType="begin"/>
          </w:r>
          <w:r w:rsidRPr="000217EE">
            <w:instrText xml:space="preserve"> PAGE   \* MERGEFORMAT </w:instrText>
          </w:r>
          <w:r w:rsidRPr="000217EE">
            <w:fldChar w:fldCharType="separate"/>
          </w:r>
          <w:r w:rsidR="00A51D14">
            <w:rPr>
              <w:noProof/>
            </w:rPr>
            <w:t>153</w:t>
          </w:r>
          <w:r w:rsidRPr="000217EE">
            <w:fldChar w:fldCharType="end"/>
          </w:r>
        </w:p>
      </w:tc>
    </w:tr>
  </w:tbl>
  <w:p w14:paraId="2706AC0A" w14:textId="77777777" w:rsidR="00153AE5" w:rsidRPr="00F063B4" w:rsidRDefault="00153AE5">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53AE5" w14:paraId="7539F5FF" w14:textId="77777777" w:rsidTr="006D0F9D">
      <w:tc>
        <w:tcPr>
          <w:tcW w:w="4643" w:type="dxa"/>
          <w:vAlign w:val="bottom"/>
        </w:tcPr>
        <w:p w14:paraId="0009CA61" w14:textId="43857E96" w:rsidR="00153AE5" w:rsidRDefault="00153AE5" w:rsidP="006D0F9D">
          <w:pPr>
            <w:pStyle w:val="FooterOdd"/>
          </w:pPr>
          <w:r>
            <w:rPr>
              <w:noProof/>
            </w:rPr>
            <w:drawing>
              <wp:inline distT="0" distB="0" distL="0" distR="0" wp14:anchorId="73562784" wp14:editId="12FDD001">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12A59461" w14:textId="77777777" w:rsidR="00153AE5" w:rsidRDefault="00153AE5" w:rsidP="006D0F9D">
          <w:pPr>
            <w:pStyle w:val="FooterOdd"/>
            <w:jc w:val="right"/>
          </w:pPr>
          <w:r w:rsidRPr="000217EE">
            <w:fldChar w:fldCharType="begin"/>
          </w:r>
          <w:r w:rsidRPr="000217EE">
            <w:instrText xml:space="preserve"> PAGE   \* MERGEFORMAT </w:instrText>
          </w:r>
          <w:r w:rsidRPr="000217EE">
            <w:fldChar w:fldCharType="separate"/>
          </w:r>
          <w:r w:rsidR="00A51D14">
            <w:rPr>
              <w:noProof/>
            </w:rPr>
            <w:t>129</w:t>
          </w:r>
          <w:r w:rsidRPr="000217EE">
            <w:fldChar w:fldCharType="end"/>
          </w:r>
        </w:p>
      </w:tc>
    </w:tr>
  </w:tbl>
  <w:p w14:paraId="4691A9A2" w14:textId="77777777" w:rsidR="00153AE5" w:rsidRPr="00F063B4" w:rsidRDefault="00153AE5">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53AE5" w14:paraId="7318067B" w14:textId="77777777" w:rsidTr="006D0F9D">
      <w:tc>
        <w:tcPr>
          <w:tcW w:w="4643" w:type="dxa"/>
          <w:vAlign w:val="bottom"/>
        </w:tcPr>
        <w:p w14:paraId="19A8F0E7" w14:textId="27990255" w:rsidR="00153AE5" w:rsidRDefault="00153AE5" w:rsidP="006D0F9D">
          <w:pPr>
            <w:pStyle w:val="FooterOdd"/>
          </w:pPr>
          <w:r>
            <w:fldChar w:fldCharType="begin"/>
          </w:r>
          <w:r>
            <w:instrText xml:space="preserve"> PAGE  \* Arabic  \* MERGEFORMAT </w:instrText>
          </w:r>
          <w:r>
            <w:fldChar w:fldCharType="separate"/>
          </w:r>
          <w:r w:rsidR="00A51D14">
            <w:rPr>
              <w:noProof/>
            </w:rPr>
            <w:t>130</w:t>
          </w:r>
          <w:r>
            <w:fldChar w:fldCharType="end"/>
          </w:r>
        </w:p>
      </w:tc>
      <w:tc>
        <w:tcPr>
          <w:tcW w:w="4643" w:type="dxa"/>
          <w:vAlign w:val="bottom"/>
        </w:tcPr>
        <w:p w14:paraId="012E9508" w14:textId="62AC6BC5" w:rsidR="00153AE5" w:rsidRDefault="00153AE5" w:rsidP="006D0F9D">
          <w:pPr>
            <w:pStyle w:val="FooterOdd"/>
            <w:jc w:val="right"/>
          </w:pPr>
          <w:r>
            <w:rPr>
              <w:noProof/>
            </w:rPr>
            <w:drawing>
              <wp:inline distT="0" distB="0" distL="0" distR="0" wp14:anchorId="0BAF4D3F" wp14:editId="5F3313D8">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6BECB792" w14:textId="77777777" w:rsidR="00153AE5" w:rsidRPr="00F063B4" w:rsidRDefault="00153AE5">
    <w:pPr>
      <w:pStyle w:val="Foote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0F103" w14:textId="38AA5FBA" w:rsidR="00153AE5" w:rsidRDefault="00153AE5">
    <w:pPr>
      <w:pStyle w:val="FooterOd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493EC" w14:textId="77777777" w:rsidR="00153AE5" w:rsidRDefault="00153AE5" w:rsidP="00F64440">
      <w:pPr>
        <w:spacing w:after="0"/>
      </w:pPr>
      <w:r>
        <w:separator/>
      </w:r>
    </w:p>
  </w:footnote>
  <w:footnote w:type="continuationSeparator" w:id="0">
    <w:p w14:paraId="4385ACDB" w14:textId="77777777" w:rsidR="00153AE5" w:rsidRDefault="00153AE5">
      <w:r>
        <w:continuationSeparator/>
      </w:r>
    </w:p>
  </w:footnote>
  <w:footnote w:type="continuationNotice" w:id="1">
    <w:p w14:paraId="4A1C44B1" w14:textId="77777777" w:rsidR="00153AE5" w:rsidRDefault="00153AE5">
      <w:pPr>
        <w:spacing w:after="0"/>
      </w:pPr>
    </w:p>
  </w:footnote>
  <w:footnote w:id="2">
    <w:p w14:paraId="19D4A400" w14:textId="775A1627" w:rsidR="00153AE5" w:rsidRPr="000207F4" w:rsidRDefault="00153AE5" w:rsidP="000207F4">
      <w:pPr>
        <w:pStyle w:val="FootnoteText"/>
      </w:pPr>
      <w:r w:rsidRPr="00435E86">
        <w:rPr>
          <w:rStyle w:val="FootnoteReference"/>
          <w:vertAlign w:val="baseline"/>
        </w:rPr>
        <w:footnoteRef/>
      </w:r>
      <w:r w:rsidRPr="000207F4">
        <w:tab/>
        <w:t xml:space="preserve">Australian Bureau of Statistics (ABS) 2014, </w:t>
      </w:r>
      <w:r w:rsidRPr="000207F4">
        <w:rPr>
          <w:i/>
        </w:rPr>
        <w:t>Government Finance Statistics, Australia, 2012</w:t>
      </w:r>
      <w:r>
        <w:rPr>
          <w:i/>
        </w:rPr>
        <w:noBreakHyphen/>
      </w:r>
      <w:r w:rsidRPr="000207F4">
        <w:rPr>
          <w:i/>
        </w:rPr>
        <w:t>13</w:t>
      </w:r>
      <w:r w:rsidRPr="000207F4">
        <w:t xml:space="preserve">, cat. no. 5512.0, ABS, Canberra; and Australian Government 2014, </w:t>
      </w:r>
      <w:r w:rsidRPr="000207F4">
        <w:rPr>
          <w:i/>
          <w:iCs/>
        </w:rPr>
        <w:t>2013</w:t>
      </w:r>
      <w:r>
        <w:rPr>
          <w:i/>
          <w:iCs/>
        </w:rPr>
        <w:noBreakHyphen/>
      </w:r>
      <w:r w:rsidRPr="000207F4">
        <w:rPr>
          <w:i/>
          <w:iCs/>
        </w:rPr>
        <w:t>14</w:t>
      </w:r>
      <w:r>
        <w:rPr>
          <w:i/>
          <w:iCs/>
        </w:rPr>
        <w:t xml:space="preserve"> </w:t>
      </w:r>
      <w:r w:rsidRPr="000207F4">
        <w:rPr>
          <w:i/>
          <w:iCs/>
        </w:rPr>
        <w:t>Final Budget Outcome</w:t>
      </w:r>
      <w:r w:rsidRPr="000207F4">
        <w:t>, Australian Government, Canberra.</w:t>
      </w:r>
    </w:p>
  </w:footnote>
  <w:footnote w:id="3">
    <w:p w14:paraId="30D70397" w14:textId="31849A7B" w:rsidR="00153AE5" w:rsidRPr="000207F4" w:rsidRDefault="00153AE5" w:rsidP="000207F4">
      <w:pPr>
        <w:pStyle w:val="FootnoteText"/>
      </w:pPr>
      <w:r w:rsidRPr="00435E86">
        <w:rPr>
          <w:rStyle w:val="FootnoteReference"/>
          <w:vertAlign w:val="baseline"/>
        </w:rPr>
        <w:footnoteRef/>
      </w:r>
      <w:r>
        <w:tab/>
        <w:t>Under the Australian s</w:t>
      </w:r>
      <w:r w:rsidRPr="000207F4">
        <w:t xml:space="preserve">ystem of </w:t>
      </w:r>
      <w:r w:rsidRPr="00862B9F">
        <w:rPr>
          <w:i/>
        </w:rPr>
        <w:t>Government Finance Statistics</w:t>
      </w:r>
      <w:r w:rsidRPr="000207F4">
        <w:t>, royalty income is not a form of taxation and is included in the property income category, along with interest income and dividends.</w:t>
      </w:r>
    </w:p>
  </w:footnote>
  <w:footnote w:id="4">
    <w:p w14:paraId="4800939B" w14:textId="1DC444CF" w:rsidR="00153AE5" w:rsidRPr="00FE3522" w:rsidRDefault="00153AE5" w:rsidP="00A20F1D">
      <w:pPr>
        <w:pStyle w:val="FootnoteText"/>
        <w:rPr>
          <w:rStyle w:val="FootnoteReference"/>
          <w:vertAlign w:val="baseline"/>
        </w:rPr>
      </w:pPr>
      <w:r w:rsidRPr="00435E86">
        <w:rPr>
          <w:rStyle w:val="FootnoteReference"/>
          <w:vertAlign w:val="baseline"/>
        </w:rPr>
        <w:footnoteRef/>
      </w:r>
      <w:r w:rsidRPr="009B6DD3">
        <w:rPr>
          <w:rStyle w:val="FootnoteReference"/>
          <w:vertAlign w:val="baseline"/>
        </w:rPr>
        <w:t xml:space="preserve"> </w:t>
      </w:r>
      <w:r w:rsidRPr="009B6DD3">
        <w:tab/>
      </w:r>
      <w:r w:rsidRPr="009B6DD3">
        <w:rPr>
          <w:rStyle w:val="FootnoteReference"/>
          <w:vertAlign w:val="baseline"/>
        </w:rPr>
        <w:t xml:space="preserve">OECD 2014, </w:t>
      </w:r>
      <w:r w:rsidRPr="009B6DD3">
        <w:rPr>
          <w:rStyle w:val="FootnoteReference"/>
          <w:i/>
          <w:vertAlign w:val="baseline"/>
        </w:rPr>
        <w:t>Consumption Tax Trends 2014</w:t>
      </w:r>
      <w:r w:rsidRPr="009B6DD3">
        <w:rPr>
          <w:rStyle w:val="FootnoteReference"/>
          <w:vertAlign w:val="baseline"/>
        </w:rPr>
        <w:t>, OECD, Paris.</w:t>
      </w:r>
    </w:p>
  </w:footnote>
  <w:footnote w:id="5">
    <w:p w14:paraId="30326038" w14:textId="1B4669EE" w:rsidR="00153AE5" w:rsidRPr="000207F4" w:rsidRDefault="00153AE5" w:rsidP="000207F4">
      <w:pPr>
        <w:pStyle w:val="FootnoteText"/>
      </w:pPr>
      <w:r w:rsidRPr="00435E86">
        <w:rPr>
          <w:rStyle w:val="FootnoteReference"/>
          <w:vertAlign w:val="baseline"/>
        </w:rPr>
        <w:footnoteRef/>
      </w:r>
      <w:r w:rsidRPr="000207F4">
        <w:t xml:space="preserve"> </w:t>
      </w:r>
      <w:r w:rsidRPr="000207F4">
        <w:tab/>
        <w:t>The 1999</w:t>
      </w:r>
      <w:r w:rsidRPr="000207F4">
        <w:rPr>
          <w:i/>
        </w:rPr>
        <w:t xml:space="preserve"> Intergovernmental Agreement on the Reform of Commonwealth</w:t>
      </w:r>
      <w:r>
        <w:rPr>
          <w:i/>
        </w:rPr>
        <w:noBreakHyphen/>
      </w:r>
      <w:r w:rsidRPr="000207F4">
        <w:rPr>
          <w:i/>
        </w:rPr>
        <w:t>State Financial Relations</w:t>
      </w:r>
      <w:r w:rsidRPr="000207F4">
        <w:t xml:space="preserve"> </w:t>
      </w:r>
      <w:r>
        <w:t xml:space="preserve">(the agreement) </w:t>
      </w:r>
      <w:r w:rsidRPr="000207F4">
        <w:t xml:space="preserve">provided for all GST revenue to be distributed to the </w:t>
      </w:r>
      <w:r>
        <w:t>s</w:t>
      </w:r>
      <w:r w:rsidRPr="000207F4">
        <w:t>tates</w:t>
      </w:r>
      <w:r>
        <w:t xml:space="preserve"> and territories</w:t>
      </w:r>
      <w:r w:rsidRPr="000207F4">
        <w:t xml:space="preserve">. In return, the </w:t>
      </w:r>
      <w:r>
        <w:t>s</w:t>
      </w:r>
      <w:r w:rsidRPr="000207F4">
        <w:t xml:space="preserve">tates </w:t>
      </w:r>
      <w:r>
        <w:t xml:space="preserve">and territories </w:t>
      </w:r>
      <w:r w:rsidRPr="000207F4">
        <w:t xml:space="preserve">agreed to the abolition of several inefficient state taxes, including accommodation tax, financial institutions duty, quoted marketable securities duty and debits tax. </w:t>
      </w:r>
    </w:p>
    <w:p w14:paraId="44761368" w14:textId="7BC3AA21" w:rsidR="00153AE5" w:rsidRPr="000207F4" w:rsidRDefault="00153AE5" w:rsidP="000207F4">
      <w:pPr>
        <w:pStyle w:val="FootnoteText"/>
      </w:pPr>
      <w:r w:rsidRPr="000207F4">
        <w:t xml:space="preserve"> </w:t>
      </w:r>
      <w:r w:rsidRPr="000207F4">
        <w:tab/>
        <w:t xml:space="preserve">The 2008 </w:t>
      </w:r>
      <w:r w:rsidRPr="000207F4">
        <w:rPr>
          <w:i/>
        </w:rPr>
        <w:t>Intergovernmental Agreement on Federal Financial Relations</w:t>
      </w:r>
      <w:r w:rsidRPr="000207F4">
        <w:t xml:space="preserve"> reaffirmed the commitment to abolish and not reintroduce the taxes listed in the 1999 Agreement. States </w:t>
      </w:r>
      <w:r>
        <w:t xml:space="preserve">and territories </w:t>
      </w:r>
      <w:r w:rsidRPr="000207F4">
        <w:t xml:space="preserve">also agreed that </w:t>
      </w:r>
      <w:r w:rsidRPr="000207F4" w:rsidDel="00B12089">
        <w:t xml:space="preserve">any </w:t>
      </w:r>
      <w:r w:rsidRPr="000207F4">
        <w:t>taxes not yet abolished but listed for abolition</w:t>
      </w:r>
      <w:r w:rsidRPr="000207F4" w:rsidDel="00D8733B">
        <w:t>,</w:t>
      </w:r>
      <w:r w:rsidRPr="000207F4" w:rsidDel="00B12089">
        <w:t xml:space="preserve"> </w:t>
      </w:r>
      <w:r w:rsidRPr="000207F4">
        <w:t xml:space="preserve">would be abolished before 1 July 2013. Some </w:t>
      </w:r>
      <w:r>
        <w:t>s</w:t>
      </w:r>
      <w:r w:rsidRPr="000207F4">
        <w:t>tates have deferred their obligations on certain taxes (including non</w:t>
      </w:r>
      <w:r>
        <w:noBreakHyphen/>
      </w:r>
      <w:r w:rsidRPr="000207F4">
        <w:t>real property conveyance duty) agreed for abolition under the 2008 Intergovernmental Agreement mentioned above.</w:t>
      </w:r>
    </w:p>
  </w:footnote>
  <w:footnote w:id="6">
    <w:p w14:paraId="710ED92E" w14:textId="096D68A2" w:rsidR="00153AE5" w:rsidRPr="000207F4" w:rsidRDefault="00153AE5" w:rsidP="000207F4">
      <w:pPr>
        <w:pStyle w:val="FootnoteText"/>
        <w:rPr>
          <w:i/>
        </w:rPr>
      </w:pPr>
      <w:r w:rsidRPr="00435E86">
        <w:rPr>
          <w:rStyle w:val="FootnoteReference"/>
          <w:vertAlign w:val="baseline"/>
        </w:rPr>
        <w:footnoteRef/>
      </w:r>
      <w:r w:rsidRPr="000207F4">
        <w:rPr>
          <w:sz w:val="6"/>
        </w:rPr>
        <w:t xml:space="preserve"> </w:t>
      </w:r>
      <w:r w:rsidRPr="000207F4">
        <w:t xml:space="preserve"> </w:t>
      </w:r>
      <w:r w:rsidRPr="000207F4">
        <w:tab/>
        <w:t xml:space="preserve">Australian Government 1998, </w:t>
      </w:r>
      <w:r w:rsidRPr="000207F4">
        <w:rPr>
          <w:i/>
        </w:rPr>
        <w:t>Tax Reform: Not a New Tax, A New Tax System</w:t>
      </w:r>
      <w:r w:rsidRPr="000207F4">
        <w:t xml:space="preserve"> — </w:t>
      </w:r>
      <w:r w:rsidRPr="000207F4">
        <w:rPr>
          <w:i/>
        </w:rPr>
        <w:t>The Howard Government</w:t>
      </w:r>
      <w:r>
        <w:rPr>
          <w:i/>
        </w:rPr>
        <w:t>’</w:t>
      </w:r>
      <w:r w:rsidRPr="000207F4">
        <w:rPr>
          <w:i/>
        </w:rPr>
        <w:t>s Plan for a New Tax System,</w:t>
      </w:r>
      <w:r w:rsidRPr="000207F4">
        <w:t xml:space="preserve"> Australian Government, Canberra</w:t>
      </w:r>
      <w:r w:rsidRPr="000207F4">
        <w:rPr>
          <w:i/>
        </w:rPr>
        <w:t>.</w:t>
      </w:r>
    </w:p>
  </w:footnote>
  <w:footnote w:id="7">
    <w:p w14:paraId="11C67389" w14:textId="3BDDA73E"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Australian Government 1998, </w:t>
      </w:r>
      <w:r w:rsidRPr="000207F4">
        <w:rPr>
          <w:i/>
        </w:rPr>
        <w:t xml:space="preserve">Tax Reform, not a new tax, a new tax system </w:t>
      </w:r>
      <w:r w:rsidRPr="000207F4">
        <w:t xml:space="preserve">— </w:t>
      </w:r>
      <w:r w:rsidRPr="000207F4">
        <w:rPr>
          <w:i/>
        </w:rPr>
        <w:t>The Howard Government</w:t>
      </w:r>
      <w:r>
        <w:rPr>
          <w:i/>
        </w:rPr>
        <w:t>’</w:t>
      </w:r>
      <w:r w:rsidRPr="000207F4">
        <w:rPr>
          <w:i/>
        </w:rPr>
        <w:t>s Plan for a New Tax System</w:t>
      </w:r>
      <w:r w:rsidRPr="000207F4">
        <w:t>,</w:t>
      </w:r>
      <w:r w:rsidRPr="000207F4">
        <w:rPr>
          <w:i/>
        </w:rPr>
        <w:t xml:space="preserve"> </w:t>
      </w:r>
      <w:r w:rsidRPr="000207F4">
        <w:t>Australian Government, Canberra</w:t>
      </w:r>
      <w:r w:rsidRPr="000207F4">
        <w:rPr>
          <w:i/>
        </w:rPr>
        <w:t>.</w:t>
      </w:r>
    </w:p>
  </w:footnote>
  <w:footnote w:id="8">
    <w:p w14:paraId="054B083E" w14:textId="00C70A60"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Smith, J 2004, </w:t>
      </w:r>
      <w:r w:rsidRPr="000207F4">
        <w:rPr>
          <w:i/>
          <w:iCs/>
        </w:rPr>
        <w:t>Taxing Popularity: the Story of Taxation in Australia</w:t>
      </w:r>
      <w:r w:rsidRPr="000207F4">
        <w:rPr>
          <w:iCs/>
        </w:rPr>
        <w:t>,</w:t>
      </w:r>
      <w:r w:rsidRPr="000207F4">
        <w:rPr>
          <w:i/>
          <w:iCs/>
        </w:rPr>
        <w:t xml:space="preserve"> </w:t>
      </w:r>
      <w:r w:rsidRPr="000207F4">
        <w:rPr>
          <w:iCs/>
        </w:rPr>
        <w:t xml:space="preserve">Australian Tax Research Foundation, Sydney. </w:t>
      </w:r>
    </w:p>
  </w:footnote>
  <w:footnote w:id="9">
    <w:p w14:paraId="517C1C40" w14:textId="1E9D8927" w:rsidR="00153AE5" w:rsidRPr="000207F4" w:rsidRDefault="00153AE5" w:rsidP="000207F4">
      <w:pPr>
        <w:pStyle w:val="FootnoteText"/>
      </w:pPr>
      <w:r w:rsidRPr="00435E86">
        <w:rPr>
          <w:rStyle w:val="FootnoteReference"/>
          <w:vertAlign w:val="baseline"/>
        </w:rPr>
        <w:footnoteRef/>
      </w:r>
      <w:r w:rsidRPr="000207F4">
        <w:t xml:space="preserve"> </w:t>
      </w:r>
      <w:r w:rsidRPr="000207F4">
        <w:tab/>
        <w:t>Tobacco and alcohol are an exception, being subject to GST even when their value is $1000 or less.</w:t>
      </w:r>
    </w:p>
  </w:footnote>
  <w:footnote w:id="10">
    <w:p w14:paraId="34DE50E2" w14:textId="12AEE500"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Australian Government 2014, </w:t>
      </w:r>
      <w:r w:rsidRPr="000207F4">
        <w:rPr>
          <w:i/>
        </w:rPr>
        <w:t>201</w:t>
      </w:r>
      <w:r>
        <w:rPr>
          <w:i/>
        </w:rPr>
        <w:t xml:space="preserve">4 </w:t>
      </w:r>
      <w:r w:rsidRPr="000207F4">
        <w:rPr>
          <w:i/>
        </w:rPr>
        <w:t>Tax Expenditure</w:t>
      </w:r>
      <w:r>
        <w:rPr>
          <w:i/>
        </w:rPr>
        <w:t>s</w:t>
      </w:r>
      <w:r w:rsidRPr="000207F4">
        <w:rPr>
          <w:i/>
        </w:rPr>
        <w:t xml:space="preserve"> Statement</w:t>
      </w:r>
      <w:r w:rsidRPr="000207F4">
        <w:t>, Australian Government, Canberra</w:t>
      </w:r>
      <w:r>
        <w:t>.</w:t>
      </w:r>
    </w:p>
  </w:footnote>
  <w:footnote w:id="11">
    <w:p w14:paraId="1032EE60" w14:textId="352BA1A2"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Warren, N 2008, </w:t>
      </w:r>
      <w:r w:rsidRPr="000207F4">
        <w:rPr>
          <w:i/>
        </w:rPr>
        <w:t>A Review of Studies on the Distributional Impact of Consumption Taxes in OECD Countries</w:t>
      </w:r>
      <w:r w:rsidRPr="000207F4">
        <w:t>, OECD social, employment, and migration working paper no. 64, Paris.</w:t>
      </w:r>
    </w:p>
  </w:footnote>
  <w:footnote w:id="12">
    <w:p w14:paraId="44309FC5" w14:textId="21E99A1A"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See also Rice, J, Temple, J, and McDonald, P 2014, </w:t>
      </w:r>
      <w:r w:rsidRPr="000207F4">
        <w:rPr>
          <w:i/>
        </w:rPr>
        <w:t>National Transfer Accounts for Australia: 2003</w:t>
      </w:r>
      <w:r>
        <w:rPr>
          <w:i/>
        </w:rPr>
        <w:noBreakHyphen/>
      </w:r>
      <w:r w:rsidRPr="000207F4">
        <w:rPr>
          <w:i/>
        </w:rPr>
        <w:t>04 and 2009</w:t>
      </w:r>
      <w:r>
        <w:rPr>
          <w:i/>
        </w:rPr>
        <w:noBreakHyphen/>
      </w:r>
      <w:r w:rsidRPr="000207F4">
        <w:rPr>
          <w:i/>
        </w:rPr>
        <w:t xml:space="preserve">10 detailed results, </w:t>
      </w:r>
      <w:r w:rsidRPr="000207F4">
        <w:t xml:space="preserve">Crawford School of Public Policy, Canberra, viewed 5 December 2014: </w:t>
      </w:r>
      <w:hyperlink r:id="rId1" w:history="1">
        <w:r w:rsidRPr="00FC57A9">
          <w:rPr>
            <w:rStyle w:val="Hyperlink"/>
            <w:color w:val="31A7D4" w:themeColor="accent1"/>
          </w:rPr>
          <w:t>https://crawford.anu.edu.au/sites/default/files/news/files/2014</w:t>
        </w:r>
        <w:r>
          <w:rPr>
            <w:rStyle w:val="Hyperlink"/>
            <w:color w:val="31A7D4" w:themeColor="accent1"/>
          </w:rPr>
          <w:noBreakHyphen/>
        </w:r>
        <w:r w:rsidRPr="00FC57A9">
          <w:rPr>
            <w:rStyle w:val="Hyperlink"/>
            <w:color w:val="31A7D4" w:themeColor="accent1"/>
          </w:rPr>
          <w:t>07/nta_report_2014_r.pdf</w:t>
        </w:r>
      </w:hyperlink>
      <w:r>
        <w:rPr>
          <w:rStyle w:val="Hyperlink"/>
          <w:color w:val="31A7D4" w:themeColor="accent1"/>
        </w:rPr>
        <w:t>.</w:t>
      </w:r>
      <w:r>
        <w:rPr>
          <w:rStyle w:val="Hyperlink"/>
          <w:color w:val="auto"/>
        </w:rPr>
        <w:t xml:space="preserve"> </w:t>
      </w:r>
    </w:p>
  </w:footnote>
  <w:footnote w:id="13">
    <w:p w14:paraId="7FB0A0D8" w14:textId="0AC0AC8C"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Thomas, A 2014, </w:t>
      </w:r>
      <w:r w:rsidRPr="000207F4">
        <w:rPr>
          <w:i/>
        </w:rPr>
        <w:t>The Distributional Effects of the VAT in OECD Countries</w:t>
      </w:r>
      <w:r w:rsidRPr="000207F4">
        <w:t xml:space="preserve">, OECD, Paris. </w:t>
      </w:r>
    </w:p>
  </w:footnote>
  <w:footnote w:id="14">
    <w:p w14:paraId="7E936EEB" w14:textId="514549C4" w:rsidR="00153AE5" w:rsidRPr="009B6DD3" w:rsidRDefault="00153AE5" w:rsidP="003B208F">
      <w:pPr>
        <w:pStyle w:val="FootnoteText"/>
        <w:rPr>
          <w:i/>
        </w:rPr>
      </w:pPr>
      <w:r w:rsidRPr="00435E86">
        <w:rPr>
          <w:rStyle w:val="FootnoteReference"/>
          <w:vertAlign w:val="baseline"/>
        </w:rPr>
        <w:footnoteRef/>
      </w:r>
      <w:r w:rsidRPr="009B6DD3">
        <w:rPr>
          <w:rStyle w:val="FootnoteReference"/>
          <w:vertAlign w:val="baseline"/>
        </w:rPr>
        <w:t xml:space="preserve"> </w:t>
      </w:r>
      <w:r w:rsidRPr="009B6DD3">
        <w:tab/>
        <w:t xml:space="preserve">Commonwealth Competitive Neutrality Complaints Office 2000, </w:t>
      </w:r>
      <w:r w:rsidRPr="009B6DD3">
        <w:rPr>
          <w:i/>
        </w:rPr>
        <w:t>Customs Treatment of Australia Post</w:t>
      </w:r>
      <w:r w:rsidRPr="009B6DD3">
        <w:t xml:space="preserve">, Investigation No. 5, </w:t>
      </w:r>
      <w:proofErr w:type="spellStart"/>
      <w:r w:rsidRPr="009B6DD3">
        <w:t>AusInfo</w:t>
      </w:r>
      <w:proofErr w:type="spellEnd"/>
      <w:r w:rsidRPr="009B6DD3">
        <w:t>, Canberra.</w:t>
      </w:r>
      <w:r w:rsidRPr="009B6DD3">
        <w:rPr>
          <w:i/>
        </w:rPr>
        <w:t xml:space="preserve"> </w:t>
      </w:r>
    </w:p>
  </w:footnote>
  <w:footnote w:id="15">
    <w:p w14:paraId="776D4633" w14:textId="4B7839B0" w:rsidR="00153AE5" w:rsidRPr="009B6DD3" w:rsidRDefault="00153AE5">
      <w:pPr>
        <w:pStyle w:val="FootnoteText"/>
      </w:pPr>
      <w:r w:rsidRPr="00435E86">
        <w:rPr>
          <w:rStyle w:val="FootnoteReference"/>
          <w:vertAlign w:val="baseline"/>
        </w:rPr>
        <w:footnoteRef/>
      </w:r>
      <w:r w:rsidRPr="009B6DD3">
        <w:rPr>
          <w:rStyle w:val="FootnoteReference"/>
          <w:vertAlign w:val="baseline"/>
        </w:rPr>
        <w:t xml:space="preserve"> </w:t>
      </w:r>
      <w:r w:rsidRPr="009B6DD3">
        <w:tab/>
        <w:t xml:space="preserve">Productivity Commission 2011, </w:t>
      </w:r>
      <w:r w:rsidRPr="009B6DD3">
        <w:rPr>
          <w:i/>
        </w:rPr>
        <w:t>Economic Structure and Performance of the Australian Retail Industry</w:t>
      </w:r>
      <w:r w:rsidRPr="009B6DD3">
        <w:t>, report no. 56, Productivity Commission, Canberra.</w:t>
      </w:r>
    </w:p>
  </w:footnote>
  <w:footnote w:id="16">
    <w:p w14:paraId="5A82424F" w14:textId="33F5F016" w:rsidR="00153AE5" w:rsidRPr="009B6DD3" w:rsidRDefault="00153AE5">
      <w:pPr>
        <w:pStyle w:val="FootnoteText"/>
        <w:rPr>
          <w:rStyle w:val="FootnoteReference"/>
          <w:vertAlign w:val="baseline"/>
        </w:rPr>
      </w:pPr>
      <w:r w:rsidRPr="00435E86">
        <w:rPr>
          <w:rStyle w:val="FootnoteReference"/>
          <w:vertAlign w:val="baseline"/>
        </w:rPr>
        <w:footnoteRef/>
      </w:r>
      <w:r w:rsidRPr="009B6DD3">
        <w:rPr>
          <w:rStyle w:val="FootnoteReference"/>
          <w:vertAlign w:val="baseline"/>
        </w:rPr>
        <w:t xml:space="preserve"> </w:t>
      </w:r>
      <w:r w:rsidRPr="009B6DD3">
        <w:tab/>
      </w:r>
      <w:r w:rsidRPr="009B6DD3">
        <w:rPr>
          <w:rStyle w:val="FootnoteReference"/>
          <w:vertAlign w:val="baseline"/>
        </w:rPr>
        <w:t xml:space="preserve">See, for example, National Retail Association Ltd 2012, </w:t>
      </w:r>
      <w:r w:rsidRPr="009B6DD3">
        <w:rPr>
          <w:rStyle w:val="FootnoteReference"/>
          <w:i/>
          <w:vertAlign w:val="baseline"/>
        </w:rPr>
        <w:t>The threshold question: Economic impact of the low value threshold on the retail industry</w:t>
      </w:r>
      <w:r w:rsidRPr="009B6DD3">
        <w:rPr>
          <w:rStyle w:val="FootnoteReference"/>
          <w:vertAlign w:val="baseline"/>
        </w:rPr>
        <w:t>, prepared by Ernst and Young.</w:t>
      </w:r>
    </w:p>
  </w:footnote>
  <w:footnote w:id="17">
    <w:p w14:paraId="1D59611C" w14:textId="25521AC1" w:rsidR="00153AE5" w:rsidRPr="00171142" w:rsidRDefault="00153AE5" w:rsidP="00171142">
      <w:pPr>
        <w:pStyle w:val="FootnoteText"/>
        <w:rPr>
          <w:rStyle w:val="FootnoteReference"/>
          <w:highlight w:val="yellow"/>
          <w:vertAlign w:val="baseline"/>
        </w:rPr>
      </w:pPr>
      <w:r w:rsidRPr="00435E86">
        <w:rPr>
          <w:rStyle w:val="FootnoteReference"/>
          <w:vertAlign w:val="baseline"/>
        </w:rPr>
        <w:footnoteRef/>
      </w:r>
      <w:r w:rsidRPr="009B6DD3">
        <w:rPr>
          <w:rStyle w:val="FootnoteReference"/>
          <w:vertAlign w:val="baseline"/>
        </w:rPr>
        <w:t xml:space="preserve"> </w:t>
      </w:r>
      <w:r w:rsidRPr="009B6DD3">
        <w:tab/>
      </w:r>
      <w:r w:rsidRPr="009B6DD3">
        <w:rPr>
          <w:rStyle w:val="FootnoteReference"/>
          <w:vertAlign w:val="baseline"/>
        </w:rPr>
        <w:t xml:space="preserve">Thresholds in other developed countries include €22 for most European Union countries, £15 for the United Kingdom, C$20 for Canada and NZ$400 for New Zealand. OECD 2014, </w:t>
      </w:r>
      <w:r w:rsidRPr="009B6DD3">
        <w:rPr>
          <w:rStyle w:val="FootnoteReference"/>
          <w:i/>
          <w:vertAlign w:val="baseline"/>
        </w:rPr>
        <w:t>Consumption Tax Trends 2014</w:t>
      </w:r>
      <w:r w:rsidRPr="009B6DD3">
        <w:rPr>
          <w:rStyle w:val="FootnoteReference"/>
          <w:vertAlign w:val="baseline"/>
        </w:rPr>
        <w:t>, OECD</w:t>
      </w:r>
      <w:r w:rsidRPr="009B6DD3">
        <w:t>,</w:t>
      </w:r>
      <w:r w:rsidRPr="009B6DD3">
        <w:rPr>
          <w:rStyle w:val="FootnoteReference"/>
          <w:vertAlign w:val="baseline"/>
        </w:rPr>
        <w:t xml:space="preserve"> Pa</w:t>
      </w:r>
      <w:r w:rsidRPr="009B6DD3">
        <w:t>ris</w:t>
      </w:r>
      <w:r w:rsidRPr="009B6DD3">
        <w:rPr>
          <w:rStyle w:val="FootnoteReference"/>
          <w:vertAlign w:val="baseline"/>
        </w:rPr>
        <w:t>.</w:t>
      </w:r>
    </w:p>
  </w:footnote>
  <w:footnote w:id="18">
    <w:p w14:paraId="3E516E72" w14:textId="19C9ACCB" w:rsidR="00153AE5" w:rsidRPr="009B6DD3" w:rsidRDefault="00153AE5" w:rsidP="000207F4">
      <w:pPr>
        <w:pStyle w:val="FootnoteText"/>
        <w:rPr>
          <w:rStyle w:val="FootnoteReference"/>
          <w:vertAlign w:val="baseline"/>
        </w:rPr>
      </w:pPr>
      <w:r w:rsidRPr="00435E86">
        <w:rPr>
          <w:rStyle w:val="FootnoteReference"/>
          <w:vertAlign w:val="baseline"/>
        </w:rPr>
        <w:footnoteRef/>
      </w:r>
      <w:r w:rsidRPr="009B6DD3">
        <w:rPr>
          <w:rStyle w:val="FootnoteReference"/>
          <w:vertAlign w:val="baseline"/>
        </w:rPr>
        <w:t xml:space="preserve"> </w:t>
      </w:r>
      <w:r w:rsidRPr="009B6DD3">
        <w:rPr>
          <w:rStyle w:val="FootnoteReference"/>
          <w:vertAlign w:val="baseline"/>
        </w:rPr>
        <w:tab/>
        <w:t xml:space="preserve">See, for example, OECD 2014, </w:t>
      </w:r>
      <w:r w:rsidRPr="009B6DD3">
        <w:rPr>
          <w:rStyle w:val="FootnoteReference"/>
          <w:i/>
          <w:vertAlign w:val="baseline"/>
        </w:rPr>
        <w:t>Statement of Outcomes on the OECD International VAT/GST Guidelines</w:t>
      </w:r>
      <w:r w:rsidRPr="009B6DD3">
        <w:rPr>
          <w:rStyle w:val="FootnoteReference"/>
          <w:vertAlign w:val="baseline"/>
        </w:rPr>
        <w:t>, OECD Global VAT Forum on VAT, Tokyo, 17</w:t>
      </w:r>
      <w:r>
        <w:rPr>
          <w:rStyle w:val="FootnoteReference"/>
          <w:vertAlign w:val="baseline"/>
        </w:rPr>
        <w:noBreakHyphen/>
      </w:r>
      <w:r w:rsidRPr="009B6DD3">
        <w:rPr>
          <w:rStyle w:val="FootnoteReference"/>
          <w:vertAlign w:val="baseline"/>
        </w:rPr>
        <w:t xml:space="preserve">18 April 2014, viewed </w:t>
      </w:r>
      <w:r w:rsidRPr="009B6DD3">
        <w:t>11 February 2015</w:t>
      </w:r>
      <w:r>
        <w:rPr>
          <w:rStyle w:val="FootnoteReference"/>
          <w:vertAlign w:val="baseline"/>
        </w:rPr>
        <w:t>:</w:t>
      </w:r>
      <w:r w:rsidRPr="009B6DD3">
        <w:rPr>
          <w:rStyle w:val="FootnoteReference"/>
          <w:vertAlign w:val="baseline"/>
        </w:rPr>
        <w:t xml:space="preserve"> </w:t>
      </w:r>
      <w:hyperlink r:id="rId2" w:history="1">
        <w:r w:rsidRPr="00C42575">
          <w:rPr>
            <w:rStyle w:val="FootnoteReference"/>
            <w:color w:val="31A7D4" w:themeColor="accent1"/>
            <w:vertAlign w:val="baseline"/>
          </w:rPr>
          <w:t>www.oecd.org/ctp/consumption/statement</w:t>
        </w:r>
        <w:r>
          <w:rPr>
            <w:rStyle w:val="FootnoteReference"/>
            <w:color w:val="31A7D4" w:themeColor="accent1"/>
            <w:vertAlign w:val="baseline"/>
          </w:rPr>
          <w:noBreakHyphen/>
        </w:r>
        <w:r w:rsidRPr="00C42575">
          <w:rPr>
            <w:rStyle w:val="FootnoteReference"/>
            <w:color w:val="31A7D4" w:themeColor="accent1"/>
            <w:vertAlign w:val="baseline"/>
          </w:rPr>
          <w:t>of</w:t>
        </w:r>
        <w:r>
          <w:rPr>
            <w:rStyle w:val="FootnoteReference"/>
            <w:color w:val="31A7D4" w:themeColor="accent1"/>
            <w:vertAlign w:val="baseline"/>
          </w:rPr>
          <w:noBreakHyphen/>
        </w:r>
        <w:r w:rsidRPr="00C42575">
          <w:rPr>
            <w:rStyle w:val="FootnoteReference"/>
            <w:color w:val="31A7D4" w:themeColor="accent1"/>
            <w:vertAlign w:val="baseline"/>
          </w:rPr>
          <w:t>outcomes</w:t>
        </w:r>
        <w:r>
          <w:rPr>
            <w:rStyle w:val="FootnoteReference"/>
            <w:color w:val="31A7D4" w:themeColor="accent1"/>
            <w:vertAlign w:val="baseline"/>
          </w:rPr>
          <w:noBreakHyphen/>
        </w:r>
        <w:r w:rsidRPr="00C42575">
          <w:rPr>
            <w:rStyle w:val="FootnoteReference"/>
            <w:color w:val="31A7D4" w:themeColor="accent1"/>
            <w:vertAlign w:val="baseline"/>
          </w:rPr>
          <w:t>on</w:t>
        </w:r>
        <w:r>
          <w:rPr>
            <w:rStyle w:val="FootnoteReference"/>
            <w:color w:val="31A7D4" w:themeColor="accent1"/>
            <w:vertAlign w:val="baseline"/>
          </w:rPr>
          <w:noBreakHyphen/>
        </w:r>
        <w:r w:rsidRPr="00C42575">
          <w:rPr>
            <w:rStyle w:val="FootnoteReference"/>
            <w:color w:val="31A7D4" w:themeColor="accent1"/>
            <w:vertAlign w:val="baseline"/>
          </w:rPr>
          <w:t>vat</w:t>
        </w:r>
        <w:r>
          <w:rPr>
            <w:rStyle w:val="FootnoteReference"/>
            <w:color w:val="31A7D4" w:themeColor="accent1"/>
            <w:vertAlign w:val="baseline"/>
          </w:rPr>
          <w:noBreakHyphen/>
        </w:r>
        <w:r w:rsidRPr="00C42575">
          <w:rPr>
            <w:rStyle w:val="FootnoteReference"/>
            <w:color w:val="31A7D4" w:themeColor="accent1"/>
            <w:vertAlign w:val="baseline"/>
          </w:rPr>
          <w:t>gst</w:t>
        </w:r>
        <w:r>
          <w:rPr>
            <w:rStyle w:val="FootnoteReference"/>
            <w:color w:val="31A7D4" w:themeColor="accent1"/>
            <w:vertAlign w:val="baseline"/>
          </w:rPr>
          <w:noBreakHyphen/>
        </w:r>
        <w:r w:rsidRPr="00C42575">
          <w:rPr>
            <w:rStyle w:val="FootnoteReference"/>
            <w:color w:val="31A7D4" w:themeColor="accent1"/>
            <w:vertAlign w:val="baseline"/>
          </w:rPr>
          <w:t>guidelines.pdf</w:t>
        </w:r>
      </w:hyperlink>
      <w:r>
        <w:rPr>
          <w:rStyle w:val="FootnoteReference"/>
          <w:color w:val="31A7D4" w:themeColor="accent1"/>
          <w:vertAlign w:val="baseline"/>
        </w:rPr>
        <w:t>.</w:t>
      </w:r>
      <w:r>
        <w:rPr>
          <w:rStyle w:val="FootnoteReference"/>
          <w:vertAlign w:val="baseline"/>
        </w:rPr>
        <w:t xml:space="preserve"> </w:t>
      </w:r>
    </w:p>
  </w:footnote>
  <w:footnote w:id="19">
    <w:p w14:paraId="7D8F1FDC" w14:textId="6C3FF027" w:rsidR="00153AE5" w:rsidRPr="00171142" w:rsidRDefault="00153AE5" w:rsidP="00C45DC2">
      <w:pPr>
        <w:pStyle w:val="FootnoteText"/>
        <w:rPr>
          <w:rStyle w:val="FootnoteReference"/>
          <w:vertAlign w:val="baseline"/>
        </w:rPr>
      </w:pPr>
      <w:r w:rsidRPr="00435E86">
        <w:rPr>
          <w:rStyle w:val="FootnoteReference"/>
          <w:vertAlign w:val="baseline"/>
        </w:rPr>
        <w:footnoteRef/>
      </w:r>
      <w:r w:rsidRPr="009B6DD3">
        <w:rPr>
          <w:rStyle w:val="FootnoteReference"/>
          <w:vertAlign w:val="baseline"/>
        </w:rPr>
        <w:t xml:space="preserve"> </w:t>
      </w:r>
      <w:r w:rsidRPr="009B6DD3">
        <w:tab/>
      </w:r>
      <w:r w:rsidRPr="009B6DD3">
        <w:rPr>
          <w:rStyle w:val="FootnoteReference"/>
          <w:vertAlign w:val="baseline"/>
        </w:rPr>
        <w:t xml:space="preserve">OECD 2014, </w:t>
      </w:r>
      <w:r w:rsidRPr="009B6DD3">
        <w:rPr>
          <w:rStyle w:val="FootnoteReference"/>
          <w:i/>
          <w:vertAlign w:val="baseline"/>
        </w:rPr>
        <w:t>Addressing the Tax Challenges of the Digital Economy</w:t>
      </w:r>
      <w:r w:rsidRPr="009B6DD3">
        <w:rPr>
          <w:rStyle w:val="FootnoteReference"/>
          <w:vertAlign w:val="baseline"/>
        </w:rPr>
        <w:t>, OECD/G20 Base Erosion and</w:t>
      </w:r>
      <w:r>
        <w:t xml:space="preserve"> </w:t>
      </w:r>
      <w:r w:rsidRPr="009B6DD3">
        <w:rPr>
          <w:rStyle w:val="FootnoteReference"/>
          <w:vertAlign w:val="baseline"/>
        </w:rPr>
        <w:t>Profit</w:t>
      </w:r>
      <w:r>
        <w:t> </w:t>
      </w:r>
      <w:r w:rsidRPr="009B6DD3">
        <w:rPr>
          <w:rStyle w:val="FootnoteReference"/>
          <w:vertAlign w:val="baseline"/>
        </w:rPr>
        <w:t>Shifting Project, OECD Publishing.</w:t>
      </w:r>
    </w:p>
  </w:footnote>
  <w:footnote w:id="20">
    <w:p w14:paraId="290C037C" w14:textId="1FE6CA6A" w:rsidR="00153AE5" w:rsidRPr="009B0A3A" w:rsidRDefault="00153AE5" w:rsidP="000207F4">
      <w:pPr>
        <w:pStyle w:val="FootnoteText"/>
        <w:rPr>
          <w:rStyle w:val="FootnoteReference"/>
          <w:color w:val="000000" w:themeColor="text1"/>
          <w:vertAlign w:val="baseline"/>
        </w:rPr>
      </w:pPr>
      <w:r w:rsidRPr="00435E86">
        <w:rPr>
          <w:rStyle w:val="FootnoteReference"/>
          <w:vertAlign w:val="baseline"/>
        </w:rPr>
        <w:footnoteRef/>
      </w:r>
      <w:r w:rsidRPr="000207F4">
        <w:rPr>
          <w:rStyle w:val="FootnoteReference"/>
          <w:vertAlign w:val="baseline"/>
        </w:rPr>
        <w:t xml:space="preserve"> </w:t>
      </w:r>
      <w:r w:rsidRPr="00171142">
        <w:rPr>
          <w:rStyle w:val="FootnoteReference"/>
          <w:vertAlign w:val="baseline"/>
        </w:rPr>
        <w:tab/>
        <w:t xml:space="preserve">Australian Bureau of Statistics 2014, </w:t>
      </w:r>
      <w:r w:rsidRPr="00171142">
        <w:rPr>
          <w:rStyle w:val="FootnoteReference"/>
          <w:i/>
          <w:vertAlign w:val="baseline"/>
        </w:rPr>
        <w:t>Australian National Accounts: National Income, Expenditure and Product</w:t>
      </w:r>
      <w:r w:rsidRPr="00171142">
        <w:rPr>
          <w:rStyle w:val="FootnoteReference"/>
          <w:vertAlign w:val="baseline"/>
        </w:rPr>
        <w:t>, cat. no. 5206.0, viewed 8 December 2014</w:t>
      </w:r>
      <w:r>
        <w:t xml:space="preserve">: </w:t>
      </w:r>
      <w:hyperlink r:id="rId3" w:history="1">
        <w:r w:rsidRPr="00C42575">
          <w:rPr>
            <w:rStyle w:val="Hyperlink"/>
            <w:color w:val="31A7D4" w:themeColor="accent1"/>
          </w:rPr>
          <w:t>www.abs.gov.au/AUSSTATS/abs@.nsf/ViewContent?readform&amp;view=ProductsbyCatalogue&amp;Action=</w:t>
        </w:r>
        <w:r w:rsidRPr="00C42575">
          <w:rPr>
            <w:rStyle w:val="Hyperlink"/>
            <w:color w:val="31A7D4" w:themeColor="accent1"/>
          </w:rPr>
          <w:br/>
        </w:r>
        <w:proofErr w:type="spellStart"/>
        <w:r w:rsidRPr="00C42575">
          <w:rPr>
            <w:rStyle w:val="Hyperlink"/>
            <w:color w:val="31A7D4" w:themeColor="accent1"/>
          </w:rPr>
          <w:t>Expand&amp;Num</w:t>
        </w:r>
        <w:proofErr w:type="spellEnd"/>
        <w:r w:rsidRPr="00C42575">
          <w:rPr>
            <w:rStyle w:val="Hyperlink"/>
            <w:color w:val="31A7D4" w:themeColor="accent1"/>
          </w:rPr>
          <w:t>=6.1</w:t>
        </w:r>
      </w:hyperlink>
      <w:r w:rsidRPr="009B0A3A">
        <w:rPr>
          <w:rStyle w:val="FootnoteReference"/>
          <w:color w:val="000000" w:themeColor="text1"/>
          <w:vertAlign w:val="baseline"/>
        </w:rPr>
        <w:t xml:space="preserve"> </w:t>
      </w:r>
    </w:p>
  </w:footnote>
  <w:footnote w:id="21">
    <w:p w14:paraId="6663F1F9" w14:textId="27CAB09D"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tab/>
        <w:t xml:space="preserve">Australian Bureau of Statistics 2014, </w:t>
      </w:r>
      <w:r w:rsidRPr="000207F4">
        <w:rPr>
          <w:i/>
        </w:rPr>
        <w:t>Australian National Accounts: National Income, Expenditure and Product</w:t>
      </w:r>
      <w:r w:rsidRPr="000207F4">
        <w:t xml:space="preserve">, </w:t>
      </w:r>
      <w:r>
        <w:t>cat. no. </w:t>
      </w:r>
      <w:r w:rsidRPr="000207F4">
        <w:t>5206.0, viewed 8 December 2014</w:t>
      </w:r>
      <w:r>
        <w:t xml:space="preserve">: </w:t>
      </w:r>
      <w:hyperlink r:id="rId4" w:history="1">
        <w:r w:rsidRPr="00C42575">
          <w:rPr>
            <w:rStyle w:val="Hyperlink"/>
            <w:color w:val="31A7D4" w:themeColor="accent1"/>
          </w:rPr>
          <w:t>www.abs.gov.au/AUSSTATS/abs@.nsf/ViewContent?readform&amp;view=ProductsbyCatalogue&amp;Action=</w:t>
        </w:r>
        <w:r w:rsidRPr="00C42575">
          <w:rPr>
            <w:rStyle w:val="Hyperlink"/>
            <w:color w:val="31A7D4" w:themeColor="accent1"/>
          </w:rPr>
          <w:br/>
        </w:r>
        <w:proofErr w:type="spellStart"/>
        <w:r w:rsidRPr="00C42575">
          <w:rPr>
            <w:rStyle w:val="Hyperlink"/>
            <w:color w:val="31A7D4" w:themeColor="accent1"/>
          </w:rPr>
          <w:t>Expand&amp;Num</w:t>
        </w:r>
        <w:proofErr w:type="spellEnd"/>
        <w:r w:rsidRPr="00C42575">
          <w:rPr>
            <w:rStyle w:val="Hyperlink"/>
            <w:color w:val="31A7D4" w:themeColor="accent1"/>
          </w:rPr>
          <w:t>=6.1</w:t>
        </w:r>
      </w:hyperlink>
    </w:p>
  </w:footnote>
  <w:footnote w:id="22">
    <w:p w14:paraId="4ED07975" w14:textId="6F342DD5" w:rsidR="00153AE5" w:rsidRPr="000207F4" w:rsidRDefault="00153AE5" w:rsidP="000207F4">
      <w:pPr>
        <w:pStyle w:val="FootnoteText"/>
      </w:pPr>
      <w:r w:rsidRPr="00435E86">
        <w:rPr>
          <w:rStyle w:val="FootnoteReference"/>
          <w:vertAlign w:val="baseline"/>
        </w:rPr>
        <w:footnoteRef/>
      </w:r>
      <w:r w:rsidRPr="000207F4">
        <w:tab/>
        <w:t xml:space="preserve">ABS 2014, </w:t>
      </w:r>
      <w:r w:rsidRPr="000207F4">
        <w:rPr>
          <w:i/>
        </w:rPr>
        <w:t>Government Finance Statistics, Australia, 2012</w:t>
      </w:r>
      <w:r>
        <w:rPr>
          <w:i/>
        </w:rPr>
        <w:noBreakHyphen/>
      </w:r>
      <w:r w:rsidRPr="000207F4">
        <w:rPr>
          <w:i/>
        </w:rPr>
        <w:t>13</w:t>
      </w:r>
      <w:r w:rsidRPr="000207F4">
        <w:t>, cat. no. 5512.0, ABS, Canberra.</w:t>
      </w:r>
    </w:p>
  </w:footnote>
  <w:footnote w:id="23">
    <w:p w14:paraId="0E699557" w14:textId="5D6D6AE3"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rPr>
          <w:rStyle w:val="FootnoteReference"/>
          <w:vertAlign w:val="baseline"/>
        </w:rPr>
        <w:tab/>
        <w:t xml:space="preserve">New South Wales Government </w:t>
      </w:r>
      <w:r w:rsidRPr="000207F4">
        <w:rPr>
          <w:rStyle w:val="FootnoteReference"/>
          <w:szCs w:val="18"/>
          <w:vertAlign w:val="baseline"/>
        </w:rPr>
        <w:t>2014</w:t>
      </w:r>
      <w:r w:rsidRPr="000207F4">
        <w:rPr>
          <w:szCs w:val="18"/>
        </w:rPr>
        <w:t>,</w:t>
      </w:r>
      <w:r w:rsidRPr="000207F4">
        <w:t xml:space="preserve"> </w:t>
      </w:r>
      <w:r w:rsidRPr="000207F4">
        <w:rPr>
          <w:i/>
        </w:rPr>
        <w:t>Report on State Finances 2013</w:t>
      </w:r>
      <w:r>
        <w:rPr>
          <w:i/>
        </w:rPr>
        <w:noBreakHyphen/>
      </w:r>
      <w:r w:rsidRPr="000207F4">
        <w:rPr>
          <w:i/>
        </w:rPr>
        <w:t>14</w:t>
      </w:r>
      <w:r w:rsidRPr="000207F4">
        <w:t xml:space="preserve">, New South Wales Government, Sydney; New South Wales Government 2014, </w:t>
      </w:r>
      <w:r w:rsidRPr="000207F4">
        <w:rPr>
          <w:i/>
        </w:rPr>
        <w:t>NSW 2014</w:t>
      </w:r>
      <w:r>
        <w:rPr>
          <w:i/>
        </w:rPr>
        <w:noBreakHyphen/>
      </w:r>
      <w:r w:rsidRPr="000207F4">
        <w:rPr>
          <w:i/>
        </w:rPr>
        <w:t>15</w:t>
      </w:r>
      <w:r w:rsidRPr="000207F4">
        <w:t xml:space="preserve"> </w:t>
      </w:r>
      <w:r w:rsidRPr="000207F4">
        <w:rPr>
          <w:i/>
        </w:rPr>
        <w:t>Budget</w:t>
      </w:r>
      <w:r>
        <w:rPr>
          <w:i/>
        </w:rPr>
        <w:t>,</w:t>
      </w:r>
      <w:r w:rsidRPr="000207F4">
        <w:rPr>
          <w:i/>
        </w:rPr>
        <w:t xml:space="preserve"> Budget Paper 2</w:t>
      </w:r>
      <w:r>
        <w:rPr>
          <w:i/>
        </w:rPr>
        <w:t xml:space="preserve"> — </w:t>
      </w:r>
      <w:r w:rsidRPr="000207F4">
        <w:rPr>
          <w:i/>
        </w:rPr>
        <w:t>Budget Statement</w:t>
      </w:r>
      <w:r w:rsidRPr="000207F4">
        <w:t xml:space="preserve">, New South Wales Government, Sydney. Victorian Government 2014, </w:t>
      </w:r>
      <w:r w:rsidRPr="000207F4">
        <w:rPr>
          <w:i/>
        </w:rPr>
        <w:t>2013</w:t>
      </w:r>
      <w:r>
        <w:rPr>
          <w:i/>
        </w:rPr>
        <w:noBreakHyphen/>
      </w:r>
      <w:r w:rsidRPr="000207F4">
        <w:rPr>
          <w:i/>
        </w:rPr>
        <w:t>14 Financial Report (incorporating Quarterly Report No.4)</w:t>
      </w:r>
      <w:r w:rsidRPr="000207F4">
        <w:t>, Victorian Government, Melbourne.</w:t>
      </w:r>
      <w:r>
        <w:t xml:space="preserve"> </w:t>
      </w:r>
      <w:r w:rsidRPr="000207F4">
        <w:t xml:space="preserve">Queensland Government 2014, </w:t>
      </w:r>
      <w:r w:rsidRPr="000207F4">
        <w:rPr>
          <w:i/>
        </w:rPr>
        <w:t>2013</w:t>
      </w:r>
      <w:r>
        <w:rPr>
          <w:i/>
        </w:rPr>
        <w:noBreakHyphen/>
      </w:r>
      <w:r w:rsidRPr="000207F4">
        <w:rPr>
          <w:i/>
        </w:rPr>
        <w:t>14 Report on State Finances of the Queensland Government</w:t>
      </w:r>
      <w:r>
        <w:rPr>
          <w:i/>
        </w:rPr>
        <w:t xml:space="preserve"> — </w:t>
      </w:r>
      <w:r w:rsidRPr="000207F4">
        <w:rPr>
          <w:i/>
        </w:rPr>
        <w:t>30 June 2014</w:t>
      </w:r>
      <w:r w:rsidRPr="000207F4">
        <w:t>, Queensland Government, Brisbane.</w:t>
      </w:r>
      <w:r>
        <w:t xml:space="preserve"> </w:t>
      </w:r>
      <w:r w:rsidRPr="000207F4">
        <w:t xml:space="preserve">Government of Western Australia 2014, </w:t>
      </w:r>
      <w:r w:rsidRPr="000207F4">
        <w:rPr>
          <w:i/>
        </w:rPr>
        <w:t>2013</w:t>
      </w:r>
      <w:r>
        <w:rPr>
          <w:i/>
        </w:rPr>
        <w:noBreakHyphen/>
      </w:r>
      <w:r w:rsidRPr="000207F4">
        <w:rPr>
          <w:i/>
        </w:rPr>
        <w:t>14 Annual Report on State Finances</w:t>
      </w:r>
      <w:r w:rsidRPr="000207F4">
        <w:t>, Government of Western Australia, Perth.</w:t>
      </w:r>
      <w:r>
        <w:t xml:space="preserve"> </w:t>
      </w:r>
      <w:r w:rsidRPr="000207F4">
        <w:t xml:space="preserve">Government of South Australia 2014, </w:t>
      </w:r>
      <w:r w:rsidRPr="000207F4">
        <w:rPr>
          <w:i/>
        </w:rPr>
        <w:t>2014</w:t>
      </w:r>
      <w:r>
        <w:rPr>
          <w:i/>
        </w:rPr>
        <w:noBreakHyphen/>
      </w:r>
      <w:r w:rsidRPr="000207F4">
        <w:rPr>
          <w:i/>
        </w:rPr>
        <w:t>15 Budget Paper 3: Budget Statement</w:t>
      </w:r>
      <w:r w:rsidRPr="000207F4">
        <w:t>, Government of South Australia, Adelaide.</w:t>
      </w:r>
      <w:r>
        <w:t xml:space="preserve"> </w:t>
      </w:r>
      <w:r w:rsidRPr="000207F4">
        <w:t xml:space="preserve">Government of Tasmania 2014, </w:t>
      </w:r>
      <w:r w:rsidRPr="000207F4">
        <w:rPr>
          <w:i/>
        </w:rPr>
        <w:t>Treasurer</w:t>
      </w:r>
      <w:r>
        <w:rPr>
          <w:i/>
        </w:rPr>
        <w:t>’</w:t>
      </w:r>
      <w:r w:rsidRPr="000207F4">
        <w:rPr>
          <w:i/>
        </w:rPr>
        <w:t>s Annual Financial Report 2013</w:t>
      </w:r>
      <w:r>
        <w:rPr>
          <w:i/>
        </w:rPr>
        <w:noBreakHyphen/>
      </w:r>
      <w:r w:rsidRPr="000207F4">
        <w:rPr>
          <w:i/>
        </w:rPr>
        <w:t>14</w:t>
      </w:r>
      <w:r w:rsidRPr="000207F4">
        <w:t>, Government of Tasmania, Hobart.</w:t>
      </w:r>
      <w:r>
        <w:t xml:space="preserve"> </w:t>
      </w:r>
      <w:r w:rsidRPr="000207F4">
        <w:t xml:space="preserve">Australian Capital Territory Government 2014, </w:t>
      </w:r>
      <w:r w:rsidRPr="000207F4">
        <w:rPr>
          <w:i/>
        </w:rPr>
        <w:t>Consolidated Annual Financial Statements</w:t>
      </w:r>
      <w:r>
        <w:rPr>
          <w:i/>
        </w:rPr>
        <w:t xml:space="preserve"> — </w:t>
      </w:r>
      <w:r w:rsidRPr="000207F4">
        <w:rPr>
          <w:i/>
        </w:rPr>
        <w:t>2013</w:t>
      </w:r>
      <w:r>
        <w:rPr>
          <w:i/>
        </w:rPr>
        <w:noBreakHyphen/>
      </w:r>
      <w:r w:rsidRPr="000207F4">
        <w:rPr>
          <w:i/>
        </w:rPr>
        <w:t>14</w:t>
      </w:r>
      <w:r w:rsidRPr="000207F4">
        <w:t xml:space="preserve">; Australian Capital Territory Government, Canberra; Australian Capital Territory Government 2014, </w:t>
      </w:r>
      <w:r w:rsidRPr="000207F4">
        <w:rPr>
          <w:i/>
        </w:rPr>
        <w:t xml:space="preserve">September Quarter 2014 Consolidated Financial Report, </w:t>
      </w:r>
      <w:r w:rsidRPr="000207F4">
        <w:t>Australian Capital Territory Government, Canberra.</w:t>
      </w:r>
      <w:r>
        <w:t xml:space="preserve"> </w:t>
      </w:r>
      <w:r w:rsidRPr="000207F4">
        <w:t xml:space="preserve">Northern Territory Government 2014, </w:t>
      </w:r>
      <w:r w:rsidRPr="000207F4">
        <w:rPr>
          <w:i/>
        </w:rPr>
        <w:t>Treasurer</w:t>
      </w:r>
      <w:r>
        <w:rPr>
          <w:i/>
        </w:rPr>
        <w:t>’</w:t>
      </w:r>
      <w:r w:rsidRPr="000207F4">
        <w:rPr>
          <w:i/>
        </w:rPr>
        <w:t>s Annual Financial Report</w:t>
      </w:r>
      <w:r w:rsidRPr="000207F4">
        <w:t xml:space="preserve">, Northern Territory Government, Darwin; Northern Territory Government 2014, </w:t>
      </w:r>
      <w:r w:rsidRPr="000207F4">
        <w:rPr>
          <w:i/>
        </w:rPr>
        <w:t>Budget Paper No.2: Budget Strategy and Outlook 2014</w:t>
      </w:r>
      <w:r>
        <w:rPr>
          <w:i/>
        </w:rPr>
        <w:noBreakHyphen/>
      </w:r>
      <w:r w:rsidRPr="000207F4">
        <w:rPr>
          <w:i/>
        </w:rPr>
        <w:t>15</w:t>
      </w:r>
      <w:r w:rsidRPr="000207F4">
        <w:t>, Northern Territory Government, Darwin.</w:t>
      </w:r>
    </w:p>
  </w:footnote>
  <w:footnote w:id="24">
    <w:p w14:paraId="69352690" w14:textId="10A52653"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Independent Economics 2014, </w:t>
      </w:r>
      <w:r w:rsidRPr="000207F4">
        <w:rPr>
          <w:i/>
        </w:rPr>
        <w:t>Economic impacts of negative gearing of residential property</w:t>
      </w:r>
      <w:r w:rsidRPr="000207F4">
        <w:t xml:space="preserve"> — </w:t>
      </w:r>
      <w:r w:rsidRPr="000207F4">
        <w:rPr>
          <w:i/>
        </w:rPr>
        <w:t>report for the Housing Industry Association</w:t>
      </w:r>
      <w:r w:rsidRPr="000207F4">
        <w:t>, Independent Economics, Canberra; and</w:t>
      </w:r>
      <w:r>
        <w:t xml:space="preserve"> </w:t>
      </w:r>
      <w:r w:rsidRPr="000207F4">
        <w:t xml:space="preserve">NSW Treasury 2012, </w:t>
      </w:r>
      <w:r w:rsidRPr="000207F4">
        <w:rPr>
          <w:i/>
        </w:rPr>
        <w:t>NSW Financial Audit 2011 (</w:t>
      </w:r>
      <w:r>
        <w:rPr>
          <w:i/>
        </w:rPr>
        <w:t>‘</w:t>
      </w:r>
      <w:r w:rsidRPr="000207F4">
        <w:t>Lambert review</w:t>
      </w:r>
      <w:r>
        <w:t>’</w:t>
      </w:r>
      <w:r w:rsidRPr="000207F4">
        <w:t>), NSW Treasury, Sydney.</w:t>
      </w:r>
    </w:p>
  </w:footnote>
  <w:footnote w:id="25">
    <w:p w14:paraId="74666680" w14:textId="76BCFF0B" w:rsidR="00153AE5" w:rsidRPr="000207F4" w:rsidRDefault="00153AE5" w:rsidP="000207F4">
      <w:pPr>
        <w:pStyle w:val="FootnoteText"/>
      </w:pPr>
      <w:r w:rsidRPr="00435E86">
        <w:rPr>
          <w:rStyle w:val="FootnoteReference"/>
          <w:vertAlign w:val="baseline"/>
        </w:rPr>
        <w:footnoteRef/>
      </w:r>
      <w:r w:rsidRPr="000207F4">
        <w:tab/>
      </w:r>
      <w:r w:rsidRPr="000207F4">
        <w:rPr>
          <w:rStyle w:val="FootnoteReference"/>
          <w:vertAlign w:val="baseline"/>
        </w:rPr>
        <w:t xml:space="preserve">While similar in many respects, consumption taxes are </w:t>
      </w:r>
      <w:r w:rsidRPr="000207F4">
        <w:t xml:space="preserve">in principle </w:t>
      </w:r>
      <w:r w:rsidRPr="000207F4">
        <w:rPr>
          <w:rStyle w:val="FootnoteReference"/>
          <w:vertAlign w:val="baseline"/>
        </w:rPr>
        <w:t>more efficient than payroll taxes as they tax a broader range of activities. Payroll taxes are also a tax on inputs to production, as opposed to a tax on consumption.</w:t>
      </w:r>
    </w:p>
  </w:footnote>
  <w:footnote w:id="26">
    <w:p w14:paraId="73CB51F4" w14:textId="22E99429" w:rsidR="00153AE5" w:rsidRPr="000207F4" w:rsidRDefault="00153AE5" w:rsidP="000207F4">
      <w:pPr>
        <w:pStyle w:val="FootnoteText"/>
      </w:pPr>
      <w:r w:rsidRPr="00435E86">
        <w:rPr>
          <w:rStyle w:val="FootnoteReference"/>
          <w:vertAlign w:val="baseline"/>
        </w:rPr>
        <w:footnoteRef/>
      </w:r>
      <w:r w:rsidRPr="000207F4">
        <w:t xml:space="preserve"> </w:t>
      </w:r>
      <w:r w:rsidRPr="000207F4">
        <w:tab/>
        <w:t>NSW Treasury</w:t>
      </w:r>
      <w:r>
        <w:t xml:space="preserve">, 2014, </w:t>
      </w:r>
      <w:r w:rsidRPr="007E7AB3">
        <w:rPr>
          <w:i/>
        </w:rPr>
        <w:t xml:space="preserve">Budget </w:t>
      </w:r>
      <w:r>
        <w:rPr>
          <w:i/>
        </w:rPr>
        <w:t xml:space="preserve">Statement </w:t>
      </w:r>
      <w:r w:rsidRPr="007E7AB3">
        <w:rPr>
          <w:i/>
        </w:rPr>
        <w:t>2014</w:t>
      </w:r>
      <w:r>
        <w:rPr>
          <w:i/>
        </w:rPr>
        <w:noBreakHyphen/>
      </w:r>
      <w:r w:rsidRPr="007E7AB3">
        <w:rPr>
          <w:i/>
        </w:rPr>
        <w:t>15</w:t>
      </w:r>
      <w:r>
        <w:rPr>
          <w:i/>
        </w:rPr>
        <w:t xml:space="preserve"> — </w:t>
      </w:r>
      <w:r w:rsidRPr="008A6988">
        <w:rPr>
          <w:i/>
        </w:rPr>
        <w:t>Budget Paper 2</w:t>
      </w:r>
      <w:r>
        <w:t xml:space="preserve">, </w:t>
      </w:r>
      <w:r w:rsidRPr="000207F4">
        <w:t xml:space="preserve">NSW </w:t>
      </w:r>
      <w:r>
        <w:t>Government</w:t>
      </w:r>
      <w:r w:rsidRPr="000207F4">
        <w:t>, Sydney</w:t>
      </w:r>
      <w:r>
        <w:t>, p. 6</w:t>
      </w:r>
      <w:r>
        <w:noBreakHyphen/>
        <w:t>31.</w:t>
      </w:r>
      <w:r w:rsidRPr="000207F4">
        <w:t xml:space="preserve"> </w:t>
      </w:r>
    </w:p>
  </w:footnote>
  <w:footnote w:id="27">
    <w:p w14:paraId="023D1214" w14:textId="6BED0333"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Business Council of Australia 2014, </w:t>
      </w:r>
      <w:r w:rsidRPr="000207F4">
        <w:rPr>
          <w:i/>
        </w:rPr>
        <w:t>The Future of Tax Australia</w:t>
      </w:r>
      <w:r>
        <w:rPr>
          <w:i/>
        </w:rPr>
        <w:t>’</w:t>
      </w:r>
      <w:r w:rsidRPr="000207F4">
        <w:rPr>
          <w:i/>
        </w:rPr>
        <w:t>s current tax system,</w:t>
      </w:r>
      <w:r>
        <w:t xml:space="preserve"> viewed</w:t>
      </w:r>
      <w:r>
        <w:br/>
        <w:t xml:space="preserve">9 December 2014: </w:t>
      </w:r>
      <w:hyperlink r:id="rId5" w:history="1">
        <w:r w:rsidRPr="002F3190">
          <w:rPr>
            <w:rStyle w:val="Hyperlink"/>
          </w:rPr>
          <w:t>www.bca.com.au/publications/the</w:t>
        </w:r>
        <w:r>
          <w:rPr>
            <w:rStyle w:val="Hyperlink"/>
          </w:rPr>
          <w:noBreakHyphen/>
        </w:r>
        <w:r w:rsidRPr="002F3190">
          <w:rPr>
            <w:rStyle w:val="Hyperlink"/>
          </w:rPr>
          <w:t>future</w:t>
        </w:r>
        <w:r>
          <w:rPr>
            <w:rStyle w:val="Hyperlink"/>
          </w:rPr>
          <w:noBreakHyphen/>
        </w:r>
        <w:r w:rsidRPr="002F3190">
          <w:rPr>
            <w:rStyle w:val="Hyperlink"/>
          </w:rPr>
          <w:t>of</w:t>
        </w:r>
        <w:r>
          <w:rPr>
            <w:rStyle w:val="Hyperlink"/>
          </w:rPr>
          <w:noBreakHyphen/>
        </w:r>
        <w:r w:rsidRPr="002F3190">
          <w:rPr>
            <w:rStyle w:val="Hyperlink"/>
          </w:rPr>
          <w:t>tax</w:t>
        </w:r>
        <w:r>
          <w:rPr>
            <w:rStyle w:val="Hyperlink"/>
          </w:rPr>
          <w:noBreakHyphen/>
        </w:r>
        <w:r w:rsidRPr="002F3190">
          <w:rPr>
            <w:rStyle w:val="Hyperlink"/>
          </w:rPr>
          <w:t>australias</w:t>
        </w:r>
        <w:r>
          <w:rPr>
            <w:rStyle w:val="Hyperlink"/>
          </w:rPr>
          <w:noBreakHyphen/>
        </w:r>
        <w:r w:rsidRPr="002F3190">
          <w:rPr>
            <w:rStyle w:val="Hyperlink"/>
          </w:rPr>
          <w:t>current</w:t>
        </w:r>
        <w:r>
          <w:rPr>
            <w:rStyle w:val="Hyperlink"/>
          </w:rPr>
          <w:noBreakHyphen/>
        </w:r>
        <w:r w:rsidRPr="002F3190">
          <w:rPr>
            <w:rStyle w:val="Hyperlink"/>
          </w:rPr>
          <w:t>tax</w:t>
        </w:r>
        <w:r>
          <w:rPr>
            <w:rStyle w:val="Hyperlink"/>
          </w:rPr>
          <w:noBreakHyphen/>
        </w:r>
        <w:r w:rsidRPr="002F3190">
          <w:rPr>
            <w:rStyle w:val="Hyperlink"/>
          </w:rPr>
          <w:t>system</w:t>
        </w:r>
      </w:hyperlink>
      <w:r>
        <w:t>.</w:t>
      </w:r>
    </w:p>
  </w:footnote>
  <w:footnote w:id="28">
    <w:p w14:paraId="0C2C05A2" w14:textId="34F3447F" w:rsidR="00153AE5" w:rsidRPr="000207F4" w:rsidRDefault="00153AE5" w:rsidP="00B20AA2">
      <w:pPr>
        <w:pStyle w:val="FootnoteText"/>
      </w:pPr>
      <w:r w:rsidRPr="00435E86">
        <w:rPr>
          <w:rStyle w:val="FootnoteReference"/>
          <w:vertAlign w:val="baseline"/>
        </w:rPr>
        <w:footnoteRef/>
      </w:r>
      <w:r w:rsidRPr="000207F4">
        <w:t xml:space="preserve"> </w:t>
      </w:r>
      <w:r w:rsidRPr="000207F4">
        <w:tab/>
        <w:t xml:space="preserve">NSW Treasury 2012, </w:t>
      </w:r>
      <w:r w:rsidRPr="000207F4">
        <w:rPr>
          <w:i/>
        </w:rPr>
        <w:t>NSW Financial Audit 2011 (</w:t>
      </w:r>
      <w:r>
        <w:rPr>
          <w:i/>
        </w:rPr>
        <w:t>‘</w:t>
      </w:r>
      <w:r w:rsidRPr="000207F4">
        <w:t>Lambert review</w:t>
      </w:r>
      <w:r>
        <w:t>’</w:t>
      </w:r>
      <w:r w:rsidRPr="000207F4">
        <w:t>), NSW Treasury, Sydney; and</w:t>
      </w:r>
      <w:r w:rsidRPr="000207F4">
        <w:br/>
        <w:t xml:space="preserve">Victorian Competition and Efficiency Commission 2011, </w:t>
      </w:r>
      <w:r w:rsidRPr="000207F4">
        <w:rPr>
          <w:i/>
        </w:rPr>
        <w:t>Securing Victoria</w:t>
      </w:r>
      <w:r>
        <w:rPr>
          <w:i/>
        </w:rPr>
        <w:t>’</w:t>
      </w:r>
      <w:r w:rsidRPr="000207F4">
        <w:rPr>
          <w:i/>
        </w:rPr>
        <w:t>s Future Prosperity: A Reform Agenda</w:t>
      </w:r>
      <w:r w:rsidRPr="000207F4">
        <w:t>, Victorian Government, Melbourne.</w:t>
      </w:r>
    </w:p>
  </w:footnote>
  <w:footnote w:id="29">
    <w:p w14:paraId="410CD3B9" w14:textId="7EA09F1B"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For example, </w:t>
      </w:r>
      <w:r w:rsidRPr="000207F4">
        <w:rPr>
          <w:i/>
        </w:rPr>
        <w:t>ACCI Pre</w:t>
      </w:r>
      <w:r>
        <w:rPr>
          <w:i/>
        </w:rPr>
        <w:noBreakHyphen/>
      </w:r>
      <w:r w:rsidRPr="000207F4">
        <w:rPr>
          <w:i/>
        </w:rPr>
        <w:t>Budget Submission</w:t>
      </w:r>
      <w:r w:rsidRPr="000207F4">
        <w:t>, provide</w:t>
      </w:r>
      <w:r>
        <w:t xml:space="preserve">d to the Treasury, 2014, viewed 9 December 2014: </w:t>
      </w:r>
      <w:r w:rsidRPr="00C42575">
        <w:rPr>
          <w:color w:val="31A7D4" w:themeColor="accent1"/>
        </w:rPr>
        <w:t>www.acci.asn.au/getattachment/be749436</w:t>
      </w:r>
      <w:r>
        <w:rPr>
          <w:color w:val="31A7D4" w:themeColor="accent1"/>
        </w:rPr>
        <w:noBreakHyphen/>
      </w:r>
      <w:r w:rsidRPr="00C42575">
        <w:rPr>
          <w:color w:val="31A7D4" w:themeColor="accent1"/>
        </w:rPr>
        <w:t>f50c</w:t>
      </w:r>
      <w:r>
        <w:rPr>
          <w:color w:val="31A7D4" w:themeColor="accent1"/>
        </w:rPr>
        <w:noBreakHyphen/>
      </w:r>
      <w:r w:rsidRPr="00C42575">
        <w:rPr>
          <w:color w:val="31A7D4" w:themeColor="accent1"/>
        </w:rPr>
        <w:t>46b7</w:t>
      </w:r>
      <w:r>
        <w:rPr>
          <w:color w:val="31A7D4" w:themeColor="accent1"/>
        </w:rPr>
        <w:noBreakHyphen/>
      </w:r>
      <w:r w:rsidRPr="00C42575">
        <w:rPr>
          <w:color w:val="31A7D4" w:themeColor="accent1"/>
        </w:rPr>
        <w:t>b876</w:t>
      </w:r>
      <w:r>
        <w:rPr>
          <w:color w:val="31A7D4" w:themeColor="accent1"/>
        </w:rPr>
        <w:noBreakHyphen/>
      </w:r>
      <w:r w:rsidRPr="00C42575">
        <w:rPr>
          <w:color w:val="31A7D4" w:themeColor="accent1"/>
        </w:rPr>
        <w:t>60664cce3aa7/ACCI</w:t>
      </w:r>
      <w:r>
        <w:rPr>
          <w:color w:val="31A7D4" w:themeColor="accent1"/>
        </w:rPr>
        <w:noBreakHyphen/>
      </w:r>
      <w:r w:rsidRPr="00C42575">
        <w:rPr>
          <w:color w:val="31A7D4" w:themeColor="accent1"/>
        </w:rPr>
        <w:t>Pre</w:t>
      </w:r>
      <w:r>
        <w:rPr>
          <w:color w:val="31A7D4" w:themeColor="accent1"/>
        </w:rPr>
        <w:noBreakHyphen/>
      </w:r>
      <w:r w:rsidRPr="00C42575">
        <w:rPr>
          <w:color w:val="31A7D4" w:themeColor="accent1"/>
        </w:rPr>
        <w:t>Budget</w:t>
      </w:r>
      <w:r>
        <w:rPr>
          <w:color w:val="31A7D4" w:themeColor="accent1"/>
        </w:rPr>
        <w:noBreakHyphen/>
      </w:r>
      <w:r w:rsidRPr="00C42575">
        <w:rPr>
          <w:color w:val="31A7D4" w:themeColor="accent1"/>
        </w:rPr>
        <w:t>Submission</w:t>
      </w:r>
      <w:r>
        <w:rPr>
          <w:color w:val="31A7D4" w:themeColor="accent1"/>
        </w:rPr>
        <w:noBreakHyphen/>
      </w:r>
      <w:r w:rsidRPr="00C42575">
        <w:rPr>
          <w:color w:val="31A7D4" w:themeColor="accent1"/>
        </w:rPr>
        <w:br/>
        <w:t>2013</w:t>
      </w:r>
      <w:r>
        <w:rPr>
          <w:color w:val="31A7D4" w:themeColor="accent1"/>
        </w:rPr>
        <w:noBreakHyphen/>
      </w:r>
      <w:r w:rsidRPr="00C42575">
        <w:rPr>
          <w:color w:val="31A7D4" w:themeColor="accent1"/>
        </w:rPr>
        <w:t>14.aspx</w:t>
      </w:r>
      <w:r>
        <w:rPr>
          <w:color w:val="31A7D4" w:themeColor="accent1"/>
        </w:rPr>
        <w:t>.</w:t>
      </w:r>
      <w:r>
        <w:t xml:space="preserve"> </w:t>
      </w:r>
    </w:p>
  </w:footnote>
  <w:footnote w:id="30">
    <w:p w14:paraId="63BE023C" w14:textId="041010EB" w:rsidR="00153AE5" w:rsidRPr="000207F4" w:rsidRDefault="00153AE5" w:rsidP="000207F4">
      <w:pPr>
        <w:pStyle w:val="FootnoteText"/>
      </w:pPr>
      <w:r w:rsidRPr="00435E86">
        <w:rPr>
          <w:rStyle w:val="FootnoteReference"/>
          <w:vertAlign w:val="baseline"/>
        </w:rPr>
        <w:footnoteRef/>
      </w:r>
      <w:r w:rsidRPr="000207F4">
        <w:tab/>
        <w:t>Treasury calculations based on</w:t>
      </w:r>
      <w:r w:rsidRPr="000207F4" w:rsidDel="00C34AEA">
        <w:t xml:space="preserve"> </w:t>
      </w:r>
      <w:r>
        <w:t>s</w:t>
      </w:r>
      <w:r w:rsidRPr="000207F4">
        <w:t xml:space="preserve">tate and </w:t>
      </w:r>
      <w:r>
        <w:t>t</w:t>
      </w:r>
      <w:r w:rsidRPr="000207F4">
        <w:t>erritory 2013</w:t>
      </w:r>
      <w:r>
        <w:noBreakHyphen/>
      </w:r>
      <w:r w:rsidRPr="000207F4">
        <w:t xml:space="preserve">14 </w:t>
      </w:r>
      <w:r>
        <w:t>f</w:t>
      </w:r>
      <w:r w:rsidRPr="000207F4">
        <w:t xml:space="preserve">inal </w:t>
      </w:r>
      <w:r>
        <w:t>budget outcomes (or equivalent) and state and t</w:t>
      </w:r>
      <w:r w:rsidRPr="000207F4">
        <w:t>erritory 2014</w:t>
      </w:r>
      <w:r>
        <w:noBreakHyphen/>
      </w:r>
      <w:r w:rsidRPr="000207F4">
        <w:t xml:space="preserve">15 </w:t>
      </w:r>
      <w:r>
        <w:t>b</w:t>
      </w:r>
      <w:r w:rsidRPr="000207F4">
        <w:t>udgets.</w:t>
      </w:r>
    </w:p>
  </w:footnote>
  <w:footnote w:id="31">
    <w:p w14:paraId="291D97A3" w14:textId="7078AC3B" w:rsidR="00153AE5" w:rsidRPr="000207F4" w:rsidRDefault="00153AE5" w:rsidP="000207F4">
      <w:pPr>
        <w:pStyle w:val="FootnoteText"/>
      </w:pPr>
      <w:r w:rsidRPr="00435E86">
        <w:rPr>
          <w:rStyle w:val="FootnoteReference"/>
          <w:vertAlign w:val="baseline"/>
        </w:rPr>
        <w:footnoteRef/>
      </w:r>
      <w:r w:rsidRPr="000207F4">
        <w:t xml:space="preserve"> </w:t>
      </w:r>
      <w:r>
        <w:tab/>
      </w:r>
      <w:r w:rsidRPr="000207F4">
        <w:t xml:space="preserve">ABS 2014, </w:t>
      </w:r>
      <w:r w:rsidRPr="000207F4">
        <w:rPr>
          <w:i/>
        </w:rPr>
        <w:t>Taxation Revenue, Australia, 2012</w:t>
      </w:r>
      <w:r>
        <w:rPr>
          <w:i/>
        </w:rPr>
        <w:noBreakHyphen/>
      </w:r>
      <w:r w:rsidRPr="000207F4">
        <w:rPr>
          <w:i/>
        </w:rPr>
        <w:t>13</w:t>
      </w:r>
      <w:r w:rsidRPr="000207F4">
        <w:t>, cat. no. 5506.0, ABS, Canberra.</w:t>
      </w:r>
    </w:p>
  </w:footnote>
  <w:footnote w:id="32">
    <w:p w14:paraId="293A187C" w14:textId="25BCD054" w:rsidR="00153AE5" w:rsidRPr="000207F4" w:rsidRDefault="00153AE5" w:rsidP="000207F4">
      <w:pPr>
        <w:pStyle w:val="FootnoteText"/>
      </w:pPr>
      <w:r w:rsidRPr="00435E86">
        <w:rPr>
          <w:rStyle w:val="FootnoteReference"/>
          <w:vertAlign w:val="baseline"/>
        </w:rPr>
        <w:footnoteRef/>
      </w:r>
      <w:r w:rsidRPr="000207F4">
        <w:t xml:space="preserve"> </w:t>
      </w:r>
      <w:r w:rsidRPr="000207F4">
        <w:tab/>
        <w:t>Rea</w:t>
      </w:r>
      <w:r>
        <w:t xml:space="preserve">l Estate Institute of Victoria </w:t>
      </w:r>
      <w:r w:rsidRPr="000207F4">
        <w:t xml:space="preserve">2011, </w:t>
      </w:r>
      <w:r w:rsidRPr="00D020D5">
        <w:rPr>
          <w:i/>
        </w:rPr>
        <w:t>Submission to the Victorian Competition and Efficiency Commission Inquiry into a State</w:t>
      </w:r>
      <w:r>
        <w:rPr>
          <w:i/>
        </w:rPr>
        <w:noBreakHyphen/>
      </w:r>
      <w:r w:rsidRPr="00D020D5">
        <w:rPr>
          <w:i/>
        </w:rPr>
        <w:t>based Reform Agenda</w:t>
      </w:r>
      <w:r>
        <w:t xml:space="preserve">, viewed 9 December 2014: </w:t>
      </w:r>
      <w:hyperlink r:id="rId6" w:history="1">
        <w:r w:rsidRPr="002F3190">
          <w:rPr>
            <w:rStyle w:val="Hyperlink"/>
          </w:rPr>
          <w:t>www.vcec.vic.gov.au/Inquiries/Completed</w:t>
        </w:r>
        <w:r>
          <w:rPr>
            <w:rStyle w:val="Hyperlink"/>
          </w:rPr>
          <w:noBreakHyphen/>
        </w:r>
        <w:r w:rsidRPr="002F3190">
          <w:rPr>
            <w:rStyle w:val="Hyperlink"/>
          </w:rPr>
          <w:t>inquiries/State</w:t>
        </w:r>
        <w:r>
          <w:rPr>
            <w:rStyle w:val="Hyperlink"/>
          </w:rPr>
          <w:noBreakHyphen/>
        </w:r>
        <w:r w:rsidRPr="002F3190">
          <w:rPr>
            <w:rStyle w:val="Hyperlink"/>
          </w:rPr>
          <w:t>based</w:t>
        </w:r>
        <w:r>
          <w:rPr>
            <w:rStyle w:val="Hyperlink"/>
          </w:rPr>
          <w:noBreakHyphen/>
        </w:r>
        <w:r w:rsidRPr="002F3190">
          <w:rPr>
            <w:rStyle w:val="Hyperlink"/>
          </w:rPr>
          <w:t>reform/Submissions</w:t>
        </w:r>
      </w:hyperlink>
      <w:r>
        <w:rPr>
          <w:rStyle w:val="Hyperlink"/>
        </w:rPr>
        <w:t>.</w:t>
      </w:r>
      <w:r>
        <w:t xml:space="preserve"> </w:t>
      </w:r>
    </w:p>
  </w:footnote>
  <w:footnote w:id="33">
    <w:p w14:paraId="5A796B25" w14:textId="57F93F8C" w:rsidR="00153AE5" w:rsidRPr="000207F4" w:rsidRDefault="00153AE5" w:rsidP="000207F4">
      <w:pPr>
        <w:pStyle w:val="FootnoteText"/>
      </w:pPr>
      <w:r w:rsidRPr="00435E86">
        <w:rPr>
          <w:rStyle w:val="FootnoteReference"/>
          <w:vertAlign w:val="baseline"/>
        </w:rPr>
        <w:footnoteRef/>
      </w:r>
      <w:r w:rsidRPr="000207F4">
        <w:tab/>
        <w:t xml:space="preserve">Andrews, D, Caldera Sánchez A and Johansson Å 2011, </w:t>
      </w:r>
      <w:r w:rsidRPr="000207F4">
        <w:rPr>
          <w:i/>
        </w:rPr>
        <w:t>Housing Markets and Structural Policies in OECD Countries</w:t>
      </w:r>
      <w:r w:rsidRPr="000207F4">
        <w:t>, OECD economics department working paper no</w:t>
      </w:r>
      <w:r w:rsidRPr="000207F4" w:rsidDel="0025799D">
        <w:t>.</w:t>
      </w:r>
      <w:r w:rsidRPr="000207F4">
        <w:t> 836, OECD, Paris.</w:t>
      </w:r>
    </w:p>
  </w:footnote>
  <w:footnote w:id="34">
    <w:p w14:paraId="60B6FBCB" w14:textId="49742BE2"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Van </w:t>
      </w:r>
      <w:proofErr w:type="spellStart"/>
      <w:r w:rsidRPr="000207F4">
        <w:t>Ommeren</w:t>
      </w:r>
      <w:proofErr w:type="spellEnd"/>
      <w:r w:rsidRPr="000207F4">
        <w:t xml:space="preserve">, J and M. Van </w:t>
      </w:r>
      <w:proofErr w:type="spellStart"/>
      <w:r w:rsidRPr="000207F4">
        <w:t>Leuvensteijn</w:t>
      </w:r>
      <w:proofErr w:type="spellEnd"/>
      <w:r w:rsidRPr="000207F4">
        <w:t xml:space="preserve"> 2005, </w:t>
      </w:r>
      <w:r>
        <w:t>‘</w:t>
      </w:r>
      <w:r w:rsidRPr="000207F4">
        <w:t>New evidence of the effect of transaction costs on residential mobility</w:t>
      </w:r>
      <w:r>
        <w:t>’</w:t>
      </w:r>
      <w:r w:rsidRPr="000207F4">
        <w:t xml:space="preserve">, </w:t>
      </w:r>
      <w:r w:rsidRPr="000207F4">
        <w:rPr>
          <w:i/>
          <w:iCs/>
        </w:rPr>
        <w:t>Journal of Regional Science</w:t>
      </w:r>
      <w:r w:rsidRPr="000207F4">
        <w:t xml:space="preserve">, vol. 45, </w:t>
      </w:r>
      <w:r w:rsidRPr="000207F4" w:rsidDel="0025799D">
        <w:t>issue</w:t>
      </w:r>
      <w:r w:rsidRPr="000207F4">
        <w:t> 4, p</w:t>
      </w:r>
      <w:r>
        <w:t>ages</w:t>
      </w:r>
      <w:r w:rsidRPr="000207F4">
        <w:t> 681</w:t>
      </w:r>
      <w:r>
        <w:noBreakHyphen/>
      </w:r>
      <w:r w:rsidRPr="000207F4">
        <w:t>702.</w:t>
      </w:r>
    </w:p>
  </w:footnote>
  <w:footnote w:id="35">
    <w:p w14:paraId="7BE01916" w14:textId="09BC5A77"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Independent Economics 2014, </w:t>
      </w:r>
      <w:r w:rsidRPr="000207F4">
        <w:rPr>
          <w:i/>
        </w:rPr>
        <w:t>Economic Impacts of Negative Gearing of Residential Property — report prepared for the Housing Industry Association</w:t>
      </w:r>
      <w:r w:rsidRPr="000207F4">
        <w:t xml:space="preserve">, </w:t>
      </w:r>
      <w:r>
        <w:t>Independent Economics, Canberra</w:t>
      </w:r>
      <w:r w:rsidRPr="000207F4">
        <w:t>; and</w:t>
      </w:r>
      <w:r>
        <w:t xml:space="preserve"> </w:t>
      </w:r>
      <w:r w:rsidRPr="000207F4">
        <w:t xml:space="preserve">Australian Government 2010, </w:t>
      </w:r>
      <w:r w:rsidRPr="000207F4">
        <w:rPr>
          <w:rStyle w:val="Emphasis"/>
          <w:rFonts w:eastAsiaTheme="minorHAnsi"/>
        </w:rPr>
        <w:t>Australia</w:t>
      </w:r>
      <w:r>
        <w:rPr>
          <w:rStyle w:val="Emphasis"/>
          <w:rFonts w:eastAsiaTheme="minorHAnsi"/>
        </w:rPr>
        <w:t>’</w:t>
      </w:r>
      <w:r w:rsidRPr="000207F4">
        <w:rPr>
          <w:rStyle w:val="Emphasis"/>
          <w:rFonts w:eastAsiaTheme="minorHAnsi"/>
        </w:rPr>
        <w:t>s Future Tax System Review</w:t>
      </w:r>
      <w:r w:rsidRPr="000207F4">
        <w:rPr>
          <w:i/>
        </w:rPr>
        <w:t xml:space="preserve"> (Henry Tax Review)</w:t>
      </w:r>
      <w:r w:rsidRPr="000207F4">
        <w:t>, Australian Government, Canberr</w:t>
      </w:r>
      <w:r>
        <w:t>a, page</w:t>
      </w:r>
      <w:r w:rsidRPr="000207F4">
        <w:t> 255.</w:t>
      </w:r>
    </w:p>
  </w:footnote>
  <w:footnote w:id="36">
    <w:p w14:paraId="21751CC1" w14:textId="5790FCFB"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Tooth, R and Barker, G 2007, </w:t>
      </w:r>
      <w:r w:rsidRPr="000207F4">
        <w:rPr>
          <w:i/>
        </w:rPr>
        <w:t>The Non</w:t>
      </w:r>
      <w:r>
        <w:rPr>
          <w:i/>
        </w:rPr>
        <w:noBreakHyphen/>
      </w:r>
      <w:r w:rsidRPr="000207F4">
        <w:rPr>
          <w:i/>
        </w:rPr>
        <w:t>Insured: Who, Why and Trends — prepared for the Insurance Council of Australia</w:t>
      </w:r>
      <w:r w:rsidRPr="000207F4">
        <w:t xml:space="preserve">, </w:t>
      </w:r>
      <w:r>
        <w:t xml:space="preserve">viewed 9 December 2014: </w:t>
      </w:r>
      <w:hyperlink r:id="rId7" w:history="1">
        <w:r w:rsidRPr="002F3190">
          <w:rPr>
            <w:rStyle w:val="Hyperlink"/>
          </w:rPr>
          <w:t>www.insurancecouncil.com.au/issues</w:t>
        </w:r>
        <w:r>
          <w:rPr>
            <w:rStyle w:val="Hyperlink"/>
          </w:rPr>
          <w:noBreakHyphen/>
        </w:r>
        <w:r w:rsidRPr="002F3190">
          <w:rPr>
            <w:rStyle w:val="Hyperlink"/>
          </w:rPr>
          <w:t>submissions/reports/non</w:t>
        </w:r>
        <w:r>
          <w:rPr>
            <w:rStyle w:val="Hyperlink"/>
          </w:rPr>
          <w:noBreakHyphen/>
        </w:r>
        <w:r w:rsidRPr="002F3190">
          <w:rPr>
            <w:rStyle w:val="Hyperlink"/>
          </w:rPr>
          <w:t>insurance</w:t>
        </w:r>
      </w:hyperlink>
      <w:r>
        <w:rPr>
          <w:rStyle w:val="Hyperlink"/>
        </w:rPr>
        <w:t>.</w:t>
      </w:r>
      <w:r>
        <w:t xml:space="preserve"> </w:t>
      </w:r>
    </w:p>
  </w:footnote>
  <w:footnote w:id="37">
    <w:p w14:paraId="0CC265B0" w14:textId="3B265C15"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tab/>
        <w:t>Some of these taxes, for example, annual motor vehicle registration and operation fees, have some features of user charges, which are d</w:t>
      </w:r>
      <w:r>
        <w:t>iscussed in Chapter 9</w:t>
      </w:r>
      <w:r w:rsidRPr="000207F4">
        <w:t xml:space="preserve"> </w:t>
      </w:r>
      <w:r w:rsidRPr="000207F4">
        <w:rPr>
          <w:i/>
        </w:rPr>
        <w:t>Indirect taxes.</w:t>
      </w:r>
    </w:p>
  </w:footnote>
  <w:footnote w:id="38">
    <w:p w14:paraId="315EB226" w14:textId="12CB8185"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tab/>
        <w:t>State 2013</w:t>
      </w:r>
      <w:r>
        <w:noBreakHyphen/>
      </w:r>
      <w:r w:rsidRPr="000207F4">
        <w:t xml:space="preserve">14 </w:t>
      </w:r>
      <w:r>
        <w:t>f</w:t>
      </w:r>
      <w:r w:rsidRPr="000207F4">
        <w:t xml:space="preserve">inal </w:t>
      </w:r>
      <w:r>
        <w:t>budget o</w:t>
      </w:r>
      <w:r w:rsidRPr="000207F4">
        <w:t>utcomes and 2014</w:t>
      </w:r>
      <w:r>
        <w:noBreakHyphen/>
      </w:r>
      <w:r w:rsidRPr="000207F4">
        <w:t xml:space="preserve">15 </w:t>
      </w:r>
      <w:r>
        <w:t>b</w:t>
      </w:r>
      <w:r w:rsidRPr="000207F4">
        <w:t>udgets.</w:t>
      </w:r>
    </w:p>
  </w:footnote>
  <w:footnote w:id="39">
    <w:p w14:paraId="2F154473" w14:textId="245D958C"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tab/>
        <w:t xml:space="preserve">Australian Government 2010, </w:t>
      </w:r>
      <w:r w:rsidRPr="000207F4">
        <w:rPr>
          <w:rStyle w:val="Emphasis"/>
          <w:rFonts w:eastAsiaTheme="minorHAnsi"/>
        </w:rPr>
        <w:t>Australia</w:t>
      </w:r>
      <w:r>
        <w:rPr>
          <w:rStyle w:val="Emphasis"/>
          <w:rFonts w:eastAsiaTheme="minorHAnsi"/>
        </w:rPr>
        <w:t>’</w:t>
      </w:r>
      <w:r w:rsidRPr="000207F4">
        <w:rPr>
          <w:rStyle w:val="Emphasis"/>
          <w:rFonts w:eastAsiaTheme="minorHAnsi"/>
        </w:rPr>
        <w:t>s Future Tax System Review</w:t>
      </w:r>
      <w:r w:rsidRPr="000207F4">
        <w:rPr>
          <w:i/>
        </w:rPr>
        <w:t xml:space="preserve"> (Henry Tax Review)</w:t>
      </w:r>
      <w:r w:rsidRPr="000207F4">
        <w:t>, Australian Government, Canberra p. 260; and</w:t>
      </w:r>
      <w:r>
        <w:t xml:space="preserve"> </w:t>
      </w:r>
      <w:r w:rsidRPr="000207F4">
        <w:t>Business Council of Australia 2014</w:t>
      </w:r>
      <w:r>
        <w:t>,</w:t>
      </w:r>
      <w:r w:rsidRPr="000207F4">
        <w:t xml:space="preserve"> </w:t>
      </w:r>
      <w:r w:rsidRPr="000207F4">
        <w:rPr>
          <w:i/>
        </w:rPr>
        <w:t>The Future of Tax Australia</w:t>
      </w:r>
      <w:r>
        <w:rPr>
          <w:i/>
        </w:rPr>
        <w:t>’</w:t>
      </w:r>
      <w:r w:rsidRPr="000207F4">
        <w:rPr>
          <w:i/>
        </w:rPr>
        <w:t xml:space="preserve">s current tax system, </w:t>
      </w:r>
      <w:r w:rsidRPr="000207F4">
        <w:t xml:space="preserve">viewed 9 December 2014: </w:t>
      </w:r>
      <w:hyperlink r:id="rId8" w:history="1">
        <w:r w:rsidRPr="00C42575">
          <w:rPr>
            <w:rStyle w:val="Hyperlink"/>
            <w:color w:val="31A7D4" w:themeColor="accent1"/>
          </w:rPr>
          <w:t>www.bca.com.au/publications/the</w:t>
        </w:r>
        <w:r>
          <w:rPr>
            <w:rStyle w:val="Hyperlink"/>
            <w:color w:val="31A7D4" w:themeColor="accent1"/>
          </w:rPr>
          <w:noBreakHyphen/>
        </w:r>
        <w:r w:rsidRPr="00C42575">
          <w:rPr>
            <w:rStyle w:val="Hyperlink"/>
            <w:color w:val="31A7D4" w:themeColor="accent1"/>
          </w:rPr>
          <w:t>future</w:t>
        </w:r>
        <w:r>
          <w:rPr>
            <w:rStyle w:val="Hyperlink"/>
            <w:color w:val="31A7D4" w:themeColor="accent1"/>
          </w:rPr>
          <w:noBreakHyphen/>
        </w:r>
        <w:r w:rsidRPr="00C42575">
          <w:rPr>
            <w:rStyle w:val="Hyperlink"/>
            <w:color w:val="31A7D4" w:themeColor="accent1"/>
          </w:rPr>
          <w:t>of</w:t>
        </w:r>
        <w:r>
          <w:rPr>
            <w:rStyle w:val="Hyperlink"/>
            <w:color w:val="31A7D4" w:themeColor="accent1"/>
          </w:rPr>
          <w:noBreakHyphen/>
        </w:r>
        <w:r w:rsidRPr="00C42575">
          <w:rPr>
            <w:rStyle w:val="Hyperlink"/>
            <w:color w:val="31A7D4" w:themeColor="accent1"/>
          </w:rPr>
          <w:t>tax</w:t>
        </w:r>
        <w:r>
          <w:rPr>
            <w:rStyle w:val="Hyperlink"/>
            <w:color w:val="31A7D4" w:themeColor="accent1"/>
          </w:rPr>
          <w:noBreakHyphen/>
        </w:r>
        <w:r w:rsidRPr="00C42575">
          <w:rPr>
            <w:rStyle w:val="Hyperlink"/>
            <w:color w:val="31A7D4" w:themeColor="accent1"/>
          </w:rPr>
          <w:t>australias</w:t>
        </w:r>
        <w:r>
          <w:rPr>
            <w:rStyle w:val="Hyperlink"/>
            <w:color w:val="31A7D4" w:themeColor="accent1"/>
          </w:rPr>
          <w:noBreakHyphen/>
        </w:r>
        <w:r w:rsidRPr="00C42575">
          <w:rPr>
            <w:rStyle w:val="Hyperlink"/>
            <w:color w:val="31A7D4" w:themeColor="accent1"/>
          </w:rPr>
          <w:t>current</w:t>
        </w:r>
        <w:r>
          <w:rPr>
            <w:rStyle w:val="Hyperlink"/>
            <w:color w:val="31A7D4" w:themeColor="accent1"/>
          </w:rPr>
          <w:noBreakHyphen/>
        </w:r>
        <w:r w:rsidRPr="00C42575">
          <w:rPr>
            <w:rStyle w:val="Hyperlink"/>
            <w:color w:val="31A7D4" w:themeColor="accent1"/>
          </w:rPr>
          <w:t>tax</w:t>
        </w:r>
        <w:r>
          <w:rPr>
            <w:rStyle w:val="Hyperlink"/>
            <w:color w:val="31A7D4" w:themeColor="accent1"/>
          </w:rPr>
          <w:noBreakHyphen/>
        </w:r>
        <w:r w:rsidRPr="00C42575">
          <w:rPr>
            <w:rStyle w:val="Hyperlink"/>
            <w:color w:val="31A7D4" w:themeColor="accent1"/>
          </w:rPr>
          <w:t>system</w:t>
        </w:r>
      </w:hyperlink>
      <w:r>
        <w:rPr>
          <w:rStyle w:val="Hyperlink"/>
          <w:color w:val="31A7D4" w:themeColor="accent1"/>
        </w:rPr>
        <w:t>.</w:t>
      </w:r>
      <w:r>
        <w:rPr>
          <w:rStyle w:val="Hyperlink"/>
          <w:color w:val="auto"/>
        </w:rPr>
        <w:t xml:space="preserve"> </w:t>
      </w:r>
    </w:p>
  </w:footnote>
  <w:footnote w:id="40">
    <w:p w14:paraId="5DEFB7C8" w14:textId="24ED73B6"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OECD 2010, </w:t>
      </w:r>
      <w:r w:rsidRPr="000207F4">
        <w:rPr>
          <w:i/>
        </w:rPr>
        <w:t>OECD Economic Surveys: Australia 2010</w:t>
      </w:r>
      <w:r w:rsidRPr="000207F4">
        <w:t>, OECD, Paris; and</w:t>
      </w:r>
      <w:r>
        <w:t xml:space="preserve"> </w:t>
      </w:r>
      <w:r w:rsidRPr="000207F4">
        <w:t xml:space="preserve">OECD 2012, </w:t>
      </w:r>
      <w:r w:rsidRPr="000207F4">
        <w:rPr>
          <w:i/>
        </w:rPr>
        <w:t>Activating Jobseekers:</w:t>
      </w:r>
      <w:r w:rsidRPr="000207F4">
        <w:t xml:space="preserve"> </w:t>
      </w:r>
      <w:r w:rsidRPr="000207F4">
        <w:rPr>
          <w:i/>
        </w:rPr>
        <w:t xml:space="preserve">How Australia Does It, </w:t>
      </w:r>
      <w:r w:rsidRPr="000207F4">
        <w:t>OECD, Paris.</w:t>
      </w:r>
    </w:p>
  </w:footnote>
  <w:footnote w:id="41">
    <w:p w14:paraId="36575396" w14:textId="064D39F6"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rPr>
          <w:i/>
        </w:rPr>
        <w:tab/>
      </w:r>
      <w:r w:rsidRPr="000207F4">
        <w:t xml:space="preserve">Australian Government 2010, </w:t>
      </w:r>
      <w:r w:rsidRPr="000207F4">
        <w:rPr>
          <w:rStyle w:val="Emphasis"/>
          <w:rFonts w:eastAsiaTheme="minorHAnsi"/>
        </w:rPr>
        <w:t>Australia</w:t>
      </w:r>
      <w:r>
        <w:rPr>
          <w:rStyle w:val="Emphasis"/>
          <w:rFonts w:eastAsiaTheme="minorHAnsi"/>
        </w:rPr>
        <w:t>’</w:t>
      </w:r>
      <w:r w:rsidRPr="000207F4">
        <w:rPr>
          <w:rStyle w:val="Emphasis"/>
          <w:rFonts w:eastAsiaTheme="minorHAnsi"/>
        </w:rPr>
        <w:t>s Future Tax System Review</w:t>
      </w:r>
      <w:r w:rsidRPr="000207F4">
        <w:rPr>
          <w:i/>
        </w:rPr>
        <w:t xml:space="preserve"> (Henry Tax Review)</w:t>
      </w:r>
      <w:r w:rsidRPr="000207F4">
        <w:t>, Aus</w:t>
      </w:r>
      <w:r>
        <w:t>tralian Government, Canberra, page</w:t>
      </w:r>
      <w:r w:rsidRPr="000207F4">
        <w:t> 692.</w:t>
      </w:r>
    </w:p>
  </w:footnote>
  <w:footnote w:id="42">
    <w:p w14:paraId="3C9F9379" w14:textId="03017EAE" w:rsidR="00153AE5" w:rsidRPr="000207F4" w:rsidRDefault="00153AE5" w:rsidP="000207F4">
      <w:pPr>
        <w:pStyle w:val="FootnoteText"/>
      </w:pPr>
      <w:r w:rsidRPr="00435E86">
        <w:rPr>
          <w:rStyle w:val="FootnoteReference"/>
          <w:vertAlign w:val="baseline"/>
        </w:rPr>
        <w:footnoteRef/>
      </w:r>
      <w:r w:rsidRPr="000207F4">
        <w:rPr>
          <w:rStyle w:val="FootnoteReference"/>
          <w:vertAlign w:val="baseline"/>
        </w:rPr>
        <w:t xml:space="preserve"> </w:t>
      </w:r>
      <w:r w:rsidRPr="000207F4">
        <w:tab/>
        <w:t xml:space="preserve">Department of Infrastructure and Regional Development 2013, </w:t>
      </w:r>
      <w:r w:rsidRPr="000207F4">
        <w:rPr>
          <w:i/>
        </w:rPr>
        <w:t>2010</w:t>
      </w:r>
      <w:r>
        <w:rPr>
          <w:i/>
        </w:rPr>
        <w:noBreakHyphen/>
      </w:r>
      <w:r w:rsidRPr="000207F4">
        <w:rPr>
          <w:i/>
        </w:rPr>
        <w:t>11 Local Government National Report</w:t>
      </w:r>
      <w:r w:rsidRPr="000207F4">
        <w:t>, Australian Government, Canberra.</w:t>
      </w:r>
    </w:p>
  </w:footnote>
  <w:footnote w:id="43">
    <w:p w14:paraId="339BC78E" w14:textId="60AEB235"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Brownfield, C 2014, </w:t>
      </w:r>
      <w:r w:rsidRPr="000207F4">
        <w:rPr>
          <w:i/>
        </w:rPr>
        <w:t>The Fourth Pillar — the role of home equity release in retirement funding</w:t>
      </w:r>
      <w:r w:rsidRPr="000207F4">
        <w:t>, presented to the Actuaries Institute Financial Services Forum, 5</w:t>
      </w:r>
      <w:r>
        <w:noBreakHyphen/>
      </w:r>
      <w:r w:rsidRPr="000207F4">
        <w:t>6 May 2014, Sydney</w:t>
      </w:r>
      <w:r w:rsidRPr="000207F4" w:rsidDel="00B61201">
        <w:t>.</w:t>
      </w:r>
    </w:p>
  </w:footnote>
  <w:footnote w:id="44">
    <w:p w14:paraId="7FBDC75A" w14:textId="7BE039D2" w:rsidR="00153AE5" w:rsidRPr="000207F4" w:rsidRDefault="00153AE5" w:rsidP="00D020D5">
      <w:pPr>
        <w:pStyle w:val="FootnoteText"/>
      </w:pPr>
      <w:r w:rsidRPr="00435E86">
        <w:rPr>
          <w:rStyle w:val="FootnoteReference"/>
          <w:vertAlign w:val="baseline"/>
        </w:rPr>
        <w:footnoteRef/>
      </w:r>
      <w:r w:rsidRPr="000207F4">
        <w:t xml:space="preserve"> </w:t>
      </w:r>
      <w:r w:rsidRPr="000207F4">
        <w:tab/>
        <w:t xml:space="preserve">NSW Treasury 2012, </w:t>
      </w:r>
      <w:r w:rsidRPr="000207F4">
        <w:rPr>
          <w:i/>
        </w:rPr>
        <w:t>NSW Financial Audit 2011 (</w:t>
      </w:r>
      <w:r>
        <w:rPr>
          <w:i/>
        </w:rPr>
        <w:t>‘</w:t>
      </w:r>
      <w:r w:rsidRPr="000207F4">
        <w:t>Lambert review</w:t>
      </w:r>
      <w:r>
        <w:t>’</w:t>
      </w:r>
      <w:r w:rsidRPr="000207F4">
        <w:t xml:space="preserve">), NSW Treasury, Sydney; ACT Government 2012, </w:t>
      </w:r>
      <w:r w:rsidRPr="000207F4">
        <w:rPr>
          <w:i/>
        </w:rPr>
        <w:t>ACT Taxation Review</w:t>
      </w:r>
      <w:r w:rsidRPr="000207F4">
        <w:t>, ACT Government, Canberra.</w:t>
      </w:r>
    </w:p>
  </w:footnote>
  <w:footnote w:id="45">
    <w:p w14:paraId="260C55BA" w14:textId="753DF41F" w:rsidR="00153AE5" w:rsidRPr="000207F4" w:rsidRDefault="00153AE5" w:rsidP="000207F4">
      <w:pPr>
        <w:pStyle w:val="FootnoteText"/>
      </w:pPr>
      <w:r w:rsidRPr="00435E86">
        <w:rPr>
          <w:rStyle w:val="FootnoteReference"/>
          <w:vertAlign w:val="baseline"/>
        </w:rPr>
        <w:footnoteRef/>
      </w:r>
      <w:r w:rsidRPr="000207F4">
        <w:t xml:space="preserve"> </w:t>
      </w:r>
      <w:r w:rsidRPr="000207F4">
        <w:tab/>
        <w:t>Productivity Commission 2010</w:t>
      </w:r>
      <w:r w:rsidRPr="000207F4">
        <w:rPr>
          <w:i/>
        </w:rPr>
        <w:t>, Gambling</w:t>
      </w:r>
      <w:r w:rsidRPr="000207F4">
        <w:t>,</w:t>
      </w:r>
      <w:r>
        <w:t xml:space="preserve"> no. 50, Productivity Commission,</w:t>
      </w:r>
      <w:r w:rsidRPr="000207F4">
        <w:t xml:space="preserve"> Canberra.</w:t>
      </w:r>
    </w:p>
  </w:footnote>
  <w:footnote w:id="46">
    <w:p w14:paraId="2CDF89B6" w14:textId="692A0E97" w:rsidR="00153AE5" w:rsidRPr="000207F4" w:rsidRDefault="00153AE5" w:rsidP="000207F4">
      <w:pPr>
        <w:pStyle w:val="FootnoteText"/>
      </w:pPr>
      <w:r w:rsidRPr="00435E86">
        <w:rPr>
          <w:rStyle w:val="FootnoteReference"/>
          <w:vertAlign w:val="baseline"/>
        </w:rPr>
        <w:footnoteRef/>
      </w:r>
      <w:r w:rsidRPr="000207F4">
        <w:t xml:space="preserve"> </w:t>
      </w:r>
      <w:r w:rsidRPr="000207F4">
        <w:tab/>
      </w:r>
      <w:r w:rsidRPr="000A1E1B">
        <w:t>Government of Western Australia</w:t>
      </w:r>
      <w:r w:rsidRPr="000207F4">
        <w:t xml:space="preserve"> </w:t>
      </w:r>
      <w:r>
        <w:t xml:space="preserve">2014, </w:t>
      </w:r>
      <w:r w:rsidRPr="00D020D5">
        <w:rPr>
          <w:i/>
        </w:rPr>
        <w:t>2013</w:t>
      </w:r>
      <w:r>
        <w:rPr>
          <w:i/>
        </w:rPr>
        <w:noBreakHyphen/>
      </w:r>
      <w:r w:rsidRPr="00D020D5">
        <w:rPr>
          <w:i/>
        </w:rPr>
        <w:t xml:space="preserve">14 </w:t>
      </w:r>
      <w:r>
        <w:rPr>
          <w:i/>
        </w:rPr>
        <w:t>Annual Report on State Finances</w:t>
      </w:r>
      <w:r w:rsidRPr="000207F4">
        <w:t>, Government of Western Australia, Perth</w:t>
      </w:r>
      <w:r w:rsidRPr="009828FF">
        <w:t>; and</w:t>
      </w:r>
      <w:r>
        <w:t xml:space="preserve"> Government of Western Australia 2005, </w:t>
      </w:r>
      <w:r>
        <w:rPr>
          <w:i/>
        </w:rPr>
        <w:t>2004</w:t>
      </w:r>
      <w:r>
        <w:rPr>
          <w:i/>
        </w:rPr>
        <w:noBreakHyphen/>
        <w:t>05 Government Financial Results Report,</w:t>
      </w:r>
      <w:r>
        <w:t xml:space="preserve"> Government of Western Australia, Perth. </w:t>
      </w:r>
    </w:p>
  </w:footnote>
  <w:footnote w:id="47">
    <w:p w14:paraId="74077648" w14:textId="55264A15"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Australian Government 2010, </w:t>
      </w:r>
      <w:r w:rsidRPr="000207F4">
        <w:rPr>
          <w:rStyle w:val="Emphasis"/>
          <w:rFonts w:eastAsiaTheme="minorHAnsi"/>
        </w:rPr>
        <w:t>Australia</w:t>
      </w:r>
      <w:r>
        <w:rPr>
          <w:rStyle w:val="Emphasis"/>
          <w:rFonts w:eastAsiaTheme="minorHAnsi"/>
        </w:rPr>
        <w:t>’</w:t>
      </w:r>
      <w:r w:rsidRPr="000207F4">
        <w:rPr>
          <w:rStyle w:val="Emphasis"/>
          <w:rFonts w:eastAsiaTheme="minorHAnsi"/>
        </w:rPr>
        <w:t>s Future Tax System Review</w:t>
      </w:r>
      <w:r w:rsidRPr="000207F4">
        <w:rPr>
          <w:i/>
        </w:rPr>
        <w:t xml:space="preserve"> (Henry Tax Review)</w:t>
      </w:r>
      <w:r w:rsidRPr="000207F4">
        <w:t>, Australian Government, Canberra, p</w:t>
      </w:r>
      <w:r>
        <w:t>ages</w:t>
      </w:r>
      <w:r w:rsidRPr="000207F4">
        <w:t xml:space="preserve"> 669</w:t>
      </w:r>
      <w:r>
        <w:noBreakHyphen/>
      </w:r>
      <w:r w:rsidRPr="000207F4">
        <w:t>675.</w:t>
      </w:r>
    </w:p>
  </w:footnote>
  <w:footnote w:id="48">
    <w:p w14:paraId="55944628" w14:textId="31CA8AA2" w:rsidR="00153AE5" w:rsidRPr="000207F4" w:rsidRDefault="00153AE5" w:rsidP="000207F4">
      <w:pPr>
        <w:pStyle w:val="FootnoteText"/>
      </w:pPr>
      <w:r w:rsidRPr="00435E86">
        <w:rPr>
          <w:rStyle w:val="FootnoteReference"/>
          <w:vertAlign w:val="baseline"/>
        </w:rPr>
        <w:footnoteRef/>
      </w:r>
      <w:r>
        <w:t xml:space="preserve"> </w:t>
      </w:r>
      <w:r>
        <w:tab/>
      </w:r>
      <w:r w:rsidRPr="000207F4">
        <w:t>This list is not exhaustive. Other principles include adequacy (taxes meet local need and expand over time to meet growing expenditure) and revenue stability at the sub</w:t>
      </w:r>
      <w:r>
        <w:noBreakHyphen/>
      </w:r>
      <w:r w:rsidRPr="000207F4">
        <w:t xml:space="preserve">national level. See Bird, R 2010, </w:t>
      </w:r>
      <w:r>
        <w:t>‘</w:t>
      </w:r>
      <w:r w:rsidRPr="000207F4">
        <w:t>Taxation and Decentralization</w:t>
      </w:r>
      <w:r>
        <w:t>’</w:t>
      </w:r>
      <w:r w:rsidRPr="000207F4">
        <w:t xml:space="preserve">, </w:t>
      </w:r>
      <w:r w:rsidRPr="000207F4">
        <w:rPr>
          <w:i/>
        </w:rPr>
        <w:t>The Economic Premise</w:t>
      </w:r>
      <w:r>
        <w:t>, no. 38, Poverty Reduction and Economic Management (PREM) Network Vice</w:t>
      </w:r>
      <w:r>
        <w:noBreakHyphen/>
        <w:t>Presidency of the World Bank.</w:t>
      </w:r>
    </w:p>
  </w:footnote>
  <w:footnote w:id="49">
    <w:p w14:paraId="287BD014" w14:textId="06180268" w:rsidR="00153AE5" w:rsidRPr="000207F4" w:rsidRDefault="00153AE5" w:rsidP="000207F4">
      <w:pPr>
        <w:pStyle w:val="FootnoteText"/>
      </w:pPr>
      <w:r w:rsidRPr="00435E86">
        <w:rPr>
          <w:rStyle w:val="FootnoteReference"/>
          <w:vertAlign w:val="baseline"/>
        </w:rPr>
        <w:footnoteRef/>
      </w:r>
      <w:r>
        <w:t xml:space="preserve"> </w:t>
      </w:r>
      <w:r>
        <w:tab/>
      </w:r>
      <w:r w:rsidRPr="000207F4">
        <w:t xml:space="preserve">State and </w:t>
      </w:r>
      <w:r>
        <w:t>t</w:t>
      </w:r>
      <w:r w:rsidRPr="000207F4">
        <w:t>erritory 2013</w:t>
      </w:r>
      <w:r>
        <w:noBreakHyphen/>
      </w:r>
      <w:r w:rsidRPr="000207F4">
        <w:t xml:space="preserve">14 </w:t>
      </w:r>
      <w:r>
        <w:t>f</w:t>
      </w:r>
      <w:r w:rsidRPr="000207F4">
        <w:t xml:space="preserve">inal </w:t>
      </w:r>
      <w:r>
        <w:t>budget o</w:t>
      </w:r>
      <w:r w:rsidRPr="000207F4">
        <w:t>utcomes (or equivalent) and 2014</w:t>
      </w:r>
      <w:r>
        <w:noBreakHyphen/>
      </w:r>
      <w:r w:rsidRPr="000207F4">
        <w:t xml:space="preserve">15 </w:t>
      </w:r>
      <w:r>
        <w:t>b</w:t>
      </w:r>
      <w:r w:rsidRPr="000207F4">
        <w:t>udgets.</w:t>
      </w:r>
    </w:p>
  </w:footnote>
  <w:footnote w:id="50">
    <w:p w14:paraId="1CC2C7F0" w14:textId="4F778BB0" w:rsidR="00153AE5" w:rsidRPr="000207F4" w:rsidRDefault="00153AE5" w:rsidP="000207F4">
      <w:pPr>
        <w:pStyle w:val="FootnoteText"/>
      </w:pPr>
      <w:r w:rsidRPr="00435E86">
        <w:rPr>
          <w:rStyle w:val="FootnoteReference"/>
          <w:vertAlign w:val="baseline"/>
        </w:rPr>
        <w:footnoteRef/>
      </w:r>
      <w:r>
        <w:t xml:space="preserve"> </w:t>
      </w:r>
      <w:r>
        <w:tab/>
        <w:t>Federal</w:t>
      </w:r>
      <w:r w:rsidRPr="000207F4">
        <w:t xml:space="preserve">, </w:t>
      </w:r>
      <w:r>
        <w:t>s</w:t>
      </w:r>
      <w:r w:rsidRPr="000207F4">
        <w:t xml:space="preserve">tate and </w:t>
      </w:r>
      <w:r>
        <w:t>t</w:t>
      </w:r>
      <w:r w:rsidRPr="000207F4">
        <w:t>erritory 2013</w:t>
      </w:r>
      <w:r>
        <w:noBreakHyphen/>
      </w:r>
      <w:r w:rsidRPr="000207F4">
        <w:t xml:space="preserve">14 </w:t>
      </w:r>
      <w:r>
        <w:t>f</w:t>
      </w:r>
      <w:r w:rsidRPr="000207F4">
        <w:t xml:space="preserve">inal </w:t>
      </w:r>
      <w:r>
        <w:t>b</w:t>
      </w:r>
      <w:r w:rsidRPr="000207F4">
        <w:t>udg</w:t>
      </w:r>
      <w:r>
        <w:t>et o</w:t>
      </w:r>
      <w:r w:rsidRPr="000207F4">
        <w:t>utcomes (or equivalent) and 2014</w:t>
      </w:r>
      <w:r>
        <w:noBreakHyphen/>
      </w:r>
      <w:r w:rsidRPr="000207F4">
        <w:t xml:space="preserve">15 </w:t>
      </w:r>
      <w:r>
        <w:t>b</w:t>
      </w:r>
      <w:r w:rsidRPr="000207F4">
        <w:t>udgets.</w:t>
      </w:r>
    </w:p>
  </w:footnote>
  <w:footnote w:id="51">
    <w:p w14:paraId="21CE27F7" w14:textId="7E9722E5" w:rsidR="00153AE5" w:rsidRPr="000207F4" w:rsidRDefault="00153AE5" w:rsidP="000207F4">
      <w:pPr>
        <w:pStyle w:val="FootnoteText"/>
      </w:pPr>
      <w:r w:rsidRPr="00435E86">
        <w:rPr>
          <w:rStyle w:val="FootnoteReference"/>
          <w:vertAlign w:val="baseline"/>
        </w:rPr>
        <w:footnoteRef/>
      </w:r>
      <w:r w:rsidRPr="000207F4">
        <w:t xml:space="preserve"> </w:t>
      </w:r>
      <w:r>
        <w:tab/>
      </w:r>
      <w:r w:rsidRPr="000207F4">
        <w:t xml:space="preserve">New South Wales Government 2014, </w:t>
      </w:r>
      <w:r w:rsidRPr="000207F4">
        <w:rPr>
          <w:i/>
        </w:rPr>
        <w:t>Report on State Finances 2013</w:t>
      </w:r>
      <w:r>
        <w:rPr>
          <w:i/>
        </w:rPr>
        <w:noBreakHyphen/>
      </w:r>
      <w:r w:rsidRPr="000207F4">
        <w:rPr>
          <w:i/>
        </w:rPr>
        <w:t>14</w:t>
      </w:r>
      <w:r w:rsidRPr="000207F4">
        <w:t xml:space="preserve">, New South Wales Government, Sydney; Victorian Government 2014, </w:t>
      </w:r>
      <w:r w:rsidRPr="000207F4">
        <w:rPr>
          <w:i/>
        </w:rPr>
        <w:t>2013</w:t>
      </w:r>
      <w:r>
        <w:rPr>
          <w:i/>
        </w:rPr>
        <w:noBreakHyphen/>
      </w:r>
      <w:r w:rsidRPr="000207F4">
        <w:rPr>
          <w:i/>
        </w:rPr>
        <w:t>14 Financial Report (incorporating Quarterly Report No.4),</w:t>
      </w:r>
      <w:r w:rsidRPr="000207F4">
        <w:t xml:space="preserve"> Victorian Government, Melbourne. Queensland Government 2014, </w:t>
      </w:r>
      <w:r w:rsidRPr="000207F4">
        <w:rPr>
          <w:i/>
        </w:rPr>
        <w:t>2013</w:t>
      </w:r>
      <w:r>
        <w:rPr>
          <w:i/>
        </w:rPr>
        <w:noBreakHyphen/>
      </w:r>
      <w:r w:rsidRPr="000207F4">
        <w:rPr>
          <w:i/>
        </w:rPr>
        <w:t>14 Report on State Finances of the Queensland Government</w:t>
      </w:r>
      <w:r>
        <w:rPr>
          <w:i/>
        </w:rPr>
        <w:t xml:space="preserve"> — </w:t>
      </w:r>
      <w:r w:rsidRPr="000207F4">
        <w:rPr>
          <w:i/>
        </w:rPr>
        <w:t>30 June 2014</w:t>
      </w:r>
      <w:r w:rsidRPr="000207F4">
        <w:t>, Queensland Government, Brisbane</w:t>
      </w:r>
      <w:r>
        <w:t xml:space="preserve">. </w:t>
      </w:r>
      <w:r w:rsidRPr="000207F4">
        <w:t xml:space="preserve">Government of Western Australia 2014, </w:t>
      </w:r>
      <w:r w:rsidRPr="000207F4">
        <w:rPr>
          <w:i/>
        </w:rPr>
        <w:t>2013</w:t>
      </w:r>
      <w:r>
        <w:rPr>
          <w:i/>
        </w:rPr>
        <w:noBreakHyphen/>
      </w:r>
      <w:r w:rsidRPr="000207F4">
        <w:rPr>
          <w:i/>
        </w:rPr>
        <w:t>14 Annual Report on State Finances</w:t>
      </w:r>
      <w:r w:rsidRPr="000207F4">
        <w:t>, Government of Western Australia, Perth</w:t>
      </w:r>
      <w:r>
        <w:t xml:space="preserve">. </w:t>
      </w:r>
      <w:r w:rsidRPr="000207F4">
        <w:t xml:space="preserve">Government of South Australia 2014, </w:t>
      </w:r>
      <w:r w:rsidRPr="000207F4">
        <w:rPr>
          <w:i/>
        </w:rPr>
        <w:t>2014</w:t>
      </w:r>
      <w:r>
        <w:rPr>
          <w:i/>
        </w:rPr>
        <w:noBreakHyphen/>
      </w:r>
      <w:r w:rsidRPr="000207F4">
        <w:rPr>
          <w:i/>
        </w:rPr>
        <w:t>15 Budget Paper 3: Budget Statement</w:t>
      </w:r>
      <w:r w:rsidRPr="000207F4">
        <w:t>, Government of South Australia, Adelaide.</w:t>
      </w:r>
      <w:r>
        <w:t xml:space="preserve"> </w:t>
      </w:r>
      <w:r w:rsidRPr="000207F4">
        <w:t xml:space="preserve">Government of Tasmania 2014, </w:t>
      </w:r>
      <w:r w:rsidRPr="000207F4">
        <w:rPr>
          <w:i/>
        </w:rPr>
        <w:t>Treasurer</w:t>
      </w:r>
      <w:r>
        <w:rPr>
          <w:i/>
        </w:rPr>
        <w:t>’</w:t>
      </w:r>
      <w:r w:rsidRPr="000207F4">
        <w:rPr>
          <w:i/>
        </w:rPr>
        <w:t>s Annual Financial Report 2013</w:t>
      </w:r>
      <w:r>
        <w:rPr>
          <w:i/>
        </w:rPr>
        <w:noBreakHyphen/>
      </w:r>
      <w:r w:rsidRPr="000207F4">
        <w:rPr>
          <w:i/>
        </w:rPr>
        <w:t>14</w:t>
      </w:r>
      <w:r w:rsidRPr="000207F4">
        <w:t>, Government of Tasmania, Hobart.</w:t>
      </w:r>
      <w:r>
        <w:t xml:space="preserve"> </w:t>
      </w:r>
      <w:r w:rsidRPr="000207F4">
        <w:t xml:space="preserve">Australian Capital Territory Government 2014, </w:t>
      </w:r>
      <w:r w:rsidRPr="000207F4">
        <w:rPr>
          <w:i/>
        </w:rPr>
        <w:t>Consolidated Annual Financial Statements</w:t>
      </w:r>
      <w:r>
        <w:rPr>
          <w:i/>
        </w:rPr>
        <w:t xml:space="preserve"> — </w:t>
      </w:r>
      <w:r w:rsidRPr="000207F4">
        <w:rPr>
          <w:i/>
        </w:rPr>
        <w:t>2013</w:t>
      </w:r>
      <w:r>
        <w:rPr>
          <w:i/>
        </w:rPr>
        <w:noBreakHyphen/>
      </w:r>
      <w:r w:rsidRPr="000207F4">
        <w:rPr>
          <w:i/>
        </w:rPr>
        <w:t>14</w:t>
      </w:r>
      <w:r w:rsidRPr="000207F4">
        <w:t>, Australian Capital Territory Government, Canberra.</w:t>
      </w:r>
      <w:r>
        <w:t xml:space="preserve"> </w:t>
      </w:r>
      <w:r w:rsidRPr="000207F4">
        <w:t>Northern Territory Government 2014</w:t>
      </w:r>
      <w:r w:rsidRPr="000207F4">
        <w:rPr>
          <w:i/>
        </w:rPr>
        <w:t>, Treasurer</w:t>
      </w:r>
      <w:r>
        <w:rPr>
          <w:i/>
        </w:rPr>
        <w:t>’</w:t>
      </w:r>
      <w:r w:rsidRPr="000207F4">
        <w:rPr>
          <w:i/>
        </w:rPr>
        <w:t>s Annual Financial Report</w:t>
      </w:r>
      <w:r w:rsidRPr="000207F4">
        <w:t>, Northern Territory Government, Darwin.</w:t>
      </w:r>
    </w:p>
  </w:footnote>
  <w:footnote w:id="52">
    <w:p w14:paraId="640CF75C" w14:textId="44508093" w:rsidR="00153AE5" w:rsidRPr="000207F4" w:rsidRDefault="00153AE5" w:rsidP="00456F91">
      <w:pPr>
        <w:pStyle w:val="FootnoteText"/>
      </w:pPr>
      <w:r w:rsidRPr="00435E86">
        <w:rPr>
          <w:rStyle w:val="FootnoteReference"/>
          <w:vertAlign w:val="baseline"/>
        </w:rPr>
        <w:footnoteRef/>
      </w:r>
      <w:r w:rsidRPr="000207F4">
        <w:t xml:space="preserve"> </w:t>
      </w:r>
      <w:r w:rsidRPr="000207F4">
        <w:tab/>
        <w:t xml:space="preserve">Smith, J 2004, </w:t>
      </w:r>
      <w:r>
        <w:rPr>
          <w:i/>
        </w:rPr>
        <w:t>Taxing Popularity</w:t>
      </w:r>
      <w:r w:rsidRPr="000207F4">
        <w:rPr>
          <w:i/>
        </w:rPr>
        <w:t xml:space="preserve"> The story of taxation in Australia</w:t>
      </w:r>
      <w:r w:rsidRPr="000207F4">
        <w:t>, Australian Tax Research Foundation Research Study no</w:t>
      </w:r>
      <w:r>
        <w:t>.</w:t>
      </w:r>
      <w:r w:rsidRPr="000207F4">
        <w:t> 43.</w:t>
      </w:r>
    </w:p>
  </w:footnote>
  <w:footnote w:id="53">
    <w:p w14:paraId="07A9CFFA" w14:textId="61E2D360" w:rsidR="00153AE5" w:rsidRPr="000207F4" w:rsidRDefault="00153AE5" w:rsidP="000207F4">
      <w:pPr>
        <w:pStyle w:val="FootnoteText"/>
      </w:pPr>
      <w:r w:rsidRPr="00435E86">
        <w:rPr>
          <w:rStyle w:val="FootnoteReference"/>
          <w:vertAlign w:val="baseline"/>
        </w:rPr>
        <w:footnoteRef/>
      </w:r>
      <w:r w:rsidRPr="000207F4">
        <w:t xml:space="preserve"> </w:t>
      </w:r>
      <w:r w:rsidRPr="000207F4">
        <w:tab/>
        <w:t xml:space="preserve">Kasper, W 1996, </w:t>
      </w:r>
      <w:r w:rsidRPr="000207F4">
        <w:rPr>
          <w:i/>
        </w:rPr>
        <w:t>Federations: competing jurisdictions</w:t>
      </w:r>
      <w:r w:rsidRPr="000207F4">
        <w:t xml:space="preserve">, presented at </w:t>
      </w:r>
      <w:r>
        <w:t xml:space="preserve">Australian </w:t>
      </w:r>
      <w:r w:rsidRPr="000207F4">
        <w:t>Treasury seminar series.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89004" w14:textId="7798E49A" w:rsidR="00153AE5" w:rsidRPr="00F62916" w:rsidRDefault="00AD597E" w:rsidP="00F62916">
    <w:pPr>
      <w:pStyle w:val="HeaderEven"/>
    </w:pPr>
    <w:fldSimple w:instr=" TITLE   \* MERGEFORMAT ">
      <w:r w:rsidR="00B51480">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58A14" w14:textId="74826794" w:rsidR="00153AE5" w:rsidRDefault="00153AE5">
    <w:pPr>
      <w:pStyle w:val="Header"/>
    </w:pPr>
    <w:r>
      <w:t>Goods and Services Tax and state taxes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12A1E" w14:textId="4DA86E97" w:rsidR="00153AE5" w:rsidRPr="00F063B4" w:rsidRDefault="00153AE5" w:rsidP="00F063B4">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51A78779" wp14:editId="1E60597A">
              <wp:simplePos x="0" y="0"/>
              <wp:positionH relativeFrom="column">
                <wp:posOffset>-900430</wp:posOffset>
              </wp:positionH>
              <wp:positionV relativeFrom="paragraph">
                <wp:posOffset>-450215</wp:posOffset>
              </wp:positionV>
              <wp:extent cx="7595870" cy="1724400"/>
              <wp:effectExtent l="0" t="0" r="5080" b="9525"/>
              <wp:wrapNone/>
              <wp:docPr id="2" name="Rectangle 2"/>
              <wp:cNvGraphicFramePr/>
              <a:graphic xmlns:a="http://schemas.openxmlformats.org/drawingml/2006/main">
                <a:graphicData uri="http://schemas.microsoft.com/office/word/2010/wordprocessingShape">
                  <wps:wsp>
                    <wps:cNvSpPr/>
                    <wps:spPr>
                      <a:xfrm>
                        <a:off x="0" y="0"/>
                        <a:ext cx="7595870" cy="1724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0.9pt;margin-top:-35.45pt;width:598.1pt;height:13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ED4DC" w14:textId="60BE5F42" w:rsidR="00153AE5" w:rsidRPr="00F62916" w:rsidRDefault="00AD597E" w:rsidP="00F62916">
    <w:pPr>
      <w:pStyle w:val="HeaderEven"/>
    </w:pPr>
    <w:fldSimple w:instr=" TITLE   \* MERGEFORMAT ">
      <w:r w:rsidR="00B51480">
        <w:t>Tax Discussion Paper</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FF806" w14:textId="6920F258" w:rsidR="00153AE5" w:rsidRPr="00AF5D97" w:rsidRDefault="00153AE5" w:rsidP="00AF5D97">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2449A0"/>
    <w:multiLevelType w:val="hybridMultilevel"/>
    <w:tmpl w:val="F5B02BBE"/>
    <w:name w:val="HeadingList2233"/>
    <w:lvl w:ilvl="0" w:tplc="907EB686">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10653560"/>
    <w:multiLevelType w:val="multilevel"/>
    <w:tmpl w:val="72F8140E"/>
    <w:styleLink w:val="OutlineList"/>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2B26652"/>
    <w:multiLevelType w:val="multilevel"/>
    <w:tmpl w:val="7450BD92"/>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8.%2"/>
      <w:lvlJc w:val="left"/>
      <w:pPr>
        <w:ind w:left="714" w:hanging="357"/>
      </w:pPr>
      <w:rPr>
        <w:rFonts w:hint="default"/>
        <w:b/>
        <w:i w:val="0"/>
        <w:iCs w:val="0"/>
        <w: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7">
    <w:nsid w:val="18313C8F"/>
    <w:multiLevelType w:val="multilevel"/>
    <w:tmpl w:val="6464A78C"/>
    <w:name w:val="StandardNumberedList23"/>
    <w:lvl w:ilvl="0">
      <w:start w:val="8"/>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9">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0">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2">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3">
    <w:nsid w:val="2B8242BE"/>
    <w:multiLevelType w:val="hybridMultilevel"/>
    <w:tmpl w:val="B8A06DD0"/>
    <w:name w:val="StandardNumberedList22"/>
    <w:lvl w:ilvl="0" w:tplc="5B0C774C">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6">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7">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8">
    <w:nsid w:val="30DE7925"/>
    <w:multiLevelType w:val="hybridMultilevel"/>
    <w:tmpl w:val="359043F2"/>
    <w:name w:val="HeadingList22332"/>
    <w:lvl w:ilvl="0" w:tplc="FE78EDB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30C16AD"/>
    <w:multiLevelType w:val="multilevel"/>
    <w:tmpl w:val="D10E9CF6"/>
    <w:styleLink w:val="OneLevelList"/>
    <w:lvl w:ilvl="0">
      <w:start w:val="1"/>
      <w:numFmt w:val="decimal"/>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34343"/>
    <w:multiLevelType w:val="multilevel"/>
    <w:tmpl w:val="EA00A7BE"/>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6BC51F5"/>
    <w:multiLevelType w:val="multilevel"/>
    <w:tmpl w:val="16262FB8"/>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8D66B1F"/>
    <w:multiLevelType w:val="hybridMultilevel"/>
    <w:tmpl w:val="51BC0D50"/>
    <w:lvl w:ilvl="0" w:tplc="8A5C6ADE">
      <w:start w:val="47"/>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7">
    <w:nsid w:val="510D2021"/>
    <w:multiLevelType w:val="multilevel"/>
    <w:tmpl w:val="72F8140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9">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0">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33A59A1"/>
    <w:multiLevelType w:val="hybridMultilevel"/>
    <w:tmpl w:val="F0FCAB66"/>
    <w:lvl w:ilvl="0" w:tplc="769CB748">
      <w:start w:val="51"/>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9"/>
  </w:num>
  <w:num w:numId="3">
    <w:abstractNumId w:val="16"/>
  </w:num>
  <w:num w:numId="4">
    <w:abstractNumId w:val="26"/>
  </w:num>
  <w:num w:numId="5">
    <w:abstractNumId w:val="28"/>
  </w:num>
  <w:num w:numId="6">
    <w:abstractNumId w:val="8"/>
  </w:num>
  <w:num w:numId="7">
    <w:abstractNumId w:val="29"/>
  </w:num>
  <w:num w:numId="8">
    <w:abstractNumId w:val="12"/>
  </w:num>
  <w:num w:numId="9">
    <w:abstractNumId w:val="15"/>
  </w:num>
  <w:num w:numId="10">
    <w:abstractNumId w:val="9"/>
  </w:num>
  <w:num w:numId="11">
    <w:abstractNumId w:val="3"/>
  </w:num>
  <w:num w:numId="12">
    <w:abstractNumId w:val="19"/>
  </w:num>
  <w:num w:numId="13">
    <w:abstractNumId w:val="17"/>
  </w:num>
  <w:num w:numId="14">
    <w:abstractNumId w:val="4"/>
  </w:num>
  <w:num w:numId="15">
    <w:abstractNumId w:val="27"/>
  </w:num>
  <w:num w:numId="16">
    <w:abstractNumId w:val="1"/>
  </w:num>
  <w:num w:numId="17">
    <w:abstractNumId w:val="25"/>
  </w:num>
  <w:num w:numId="18">
    <w:abstractNumId w:val="5"/>
  </w:num>
  <w:num w:numId="19">
    <w:abstractNumId w:val="34"/>
  </w:num>
  <w:num w:numId="20">
    <w:abstractNumId w:val="10"/>
  </w:num>
  <w:num w:numId="21">
    <w:abstractNumId w:val="13"/>
  </w:num>
  <w:num w:numId="22">
    <w:abstractNumId w:val="23"/>
  </w:num>
  <w:num w:numId="23">
    <w:abstractNumId w:val="30"/>
  </w:num>
  <w:num w:numId="24">
    <w:abstractNumId w:val="31"/>
  </w:num>
  <w:num w:numId="25">
    <w:abstractNumId w:val="0"/>
  </w:num>
  <w:num w:numId="26">
    <w:abstractNumId w:val="14"/>
  </w:num>
  <w:num w:numId="27">
    <w:abstractNumId w:val="22"/>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403457"/>
  </w:hdrShapeDefaults>
  <w:footnotePr>
    <w:numStart w:val="148"/>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6595"/>
    <w:rsid w:val="00006CB3"/>
    <w:rsid w:val="00006F7E"/>
    <w:rsid w:val="0000739F"/>
    <w:rsid w:val="0001130A"/>
    <w:rsid w:val="0001159F"/>
    <w:rsid w:val="00011A7E"/>
    <w:rsid w:val="000120BC"/>
    <w:rsid w:val="000122FC"/>
    <w:rsid w:val="000152DD"/>
    <w:rsid w:val="00016961"/>
    <w:rsid w:val="00017F4C"/>
    <w:rsid w:val="000207F4"/>
    <w:rsid w:val="000218B3"/>
    <w:rsid w:val="000240B5"/>
    <w:rsid w:val="000245D4"/>
    <w:rsid w:val="0002478F"/>
    <w:rsid w:val="000248DA"/>
    <w:rsid w:val="000253DF"/>
    <w:rsid w:val="00027055"/>
    <w:rsid w:val="00030A33"/>
    <w:rsid w:val="00031552"/>
    <w:rsid w:val="00032D0F"/>
    <w:rsid w:val="000345B3"/>
    <w:rsid w:val="00036F15"/>
    <w:rsid w:val="00040AD6"/>
    <w:rsid w:val="00041B18"/>
    <w:rsid w:val="00043322"/>
    <w:rsid w:val="00043C54"/>
    <w:rsid w:val="0004481B"/>
    <w:rsid w:val="00045BB2"/>
    <w:rsid w:val="00046561"/>
    <w:rsid w:val="000467F7"/>
    <w:rsid w:val="00046BF5"/>
    <w:rsid w:val="0004779F"/>
    <w:rsid w:val="000502A0"/>
    <w:rsid w:val="00056E5D"/>
    <w:rsid w:val="00057308"/>
    <w:rsid w:val="0005744E"/>
    <w:rsid w:val="000607A4"/>
    <w:rsid w:val="00060A7A"/>
    <w:rsid w:val="00061AE5"/>
    <w:rsid w:val="00062DA6"/>
    <w:rsid w:val="000630C8"/>
    <w:rsid w:val="000634DB"/>
    <w:rsid w:val="000639F7"/>
    <w:rsid w:val="0006529A"/>
    <w:rsid w:val="00065E39"/>
    <w:rsid w:val="000674D7"/>
    <w:rsid w:val="000678BB"/>
    <w:rsid w:val="00071493"/>
    <w:rsid w:val="000728F5"/>
    <w:rsid w:val="00075286"/>
    <w:rsid w:val="000757B5"/>
    <w:rsid w:val="00075925"/>
    <w:rsid w:val="00075F90"/>
    <w:rsid w:val="000814D3"/>
    <w:rsid w:val="00081BE1"/>
    <w:rsid w:val="000850B2"/>
    <w:rsid w:val="00085267"/>
    <w:rsid w:val="00090259"/>
    <w:rsid w:val="0009225D"/>
    <w:rsid w:val="000933DD"/>
    <w:rsid w:val="0009382C"/>
    <w:rsid w:val="00093951"/>
    <w:rsid w:val="00096330"/>
    <w:rsid w:val="000A1E1B"/>
    <w:rsid w:val="000A1E83"/>
    <w:rsid w:val="000A1EC1"/>
    <w:rsid w:val="000A205C"/>
    <w:rsid w:val="000A2576"/>
    <w:rsid w:val="000A40A1"/>
    <w:rsid w:val="000B0033"/>
    <w:rsid w:val="000B141F"/>
    <w:rsid w:val="000B4C34"/>
    <w:rsid w:val="000B5B0D"/>
    <w:rsid w:val="000C1E2F"/>
    <w:rsid w:val="000C4E37"/>
    <w:rsid w:val="000C50CF"/>
    <w:rsid w:val="000C682F"/>
    <w:rsid w:val="000C6C8A"/>
    <w:rsid w:val="000C6FAE"/>
    <w:rsid w:val="000C7605"/>
    <w:rsid w:val="000D0788"/>
    <w:rsid w:val="000D4AB9"/>
    <w:rsid w:val="000D531A"/>
    <w:rsid w:val="000D5E6A"/>
    <w:rsid w:val="000E0052"/>
    <w:rsid w:val="000E0672"/>
    <w:rsid w:val="000E1EB2"/>
    <w:rsid w:val="000E1EBE"/>
    <w:rsid w:val="000E264C"/>
    <w:rsid w:val="000E4425"/>
    <w:rsid w:val="000E444C"/>
    <w:rsid w:val="000E73FE"/>
    <w:rsid w:val="000F2AB9"/>
    <w:rsid w:val="000F4F48"/>
    <w:rsid w:val="000F58FA"/>
    <w:rsid w:val="000F5904"/>
    <w:rsid w:val="00102188"/>
    <w:rsid w:val="00103EE9"/>
    <w:rsid w:val="0010465A"/>
    <w:rsid w:val="00105581"/>
    <w:rsid w:val="00105744"/>
    <w:rsid w:val="001060CC"/>
    <w:rsid w:val="00110057"/>
    <w:rsid w:val="001103A1"/>
    <w:rsid w:val="001110C1"/>
    <w:rsid w:val="00111412"/>
    <w:rsid w:val="00112C8B"/>
    <w:rsid w:val="001156BC"/>
    <w:rsid w:val="001158BD"/>
    <w:rsid w:val="00116CCA"/>
    <w:rsid w:val="001179A1"/>
    <w:rsid w:val="00120BCD"/>
    <w:rsid w:val="00122B9F"/>
    <w:rsid w:val="00123CDD"/>
    <w:rsid w:val="00123D7F"/>
    <w:rsid w:val="00124475"/>
    <w:rsid w:val="0012637D"/>
    <w:rsid w:val="00127795"/>
    <w:rsid w:val="00130749"/>
    <w:rsid w:val="00130AF9"/>
    <w:rsid w:val="00130E0A"/>
    <w:rsid w:val="00133655"/>
    <w:rsid w:val="00137D2E"/>
    <w:rsid w:val="00137D56"/>
    <w:rsid w:val="001416A5"/>
    <w:rsid w:val="00141A3B"/>
    <w:rsid w:val="00141AEB"/>
    <w:rsid w:val="0014317D"/>
    <w:rsid w:val="00143E7B"/>
    <w:rsid w:val="001456F2"/>
    <w:rsid w:val="00145986"/>
    <w:rsid w:val="001461AC"/>
    <w:rsid w:val="001463BF"/>
    <w:rsid w:val="0014795F"/>
    <w:rsid w:val="00152624"/>
    <w:rsid w:val="00153AE5"/>
    <w:rsid w:val="00154210"/>
    <w:rsid w:val="00154F19"/>
    <w:rsid w:val="00156908"/>
    <w:rsid w:val="001576F4"/>
    <w:rsid w:val="00157A8A"/>
    <w:rsid w:val="00162E7A"/>
    <w:rsid w:val="00163F01"/>
    <w:rsid w:val="00165095"/>
    <w:rsid w:val="00165297"/>
    <w:rsid w:val="0016554A"/>
    <w:rsid w:val="00166459"/>
    <w:rsid w:val="00167010"/>
    <w:rsid w:val="001674C0"/>
    <w:rsid w:val="00170BE9"/>
    <w:rsid w:val="00171142"/>
    <w:rsid w:val="00173FA3"/>
    <w:rsid w:val="0018699A"/>
    <w:rsid w:val="00187C37"/>
    <w:rsid w:val="00190950"/>
    <w:rsid w:val="00193A61"/>
    <w:rsid w:val="00193F5C"/>
    <w:rsid w:val="00194A75"/>
    <w:rsid w:val="00194CEA"/>
    <w:rsid w:val="00195162"/>
    <w:rsid w:val="00195450"/>
    <w:rsid w:val="00195AC5"/>
    <w:rsid w:val="001A0D14"/>
    <w:rsid w:val="001A19F7"/>
    <w:rsid w:val="001A26CD"/>
    <w:rsid w:val="001A35BA"/>
    <w:rsid w:val="001A3F07"/>
    <w:rsid w:val="001A5AE3"/>
    <w:rsid w:val="001A70EE"/>
    <w:rsid w:val="001A73F8"/>
    <w:rsid w:val="001A7535"/>
    <w:rsid w:val="001A7CE1"/>
    <w:rsid w:val="001B0FEC"/>
    <w:rsid w:val="001B22BE"/>
    <w:rsid w:val="001B6BC8"/>
    <w:rsid w:val="001B7B6C"/>
    <w:rsid w:val="001C11E4"/>
    <w:rsid w:val="001C1B81"/>
    <w:rsid w:val="001C4C6C"/>
    <w:rsid w:val="001C7A1B"/>
    <w:rsid w:val="001D07B8"/>
    <w:rsid w:val="001D07C4"/>
    <w:rsid w:val="001D3C51"/>
    <w:rsid w:val="001D52FD"/>
    <w:rsid w:val="001D5FE2"/>
    <w:rsid w:val="001D62E1"/>
    <w:rsid w:val="001D6D15"/>
    <w:rsid w:val="001D7160"/>
    <w:rsid w:val="001E1ACA"/>
    <w:rsid w:val="001E23E4"/>
    <w:rsid w:val="001E2DFA"/>
    <w:rsid w:val="001E3B31"/>
    <w:rsid w:val="001E7828"/>
    <w:rsid w:val="001F2686"/>
    <w:rsid w:val="001F2D76"/>
    <w:rsid w:val="001F6D18"/>
    <w:rsid w:val="00200342"/>
    <w:rsid w:val="00201196"/>
    <w:rsid w:val="00203B63"/>
    <w:rsid w:val="0020448F"/>
    <w:rsid w:val="00210244"/>
    <w:rsid w:val="0021517F"/>
    <w:rsid w:val="002151E2"/>
    <w:rsid w:val="00217356"/>
    <w:rsid w:val="0022227A"/>
    <w:rsid w:val="00222A45"/>
    <w:rsid w:val="00224A32"/>
    <w:rsid w:val="00224B80"/>
    <w:rsid w:val="00224ED7"/>
    <w:rsid w:val="002334E1"/>
    <w:rsid w:val="00233F4A"/>
    <w:rsid w:val="00234446"/>
    <w:rsid w:val="0023599D"/>
    <w:rsid w:val="0023718B"/>
    <w:rsid w:val="002371CE"/>
    <w:rsid w:val="00240AAC"/>
    <w:rsid w:val="002413BE"/>
    <w:rsid w:val="00241474"/>
    <w:rsid w:val="0024227C"/>
    <w:rsid w:val="00245CA3"/>
    <w:rsid w:val="00251117"/>
    <w:rsid w:val="002528CF"/>
    <w:rsid w:val="00253535"/>
    <w:rsid w:val="0025799D"/>
    <w:rsid w:val="00263727"/>
    <w:rsid w:val="00263A38"/>
    <w:rsid w:val="00264CEB"/>
    <w:rsid w:val="00265155"/>
    <w:rsid w:val="00265338"/>
    <w:rsid w:val="002660E7"/>
    <w:rsid w:val="00267DDE"/>
    <w:rsid w:val="00272B18"/>
    <w:rsid w:val="0027373E"/>
    <w:rsid w:val="00274F4D"/>
    <w:rsid w:val="00276140"/>
    <w:rsid w:val="0027739F"/>
    <w:rsid w:val="00280517"/>
    <w:rsid w:val="00281B34"/>
    <w:rsid w:val="0028210D"/>
    <w:rsid w:val="0028318C"/>
    <w:rsid w:val="002835FC"/>
    <w:rsid w:val="002845BF"/>
    <w:rsid w:val="00285298"/>
    <w:rsid w:val="00285777"/>
    <w:rsid w:val="00287531"/>
    <w:rsid w:val="002875C6"/>
    <w:rsid w:val="00287799"/>
    <w:rsid w:val="0029225D"/>
    <w:rsid w:val="00292BDB"/>
    <w:rsid w:val="00295880"/>
    <w:rsid w:val="00296EB7"/>
    <w:rsid w:val="002A0E02"/>
    <w:rsid w:val="002A108D"/>
    <w:rsid w:val="002A1A8B"/>
    <w:rsid w:val="002A2C88"/>
    <w:rsid w:val="002A2FC5"/>
    <w:rsid w:val="002A3546"/>
    <w:rsid w:val="002A44BB"/>
    <w:rsid w:val="002A63FE"/>
    <w:rsid w:val="002A6B34"/>
    <w:rsid w:val="002B00B2"/>
    <w:rsid w:val="002B0FB2"/>
    <w:rsid w:val="002B26AD"/>
    <w:rsid w:val="002B4781"/>
    <w:rsid w:val="002B5AC8"/>
    <w:rsid w:val="002B5EE9"/>
    <w:rsid w:val="002C004E"/>
    <w:rsid w:val="002C0D3A"/>
    <w:rsid w:val="002C10AB"/>
    <w:rsid w:val="002C1B8E"/>
    <w:rsid w:val="002C1E4E"/>
    <w:rsid w:val="002C2506"/>
    <w:rsid w:val="002C6DD6"/>
    <w:rsid w:val="002C6E35"/>
    <w:rsid w:val="002D18F1"/>
    <w:rsid w:val="002D2743"/>
    <w:rsid w:val="002D31D9"/>
    <w:rsid w:val="002D47FE"/>
    <w:rsid w:val="002D4855"/>
    <w:rsid w:val="002D54B1"/>
    <w:rsid w:val="002D6544"/>
    <w:rsid w:val="002D667C"/>
    <w:rsid w:val="002D6DAF"/>
    <w:rsid w:val="002E13E1"/>
    <w:rsid w:val="002E1E15"/>
    <w:rsid w:val="002E5142"/>
    <w:rsid w:val="002E51B1"/>
    <w:rsid w:val="002E5388"/>
    <w:rsid w:val="002E5FB7"/>
    <w:rsid w:val="002E6E39"/>
    <w:rsid w:val="002F2128"/>
    <w:rsid w:val="002F354C"/>
    <w:rsid w:val="002F377B"/>
    <w:rsid w:val="002F3D8E"/>
    <w:rsid w:val="002F59BB"/>
    <w:rsid w:val="002F60A1"/>
    <w:rsid w:val="002F6F3C"/>
    <w:rsid w:val="002F7B4E"/>
    <w:rsid w:val="002F7EAD"/>
    <w:rsid w:val="00300CAF"/>
    <w:rsid w:val="00302DBF"/>
    <w:rsid w:val="00303E28"/>
    <w:rsid w:val="00304A0F"/>
    <w:rsid w:val="00305E84"/>
    <w:rsid w:val="00311161"/>
    <w:rsid w:val="00311C6D"/>
    <w:rsid w:val="00312095"/>
    <w:rsid w:val="003121DB"/>
    <w:rsid w:val="00312CF0"/>
    <w:rsid w:val="0031342C"/>
    <w:rsid w:val="0031346E"/>
    <w:rsid w:val="003138F2"/>
    <w:rsid w:val="003141ED"/>
    <w:rsid w:val="003148AB"/>
    <w:rsid w:val="00316E8C"/>
    <w:rsid w:val="003171B2"/>
    <w:rsid w:val="00321F91"/>
    <w:rsid w:val="003224DA"/>
    <w:rsid w:val="00322C51"/>
    <w:rsid w:val="003237CB"/>
    <w:rsid w:val="0032405E"/>
    <w:rsid w:val="003257FE"/>
    <w:rsid w:val="003263A1"/>
    <w:rsid w:val="00326C3D"/>
    <w:rsid w:val="0033013B"/>
    <w:rsid w:val="0033172C"/>
    <w:rsid w:val="003321D6"/>
    <w:rsid w:val="00332354"/>
    <w:rsid w:val="00333263"/>
    <w:rsid w:val="003418A7"/>
    <w:rsid w:val="00345553"/>
    <w:rsid w:val="00350577"/>
    <w:rsid w:val="0035103C"/>
    <w:rsid w:val="00353652"/>
    <w:rsid w:val="0035397A"/>
    <w:rsid w:val="003577F3"/>
    <w:rsid w:val="00357E2F"/>
    <w:rsid w:val="0036031F"/>
    <w:rsid w:val="00360C61"/>
    <w:rsid w:val="00362917"/>
    <w:rsid w:val="00362982"/>
    <w:rsid w:val="00362C93"/>
    <w:rsid w:val="0036339D"/>
    <w:rsid w:val="00363838"/>
    <w:rsid w:val="00364738"/>
    <w:rsid w:val="00365C82"/>
    <w:rsid w:val="00366BF8"/>
    <w:rsid w:val="003707CD"/>
    <w:rsid w:val="00370CAF"/>
    <w:rsid w:val="0037345F"/>
    <w:rsid w:val="00373BE5"/>
    <w:rsid w:val="003746EF"/>
    <w:rsid w:val="003812C6"/>
    <w:rsid w:val="003812CD"/>
    <w:rsid w:val="00381778"/>
    <w:rsid w:val="0038600A"/>
    <w:rsid w:val="00386063"/>
    <w:rsid w:val="003872C8"/>
    <w:rsid w:val="0038785D"/>
    <w:rsid w:val="00393DB2"/>
    <w:rsid w:val="00393F4D"/>
    <w:rsid w:val="00395B0F"/>
    <w:rsid w:val="00395B54"/>
    <w:rsid w:val="003A0A91"/>
    <w:rsid w:val="003A20E3"/>
    <w:rsid w:val="003A2A70"/>
    <w:rsid w:val="003A48BB"/>
    <w:rsid w:val="003A52A6"/>
    <w:rsid w:val="003B0AE9"/>
    <w:rsid w:val="003B208F"/>
    <w:rsid w:val="003B22F1"/>
    <w:rsid w:val="003B24D0"/>
    <w:rsid w:val="003B3394"/>
    <w:rsid w:val="003B5021"/>
    <w:rsid w:val="003B556E"/>
    <w:rsid w:val="003B5F07"/>
    <w:rsid w:val="003B6D20"/>
    <w:rsid w:val="003C08B4"/>
    <w:rsid w:val="003C1DA5"/>
    <w:rsid w:val="003C2C93"/>
    <w:rsid w:val="003C2E1F"/>
    <w:rsid w:val="003C54B4"/>
    <w:rsid w:val="003C7AEB"/>
    <w:rsid w:val="003D1C88"/>
    <w:rsid w:val="003D314E"/>
    <w:rsid w:val="003D37BC"/>
    <w:rsid w:val="003D4752"/>
    <w:rsid w:val="003E0951"/>
    <w:rsid w:val="003E207A"/>
    <w:rsid w:val="003E2606"/>
    <w:rsid w:val="003E3B91"/>
    <w:rsid w:val="003E3F68"/>
    <w:rsid w:val="003E41AC"/>
    <w:rsid w:val="003E54EE"/>
    <w:rsid w:val="003E73C6"/>
    <w:rsid w:val="003E7AA6"/>
    <w:rsid w:val="003F2C2B"/>
    <w:rsid w:val="003F3B9F"/>
    <w:rsid w:val="004018FC"/>
    <w:rsid w:val="004035AF"/>
    <w:rsid w:val="00403718"/>
    <w:rsid w:val="00403C89"/>
    <w:rsid w:val="00405FE1"/>
    <w:rsid w:val="00406CC3"/>
    <w:rsid w:val="00410E6E"/>
    <w:rsid w:val="004118FD"/>
    <w:rsid w:val="00412D26"/>
    <w:rsid w:val="0041420C"/>
    <w:rsid w:val="0042141E"/>
    <w:rsid w:val="0042164F"/>
    <w:rsid w:val="00421697"/>
    <w:rsid w:val="00423E21"/>
    <w:rsid w:val="004240E6"/>
    <w:rsid w:val="00424549"/>
    <w:rsid w:val="00424AEF"/>
    <w:rsid w:val="00426A02"/>
    <w:rsid w:val="004306CC"/>
    <w:rsid w:val="00431F7F"/>
    <w:rsid w:val="00432B15"/>
    <w:rsid w:val="004347FA"/>
    <w:rsid w:val="00435E86"/>
    <w:rsid w:val="00437AAF"/>
    <w:rsid w:val="00437E9B"/>
    <w:rsid w:val="00440FEE"/>
    <w:rsid w:val="0044202B"/>
    <w:rsid w:val="004431DC"/>
    <w:rsid w:val="00443ECD"/>
    <w:rsid w:val="00444893"/>
    <w:rsid w:val="0044524C"/>
    <w:rsid w:val="00446274"/>
    <w:rsid w:val="0044657A"/>
    <w:rsid w:val="00446751"/>
    <w:rsid w:val="00447A30"/>
    <w:rsid w:val="0045339B"/>
    <w:rsid w:val="00456F91"/>
    <w:rsid w:val="00461BB2"/>
    <w:rsid w:val="00465062"/>
    <w:rsid w:val="00465906"/>
    <w:rsid w:val="00465EA7"/>
    <w:rsid w:val="00467E7F"/>
    <w:rsid w:val="0047120F"/>
    <w:rsid w:val="00476EEA"/>
    <w:rsid w:val="00480ACC"/>
    <w:rsid w:val="00482849"/>
    <w:rsid w:val="00482C3F"/>
    <w:rsid w:val="00483786"/>
    <w:rsid w:val="0048495A"/>
    <w:rsid w:val="00486741"/>
    <w:rsid w:val="00487401"/>
    <w:rsid w:val="0048777E"/>
    <w:rsid w:val="0048780A"/>
    <w:rsid w:val="00487C8B"/>
    <w:rsid w:val="00491D9C"/>
    <w:rsid w:val="00493056"/>
    <w:rsid w:val="004937D4"/>
    <w:rsid w:val="00496A2E"/>
    <w:rsid w:val="004971E7"/>
    <w:rsid w:val="00497DEE"/>
    <w:rsid w:val="004A1203"/>
    <w:rsid w:val="004A127B"/>
    <w:rsid w:val="004A1773"/>
    <w:rsid w:val="004A23C4"/>
    <w:rsid w:val="004A46FA"/>
    <w:rsid w:val="004B0112"/>
    <w:rsid w:val="004B0603"/>
    <w:rsid w:val="004B08C4"/>
    <w:rsid w:val="004B14DC"/>
    <w:rsid w:val="004B4DB6"/>
    <w:rsid w:val="004C039E"/>
    <w:rsid w:val="004C14A7"/>
    <w:rsid w:val="004C34D6"/>
    <w:rsid w:val="004C378E"/>
    <w:rsid w:val="004C3808"/>
    <w:rsid w:val="004C452F"/>
    <w:rsid w:val="004D05FC"/>
    <w:rsid w:val="004D10DD"/>
    <w:rsid w:val="004D1FCD"/>
    <w:rsid w:val="004D2595"/>
    <w:rsid w:val="004D3D92"/>
    <w:rsid w:val="004D4B6D"/>
    <w:rsid w:val="004D611B"/>
    <w:rsid w:val="004D6FD3"/>
    <w:rsid w:val="004E667B"/>
    <w:rsid w:val="004E7E9F"/>
    <w:rsid w:val="004F45E7"/>
    <w:rsid w:val="004F4C7D"/>
    <w:rsid w:val="004F52D6"/>
    <w:rsid w:val="004F56FE"/>
    <w:rsid w:val="004F57AC"/>
    <w:rsid w:val="0050008D"/>
    <w:rsid w:val="0050060F"/>
    <w:rsid w:val="00500970"/>
    <w:rsid w:val="00501071"/>
    <w:rsid w:val="00501E98"/>
    <w:rsid w:val="005020DB"/>
    <w:rsid w:val="00502928"/>
    <w:rsid w:val="0050462C"/>
    <w:rsid w:val="0050641B"/>
    <w:rsid w:val="00506C88"/>
    <w:rsid w:val="005102C0"/>
    <w:rsid w:val="005114F8"/>
    <w:rsid w:val="00513720"/>
    <w:rsid w:val="00513939"/>
    <w:rsid w:val="00513FFD"/>
    <w:rsid w:val="00514A0C"/>
    <w:rsid w:val="00515934"/>
    <w:rsid w:val="00517400"/>
    <w:rsid w:val="005176AA"/>
    <w:rsid w:val="005209C4"/>
    <w:rsid w:val="00521DBB"/>
    <w:rsid w:val="00522228"/>
    <w:rsid w:val="005224B7"/>
    <w:rsid w:val="005233DD"/>
    <w:rsid w:val="0052543A"/>
    <w:rsid w:val="0052573C"/>
    <w:rsid w:val="00526C77"/>
    <w:rsid w:val="00527898"/>
    <w:rsid w:val="00532355"/>
    <w:rsid w:val="00532DE2"/>
    <w:rsid w:val="00532E77"/>
    <w:rsid w:val="00533D1D"/>
    <w:rsid w:val="005374E0"/>
    <w:rsid w:val="005400CF"/>
    <w:rsid w:val="00542248"/>
    <w:rsid w:val="005432E9"/>
    <w:rsid w:val="0054363A"/>
    <w:rsid w:val="00544186"/>
    <w:rsid w:val="00545267"/>
    <w:rsid w:val="00552064"/>
    <w:rsid w:val="005546C5"/>
    <w:rsid w:val="00554930"/>
    <w:rsid w:val="00554CDB"/>
    <w:rsid w:val="00556032"/>
    <w:rsid w:val="0055748C"/>
    <w:rsid w:val="005609D4"/>
    <w:rsid w:val="0056122C"/>
    <w:rsid w:val="00561DE6"/>
    <w:rsid w:val="005620CE"/>
    <w:rsid w:val="005625CD"/>
    <w:rsid w:val="00564CE8"/>
    <w:rsid w:val="0056743E"/>
    <w:rsid w:val="005708FA"/>
    <w:rsid w:val="00570AD0"/>
    <w:rsid w:val="00571180"/>
    <w:rsid w:val="00571A2A"/>
    <w:rsid w:val="0057381F"/>
    <w:rsid w:val="00573F89"/>
    <w:rsid w:val="00576018"/>
    <w:rsid w:val="005774C0"/>
    <w:rsid w:val="00580F3B"/>
    <w:rsid w:val="00581A9D"/>
    <w:rsid w:val="00581D2D"/>
    <w:rsid w:val="005822EC"/>
    <w:rsid w:val="00583ADB"/>
    <w:rsid w:val="005900D3"/>
    <w:rsid w:val="00592048"/>
    <w:rsid w:val="00592097"/>
    <w:rsid w:val="0059311A"/>
    <w:rsid w:val="00593EE7"/>
    <w:rsid w:val="00593FE6"/>
    <w:rsid w:val="0059400B"/>
    <w:rsid w:val="0059513E"/>
    <w:rsid w:val="005A089C"/>
    <w:rsid w:val="005A192A"/>
    <w:rsid w:val="005A2777"/>
    <w:rsid w:val="005A3D75"/>
    <w:rsid w:val="005A7EE6"/>
    <w:rsid w:val="005B00BF"/>
    <w:rsid w:val="005B1DED"/>
    <w:rsid w:val="005C1EE4"/>
    <w:rsid w:val="005C2314"/>
    <w:rsid w:val="005C49BE"/>
    <w:rsid w:val="005C62E0"/>
    <w:rsid w:val="005C739B"/>
    <w:rsid w:val="005C7CCA"/>
    <w:rsid w:val="005D02FA"/>
    <w:rsid w:val="005D321C"/>
    <w:rsid w:val="005D442D"/>
    <w:rsid w:val="005D5280"/>
    <w:rsid w:val="005D6F64"/>
    <w:rsid w:val="005E1889"/>
    <w:rsid w:val="005E19C0"/>
    <w:rsid w:val="005E1C0B"/>
    <w:rsid w:val="005E2A26"/>
    <w:rsid w:val="005E6DFF"/>
    <w:rsid w:val="005E76C1"/>
    <w:rsid w:val="005F0AA8"/>
    <w:rsid w:val="005F1306"/>
    <w:rsid w:val="005F1986"/>
    <w:rsid w:val="005F1F3F"/>
    <w:rsid w:val="005F3412"/>
    <w:rsid w:val="005F3BFA"/>
    <w:rsid w:val="005F4650"/>
    <w:rsid w:val="005F59CA"/>
    <w:rsid w:val="005F63DA"/>
    <w:rsid w:val="005F648E"/>
    <w:rsid w:val="005F67F4"/>
    <w:rsid w:val="005F7122"/>
    <w:rsid w:val="005F78AF"/>
    <w:rsid w:val="006002D8"/>
    <w:rsid w:val="00602C26"/>
    <w:rsid w:val="00602FAC"/>
    <w:rsid w:val="00603AB5"/>
    <w:rsid w:val="006046BE"/>
    <w:rsid w:val="00605CEE"/>
    <w:rsid w:val="006106D3"/>
    <w:rsid w:val="00611346"/>
    <w:rsid w:val="00611494"/>
    <w:rsid w:val="006136BB"/>
    <w:rsid w:val="006143F4"/>
    <w:rsid w:val="00615018"/>
    <w:rsid w:val="00617A83"/>
    <w:rsid w:val="00621E6D"/>
    <w:rsid w:val="006220EC"/>
    <w:rsid w:val="00622B05"/>
    <w:rsid w:val="0062685A"/>
    <w:rsid w:val="006309FE"/>
    <w:rsid w:val="00634574"/>
    <w:rsid w:val="00634909"/>
    <w:rsid w:val="0063737C"/>
    <w:rsid w:val="00637EA0"/>
    <w:rsid w:val="00641B16"/>
    <w:rsid w:val="00643955"/>
    <w:rsid w:val="00646A51"/>
    <w:rsid w:val="006509C1"/>
    <w:rsid w:val="006525C0"/>
    <w:rsid w:val="0065380F"/>
    <w:rsid w:val="00653EBE"/>
    <w:rsid w:val="006546A8"/>
    <w:rsid w:val="006549EA"/>
    <w:rsid w:val="0065637A"/>
    <w:rsid w:val="00660400"/>
    <w:rsid w:val="0066047A"/>
    <w:rsid w:val="0066331B"/>
    <w:rsid w:val="00664668"/>
    <w:rsid w:val="006652E9"/>
    <w:rsid w:val="00665617"/>
    <w:rsid w:val="00666F8E"/>
    <w:rsid w:val="00667F8D"/>
    <w:rsid w:val="006710B5"/>
    <w:rsid w:val="00672129"/>
    <w:rsid w:val="006721DE"/>
    <w:rsid w:val="006727D0"/>
    <w:rsid w:val="006728EC"/>
    <w:rsid w:val="00672BD4"/>
    <w:rsid w:val="0067413B"/>
    <w:rsid w:val="00674423"/>
    <w:rsid w:val="00677932"/>
    <w:rsid w:val="006816DD"/>
    <w:rsid w:val="006835DE"/>
    <w:rsid w:val="00687C9C"/>
    <w:rsid w:val="00691AEF"/>
    <w:rsid w:val="006942BE"/>
    <w:rsid w:val="006952C8"/>
    <w:rsid w:val="00696D2E"/>
    <w:rsid w:val="006974D8"/>
    <w:rsid w:val="006A3B07"/>
    <w:rsid w:val="006A4B75"/>
    <w:rsid w:val="006A57F3"/>
    <w:rsid w:val="006A771D"/>
    <w:rsid w:val="006A787E"/>
    <w:rsid w:val="006B1737"/>
    <w:rsid w:val="006B2708"/>
    <w:rsid w:val="006B4FE2"/>
    <w:rsid w:val="006B57AE"/>
    <w:rsid w:val="006C06F2"/>
    <w:rsid w:val="006C0D1B"/>
    <w:rsid w:val="006C20B7"/>
    <w:rsid w:val="006C20F0"/>
    <w:rsid w:val="006C384F"/>
    <w:rsid w:val="006C573F"/>
    <w:rsid w:val="006C5E25"/>
    <w:rsid w:val="006C5F3B"/>
    <w:rsid w:val="006D006E"/>
    <w:rsid w:val="006D07E9"/>
    <w:rsid w:val="006D0F9D"/>
    <w:rsid w:val="006D615D"/>
    <w:rsid w:val="006D6BFC"/>
    <w:rsid w:val="006D70CA"/>
    <w:rsid w:val="006E1F0E"/>
    <w:rsid w:val="006E243C"/>
    <w:rsid w:val="006F1A23"/>
    <w:rsid w:val="006F2754"/>
    <w:rsid w:val="006F2A21"/>
    <w:rsid w:val="006F3307"/>
    <w:rsid w:val="006F4822"/>
    <w:rsid w:val="006F61DC"/>
    <w:rsid w:val="006F78F1"/>
    <w:rsid w:val="00702E6A"/>
    <w:rsid w:val="0070356D"/>
    <w:rsid w:val="007040EB"/>
    <w:rsid w:val="00704EE7"/>
    <w:rsid w:val="00705A67"/>
    <w:rsid w:val="00705D38"/>
    <w:rsid w:val="00705FA3"/>
    <w:rsid w:val="00706482"/>
    <w:rsid w:val="00706B23"/>
    <w:rsid w:val="0071261D"/>
    <w:rsid w:val="00714D49"/>
    <w:rsid w:val="007159A2"/>
    <w:rsid w:val="0072141A"/>
    <w:rsid w:val="00721F81"/>
    <w:rsid w:val="007221E3"/>
    <w:rsid w:val="00724FEC"/>
    <w:rsid w:val="00730714"/>
    <w:rsid w:val="00731AA4"/>
    <w:rsid w:val="007333B8"/>
    <w:rsid w:val="00733703"/>
    <w:rsid w:val="00734782"/>
    <w:rsid w:val="00734988"/>
    <w:rsid w:val="00734C22"/>
    <w:rsid w:val="00734DD3"/>
    <w:rsid w:val="00735237"/>
    <w:rsid w:val="007354D8"/>
    <w:rsid w:val="007359A1"/>
    <w:rsid w:val="00736171"/>
    <w:rsid w:val="007368BD"/>
    <w:rsid w:val="00736D61"/>
    <w:rsid w:val="00737153"/>
    <w:rsid w:val="007415E3"/>
    <w:rsid w:val="00742327"/>
    <w:rsid w:val="00742F1E"/>
    <w:rsid w:val="007464EC"/>
    <w:rsid w:val="00750FAA"/>
    <w:rsid w:val="00751B80"/>
    <w:rsid w:val="00751EE2"/>
    <w:rsid w:val="00753039"/>
    <w:rsid w:val="0075340B"/>
    <w:rsid w:val="00753D92"/>
    <w:rsid w:val="007542ED"/>
    <w:rsid w:val="007549AF"/>
    <w:rsid w:val="0076102C"/>
    <w:rsid w:val="00761067"/>
    <w:rsid w:val="0076150E"/>
    <w:rsid w:val="00763B40"/>
    <w:rsid w:val="00766E55"/>
    <w:rsid w:val="007711EB"/>
    <w:rsid w:val="0077121B"/>
    <w:rsid w:val="00774B9A"/>
    <w:rsid w:val="0077523B"/>
    <w:rsid w:val="00776B64"/>
    <w:rsid w:val="00781B6B"/>
    <w:rsid w:val="007841A5"/>
    <w:rsid w:val="00784D44"/>
    <w:rsid w:val="00785A0F"/>
    <w:rsid w:val="007862BD"/>
    <w:rsid w:val="00787138"/>
    <w:rsid w:val="007877FA"/>
    <w:rsid w:val="00790598"/>
    <w:rsid w:val="007914A0"/>
    <w:rsid w:val="00791CB9"/>
    <w:rsid w:val="00792F6F"/>
    <w:rsid w:val="007948E7"/>
    <w:rsid w:val="007A0220"/>
    <w:rsid w:val="007A13AF"/>
    <w:rsid w:val="007A1641"/>
    <w:rsid w:val="007A1D7F"/>
    <w:rsid w:val="007A2772"/>
    <w:rsid w:val="007A2979"/>
    <w:rsid w:val="007A2B2F"/>
    <w:rsid w:val="007A2C8A"/>
    <w:rsid w:val="007A3A45"/>
    <w:rsid w:val="007A4103"/>
    <w:rsid w:val="007A6B3A"/>
    <w:rsid w:val="007B0B33"/>
    <w:rsid w:val="007B0EB6"/>
    <w:rsid w:val="007B1032"/>
    <w:rsid w:val="007B1577"/>
    <w:rsid w:val="007B1CF5"/>
    <w:rsid w:val="007B1EFF"/>
    <w:rsid w:val="007B5006"/>
    <w:rsid w:val="007B5010"/>
    <w:rsid w:val="007B6547"/>
    <w:rsid w:val="007B78A5"/>
    <w:rsid w:val="007B794A"/>
    <w:rsid w:val="007C1D90"/>
    <w:rsid w:val="007C1F41"/>
    <w:rsid w:val="007C2061"/>
    <w:rsid w:val="007C29B6"/>
    <w:rsid w:val="007C5ED3"/>
    <w:rsid w:val="007C5F7D"/>
    <w:rsid w:val="007D042B"/>
    <w:rsid w:val="007D11B3"/>
    <w:rsid w:val="007D2A9B"/>
    <w:rsid w:val="007D2D54"/>
    <w:rsid w:val="007D34F8"/>
    <w:rsid w:val="007D3D6D"/>
    <w:rsid w:val="007D784F"/>
    <w:rsid w:val="007D7CC4"/>
    <w:rsid w:val="007E0AFA"/>
    <w:rsid w:val="007E46BA"/>
    <w:rsid w:val="007E4E92"/>
    <w:rsid w:val="007E5898"/>
    <w:rsid w:val="007E7AB3"/>
    <w:rsid w:val="007F3517"/>
    <w:rsid w:val="007F3C2C"/>
    <w:rsid w:val="007F4235"/>
    <w:rsid w:val="007F7C8E"/>
    <w:rsid w:val="00803193"/>
    <w:rsid w:val="008041EC"/>
    <w:rsid w:val="0080426D"/>
    <w:rsid w:val="0080477D"/>
    <w:rsid w:val="00805B52"/>
    <w:rsid w:val="00807FCF"/>
    <w:rsid w:val="00810E57"/>
    <w:rsid w:val="00811D61"/>
    <w:rsid w:val="00814408"/>
    <w:rsid w:val="0081459B"/>
    <w:rsid w:val="00815210"/>
    <w:rsid w:val="00815875"/>
    <w:rsid w:val="00816113"/>
    <w:rsid w:val="00816ABB"/>
    <w:rsid w:val="00820EE1"/>
    <w:rsid w:val="008233AF"/>
    <w:rsid w:val="00825CE7"/>
    <w:rsid w:val="008260BB"/>
    <w:rsid w:val="00826DB3"/>
    <w:rsid w:val="00830BAD"/>
    <w:rsid w:val="00830D13"/>
    <w:rsid w:val="008330E7"/>
    <w:rsid w:val="008330F7"/>
    <w:rsid w:val="008341E8"/>
    <w:rsid w:val="0083515C"/>
    <w:rsid w:val="00837102"/>
    <w:rsid w:val="00837C46"/>
    <w:rsid w:val="00837C56"/>
    <w:rsid w:val="00842070"/>
    <w:rsid w:val="008454FE"/>
    <w:rsid w:val="00846644"/>
    <w:rsid w:val="00852829"/>
    <w:rsid w:val="008539ED"/>
    <w:rsid w:val="00853D0E"/>
    <w:rsid w:val="0085419E"/>
    <w:rsid w:val="008545AC"/>
    <w:rsid w:val="00856936"/>
    <w:rsid w:val="00860EBB"/>
    <w:rsid w:val="00861116"/>
    <w:rsid w:val="00861ABB"/>
    <w:rsid w:val="00862B9F"/>
    <w:rsid w:val="00863AA5"/>
    <w:rsid w:val="00864590"/>
    <w:rsid w:val="00865B4D"/>
    <w:rsid w:val="00867F31"/>
    <w:rsid w:val="008701CA"/>
    <w:rsid w:val="00870BFF"/>
    <w:rsid w:val="00871720"/>
    <w:rsid w:val="0087223D"/>
    <w:rsid w:val="00872915"/>
    <w:rsid w:val="00873564"/>
    <w:rsid w:val="008740BF"/>
    <w:rsid w:val="00875111"/>
    <w:rsid w:val="00880E7B"/>
    <w:rsid w:val="008811EC"/>
    <w:rsid w:val="00881A48"/>
    <w:rsid w:val="00882640"/>
    <w:rsid w:val="00882E80"/>
    <w:rsid w:val="00884AD0"/>
    <w:rsid w:val="0088618D"/>
    <w:rsid w:val="00887375"/>
    <w:rsid w:val="008919C1"/>
    <w:rsid w:val="00893924"/>
    <w:rsid w:val="00894B79"/>
    <w:rsid w:val="0089621C"/>
    <w:rsid w:val="00897847"/>
    <w:rsid w:val="008A1C82"/>
    <w:rsid w:val="008A1CFC"/>
    <w:rsid w:val="008A359E"/>
    <w:rsid w:val="008A41EA"/>
    <w:rsid w:val="008A4821"/>
    <w:rsid w:val="008A5172"/>
    <w:rsid w:val="008A6988"/>
    <w:rsid w:val="008B1752"/>
    <w:rsid w:val="008B2331"/>
    <w:rsid w:val="008B2637"/>
    <w:rsid w:val="008B29AD"/>
    <w:rsid w:val="008B39A1"/>
    <w:rsid w:val="008B3E13"/>
    <w:rsid w:val="008B4088"/>
    <w:rsid w:val="008B53DB"/>
    <w:rsid w:val="008B5519"/>
    <w:rsid w:val="008B664D"/>
    <w:rsid w:val="008B69FA"/>
    <w:rsid w:val="008C0FD7"/>
    <w:rsid w:val="008C15C7"/>
    <w:rsid w:val="008C5298"/>
    <w:rsid w:val="008C5FB5"/>
    <w:rsid w:val="008C6446"/>
    <w:rsid w:val="008C7D42"/>
    <w:rsid w:val="008C7DBF"/>
    <w:rsid w:val="008C7EA6"/>
    <w:rsid w:val="008D2E8B"/>
    <w:rsid w:val="008D3EDD"/>
    <w:rsid w:val="008D43FB"/>
    <w:rsid w:val="008D601B"/>
    <w:rsid w:val="008D647F"/>
    <w:rsid w:val="008D6825"/>
    <w:rsid w:val="008E0453"/>
    <w:rsid w:val="008E0722"/>
    <w:rsid w:val="008E12A2"/>
    <w:rsid w:val="008E3151"/>
    <w:rsid w:val="008E3B84"/>
    <w:rsid w:val="008E4F4D"/>
    <w:rsid w:val="008E52EE"/>
    <w:rsid w:val="008E561C"/>
    <w:rsid w:val="008E6152"/>
    <w:rsid w:val="008E6496"/>
    <w:rsid w:val="008F06A4"/>
    <w:rsid w:val="008F0901"/>
    <w:rsid w:val="008F11BF"/>
    <w:rsid w:val="008F15E1"/>
    <w:rsid w:val="008F358E"/>
    <w:rsid w:val="008F491D"/>
    <w:rsid w:val="008F68EE"/>
    <w:rsid w:val="00900811"/>
    <w:rsid w:val="009027B8"/>
    <w:rsid w:val="0090566A"/>
    <w:rsid w:val="00907A18"/>
    <w:rsid w:val="00910585"/>
    <w:rsid w:val="009127FC"/>
    <w:rsid w:val="00912A4C"/>
    <w:rsid w:val="00917198"/>
    <w:rsid w:val="00917F60"/>
    <w:rsid w:val="00920404"/>
    <w:rsid w:val="00921F7F"/>
    <w:rsid w:val="00923126"/>
    <w:rsid w:val="009244B8"/>
    <w:rsid w:val="00924955"/>
    <w:rsid w:val="00925DC0"/>
    <w:rsid w:val="00925EED"/>
    <w:rsid w:val="00925FC8"/>
    <w:rsid w:val="00930FDE"/>
    <w:rsid w:val="009310D2"/>
    <w:rsid w:val="009421D7"/>
    <w:rsid w:val="00942526"/>
    <w:rsid w:val="00942AB9"/>
    <w:rsid w:val="00943FD9"/>
    <w:rsid w:val="00944C23"/>
    <w:rsid w:val="00946F26"/>
    <w:rsid w:val="00947EB3"/>
    <w:rsid w:val="00947FC7"/>
    <w:rsid w:val="00954B8E"/>
    <w:rsid w:val="00954F4C"/>
    <w:rsid w:val="009601A2"/>
    <w:rsid w:val="00961545"/>
    <w:rsid w:val="00961788"/>
    <w:rsid w:val="0096184F"/>
    <w:rsid w:val="00963F12"/>
    <w:rsid w:val="00964BAA"/>
    <w:rsid w:val="00964E5A"/>
    <w:rsid w:val="00966C25"/>
    <w:rsid w:val="009670F9"/>
    <w:rsid w:val="0096725F"/>
    <w:rsid w:val="00967738"/>
    <w:rsid w:val="00970B0E"/>
    <w:rsid w:val="00971910"/>
    <w:rsid w:val="00972048"/>
    <w:rsid w:val="00972FE9"/>
    <w:rsid w:val="00973F23"/>
    <w:rsid w:val="00974BF3"/>
    <w:rsid w:val="00976FA6"/>
    <w:rsid w:val="00977557"/>
    <w:rsid w:val="009778F8"/>
    <w:rsid w:val="009802C2"/>
    <w:rsid w:val="00981231"/>
    <w:rsid w:val="009828FF"/>
    <w:rsid w:val="009829C0"/>
    <w:rsid w:val="00982DBC"/>
    <w:rsid w:val="0098610D"/>
    <w:rsid w:val="009872BD"/>
    <w:rsid w:val="009875D3"/>
    <w:rsid w:val="00990728"/>
    <w:rsid w:val="00992AD8"/>
    <w:rsid w:val="00994718"/>
    <w:rsid w:val="00996646"/>
    <w:rsid w:val="00996F65"/>
    <w:rsid w:val="00997767"/>
    <w:rsid w:val="009A57B1"/>
    <w:rsid w:val="009B0A3A"/>
    <w:rsid w:val="009B1814"/>
    <w:rsid w:val="009B18C9"/>
    <w:rsid w:val="009B209E"/>
    <w:rsid w:val="009B2D69"/>
    <w:rsid w:val="009B4430"/>
    <w:rsid w:val="009B4590"/>
    <w:rsid w:val="009B49AC"/>
    <w:rsid w:val="009B5586"/>
    <w:rsid w:val="009B5DEB"/>
    <w:rsid w:val="009B6DD3"/>
    <w:rsid w:val="009B753D"/>
    <w:rsid w:val="009B7B7E"/>
    <w:rsid w:val="009C1442"/>
    <w:rsid w:val="009C157E"/>
    <w:rsid w:val="009C2967"/>
    <w:rsid w:val="009C3245"/>
    <w:rsid w:val="009C431C"/>
    <w:rsid w:val="009C4770"/>
    <w:rsid w:val="009C64DF"/>
    <w:rsid w:val="009C7AF3"/>
    <w:rsid w:val="009C7EBB"/>
    <w:rsid w:val="009D2F9F"/>
    <w:rsid w:val="009D3429"/>
    <w:rsid w:val="009D4ACE"/>
    <w:rsid w:val="009D5785"/>
    <w:rsid w:val="009D7893"/>
    <w:rsid w:val="009E1040"/>
    <w:rsid w:val="009E15D0"/>
    <w:rsid w:val="009E4531"/>
    <w:rsid w:val="009E5823"/>
    <w:rsid w:val="009E7AAC"/>
    <w:rsid w:val="009F0763"/>
    <w:rsid w:val="009F0E18"/>
    <w:rsid w:val="009F150D"/>
    <w:rsid w:val="009F2A8B"/>
    <w:rsid w:val="009F30F8"/>
    <w:rsid w:val="009F3576"/>
    <w:rsid w:val="009F3ACD"/>
    <w:rsid w:val="009F7021"/>
    <w:rsid w:val="00A00F15"/>
    <w:rsid w:val="00A0225B"/>
    <w:rsid w:val="00A024FD"/>
    <w:rsid w:val="00A03874"/>
    <w:rsid w:val="00A04CC2"/>
    <w:rsid w:val="00A06A2E"/>
    <w:rsid w:val="00A101DC"/>
    <w:rsid w:val="00A10F0D"/>
    <w:rsid w:val="00A10FB4"/>
    <w:rsid w:val="00A12959"/>
    <w:rsid w:val="00A1484F"/>
    <w:rsid w:val="00A151A2"/>
    <w:rsid w:val="00A1677A"/>
    <w:rsid w:val="00A16C23"/>
    <w:rsid w:val="00A1768B"/>
    <w:rsid w:val="00A20F1D"/>
    <w:rsid w:val="00A211A7"/>
    <w:rsid w:val="00A23070"/>
    <w:rsid w:val="00A232D3"/>
    <w:rsid w:val="00A240DB"/>
    <w:rsid w:val="00A2526B"/>
    <w:rsid w:val="00A30DFC"/>
    <w:rsid w:val="00A31E3A"/>
    <w:rsid w:val="00A3337B"/>
    <w:rsid w:val="00A352BB"/>
    <w:rsid w:val="00A3539E"/>
    <w:rsid w:val="00A36A0B"/>
    <w:rsid w:val="00A36A58"/>
    <w:rsid w:val="00A37E61"/>
    <w:rsid w:val="00A40461"/>
    <w:rsid w:val="00A40BD3"/>
    <w:rsid w:val="00A41435"/>
    <w:rsid w:val="00A42A7E"/>
    <w:rsid w:val="00A464E6"/>
    <w:rsid w:val="00A47956"/>
    <w:rsid w:val="00A47B57"/>
    <w:rsid w:val="00A47F48"/>
    <w:rsid w:val="00A47F79"/>
    <w:rsid w:val="00A51D14"/>
    <w:rsid w:val="00A52FB4"/>
    <w:rsid w:val="00A55A61"/>
    <w:rsid w:val="00A55F83"/>
    <w:rsid w:val="00A562C9"/>
    <w:rsid w:val="00A57EA3"/>
    <w:rsid w:val="00A61250"/>
    <w:rsid w:val="00A62741"/>
    <w:rsid w:val="00A6380A"/>
    <w:rsid w:val="00A67756"/>
    <w:rsid w:val="00A70D38"/>
    <w:rsid w:val="00A72098"/>
    <w:rsid w:val="00A74C96"/>
    <w:rsid w:val="00A74D9D"/>
    <w:rsid w:val="00A75705"/>
    <w:rsid w:val="00A76140"/>
    <w:rsid w:val="00A80A22"/>
    <w:rsid w:val="00A82E8F"/>
    <w:rsid w:val="00A83807"/>
    <w:rsid w:val="00A8389E"/>
    <w:rsid w:val="00A84F6F"/>
    <w:rsid w:val="00A85A64"/>
    <w:rsid w:val="00A907F9"/>
    <w:rsid w:val="00A92E4A"/>
    <w:rsid w:val="00A93E83"/>
    <w:rsid w:val="00A94DA6"/>
    <w:rsid w:val="00AA48D8"/>
    <w:rsid w:val="00AB2D3C"/>
    <w:rsid w:val="00AB5D30"/>
    <w:rsid w:val="00AB6388"/>
    <w:rsid w:val="00AC032C"/>
    <w:rsid w:val="00AC3903"/>
    <w:rsid w:val="00AC3C6E"/>
    <w:rsid w:val="00AC4AF2"/>
    <w:rsid w:val="00AC598D"/>
    <w:rsid w:val="00AC5A22"/>
    <w:rsid w:val="00AC6A4C"/>
    <w:rsid w:val="00AC7F93"/>
    <w:rsid w:val="00AD0AF5"/>
    <w:rsid w:val="00AD597E"/>
    <w:rsid w:val="00AD7513"/>
    <w:rsid w:val="00AD7D86"/>
    <w:rsid w:val="00AE445A"/>
    <w:rsid w:val="00AE714A"/>
    <w:rsid w:val="00AE7544"/>
    <w:rsid w:val="00AF0602"/>
    <w:rsid w:val="00AF0F34"/>
    <w:rsid w:val="00AF1214"/>
    <w:rsid w:val="00AF19A2"/>
    <w:rsid w:val="00AF253F"/>
    <w:rsid w:val="00AF56D0"/>
    <w:rsid w:val="00AF5834"/>
    <w:rsid w:val="00AF5D97"/>
    <w:rsid w:val="00B00177"/>
    <w:rsid w:val="00B03746"/>
    <w:rsid w:val="00B05823"/>
    <w:rsid w:val="00B05FF4"/>
    <w:rsid w:val="00B06CD6"/>
    <w:rsid w:val="00B10451"/>
    <w:rsid w:val="00B112D8"/>
    <w:rsid w:val="00B12089"/>
    <w:rsid w:val="00B13445"/>
    <w:rsid w:val="00B143CD"/>
    <w:rsid w:val="00B174B9"/>
    <w:rsid w:val="00B20AA2"/>
    <w:rsid w:val="00B211D3"/>
    <w:rsid w:val="00B21481"/>
    <w:rsid w:val="00B236B9"/>
    <w:rsid w:val="00B23D7C"/>
    <w:rsid w:val="00B2418A"/>
    <w:rsid w:val="00B300DF"/>
    <w:rsid w:val="00B30F49"/>
    <w:rsid w:val="00B33B4E"/>
    <w:rsid w:val="00B33E4A"/>
    <w:rsid w:val="00B34631"/>
    <w:rsid w:val="00B347D9"/>
    <w:rsid w:val="00B34BCA"/>
    <w:rsid w:val="00B3503F"/>
    <w:rsid w:val="00B4067E"/>
    <w:rsid w:val="00B40C5C"/>
    <w:rsid w:val="00B42B4C"/>
    <w:rsid w:val="00B44A92"/>
    <w:rsid w:val="00B45FC7"/>
    <w:rsid w:val="00B466B5"/>
    <w:rsid w:val="00B51480"/>
    <w:rsid w:val="00B51C5F"/>
    <w:rsid w:val="00B55A2C"/>
    <w:rsid w:val="00B55EA6"/>
    <w:rsid w:val="00B57C3D"/>
    <w:rsid w:val="00B611E0"/>
    <w:rsid w:val="00B61201"/>
    <w:rsid w:val="00B6525F"/>
    <w:rsid w:val="00B70224"/>
    <w:rsid w:val="00B7218F"/>
    <w:rsid w:val="00B72277"/>
    <w:rsid w:val="00B72602"/>
    <w:rsid w:val="00B72BED"/>
    <w:rsid w:val="00B73011"/>
    <w:rsid w:val="00B75154"/>
    <w:rsid w:val="00B7584C"/>
    <w:rsid w:val="00B766DD"/>
    <w:rsid w:val="00B76F28"/>
    <w:rsid w:val="00B776B9"/>
    <w:rsid w:val="00B80327"/>
    <w:rsid w:val="00B845F8"/>
    <w:rsid w:val="00B84AD6"/>
    <w:rsid w:val="00B85452"/>
    <w:rsid w:val="00B871F0"/>
    <w:rsid w:val="00B91258"/>
    <w:rsid w:val="00B92166"/>
    <w:rsid w:val="00B94A90"/>
    <w:rsid w:val="00B96080"/>
    <w:rsid w:val="00B965F6"/>
    <w:rsid w:val="00B96E3C"/>
    <w:rsid w:val="00B978BB"/>
    <w:rsid w:val="00BA0D7B"/>
    <w:rsid w:val="00BA1E79"/>
    <w:rsid w:val="00BA3CFB"/>
    <w:rsid w:val="00BA4783"/>
    <w:rsid w:val="00BA550B"/>
    <w:rsid w:val="00BB18F1"/>
    <w:rsid w:val="00BB2270"/>
    <w:rsid w:val="00BB30AC"/>
    <w:rsid w:val="00BB311B"/>
    <w:rsid w:val="00BB7D65"/>
    <w:rsid w:val="00BC0016"/>
    <w:rsid w:val="00BC019B"/>
    <w:rsid w:val="00BC0477"/>
    <w:rsid w:val="00BC0991"/>
    <w:rsid w:val="00BC2C3A"/>
    <w:rsid w:val="00BC57B4"/>
    <w:rsid w:val="00BC71EC"/>
    <w:rsid w:val="00BD32F3"/>
    <w:rsid w:val="00BD46A5"/>
    <w:rsid w:val="00BD4DA2"/>
    <w:rsid w:val="00BD6054"/>
    <w:rsid w:val="00BE0D1D"/>
    <w:rsid w:val="00BE2250"/>
    <w:rsid w:val="00BE4D13"/>
    <w:rsid w:val="00BE7872"/>
    <w:rsid w:val="00BF0E87"/>
    <w:rsid w:val="00BF239E"/>
    <w:rsid w:val="00BF6272"/>
    <w:rsid w:val="00BF673F"/>
    <w:rsid w:val="00BF6DD6"/>
    <w:rsid w:val="00C03858"/>
    <w:rsid w:val="00C0489E"/>
    <w:rsid w:val="00C04A39"/>
    <w:rsid w:val="00C05D93"/>
    <w:rsid w:val="00C07940"/>
    <w:rsid w:val="00C10917"/>
    <w:rsid w:val="00C1298E"/>
    <w:rsid w:val="00C132EA"/>
    <w:rsid w:val="00C13422"/>
    <w:rsid w:val="00C14A89"/>
    <w:rsid w:val="00C169E6"/>
    <w:rsid w:val="00C21AEF"/>
    <w:rsid w:val="00C246DD"/>
    <w:rsid w:val="00C26E42"/>
    <w:rsid w:val="00C30DFE"/>
    <w:rsid w:val="00C315D7"/>
    <w:rsid w:val="00C32954"/>
    <w:rsid w:val="00C33773"/>
    <w:rsid w:val="00C34AEA"/>
    <w:rsid w:val="00C3656D"/>
    <w:rsid w:val="00C40474"/>
    <w:rsid w:val="00C40F21"/>
    <w:rsid w:val="00C41C01"/>
    <w:rsid w:val="00C42575"/>
    <w:rsid w:val="00C432F5"/>
    <w:rsid w:val="00C43B54"/>
    <w:rsid w:val="00C4464A"/>
    <w:rsid w:val="00C45DC2"/>
    <w:rsid w:val="00C466C6"/>
    <w:rsid w:val="00C47016"/>
    <w:rsid w:val="00C550CC"/>
    <w:rsid w:val="00C60A5C"/>
    <w:rsid w:val="00C622C8"/>
    <w:rsid w:val="00C6339F"/>
    <w:rsid w:val="00C63950"/>
    <w:rsid w:val="00C63C75"/>
    <w:rsid w:val="00C64183"/>
    <w:rsid w:val="00C645A8"/>
    <w:rsid w:val="00C65A56"/>
    <w:rsid w:val="00C671A6"/>
    <w:rsid w:val="00C70018"/>
    <w:rsid w:val="00C71EEE"/>
    <w:rsid w:val="00C72A42"/>
    <w:rsid w:val="00C72C59"/>
    <w:rsid w:val="00C84F9C"/>
    <w:rsid w:val="00C84FB9"/>
    <w:rsid w:val="00C852B3"/>
    <w:rsid w:val="00C8605C"/>
    <w:rsid w:val="00C869C5"/>
    <w:rsid w:val="00C87C65"/>
    <w:rsid w:val="00C92503"/>
    <w:rsid w:val="00C92C2D"/>
    <w:rsid w:val="00C92D56"/>
    <w:rsid w:val="00C934DE"/>
    <w:rsid w:val="00C942A8"/>
    <w:rsid w:val="00C956B6"/>
    <w:rsid w:val="00C95777"/>
    <w:rsid w:val="00C970B3"/>
    <w:rsid w:val="00CA10BD"/>
    <w:rsid w:val="00CA1D57"/>
    <w:rsid w:val="00CA2588"/>
    <w:rsid w:val="00CA37CC"/>
    <w:rsid w:val="00CA3F43"/>
    <w:rsid w:val="00CA447F"/>
    <w:rsid w:val="00CA4488"/>
    <w:rsid w:val="00CA45A9"/>
    <w:rsid w:val="00CA7735"/>
    <w:rsid w:val="00CA78B1"/>
    <w:rsid w:val="00CB25B3"/>
    <w:rsid w:val="00CC1F19"/>
    <w:rsid w:val="00CC317F"/>
    <w:rsid w:val="00CC40CD"/>
    <w:rsid w:val="00CC49D5"/>
    <w:rsid w:val="00CC5B57"/>
    <w:rsid w:val="00CC6CDE"/>
    <w:rsid w:val="00CC70C2"/>
    <w:rsid w:val="00CD0294"/>
    <w:rsid w:val="00CD127D"/>
    <w:rsid w:val="00CD15DB"/>
    <w:rsid w:val="00CD2483"/>
    <w:rsid w:val="00CD27B9"/>
    <w:rsid w:val="00CD3FF0"/>
    <w:rsid w:val="00CD4078"/>
    <w:rsid w:val="00CD7745"/>
    <w:rsid w:val="00CE074D"/>
    <w:rsid w:val="00CE3A8B"/>
    <w:rsid w:val="00CE42A2"/>
    <w:rsid w:val="00CE6A4D"/>
    <w:rsid w:val="00CE71FD"/>
    <w:rsid w:val="00CF0013"/>
    <w:rsid w:val="00CF07FF"/>
    <w:rsid w:val="00CF1F19"/>
    <w:rsid w:val="00CF2175"/>
    <w:rsid w:val="00CF2215"/>
    <w:rsid w:val="00CF6441"/>
    <w:rsid w:val="00CF764C"/>
    <w:rsid w:val="00D00BEB"/>
    <w:rsid w:val="00D00F36"/>
    <w:rsid w:val="00D01C70"/>
    <w:rsid w:val="00D020D5"/>
    <w:rsid w:val="00D03143"/>
    <w:rsid w:val="00D03180"/>
    <w:rsid w:val="00D04781"/>
    <w:rsid w:val="00D05186"/>
    <w:rsid w:val="00D05AB3"/>
    <w:rsid w:val="00D06D8A"/>
    <w:rsid w:val="00D07E16"/>
    <w:rsid w:val="00D15CA5"/>
    <w:rsid w:val="00D16C91"/>
    <w:rsid w:val="00D262E9"/>
    <w:rsid w:val="00D27D5B"/>
    <w:rsid w:val="00D30A30"/>
    <w:rsid w:val="00D34E65"/>
    <w:rsid w:val="00D3750D"/>
    <w:rsid w:val="00D40891"/>
    <w:rsid w:val="00D428FD"/>
    <w:rsid w:val="00D4342A"/>
    <w:rsid w:val="00D43F9E"/>
    <w:rsid w:val="00D44FC5"/>
    <w:rsid w:val="00D4747F"/>
    <w:rsid w:val="00D524C9"/>
    <w:rsid w:val="00D54EB3"/>
    <w:rsid w:val="00D614CE"/>
    <w:rsid w:val="00D6281E"/>
    <w:rsid w:val="00D62E37"/>
    <w:rsid w:val="00D639F7"/>
    <w:rsid w:val="00D659FF"/>
    <w:rsid w:val="00D65CFE"/>
    <w:rsid w:val="00D7182D"/>
    <w:rsid w:val="00D72599"/>
    <w:rsid w:val="00D72A99"/>
    <w:rsid w:val="00D7312D"/>
    <w:rsid w:val="00D73F1E"/>
    <w:rsid w:val="00D75D96"/>
    <w:rsid w:val="00D7744B"/>
    <w:rsid w:val="00D83FC4"/>
    <w:rsid w:val="00D84250"/>
    <w:rsid w:val="00D86884"/>
    <w:rsid w:val="00D86EEB"/>
    <w:rsid w:val="00D8733B"/>
    <w:rsid w:val="00D8772F"/>
    <w:rsid w:val="00D90991"/>
    <w:rsid w:val="00D92C28"/>
    <w:rsid w:val="00D946C3"/>
    <w:rsid w:val="00D950AA"/>
    <w:rsid w:val="00D955A2"/>
    <w:rsid w:val="00D9730D"/>
    <w:rsid w:val="00DA0A60"/>
    <w:rsid w:val="00DA0C95"/>
    <w:rsid w:val="00DA2209"/>
    <w:rsid w:val="00DA28D6"/>
    <w:rsid w:val="00DA28D7"/>
    <w:rsid w:val="00DA2BFF"/>
    <w:rsid w:val="00DA3A31"/>
    <w:rsid w:val="00DA40AF"/>
    <w:rsid w:val="00DA4B3A"/>
    <w:rsid w:val="00DB2A48"/>
    <w:rsid w:val="00DB2B47"/>
    <w:rsid w:val="00DB2BF4"/>
    <w:rsid w:val="00DB3954"/>
    <w:rsid w:val="00DB4379"/>
    <w:rsid w:val="00DB5EA2"/>
    <w:rsid w:val="00DB740D"/>
    <w:rsid w:val="00DC3A2E"/>
    <w:rsid w:val="00DC3D2A"/>
    <w:rsid w:val="00DC5BFE"/>
    <w:rsid w:val="00DC7614"/>
    <w:rsid w:val="00DD282B"/>
    <w:rsid w:val="00DD48C7"/>
    <w:rsid w:val="00DD6130"/>
    <w:rsid w:val="00DD62C0"/>
    <w:rsid w:val="00DD6EE2"/>
    <w:rsid w:val="00DD77B2"/>
    <w:rsid w:val="00DD7DFA"/>
    <w:rsid w:val="00DE1D2F"/>
    <w:rsid w:val="00DE32B8"/>
    <w:rsid w:val="00DE3A4C"/>
    <w:rsid w:val="00DE3C21"/>
    <w:rsid w:val="00DE5471"/>
    <w:rsid w:val="00DE5D07"/>
    <w:rsid w:val="00DE6AC2"/>
    <w:rsid w:val="00DE7C9A"/>
    <w:rsid w:val="00DF041C"/>
    <w:rsid w:val="00DF26F1"/>
    <w:rsid w:val="00DF3A99"/>
    <w:rsid w:val="00DF40E9"/>
    <w:rsid w:val="00DF71FC"/>
    <w:rsid w:val="00E00996"/>
    <w:rsid w:val="00E01392"/>
    <w:rsid w:val="00E01C16"/>
    <w:rsid w:val="00E01D56"/>
    <w:rsid w:val="00E024E8"/>
    <w:rsid w:val="00E030EF"/>
    <w:rsid w:val="00E0648D"/>
    <w:rsid w:val="00E06EE4"/>
    <w:rsid w:val="00E07793"/>
    <w:rsid w:val="00E07913"/>
    <w:rsid w:val="00E103E6"/>
    <w:rsid w:val="00E153BD"/>
    <w:rsid w:val="00E15CCF"/>
    <w:rsid w:val="00E170C3"/>
    <w:rsid w:val="00E20C01"/>
    <w:rsid w:val="00E21494"/>
    <w:rsid w:val="00E21B1B"/>
    <w:rsid w:val="00E22E94"/>
    <w:rsid w:val="00E2476B"/>
    <w:rsid w:val="00E24DCB"/>
    <w:rsid w:val="00E25E02"/>
    <w:rsid w:val="00E263F8"/>
    <w:rsid w:val="00E30AF7"/>
    <w:rsid w:val="00E30D31"/>
    <w:rsid w:val="00E32D1F"/>
    <w:rsid w:val="00E34C84"/>
    <w:rsid w:val="00E354C9"/>
    <w:rsid w:val="00E362B5"/>
    <w:rsid w:val="00E4009C"/>
    <w:rsid w:val="00E41BAA"/>
    <w:rsid w:val="00E42617"/>
    <w:rsid w:val="00E44499"/>
    <w:rsid w:val="00E45714"/>
    <w:rsid w:val="00E46314"/>
    <w:rsid w:val="00E468F1"/>
    <w:rsid w:val="00E47591"/>
    <w:rsid w:val="00E50274"/>
    <w:rsid w:val="00E5189C"/>
    <w:rsid w:val="00E55E57"/>
    <w:rsid w:val="00E6360E"/>
    <w:rsid w:val="00E63746"/>
    <w:rsid w:val="00E63B43"/>
    <w:rsid w:val="00E6459B"/>
    <w:rsid w:val="00E67037"/>
    <w:rsid w:val="00E67997"/>
    <w:rsid w:val="00E70045"/>
    <w:rsid w:val="00E7039A"/>
    <w:rsid w:val="00E712AF"/>
    <w:rsid w:val="00E71862"/>
    <w:rsid w:val="00E72A11"/>
    <w:rsid w:val="00E73797"/>
    <w:rsid w:val="00E75157"/>
    <w:rsid w:val="00E81C1C"/>
    <w:rsid w:val="00E83158"/>
    <w:rsid w:val="00E85149"/>
    <w:rsid w:val="00E859D8"/>
    <w:rsid w:val="00E8761C"/>
    <w:rsid w:val="00E9075C"/>
    <w:rsid w:val="00E90956"/>
    <w:rsid w:val="00E91D30"/>
    <w:rsid w:val="00E935F0"/>
    <w:rsid w:val="00E936B4"/>
    <w:rsid w:val="00E94C2E"/>
    <w:rsid w:val="00E960D4"/>
    <w:rsid w:val="00E9656D"/>
    <w:rsid w:val="00E97AF6"/>
    <w:rsid w:val="00EA02DF"/>
    <w:rsid w:val="00EA0316"/>
    <w:rsid w:val="00EA07A5"/>
    <w:rsid w:val="00EA134F"/>
    <w:rsid w:val="00EA19A2"/>
    <w:rsid w:val="00EA2690"/>
    <w:rsid w:val="00EA349C"/>
    <w:rsid w:val="00EA3D80"/>
    <w:rsid w:val="00EA6ECE"/>
    <w:rsid w:val="00EA77AB"/>
    <w:rsid w:val="00EB260D"/>
    <w:rsid w:val="00EB26B2"/>
    <w:rsid w:val="00EB2A00"/>
    <w:rsid w:val="00EB320A"/>
    <w:rsid w:val="00EB6CA6"/>
    <w:rsid w:val="00EC329C"/>
    <w:rsid w:val="00EC5067"/>
    <w:rsid w:val="00EC7F49"/>
    <w:rsid w:val="00ED01DD"/>
    <w:rsid w:val="00ED1BB0"/>
    <w:rsid w:val="00ED3749"/>
    <w:rsid w:val="00ED5086"/>
    <w:rsid w:val="00ED5667"/>
    <w:rsid w:val="00ED675A"/>
    <w:rsid w:val="00ED7B63"/>
    <w:rsid w:val="00EE002E"/>
    <w:rsid w:val="00EE1FF3"/>
    <w:rsid w:val="00EE3BBF"/>
    <w:rsid w:val="00EE776C"/>
    <w:rsid w:val="00EF41A7"/>
    <w:rsid w:val="00EF51AD"/>
    <w:rsid w:val="00EF524C"/>
    <w:rsid w:val="00EF5D8F"/>
    <w:rsid w:val="00EF6892"/>
    <w:rsid w:val="00EF7B2E"/>
    <w:rsid w:val="00EF7D54"/>
    <w:rsid w:val="00F03115"/>
    <w:rsid w:val="00F03A9D"/>
    <w:rsid w:val="00F03BDA"/>
    <w:rsid w:val="00F05507"/>
    <w:rsid w:val="00F055F0"/>
    <w:rsid w:val="00F0601B"/>
    <w:rsid w:val="00F063B4"/>
    <w:rsid w:val="00F072D8"/>
    <w:rsid w:val="00F11884"/>
    <w:rsid w:val="00F12523"/>
    <w:rsid w:val="00F13A2C"/>
    <w:rsid w:val="00F13ADD"/>
    <w:rsid w:val="00F1581B"/>
    <w:rsid w:val="00F17AAF"/>
    <w:rsid w:val="00F17DD8"/>
    <w:rsid w:val="00F22E0B"/>
    <w:rsid w:val="00F23AEE"/>
    <w:rsid w:val="00F23E73"/>
    <w:rsid w:val="00F2445F"/>
    <w:rsid w:val="00F24BC2"/>
    <w:rsid w:val="00F25626"/>
    <w:rsid w:val="00F25A58"/>
    <w:rsid w:val="00F26321"/>
    <w:rsid w:val="00F26C51"/>
    <w:rsid w:val="00F30855"/>
    <w:rsid w:val="00F319D4"/>
    <w:rsid w:val="00F33438"/>
    <w:rsid w:val="00F34F97"/>
    <w:rsid w:val="00F416D1"/>
    <w:rsid w:val="00F41A58"/>
    <w:rsid w:val="00F44D2F"/>
    <w:rsid w:val="00F45538"/>
    <w:rsid w:val="00F471B3"/>
    <w:rsid w:val="00F47EA5"/>
    <w:rsid w:val="00F50944"/>
    <w:rsid w:val="00F50C59"/>
    <w:rsid w:val="00F521CB"/>
    <w:rsid w:val="00F5708C"/>
    <w:rsid w:val="00F62916"/>
    <w:rsid w:val="00F62C33"/>
    <w:rsid w:val="00F64440"/>
    <w:rsid w:val="00F64537"/>
    <w:rsid w:val="00F65437"/>
    <w:rsid w:val="00F65847"/>
    <w:rsid w:val="00F65A3A"/>
    <w:rsid w:val="00F65ED2"/>
    <w:rsid w:val="00F705C6"/>
    <w:rsid w:val="00F732EE"/>
    <w:rsid w:val="00F7330F"/>
    <w:rsid w:val="00F73DE6"/>
    <w:rsid w:val="00F745B8"/>
    <w:rsid w:val="00F779AA"/>
    <w:rsid w:val="00F81CED"/>
    <w:rsid w:val="00F83720"/>
    <w:rsid w:val="00F838C2"/>
    <w:rsid w:val="00F84C9D"/>
    <w:rsid w:val="00F86044"/>
    <w:rsid w:val="00F862B1"/>
    <w:rsid w:val="00F877AB"/>
    <w:rsid w:val="00F877FB"/>
    <w:rsid w:val="00F9022B"/>
    <w:rsid w:val="00F90B63"/>
    <w:rsid w:val="00F9172E"/>
    <w:rsid w:val="00F93E59"/>
    <w:rsid w:val="00F940B0"/>
    <w:rsid w:val="00F95CCC"/>
    <w:rsid w:val="00F96088"/>
    <w:rsid w:val="00FA0186"/>
    <w:rsid w:val="00FA2230"/>
    <w:rsid w:val="00FA3A8E"/>
    <w:rsid w:val="00FA4523"/>
    <w:rsid w:val="00FB1009"/>
    <w:rsid w:val="00FB311D"/>
    <w:rsid w:val="00FB57AF"/>
    <w:rsid w:val="00FB5D6E"/>
    <w:rsid w:val="00FB686C"/>
    <w:rsid w:val="00FB7460"/>
    <w:rsid w:val="00FC0570"/>
    <w:rsid w:val="00FC0FC6"/>
    <w:rsid w:val="00FC11E8"/>
    <w:rsid w:val="00FC21C3"/>
    <w:rsid w:val="00FC28C7"/>
    <w:rsid w:val="00FC3111"/>
    <w:rsid w:val="00FC31C9"/>
    <w:rsid w:val="00FC3B5D"/>
    <w:rsid w:val="00FC3FA9"/>
    <w:rsid w:val="00FC57A9"/>
    <w:rsid w:val="00FD31CE"/>
    <w:rsid w:val="00FD4E51"/>
    <w:rsid w:val="00FD5DC9"/>
    <w:rsid w:val="00FD5DEE"/>
    <w:rsid w:val="00FD6341"/>
    <w:rsid w:val="00FD65BA"/>
    <w:rsid w:val="00FE0452"/>
    <w:rsid w:val="00FE2A43"/>
    <w:rsid w:val="00FE3522"/>
    <w:rsid w:val="00FE3891"/>
    <w:rsid w:val="00FE4BFC"/>
    <w:rsid w:val="00FE54F8"/>
    <w:rsid w:val="00FE674C"/>
    <w:rsid w:val="00FE6B53"/>
    <w:rsid w:val="00FE72AE"/>
    <w:rsid w:val="00FF06A4"/>
    <w:rsid w:val="00FF2546"/>
    <w:rsid w:val="00FF463E"/>
    <w:rsid w:val="00FF4F3D"/>
    <w:rsid w:val="00FF506B"/>
    <w:rsid w:val="00FF703F"/>
    <w:rsid w:val="00FF7A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3457"/>
    <o:shapelayout v:ext="edit">
      <o:idmap v:ext="edit" data="1"/>
    </o:shapelayout>
  </w:shapeDefaults>
  <w:decimalSymbol w:val="."/>
  <w:listSeparator w:val=","/>
  <w14:docId w14:val="1119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Plain Text" w:uiPriority="99"/>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50B"/>
    <w:pPr>
      <w:spacing w:after="240" w:line="276" w:lineRule="auto"/>
    </w:pPr>
    <w:rPr>
      <w:rFonts w:ascii="Arial" w:hAnsi="Arial"/>
      <w:sz w:val="22"/>
    </w:rPr>
  </w:style>
  <w:style w:type="paragraph" w:styleId="Heading1">
    <w:name w:val="heading 1"/>
    <w:basedOn w:val="Normal"/>
    <w:next w:val="Normal"/>
    <w:link w:val="Heading1Char"/>
    <w:qFormat/>
    <w:rsid w:val="00BA550B"/>
    <w:pPr>
      <w:keepNext/>
      <w:numPr>
        <w:numId w:val="28"/>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BA550B"/>
    <w:pPr>
      <w:numPr>
        <w:ilvl w:val="1"/>
      </w:numPr>
      <w:pBdr>
        <w:top w:val="single" w:sz="12" w:space="3" w:color="31A7D4" w:themeColor="accent1"/>
        <w:bottom w:val="single" w:sz="12" w:space="3" w:color="31A7D4" w:themeColor="accent1"/>
      </w:pBdr>
      <w:spacing w:line="240" w:lineRule="auto"/>
      <w:ind w:left="851" w:hanging="851"/>
      <w:outlineLvl w:val="1"/>
    </w:pPr>
    <w:rPr>
      <w:sz w:val="40"/>
    </w:rPr>
  </w:style>
  <w:style w:type="paragraph" w:styleId="Heading3">
    <w:name w:val="heading 3"/>
    <w:basedOn w:val="Normal"/>
    <w:next w:val="Normal"/>
    <w:link w:val="Heading3Char"/>
    <w:unhideWhenUsed/>
    <w:qFormat/>
    <w:rsid w:val="00BA550B"/>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BA550B"/>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BA550B"/>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061AE5"/>
    <w:pPr>
      <w:numPr>
        <w:ilvl w:val="5"/>
        <w:numId w:val="19"/>
      </w:numPr>
      <w:spacing w:after="120"/>
      <w:outlineLvl w:val="5"/>
    </w:pPr>
    <w:rPr>
      <w:bCs/>
      <w:sz w:val="22"/>
      <w:szCs w:val="22"/>
    </w:rPr>
  </w:style>
  <w:style w:type="paragraph" w:styleId="Heading7">
    <w:name w:val="heading 7"/>
    <w:basedOn w:val="HeadingBase"/>
    <w:next w:val="Normal"/>
    <w:semiHidden/>
    <w:rsid w:val="00061AE5"/>
    <w:pPr>
      <w:numPr>
        <w:ilvl w:val="6"/>
        <w:numId w:val="19"/>
      </w:numPr>
      <w:spacing w:after="120"/>
      <w:outlineLvl w:val="6"/>
    </w:pPr>
    <w:rPr>
      <w:szCs w:val="24"/>
    </w:rPr>
  </w:style>
  <w:style w:type="paragraph" w:styleId="Heading8">
    <w:name w:val="heading 8"/>
    <w:basedOn w:val="HeadingBase"/>
    <w:next w:val="Normal"/>
    <w:semiHidden/>
    <w:rsid w:val="00061AE5"/>
    <w:pPr>
      <w:numPr>
        <w:ilvl w:val="7"/>
        <w:numId w:val="19"/>
      </w:numPr>
      <w:spacing w:before="60" w:after="60"/>
      <w:jc w:val="center"/>
      <w:outlineLvl w:val="7"/>
    </w:pPr>
    <w:rPr>
      <w:iCs/>
      <w:smallCaps/>
      <w:sz w:val="22"/>
      <w:szCs w:val="24"/>
    </w:rPr>
  </w:style>
  <w:style w:type="paragraph" w:styleId="Heading9">
    <w:name w:val="heading 9"/>
    <w:basedOn w:val="HeadingBase"/>
    <w:next w:val="Normal"/>
    <w:semiHidden/>
    <w:rsid w:val="00061AE5"/>
    <w:pPr>
      <w:numPr>
        <w:ilvl w:val="8"/>
        <w:numId w:val="19"/>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061AE5"/>
    <w:pPr>
      <w:spacing w:after="0"/>
    </w:pPr>
  </w:style>
  <w:style w:type="character" w:styleId="Hyperlink">
    <w:name w:val="Hyperlink"/>
    <w:basedOn w:val="DefaultParagraphFont"/>
    <w:uiPriority w:val="99"/>
    <w:unhideWhenUsed/>
    <w:rsid w:val="00061AE5"/>
    <w:rPr>
      <w:color w:val="31A7D4" w:themeColor="text2"/>
      <w:u w:val="none"/>
    </w:rPr>
  </w:style>
  <w:style w:type="character" w:customStyle="1" w:styleId="BoldandItalic">
    <w:name w:val="Bold and Italic"/>
    <w:basedOn w:val="DefaultParagraphFont"/>
    <w:rsid w:val="00061AE5"/>
    <w:rPr>
      <w:rFonts w:ascii="Calibri" w:hAnsi="Calibri"/>
      <w:b/>
      <w:i/>
    </w:rPr>
  </w:style>
  <w:style w:type="table" w:styleId="TableGrid">
    <w:name w:val="Table Grid"/>
    <w:basedOn w:val="TableNormal"/>
    <w:uiPriority w:val="59"/>
    <w:rsid w:val="00BA550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061AE5"/>
    <w:pPr>
      <w:spacing w:before="40" w:after="40"/>
    </w:pPr>
    <w:rPr>
      <w:b/>
      <w:color w:val="009976"/>
      <w:sz w:val="16"/>
    </w:rPr>
  </w:style>
  <w:style w:type="paragraph" w:styleId="FootnoteText">
    <w:name w:val="footnote text"/>
    <w:basedOn w:val="Normal"/>
    <w:link w:val="FootnoteTextChar"/>
    <w:uiPriority w:val="99"/>
    <w:rsid w:val="00BA550B"/>
    <w:pPr>
      <w:spacing w:before="40" w:after="0" w:line="240" w:lineRule="auto"/>
      <w:ind w:left="426" w:hanging="426"/>
    </w:pPr>
    <w:rPr>
      <w:sz w:val="18"/>
    </w:rPr>
  </w:style>
  <w:style w:type="paragraph" w:customStyle="1" w:styleId="Bullet">
    <w:name w:val="Bullet"/>
    <w:aliases w:val="b,b1,b + line,Body,level 1"/>
    <w:basedOn w:val="Normal"/>
    <w:link w:val="BulletChar"/>
    <w:rsid w:val="00061AE5"/>
    <w:pPr>
      <w:numPr>
        <w:numId w:val="1"/>
      </w:numPr>
      <w:ind w:left="1134" w:hanging="567"/>
    </w:pPr>
  </w:style>
  <w:style w:type="paragraph" w:customStyle="1" w:styleId="Dash">
    <w:name w:val="Dash"/>
    <w:basedOn w:val="Normal"/>
    <w:link w:val="DashChar"/>
    <w:rsid w:val="00BA550B"/>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link w:val="DoubleDotChar"/>
    <w:rsid w:val="00BA550B"/>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061AE5"/>
    <w:pPr>
      <w:numPr>
        <w:numId w:val="2"/>
      </w:numPr>
      <w:spacing w:line="280" w:lineRule="exact"/>
      <w:jc w:val="both"/>
    </w:pPr>
  </w:style>
  <w:style w:type="paragraph" w:customStyle="1" w:styleId="OutlineNumbered2">
    <w:name w:val="Outline Numbered 2"/>
    <w:basedOn w:val="Normal"/>
    <w:uiPriority w:val="2"/>
    <w:rsid w:val="00061AE5"/>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061AE5"/>
    <w:pPr>
      <w:numPr>
        <w:numId w:val="3"/>
      </w:numPr>
    </w:pPr>
  </w:style>
  <w:style w:type="paragraph" w:customStyle="1" w:styleId="HeadingBase">
    <w:name w:val="Heading Base"/>
    <w:next w:val="Normal"/>
    <w:rsid w:val="00061AE5"/>
    <w:pPr>
      <w:keepNext/>
    </w:pPr>
    <w:rPr>
      <w:rFonts w:ascii="Calibri" w:hAnsi="Calibri"/>
      <w:color w:val="31A7D4" w:themeColor="accent1"/>
    </w:rPr>
  </w:style>
  <w:style w:type="paragraph" w:customStyle="1" w:styleId="AppendixHeading">
    <w:name w:val="Appendix Heading"/>
    <w:basedOn w:val="HeadingBase"/>
    <w:next w:val="Normal"/>
    <w:rsid w:val="00061AE5"/>
    <w:pPr>
      <w:spacing w:before="720" w:after="360"/>
      <w:outlineLvl w:val="0"/>
    </w:pPr>
    <w:rPr>
      <w:b/>
      <w:smallCaps/>
      <w:sz w:val="36"/>
      <w:szCs w:val="36"/>
    </w:rPr>
  </w:style>
  <w:style w:type="character" w:customStyle="1" w:styleId="Bold">
    <w:name w:val="Bold"/>
    <w:basedOn w:val="DefaultParagraphFont"/>
    <w:rsid w:val="00061AE5"/>
    <w:rPr>
      <w:b/>
    </w:rPr>
  </w:style>
  <w:style w:type="paragraph" w:customStyle="1" w:styleId="BoxHeading">
    <w:name w:val="Box Heading"/>
    <w:basedOn w:val="Caption"/>
    <w:next w:val="BoxText"/>
    <w:unhideWhenUsed/>
    <w:rsid w:val="00BA550B"/>
    <w:rPr>
      <w:sz w:val="28"/>
      <w:szCs w:val="28"/>
    </w:rPr>
  </w:style>
  <w:style w:type="paragraph" w:customStyle="1" w:styleId="BoxTextBase">
    <w:name w:val="Box Text Base"/>
    <w:basedOn w:val="Normal"/>
    <w:unhideWhenUsed/>
    <w:rsid w:val="00BA550B"/>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BA550B"/>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BA550B"/>
    <w:pPr>
      <w:keepNext/>
      <w:spacing w:after="0" w:line="240" w:lineRule="auto"/>
      <w:jc w:val="center"/>
    </w:pPr>
    <w:rPr>
      <w:color w:val="636363" w:themeColor="accent2"/>
    </w:rPr>
  </w:style>
  <w:style w:type="paragraph" w:customStyle="1" w:styleId="ChartMainHeading">
    <w:name w:val="Chart Main Heading"/>
    <w:basedOn w:val="Caption"/>
    <w:next w:val="ChartGraphic"/>
    <w:rsid w:val="00BA550B"/>
    <w:pPr>
      <w:keepNext/>
      <w:spacing w:before="120" w:after="60"/>
      <w:jc w:val="center"/>
    </w:pPr>
    <w:rPr>
      <w:sz w:val="20"/>
      <w:szCs w:val="20"/>
    </w:rPr>
  </w:style>
  <w:style w:type="paragraph" w:customStyle="1" w:styleId="ChartorTableNote">
    <w:name w:val="Chart or Table Note"/>
    <w:next w:val="Normal"/>
    <w:rsid w:val="00BA550B"/>
    <w:rPr>
      <w:rFonts w:ascii="Arial" w:hAnsi="Arial"/>
      <w:color w:val="000000"/>
      <w:sz w:val="18"/>
    </w:rPr>
  </w:style>
  <w:style w:type="paragraph" w:customStyle="1" w:styleId="ChartSecondHeading">
    <w:name w:val="Chart Second Heading"/>
    <w:basedOn w:val="HeadingBase"/>
    <w:next w:val="ChartGraphic"/>
    <w:rsid w:val="00061AE5"/>
    <w:pPr>
      <w:spacing w:after="20"/>
      <w:jc w:val="center"/>
    </w:pPr>
  </w:style>
  <w:style w:type="paragraph" w:customStyle="1" w:styleId="Classification">
    <w:name w:val="Classification"/>
    <w:basedOn w:val="HeadingBase"/>
    <w:next w:val="Footer"/>
    <w:semiHidden/>
    <w:rsid w:val="00061AE5"/>
    <w:pPr>
      <w:spacing w:after="120"/>
      <w:jc w:val="center"/>
    </w:pPr>
    <w:rPr>
      <w:b/>
      <w:smallCaps/>
    </w:rPr>
  </w:style>
  <w:style w:type="paragraph" w:styleId="Footer">
    <w:name w:val="footer"/>
    <w:basedOn w:val="Normal"/>
    <w:link w:val="FooterChar"/>
    <w:uiPriority w:val="99"/>
    <w:unhideWhenUsed/>
    <w:rsid w:val="00BA550B"/>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061AE5"/>
    <w:pPr>
      <w:spacing w:after="360"/>
      <w:jc w:val="center"/>
    </w:pPr>
    <w:rPr>
      <w:smallCaps/>
      <w:sz w:val="40"/>
      <w:szCs w:val="36"/>
    </w:rPr>
  </w:style>
  <w:style w:type="paragraph" w:customStyle="1" w:styleId="CoverTitleMain">
    <w:name w:val="Cover Title Main"/>
    <w:basedOn w:val="HeadingBase"/>
    <w:next w:val="Normal"/>
    <w:uiPriority w:val="2"/>
    <w:rsid w:val="00061AE5"/>
    <w:pPr>
      <w:spacing w:before="720" w:after="480"/>
    </w:pPr>
    <w:rPr>
      <w:b/>
      <w:caps/>
      <w:sz w:val="48"/>
    </w:rPr>
  </w:style>
  <w:style w:type="paragraph" w:customStyle="1" w:styleId="CoverTitleSub">
    <w:name w:val="Cover Title Sub"/>
    <w:basedOn w:val="HeadingBase"/>
    <w:uiPriority w:val="2"/>
    <w:rsid w:val="00061AE5"/>
    <w:pPr>
      <w:pBdr>
        <w:top w:val="single" w:sz="4" w:space="1" w:color="009976"/>
      </w:pBdr>
      <w:spacing w:after="360"/>
      <w:jc w:val="right"/>
    </w:pPr>
    <w:rPr>
      <w:sz w:val="36"/>
    </w:rPr>
  </w:style>
  <w:style w:type="paragraph" w:customStyle="1" w:styleId="FooterCentered">
    <w:name w:val="Footer Centered"/>
    <w:basedOn w:val="Footer"/>
    <w:unhideWhenUsed/>
    <w:rsid w:val="00061AE5"/>
    <w:pPr>
      <w:jc w:val="center"/>
    </w:pPr>
  </w:style>
  <w:style w:type="paragraph" w:customStyle="1" w:styleId="FooterEven">
    <w:name w:val="Footer Even"/>
    <w:basedOn w:val="FooterOdd"/>
    <w:unhideWhenUsed/>
    <w:rsid w:val="00F11884"/>
  </w:style>
  <w:style w:type="paragraph" w:customStyle="1" w:styleId="FooterOdd">
    <w:name w:val="Footer Odd"/>
    <w:basedOn w:val="Footer"/>
    <w:unhideWhenUsed/>
    <w:rsid w:val="00F11884"/>
  </w:style>
  <w:style w:type="character" w:customStyle="1" w:styleId="FramedFooter">
    <w:name w:val="Framed Footer"/>
    <w:semiHidden/>
    <w:rsid w:val="00061AE5"/>
    <w:rPr>
      <w:rFonts w:ascii="Arial" w:hAnsi="Arial"/>
      <w:color w:val="31A7D4" w:themeColor="accent1"/>
      <w:sz w:val="18"/>
    </w:rPr>
  </w:style>
  <w:style w:type="character" w:customStyle="1" w:styleId="FramedHeader">
    <w:name w:val="Framed Header"/>
    <w:basedOn w:val="DefaultParagraphFont"/>
    <w:semiHidden/>
    <w:rsid w:val="00061AE5"/>
    <w:rPr>
      <w:rFonts w:ascii="Arial" w:hAnsi="Arial"/>
      <w:dstrike w:val="0"/>
      <w:color w:val="31A7D4" w:themeColor="accent1"/>
      <w:sz w:val="18"/>
      <w:vertAlign w:val="baseline"/>
    </w:rPr>
  </w:style>
  <w:style w:type="paragraph" w:styleId="Header">
    <w:name w:val="header"/>
    <w:basedOn w:val="Normal"/>
    <w:link w:val="HeaderChar"/>
    <w:uiPriority w:val="99"/>
    <w:unhideWhenUsed/>
    <w:rsid w:val="00BA550B"/>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F11884"/>
    <w:pPr>
      <w:jc w:val="left"/>
    </w:pPr>
  </w:style>
  <w:style w:type="paragraph" w:customStyle="1" w:styleId="HeaderOdd">
    <w:name w:val="Header Odd"/>
    <w:basedOn w:val="Header"/>
    <w:rsid w:val="00061AE5"/>
  </w:style>
  <w:style w:type="paragraph" w:styleId="NormalIndent">
    <w:name w:val="Normal Indent"/>
    <w:basedOn w:val="Normal"/>
    <w:semiHidden/>
    <w:rsid w:val="00061AE5"/>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061AE5"/>
    <w:pPr>
      <w:spacing w:after="120"/>
    </w:pPr>
  </w:style>
  <w:style w:type="paragraph" w:customStyle="1" w:styleId="RecommendationText">
    <w:name w:val="Recommendation Text"/>
    <w:basedOn w:val="Normal"/>
    <w:qFormat/>
    <w:rsid w:val="00061AE5"/>
    <w:pPr>
      <w:spacing w:after="120"/>
      <w:ind w:left="459" w:hanging="425"/>
    </w:pPr>
    <w:rPr>
      <w:color w:val="000000"/>
    </w:rPr>
  </w:style>
  <w:style w:type="paragraph" w:customStyle="1" w:styleId="TableTextBase">
    <w:name w:val="Table Text Base"/>
    <w:uiPriority w:val="1"/>
    <w:unhideWhenUsed/>
    <w:rsid w:val="00061AE5"/>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061AE5"/>
    <w:pPr>
      <w:jc w:val="center"/>
    </w:pPr>
  </w:style>
  <w:style w:type="paragraph" w:customStyle="1" w:styleId="TableColumnHeadingLeft">
    <w:name w:val="Table Column Heading Left"/>
    <w:basedOn w:val="TableColumnHeadingBase"/>
    <w:uiPriority w:val="1"/>
    <w:unhideWhenUsed/>
    <w:rsid w:val="00061AE5"/>
  </w:style>
  <w:style w:type="paragraph" w:customStyle="1" w:styleId="TableColumnHeadingRight">
    <w:name w:val="Table Column Heading Right"/>
    <w:basedOn w:val="TableColumnHeadingBase"/>
    <w:uiPriority w:val="1"/>
    <w:unhideWhenUsed/>
    <w:rsid w:val="00061AE5"/>
    <w:pPr>
      <w:jc w:val="right"/>
    </w:pPr>
  </w:style>
  <w:style w:type="paragraph" w:customStyle="1" w:styleId="TableGraphic">
    <w:name w:val="Table Graphic"/>
    <w:basedOn w:val="Normal"/>
    <w:next w:val="Normal"/>
    <w:rsid w:val="00BA550B"/>
    <w:pPr>
      <w:keepNext/>
      <w:spacing w:after="0" w:line="240" w:lineRule="auto"/>
    </w:pPr>
    <w:rPr>
      <w:color w:val="636363" w:themeColor="accent2"/>
    </w:rPr>
  </w:style>
  <w:style w:type="paragraph" w:customStyle="1" w:styleId="TableMainHeading">
    <w:name w:val="Table Main Heading"/>
    <w:basedOn w:val="Normal"/>
    <w:next w:val="Normal"/>
    <w:uiPriority w:val="1"/>
    <w:rsid w:val="00BA550B"/>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061AE5"/>
    <w:pPr>
      <w:pageBreakBefore/>
      <w:spacing w:after="20"/>
    </w:pPr>
    <w:rPr>
      <w:b/>
      <w:sz w:val="22"/>
    </w:rPr>
  </w:style>
  <w:style w:type="paragraph" w:customStyle="1" w:styleId="TableSecondHeading">
    <w:name w:val="Table Second Heading"/>
    <w:basedOn w:val="HeadingBase"/>
    <w:next w:val="TableGraphic"/>
    <w:uiPriority w:val="1"/>
    <w:unhideWhenUsed/>
    <w:rsid w:val="00061AE5"/>
    <w:pPr>
      <w:spacing w:after="20"/>
    </w:pPr>
  </w:style>
  <w:style w:type="paragraph" w:customStyle="1" w:styleId="TableTextCentered">
    <w:name w:val="Table Text Centered"/>
    <w:basedOn w:val="TableTextBase"/>
    <w:uiPriority w:val="1"/>
    <w:unhideWhenUsed/>
    <w:rsid w:val="00061AE5"/>
    <w:pPr>
      <w:jc w:val="center"/>
    </w:pPr>
  </w:style>
  <w:style w:type="paragraph" w:customStyle="1" w:styleId="TableTextIndented">
    <w:name w:val="Table Text Indented"/>
    <w:basedOn w:val="TableTextBase"/>
    <w:uiPriority w:val="1"/>
    <w:unhideWhenUsed/>
    <w:rsid w:val="00061AE5"/>
    <w:pPr>
      <w:ind w:left="284"/>
    </w:pPr>
  </w:style>
  <w:style w:type="paragraph" w:customStyle="1" w:styleId="TableTextLeft">
    <w:name w:val="Table Text Left"/>
    <w:basedOn w:val="Normal"/>
    <w:rsid w:val="00BA550B"/>
    <w:pPr>
      <w:spacing w:before="60" w:after="60"/>
    </w:pPr>
  </w:style>
  <w:style w:type="paragraph" w:customStyle="1" w:styleId="TableTextRight">
    <w:name w:val="Table Text Right"/>
    <w:basedOn w:val="TableTextBase"/>
    <w:uiPriority w:val="1"/>
    <w:unhideWhenUsed/>
    <w:rsid w:val="00061AE5"/>
    <w:pPr>
      <w:jc w:val="right"/>
    </w:pPr>
  </w:style>
  <w:style w:type="paragraph" w:styleId="TOC1">
    <w:name w:val="toc 1"/>
    <w:basedOn w:val="HeadingBase"/>
    <w:next w:val="Normal"/>
    <w:uiPriority w:val="39"/>
    <w:rsid w:val="00061AE5"/>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061AE5"/>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061AE5"/>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061AE5"/>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061AE5"/>
    <w:rPr>
      <w:i/>
    </w:rPr>
  </w:style>
  <w:style w:type="paragraph" w:customStyle="1" w:styleId="OneLevelNumberedParagraph">
    <w:name w:val="One Level Numbered Paragraph"/>
    <w:basedOn w:val="Normal"/>
    <w:rsid w:val="00061AE5"/>
    <w:pPr>
      <w:numPr>
        <w:numId w:val="6"/>
      </w:numPr>
    </w:pPr>
  </w:style>
  <w:style w:type="paragraph" w:customStyle="1" w:styleId="BoxText">
    <w:name w:val="Box Text"/>
    <w:basedOn w:val="BoxTextBase"/>
    <w:unhideWhenUsed/>
    <w:rsid w:val="00BA550B"/>
    <w:pPr>
      <w:shd w:val="clear" w:color="auto" w:fill="auto"/>
      <w:spacing w:after="120"/>
    </w:pPr>
  </w:style>
  <w:style w:type="paragraph" w:customStyle="1" w:styleId="BoxBullet">
    <w:name w:val="Box Bullet"/>
    <w:basedOn w:val="BoxTextBase"/>
    <w:unhideWhenUsed/>
    <w:rsid w:val="00BA550B"/>
    <w:pPr>
      <w:numPr>
        <w:numId w:val="5"/>
      </w:numPr>
      <w:shd w:val="clear" w:color="auto" w:fill="auto"/>
    </w:pPr>
  </w:style>
  <w:style w:type="paragraph" w:customStyle="1" w:styleId="BoxDash">
    <w:name w:val="Box Dash"/>
    <w:basedOn w:val="BoxTextBase"/>
    <w:unhideWhenUsed/>
    <w:rsid w:val="00BA550B"/>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BA550B"/>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061AE5"/>
    <w:pPr>
      <w:numPr>
        <w:numId w:val="7"/>
      </w:numPr>
    </w:pPr>
  </w:style>
  <w:style w:type="paragraph" w:customStyle="1" w:styleId="RecommendationDash">
    <w:name w:val="Recommendation Dash"/>
    <w:basedOn w:val="RecommendationTextBase"/>
    <w:rsid w:val="00061AE5"/>
    <w:pPr>
      <w:numPr>
        <w:ilvl w:val="1"/>
        <w:numId w:val="7"/>
      </w:numPr>
    </w:pPr>
  </w:style>
  <w:style w:type="paragraph" w:customStyle="1" w:styleId="RecommendationDoubleDot">
    <w:name w:val="Recommendation Double Dot"/>
    <w:basedOn w:val="RecommendationTextBase"/>
    <w:rsid w:val="00061AE5"/>
    <w:pPr>
      <w:numPr>
        <w:ilvl w:val="2"/>
        <w:numId w:val="7"/>
      </w:numPr>
    </w:pPr>
  </w:style>
  <w:style w:type="character" w:styleId="FollowedHyperlink">
    <w:name w:val="FollowedHyperlink"/>
    <w:basedOn w:val="DefaultParagraphFont"/>
    <w:unhideWhenUsed/>
    <w:rsid w:val="00061AE5"/>
    <w:rPr>
      <w:color w:val="auto"/>
      <w:u w:val="none"/>
    </w:rPr>
  </w:style>
  <w:style w:type="paragraph" w:customStyle="1" w:styleId="Heading1NotNumbered">
    <w:name w:val="Heading 1 Not Numbered"/>
    <w:basedOn w:val="HeadingBase"/>
    <w:next w:val="Normal"/>
    <w:rsid w:val="00061AE5"/>
    <w:pPr>
      <w:spacing w:before="720" w:after="360"/>
    </w:pPr>
    <w:rPr>
      <w:smallCaps/>
      <w:sz w:val="40"/>
      <w:szCs w:val="36"/>
    </w:rPr>
  </w:style>
  <w:style w:type="paragraph" w:customStyle="1" w:styleId="Heading2NotNumbered">
    <w:name w:val="Heading 2 Not Numbered"/>
    <w:basedOn w:val="HeadingBase"/>
    <w:next w:val="Normal"/>
    <w:rsid w:val="00061AE5"/>
    <w:pPr>
      <w:spacing w:before="360" w:after="180"/>
    </w:pPr>
    <w:rPr>
      <w:smallCaps/>
      <w:sz w:val="32"/>
      <w:szCs w:val="28"/>
    </w:rPr>
  </w:style>
  <w:style w:type="paragraph" w:customStyle="1" w:styleId="Heading3NotNumbered">
    <w:name w:val="Heading 3 Not Numbered"/>
    <w:basedOn w:val="HeadingBase"/>
    <w:next w:val="Normal"/>
    <w:rsid w:val="00061AE5"/>
    <w:pPr>
      <w:spacing w:before="240" w:after="120"/>
    </w:pPr>
    <w:rPr>
      <w:sz w:val="28"/>
      <w:szCs w:val="26"/>
    </w:rPr>
  </w:style>
  <w:style w:type="paragraph" w:customStyle="1" w:styleId="Heading4NotNumbered">
    <w:name w:val="Heading 4 Not Numbered"/>
    <w:basedOn w:val="HeadingBase"/>
    <w:unhideWhenUsed/>
    <w:rsid w:val="00061AE5"/>
    <w:pPr>
      <w:spacing w:before="120" w:after="120"/>
      <w:outlineLvl w:val="3"/>
    </w:pPr>
    <w:rPr>
      <w:i/>
      <w:sz w:val="26"/>
    </w:rPr>
  </w:style>
  <w:style w:type="paragraph" w:styleId="BalloonText">
    <w:name w:val="Balloon Text"/>
    <w:basedOn w:val="Normal"/>
    <w:link w:val="BalloonTextChar"/>
    <w:uiPriority w:val="99"/>
    <w:semiHidden/>
    <w:unhideWhenUsed/>
    <w:rsid w:val="00BA550B"/>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BA550B"/>
    <w:pPr>
      <w:spacing w:after="200" w:line="240" w:lineRule="auto"/>
    </w:pPr>
    <w:rPr>
      <w:b/>
      <w:bCs/>
      <w:color w:val="31A7D4" w:themeColor="accent1"/>
      <w:sz w:val="18"/>
      <w:szCs w:val="18"/>
    </w:rPr>
  </w:style>
  <w:style w:type="character" w:styleId="CommentReference">
    <w:name w:val="annotation reference"/>
    <w:basedOn w:val="DefaultParagraphFont"/>
    <w:semiHidden/>
    <w:rsid w:val="00061AE5"/>
    <w:rPr>
      <w:sz w:val="16"/>
      <w:szCs w:val="16"/>
    </w:rPr>
  </w:style>
  <w:style w:type="paragraph" w:styleId="CommentText">
    <w:name w:val="annotation text"/>
    <w:basedOn w:val="Normal"/>
    <w:semiHidden/>
    <w:rsid w:val="00061AE5"/>
  </w:style>
  <w:style w:type="paragraph" w:styleId="CommentSubject">
    <w:name w:val="annotation subject"/>
    <w:basedOn w:val="CommentText"/>
    <w:next w:val="CommentText"/>
    <w:semiHidden/>
    <w:rsid w:val="00061AE5"/>
    <w:rPr>
      <w:b/>
      <w:bCs/>
    </w:rPr>
  </w:style>
  <w:style w:type="paragraph" w:styleId="DocumentMap">
    <w:name w:val="Document Map"/>
    <w:basedOn w:val="Normal"/>
    <w:semiHidden/>
    <w:rsid w:val="00061AE5"/>
    <w:pPr>
      <w:shd w:val="clear" w:color="auto" w:fill="000080"/>
    </w:pPr>
    <w:rPr>
      <w:rFonts w:ascii="Tahoma" w:hAnsi="Tahoma" w:cs="Tahoma"/>
    </w:rPr>
  </w:style>
  <w:style w:type="character" w:styleId="EndnoteReference">
    <w:name w:val="endnote reference"/>
    <w:basedOn w:val="DefaultParagraphFont"/>
    <w:semiHidden/>
    <w:rsid w:val="00061AE5"/>
    <w:rPr>
      <w:vertAlign w:val="superscript"/>
    </w:rPr>
  </w:style>
  <w:style w:type="paragraph" w:styleId="EndnoteText">
    <w:name w:val="endnote text"/>
    <w:basedOn w:val="Normal"/>
    <w:semiHidden/>
    <w:rsid w:val="00061AE5"/>
  </w:style>
  <w:style w:type="character" w:styleId="FootnoteReference">
    <w:name w:val="footnote reference"/>
    <w:basedOn w:val="DefaultParagraphFont"/>
    <w:uiPriority w:val="99"/>
    <w:unhideWhenUsed/>
    <w:rsid w:val="00BA550B"/>
    <w:rPr>
      <w:vertAlign w:val="superscript"/>
    </w:rPr>
  </w:style>
  <w:style w:type="paragraph" w:styleId="Index1">
    <w:name w:val="index 1"/>
    <w:basedOn w:val="Normal"/>
    <w:next w:val="Normal"/>
    <w:autoRedefine/>
    <w:semiHidden/>
    <w:rsid w:val="00061AE5"/>
    <w:pPr>
      <w:ind w:left="200" w:hanging="200"/>
    </w:pPr>
  </w:style>
  <w:style w:type="paragraph" w:styleId="Index2">
    <w:name w:val="index 2"/>
    <w:basedOn w:val="Normal"/>
    <w:next w:val="Normal"/>
    <w:autoRedefine/>
    <w:semiHidden/>
    <w:rsid w:val="00061AE5"/>
    <w:pPr>
      <w:ind w:left="400" w:hanging="200"/>
    </w:pPr>
  </w:style>
  <w:style w:type="paragraph" w:styleId="Index3">
    <w:name w:val="index 3"/>
    <w:basedOn w:val="Normal"/>
    <w:next w:val="Normal"/>
    <w:autoRedefine/>
    <w:semiHidden/>
    <w:rsid w:val="00061AE5"/>
    <w:pPr>
      <w:ind w:left="600" w:hanging="200"/>
    </w:pPr>
  </w:style>
  <w:style w:type="paragraph" w:styleId="Index4">
    <w:name w:val="index 4"/>
    <w:basedOn w:val="Normal"/>
    <w:next w:val="Normal"/>
    <w:autoRedefine/>
    <w:semiHidden/>
    <w:rsid w:val="00061AE5"/>
    <w:pPr>
      <w:ind w:left="800" w:hanging="200"/>
    </w:pPr>
  </w:style>
  <w:style w:type="paragraph" w:styleId="Index5">
    <w:name w:val="index 5"/>
    <w:basedOn w:val="Normal"/>
    <w:next w:val="Normal"/>
    <w:autoRedefine/>
    <w:semiHidden/>
    <w:rsid w:val="00061AE5"/>
    <w:pPr>
      <w:ind w:left="1000" w:hanging="200"/>
    </w:pPr>
  </w:style>
  <w:style w:type="paragraph" w:styleId="Index6">
    <w:name w:val="index 6"/>
    <w:basedOn w:val="Normal"/>
    <w:next w:val="Normal"/>
    <w:autoRedefine/>
    <w:semiHidden/>
    <w:rsid w:val="00061AE5"/>
    <w:pPr>
      <w:ind w:left="1200" w:hanging="200"/>
    </w:pPr>
  </w:style>
  <w:style w:type="paragraph" w:styleId="Index7">
    <w:name w:val="index 7"/>
    <w:basedOn w:val="Normal"/>
    <w:next w:val="Normal"/>
    <w:autoRedefine/>
    <w:semiHidden/>
    <w:rsid w:val="00061AE5"/>
    <w:pPr>
      <w:ind w:left="1400" w:hanging="200"/>
    </w:pPr>
  </w:style>
  <w:style w:type="paragraph" w:styleId="Index8">
    <w:name w:val="index 8"/>
    <w:basedOn w:val="Normal"/>
    <w:next w:val="Normal"/>
    <w:autoRedefine/>
    <w:semiHidden/>
    <w:rsid w:val="00061AE5"/>
    <w:pPr>
      <w:ind w:left="1600" w:hanging="200"/>
    </w:pPr>
  </w:style>
  <w:style w:type="paragraph" w:styleId="Index9">
    <w:name w:val="index 9"/>
    <w:basedOn w:val="Normal"/>
    <w:next w:val="Normal"/>
    <w:autoRedefine/>
    <w:semiHidden/>
    <w:rsid w:val="00061AE5"/>
    <w:pPr>
      <w:ind w:left="1800" w:hanging="200"/>
    </w:pPr>
  </w:style>
  <w:style w:type="paragraph" w:styleId="IndexHeading">
    <w:name w:val="index heading"/>
    <w:basedOn w:val="Normal"/>
    <w:next w:val="Index1"/>
    <w:semiHidden/>
    <w:rsid w:val="00061AE5"/>
    <w:rPr>
      <w:rFonts w:cs="Arial"/>
      <w:b/>
      <w:bCs/>
    </w:rPr>
  </w:style>
  <w:style w:type="paragraph" w:styleId="MacroText">
    <w:name w:val="macro"/>
    <w:semiHidden/>
    <w:rsid w:val="00061AE5"/>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061AE5"/>
    <w:pPr>
      <w:ind w:left="200" w:hanging="200"/>
    </w:pPr>
  </w:style>
  <w:style w:type="paragraph" w:styleId="TableofFigures">
    <w:name w:val="table of figures"/>
    <w:basedOn w:val="Normal"/>
    <w:next w:val="Normal"/>
    <w:semiHidden/>
    <w:rsid w:val="00061AE5"/>
  </w:style>
  <w:style w:type="paragraph" w:styleId="TOAHeading">
    <w:name w:val="toa heading"/>
    <w:basedOn w:val="Normal"/>
    <w:next w:val="Normal"/>
    <w:semiHidden/>
    <w:rsid w:val="00061AE5"/>
    <w:rPr>
      <w:rFonts w:cs="Arial"/>
      <w:b/>
      <w:bCs/>
      <w:szCs w:val="24"/>
    </w:rPr>
  </w:style>
  <w:style w:type="paragraph" w:styleId="TOC5">
    <w:name w:val="toc 5"/>
    <w:basedOn w:val="Normal"/>
    <w:next w:val="Normal"/>
    <w:autoRedefine/>
    <w:semiHidden/>
    <w:rsid w:val="00061AE5"/>
    <w:pPr>
      <w:ind w:left="800"/>
    </w:pPr>
  </w:style>
  <w:style w:type="paragraph" w:styleId="TOC6">
    <w:name w:val="toc 6"/>
    <w:basedOn w:val="Normal"/>
    <w:next w:val="Normal"/>
    <w:autoRedefine/>
    <w:semiHidden/>
    <w:rsid w:val="00061AE5"/>
    <w:pPr>
      <w:ind w:left="1000"/>
    </w:pPr>
  </w:style>
  <w:style w:type="paragraph" w:styleId="TOC7">
    <w:name w:val="toc 7"/>
    <w:basedOn w:val="Normal"/>
    <w:next w:val="Normal"/>
    <w:autoRedefine/>
    <w:semiHidden/>
    <w:rsid w:val="00061AE5"/>
    <w:pPr>
      <w:ind w:left="1200"/>
    </w:pPr>
  </w:style>
  <w:style w:type="paragraph" w:styleId="TOC8">
    <w:name w:val="toc 8"/>
    <w:basedOn w:val="Normal"/>
    <w:next w:val="Normal"/>
    <w:autoRedefine/>
    <w:semiHidden/>
    <w:rsid w:val="00061AE5"/>
    <w:pPr>
      <w:ind w:left="1400"/>
    </w:pPr>
  </w:style>
  <w:style w:type="paragraph" w:styleId="TOC9">
    <w:name w:val="toc 9"/>
    <w:basedOn w:val="Normal"/>
    <w:next w:val="Normal"/>
    <w:autoRedefine/>
    <w:semiHidden/>
    <w:rsid w:val="00061AE5"/>
    <w:pPr>
      <w:ind w:left="1600"/>
    </w:pPr>
  </w:style>
  <w:style w:type="paragraph" w:customStyle="1" w:styleId="Heading5NotNumbered">
    <w:name w:val="Heading 5 Not Numbered"/>
    <w:basedOn w:val="HeadingBase"/>
    <w:unhideWhenUsed/>
    <w:rsid w:val="00061AE5"/>
    <w:pPr>
      <w:spacing w:after="120"/>
      <w:outlineLvl w:val="4"/>
    </w:pPr>
    <w:rPr>
      <w:b/>
      <w:i/>
      <w:sz w:val="22"/>
    </w:rPr>
  </w:style>
  <w:style w:type="table" w:customStyle="1" w:styleId="OptionsTable">
    <w:name w:val="Options Table"/>
    <w:basedOn w:val="TableNormal"/>
    <w:rsid w:val="00061AE5"/>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061AE5"/>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061AE5"/>
    <w:pPr>
      <w:numPr>
        <w:ilvl w:val="4"/>
        <w:numId w:val="2"/>
      </w:numPr>
      <w:spacing w:line="280" w:lineRule="exact"/>
      <w:jc w:val="both"/>
    </w:pPr>
  </w:style>
  <w:style w:type="paragraph" w:customStyle="1" w:styleId="Crest">
    <w:name w:val="Crest"/>
    <w:basedOn w:val="Header"/>
    <w:uiPriority w:val="2"/>
    <w:rsid w:val="00061AE5"/>
    <w:pPr>
      <w:spacing w:after="480"/>
    </w:pPr>
  </w:style>
  <w:style w:type="character" w:customStyle="1" w:styleId="SingleParagraphChar">
    <w:name w:val="Single Paragraph Char"/>
    <w:basedOn w:val="DefaultParagraphFont"/>
    <w:link w:val="SingleParagraph"/>
    <w:rsid w:val="00061AE5"/>
    <w:rPr>
      <w:rFonts w:asciiTheme="minorHAnsi" w:hAnsiTheme="minorHAnsi"/>
      <w:color w:val="000000" w:themeColor="text1"/>
      <w:sz w:val="24"/>
    </w:rPr>
  </w:style>
  <w:style w:type="character" w:customStyle="1" w:styleId="Heading5Char">
    <w:name w:val="Heading 5 Char"/>
    <w:basedOn w:val="DefaultParagraphFont"/>
    <w:link w:val="Heading5"/>
    <w:rsid w:val="00BA550B"/>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BA550B"/>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BA550B"/>
    <w:rPr>
      <w:rFonts w:ascii="Arial" w:hAnsi="Arial"/>
      <w:color w:val="31A7D4" w:themeColor="accent1"/>
      <w:sz w:val="28"/>
    </w:rPr>
  </w:style>
  <w:style w:type="paragraph" w:customStyle="1" w:styleId="SecurityClassificationFooter">
    <w:name w:val="Security Classification Footer"/>
    <w:link w:val="SecurityClassificationFooterChar"/>
    <w:rsid w:val="00061AE5"/>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061AE5"/>
    <w:rPr>
      <w:b/>
      <w:caps/>
      <w:color w:val="009976"/>
      <w:sz w:val="24"/>
    </w:rPr>
  </w:style>
  <w:style w:type="paragraph" w:customStyle="1" w:styleId="MinuteNumber">
    <w:name w:val="Minute Number"/>
    <w:basedOn w:val="Header"/>
    <w:uiPriority w:val="2"/>
    <w:rsid w:val="00061AE5"/>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061AE5"/>
    <w:pPr>
      <w:spacing w:before="120"/>
    </w:pPr>
    <w:rPr>
      <w:b w:val="0"/>
      <w:sz w:val="24"/>
    </w:rPr>
  </w:style>
  <w:style w:type="paragraph" w:customStyle="1" w:styleId="QAText">
    <w:name w:val="QA Text"/>
    <w:basedOn w:val="Normal"/>
    <w:unhideWhenUsed/>
    <w:rsid w:val="00061AE5"/>
    <w:pPr>
      <w:spacing w:after="120"/>
    </w:pPr>
  </w:style>
  <w:style w:type="paragraph" w:customStyle="1" w:styleId="Copyrightheadings">
    <w:name w:val="Copyright headings"/>
    <w:basedOn w:val="HeadingBase"/>
    <w:uiPriority w:val="2"/>
    <w:rsid w:val="00061AE5"/>
    <w:pPr>
      <w:spacing w:after="80"/>
    </w:pPr>
    <w:rPr>
      <w:b/>
      <w:color w:val="000000" w:themeColor="text1"/>
      <w:sz w:val="22"/>
    </w:rPr>
  </w:style>
  <w:style w:type="paragraph" w:customStyle="1" w:styleId="Quotes">
    <w:name w:val="Quotes"/>
    <w:basedOn w:val="Normal"/>
    <w:qFormat/>
    <w:rsid w:val="00061AE5"/>
    <w:pPr>
      <w:spacing w:after="120"/>
      <w:ind w:left="567" w:right="423"/>
    </w:pPr>
    <w:rPr>
      <w:color w:val="595959" w:themeColor="text1" w:themeTint="A6"/>
    </w:rPr>
  </w:style>
  <w:style w:type="paragraph" w:customStyle="1" w:styleId="Keymessageheading">
    <w:name w:val="Key message heading"/>
    <w:basedOn w:val="Questionheading"/>
    <w:uiPriority w:val="1"/>
    <w:qFormat/>
    <w:rsid w:val="00061AE5"/>
  </w:style>
  <w:style w:type="paragraph" w:customStyle="1" w:styleId="Keyfindingtext">
    <w:name w:val="Key finding text"/>
    <w:basedOn w:val="BoxText"/>
    <w:uiPriority w:val="1"/>
    <w:qFormat/>
    <w:rsid w:val="00F64440"/>
    <w:pPr>
      <w:numPr>
        <w:numId w:val="21"/>
      </w:numPr>
    </w:pPr>
  </w:style>
  <w:style w:type="paragraph" w:customStyle="1" w:styleId="Casestudyboxheading">
    <w:name w:val="Case study box heading"/>
    <w:basedOn w:val="Questionheading"/>
    <w:qFormat/>
    <w:rsid w:val="00583ADB"/>
    <w:pPr>
      <w:numPr>
        <w:ilvl w:val="1"/>
        <w:numId w:val="18"/>
      </w:numPr>
    </w:pPr>
    <w:rPr>
      <w14:scene3d>
        <w14:camera w14:prst="orthographicFront"/>
        <w14:lightRig w14:rig="threePt" w14:dir="t">
          <w14:rot w14:lat="0" w14:lon="0" w14:rev="0"/>
        </w14:lightRig>
      </w14:scene3d>
    </w:rPr>
  </w:style>
  <w:style w:type="paragraph" w:customStyle="1" w:styleId="Casestudyboxtext">
    <w:name w:val="Case study box text"/>
    <w:basedOn w:val="BoxText"/>
    <w:qFormat/>
    <w:rsid w:val="00061AE5"/>
  </w:style>
  <w:style w:type="paragraph" w:styleId="ListParagraph">
    <w:name w:val="List Paragraph"/>
    <w:basedOn w:val="Normal"/>
    <w:uiPriority w:val="34"/>
    <w:unhideWhenUsed/>
    <w:qFormat/>
    <w:rsid w:val="00BA550B"/>
    <w:pPr>
      <w:ind w:left="720"/>
      <w:contextualSpacing/>
    </w:pPr>
  </w:style>
  <w:style w:type="paragraph" w:customStyle="1" w:styleId="Copyrightheading">
    <w:name w:val="Copyright heading"/>
    <w:basedOn w:val="Normal"/>
    <w:rsid w:val="00061AE5"/>
    <w:pPr>
      <w:spacing w:before="200" w:after="120"/>
    </w:pPr>
    <w:rPr>
      <w:rFonts w:eastAsiaTheme="minorHAnsi" w:cstheme="minorBidi"/>
      <w:b/>
      <w:szCs w:val="22"/>
      <w:lang w:eastAsia="en-US"/>
    </w:rPr>
  </w:style>
  <w:style w:type="character" w:styleId="PageNumber">
    <w:name w:val="page number"/>
    <w:basedOn w:val="DefaultParagraphFont"/>
    <w:rsid w:val="00061AE5"/>
  </w:style>
  <w:style w:type="numbering" w:customStyle="1" w:styleId="BoxBulletedList">
    <w:name w:val="Box Bulleted List"/>
    <w:uiPriority w:val="99"/>
    <w:rsid w:val="00432B15"/>
  </w:style>
  <w:style w:type="numbering" w:customStyle="1" w:styleId="OneLevelList">
    <w:name w:val="OneLevelList"/>
    <w:uiPriority w:val="99"/>
    <w:rsid w:val="00432B15"/>
    <w:pPr>
      <w:numPr>
        <w:numId w:val="12"/>
      </w:numPr>
    </w:pPr>
  </w:style>
  <w:style w:type="character" w:customStyle="1" w:styleId="FootnoteTextChar">
    <w:name w:val="Footnote Text Char"/>
    <w:basedOn w:val="DefaultParagraphFont"/>
    <w:link w:val="FootnoteText"/>
    <w:uiPriority w:val="99"/>
    <w:rsid w:val="00BA550B"/>
    <w:rPr>
      <w:rFonts w:ascii="Arial" w:hAnsi="Arial"/>
      <w:sz w:val="18"/>
    </w:rPr>
  </w:style>
  <w:style w:type="numbering" w:customStyle="1" w:styleId="BulletedList">
    <w:name w:val="Bulleted List"/>
    <w:uiPriority w:val="99"/>
    <w:rsid w:val="00432B15"/>
    <w:pPr>
      <w:numPr>
        <w:numId w:val="13"/>
      </w:numPr>
    </w:pPr>
  </w:style>
  <w:style w:type="character" w:customStyle="1" w:styleId="DashChar">
    <w:name w:val="Dash Char"/>
    <w:basedOn w:val="DefaultParagraphFont"/>
    <w:link w:val="Dash"/>
    <w:rsid w:val="00432B15"/>
    <w:rPr>
      <w:rFonts w:ascii="Arial" w:hAnsi="Arial"/>
      <w:color w:val="000000" w:themeColor="text1"/>
      <w:sz w:val="22"/>
    </w:rPr>
  </w:style>
  <w:style w:type="character" w:customStyle="1" w:styleId="DoubleDotChar">
    <w:name w:val="Double Dot Char"/>
    <w:basedOn w:val="DefaultParagraphFont"/>
    <w:link w:val="DoubleDot"/>
    <w:rsid w:val="00432B15"/>
    <w:rPr>
      <w:rFonts w:ascii="Arial" w:hAnsi="Arial"/>
      <w:color w:val="000000" w:themeColor="text1"/>
      <w:sz w:val="22"/>
    </w:rPr>
  </w:style>
  <w:style w:type="paragraph" w:customStyle="1" w:styleId="PictureIndent">
    <w:name w:val="Picture Indent"/>
    <w:basedOn w:val="Normal"/>
    <w:rsid w:val="00432B15"/>
    <w:pPr>
      <w:keepLines/>
      <w:spacing w:after="200" w:line="240" w:lineRule="atLeast"/>
      <w:ind w:left="284"/>
    </w:pPr>
    <w:rPr>
      <w:rFonts w:eastAsiaTheme="minorEastAsia" w:cstheme="minorBidi"/>
      <w:szCs w:val="22"/>
      <w:lang w:eastAsia="en-US"/>
    </w:rPr>
  </w:style>
  <w:style w:type="numbering" w:customStyle="1" w:styleId="OutlineList">
    <w:name w:val="OutlineList"/>
    <w:uiPriority w:val="99"/>
    <w:rsid w:val="00432B15"/>
    <w:pPr>
      <w:numPr>
        <w:numId w:val="14"/>
      </w:numPr>
    </w:pPr>
  </w:style>
  <w:style w:type="character" w:customStyle="1" w:styleId="OutlineNumbered1Char">
    <w:name w:val="Outline Numbered 1 Char"/>
    <w:basedOn w:val="DefaultParagraphFont"/>
    <w:link w:val="OutlineNumbered1"/>
    <w:uiPriority w:val="2"/>
    <w:rsid w:val="00432B15"/>
    <w:rPr>
      <w:rFonts w:asciiTheme="minorHAnsi" w:hAnsiTheme="minorHAnsi"/>
      <w:color w:val="000000" w:themeColor="text1"/>
      <w:sz w:val="24"/>
    </w:rPr>
  </w:style>
  <w:style w:type="character" w:customStyle="1" w:styleId="BulletChar">
    <w:name w:val="Bullet Char"/>
    <w:aliases w:val="b + line Char Char,b Char,b Char Char"/>
    <w:basedOn w:val="DefaultParagraphFont"/>
    <w:link w:val="Bullet"/>
    <w:rsid w:val="003D314E"/>
    <w:rPr>
      <w:rFonts w:asciiTheme="minorHAnsi" w:hAnsiTheme="minorHAnsi"/>
      <w:color w:val="000000" w:themeColor="text1"/>
      <w:sz w:val="24"/>
    </w:rPr>
  </w:style>
  <w:style w:type="paragraph" w:styleId="Revision">
    <w:name w:val="Revision"/>
    <w:hidden/>
    <w:uiPriority w:val="99"/>
    <w:semiHidden/>
    <w:rsid w:val="003C7AEB"/>
    <w:rPr>
      <w:rFonts w:asciiTheme="minorHAnsi" w:hAnsiTheme="minorHAnsi"/>
      <w:color w:val="000000"/>
      <w:sz w:val="22"/>
    </w:rPr>
  </w:style>
  <w:style w:type="paragraph" w:styleId="NoSpacing">
    <w:name w:val="No Spacing"/>
    <w:uiPriority w:val="2"/>
    <w:qFormat/>
    <w:rsid w:val="002E51B1"/>
    <w:rPr>
      <w:rFonts w:asciiTheme="minorHAnsi" w:hAnsiTheme="minorHAnsi"/>
      <w:color w:val="000000"/>
      <w:sz w:val="22"/>
    </w:rPr>
  </w:style>
  <w:style w:type="paragraph" w:customStyle="1" w:styleId="Keyfindingbullet">
    <w:name w:val="Key finding bullet"/>
    <w:basedOn w:val="Keyfindingtext"/>
    <w:uiPriority w:val="1"/>
    <w:qFormat/>
    <w:rsid w:val="005400CF"/>
    <w:pPr>
      <w:numPr>
        <w:numId w:val="16"/>
      </w:numPr>
      <w:ind w:left="459"/>
    </w:pPr>
  </w:style>
  <w:style w:type="paragraph" w:customStyle="1" w:styleId="Questionheading">
    <w:name w:val="Question heading"/>
    <w:basedOn w:val="Normal"/>
    <w:qFormat/>
    <w:rsid w:val="00BA550B"/>
    <w:pPr>
      <w:spacing w:before="80" w:line="240" w:lineRule="auto"/>
    </w:pPr>
    <w:rPr>
      <w:b/>
      <w:color w:val="31A7D4" w:themeColor="accent1"/>
      <w:sz w:val="28"/>
      <w:szCs w:val="28"/>
    </w:rPr>
  </w:style>
  <w:style w:type="paragraph" w:customStyle="1" w:styleId="Questiontext">
    <w:name w:val="Question text"/>
    <w:basedOn w:val="ListParagraph"/>
    <w:qFormat/>
    <w:rsid w:val="00BA550B"/>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BA550B"/>
    <w:pPr>
      <w:spacing w:before="20" w:after="0" w:line="240" w:lineRule="auto"/>
    </w:pPr>
    <w:rPr>
      <w:color w:val="000000" w:themeColor="text1"/>
      <w:sz w:val="18"/>
    </w:rPr>
  </w:style>
  <w:style w:type="paragraph" w:customStyle="1" w:styleId="Overviewheading">
    <w:name w:val="Overview heading"/>
    <w:basedOn w:val="Heading2"/>
    <w:qFormat/>
    <w:rsid w:val="00BA550B"/>
    <w:pPr>
      <w:numPr>
        <w:numId w:val="0"/>
      </w:numPr>
      <w:spacing w:after="240"/>
    </w:pPr>
  </w:style>
  <w:style w:type="paragraph" w:styleId="NormalWeb">
    <w:name w:val="Normal (Web)"/>
    <w:basedOn w:val="Normal"/>
    <w:semiHidden/>
    <w:rsid w:val="00F64440"/>
    <w:rPr>
      <w:rFonts w:ascii="Times New Roman" w:hAnsi="Times New Roman"/>
      <w:szCs w:val="24"/>
    </w:rPr>
  </w:style>
  <w:style w:type="paragraph" w:styleId="PlainText">
    <w:name w:val="Plain Text"/>
    <w:basedOn w:val="Normal"/>
    <w:link w:val="PlainTextChar"/>
    <w:uiPriority w:val="99"/>
    <w:unhideWhenUsed/>
    <w:rsid w:val="001A70EE"/>
    <w:pPr>
      <w:spacing w:after="0"/>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1A70EE"/>
    <w:rPr>
      <w:rFonts w:ascii="Calibri" w:eastAsiaTheme="minorHAnsi" w:hAnsi="Calibri" w:cstheme="minorBidi"/>
      <w:sz w:val="22"/>
      <w:szCs w:val="21"/>
      <w:lang w:eastAsia="en-US"/>
    </w:rPr>
  </w:style>
  <w:style w:type="paragraph" w:customStyle="1" w:styleId="ChartandTableFootnoteNumeral">
    <w:name w:val="Chart and Table Footnote Numeral"/>
    <w:basedOn w:val="ChartandTableFootnoteAlpha"/>
    <w:uiPriority w:val="1"/>
    <w:qFormat/>
    <w:rsid w:val="007A1641"/>
    <w:pPr>
      <w:numPr>
        <w:numId w:val="0"/>
      </w:numPr>
      <w:tabs>
        <w:tab w:val="left" w:pos="284"/>
      </w:tabs>
      <w:ind w:left="284"/>
    </w:pPr>
  </w:style>
  <w:style w:type="character" w:styleId="Emphasis">
    <w:name w:val="Emphasis"/>
    <w:basedOn w:val="DefaultParagraphFont"/>
    <w:uiPriority w:val="20"/>
    <w:qFormat/>
    <w:rsid w:val="002D667C"/>
    <w:rPr>
      <w:i/>
      <w:iCs/>
    </w:rPr>
  </w:style>
  <w:style w:type="character" w:customStyle="1" w:styleId="Heading1Char">
    <w:name w:val="Heading 1 Char"/>
    <w:basedOn w:val="DefaultParagraphFont"/>
    <w:link w:val="Heading1"/>
    <w:rsid w:val="00BA550B"/>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BA550B"/>
    <w:rPr>
      <w:rFonts w:ascii="Arial" w:hAnsi="Arial" w:cs="Arial"/>
      <w:b/>
      <w:bCs/>
      <w:color w:val="000000" w:themeColor="text1"/>
      <w:kern w:val="32"/>
      <w:sz w:val="40"/>
      <w:szCs w:val="36"/>
    </w:rPr>
  </w:style>
  <w:style w:type="paragraph" w:styleId="Title">
    <w:name w:val="Title"/>
    <w:basedOn w:val="Normal"/>
    <w:next w:val="Normal"/>
    <w:link w:val="TitleChar"/>
    <w:uiPriority w:val="10"/>
    <w:rsid w:val="00BA550B"/>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BA550B"/>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BA550B"/>
    <w:pPr>
      <w:numPr>
        <w:numId w:val="23"/>
      </w:numPr>
      <w:spacing w:after="120"/>
      <w:ind w:left="567" w:hanging="567"/>
      <w:contextualSpacing w:val="0"/>
    </w:pPr>
  </w:style>
  <w:style w:type="paragraph" w:styleId="Quote">
    <w:name w:val="Quote"/>
    <w:basedOn w:val="Normal"/>
    <w:next w:val="Normal"/>
    <w:link w:val="QuoteChar"/>
    <w:uiPriority w:val="29"/>
    <w:qFormat/>
    <w:rsid w:val="00BA550B"/>
    <w:pPr>
      <w:spacing w:before="120"/>
      <w:ind w:left="567"/>
    </w:pPr>
    <w:rPr>
      <w:iCs/>
      <w:color w:val="000000" w:themeColor="text1"/>
    </w:rPr>
  </w:style>
  <w:style w:type="character" w:customStyle="1" w:styleId="QuoteChar">
    <w:name w:val="Quote Char"/>
    <w:basedOn w:val="DefaultParagraphFont"/>
    <w:link w:val="Quote"/>
    <w:uiPriority w:val="29"/>
    <w:rsid w:val="00BA550B"/>
    <w:rPr>
      <w:rFonts w:ascii="Arial" w:hAnsi="Arial"/>
      <w:iCs/>
      <w:color w:val="000000" w:themeColor="text1"/>
      <w:sz w:val="22"/>
    </w:rPr>
  </w:style>
  <w:style w:type="character" w:customStyle="1" w:styleId="Heading3Char">
    <w:name w:val="Heading 3 Char"/>
    <w:basedOn w:val="DefaultParagraphFont"/>
    <w:link w:val="Heading3"/>
    <w:rsid w:val="00BA550B"/>
    <w:rPr>
      <w:rFonts w:ascii="Arial" w:eastAsiaTheme="majorEastAsia" w:hAnsi="Arial" w:cstheme="majorBidi"/>
      <w:b/>
      <w:bCs/>
      <w:color w:val="31A7D4" w:themeColor="accent1"/>
      <w:sz w:val="30"/>
    </w:rPr>
  </w:style>
  <w:style w:type="paragraph" w:customStyle="1" w:styleId="Overviewtext">
    <w:name w:val="Overview text"/>
    <w:basedOn w:val="Normal"/>
    <w:qFormat/>
    <w:rsid w:val="00BA550B"/>
    <w:rPr>
      <w:sz w:val="32"/>
      <w:szCs w:val="32"/>
    </w:rPr>
  </w:style>
  <w:style w:type="paragraph" w:customStyle="1" w:styleId="Singleparagraph0">
    <w:name w:val="Single paragraph"/>
    <w:basedOn w:val="Normal"/>
    <w:qFormat/>
    <w:rsid w:val="00BA550B"/>
    <w:pPr>
      <w:spacing w:after="0" w:line="240" w:lineRule="auto"/>
    </w:pPr>
  </w:style>
  <w:style w:type="character" w:customStyle="1" w:styleId="HeaderChar">
    <w:name w:val="Header Char"/>
    <w:basedOn w:val="DefaultParagraphFont"/>
    <w:link w:val="Header"/>
    <w:uiPriority w:val="99"/>
    <w:rsid w:val="00BA550B"/>
    <w:rPr>
      <w:rFonts w:ascii="Arial" w:hAnsi="Arial"/>
      <w:color w:val="636363" w:themeColor="accent2"/>
      <w:sz w:val="22"/>
    </w:rPr>
  </w:style>
  <w:style w:type="paragraph" w:customStyle="1" w:styleId="Overviewheading2">
    <w:name w:val="Overview heading 2"/>
    <w:basedOn w:val="Heading2"/>
    <w:qFormat/>
    <w:rsid w:val="00BA550B"/>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BA550B"/>
    <w:rPr>
      <w:rFonts w:ascii="Tahoma" w:hAnsi="Tahoma" w:cs="Tahoma"/>
      <w:sz w:val="16"/>
      <w:szCs w:val="16"/>
    </w:rPr>
  </w:style>
  <w:style w:type="paragraph" w:customStyle="1" w:styleId="ChartandTableNote">
    <w:name w:val="Chart and Table Note"/>
    <w:next w:val="Normal"/>
    <w:rsid w:val="00BA550B"/>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Plain Text" w:uiPriority="99"/>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50B"/>
    <w:pPr>
      <w:spacing w:after="240" w:line="276" w:lineRule="auto"/>
    </w:pPr>
    <w:rPr>
      <w:rFonts w:ascii="Arial" w:hAnsi="Arial"/>
      <w:sz w:val="22"/>
    </w:rPr>
  </w:style>
  <w:style w:type="paragraph" w:styleId="Heading1">
    <w:name w:val="heading 1"/>
    <w:basedOn w:val="Normal"/>
    <w:next w:val="Normal"/>
    <w:link w:val="Heading1Char"/>
    <w:qFormat/>
    <w:rsid w:val="00BA550B"/>
    <w:pPr>
      <w:keepNext/>
      <w:numPr>
        <w:numId w:val="28"/>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BA550B"/>
    <w:pPr>
      <w:numPr>
        <w:ilvl w:val="1"/>
      </w:numPr>
      <w:pBdr>
        <w:top w:val="single" w:sz="12" w:space="3" w:color="31A7D4" w:themeColor="accent1"/>
        <w:bottom w:val="single" w:sz="12" w:space="3" w:color="31A7D4" w:themeColor="accent1"/>
      </w:pBdr>
      <w:spacing w:line="240" w:lineRule="auto"/>
      <w:ind w:left="851" w:hanging="851"/>
      <w:outlineLvl w:val="1"/>
    </w:pPr>
    <w:rPr>
      <w:sz w:val="40"/>
    </w:rPr>
  </w:style>
  <w:style w:type="paragraph" w:styleId="Heading3">
    <w:name w:val="heading 3"/>
    <w:basedOn w:val="Normal"/>
    <w:next w:val="Normal"/>
    <w:link w:val="Heading3Char"/>
    <w:unhideWhenUsed/>
    <w:qFormat/>
    <w:rsid w:val="00BA550B"/>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BA550B"/>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BA550B"/>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061AE5"/>
    <w:pPr>
      <w:numPr>
        <w:ilvl w:val="5"/>
        <w:numId w:val="19"/>
      </w:numPr>
      <w:spacing w:after="120"/>
      <w:outlineLvl w:val="5"/>
    </w:pPr>
    <w:rPr>
      <w:bCs/>
      <w:sz w:val="22"/>
      <w:szCs w:val="22"/>
    </w:rPr>
  </w:style>
  <w:style w:type="paragraph" w:styleId="Heading7">
    <w:name w:val="heading 7"/>
    <w:basedOn w:val="HeadingBase"/>
    <w:next w:val="Normal"/>
    <w:semiHidden/>
    <w:rsid w:val="00061AE5"/>
    <w:pPr>
      <w:numPr>
        <w:ilvl w:val="6"/>
        <w:numId w:val="19"/>
      </w:numPr>
      <w:spacing w:after="120"/>
      <w:outlineLvl w:val="6"/>
    </w:pPr>
    <w:rPr>
      <w:szCs w:val="24"/>
    </w:rPr>
  </w:style>
  <w:style w:type="paragraph" w:styleId="Heading8">
    <w:name w:val="heading 8"/>
    <w:basedOn w:val="HeadingBase"/>
    <w:next w:val="Normal"/>
    <w:semiHidden/>
    <w:rsid w:val="00061AE5"/>
    <w:pPr>
      <w:numPr>
        <w:ilvl w:val="7"/>
        <w:numId w:val="19"/>
      </w:numPr>
      <w:spacing w:before="60" w:after="60"/>
      <w:jc w:val="center"/>
      <w:outlineLvl w:val="7"/>
    </w:pPr>
    <w:rPr>
      <w:iCs/>
      <w:smallCaps/>
      <w:sz w:val="22"/>
      <w:szCs w:val="24"/>
    </w:rPr>
  </w:style>
  <w:style w:type="paragraph" w:styleId="Heading9">
    <w:name w:val="heading 9"/>
    <w:basedOn w:val="HeadingBase"/>
    <w:next w:val="Normal"/>
    <w:semiHidden/>
    <w:rsid w:val="00061AE5"/>
    <w:pPr>
      <w:numPr>
        <w:ilvl w:val="8"/>
        <w:numId w:val="19"/>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061AE5"/>
    <w:pPr>
      <w:spacing w:after="0"/>
    </w:pPr>
  </w:style>
  <w:style w:type="character" w:styleId="Hyperlink">
    <w:name w:val="Hyperlink"/>
    <w:basedOn w:val="DefaultParagraphFont"/>
    <w:uiPriority w:val="99"/>
    <w:unhideWhenUsed/>
    <w:rsid w:val="00061AE5"/>
    <w:rPr>
      <w:color w:val="31A7D4" w:themeColor="text2"/>
      <w:u w:val="none"/>
    </w:rPr>
  </w:style>
  <w:style w:type="character" w:customStyle="1" w:styleId="BoldandItalic">
    <w:name w:val="Bold and Italic"/>
    <w:basedOn w:val="DefaultParagraphFont"/>
    <w:rsid w:val="00061AE5"/>
    <w:rPr>
      <w:rFonts w:ascii="Calibri" w:hAnsi="Calibri"/>
      <w:b/>
      <w:i/>
    </w:rPr>
  </w:style>
  <w:style w:type="table" w:styleId="TableGrid">
    <w:name w:val="Table Grid"/>
    <w:basedOn w:val="TableNormal"/>
    <w:uiPriority w:val="59"/>
    <w:rsid w:val="00BA550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061AE5"/>
    <w:pPr>
      <w:spacing w:before="40" w:after="40"/>
    </w:pPr>
    <w:rPr>
      <w:b/>
      <w:color w:val="009976"/>
      <w:sz w:val="16"/>
    </w:rPr>
  </w:style>
  <w:style w:type="paragraph" w:styleId="FootnoteText">
    <w:name w:val="footnote text"/>
    <w:basedOn w:val="Normal"/>
    <w:link w:val="FootnoteTextChar"/>
    <w:uiPriority w:val="99"/>
    <w:rsid w:val="00BA550B"/>
    <w:pPr>
      <w:spacing w:before="40" w:after="0" w:line="240" w:lineRule="auto"/>
      <w:ind w:left="426" w:hanging="426"/>
    </w:pPr>
    <w:rPr>
      <w:sz w:val="18"/>
    </w:rPr>
  </w:style>
  <w:style w:type="paragraph" w:customStyle="1" w:styleId="Bullet">
    <w:name w:val="Bullet"/>
    <w:aliases w:val="b,b1,b + line,Body,level 1"/>
    <w:basedOn w:val="Normal"/>
    <w:link w:val="BulletChar"/>
    <w:rsid w:val="00061AE5"/>
    <w:pPr>
      <w:numPr>
        <w:numId w:val="1"/>
      </w:numPr>
      <w:ind w:left="1134" w:hanging="567"/>
    </w:pPr>
  </w:style>
  <w:style w:type="paragraph" w:customStyle="1" w:styleId="Dash">
    <w:name w:val="Dash"/>
    <w:basedOn w:val="Normal"/>
    <w:link w:val="DashChar"/>
    <w:rsid w:val="00BA550B"/>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link w:val="DoubleDotChar"/>
    <w:rsid w:val="00BA550B"/>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061AE5"/>
    <w:pPr>
      <w:numPr>
        <w:numId w:val="2"/>
      </w:numPr>
      <w:spacing w:line="280" w:lineRule="exact"/>
      <w:jc w:val="both"/>
    </w:pPr>
  </w:style>
  <w:style w:type="paragraph" w:customStyle="1" w:styleId="OutlineNumbered2">
    <w:name w:val="Outline Numbered 2"/>
    <w:basedOn w:val="Normal"/>
    <w:uiPriority w:val="2"/>
    <w:rsid w:val="00061AE5"/>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061AE5"/>
    <w:pPr>
      <w:numPr>
        <w:numId w:val="3"/>
      </w:numPr>
    </w:pPr>
  </w:style>
  <w:style w:type="paragraph" w:customStyle="1" w:styleId="HeadingBase">
    <w:name w:val="Heading Base"/>
    <w:next w:val="Normal"/>
    <w:rsid w:val="00061AE5"/>
    <w:pPr>
      <w:keepNext/>
    </w:pPr>
    <w:rPr>
      <w:rFonts w:ascii="Calibri" w:hAnsi="Calibri"/>
      <w:color w:val="31A7D4" w:themeColor="accent1"/>
    </w:rPr>
  </w:style>
  <w:style w:type="paragraph" w:customStyle="1" w:styleId="AppendixHeading">
    <w:name w:val="Appendix Heading"/>
    <w:basedOn w:val="HeadingBase"/>
    <w:next w:val="Normal"/>
    <w:rsid w:val="00061AE5"/>
    <w:pPr>
      <w:spacing w:before="720" w:after="360"/>
      <w:outlineLvl w:val="0"/>
    </w:pPr>
    <w:rPr>
      <w:b/>
      <w:smallCaps/>
      <w:sz w:val="36"/>
      <w:szCs w:val="36"/>
    </w:rPr>
  </w:style>
  <w:style w:type="character" w:customStyle="1" w:styleId="Bold">
    <w:name w:val="Bold"/>
    <w:basedOn w:val="DefaultParagraphFont"/>
    <w:rsid w:val="00061AE5"/>
    <w:rPr>
      <w:b/>
    </w:rPr>
  </w:style>
  <w:style w:type="paragraph" w:customStyle="1" w:styleId="BoxHeading">
    <w:name w:val="Box Heading"/>
    <w:basedOn w:val="Caption"/>
    <w:next w:val="BoxText"/>
    <w:unhideWhenUsed/>
    <w:rsid w:val="00BA550B"/>
    <w:rPr>
      <w:sz w:val="28"/>
      <w:szCs w:val="28"/>
    </w:rPr>
  </w:style>
  <w:style w:type="paragraph" w:customStyle="1" w:styleId="BoxTextBase">
    <w:name w:val="Box Text Base"/>
    <w:basedOn w:val="Normal"/>
    <w:unhideWhenUsed/>
    <w:rsid w:val="00BA550B"/>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BA550B"/>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BA550B"/>
    <w:pPr>
      <w:keepNext/>
      <w:spacing w:after="0" w:line="240" w:lineRule="auto"/>
      <w:jc w:val="center"/>
    </w:pPr>
    <w:rPr>
      <w:color w:val="636363" w:themeColor="accent2"/>
    </w:rPr>
  </w:style>
  <w:style w:type="paragraph" w:customStyle="1" w:styleId="ChartMainHeading">
    <w:name w:val="Chart Main Heading"/>
    <w:basedOn w:val="Caption"/>
    <w:next w:val="ChartGraphic"/>
    <w:rsid w:val="00BA550B"/>
    <w:pPr>
      <w:keepNext/>
      <w:spacing w:before="120" w:after="60"/>
      <w:jc w:val="center"/>
    </w:pPr>
    <w:rPr>
      <w:sz w:val="20"/>
      <w:szCs w:val="20"/>
    </w:rPr>
  </w:style>
  <w:style w:type="paragraph" w:customStyle="1" w:styleId="ChartorTableNote">
    <w:name w:val="Chart or Table Note"/>
    <w:next w:val="Normal"/>
    <w:rsid w:val="00BA550B"/>
    <w:rPr>
      <w:rFonts w:ascii="Arial" w:hAnsi="Arial"/>
      <w:color w:val="000000"/>
      <w:sz w:val="18"/>
    </w:rPr>
  </w:style>
  <w:style w:type="paragraph" w:customStyle="1" w:styleId="ChartSecondHeading">
    <w:name w:val="Chart Second Heading"/>
    <w:basedOn w:val="HeadingBase"/>
    <w:next w:val="ChartGraphic"/>
    <w:rsid w:val="00061AE5"/>
    <w:pPr>
      <w:spacing w:after="20"/>
      <w:jc w:val="center"/>
    </w:pPr>
  </w:style>
  <w:style w:type="paragraph" w:customStyle="1" w:styleId="Classification">
    <w:name w:val="Classification"/>
    <w:basedOn w:val="HeadingBase"/>
    <w:next w:val="Footer"/>
    <w:semiHidden/>
    <w:rsid w:val="00061AE5"/>
    <w:pPr>
      <w:spacing w:after="120"/>
      <w:jc w:val="center"/>
    </w:pPr>
    <w:rPr>
      <w:b/>
      <w:smallCaps/>
    </w:rPr>
  </w:style>
  <w:style w:type="paragraph" w:styleId="Footer">
    <w:name w:val="footer"/>
    <w:basedOn w:val="Normal"/>
    <w:link w:val="FooterChar"/>
    <w:uiPriority w:val="99"/>
    <w:unhideWhenUsed/>
    <w:rsid w:val="00BA550B"/>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061AE5"/>
    <w:pPr>
      <w:spacing w:after="360"/>
      <w:jc w:val="center"/>
    </w:pPr>
    <w:rPr>
      <w:smallCaps/>
      <w:sz w:val="40"/>
      <w:szCs w:val="36"/>
    </w:rPr>
  </w:style>
  <w:style w:type="paragraph" w:customStyle="1" w:styleId="CoverTitleMain">
    <w:name w:val="Cover Title Main"/>
    <w:basedOn w:val="HeadingBase"/>
    <w:next w:val="Normal"/>
    <w:uiPriority w:val="2"/>
    <w:rsid w:val="00061AE5"/>
    <w:pPr>
      <w:spacing w:before="720" w:after="480"/>
    </w:pPr>
    <w:rPr>
      <w:b/>
      <w:caps/>
      <w:sz w:val="48"/>
    </w:rPr>
  </w:style>
  <w:style w:type="paragraph" w:customStyle="1" w:styleId="CoverTitleSub">
    <w:name w:val="Cover Title Sub"/>
    <w:basedOn w:val="HeadingBase"/>
    <w:uiPriority w:val="2"/>
    <w:rsid w:val="00061AE5"/>
    <w:pPr>
      <w:pBdr>
        <w:top w:val="single" w:sz="4" w:space="1" w:color="009976"/>
      </w:pBdr>
      <w:spacing w:after="360"/>
      <w:jc w:val="right"/>
    </w:pPr>
    <w:rPr>
      <w:sz w:val="36"/>
    </w:rPr>
  </w:style>
  <w:style w:type="paragraph" w:customStyle="1" w:styleId="FooterCentered">
    <w:name w:val="Footer Centered"/>
    <w:basedOn w:val="Footer"/>
    <w:unhideWhenUsed/>
    <w:rsid w:val="00061AE5"/>
    <w:pPr>
      <w:jc w:val="center"/>
    </w:pPr>
  </w:style>
  <w:style w:type="paragraph" w:customStyle="1" w:styleId="FooterEven">
    <w:name w:val="Footer Even"/>
    <w:basedOn w:val="FooterOdd"/>
    <w:unhideWhenUsed/>
    <w:rsid w:val="00F11884"/>
  </w:style>
  <w:style w:type="paragraph" w:customStyle="1" w:styleId="FooterOdd">
    <w:name w:val="Footer Odd"/>
    <w:basedOn w:val="Footer"/>
    <w:unhideWhenUsed/>
    <w:rsid w:val="00F11884"/>
  </w:style>
  <w:style w:type="character" w:customStyle="1" w:styleId="FramedFooter">
    <w:name w:val="Framed Footer"/>
    <w:semiHidden/>
    <w:rsid w:val="00061AE5"/>
    <w:rPr>
      <w:rFonts w:ascii="Arial" w:hAnsi="Arial"/>
      <w:color w:val="31A7D4" w:themeColor="accent1"/>
      <w:sz w:val="18"/>
    </w:rPr>
  </w:style>
  <w:style w:type="character" w:customStyle="1" w:styleId="FramedHeader">
    <w:name w:val="Framed Header"/>
    <w:basedOn w:val="DefaultParagraphFont"/>
    <w:semiHidden/>
    <w:rsid w:val="00061AE5"/>
    <w:rPr>
      <w:rFonts w:ascii="Arial" w:hAnsi="Arial"/>
      <w:dstrike w:val="0"/>
      <w:color w:val="31A7D4" w:themeColor="accent1"/>
      <w:sz w:val="18"/>
      <w:vertAlign w:val="baseline"/>
    </w:rPr>
  </w:style>
  <w:style w:type="paragraph" w:styleId="Header">
    <w:name w:val="header"/>
    <w:basedOn w:val="Normal"/>
    <w:link w:val="HeaderChar"/>
    <w:uiPriority w:val="99"/>
    <w:unhideWhenUsed/>
    <w:rsid w:val="00BA550B"/>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F11884"/>
    <w:pPr>
      <w:jc w:val="left"/>
    </w:pPr>
  </w:style>
  <w:style w:type="paragraph" w:customStyle="1" w:styleId="HeaderOdd">
    <w:name w:val="Header Odd"/>
    <w:basedOn w:val="Header"/>
    <w:rsid w:val="00061AE5"/>
  </w:style>
  <w:style w:type="paragraph" w:styleId="NormalIndent">
    <w:name w:val="Normal Indent"/>
    <w:basedOn w:val="Normal"/>
    <w:semiHidden/>
    <w:rsid w:val="00061AE5"/>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061AE5"/>
    <w:pPr>
      <w:spacing w:after="120"/>
    </w:pPr>
  </w:style>
  <w:style w:type="paragraph" w:customStyle="1" w:styleId="RecommendationText">
    <w:name w:val="Recommendation Text"/>
    <w:basedOn w:val="Normal"/>
    <w:qFormat/>
    <w:rsid w:val="00061AE5"/>
    <w:pPr>
      <w:spacing w:after="120"/>
      <w:ind w:left="459" w:hanging="425"/>
    </w:pPr>
    <w:rPr>
      <w:color w:val="000000"/>
    </w:rPr>
  </w:style>
  <w:style w:type="paragraph" w:customStyle="1" w:styleId="TableTextBase">
    <w:name w:val="Table Text Base"/>
    <w:uiPriority w:val="1"/>
    <w:unhideWhenUsed/>
    <w:rsid w:val="00061AE5"/>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061AE5"/>
    <w:pPr>
      <w:jc w:val="center"/>
    </w:pPr>
  </w:style>
  <w:style w:type="paragraph" w:customStyle="1" w:styleId="TableColumnHeadingLeft">
    <w:name w:val="Table Column Heading Left"/>
    <w:basedOn w:val="TableColumnHeadingBase"/>
    <w:uiPriority w:val="1"/>
    <w:unhideWhenUsed/>
    <w:rsid w:val="00061AE5"/>
  </w:style>
  <w:style w:type="paragraph" w:customStyle="1" w:styleId="TableColumnHeadingRight">
    <w:name w:val="Table Column Heading Right"/>
    <w:basedOn w:val="TableColumnHeadingBase"/>
    <w:uiPriority w:val="1"/>
    <w:unhideWhenUsed/>
    <w:rsid w:val="00061AE5"/>
    <w:pPr>
      <w:jc w:val="right"/>
    </w:pPr>
  </w:style>
  <w:style w:type="paragraph" w:customStyle="1" w:styleId="TableGraphic">
    <w:name w:val="Table Graphic"/>
    <w:basedOn w:val="Normal"/>
    <w:next w:val="Normal"/>
    <w:rsid w:val="00BA550B"/>
    <w:pPr>
      <w:keepNext/>
      <w:spacing w:after="0" w:line="240" w:lineRule="auto"/>
    </w:pPr>
    <w:rPr>
      <w:color w:val="636363" w:themeColor="accent2"/>
    </w:rPr>
  </w:style>
  <w:style w:type="paragraph" w:customStyle="1" w:styleId="TableMainHeading">
    <w:name w:val="Table Main Heading"/>
    <w:basedOn w:val="Normal"/>
    <w:next w:val="Normal"/>
    <w:uiPriority w:val="1"/>
    <w:rsid w:val="00BA550B"/>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061AE5"/>
    <w:pPr>
      <w:pageBreakBefore/>
      <w:spacing w:after="20"/>
    </w:pPr>
    <w:rPr>
      <w:b/>
      <w:sz w:val="22"/>
    </w:rPr>
  </w:style>
  <w:style w:type="paragraph" w:customStyle="1" w:styleId="TableSecondHeading">
    <w:name w:val="Table Second Heading"/>
    <w:basedOn w:val="HeadingBase"/>
    <w:next w:val="TableGraphic"/>
    <w:uiPriority w:val="1"/>
    <w:unhideWhenUsed/>
    <w:rsid w:val="00061AE5"/>
    <w:pPr>
      <w:spacing w:after="20"/>
    </w:pPr>
  </w:style>
  <w:style w:type="paragraph" w:customStyle="1" w:styleId="TableTextCentered">
    <w:name w:val="Table Text Centered"/>
    <w:basedOn w:val="TableTextBase"/>
    <w:uiPriority w:val="1"/>
    <w:unhideWhenUsed/>
    <w:rsid w:val="00061AE5"/>
    <w:pPr>
      <w:jc w:val="center"/>
    </w:pPr>
  </w:style>
  <w:style w:type="paragraph" w:customStyle="1" w:styleId="TableTextIndented">
    <w:name w:val="Table Text Indented"/>
    <w:basedOn w:val="TableTextBase"/>
    <w:uiPriority w:val="1"/>
    <w:unhideWhenUsed/>
    <w:rsid w:val="00061AE5"/>
    <w:pPr>
      <w:ind w:left="284"/>
    </w:pPr>
  </w:style>
  <w:style w:type="paragraph" w:customStyle="1" w:styleId="TableTextLeft">
    <w:name w:val="Table Text Left"/>
    <w:basedOn w:val="Normal"/>
    <w:rsid w:val="00BA550B"/>
    <w:pPr>
      <w:spacing w:before="60" w:after="60"/>
    </w:pPr>
  </w:style>
  <w:style w:type="paragraph" w:customStyle="1" w:styleId="TableTextRight">
    <w:name w:val="Table Text Right"/>
    <w:basedOn w:val="TableTextBase"/>
    <w:uiPriority w:val="1"/>
    <w:unhideWhenUsed/>
    <w:rsid w:val="00061AE5"/>
    <w:pPr>
      <w:jc w:val="right"/>
    </w:pPr>
  </w:style>
  <w:style w:type="paragraph" w:styleId="TOC1">
    <w:name w:val="toc 1"/>
    <w:basedOn w:val="HeadingBase"/>
    <w:next w:val="Normal"/>
    <w:uiPriority w:val="39"/>
    <w:rsid w:val="00061AE5"/>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061AE5"/>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061AE5"/>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061AE5"/>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061AE5"/>
    <w:rPr>
      <w:i/>
    </w:rPr>
  </w:style>
  <w:style w:type="paragraph" w:customStyle="1" w:styleId="OneLevelNumberedParagraph">
    <w:name w:val="One Level Numbered Paragraph"/>
    <w:basedOn w:val="Normal"/>
    <w:rsid w:val="00061AE5"/>
    <w:pPr>
      <w:numPr>
        <w:numId w:val="6"/>
      </w:numPr>
    </w:pPr>
  </w:style>
  <w:style w:type="paragraph" w:customStyle="1" w:styleId="BoxText">
    <w:name w:val="Box Text"/>
    <w:basedOn w:val="BoxTextBase"/>
    <w:unhideWhenUsed/>
    <w:rsid w:val="00BA550B"/>
    <w:pPr>
      <w:shd w:val="clear" w:color="auto" w:fill="auto"/>
      <w:spacing w:after="120"/>
    </w:pPr>
  </w:style>
  <w:style w:type="paragraph" w:customStyle="1" w:styleId="BoxBullet">
    <w:name w:val="Box Bullet"/>
    <w:basedOn w:val="BoxTextBase"/>
    <w:unhideWhenUsed/>
    <w:rsid w:val="00BA550B"/>
    <w:pPr>
      <w:numPr>
        <w:numId w:val="5"/>
      </w:numPr>
      <w:shd w:val="clear" w:color="auto" w:fill="auto"/>
    </w:pPr>
  </w:style>
  <w:style w:type="paragraph" w:customStyle="1" w:styleId="BoxDash">
    <w:name w:val="Box Dash"/>
    <w:basedOn w:val="BoxTextBase"/>
    <w:unhideWhenUsed/>
    <w:rsid w:val="00BA550B"/>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BA550B"/>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061AE5"/>
    <w:pPr>
      <w:numPr>
        <w:numId w:val="7"/>
      </w:numPr>
    </w:pPr>
  </w:style>
  <w:style w:type="paragraph" w:customStyle="1" w:styleId="RecommendationDash">
    <w:name w:val="Recommendation Dash"/>
    <w:basedOn w:val="RecommendationTextBase"/>
    <w:rsid w:val="00061AE5"/>
    <w:pPr>
      <w:numPr>
        <w:ilvl w:val="1"/>
        <w:numId w:val="7"/>
      </w:numPr>
    </w:pPr>
  </w:style>
  <w:style w:type="paragraph" w:customStyle="1" w:styleId="RecommendationDoubleDot">
    <w:name w:val="Recommendation Double Dot"/>
    <w:basedOn w:val="RecommendationTextBase"/>
    <w:rsid w:val="00061AE5"/>
    <w:pPr>
      <w:numPr>
        <w:ilvl w:val="2"/>
        <w:numId w:val="7"/>
      </w:numPr>
    </w:pPr>
  </w:style>
  <w:style w:type="character" w:styleId="FollowedHyperlink">
    <w:name w:val="FollowedHyperlink"/>
    <w:basedOn w:val="DefaultParagraphFont"/>
    <w:unhideWhenUsed/>
    <w:rsid w:val="00061AE5"/>
    <w:rPr>
      <w:color w:val="auto"/>
      <w:u w:val="none"/>
    </w:rPr>
  </w:style>
  <w:style w:type="paragraph" w:customStyle="1" w:styleId="Heading1NotNumbered">
    <w:name w:val="Heading 1 Not Numbered"/>
    <w:basedOn w:val="HeadingBase"/>
    <w:next w:val="Normal"/>
    <w:rsid w:val="00061AE5"/>
    <w:pPr>
      <w:spacing w:before="720" w:after="360"/>
    </w:pPr>
    <w:rPr>
      <w:smallCaps/>
      <w:sz w:val="40"/>
      <w:szCs w:val="36"/>
    </w:rPr>
  </w:style>
  <w:style w:type="paragraph" w:customStyle="1" w:styleId="Heading2NotNumbered">
    <w:name w:val="Heading 2 Not Numbered"/>
    <w:basedOn w:val="HeadingBase"/>
    <w:next w:val="Normal"/>
    <w:rsid w:val="00061AE5"/>
    <w:pPr>
      <w:spacing w:before="360" w:after="180"/>
    </w:pPr>
    <w:rPr>
      <w:smallCaps/>
      <w:sz w:val="32"/>
      <w:szCs w:val="28"/>
    </w:rPr>
  </w:style>
  <w:style w:type="paragraph" w:customStyle="1" w:styleId="Heading3NotNumbered">
    <w:name w:val="Heading 3 Not Numbered"/>
    <w:basedOn w:val="HeadingBase"/>
    <w:next w:val="Normal"/>
    <w:rsid w:val="00061AE5"/>
    <w:pPr>
      <w:spacing w:before="240" w:after="120"/>
    </w:pPr>
    <w:rPr>
      <w:sz w:val="28"/>
      <w:szCs w:val="26"/>
    </w:rPr>
  </w:style>
  <w:style w:type="paragraph" w:customStyle="1" w:styleId="Heading4NotNumbered">
    <w:name w:val="Heading 4 Not Numbered"/>
    <w:basedOn w:val="HeadingBase"/>
    <w:unhideWhenUsed/>
    <w:rsid w:val="00061AE5"/>
    <w:pPr>
      <w:spacing w:before="120" w:after="120"/>
      <w:outlineLvl w:val="3"/>
    </w:pPr>
    <w:rPr>
      <w:i/>
      <w:sz w:val="26"/>
    </w:rPr>
  </w:style>
  <w:style w:type="paragraph" w:styleId="BalloonText">
    <w:name w:val="Balloon Text"/>
    <w:basedOn w:val="Normal"/>
    <w:link w:val="BalloonTextChar"/>
    <w:uiPriority w:val="99"/>
    <w:semiHidden/>
    <w:unhideWhenUsed/>
    <w:rsid w:val="00BA550B"/>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BA550B"/>
    <w:pPr>
      <w:spacing w:after="200" w:line="240" w:lineRule="auto"/>
    </w:pPr>
    <w:rPr>
      <w:b/>
      <w:bCs/>
      <w:color w:val="31A7D4" w:themeColor="accent1"/>
      <w:sz w:val="18"/>
      <w:szCs w:val="18"/>
    </w:rPr>
  </w:style>
  <w:style w:type="character" w:styleId="CommentReference">
    <w:name w:val="annotation reference"/>
    <w:basedOn w:val="DefaultParagraphFont"/>
    <w:semiHidden/>
    <w:rsid w:val="00061AE5"/>
    <w:rPr>
      <w:sz w:val="16"/>
      <w:szCs w:val="16"/>
    </w:rPr>
  </w:style>
  <w:style w:type="paragraph" w:styleId="CommentText">
    <w:name w:val="annotation text"/>
    <w:basedOn w:val="Normal"/>
    <w:semiHidden/>
    <w:rsid w:val="00061AE5"/>
  </w:style>
  <w:style w:type="paragraph" w:styleId="CommentSubject">
    <w:name w:val="annotation subject"/>
    <w:basedOn w:val="CommentText"/>
    <w:next w:val="CommentText"/>
    <w:semiHidden/>
    <w:rsid w:val="00061AE5"/>
    <w:rPr>
      <w:b/>
      <w:bCs/>
    </w:rPr>
  </w:style>
  <w:style w:type="paragraph" w:styleId="DocumentMap">
    <w:name w:val="Document Map"/>
    <w:basedOn w:val="Normal"/>
    <w:semiHidden/>
    <w:rsid w:val="00061AE5"/>
    <w:pPr>
      <w:shd w:val="clear" w:color="auto" w:fill="000080"/>
    </w:pPr>
    <w:rPr>
      <w:rFonts w:ascii="Tahoma" w:hAnsi="Tahoma" w:cs="Tahoma"/>
    </w:rPr>
  </w:style>
  <w:style w:type="character" w:styleId="EndnoteReference">
    <w:name w:val="endnote reference"/>
    <w:basedOn w:val="DefaultParagraphFont"/>
    <w:semiHidden/>
    <w:rsid w:val="00061AE5"/>
    <w:rPr>
      <w:vertAlign w:val="superscript"/>
    </w:rPr>
  </w:style>
  <w:style w:type="paragraph" w:styleId="EndnoteText">
    <w:name w:val="endnote text"/>
    <w:basedOn w:val="Normal"/>
    <w:semiHidden/>
    <w:rsid w:val="00061AE5"/>
  </w:style>
  <w:style w:type="character" w:styleId="FootnoteReference">
    <w:name w:val="footnote reference"/>
    <w:basedOn w:val="DefaultParagraphFont"/>
    <w:uiPriority w:val="99"/>
    <w:unhideWhenUsed/>
    <w:rsid w:val="00BA550B"/>
    <w:rPr>
      <w:vertAlign w:val="superscript"/>
    </w:rPr>
  </w:style>
  <w:style w:type="paragraph" w:styleId="Index1">
    <w:name w:val="index 1"/>
    <w:basedOn w:val="Normal"/>
    <w:next w:val="Normal"/>
    <w:autoRedefine/>
    <w:semiHidden/>
    <w:rsid w:val="00061AE5"/>
    <w:pPr>
      <w:ind w:left="200" w:hanging="200"/>
    </w:pPr>
  </w:style>
  <w:style w:type="paragraph" w:styleId="Index2">
    <w:name w:val="index 2"/>
    <w:basedOn w:val="Normal"/>
    <w:next w:val="Normal"/>
    <w:autoRedefine/>
    <w:semiHidden/>
    <w:rsid w:val="00061AE5"/>
    <w:pPr>
      <w:ind w:left="400" w:hanging="200"/>
    </w:pPr>
  </w:style>
  <w:style w:type="paragraph" w:styleId="Index3">
    <w:name w:val="index 3"/>
    <w:basedOn w:val="Normal"/>
    <w:next w:val="Normal"/>
    <w:autoRedefine/>
    <w:semiHidden/>
    <w:rsid w:val="00061AE5"/>
    <w:pPr>
      <w:ind w:left="600" w:hanging="200"/>
    </w:pPr>
  </w:style>
  <w:style w:type="paragraph" w:styleId="Index4">
    <w:name w:val="index 4"/>
    <w:basedOn w:val="Normal"/>
    <w:next w:val="Normal"/>
    <w:autoRedefine/>
    <w:semiHidden/>
    <w:rsid w:val="00061AE5"/>
    <w:pPr>
      <w:ind w:left="800" w:hanging="200"/>
    </w:pPr>
  </w:style>
  <w:style w:type="paragraph" w:styleId="Index5">
    <w:name w:val="index 5"/>
    <w:basedOn w:val="Normal"/>
    <w:next w:val="Normal"/>
    <w:autoRedefine/>
    <w:semiHidden/>
    <w:rsid w:val="00061AE5"/>
    <w:pPr>
      <w:ind w:left="1000" w:hanging="200"/>
    </w:pPr>
  </w:style>
  <w:style w:type="paragraph" w:styleId="Index6">
    <w:name w:val="index 6"/>
    <w:basedOn w:val="Normal"/>
    <w:next w:val="Normal"/>
    <w:autoRedefine/>
    <w:semiHidden/>
    <w:rsid w:val="00061AE5"/>
    <w:pPr>
      <w:ind w:left="1200" w:hanging="200"/>
    </w:pPr>
  </w:style>
  <w:style w:type="paragraph" w:styleId="Index7">
    <w:name w:val="index 7"/>
    <w:basedOn w:val="Normal"/>
    <w:next w:val="Normal"/>
    <w:autoRedefine/>
    <w:semiHidden/>
    <w:rsid w:val="00061AE5"/>
    <w:pPr>
      <w:ind w:left="1400" w:hanging="200"/>
    </w:pPr>
  </w:style>
  <w:style w:type="paragraph" w:styleId="Index8">
    <w:name w:val="index 8"/>
    <w:basedOn w:val="Normal"/>
    <w:next w:val="Normal"/>
    <w:autoRedefine/>
    <w:semiHidden/>
    <w:rsid w:val="00061AE5"/>
    <w:pPr>
      <w:ind w:left="1600" w:hanging="200"/>
    </w:pPr>
  </w:style>
  <w:style w:type="paragraph" w:styleId="Index9">
    <w:name w:val="index 9"/>
    <w:basedOn w:val="Normal"/>
    <w:next w:val="Normal"/>
    <w:autoRedefine/>
    <w:semiHidden/>
    <w:rsid w:val="00061AE5"/>
    <w:pPr>
      <w:ind w:left="1800" w:hanging="200"/>
    </w:pPr>
  </w:style>
  <w:style w:type="paragraph" w:styleId="IndexHeading">
    <w:name w:val="index heading"/>
    <w:basedOn w:val="Normal"/>
    <w:next w:val="Index1"/>
    <w:semiHidden/>
    <w:rsid w:val="00061AE5"/>
    <w:rPr>
      <w:rFonts w:cs="Arial"/>
      <w:b/>
      <w:bCs/>
    </w:rPr>
  </w:style>
  <w:style w:type="paragraph" w:styleId="MacroText">
    <w:name w:val="macro"/>
    <w:semiHidden/>
    <w:rsid w:val="00061AE5"/>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061AE5"/>
    <w:pPr>
      <w:ind w:left="200" w:hanging="200"/>
    </w:pPr>
  </w:style>
  <w:style w:type="paragraph" w:styleId="TableofFigures">
    <w:name w:val="table of figures"/>
    <w:basedOn w:val="Normal"/>
    <w:next w:val="Normal"/>
    <w:semiHidden/>
    <w:rsid w:val="00061AE5"/>
  </w:style>
  <w:style w:type="paragraph" w:styleId="TOAHeading">
    <w:name w:val="toa heading"/>
    <w:basedOn w:val="Normal"/>
    <w:next w:val="Normal"/>
    <w:semiHidden/>
    <w:rsid w:val="00061AE5"/>
    <w:rPr>
      <w:rFonts w:cs="Arial"/>
      <w:b/>
      <w:bCs/>
      <w:szCs w:val="24"/>
    </w:rPr>
  </w:style>
  <w:style w:type="paragraph" w:styleId="TOC5">
    <w:name w:val="toc 5"/>
    <w:basedOn w:val="Normal"/>
    <w:next w:val="Normal"/>
    <w:autoRedefine/>
    <w:semiHidden/>
    <w:rsid w:val="00061AE5"/>
    <w:pPr>
      <w:ind w:left="800"/>
    </w:pPr>
  </w:style>
  <w:style w:type="paragraph" w:styleId="TOC6">
    <w:name w:val="toc 6"/>
    <w:basedOn w:val="Normal"/>
    <w:next w:val="Normal"/>
    <w:autoRedefine/>
    <w:semiHidden/>
    <w:rsid w:val="00061AE5"/>
    <w:pPr>
      <w:ind w:left="1000"/>
    </w:pPr>
  </w:style>
  <w:style w:type="paragraph" w:styleId="TOC7">
    <w:name w:val="toc 7"/>
    <w:basedOn w:val="Normal"/>
    <w:next w:val="Normal"/>
    <w:autoRedefine/>
    <w:semiHidden/>
    <w:rsid w:val="00061AE5"/>
    <w:pPr>
      <w:ind w:left="1200"/>
    </w:pPr>
  </w:style>
  <w:style w:type="paragraph" w:styleId="TOC8">
    <w:name w:val="toc 8"/>
    <w:basedOn w:val="Normal"/>
    <w:next w:val="Normal"/>
    <w:autoRedefine/>
    <w:semiHidden/>
    <w:rsid w:val="00061AE5"/>
    <w:pPr>
      <w:ind w:left="1400"/>
    </w:pPr>
  </w:style>
  <w:style w:type="paragraph" w:styleId="TOC9">
    <w:name w:val="toc 9"/>
    <w:basedOn w:val="Normal"/>
    <w:next w:val="Normal"/>
    <w:autoRedefine/>
    <w:semiHidden/>
    <w:rsid w:val="00061AE5"/>
    <w:pPr>
      <w:ind w:left="1600"/>
    </w:pPr>
  </w:style>
  <w:style w:type="paragraph" w:customStyle="1" w:styleId="Heading5NotNumbered">
    <w:name w:val="Heading 5 Not Numbered"/>
    <w:basedOn w:val="HeadingBase"/>
    <w:unhideWhenUsed/>
    <w:rsid w:val="00061AE5"/>
    <w:pPr>
      <w:spacing w:after="120"/>
      <w:outlineLvl w:val="4"/>
    </w:pPr>
    <w:rPr>
      <w:b/>
      <w:i/>
      <w:sz w:val="22"/>
    </w:rPr>
  </w:style>
  <w:style w:type="table" w:customStyle="1" w:styleId="OptionsTable">
    <w:name w:val="Options Table"/>
    <w:basedOn w:val="TableNormal"/>
    <w:rsid w:val="00061AE5"/>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061AE5"/>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061AE5"/>
    <w:pPr>
      <w:numPr>
        <w:ilvl w:val="4"/>
        <w:numId w:val="2"/>
      </w:numPr>
      <w:spacing w:line="280" w:lineRule="exact"/>
      <w:jc w:val="both"/>
    </w:pPr>
  </w:style>
  <w:style w:type="paragraph" w:customStyle="1" w:styleId="Crest">
    <w:name w:val="Crest"/>
    <w:basedOn w:val="Header"/>
    <w:uiPriority w:val="2"/>
    <w:rsid w:val="00061AE5"/>
    <w:pPr>
      <w:spacing w:after="480"/>
    </w:pPr>
  </w:style>
  <w:style w:type="character" w:customStyle="1" w:styleId="SingleParagraphChar">
    <w:name w:val="Single Paragraph Char"/>
    <w:basedOn w:val="DefaultParagraphFont"/>
    <w:link w:val="SingleParagraph"/>
    <w:rsid w:val="00061AE5"/>
    <w:rPr>
      <w:rFonts w:asciiTheme="minorHAnsi" w:hAnsiTheme="minorHAnsi"/>
      <w:color w:val="000000" w:themeColor="text1"/>
      <w:sz w:val="24"/>
    </w:rPr>
  </w:style>
  <w:style w:type="character" w:customStyle="1" w:styleId="Heading5Char">
    <w:name w:val="Heading 5 Char"/>
    <w:basedOn w:val="DefaultParagraphFont"/>
    <w:link w:val="Heading5"/>
    <w:rsid w:val="00BA550B"/>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BA550B"/>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BA550B"/>
    <w:rPr>
      <w:rFonts w:ascii="Arial" w:hAnsi="Arial"/>
      <w:color w:val="31A7D4" w:themeColor="accent1"/>
      <w:sz w:val="28"/>
    </w:rPr>
  </w:style>
  <w:style w:type="paragraph" w:customStyle="1" w:styleId="SecurityClassificationFooter">
    <w:name w:val="Security Classification Footer"/>
    <w:link w:val="SecurityClassificationFooterChar"/>
    <w:rsid w:val="00061AE5"/>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061AE5"/>
    <w:rPr>
      <w:b/>
      <w:caps/>
      <w:color w:val="009976"/>
      <w:sz w:val="24"/>
    </w:rPr>
  </w:style>
  <w:style w:type="paragraph" w:customStyle="1" w:styleId="MinuteNumber">
    <w:name w:val="Minute Number"/>
    <w:basedOn w:val="Header"/>
    <w:uiPriority w:val="2"/>
    <w:rsid w:val="00061AE5"/>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061AE5"/>
    <w:pPr>
      <w:spacing w:before="120"/>
    </w:pPr>
    <w:rPr>
      <w:b w:val="0"/>
      <w:sz w:val="24"/>
    </w:rPr>
  </w:style>
  <w:style w:type="paragraph" w:customStyle="1" w:styleId="QAText">
    <w:name w:val="QA Text"/>
    <w:basedOn w:val="Normal"/>
    <w:unhideWhenUsed/>
    <w:rsid w:val="00061AE5"/>
    <w:pPr>
      <w:spacing w:after="120"/>
    </w:pPr>
  </w:style>
  <w:style w:type="paragraph" w:customStyle="1" w:styleId="Copyrightheadings">
    <w:name w:val="Copyright headings"/>
    <w:basedOn w:val="HeadingBase"/>
    <w:uiPriority w:val="2"/>
    <w:rsid w:val="00061AE5"/>
    <w:pPr>
      <w:spacing w:after="80"/>
    </w:pPr>
    <w:rPr>
      <w:b/>
      <w:color w:val="000000" w:themeColor="text1"/>
      <w:sz w:val="22"/>
    </w:rPr>
  </w:style>
  <w:style w:type="paragraph" w:customStyle="1" w:styleId="Quotes">
    <w:name w:val="Quotes"/>
    <w:basedOn w:val="Normal"/>
    <w:qFormat/>
    <w:rsid w:val="00061AE5"/>
    <w:pPr>
      <w:spacing w:after="120"/>
      <w:ind w:left="567" w:right="423"/>
    </w:pPr>
    <w:rPr>
      <w:color w:val="595959" w:themeColor="text1" w:themeTint="A6"/>
    </w:rPr>
  </w:style>
  <w:style w:type="paragraph" w:customStyle="1" w:styleId="Keymessageheading">
    <w:name w:val="Key message heading"/>
    <w:basedOn w:val="Questionheading"/>
    <w:uiPriority w:val="1"/>
    <w:qFormat/>
    <w:rsid w:val="00061AE5"/>
  </w:style>
  <w:style w:type="paragraph" w:customStyle="1" w:styleId="Keyfindingtext">
    <w:name w:val="Key finding text"/>
    <w:basedOn w:val="BoxText"/>
    <w:uiPriority w:val="1"/>
    <w:qFormat/>
    <w:rsid w:val="00F64440"/>
    <w:pPr>
      <w:numPr>
        <w:numId w:val="21"/>
      </w:numPr>
    </w:pPr>
  </w:style>
  <w:style w:type="paragraph" w:customStyle="1" w:styleId="Casestudyboxheading">
    <w:name w:val="Case study box heading"/>
    <w:basedOn w:val="Questionheading"/>
    <w:qFormat/>
    <w:rsid w:val="00583ADB"/>
    <w:pPr>
      <w:numPr>
        <w:ilvl w:val="1"/>
        <w:numId w:val="18"/>
      </w:numPr>
    </w:pPr>
    <w:rPr>
      <w14:scene3d>
        <w14:camera w14:prst="orthographicFront"/>
        <w14:lightRig w14:rig="threePt" w14:dir="t">
          <w14:rot w14:lat="0" w14:lon="0" w14:rev="0"/>
        </w14:lightRig>
      </w14:scene3d>
    </w:rPr>
  </w:style>
  <w:style w:type="paragraph" w:customStyle="1" w:styleId="Casestudyboxtext">
    <w:name w:val="Case study box text"/>
    <w:basedOn w:val="BoxText"/>
    <w:qFormat/>
    <w:rsid w:val="00061AE5"/>
  </w:style>
  <w:style w:type="paragraph" w:styleId="ListParagraph">
    <w:name w:val="List Paragraph"/>
    <w:basedOn w:val="Normal"/>
    <w:uiPriority w:val="34"/>
    <w:unhideWhenUsed/>
    <w:qFormat/>
    <w:rsid w:val="00BA550B"/>
    <w:pPr>
      <w:ind w:left="720"/>
      <w:contextualSpacing/>
    </w:pPr>
  </w:style>
  <w:style w:type="paragraph" w:customStyle="1" w:styleId="Copyrightheading">
    <w:name w:val="Copyright heading"/>
    <w:basedOn w:val="Normal"/>
    <w:rsid w:val="00061AE5"/>
    <w:pPr>
      <w:spacing w:before="200" w:after="120"/>
    </w:pPr>
    <w:rPr>
      <w:rFonts w:eastAsiaTheme="minorHAnsi" w:cstheme="minorBidi"/>
      <w:b/>
      <w:szCs w:val="22"/>
      <w:lang w:eastAsia="en-US"/>
    </w:rPr>
  </w:style>
  <w:style w:type="character" w:styleId="PageNumber">
    <w:name w:val="page number"/>
    <w:basedOn w:val="DefaultParagraphFont"/>
    <w:rsid w:val="00061AE5"/>
  </w:style>
  <w:style w:type="numbering" w:customStyle="1" w:styleId="BoxBulletedList">
    <w:name w:val="Box Bulleted List"/>
    <w:uiPriority w:val="99"/>
    <w:rsid w:val="00432B15"/>
  </w:style>
  <w:style w:type="numbering" w:customStyle="1" w:styleId="OneLevelList">
    <w:name w:val="OneLevelList"/>
    <w:uiPriority w:val="99"/>
    <w:rsid w:val="00432B15"/>
    <w:pPr>
      <w:numPr>
        <w:numId w:val="12"/>
      </w:numPr>
    </w:pPr>
  </w:style>
  <w:style w:type="character" w:customStyle="1" w:styleId="FootnoteTextChar">
    <w:name w:val="Footnote Text Char"/>
    <w:basedOn w:val="DefaultParagraphFont"/>
    <w:link w:val="FootnoteText"/>
    <w:uiPriority w:val="99"/>
    <w:rsid w:val="00BA550B"/>
    <w:rPr>
      <w:rFonts w:ascii="Arial" w:hAnsi="Arial"/>
      <w:sz w:val="18"/>
    </w:rPr>
  </w:style>
  <w:style w:type="numbering" w:customStyle="1" w:styleId="BulletedList">
    <w:name w:val="Bulleted List"/>
    <w:uiPriority w:val="99"/>
    <w:rsid w:val="00432B15"/>
    <w:pPr>
      <w:numPr>
        <w:numId w:val="13"/>
      </w:numPr>
    </w:pPr>
  </w:style>
  <w:style w:type="character" w:customStyle="1" w:styleId="DashChar">
    <w:name w:val="Dash Char"/>
    <w:basedOn w:val="DefaultParagraphFont"/>
    <w:link w:val="Dash"/>
    <w:rsid w:val="00432B15"/>
    <w:rPr>
      <w:rFonts w:ascii="Arial" w:hAnsi="Arial"/>
      <w:color w:val="000000" w:themeColor="text1"/>
      <w:sz w:val="22"/>
    </w:rPr>
  </w:style>
  <w:style w:type="character" w:customStyle="1" w:styleId="DoubleDotChar">
    <w:name w:val="Double Dot Char"/>
    <w:basedOn w:val="DefaultParagraphFont"/>
    <w:link w:val="DoubleDot"/>
    <w:rsid w:val="00432B15"/>
    <w:rPr>
      <w:rFonts w:ascii="Arial" w:hAnsi="Arial"/>
      <w:color w:val="000000" w:themeColor="text1"/>
      <w:sz w:val="22"/>
    </w:rPr>
  </w:style>
  <w:style w:type="paragraph" w:customStyle="1" w:styleId="PictureIndent">
    <w:name w:val="Picture Indent"/>
    <w:basedOn w:val="Normal"/>
    <w:rsid w:val="00432B15"/>
    <w:pPr>
      <w:keepLines/>
      <w:spacing w:after="200" w:line="240" w:lineRule="atLeast"/>
      <w:ind w:left="284"/>
    </w:pPr>
    <w:rPr>
      <w:rFonts w:eastAsiaTheme="minorEastAsia" w:cstheme="minorBidi"/>
      <w:szCs w:val="22"/>
      <w:lang w:eastAsia="en-US"/>
    </w:rPr>
  </w:style>
  <w:style w:type="numbering" w:customStyle="1" w:styleId="OutlineList">
    <w:name w:val="OutlineList"/>
    <w:uiPriority w:val="99"/>
    <w:rsid w:val="00432B15"/>
    <w:pPr>
      <w:numPr>
        <w:numId w:val="14"/>
      </w:numPr>
    </w:pPr>
  </w:style>
  <w:style w:type="character" w:customStyle="1" w:styleId="OutlineNumbered1Char">
    <w:name w:val="Outline Numbered 1 Char"/>
    <w:basedOn w:val="DefaultParagraphFont"/>
    <w:link w:val="OutlineNumbered1"/>
    <w:uiPriority w:val="2"/>
    <w:rsid w:val="00432B15"/>
    <w:rPr>
      <w:rFonts w:asciiTheme="minorHAnsi" w:hAnsiTheme="minorHAnsi"/>
      <w:color w:val="000000" w:themeColor="text1"/>
      <w:sz w:val="24"/>
    </w:rPr>
  </w:style>
  <w:style w:type="character" w:customStyle="1" w:styleId="BulletChar">
    <w:name w:val="Bullet Char"/>
    <w:aliases w:val="b + line Char Char,b Char,b Char Char"/>
    <w:basedOn w:val="DefaultParagraphFont"/>
    <w:link w:val="Bullet"/>
    <w:rsid w:val="003D314E"/>
    <w:rPr>
      <w:rFonts w:asciiTheme="minorHAnsi" w:hAnsiTheme="minorHAnsi"/>
      <w:color w:val="000000" w:themeColor="text1"/>
      <w:sz w:val="24"/>
    </w:rPr>
  </w:style>
  <w:style w:type="paragraph" w:styleId="Revision">
    <w:name w:val="Revision"/>
    <w:hidden/>
    <w:uiPriority w:val="99"/>
    <w:semiHidden/>
    <w:rsid w:val="003C7AEB"/>
    <w:rPr>
      <w:rFonts w:asciiTheme="minorHAnsi" w:hAnsiTheme="minorHAnsi"/>
      <w:color w:val="000000"/>
      <w:sz w:val="22"/>
    </w:rPr>
  </w:style>
  <w:style w:type="paragraph" w:styleId="NoSpacing">
    <w:name w:val="No Spacing"/>
    <w:uiPriority w:val="2"/>
    <w:qFormat/>
    <w:rsid w:val="002E51B1"/>
    <w:rPr>
      <w:rFonts w:asciiTheme="minorHAnsi" w:hAnsiTheme="minorHAnsi"/>
      <w:color w:val="000000"/>
      <w:sz w:val="22"/>
    </w:rPr>
  </w:style>
  <w:style w:type="paragraph" w:customStyle="1" w:styleId="Keyfindingbullet">
    <w:name w:val="Key finding bullet"/>
    <w:basedOn w:val="Keyfindingtext"/>
    <w:uiPriority w:val="1"/>
    <w:qFormat/>
    <w:rsid w:val="005400CF"/>
    <w:pPr>
      <w:numPr>
        <w:numId w:val="16"/>
      </w:numPr>
      <w:ind w:left="459"/>
    </w:pPr>
  </w:style>
  <w:style w:type="paragraph" w:customStyle="1" w:styleId="Questionheading">
    <w:name w:val="Question heading"/>
    <w:basedOn w:val="Normal"/>
    <w:qFormat/>
    <w:rsid w:val="00BA550B"/>
    <w:pPr>
      <w:spacing w:before="80" w:line="240" w:lineRule="auto"/>
    </w:pPr>
    <w:rPr>
      <w:b/>
      <w:color w:val="31A7D4" w:themeColor="accent1"/>
      <w:sz w:val="28"/>
      <w:szCs w:val="28"/>
    </w:rPr>
  </w:style>
  <w:style w:type="paragraph" w:customStyle="1" w:styleId="Questiontext">
    <w:name w:val="Question text"/>
    <w:basedOn w:val="ListParagraph"/>
    <w:qFormat/>
    <w:rsid w:val="00BA550B"/>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BA550B"/>
    <w:pPr>
      <w:spacing w:before="20" w:after="0" w:line="240" w:lineRule="auto"/>
    </w:pPr>
    <w:rPr>
      <w:color w:val="000000" w:themeColor="text1"/>
      <w:sz w:val="18"/>
    </w:rPr>
  </w:style>
  <w:style w:type="paragraph" w:customStyle="1" w:styleId="Overviewheading">
    <w:name w:val="Overview heading"/>
    <w:basedOn w:val="Heading2"/>
    <w:qFormat/>
    <w:rsid w:val="00BA550B"/>
    <w:pPr>
      <w:numPr>
        <w:numId w:val="0"/>
      </w:numPr>
      <w:spacing w:after="240"/>
    </w:pPr>
  </w:style>
  <w:style w:type="paragraph" w:styleId="NormalWeb">
    <w:name w:val="Normal (Web)"/>
    <w:basedOn w:val="Normal"/>
    <w:semiHidden/>
    <w:rsid w:val="00F64440"/>
    <w:rPr>
      <w:rFonts w:ascii="Times New Roman" w:hAnsi="Times New Roman"/>
      <w:szCs w:val="24"/>
    </w:rPr>
  </w:style>
  <w:style w:type="paragraph" w:styleId="PlainText">
    <w:name w:val="Plain Text"/>
    <w:basedOn w:val="Normal"/>
    <w:link w:val="PlainTextChar"/>
    <w:uiPriority w:val="99"/>
    <w:unhideWhenUsed/>
    <w:rsid w:val="001A70EE"/>
    <w:pPr>
      <w:spacing w:after="0"/>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1A70EE"/>
    <w:rPr>
      <w:rFonts w:ascii="Calibri" w:eastAsiaTheme="minorHAnsi" w:hAnsi="Calibri" w:cstheme="minorBidi"/>
      <w:sz w:val="22"/>
      <w:szCs w:val="21"/>
      <w:lang w:eastAsia="en-US"/>
    </w:rPr>
  </w:style>
  <w:style w:type="paragraph" w:customStyle="1" w:styleId="ChartandTableFootnoteNumeral">
    <w:name w:val="Chart and Table Footnote Numeral"/>
    <w:basedOn w:val="ChartandTableFootnoteAlpha"/>
    <w:uiPriority w:val="1"/>
    <w:qFormat/>
    <w:rsid w:val="007A1641"/>
    <w:pPr>
      <w:numPr>
        <w:numId w:val="0"/>
      </w:numPr>
      <w:tabs>
        <w:tab w:val="left" w:pos="284"/>
      </w:tabs>
      <w:ind w:left="284"/>
    </w:pPr>
  </w:style>
  <w:style w:type="character" w:styleId="Emphasis">
    <w:name w:val="Emphasis"/>
    <w:basedOn w:val="DefaultParagraphFont"/>
    <w:uiPriority w:val="20"/>
    <w:qFormat/>
    <w:rsid w:val="002D667C"/>
    <w:rPr>
      <w:i/>
      <w:iCs/>
    </w:rPr>
  </w:style>
  <w:style w:type="character" w:customStyle="1" w:styleId="Heading1Char">
    <w:name w:val="Heading 1 Char"/>
    <w:basedOn w:val="DefaultParagraphFont"/>
    <w:link w:val="Heading1"/>
    <w:rsid w:val="00BA550B"/>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BA550B"/>
    <w:rPr>
      <w:rFonts w:ascii="Arial" w:hAnsi="Arial" w:cs="Arial"/>
      <w:b/>
      <w:bCs/>
      <w:color w:val="000000" w:themeColor="text1"/>
      <w:kern w:val="32"/>
      <w:sz w:val="40"/>
      <w:szCs w:val="36"/>
    </w:rPr>
  </w:style>
  <w:style w:type="paragraph" w:styleId="Title">
    <w:name w:val="Title"/>
    <w:basedOn w:val="Normal"/>
    <w:next w:val="Normal"/>
    <w:link w:val="TitleChar"/>
    <w:uiPriority w:val="10"/>
    <w:rsid w:val="00BA550B"/>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BA550B"/>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BA550B"/>
    <w:pPr>
      <w:numPr>
        <w:numId w:val="23"/>
      </w:numPr>
      <w:spacing w:after="120"/>
      <w:ind w:left="567" w:hanging="567"/>
      <w:contextualSpacing w:val="0"/>
    </w:pPr>
  </w:style>
  <w:style w:type="paragraph" w:styleId="Quote">
    <w:name w:val="Quote"/>
    <w:basedOn w:val="Normal"/>
    <w:next w:val="Normal"/>
    <w:link w:val="QuoteChar"/>
    <w:uiPriority w:val="29"/>
    <w:qFormat/>
    <w:rsid w:val="00BA550B"/>
    <w:pPr>
      <w:spacing w:before="120"/>
      <w:ind w:left="567"/>
    </w:pPr>
    <w:rPr>
      <w:iCs/>
      <w:color w:val="000000" w:themeColor="text1"/>
    </w:rPr>
  </w:style>
  <w:style w:type="character" w:customStyle="1" w:styleId="QuoteChar">
    <w:name w:val="Quote Char"/>
    <w:basedOn w:val="DefaultParagraphFont"/>
    <w:link w:val="Quote"/>
    <w:uiPriority w:val="29"/>
    <w:rsid w:val="00BA550B"/>
    <w:rPr>
      <w:rFonts w:ascii="Arial" w:hAnsi="Arial"/>
      <w:iCs/>
      <w:color w:val="000000" w:themeColor="text1"/>
      <w:sz w:val="22"/>
    </w:rPr>
  </w:style>
  <w:style w:type="character" w:customStyle="1" w:styleId="Heading3Char">
    <w:name w:val="Heading 3 Char"/>
    <w:basedOn w:val="DefaultParagraphFont"/>
    <w:link w:val="Heading3"/>
    <w:rsid w:val="00BA550B"/>
    <w:rPr>
      <w:rFonts w:ascii="Arial" w:eastAsiaTheme="majorEastAsia" w:hAnsi="Arial" w:cstheme="majorBidi"/>
      <w:b/>
      <w:bCs/>
      <w:color w:val="31A7D4" w:themeColor="accent1"/>
      <w:sz w:val="30"/>
    </w:rPr>
  </w:style>
  <w:style w:type="paragraph" w:customStyle="1" w:styleId="Overviewtext">
    <w:name w:val="Overview text"/>
    <w:basedOn w:val="Normal"/>
    <w:qFormat/>
    <w:rsid w:val="00BA550B"/>
    <w:rPr>
      <w:sz w:val="32"/>
      <w:szCs w:val="32"/>
    </w:rPr>
  </w:style>
  <w:style w:type="paragraph" w:customStyle="1" w:styleId="Singleparagraph0">
    <w:name w:val="Single paragraph"/>
    <w:basedOn w:val="Normal"/>
    <w:qFormat/>
    <w:rsid w:val="00BA550B"/>
    <w:pPr>
      <w:spacing w:after="0" w:line="240" w:lineRule="auto"/>
    </w:pPr>
  </w:style>
  <w:style w:type="character" w:customStyle="1" w:styleId="HeaderChar">
    <w:name w:val="Header Char"/>
    <w:basedOn w:val="DefaultParagraphFont"/>
    <w:link w:val="Header"/>
    <w:uiPriority w:val="99"/>
    <w:rsid w:val="00BA550B"/>
    <w:rPr>
      <w:rFonts w:ascii="Arial" w:hAnsi="Arial"/>
      <w:color w:val="636363" w:themeColor="accent2"/>
      <w:sz w:val="22"/>
    </w:rPr>
  </w:style>
  <w:style w:type="paragraph" w:customStyle="1" w:styleId="Overviewheading2">
    <w:name w:val="Overview heading 2"/>
    <w:basedOn w:val="Heading2"/>
    <w:qFormat/>
    <w:rsid w:val="00BA550B"/>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BA550B"/>
    <w:rPr>
      <w:rFonts w:ascii="Tahoma" w:hAnsi="Tahoma" w:cs="Tahoma"/>
      <w:sz w:val="16"/>
      <w:szCs w:val="16"/>
    </w:rPr>
  </w:style>
  <w:style w:type="paragraph" w:customStyle="1" w:styleId="ChartandTableNote">
    <w:name w:val="Chart and Table Note"/>
    <w:next w:val="Normal"/>
    <w:rsid w:val="00BA550B"/>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80806">
      <w:bodyDiv w:val="1"/>
      <w:marLeft w:val="0"/>
      <w:marRight w:val="0"/>
      <w:marTop w:val="0"/>
      <w:marBottom w:val="0"/>
      <w:divBdr>
        <w:top w:val="none" w:sz="0" w:space="0" w:color="auto"/>
        <w:left w:val="none" w:sz="0" w:space="0" w:color="auto"/>
        <w:bottom w:val="none" w:sz="0" w:space="0" w:color="auto"/>
        <w:right w:val="none" w:sz="0" w:space="0" w:color="auto"/>
      </w:divBdr>
    </w:div>
    <w:div w:id="507600205">
      <w:bodyDiv w:val="1"/>
      <w:marLeft w:val="0"/>
      <w:marRight w:val="0"/>
      <w:marTop w:val="0"/>
      <w:marBottom w:val="0"/>
      <w:divBdr>
        <w:top w:val="none" w:sz="0" w:space="0" w:color="auto"/>
        <w:left w:val="none" w:sz="0" w:space="0" w:color="auto"/>
        <w:bottom w:val="none" w:sz="0" w:space="0" w:color="auto"/>
        <w:right w:val="none" w:sz="0" w:space="0" w:color="auto"/>
      </w:divBdr>
    </w:div>
    <w:div w:id="549925355">
      <w:bodyDiv w:val="1"/>
      <w:marLeft w:val="0"/>
      <w:marRight w:val="0"/>
      <w:marTop w:val="0"/>
      <w:marBottom w:val="0"/>
      <w:divBdr>
        <w:top w:val="none" w:sz="0" w:space="0" w:color="auto"/>
        <w:left w:val="none" w:sz="0" w:space="0" w:color="auto"/>
        <w:bottom w:val="none" w:sz="0" w:space="0" w:color="auto"/>
        <w:right w:val="none" w:sz="0" w:space="0" w:color="auto"/>
      </w:divBdr>
    </w:div>
    <w:div w:id="576941242">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949119229">
      <w:bodyDiv w:val="1"/>
      <w:marLeft w:val="0"/>
      <w:marRight w:val="0"/>
      <w:marTop w:val="0"/>
      <w:marBottom w:val="0"/>
      <w:divBdr>
        <w:top w:val="none" w:sz="0" w:space="0" w:color="auto"/>
        <w:left w:val="none" w:sz="0" w:space="0" w:color="auto"/>
        <w:bottom w:val="none" w:sz="0" w:space="0" w:color="auto"/>
        <w:right w:val="none" w:sz="0" w:space="0" w:color="auto"/>
      </w:divBdr>
    </w:div>
    <w:div w:id="1083722042">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196964987">
      <w:bodyDiv w:val="1"/>
      <w:marLeft w:val="0"/>
      <w:marRight w:val="0"/>
      <w:marTop w:val="0"/>
      <w:marBottom w:val="0"/>
      <w:divBdr>
        <w:top w:val="none" w:sz="0" w:space="0" w:color="auto"/>
        <w:left w:val="none" w:sz="0" w:space="0" w:color="auto"/>
        <w:bottom w:val="none" w:sz="0" w:space="0" w:color="auto"/>
        <w:right w:val="none" w:sz="0" w:space="0" w:color="auto"/>
      </w:divBdr>
    </w:div>
    <w:div w:id="1691947567">
      <w:bodyDiv w:val="1"/>
      <w:marLeft w:val="0"/>
      <w:marRight w:val="0"/>
      <w:marTop w:val="0"/>
      <w:marBottom w:val="0"/>
      <w:divBdr>
        <w:top w:val="none" w:sz="0" w:space="0" w:color="auto"/>
        <w:left w:val="none" w:sz="0" w:space="0" w:color="auto"/>
        <w:bottom w:val="none" w:sz="0" w:space="0" w:color="auto"/>
        <w:right w:val="none" w:sz="0" w:space="0" w:color="auto"/>
      </w:divBdr>
    </w:div>
    <w:div w:id="2141917599">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emf"/><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image" Target="media/image11.emf"/><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5.emf"/><Relationship Id="rId33" Type="http://schemas.openxmlformats.org/officeDocument/2006/relationships/oleObject" Target="http://tweb/sites/rg/project/twptf/twp/20.%20Issues%20Paper/Issues%20Paper%20soft%20close/Charts/08.%20GST%20and%20State%20taxes/8-9%20Transaction%20taxes%20as%20a%20pc%20of%20total%20taxation.xlsx!Chart!%5b8-9%20Transaction%20taxes%20as%20a%20pc%20of%20total%20taxation.xlsx%5dChart%20Chart%201"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http://tweb/sites/rg/project/twptf/twp/20.%20Issues%20Paper/Issues%20Paper%20soft%20close/Charts/08.%20GST%20and%20State%20taxes/8-1%20%20GST%20VAT%20rates%20in%20OECD%20countries.xlsx!Chart!%5b8-1%20%20GST%20VAT%20rates%20in%20OECD%20countries.xlsx%5dChart%20Chart%201" TargetMode="External"/><Relationship Id="rId29" Type="http://schemas.openxmlformats.org/officeDocument/2006/relationships/hyperlink" Target="http://www.federation.dpmc.gov.a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ntaccounts.org/" TargetMode="External"/><Relationship Id="rId32" Type="http://schemas.openxmlformats.org/officeDocument/2006/relationships/image" Target="media/image10.emf"/><Relationship Id="rId37" Type="http://schemas.openxmlformats.org/officeDocument/2006/relationships/header" Target="header4.xml"/><Relationship Id="rId40"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emf"/><Relationship Id="rId28" Type="http://schemas.openxmlformats.org/officeDocument/2006/relationships/oleObject" Target="http://tweb/sites/rg/project/twptf/twp/20.%20Issues%20Paper/Issues%20Paper%20soft%20close/Charts/08.%20GST%20and%20State%20taxes/8-6%20GST%20revenue%20over%20time.xlsx!Chart!%5b8-6%20GST%20revenue%20over%20time.xlsx%5dChart%20Chart%206" TargetMode="External"/><Relationship Id="rId36" Type="http://schemas.openxmlformats.org/officeDocument/2006/relationships/hyperlink" Target="http://www.federation.dpmc.gov.au" TargetMode="External"/><Relationship Id="rId10" Type="http://schemas.openxmlformats.org/officeDocument/2006/relationships/webSettings" Target="webSettings.xml"/><Relationship Id="rId19" Type="http://schemas.openxmlformats.org/officeDocument/2006/relationships/image" Target="media/image2.emf"/><Relationship Id="rId31"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oleObject" Target="http://tweb/sites/rg/project/twptf/twp/20.%20Issues%20Paper/Issues%20Paper%20soft%20close/Charts/08.%20GST%20and%20State%20taxes/8-2%20%20VAT%20coverage%20ratios%20in%20OECD%20countries%202012.xlsx!Chart!%5b8-2%20%20VAT%20coverage%20ratios%20in%20OECD%20countries%202012.xlsx%5dChart%20Chart%207" TargetMode="External"/><Relationship Id="rId27" Type="http://schemas.openxmlformats.org/officeDocument/2006/relationships/image" Target="media/image7.emf"/><Relationship Id="rId30" Type="http://schemas.openxmlformats.org/officeDocument/2006/relationships/image" Target="media/image8.emf"/><Relationship Id="rId35" Type="http://schemas.openxmlformats.org/officeDocument/2006/relationships/image" Target="media/image12.emf"/></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bca.com.au/publications/the-future-of-tax-australias-current-tax-system" TargetMode="External"/><Relationship Id="rId3" Type="http://schemas.openxmlformats.org/officeDocument/2006/relationships/hyperlink" Target="http://www.abs.gov.au/AUSSTATS/abs@.nsf/ViewContent?readform&amp;view=ProductsbyCatalogue&amp;Action=Expand&amp;Num=6.1" TargetMode="External"/><Relationship Id="rId7" Type="http://schemas.openxmlformats.org/officeDocument/2006/relationships/hyperlink" Target="http://www.insurancecouncil.com.au/issuessubmissions/reports/noninsurance" TargetMode="External"/><Relationship Id="rId2" Type="http://schemas.openxmlformats.org/officeDocument/2006/relationships/hyperlink" Target="http://www.oecd.org/ctp/consumption/statement-of-outcomes-on-vat-gst-guidelines.pdf" TargetMode="External"/><Relationship Id="rId1" Type="http://schemas.openxmlformats.org/officeDocument/2006/relationships/hyperlink" Target="https://crawford.anu.edu.au/sites/default/files/news/files/2014-07/nta_report_2014_r.pdf" TargetMode="External"/><Relationship Id="rId6" Type="http://schemas.openxmlformats.org/officeDocument/2006/relationships/hyperlink" Target="http://www.vcec.vic.gov.au/Inquiries/Completedinquiries/Statebasedreform/Submissions" TargetMode="External"/><Relationship Id="rId5" Type="http://schemas.openxmlformats.org/officeDocument/2006/relationships/hyperlink" Target="http://www.bca.com.au/publications/thefutureoftaxaustraliascurrenttaxsystem" TargetMode="External"/><Relationship Id="rId4" Type="http://schemas.openxmlformats.org/officeDocument/2006/relationships/hyperlink" Target="http://www.abs.gov.au/AUSSTATS/abs@.nsf/ViewContent?readform&amp;view=ProductsbyCatalogue&amp;Action=Expand&amp;Num=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2014RG-82-6641</_dlc_DocId>
    <TaxCatchAll xmlns="9f7bc583-7cbe-45b9-a2bd-8bbb6543b37e">
      <Value>20</Value>
    </TaxCatchAll>
    <_dlc_DocIdUrl xmlns="9f7bc583-7cbe-45b9-a2bd-8bbb6543b37e">
      <Url>http://tweb/sites/rg/project/twptf/_layouts/15/DocIdRedir.aspx?ID=2014RG-82-6641</Url>
      <Description>2014RG-82-6641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0B52A-BD65-442F-A6E9-D6D815F34024}">
  <ds:schemaRefs>
    <ds:schemaRef ds:uri="http://schemas.microsoft.com/sharepoint/events"/>
  </ds:schemaRefs>
</ds:datastoreItem>
</file>

<file path=customXml/itemProps2.xml><?xml version="1.0" encoding="utf-8"?>
<ds:datastoreItem xmlns:ds="http://schemas.openxmlformats.org/officeDocument/2006/customXml" ds:itemID="{651F8448-5636-47F4-9AC4-4224ADF1E382}">
  <ds:schemaRefs>
    <ds:schemaRef ds:uri="http://schemas.microsoft.com/sharepoint/v3/contenttype/forms"/>
  </ds:schemaRefs>
</ds:datastoreItem>
</file>

<file path=customXml/itemProps3.xml><?xml version="1.0" encoding="utf-8"?>
<ds:datastoreItem xmlns:ds="http://schemas.openxmlformats.org/officeDocument/2006/customXml" ds:itemID="{6C3B82BF-DE1E-428D-90F4-7F2108C39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976FD-2DD2-4D60-BBCD-A9896614D09C}">
  <ds:schemaRef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9f7bc583-7cbe-45b9-a2bd-8bbb6543b37e"/>
    <ds:schemaRef ds:uri="http://schemas.microsoft.com/sharepoint/v3"/>
    <ds:schemaRef ds:uri="http://www.w3.org/XML/1998/namespace"/>
  </ds:schemaRefs>
</ds:datastoreItem>
</file>

<file path=customXml/itemProps5.xml><?xml version="1.0" encoding="utf-8"?>
<ds:datastoreItem xmlns:ds="http://schemas.openxmlformats.org/officeDocument/2006/customXml" ds:itemID="{C2F0310C-4D8B-4554-9886-662A936D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28</Pages>
  <Words>8152</Words>
  <Characters>46470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54513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8: The Goods and Services Tax and state taxes</dc:subject>
  <dc:creator/>
  <cp:lastModifiedBy/>
  <cp:revision>1</cp:revision>
  <dcterms:created xsi:type="dcterms:W3CDTF">2015-03-27T07:56:00Z</dcterms:created>
  <dcterms:modified xsi:type="dcterms:W3CDTF">2015-03-27T08:05:00Z</dcterms:modified>
  <dc:language>English</dc:language>
</cp:coreProperties>
</file>