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5" w:rsidRPr="007E2052" w:rsidRDefault="00F96BB8" w:rsidP="00475A55">
      <w:pPr>
        <w:spacing w:before="120" w:after="120"/>
        <w:jc w:val="center"/>
        <w:rPr>
          <w:rStyle w:val="CABNETParagraphAttChar"/>
          <w:rFonts w:ascii="Cambria" w:hAnsi="Cambria"/>
          <w:b/>
          <w:sz w:val="28"/>
          <w:szCs w:val="28"/>
        </w:rPr>
      </w:pPr>
      <w:bookmarkStart w:id="0" w:name="_GoBack"/>
      <w:bookmarkEnd w:id="0"/>
      <w:r w:rsidRPr="007E2052">
        <w:rPr>
          <w:rStyle w:val="CABNETParagraphAttChar"/>
          <w:rFonts w:ascii="Cambria" w:hAnsi="Cambria"/>
          <w:b/>
          <w:sz w:val="28"/>
          <w:szCs w:val="28"/>
        </w:rPr>
        <w:t>COAG NFP Reform Working Group w</w:t>
      </w:r>
      <w:r w:rsidR="00475A55" w:rsidRPr="007E2052">
        <w:rPr>
          <w:rStyle w:val="CABNETParagraphAttChar"/>
          <w:rFonts w:ascii="Cambria" w:hAnsi="Cambria"/>
          <w:b/>
          <w:sz w:val="28"/>
          <w:szCs w:val="28"/>
        </w:rPr>
        <w:t>ork plan for 20</w:t>
      </w:r>
      <w:r w:rsidRPr="007E2052">
        <w:rPr>
          <w:rStyle w:val="CABNETParagraphAttChar"/>
          <w:rFonts w:ascii="Cambria" w:hAnsi="Cambria"/>
          <w:b/>
          <w:sz w:val="28"/>
          <w:szCs w:val="28"/>
        </w:rPr>
        <w:t>11-12</w:t>
      </w:r>
    </w:p>
    <w:tbl>
      <w:tblPr>
        <w:tblW w:w="1440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552"/>
        <w:gridCol w:w="539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</w:tblGrid>
      <w:tr w:rsidR="00475A55" w:rsidRPr="00F06D7C" w:rsidTr="007E2052">
        <w:trPr>
          <w:trHeight w:val="269"/>
          <w:tblHeader/>
          <w:jc w:val="center"/>
        </w:trPr>
        <w:tc>
          <w:tcPr>
            <w:tcW w:w="1076" w:type="dxa"/>
            <w:vMerge w:val="restart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5A55" w:rsidRPr="007E2052" w:rsidRDefault="00475A55" w:rsidP="00F96BB8">
            <w:pPr>
              <w:rPr>
                <w:rFonts w:ascii="Cambria" w:hAnsi="Cambria"/>
                <w:b/>
                <w:szCs w:val="22"/>
              </w:rPr>
            </w:pPr>
            <w:r w:rsidRPr="007E2052">
              <w:rPr>
                <w:rFonts w:ascii="Cambria" w:hAnsi="Cambria"/>
                <w:b/>
                <w:sz w:val="22"/>
                <w:szCs w:val="22"/>
              </w:rPr>
              <w:t>Priority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5A55" w:rsidRPr="00F06D7C" w:rsidRDefault="00475A55" w:rsidP="00F96BB8">
            <w:pPr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Deliverable</w:t>
            </w:r>
          </w:p>
        </w:tc>
        <w:tc>
          <w:tcPr>
            <w:tcW w:w="5390" w:type="dxa"/>
            <w:vMerge w:val="restart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5A55" w:rsidRPr="00F06D7C" w:rsidRDefault="00475A55" w:rsidP="00F96BB8">
            <w:pPr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Milestones</w:t>
            </w:r>
          </w:p>
        </w:tc>
        <w:tc>
          <w:tcPr>
            <w:tcW w:w="2695" w:type="dxa"/>
            <w:gridSpan w:val="6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B73028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20</w:t>
            </w:r>
            <w:r w:rsidR="00B73028">
              <w:rPr>
                <w:rFonts w:ascii="Cambria" w:hAnsi="Cambria"/>
                <w:b/>
                <w:szCs w:val="24"/>
              </w:rPr>
              <w:t>11</w:t>
            </w:r>
          </w:p>
        </w:tc>
        <w:tc>
          <w:tcPr>
            <w:tcW w:w="2695" w:type="dxa"/>
            <w:gridSpan w:val="6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B7302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20</w:t>
            </w:r>
            <w:r w:rsidR="00B73028">
              <w:rPr>
                <w:rFonts w:ascii="Cambria" w:hAnsi="Cambria"/>
                <w:b/>
                <w:szCs w:val="24"/>
              </w:rPr>
              <w:t>12</w:t>
            </w:r>
          </w:p>
        </w:tc>
      </w:tr>
      <w:tr w:rsidR="00475A55" w:rsidRPr="00F06D7C" w:rsidTr="007E2052">
        <w:trPr>
          <w:trHeight w:val="21"/>
          <w:tblHeader/>
          <w:jc w:val="center"/>
        </w:trPr>
        <w:tc>
          <w:tcPr>
            <w:tcW w:w="1076" w:type="dxa"/>
            <w:vMerge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390" w:type="dxa"/>
            <w:vMerge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J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A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S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O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N</w:t>
            </w:r>
          </w:p>
        </w:tc>
        <w:tc>
          <w:tcPr>
            <w:tcW w:w="450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D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J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F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M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A</w:t>
            </w:r>
          </w:p>
        </w:tc>
        <w:tc>
          <w:tcPr>
            <w:tcW w:w="449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M</w:t>
            </w:r>
          </w:p>
        </w:tc>
        <w:tc>
          <w:tcPr>
            <w:tcW w:w="450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A55" w:rsidRPr="00F06D7C" w:rsidRDefault="00475A55" w:rsidP="00F96BB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06D7C">
              <w:rPr>
                <w:rFonts w:ascii="Cambria" w:hAnsi="Cambria"/>
                <w:b/>
                <w:szCs w:val="24"/>
              </w:rPr>
              <w:t>J</w:t>
            </w:r>
          </w:p>
        </w:tc>
      </w:tr>
      <w:tr w:rsidR="00B73028" w:rsidRPr="00F06D7C" w:rsidTr="007E2052">
        <w:trPr>
          <w:jc w:val="center"/>
        </w:trPr>
        <w:tc>
          <w:tcPr>
            <w:tcW w:w="1076" w:type="dxa"/>
            <w:vMerge w:val="restart"/>
            <w:tcMar>
              <w:top w:w="57" w:type="dxa"/>
              <w:bottom w:w="57" w:type="dxa"/>
            </w:tcMar>
          </w:tcPr>
          <w:p w:rsidR="00B73028" w:rsidRPr="001D4200" w:rsidRDefault="001D4200" w:rsidP="00B73028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1D4200">
              <w:rPr>
                <w:rFonts w:asciiTheme="minorHAnsi" w:hAnsiTheme="minorHAnsi" w:cstheme="minorHAnsi"/>
                <w:sz w:val="20"/>
              </w:rPr>
              <w:t>Medium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:rsidR="00B73028" w:rsidRDefault="00B73028" w:rsidP="00B73028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8418B1">
              <w:rPr>
                <w:rFonts w:asciiTheme="minorHAnsi" w:hAnsiTheme="minorHAnsi" w:cstheme="minorHAnsi"/>
                <w:b/>
                <w:sz w:val="22"/>
                <w:szCs w:val="22"/>
              </w:rPr>
              <w:t>St</w:t>
            </w:r>
            <w:r w:rsidR="004E7A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atutory definition of charity – </w:t>
            </w:r>
          </w:p>
          <w:p w:rsidR="00B73028" w:rsidRPr="008418B1" w:rsidRDefault="00332089" w:rsidP="00B7302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Consideration of </w:t>
            </w:r>
            <w:r w:rsidR="00B73028" w:rsidRPr="008418B1">
              <w:rPr>
                <w:rFonts w:asciiTheme="minorHAnsi" w:hAnsiTheme="minorHAnsi" w:cstheme="minorHAnsi"/>
                <w:sz w:val="22"/>
                <w:szCs w:val="22"/>
              </w:rPr>
              <w:t>national recognition of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statutory definition of</w:t>
            </w:r>
            <w:r w:rsidR="00B73028" w:rsidRPr="008418B1">
              <w:rPr>
                <w:rFonts w:asciiTheme="minorHAnsi" w:hAnsiTheme="minorHAnsi" w:cstheme="minorHAnsi"/>
                <w:sz w:val="22"/>
                <w:szCs w:val="22"/>
              </w:rPr>
              <w:t xml:space="preserve"> charity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3028" w:rsidRPr="00841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73028" w:rsidRPr="008418B1" w:rsidRDefault="00B73028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B73028" w:rsidRPr="00851874" w:rsidRDefault="00B73028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B73028" w:rsidRPr="004E7A35" w:rsidRDefault="00DF613C" w:rsidP="00DF61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Public consultation on the Commonwealth Government c</w:t>
            </w:r>
            <w:r w:rsidR="00B73028"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onsultation 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73028" w:rsidRPr="00851874">
              <w:rPr>
                <w:rFonts w:asciiTheme="minorHAnsi" w:hAnsiTheme="minorHAnsi" w:cstheme="minorHAnsi"/>
                <w:sz w:val="22"/>
                <w:szCs w:val="22"/>
              </w:rPr>
              <w:t>aper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 entitled</w:t>
            </w:r>
            <w:r w:rsidR="00B73028"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3028" w:rsidRPr="00851874">
              <w:rPr>
                <w:rFonts w:asciiTheme="minorHAnsi" w:hAnsiTheme="minorHAnsi" w:cstheme="minorHAnsi"/>
                <w:i/>
                <w:sz w:val="22"/>
                <w:szCs w:val="22"/>
              </w:rPr>
              <w:t>A definition of charity</w:t>
            </w:r>
            <w:r w:rsidR="00B73028" w:rsidRPr="008518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B73028" w:rsidRPr="00B73028" w:rsidRDefault="00B73028" w:rsidP="00F96BB8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B73028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B73028" w:rsidRPr="00F06D7C" w:rsidRDefault="00B73028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B73028" w:rsidRPr="008418B1" w:rsidRDefault="00B73028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B73028" w:rsidRPr="00851874" w:rsidRDefault="00B73028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States and Territories</w:t>
            </w:r>
          </w:p>
          <w:p w:rsidR="00B73028" w:rsidRPr="00851874" w:rsidRDefault="00B73028" w:rsidP="00B73028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To provide comments on </w:t>
            </w:r>
            <w:r w:rsidR="00DF613C"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the Commonwealth’s consultation paper 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as appropriate.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DF613C" w:rsidRPr="00F06D7C" w:rsidTr="004E7A35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DF613C" w:rsidRPr="00F06D7C" w:rsidRDefault="00DF613C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DF613C" w:rsidRPr="008418B1" w:rsidRDefault="00DF613C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DF613C" w:rsidRPr="00851874" w:rsidRDefault="00DF613C" w:rsidP="00DF613C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States and Territories</w:t>
            </w:r>
          </w:p>
          <w:p w:rsidR="00DF613C" w:rsidRPr="00851874" w:rsidRDefault="00DF613C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Where appropriate, consider options to progress nationally consistent recognition of charities as determined by the ACNC.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DF613C" w:rsidRPr="00B73028" w:rsidRDefault="00DF613C" w:rsidP="00F96BB8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DF613C" w:rsidRPr="00B73028" w:rsidRDefault="00DF613C" w:rsidP="00F96BB8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DF613C" w:rsidRPr="00F06D7C" w:rsidRDefault="00DF613C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B73028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B73028" w:rsidRPr="00F06D7C" w:rsidRDefault="00B73028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B73028" w:rsidRPr="008418B1" w:rsidRDefault="00B73028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B73028" w:rsidRPr="00851874" w:rsidRDefault="00B73028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B73028" w:rsidRPr="00851874" w:rsidRDefault="00B73028" w:rsidP="007E2052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Public consultation on exposure draft including Commonwealth consequential amendments to ensure Commonwealth recognition of charitable entities as determined by the ACNC</w:t>
            </w:r>
            <w:r w:rsidR="007E2052" w:rsidRPr="008518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B73028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B73028" w:rsidRPr="00F06D7C" w:rsidRDefault="00B73028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B73028" w:rsidRPr="008418B1" w:rsidRDefault="00B73028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B73028" w:rsidRPr="00851874" w:rsidRDefault="00B73028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Working Group</w:t>
            </w:r>
          </w:p>
          <w:p w:rsidR="00B73028" w:rsidRPr="00851874" w:rsidRDefault="00B73028" w:rsidP="007E2052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Report to COAG via SCFFR on</w:t>
            </w:r>
            <w:r w:rsidR="007E2052"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 progress for developing 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options and recommendations to </w:t>
            </w:r>
            <w:r w:rsidR="007E2052" w:rsidRPr="00851874">
              <w:rPr>
                <w:rFonts w:asciiTheme="minorHAnsi" w:hAnsiTheme="minorHAnsi" w:cstheme="minorHAnsi"/>
                <w:sz w:val="22"/>
                <w:szCs w:val="22"/>
              </w:rPr>
              <w:t>advance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 nationally consistent recognition of char</w:t>
            </w:r>
            <w:r w:rsidR="007E2052" w:rsidRPr="00851874">
              <w:rPr>
                <w:rFonts w:asciiTheme="minorHAnsi" w:hAnsiTheme="minorHAnsi" w:cstheme="minorHAnsi"/>
                <w:sz w:val="22"/>
                <w:szCs w:val="22"/>
              </w:rPr>
              <w:t>ities as determined by the ACNC</w:t>
            </w:r>
            <w:r w:rsidR="00756676">
              <w:rPr>
                <w:rFonts w:asciiTheme="minorHAnsi" w:hAnsiTheme="minorHAnsi" w:cstheme="minorHAnsi"/>
                <w:sz w:val="22"/>
                <w:szCs w:val="22"/>
              </w:rPr>
              <w:t>, where appropriate</w:t>
            </w:r>
            <w:r w:rsidR="007E2052" w:rsidRPr="008518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B73028" w:rsidRPr="00F06D7C" w:rsidRDefault="00B73028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 w:val="restart"/>
            <w:tcMar>
              <w:top w:w="57" w:type="dxa"/>
              <w:bottom w:w="57" w:type="dxa"/>
            </w:tcMar>
          </w:tcPr>
          <w:p w:rsidR="007E2052" w:rsidRPr="00F06D7C" w:rsidRDefault="001D4200" w:rsidP="00B73028">
            <w:pPr>
              <w:spacing w:after="120"/>
              <w:rPr>
                <w:rFonts w:ascii="Cambria" w:hAnsi="Cambria" w:cs="Arial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High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:rsidR="007E2052" w:rsidRPr="008418B1" w:rsidRDefault="004E7A35" w:rsidP="00B73028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7E2052" w:rsidRPr="008418B1">
              <w:rPr>
                <w:rFonts w:asciiTheme="minorHAnsi" w:hAnsiTheme="minorHAnsi" w:cstheme="minorHAnsi"/>
                <w:b/>
                <w:sz w:val="22"/>
                <w:szCs w:val="22"/>
              </w:rPr>
              <w:t>ax concessions for non</w:t>
            </w:r>
            <w:r w:rsidR="007E2052" w:rsidRPr="008418B1">
              <w:rPr>
                <w:rFonts w:asciiTheme="minorHAnsi" w:hAnsiTheme="minorHAnsi" w:cstheme="minorHAnsi"/>
                <w:b/>
                <w:sz w:val="22"/>
                <w:szCs w:val="22"/>
              </w:rPr>
              <w:noBreakHyphen/>
              <w:t>charitable activities</w:t>
            </w:r>
            <w:r w:rsidR="00E071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charities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7E2052" w:rsidRPr="004E7A35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E2052" w:rsidRPr="008418B1" w:rsidRDefault="00332089" w:rsidP="00466530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r w:rsidR="00466530">
              <w:rPr>
                <w:rFonts w:asciiTheme="minorHAnsi" w:hAnsiTheme="minorHAnsi" w:cstheme="minorHAnsi"/>
                <w:sz w:val="22"/>
                <w:szCs w:val="22"/>
              </w:rPr>
              <w:t xml:space="preserve">ing approaches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>armonis</w:t>
            </w:r>
            <w:r w:rsidR="0046653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6653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66530">
              <w:rPr>
                <w:rFonts w:asciiTheme="minorHAnsi" w:hAnsiTheme="minorHAnsi" w:cstheme="minorHAnsi"/>
                <w:sz w:val="22"/>
                <w:szCs w:val="22"/>
              </w:rPr>
              <w:t xml:space="preserve"> for determining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noBreakHyphen/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>charitable activities of charities.</w:t>
            </w: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DF61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Public consultation on options for better targeting of Commonwealth tax concessions to related activities of NFP entities.</w:t>
            </w: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446C5F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DF61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Public consultation on exposure draft legislation for better targeting of Commonwealth tax concessions to related activities of NFP entities.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DF61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Legislation to be introduced into Parliament for better targeting of Commonwealth tax concessions to related activities of NFP entities.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4E7A35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States and Territories</w:t>
            </w:r>
          </w:p>
          <w:p w:rsidR="007E2052" w:rsidRPr="00851874" w:rsidRDefault="007E2052" w:rsidP="00512695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States and Territories to consider whether changes should be made to State/Territory legislation to harmonise tests for non-charitable activities</w:t>
            </w:r>
            <w:r w:rsidR="00E071BA">
              <w:rPr>
                <w:rFonts w:asciiTheme="minorHAnsi" w:hAnsiTheme="minorHAnsi" w:cstheme="minorHAnsi"/>
                <w:sz w:val="22"/>
                <w:szCs w:val="22"/>
              </w:rPr>
              <w:t xml:space="preserve"> of charities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095291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Working Group</w:t>
            </w:r>
          </w:p>
          <w:p w:rsidR="007E2052" w:rsidRDefault="007E2052" w:rsidP="008418B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Report to COAG via SCFFR on progress </w:t>
            </w:r>
            <w:r w:rsidR="00E071BA">
              <w:rPr>
                <w:rFonts w:asciiTheme="minorHAnsi" w:hAnsiTheme="minorHAnsi" w:cstheme="minorHAnsi"/>
                <w:sz w:val="22"/>
                <w:szCs w:val="22"/>
              </w:rPr>
              <w:t>of consider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ing options to harmonise the tax treatment for non-charitable activities of charities</w:t>
            </w:r>
            <w:r w:rsidR="00756676">
              <w:rPr>
                <w:rFonts w:asciiTheme="minorHAnsi" w:hAnsiTheme="minorHAnsi" w:cstheme="minorHAnsi"/>
                <w:sz w:val="22"/>
                <w:szCs w:val="22"/>
              </w:rPr>
              <w:t>, where appropriate.</w:t>
            </w:r>
          </w:p>
          <w:p w:rsidR="00512695" w:rsidRDefault="00512695" w:rsidP="008418B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  <w:p w:rsidR="00E071BA" w:rsidRPr="00851874" w:rsidRDefault="00E071BA" w:rsidP="008418B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 w:val="restart"/>
            <w:tcMar>
              <w:top w:w="57" w:type="dxa"/>
              <w:bottom w:w="57" w:type="dxa"/>
            </w:tcMar>
          </w:tcPr>
          <w:p w:rsidR="007E2052" w:rsidRPr="00F06D7C" w:rsidRDefault="001D4200" w:rsidP="00B73028">
            <w:pPr>
              <w:spacing w:after="120"/>
              <w:rPr>
                <w:rFonts w:ascii="Cambria" w:hAnsi="Cambria" w:cs="Arial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High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:rsidR="007E2052" w:rsidRPr="008418B1" w:rsidRDefault="004E7A35" w:rsidP="00B7302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Regulation of</w:t>
            </w:r>
            <w:r w:rsidR="007E2052" w:rsidRPr="00841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NFP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E2052" w:rsidRPr="008418B1">
              <w:rPr>
                <w:rFonts w:asciiTheme="minorHAnsi" w:hAnsiTheme="minorHAnsi" w:cstheme="minorHAnsi"/>
                <w:b/>
                <w:sz w:val="22"/>
                <w:szCs w:val="22"/>
              </w:rPr>
              <w:t>ector</w:t>
            </w:r>
            <w:r w:rsidR="007E2052" w:rsidRPr="004E7A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E2052" w:rsidRPr="008418B1" w:rsidRDefault="00332089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Reviewing the</w:t>
            </w:r>
            <w:r w:rsidR="00851874">
              <w:rPr>
                <w:rFonts w:asciiTheme="minorHAnsi" w:hAnsiTheme="minorHAnsi" w:cstheme="minorHAnsi"/>
                <w:sz w:val="22"/>
                <w:szCs w:val="22"/>
              </w:rPr>
              <w:t xml:space="preserve"> legal,</w:t>
            </w:r>
            <w:r w:rsidR="007E2052" w:rsidRPr="008418B1">
              <w:rPr>
                <w:rFonts w:asciiTheme="minorHAnsi" w:hAnsiTheme="minorHAnsi" w:cstheme="minorHAnsi"/>
                <w:sz w:val="22"/>
                <w:szCs w:val="22"/>
              </w:rPr>
              <w:t xml:space="preserve"> governance and reporting regulation for the NFP sector.</w:t>
            </w: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Public consultation on governance arrangements and exposure draft legislation for the ACNC.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DF613C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Companies limited by guarantee structure (including barriers to utilising this structure) and general reports for regulated entities by early 2012.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8418B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Review duplication of regulation and reporting between ACNC and other regulators at the Commonwealth level.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8314CF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 Jurisdictions</w:t>
            </w:r>
          </w:p>
          <w:p w:rsidR="00A3256B" w:rsidRDefault="008314CF" w:rsidP="00B73028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jurisdictions</w:t>
            </w:r>
            <w:r w:rsidR="007E2052"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 to identify </w:t>
            </w:r>
            <w:r w:rsidR="00A3256B"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="007E2052"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areas of regulatory and reporting duplication, including charitable trusts and incorporated associations.  </w:t>
            </w:r>
          </w:p>
          <w:p w:rsidR="008418B1" w:rsidRPr="00851874" w:rsidRDefault="00E071BA" w:rsidP="00E071BA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E071BA">
              <w:rPr>
                <w:rFonts w:asciiTheme="minorHAnsi" w:hAnsiTheme="minorHAnsi" w:cstheme="minorHAnsi"/>
                <w:sz w:val="22"/>
                <w:szCs w:val="22"/>
              </w:rPr>
              <w:t>All jurisdictions to consider whether removal of regulatory and reporting duplication is appropriate and where relevant, consider options for reducing duplication.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B73028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The ACNC is to be established by 1 July 2012.  Initially, its role will be to register charities for all Commonwealth purposes, undertake regulation of entities to the limit of the Commonwealth’s powers, provide education to the 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sector, and implement a general purpose reporting framework and public information portal by 1 July 2013.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B7302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095291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Working Group</w:t>
            </w:r>
          </w:p>
          <w:p w:rsidR="007E2052" w:rsidRPr="00851874" w:rsidRDefault="007E2052" w:rsidP="007E2052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Report to COAG via SCFFR on progress for developing options and recommendations to harmonise governance and reporting regulation for the NFP sector</w:t>
            </w:r>
            <w:r w:rsidR="00E071BA">
              <w:rPr>
                <w:rFonts w:asciiTheme="minorHAnsi" w:hAnsiTheme="minorHAnsi" w:cstheme="minorHAnsi"/>
                <w:sz w:val="22"/>
                <w:szCs w:val="22"/>
              </w:rPr>
              <w:t xml:space="preserve"> where appropriate</w:t>
            </w: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E071BA">
        <w:trPr>
          <w:jc w:val="center"/>
        </w:trPr>
        <w:tc>
          <w:tcPr>
            <w:tcW w:w="1076" w:type="dxa"/>
            <w:vMerge w:val="restart"/>
            <w:tcMar>
              <w:top w:w="57" w:type="dxa"/>
              <w:bottom w:w="57" w:type="dxa"/>
            </w:tcMar>
          </w:tcPr>
          <w:p w:rsidR="007E2052" w:rsidRPr="00F06D7C" w:rsidRDefault="001D4200" w:rsidP="00B73028">
            <w:pPr>
              <w:spacing w:after="120"/>
              <w:rPr>
                <w:rFonts w:ascii="Cambria" w:hAnsi="Cambria" w:cs="Arial"/>
                <w:szCs w:val="24"/>
              </w:rPr>
            </w:pPr>
            <w:r w:rsidRPr="001D4200">
              <w:rPr>
                <w:rFonts w:asciiTheme="minorHAnsi" w:hAnsiTheme="minorHAnsi" w:cstheme="minorHAnsi"/>
                <w:sz w:val="20"/>
              </w:rPr>
              <w:t>Medium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:rsidR="007E2052" w:rsidRPr="008418B1" w:rsidRDefault="007E2052" w:rsidP="00DF613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8418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Fundraising regulation reform for the NFP sector</w:t>
            </w:r>
            <w:r w:rsidR="004E7A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8418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</w:p>
          <w:p w:rsidR="007E2052" w:rsidRPr="008418B1" w:rsidRDefault="007E2052" w:rsidP="0033208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418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Develop</w:t>
            </w:r>
            <w:r w:rsidR="003320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ing a </w:t>
            </w:r>
            <w:r w:rsidRPr="008418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nationally consistent approach to fundraising regulation which reduces the regulatory burden on the NFP sector.</w:t>
            </w: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B7302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color w:val="000000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Commonwealth</w:t>
            </w:r>
          </w:p>
          <w:p w:rsidR="007E2052" w:rsidRPr="00851874" w:rsidRDefault="007E2052" w:rsidP="00DF613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518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consultation on the Commonwealth Government consultation paper for a national regulatory framework for fundraising.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F96BB8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7E2052" w:rsidRPr="00F06D7C" w:rsidTr="007E2052">
        <w:trPr>
          <w:jc w:val="center"/>
        </w:trPr>
        <w:tc>
          <w:tcPr>
            <w:tcW w:w="1076" w:type="dxa"/>
            <w:vMerge/>
            <w:tcMar>
              <w:top w:w="57" w:type="dxa"/>
              <w:bottom w:w="57" w:type="dxa"/>
            </w:tcMar>
          </w:tcPr>
          <w:p w:rsidR="007E2052" w:rsidRPr="00F06D7C" w:rsidRDefault="007E2052" w:rsidP="00B73028">
            <w:pPr>
              <w:spacing w:after="120"/>
              <w:rPr>
                <w:rFonts w:ascii="Cambria" w:hAnsi="Cambria" w:cs="Arial"/>
                <w:szCs w:val="24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:rsidR="007E2052" w:rsidRPr="008418B1" w:rsidRDefault="007E2052" w:rsidP="00DF613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390" w:type="dxa"/>
            <w:tcMar>
              <w:top w:w="57" w:type="dxa"/>
              <w:bottom w:w="57" w:type="dxa"/>
            </w:tcMar>
          </w:tcPr>
          <w:p w:rsidR="007E2052" w:rsidRPr="00851874" w:rsidRDefault="007E2052" w:rsidP="00095291">
            <w:pPr>
              <w:spacing w:after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Working Group</w:t>
            </w:r>
          </w:p>
          <w:p w:rsidR="007E2052" w:rsidRPr="00851874" w:rsidRDefault="007E2052" w:rsidP="007E2052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51874">
              <w:rPr>
                <w:rFonts w:asciiTheme="minorHAnsi" w:hAnsiTheme="minorHAnsi" w:cstheme="minorHAnsi"/>
                <w:sz w:val="22"/>
                <w:szCs w:val="22"/>
              </w:rPr>
              <w:t xml:space="preserve">Report to COAG via SCFFR on progress for developing options and recommendations to advance nationally consistent </w:t>
            </w:r>
            <w:r w:rsidRPr="0085187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approach to fundraising regulation for the NFP sector</w:t>
            </w:r>
            <w:r w:rsidR="00E071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071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where appropriate</w:t>
            </w:r>
            <w:r w:rsidR="00E071B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450" w:type="dxa"/>
            <w:shd w:val="clear" w:color="auto" w:fill="D99594" w:themeFill="accent2" w:themeFillTint="99"/>
            <w:tcMar>
              <w:top w:w="57" w:type="dxa"/>
              <w:bottom w:w="57" w:type="dxa"/>
            </w:tcMar>
          </w:tcPr>
          <w:p w:rsidR="007E2052" w:rsidRPr="00F06D7C" w:rsidRDefault="007E2052" w:rsidP="00095291">
            <w:pPr>
              <w:jc w:val="center"/>
              <w:rPr>
                <w:rFonts w:ascii="Cambria" w:hAnsi="Cambria" w:cs="Arial"/>
                <w:szCs w:val="24"/>
              </w:rPr>
            </w:pPr>
          </w:p>
        </w:tc>
      </w:tr>
    </w:tbl>
    <w:p w:rsidR="008847CC" w:rsidRDefault="008847CC"/>
    <w:sectPr w:rsidR="008847CC" w:rsidSect="00F96BB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34" w:rsidRDefault="00E04934" w:rsidP="001A59A4">
      <w:r>
        <w:separator/>
      </w:r>
    </w:p>
  </w:endnote>
  <w:endnote w:type="continuationSeparator" w:id="0">
    <w:p w:rsidR="00E04934" w:rsidRDefault="00E04934" w:rsidP="001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7452"/>
      <w:docPartObj>
        <w:docPartGallery w:val="Page Numbers (Bottom of Page)"/>
        <w:docPartUnique/>
      </w:docPartObj>
    </w:sdtPr>
    <w:sdtEndPr/>
    <w:sdtContent>
      <w:p w:rsidR="001A59A4" w:rsidRDefault="00332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9A4" w:rsidRDefault="001A5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34" w:rsidRDefault="00E04934" w:rsidP="001A59A4">
      <w:r>
        <w:separator/>
      </w:r>
    </w:p>
  </w:footnote>
  <w:footnote w:type="continuationSeparator" w:id="0">
    <w:p w:rsidR="00E04934" w:rsidRDefault="00E04934" w:rsidP="001A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4" w:rsidRDefault="001A5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useWord2002TableStyleRules/>
    <w:growAutofit/>
    <w:compatSetting w:name="compatibilityMode" w:uri="http://schemas.microsoft.com/office/word" w:val="12"/>
  </w:compat>
  <w:rsids>
    <w:rsidRoot w:val="00475A55"/>
    <w:rsid w:val="00095291"/>
    <w:rsid w:val="00095C3F"/>
    <w:rsid w:val="000B3D30"/>
    <w:rsid w:val="001A59A4"/>
    <w:rsid w:val="001C1213"/>
    <w:rsid w:val="001D4200"/>
    <w:rsid w:val="001F35FF"/>
    <w:rsid w:val="00332089"/>
    <w:rsid w:val="003C1882"/>
    <w:rsid w:val="003F45F3"/>
    <w:rsid w:val="00446C5F"/>
    <w:rsid w:val="00460C65"/>
    <w:rsid w:val="00466530"/>
    <w:rsid w:val="0047223A"/>
    <w:rsid w:val="00475A55"/>
    <w:rsid w:val="004B7B52"/>
    <w:rsid w:val="004E7A35"/>
    <w:rsid w:val="00512695"/>
    <w:rsid w:val="006B51C7"/>
    <w:rsid w:val="0071495E"/>
    <w:rsid w:val="00744486"/>
    <w:rsid w:val="00756676"/>
    <w:rsid w:val="007E2052"/>
    <w:rsid w:val="008314CF"/>
    <w:rsid w:val="008418B1"/>
    <w:rsid w:val="00851874"/>
    <w:rsid w:val="008847CC"/>
    <w:rsid w:val="00950D17"/>
    <w:rsid w:val="00A3256B"/>
    <w:rsid w:val="00B72A51"/>
    <w:rsid w:val="00B73028"/>
    <w:rsid w:val="00C911C1"/>
    <w:rsid w:val="00CC67EF"/>
    <w:rsid w:val="00CE3D84"/>
    <w:rsid w:val="00D20A4F"/>
    <w:rsid w:val="00DD5E5D"/>
    <w:rsid w:val="00DF613C"/>
    <w:rsid w:val="00E04934"/>
    <w:rsid w:val="00E071BA"/>
    <w:rsid w:val="00E44260"/>
    <w:rsid w:val="00F90417"/>
    <w:rsid w:val="00F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Graphic">
    <w:name w:val="Chart Graphic"/>
    <w:basedOn w:val="Normal"/>
    <w:next w:val="Normal"/>
    <w:rsid w:val="00CC67EF"/>
    <w:pPr>
      <w:keepNext/>
      <w:spacing w:after="240"/>
      <w:jc w:val="center"/>
    </w:pPr>
    <w:rPr>
      <w:rFonts w:asciiTheme="minorHAnsi" w:hAnsiTheme="minorHAnsi"/>
      <w:sz w:val="22"/>
    </w:rPr>
  </w:style>
  <w:style w:type="paragraph" w:customStyle="1" w:styleId="TableGraphic">
    <w:name w:val="Table Graphic"/>
    <w:basedOn w:val="Normal"/>
    <w:next w:val="Normal"/>
    <w:rsid w:val="00C911C1"/>
    <w:pPr>
      <w:ind w:right="-113"/>
      <w:jc w:val="both"/>
    </w:pPr>
    <w:rPr>
      <w:rFonts w:asciiTheme="minorHAnsi" w:hAnsiTheme="minorHAnsi"/>
      <w:sz w:val="22"/>
    </w:rPr>
  </w:style>
  <w:style w:type="paragraph" w:customStyle="1" w:styleId="CABNETParagraphAtt">
    <w:name w:val="CABNET Paragraph Att"/>
    <w:basedOn w:val="Normal"/>
    <w:link w:val="CABNETParagraphAttChar"/>
    <w:qFormat/>
    <w:rsid w:val="00475A55"/>
    <w:pPr>
      <w:spacing w:before="120" w:after="120"/>
    </w:pPr>
    <w:rPr>
      <w:rFonts w:ascii="Verdana" w:hAnsi="Verdana"/>
      <w:sz w:val="22"/>
      <w:szCs w:val="24"/>
    </w:rPr>
  </w:style>
  <w:style w:type="character" w:customStyle="1" w:styleId="CABNETParagraphAttChar">
    <w:name w:val="CABNET Paragraph Att Char"/>
    <w:basedOn w:val="DefaultParagraphFont"/>
    <w:link w:val="CABNETParagraphAtt"/>
    <w:rsid w:val="00475A55"/>
    <w:rPr>
      <w:rFonts w:ascii="Verdana" w:eastAsia="Times New Roman" w:hAnsi="Verdana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A5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9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A5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A4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3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C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C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CF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F569-D026-4BD2-B763-5AD12E87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Ashley</dc:creator>
  <cp:keywords/>
  <dc:description/>
  <cp:lastModifiedBy>Bell, Ashley</cp:lastModifiedBy>
  <cp:revision>2</cp:revision>
  <cp:lastPrinted>2012-01-16T01:46:00Z</cp:lastPrinted>
  <dcterms:created xsi:type="dcterms:W3CDTF">2012-04-12T23:21:00Z</dcterms:created>
  <dcterms:modified xsi:type="dcterms:W3CDTF">2012-04-12T23:21:00Z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-554442115</vt:i4>
  </property>
  <property fmtid="{D5CDD505-2E9C-101B-9397-08002B2CF9AE}" pid="3" name="_NewReviewCycle">
    <vt:lpwstr/>
  </property>
  <property fmtid="{D5CDD505-2E9C-101B-9397-08002B2CF9AE}" pid="4" name="_EmailSubject">
    <vt:lpwstr>Treasury -  Not-for-profit Reform page for COAG  - ci2372 [SEC=UNCLASSIFIED]</vt:lpwstr>
  </property>
  <property fmtid="{D5CDD505-2E9C-101B-9397-08002B2CF9AE}" pid="5" name="_AuthorEmail">
    <vt:lpwstr>Ashley.Bell@TREASURY.GOV.AU</vt:lpwstr>
  </property>
  <property fmtid="{D5CDD505-2E9C-101B-9397-08002B2CF9AE}" pid="6" name="_AuthorEmailDisplayName">
    <vt:lpwstr>Bell, Ashley</vt:lpwstr>
  </property>
  <property fmtid="{D5CDD505-2E9C-101B-9397-08002B2CF9AE}" pid="8" name="_PreviousAdHocReviewCycleID">
    <vt:i4>-766824841</vt:i4>
  </property>
</Properties>
</file>