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D71" w:rsidRPr="002368FF" w:rsidRDefault="009B6D71" w:rsidP="002368FF">
      <w:pPr>
        <w:spacing w:after="120"/>
        <w:rPr>
          <w:rFonts w:ascii="Avenir LT 45 Book" w:hAnsi="Avenir LT 45 Book"/>
          <w:lang w:val="en-AU"/>
        </w:rPr>
      </w:pPr>
      <w:bookmarkStart w:id="0" w:name="_GoBack"/>
      <w:bookmarkEnd w:id="0"/>
    </w:p>
    <w:p w:rsidR="009B6D71" w:rsidRPr="002368FF" w:rsidRDefault="009B6D71" w:rsidP="002368FF">
      <w:pPr>
        <w:spacing w:after="120"/>
        <w:rPr>
          <w:rFonts w:ascii="Avenir LT 45 Book" w:hAnsi="Avenir LT 45 Book"/>
          <w:lang w:val="en-AU"/>
        </w:rPr>
      </w:pPr>
    </w:p>
    <w:p w:rsidR="00253B47" w:rsidRPr="002368FF" w:rsidRDefault="00253B47" w:rsidP="002368FF">
      <w:pPr>
        <w:spacing w:after="120"/>
        <w:rPr>
          <w:rFonts w:ascii="Avenir LT 45 Book" w:hAnsi="Avenir LT 45 Book" w:cs="Arial"/>
          <w:lang w:val="en-AU"/>
        </w:rPr>
      </w:pPr>
    </w:p>
    <w:p w:rsidR="009F597A" w:rsidRDefault="00EE4A43" w:rsidP="002368FF">
      <w:pPr>
        <w:spacing w:after="120"/>
        <w:rPr>
          <w:rFonts w:ascii="Avenir LT 45 Book" w:hAnsi="Avenir LT 45 Book" w:cs="Arial"/>
          <w:lang w:val="en-AU"/>
        </w:rPr>
      </w:pPr>
      <w:r>
        <w:rPr>
          <w:rFonts w:ascii="Avenir LT 45 Book" w:hAnsi="Avenir LT 45 Book" w:cs="Arial"/>
          <w:noProof/>
          <w:lang w:val="en-AU" w:eastAsia="en-AU"/>
        </w:rPr>
        <w:pict>
          <v:shapetype id="_x0000_t202" coordsize="21600,21600" o:spt="202" path="m,l,21600r21600,l21600,xe">
            <v:stroke joinstyle="miter"/>
            <v:path gradientshapeok="t" o:connecttype="rect"/>
          </v:shapetype>
          <v:shape id="Text Box 21" o:spid="_x0000_s1026" type="#_x0000_t202" style="position:absolute;margin-left:-170.25pt;margin-top:-62.1pt;width:179.6pt;height:28.3pt;z-index:251660288;visibility:visible;mso-wrap-style:square;mso-width-percent:0;mso-height-percent:0;mso-wrap-distance-left:9pt;mso-wrap-distance-top:0;mso-wrap-distance-right:9pt;mso-wrap-distance-bottom:0;mso-position-horizontal-relative:right-margin-area;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" o:allowoverlap="f" filled="f" stroked="f">
            <v:path arrowok="t"/>
            <v:textbox style="mso-next-textbox:#Text Box 21" inset="0,0,0,0">
              <w:txbxContent>
                <w:p w:rsidR="005A06B1" w:rsidRPr="002368FF" w:rsidRDefault="005A06B1" w:rsidP="00E950A4">
                  <w:pPr>
                    <w:ind w:right="165"/>
                    <w:jc w:val="center"/>
                    <w:rPr>
                      <w:rFonts w:ascii="Avenir LT 45 Book" w:hAnsi="Avenir LT 45 Book"/>
                      <w:lang w:val="en-AU"/>
                    </w:rPr>
                  </w:pPr>
                  <w:r>
                    <w:rPr>
                      <w:rFonts w:ascii="Avenir LT 45 Book" w:hAnsi="Avenir LT 45 Book"/>
                      <w:lang w:val="en-AU"/>
                    </w:rPr>
                    <w:t>14 August</w:t>
                  </w:r>
                  <w:r w:rsidRPr="002368FF">
                    <w:rPr>
                      <w:rFonts w:ascii="Avenir LT 45 Book" w:hAnsi="Avenir LT 45 Book"/>
                      <w:lang w:val="en-AU"/>
                    </w:rPr>
                    <w:t xml:space="preserve"> 2017</w:t>
                  </w:r>
                </w:p>
              </w:txbxContent>
            </v:textbox>
            <w10:wrap type="square" anchorx="margin" anchory="margin"/>
            <w10:anchorlock/>
          </v:shape>
        </w:pict>
      </w:r>
      <w:r>
        <w:rPr>
          <w:rFonts w:ascii="Avenir LT 45 Book" w:hAnsi="Avenir LT 45 Book" w:cs="Arial"/>
          <w:noProof/>
          <w:lang w:val="en-AU" w:eastAsia="en-AU"/>
        </w:rPr>
        <w:pict>
          <v:shape id="Text Box 1" o:spid="_x0000_s1027" type="#_x0000_t202" style="position:absolute;margin-left:-2in;margin-top:-56.55pt;width:304.65pt;height:120.4pt;z-index:251659264;visibility:visible;mso-wrap-distance-left:9pt;mso-wrap-distance-top:0;mso-wrap-distance-right:9pt;mso-wrap-distance-bottom:0;mso-position-horizontal-relative:text;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" o:allowoverlap="f" filled="f" stroked="f">
            <v:path arrowok="t"/>
            <v:textbox style="mso-next-textbox:#Text Box 1" inset="0,0,0,0">
              <w:txbxContent>
                <w:p w:rsidR="005A06B1" w:rsidRDefault="005A06B1" w:rsidP="007C7CAD">
                  <w:pPr>
                    <w:spacing w:after="0"/>
                    <w:rPr>
                      <w:rFonts w:cs="Arial"/>
                      <w:color w:val="000000"/>
                      <w:sz w:val="15"/>
                      <w:szCs w:val="15"/>
                    </w:rPr>
                  </w:pPr>
                  <w:r w:rsidRPr="00874E08">
                    <w:rPr>
                      <w:rFonts w:ascii="Avenir LT 45 Book" w:hAnsi="Avenir LT 45 Book"/>
                      <w:lang w:val="en-AU"/>
                    </w:rPr>
                    <w:t>The Manager</w:t>
                  </w:r>
                  <w:r w:rsidRPr="00874E08">
                    <w:rPr>
                      <w:rFonts w:ascii="Avenir LT 45 Book" w:hAnsi="Avenir LT 45 Book"/>
                      <w:lang w:val="en-AU"/>
                    </w:rPr>
                    <w:br/>
                    <w:t>Banking, Insurance and Capital Markets Unit</w:t>
                  </w:r>
                  <w:r w:rsidRPr="00874E08">
                    <w:rPr>
                      <w:rFonts w:ascii="Avenir LT 45 Book" w:hAnsi="Avenir LT 45 Book"/>
                      <w:lang w:val="en-AU"/>
                    </w:rPr>
                    <w:br/>
                    <w:t>Financial System Division</w:t>
                  </w:r>
                  <w:r w:rsidRPr="00874E08">
                    <w:rPr>
                      <w:rFonts w:ascii="Avenir LT 45 Book" w:hAnsi="Avenir LT 45 Book"/>
                      <w:lang w:val="en-AU"/>
                    </w:rPr>
                    <w:br/>
                    <w:t>The Treasury</w:t>
                  </w:r>
                  <w:r w:rsidRPr="00874E08">
                    <w:rPr>
                      <w:rFonts w:ascii="Avenir LT 45 Book" w:hAnsi="Avenir LT 45 Book"/>
                      <w:lang w:val="en-AU"/>
                    </w:rPr>
                    <w:br/>
                    <w:t>Langton Crescent</w:t>
                  </w:r>
                </w:p>
                <w:p w:rsidR="005A06B1" w:rsidRPr="002368FF" w:rsidRDefault="005A06B1" w:rsidP="007C7CAD">
                  <w:pPr>
                    <w:spacing w:after="0"/>
                    <w:rPr>
                      <w:rFonts w:ascii="Avenir LT 45 Book" w:hAnsi="Avenir LT 45 Book"/>
                      <w:lang w:val="en-AU"/>
                    </w:rPr>
                  </w:pPr>
                  <w:r w:rsidRPr="002368FF">
                    <w:rPr>
                      <w:rFonts w:ascii="Avenir LT 45 Book" w:hAnsi="Avenir LT 45 Book"/>
                      <w:lang w:val="en-AU"/>
                    </w:rPr>
                    <w:t xml:space="preserve">Email: </w:t>
                  </w:r>
                  <w:r w:rsidR="00057F97">
                    <w:rPr>
                      <w:rFonts w:ascii="Avenir LT 45 Book" w:hAnsi="Avenir LT 45 Book"/>
                      <w:lang w:val="en-AU"/>
                    </w:rPr>
                    <w:t>l</w:t>
                  </w:r>
                  <w:hyperlink r:id="rId15" w:history="1">
                    <w:r w:rsidRPr="005C4CB4">
                      <w:rPr>
                        <w:rFonts w:ascii="Avenir LT 45 Book" w:hAnsi="Avenir LT 45 Book"/>
                        <w:lang w:val="en-AU"/>
                      </w:rPr>
                      <w:t>enderrules@treasury.gov.au</w:t>
                    </w:r>
                  </w:hyperlink>
                </w:p>
              </w:txbxContent>
            </v:textbox>
            <w10:wrap type="square" anchory="margin"/>
            <w10:anchorlock/>
          </v:shape>
        </w:pict>
      </w:r>
      <w:r w:rsidR="00B85D25" w:rsidRPr="002368FF">
        <w:rPr>
          <w:rFonts w:ascii="Avenir LT 45 Book" w:hAnsi="Avenir LT 45 Book" w:cs="Arial"/>
          <w:lang w:val="en-AU"/>
        </w:rPr>
        <w:t xml:space="preserve">Attention: </w:t>
      </w:r>
    </w:p>
    <w:p w:rsidR="00EA0428" w:rsidRPr="002368FF" w:rsidRDefault="009F597A" w:rsidP="002368FF">
      <w:pPr>
        <w:spacing w:after="120"/>
        <w:rPr>
          <w:rFonts w:ascii="Avenir LT 45 Book" w:hAnsi="Avenir LT 45 Book" w:cs="Arial"/>
          <w:lang w:val="en-AU"/>
        </w:rPr>
      </w:pPr>
      <w:r>
        <w:rPr>
          <w:rFonts w:ascii="Avenir LT 45 Book" w:hAnsi="Avenir LT 45 Book" w:cs="Arial"/>
          <w:lang w:val="en-AU"/>
        </w:rPr>
        <w:t>The Manager</w:t>
      </w:r>
      <w:r w:rsidR="00B85D25" w:rsidRPr="002368FF">
        <w:rPr>
          <w:rFonts w:ascii="Avenir LT 45 Book" w:hAnsi="Avenir LT 45 Book" w:cs="Arial"/>
          <w:lang w:val="en-AU"/>
        </w:rPr>
        <w:t>,</w:t>
      </w:r>
      <w:r>
        <w:rPr>
          <w:rFonts w:ascii="Avenir LT 45 Book" w:hAnsi="Avenir LT 45 Book" w:cs="Arial"/>
          <w:lang w:val="en-AU"/>
        </w:rPr>
        <w:t xml:space="preserve"> Banking, Insurance and Capital Markets Unit,</w:t>
      </w:r>
    </w:p>
    <w:p w:rsidR="004B7D04" w:rsidRPr="002368FF" w:rsidRDefault="004B7D04" w:rsidP="002368FF">
      <w:pPr>
        <w:pStyle w:val="Heading2"/>
        <w:shd w:val="clear" w:color="auto" w:fill="FFFFFF"/>
        <w:spacing w:after="120"/>
        <w:rPr>
          <w:rFonts w:ascii="Avenir LT 45 Book" w:hAnsi="Avenir LT 45 Book" w:cs="Arial"/>
          <w:sz w:val="20"/>
          <w:szCs w:val="20"/>
          <w:lang w:val="en-AU"/>
        </w:rPr>
      </w:pPr>
      <w:r w:rsidRPr="002368FF">
        <w:rPr>
          <w:rFonts w:ascii="Avenir LT 45 Book" w:hAnsi="Avenir LT 45 Book" w:cs="Arial"/>
          <w:b w:val="0"/>
          <w:caps w:val="0"/>
          <w:sz w:val="20"/>
          <w:szCs w:val="20"/>
          <w:lang w:val="en-AU"/>
        </w:rPr>
        <w:t xml:space="preserve">Thank you </w:t>
      </w:r>
      <w:r w:rsidR="007573FA" w:rsidRPr="002368FF">
        <w:rPr>
          <w:rFonts w:ascii="Avenir LT 45 Book" w:hAnsi="Avenir LT 45 Book" w:cs="Arial"/>
          <w:b w:val="0"/>
          <w:caps w:val="0"/>
          <w:sz w:val="20"/>
          <w:szCs w:val="20"/>
          <w:lang w:val="en-AU"/>
        </w:rPr>
        <w:t xml:space="preserve">for the opportunity to provide a submission to </w:t>
      </w:r>
      <w:r w:rsidR="00B85D25" w:rsidRPr="002368FF">
        <w:rPr>
          <w:rFonts w:ascii="Avenir LT 45 Book" w:hAnsi="Avenir LT 45 Book" w:cs="Arial"/>
          <w:b w:val="0"/>
          <w:caps w:val="0"/>
          <w:sz w:val="20"/>
          <w:szCs w:val="20"/>
          <w:lang w:val="en-AU"/>
        </w:rPr>
        <w:t xml:space="preserve">in regard to </w:t>
      </w:r>
      <w:r w:rsidR="00F72272" w:rsidRPr="002368FF">
        <w:rPr>
          <w:rFonts w:ascii="Avenir LT 45 Book" w:hAnsi="Avenir LT 45 Book" w:cs="Arial"/>
          <w:b w:val="0"/>
          <w:caps w:val="0"/>
          <w:sz w:val="20"/>
          <w:szCs w:val="20"/>
          <w:lang w:val="en-AU"/>
        </w:rPr>
        <w:t>the</w:t>
      </w:r>
      <w:r w:rsidR="00B85D25" w:rsidRPr="002368FF">
        <w:rPr>
          <w:rFonts w:ascii="Avenir LT 45 Book" w:hAnsi="Avenir LT 45 Book" w:cs="Arial"/>
          <w:b w:val="0"/>
          <w:caps w:val="0"/>
          <w:sz w:val="20"/>
          <w:szCs w:val="20"/>
          <w:lang w:val="en-AU"/>
        </w:rPr>
        <w:t xml:space="preserve"> </w:t>
      </w:r>
      <w:r w:rsidR="009F597A">
        <w:rPr>
          <w:rFonts w:ascii="Avenir LT 45 Book" w:hAnsi="Avenir LT 45 Book" w:cs="Arial"/>
          <w:b w:val="0"/>
          <w:i/>
          <w:caps w:val="0"/>
          <w:sz w:val="20"/>
          <w:szCs w:val="20"/>
          <w:lang w:val="en-AU"/>
        </w:rPr>
        <w:t>Treasury Laws Amendment (Non-ADI Lender Rules) Bill 2017.</w:t>
      </w:r>
    </w:p>
    <w:p w:rsidR="00FE17A1" w:rsidRPr="002368FF" w:rsidRDefault="007573FA" w:rsidP="002368FF">
      <w:pPr>
        <w:spacing w:after="120"/>
        <w:rPr>
          <w:rFonts w:ascii="Avenir LT 45 Book" w:hAnsi="Avenir LT 45 Book" w:cs="Arial"/>
          <w:lang w:val="en-AU"/>
        </w:rPr>
      </w:pPr>
      <w:r w:rsidRPr="002368FF">
        <w:rPr>
          <w:rFonts w:ascii="Avenir LT 45 Book" w:hAnsi="Avenir LT 45 Book" w:cs="Arial"/>
          <w:lang w:val="en-AU"/>
        </w:rPr>
        <w:t xml:space="preserve">The </w:t>
      </w:r>
      <w:r w:rsidR="00FE17A1" w:rsidRPr="002368FF">
        <w:rPr>
          <w:rFonts w:ascii="Avenir LT 45 Book" w:hAnsi="Avenir LT 45 Book" w:cs="Arial"/>
          <w:lang w:val="en-AU"/>
        </w:rPr>
        <w:t xml:space="preserve">GRCI is the Australian and New Zealand membership association for compliance and risk managers. Our members, are Heads of Compliance, compliance managers and officers in a variety of organisations, who are </w:t>
      </w:r>
      <w:r w:rsidR="009F597A">
        <w:rPr>
          <w:rFonts w:ascii="Avenir LT 45 Book" w:hAnsi="Avenir LT 45 Book" w:cs="Arial"/>
          <w:lang w:val="en-AU"/>
        </w:rPr>
        <w:t>responsible for building the frameworks for the compliance of their organisations</w:t>
      </w:r>
      <w:r w:rsidR="00FE17A1" w:rsidRPr="002368FF">
        <w:rPr>
          <w:rFonts w:ascii="Avenir LT 45 Book" w:hAnsi="Avenir LT 45 Book" w:cs="Arial"/>
          <w:lang w:val="en-AU"/>
        </w:rPr>
        <w:t xml:space="preserve">. </w:t>
      </w:r>
    </w:p>
    <w:p w:rsidR="00FE17A1" w:rsidRPr="002368FF" w:rsidRDefault="00FE17A1" w:rsidP="002368FF">
      <w:pPr>
        <w:spacing w:after="120"/>
        <w:rPr>
          <w:rFonts w:ascii="Avenir LT 45 Book" w:hAnsi="Avenir LT 45 Book" w:cs="Arial"/>
          <w:lang w:val="en-AU"/>
        </w:rPr>
      </w:pPr>
      <w:r w:rsidRPr="002368FF">
        <w:rPr>
          <w:rFonts w:ascii="Avenir LT 45 Book" w:hAnsi="Avenir LT 45 Book" w:cs="Arial"/>
          <w:lang w:val="en-AU"/>
        </w:rPr>
        <w:t xml:space="preserve">GRCI </w:t>
      </w:r>
      <w:r w:rsidR="009F597A">
        <w:rPr>
          <w:rFonts w:ascii="Avenir LT 45 Book" w:hAnsi="Avenir LT 45 Book" w:cs="Arial"/>
          <w:lang w:val="en-AU"/>
        </w:rPr>
        <w:t>has gone out to members who may potentially be affected by the proposed changes, seeking their input to help Treasury work toward a practical solution that will achieve the intended regulatory outcomes</w:t>
      </w:r>
      <w:r w:rsidR="00F72272" w:rsidRPr="002368FF">
        <w:rPr>
          <w:rFonts w:ascii="Avenir LT 45 Book" w:hAnsi="Avenir LT 45 Book" w:cs="Arial"/>
          <w:lang w:val="en-AU"/>
        </w:rPr>
        <w:t>.</w:t>
      </w:r>
    </w:p>
    <w:p w:rsidR="002368FF" w:rsidRDefault="002368FF" w:rsidP="002368FF">
      <w:pPr>
        <w:spacing w:after="120"/>
        <w:rPr>
          <w:rFonts w:ascii="Avenir LT 45 Book" w:hAnsi="Avenir LT 45 Book" w:cs="Arial"/>
          <w:lang w:val="en-AU"/>
        </w:rPr>
      </w:pPr>
      <w:r w:rsidRPr="002368FF">
        <w:rPr>
          <w:rFonts w:ascii="Avenir LT 45 Book" w:hAnsi="Avenir LT 45 Book" w:cs="Arial"/>
          <w:lang w:val="en-AU"/>
        </w:rPr>
        <w:t>We respectfully submit the following detailed feedback on the proposals:</w:t>
      </w:r>
    </w:p>
    <w:p w:rsidR="00294DB2" w:rsidRPr="002368FF" w:rsidRDefault="00294DB2" w:rsidP="002368FF">
      <w:pPr>
        <w:spacing w:after="120"/>
        <w:rPr>
          <w:rFonts w:ascii="Avenir LT 45 Book" w:hAnsi="Avenir LT 45 Book" w:cs="Arial"/>
          <w:lang w:val="en-AU"/>
        </w:rPr>
      </w:pPr>
    </w:p>
    <w:p w:rsidR="00294DB2" w:rsidRPr="00AE5931" w:rsidRDefault="00294DB2" w:rsidP="00294DB2">
      <w:pPr>
        <w:pStyle w:val="Heading1"/>
        <w:spacing w:after="240" w:line="240" w:lineRule="exact"/>
        <w:rPr>
          <w:rFonts w:ascii="Avenir LT 45 Book" w:eastAsia="Times New Roman" w:hAnsi="Avenir LT 45 Book" w:cs="Arial"/>
          <w:bCs w:val="0"/>
          <w:i/>
          <w:caps w:val="0"/>
          <w:color w:val="auto"/>
          <w:sz w:val="20"/>
          <w:szCs w:val="20"/>
          <w:lang w:val="en-AU"/>
        </w:rPr>
      </w:pPr>
      <w:r w:rsidRPr="00AE5931">
        <w:rPr>
          <w:rFonts w:ascii="Avenir LT 45 Book" w:eastAsia="Times New Roman" w:hAnsi="Avenir LT 45 Book" w:cs="Arial"/>
          <w:bCs w:val="0"/>
          <w:i/>
          <w:caps w:val="0"/>
          <w:color w:val="auto"/>
          <w:sz w:val="20"/>
          <w:szCs w:val="20"/>
          <w:lang w:val="en-AU"/>
        </w:rPr>
        <w:t>Under the Bill, APRA will be given new rule making powers which apply to non-ADI lenders. These new powers will allow APRA to make rules relating to the lending activities of non-ADI lenders, where APRA has identified material risks of instability in the Australian financial system.</w:t>
      </w:r>
    </w:p>
    <w:p w:rsidR="00AE5931" w:rsidRPr="00AE5931" w:rsidRDefault="00AE5931" w:rsidP="00387B03">
      <w:pPr>
        <w:spacing w:after="240"/>
        <w:rPr>
          <w:rFonts w:ascii="Avenir LT 45 Book" w:hAnsi="Avenir LT 45 Book" w:cs="Arial"/>
          <w:lang w:val="en-AU"/>
        </w:rPr>
      </w:pPr>
      <w:r>
        <w:rPr>
          <w:rFonts w:ascii="Avenir LT 45 Book" w:hAnsi="Avenir LT 45 Book" w:cs="Arial"/>
          <w:lang w:val="en-AU"/>
        </w:rPr>
        <w:t xml:space="preserve">Our members understand the motivation for this change. </w:t>
      </w:r>
      <w:r w:rsidRPr="00AE5931">
        <w:rPr>
          <w:rFonts w:ascii="Avenir LT 45 Book" w:hAnsi="Avenir LT 45 Book" w:cs="Arial"/>
          <w:lang w:val="en-AU"/>
        </w:rPr>
        <w:t>In theory this makes sense, particularly in light of the perceived 'housing bubble'</w:t>
      </w:r>
      <w:r>
        <w:rPr>
          <w:rFonts w:ascii="Avenir LT 45 Book" w:hAnsi="Avenir LT 45 Book" w:cs="Arial"/>
          <w:lang w:val="en-AU"/>
        </w:rPr>
        <w:t xml:space="preserve"> and the potential risks to the market </w:t>
      </w:r>
      <w:r w:rsidRPr="00AE5931">
        <w:rPr>
          <w:rFonts w:ascii="Avenir LT 45 Book" w:hAnsi="Avenir LT 45 Book" w:cs="Arial"/>
          <w:lang w:val="en-AU"/>
        </w:rPr>
        <w:t>as there are now</w:t>
      </w:r>
      <w:r>
        <w:rPr>
          <w:rFonts w:ascii="Avenir LT 45 Book" w:hAnsi="Avenir LT 45 Book" w:cs="Arial"/>
          <w:lang w:val="en-AU"/>
        </w:rPr>
        <w:t xml:space="preserve"> a significant number of non-ADI</w:t>
      </w:r>
      <w:r w:rsidRPr="00AE5931">
        <w:rPr>
          <w:rFonts w:ascii="Avenir LT 45 Book" w:hAnsi="Avenir LT 45 Book" w:cs="Arial"/>
          <w:lang w:val="en-AU"/>
        </w:rPr>
        <w:t xml:space="preserve"> lenders either in their own right o</w:t>
      </w:r>
      <w:r>
        <w:rPr>
          <w:rFonts w:ascii="Avenir LT 45 Book" w:hAnsi="Avenir LT 45 Book" w:cs="Arial"/>
          <w:lang w:val="en-AU"/>
        </w:rPr>
        <w:t>r on white label lending for ADIs</w:t>
      </w:r>
      <w:r w:rsidRPr="00AE5931">
        <w:rPr>
          <w:rFonts w:ascii="Avenir LT 45 Book" w:hAnsi="Avenir LT 45 Book" w:cs="Arial"/>
          <w:lang w:val="en-AU"/>
        </w:rPr>
        <w:t>. In practice</w:t>
      </w:r>
      <w:r>
        <w:rPr>
          <w:rFonts w:ascii="Avenir LT 45 Book" w:hAnsi="Avenir LT 45 Book" w:cs="Arial"/>
          <w:lang w:val="en-AU"/>
        </w:rPr>
        <w:t>, though</w:t>
      </w:r>
      <w:r w:rsidRPr="00AE5931">
        <w:rPr>
          <w:rFonts w:ascii="Avenir LT 45 Book" w:hAnsi="Avenir LT 45 Book" w:cs="Arial"/>
          <w:lang w:val="en-AU"/>
        </w:rPr>
        <w:t xml:space="preserve">, </w:t>
      </w:r>
      <w:r w:rsidR="00E07DEB">
        <w:rPr>
          <w:rFonts w:ascii="Avenir LT 45 Book" w:hAnsi="Avenir LT 45 Book" w:cs="Arial"/>
          <w:lang w:val="en-AU"/>
        </w:rPr>
        <w:t xml:space="preserve">they suggest that </w:t>
      </w:r>
      <w:r w:rsidRPr="00AE5931">
        <w:rPr>
          <w:rFonts w:ascii="Avenir LT 45 Book" w:hAnsi="Avenir LT 45 Book" w:cs="Arial"/>
          <w:lang w:val="en-AU"/>
        </w:rPr>
        <w:t>APRA will need to clearly identify and articulate the material threat to financial stability before making any rules.</w:t>
      </w:r>
    </w:p>
    <w:p w:rsidR="00E07DEB" w:rsidRDefault="00E07DEB" w:rsidP="00E07DEB">
      <w:pPr>
        <w:pStyle w:val="Heading1"/>
        <w:spacing w:after="240" w:line="240" w:lineRule="exact"/>
        <w:rPr>
          <w:rFonts w:ascii="Helvetica" w:hAnsi="Helvetica" w:cs="Helvetica"/>
          <w:b w:val="0"/>
          <w:bCs w:val="0"/>
          <w:color w:val="333E48"/>
          <w:sz w:val="32"/>
          <w:szCs w:val="32"/>
        </w:rPr>
      </w:pPr>
      <w:r w:rsidRPr="00E07DEB">
        <w:rPr>
          <w:rFonts w:ascii="Avenir LT 45 Book" w:eastAsia="Times New Roman" w:hAnsi="Avenir LT 45 Book" w:cs="Arial"/>
          <w:bCs w:val="0"/>
          <w:i/>
          <w:caps w:val="0"/>
          <w:color w:val="auto"/>
          <w:sz w:val="20"/>
          <w:szCs w:val="20"/>
          <w:lang w:val="en-AU"/>
        </w:rPr>
        <w:lastRenderedPageBreak/>
        <w:t>APRA’s ability to collect data from non-ADI lenders will be improved by an alteration of the definition of registrable corporations in FSCODA. The new definition will seek to capture entities who engage in material lending activity, irrespective of whether it is their primary business</w:t>
      </w:r>
      <w:r>
        <w:rPr>
          <w:rFonts w:ascii="Helvetica" w:hAnsi="Helvetica" w:cs="Helvetica"/>
          <w:b w:val="0"/>
          <w:bCs w:val="0"/>
          <w:color w:val="333E48"/>
          <w:sz w:val="32"/>
          <w:szCs w:val="32"/>
        </w:rPr>
        <w:t>.</w:t>
      </w:r>
    </w:p>
    <w:p w:rsidR="004623BE" w:rsidRPr="00AE5931" w:rsidRDefault="004623BE" w:rsidP="00387B03">
      <w:pPr>
        <w:spacing w:after="240"/>
        <w:rPr>
          <w:rFonts w:ascii="Avenir LT 45 Book" w:hAnsi="Avenir LT 45 Book" w:cs="Arial"/>
          <w:lang w:val="en-AU"/>
        </w:rPr>
      </w:pPr>
      <w:r>
        <w:rPr>
          <w:rFonts w:ascii="Avenir LT 45 Book" w:hAnsi="Avenir LT 45 Book" w:cs="Arial"/>
          <w:lang w:val="en-AU"/>
        </w:rPr>
        <w:t xml:space="preserve">Again, our members think this is a sensible action and </w:t>
      </w:r>
      <w:r w:rsidRPr="004623BE">
        <w:rPr>
          <w:rFonts w:ascii="Avenir LT 45 Book" w:hAnsi="Avenir LT 45 Book" w:cs="Arial"/>
          <w:lang w:val="en-AU"/>
        </w:rPr>
        <w:t>will provide more comprehensive data on the industry</w:t>
      </w:r>
      <w:r>
        <w:rPr>
          <w:rFonts w:ascii="Avenir LT 45 Book" w:hAnsi="Avenir LT 45 Book" w:cs="Arial"/>
          <w:lang w:val="en-AU"/>
        </w:rPr>
        <w:t xml:space="preserve"> that will enable better assessment of the risk to the financial environment, however t</w:t>
      </w:r>
      <w:r w:rsidRPr="004623BE">
        <w:rPr>
          <w:rFonts w:ascii="Avenir LT 45 Book" w:hAnsi="Avenir LT 45 Book" w:cs="Arial"/>
          <w:lang w:val="en-AU"/>
        </w:rPr>
        <w:t>he alteration to FSCODA must be framed in such a way that APRA may only collect data on the part of the business that is engaged in lending.</w:t>
      </w:r>
      <w:r>
        <w:rPr>
          <w:rFonts w:ascii="Avenir LT 45 Book" w:hAnsi="Avenir LT 45 Book" w:cs="Arial"/>
          <w:lang w:val="en-AU"/>
        </w:rPr>
        <w:t xml:space="preserve"> </w:t>
      </w:r>
    </w:p>
    <w:p w:rsidR="004623BE" w:rsidRPr="004623BE" w:rsidRDefault="004623BE" w:rsidP="004623BE">
      <w:pPr>
        <w:pStyle w:val="Heading1"/>
        <w:spacing w:after="240" w:line="240" w:lineRule="exact"/>
        <w:rPr>
          <w:rFonts w:ascii="Avenir LT 45 Book" w:eastAsia="Times New Roman" w:hAnsi="Avenir LT 45 Book" w:cs="Arial"/>
          <w:bCs w:val="0"/>
          <w:i/>
          <w:caps w:val="0"/>
          <w:color w:val="auto"/>
          <w:sz w:val="20"/>
          <w:szCs w:val="20"/>
          <w:lang w:val="en-AU"/>
        </w:rPr>
      </w:pPr>
      <w:r w:rsidRPr="004623BE">
        <w:rPr>
          <w:rFonts w:ascii="Avenir LT 45 Book" w:eastAsia="Times New Roman" w:hAnsi="Avenir LT 45 Book" w:cs="Arial"/>
          <w:bCs w:val="0"/>
          <w:i/>
          <w:caps w:val="0"/>
          <w:color w:val="auto"/>
          <w:sz w:val="20"/>
          <w:szCs w:val="20"/>
          <w:lang w:val="en-AU"/>
        </w:rPr>
        <w:t>It is important to note that these powers do not equate to ongoing regulation by APRA of non-ADI lenders. APRA will not prudentially regulate and supervise non-ADI lenders as it does ADIs.</w:t>
      </w:r>
    </w:p>
    <w:p w:rsidR="002368FF" w:rsidRDefault="004623BE" w:rsidP="00387B03">
      <w:pPr>
        <w:spacing w:after="240"/>
        <w:rPr>
          <w:rFonts w:ascii="Avenir LT 45 Book" w:hAnsi="Avenir LT 45 Book" w:cs="Arial"/>
          <w:lang w:val="en-AU"/>
        </w:rPr>
      </w:pPr>
      <w:r>
        <w:rPr>
          <w:rFonts w:ascii="Avenir LT 45 Book" w:hAnsi="Avenir LT 45 Book" w:cs="Arial"/>
          <w:lang w:val="en-AU"/>
        </w:rPr>
        <w:t>This is appreciated by members, otherwise the burden upon non-ADI lenders might be onerous, however members also suggest that the data obtained may result in reconsidering this resolution in the longer term.</w:t>
      </w:r>
    </w:p>
    <w:p w:rsidR="004B49E2" w:rsidRPr="004B49E2" w:rsidRDefault="004B49E2" w:rsidP="004B49E2">
      <w:pPr>
        <w:pStyle w:val="Heading1"/>
        <w:spacing w:after="240" w:line="240" w:lineRule="exact"/>
        <w:rPr>
          <w:rFonts w:ascii="Avenir LT 45 Book" w:eastAsia="Times New Roman" w:hAnsi="Avenir LT 45 Book" w:cs="Arial"/>
          <w:bCs w:val="0"/>
          <w:i/>
          <w:caps w:val="0"/>
          <w:color w:val="auto"/>
          <w:sz w:val="20"/>
          <w:szCs w:val="20"/>
          <w:lang w:val="en-AU"/>
        </w:rPr>
      </w:pPr>
      <w:r w:rsidRPr="004B49E2">
        <w:rPr>
          <w:rFonts w:ascii="Avenir LT 45 Book" w:eastAsia="Times New Roman" w:hAnsi="Avenir LT 45 Book" w:cs="Arial"/>
          <w:bCs w:val="0"/>
          <w:i/>
          <w:caps w:val="0"/>
          <w:color w:val="auto"/>
          <w:sz w:val="20"/>
          <w:szCs w:val="20"/>
          <w:lang w:val="en-AU"/>
        </w:rPr>
        <w:t>Schedule 1 creates new definitions in the Banking Act to clarify the application of the provisions relating to non-ADI lenders.These changes will ensure that APRA is able to make rules relating to the lending activities of non-ADI lenders. In order to ensure that the activities of non-ADI lenders are appropriately captured under this new regime, further definitions have been added to the Banking Act including ‘lending finance’. This definition makes it clear that conduct of a non-ADI lender relating to lending finance including the lending of money, with or without security or any other activities which either directly or indirectly result in the funding or originating of loans or other financing, which has the ability to cause or promote instability in the financial system, will be captured by this regime. These changes give APRA authority to make rules concerning the lending activities of non-ADI lenders where those activities may materially affect financial stability.  [Item 1, subsection 5(1) of the Banking Act]</w:t>
      </w:r>
    </w:p>
    <w:p w:rsidR="004B49E2" w:rsidRDefault="004B49E2" w:rsidP="00387B03">
      <w:pPr>
        <w:spacing w:after="240"/>
        <w:rPr>
          <w:rFonts w:ascii="Avenir LT 45 Book" w:hAnsi="Avenir LT 45 Book" w:cs="Arial"/>
          <w:lang w:val="en-AU"/>
        </w:rPr>
      </w:pPr>
      <w:r>
        <w:rPr>
          <w:rFonts w:ascii="Avenir LT 45 Book" w:hAnsi="Avenir LT 45 Book" w:cs="Arial"/>
          <w:lang w:val="en-AU"/>
        </w:rPr>
        <w:t>Feedback from members indicates that they would like to have disclosed early, what enforcement powers APRA will have at its disposal for these rules and non-ADI lenders.</w:t>
      </w:r>
    </w:p>
    <w:p w:rsidR="004B49E2" w:rsidRPr="004B49E2" w:rsidRDefault="004B49E2" w:rsidP="004B49E2">
      <w:pPr>
        <w:pStyle w:val="Heading1"/>
        <w:spacing w:after="240" w:line="240" w:lineRule="exact"/>
        <w:rPr>
          <w:rFonts w:ascii="Avenir LT 45 Book" w:eastAsia="Times New Roman" w:hAnsi="Avenir LT 45 Book" w:cs="Arial"/>
          <w:bCs w:val="0"/>
          <w:i/>
          <w:caps w:val="0"/>
          <w:color w:val="auto"/>
          <w:sz w:val="20"/>
          <w:szCs w:val="20"/>
          <w:lang w:val="en-AU"/>
        </w:rPr>
      </w:pPr>
      <w:r w:rsidRPr="004B49E2">
        <w:rPr>
          <w:rFonts w:ascii="Avenir LT 45 Book" w:eastAsia="Times New Roman" w:hAnsi="Avenir LT 45 Book" w:cs="Arial"/>
          <w:bCs w:val="0"/>
          <w:i/>
          <w:caps w:val="0"/>
          <w:color w:val="auto"/>
          <w:sz w:val="20"/>
          <w:szCs w:val="20"/>
          <w:lang w:val="en-AU"/>
        </w:rPr>
        <w:t>The rule making powers for non-ADI lenders include the ability to impose different requirements to be complied with by all non-ADI lenders or by a specified class of non-ADI lenders or by one or more specified non-ADI lenders.</w:t>
      </w:r>
    </w:p>
    <w:p w:rsidR="004B49E2" w:rsidRDefault="004B49E2" w:rsidP="002368FF">
      <w:pPr>
        <w:spacing w:after="120"/>
        <w:rPr>
          <w:rFonts w:ascii="Avenir LT 45 Book" w:hAnsi="Avenir LT 45 Book" w:cs="Arial"/>
          <w:lang w:val="en-AU"/>
        </w:rPr>
      </w:pPr>
      <w:r>
        <w:rPr>
          <w:rFonts w:ascii="Avenir LT 45 Book" w:hAnsi="Avenir LT 45 Book" w:cs="Arial"/>
          <w:lang w:val="en-AU"/>
        </w:rPr>
        <w:t>Members had a number of questions and suggestions in regard to this amendment. The queried how APRA would know if non-ADI lenders are responding. They also noted that t</w:t>
      </w:r>
      <w:r w:rsidRPr="004B49E2">
        <w:rPr>
          <w:rFonts w:ascii="Avenir LT 45 Book" w:hAnsi="Avenir LT 45 Book" w:cs="Arial"/>
          <w:lang w:val="en-AU"/>
        </w:rPr>
        <w:t>hreats to financial stability tend to occur on a broad basis. The expectation is that any rules made to address a threat will therefore be applied on a broad basis. APRA will need to clearly identify the threat posed by particular non-ADI lenders if it makes rules in respect of a class of lenders or a specified lender.</w:t>
      </w:r>
    </w:p>
    <w:p w:rsidR="004B49E2" w:rsidRDefault="004B49E2" w:rsidP="00387B03">
      <w:pPr>
        <w:spacing w:after="240"/>
        <w:rPr>
          <w:rFonts w:ascii="Avenir LT 45 Book" w:hAnsi="Avenir LT 45 Book" w:cs="Arial"/>
          <w:lang w:val="en-AU"/>
        </w:rPr>
      </w:pPr>
      <w:r>
        <w:rPr>
          <w:rFonts w:ascii="Avenir LT 45 Book" w:hAnsi="Avenir LT 45 Book" w:cs="Arial"/>
          <w:lang w:val="en-AU"/>
        </w:rPr>
        <w:t>Members also noted that this would need to be carefully monitored and applied, so as not to have the unintended consequence of being discriminatory or reducing competition.</w:t>
      </w:r>
    </w:p>
    <w:p w:rsidR="004B49E2" w:rsidRPr="004B49E2" w:rsidRDefault="004B49E2"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4B49E2">
        <w:rPr>
          <w:rFonts w:ascii="Avenir LT 45 Book" w:eastAsia="Times New Roman" w:hAnsi="Avenir LT 45 Book" w:cs="Arial"/>
          <w:bCs w:val="0"/>
          <w:i/>
          <w:caps w:val="0"/>
          <w:color w:val="auto"/>
          <w:sz w:val="20"/>
          <w:szCs w:val="20"/>
          <w:lang w:val="en-AU"/>
        </w:rPr>
        <w:t>Rules made by APRA under this provision may be varied or revoked from time to time, as determined by APRA and must be made in writing.Where rules apply to a class or classes of non-ADI lenders, the rules will be legislative instruments.  [Item 2, Division 2, subsection 38C(1)and subsection 38C(12) of the Banking Act]</w:t>
      </w:r>
    </w:p>
    <w:p w:rsidR="004B49E2" w:rsidRDefault="004B49E2" w:rsidP="002368FF">
      <w:pPr>
        <w:spacing w:after="120"/>
        <w:rPr>
          <w:rFonts w:ascii="Avenir LT 45 Book" w:hAnsi="Avenir LT 45 Book" w:cs="Arial"/>
          <w:lang w:val="en-AU"/>
        </w:rPr>
      </w:pPr>
      <w:r>
        <w:rPr>
          <w:rFonts w:ascii="Avenir LT 45 Book" w:hAnsi="Avenir LT 45 Book" w:cs="Arial"/>
          <w:lang w:val="en-AU"/>
        </w:rPr>
        <w:t xml:space="preserve">Members noted that while this will give some protection to the non-ADI lenders from any kind of knee-jerk reactions by APRA but again, careful consideration by APRA will be necessary to ensure that non-ADIs who were not problematic, could continue lending. </w:t>
      </w:r>
    </w:p>
    <w:p w:rsidR="004B49E2" w:rsidRDefault="004B49E2" w:rsidP="00387B03">
      <w:pPr>
        <w:spacing w:after="240"/>
        <w:rPr>
          <w:rFonts w:ascii="Avenir LT 45 Book" w:hAnsi="Avenir LT 45 Book" w:cs="Arial"/>
          <w:lang w:val="en-AU"/>
        </w:rPr>
      </w:pPr>
      <w:r>
        <w:rPr>
          <w:rFonts w:ascii="Avenir LT 45 Book" w:hAnsi="Avenir LT 45 Book" w:cs="Arial"/>
          <w:lang w:val="en-AU"/>
        </w:rPr>
        <w:t>It was also highlighted that with this flexibility and power for APRA also comes a responsibility to ensure that changes are well and widely communicated and this market is educated and kept informed of their current requirements.</w:t>
      </w:r>
    </w:p>
    <w:p w:rsidR="00F93D34" w:rsidRPr="00F93D34" w:rsidRDefault="00F93D34"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F93D34">
        <w:rPr>
          <w:rFonts w:ascii="Avenir LT 45 Book" w:eastAsia="Times New Roman" w:hAnsi="Avenir LT 45 Book" w:cs="Arial"/>
          <w:bCs w:val="0"/>
          <w:i/>
          <w:caps w:val="0"/>
          <w:color w:val="auto"/>
          <w:sz w:val="20"/>
          <w:szCs w:val="20"/>
          <w:lang w:val="en-AU"/>
        </w:rPr>
        <w:t>APRA’s new rule making powers for non-ADI lenders are not intended to relate to lending matters which are properly the responsibility of the Australian Securities and Investments Commission (ASIC), such as responsible lending obligations. APRA is required to consult with ASIC before making any non-ADI lender rules, to ensure that any such rules are targeted appropriately, cognisant of any interaction with the various regulatory regimes for which ASIC is responsible... It will ensure that the work of APRA and ASIC in this area is consistent. [Item 2, subsection 38C(9) of the Banking Act]</w:t>
      </w:r>
    </w:p>
    <w:p w:rsidR="00F93D34" w:rsidRDefault="00F93D34" w:rsidP="00387B03">
      <w:pPr>
        <w:spacing w:after="240"/>
        <w:rPr>
          <w:rFonts w:ascii="Avenir LT 45 Book" w:hAnsi="Avenir LT 45 Book" w:cs="Arial"/>
          <w:lang w:val="en-AU"/>
        </w:rPr>
      </w:pPr>
      <w:r>
        <w:rPr>
          <w:rFonts w:ascii="Avenir LT 45 Book" w:hAnsi="Avenir LT 45 Book" w:cs="Arial"/>
          <w:lang w:val="en-AU"/>
        </w:rPr>
        <w:t>Members agreed that this is appropriate and hope that the dialogue between regulators can be maintained and supported.</w:t>
      </w:r>
    </w:p>
    <w:p w:rsidR="005A06B1" w:rsidRPr="005A06B1" w:rsidRDefault="005A06B1"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5A06B1">
        <w:rPr>
          <w:rFonts w:ascii="Avenir LT 45 Book" w:eastAsia="Times New Roman" w:hAnsi="Avenir LT 45 Book" w:cs="Arial"/>
          <w:bCs w:val="0"/>
          <w:i/>
          <w:caps w:val="0"/>
          <w:color w:val="auto"/>
          <w:sz w:val="20"/>
          <w:szCs w:val="20"/>
          <w:lang w:val="en-AU"/>
        </w:rPr>
        <w:t>Schedule 2 provides consequential amendments to the FSCODA to ensure that it applies to non-ADI lenders, as regulated in new Part IIB of the Banking Act. These amendments include updates to the definition of registrable corporations which widens the class of corporations which must be registered under the FSCODA... which will enable collection of information relevant to the exercise of APRA’s new powers under Part IIB of the Banking Act. [Items 1 and 2, subsection 7(1) and paragraphs 7(1)(a), (b) and (c) of the Financial Sector (Collection of Data) Act 2001]</w:t>
      </w:r>
    </w:p>
    <w:p w:rsidR="002368FF" w:rsidRPr="002368FF" w:rsidRDefault="005A06B1" w:rsidP="00387B03">
      <w:pPr>
        <w:spacing w:after="240"/>
        <w:rPr>
          <w:rFonts w:ascii="Avenir LT 45 Book" w:hAnsi="Avenir LT 45 Book" w:cs="Arial"/>
          <w:lang w:val="en-AU"/>
        </w:rPr>
      </w:pPr>
      <w:r>
        <w:rPr>
          <w:rFonts w:ascii="Avenir LT 45 Book" w:hAnsi="Avenir LT 45 Book" w:cs="Arial"/>
          <w:lang w:val="en-AU"/>
        </w:rPr>
        <w:t>Members support this change.</w:t>
      </w:r>
    </w:p>
    <w:p w:rsidR="005A06B1" w:rsidRPr="005A06B1" w:rsidRDefault="005A06B1"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5A06B1">
        <w:rPr>
          <w:rFonts w:ascii="Avenir LT 45 Book" w:eastAsia="Times New Roman" w:hAnsi="Avenir LT 45 Book" w:cs="Arial"/>
          <w:bCs w:val="0"/>
          <w:i/>
          <w:caps w:val="0"/>
          <w:color w:val="auto"/>
          <w:sz w:val="20"/>
          <w:szCs w:val="20"/>
          <w:lang w:val="en-AU"/>
        </w:rPr>
        <w:t>In addition, APRA will have a power to make a determination in writing to specify a corporation, or a class of corporations, for the purposes of the FSCODA. Such a determination will enable any corporations which are not captured by the widening of the class of registrable corporations in section 7 of the FSCODA to be specified by APRA.</w:t>
      </w:r>
    </w:p>
    <w:p w:rsidR="005A06B1" w:rsidRDefault="005A06B1" w:rsidP="00387B03">
      <w:pPr>
        <w:spacing w:after="240"/>
        <w:rPr>
          <w:rFonts w:ascii="Helvetica" w:hAnsi="Helvetica" w:cs="Helvetica"/>
          <w:color w:val="333E48"/>
          <w:sz w:val="16"/>
          <w:szCs w:val="16"/>
          <w:shd w:val="clear" w:color="auto" w:fill="F4F5F5"/>
        </w:rPr>
      </w:pPr>
      <w:r>
        <w:rPr>
          <w:rFonts w:ascii="Avenir LT 45 Book" w:hAnsi="Avenir LT 45 Book" w:cs="Arial"/>
          <w:lang w:val="en-AU"/>
        </w:rPr>
        <w:t>Whilst members thought that this would provide v</w:t>
      </w:r>
      <w:r w:rsidRPr="005A06B1">
        <w:rPr>
          <w:rFonts w:ascii="Avenir LT 45 Book" w:hAnsi="Avenir LT 45 Book" w:cs="Arial"/>
          <w:lang w:val="en-AU"/>
        </w:rPr>
        <w:t xml:space="preserve">ery good flexibility to allow for changes and new economic and financial structures as part of the economy, they emphasized that due process is required here to ensure APRA does not overreach with this power. APRA will need to set out the reasons for its determination, specifying the perceived protection to financial stability, and there must be a mechanism for the specified corporation to challenge the determination. </w:t>
      </w:r>
      <w:r>
        <w:rPr>
          <w:rFonts w:ascii="Avenir LT 45 Book" w:hAnsi="Avenir LT 45 Book" w:cs="Arial"/>
          <w:lang w:val="en-AU"/>
        </w:rPr>
        <w:t>Treasury should give consideration as to w</w:t>
      </w:r>
      <w:r w:rsidRPr="005A06B1">
        <w:rPr>
          <w:rFonts w:ascii="Avenir LT 45 Book" w:hAnsi="Avenir LT 45 Book" w:cs="Arial"/>
          <w:lang w:val="en-AU"/>
        </w:rPr>
        <w:t>hich body will oversee this process</w:t>
      </w:r>
      <w:r>
        <w:rPr>
          <w:rFonts w:ascii="Avenir LT 45 Book" w:hAnsi="Avenir LT 45 Book" w:cs="Arial"/>
          <w:lang w:val="en-AU"/>
        </w:rPr>
        <w:t>.</w:t>
      </w:r>
    </w:p>
    <w:p w:rsidR="005A06B1" w:rsidRDefault="005A06B1"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5A06B1">
        <w:rPr>
          <w:rFonts w:ascii="Avenir LT 45 Book" w:eastAsia="Times New Roman" w:hAnsi="Avenir LT 45 Book" w:cs="Arial"/>
          <w:bCs w:val="0"/>
          <w:i/>
          <w:caps w:val="0"/>
          <w:color w:val="auto"/>
          <w:sz w:val="20"/>
          <w:szCs w:val="20"/>
          <w:lang w:val="en-AU"/>
        </w:rPr>
        <w:t>Certain classes of corporation are excluded from the definition of registrable corporations under the FSCODA. As a result of these changes to the Banking Act and FSCODA, a further class of entities will be specifically excluded from being characterised as registrable corporations.In particular, new subsection 7(2A) will clarify that where a corporation has assets, consisting of debts due as a result of the provision of finance, and principal amounts outstanding on loans or other financing, which do not exceed $50,000,000 or any greater or lesser amount as prescribed by regulations, such a corporation is not a registrable corporation for the purposes of the FSCODA.  This provision is designed to ensure that corporations with a stock of debt on their books, and a flow of debt through their books, which does not exceed $50,000,000, will not be registrable corporations for the purposes of the FSCODA. [Item 6, subsection 7(2A) of the Financial Sector (Collection of Data) Act 2001]</w:t>
      </w:r>
    </w:p>
    <w:p w:rsidR="007D5B51" w:rsidRDefault="005A06B1" w:rsidP="00387B03">
      <w:pPr>
        <w:spacing w:after="240"/>
        <w:rPr>
          <w:rFonts w:ascii="Avenir LT 45 Book" w:hAnsi="Avenir LT 45 Book" w:cs="Arial"/>
          <w:lang w:val="en-AU"/>
        </w:rPr>
      </w:pPr>
      <w:r>
        <w:rPr>
          <w:rFonts w:ascii="Avenir LT 45 Book" w:hAnsi="Avenir LT 45 Book" w:cs="Arial"/>
          <w:lang w:val="en-AU"/>
        </w:rPr>
        <w:t xml:space="preserve">Members were divided in regard to this proposed change. Whilst some thought it reasonable, others were concerned that while they appreciate the consideration given to not overburdening smaller entities, they felt that the aggregation </w:t>
      </w:r>
      <w:r w:rsidR="007D5B51">
        <w:rPr>
          <w:rFonts w:ascii="Avenir LT 45 Book" w:hAnsi="Avenir LT 45 Book" w:cs="Arial"/>
          <w:lang w:val="en-AU"/>
        </w:rPr>
        <w:t>of figures may be material.</w:t>
      </w:r>
    </w:p>
    <w:p w:rsidR="007D5B51" w:rsidRPr="007D5B51" w:rsidRDefault="007D5B51"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7D5B51">
        <w:rPr>
          <w:rFonts w:ascii="Avenir LT 45 Book" w:eastAsia="Times New Roman" w:hAnsi="Avenir LT 45 Book" w:cs="Arial"/>
          <w:bCs w:val="0"/>
          <w:i/>
          <w:caps w:val="0"/>
          <w:color w:val="auto"/>
          <w:sz w:val="20"/>
          <w:szCs w:val="20"/>
          <w:lang w:val="en-AU"/>
        </w:rPr>
        <w:t>Section 31 of the FSCODA will be amended to provide that a determination by APRA not to exempt an organisation taken under paragraphs 7(1A)(a) and 7(2B)(a) (which are not legislative instruments) are reviewable decisions. [Item 8, section 31 of the Financial Sector (Collection of Data) Act 2001]</w:t>
      </w:r>
    </w:p>
    <w:p w:rsidR="007D5B51" w:rsidRDefault="007D5B51" w:rsidP="00387B03">
      <w:pPr>
        <w:spacing w:after="240"/>
        <w:rPr>
          <w:rFonts w:ascii="Avenir LT 45 Book" w:hAnsi="Avenir LT 45 Book" w:cs="Arial"/>
          <w:lang w:val="en-AU"/>
        </w:rPr>
      </w:pPr>
      <w:r>
        <w:rPr>
          <w:rFonts w:ascii="Avenir LT 45 Book" w:hAnsi="Avenir LT 45 Book" w:cs="Arial"/>
          <w:lang w:val="en-AU"/>
        </w:rPr>
        <w:t>Members appreciated the discretion this proposal offers.</w:t>
      </w:r>
    </w:p>
    <w:p w:rsidR="007D5B51" w:rsidRPr="007D5B51" w:rsidRDefault="007D5B51" w:rsidP="00387B03">
      <w:pPr>
        <w:pStyle w:val="Heading1"/>
        <w:spacing w:after="240" w:line="240" w:lineRule="exact"/>
        <w:rPr>
          <w:rFonts w:ascii="Avenir LT 45 Book" w:eastAsia="Times New Roman" w:hAnsi="Avenir LT 45 Book" w:cs="Arial"/>
          <w:bCs w:val="0"/>
          <w:i/>
          <w:caps w:val="0"/>
          <w:color w:val="auto"/>
          <w:sz w:val="20"/>
          <w:szCs w:val="20"/>
          <w:lang w:val="en-AU"/>
        </w:rPr>
      </w:pPr>
      <w:r w:rsidRPr="007D5B51">
        <w:rPr>
          <w:rFonts w:ascii="Avenir LT 45 Book" w:eastAsia="Times New Roman" w:hAnsi="Avenir LT 45 Book" w:cs="Arial"/>
          <w:bCs w:val="0"/>
          <w:i/>
          <w:caps w:val="0"/>
          <w:color w:val="auto"/>
          <w:sz w:val="20"/>
          <w:szCs w:val="20"/>
          <w:lang w:val="en-AU"/>
        </w:rPr>
        <w:t>Section 32 of the FSCODA will be updated to reflect the definition of provision of finance to clarify that it includes the carrying out of activities, whether directly or indirectly, that result in the funding or originating of loans or other financing. This addition ensures the internal consistency within the FSCODA and carries through the concept of provision of finance which is central to the definition of non-ADI. Additionally, it is intended to capture corporations that provide finance indirectly, such as through interposed corporations or trusts. [Item 9, paragraph 32(1)(aa) of the Financial Sector (Collection of Data) Act 2001]</w:t>
      </w:r>
    </w:p>
    <w:p w:rsidR="002368FF" w:rsidRDefault="007D5B51" w:rsidP="00387B03">
      <w:pPr>
        <w:spacing w:after="240"/>
        <w:rPr>
          <w:rFonts w:ascii="Avenir LT 45 Book" w:hAnsi="Avenir LT 45 Book" w:cs="Arial"/>
          <w:lang w:val="en-AU"/>
        </w:rPr>
      </w:pPr>
      <w:r>
        <w:rPr>
          <w:rFonts w:ascii="Avenir LT 45 Book" w:hAnsi="Avenir LT 45 Book" w:cs="Arial"/>
          <w:lang w:val="en-AU"/>
        </w:rPr>
        <w:t>Members were supportive of the suggested amendment.</w:t>
      </w:r>
    </w:p>
    <w:p w:rsidR="00522E20" w:rsidRPr="00522E20" w:rsidRDefault="00522E20" w:rsidP="00522E20">
      <w:pPr>
        <w:pStyle w:val="Heading1"/>
        <w:spacing w:after="240" w:line="240" w:lineRule="exact"/>
        <w:rPr>
          <w:rFonts w:ascii="Avenir LT 45 Book" w:eastAsia="Times New Roman" w:hAnsi="Avenir LT 45 Book" w:cs="Arial"/>
          <w:bCs w:val="0"/>
          <w:i/>
          <w:caps w:val="0"/>
          <w:color w:val="auto"/>
          <w:sz w:val="20"/>
          <w:szCs w:val="20"/>
          <w:lang w:val="en-AU"/>
        </w:rPr>
      </w:pPr>
      <w:r w:rsidRPr="00522E20">
        <w:rPr>
          <w:rFonts w:ascii="Avenir LT 45 Book" w:eastAsia="Times New Roman" w:hAnsi="Avenir LT 45 Book" w:cs="Arial"/>
          <w:bCs w:val="0"/>
          <w:i/>
          <w:caps w:val="0"/>
          <w:color w:val="auto"/>
          <w:sz w:val="20"/>
          <w:szCs w:val="20"/>
          <w:lang w:val="en-AU"/>
        </w:rPr>
        <w:t>The provision of finance for the sole purpose of intra-group activities between related corporations has been specifically excluded from the definition of provision of finance. The intention is to specifically exclude corporations that provide finance via intra-group activities in amounts which otherwise render the corporation as a registrable corporation under the FSCODA. [Item 10, paragraph 32(1A) (b) of the Financial Sector (Collection of Data) Act 2001]</w:t>
      </w:r>
    </w:p>
    <w:p w:rsidR="00522E20" w:rsidRDefault="00522E20" w:rsidP="00387B03">
      <w:pPr>
        <w:spacing w:after="240"/>
        <w:rPr>
          <w:rFonts w:ascii="Avenir LT 45 Book" w:hAnsi="Avenir LT 45 Book" w:cs="Arial"/>
          <w:lang w:val="en-AU"/>
        </w:rPr>
      </w:pPr>
      <w:r>
        <w:rPr>
          <w:rFonts w:ascii="Avenir LT 45 Book" w:hAnsi="Avenir LT 45 Book" w:cs="Arial"/>
          <w:lang w:val="en-AU"/>
        </w:rPr>
        <w:t>Members were supportive of the suggested amendment.</w:t>
      </w:r>
    </w:p>
    <w:p w:rsidR="00522E20" w:rsidRPr="00522E20" w:rsidRDefault="00522E20" w:rsidP="00522E20">
      <w:pPr>
        <w:pStyle w:val="Heading1"/>
        <w:spacing w:after="240" w:line="240" w:lineRule="exact"/>
        <w:rPr>
          <w:rFonts w:ascii="Avenir LT 45 Book" w:eastAsia="Times New Roman" w:hAnsi="Avenir LT 45 Book" w:cs="Arial"/>
          <w:bCs w:val="0"/>
          <w:i/>
          <w:caps w:val="0"/>
          <w:color w:val="auto"/>
          <w:sz w:val="20"/>
          <w:szCs w:val="20"/>
          <w:lang w:val="en-AU"/>
        </w:rPr>
      </w:pPr>
      <w:r w:rsidRPr="00522E20">
        <w:rPr>
          <w:rFonts w:ascii="Avenir LT 45 Book" w:eastAsia="Times New Roman" w:hAnsi="Avenir LT 45 Book" w:cs="Arial"/>
          <w:bCs w:val="0"/>
          <w:i/>
          <w:caps w:val="0"/>
          <w:color w:val="auto"/>
          <w:sz w:val="20"/>
          <w:szCs w:val="20"/>
          <w:lang w:val="en-AU"/>
        </w:rPr>
        <w:t>Similarly, the provision of financial advice is specifically excluded from the operation of the new provisions. It is not intended that entities whose activities are limited to the provision of financial advice would be covered by the non-ADI lender regime. [Item 10, paragraph 32(1A) (a) of the Financial Sector (Collection of Data) Act 2001]</w:t>
      </w:r>
    </w:p>
    <w:p w:rsidR="00522E20" w:rsidRDefault="00522E20" w:rsidP="00522E20">
      <w:pPr>
        <w:spacing w:after="120"/>
        <w:rPr>
          <w:rFonts w:ascii="Avenir LT 45 Book" w:hAnsi="Avenir LT 45 Book" w:cs="Arial"/>
          <w:lang w:val="en-AU"/>
        </w:rPr>
      </w:pPr>
      <w:r>
        <w:rPr>
          <w:rFonts w:ascii="Avenir LT 45 Book" w:hAnsi="Avenir LT 45 Book" w:cs="Arial"/>
          <w:lang w:val="en-AU"/>
        </w:rPr>
        <w:t>Members were supportive of the suggested amendment.</w:t>
      </w:r>
    </w:p>
    <w:p w:rsidR="00382F00" w:rsidRDefault="007573FA" w:rsidP="002368FF">
      <w:pPr>
        <w:spacing w:after="120"/>
        <w:rPr>
          <w:rFonts w:ascii="Avenir LT 45 Book" w:hAnsi="Avenir LT 45 Book" w:cs="Arial"/>
          <w:lang w:val="en-AU"/>
        </w:rPr>
      </w:pPr>
      <w:r w:rsidRPr="002368FF">
        <w:rPr>
          <w:rFonts w:ascii="Avenir LT 45 Book" w:hAnsi="Avenir LT 45 Book" w:cs="Arial"/>
          <w:lang w:val="en-AU"/>
        </w:rPr>
        <w:t xml:space="preserve">We </w:t>
      </w:r>
      <w:r w:rsidR="00522E20">
        <w:rPr>
          <w:rFonts w:ascii="Avenir LT 45 Book" w:hAnsi="Avenir LT 45 Book" w:cs="Arial"/>
          <w:lang w:val="en-AU"/>
        </w:rPr>
        <w:t>would welcome</w:t>
      </w:r>
      <w:r w:rsidRPr="002368FF">
        <w:rPr>
          <w:rFonts w:ascii="Avenir LT 45 Book" w:hAnsi="Avenir LT 45 Book" w:cs="Arial"/>
          <w:lang w:val="en-AU"/>
        </w:rPr>
        <w:t xml:space="preserve"> discussing our submission further, should you have any questions and I can be contact</w:t>
      </w:r>
      <w:r w:rsidR="00522E20">
        <w:rPr>
          <w:rFonts w:ascii="Avenir LT 45 Book" w:hAnsi="Avenir LT 45 Book" w:cs="Arial"/>
          <w:lang w:val="en-AU"/>
        </w:rPr>
        <w:t>ed directly should you need any assistance</w:t>
      </w:r>
      <w:r w:rsidRPr="002368FF">
        <w:rPr>
          <w:rFonts w:ascii="Avenir LT 45 Book" w:hAnsi="Avenir LT 45 Book" w:cs="Arial"/>
          <w:lang w:val="en-AU"/>
        </w:rPr>
        <w:t>.</w:t>
      </w:r>
    </w:p>
    <w:p w:rsidR="002368FF" w:rsidRDefault="002368FF" w:rsidP="002368FF">
      <w:pPr>
        <w:spacing w:after="120"/>
        <w:rPr>
          <w:rFonts w:ascii="Avenir LT 45 Book" w:hAnsi="Avenir LT 45 Book" w:cs="Arial"/>
          <w:lang w:val="en-AU"/>
        </w:rPr>
      </w:pPr>
    </w:p>
    <w:p w:rsidR="002368FF" w:rsidRPr="002368FF" w:rsidRDefault="00EE4A43" w:rsidP="002368FF">
      <w:pPr>
        <w:spacing w:after="120"/>
        <w:rPr>
          <w:rFonts w:ascii="Avenir LT 45 Book" w:hAnsi="Avenir LT 45 Book" w:cs="Arial"/>
          <w:lang w:val="en-AU"/>
        </w:rPr>
      </w:pPr>
      <w:r>
        <w:rPr>
          <w:rFonts w:ascii="Avenir LT 45 Book" w:hAnsi="Avenir LT 45 Book" w:cs="Arial"/>
          <w:noProof/>
          <w:lang w:val="en-AU" w:eastAsia="en-AU"/>
        </w:rPr>
        <w:pict>
          <v:shape id="Text Box 2" o:spid="_x0000_s1028" type="#_x0000_t202" style="position:absolute;margin-left:-7.15pt;margin-top:7.8pt;width:217.65pt;height:123.65pt;z-index:251729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" filled="f" stroked="f">
            <v:textbox style="mso-next-textbox:#Text Box 2">
              <w:txbxContent>
                <w:p w:rsidR="005A06B1" w:rsidRPr="002368FF" w:rsidRDefault="005A06B1" w:rsidP="007F04B6">
                  <w:pPr>
                    <w:spacing w:after="0"/>
                    <w:rPr>
                      <w:rFonts w:ascii="Avenir LT 45 Book" w:hAnsi="Avenir LT 45 Book" w:cs="Arial"/>
                    </w:rPr>
                  </w:pPr>
                  <w:r w:rsidRPr="002368FF">
                    <w:rPr>
                      <w:rFonts w:ascii="Avenir LT 45 Book" w:hAnsi="Avenir LT 45 Book" w:cs="Arial"/>
                      <w:lang w:val="en-AU"/>
                    </w:rPr>
                    <w:t xml:space="preserve">Kind Regards, </w:t>
                  </w:r>
                  <w:r w:rsidRPr="002368FF">
                    <w:rPr>
                      <w:rFonts w:ascii="Avenir LT 45 Book" w:hAnsi="Avenir LT 45 Book" w:cs="Arial"/>
                    </w:rPr>
                    <w:br/>
                  </w:r>
                </w:p>
                <w:p w:rsidR="005A06B1" w:rsidRPr="002368FF" w:rsidRDefault="005A06B1" w:rsidP="007F04B6">
                  <w:pPr>
                    <w:spacing w:after="0"/>
                    <w:rPr>
                      <w:rFonts w:ascii="Avenir LT 45 Book" w:hAnsi="Avenir LT 45 Book" w:cs="Arial"/>
                    </w:rPr>
                  </w:pPr>
                </w:p>
                <w:p w:rsidR="005A06B1" w:rsidRPr="002368FF" w:rsidRDefault="005A06B1" w:rsidP="007F04B6">
                  <w:pPr>
                    <w:spacing w:after="0"/>
                    <w:rPr>
                      <w:rFonts w:ascii="Avenir LT 45 Book" w:hAnsi="Avenir LT 45 Book" w:cs="Arial"/>
                    </w:rPr>
                  </w:pPr>
                  <w:r w:rsidRPr="002368FF">
                    <w:rPr>
                      <w:rFonts w:ascii="Avenir LT 45 Book" w:hAnsi="Avenir LT 45 Book" w:cs="Arial"/>
                    </w:rPr>
                    <w:br/>
                    <w:t>Naomi Burley</w:t>
                  </w:r>
                  <w:r w:rsidRPr="002368FF">
                    <w:rPr>
                      <w:rFonts w:ascii="Avenir LT 45 Book" w:hAnsi="Avenir LT 45 Book" w:cs="Arial"/>
                    </w:rPr>
                    <w:br/>
                    <w:t>Managing Director</w:t>
                  </w:r>
                </w:p>
                <w:p w:rsidR="005A06B1" w:rsidRDefault="005A06B1" w:rsidP="007F04B6"/>
              </w:txbxContent>
            </v:textbox>
          </v:shape>
        </w:pict>
      </w:r>
    </w:p>
    <w:p w:rsidR="00382F00" w:rsidRPr="002368FF" w:rsidRDefault="002368FF" w:rsidP="002368FF">
      <w:pPr>
        <w:spacing w:after="120"/>
        <w:jc w:val="both"/>
        <w:rPr>
          <w:rFonts w:ascii="Avenir LT 45 Book" w:hAnsi="Avenir LT 45 Book" w:cs="Arial"/>
          <w:lang w:val="en-AU"/>
        </w:rPr>
      </w:pPr>
      <w:r>
        <w:rPr>
          <w:rFonts w:ascii="Avenir LT 45 Book" w:hAnsi="Avenir LT 45 Book" w:cs="Arial"/>
          <w:noProof/>
          <w:lang w:val="en-AU" w:eastAsia="en-AU"/>
        </w:rPr>
        <w:drawing>
          <wp:anchor distT="0" distB="0" distL="114300" distR="114300" simplePos="0" relativeHeight="251742720" behindDoc="0" locked="0" layoutInCell="1" allowOverlap="1">
            <wp:simplePos x="0" y="0"/>
            <wp:positionH relativeFrom="column">
              <wp:posOffset>-15245</wp:posOffset>
            </wp:positionH>
            <wp:positionV relativeFrom="paragraph">
              <wp:posOffset>203760</wp:posOffset>
            </wp:positionV>
            <wp:extent cx="1302603" cy="484094"/>
            <wp:effectExtent l="19050" t="0" r="0" b="0"/>
            <wp:wrapNone/>
            <wp:docPr id="3" name="Picture 3" descr="\\acidc\acidata\Templates Images &amp; Logos\Signatures\naomisig.jpg"/>
            <wp:cNvGraphicFramePr/>
            <a:graphic xmlns:a="http://schemas.openxmlformats.org/drawingml/2006/main">
              <a:graphicData uri="http://schemas.openxmlformats.org/drawingml/2006/picture">
                <pic:pic xmlns:pic="http://schemas.openxmlformats.org/drawingml/2006/picture">
                  <pic:nvPicPr>
                    <pic:cNvPr id="3" name="Picture 3" descr="\\acidc\acidata\Templates Images &amp; Logos\Signatures\naomisig.jpg"/>
                    <pic:cNvPicPr/>
                  </pic:nvPicPr>
                  <pic:blipFill rotWithShape="1">
                    <a:blip r:embed="rId16">
                      <a:extLst>
                        <a:ext uri="{28A0092B-C50C-407E-A947-70E740481C1C}">
                          <a14:useLocalDpi xmlns:a14="http://schemas.microsoft.com/office/drawing/2010/main" val="0"/>
                        </a:ext>
                      </a:extLst>
                    </a:blip>
                    <a:srcRect l="4091" t="9593" r="-1" b="20059"/>
                    <a:stretch/>
                  </pic:blipFill>
                  <pic:spPr bwMode="auto">
                    <a:xfrm>
                      <a:off x="0" y="0"/>
                      <a:ext cx="1302603" cy="484094"/>
                    </a:xfrm>
                    <a:prstGeom prst="rect">
                      <a:avLst/>
                    </a:prstGeom>
                    <a:noFill/>
                    <a:ln>
                      <a:noFill/>
                    </a:ln>
                    <a:extLst>
                      <a:ext uri="{53640926-AAD7-44D8-BBD7-CCE9431645EC}">
                        <a14:shadowObscured xmlns:a14="http://schemas.microsoft.com/office/drawing/2010/main"/>
                      </a:ext>
                    </a:extLst>
                  </pic:spPr>
                </pic:pic>
              </a:graphicData>
            </a:graphic>
          </wp:anchor>
        </w:drawing>
      </w:r>
    </w:p>
    <w:p w:rsidR="00382F00" w:rsidRPr="002368FF" w:rsidRDefault="00382F00" w:rsidP="002368FF">
      <w:pPr>
        <w:spacing w:after="120"/>
        <w:jc w:val="both"/>
        <w:rPr>
          <w:rFonts w:ascii="Avenir LT 45 Book" w:hAnsi="Avenir LT 45 Book" w:cs="Arial"/>
          <w:lang w:val="en-AU"/>
        </w:rPr>
      </w:pPr>
    </w:p>
    <w:p w:rsidR="00EA0428" w:rsidRPr="002368FF" w:rsidRDefault="00EA0428" w:rsidP="002368FF">
      <w:pPr>
        <w:tabs>
          <w:tab w:val="left" w:pos="5865"/>
        </w:tabs>
        <w:spacing w:after="120"/>
        <w:rPr>
          <w:rFonts w:ascii="Avenir LT 45 Book" w:hAnsi="Avenir LT 45 Book" w:cs="Arial"/>
        </w:rPr>
      </w:pPr>
    </w:p>
    <w:sectPr w:rsidR="00EA0428" w:rsidRPr="002368FF" w:rsidSect="003F77DF">
      <w:headerReference w:type="even" r:id="rId17"/>
      <w:headerReference w:type="default" r:id="rId18"/>
      <w:footerReference w:type="even" r:id="rId19"/>
      <w:footerReference w:type="default" r:id="rId20"/>
      <w:headerReference w:type="first" r:id="rId21"/>
      <w:footerReference w:type="first" r:id="rId22"/>
      <w:pgSz w:w="11900" w:h="16840"/>
      <w:pgMar w:top="3345" w:right="567" w:bottom="851" w:left="4253" w:header="851" w:footer="5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6B1" w:rsidRDefault="005A06B1" w:rsidP="00B237CA">
      <w:pPr>
        <w:spacing w:line="240" w:lineRule="auto"/>
      </w:pPr>
      <w:r>
        <w:separator/>
      </w:r>
    </w:p>
  </w:endnote>
  <w:endnote w:type="continuationSeparator" w:id="0">
    <w:p w:rsidR="005A06B1" w:rsidRDefault="005A06B1" w:rsidP="00B23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Helvetica Neue Light">
    <w:charset w:val="00"/>
    <w:family w:val="auto"/>
    <w:pitch w:val="variable"/>
    <w:sig w:usb0="8000007F" w:usb1="0000000A" w:usb2="00000000" w:usb3="00000000" w:csb0="00000007" w:csb1="00000000"/>
  </w:font>
  <w:font w:name="Avenir LT 45 Book">
    <w:altName w:val="Malgun Gothic"/>
    <w:charset w:val="00"/>
    <w:family w:val="swiss"/>
    <w:pitch w:val="variable"/>
    <w:sig w:usb0="00000003" w:usb1="00000042"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6B1" w:rsidRDefault="00EE4A43" w:rsidP="00AA4DC2">
    <w:sdt>
      <w:sdtPr>
        <w:id w:val="151647584"/>
        <w:temporary/>
        <w:showingPlcHdr/>
      </w:sdtPr>
      <w:sdtEndPr/>
      <w:sdtContent>
        <w:r w:rsidR="005A06B1">
          <w:t>[Type text]</w:t>
        </w:r>
      </w:sdtContent>
    </w:sdt>
    <w:r w:rsidR="005A06B1">
      <w:ptab w:relativeTo="margin" w:alignment="center" w:leader="none"/>
    </w:r>
    <w:sdt>
      <w:sdtPr>
        <w:id w:val="-712347682"/>
        <w:temporary/>
        <w:showingPlcHdr/>
      </w:sdtPr>
      <w:sdtEndPr/>
      <w:sdtContent>
        <w:r w:rsidR="005A06B1">
          <w:t>[Type text]</w:t>
        </w:r>
      </w:sdtContent>
    </w:sdt>
    <w:r w:rsidR="005A06B1">
      <w:ptab w:relativeTo="margin" w:alignment="right" w:leader="none"/>
    </w:r>
    <w:sdt>
      <w:sdtPr>
        <w:id w:val="-147435621"/>
        <w:temporary/>
        <w:showingPlcHdr/>
      </w:sdtPr>
      <w:sdtEndPr/>
      <w:sdtContent>
        <w:r w:rsidR="005A06B1">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53275"/>
      <w:docPartObj>
        <w:docPartGallery w:val="Page Numbers (Bottom of Page)"/>
        <w:docPartUnique/>
      </w:docPartObj>
    </w:sdtPr>
    <w:sdtEndPr>
      <w:rPr>
        <w:color w:val="808080" w:themeColor="background1" w:themeShade="80"/>
        <w:spacing w:val="60"/>
      </w:rPr>
    </w:sdtEndPr>
    <w:sdtContent>
      <w:p w:rsidR="005A06B1" w:rsidRDefault="00965D97" w:rsidP="003F77DF">
        <w:pPr>
          <w:pStyle w:val="Footer"/>
          <w:pBdr>
            <w:top w:val="single" w:sz="4" w:space="1" w:color="D9D9D9" w:themeColor="background1" w:themeShade="D9"/>
          </w:pBdr>
          <w:jc w:val="right"/>
          <w:rPr>
            <w:color w:val="808080" w:themeColor="background1" w:themeShade="80"/>
            <w:spacing w:val="60"/>
          </w:rPr>
        </w:pPr>
        <w:r w:rsidRPr="003F77DF">
          <w:rPr>
            <w:sz w:val="16"/>
          </w:rPr>
          <w:fldChar w:fldCharType="begin"/>
        </w:r>
        <w:r w:rsidR="005A06B1" w:rsidRPr="003F77DF">
          <w:rPr>
            <w:sz w:val="16"/>
          </w:rPr>
          <w:instrText xml:space="preserve"> PAGE   \* MERGEFORMAT </w:instrText>
        </w:r>
        <w:r w:rsidRPr="003F77DF">
          <w:rPr>
            <w:sz w:val="16"/>
          </w:rPr>
          <w:fldChar w:fldCharType="separate"/>
        </w:r>
        <w:r w:rsidR="00057F97">
          <w:rPr>
            <w:noProof/>
            <w:sz w:val="16"/>
          </w:rPr>
          <w:t>5</w:t>
        </w:r>
        <w:r w:rsidRPr="003F77DF">
          <w:rPr>
            <w:noProof/>
            <w:sz w:val="16"/>
          </w:rPr>
          <w:fldChar w:fldCharType="end"/>
        </w:r>
        <w:r w:rsidR="005A06B1" w:rsidRPr="003F77DF">
          <w:rPr>
            <w:sz w:val="16"/>
          </w:rPr>
          <w:t xml:space="preserve"> | </w:t>
        </w:r>
        <w:r w:rsidR="005A06B1" w:rsidRPr="003F77DF">
          <w:rPr>
            <w:color w:val="808080" w:themeColor="background1" w:themeShade="80"/>
            <w:spacing w:val="60"/>
            <w:sz w:val="16"/>
          </w:rPr>
          <w:t>Page</w:t>
        </w:r>
      </w:p>
    </w:sdtContent>
  </w:sdt>
  <w:p w:rsidR="005A06B1" w:rsidRDefault="005A06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6B1" w:rsidRPr="003A7D22" w:rsidRDefault="005A06B1" w:rsidP="003A7D22">
    <w:pPr>
      <w:pStyle w:val="FooterText"/>
      <w:tabs>
        <w:tab w:val="clear" w:pos="3827"/>
        <w:tab w:val="left" w:pos="3969"/>
        <w:tab w:val="left" w:pos="5387"/>
      </w:tabs>
      <w:spacing w:before="0"/>
    </w:pPr>
    <w:r>
      <w:rPr>
        <w:noProof/>
        <w:lang w:val="en-AU" w:eastAsia="en-AU"/>
      </w:rPr>
      <w:drawing>
        <wp:anchor distT="0" distB="0" distL="114300" distR="114300" simplePos="0" relativeHeight="251666944" behindDoc="0" locked="0" layoutInCell="1" allowOverlap="1">
          <wp:simplePos x="0" y="0"/>
          <wp:positionH relativeFrom="column">
            <wp:posOffset>-2057272</wp:posOffset>
          </wp:positionH>
          <wp:positionV relativeFrom="paragraph">
            <wp:posOffset>-3530082</wp:posOffset>
          </wp:positionV>
          <wp:extent cx="1242618" cy="660827"/>
          <wp:effectExtent l="0" t="0" r="0" b="6350"/>
          <wp:wrapNone/>
          <wp:docPr id="17" name="Picture 7" descr="Macintosh HD:Users:ion:Documents:Work:ACI:Partner Logos:AMP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on:Documents:Work:ACI:Partner Logos:AMP Logo_CMYK.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618" cy="660827"/>
                  </a:xfrm>
                  <a:prstGeom prst="rect">
                    <a:avLst/>
                  </a:prstGeom>
                  <a:noFill/>
                </pic:spPr>
              </pic:pic>
            </a:graphicData>
          </a:graphic>
        </wp:anchor>
      </w:drawing>
    </w:r>
    <w:r>
      <w:rPr>
        <w:noProof/>
        <w:lang w:val="en-AU" w:eastAsia="en-AU"/>
      </w:rPr>
      <w:drawing>
        <wp:anchor distT="0" distB="0" distL="114300" distR="114300" simplePos="0" relativeHeight="251652608" behindDoc="0" locked="0" layoutInCell="1" allowOverlap="1">
          <wp:simplePos x="0" y="0"/>
          <wp:positionH relativeFrom="column">
            <wp:posOffset>-2451164</wp:posOffset>
          </wp:positionH>
          <wp:positionV relativeFrom="paragraph">
            <wp:posOffset>-2848471</wp:posOffset>
          </wp:positionV>
          <wp:extent cx="2108835" cy="607060"/>
          <wp:effectExtent l="0" t="0" r="0" b="0"/>
          <wp:wrapNone/>
          <wp:docPr id="8" name="Picture 3" descr="Macintosh HD:Users:ion:Documents:Work:ACI:Partner Logos:CBA_PMS116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on:Documents:Work:ACI:Partner Logos:CBA_PMS116U.ep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835" cy="607060"/>
                  </a:xfrm>
                  <a:prstGeom prst="rect">
                    <a:avLst/>
                  </a:prstGeom>
                  <a:noFill/>
                </pic:spPr>
              </pic:pic>
            </a:graphicData>
          </a:graphic>
        </wp:anchor>
      </w:drawing>
    </w:r>
    <w:r>
      <w:rPr>
        <w:noProof/>
        <w:lang w:val="en-AU" w:eastAsia="en-AU"/>
      </w:rPr>
      <w:drawing>
        <wp:anchor distT="0" distB="0" distL="114300" distR="114300" simplePos="0" relativeHeight="251654656" behindDoc="0" locked="0" layoutInCell="1" allowOverlap="1">
          <wp:simplePos x="0" y="0"/>
          <wp:positionH relativeFrom="column">
            <wp:posOffset>-1924551</wp:posOffset>
          </wp:positionH>
          <wp:positionV relativeFrom="paragraph">
            <wp:posOffset>-2285237</wp:posOffset>
          </wp:positionV>
          <wp:extent cx="861647" cy="894330"/>
          <wp:effectExtent l="0" t="0" r="0" b="1270"/>
          <wp:wrapNone/>
          <wp:docPr id="9" name="Picture 14" descr="Macintosh HD:Users:ion:Documents:Work:ACI:Partner Logos:AIA_FC_P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on:Documents:Work:ACI:Partner Logos:AIA_FC_POS_RGB.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647" cy="894330"/>
                  </a:xfrm>
                  <a:prstGeom prst="rect">
                    <a:avLst/>
                  </a:prstGeom>
                  <a:noFill/>
                </pic:spPr>
              </pic:pic>
            </a:graphicData>
          </a:graphic>
        </wp:anchor>
      </w:drawing>
    </w:r>
    <w:r>
      <w:rPr>
        <w:noProof/>
        <w:lang w:val="en-AU" w:eastAsia="en-AU"/>
      </w:rPr>
      <w:drawing>
        <wp:anchor distT="0" distB="0" distL="114300" distR="114300" simplePos="0" relativeHeight="251657728" behindDoc="0" locked="0" layoutInCell="1" allowOverlap="1">
          <wp:simplePos x="0" y="0"/>
          <wp:positionH relativeFrom="column">
            <wp:posOffset>-2416234</wp:posOffset>
          </wp:positionH>
          <wp:positionV relativeFrom="paragraph">
            <wp:posOffset>-1295251</wp:posOffset>
          </wp:positionV>
          <wp:extent cx="1936376" cy="425669"/>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_the answer company.jpg"/>
                  <pic:cNvPicPr/>
                </pic:nvPicPr>
                <pic:blipFill rotWithShape="1">
                  <a:blip r:embed="rId4">
                    <a:extLst>
                      <a:ext uri="{28A0092B-C50C-407E-A947-70E740481C1C}">
                        <a14:useLocalDpi xmlns:a14="http://schemas.microsoft.com/office/drawing/2010/main" val="0"/>
                      </a:ext>
                    </a:extLst>
                  </a:blip>
                  <a:srcRect l="7206" t="21250" r="5046" b="21875"/>
                  <a:stretch/>
                </pic:blipFill>
                <pic:spPr bwMode="auto">
                  <a:xfrm>
                    <a:off x="0" y="0"/>
                    <a:ext cx="1936376" cy="425669"/>
                  </a:xfrm>
                  <a:prstGeom prst="rect">
                    <a:avLst/>
                  </a:prstGeom>
                  <a:ln>
                    <a:noFill/>
                  </a:ln>
                  <a:extLst>
                    <a:ext uri="{53640926-AAD7-44D8-BBD7-CCE9431645EC}">
                      <a14:shadowObscured xmlns:a14="http://schemas.microsoft.com/office/drawing/2010/main"/>
                    </a:ext>
                  </a:extLst>
                </pic:spPr>
              </pic:pic>
            </a:graphicData>
          </a:graphic>
        </wp:anchor>
      </w:drawing>
    </w:r>
    <w:r>
      <w:rPr>
        <w:noProof/>
        <w:lang w:val="en-AU" w:eastAsia="en-AU"/>
      </w:rPr>
      <w:drawing>
        <wp:anchor distT="0" distB="0" distL="114300" distR="114300" simplePos="0" relativeHeight="251656192" behindDoc="0" locked="0" layoutInCell="1" allowOverlap="1">
          <wp:simplePos x="0" y="0"/>
          <wp:positionH relativeFrom="column">
            <wp:posOffset>-2729230</wp:posOffset>
          </wp:positionH>
          <wp:positionV relativeFrom="paragraph">
            <wp:posOffset>-328930</wp:posOffset>
          </wp:positionV>
          <wp:extent cx="2562225" cy="1833245"/>
          <wp:effectExtent l="0" t="0" r="9525" b="0"/>
          <wp:wrapNone/>
          <wp:docPr id="13" name="Picture 13" descr="Macintosh HD:Users:ion:Documents:Work:ACI:2011-11-ACI-Flows:ACI-Flows-One-Thir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on:Documents:Work:ACI:2011-11-ACI-Flows:ACI-Flows-One-Third-A.pdf"/>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225" cy="1833245"/>
                  </a:xfrm>
                  <a:prstGeom prst="rect">
                    <a:avLst/>
                  </a:prstGeom>
                  <a:noFill/>
                  <a:ln>
                    <a:noFill/>
                  </a:ln>
                </pic:spPr>
              </pic:pic>
            </a:graphicData>
          </a:graphic>
        </wp:anchor>
      </w:drawing>
    </w:r>
    <w:r w:rsidRPr="003A7D22">
      <w:t>Australia +61 2 9290 1788</w:t>
    </w:r>
  </w:p>
  <w:p w:rsidR="005A06B1" w:rsidRDefault="005A06B1" w:rsidP="003A7D22">
    <w:pPr>
      <w:pStyle w:val="FooterText"/>
      <w:tabs>
        <w:tab w:val="clear" w:pos="3827"/>
        <w:tab w:val="left" w:pos="3969"/>
        <w:tab w:val="left" w:pos="5387"/>
      </w:tabs>
      <w:spacing w:before="0"/>
    </w:pPr>
    <w:r w:rsidRPr="003A7D22">
      <w:t>Level 1, 50 Clarence Street</w:t>
    </w:r>
    <w:r w:rsidRPr="00D32F13">
      <w:rPr>
        <w:color w:val="808080"/>
      </w:rPr>
      <w:br/>
    </w:r>
    <w:r w:rsidRPr="00D32F13">
      <w:t xml:space="preserve">Sydney, NSW, Australia </w:t>
    </w:r>
    <w:r>
      <w:t>2000</w:t>
    </w:r>
    <w:r>
      <w:tab/>
    </w:r>
    <w:r w:rsidRPr="00D32F13">
      <w:rPr>
        <w:color w:val="808080"/>
      </w:rPr>
      <w:br/>
    </w:r>
    <w:r w:rsidRPr="00D32F13">
      <w:t>ABN 42 862 119 37</w:t>
    </w:r>
    <w:r>
      <w:t>7</w:t>
    </w:r>
    <w:r w:rsidRPr="00D32F13">
      <w:rPr>
        <w:color w:val="808080"/>
      </w:rPr>
      <w:t xml:space="preserve"> </w:t>
    </w:r>
    <w:r>
      <w:rPr>
        <w:color w:val="808080"/>
      </w:rPr>
      <w:tab/>
    </w:r>
    <w:r>
      <w:tab/>
    </w:r>
    <w:r w:rsidRPr="00D32F13">
      <w:rPr>
        <w:color w:val="808080"/>
      </w:rPr>
      <w:br/>
    </w:r>
    <w:hyperlink r:id="rId6" w:history="1">
      <w:r w:rsidRPr="00ED559D">
        <w:rPr>
          <w:rStyle w:val="Hyperlink"/>
        </w:rPr>
        <w:t>www.thegrci</w:t>
      </w:r>
    </w:hyperlink>
    <w:r w:rsidRPr="003A7D22">
      <w:rPr>
        <w:rStyle w:val="Hyperlink"/>
      </w:rPr>
      <w:t>nstitute.org</w:t>
    </w:r>
    <w:r w:rsidRPr="00D32F13">
      <w:t xml:space="preserve"> </w:t>
    </w:r>
    <w:r w:rsidRPr="00D32F1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6B1" w:rsidRDefault="005A06B1" w:rsidP="00B237CA">
      <w:pPr>
        <w:spacing w:line="240" w:lineRule="auto"/>
      </w:pPr>
      <w:r>
        <w:separator/>
      </w:r>
    </w:p>
  </w:footnote>
  <w:footnote w:type="continuationSeparator" w:id="0">
    <w:p w:rsidR="005A06B1" w:rsidRDefault="005A06B1" w:rsidP="00B237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6B1" w:rsidRDefault="00EE4A43">
    <w:pPr>
      <w:pStyle w:val="Header"/>
    </w:pPr>
    <w:sdt>
      <w:sdtPr>
        <w:id w:val="-1239784730"/>
        <w:temporary/>
        <w:showingPlcHdr/>
      </w:sdtPr>
      <w:sdtEndPr/>
      <w:sdtContent>
        <w:r w:rsidR="005A06B1">
          <w:t>[Type text]</w:t>
        </w:r>
      </w:sdtContent>
    </w:sdt>
    <w:r w:rsidR="005A06B1">
      <w:ptab w:relativeTo="margin" w:alignment="center" w:leader="none"/>
    </w:r>
    <w:sdt>
      <w:sdtPr>
        <w:id w:val="1976794259"/>
        <w:temporary/>
        <w:showingPlcHdr/>
      </w:sdtPr>
      <w:sdtEndPr/>
      <w:sdtContent>
        <w:r w:rsidR="005A06B1">
          <w:t>[Type text]</w:t>
        </w:r>
      </w:sdtContent>
    </w:sdt>
    <w:r w:rsidR="005A06B1">
      <w:ptab w:relativeTo="margin" w:alignment="right" w:leader="none"/>
    </w:r>
    <w:sdt>
      <w:sdtPr>
        <w:id w:val="-2134712932"/>
        <w:temporary/>
        <w:showingPlcHdr/>
      </w:sdtPr>
      <w:sdtEndPr/>
      <w:sdtContent>
        <w:r w:rsidR="005A06B1">
          <w:t>[Type text]</w:t>
        </w:r>
      </w:sdtContent>
    </w:sdt>
  </w:p>
  <w:p w:rsidR="005A06B1" w:rsidRDefault="005A06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6B1" w:rsidRDefault="00EE4A43">
    <w:pPr>
      <w:pStyle w:val="Header"/>
    </w:pPr>
    <w:r>
      <w:rPr>
        <w:noProof/>
        <w:lang w:val="en-AU" w:eastAsia="en-AU"/>
      </w:rPr>
      <w:pict>
        <v:line id="Straight Connector 41" o:spid="_x0000_s4099"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margin;mso-width-percent:0;mso-height-percent:0;mso-width-relative:page;mso-height-relative:margin" from="-14.2pt,0" to="-14.2pt,6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" strokecolor="#0b3066" strokeweight=".5pt">
          <o:lock v:ext="edit" shapetype="f"/>
          <w10:wrap anchory="margin"/>
          <w10:anchorlo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6B1" w:rsidRDefault="005A06B1" w:rsidP="00FE740A">
    <w:pPr>
      <w:pStyle w:val="Header"/>
      <w:tabs>
        <w:tab w:val="clear" w:pos="4320"/>
        <w:tab w:val="clear" w:pos="8640"/>
      </w:tabs>
    </w:pPr>
    <w:r>
      <w:rPr>
        <w:noProof/>
        <w:lang w:val="en-AU" w:eastAsia="en-AU"/>
      </w:rPr>
      <w:drawing>
        <wp:anchor distT="0" distB="0" distL="114300" distR="114300" simplePos="0" relativeHeight="251703296" behindDoc="1" locked="0" layoutInCell="1" allowOverlap="1">
          <wp:simplePos x="0" y="0"/>
          <wp:positionH relativeFrom="column">
            <wp:posOffset>-891225</wp:posOffset>
          </wp:positionH>
          <wp:positionV relativeFrom="paragraph">
            <wp:posOffset>-379020</wp:posOffset>
          </wp:positionV>
          <wp:extent cx="3238980" cy="1083448"/>
          <wp:effectExtent l="19050" t="0" r="0" b="0"/>
          <wp:wrapNone/>
          <wp:docPr id="12" name="Picture 12" descr="GRC-Institute-v3 gre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C-Institute-v3 grey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980" cy="1083448"/>
                  </a:xfrm>
                  <a:prstGeom prst="rect">
                    <a:avLst/>
                  </a:prstGeom>
                  <a:noFill/>
                  <a:ln>
                    <a:noFill/>
                  </a:ln>
                </pic:spPr>
              </pic:pic>
            </a:graphicData>
          </a:graphic>
        </wp:anchor>
      </w:drawing>
    </w:r>
    <w:r w:rsidRPr="00242FBD">
      <w:rPr>
        <w:noProof/>
        <w:lang w:eastAsia="en-US"/>
      </w:rPr>
      <w:t xml:space="preserve">    </w:t>
    </w:r>
    <w:r w:rsidR="00EE4A43">
      <w:rPr>
        <w:noProof/>
        <w:lang w:val="en-AU" w:eastAsia="en-AU"/>
      </w:rPr>
      <w:pict>
        <v:line id="Straight Connector 5" o:spid="_x0000_s4098"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margin;mso-width-percent:0;mso-height-percent:0;mso-width-relative:page;mso-height-relative:margin" from="-14.2pt,95.4pt" to="-14.2pt,6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" strokecolor="#0b3066" strokeweight=".5pt">
          <o:lock v:ext="edit" shapetype="f"/>
          <w10:wrap anchory="margin"/>
          <w10:anchorlock/>
        </v:line>
      </w:pict>
    </w:r>
    <w:r>
      <w:softHyphen/>
    </w:r>
  </w:p>
  <w:p w:rsidR="005A06B1" w:rsidRDefault="005A06B1">
    <w:pPr>
      <w:pStyle w:val="Header"/>
    </w:pPr>
    <w:r>
      <w:rPr>
        <w:noProof/>
        <w:lang w:val="en-AU" w:eastAsia="en-AU"/>
      </w:rPr>
      <w:drawing>
        <wp:anchor distT="0" distB="0" distL="114300" distR="114300" simplePos="0" relativeHeight="251660800" behindDoc="0" locked="0" layoutInCell="1" allowOverlap="1">
          <wp:simplePos x="0" y="0"/>
          <wp:positionH relativeFrom="column">
            <wp:posOffset>-1988194</wp:posOffset>
          </wp:positionH>
          <wp:positionV relativeFrom="paragraph">
            <wp:posOffset>2433832</wp:posOffset>
          </wp:positionV>
          <wp:extent cx="1286498" cy="491778"/>
          <wp:effectExtent l="0" t="0" r="0" b="3810"/>
          <wp:wrapNone/>
          <wp:docPr id="11" name="Picture 17" descr="Macintosh HD:Users:ion:Documents:Work:ACI:Partner Logos:WG_pos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on:Documents:Work:ACI:Partner Logos:WG_pos_rgb.ep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6498" cy="491778"/>
                  </a:xfrm>
                  <a:prstGeom prst="rect">
                    <a:avLst/>
                  </a:prstGeom>
                  <a:noFill/>
                </pic:spPr>
              </pic:pic>
            </a:graphicData>
          </a:graphic>
        </wp:anchor>
      </w:drawing>
    </w:r>
    <w:r>
      <w:rPr>
        <w:noProof/>
        <w:lang w:val="en-AU" w:eastAsia="en-AU"/>
      </w:rPr>
      <w:drawing>
        <wp:anchor distT="0" distB="0" distL="114300" distR="114300" simplePos="0" relativeHeight="251659776" behindDoc="0" locked="0" layoutInCell="1" allowOverlap="1">
          <wp:simplePos x="0" y="0"/>
          <wp:positionH relativeFrom="column">
            <wp:posOffset>-1631955</wp:posOffset>
          </wp:positionH>
          <wp:positionV relativeFrom="paragraph">
            <wp:posOffset>3133170</wp:posOffset>
          </wp:positionV>
          <wp:extent cx="500194" cy="737667"/>
          <wp:effectExtent l="0" t="0" r="0" b="5715"/>
          <wp:wrapNone/>
          <wp:docPr id="15" name="Picture 18" descr="Macintosh HD:Users:ion:Documents:Work:ACI:Partner Logos:NAB CMYK TAB Vertic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on:Documents:Work:ACI:Partner Logos:NAB CMYK TAB Vertical.ep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0194" cy="737667"/>
                  </a:xfrm>
                  <a:prstGeom prst="rect">
                    <a:avLst/>
                  </a:prstGeom>
                  <a:noFill/>
                </pic:spPr>
              </pic:pic>
            </a:graphicData>
          </a:graphic>
        </wp:anchor>
      </w:drawing>
    </w:r>
    <w:r>
      <w:rPr>
        <w:noProof/>
        <w:lang w:val="en-AU" w:eastAsia="en-AU"/>
      </w:rPr>
      <w:drawing>
        <wp:anchor distT="0" distB="0" distL="114300" distR="114300" simplePos="0" relativeHeight="251663872" behindDoc="0" locked="0" layoutInCell="1" allowOverlap="1">
          <wp:simplePos x="0" y="0"/>
          <wp:positionH relativeFrom="column">
            <wp:posOffset>-2016563</wp:posOffset>
          </wp:positionH>
          <wp:positionV relativeFrom="paragraph">
            <wp:posOffset>3931989</wp:posOffset>
          </wp:positionV>
          <wp:extent cx="1313969" cy="561972"/>
          <wp:effectExtent l="0" t="0" r="0" b="0"/>
          <wp:wrapNone/>
          <wp:docPr id="16" name="Picture 4" descr="Macintosh HD:Users:ion:Documents:Work:ACI:Partner Logos:ANZ_H_blue-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on:Documents:Work:ACI:Partner Logos:ANZ_H_blue-CMYK.ep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3969" cy="561972"/>
                  </a:xfrm>
                  <a:prstGeom prst="rect">
                    <a:avLst/>
                  </a:prstGeom>
                  <a:noFill/>
                </pic:spPr>
              </pic:pic>
            </a:graphicData>
          </a:graphic>
        </wp:anchor>
      </w:drawing>
    </w:r>
    <w:r w:rsidR="00EE4A43">
      <w:rPr>
        <w:noProof/>
        <w:lang w:val="en-AU" w:eastAsia="en-AU"/>
      </w:rPr>
      <w:pict>
        <v:shapetype id="_x0000_t202" coordsize="21600,21600" o:spt="202" path="m,l,21600r21600,l21600,xe">
          <v:stroke joinstyle="miter"/>
          <v:path gradientshapeok="t" o:connecttype="rect"/>
        </v:shapetype>
        <v:shape id="Text Box 40" o:spid="_x0000_s4097" type="#_x0000_t202" style="position:absolute;margin-left:-177.45pt;margin-top:153.85pt;width:144.5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zkuQIAALs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" filled="f" stroked="f">
          <v:textbox style="mso-next-textbox:#Text Box 40">
            <w:txbxContent>
              <w:p w:rsidR="005A06B1" w:rsidRDefault="005A06B1" w:rsidP="00B54EF5">
                <w:pPr>
                  <w:pStyle w:val="SideCaptionHeading"/>
                  <w:jc w:val="center"/>
                </w:pPr>
                <w:r>
                  <w:t>PrincipAL Members</w:t>
                </w:r>
              </w:p>
            </w:txbxContent>
          </v:textbox>
        </v:shape>
      </w:pict>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5840C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7467C8A"/>
    <w:lvl w:ilvl="0">
      <w:start w:val="1"/>
      <w:numFmt w:val="decimal"/>
      <w:lvlText w:val="%1."/>
      <w:lvlJc w:val="left"/>
      <w:pPr>
        <w:tabs>
          <w:tab w:val="num" w:pos="1492"/>
        </w:tabs>
        <w:ind w:left="1492" w:hanging="360"/>
      </w:pPr>
    </w:lvl>
  </w:abstractNum>
  <w:abstractNum w:abstractNumId="2">
    <w:nsid w:val="FFFFFF7D"/>
    <w:multiLevelType w:val="singleLevel"/>
    <w:tmpl w:val="33489C70"/>
    <w:lvl w:ilvl="0">
      <w:start w:val="1"/>
      <w:numFmt w:val="decimal"/>
      <w:lvlText w:val="%1."/>
      <w:lvlJc w:val="left"/>
      <w:pPr>
        <w:tabs>
          <w:tab w:val="num" w:pos="1209"/>
        </w:tabs>
        <w:ind w:left="1209" w:hanging="360"/>
      </w:pPr>
    </w:lvl>
  </w:abstractNum>
  <w:abstractNum w:abstractNumId="3">
    <w:nsid w:val="FFFFFF7E"/>
    <w:multiLevelType w:val="singleLevel"/>
    <w:tmpl w:val="012096BA"/>
    <w:lvl w:ilvl="0">
      <w:start w:val="1"/>
      <w:numFmt w:val="decimal"/>
      <w:lvlText w:val="%1."/>
      <w:lvlJc w:val="left"/>
      <w:pPr>
        <w:tabs>
          <w:tab w:val="num" w:pos="926"/>
        </w:tabs>
        <w:ind w:left="926" w:hanging="360"/>
      </w:pPr>
    </w:lvl>
  </w:abstractNum>
  <w:abstractNum w:abstractNumId="4">
    <w:nsid w:val="FFFFFF7F"/>
    <w:multiLevelType w:val="singleLevel"/>
    <w:tmpl w:val="C2B2D6D6"/>
    <w:lvl w:ilvl="0">
      <w:start w:val="1"/>
      <w:numFmt w:val="decimal"/>
      <w:lvlText w:val="%1."/>
      <w:lvlJc w:val="left"/>
      <w:pPr>
        <w:tabs>
          <w:tab w:val="num" w:pos="643"/>
        </w:tabs>
        <w:ind w:left="643" w:hanging="360"/>
      </w:pPr>
    </w:lvl>
  </w:abstractNum>
  <w:abstractNum w:abstractNumId="5">
    <w:nsid w:val="FFFFFF80"/>
    <w:multiLevelType w:val="singleLevel"/>
    <w:tmpl w:val="396435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452BFE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48CAF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840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54C1034"/>
    <w:lvl w:ilvl="0">
      <w:start w:val="1"/>
      <w:numFmt w:val="decimal"/>
      <w:lvlText w:val="%1."/>
      <w:lvlJc w:val="left"/>
      <w:pPr>
        <w:tabs>
          <w:tab w:val="num" w:pos="360"/>
        </w:tabs>
        <w:ind w:left="360" w:hanging="360"/>
      </w:pPr>
    </w:lvl>
  </w:abstractNum>
  <w:abstractNum w:abstractNumId="10">
    <w:nsid w:val="FFFFFF89"/>
    <w:multiLevelType w:val="singleLevel"/>
    <w:tmpl w:val="D04EB866"/>
    <w:lvl w:ilvl="0">
      <w:start w:val="1"/>
      <w:numFmt w:val="bullet"/>
      <w:lvlText w:val=""/>
      <w:lvlJc w:val="left"/>
      <w:pPr>
        <w:tabs>
          <w:tab w:val="num" w:pos="360"/>
        </w:tabs>
        <w:ind w:left="360" w:hanging="360"/>
      </w:pPr>
      <w:rPr>
        <w:rFonts w:ascii="Symbol" w:hAnsi="Symbol" w:hint="default"/>
      </w:rPr>
    </w:lvl>
  </w:abstractNum>
  <w:abstractNum w:abstractNumId="11">
    <w:nsid w:val="3B2A7C4C"/>
    <w:multiLevelType w:val="hybridMultilevel"/>
    <w:tmpl w:val="54C0B2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C8C4952"/>
    <w:multiLevelType w:val="hybridMultilevel"/>
    <w:tmpl w:val="A306BA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embedSystemFonts/>
  <w:proofState w:spelling="clean"/>
  <w:defaultTabStop w:val="720"/>
  <w:drawingGridHorizontalSpacing w:val="284"/>
  <w:drawingGridVerticalSpacing w:val="318"/>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513974"/>
    <w:rsid w:val="000479DB"/>
    <w:rsid w:val="00047AE3"/>
    <w:rsid w:val="00057F97"/>
    <w:rsid w:val="0006004D"/>
    <w:rsid w:val="00063734"/>
    <w:rsid w:val="000738C8"/>
    <w:rsid w:val="0008526F"/>
    <w:rsid w:val="000A39CF"/>
    <w:rsid w:val="000B1E38"/>
    <w:rsid w:val="000B7146"/>
    <w:rsid w:val="000B7A77"/>
    <w:rsid w:val="000D031C"/>
    <w:rsid w:val="000D22FE"/>
    <w:rsid w:val="001607E3"/>
    <w:rsid w:val="0017149E"/>
    <w:rsid w:val="0018447C"/>
    <w:rsid w:val="001915FF"/>
    <w:rsid w:val="001A4438"/>
    <w:rsid w:val="001B417E"/>
    <w:rsid w:val="001B5FEC"/>
    <w:rsid w:val="001C1074"/>
    <w:rsid w:val="001D2062"/>
    <w:rsid w:val="00200827"/>
    <w:rsid w:val="00201AC9"/>
    <w:rsid w:val="0021141B"/>
    <w:rsid w:val="0022107A"/>
    <w:rsid w:val="0022195E"/>
    <w:rsid w:val="002256EB"/>
    <w:rsid w:val="00232C90"/>
    <w:rsid w:val="002368FF"/>
    <w:rsid w:val="00242FBD"/>
    <w:rsid w:val="00253923"/>
    <w:rsid w:val="00253B47"/>
    <w:rsid w:val="00277B89"/>
    <w:rsid w:val="00280FCB"/>
    <w:rsid w:val="00282854"/>
    <w:rsid w:val="00283880"/>
    <w:rsid w:val="00287708"/>
    <w:rsid w:val="00294DB2"/>
    <w:rsid w:val="002966FD"/>
    <w:rsid w:val="002B40E3"/>
    <w:rsid w:val="002D265F"/>
    <w:rsid w:val="002E588E"/>
    <w:rsid w:val="002E5F4F"/>
    <w:rsid w:val="002E6D90"/>
    <w:rsid w:val="00327869"/>
    <w:rsid w:val="0033607E"/>
    <w:rsid w:val="0034236D"/>
    <w:rsid w:val="0034405E"/>
    <w:rsid w:val="00361C91"/>
    <w:rsid w:val="00372059"/>
    <w:rsid w:val="0037345B"/>
    <w:rsid w:val="00382F00"/>
    <w:rsid w:val="00385E9A"/>
    <w:rsid w:val="00387B03"/>
    <w:rsid w:val="003927EC"/>
    <w:rsid w:val="00393117"/>
    <w:rsid w:val="003962DA"/>
    <w:rsid w:val="00396542"/>
    <w:rsid w:val="00397427"/>
    <w:rsid w:val="003A30CD"/>
    <w:rsid w:val="003A7D22"/>
    <w:rsid w:val="003B3DA0"/>
    <w:rsid w:val="003B6D5B"/>
    <w:rsid w:val="003C0A00"/>
    <w:rsid w:val="003C152E"/>
    <w:rsid w:val="003C447A"/>
    <w:rsid w:val="003D3539"/>
    <w:rsid w:val="003E17FD"/>
    <w:rsid w:val="003F29CF"/>
    <w:rsid w:val="003F5527"/>
    <w:rsid w:val="003F697B"/>
    <w:rsid w:val="003F77DF"/>
    <w:rsid w:val="004037C8"/>
    <w:rsid w:val="00415206"/>
    <w:rsid w:val="00415AB1"/>
    <w:rsid w:val="00417DAB"/>
    <w:rsid w:val="00437F40"/>
    <w:rsid w:val="00443557"/>
    <w:rsid w:val="00445F1D"/>
    <w:rsid w:val="00461A01"/>
    <w:rsid w:val="004623BE"/>
    <w:rsid w:val="00484E97"/>
    <w:rsid w:val="004878D2"/>
    <w:rsid w:val="00492563"/>
    <w:rsid w:val="00493603"/>
    <w:rsid w:val="004A3E3B"/>
    <w:rsid w:val="004B2BA2"/>
    <w:rsid w:val="004B49E2"/>
    <w:rsid w:val="004B5ED4"/>
    <w:rsid w:val="004B7D04"/>
    <w:rsid w:val="004D6A8B"/>
    <w:rsid w:val="004E4571"/>
    <w:rsid w:val="004E4939"/>
    <w:rsid w:val="004E5632"/>
    <w:rsid w:val="004E6136"/>
    <w:rsid w:val="004F06B3"/>
    <w:rsid w:val="004F2165"/>
    <w:rsid w:val="0050792D"/>
    <w:rsid w:val="00513974"/>
    <w:rsid w:val="00521485"/>
    <w:rsid w:val="00522E20"/>
    <w:rsid w:val="00523AD4"/>
    <w:rsid w:val="0052619E"/>
    <w:rsid w:val="00566148"/>
    <w:rsid w:val="005674ED"/>
    <w:rsid w:val="005A06B1"/>
    <w:rsid w:val="005A770B"/>
    <w:rsid w:val="005B147E"/>
    <w:rsid w:val="005B7799"/>
    <w:rsid w:val="005C4CB4"/>
    <w:rsid w:val="0060074A"/>
    <w:rsid w:val="00612751"/>
    <w:rsid w:val="00631C90"/>
    <w:rsid w:val="00635122"/>
    <w:rsid w:val="00657068"/>
    <w:rsid w:val="0068030E"/>
    <w:rsid w:val="00695AC7"/>
    <w:rsid w:val="006E70CC"/>
    <w:rsid w:val="006E7D95"/>
    <w:rsid w:val="006F23AA"/>
    <w:rsid w:val="006F5464"/>
    <w:rsid w:val="00701B77"/>
    <w:rsid w:val="00722D17"/>
    <w:rsid w:val="00732058"/>
    <w:rsid w:val="00732143"/>
    <w:rsid w:val="00746FC7"/>
    <w:rsid w:val="00755578"/>
    <w:rsid w:val="007573FA"/>
    <w:rsid w:val="0078321E"/>
    <w:rsid w:val="00797047"/>
    <w:rsid w:val="007A4E58"/>
    <w:rsid w:val="007B5124"/>
    <w:rsid w:val="007C7CAD"/>
    <w:rsid w:val="007D2E52"/>
    <w:rsid w:val="007D5315"/>
    <w:rsid w:val="007D5B51"/>
    <w:rsid w:val="007D66F3"/>
    <w:rsid w:val="007E195C"/>
    <w:rsid w:val="007E36C9"/>
    <w:rsid w:val="007E74FB"/>
    <w:rsid w:val="007F04B6"/>
    <w:rsid w:val="007F1D55"/>
    <w:rsid w:val="007F5B3A"/>
    <w:rsid w:val="00834401"/>
    <w:rsid w:val="008373F5"/>
    <w:rsid w:val="00847227"/>
    <w:rsid w:val="00852A0B"/>
    <w:rsid w:val="00860E9A"/>
    <w:rsid w:val="008700FE"/>
    <w:rsid w:val="00874E08"/>
    <w:rsid w:val="008756F0"/>
    <w:rsid w:val="008866D2"/>
    <w:rsid w:val="008935C9"/>
    <w:rsid w:val="008E361A"/>
    <w:rsid w:val="008E369A"/>
    <w:rsid w:val="008E4379"/>
    <w:rsid w:val="008F201D"/>
    <w:rsid w:val="008F3A47"/>
    <w:rsid w:val="00912B1F"/>
    <w:rsid w:val="009145C3"/>
    <w:rsid w:val="009153DB"/>
    <w:rsid w:val="00920FE6"/>
    <w:rsid w:val="00921F8D"/>
    <w:rsid w:val="00931FD5"/>
    <w:rsid w:val="00944A8E"/>
    <w:rsid w:val="00953B3C"/>
    <w:rsid w:val="00965D97"/>
    <w:rsid w:val="009660A0"/>
    <w:rsid w:val="00966C9B"/>
    <w:rsid w:val="0097196B"/>
    <w:rsid w:val="009754F7"/>
    <w:rsid w:val="00981A50"/>
    <w:rsid w:val="009860DC"/>
    <w:rsid w:val="009A274B"/>
    <w:rsid w:val="009B493F"/>
    <w:rsid w:val="009B6D71"/>
    <w:rsid w:val="009C05BA"/>
    <w:rsid w:val="009C2E5B"/>
    <w:rsid w:val="009C7CEC"/>
    <w:rsid w:val="009D31BF"/>
    <w:rsid w:val="009E540B"/>
    <w:rsid w:val="009F2AD9"/>
    <w:rsid w:val="009F402B"/>
    <w:rsid w:val="009F597A"/>
    <w:rsid w:val="00A01472"/>
    <w:rsid w:val="00A0447D"/>
    <w:rsid w:val="00A06E7C"/>
    <w:rsid w:val="00A22929"/>
    <w:rsid w:val="00A372F7"/>
    <w:rsid w:val="00A43388"/>
    <w:rsid w:val="00A72967"/>
    <w:rsid w:val="00A74AEC"/>
    <w:rsid w:val="00AA4DC2"/>
    <w:rsid w:val="00AB0118"/>
    <w:rsid w:val="00AE1031"/>
    <w:rsid w:val="00AE5931"/>
    <w:rsid w:val="00AF6945"/>
    <w:rsid w:val="00AF7C00"/>
    <w:rsid w:val="00B1369D"/>
    <w:rsid w:val="00B15C92"/>
    <w:rsid w:val="00B20804"/>
    <w:rsid w:val="00B237CA"/>
    <w:rsid w:val="00B455C9"/>
    <w:rsid w:val="00B46A06"/>
    <w:rsid w:val="00B53D27"/>
    <w:rsid w:val="00B54EF5"/>
    <w:rsid w:val="00B55991"/>
    <w:rsid w:val="00B56060"/>
    <w:rsid w:val="00B56070"/>
    <w:rsid w:val="00B647E0"/>
    <w:rsid w:val="00B654B8"/>
    <w:rsid w:val="00B733BC"/>
    <w:rsid w:val="00B7799E"/>
    <w:rsid w:val="00B8250E"/>
    <w:rsid w:val="00B85D25"/>
    <w:rsid w:val="00B90EA1"/>
    <w:rsid w:val="00BA3D81"/>
    <w:rsid w:val="00BA5E0F"/>
    <w:rsid w:val="00BD1F15"/>
    <w:rsid w:val="00BD442A"/>
    <w:rsid w:val="00BE7EAE"/>
    <w:rsid w:val="00BF40C6"/>
    <w:rsid w:val="00C17D82"/>
    <w:rsid w:val="00C2439B"/>
    <w:rsid w:val="00C2636B"/>
    <w:rsid w:val="00C87C2F"/>
    <w:rsid w:val="00CD2D62"/>
    <w:rsid w:val="00CD4603"/>
    <w:rsid w:val="00CE0F38"/>
    <w:rsid w:val="00CE1D28"/>
    <w:rsid w:val="00CE42F3"/>
    <w:rsid w:val="00CF172C"/>
    <w:rsid w:val="00D001A8"/>
    <w:rsid w:val="00D013A2"/>
    <w:rsid w:val="00D0586C"/>
    <w:rsid w:val="00D14CB7"/>
    <w:rsid w:val="00D150CA"/>
    <w:rsid w:val="00D233F9"/>
    <w:rsid w:val="00D2349A"/>
    <w:rsid w:val="00D24ABA"/>
    <w:rsid w:val="00D26631"/>
    <w:rsid w:val="00D32F13"/>
    <w:rsid w:val="00D414C9"/>
    <w:rsid w:val="00D64984"/>
    <w:rsid w:val="00D863A9"/>
    <w:rsid w:val="00D86641"/>
    <w:rsid w:val="00D91675"/>
    <w:rsid w:val="00DA116B"/>
    <w:rsid w:val="00DC2AA5"/>
    <w:rsid w:val="00DD3501"/>
    <w:rsid w:val="00DE4741"/>
    <w:rsid w:val="00E053D4"/>
    <w:rsid w:val="00E05AC4"/>
    <w:rsid w:val="00E07DEB"/>
    <w:rsid w:val="00E2402F"/>
    <w:rsid w:val="00E26427"/>
    <w:rsid w:val="00E318AC"/>
    <w:rsid w:val="00E41EA1"/>
    <w:rsid w:val="00E46766"/>
    <w:rsid w:val="00E55012"/>
    <w:rsid w:val="00E62761"/>
    <w:rsid w:val="00E73D89"/>
    <w:rsid w:val="00E82159"/>
    <w:rsid w:val="00E859DC"/>
    <w:rsid w:val="00E950A4"/>
    <w:rsid w:val="00E9559F"/>
    <w:rsid w:val="00E95944"/>
    <w:rsid w:val="00EA0428"/>
    <w:rsid w:val="00EA623D"/>
    <w:rsid w:val="00EA7E52"/>
    <w:rsid w:val="00EB4008"/>
    <w:rsid w:val="00EC1882"/>
    <w:rsid w:val="00EC5024"/>
    <w:rsid w:val="00ED05F6"/>
    <w:rsid w:val="00EE2F0B"/>
    <w:rsid w:val="00EE44CB"/>
    <w:rsid w:val="00EE4A43"/>
    <w:rsid w:val="00EE6F38"/>
    <w:rsid w:val="00F12EB0"/>
    <w:rsid w:val="00F25C70"/>
    <w:rsid w:val="00F3632F"/>
    <w:rsid w:val="00F44124"/>
    <w:rsid w:val="00F5329E"/>
    <w:rsid w:val="00F65B9F"/>
    <w:rsid w:val="00F72272"/>
    <w:rsid w:val="00F807FA"/>
    <w:rsid w:val="00F81939"/>
    <w:rsid w:val="00F81A51"/>
    <w:rsid w:val="00F86168"/>
    <w:rsid w:val="00F8792D"/>
    <w:rsid w:val="00F91F41"/>
    <w:rsid w:val="00F93D34"/>
    <w:rsid w:val="00F96208"/>
    <w:rsid w:val="00FC6A25"/>
    <w:rsid w:val="00FD0737"/>
    <w:rsid w:val="00FE17A1"/>
    <w:rsid w:val="00FE4076"/>
    <w:rsid w:val="00FE740A"/>
    <w:rsid w:val="00FF78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4F06B3"/>
    <w:pPr>
      <w:spacing w:after="320" w:line="320" w:lineRule="exact"/>
    </w:pPr>
    <w:rPr>
      <w:rFonts w:ascii="Arial" w:eastAsia="Times New Roman" w:hAnsi="Arial" w:cs="Times New Roman"/>
      <w:sz w:val="20"/>
      <w:szCs w:val="20"/>
    </w:rPr>
  </w:style>
  <w:style w:type="paragraph" w:styleId="Heading1">
    <w:name w:val="heading 1"/>
    <w:aliases w:val="SUPER HEADING"/>
    <w:basedOn w:val="Normal"/>
    <w:next w:val="Normal"/>
    <w:link w:val="Heading1Char"/>
    <w:uiPriority w:val="9"/>
    <w:qFormat/>
    <w:rsid w:val="00EE6F38"/>
    <w:pPr>
      <w:keepNext/>
      <w:keepLines/>
      <w:spacing w:after="640" w:line="640" w:lineRule="exact"/>
      <w:outlineLvl w:val="0"/>
    </w:pPr>
    <w:rPr>
      <w:rFonts w:eastAsiaTheme="majorEastAsia" w:cstheme="majorBidi"/>
      <w:b/>
      <w:bCs/>
      <w:caps/>
      <w:color w:val="0B3066"/>
      <w:sz w:val="64"/>
      <w:szCs w:val="64"/>
    </w:rPr>
  </w:style>
  <w:style w:type="paragraph" w:styleId="Heading2">
    <w:name w:val="heading 2"/>
    <w:aliases w:val="Heading"/>
    <w:basedOn w:val="Normal"/>
    <w:next w:val="Normal"/>
    <w:link w:val="Heading2Char"/>
    <w:qFormat/>
    <w:rsid w:val="004037C8"/>
    <w:pPr>
      <w:keepNext/>
      <w:tabs>
        <w:tab w:val="left" w:pos="357"/>
      </w:tabs>
      <w:outlineLvl w:val="1"/>
    </w:pPr>
    <w:rPr>
      <w:b/>
      <w:caps/>
      <w:sz w:val="32"/>
      <w:szCs w:val="32"/>
    </w:rPr>
  </w:style>
  <w:style w:type="paragraph" w:styleId="Heading3">
    <w:name w:val="heading 3"/>
    <w:aliases w:val="SUBHEADING"/>
    <w:basedOn w:val="Normal"/>
    <w:next w:val="Normal"/>
    <w:link w:val="Heading3Char"/>
    <w:uiPriority w:val="9"/>
    <w:unhideWhenUsed/>
    <w:qFormat/>
    <w:rsid w:val="00EE6F38"/>
    <w:pPr>
      <w:keepNext/>
      <w:keepLines/>
      <w:outlineLvl w:val="2"/>
    </w:pPr>
    <w:rPr>
      <w:rFonts w:eastAsiaTheme="majorEastAsia" w:cstheme="majorBidi"/>
      <w:caps/>
      <w:color w:val="0B3066"/>
      <w:sz w:val="22"/>
      <w:szCs w:val="22"/>
    </w:rPr>
  </w:style>
  <w:style w:type="paragraph" w:styleId="Heading4">
    <w:name w:val="heading 4"/>
    <w:aliases w:val="Caption Heading"/>
    <w:basedOn w:val="Normal"/>
    <w:next w:val="Normal"/>
    <w:link w:val="Heading4Char"/>
    <w:uiPriority w:val="9"/>
    <w:unhideWhenUsed/>
    <w:qFormat/>
    <w:rsid w:val="00EE6F38"/>
    <w:pPr>
      <w:keepNext/>
      <w:keepLines/>
      <w:spacing w:before="200" w:after="0"/>
      <w:outlineLvl w:val="3"/>
    </w:pPr>
    <w:rPr>
      <w:rFonts w:eastAsiaTheme="majorEastAsia" w:cstheme="majorBidi"/>
      <w:i/>
      <w:iCs/>
      <w:caps/>
      <w:color w:val="0B3066"/>
      <w:sz w:val="18"/>
      <w:szCs w:val="18"/>
    </w:rPr>
  </w:style>
  <w:style w:type="paragraph" w:styleId="Heading5">
    <w:name w:val="heading 5"/>
    <w:basedOn w:val="Normal"/>
    <w:next w:val="Normal"/>
    <w:link w:val="Heading5Char"/>
    <w:uiPriority w:val="9"/>
    <w:semiHidden/>
    <w:unhideWhenUsed/>
    <w:qFormat/>
    <w:rsid w:val="00EE6F38"/>
    <w:pPr>
      <w:keepNext/>
      <w:keepLines/>
      <w:spacing w:before="200" w:after="0"/>
      <w:outlineLvl w:val="4"/>
    </w:pPr>
    <w:rPr>
      <w:rFonts w:asciiTheme="majorHAnsi" w:eastAsiaTheme="majorEastAsia" w:hAnsiTheme="majorHAnsi" w:cstheme="majorBidi"/>
      <w:color w:val="0B3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Char"/>
    <w:basedOn w:val="DefaultParagraphFont"/>
    <w:link w:val="Heading2"/>
    <w:rsid w:val="004037C8"/>
    <w:rPr>
      <w:rFonts w:ascii="Arial" w:eastAsia="Times New Roman" w:hAnsi="Arial" w:cs="Times New Roman"/>
      <w:b/>
      <w:caps/>
      <w:sz w:val="32"/>
      <w:szCs w:val="32"/>
    </w:rPr>
  </w:style>
  <w:style w:type="paragraph" w:styleId="Header">
    <w:name w:val="header"/>
    <w:basedOn w:val="Normal"/>
    <w:link w:val="HeaderChar"/>
    <w:uiPriority w:val="99"/>
    <w:unhideWhenUsed/>
    <w:rsid w:val="00FD0737"/>
    <w:pPr>
      <w:tabs>
        <w:tab w:val="center" w:pos="4320"/>
        <w:tab w:val="right" w:pos="8640"/>
      </w:tabs>
    </w:pPr>
  </w:style>
  <w:style w:type="character" w:customStyle="1" w:styleId="HeaderChar">
    <w:name w:val="Header Char"/>
    <w:basedOn w:val="DefaultParagraphFont"/>
    <w:link w:val="Header"/>
    <w:uiPriority w:val="99"/>
    <w:rsid w:val="00FD0737"/>
    <w:rPr>
      <w:rFonts w:ascii="Arial" w:eastAsia="Times New Roman" w:hAnsi="Arial" w:cs="Times New Roman"/>
      <w:sz w:val="20"/>
      <w:szCs w:val="20"/>
    </w:rPr>
  </w:style>
  <w:style w:type="character" w:customStyle="1" w:styleId="Heading4Char">
    <w:name w:val="Heading 4 Char"/>
    <w:aliases w:val="Caption Heading Char"/>
    <w:basedOn w:val="DefaultParagraphFont"/>
    <w:link w:val="Heading4"/>
    <w:uiPriority w:val="9"/>
    <w:rsid w:val="00EE6F38"/>
    <w:rPr>
      <w:rFonts w:ascii="Arial" w:eastAsiaTheme="majorEastAsia" w:hAnsi="Arial" w:cstheme="majorBidi"/>
      <w:i/>
      <w:iCs/>
      <w:caps/>
      <w:color w:val="0B3066"/>
      <w:sz w:val="18"/>
      <w:szCs w:val="18"/>
    </w:rPr>
  </w:style>
  <w:style w:type="paragraph" w:styleId="Footer">
    <w:name w:val="footer"/>
    <w:basedOn w:val="Normal"/>
    <w:link w:val="FooterChar"/>
    <w:uiPriority w:val="99"/>
    <w:unhideWhenUsed/>
    <w:qFormat/>
    <w:rsid w:val="00D24ABA"/>
    <w:pPr>
      <w:tabs>
        <w:tab w:val="center" w:pos="4320"/>
        <w:tab w:val="right" w:pos="8640"/>
      </w:tabs>
      <w:spacing w:after="0" w:line="240" w:lineRule="auto"/>
    </w:pPr>
  </w:style>
  <w:style w:type="paragraph" w:styleId="BalloonText">
    <w:name w:val="Balloon Text"/>
    <w:basedOn w:val="Normal"/>
    <w:link w:val="BalloonTextChar"/>
    <w:uiPriority w:val="99"/>
    <w:semiHidden/>
    <w:unhideWhenUsed/>
    <w:rsid w:val="00B237C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237CA"/>
    <w:rPr>
      <w:rFonts w:ascii="Lucida Grande" w:eastAsia="Times New Roman" w:hAnsi="Lucida Grande" w:cs="Times New Roman"/>
      <w:sz w:val="18"/>
      <w:szCs w:val="18"/>
    </w:rPr>
  </w:style>
  <w:style w:type="paragraph" w:styleId="BodyText">
    <w:name w:val="Body Text"/>
    <w:basedOn w:val="Normal"/>
    <w:link w:val="BodyTextChar"/>
    <w:uiPriority w:val="99"/>
    <w:semiHidden/>
    <w:unhideWhenUsed/>
    <w:rsid w:val="00631C90"/>
    <w:pPr>
      <w:spacing w:after="120"/>
    </w:pPr>
  </w:style>
  <w:style w:type="character" w:customStyle="1" w:styleId="BodyTextChar">
    <w:name w:val="Body Text Char"/>
    <w:basedOn w:val="DefaultParagraphFont"/>
    <w:link w:val="BodyText"/>
    <w:uiPriority w:val="99"/>
    <w:semiHidden/>
    <w:rsid w:val="00631C90"/>
    <w:rPr>
      <w:rFonts w:ascii="Helvetica Neue Light" w:eastAsia="Times New Roman" w:hAnsi="Helvetica Neue Light" w:cs="Times New Roman"/>
      <w:szCs w:val="20"/>
    </w:rPr>
  </w:style>
  <w:style w:type="character" w:customStyle="1" w:styleId="Heading3Char">
    <w:name w:val="Heading 3 Char"/>
    <w:aliases w:val="SUBHEADING Char"/>
    <w:basedOn w:val="DefaultParagraphFont"/>
    <w:link w:val="Heading3"/>
    <w:uiPriority w:val="9"/>
    <w:rsid w:val="00EE6F38"/>
    <w:rPr>
      <w:rFonts w:ascii="Arial" w:eastAsiaTheme="majorEastAsia" w:hAnsi="Arial" w:cstheme="majorBidi"/>
      <w:caps/>
      <w:color w:val="0B3066"/>
      <w:sz w:val="22"/>
      <w:szCs w:val="22"/>
    </w:rPr>
  </w:style>
  <w:style w:type="character" w:customStyle="1" w:styleId="Heading1Char">
    <w:name w:val="Heading 1 Char"/>
    <w:aliases w:val="SUPER HEADING Char"/>
    <w:basedOn w:val="DefaultParagraphFont"/>
    <w:link w:val="Heading1"/>
    <w:uiPriority w:val="9"/>
    <w:rsid w:val="00EE6F38"/>
    <w:rPr>
      <w:rFonts w:ascii="Arial" w:eastAsiaTheme="majorEastAsia" w:hAnsi="Arial" w:cstheme="majorBidi"/>
      <w:b/>
      <w:bCs/>
      <w:caps/>
      <w:color w:val="0B3066"/>
      <w:sz w:val="64"/>
      <w:szCs w:val="64"/>
    </w:rPr>
  </w:style>
  <w:style w:type="paragraph" w:customStyle="1" w:styleId="Address">
    <w:name w:val="Address"/>
    <w:basedOn w:val="Normal"/>
    <w:qFormat/>
    <w:rsid w:val="009860DC"/>
    <w:pPr>
      <w:spacing w:after="0"/>
    </w:pPr>
  </w:style>
  <w:style w:type="paragraph" w:customStyle="1" w:styleId="CaptionText">
    <w:name w:val="Caption Text"/>
    <w:basedOn w:val="Normal"/>
    <w:qFormat/>
    <w:rsid w:val="00EE6F38"/>
    <w:pPr>
      <w:tabs>
        <w:tab w:val="right" w:pos="7371"/>
        <w:tab w:val="left" w:pos="7655"/>
      </w:tabs>
      <w:spacing w:after="0"/>
    </w:pPr>
    <w:rPr>
      <w:i/>
      <w:color w:val="0B3066"/>
      <w:sz w:val="18"/>
    </w:rPr>
  </w:style>
  <w:style w:type="character" w:customStyle="1" w:styleId="FooterChar">
    <w:name w:val="Footer Char"/>
    <w:basedOn w:val="DefaultParagraphFont"/>
    <w:link w:val="Footer"/>
    <w:uiPriority w:val="99"/>
    <w:rsid w:val="00D24ABA"/>
    <w:rPr>
      <w:rFonts w:ascii="Arial" w:eastAsia="Times New Roman" w:hAnsi="Arial" w:cs="Times New Roman"/>
      <w:sz w:val="20"/>
      <w:szCs w:val="20"/>
    </w:rPr>
  </w:style>
  <w:style w:type="paragraph" w:customStyle="1" w:styleId="FooterText">
    <w:name w:val="Footer Text"/>
    <w:basedOn w:val="CaptionText"/>
    <w:qFormat/>
    <w:rsid w:val="00EE6F38"/>
    <w:pPr>
      <w:tabs>
        <w:tab w:val="clear" w:pos="7371"/>
        <w:tab w:val="clear" w:pos="7655"/>
        <w:tab w:val="right" w:pos="3686"/>
        <w:tab w:val="left" w:pos="3827"/>
        <w:tab w:val="right" w:pos="6804"/>
      </w:tabs>
      <w:spacing w:before="160"/>
    </w:pPr>
    <w:rPr>
      <w:sz w:val="16"/>
    </w:rPr>
  </w:style>
  <w:style w:type="paragraph" w:customStyle="1" w:styleId="SideCaptionHeading">
    <w:name w:val="Side Caption Heading"/>
    <w:basedOn w:val="Heading4"/>
    <w:next w:val="CaptionText"/>
    <w:qFormat/>
    <w:rsid w:val="00EE6F38"/>
    <w:pPr>
      <w:framePr w:wrap="around" w:vAnchor="text" w:hAnchor="text" w:y="1"/>
      <w:spacing w:before="0"/>
    </w:pPr>
  </w:style>
  <w:style w:type="paragraph" w:customStyle="1" w:styleId="SideCaption">
    <w:name w:val="Side Caption"/>
    <w:basedOn w:val="SideCaptionHeading"/>
    <w:qFormat/>
    <w:rsid w:val="00EE6F38"/>
    <w:pPr>
      <w:framePr w:wrap="around"/>
      <w:ind w:left="-142"/>
    </w:pPr>
    <w:rPr>
      <w:caps w:val="0"/>
    </w:rPr>
  </w:style>
  <w:style w:type="character" w:customStyle="1" w:styleId="Heading5Char">
    <w:name w:val="Heading 5 Char"/>
    <w:basedOn w:val="DefaultParagraphFont"/>
    <w:link w:val="Heading5"/>
    <w:uiPriority w:val="9"/>
    <w:semiHidden/>
    <w:rsid w:val="00EE6F38"/>
    <w:rPr>
      <w:rFonts w:asciiTheme="majorHAnsi" w:eastAsiaTheme="majorEastAsia" w:hAnsiTheme="majorHAnsi" w:cstheme="majorBidi"/>
      <w:color w:val="0B3066"/>
      <w:sz w:val="20"/>
      <w:szCs w:val="20"/>
    </w:rPr>
  </w:style>
  <w:style w:type="character" w:styleId="Hyperlink">
    <w:name w:val="Hyperlink"/>
    <w:basedOn w:val="DefaultParagraphFont"/>
    <w:uiPriority w:val="99"/>
    <w:unhideWhenUsed/>
    <w:rsid w:val="007F04B6"/>
    <w:rPr>
      <w:color w:val="0000FF" w:themeColor="hyperlink"/>
      <w:u w:val="single"/>
    </w:rPr>
  </w:style>
  <w:style w:type="paragraph" w:styleId="ListParagraph">
    <w:name w:val="List Paragraph"/>
    <w:basedOn w:val="Normal"/>
    <w:uiPriority w:val="34"/>
    <w:qFormat/>
    <w:rsid w:val="00FE1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6938">
      <w:bodyDiv w:val="1"/>
      <w:marLeft w:val="0"/>
      <w:marRight w:val="0"/>
      <w:marTop w:val="0"/>
      <w:marBottom w:val="0"/>
      <w:divBdr>
        <w:top w:val="none" w:sz="0" w:space="0" w:color="auto"/>
        <w:left w:val="none" w:sz="0" w:space="0" w:color="auto"/>
        <w:bottom w:val="none" w:sz="0" w:space="0" w:color="auto"/>
        <w:right w:val="none" w:sz="0" w:space="0" w:color="auto"/>
      </w:divBdr>
    </w:div>
    <w:div w:id="404300872">
      <w:bodyDiv w:val="1"/>
      <w:marLeft w:val="0"/>
      <w:marRight w:val="0"/>
      <w:marTop w:val="0"/>
      <w:marBottom w:val="0"/>
      <w:divBdr>
        <w:top w:val="none" w:sz="0" w:space="0" w:color="auto"/>
        <w:left w:val="none" w:sz="0" w:space="0" w:color="auto"/>
        <w:bottom w:val="none" w:sz="0" w:space="0" w:color="auto"/>
        <w:right w:val="none" w:sz="0" w:space="0" w:color="auto"/>
      </w:divBdr>
    </w:div>
    <w:div w:id="404647729">
      <w:bodyDiv w:val="1"/>
      <w:marLeft w:val="0"/>
      <w:marRight w:val="0"/>
      <w:marTop w:val="0"/>
      <w:marBottom w:val="0"/>
      <w:divBdr>
        <w:top w:val="none" w:sz="0" w:space="0" w:color="auto"/>
        <w:left w:val="none" w:sz="0" w:space="0" w:color="auto"/>
        <w:bottom w:val="none" w:sz="0" w:space="0" w:color="auto"/>
        <w:right w:val="none" w:sz="0" w:space="0" w:color="auto"/>
      </w:divBdr>
    </w:div>
    <w:div w:id="555701653">
      <w:bodyDiv w:val="1"/>
      <w:marLeft w:val="0"/>
      <w:marRight w:val="0"/>
      <w:marTop w:val="0"/>
      <w:marBottom w:val="0"/>
      <w:divBdr>
        <w:top w:val="none" w:sz="0" w:space="0" w:color="auto"/>
        <w:left w:val="none" w:sz="0" w:space="0" w:color="auto"/>
        <w:bottom w:val="none" w:sz="0" w:space="0" w:color="auto"/>
        <w:right w:val="none" w:sz="0" w:space="0" w:color="auto"/>
      </w:divBdr>
    </w:div>
    <w:div w:id="622200196">
      <w:bodyDiv w:val="1"/>
      <w:marLeft w:val="0"/>
      <w:marRight w:val="0"/>
      <w:marTop w:val="0"/>
      <w:marBottom w:val="0"/>
      <w:divBdr>
        <w:top w:val="none" w:sz="0" w:space="0" w:color="auto"/>
        <w:left w:val="none" w:sz="0" w:space="0" w:color="auto"/>
        <w:bottom w:val="none" w:sz="0" w:space="0" w:color="auto"/>
        <w:right w:val="none" w:sz="0" w:space="0" w:color="auto"/>
      </w:divBdr>
    </w:div>
    <w:div w:id="690451296">
      <w:bodyDiv w:val="1"/>
      <w:marLeft w:val="0"/>
      <w:marRight w:val="0"/>
      <w:marTop w:val="0"/>
      <w:marBottom w:val="0"/>
      <w:divBdr>
        <w:top w:val="none" w:sz="0" w:space="0" w:color="auto"/>
        <w:left w:val="none" w:sz="0" w:space="0" w:color="auto"/>
        <w:bottom w:val="none" w:sz="0" w:space="0" w:color="auto"/>
        <w:right w:val="none" w:sz="0" w:space="0" w:color="auto"/>
      </w:divBdr>
    </w:div>
    <w:div w:id="804588397">
      <w:bodyDiv w:val="1"/>
      <w:marLeft w:val="0"/>
      <w:marRight w:val="0"/>
      <w:marTop w:val="0"/>
      <w:marBottom w:val="0"/>
      <w:divBdr>
        <w:top w:val="none" w:sz="0" w:space="0" w:color="auto"/>
        <w:left w:val="none" w:sz="0" w:space="0" w:color="auto"/>
        <w:bottom w:val="none" w:sz="0" w:space="0" w:color="auto"/>
        <w:right w:val="none" w:sz="0" w:space="0" w:color="auto"/>
      </w:divBdr>
    </w:div>
    <w:div w:id="827551080">
      <w:bodyDiv w:val="1"/>
      <w:marLeft w:val="0"/>
      <w:marRight w:val="0"/>
      <w:marTop w:val="0"/>
      <w:marBottom w:val="0"/>
      <w:divBdr>
        <w:top w:val="none" w:sz="0" w:space="0" w:color="auto"/>
        <w:left w:val="none" w:sz="0" w:space="0" w:color="auto"/>
        <w:bottom w:val="none" w:sz="0" w:space="0" w:color="auto"/>
        <w:right w:val="none" w:sz="0" w:space="0" w:color="auto"/>
      </w:divBdr>
    </w:div>
    <w:div w:id="877087643">
      <w:bodyDiv w:val="1"/>
      <w:marLeft w:val="0"/>
      <w:marRight w:val="0"/>
      <w:marTop w:val="0"/>
      <w:marBottom w:val="0"/>
      <w:divBdr>
        <w:top w:val="none" w:sz="0" w:space="0" w:color="auto"/>
        <w:left w:val="none" w:sz="0" w:space="0" w:color="auto"/>
        <w:bottom w:val="none" w:sz="0" w:space="0" w:color="auto"/>
        <w:right w:val="none" w:sz="0" w:space="0" w:color="auto"/>
      </w:divBdr>
    </w:div>
    <w:div w:id="980842343">
      <w:bodyDiv w:val="1"/>
      <w:marLeft w:val="0"/>
      <w:marRight w:val="0"/>
      <w:marTop w:val="0"/>
      <w:marBottom w:val="0"/>
      <w:divBdr>
        <w:top w:val="none" w:sz="0" w:space="0" w:color="auto"/>
        <w:left w:val="none" w:sz="0" w:space="0" w:color="auto"/>
        <w:bottom w:val="none" w:sz="0" w:space="0" w:color="auto"/>
        <w:right w:val="none" w:sz="0" w:space="0" w:color="auto"/>
      </w:divBdr>
    </w:div>
    <w:div w:id="1007250785">
      <w:bodyDiv w:val="1"/>
      <w:marLeft w:val="0"/>
      <w:marRight w:val="0"/>
      <w:marTop w:val="0"/>
      <w:marBottom w:val="0"/>
      <w:divBdr>
        <w:top w:val="none" w:sz="0" w:space="0" w:color="auto"/>
        <w:left w:val="none" w:sz="0" w:space="0" w:color="auto"/>
        <w:bottom w:val="none" w:sz="0" w:space="0" w:color="auto"/>
        <w:right w:val="none" w:sz="0" w:space="0" w:color="auto"/>
      </w:divBdr>
    </w:div>
    <w:div w:id="1095055112">
      <w:bodyDiv w:val="1"/>
      <w:marLeft w:val="0"/>
      <w:marRight w:val="0"/>
      <w:marTop w:val="0"/>
      <w:marBottom w:val="0"/>
      <w:divBdr>
        <w:top w:val="none" w:sz="0" w:space="0" w:color="auto"/>
        <w:left w:val="none" w:sz="0" w:space="0" w:color="auto"/>
        <w:bottom w:val="none" w:sz="0" w:space="0" w:color="auto"/>
        <w:right w:val="none" w:sz="0" w:space="0" w:color="auto"/>
      </w:divBdr>
    </w:div>
    <w:div w:id="1142384162">
      <w:bodyDiv w:val="1"/>
      <w:marLeft w:val="0"/>
      <w:marRight w:val="0"/>
      <w:marTop w:val="0"/>
      <w:marBottom w:val="0"/>
      <w:divBdr>
        <w:top w:val="none" w:sz="0" w:space="0" w:color="auto"/>
        <w:left w:val="none" w:sz="0" w:space="0" w:color="auto"/>
        <w:bottom w:val="none" w:sz="0" w:space="0" w:color="auto"/>
        <w:right w:val="none" w:sz="0" w:space="0" w:color="auto"/>
      </w:divBdr>
    </w:div>
    <w:div w:id="1235092466">
      <w:bodyDiv w:val="1"/>
      <w:marLeft w:val="0"/>
      <w:marRight w:val="0"/>
      <w:marTop w:val="0"/>
      <w:marBottom w:val="0"/>
      <w:divBdr>
        <w:top w:val="none" w:sz="0" w:space="0" w:color="auto"/>
        <w:left w:val="none" w:sz="0" w:space="0" w:color="auto"/>
        <w:bottom w:val="none" w:sz="0" w:space="0" w:color="auto"/>
        <w:right w:val="none" w:sz="0" w:space="0" w:color="auto"/>
      </w:divBdr>
    </w:div>
    <w:div w:id="1407723611">
      <w:bodyDiv w:val="1"/>
      <w:marLeft w:val="0"/>
      <w:marRight w:val="0"/>
      <w:marTop w:val="0"/>
      <w:marBottom w:val="0"/>
      <w:divBdr>
        <w:top w:val="none" w:sz="0" w:space="0" w:color="auto"/>
        <w:left w:val="none" w:sz="0" w:space="0" w:color="auto"/>
        <w:bottom w:val="none" w:sz="0" w:space="0" w:color="auto"/>
        <w:right w:val="none" w:sz="0" w:space="0" w:color="auto"/>
      </w:divBdr>
    </w:div>
    <w:div w:id="1641034287">
      <w:bodyDiv w:val="1"/>
      <w:marLeft w:val="0"/>
      <w:marRight w:val="0"/>
      <w:marTop w:val="0"/>
      <w:marBottom w:val="0"/>
      <w:divBdr>
        <w:top w:val="none" w:sz="0" w:space="0" w:color="auto"/>
        <w:left w:val="none" w:sz="0" w:space="0" w:color="auto"/>
        <w:bottom w:val="none" w:sz="0" w:space="0" w:color="auto"/>
        <w:right w:val="none" w:sz="0" w:space="0" w:color="auto"/>
      </w:divBdr>
    </w:div>
    <w:div w:id="1846049889">
      <w:bodyDiv w:val="1"/>
      <w:marLeft w:val="0"/>
      <w:marRight w:val="0"/>
      <w:marTop w:val="0"/>
      <w:marBottom w:val="0"/>
      <w:divBdr>
        <w:top w:val="none" w:sz="0" w:space="0" w:color="auto"/>
        <w:left w:val="none" w:sz="0" w:space="0" w:color="auto"/>
        <w:bottom w:val="none" w:sz="0" w:space="0" w:color="auto"/>
        <w:right w:val="none" w:sz="0" w:space="0" w:color="auto"/>
      </w:divBdr>
    </w:div>
    <w:div w:id="2143765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enderrules@treasury.gov.au" TargetMode="External"/><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emf"/><Relationship Id="rId1" Type="http://schemas.openxmlformats.org/officeDocument/2006/relationships/image" Target="media/image6.png"/><Relationship Id="rId6" Type="http://schemas.openxmlformats.org/officeDocument/2006/relationships/hyperlink" Target="http://www.thegrci" TargetMode="External"/><Relationship Id="rId5" Type="http://schemas.openxmlformats.org/officeDocument/2006/relationships/image" Target="media/image10.emf"/><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38BF9C984E708F4593163B93C0430418" ma:contentTypeVersion="6257" ma:contentTypeDescription=" " ma:contentTypeScope="" ma:versionID="1a615a8316afb2a5df62760d84cafeef">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e1950192d94e5fcc694f2ebb1ffed81b"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2017MG-97-39529</_dlc_DocId>
    <TaxCatchAll xmlns="d4dd4adf-ddb3-46a3-8d7c-fab3fb2a6bc7">
      <Value>7</Value>
    </TaxCatchAll>
    <_dlc_DocIdUrl xmlns="d4dd4adf-ddb3-46a3-8d7c-fab3fb2a6bc7">
      <Url>http://tweb13/sites/mg/fsd/_layouts/15/DocIdRedir.aspx?ID=2017MG-97-39529</Url>
      <Description>2017MG-97-39529</Description>
    </_dlc_DocIdUrl>
    <IconOverlay xmlns="http://schemas.microsoft.com/sharepoint/v4" xsi:nil="true"/>
  </documentManagement>
</p:properties>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A042D-E601-4418-962B-7D2084E3A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FE8B5-1960-46B4-9D46-0BBD6CE0A9D6}">
  <ds:schemaRefs>
    <ds:schemaRef ds:uri="office.server.policy"/>
  </ds:schemaRefs>
</ds:datastoreItem>
</file>

<file path=customXml/itemProps3.xml><?xml version="1.0" encoding="utf-8"?>
<ds:datastoreItem xmlns:ds="http://schemas.openxmlformats.org/officeDocument/2006/customXml" ds:itemID="{52CC21A2-FDB8-475E-AD4F-BF5EB612B11E}">
  <ds:schemaRefs>
    <ds:schemaRef ds:uri="http://schemas.microsoft.com/sharepoint/events"/>
  </ds:schemaRefs>
</ds:datastoreItem>
</file>

<file path=customXml/itemProps4.xml><?xml version="1.0" encoding="utf-8"?>
<ds:datastoreItem xmlns:ds="http://schemas.openxmlformats.org/officeDocument/2006/customXml" ds:itemID="{6C3C4273-F408-4E03-BBAB-54C392A7CB30}">
  <ds:schemaRefs>
    <ds:schemaRef ds:uri="http://schemas.microsoft.com/office/2006/metadata/properties"/>
    <ds:schemaRef ds:uri="http://schemas.microsoft.com/office/infopath/2007/PartnerControls"/>
    <ds:schemaRef ds:uri="d4dd4adf-ddb3-46a3-8d7c-fab3fb2a6bc7"/>
    <ds:schemaRef ds:uri="http://schemas.microsoft.com/sharepoint/v4"/>
  </ds:schemaRefs>
</ds:datastoreItem>
</file>

<file path=customXml/itemProps5.xml><?xml version="1.0" encoding="utf-8"?>
<ds:datastoreItem xmlns:ds="http://schemas.openxmlformats.org/officeDocument/2006/customXml" ds:itemID="{90C186DE-71F3-48A1-9492-F1C81D342879}">
  <ds:schemaRefs>
    <ds:schemaRef ds:uri="http://schemas.microsoft.com/sharepoint/events"/>
  </ds:schemaRefs>
</ds:datastoreItem>
</file>

<file path=customXml/itemProps6.xml><?xml version="1.0" encoding="utf-8"?>
<ds:datastoreItem xmlns:ds="http://schemas.openxmlformats.org/officeDocument/2006/customXml" ds:itemID="{2F1D9114-886A-4AB5-9F25-880540DB6846}">
  <ds:schemaRefs>
    <ds:schemaRef ds:uri="http://schemas.microsoft.com/sharepoint/v3/contenttype/forms"/>
  </ds:schemaRefs>
</ds:datastoreItem>
</file>

<file path=customXml/itemProps7.xml><?xml version="1.0" encoding="utf-8"?>
<ds:datastoreItem xmlns:ds="http://schemas.openxmlformats.org/officeDocument/2006/customXml" ds:itemID="{C31175F4-1F34-4C00-B1D8-26BCE979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1739</Words>
  <Characters>9240</Characters>
  <Application>Microsoft Office Word</Application>
  <DocSecurity>0</DocSecurity>
  <Lines>175</Lines>
  <Paragraphs>37</Paragraphs>
  <ScaleCrop>false</ScaleCrop>
  <Company/>
  <LinksUpToDate>false</LinksUpToDate>
  <CharactersWithSpaces>10949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GRC Institute - submission to the New APRA powers to address financial stability risks – Non-ADI lender rules consultation</dc:title>
  <dc:creator/>
  <cp:lastModifiedBy/>
  <cp:revision>1</cp:revision>
  <dcterms:created xsi:type="dcterms:W3CDTF">2017-10-19T00:42:00Z</dcterms:created>
  <dcterms:modified xsi:type="dcterms:W3CDTF">2017-10-19T00:42:00Z</dcterms:modified>
  <dc:language>English</dc:language>
</cp:coreProperties>
</file>