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A0" w:firstRow="1" w:lastRow="0" w:firstColumn="1" w:lastColumn="0" w:noHBand="0" w:noVBand="0"/>
      </w:tblPr>
      <w:tblGrid>
        <w:gridCol w:w="1844"/>
        <w:gridCol w:w="8221"/>
      </w:tblGrid>
      <w:tr w:rsidR="008F2AAD" w:rsidRPr="00C7147A" w:rsidTr="00AC79B9">
        <w:trPr>
          <w:trHeight w:val="520"/>
        </w:trPr>
        <w:tc>
          <w:tcPr>
            <w:tcW w:w="1844" w:type="dxa"/>
            <w:shd w:val="clear" w:color="auto" w:fill="D9D9D9"/>
          </w:tcPr>
          <w:p w:rsidR="008F2AAD" w:rsidRPr="00C7147A" w:rsidRDefault="008F2AAD" w:rsidP="003A1598">
            <w:pPr>
              <w:spacing w:after="120" w:line="240" w:lineRule="auto"/>
              <w:rPr>
                <w:rFonts w:cs="Arial"/>
                <w:b/>
                <w:bCs/>
                <w:i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iCs/>
                <w:sz w:val="24"/>
                <w:szCs w:val="24"/>
              </w:rPr>
              <w:t>Chair</w:t>
            </w:r>
          </w:p>
        </w:tc>
        <w:tc>
          <w:tcPr>
            <w:tcW w:w="8221" w:type="dxa"/>
          </w:tcPr>
          <w:p w:rsidR="008F2AAD" w:rsidRPr="003937AB" w:rsidRDefault="008F2AAD" w:rsidP="00335820">
            <w:pPr>
              <w:spacing w:after="120"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3937AB">
              <w:rPr>
                <w:rFonts w:cs="Arial"/>
                <w:sz w:val="24"/>
                <w:szCs w:val="24"/>
                <w:lang w:eastAsia="en-AU"/>
              </w:rPr>
              <w:t>Commonwealth Treasury.</w:t>
            </w:r>
          </w:p>
        </w:tc>
      </w:tr>
      <w:tr w:rsidR="008F2AAD" w:rsidRPr="00C7147A" w:rsidTr="003A1598">
        <w:trPr>
          <w:trHeight w:val="472"/>
        </w:trPr>
        <w:tc>
          <w:tcPr>
            <w:tcW w:w="1844" w:type="dxa"/>
            <w:shd w:val="clear" w:color="auto" w:fill="D9D9D9"/>
          </w:tcPr>
          <w:p w:rsidR="008F2AAD" w:rsidRPr="00C7147A" w:rsidRDefault="008F2AAD" w:rsidP="009D5FB8">
            <w:pPr>
              <w:spacing w:after="0" w:line="240" w:lineRule="auto"/>
              <w:rPr>
                <w:rFonts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/>
                <w:b/>
                <w:bCs/>
                <w:iCs/>
                <w:sz w:val="24"/>
                <w:szCs w:val="24"/>
              </w:rPr>
              <w:t>Membership</w:t>
            </w:r>
          </w:p>
        </w:tc>
        <w:tc>
          <w:tcPr>
            <w:tcW w:w="8221" w:type="dxa"/>
          </w:tcPr>
          <w:p w:rsidR="008F2AAD" w:rsidRPr="003937AB" w:rsidRDefault="008F2AAD" w:rsidP="00335820">
            <w:pPr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AU"/>
              </w:rPr>
            </w:pPr>
            <w:r w:rsidRPr="003937AB">
              <w:rPr>
                <w:rFonts w:cs="Arial"/>
                <w:sz w:val="24"/>
                <w:szCs w:val="24"/>
                <w:lang w:eastAsia="en-AU"/>
              </w:rPr>
              <w:t>Commonwealth, State and Territory Treasury officials.</w:t>
            </w:r>
          </w:p>
        </w:tc>
      </w:tr>
      <w:tr w:rsidR="008F2AAD" w:rsidRPr="00C7147A" w:rsidTr="003A065A">
        <w:tc>
          <w:tcPr>
            <w:tcW w:w="1844" w:type="dxa"/>
            <w:shd w:val="clear" w:color="auto" w:fill="D9D9D9"/>
          </w:tcPr>
          <w:p w:rsidR="008F2AAD" w:rsidRPr="00C7147A" w:rsidRDefault="008F2AAD" w:rsidP="000D385B">
            <w:pPr>
              <w:spacing w:before="120" w:after="120" w:line="240" w:lineRule="auto"/>
              <w:rPr>
                <w:rFonts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/>
                <w:b/>
                <w:bCs/>
                <w:iCs/>
                <w:sz w:val="24"/>
                <w:szCs w:val="24"/>
              </w:rPr>
              <w:t xml:space="preserve">Scope of 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br/>
              <w:t xml:space="preserve">NFP </w:t>
            </w:r>
            <w:r w:rsidR="0053575B">
              <w:rPr>
                <w:rFonts w:cs="Arial"/>
                <w:b/>
                <w:bCs/>
                <w:iCs/>
                <w:sz w:val="24"/>
                <w:szCs w:val="24"/>
              </w:rPr>
              <w:t xml:space="preserve">Reform 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>Working Group</w:t>
            </w:r>
          </w:p>
        </w:tc>
        <w:tc>
          <w:tcPr>
            <w:tcW w:w="8221" w:type="dxa"/>
          </w:tcPr>
          <w:p w:rsidR="00137378" w:rsidRPr="003937AB" w:rsidRDefault="008F2AAD" w:rsidP="00843D20">
            <w:pPr>
              <w:autoSpaceDE w:val="0"/>
              <w:autoSpaceDN w:val="0"/>
              <w:adjustRightInd w:val="0"/>
              <w:spacing w:after="180"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3937AB">
              <w:rPr>
                <w:rFonts w:cs="Arial"/>
                <w:sz w:val="24"/>
                <w:szCs w:val="24"/>
                <w:lang w:eastAsia="en-AU"/>
              </w:rPr>
              <w:t xml:space="preserve">The </w:t>
            </w:r>
            <w:r w:rsidR="00335820">
              <w:rPr>
                <w:rFonts w:cs="Arial"/>
                <w:sz w:val="24"/>
                <w:szCs w:val="24"/>
                <w:lang w:eastAsia="en-AU"/>
              </w:rPr>
              <w:t xml:space="preserve">objective of the </w:t>
            </w:r>
            <w:r w:rsidR="003937AB" w:rsidRPr="003937AB">
              <w:rPr>
                <w:rFonts w:cs="Arial"/>
                <w:sz w:val="24"/>
                <w:szCs w:val="24"/>
                <w:lang w:eastAsia="en-AU"/>
              </w:rPr>
              <w:t>not-</w:t>
            </w:r>
            <w:r w:rsidR="004835D4" w:rsidRPr="003937AB">
              <w:rPr>
                <w:rFonts w:cs="Arial"/>
                <w:sz w:val="24"/>
                <w:szCs w:val="24"/>
                <w:lang w:eastAsia="en-AU"/>
              </w:rPr>
              <w:t>for</w:t>
            </w:r>
            <w:r w:rsidR="003937AB" w:rsidRPr="003937AB">
              <w:rPr>
                <w:rFonts w:cs="Arial"/>
                <w:sz w:val="24"/>
                <w:szCs w:val="24"/>
                <w:lang w:eastAsia="en-AU"/>
              </w:rPr>
              <w:t>-</w:t>
            </w:r>
            <w:r w:rsidR="004835D4" w:rsidRPr="003937AB">
              <w:rPr>
                <w:rFonts w:cs="Arial"/>
                <w:sz w:val="24"/>
                <w:szCs w:val="24"/>
                <w:lang w:eastAsia="en-AU"/>
              </w:rPr>
              <w:t>profit (</w:t>
            </w:r>
            <w:r w:rsidRPr="003937AB">
              <w:rPr>
                <w:rFonts w:cs="Arial"/>
                <w:sz w:val="24"/>
                <w:szCs w:val="24"/>
                <w:lang w:eastAsia="en-AU"/>
              </w:rPr>
              <w:t>NFP</w:t>
            </w:r>
            <w:r w:rsidR="004835D4" w:rsidRPr="003937AB">
              <w:rPr>
                <w:rFonts w:cs="Arial"/>
                <w:sz w:val="24"/>
                <w:szCs w:val="24"/>
                <w:lang w:eastAsia="en-AU"/>
              </w:rPr>
              <w:t>)</w:t>
            </w:r>
            <w:r w:rsidR="000C0FC1" w:rsidRPr="003937AB">
              <w:rPr>
                <w:rFonts w:cs="Arial"/>
                <w:sz w:val="24"/>
                <w:szCs w:val="24"/>
                <w:lang w:eastAsia="en-AU"/>
              </w:rPr>
              <w:t xml:space="preserve"> Reform</w:t>
            </w:r>
            <w:r w:rsidRPr="003937AB">
              <w:rPr>
                <w:rFonts w:cs="Arial"/>
                <w:sz w:val="24"/>
                <w:szCs w:val="24"/>
                <w:lang w:eastAsia="en-AU"/>
              </w:rPr>
              <w:t xml:space="preserve"> Working Group </w:t>
            </w:r>
            <w:r w:rsidR="00C43D3C">
              <w:rPr>
                <w:rFonts w:cs="Arial"/>
                <w:sz w:val="24"/>
                <w:szCs w:val="24"/>
                <w:lang w:eastAsia="en-AU"/>
              </w:rPr>
              <w:t xml:space="preserve">is </w:t>
            </w:r>
            <w:r w:rsidR="00B75D0E" w:rsidRPr="003937AB">
              <w:rPr>
                <w:rFonts w:cs="Arial"/>
                <w:sz w:val="24"/>
                <w:szCs w:val="24"/>
                <w:lang w:eastAsia="en-AU"/>
              </w:rPr>
              <w:t xml:space="preserve">for all Australian jurisdictions </w:t>
            </w:r>
            <w:r w:rsidRPr="003937AB">
              <w:rPr>
                <w:rFonts w:cs="Arial"/>
                <w:sz w:val="24"/>
                <w:szCs w:val="24"/>
                <w:lang w:eastAsia="en-AU"/>
              </w:rPr>
              <w:t xml:space="preserve">to </w:t>
            </w:r>
            <w:r w:rsidR="00B75D0E" w:rsidRPr="003937AB">
              <w:rPr>
                <w:rFonts w:ascii="Corbel" w:eastAsia="Times New Roman" w:hAnsi="Corbel" w:cs="Corbel"/>
                <w:sz w:val="24"/>
                <w:szCs w:val="24"/>
                <w:lang w:eastAsia="en-AU"/>
              </w:rPr>
              <w:t xml:space="preserve">work together to develop </w:t>
            </w:r>
            <w:r w:rsidR="00BB4249">
              <w:rPr>
                <w:rFonts w:cs="Arial"/>
                <w:sz w:val="24"/>
                <w:szCs w:val="24"/>
                <w:lang w:eastAsia="en-AU"/>
              </w:rPr>
              <w:t>an effective</w:t>
            </w:r>
            <w:r w:rsidR="00BB4249" w:rsidRPr="003937AB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r w:rsidR="00950AB4" w:rsidRPr="003937AB">
              <w:rPr>
                <w:rFonts w:cs="Arial"/>
                <w:sz w:val="24"/>
                <w:szCs w:val="24"/>
                <w:lang w:eastAsia="en-AU"/>
              </w:rPr>
              <w:t>approach to</w:t>
            </w:r>
            <w:r w:rsidRPr="003937AB">
              <w:rPr>
                <w:rFonts w:cs="Arial"/>
                <w:sz w:val="24"/>
                <w:szCs w:val="24"/>
                <w:lang w:eastAsia="en-AU"/>
              </w:rPr>
              <w:t xml:space="preserve"> the regulation of the NFP sector</w:t>
            </w:r>
            <w:r w:rsidR="00335820">
              <w:rPr>
                <w:rFonts w:cs="Arial"/>
                <w:sz w:val="24"/>
                <w:szCs w:val="24"/>
                <w:lang w:eastAsia="en-AU"/>
              </w:rPr>
              <w:t xml:space="preserve"> which will reduce the regulatory burden on the sector where possible.</w:t>
            </w:r>
            <w:r w:rsidRPr="003937AB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</w:p>
          <w:p w:rsidR="008F2AAD" w:rsidRPr="003937AB" w:rsidRDefault="008F2AAD" w:rsidP="00843D20">
            <w:pPr>
              <w:spacing w:after="180"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3937AB">
              <w:rPr>
                <w:rFonts w:cs="Arial"/>
                <w:sz w:val="24"/>
                <w:szCs w:val="24"/>
                <w:lang w:eastAsia="en-AU"/>
              </w:rPr>
              <w:t>The NFP</w:t>
            </w:r>
            <w:r w:rsidR="000C0FC1" w:rsidRPr="003937AB">
              <w:rPr>
                <w:rFonts w:cs="Arial"/>
                <w:sz w:val="24"/>
                <w:szCs w:val="24"/>
                <w:lang w:eastAsia="en-AU"/>
              </w:rPr>
              <w:t xml:space="preserve"> Reform</w:t>
            </w:r>
            <w:r w:rsidRPr="003937AB">
              <w:rPr>
                <w:rFonts w:cs="Arial"/>
                <w:sz w:val="24"/>
                <w:szCs w:val="24"/>
                <w:lang w:eastAsia="en-AU"/>
              </w:rPr>
              <w:t xml:space="preserve"> Working Group will be responsible for </w:t>
            </w:r>
            <w:r w:rsidR="005A6C62" w:rsidRPr="003937AB">
              <w:rPr>
                <w:rFonts w:cs="Arial"/>
                <w:sz w:val="24"/>
                <w:szCs w:val="24"/>
                <w:lang w:eastAsia="en-AU"/>
              </w:rPr>
              <w:t>review</w:t>
            </w:r>
            <w:r w:rsidR="004835D4" w:rsidRPr="003937AB">
              <w:rPr>
                <w:rFonts w:cs="Arial"/>
                <w:sz w:val="24"/>
                <w:szCs w:val="24"/>
                <w:lang w:eastAsia="en-AU"/>
              </w:rPr>
              <w:t>ing, developing</w:t>
            </w:r>
            <w:r w:rsidR="005A6C62" w:rsidRPr="003937AB">
              <w:rPr>
                <w:rFonts w:cs="Arial"/>
                <w:sz w:val="24"/>
                <w:szCs w:val="24"/>
                <w:lang w:eastAsia="en-AU"/>
              </w:rPr>
              <w:t xml:space="preserve"> and </w:t>
            </w:r>
            <w:r w:rsidR="00B75D0E" w:rsidRPr="003937AB">
              <w:rPr>
                <w:rFonts w:cs="Arial"/>
                <w:sz w:val="24"/>
                <w:szCs w:val="24"/>
                <w:lang w:eastAsia="en-AU"/>
              </w:rPr>
              <w:t xml:space="preserve">recommending </w:t>
            </w:r>
            <w:r w:rsidRPr="003937AB">
              <w:rPr>
                <w:rFonts w:cs="Arial"/>
                <w:sz w:val="24"/>
                <w:szCs w:val="24"/>
                <w:lang w:eastAsia="en-AU"/>
              </w:rPr>
              <w:t xml:space="preserve">NFP regulatory reform options </w:t>
            </w:r>
            <w:r w:rsidR="00B75D0E" w:rsidRPr="003937AB">
              <w:rPr>
                <w:rFonts w:cs="Arial"/>
                <w:sz w:val="24"/>
                <w:szCs w:val="24"/>
                <w:lang w:eastAsia="en-AU"/>
              </w:rPr>
              <w:t xml:space="preserve">to </w:t>
            </w:r>
            <w:r w:rsidR="000C0FC1" w:rsidRPr="003937AB">
              <w:rPr>
                <w:rFonts w:cs="Arial"/>
                <w:sz w:val="24"/>
                <w:szCs w:val="24"/>
                <w:lang w:eastAsia="en-AU"/>
              </w:rPr>
              <w:t>the Council of Australian Governments (COAG)</w:t>
            </w:r>
            <w:r w:rsidR="00AC185B">
              <w:rPr>
                <w:rFonts w:cs="Arial"/>
                <w:sz w:val="24"/>
                <w:szCs w:val="24"/>
                <w:lang w:eastAsia="en-AU"/>
              </w:rPr>
              <w:t>,</w:t>
            </w:r>
            <w:r w:rsidR="00B75D0E" w:rsidRPr="003937AB">
              <w:rPr>
                <w:rFonts w:cs="Arial"/>
                <w:sz w:val="24"/>
                <w:szCs w:val="24"/>
                <w:lang w:eastAsia="en-AU"/>
              </w:rPr>
              <w:t xml:space="preserve"> </w:t>
            </w:r>
            <w:r w:rsidRPr="003937AB">
              <w:rPr>
                <w:rFonts w:cs="Arial"/>
                <w:sz w:val="24"/>
                <w:szCs w:val="24"/>
                <w:lang w:eastAsia="en-AU"/>
              </w:rPr>
              <w:t>through the Standing Council on Federal Financial Relations (SCFFR), including:</w:t>
            </w:r>
          </w:p>
          <w:p w:rsidR="00606D92" w:rsidRPr="003937AB" w:rsidRDefault="00950AB4" w:rsidP="00843D20">
            <w:pPr>
              <w:pStyle w:val="Bullet"/>
              <w:spacing w:after="180"/>
            </w:pPr>
            <w:r>
              <w:t>t</w:t>
            </w:r>
            <w:r w:rsidR="00330AFB">
              <w:t xml:space="preserve">he Commonwealth consulting with </w:t>
            </w:r>
            <w:r w:rsidR="00AC155F" w:rsidRPr="003937AB">
              <w:t xml:space="preserve">States and Territories </w:t>
            </w:r>
            <w:r w:rsidR="00335820">
              <w:t>on regulation reform proposals for the NFP sector at the Commonwealth level (giving the States and Territories the opportunity to provide input to these proposals);</w:t>
            </w:r>
          </w:p>
          <w:p w:rsidR="008F2AAD" w:rsidRPr="003937AB" w:rsidRDefault="00335820" w:rsidP="00843D20">
            <w:pPr>
              <w:pStyle w:val="Bullet"/>
              <w:spacing w:after="180"/>
            </w:pPr>
            <w:r>
              <w:t xml:space="preserve">the </w:t>
            </w:r>
            <w:r w:rsidR="00606D92" w:rsidRPr="003937AB">
              <w:t xml:space="preserve">States and Territories </w:t>
            </w:r>
            <w:r w:rsidR="00AC155F" w:rsidRPr="003937AB">
              <w:t>consider</w:t>
            </w:r>
            <w:r w:rsidR="00606D92" w:rsidRPr="003937AB">
              <w:t>ing</w:t>
            </w:r>
            <w:r w:rsidR="00AC155F" w:rsidRPr="003937AB">
              <w:t xml:space="preserve"> </w:t>
            </w:r>
            <w:r>
              <w:t>the adoption</w:t>
            </w:r>
            <w:r w:rsidR="00AC155F" w:rsidRPr="003937AB">
              <w:t xml:space="preserve"> or appl</w:t>
            </w:r>
            <w:r>
              <w:t>ication of</w:t>
            </w:r>
            <w:r w:rsidR="00AC155F" w:rsidRPr="003937AB">
              <w:t xml:space="preserve"> the</w:t>
            </w:r>
            <w:r w:rsidR="008F2AAD" w:rsidRPr="003937AB">
              <w:t xml:space="preserve"> </w:t>
            </w:r>
            <w:r w:rsidR="00AC155F" w:rsidRPr="003937AB">
              <w:t>Commonwealth statutory definition of charity (when legislated) for State and Territory purposes</w:t>
            </w:r>
            <w:r w:rsidR="00606D92" w:rsidRPr="003937AB">
              <w:t>,</w:t>
            </w:r>
            <w:r w:rsidR="00AC155F" w:rsidRPr="003937AB">
              <w:t xml:space="preserve"> where </w:t>
            </w:r>
            <w:r w:rsidR="00827271">
              <w:t xml:space="preserve">appropriate and where </w:t>
            </w:r>
            <w:r w:rsidR="00AC155F" w:rsidRPr="003937AB">
              <w:t xml:space="preserve">that would reduce </w:t>
            </w:r>
            <w:r w:rsidR="005A6C62" w:rsidRPr="003937AB">
              <w:t>regulatory burden</w:t>
            </w:r>
            <w:r w:rsidR="00AC155F" w:rsidRPr="003937AB">
              <w:t xml:space="preserve"> for </w:t>
            </w:r>
            <w:r w:rsidR="005A6C62" w:rsidRPr="003937AB">
              <w:t xml:space="preserve">the </w:t>
            </w:r>
            <w:r w:rsidR="00AC155F" w:rsidRPr="003937AB">
              <w:t xml:space="preserve">NFP </w:t>
            </w:r>
            <w:r w:rsidR="005A6C62" w:rsidRPr="003937AB">
              <w:t>sector</w:t>
            </w:r>
            <w:r w:rsidR="008F2AAD" w:rsidRPr="003937AB">
              <w:t>;</w:t>
            </w:r>
          </w:p>
          <w:p w:rsidR="00606D92" w:rsidRPr="003937AB" w:rsidRDefault="003B6CEE" w:rsidP="00843D20">
            <w:pPr>
              <w:pStyle w:val="Bullet"/>
              <w:spacing w:after="180"/>
            </w:pPr>
            <w:r>
              <w:t xml:space="preserve">providing oversight for work of the </w:t>
            </w:r>
            <w:r w:rsidRPr="003937AB">
              <w:t>NFP Fundraising Working Group</w:t>
            </w:r>
            <w:r>
              <w:t xml:space="preserve"> </w:t>
            </w:r>
            <w:r w:rsidR="0091709C">
              <w:t xml:space="preserve">(which is a </w:t>
            </w:r>
            <w:r>
              <w:t xml:space="preserve">subcommittee of Consumer Affairs Australia New Zealand </w:t>
            </w:r>
            <w:r w:rsidR="0091709C">
              <w:t xml:space="preserve">(CAANZ)) </w:t>
            </w:r>
            <w:r>
              <w:t>on</w:t>
            </w:r>
            <w:r w:rsidR="00606D92" w:rsidRPr="003937AB">
              <w:t xml:space="preserve"> a nationally consistent approach to fundraising regulation</w:t>
            </w:r>
            <w:r>
              <w:t>, which would</w:t>
            </w:r>
            <w:r w:rsidR="00606D92" w:rsidRPr="003937AB">
              <w:t xml:space="preserve"> reduce the regulatory burden on the </w:t>
            </w:r>
            <w:r w:rsidR="003937AB" w:rsidRPr="003937AB">
              <w:t>NFP</w:t>
            </w:r>
            <w:r w:rsidR="00606D92" w:rsidRPr="003937AB">
              <w:t xml:space="preserve"> sector</w:t>
            </w:r>
            <w:r>
              <w:t>;</w:t>
            </w:r>
            <w:r w:rsidR="00606D92" w:rsidRPr="003937AB">
              <w:t xml:space="preserve"> </w:t>
            </w:r>
          </w:p>
          <w:p w:rsidR="008F2AAD" w:rsidRPr="003937AB" w:rsidRDefault="00F15266" w:rsidP="00843D20">
            <w:pPr>
              <w:pStyle w:val="Bullet"/>
              <w:spacing w:after="180"/>
            </w:pPr>
            <w:r>
              <w:t>c</w:t>
            </w:r>
            <w:r w:rsidR="000C0FC1" w:rsidRPr="003937AB">
              <w:t>onsider</w:t>
            </w:r>
            <w:r w:rsidR="003937AB" w:rsidRPr="003937AB">
              <w:t xml:space="preserve">ing approaches to </w:t>
            </w:r>
            <w:r w:rsidR="008F2AAD" w:rsidRPr="003937AB">
              <w:t>harmonis</w:t>
            </w:r>
            <w:r w:rsidR="003937AB" w:rsidRPr="003937AB">
              <w:t xml:space="preserve">e </w:t>
            </w:r>
            <w:r w:rsidR="000C0FC1" w:rsidRPr="003937AB">
              <w:t xml:space="preserve">the </w:t>
            </w:r>
            <w:r w:rsidR="003937AB" w:rsidRPr="003937AB">
              <w:t xml:space="preserve">test for determining </w:t>
            </w:r>
            <w:r>
              <w:t>non</w:t>
            </w:r>
            <w:r>
              <w:noBreakHyphen/>
            </w:r>
            <w:r w:rsidR="003937AB" w:rsidRPr="003937AB">
              <w:t xml:space="preserve">charitable activities </w:t>
            </w:r>
            <w:r>
              <w:t xml:space="preserve">of charities </w:t>
            </w:r>
            <w:r w:rsidR="003937AB" w:rsidRPr="003937AB">
              <w:t>and seeking to minimise compliance costs for the NFP sector where possible</w:t>
            </w:r>
            <w:r w:rsidR="008F2AAD" w:rsidRPr="003937AB">
              <w:t>;</w:t>
            </w:r>
            <w:r>
              <w:t xml:space="preserve"> and</w:t>
            </w:r>
          </w:p>
          <w:p w:rsidR="008F2AAD" w:rsidRDefault="003937AB" w:rsidP="00843D20">
            <w:pPr>
              <w:pStyle w:val="Bullet"/>
              <w:spacing w:after="180"/>
            </w:pPr>
            <w:proofErr w:type="gramStart"/>
            <w:r w:rsidRPr="003937AB">
              <w:t>r</w:t>
            </w:r>
            <w:r w:rsidR="000C0FC1" w:rsidRPr="003937AB">
              <w:t>eviewing</w:t>
            </w:r>
            <w:proofErr w:type="gramEnd"/>
            <w:r w:rsidR="008F2AAD" w:rsidRPr="003937AB">
              <w:t xml:space="preserve"> </w:t>
            </w:r>
            <w:r w:rsidR="00606D92" w:rsidRPr="003937AB">
              <w:t xml:space="preserve">legal, </w:t>
            </w:r>
            <w:r w:rsidR="008F2AAD" w:rsidRPr="003937AB">
              <w:t>governance and reporting regulation</w:t>
            </w:r>
            <w:r w:rsidR="00606D92" w:rsidRPr="003937AB">
              <w:t xml:space="preserve"> for the NFP sector, </w:t>
            </w:r>
            <w:r w:rsidR="00330AFB">
              <w:t xml:space="preserve">and making recommendations on appropriate reforms, </w:t>
            </w:r>
            <w:r w:rsidR="00606D92" w:rsidRPr="003937AB">
              <w:t xml:space="preserve">including </w:t>
            </w:r>
            <w:r w:rsidR="00330AFB">
              <w:t>on regulations</w:t>
            </w:r>
            <w:r w:rsidR="00330AFB" w:rsidRPr="003937AB">
              <w:t xml:space="preserve"> </w:t>
            </w:r>
            <w:r w:rsidR="00606D92" w:rsidRPr="003937AB">
              <w:t>imbedded in service level agreements, building on the work of the Business Regulation and Competition Working Group</w:t>
            </w:r>
            <w:r w:rsidR="00FB38B9" w:rsidRPr="003937AB">
              <w:t xml:space="preserve"> </w:t>
            </w:r>
            <w:r w:rsidRPr="003937AB">
              <w:t>NFP</w:t>
            </w:r>
            <w:r w:rsidR="00FB38B9" w:rsidRPr="003937AB">
              <w:t xml:space="preserve"> Subgroup</w:t>
            </w:r>
            <w:r w:rsidR="00F15266">
              <w:t>.</w:t>
            </w:r>
          </w:p>
          <w:p w:rsidR="008F2AAD" w:rsidRPr="003937AB" w:rsidRDefault="008F2AAD" w:rsidP="00843D20">
            <w:pPr>
              <w:pStyle w:val="Bullet"/>
              <w:numPr>
                <w:ilvl w:val="0"/>
                <w:numId w:val="0"/>
              </w:numPr>
              <w:spacing w:before="0" w:after="180"/>
            </w:pPr>
            <w:r w:rsidRPr="003937AB">
              <w:t xml:space="preserve">In undertaking its role, the NFP </w:t>
            </w:r>
            <w:r w:rsidR="000C0FC1" w:rsidRPr="003937AB">
              <w:t xml:space="preserve">Reform </w:t>
            </w:r>
            <w:r w:rsidRPr="003937AB">
              <w:t xml:space="preserve">Working Group </w:t>
            </w:r>
            <w:r w:rsidR="00AC185B">
              <w:t>chair</w:t>
            </w:r>
            <w:r w:rsidR="00FB38B9" w:rsidRPr="003937AB">
              <w:t xml:space="preserve"> </w:t>
            </w:r>
            <w:r w:rsidRPr="003937AB">
              <w:t>will liaise with members on activities relevant to NFP reform</w:t>
            </w:r>
            <w:r w:rsidR="00F20FEE" w:rsidRPr="003937AB">
              <w:t>s</w:t>
            </w:r>
            <w:r w:rsidRPr="003937AB">
              <w:t xml:space="preserve"> and discuss the progress of th</w:t>
            </w:r>
            <w:r w:rsidR="00F20FEE" w:rsidRPr="003937AB">
              <w:t>os</w:t>
            </w:r>
            <w:r w:rsidRPr="003937AB">
              <w:t>e reform</w:t>
            </w:r>
            <w:r w:rsidR="00F20FEE" w:rsidRPr="003937AB">
              <w:t>s</w:t>
            </w:r>
            <w:r w:rsidRPr="003937AB">
              <w:t>.</w:t>
            </w:r>
          </w:p>
          <w:p w:rsidR="008F2AAD" w:rsidRPr="003937AB" w:rsidRDefault="008F2AAD" w:rsidP="00843D20">
            <w:pPr>
              <w:pStyle w:val="Bullet"/>
              <w:numPr>
                <w:ilvl w:val="0"/>
                <w:numId w:val="0"/>
              </w:numPr>
              <w:spacing w:before="0" w:after="180"/>
            </w:pPr>
            <w:r w:rsidRPr="003937AB">
              <w:t xml:space="preserve">The NFP </w:t>
            </w:r>
            <w:r w:rsidR="000C0FC1" w:rsidRPr="003937AB">
              <w:t xml:space="preserve">Reform </w:t>
            </w:r>
            <w:r w:rsidRPr="003937AB">
              <w:t>Working Group will continue until the aforementioned tasks are complete, or as agreed by the SCFFR.</w:t>
            </w:r>
          </w:p>
        </w:tc>
      </w:tr>
      <w:tr w:rsidR="008F2AAD" w:rsidRPr="00C7147A" w:rsidTr="0080101A">
        <w:tc>
          <w:tcPr>
            <w:tcW w:w="1844" w:type="dxa"/>
            <w:shd w:val="clear" w:color="auto" w:fill="D9D9D9"/>
          </w:tcPr>
          <w:p w:rsidR="008F2AAD" w:rsidRDefault="008F2AAD" w:rsidP="0080101A">
            <w:pPr>
              <w:spacing w:before="120" w:after="120" w:line="240" w:lineRule="auto"/>
              <w:rPr>
                <w:rFonts w:cs="Arial"/>
                <w:b/>
                <w:bCs/>
                <w:iCs/>
                <w:sz w:val="24"/>
                <w:szCs w:val="24"/>
              </w:rPr>
            </w:pPr>
            <w:r w:rsidRPr="00C7147A">
              <w:rPr>
                <w:rFonts w:cs="Arial"/>
                <w:b/>
                <w:bCs/>
                <w:iCs/>
                <w:sz w:val="24"/>
                <w:szCs w:val="24"/>
              </w:rPr>
              <w:t>Oper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>ations</w:t>
            </w:r>
          </w:p>
          <w:p w:rsidR="008F2AAD" w:rsidRPr="00C7147A" w:rsidRDefault="008F2AAD" w:rsidP="0080101A">
            <w:pPr>
              <w:spacing w:before="120" w:after="120" w:line="240" w:lineRule="auto"/>
              <w:rPr>
                <w:rFonts w:cs="Arial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221" w:type="dxa"/>
          </w:tcPr>
          <w:p w:rsidR="008F2AAD" w:rsidRPr="003937AB" w:rsidRDefault="008F2AAD" w:rsidP="00843D20">
            <w:pPr>
              <w:spacing w:after="180" w:line="240" w:lineRule="auto"/>
              <w:rPr>
                <w:rFonts w:eastAsia="Times New Roman" w:cs="Arial"/>
                <w:sz w:val="24"/>
                <w:szCs w:val="24"/>
              </w:rPr>
            </w:pPr>
            <w:r w:rsidRPr="003937AB">
              <w:rPr>
                <w:rFonts w:eastAsia="Times New Roman" w:cs="Arial"/>
                <w:sz w:val="24"/>
                <w:szCs w:val="24"/>
              </w:rPr>
              <w:t xml:space="preserve">The NFP </w:t>
            </w:r>
            <w:r w:rsidR="000C0FC1" w:rsidRPr="003937AB">
              <w:rPr>
                <w:rFonts w:cs="Arial"/>
                <w:sz w:val="24"/>
                <w:szCs w:val="24"/>
                <w:lang w:eastAsia="en-AU"/>
              </w:rPr>
              <w:t xml:space="preserve">Reform </w:t>
            </w:r>
            <w:r w:rsidRPr="003937AB">
              <w:rPr>
                <w:rFonts w:eastAsia="Times New Roman" w:cs="Arial"/>
                <w:sz w:val="24"/>
                <w:szCs w:val="24"/>
              </w:rPr>
              <w:t>Working Group will seek to meet on a monthly basis.</w:t>
            </w:r>
            <w:r w:rsidR="00AC79B9" w:rsidRPr="003937AB">
              <w:rPr>
                <w:rFonts w:eastAsia="Times New Roman" w:cs="Arial"/>
                <w:sz w:val="24"/>
                <w:szCs w:val="24"/>
              </w:rPr>
              <w:t xml:space="preserve"> However, w</w:t>
            </w:r>
            <w:r w:rsidRPr="003937AB">
              <w:rPr>
                <w:rFonts w:eastAsia="Times New Roman" w:cs="Arial"/>
                <w:sz w:val="24"/>
                <w:szCs w:val="24"/>
              </w:rPr>
              <w:t xml:space="preserve">here a particular issue is of pressing importance, discussion and deliberation can be undertaken out of session through </w:t>
            </w:r>
            <w:r w:rsidR="00F20FEE" w:rsidRPr="003937AB">
              <w:rPr>
                <w:rFonts w:eastAsia="Times New Roman" w:cs="Arial"/>
                <w:sz w:val="24"/>
                <w:szCs w:val="24"/>
              </w:rPr>
              <w:t>written</w:t>
            </w:r>
            <w:r w:rsidRPr="003937AB">
              <w:rPr>
                <w:rFonts w:eastAsia="Times New Roman" w:cs="Arial"/>
                <w:sz w:val="24"/>
                <w:szCs w:val="24"/>
              </w:rPr>
              <w:t xml:space="preserve"> correspondence.</w:t>
            </w:r>
          </w:p>
          <w:p w:rsidR="00843D20" w:rsidRDefault="008F2AAD" w:rsidP="00843D20">
            <w:pPr>
              <w:spacing w:after="180" w:line="240" w:lineRule="auto"/>
              <w:rPr>
                <w:rFonts w:eastAsia="Times New Roman" w:cs="Arial"/>
                <w:sz w:val="24"/>
                <w:szCs w:val="24"/>
              </w:rPr>
            </w:pPr>
            <w:r w:rsidRPr="003937AB">
              <w:rPr>
                <w:rFonts w:eastAsia="Times New Roman" w:cs="Arial"/>
                <w:sz w:val="24"/>
                <w:szCs w:val="24"/>
              </w:rPr>
              <w:t xml:space="preserve">Meetings of the NFP </w:t>
            </w:r>
            <w:r w:rsidR="00F15266">
              <w:rPr>
                <w:rFonts w:eastAsia="Times New Roman" w:cs="Arial"/>
                <w:sz w:val="24"/>
                <w:szCs w:val="24"/>
              </w:rPr>
              <w:t xml:space="preserve">Reform </w:t>
            </w:r>
            <w:r w:rsidRPr="003937AB">
              <w:rPr>
                <w:rFonts w:eastAsia="Times New Roman" w:cs="Arial"/>
                <w:sz w:val="24"/>
                <w:szCs w:val="24"/>
              </w:rPr>
              <w:t xml:space="preserve">Working Group will utilise telephone/video conference facilities as much as possible to minimise environmental impacts and </w:t>
            </w:r>
            <w:r w:rsidRPr="003937AB">
              <w:rPr>
                <w:rFonts w:eastAsia="Times New Roman" w:cs="Arial"/>
                <w:sz w:val="24"/>
                <w:szCs w:val="24"/>
              </w:rPr>
              <w:lastRenderedPageBreak/>
              <w:t xml:space="preserve">meeting and travel costs. </w:t>
            </w:r>
          </w:p>
          <w:p w:rsidR="008F2AAD" w:rsidRPr="003937AB" w:rsidRDefault="008F2AAD" w:rsidP="00843D20">
            <w:pPr>
              <w:spacing w:after="180" w:line="240" w:lineRule="auto"/>
              <w:rPr>
                <w:rFonts w:eastAsia="Times New Roman" w:cs="Arial"/>
                <w:sz w:val="24"/>
                <w:szCs w:val="24"/>
              </w:rPr>
            </w:pPr>
            <w:r w:rsidRPr="003937AB">
              <w:rPr>
                <w:rFonts w:eastAsia="Times New Roman" w:cs="Arial"/>
                <w:sz w:val="24"/>
                <w:szCs w:val="24"/>
              </w:rPr>
              <w:t xml:space="preserve">The Chair will be responsible for scheduling and the record of meetings and will provide </w:t>
            </w:r>
            <w:r w:rsidR="007859E7" w:rsidRPr="003937AB">
              <w:rPr>
                <w:rFonts w:eastAsia="Times New Roman" w:cs="Arial"/>
                <w:sz w:val="24"/>
                <w:szCs w:val="24"/>
              </w:rPr>
              <w:t xml:space="preserve">agenda papers and </w:t>
            </w:r>
            <w:r w:rsidRPr="003937AB">
              <w:rPr>
                <w:rFonts w:eastAsia="Times New Roman" w:cs="Arial"/>
                <w:sz w:val="24"/>
                <w:szCs w:val="24"/>
              </w:rPr>
              <w:t>draft documents for consideration prior to the meeting where possible.</w:t>
            </w:r>
          </w:p>
          <w:p w:rsidR="00C75663" w:rsidRPr="003937AB" w:rsidRDefault="00C75663" w:rsidP="00843D20">
            <w:pPr>
              <w:spacing w:after="180" w:line="240" w:lineRule="auto"/>
              <w:rPr>
                <w:color w:val="FF0000"/>
                <w:sz w:val="24"/>
                <w:szCs w:val="24"/>
              </w:rPr>
            </w:pPr>
            <w:r w:rsidRPr="003937AB">
              <w:rPr>
                <w:rFonts w:cs="Arial"/>
                <w:sz w:val="24"/>
                <w:szCs w:val="24"/>
              </w:rPr>
              <w:t xml:space="preserve">Members may invite other relevant </w:t>
            </w:r>
            <w:r w:rsidR="00335820">
              <w:rPr>
                <w:rFonts w:cs="Arial"/>
                <w:sz w:val="24"/>
                <w:szCs w:val="24"/>
              </w:rPr>
              <w:t>government d</w:t>
            </w:r>
            <w:r w:rsidRPr="003937AB">
              <w:rPr>
                <w:rFonts w:cs="Arial"/>
                <w:sz w:val="24"/>
                <w:szCs w:val="24"/>
              </w:rPr>
              <w:t>epartments and agencies as observers.</w:t>
            </w:r>
          </w:p>
        </w:tc>
      </w:tr>
      <w:tr w:rsidR="008F2AAD" w:rsidRPr="00C7147A" w:rsidTr="0080101A">
        <w:tc>
          <w:tcPr>
            <w:tcW w:w="1844" w:type="dxa"/>
            <w:shd w:val="clear" w:color="auto" w:fill="D9D9D9"/>
          </w:tcPr>
          <w:p w:rsidR="008F2AAD" w:rsidRPr="00C7147A" w:rsidRDefault="008F2AAD" w:rsidP="0080101A">
            <w:pPr>
              <w:spacing w:before="120" w:after="120" w:line="240" w:lineRule="auto"/>
              <w:rPr>
                <w:rFonts w:cs="Arial"/>
                <w:b/>
                <w:bCs/>
                <w:iCs/>
                <w:sz w:val="24"/>
                <w:szCs w:val="24"/>
              </w:rPr>
            </w:pPr>
            <w:r>
              <w:rPr>
                <w:rFonts w:cs="Arial"/>
                <w:b/>
                <w:bCs/>
                <w:iCs/>
                <w:sz w:val="24"/>
                <w:szCs w:val="24"/>
              </w:rPr>
              <w:lastRenderedPageBreak/>
              <w:t>Decision-Making</w:t>
            </w:r>
          </w:p>
        </w:tc>
        <w:tc>
          <w:tcPr>
            <w:tcW w:w="8221" w:type="dxa"/>
          </w:tcPr>
          <w:p w:rsidR="00335820" w:rsidRDefault="008F2AAD" w:rsidP="00843D20">
            <w:pPr>
              <w:spacing w:after="180" w:line="240" w:lineRule="auto"/>
              <w:rPr>
                <w:rFonts w:cs="Arial"/>
                <w:sz w:val="24"/>
                <w:szCs w:val="24"/>
              </w:rPr>
            </w:pPr>
            <w:r w:rsidRPr="003937AB">
              <w:rPr>
                <w:rFonts w:cs="Arial"/>
                <w:sz w:val="24"/>
                <w:szCs w:val="24"/>
              </w:rPr>
              <w:t xml:space="preserve">The NFP </w:t>
            </w:r>
            <w:r w:rsidR="000C0FC1" w:rsidRPr="003937AB">
              <w:rPr>
                <w:rFonts w:cs="Arial"/>
                <w:sz w:val="24"/>
                <w:szCs w:val="24"/>
                <w:lang w:eastAsia="en-AU"/>
              </w:rPr>
              <w:t xml:space="preserve">Reform </w:t>
            </w:r>
            <w:r w:rsidRPr="003937AB">
              <w:rPr>
                <w:rFonts w:cs="Arial"/>
                <w:sz w:val="24"/>
                <w:szCs w:val="24"/>
              </w:rPr>
              <w:t xml:space="preserve">Working Group will make decisions on the basis of consensus wherever </w:t>
            </w:r>
            <w:r w:rsidR="00335820" w:rsidRPr="003937AB">
              <w:rPr>
                <w:rFonts w:cs="Arial"/>
                <w:sz w:val="24"/>
                <w:szCs w:val="24"/>
              </w:rPr>
              <w:t>possible;</w:t>
            </w:r>
            <w:r w:rsidR="00FB38B9" w:rsidRPr="003937AB">
              <w:rPr>
                <w:rFonts w:cs="Arial"/>
                <w:sz w:val="24"/>
                <w:szCs w:val="24"/>
              </w:rPr>
              <w:t xml:space="preserve"> noting that members may need to consult more broadly within their jurisdiction on certain issues and/or </w:t>
            </w:r>
            <w:proofErr w:type="gramStart"/>
            <w:r w:rsidR="00FB38B9" w:rsidRPr="003937AB">
              <w:rPr>
                <w:rFonts w:cs="Arial"/>
                <w:sz w:val="24"/>
                <w:szCs w:val="24"/>
              </w:rPr>
              <w:t>obtain</w:t>
            </w:r>
            <w:proofErr w:type="gramEnd"/>
            <w:r w:rsidR="00FB38B9" w:rsidRPr="003937AB">
              <w:rPr>
                <w:rFonts w:cs="Arial"/>
                <w:sz w:val="24"/>
                <w:szCs w:val="24"/>
              </w:rPr>
              <w:t xml:space="preserve"> prior Cabinet approvals</w:t>
            </w:r>
            <w:r w:rsidR="007859E7" w:rsidRPr="003937AB">
              <w:rPr>
                <w:rFonts w:cs="Arial"/>
                <w:sz w:val="24"/>
                <w:szCs w:val="24"/>
              </w:rPr>
              <w:t xml:space="preserve"> before voting</w:t>
            </w:r>
            <w:r w:rsidRPr="003937AB">
              <w:rPr>
                <w:rFonts w:cs="Arial"/>
                <w:sz w:val="24"/>
                <w:szCs w:val="24"/>
              </w:rPr>
              <w:t xml:space="preserve">.  </w:t>
            </w:r>
          </w:p>
          <w:p w:rsidR="000C0FC1" w:rsidRPr="003937AB" w:rsidRDefault="00335820" w:rsidP="00843D20">
            <w:pPr>
              <w:spacing w:after="18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If a situation </w:t>
            </w:r>
            <w:proofErr w:type="spellStart"/>
            <w:r>
              <w:rPr>
                <w:rFonts w:cs="Arial"/>
                <w:sz w:val="24"/>
                <w:szCs w:val="24"/>
              </w:rPr>
              <w:t>were</w:t>
            </w:r>
            <w:proofErr w:type="spellEnd"/>
            <w:r>
              <w:rPr>
                <w:rFonts w:cs="Arial"/>
                <w:sz w:val="24"/>
                <w:szCs w:val="24"/>
              </w:rPr>
              <w:t xml:space="preserve"> to arise that a majority, but not all, jurisdictions agreed to a particular decision, the dissenting jurisdictions and their reasons </w:t>
            </w:r>
            <w:r w:rsidR="00C43D3C">
              <w:rPr>
                <w:rFonts w:cs="Arial"/>
                <w:sz w:val="24"/>
                <w:szCs w:val="24"/>
              </w:rPr>
              <w:t xml:space="preserve">for </w:t>
            </w:r>
            <w:r>
              <w:rPr>
                <w:rFonts w:cs="Arial"/>
                <w:sz w:val="24"/>
                <w:szCs w:val="24"/>
              </w:rPr>
              <w:t>dissent should be recorded in meeting outcomes.</w:t>
            </w:r>
          </w:p>
          <w:p w:rsidR="008F2AAD" w:rsidRPr="003937AB" w:rsidRDefault="008F2AAD" w:rsidP="00843D20">
            <w:pPr>
              <w:spacing w:after="180" w:line="240" w:lineRule="auto"/>
              <w:rPr>
                <w:sz w:val="24"/>
                <w:szCs w:val="24"/>
              </w:rPr>
            </w:pPr>
            <w:r w:rsidRPr="003937AB">
              <w:rPr>
                <w:rFonts w:cs="Arial"/>
                <w:sz w:val="24"/>
                <w:szCs w:val="24"/>
              </w:rPr>
              <w:t>Where necessary, the principle of one vote per jurisdiction would apply.</w:t>
            </w:r>
          </w:p>
        </w:tc>
      </w:tr>
      <w:tr w:rsidR="008F2AAD" w:rsidRPr="00C7147A" w:rsidTr="0080101A">
        <w:tc>
          <w:tcPr>
            <w:tcW w:w="1844" w:type="dxa"/>
            <w:shd w:val="clear" w:color="auto" w:fill="D9D9D9"/>
          </w:tcPr>
          <w:p w:rsidR="008F2AAD" w:rsidRDefault="008F2AAD" w:rsidP="0080101A">
            <w:pPr>
              <w:spacing w:before="120" w:after="120" w:line="240" w:lineRule="auto"/>
              <w:rPr>
                <w:rFonts w:cs="Arial"/>
                <w:b/>
                <w:bCs/>
                <w:iCs/>
                <w:sz w:val="24"/>
                <w:szCs w:val="24"/>
              </w:rPr>
            </w:pPr>
            <w:r w:rsidRPr="00C7147A">
              <w:rPr>
                <w:rFonts w:cs="Arial"/>
                <w:b/>
                <w:bCs/>
                <w:iCs/>
                <w:sz w:val="24"/>
                <w:szCs w:val="24"/>
              </w:rPr>
              <w:t>Reporting</w:t>
            </w:r>
          </w:p>
        </w:tc>
        <w:tc>
          <w:tcPr>
            <w:tcW w:w="8221" w:type="dxa"/>
          </w:tcPr>
          <w:p w:rsidR="008F2AAD" w:rsidRPr="003937AB" w:rsidRDefault="008F2AAD" w:rsidP="00843D20">
            <w:pPr>
              <w:spacing w:after="180" w:line="240" w:lineRule="auto"/>
              <w:rPr>
                <w:rFonts w:cs="Arial"/>
                <w:sz w:val="24"/>
                <w:szCs w:val="24"/>
                <w:lang w:eastAsia="en-AU"/>
              </w:rPr>
            </w:pPr>
            <w:r w:rsidRPr="003937AB">
              <w:rPr>
                <w:rFonts w:cs="Arial"/>
                <w:sz w:val="24"/>
                <w:szCs w:val="24"/>
                <w:lang w:eastAsia="en-AU"/>
              </w:rPr>
              <w:t xml:space="preserve">The NFP </w:t>
            </w:r>
            <w:r w:rsidR="00C75663" w:rsidRPr="003937AB">
              <w:rPr>
                <w:rFonts w:cs="Arial"/>
                <w:sz w:val="24"/>
                <w:szCs w:val="24"/>
                <w:lang w:eastAsia="en-AU"/>
              </w:rPr>
              <w:t xml:space="preserve">Reform </w:t>
            </w:r>
            <w:r w:rsidRPr="003937AB">
              <w:rPr>
                <w:rFonts w:cs="Arial"/>
                <w:sz w:val="24"/>
                <w:szCs w:val="24"/>
                <w:lang w:eastAsia="en-AU"/>
              </w:rPr>
              <w:t>Working Group will report to COAG through the SCFFR.</w:t>
            </w:r>
          </w:p>
          <w:p w:rsidR="008F2AAD" w:rsidRPr="003937AB" w:rsidRDefault="008F2AAD" w:rsidP="00843D20">
            <w:pPr>
              <w:spacing w:after="180" w:line="240" w:lineRule="auto"/>
              <w:rPr>
                <w:rFonts w:cs="Arial"/>
                <w:sz w:val="24"/>
                <w:szCs w:val="24"/>
              </w:rPr>
            </w:pPr>
            <w:r w:rsidRPr="003937AB">
              <w:rPr>
                <w:rFonts w:cs="Arial"/>
                <w:sz w:val="24"/>
                <w:szCs w:val="24"/>
              </w:rPr>
              <w:t xml:space="preserve">The NFP </w:t>
            </w:r>
            <w:r w:rsidR="00C75663" w:rsidRPr="003937AB">
              <w:rPr>
                <w:rFonts w:cs="Arial"/>
                <w:sz w:val="24"/>
                <w:szCs w:val="24"/>
                <w:lang w:eastAsia="en-AU"/>
              </w:rPr>
              <w:t>Reform</w:t>
            </w:r>
            <w:r w:rsidR="00C75663" w:rsidRPr="003937AB">
              <w:rPr>
                <w:rFonts w:cs="Arial"/>
                <w:sz w:val="24"/>
                <w:szCs w:val="24"/>
              </w:rPr>
              <w:t xml:space="preserve"> </w:t>
            </w:r>
            <w:r w:rsidRPr="003937AB">
              <w:rPr>
                <w:rFonts w:cs="Arial"/>
                <w:sz w:val="24"/>
                <w:szCs w:val="24"/>
              </w:rPr>
              <w:t xml:space="preserve">Working Group will also provide a work plan to the SCFFR for endorsement.  </w:t>
            </w:r>
          </w:p>
          <w:p w:rsidR="008F2AAD" w:rsidRPr="003937AB" w:rsidRDefault="008F2AAD" w:rsidP="00843D20">
            <w:pPr>
              <w:spacing w:after="180" w:line="240" w:lineRule="auto"/>
              <w:rPr>
                <w:rFonts w:cs="Arial"/>
                <w:sz w:val="24"/>
                <w:szCs w:val="24"/>
              </w:rPr>
            </w:pPr>
            <w:r w:rsidRPr="003937AB">
              <w:rPr>
                <w:rFonts w:cs="Arial"/>
                <w:sz w:val="24"/>
                <w:szCs w:val="24"/>
                <w:lang w:eastAsia="en-AU"/>
              </w:rPr>
              <w:t xml:space="preserve">The NFP </w:t>
            </w:r>
            <w:r w:rsidR="00C75663" w:rsidRPr="003937AB">
              <w:rPr>
                <w:rFonts w:cs="Arial"/>
                <w:sz w:val="24"/>
                <w:szCs w:val="24"/>
                <w:lang w:eastAsia="en-AU"/>
              </w:rPr>
              <w:t xml:space="preserve">Reform </w:t>
            </w:r>
            <w:r w:rsidRPr="003937AB">
              <w:rPr>
                <w:rFonts w:cs="Arial"/>
                <w:sz w:val="24"/>
                <w:szCs w:val="24"/>
                <w:lang w:eastAsia="en-AU"/>
              </w:rPr>
              <w:t>Working Group will work closely with the NFP Fundraising Working Group and will include its report in the NFP</w:t>
            </w:r>
            <w:r w:rsidR="00C75663" w:rsidRPr="003937AB">
              <w:rPr>
                <w:rFonts w:cs="Arial"/>
                <w:sz w:val="24"/>
                <w:szCs w:val="24"/>
                <w:lang w:eastAsia="en-AU"/>
              </w:rPr>
              <w:t xml:space="preserve"> Reform</w:t>
            </w:r>
            <w:r w:rsidRPr="003937AB">
              <w:rPr>
                <w:rFonts w:cs="Arial"/>
                <w:sz w:val="24"/>
                <w:szCs w:val="24"/>
                <w:lang w:eastAsia="en-AU"/>
              </w:rPr>
              <w:t xml:space="preserve"> Working Group’s report to COAG.</w:t>
            </w:r>
          </w:p>
        </w:tc>
      </w:tr>
    </w:tbl>
    <w:p w:rsidR="008F2AAD" w:rsidRDefault="008F2AAD" w:rsidP="003A1598">
      <w:pPr>
        <w:spacing w:after="0" w:line="240" w:lineRule="auto"/>
        <w:rPr>
          <w:color w:val="FF0000"/>
          <w:sz w:val="24"/>
          <w:szCs w:val="24"/>
        </w:rPr>
      </w:pPr>
      <w:r w:rsidRPr="00243F54">
        <w:rPr>
          <w:color w:val="FF0000"/>
          <w:sz w:val="24"/>
          <w:szCs w:val="24"/>
        </w:rPr>
        <w:t xml:space="preserve"> </w:t>
      </w:r>
    </w:p>
    <w:p w:rsidR="008F2AAD" w:rsidRPr="001A636C" w:rsidRDefault="008F2AAD" w:rsidP="003A065A">
      <w:pPr>
        <w:spacing w:after="0" w:line="240" w:lineRule="auto"/>
        <w:rPr>
          <w:rFonts w:ascii="Cambria" w:hAnsi="Cambria"/>
          <w:b/>
          <w:sz w:val="28"/>
        </w:rPr>
      </w:pPr>
      <w:r w:rsidRPr="001A636C">
        <w:rPr>
          <w:rFonts w:ascii="Cambria" w:hAnsi="Cambria"/>
          <w:b/>
          <w:sz w:val="28"/>
        </w:rPr>
        <w:t>Membership</w:t>
      </w:r>
      <w:r>
        <w:rPr>
          <w:rFonts w:ascii="Cambria" w:hAnsi="Cambria"/>
          <w:b/>
          <w:sz w:val="28"/>
        </w:rPr>
        <w:br/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2943"/>
        <w:gridCol w:w="5087"/>
        <w:gridCol w:w="16"/>
        <w:gridCol w:w="1287"/>
      </w:tblGrid>
      <w:tr w:rsidR="008F2AAD" w:rsidRPr="006A304E" w:rsidTr="00AC185B">
        <w:tc>
          <w:tcPr>
            <w:tcW w:w="2943" w:type="dxa"/>
            <w:tcBorders>
              <w:top w:val="nil"/>
              <w:left w:val="nil"/>
              <w:right w:val="nil"/>
            </w:tcBorders>
            <w:shd w:val="clear" w:color="auto" w:fill="C2D69B"/>
          </w:tcPr>
          <w:p w:rsidR="008F2AAD" w:rsidRPr="006A304E" w:rsidRDefault="008F2AAD" w:rsidP="0080101A">
            <w:pPr>
              <w:pStyle w:val="BodyText"/>
              <w:rPr>
                <w:b/>
              </w:rPr>
            </w:pPr>
            <w:r w:rsidRPr="006A304E">
              <w:rPr>
                <w:b/>
              </w:rPr>
              <w:t>Jurisdiction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shd w:val="clear" w:color="auto" w:fill="C2D69B"/>
          </w:tcPr>
          <w:p w:rsidR="008F2AAD" w:rsidRPr="006A304E" w:rsidRDefault="008F2AAD" w:rsidP="0080101A">
            <w:pPr>
              <w:pStyle w:val="BodyText"/>
              <w:rPr>
                <w:b/>
              </w:rPr>
            </w:pPr>
            <w:r>
              <w:rPr>
                <w:b/>
              </w:rPr>
              <w:t>Department/Agency</w:t>
            </w:r>
          </w:p>
        </w:tc>
        <w:tc>
          <w:tcPr>
            <w:tcW w:w="1287" w:type="dxa"/>
            <w:tcBorders>
              <w:top w:val="nil"/>
              <w:left w:val="nil"/>
              <w:right w:val="nil"/>
            </w:tcBorders>
            <w:shd w:val="clear" w:color="auto" w:fill="C2D69B"/>
          </w:tcPr>
          <w:p w:rsidR="008F2AAD" w:rsidRPr="006A304E" w:rsidRDefault="008F2AAD" w:rsidP="0080101A">
            <w:pPr>
              <w:pStyle w:val="BodyText"/>
              <w:rPr>
                <w:b/>
              </w:rPr>
            </w:pPr>
            <w:r w:rsidRPr="006A304E">
              <w:rPr>
                <w:b/>
              </w:rPr>
              <w:t>Role</w:t>
            </w:r>
          </w:p>
        </w:tc>
      </w:tr>
      <w:tr w:rsidR="008F2AAD" w:rsidRPr="006A304E" w:rsidTr="00AC185B">
        <w:trPr>
          <w:trHeight w:val="377"/>
        </w:trPr>
        <w:tc>
          <w:tcPr>
            <w:tcW w:w="2943" w:type="dxa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Commonwealth</w:t>
            </w:r>
          </w:p>
        </w:tc>
        <w:tc>
          <w:tcPr>
            <w:tcW w:w="5087" w:type="dxa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Commonwealth Treasury</w:t>
            </w:r>
          </w:p>
        </w:tc>
        <w:tc>
          <w:tcPr>
            <w:tcW w:w="1303" w:type="dxa"/>
            <w:gridSpan w:val="2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Chair</w:t>
            </w:r>
          </w:p>
        </w:tc>
      </w:tr>
      <w:tr w:rsidR="008F2AAD" w:rsidRPr="006A304E" w:rsidTr="00AC185B">
        <w:trPr>
          <w:trHeight w:val="424"/>
        </w:trPr>
        <w:tc>
          <w:tcPr>
            <w:tcW w:w="2943" w:type="dxa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New South Wales</w:t>
            </w:r>
          </w:p>
        </w:tc>
        <w:tc>
          <w:tcPr>
            <w:tcW w:w="5087" w:type="dxa"/>
          </w:tcPr>
          <w:p w:rsidR="007859E7" w:rsidRPr="003937AB" w:rsidRDefault="008F2AAD" w:rsidP="00843D20">
            <w:pPr>
              <w:spacing w:after="120"/>
              <w:rPr>
                <w:rFonts w:cs="Calibri"/>
                <w:sz w:val="24"/>
                <w:szCs w:val="24"/>
              </w:rPr>
            </w:pPr>
            <w:r w:rsidRPr="003937AB">
              <w:rPr>
                <w:rFonts w:cs="Calibri"/>
                <w:sz w:val="24"/>
                <w:szCs w:val="24"/>
              </w:rPr>
              <w:t>NSW Treasury</w:t>
            </w:r>
          </w:p>
        </w:tc>
        <w:tc>
          <w:tcPr>
            <w:tcW w:w="1303" w:type="dxa"/>
            <w:gridSpan w:val="2"/>
          </w:tcPr>
          <w:p w:rsidR="007859E7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Member</w:t>
            </w:r>
          </w:p>
        </w:tc>
      </w:tr>
      <w:tr w:rsidR="008F2AAD" w:rsidRPr="006A304E" w:rsidTr="00AC185B">
        <w:trPr>
          <w:trHeight w:val="417"/>
        </w:trPr>
        <w:tc>
          <w:tcPr>
            <w:tcW w:w="2943" w:type="dxa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Victoria</w:t>
            </w:r>
          </w:p>
        </w:tc>
        <w:tc>
          <w:tcPr>
            <w:tcW w:w="5087" w:type="dxa"/>
          </w:tcPr>
          <w:p w:rsidR="008F2AAD" w:rsidRPr="003937AB" w:rsidRDefault="008F2AAD" w:rsidP="00843D20">
            <w:pPr>
              <w:spacing w:after="120"/>
              <w:rPr>
                <w:sz w:val="24"/>
                <w:szCs w:val="24"/>
              </w:rPr>
            </w:pPr>
            <w:r w:rsidRPr="003937AB">
              <w:rPr>
                <w:rFonts w:cs="Calibri"/>
                <w:sz w:val="24"/>
                <w:szCs w:val="24"/>
              </w:rPr>
              <w:t xml:space="preserve">Department of Treasury and Finance </w:t>
            </w:r>
          </w:p>
        </w:tc>
        <w:tc>
          <w:tcPr>
            <w:tcW w:w="1303" w:type="dxa"/>
            <w:gridSpan w:val="2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Member</w:t>
            </w:r>
          </w:p>
        </w:tc>
      </w:tr>
      <w:tr w:rsidR="008F2AAD" w:rsidRPr="006A304E" w:rsidTr="00AC185B">
        <w:trPr>
          <w:trHeight w:val="409"/>
        </w:trPr>
        <w:tc>
          <w:tcPr>
            <w:tcW w:w="2943" w:type="dxa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Queensland</w:t>
            </w:r>
          </w:p>
        </w:tc>
        <w:tc>
          <w:tcPr>
            <w:tcW w:w="5087" w:type="dxa"/>
          </w:tcPr>
          <w:p w:rsidR="008F2AAD" w:rsidRPr="003937AB" w:rsidRDefault="008F2AAD" w:rsidP="00843D20">
            <w:pPr>
              <w:spacing w:after="120"/>
              <w:rPr>
                <w:rFonts w:cs="Calibri"/>
                <w:sz w:val="24"/>
                <w:szCs w:val="24"/>
              </w:rPr>
            </w:pPr>
            <w:r w:rsidRPr="003937AB">
              <w:rPr>
                <w:rFonts w:cs="Calibri"/>
                <w:sz w:val="24"/>
                <w:szCs w:val="24"/>
              </w:rPr>
              <w:t>Qld Treasury</w:t>
            </w:r>
          </w:p>
        </w:tc>
        <w:tc>
          <w:tcPr>
            <w:tcW w:w="1303" w:type="dxa"/>
            <w:gridSpan w:val="2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Member</w:t>
            </w:r>
          </w:p>
        </w:tc>
      </w:tr>
      <w:tr w:rsidR="008F2AAD" w:rsidRPr="006A304E" w:rsidTr="00AC185B">
        <w:trPr>
          <w:trHeight w:val="400"/>
        </w:trPr>
        <w:tc>
          <w:tcPr>
            <w:tcW w:w="2943" w:type="dxa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Western Australia</w:t>
            </w:r>
          </w:p>
        </w:tc>
        <w:tc>
          <w:tcPr>
            <w:tcW w:w="5087" w:type="dxa"/>
          </w:tcPr>
          <w:p w:rsidR="008F2AAD" w:rsidRPr="003937AB" w:rsidRDefault="008F2AAD" w:rsidP="00843D20">
            <w:pPr>
              <w:spacing w:after="120"/>
              <w:rPr>
                <w:rFonts w:cs="Calibri"/>
                <w:sz w:val="24"/>
                <w:szCs w:val="24"/>
              </w:rPr>
            </w:pPr>
            <w:r w:rsidRPr="003937AB">
              <w:rPr>
                <w:rFonts w:cs="Calibri"/>
                <w:sz w:val="24"/>
                <w:szCs w:val="24"/>
              </w:rPr>
              <w:t>Department of Treasury</w:t>
            </w:r>
          </w:p>
        </w:tc>
        <w:tc>
          <w:tcPr>
            <w:tcW w:w="1303" w:type="dxa"/>
            <w:gridSpan w:val="2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Member</w:t>
            </w:r>
          </w:p>
        </w:tc>
      </w:tr>
      <w:tr w:rsidR="008F2AAD" w:rsidRPr="006A304E" w:rsidTr="00AC185B">
        <w:trPr>
          <w:trHeight w:val="420"/>
        </w:trPr>
        <w:tc>
          <w:tcPr>
            <w:tcW w:w="2943" w:type="dxa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South Australia</w:t>
            </w:r>
          </w:p>
        </w:tc>
        <w:tc>
          <w:tcPr>
            <w:tcW w:w="5087" w:type="dxa"/>
          </w:tcPr>
          <w:p w:rsidR="008F2AAD" w:rsidRPr="003937AB" w:rsidRDefault="008F2AAD" w:rsidP="00843D20">
            <w:pPr>
              <w:spacing w:after="120"/>
              <w:rPr>
                <w:rFonts w:cs="Calibri"/>
                <w:sz w:val="24"/>
                <w:szCs w:val="24"/>
              </w:rPr>
            </w:pPr>
            <w:r w:rsidRPr="003937AB">
              <w:rPr>
                <w:rFonts w:cs="Calibri"/>
                <w:sz w:val="24"/>
                <w:szCs w:val="24"/>
              </w:rPr>
              <w:t>Department of Treasury and Finance</w:t>
            </w:r>
          </w:p>
        </w:tc>
        <w:tc>
          <w:tcPr>
            <w:tcW w:w="1303" w:type="dxa"/>
            <w:gridSpan w:val="2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Member</w:t>
            </w:r>
          </w:p>
        </w:tc>
      </w:tr>
      <w:tr w:rsidR="008F2AAD" w:rsidRPr="006A304E" w:rsidTr="00AC185B">
        <w:trPr>
          <w:trHeight w:val="427"/>
        </w:trPr>
        <w:tc>
          <w:tcPr>
            <w:tcW w:w="2943" w:type="dxa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Tasmania</w:t>
            </w:r>
          </w:p>
        </w:tc>
        <w:tc>
          <w:tcPr>
            <w:tcW w:w="5087" w:type="dxa"/>
          </w:tcPr>
          <w:p w:rsidR="008F2AAD" w:rsidRPr="003937AB" w:rsidRDefault="008F2AAD" w:rsidP="00843D20">
            <w:pPr>
              <w:spacing w:after="120"/>
              <w:rPr>
                <w:rFonts w:cs="Calibri"/>
                <w:sz w:val="24"/>
                <w:szCs w:val="24"/>
              </w:rPr>
            </w:pPr>
            <w:r w:rsidRPr="003937AB">
              <w:rPr>
                <w:rFonts w:cs="Calibri"/>
                <w:sz w:val="24"/>
                <w:szCs w:val="24"/>
              </w:rPr>
              <w:t>Tasmanian Treasury</w:t>
            </w:r>
          </w:p>
        </w:tc>
        <w:tc>
          <w:tcPr>
            <w:tcW w:w="1303" w:type="dxa"/>
            <w:gridSpan w:val="2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Member</w:t>
            </w:r>
          </w:p>
        </w:tc>
      </w:tr>
      <w:tr w:rsidR="008F2AAD" w:rsidRPr="006A304E" w:rsidTr="00AC185B">
        <w:trPr>
          <w:trHeight w:val="465"/>
        </w:trPr>
        <w:tc>
          <w:tcPr>
            <w:tcW w:w="2943" w:type="dxa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Australian Capital Territory</w:t>
            </w:r>
          </w:p>
        </w:tc>
        <w:tc>
          <w:tcPr>
            <w:tcW w:w="5087" w:type="dxa"/>
          </w:tcPr>
          <w:p w:rsidR="008F2AAD" w:rsidRPr="003937AB" w:rsidRDefault="008F2AAD" w:rsidP="00843D20">
            <w:pPr>
              <w:spacing w:after="120"/>
              <w:rPr>
                <w:rFonts w:cs="Calibri"/>
                <w:sz w:val="24"/>
                <w:szCs w:val="24"/>
              </w:rPr>
            </w:pPr>
            <w:r w:rsidRPr="003937AB">
              <w:rPr>
                <w:rFonts w:cs="Calibri"/>
                <w:sz w:val="24"/>
                <w:szCs w:val="24"/>
              </w:rPr>
              <w:t>Treasury Directorate</w:t>
            </w:r>
          </w:p>
        </w:tc>
        <w:tc>
          <w:tcPr>
            <w:tcW w:w="1303" w:type="dxa"/>
            <w:gridSpan w:val="2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Member</w:t>
            </w:r>
          </w:p>
        </w:tc>
      </w:tr>
      <w:tr w:rsidR="008F2AAD" w:rsidRPr="006A304E" w:rsidTr="00AC185B">
        <w:trPr>
          <w:trHeight w:val="385"/>
        </w:trPr>
        <w:tc>
          <w:tcPr>
            <w:tcW w:w="2943" w:type="dxa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Northern Territory</w:t>
            </w:r>
          </w:p>
        </w:tc>
        <w:tc>
          <w:tcPr>
            <w:tcW w:w="5087" w:type="dxa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rFonts w:cs="Calibri"/>
                <w:bCs/>
                <w:color w:val="000000"/>
                <w:sz w:val="24"/>
                <w:szCs w:val="24"/>
              </w:rPr>
              <w:t>Northern Territory Treasury</w:t>
            </w:r>
          </w:p>
        </w:tc>
        <w:tc>
          <w:tcPr>
            <w:tcW w:w="1303" w:type="dxa"/>
            <w:gridSpan w:val="2"/>
          </w:tcPr>
          <w:p w:rsidR="008F2AAD" w:rsidRPr="003937AB" w:rsidRDefault="008F2AAD" w:rsidP="00843D20">
            <w:pPr>
              <w:spacing w:after="120" w:line="240" w:lineRule="auto"/>
              <w:rPr>
                <w:sz w:val="24"/>
                <w:szCs w:val="24"/>
              </w:rPr>
            </w:pPr>
            <w:r w:rsidRPr="003937AB">
              <w:rPr>
                <w:sz w:val="24"/>
                <w:szCs w:val="24"/>
              </w:rPr>
              <w:t>Member</w:t>
            </w:r>
          </w:p>
        </w:tc>
      </w:tr>
    </w:tbl>
    <w:p w:rsidR="008F2AAD" w:rsidRDefault="008F2AAD" w:rsidP="002003A0">
      <w:pPr>
        <w:spacing w:line="240" w:lineRule="auto"/>
        <w:rPr>
          <w:rFonts w:eastAsia="Times New Roman"/>
          <w:szCs w:val="24"/>
          <w:lang w:val="en-US"/>
        </w:rPr>
      </w:pPr>
    </w:p>
    <w:sectPr w:rsidR="008F2AAD" w:rsidSect="0080101A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820" w:rsidRDefault="00335820" w:rsidP="00AE6B05">
      <w:pPr>
        <w:spacing w:after="0" w:line="240" w:lineRule="auto"/>
      </w:pPr>
      <w:r>
        <w:separator/>
      </w:r>
    </w:p>
  </w:endnote>
  <w:endnote w:type="continuationSeparator" w:id="0">
    <w:p w:rsidR="00335820" w:rsidRDefault="00335820" w:rsidP="00AE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820" w:rsidRDefault="00335820" w:rsidP="00AE6B05">
      <w:pPr>
        <w:spacing w:after="0" w:line="240" w:lineRule="auto"/>
      </w:pPr>
      <w:r>
        <w:separator/>
      </w:r>
    </w:p>
  </w:footnote>
  <w:footnote w:type="continuationSeparator" w:id="0">
    <w:p w:rsidR="00335820" w:rsidRDefault="00335820" w:rsidP="00AE6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820" w:rsidRPr="007A027B" w:rsidRDefault="00335820" w:rsidP="002003A0">
    <w:pPr>
      <w:pStyle w:val="Heading1"/>
      <w:keepNext/>
      <w:spacing w:after="60"/>
      <w:jc w:val="center"/>
      <w:rPr>
        <w:rFonts w:ascii="Cambria" w:hAnsi="Cambria" w:cs="Arial"/>
        <w:b/>
        <w:bCs/>
        <w:kern w:val="32"/>
        <w:sz w:val="36"/>
        <w:szCs w:val="36"/>
        <w:lang w:val="en-AU"/>
      </w:rPr>
    </w:pPr>
    <w:r w:rsidRPr="007A027B">
      <w:rPr>
        <w:rFonts w:ascii="Cambria" w:hAnsi="Cambria" w:cs="Arial"/>
        <w:b/>
        <w:bCs/>
        <w:kern w:val="32"/>
        <w:sz w:val="36"/>
        <w:szCs w:val="36"/>
        <w:lang w:val="en-AU"/>
      </w:rPr>
      <w:t xml:space="preserve">COAG </w:t>
    </w:r>
    <w:r>
      <w:rPr>
        <w:rFonts w:ascii="Cambria" w:hAnsi="Cambria" w:cs="Arial"/>
        <w:b/>
        <w:bCs/>
        <w:kern w:val="32"/>
        <w:sz w:val="36"/>
        <w:szCs w:val="36"/>
        <w:lang w:val="en-AU"/>
      </w:rPr>
      <w:t>Not-for-profit Reform Working Group</w:t>
    </w:r>
  </w:p>
  <w:p w:rsidR="00335820" w:rsidRDefault="00335820" w:rsidP="002003A0">
    <w:pPr>
      <w:pStyle w:val="Header"/>
      <w:jc w:val="center"/>
    </w:pPr>
    <w:r w:rsidRPr="00C7147A">
      <w:rPr>
        <w:rFonts w:ascii="Cambria" w:hAnsi="Cambria" w:cs="Arial"/>
        <w:b/>
        <w:bCs/>
        <w:kern w:val="32"/>
        <w:sz w:val="28"/>
        <w:szCs w:val="28"/>
      </w:rPr>
      <w:t>Terms of Reference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F4A56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917243"/>
    <w:multiLevelType w:val="hybridMultilevel"/>
    <w:tmpl w:val="9D80C33E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B">
      <w:start w:val="1"/>
      <w:numFmt w:val="lowerRoman"/>
      <w:lvlText w:val="%2."/>
      <w:lvlJc w:val="right"/>
      <w:pPr>
        <w:ind w:left="108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9E3491"/>
    <w:multiLevelType w:val="hybridMultilevel"/>
    <w:tmpl w:val="AA760136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BC6685A"/>
    <w:multiLevelType w:val="singleLevel"/>
    <w:tmpl w:val="502C1CB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>
    <w:nsid w:val="0C4F5CB7"/>
    <w:multiLevelType w:val="hybridMultilevel"/>
    <w:tmpl w:val="43767536"/>
    <w:lvl w:ilvl="0" w:tplc="0C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9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943EE4"/>
    <w:multiLevelType w:val="hybridMultilevel"/>
    <w:tmpl w:val="FCDA0280"/>
    <w:lvl w:ilvl="0" w:tplc="0C09001B">
      <w:start w:val="1"/>
      <w:numFmt w:val="lowerRoman"/>
      <w:lvlText w:val="%1."/>
      <w:lvlJc w:val="right"/>
      <w:pPr>
        <w:ind w:left="1080" w:hanging="360"/>
      </w:pPr>
      <w:rPr>
        <w:rFonts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0791267"/>
    <w:multiLevelType w:val="hybridMultilevel"/>
    <w:tmpl w:val="77E65124"/>
    <w:lvl w:ilvl="0" w:tplc="0C0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7">
    <w:nsid w:val="10997C8E"/>
    <w:multiLevelType w:val="singleLevel"/>
    <w:tmpl w:val="B9A0B48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8">
    <w:nsid w:val="13AB3525"/>
    <w:multiLevelType w:val="multilevel"/>
    <w:tmpl w:val="39B092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14483D6F"/>
    <w:multiLevelType w:val="singleLevel"/>
    <w:tmpl w:val="E5F2F84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10">
    <w:nsid w:val="1D4D3DE1"/>
    <w:multiLevelType w:val="multilevel"/>
    <w:tmpl w:val="1E4E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7272F2"/>
    <w:multiLevelType w:val="hybridMultilevel"/>
    <w:tmpl w:val="0860914A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A1767C5"/>
    <w:multiLevelType w:val="multilevel"/>
    <w:tmpl w:val="83DC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DA13524"/>
    <w:multiLevelType w:val="multilevel"/>
    <w:tmpl w:val="CD20C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2460FC"/>
    <w:multiLevelType w:val="multilevel"/>
    <w:tmpl w:val="59906ADC"/>
    <w:styleLink w:val="CABNETListAtt"/>
    <w:lvl w:ilvl="0">
      <w:start w:val="1"/>
      <w:numFmt w:val="decimal"/>
      <w:lvlText w:val="%1."/>
      <w:lvlJc w:val="left"/>
      <w:pPr>
        <w:tabs>
          <w:tab w:val="num" w:pos="567"/>
        </w:tabs>
      </w:pPr>
      <w:rPr>
        <w:rFonts w:ascii="Verdana" w:hAnsi="Verdana" w:cs="Times New Roman" w:hint="default"/>
        <w:b w:val="0"/>
        <w:i w:val="0"/>
        <w:kern w:val="0"/>
        <w:sz w:val="24"/>
        <w:szCs w:val="24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1134" w:hanging="567"/>
      </w:pPr>
      <w:rPr>
        <w:rFonts w:ascii="Verdana" w:hAnsi="Verdana" w:cs="Times New Roman" w:hint="default"/>
        <w:b w:val="0"/>
        <w:i w:val="0"/>
        <w:kern w:val="0"/>
        <w:sz w:val="24"/>
        <w:szCs w:val="24"/>
      </w:rPr>
    </w:lvl>
    <w:lvl w:ilvl="2">
      <w:start w:val="1"/>
      <w:numFmt w:val="lowerRoman"/>
      <w:lvlText w:val="(%3)"/>
      <w:lvlJc w:val="left"/>
      <w:pPr>
        <w:tabs>
          <w:tab w:val="num" w:pos="1134"/>
        </w:tabs>
        <w:ind w:left="1701" w:hanging="567"/>
      </w:pPr>
      <w:rPr>
        <w:rFonts w:ascii="Verdana" w:hAnsi="Verdana" w:cs="Times New Roman" w:hint="default"/>
        <w:b w:val="0"/>
        <w:i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567"/>
        </w:tabs>
        <w:ind w:left="2268" w:hanging="567"/>
      </w:pPr>
      <w:rPr>
        <w:rFonts w:ascii="Verdana" w:hAnsi="Verdana" w:cs="Times New Roman" w:hint="default"/>
        <w:b w:val="0"/>
        <w:i w:val="0"/>
        <w:kern w:val="0"/>
        <w:sz w:val="24"/>
        <w:szCs w:val="24"/>
      </w:rPr>
    </w:lvl>
    <w:lvl w:ilvl="4">
      <w:start w:val="1"/>
      <w:numFmt w:val="decimal"/>
      <w:lvlText w:val="(%5)"/>
      <w:lvlJc w:val="left"/>
      <w:pPr>
        <w:tabs>
          <w:tab w:val="num" w:pos="567"/>
        </w:tabs>
        <w:ind w:left="2835" w:hanging="567"/>
      </w:pPr>
      <w:rPr>
        <w:rFonts w:ascii="Verdana" w:hAnsi="Verdana" w:cs="Times New Roman" w:hint="default"/>
        <w:sz w:val="22"/>
      </w:rPr>
    </w:lvl>
    <w:lvl w:ilvl="5">
      <w:start w:val="1"/>
      <w:numFmt w:val="none"/>
      <w:lvlText w:val="."/>
      <w:lvlJc w:val="left"/>
      <w:pPr>
        <w:tabs>
          <w:tab w:val="num" w:pos="567"/>
        </w:tabs>
        <w:ind w:left="3402" w:hanging="567"/>
      </w:pPr>
      <w:rPr>
        <w:rFonts w:ascii="Verdana" w:hAnsi="Verdana" w:cs="Times New Roman" w:hint="default"/>
        <w:sz w:val="22"/>
      </w:rPr>
    </w:lvl>
    <w:lvl w:ilvl="6">
      <w:start w:val="1"/>
      <w:numFmt w:val="none"/>
      <w:lvlText w:val="."/>
      <w:lvlJc w:val="left"/>
      <w:pPr>
        <w:tabs>
          <w:tab w:val="num" w:pos="567"/>
        </w:tabs>
        <w:ind w:left="3969" w:hanging="567"/>
      </w:pPr>
      <w:rPr>
        <w:rFonts w:ascii="Verdana" w:hAnsi="Verdana" w:cs="Times New Roman" w:hint="default"/>
        <w:sz w:val="22"/>
      </w:rPr>
    </w:lvl>
    <w:lvl w:ilvl="7">
      <w:start w:val="1"/>
      <w:numFmt w:val="none"/>
      <w:lvlText w:val="."/>
      <w:lvlJc w:val="left"/>
      <w:pPr>
        <w:tabs>
          <w:tab w:val="num" w:pos="567"/>
        </w:tabs>
        <w:ind w:left="4536" w:hanging="567"/>
      </w:pPr>
      <w:rPr>
        <w:rFonts w:ascii="Verdana" w:hAnsi="Verdana" w:cs="Times New Roman" w:hint="default"/>
        <w:sz w:val="22"/>
      </w:rPr>
    </w:lvl>
    <w:lvl w:ilvl="8">
      <w:start w:val="1"/>
      <w:numFmt w:val="none"/>
      <w:lvlText w:val="."/>
      <w:lvlJc w:val="left"/>
      <w:pPr>
        <w:tabs>
          <w:tab w:val="num" w:pos="567"/>
        </w:tabs>
        <w:ind w:left="5103" w:hanging="567"/>
      </w:pPr>
      <w:rPr>
        <w:rFonts w:ascii="Verdana" w:hAnsi="Verdana" w:cs="Times New Roman"/>
        <w:dstrike w:val="0"/>
        <w:sz w:val="24"/>
        <w:szCs w:val="24"/>
        <w:vertAlign w:val="baseline"/>
      </w:rPr>
    </w:lvl>
  </w:abstractNum>
  <w:abstractNum w:abstractNumId="15">
    <w:nsid w:val="3D57618B"/>
    <w:multiLevelType w:val="singleLevel"/>
    <w:tmpl w:val="29E0DEF2"/>
    <w:lvl w:ilvl="0">
      <w:start w:val="1"/>
      <w:numFmt w:val="bullet"/>
      <w:lvlText w:val=""/>
      <w:lvlJc w:val="left"/>
      <w:pPr>
        <w:tabs>
          <w:tab w:val="num" w:pos="623"/>
        </w:tabs>
        <w:ind w:left="623" w:hanging="340"/>
      </w:pPr>
      <w:rPr>
        <w:rFonts w:ascii="Symbol" w:hAnsi="Symbol" w:hint="default"/>
        <w:color w:val="auto"/>
        <w:sz w:val="22"/>
      </w:rPr>
    </w:lvl>
  </w:abstractNum>
  <w:abstractNum w:abstractNumId="16">
    <w:nsid w:val="458308C9"/>
    <w:multiLevelType w:val="multilevel"/>
    <w:tmpl w:val="59906ADC"/>
    <w:numStyleLink w:val="CABNETListAtt"/>
  </w:abstractNum>
  <w:abstractNum w:abstractNumId="17">
    <w:nsid w:val="47B64C4D"/>
    <w:multiLevelType w:val="hybridMultilevel"/>
    <w:tmpl w:val="8CD44C98"/>
    <w:lvl w:ilvl="0" w:tplc="DA9E9A8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i w:val="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E0271A1"/>
    <w:multiLevelType w:val="multilevel"/>
    <w:tmpl w:val="A3AA506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>
    <w:nsid w:val="4E4157D2"/>
    <w:multiLevelType w:val="multilevel"/>
    <w:tmpl w:val="C650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42601E"/>
    <w:multiLevelType w:val="singleLevel"/>
    <w:tmpl w:val="274A97B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1">
    <w:nsid w:val="6704554B"/>
    <w:multiLevelType w:val="hybridMultilevel"/>
    <w:tmpl w:val="C464D51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i w:val="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7917D03"/>
    <w:multiLevelType w:val="hybridMultilevel"/>
    <w:tmpl w:val="71FC6AE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85833CE"/>
    <w:multiLevelType w:val="hybridMultilevel"/>
    <w:tmpl w:val="B87AB4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C361CD3"/>
    <w:multiLevelType w:val="hybridMultilevel"/>
    <w:tmpl w:val="2934174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B07E42"/>
    <w:multiLevelType w:val="singleLevel"/>
    <w:tmpl w:val="AF6C72C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6">
    <w:nsid w:val="6FF557D0"/>
    <w:multiLevelType w:val="multilevel"/>
    <w:tmpl w:val="FA0C5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E06C17"/>
    <w:multiLevelType w:val="multilevel"/>
    <w:tmpl w:val="6030718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>
    <w:nsid w:val="791F6699"/>
    <w:multiLevelType w:val="hybridMultilevel"/>
    <w:tmpl w:val="973A3402"/>
    <w:lvl w:ilvl="0" w:tplc="BF66410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E2224D5"/>
    <w:multiLevelType w:val="hybridMultilevel"/>
    <w:tmpl w:val="973A3402"/>
    <w:lvl w:ilvl="0" w:tplc="BF66410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ED51712"/>
    <w:multiLevelType w:val="hybridMultilevel"/>
    <w:tmpl w:val="71FC6AE2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F105352"/>
    <w:multiLevelType w:val="multilevel"/>
    <w:tmpl w:val="6686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4"/>
  </w:num>
  <w:num w:numId="10">
    <w:abstractNumId w:val="30"/>
  </w:num>
  <w:num w:numId="11">
    <w:abstractNumId w:val="17"/>
  </w:num>
  <w:num w:numId="12">
    <w:abstractNumId w:val="21"/>
  </w:num>
  <w:num w:numId="13">
    <w:abstractNumId w:val="24"/>
  </w:num>
  <w:num w:numId="14">
    <w:abstractNumId w:val="13"/>
  </w:num>
  <w:num w:numId="15">
    <w:abstractNumId w:val="31"/>
  </w:num>
  <w:num w:numId="16">
    <w:abstractNumId w:val="19"/>
  </w:num>
  <w:num w:numId="17">
    <w:abstractNumId w:val="10"/>
  </w:num>
  <w:num w:numId="18">
    <w:abstractNumId w:val="12"/>
  </w:num>
  <w:num w:numId="19">
    <w:abstractNumId w:val="26"/>
  </w:num>
  <w:num w:numId="20">
    <w:abstractNumId w:val="7"/>
  </w:num>
  <w:num w:numId="21">
    <w:abstractNumId w:val="20"/>
  </w:num>
  <w:num w:numId="22">
    <w:abstractNumId w:val="9"/>
  </w:num>
  <w:num w:numId="23">
    <w:abstractNumId w:val="25"/>
  </w:num>
  <w:num w:numId="24">
    <w:abstractNumId w:val="3"/>
  </w:num>
  <w:num w:numId="25">
    <w:abstractNumId w:val="29"/>
  </w:num>
  <w:num w:numId="26">
    <w:abstractNumId w:val="15"/>
  </w:num>
  <w:num w:numId="27">
    <w:abstractNumId w:val="0"/>
  </w:num>
  <w:num w:numId="28">
    <w:abstractNumId w:val="14"/>
  </w:num>
  <w:num w:numId="29">
    <w:abstractNumId w:val="8"/>
  </w:num>
  <w:num w:numId="30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</w:pPr>
        <w:rPr>
          <w:rFonts w:ascii="Verdana" w:hAnsi="Verdana" w:cs="Times New Roman" w:hint="default"/>
          <w:b w:val="0"/>
          <w:i w:val="0"/>
          <w:color w:val="auto"/>
          <w:kern w:val="0"/>
          <w:sz w:val="24"/>
          <w:szCs w:val="24"/>
        </w:rPr>
      </w:lvl>
    </w:lvlOverride>
  </w:num>
  <w:num w:numId="31">
    <w:abstractNumId w:val="16"/>
  </w:num>
  <w:num w:numId="32">
    <w:abstractNumId w:val="6"/>
  </w:num>
  <w:num w:numId="33">
    <w:abstractNumId w:val="27"/>
  </w:num>
  <w:num w:numId="34">
    <w:abstractNumId w:val="2"/>
  </w:num>
  <w:num w:numId="35">
    <w:abstractNumId w:val="22"/>
  </w:num>
  <w:num w:numId="36">
    <w:abstractNumId w:val="18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0705"/>
    <w:rsid w:val="0000210A"/>
    <w:rsid w:val="00005502"/>
    <w:rsid w:val="000101C5"/>
    <w:rsid w:val="00014382"/>
    <w:rsid w:val="00014DDC"/>
    <w:rsid w:val="00021005"/>
    <w:rsid w:val="00031267"/>
    <w:rsid w:val="00033583"/>
    <w:rsid w:val="00037190"/>
    <w:rsid w:val="00055DF5"/>
    <w:rsid w:val="00061FCF"/>
    <w:rsid w:val="00063495"/>
    <w:rsid w:val="00066918"/>
    <w:rsid w:val="000704B0"/>
    <w:rsid w:val="00072776"/>
    <w:rsid w:val="000734F2"/>
    <w:rsid w:val="00074B25"/>
    <w:rsid w:val="000904BB"/>
    <w:rsid w:val="000A14CE"/>
    <w:rsid w:val="000B543B"/>
    <w:rsid w:val="000C0FC1"/>
    <w:rsid w:val="000C54F0"/>
    <w:rsid w:val="000D24B4"/>
    <w:rsid w:val="000D385B"/>
    <w:rsid w:val="000E19FB"/>
    <w:rsid w:val="000E1D09"/>
    <w:rsid w:val="000E3384"/>
    <w:rsid w:val="000F52E9"/>
    <w:rsid w:val="000F61E7"/>
    <w:rsid w:val="000F73C5"/>
    <w:rsid w:val="00102F08"/>
    <w:rsid w:val="00115B60"/>
    <w:rsid w:val="0011671E"/>
    <w:rsid w:val="00123430"/>
    <w:rsid w:val="00123930"/>
    <w:rsid w:val="00125DC9"/>
    <w:rsid w:val="00137378"/>
    <w:rsid w:val="001418BC"/>
    <w:rsid w:val="001425B7"/>
    <w:rsid w:val="00143864"/>
    <w:rsid w:val="0016108D"/>
    <w:rsid w:val="00167C71"/>
    <w:rsid w:val="0018651F"/>
    <w:rsid w:val="001937B2"/>
    <w:rsid w:val="001A0860"/>
    <w:rsid w:val="001A4121"/>
    <w:rsid w:val="001A636C"/>
    <w:rsid w:val="001A6F2F"/>
    <w:rsid w:val="001B2591"/>
    <w:rsid w:val="001D2C90"/>
    <w:rsid w:val="001D32A5"/>
    <w:rsid w:val="001E2A11"/>
    <w:rsid w:val="001F16F0"/>
    <w:rsid w:val="001F6D9C"/>
    <w:rsid w:val="002003A0"/>
    <w:rsid w:val="00204EC8"/>
    <w:rsid w:val="00214280"/>
    <w:rsid w:val="00221B73"/>
    <w:rsid w:val="00237ABB"/>
    <w:rsid w:val="00243F54"/>
    <w:rsid w:val="0025250C"/>
    <w:rsid w:val="00266B11"/>
    <w:rsid w:val="00282B02"/>
    <w:rsid w:val="00283029"/>
    <w:rsid w:val="00284D6A"/>
    <w:rsid w:val="002A19F3"/>
    <w:rsid w:val="002A4E1F"/>
    <w:rsid w:val="002A7508"/>
    <w:rsid w:val="002B54AA"/>
    <w:rsid w:val="002C3F9B"/>
    <w:rsid w:val="002C77DC"/>
    <w:rsid w:val="002D344E"/>
    <w:rsid w:val="002E21D8"/>
    <w:rsid w:val="002F201D"/>
    <w:rsid w:val="00301073"/>
    <w:rsid w:val="0032436C"/>
    <w:rsid w:val="00325A3D"/>
    <w:rsid w:val="0032706D"/>
    <w:rsid w:val="00330AFB"/>
    <w:rsid w:val="003348BA"/>
    <w:rsid w:val="00335820"/>
    <w:rsid w:val="00336E78"/>
    <w:rsid w:val="0034536C"/>
    <w:rsid w:val="003478D5"/>
    <w:rsid w:val="00354E34"/>
    <w:rsid w:val="00356A3A"/>
    <w:rsid w:val="003630CE"/>
    <w:rsid w:val="003662B5"/>
    <w:rsid w:val="00390481"/>
    <w:rsid w:val="003937AB"/>
    <w:rsid w:val="00395DD2"/>
    <w:rsid w:val="003A065A"/>
    <w:rsid w:val="003A1598"/>
    <w:rsid w:val="003A4086"/>
    <w:rsid w:val="003A4CC6"/>
    <w:rsid w:val="003B63EF"/>
    <w:rsid w:val="003B6CEE"/>
    <w:rsid w:val="003D0939"/>
    <w:rsid w:val="003D2CBE"/>
    <w:rsid w:val="003F09E8"/>
    <w:rsid w:val="00415F9B"/>
    <w:rsid w:val="004201D1"/>
    <w:rsid w:val="004222BB"/>
    <w:rsid w:val="00422F69"/>
    <w:rsid w:val="00435571"/>
    <w:rsid w:val="00437A4C"/>
    <w:rsid w:val="004835D4"/>
    <w:rsid w:val="00490DE2"/>
    <w:rsid w:val="0049440F"/>
    <w:rsid w:val="0049770E"/>
    <w:rsid w:val="004A484D"/>
    <w:rsid w:val="004B4782"/>
    <w:rsid w:val="004B51EB"/>
    <w:rsid w:val="004D07AE"/>
    <w:rsid w:val="004E597E"/>
    <w:rsid w:val="004E61D9"/>
    <w:rsid w:val="004E7964"/>
    <w:rsid w:val="00502A96"/>
    <w:rsid w:val="0052713B"/>
    <w:rsid w:val="00532A63"/>
    <w:rsid w:val="0053575B"/>
    <w:rsid w:val="00535851"/>
    <w:rsid w:val="00541E45"/>
    <w:rsid w:val="0057485A"/>
    <w:rsid w:val="00577470"/>
    <w:rsid w:val="00580063"/>
    <w:rsid w:val="00583D60"/>
    <w:rsid w:val="005A39AE"/>
    <w:rsid w:val="005A57BC"/>
    <w:rsid w:val="005A6C62"/>
    <w:rsid w:val="005B6EFD"/>
    <w:rsid w:val="005C0F92"/>
    <w:rsid w:val="005C3F6F"/>
    <w:rsid w:val="005D21FB"/>
    <w:rsid w:val="005D3C55"/>
    <w:rsid w:val="005D439A"/>
    <w:rsid w:val="005E135D"/>
    <w:rsid w:val="005E365A"/>
    <w:rsid w:val="005E74A5"/>
    <w:rsid w:val="005F4862"/>
    <w:rsid w:val="00600551"/>
    <w:rsid w:val="006042C1"/>
    <w:rsid w:val="0060509C"/>
    <w:rsid w:val="006063EA"/>
    <w:rsid w:val="00606D92"/>
    <w:rsid w:val="006071EE"/>
    <w:rsid w:val="00611098"/>
    <w:rsid w:val="00623FEE"/>
    <w:rsid w:val="0062566A"/>
    <w:rsid w:val="00647D9F"/>
    <w:rsid w:val="00666C8E"/>
    <w:rsid w:val="0068057E"/>
    <w:rsid w:val="006856BE"/>
    <w:rsid w:val="00685E18"/>
    <w:rsid w:val="0069063A"/>
    <w:rsid w:val="00697163"/>
    <w:rsid w:val="006A2898"/>
    <w:rsid w:val="006A304E"/>
    <w:rsid w:val="006B6963"/>
    <w:rsid w:val="006D6362"/>
    <w:rsid w:val="006F24AB"/>
    <w:rsid w:val="0073788D"/>
    <w:rsid w:val="00743435"/>
    <w:rsid w:val="007509F8"/>
    <w:rsid w:val="00750BF3"/>
    <w:rsid w:val="007518B0"/>
    <w:rsid w:val="0075309B"/>
    <w:rsid w:val="00754E26"/>
    <w:rsid w:val="007600C4"/>
    <w:rsid w:val="007609B2"/>
    <w:rsid w:val="00761DBC"/>
    <w:rsid w:val="0076245C"/>
    <w:rsid w:val="00763669"/>
    <w:rsid w:val="00763D6E"/>
    <w:rsid w:val="00777042"/>
    <w:rsid w:val="007854C3"/>
    <w:rsid w:val="007859E7"/>
    <w:rsid w:val="00797BF4"/>
    <w:rsid w:val="007A027B"/>
    <w:rsid w:val="007A127F"/>
    <w:rsid w:val="007C1FE1"/>
    <w:rsid w:val="007D28B4"/>
    <w:rsid w:val="007F674E"/>
    <w:rsid w:val="0080101A"/>
    <w:rsid w:val="0080125F"/>
    <w:rsid w:val="008068E2"/>
    <w:rsid w:val="008074D3"/>
    <w:rsid w:val="00827271"/>
    <w:rsid w:val="00831664"/>
    <w:rsid w:val="00843D20"/>
    <w:rsid w:val="008506FF"/>
    <w:rsid w:val="00874873"/>
    <w:rsid w:val="00887A36"/>
    <w:rsid w:val="008925A5"/>
    <w:rsid w:val="008940A0"/>
    <w:rsid w:val="00895D35"/>
    <w:rsid w:val="00896D0E"/>
    <w:rsid w:val="008B3EA3"/>
    <w:rsid w:val="008D6549"/>
    <w:rsid w:val="008E0687"/>
    <w:rsid w:val="008F2AAD"/>
    <w:rsid w:val="00911B7E"/>
    <w:rsid w:val="0091709C"/>
    <w:rsid w:val="00930245"/>
    <w:rsid w:val="00930545"/>
    <w:rsid w:val="0093153B"/>
    <w:rsid w:val="00944EE8"/>
    <w:rsid w:val="00950AB4"/>
    <w:rsid w:val="00954E95"/>
    <w:rsid w:val="0096017F"/>
    <w:rsid w:val="0096177D"/>
    <w:rsid w:val="00981F4D"/>
    <w:rsid w:val="009B24C8"/>
    <w:rsid w:val="009C45E7"/>
    <w:rsid w:val="009C6402"/>
    <w:rsid w:val="009D2889"/>
    <w:rsid w:val="009D292E"/>
    <w:rsid w:val="009D5FB8"/>
    <w:rsid w:val="009E2276"/>
    <w:rsid w:val="009E3516"/>
    <w:rsid w:val="009E79E9"/>
    <w:rsid w:val="00A0455D"/>
    <w:rsid w:val="00A10FCD"/>
    <w:rsid w:val="00A22C7F"/>
    <w:rsid w:val="00A23EAF"/>
    <w:rsid w:val="00A43896"/>
    <w:rsid w:val="00A44307"/>
    <w:rsid w:val="00A5680F"/>
    <w:rsid w:val="00A61158"/>
    <w:rsid w:val="00A75CEE"/>
    <w:rsid w:val="00A77C5A"/>
    <w:rsid w:val="00A942E4"/>
    <w:rsid w:val="00AA2012"/>
    <w:rsid w:val="00AB77C5"/>
    <w:rsid w:val="00AC155F"/>
    <w:rsid w:val="00AC185B"/>
    <w:rsid w:val="00AC4A85"/>
    <w:rsid w:val="00AC79B9"/>
    <w:rsid w:val="00AD3447"/>
    <w:rsid w:val="00AD74C0"/>
    <w:rsid w:val="00AE2CEF"/>
    <w:rsid w:val="00AE2EA8"/>
    <w:rsid w:val="00AE6B05"/>
    <w:rsid w:val="00AF0178"/>
    <w:rsid w:val="00B0578B"/>
    <w:rsid w:val="00B75D0E"/>
    <w:rsid w:val="00B76E36"/>
    <w:rsid w:val="00B93626"/>
    <w:rsid w:val="00BA2F2A"/>
    <w:rsid w:val="00BA49DF"/>
    <w:rsid w:val="00BB4249"/>
    <w:rsid w:val="00BB6C06"/>
    <w:rsid w:val="00BD5057"/>
    <w:rsid w:val="00BF292E"/>
    <w:rsid w:val="00BF3E17"/>
    <w:rsid w:val="00BF7B00"/>
    <w:rsid w:val="00C0323E"/>
    <w:rsid w:val="00C078DD"/>
    <w:rsid w:val="00C07C7F"/>
    <w:rsid w:val="00C1431D"/>
    <w:rsid w:val="00C145B3"/>
    <w:rsid w:val="00C17088"/>
    <w:rsid w:val="00C213B1"/>
    <w:rsid w:val="00C21C7F"/>
    <w:rsid w:val="00C314D5"/>
    <w:rsid w:val="00C3200E"/>
    <w:rsid w:val="00C4062D"/>
    <w:rsid w:val="00C438B1"/>
    <w:rsid w:val="00C43D3C"/>
    <w:rsid w:val="00C50705"/>
    <w:rsid w:val="00C545D8"/>
    <w:rsid w:val="00C60977"/>
    <w:rsid w:val="00C7147A"/>
    <w:rsid w:val="00C75663"/>
    <w:rsid w:val="00C81F57"/>
    <w:rsid w:val="00C900EA"/>
    <w:rsid w:val="00C948C9"/>
    <w:rsid w:val="00CA3D5B"/>
    <w:rsid w:val="00CC0A62"/>
    <w:rsid w:val="00CE10A6"/>
    <w:rsid w:val="00D00365"/>
    <w:rsid w:val="00D017B6"/>
    <w:rsid w:val="00D02299"/>
    <w:rsid w:val="00D17864"/>
    <w:rsid w:val="00D24FB3"/>
    <w:rsid w:val="00D35406"/>
    <w:rsid w:val="00D35F6E"/>
    <w:rsid w:val="00D43526"/>
    <w:rsid w:val="00D50901"/>
    <w:rsid w:val="00D576BE"/>
    <w:rsid w:val="00D576D2"/>
    <w:rsid w:val="00D605DC"/>
    <w:rsid w:val="00D7261E"/>
    <w:rsid w:val="00D828C5"/>
    <w:rsid w:val="00D967EA"/>
    <w:rsid w:val="00D96FCE"/>
    <w:rsid w:val="00DC2107"/>
    <w:rsid w:val="00DC443B"/>
    <w:rsid w:val="00DD119C"/>
    <w:rsid w:val="00DE1504"/>
    <w:rsid w:val="00DF07C8"/>
    <w:rsid w:val="00E0060C"/>
    <w:rsid w:val="00E13C5C"/>
    <w:rsid w:val="00E1714C"/>
    <w:rsid w:val="00E31262"/>
    <w:rsid w:val="00E32A8D"/>
    <w:rsid w:val="00E339E5"/>
    <w:rsid w:val="00E341E5"/>
    <w:rsid w:val="00E34BA6"/>
    <w:rsid w:val="00E457A8"/>
    <w:rsid w:val="00E47BCF"/>
    <w:rsid w:val="00E70A7B"/>
    <w:rsid w:val="00E72C5A"/>
    <w:rsid w:val="00EA699A"/>
    <w:rsid w:val="00ED6512"/>
    <w:rsid w:val="00EE01D3"/>
    <w:rsid w:val="00EF388C"/>
    <w:rsid w:val="00EF59EB"/>
    <w:rsid w:val="00EF796B"/>
    <w:rsid w:val="00F12C3D"/>
    <w:rsid w:val="00F15266"/>
    <w:rsid w:val="00F20FEE"/>
    <w:rsid w:val="00F21062"/>
    <w:rsid w:val="00F21D1A"/>
    <w:rsid w:val="00F314AF"/>
    <w:rsid w:val="00F325B9"/>
    <w:rsid w:val="00F32E03"/>
    <w:rsid w:val="00F41308"/>
    <w:rsid w:val="00F553D9"/>
    <w:rsid w:val="00F70D4C"/>
    <w:rsid w:val="00F80C4C"/>
    <w:rsid w:val="00F94B96"/>
    <w:rsid w:val="00F94F38"/>
    <w:rsid w:val="00FA3B03"/>
    <w:rsid w:val="00FA7C35"/>
    <w:rsid w:val="00FB0D98"/>
    <w:rsid w:val="00FB306F"/>
    <w:rsid w:val="00FB38B9"/>
    <w:rsid w:val="00FC65AB"/>
    <w:rsid w:val="00FE1A3B"/>
    <w:rsid w:val="00FE3A60"/>
    <w:rsid w:val="00FF1FB3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705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50705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locked/>
    <w:rsid w:val="00EF38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locked/>
    <w:rsid w:val="00EF388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C50705"/>
    <w:rPr>
      <w:rFonts w:ascii="Arial" w:hAnsi="Arial" w:cs="Times New Roman"/>
      <w:sz w:val="24"/>
      <w:szCs w:val="24"/>
      <w:lang w:val="en-US" w:eastAsia="x-none"/>
    </w:rPr>
  </w:style>
  <w:style w:type="character" w:customStyle="1" w:styleId="ListParagraphChar">
    <w:name w:val="List Paragraph Char"/>
    <w:aliases w:val="Recommendation Char,List Paragraph1 Char"/>
    <w:basedOn w:val="DefaultParagraphFont"/>
    <w:link w:val="ListParagraph1"/>
    <w:locked/>
    <w:rsid w:val="00C50705"/>
    <w:rPr>
      <w:rFonts w:cs="Times New Roman"/>
    </w:rPr>
  </w:style>
  <w:style w:type="paragraph" w:customStyle="1" w:styleId="ListParagraph1">
    <w:name w:val="List Paragraph1"/>
    <w:aliases w:val="Recommendation"/>
    <w:basedOn w:val="Normal"/>
    <w:link w:val="ListParagraphChar"/>
    <w:rsid w:val="00C50705"/>
    <w:pPr>
      <w:ind w:left="720"/>
    </w:pPr>
  </w:style>
  <w:style w:type="paragraph" w:styleId="Header">
    <w:name w:val="header"/>
    <w:basedOn w:val="Normal"/>
    <w:link w:val="HeaderChar"/>
    <w:semiHidden/>
    <w:rsid w:val="00AE6B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AE6B05"/>
    <w:rPr>
      <w:rFonts w:ascii="Calibri" w:hAnsi="Calibri" w:cs="Times New Roman"/>
    </w:rPr>
  </w:style>
  <w:style w:type="paragraph" w:styleId="Footer">
    <w:name w:val="footer"/>
    <w:basedOn w:val="Normal"/>
    <w:link w:val="FooterChar"/>
    <w:semiHidden/>
    <w:rsid w:val="00AE6B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locked/>
    <w:rsid w:val="00AE6B05"/>
    <w:rPr>
      <w:rFonts w:ascii="Calibri" w:hAnsi="Calibri" w:cs="Times New Roman"/>
    </w:rPr>
  </w:style>
  <w:style w:type="character" w:customStyle="1" w:styleId="Emphasis-Underline">
    <w:name w:val="Emphasis - Underline"/>
    <w:basedOn w:val="DefaultParagraphFont"/>
    <w:rsid w:val="002E21D8"/>
    <w:rPr>
      <w:rFonts w:cs="Times New Roman"/>
      <w:u w:val="single"/>
    </w:rPr>
  </w:style>
  <w:style w:type="table" w:styleId="TableGrid">
    <w:name w:val="Table Grid"/>
    <w:basedOn w:val="TableNormal"/>
    <w:rsid w:val="00F314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F38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rsid w:val="00EF38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rsid w:val="00911B7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1"/>
    <w:rsid w:val="00911B7E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locked/>
    <w:rsid w:val="00911B7E"/>
    <w:rPr>
      <w:rFonts w:eastAsia="Times New Roman"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11B7E"/>
    <w:rPr>
      <w:b/>
      <w:bCs/>
    </w:rPr>
  </w:style>
  <w:style w:type="character" w:customStyle="1" w:styleId="CommentSubjectChar">
    <w:name w:val="Comment Subject Char"/>
    <w:basedOn w:val="CommentTextChar1"/>
    <w:link w:val="CommentSubject"/>
    <w:locked/>
    <w:rsid w:val="00911B7E"/>
    <w:rPr>
      <w:rFonts w:eastAsia="Times New Roman"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rsid w:val="0091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911B7E"/>
    <w:rPr>
      <w:rFonts w:ascii="Tahoma" w:hAnsi="Tahoma" w:cs="Tahoma"/>
      <w:sz w:val="16"/>
      <w:szCs w:val="16"/>
      <w:lang w:val="x-none" w:eastAsia="en-US"/>
    </w:rPr>
  </w:style>
  <w:style w:type="paragraph" w:customStyle="1" w:styleId="BodyTextLevel1">
    <w:name w:val="Body Text Level 1"/>
    <w:basedOn w:val="Normal"/>
    <w:link w:val="BodyTextLevel1Char"/>
    <w:rsid w:val="00D576D2"/>
    <w:pPr>
      <w:spacing w:after="0" w:line="240" w:lineRule="auto"/>
    </w:pPr>
    <w:rPr>
      <w:rFonts w:ascii="Arial" w:eastAsia="Times New Roman" w:hAnsi="Arial"/>
      <w:szCs w:val="20"/>
      <w:lang w:eastAsia="en-AU"/>
    </w:rPr>
  </w:style>
  <w:style w:type="character" w:customStyle="1" w:styleId="BodyTextLevel1Char">
    <w:name w:val="Body Text Level 1 Char"/>
    <w:basedOn w:val="DefaultParagraphFont"/>
    <w:link w:val="BodyTextLevel1"/>
    <w:locked/>
    <w:rsid w:val="00D576D2"/>
    <w:rPr>
      <w:rFonts w:ascii="Arial" w:eastAsia="Times New Roman" w:hAnsi="Arial" w:cs="Times New Roman"/>
      <w:sz w:val="22"/>
      <w:lang w:val="en-AU" w:eastAsia="en-AU" w:bidi="ar-SA"/>
    </w:rPr>
  </w:style>
  <w:style w:type="character" w:customStyle="1" w:styleId="CommentTextChar">
    <w:name w:val="Comment Text Char"/>
    <w:basedOn w:val="DefaultParagraphFont"/>
    <w:locked/>
    <w:rsid w:val="001E2A11"/>
    <w:rPr>
      <w:rFonts w:eastAsia="Times New Roman" w:cs="Times New Roman"/>
      <w:lang w:val="x-none" w:eastAsia="en-US"/>
    </w:rPr>
  </w:style>
  <w:style w:type="paragraph" w:styleId="FootnoteText">
    <w:name w:val="footnote text"/>
    <w:basedOn w:val="Normal"/>
    <w:link w:val="FootnoteTextChar"/>
    <w:rsid w:val="0034536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34536C"/>
    <w:rPr>
      <w:rFonts w:eastAsia="Times New Roman" w:cs="Times New Roman"/>
      <w:lang w:val="x-none" w:eastAsia="en-US"/>
    </w:rPr>
  </w:style>
  <w:style w:type="character" w:styleId="FootnoteReference">
    <w:name w:val="footnote reference"/>
    <w:basedOn w:val="DefaultParagraphFont"/>
    <w:rsid w:val="0034536C"/>
    <w:rPr>
      <w:rFonts w:cs="Times New Roman"/>
      <w:vertAlign w:val="superscript"/>
    </w:rPr>
  </w:style>
  <w:style w:type="paragraph" w:styleId="ListParagraph">
    <w:name w:val="List Paragraph"/>
    <w:basedOn w:val="Normal"/>
    <w:qFormat/>
    <w:rsid w:val="00AA2012"/>
    <w:pPr>
      <w:ind w:left="720"/>
    </w:pPr>
  </w:style>
  <w:style w:type="paragraph" w:styleId="BodyText">
    <w:name w:val="Body Text"/>
    <w:basedOn w:val="Normal"/>
    <w:link w:val="BodyTextChar"/>
    <w:rsid w:val="00325A3D"/>
    <w:pPr>
      <w:spacing w:after="120" w:line="240" w:lineRule="auto"/>
    </w:pPr>
    <w:rPr>
      <w:sz w:val="24"/>
      <w:szCs w:val="24"/>
      <w:lang w:eastAsia="en-AU"/>
    </w:rPr>
  </w:style>
  <w:style w:type="character" w:customStyle="1" w:styleId="BodyTextChar">
    <w:name w:val="Body Text Char"/>
    <w:basedOn w:val="DefaultParagraphFont"/>
    <w:link w:val="BodyText"/>
    <w:locked/>
    <w:rsid w:val="00325A3D"/>
    <w:rPr>
      <w:rFonts w:eastAsia="Times New Roman" w:cs="Times New Roman"/>
      <w:sz w:val="24"/>
      <w:szCs w:val="24"/>
    </w:rPr>
  </w:style>
  <w:style w:type="paragraph" w:customStyle="1" w:styleId="Bullet">
    <w:name w:val="Bullet"/>
    <w:basedOn w:val="Normal"/>
    <w:link w:val="BulletChar"/>
    <w:rsid w:val="00BF7B00"/>
    <w:pPr>
      <w:numPr>
        <w:numId w:val="36"/>
      </w:numPr>
      <w:spacing w:before="120" w:after="120" w:line="240" w:lineRule="auto"/>
    </w:pPr>
    <w:rPr>
      <w:rFonts w:cs="Arial"/>
      <w:sz w:val="24"/>
      <w:szCs w:val="24"/>
      <w:lang w:eastAsia="en-AU"/>
    </w:rPr>
  </w:style>
  <w:style w:type="character" w:customStyle="1" w:styleId="BulletChar">
    <w:name w:val="Bullet Char"/>
    <w:basedOn w:val="DefaultParagraphFont"/>
    <w:link w:val="Bullet"/>
    <w:locked/>
    <w:rsid w:val="00BF7B00"/>
    <w:rPr>
      <w:rFonts w:cs="Arial"/>
      <w:sz w:val="24"/>
      <w:szCs w:val="24"/>
    </w:rPr>
  </w:style>
  <w:style w:type="paragraph" w:customStyle="1" w:styleId="Dash">
    <w:name w:val="Dash"/>
    <w:basedOn w:val="Normal"/>
    <w:link w:val="DashChar"/>
    <w:rsid w:val="00BF7B00"/>
    <w:pPr>
      <w:numPr>
        <w:ilvl w:val="1"/>
        <w:numId w:val="36"/>
      </w:numPr>
      <w:spacing w:before="120" w:after="120" w:line="240" w:lineRule="auto"/>
    </w:pPr>
    <w:rPr>
      <w:rFonts w:cs="Arial"/>
      <w:sz w:val="24"/>
      <w:szCs w:val="24"/>
      <w:lang w:eastAsia="en-AU"/>
    </w:rPr>
  </w:style>
  <w:style w:type="character" w:customStyle="1" w:styleId="DashChar">
    <w:name w:val="Dash Char"/>
    <w:basedOn w:val="DefaultParagraphFont"/>
    <w:link w:val="Dash"/>
    <w:locked/>
    <w:rsid w:val="00BF7B00"/>
    <w:rPr>
      <w:rFonts w:cs="Arial"/>
      <w:sz w:val="24"/>
      <w:szCs w:val="24"/>
    </w:rPr>
  </w:style>
  <w:style w:type="paragraph" w:customStyle="1" w:styleId="DoubleDot">
    <w:name w:val="Double Dot"/>
    <w:basedOn w:val="Normal"/>
    <w:link w:val="DoubleDotChar"/>
    <w:rsid w:val="00BF7B00"/>
    <w:pPr>
      <w:numPr>
        <w:ilvl w:val="2"/>
        <w:numId w:val="36"/>
      </w:numPr>
      <w:spacing w:before="120" w:after="120" w:line="240" w:lineRule="auto"/>
    </w:pPr>
    <w:rPr>
      <w:rFonts w:cs="Arial"/>
      <w:sz w:val="24"/>
      <w:szCs w:val="24"/>
      <w:lang w:eastAsia="en-AU"/>
    </w:rPr>
  </w:style>
  <w:style w:type="character" w:customStyle="1" w:styleId="DoubleDotChar">
    <w:name w:val="Double Dot Char"/>
    <w:basedOn w:val="DefaultParagraphFont"/>
    <w:link w:val="DoubleDot"/>
    <w:locked/>
    <w:rsid w:val="00BF7B00"/>
    <w:rPr>
      <w:rFonts w:cs="Arial"/>
      <w:sz w:val="24"/>
      <w:szCs w:val="24"/>
    </w:rPr>
  </w:style>
  <w:style w:type="paragraph" w:styleId="Revision">
    <w:name w:val="Revision"/>
    <w:hidden/>
    <w:semiHidden/>
    <w:rsid w:val="00DC443B"/>
    <w:rPr>
      <w:sz w:val="22"/>
      <w:szCs w:val="22"/>
      <w:lang w:eastAsia="en-US"/>
    </w:rPr>
  </w:style>
  <w:style w:type="numbering" w:customStyle="1" w:styleId="CABNETListAtt">
    <w:name w:val="CABNET List Att"/>
    <w:rsid w:val="000E02ED"/>
    <w:pPr>
      <w:numPr>
        <w:numId w:val="2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eading1Char">
    <w:name w:val="CABNETListAtt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27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">
                      <w:marLeft w:val="272"/>
                      <w:marRight w:val="272"/>
                      <w:marTop w:val="0"/>
                      <w:marBottom w:val="0"/>
                      <w:divBdr>
                        <w:top w:val="single" w:sz="6" w:space="0" w:color="008688"/>
                        <w:left w:val="single" w:sz="6" w:space="14" w:color="008688"/>
                        <w:bottom w:val="single" w:sz="6" w:space="0" w:color="008688"/>
                        <w:right w:val="single" w:sz="6" w:space="14" w:color="008688"/>
                      </w:divBdr>
                    </w:div>
                  </w:divsChild>
                </w:div>
              </w:divsChild>
            </w:div>
          </w:divsChild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COAG Standing Councils are established to:</vt:lpstr>
    </vt:vector>
  </TitlesOfParts>
  <Company>Department of the Prime Minister and Cabinet</Company>
  <LinksUpToDate>false</LinksUpToDate>
  <CharactersWithSpaces>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COAG Standing Councils are established to:</dc:title>
  <dc:subject/>
  <dc:creator>pmc3301</dc:creator>
  <cp:keywords/>
  <dc:description/>
  <cp:lastModifiedBy>Bell, Ashley</cp:lastModifiedBy>
  <cp:revision>2</cp:revision>
  <cp:lastPrinted>2012-04-12T23:19:00Z</cp:lastPrinted>
  <dcterms:created xsi:type="dcterms:W3CDTF">2012-04-12T23:20:00Z</dcterms:created>
  <dcterms:modified xsi:type="dcterms:W3CDTF">2012-04-12T23:20:00Z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1852042706</vt:i4>
  </property>
  <property fmtid="{D5CDD505-2E9C-101B-9397-08002B2CF9AE}" pid="4" name="_EmailSubject">
    <vt:lpwstr>Treasury -  Not-for-profit Reform page for COAG  - ci2372 [SEC=UNCLASSIFIED]</vt:lpwstr>
  </property>
  <property fmtid="{D5CDD505-2E9C-101B-9397-08002B2CF9AE}" pid="5" name="_AuthorEmail">
    <vt:lpwstr>Ashley.Bell@TREASURY.GOV.AU</vt:lpwstr>
  </property>
  <property fmtid="{D5CDD505-2E9C-101B-9397-08002B2CF9AE}" pid="6" name="_AuthorEmailDisplayName">
    <vt:lpwstr>Bell, Ashley</vt:lpwstr>
  </property>
  <property fmtid="{D5CDD505-2E9C-101B-9397-08002B2CF9AE}" pid="7" name="_PreviousAdHocReviewCycleID">
    <vt:i4>-918778305</vt:i4>
  </property>
</Properties>
</file>