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187389" w14:textId="77777777" w:rsidR="00F93018" w:rsidRPr="0044107F" w:rsidRDefault="00F93018" w:rsidP="00F93018">
      <w:pPr>
        <w:pStyle w:val="Crest"/>
        <w:spacing w:after="3000"/>
        <w:jc w:val="right"/>
      </w:pPr>
      <w:bookmarkStart w:id="0" w:name="_GoBack"/>
      <w:bookmarkEnd w:id="0"/>
    </w:p>
    <w:p w14:paraId="66351B94" w14:textId="75A72C59" w:rsidR="00961284" w:rsidRDefault="00961284" w:rsidP="00F93018">
      <w:pPr>
        <w:pStyle w:val="Title"/>
        <w:rPr>
          <w:sz w:val="56"/>
          <w:szCs w:val="56"/>
        </w:rPr>
      </w:pPr>
      <w:r>
        <w:rPr>
          <w:sz w:val="56"/>
          <w:szCs w:val="56"/>
        </w:rPr>
        <w:t>Modernising Business</w:t>
      </w:r>
      <w:r>
        <w:rPr>
          <w:sz w:val="56"/>
          <w:szCs w:val="56"/>
        </w:rPr>
        <w:br/>
        <w:t>Registers Program</w:t>
      </w:r>
    </w:p>
    <w:p w14:paraId="7015108E" w14:textId="3B568263" w:rsidR="00F93018" w:rsidRPr="0044107F" w:rsidRDefault="00F93018" w:rsidP="00F93018">
      <w:pPr>
        <w:pStyle w:val="Title"/>
      </w:pPr>
      <w:r w:rsidRPr="0044107F">
        <w:rPr>
          <w:sz w:val="56"/>
          <w:szCs w:val="56"/>
        </w:rPr>
        <w:t>Review of Registry Fees</w:t>
      </w:r>
    </w:p>
    <w:p w14:paraId="732903DB" w14:textId="77777777" w:rsidR="00F93018" w:rsidRPr="0044107F" w:rsidRDefault="00F93018" w:rsidP="00F93018">
      <w:pPr>
        <w:pStyle w:val="Subtitle"/>
      </w:pPr>
      <w:r w:rsidRPr="0044107F">
        <w:t>Consultation Paper</w:t>
      </w:r>
    </w:p>
    <w:p w14:paraId="0785D489" w14:textId="04956379" w:rsidR="00F93018" w:rsidRPr="0044107F" w:rsidRDefault="00961284" w:rsidP="00F93018">
      <w:pPr>
        <w:pStyle w:val="ReportDate"/>
        <w:ind w:right="0"/>
        <w:rPr>
          <w:rFonts w:ascii="Rockwell" w:hAnsi="Rockwell"/>
          <w:sz w:val="24"/>
        </w:rPr>
      </w:pPr>
      <w:r>
        <w:rPr>
          <w:rStyle w:val="ReportDateChar"/>
        </w:rPr>
        <w:t>November 2018</w:t>
      </w:r>
    </w:p>
    <w:p w14:paraId="34373581" w14:textId="77777777" w:rsidR="00F93018" w:rsidRPr="0044107F" w:rsidRDefault="00F93018" w:rsidP="00F93018">
      <w:pPr>
        <w:pStyle w:val="Divider"/>
        <w:spacing w:after="3000"/>
      </w:pPr>
    </w:p>
    <w:p w14:paraId="450C765F" w14:textId="77777777" w:rsidR="00F93018" w:rsidRPr="0044107F" w:rsidRDefault="00F93018" w:rsidP="00F93018"/>
    <w:p w14:paraId="7ED7CC90" w14:textId="77777777" w:rsidR="00F93018" w:rsidRPr="0044107F" w:rsidRDefault="00F93018" w:rsidP="00F93018">
      <w:pPr>
        <w:rPr>
          <w:rFonts w:cs="Calibri"/>
          <w:sz w:val="20"/>
        </w:rPr>
      </w:pPr>
    </w:p>
    <w:p w14:paraId="37CFB131" w14:textId="77777777" w:rsidR="00F93018" w:rsidRPr="0044107F" w:rsidRDefault="00F93018" w:rsidP="00F93018">
      <w:pPr>
        <w:sectPr w:rsidR="00F93018" w:rsidRPr="0044107F" w:rsidSect="00904FE7">
          <w:headerReference w:type="default" r:id="rId14"/>
          <w:footerReference w:type="default" r:id="rId15"/>
          <w:pgSz w:w="11906" w:h="16838"/>
          <w:pgMar w:top="1418" w:right="1418" w:bottom="1418" w:left="1418" w:header="709" w:footer="709" w:gutter="0"/>
          <w:pgNumType w:fmt="lowerRoman" w:start="1"/>
          <w:cols w:space="720"/>
        </w:sectPr>
      </w:pPr>
    </w:p>
    <w:p w14:paraId="35CD6876" w14:textId="77777777" w:rsidR="00F93018" w:rsidRPr="0044107F" w:rsidRDefault="00F93018" w:rsidP="00F93018">
      <w:pPr>
        <w:spacing w:before="240"/>
      </w:pPr>
      <w:r w:rsidRPr="0044107F">
        <w:lastRenderedPageBreak/>
        <w:t xml:space="preserve">© Commonwealth of Australia </w:t>
      </w:r>
      <w:r w:rsidR="00903A1F" w:rsidRPr="00903A1F">
        <w:t>2018</w:t>
      </w:r>
    </w:p>
    <w:p w14:paraId="242D5188" w14:textId="2750B6B4" w:rsidR="00F93018" w:rsidRPr="0044107F" w:rsidRDefault="00F93018" w:rsidP="00F93018">
      <w:pPr>
        <w:tabs>
          <w:tab w:val="left" w:pos="1650"/>
        </w:tabs>
        <w:spacing w:before="240"/>
        <w:rPr>
          <w:rFonts w:cstheme="minorBidi"/>
          <w:sz w:val="24"/>
          <w:szCs w:val="24"/>
        </w:rPr>
      </w:pPr>
      <w:r w:rsidRPr="0044107F">
        <w:t>This publication is available for your use under a</w:t>
      </w:r>
      <w:r w:rsidRPr="0044107F">
        <w:rPr>
          <w:rFonts w:cstheme="minorHAnsi"/>
          <w:sz w:val="24"/>
          <w:szCs w:val="24"/>
        </w:rPr>
        <w:t xml:space="preserve"> </w:t>
      </w:r>
      <w:hyperlink r:id="rId16" w:history="1">
        <w:r w:rsidRPr="0044107F">
          <w:rPr>
            <w:rStyle w:val="Hyperlink"/>
            <w:rFonts w:eastAsiaTheme="minorHAnsi"/>
          </w:rPr>
          <w:t>Creative Commons Attribution 3.0 Australia</w:t>
        </w:r>
      </w:hyperlink>
      <w:r w:rsidRPr="0044107F">
        <w:rPr>
          <w:rFonts w:cstheme="minorHAnsi"/>
          <w:sz w:val="24"/>
          <w:szCs w:val="24"/>
        </w:rPr>
        <w:t xml:space="preserve"> </w:t>
      </w:r>
      <w:r w:rsidRPr="0044107F">
        <w:t>licence, with the exception of the Commonwealth Coat of Arms, the Treasury logo, photographs, images, signatures and where otherwise stated. The full licence terms are available from</w:t>
      </w:r>
      <w:r w:rsidRPr="0044107F">
        <w:rPr>
          <w:rFonts w:cstheme="minorHAnsi"/>
          <w:sz w:val="24"/>
          <w:szCs w:val="24"/>
        </w:rPr>
        <w:t xml:space="preserve"> </w:t>
      </w:r>
      <w:hyperlink r:id="rId17" w:history="1">
        <w:r w:rsidRPr="0044107F">
          <w:rPr>
            <w:rStyle w:val="Hyperlink"/>
            <w:rFonts w:eastAsiaTheme="minorHAnsi"/>
          </w:rPr>
          <w:t>http://creativecommons.org/licenses/by/3.0/au/legalcode</w:t>
        </w:r>
      </w:hyperlink>
      <w:r w:rsidRPr="0044107F">
        <w:rPr>
          <w:rStyle w:val="Hyperlink"/>
          <w:rFonts w:eastAsiaTheme="minorHAnsi"/>
        </w:rPr>
        <w:t>.</w:t>
      </w:r>
      <w:r w:rsidRPr="0044107F">
        <w:rPr>
          <w:sz w:val="24"/>
          <w:szCs w:val="24"/>
        </w:rPr>
        <w:t xml:space="preserve"> </w:t>
      </w:r>
    </w:p>
    <w:p w14:paraId="799DA000" w14:textId="77777777" w:rsidR="00F93018" w:rsidRPr="0044107F" w:rsidRDefault="00F93018" w:rsidP="00393762">
      <w:pPr>
        <w:pStyle w:val="ChartGraphic"/>
        <w:numPr>
          <w:ilvl w:val="0"/>
          <w:numId w:val="0"/>
        </w:numPr>
        <w:jc w:val="left"/>
      </w:pPr>
      <w:r w:rsidRPr="0044107F">
        <w:rPr>
          <w:noProof/>
        </w:rPr>
        <w:drawing>
          <wp:inline distT="0" distB="0" distL="0" distR="0" wp14:anchorId="4AD24C51" wp14:editId="00C68A35">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2F1018C9" w14:textId="77777777" w:rsidR="00F93018" w:rsidRPr="0044107F" w:rsidRDefault="00F93018" w:rsidP="00F93018">
      <w:pPr>
        <w:tabs>
          <w:tab w:val="left" w:pos="1650"/>
        </w:tabs>
        <w:spacing w:before="240"/>
      </w:pPr>
      <w:r w:rsidRPr="0044107F">
        <w:t>Use of Treasury material under a</w:t>
      </w:r>
      <w:r w:rsidRPr="0044107F">
        <w:rPr>
          <w:rFonts w:cstheme="minorHAnsi"/>
          <w:sz w:val="24"/>
          <w:szCs w:val="24"/>
        </w:rPr>
        <w:t xml:space="preserve"> </w:t>
      </w:r>
      <w:hyperlink r:id="rId19" w:history="1">
        <w:r w:rsidRPr="0044107F">
          <w:rPr>
            <w:rStyle w:val="Hyperlink"/>
            <w:rFonts w:eastAsiaTheme="minorHAnsi"/>
          </w:rPr>
          <w:t>Creative Commons Attribution 3.0 Australia</w:t>
        </w:r>
      </w:hyperlink>
      <w:r w:rsidRPr="0044107F">
        <w:rPr>
          <w:rStyle w:val="Hyperlink"/>
          <w:rFonts w:eastAsiaTheme="minorHAnsi"/>
        </w:rPr>
        <w:t xml:space="preserve"> </w:t>
      </w:r>
      <w:r w:rsidRPr="0044107F">
        <w:t>licence requires you to attribute the work (but not in any way that suggests that the Treasury endorses you or your use of the work).</w:t>
      </w:r>
    </w:p>
    <w:p w14:paraId="1793A95E" w14:textId="77777777" w:rsidR="00F93018" w:rsidRPr="0044107F" w:rsidRDefault="00F93018" w:rsidP="00F93018">
      <w:pPr>
        <w:ind w:left="709"/>
        <w:rPr>
          <w:i/>
        </w:rPr>
      </w:pPr>
      <w:proofErr w:type="gramStart"/>
      <w:r w:rsidRPr="0044107F">
        <w:rPr>
          <w:i/>
        </w:rPr>
        <w:t>Treasury material used ‘as supplied’.</w:t>
      </w:r>
      <w:proofErr w:type="gramEnd"/>
    </w:p>
    <w:p w14:paraId="16D54687" w14:textId="77777777" w:rsidR="00F93018" w:rsidRPr="0044107F" w:rsidRDefault="00F93018" w:rsidP="00F93018">
      <w:pPr>
        <w:spacing w:before="240"/>
      </w:pPr>
      <w:r w:rsidRPr="0044107F">
        <w:t xml:space="preserve">Provided you have not modified or transformed Treasury material in any way including, for example, by changing the Treasury text; calculating percentage changes; graphing or charting data; or deriving new statistics from published Treasury statistics — then Treasury prefers the following attribution: </w:t>
      </w:r>
    </w:p>
    <w:p w14:paraId="0EFF788C" w14:textId="77777777" w:rsidR="00F93018" w:rsidRPr="0044107F" w:rsidRDefault="00F93018" w:rsidP="00F93018">
      <w:pPr>
        <w:ind w:firstLine="720"/>
      </w:pPr>
      <w:r w:rsidRPr="0044107F">
        <w:rPr>
          <w:i/>
        </w:rPr>
        <w:t xml:space="preserve">Source: The </w:t>
      </w:r>
      <w:r w:rsidRPr="0044107F">
        <w:rPr>
          <w:i/>
          <w:iCs/>
        </w:rPr>
        <w:t>Aus</w:t>
      </w:r>
      <w:r w:rsidR="00016264">
        <w:rPr>
          <w:i/>
          <w:iCs/>
        </w:rPr>
        <w:t>tralian Government the Treasury</w:t>
      </w:r>
      <w:r w:rsidRPr="0044107F">
        <w:t>.</w:t>
      </w:r>
    </w:p>
    <w:p w14:paraId="79C03B9E" w14:textId="77777777" w:rsidR="00F93018" w:rsidRPr="0044107F" w:rsidRDefault="00F93018" w:rsidP="00F93018">
      <w:pPr>
        <w:spacing w:before="240"/>
      </w:pPr>
      <w:r w:rsidRPr="0044107F">
        <w:rPr>
          <w:b/>
        </w:rPr>
        <w:t>Derivative</w:t>
      </w:r>
      <w:r w:rsidRPr="0044107F">
        <w:t xml:space="preserve"> </w:t>
      </w:r>
      <w:r w:rsidRPr="0044107F">
        <w:rPr>
          <w:b/>
        </w:rPr>
        <w:t>material</w:t>
      </w:r>
    </w:p>
    <w:p w14:paraId="5EBC1568" w14:textId="77777777" w:rsidR="00F93018" w:rsidRPr="0044107F" w:rsidRDefault="00F93018" w:rsidP="00F93018">
      <w:r w:rsidRPr="0044107F">
        <w:t xml:space="preserve">If you have modified or transformed Treasury material, or derived new material from those of the Treasury in any way, then Treasury prefers the following attribution: </w:t>
      </w:r>
    </w:p>
    <w:p w14:paraId="708E1E1B" w14:textId="1BED8C09" w:rsidR="00F93018" w:rsidRPr="0044107F" w:rsidRDefault="00F93018" w:rsidP="00F93018">
      <w:pPr>
        <w:ind w:firstLine="720"/>
      </w:pPr>
      <w:proofErr w:type="gramStart"/>
      <w:r w:rsidRPr="0044107F">
        <w:rPr>
          <w:i/>
        </w:rPr>
        <w:t>Based on The Australian Government the Treasury data</w:t>
      </w:r>
      <w:r w:rsidRPr="0044107F">
        <w:t>.</w:t>
      </w:r>
      <w:proofErr w:type="gramEnd"/>
    </w:p>
    <w:p w14:paraId="1725DE28" w14:textId="77777777" w:rsidR="00F93018" w:rsidRPr="0044107F" w:rsidRDefault="00F93018" w:rsidP="00F93018">
      <w:pPr>
        <w:spacing w:before="240"/>
        <w:rPr>
          <w:b/>
        </w:rPr>
      </w:pPr>
      <w:r w:rsidRPr="0044107F">
        <w:rPr>
          <w:b/>
        </w:rPr>
        <w:t>Use of the Coat of Arms</w:t>
      </w:r>
    </w:p>
    <w:p w14:paraId="22C87109" w14:textId="77777777" w:rsidR="00F93018" w:rsidRPr="0044107F" w:rsidRDefault="00F93018" w:rsidP="00F93018">
      <w:r w:rsidRPr="0044107F">
        <w:t xml:space="preserve">The terms under which the Coat of Arms can be used are set out on the Department of the Prime Minister and Cabinet website (see </w:t>
      </w:r>
      <w:hyperlink r:id="rId20" w:history="1">
        <w:r w:rsidRPr="0044107F">
          <w:rPr>
            <w:rStyle w:val="Hyperlink"/>
            <w:rFonts w:eastAsiaTheme="minorHAnsi"/>
          </w:rPr>
          <w:t>www.pmc.gov.au/government/commonwealth-coat-arm</w:t>
        </w:r>
      </w:hyperlink>
      <w:r w:rsidRPr="0044107F">
        <w:t>s).</w:t>
      </w:r>
    </w:p>
    <w:p w14:paraId="7EA52B33" w14:textId="77777777" w:rsidR="00F93018" w:rsidRPr="0044107F" w:rsidRDefault="00F93018" w:rsidP="00F93018">
      <w:pPr>
        <w:spacing w:before="240"/>
        <w:rPr>
          <w:b/>
        </w:rPr>
      </w:pPr>
      <w:r w:rsidRPr="0044107F">
        <w:rPr>
          <w:b/>
        </w:rPr>
        <w:t>Other uses</w:t>
      </w:r>
    </w:p>
    <w:p w14:paraId="217747EE" w14:textId="77777777" w:rsidR="00F93018" w:rsidRPr="0044107F" w:rsidRDefault="00F93018" w:rsidP="00F93018">
      <w:r w:rsidRPr="0044107F">
        <w:t>Enquiries regarding this licence and any other use of this document are welcome at:</w:t>
      </w:r>
    </w:p>
    <w:p w14:paraId="780F276F" w14:textId="77777777" w:rsidR="00F93018" w:rsidRPr="0044107F" w:rsidRDefault="00F93018" w:rsidP="00F93018">
      <w:pPr>
        <w:ind w:left="720"/>
        <w:rPr>
          <w:rStyle w:val="Hyperlink"/>
          <w:rFonts w:eastAsiaTheme="minorHAnsi"/>
        </w:rPr>
      </w:pPr>
      <w:r w:rsidRPr="0044107F">
        <w:t>Manager</w:t>
      </w:r>
      <w:r w:rsidRPr="0044107F">
        <w:br/>
        <w:t>Media and Speeches Unit</w:t>
      </w:r>
      <w:r w:rsidRPr="0044107F">
        <w:br/>
        <w:t>The Treasury</w:t>
      </w:r>
      <w:r w:rsidRPr="0044107F">
        <w:br/>
        <w:t xml:space="preserve">Langton Crescent </w:t>
      </w:r>
      <w:r w:rsidRPr="0044107F">
        <w:br/>
      </w:r>
      <w:proofErr w:type="gramStart"/>
      <w:r w:rsidRPr="0044107F">
        <w:t>Parkes  ACT</w:t>
      </w:r>
      <w:proofErr w:type="gramEnd"/>
      <w:r w:rsidRPr="0044107F">
        <w:t xml:space="preserve">  2600</w:t>
      </w:r>
      <w:r w:rsidRPr="0044107F">
        <w:br/>
        <w:t xml:space="preserve">Email: </w:t>
      </w:r>
      <w:hyperlink r:id="rId21" w:history="1">
        <w:r w:rsidRPr="0044107F">
          <w:rPr>
            <w:rStyle w:val="Hyperlink"/>
            <w:rFonts w:eastAsiaTheme="minorHAnsi"/>
          </w:rPr>
          <w:t>medialiaison@treasury.gov.au</w:t>
        </w:r>
      </w:hyperlink>
    </w:p>
    <w:p w14:paraId="7868D371" w14:textId="77777777" w:rsidR="00F93018" w:rsidRPr="0044107F" w:rsidRDefault="00F93018" w:rsidP="00F93018">
      <w:pPr>
        <w:pStyle w:val="SingleParagraph"/>
        <w:sectPr w:rsidR="00F93018" w:rsidRPr="0044107F" w:rsidSect="00904FE7">
          <w:headerReference w:type="even" r:id="rId22"/>
          <w:headerReference w:type="default" r:id="rId23"/>
          <w:footerReference w:type="even" r:id="rId24"/>
          <w:pgSz w:w="11906" w:h="16838" w:code="9"/>
          <w:pgMar w:top="1418" w:right="1418" w:bottom="1418" w:left="1418" w:header="709" w:footer="709" w:gutter="0"/>
          <w:pgNumType w:fmt="lowerRoman"/>
          <w:cols w:space="708"/>
          <w:titlePg/>
          <w:docGrid w:linePitch="360"/>
        </w:sectPr>
      </w:pPr>
    </w:p>
    <w:p w14:paraId="68849B7F" w14:textId="77777777" w:rsidR="00F93018" w:rsidRPr="0044107F" w:rsidRDefault="00F93018" w:rsidP="00F93018">
      <w:pPr>
        <w:pStyle w:val="Heading1"/>
      </w:pPr>
      <w:bookmarkStart w:id="1" w:name="_Toc529797367"/>
      <w:bookmarkStart w:id="2" w:name="_Toc530493285"/>
      <w:r w:rsidRPr="0044107F">
        <w:lastRenderedPageBreak/>
        <w:t>Contents</w:t>
      </w:r>
      <w:bookmarkEnd w:id="1"/>
      <w:bookmarkEnd w:id="2"/>
    </w:p>
    <w:p w14:paraId="0387AE1B" w14:textId="77777777" w:rsidR="00877454" w:rsidRDefault="00F93018">
      <w:pPr>
        <w:pStyle w:val="TOC1"/>
        <w:rPr>
          <w:rFonts w:asciiTheme="minorHAnsi" w:eastAsiaTheme="minorEastAsia" w:hAnsiTheme="minorHAnsi" w:cstheme="minorBidi"/>
          <w:b w:val="0"/>
          <w:color w:val="auto"/>
        </w:rPr>
      </w:pPr>
      <w:r w:rsidRPr="0044107F">
        <w:fldChar w:fldCharType="begin"/>
      </w:r>
      <w:r w:rsidRPr="0044107F">
        <w:instrText xml:space="preserve"> TOC \o "1-2" \h \z \t "Heading 3,3,Chart Main Heading,3,Table Main Heading,3,Heading 3 Numbered,3,Table Heading Continued,3" </w:instrText>
      </w:r>
      <w:r w:rsidRPr="0044107F">
        <w:fldChar w:fldCharType="separate"/>
      </w:r>
      <w:hyperlink w:anchor="_Toc530493285" w:history="1">
        <w:r w:rsidR="00877454" w:rsidRPr="00672AFB">
          <w:rPr>
            <w:rStyle w:val="Hyperlink"/>
          </w:rPr>
          <w:t>Contents</w:t>
        </w:r>
        <w:r w:rsidR="00877454">
          <w:rPr>
            <w:webHidden/>
          </w:rPr>
          <w:tab/>
        </w:r>
        <w:r w:rsidR="00877454">
          <w:rPr>
            <w:webHidden/>
          </w:rPr>
          <w:fldChar w:fldCharType="begin"/>
        </w:r>
        <w:r w:rsidR="00877454">
          <w:rPr>
            <w:webHidden/>
          </w:rPr>
          <w:instrText xml:space="preserve"> PAGEREF _Toc530493285 \h </w:instrText>
        </w:r>
        <w:r w:rsidR="00877454">
          <w:rPr>
            <w:webHidden/>
          </w:rPr>
        </w:r>
        <w:r w:rsidR="00877454">
          <w:rPr>
            <w:webHidden/>
          </w:rPr>
          <w:fldChar w:fldCharType="separate"/>
        </w:r>
        <w:r w:rsidR="00877454">
          <w:rPr>
            <w:webHidden/>
          </w:rPr>
          <w:t>iii</w:t>
        </w:r>
        <w:r w:rsidR="00877454">
          <w:rPr>
            <w:webHidden/>
          </w:rPr>
          <w:fldChar w:fldCharType="end"/>
        </w:r>
      </w:hyperlink>
    </w:p>
    <w:p w14:paraId="072F0699" w14:textId="77777777" w:rsidR="00877454" w:rsidRDefault="00161259">
      <w:pPr>
        <w:pStyle w:val="TOC1"/>
        <w:rPr>
          <w:rFonts w:asciiTheme="minorHAnsi" w:eastAsiaTheme="minorEastAsia" w:hAnsiTheme="minorHAnsi" w:cstheme="minorBidi"/>
          <w:b w:val="0"/>
          <w:color w:val="auto"/>
        </w:rPr>
      </w:pPr>
      <w:hyperlink w:anchor="_Toc530493286" w:history="1">
        <w:r w:rsidR="00877454" w:rsidRPr="00672AFB">
          <w:rPr>
            <w:rStyle w:val="Hyperlink"/>
          </w:rPr>
          <w:t>Consultation Process</w:t>
        </w:r>
        <w:r w:rsidR="00877454">
          <w:rPr>
            <w:webHidden/>
          </w:rPr>
          <w:tab/>
        </w:r>
        <w:r w:rsidR="00877454">
          <w:rPr>
            <w:webHidden/>
          </w:rPr>
          <w:fldChar w:fldCharType="begin"/>
        </w:r>
        <w:r w:rsidR="00877454">
          <w:rPr>
            <w:webHidden/>
          </w:rPr>
          <w:instrText xml:space="preserve"> PAGEREF _Toc530493286 \h </w:instrText>
        </w:r>
        <w:r w:rsidR="00877454">
          <w:rPr>
            <w:webHidden/>
          </w:rPr>
        </w:r>
        <w:r w:rsidR="00877454">
          <w:rPr>
            <w:webHidden/>
          </w:rPr>
          <w:fldChar w:fldCharType="separate"/>
        </w:r>
        <w:r w:rsidR="00877454">
          <w:rPr>
            <w:webHidden/>
          </w:rPr>
          <w:t>4</w:t>
        </w:r>
        <w:r w:rsidR="00877454">
          <w:rPr>
            <w:webHidden/>
          </w:rPr>
          <w:fldChar w:fldCharType="end"/>
        </w:r>
      </w:hyperlink>
    </w:p>
    <w:p w14:paraId="321CDC51" w14:textId="77777777" w:rsidR="00877454" w:rsidRDefault="00161259">
      <w:pPr>
        <w:pStyle w:val="TOC2"/>
        <w:rPr>
          <w:rFonts w:asciiTheme="minorHAnsi" w:eastAsiaTheme="minorEastAsia" w:hAnsiTheme="minorHAnsi" w:cstheme="minorBidi"/>
          <w:color w:val="auto"/>
          <w:szCs w:val="22"/>
        </w:rPr>
      </w:pPr>
      <w:hyperlink w:anchor="_Toc530493287" w:history="1">
        <w:r w:rsidR="00877454" w:rsidRPr="00672AFB">
          <w:rPr>
            <w:rStyle w:val="Hyperlink"/>
          </w:rPr>
          <w:t>Request for feedback and comments</w:t>
        </w:r>
        <w:r w:rsidR="00877454">
          <w:rPr>
            <w:webHidden/>
          </w:rPr>
          <w:tab/>
        </w:r>
        <w:r w:rsidR="00877454">
          <w:rPr>
            <w:webHidden/>
          </w:rPr>
          <w:fldChar w:fldCharType="begin"/>
        </w:r>
        <w:r w:rsidR="00877454">
          <w:rPr>
            <w:webHidden/>
          </w:rPr>
          <w:instrText xml:space="preserve"> PAGEREF _Toc530493287 \h </w:instrText>
        </w:r>
        <w:r w:rsidR="00877454">
          <w:rPr>
            <w:webHidden/>
          </w:rPr>
        </w:r>
        <w:r w:rsidR="00877454">
          <w:rPr>
            <w:webHidden/>
          </w:rPr>
          <w:fldChar w:fldCharType="separate"/>
        </w:r>
        <w:r w:rsidR="00877454">
          <w:rPr>
            <w:webHidden/>
          </w:rPr>
          <w:t>4</w:t>
        </w:r>
        <w:r w:rsidR="00877454">
          <w:rPr>
            <w:webHidden/>
          </w:rPr>
          <w:fldChar w:fldCharType="end"/>
        </w:r>
      </w:hyperlink>
    </w:p>
    <w:p w14:paraId="183CDF3F" w14:textId="77777777" w:rsidR="00877454" w:rsidRDefault="00161259">
      <w:pPr>
        <w:pStyle w:val="TOC1"/>
        <w:rPr>
          <w:rFonts w:asciiTheme="minorHAnsi" w:eastAsiaTheme="minorEastAsia" w:hAnsiTheme="minorHAnsi" w:cstheme="minorBidi"/>
          <w:b w:val="0"/>
          <w:color w:val="auto"/>
        </w:rPr>
      </w:pPr>
      <w:hyperlink w:anchor="_Toc530493288" w:history="1">
        <w:r w:rsidR="00877454" w:rsidRPr="00672AFB">
          <w:rPr>
            <w:rStyle w:val="Hyperlink"/>
          </w:rPr>
          <w:t>Introduction</w:t>
        </w:r>
        <w:r w:rsidR="00877454">
          <w:rPr>
            <w:webHidden/>
          </w:rPr>
          <w:tab/>
        </w:r>
        <w:r w:rsidR="00877454">
          <w:rPr>
            <w:webHidden/>
          </w:rPr>
          <w:fldChar w:fldCharType="begin"/>
        </w:r>
        <w:r w:rsidR="00877454">
          <w:rPr>
            <w:webHidden/>
          </w:rPr>
          <w:instrText xml:space="preserve"> PAGEREF _Toc530493288 \h </w:instrText>
        </w:r>
        <w:r w:rsidR="00877454">
          <w:rPr>
            <w:webHidden/>
          </w:rPr>
        </w:r>
        <w:r w:rsidR="00877454">
          <w:rPr>
            <w:webHidden/>
          </w:rPr>
          <w:fldChar w:fldCharType="separate"/>
        </w:r>
        <w:r w:rsidR="00877454">
          <w:rPr>
            <w:webHidden/>
          </w:rPr>
          <w:t>5</w:t>
        </w:r>
        <w:r w:rsidR="00877454">
          <w:rPr>
            <w:webHidden/>
          </w:rPr>
          <w:fldChar w:fldCharType="end"/>
        </w:r>
      </w:hyperlink>
    </w:p>
    <w:p w14:paraId="724D30B0" w14:textId="77777777" w:rsidR="00877454" w:rsidRDefault="00161259">
      <w:pPr>
        <w:pStyle w:val="TOC3"/>
        <w:tabs>
          <w:tab w:val="right" w:leader="dot" w:pos="9060"/>
        </w:tabs>
        <w:rPr>
          <w:rFonts w:asciiTheme="minorHAnsi" w:eastAsiaTheme="minorEastAsia" w:hAnsiTheme="minorHAnsi" w:cstheme="minorBidi"/>
          <w:noProof/>
          <w:szCs w:val="22"/>
        </w:rPr>
      </w:pPr>
      <w:hyperlink w:anchor="_Toc530493289" w:history="1">
        <w:r w:rsidR="00877454" w:rsidRPr="00672AFB">
          <w:rPr>
            <w:rStyle w:val="Hyperlink"/>
            <w:noProof/>
          </w:rPr>
          <w:t>Scope</w:t>
        </w:r>
        <w:r w:rsidR="00877454">
          <w:rPr>
            <w:noProof/>
            <w:webHidden/>
          </w:rPr>
          <w:tab/>
        </w:r>
        <w:r w:rsidR="00877454">
          <w:rPr>
            <w:noProof/>
            <w:webHidden/>
          </w:rPr>
          <w:fldChar w:fldCharType="begin"/>
        </w:r>
        <w:r w:rsidR="00877454">
          <w:rPr>
            <w:noProof/>
            <w:webHidden/>
          </w:rPr>
          <w:instrText xml:space="preserve"> PAGEREF _Toc530493289 \h </w:instrText>
        </w:r>
        <w:r w:rsidR="00877454">
          <w:rPr>
            <w:noProof/>
            <w:webHidden/>
          </w:rPr>
        </w:r>
        <w:r w:rsidR="00877454">
          <w:rPr>
            <w:noProof/>
            <w:webHidden/>
          </w:rPr>
          <w:fldChar w:fldCharType="separate"/>
        </w:r>
        <w:r w:rsidR="00877454">
          <w:rPr>
            <w:noProof/>
            <w:webHidden/>
          </w:rPr>
          <w:t>5</w:t>
        </w:r>
        <w:r w:rsidR="00877454">
          <w:rPr>
            <w:noProof/>
            <w:webHidden/>
          </w:rPr>
          <w:fldChar w:fldCharType="end"/>
        </w:r>
      </w:hyperlink>
    </w:p>
    <w:p w14:paraId="1651CC5C" w14:textId="77777777" w:rsidR="00877454" w:rsidRDefault="00161259">
      <w:pPr>
        <w:pStyle w:val="TOC2"/>
        <w:rPr>
          <w:rFonts w:asciiTheme="minorHAnsi" w:eastAsiaTheme="minorEastAsia" w:hAnsiTheme="minorHAnsi" w:cstheme="minorBidi"/>
          <w:color w:val="auto"/>
          <w:szCs w:val="22"/>
        </w:rPr>
      </w:pPr>
      <w:hyperlink w:anchor="_Toc530493290" w:history="1">
        <w:r w:rsidR="00877454" w:rsidRPr="00672AFB">
          <w:rPr>
            <w:rStyle w:val="Hyperlink"/>
          </w:rPr>
          <w:t>What registry fees are currently collected?</w:t>
        </w:r>
        <w:r w:rsidR="00877454">
          <w:rPr>
            <w:webHidden/>
          </w:rPr>
          <w:tab/>
        </w:r>
        <w:r w:rsidR="00877454">
          <w:rPr>
            <w:webHidden/>
          </w:rPr>
          <w:fldChar w:fldCharType="begin"/>
        </w:r>
        <w:r w:rsidR="00877454">
          <w:rPr>
            <w:webHidden/>
          </w:rPr>
          <w:instrText xml:space="preserve"> PAGEREF _Toc530493290 \h </w:instrText>
        </w:r>
        <w:r w:rsidR="00877454">
          <w:rPr>
            <w:webHidden/>
          </w:rPr>
        </w:r>
        <w:r w:rsidR="00877454">
          <w:rPr>
            <w:webHidden/>
          </w:rPr>
          <w:fldChar w:fldCharType="separate"/>
        </w:r>
        <w:r w:rsidR="00877454">
          <w:rPr>
            <w:webHidden/>
          </w:rPr>
          <w:t>7</w:t>
        </w:r>
        <w:r w:rsidR="00877454">
          <w:rPr>
            <w:webHidden/>
          </w:rPr>
          <w:fldChar w:fldCharType="end"/>
        </w:r>
      </w:hyperlink>
    </w:p>
    <w:p w14:paraId="5B199D3E" w14:textId="77777777" w:rsidR="00877454" w:rsidRDefault="00161259">
      <w:pPr>
        <w:pStyle w:val="TOC3"/>
        <w:tabs>
          <w:tab w:val="right" w:leader="dot" w:pos="9060"/>
        </w:tabs>
        <w:rPr>
          <w:rFonts w:asciiTheme="minorHAnsi" w:eastAsiaTheme="minorEastAsia" w:hAnsiTheme="minorHAnsi" w:cstheme="minorBidi"/>
          <w:noProof/>
          <w:szCs w:val="22"/>
        </w:rPr>
      </w:pPr>
      <w:hyperlink w:anchor="_Toc530493291" w:history="1">
        <w:r w:rsidR="00877454" w:rsidRPr="00672AFB">
          <w:rPr>
            <w:rStyle w:val="Hyperlink"/>
            <w:noProof/>
          </w:rPr>
          <w:t>Figure 1: ASIC Registry Fees growth over 8 years</w:t>
        </w:r>
        <w:r w:rsidR="00877454">
          <w:rPr>
            <w:noProof/>
            <w:webHidden/>
          </w:rPr>
          <w:tab/>
        </w:r>
        <w:r w:rsidR="00877454">
          <w:rPr>
            <w:noProof/>
            <w:webHidden/>
          </w:rPr>
          <w:fldChar w:fldCharType="begin"/>
        </w:r>
        <w:r w:rsidR="00877454">
          <w:rPr>
            <w:noProof/>
            <w:webHidden/>
          </w:rPr>
          <w:instrText xml:space="preserve"> PAGEREF _Toc530493291 \h </w:instrText>
        </w:r>
        <w:r w:rsidR="00877454">
          <w:rPr>
            <w:noProof/>
            <w:webHidden/>
          </w:rPr>
        </w:r>
        <w:r w:rsidR="00877454">
          <w:rPr>
            <w:noProof/>
            <w:webHidden/>
          </w:rPr>
          <w:fldChar w:fldCharType="separate"/>
        </w:r>
        <w:r w:rsidR="00877454">
          <w:rPr>
            <w:noProof/>
            <w:webHidden/>
          </w:rPr>
          <w:t>7</w:t>
        </w:r>
        <w:r w:rsidR="00877454">
          <w:rPr>
            <w:noProof/>
            <w:webHidden/>
          </w:rPr>
          <w:fldChar w:fldCharType="end"/>
        </w:r>
      </w:hyperlink>
    </w:p>
    <w:p w14:paraId="00B239BB" w14:textId="77777777" w:rsidR="00877454" w:rsidRDefault="00161259">
      <w:pPr>
        <w:pStyle w:val="TOC3"/>
        <w:tabs>
          <w:tab w:val="right" w:leader="dot" w:pos="9060"/>
        </w:tabs>
        <w:rPr>
          <w:rFonts w:asciiTheme="minorHAnsi" w:eastAsiaTheme="minorEastAsia" w:hAnsiTheme="minorHAnsi" w:cstheme="minorBidi"/>
          <w:noProof/>
          <w:szCs w:val="22"/>
        </w:rPr>
      </w:pPr>
      <w:hyperlink w:anchor="_Toc530493292" w:history="1">
        <w:r w:rsidR="00877454" w:rsidRPr="00672AFB">
          <w:rPr>
            <w:rStyle w:val="Hyperlink"/>
            <w:noProof/>
          </w:rPr>
          <w:t>Figure 2: Composition of ASIC Registry Fees 2017-18</w:t>
        </w:r>
        <w:r w:rsidR="00877454">
          <w:rPr>
            <w:noProof/>
            <w:webHidden/>
          </w:rPr>
          <w:tab/>
        </w:r>
        <w:r w:rsidR="00877454">
          <w:rPr>
            <w:noProof/>
            <w:webHidden/>
          </w:rPr>
          <w:fldChar w:fldCharType="begin"/>
        </w:r>
        <w:r w:rsidR="00877454">
          <w:rPr>
            <w:noProof/>
            <w:webHidden/>
          </w:rPr>
          <w:instrText xml:space="preserve"> PAGEREF _Toc530493292 \h </w:instrText>
        </w:r>
        <w:r w:rsidR="00877454">
          <w:rPr>
            <w:noProof/>
            <w:webHidden/>
          </w:rPr>
        </w:r>
        <w:r w:rsidR="00877454">
          <w:rPr>
            <w:noProof/>
            <w:webHidden/>
          </w:rPr>
          <w:fldChar w:fldCharType="separate"/>
        </w:r>
        <w:r w:rsidR="00877454">
          <w:rPr>
            <w:noProof/>
            <w:webHidden/>
          </w:rPr>
          <w:t>8</w:t>
        </w:r>
        <w:r w:rsidR="00877454">
          <w:rPr>
            <w:noProof/>
            <w:webHidden/>
          </w:rPr>
          <w:fldChar w:fldCharType="end"/>
        </w:r>
      </w:hyperlink>
    </w:p>
    <w:p w14:paraId="505D651E" w14:textId="77777777" w:rsidR="00877454" w:rsidRDefault="00161259">
      <w:pPr>
        <w:pStyle w:val="TOC3"/>
        <w:tabs>
          <w:tab w:val="right" w:leader="dot" w:pos="9060"/>
        </w:tabs>
        <w:rPr>
          <w:rFonts w:asciiTheme="minorHAnsi" w:eastAsiaTheme="minorEastAsia" w:hAnsiTheme="minorHAnsi" w:cstheme="minorBidi"/>
          <w:noProof/>
          <w:szCs w:val="22"/>
        </w:rPr>
      </w:pPr>
      <w:hyperlink w:anchor="_Toc530493293" w:history="1">
        <w:r w:rsidR="00877454" w:rsidRPr="00672AFB">
          <w:rPr>
            <w:rStyle w:val="Hyperlink"/>
            <w:noProof/>
          </w:rPr>
          <w:t>Summary of Registry fee environment key fees</w:t>
        </w:r>
        <w:r w:rsidR="00877454">
          <w:rPr>
            <w:noProof/>
            <w:webHidden/>
          </w:rPr>
          <w:tab/>
        </w:r>
        <w:r w:rsidR="00877454">
          <w:rPr>
            <w:noProof/>
            <w:webHidden/>
          </w:rPr>
          <w:fldChar w:fldCharType="begin"/>
        </w:r>
        <w:r w:rsidR="00877454">
          <w:rPr>
            <w:noProof/>
            <w:webHidden/>
          </w:rPr>
          <w:instrText xml:space="preserve"> PAGEREF _Toc530493293 \h </w:instrText>
        </w:r>
        <w:r w:rsidR="00877454">
          <w:rPr>
            <w:noProof/>
            <w:webHidden/>
          </w:rPr>
        </w:r>
        <w:r w:rsidR="00877454">
          <w:rPr>
            <w:noProof/>
            <w:webHidden/>
          </w:rPr>
          <w:fldChar w:fldCharType="separate"/>
        </w:r>
        <w:r w:rsidR="00877454">
          <w:rPr>
            <w:noProof/>
            <w:webHidden/>
          </w:rPr>
          <w:t>9</w:t>
        </w:r>
        <w:r w:rsidR="00877454">
          <w:rPr>
            <w:noProof/>
            <w:webHidden/>
          </w:rPr>
          <w:fldChar w:fldCharType="end"/>
        </w:r>
      </w:hyperlink>
    </w:p>
    <w:p w14:paraId="29FD13DB" w14:textId="77777777" w:rsidR="00877454" w:rsidRDefault="00161259">
      <w:pPr>
        <w:pStyle w:val="TOC2"/>
        <w:rPr>
          <w:rFonts w:asciiTheme="minorHAnsi" w:eastAsiaTheme="minorEastAsia" w:hAnsiTheme="minorHAnsi" w:cstheme="minorBidi"/>
          <w:color w:val="auto"/>
          <w:szCs w:val="22"/>
        </w:rPr>
      </w:pPr>
      <w:hyperlink w:anchor="_Toc530493294" w:history="1">
        <w:r w:rsidR="00877454" w:rsidRPr="00672AFB">
          <w:rPr>
            <w:rStyle w:val="Hyperlink"/>
          </w:rPr>
          <w:t>Why does Government charge fees?</w:t>
        </w:r>
        <w:r w:rsidR="00877454">
          <w:rPr>
            <w:webHidden/>
          </w:rPr>
          <w:tab/>
        </w:r>
        <w:r w:rsidR="00877454">
          <w:rPr>
            <w:webHidden/>
          </w:rPr>
          <w:fldChar w:fldCharType="begin"/>
        </w:r>
        <w:r w:rsidR="00877454">
          <w:rPr>
            <w:webHidden/>
          </w:rPr>
          <w:instrText xml:space="preserve"> PAGEREF _Toc530493294 \h </w:instrText>
        </w:r>
        <w:r w:rsidR="00877454">
          <w:rPr>
            <w:webHidden/>
          </w:rPr>
        </w:r>
        <w:r w:rsidR="00877454">
          <w:rPr>
            <w:webHidden/>
          </w:rPr>
          <w:fldChar w:fldCharType="separate"/>
        </w:r>
        <w:r w:rsidR="00877454">
          <w:rPr>
            <w:webHidden/>
          </w:rPr>
          <w:t>12</w:t>
        </w:r>
        <w:r w:rsidR="00877454">
          <w:rPr>
            <w:webHidden/>
          </w:rPr>
          <w:fldChar w:fldCharType="end"/>
        </w:r>
      </w:hyperlink>
    </w:p>
    <w:p w14:paraId="6CEF8356" w14:textId="77777777" w:rsidR="00877454" w:rsidRDefault="00161259">
      <w:pPr>
        <w:pStyle w:val="TOC3"/>
        <w:tabs>
          <w:tab w:val="right" w:leader="dot" w:pos="9060"/>
        </w:tabs>
        <w:rPr>
          <w:rFonts w:asciiTheme="minorHAnsi" w:eastAsiaTheme="minorEastAsia" w:hAnsiTheme="minorHAnsi" w:cstheme="minorBidi"/>
          <w:noProof/>
          <w:szCs w:val="22"/>
        </w:rPr>
      </w:pPr>
      <w:hyperlink w:anchor="_Toc530493295" w:history="1">
        <w:r w:rsidR="00877454" w:rsidRPr="00672AFB">
          <w:rPr>
            <w:rStyle w:val="Hyperlink"/>
            <w:noProof/>
          </w:rPr>
          <w:t>Annual review fees</w:t>
        </w:r>
        <w:r w:rsidR="00877454">
          <w:rPr>
            <w:noProof/>
            <w:webHidden/>
          </w:rPr>
          <w:tab/>
        </w:r>
        <w:r w:rsidR="00877454">
          <w:rPr>
            <w:noProof/>
            <w:webHidden/>
          </w:rPr>
          <w:fldChar w:fldCharType="begin"/>
        </w:r>
        <w:r w:rsidR="00877454">
          <w:rPr>
            <w:noProof/>
            <w:webHidden/>
          </w:rPr>
          <w:instrText xml:space="preserve"> PAGEREF _Toc530493295 \h </w:instrText>
        </w:r>
        <w:r w:rsidR="00877454">
          <w:rPr>
            <w:noProof/>
            <w:webHidden/>
          </w:rPr>
        </w:r>
        <w:r w:rsidR="00877454">
          <w:rPr>
            <w:noProof/>
            <w:webHidden/>
          </w:rPr>
          <w:fldChar w:fldCharType="separate"/>
        </w:r>
        <w:r w:rsidR="00877454">
          <w:rPr>
            <w:noProof/>
            <w:webHidden/>
          </w:rPr>
          <w:t>12</w:t>
        </w:r>
        <w:r w:rsidR="00877454">
          <w:rPr>
            <w:noProof/>
            <w:webHidden/>
          </w:rPr>
          <w:fldChar w:fldCharType="end"/>
        </w:r>
      </w:hyperlink>
    </w:p>
    <w:p w14:paraId="3B8E5EB9" w14:textId="77777777" w:rsidR="00877454" w:rsidRDefault="00161259">
      <w:pPr>
        <w:pStyle w:val="TOC3"/>
        <w:tabs>
          <w:tab w:val="right" w:leader="dot" w:pos="9060"/>
        </w:tabs>
        <w:rPr>
          <w:rFonts w:asciiTheme="minorHAnsi" w:eastAsiaTheme="minorEastAsia" w:hAnsiTheme="minorHAnsi" w:cstheme="minorBidi"/>
          <w:noProof/>
          <w:szCs w:val="22"/>
        </w:rPr>
      </w:pPr>
      <w:hyperlink w:anchor="_Toc530493296" w:history="1">
        <w:r w:rsidR="00877454" w:rsidRPr="00672AFB">
          <w:rPr>
            <w:rStyle w:val="Hyperlink"/>
            <w:noProof/>
          </w:rPr>
          <w:t>Registration fees</w:t>
        </w:r>
        <w:r w:rsidR="00877454">
          <w:rPr>
            <w:noProof/>
            <w:webHidden/>
          </w:rPr>
          <w:tab/>
        </w:r>
        <w:r w:rsidR="00877454">
          <w:rPr>
            <w:noProof/>
            <w:webHidden/>
          </w:rPr>
          <w:fldChar w:fldCharType="begin"/>
        </w:r>
        <w:r w:rsidR="00877454">
          <w:rPr>
            <w:noProof/>
            <w:webHidden/>
          </w:rPr>
          <w:instrText xml:space="preserve"> PAGEREF _Toc530493296 \h </w:instrText>
        </w:r>
        <w:r w:rsidR="00877454">
          <w:rPr>
            <w:noProof/>
            <w:webHidden/>
          </w:rPr>
        </w:r>
        <w:r w:rsidR="00877454">
          <w:rPr>
            <w:noProof/>
            <w:webHidden/>
          </w:rPr>
          <w:fldChar w:fldCharType="separate"/>
        </w:r>
        <w:r w:rsidR="00877454">
          <w:rPr>
            <w:noProof/>
            <w:webHidden/>
          </w:rPr>
          <w:t>12</w:t>
        </w:r>
        <w:r w:rsidR="00877454">
          <w:rPr>
            <w:noProof/>
            <w:webHidden/>
          </w:rPr>
          <w:fldChar w:fldCharType="end"/>
        </w:r>
      </w:hyperlink>
    </w:p>
    <w:p w14:paraId="5FD4A903" w14:textId="77777777" w:rsidR="00877454" w:rsidRDefault="00161259">
      <w:pPr>
        <w:pStyle w:val="TOC3"/>
        <w:tabs>
          <w:tab w:val="right" w:leader="dot" w:pos="9060"/>
        </w:tabs>
        <w:rPr>
          <w:rFonts w:asciiTheme="minorHAnsi" w:eastAsiaTheme="minorEastAsia" w:hAnsiTheme="minorHAnsi" w:cstheme="minorBidi"/>
          <w:noProof/>
          <w:szCs w:val="22"/>
        </w:rPr>
      </w:pPr>
      <w:hyperlink w:anchor="_Toc530493297" w:history="1">
        <w:r w:rsidR="00877454" w:rsidRPr="00672AFB">
          <w:rPr>
            <w:rStyle w:val="Hyperlink"/>
            <w:noProof/>
          </w:rPr>
          <w:t>Late fees</w:t>
        </w:r>
        <w:r w:rsidR="00877454">
          <w:rPr>
            <w:noProof/>
            <w:webHidden/>
          </w:rPr>
          <w:tab/>
        </w:r>
        <w:r w:rsidR="00877454">
          <w:rPr>
            <w:noProof/>
            <w:webHidden/>
          </w:rPr>
          <w:fldChar w:fldCharType="begin"/>
        </w:r>
        <w:r w:rsidR="00877454">
          <w:rPr>
            <w:noProof/>
            <w:webHidden/>
          </w:rPr>
          <w:instrText xml:space="preserve"> PAGEREF _Toc530493297 \h </w:instrText>
        </w:r>
        <w:r w:rsidR="00877454">
          <w:rPr>
            <w:noProof/>
            <w:webHidden/>
          </w:rPr>
        </w:r>
        <w:r w:rsidR="00877454">
          <w:rPr>
            <w:noProof/>
            <w:webHidden/>
          </w:rPr>
          <w:fldChar w:fldCharType="separate"/>
        </w:r>
        <w:r w:rsidR="00877454">
          <w:rPr>
            <w:noProof/>
            <w:webHidden/>
          </w:rPr>
          <w:t>12</w:t>
        </w:r>
        <w:r w:rsidR="00877454">
          <w:rPr>
            <w:noProof/>
            <w:webHidden/>
          </w:rPr>
          <w:fldChar w:fldCharType="end"/>
        </w:r>
      </w:hyperlink>
    </w:p>
    <w:p w14:paraId="7C64AEB4" w14:textId="77777777" w:rsidR="00877454" w:rsidRDefault="00161259">
      <w:pPr>
        <w:pStyle w:val="TOC3"/>
        <w:tabs>
          <w:tab w:val="right" w:leader="dot" w:pos="9060"/>
        </w:tabs>
        <w:rPr>
          <w:rFonts w:asciiTheme="minorHAnsi" w:eastAsiaTheme="minorEastAsia" w:hAnsiTheme="minorHAnsi" w:cstheme="minorBidi"/>
          <w:noProof/>
          <w:szCs w:val="22"/>
        </w:rPr>
      </w:pPr>
      <w:hyperlink w:anchor="_Toc530493298" w:history="1">
        <w:r w:rsidR="00877454" w:rsidRPr="00672AFB">
          <w:rPr>
            <w:rStyle w:val="Hyperlink"/>
            <w:noProof/>
          </w:rPr>
          <w:t>Search fees</w:t>
        </w:r>
        <w:r w:rsidR="00877454">
          <w:rPr>
            <w:noProof/>
            <w:webHidden/>
          </w:rPr>
          <w:tab/>
        </w:r>
        <w:r w:rsidR="00877454">
          <w:rPr>
            <w:noProof/>
            <w:webHidden/>
          </w:rPr>
          <w:fldChar w:fldCharType="begin"/>
        </w:r>
        <w:r w:rsidR="00877454">
          <w:rPr>
            <w:noProof/>
            <w:webHidden/>
          </w:rPr>
          <w:instrText xml:space="preserve"> PAGEREF _Toc530493298 \h </w:instrText>
        </w:r>
        <w:r w:rsidR="00877454">
          <w:rPr>
            <w:noProof/>
            <w:webHidden/>
          </w:rPr>
        </w:r>
        <w:r w:rsidR="00877454">
          <w:rPr>
            <w:noProof/>
            <w:webHidden/>
          </w:rPr>
          <w:fldChar w:fldCharType="separate"/>
        </w:r>
        <w:r w:rsidR="00877454">
          <w:rPr>
            <w:noProof/>
            <w:webHidden/>
          </w:rPr>
          <w:t>13</w:t>
        </w:r>
        <w:r w:rsidR="00877454">
          <w:rPr>
            <w:noProof/>
            <w:webHidden/>
          </w:rPr>
          <w:fldChar w:fldCharType="end"/>
        </w:r>
      </w:hyperlink>
    </w:p>
    <w:p w14:paraId="3D8F2EB2" w14:textId="77777777" w:rsidR="00877454" w:rsidRDefault="00161259">
      <w:pPr>
        <w:pStyle w:val="TOC2"/>
        <w:rPr>
          <w:rFonts w:asciiTheme="minorHAnsi" w:eastAsiaTheme="minorEastAsia" w:hAnsiTheme="minorHAnsi" w:cstheme="minorBidi"/>
          <w:color w:val="auto"/>
          <w:szCs w:val="22"/>
        </w:rPr>
      </w:pPr>
      <w:hyperlink w:anchor="_Toc530493299" w:history="1">
        <w:r w:rsidR="00877454" w:rsidRPr="00672AFB">
          <w:rPr>
            <w:rStyle w:val="Hyperlink"/>
          </w:rPr>
          <w:t>What will be different in the modernised system?</w:t>
        </w:r>
        <w:r w:rsidR="00877454">
          <w:rPr>
            <w:webHidden/>
          </w:rPr>
          <w:tab/>
        </w:r>
        <w:r w:rsidR="00877454">
          <w:rPr>
            <w:webHidden/>
          </w:rPr>
          <w:fldChar w:fldCharType="begin"/>
        </w:r>
        <w:r w:rsidR="00877454">
          <w:rPr>
            <w:webHidden/>
          </w:rPr>
          <w:instrText xml:space="preserve"> PAGEREF _Toc530493299 \h </w:instrText>
        </w:r>
        <w:r w:rsidR="00877454">
          <w:rPr>
            <w:webHidden/>
          </w:rPr>
        </w:r>
        <w:r w:rsidR="00877454">
          <w:rPr>
            <w:webHidden/>
          </w:rPr>
          <w:fldChar w:fldCharType="separate"/>
        </w:r>
        <w:r w:rsidR="00877454">
          <w:rPr>
            <w:webHidden/>
          </w:rPr>
          <w:t>13</w:t>
        </w:r>
        <w:r w:rsidR="00877454">
          <w:rPr>
            <w:webHidden/>
          </w:rPr>
          <w:fldChar w:fldCharType="end"/>
        </w:r>
      </w:hyperlink>
    </w:p>
    <w:p w14:paraId="38FF2D85" w14:textId="77777777" w:rsidR="00877454" w:rsidRDefault="00161259">
      <w:pPr>
        <w:pStyle w:val="TOC2"/>
        <w:rPr>
          <w:rFonts w:asciiTheme="minorHAnsi" w:eastAsiaTheme="minorEastAsia" w:hAnsiTheme="minorHAnsi" w:cstheme="minorBidi"/>
          <w:color w:val="auto"/>
          <w:szCs w:val="22"/>
        </w:rPr>
      </w:pPr>
      <w:hyperlink w:anchor="_Toc530493300" w:history="1">
        <w:r w:rsidR="00877454" w:rsidRPr="00672AFB">
          <w:rPr>
            <w:rStyle w:val="Hyperlink"/>
          </w:rPr>
          <w:t>What options are available to improve fees in the new system?</w:t>
        </w:r>
        <w:r w:rsidR="00877454">
          <w:rPr>
            <w:webHidden/>
          </w:rPr>
          <w:tab/>
        </w:r>
        <w:r w:rsidR="00877454">
          <w:rPr>
            <w:webHidden/>
          </w:rPr>
          <w:fldChar w:fldCharType="begin"/>
        </w:r>
        <w:r w:rsidR="00877454">
          <w:rPr>
            <w:webHidden/>
          </w:rPr>
          <w:instrText xml:space="preserve"> PAGEREF _Toc530493300 \h </w:instrText>
        </w:r>
        <w:r w:rsidR="00877454">
          <w:rPr>
            <w:webHidden/>
          </w:rPr>
        </w:r>
        <w:r w:rsidR="00877454">
          <w:rPr>
            <w:webHidden/>
          </w:rPr>
          <w:fldChar w:fldCharType="separate"/>
        </w:r>
        <w:r w:rsidR="00877454">
          <w:rPr>
            <w:webHidden/>
          </w:rPr>
          <w:t>14</w:t>
        </w:r>
        <w:r w:rsidR="00877454">
          <w:rPr>
            <w:webHidden/>
          </w:rPr>
          <w:fldChar w:fldCharType="end"/>
        </w:r>
      </w:hyperlink>
    </w:p>
    <w:p w14:paraId="30820C67" w14:textId="77777777" w:rsidR="00877454" w:rsidRDefault="00161259">
      <w:pPr>
        <w:pStyle w:val="TOC3"/>
        <w:tabs>
          <w:tab w:val="right" w:leader="dot" w:pos="9060"/>
        </w:tabs>
        <w:rPr>
          <w:rFonts w:asciiTheme="minorHAnsi" w:eastAsiaTheme="minorEastAsia" w:hAnsiTheme="minorHAnsi" w:cstheme="minorBidi"/>
          <w:noProof/>
          <w:szCs w:val="22"/>
        </w:rPr>
      </w:pPr>
      <w:hyperlink w:anchor="_Toc530493301" w:history="1">
        <w:r w:rsidR="00877454" w:rsidRPr="00672AFB">
          <w:rPr>
            <w:rStyle w:val="Hyperlink"/>
            <w:noProof/>
          </w:rPr>
          <w:t>Reforming review fees to better account for entity size</w:t>
        </w:r>
        <w:r w:rsidR="00877454">
          <w:rPr>
            <w:noProof/>
            <w:webHidden/>
          </w:rPr>
          <w:tab/>
        </w:r>
        <w:r w:rsidR="00877454">
          <w:rPr>
            <w:noProof/>
            <w:webHidden/>
          </w:rPr>
          <w:fldChar w:fldCharType="begin"/>
        </w:r>
        <w:r w:rsidR="00877454">
          <w:rPr>
            <w:noProof/>
            <w:webHidden/>
          </w:rPr>
          <w:instrText xml:space="preserve"> PAGEREF _Toc530493301 \h </w:instrText>
        </w:r>
        <w:r w:rsidR="00877454">
          <w:rPr>
            <w:noProof/>
            <w:webHidden/>
          </w:rPr>
        </w:r>
        <w:r w:rsidR="00877454">
          <w:rPr>
            <w:noProof/>
            <w:webHidden/>
          </w:rPr>
          <w:fldChar w:fldCharType="separate"/>
        </w:r>
        <w:r w:rsidR="00877454">
          <w:rPr>
            <w:noProof/>
            <w:webHidden/>
          </w:rPr>
          <w:t>14</w:t>
        </w:r>
        <w:r w:rsidR="00877454">
          <w:rPr>
            <w:noProof/>
            <w:webHidden/>
          </w:rPr>
          <w:fldChar w:fldCharType="end"/>
        </w:r>
      </w:hyperlink>
    </w:p>
    <w:p w14:paraId="08229108" w14:textId="77777777" w:rsidR="00877454" w:rsidRDefault="00161259">
      <w:pPr>
        <w:pStyle w:val="TOC3"/>
        <w:tabs>
          <w:tab w:val="right" w:leader="dot" w:pos="9060"/>
        </w:tabs>
        <w:rPr>
          <w:rFonts w:asciiTheme="minorHAnsi" w:eastAsiaTheme="minorEastAsia" w:hAnsiTheme="minorHAnsi" w:cstheme="minorBidi"/>
          <w:noProof/>
          <w:szCs w:val="22"/>
        </w:rPr>
      </w:pPr>
      <w:hyperlink w:anchor="_Toc530493302" w:history="1">
        <w:r w:rsidR="00877454" w:rsidRPr="00672AFB">
          <w:rPr>
            <w:rStyle w:val="Hyperlink"/>
            <w:noProof/>
          </w:rPr>
          <w:t>Simplifying Late Fees</w:t>
        </w:r>
        <w:r w:rsidR="00877454">
          <w:rPr>
            <w:noProof/>
            <w:webHidden/>
          </w:rPr>
          <w:tab/>
        </w:r>
        <w:r w:rsidR="00877454">
          <w:rPr>
            <w:noProof/>
            <w:webHidden/>
          </w:rPr>
          <w:fldChar w:fldCharType="begin"/>
        </w:r>
        <w:r w:rsidR="00877454">
          <w:rPr>
            <w:noProof/>
            <w:webHidden/>
          </w:rPr>
          <w:instrText xml:space="preserve"> PAGEREF _Toc530493302 \h </w:instrText>
        </w:r>
        <w:r w:rsidR="00877454">
          <w:rPr>
            <w:noProof/>
            <w:webHidden/>
          </w:rPr>
        </w:r>
        <w:r w:rsidR="00877454">
          <w:rPr>
            <w:noProof/>
            <w:webHidden/>
          </w:rPr>
          <w:fldChar w:fldCharType="separate"/>
        </w:r>
        <w:r w:rsidR="00877454">
          <w:rPr>
            <w:noProof/>
            <w:webHidden/>
          </w:rPr>
          <w:t>15</w:t>
        </w:r>
        <w:r w:rsidR="00877454">
          <w:rPr>
            <w:noProof/>
            <w:webHidden/>
          </w:rPr>
          <w:fldChar w:fldCharType="end"/>
        </w:r>
      </w:hyperlink>
    </w:p>
    <w:p w14:paraId="31228991" w14:textId="77777777" w:rsidR="00877454" w:rsidRDefault="00161259">
      <w:pPr>
        <w:pStyle w:val="TOC3"/>
        <w:tabs>
          <w:tab w:val="right" w:leader="dot" w:pos="9060"/>
        </w:tabs>
        <w:rPr>
          <w:rFonts w:asciiTheme="minorHAnsi" w:eastAsiaTheme="minorEastAsia" w:hAnsiTheme="minorHAnsi" w:cstheme="minorBidi"/>
          <w:noProof/>
          <w:szCs w:val="22"/>
        </w:rPr>
      </w:pPr>
      <w:hyperlink w:anchor="_Toc530493303" w:history="1">
        <w:r w:rsidR="00877454" w:rsidRPr="00672AFB">
          <w:rPr>
            <w:rStyle w:val="Hyperlink"/>
            <w:noProof/>
          </w:rPr>
          <w:t>Limiting or removing search fees</w:t>
        </w:r>
        <w:r w:rsidR="00877454">
          <w:rPr>
            <w:noProof/>
            <w:webHidden/>
          </w:rPr>
          <w:tab/>
        </w:r>
        <w:r w:rsidR="00877454">
          <w:rPr>
            <w:noProof/>
            <w:webHidden/>
          </w:rPr>
          <w:fldChar w:fldCharType="begin"/>
        </w:r>
        <w:r w:rsidR="00877454">
          <w:rPr>
            <w:noProof/>
            <w:webHidden/>
          </w:rPr>
          <w:instrText xml:space="preserve"> PAGEREF _Toc530493303 \h </w:instrText>
        </w:r>
        <w:r w:rsidR="00877454">
          <w:rPr>
            <w:noProof/>
            <w:webHidden/>
          </w:rPr>
        </w:r>
        <w:r w:rsidR="00877454">
          <w:rPr>
            <w:noProof/>
            <w:webHidden/>
          </w:rPr>
          <w:fldChar w:fldCharType="separate"/>
        </w:r>
        <w:r w:rsidR="00877454">
          <w:rPr>
            <w:noProof/>
            <w:webHidden/>
          </w:rPr>
          <w:t>15</w:t>
        </w:r>
        <w:r w:rsidR="00877454">
          <w:rPr>
            <w:noProof/>
            <w:webHidden/>
          </w:rPr>
          <w:fldChar w:fldCharType="end"/>
        </w:r>
      </w:hyperlink>
    </w:p>
    <w:p w14:paraId="15045938" w14:textId="77777777" w:rsidR="00877454" w:rsidRDefault="00161259">
      <w:pPr>
        <w:pStyle w:val="TOC3"/>
        <w:tabs>
          <w:tab w:val="right" w:leader="dot" w:pos="9060"/>
        </w:tabs>
        <w:rPr>
          <w:rFonts w:asciiTheme="minorHAnsi" w:eastAsiaTheme="minorEastAsia" w:hAnsiTheme="minorHAnsi" w:cstheme="minorBidi"/>
          <w:noProof/>
          <w:szCs w:val="22"/>
        </w:rPr>
      </w:pPr>
      <w:hyperlink w:anchor="_Toc530493304" w:history="1">
        <w:r w:rsidR="00877454" w:rsidRPr="00672AFB">
          <w:rPr>
            <w:rStyle w:val="Hyperlink"/>
            <w:noProof/>
          </w:rPr>
          <w:t>Introducing an Infrastructure Fee</w:t>
        </w:r>
        <w:r w:rsidR="00877454">
          <w:rPr>
            <w:noProof/>
            <w:webHidden/>
          </w:rPr>
          <w:tab/>
        </w:r>
        <w:r w:rsidR="00877454">
          <w:rPr>
            <w:noProof/>
            <w:webHidden/>
          </w:rPr>
          <w:fldChar w:fldCharType="begin"/>
        </w:r>
        <w:r w:rsidR="00877454">
          <w:rPr>
            <w:noProof/>
            <w:webHidden/>
          </w:rPr>
          <w:instrText xml:space="preserve"> PAGEREF _Toc530493304 \h </w:instrText>
        </w:r>
        <w:r w:rsidR="00877454">
          <w:rPr>
            <w:noProof/>
            <w:webHidden/>
          </w:rPr>
        </w:r>
        <w:r w:rsidR="00877454">
          <w:rPr>
            <w:noProof/>
            <w:webHidden/>
          </w:rPr>
          <w:fldChar w:fldCharType="separate"/>
        </w:r>
        <w:r w:rsidR="00877454">
          <w:rPr>
            <w:noProof/>
            <w:webHidden/>
          </w:rPr>
          <w:t>16</w:t>
        </w:r>
        <w:r w:rsidR="00877454">
          <w:rPr>
            <w:noProof/>
            <w:webHidden/>
          </w:rPr>
          <w:fldChar w:fldCharType="end"/>
        </w:r>
      </w:hyperlink>
    </w:p>
    <w:p w14:paraId="62DF6F24" w14:textId="77777777" w:rsidR="00877454" w:rsidRDefault="00161259">
      <w:pPr>
        <w:pStyle w:val="TOC2"/>
        <w:rPr>
          <w:rFonts w:asciiTheme="minorHAnsi" w:eastAsiaTheme="minorEastAsia" w:hAnsiTheme="minorHAnsi" w:cstheme="minorBidi"/>
          <w:color w:val="auto"/>
          <w:szCs w:val="22"/>
        </w:rPr>
      </w:pPr>
      <w:hyperlink w:anchor="_Toc530493305" w:history="1">
        <w:r w:rsidR="00877454" w:rsidRPr="00672AFB">
          <w:rPr>
            <w:rStyle w:val="Hyperlink"/>
            <w:rFonts w:eastAsiaTheme="minorHAnsi"/>
            <w:lang w:eastAsia="en-US"/>
          </w:rPr>
          <w:t>Questions:</w:t>
        </w:r>
        <w:r w:rsidR="00877454">
          <w:rPr>
            <w:webHidden/>
          </w:rPr>
          <w:tab/>
        </w:r>
        <w:r w:rsidR="00877454">
          <w:rPr>
            <w:webHidden/>
          </w:rPr>
          <w:fldChar w:fldCharType="begin"/>
        </w:r>
        <w:r w:rsidR="00877454">
          <w:rPr>
            <w:webHidden/>
          </w:rPr>
          <w:instrText xml:space="preserve"> PAGEREF _Toc530493305 \h </w:instrText>
        </w:r>
        <w:r w:rsidR="00877454">
          <w:rPr>
            <w:webHidden/>
          </w:rPr>
        </w:r>
        <w:r w:rsidR="00877454">
          <w:rPr>
            <w:webHidden/>
          </w:rPr>
          <w:fldChar w:fldCharType="separate"/>
        </w:r>
        <w:r w:rsidR="00877454">
          <w:rPr>
            <w:webHidden/>
          </w:rPr>
          <w:t>17</w:t>
        </w:r>
        <w:r w:rsidR="00877454">
          <w:rPr>
            <w:webHidden/>
          </w:rPr>
          <w:fldChar w:fldCharType="end"/>
        </w:r>
      </w:hyperlink>
    </w:p>
    <w:p w14:paraId="30B7A1F4" w14:textId="77777777" w:rsidR="00877454" w:rsidRDefault="00161259">
      <w:pPr>
        <w:pStyle w:val="TOC2"/>
        <w:rPr>
          <w:rFonts w:asciiTheme="minorHAnsi" w:eastAsiaTheme="minorEastAsia" w:hAnsiTheme="minorHAnsi" w:cstheme="minorBidi"/>
          <w:color w:val="auto"/>
          <w:szCs w:val="22"/>
        </w:rPr>
      </w:pPr>
      <w:hyperlink w:anchor="_Toc530493306" w:history="1">
        <w:r w:rsidR="00877454" w:rsidRPr="00672AFB">
          <w:rPr>
            <w:rStyle w:val="Hyperlink"/>
          </w:rPr>
          <w:t>Timing</w:t>
        </w:r>
        <w:r w:rsidR="00877454">
          <w:rPr>
            <w:webHidden/>
          </w:rPr>
          <w:tab/>
        </w:r>
        <w:r w:rsidR="00877454">
          <w:rPr>
            <w:webHidden/>
          </w:rPr>
          <w:fldChar w:fldCharType="begin"/>
        </w:r>
        <w:r w:rsidR="00877454">
          <w:rPr>
            <w:webHidden/>
          </w:rPr>
          <w:instrText xml:space="preserve"> PAGEREF _Toc530493306 \h </w:instrText>
        </w:r>
        <w:r w:rsidR="00877454">
          <w:rPr>
            <w:webHidden/>
          </w:rPr>
        </w:r>
        <w:r w:rsidR="00877454">
          <w:rPr>
            <w:webHidden/>
          </w:rPr>
          <w:fldChar w:fldCharType="separate"/>
        </w:r>
        <w:r w:rsidR="00877454">
          <w:rPr>
            <w:webHidden/>
          </w:rPr>
          <w:t>18</w:t>
        </w:r>
        <w:r w:rsidR="00877454">
          <w:rPr>
            <w:webHidden/>
          </w:rPr>
          <w:fldChar w:fldCharType="end"/>
        </w:r>
      </w:hyperlink>
    </w:p>
    <w:p w14:paraId="0FCCDA5F" w14:textId="77777777" w:rsidR="00877454" w:rsidRDefault="00161259">
      <w:pPr>
        <w:pStyle w:val="TOC1"/>
        <w:rPr>
          <w:rFonts w:asciiTheme="minorHAnsi" w:eastAsiaTheme="minorEastAsia" w:hAnsiTheme="minorHAnsi" w:cstheme="minorBidi"/>
          <w:b w:val="0"/>
          <w:color w:val="auto"/>
        </w:rPr>
      </w:pPr>
      <w:hyperlink w:anchor="_Toc530493307" w:history="1">
        <w:r w:rsidR="00877454" w:rsidRPr="00672AFB">
          <w:rPr>
            <w:rStyle w:val="Hyperlink"/>
          </w:rPr>
          <w:t>ATTACHMENT A</w:t>
        </w:r>
        <w:r w:rsidR="00877454">
          <w:rPr>
            <w:webHidden/>
          </w:rPr>
          <w:tab/>
        </w:r>
        <w:r w:rsidR="00877454">
          <w:rPr>
            <w:webHidden/>
          </w:rPr>
          <w:fldChar w:fldCharType="begin"/>
        </w:r>
        <w:r w:rsidR="00877454">
          <w:rPr>
            <w:webHidden/>
          </w:rPr>
          <w:instrText xml:space="preserve"> PAGEREF _Toc530493307 \h </w:instrText>
        </w:r>
        <w:r w:rsidR="00877454">
          <w:rPr>
            <w:webHidden/>
          </w:rPr>
        </w:r>
        <w:r w:rsidR="00877454">
          <w:rPr>
            <w:webHidden/>
          </w:rPr>
          <w:fldChar w:fldCharType="separate"/>
        </w:r>
        <w:r w:rsidR="00877454">
          <w:rPr>
            <w:webHidden/>
          </w:rPr>
          <w:t>19</w:t>
        </w:r>
        <w:r w:rsidR="00877454">
          <w:rPr>
            <w:webHidden/>
          </w:rPr>
          <w:fldChar w:fldCharType="end"/>
        </w:r>
      </w:hyperlink>
    </w:p>
    <w:p w14:paraId="40E221FD" w14:textId="77777777" w:rsidR="00877454" w:rsidRDefault="00161259">
      <w:pPr>
        <w:pStyle w:val="TOC2"/>
        <w:rPr>
          <w:rFonts w:asciiTheme="minorHAnsi" w:eastAsiaTheme="minorEastAsia" w:hAnsiTheme="minorHAnsi" w:cstheme="minorBidi"/>
          <w:color w:val="auto"/>
          <w:szCs w:val="22"/>
        </w:rPr>
      </w:pPr>
      <w:hyperlink w:anchor="_Toc530493308" w:history="1">
        <w:r w:rsidR="00877454" w:rsidRPr="00672AFB">
          <w:rPr>
            <w:rStyle w:val="Hyperlink"/>
          </w:rPr>
          <w:t>Government Charging Framework</w:t>
        </w:r>
        <w:r w:rsidR="00877454">
          <w:rPr>
            <w:webHidden/>
          </w:rPr>
          <w:tab/>
        </w:r>
        <w:r w:rsidR="00877454">
          <w:rPr>
            <w:webHidden/>
          </w:rPr>
          <w:fldChar w:fldCharType="begin"/>
        </w:r>
        <w:r w:rsidR="00877454">
          <w:rPr>
            <w:webHidden/>
          </w:rPr>
          <w:instrText xml:space="preserve"> PAGEREF _Toc530493308 \h </w:instrText>
        </w:r>
        <w:r w:rsidR="00877454">
          <w:rPr>
            <w:webHidden/>
          </w:rPr>
        </w:r>
        <w:r w:rsidR="00877454">
          <w:rPr>
            <w:webHidden/>
          </w:rPr>
          <w:fldChar w:fldCharType="separate"/>
        </w:r>
        <w:r w:rsidR="00877454">
          <w:rPr>
            <w:webHidden/>
          </w:rPr>
          <w:t>19</w:t>
        </w:r>
        <w:r w:rsidR="00877454">
          <w:rPr>
            <w:webHidden/>
          </w:rPr>
          <w:fldChar w:fldCharType="end"/>
        </w:r>
      </w:hyperlink>
    </w:p>
    <w:p w14:paraId="3E3EB895" w14:textId="77777777" w:rsidR="00877454" w:rsidRDefault="00161259">
      <w:pPr>
        <w:pStyle w:val="TOC1"/>
        <w:rPr>
          <w:rFonts w:asciiTheme="minorHAnsi" w:eastAsiaTheme="minorEastAsia" w:hAnsiTheme="minorHAnsi" w:cstheme="minorBidi"/>
          <w:b w:val="0"/>
          <w:color w:val="auto"/>
        </w:rPr>
      </w:pPr>
      <w:hyperlink w:anchor="_Toc530493309" w:history="1">
        <w:r w:rsidR="00877454" w:rsidRPr="00672AFB">
          <w:rPr>
            <w:rStyle w:val="Hyperlink"/>
          </w:rPr>
          <w:t>ATTACHMENT B</w:t>
        </w:r>
        <w:r w:rsidR="00877454">
          <w:rPr>
            <w:webHidden/>
          </w:rPr>
          <w:tab/>
        </w:r>
        <w:r w:rsidR="00877454">
          <w:rPr>
            <w:webHidden/>
          </w:rPr>
          <w:fldChar w:fldCharType="begin"/>
        </w:r>
        <w:r w:rsidR="00877454">
          <w:rPr>
            <w:webHidden/>
          </w:rPr>
          <w:instrText xml:space="preserve"> PAGEREF _Toc530493309 \h </w:instrText>
        </w:r>
        <w:r w:rsidR="00877454">
          <w:rPr>
            <w:webHidden/>
          </w:rPr>
        </w:r>
        <w:r w:rsidR="00877454">
          <w:rPr>
            <w:webHidden/>
          </w:rPr>
          <w:fldChar w:fldCharType="separate"/>
        </w:r>
        <w:r w:rsidR="00877454">
          <w:rPr>
            <w:webHidden/>
          </w:rPr>
          <w:t>21</w:t>
        </w:r>
        <w:r w:rsidR="00877454">
          <w:rPr>
            <w:webHidden/>
          </w:rPr>
          <w:fldChar w:fldCharType="end"/>
        </w:r>
      </w:hyperlink>
    </w:p>
    <w:p w14:paraId="073C0586" w14:textId="77777777" w:rsidR="00877454" w:rsidRDefault="00161259">
      <w:pPr>
        <w:pStyle w:val="TOC2"/>
        <w:rPr>
          <w:rFonts w:asciiTheme="minorHAnsi" w:eastAsiaTheme="minorEastAsia" w:hAnsiTheme="minorHAnsi" w:cstheme="minorBidi"/>
          <w:color w:val="auto"/>
          <w:szCs w:val="22"/>
        </w:rPr>
      </w:pPr>
      <w:hyperlink w:anchor="_Toc530493310" w:history="1">
        <w:r w:rsidR="00877454" w:rsidRPr="00672AFB">
          <w:rPr>
            <w:rStyle w:val="Hyperlink"/>
          </w:rPr>
          <w:t>Late Fee Scenarios</w:t>
        </w:r>
        <w:r w:rsidR="00877454">
          <w:rPr>
            <w:webHidden/>
          </w:rPr>
          <w:tab/>
        </w:r>
        <w:r w:rsidR="00877454">
          <w:rPr>
            <w:webHidden/>
          </w:rPr>
          <w:fldChar w:fldCharType="begin"/>
        </w:r>
        <w:r w:rsidR="00877454">
          <w:rPr>
            <w:webHidden/>
          </w:rPr>
          <w:instrText xml:space="preserve"> PAGEREF _Toc530493310 \h </w:instrText>
        </w:r>
        <w:r w:rsidR="00877454">
          <w:rPr>
            <w:webHidden/>
          </w:rPr>
        </w:r>
        <w:r w:rsidR="00877454">
          <w:rPr>
            <w:webHidden/>
          </w:rPr>
          <w:fldChar w:fldCharType="separate"/>
        </w:r>
        <w:r w:rsidR="00877454">
          <w:rPr>
            <w:webHidden/>
          </w:rPr>
          <w:t>21</w:t>
        </w:r>
        <w:r w:rsidR="00877454">
          <w:rPr>
            <w:webHidden/>
          </w:rPr>
          <w:fldChar w:fldCharType="end"/>
        </w:r>
      </w:hyperlink>
    </w:p>
    <w:p w14:paraId="24AC8D8B" w14:textId="77777777" w:rsidR="00877454" w:rsidRDefault="00161259">
      <w:pPr>
        <w:pStyle w:val="TOC1"/>
        <w:rPr>
          <w:rFonts w:asciiTheme="minorHAnsi" w:eastAsiaTheme="minorEastAsia" w:hAnsiTheme="minorHAnsi" w:cstheme="minorBidi"/>
          <w:b w:val="0"/>
          <w:color w:val="auto"/>
        </w:rPr>
      </w:pPr>
      <w:hyperlink w:anchor="_Toc530493311" w:history="1">
        <w:r w:rsidR="00877454" w:rsidRPr="00672AFB">
          <w:rPr>
            <w:rStyle w:val="Hyperlink"/>
          </w:rPr>
          <w:t>Attachment C</w:t>
        </w:r>
        <w:r w:rsidR="00877454">
          <w:rPr>
            <w:webHidden/>
          </w:rPr>
          <w:tab/>
        </w:r>
        <w:r w:rsidR="00877454">
          <w:rPr>
            <w:webHidden/>
          </w:rPr>
          <w:fldChar w:fldCharType="begin"/>
        </w:r>
        <w:r w:rsidR="00877454">
          <w:rPr>
            <w:webHidden/>
          </w:rPr>
          <w:instrText xml:space="preserve"> PAGEREF _Toc530493311 \h </w:instrText>
        </w:r>
        <w:r w:rsidR="00877454">
          <w:rPr>
            <w:webHidden/>
          </w:rPr>
        </w:r>
        <w:r w:rsidR="00877454">
          <w:rPr>
            <w:webHidden/>
          </w:rPr>
          <w:fldChar w:fldCharType="separate"/>
        </w:r>
        <w:r w:rsidR="00877454">
          <w:rPr>
            <w:webHidden/>
          </w:rPr>
          <w:t>23</w:t>
        </w:r>
        <w:r w:rsidR="00877454">
          <w:rPr>
            <w:webHidden/>
          </w:rPr>
          <w:fldChar w:fldCharType="end"/>
        </w:r>
      </w:hyperlink>
    </w:p>
    <w:p w14:paraId="0ABED941" w14:textId="77777777" w:rsidR="00877454" w:rsidRDefault="00161259">
      <w:pPr>
        <w:pStyle w:val="TOC2"/>
        <w:rPr>
          <w:rFonts w:asciiTheme="minorHAnsi" w:eastAsiaTheme="minorEastAsia" w:hAnsiTheme="minorHAnsi" w:cstheme="minorBidi"/>
          <w:color w:val="auto"/>
          <w:szCs w:val="22"/>
        </w:rPr>
      </w:pPr>
      <w:hyperlink w:anchor="_Toc530493312" w:history="1">
        <w:r w:rsidR="00877454" w:rsidRPr="00672AFB">
          <w:rPr>
            <w:rStyle w:val="Hyperlink"/>
          </w:rPr>
          <w:t>ASIC Search Fee Schedule</w:t>
        </w:r>
        <w:r w:rsidR="00877454">
          <w:rPr>
            <w:webHidden/>
          </w:rPr>
          <w:tab/>
        </w:r>
        <w:r w:rsidR="00877454">
          <w:rPr>
            <w:webHidden/>
          </w:rPr>
          <w:fldChar w:fldCharType="begin"/>
        </w:r>
        <w:r w:rsidR="00877454">
          <w:rPr>
            <w:webHidden/>
          </w:rPr>
          <w:instrText xml:space="preserve"> PAGEREF _Toc530493312 \h </w:instrText>
        </w:r>
        <w:r w:rsidR="00877454">
          <w:rPr>
            <w:webHidden/>
          </w:rPr>
        </w:r>
        <w:r w:rsidR="00877454">
          <w:rPr>
            <w:webHidden/>
          </w:rPr>
          <w:fldChar w:fldCharType="separate"/>
        </w:r>
        <w:r w:rsidR="00877454">
          <w:rPr>
            <w:webHidden/>
          </w:rPr>
          <w:t>23</w:t>
        </w:r>
        <w:r w:rsidR="00877454">
          <w:rPr>
            <w:webHidden/>
          </w:rPr>
          <w:fldChar w:fldCharType="end"/>
        </w:r>
      </w:hyperlink>
    </w:p>
    <w:p w14:paraId="56A1383A" w14:textId="77777777" w:rsidR="00877454" w:rsidRDefault="00161259">
      <w:pPr>
        <w:pStyle w:val="TOC1"/>
        <w:rPr>
          <w:rFonts w:asciiTheme="minorHAnsi" w:eastAsiaTheme="minorEastAsia" w:hAnsiTheme="minorHAnsi" w:cstheme="minorBidi"/>
          <w:b w:val="0"/>
          <w:color w:val="auto"/>
        </w:rPr>
      </w:pPr>
      <w:hyperlink w:anchor="_Toc530493313" w:history="1">
        <w:r w:rsidR="00877454" w:rsidRPr="00672AFB">
          <w:rPr>
            <w:rStyle w:val="Hyperlink"/>
          </w:rPr>
          <w:t>ATTACHMENT D</w:t>
        </w:r>
        <w:r w:rsidR="00877454">
          <w:rPr>
            <w:webHidden/>
          </w:rPr>
          <w:tab/>
        </w:r>
        <w:r w:rsidR="00877454">
          <w:rPr>
            <w:webHidden/>
          </w:rPr>
          <w:fldChar w:fldCharType="begin"/>
        </w:r>
        <w:r w:rsidR="00877454">
          <w:rPr>
            <w:webHidden/>
          </w:rPr>
          <w:instrText xml:space="preserve"> PAGEREF _Toc530493313 \h </w:instrText>
        </w:r>
        <w:r w:rsidR="00877454">
          <w:rPr>
            <w:webHidden/>
          </w:rPr>
        </w:r>
        <w:r w:rsidR="00877454">
          <w:rPr>
            <w:webHidden/>
          </w:rPr>
          <w:fldChar w:fldCharType="separate"/>
        </w:r>
        <w:r w:rsidR="00877454">
          <w:rPr>
            <w:webHidden/>
          </w:rPr>
          <w:t>25</w:t>
        </w:r>
        <w:r w:rsidR="00877454">
          <w:rPr>
            <w:webHidden/>
          </w:rPr>
          <w:fldChar w:fldCharType="end"/>
        </w:r>
      </w:hyperlink>
    </w:p>
    <w:p w14:paraId="01F6E9F5" w14:textId="77777777" w:rsidR="00877454" w:rsidRDefault="00161259">
      <w:pPr>
        <w:pStyle w:val="TOC2"/>
        <w:rPr>
          <w:rFonts w:asciiTheme="minorHAnsi" w:eastAsiaTheme="minorEastAsia" w:hAnsiTheme="minorHAnsi" w:cstheme="minorBidi"/>
          <w:color w:val="auto"/>
          <w:szCs w:val="22"/>
        </w:rPr>
      </w:pPr>
      <w:hyperlink w:anchor="_Toc530493314" w:history="1">
        <w:r w:rsidR="00877454" w:rsidRPr="00672AFB">
          <w:rPr>
            <w:rStyle w:val="Hyperlink"/>
          </w:rPr>
          <w:t>Example of “Large User” fee: Document Verification Service</w:t>
        </w:r>
        <w:r w:rsidR="00877454">
          <w:rPr>
            <w:webHidden/>
          </w:rPr>
          <w:tab/>
        </w:r>
        <w:r w:rsidR="00877454">
          <w:rPr>
            <w:webHidden/>
          </w:rPr>
          <w:fldChar w:fldCharType="begin"/>
        </w:r>
        <w:r w:rsidR="00877454">
          <w:rPr>
            <w:webHidden/>
          </w:rPr>
          <w:instrText xml:space="preserve"> PAGEREF _Toc530493314 \h </w:instrText>
        </w:r>
        <w:r w:rsidR="00877454">
          <w:rPr>
            <w:webHidden/>
          </w:rPr>
        </w:r>
        <w:r w:rsidR="00877454">
          <w:rPr>
            <w:webHidden/>
          </w:rPr>
          <w:fldChar w:fldCharType="separate"/>
        </w:r>
        <w:r w:rsidR="00877454">
          <w:rPr>
            <w:webHidden/>
          </w:rPr>
          <w:t>25</w:t>
        </w:r>
        <w:r w:rsidR="00877454">
          <w:rPr>
            <w:webHidden/>
          </w:rPr>
          <w:fldChar w:fldCharType="end"/>
        </w:r>
      </w:hyperlink>
    </w:p>
    <w:p w14:paraId="787A0A28" w14:textId="77777777" w:rsidR="00877454" w:rsidRDefault="00161259">
      <w:pPr>
        <w:pStyle w:val="TOC1"/>
        <w:rPr>
          <w:rFonts w:asciiTheme="minorHAnsi" w:eastAsiaTheme="minorEastAsia" w:hAnsiTheme="minorHAnsi" w:cstheme="minorBidi"/>
          <w:b w:val="0"/>
          <w:color w:val="auto"/>
        </w:rPr>
      </w:pPr>
      <w:hyperlink w:anchor="_Toc530493315" w:history="1">
        <w:r w:rsidR="00877454" w:rsidRPr="00672AFB">
          <w:rPr>
            <w:rStyle w:val="Hyperlink"/>
          </w:rPr>
          <w:t>ATTACHMENT E</w:t>
        </w:r>
        <w:r w:rsidR="00877454">
          <w:rPr>
            <w:webHidden/>
          </w:rPr>
          <w:tab/>
        </w:r>
        <w:r w:rsidR="00877454">
          <w:rPr>
            <w:webHidden/>
          </w:rPr>
          <w:fldChar w:fldCharType="begin"/>
        </w:r>
        <w:r w:rsidR="00877454">
          <w:rPr>
            <w:webHidden/>
          </w:rPr>
          <w:instrText xml:space="preserve"> PAGEREF _Toc530493315 \h </w:instrText>
        </w:r>
        <w:r w:rsidR="00877454">
          <w:rPr>
            <w:webHidden/>
          </w:rPr>
        </w:r>
        <w:r w:rsidR="00877454">
          <w:rPr>
            <w:webHidden/>
          </w:rPr>
          <w:fldChar w:fldCharType="separate"/>
        </w:r>
        <w:r w:rsidR="00877454">
          <w:rPr>
            <w:webHidden/>
          </w:rPr>
          <w:t>26</w:t>
        </w:r>
        <w:r w:rsidR="00877454">
          <w:rPr>
            <w:webHidden/>
          </w:rPr>
          <w:fldChar w:fldCharType="end"/>
        </w:r>
      </w:hyperlink>
    </w:p>
    <w:p w14:paraId="7CE49C89" w14:textId="77777777" w:rsidR="00877454" w:rsidRDefault="00161259">
      <w:pPr>
        <w:pStyle w:val="TOC2"/>
        <w:rPr>
          <w:rFonts w:asciiTheme="minorHAnsi" w:eastAsiaTheme="minorEastAsia" w:hAnsiTheme="minorHAnsi" w:cstheme="minorBidi"/>
          <w:color w:val="auto"/>
          <w:szCs w:val="22"/>
        </w:rPr>
      </w:pPr>
      <w:hyperlink w:anchor="_Toc530493316" w:history="1">
        <w:r w:rsidR="00877454" w:rsidRPr="00672AFB">
          <w:rPr>
            <w:rStyle w:val="Hyperlink"/>
          </w:rPr>
          <w:t>Background on a proposed Infrastructure fee</w:t>
        </w:r>
        <w:r w:rsidR="00877454">
          <w:rPr>
            <w:webHidden/>
          </w:rPr>
          <w:tab/>
        </w:r>
        <w:r w:rsidR="00877454">
          <w:rPr>
            <w:webHidden/>
          </w:rPr>
          <w:fldChar w:fldCharType="begin"/>
        </w:r>
        <w:r w:rsidR="00877454">
          <w:rPr>
            <w:webHidden/>
          </w:rPr>
          <w:instrText xml:space="preserve"> PAGEREF _Toc530493316 \h </w:instrText>
        </w:r>
        <w:r w:rsidR="00877454">
          <w:rPr>
            <w:webHidden/>
          </w:rPr>
        </w:r>
        <w:r w:rsidR="00877454">
          <w:rPr>
            <w:webHidden/>
          </w:rPr>
          <w:fldChar w:fldCharType="separate"/>
        </w:r>
        <w:r w:rsidR="00877454">
          <w:rPr>
            <w:webHidden/>
          </w:rPr>
          <w:t>26</w:t>
        </w:r>
        <w:r w:rsidR="00877454">
          <w:rPr>
            <w:webHidden/>
          </w:rPr>
          <w:fldChar w:fldCharType="end"/>
        </w:r>
      </w:hyperlink>
    </w:p>
    <w:p w14:paraId="774BBDFA" w14:textId="18E1B105" w:rsidR="00F93018" w:rsidRPr="0044107F" w:rsidRDefault="00F93018" w:rsidP="00F93018">
      <w:pPr>
        <w:pStyle w:val="SingleParagraph"/>
        <w:tabs>
          <w:tab w:val="right" w:leader="dot" w:pos="9072"/>
        </w:tabs>
        <w:ind w:right="-2"/>
        <w:sectPr w:rsidR="00F93018" w:rsidRPr="0044107F" w:rsidSect="00904FE7">
          <w:pgSz w:w="11906" w:h="16838" w:code="9"/>
          <w:pgMar w:top="1418" w:right="1418" w:bottom="1418" w:left="1418" w:header="709" w:footer="709" w:gutter="0"/>
          <w:pgNumType w:fmt="lowerRoman"/>
          <w:cols w:space="708"/>
          <w:titlePg/>
          <w:docGrid w:linePitch="360"/>
        </w:sectPr>
      </w:pPr>
      <w:r w:rsidRPr="0044107F">
        <w:rPr>
          <w:noProof/>
          <w:color w:val="004A7F"/>
          <w:szCs w:val="22"/>
        </w:rPr>
        <w:fldChar w:fldCharType="end"/>
      </w:r>
    </w:p>
    <w:p w14:paraId="2FC40653" w14:textId="77777777" w:rsidR="00F93018" w:rsidRPr="0044107F" w:rsidRDefault="00F93018" w:rsidP="00F93018">
      <w:pPr>
        <w:pStyle w:val="Heading1"/>
      </w:pPr>
      <w:bookmarkStart w:id="3" w:name="_Toc529797368"/>
      <w:bookmarkStart w:id="4" w:name="_Toc530493286"/>
      <w:bookmarkStart w:id="5" w:name="_Toc432067103"/>
      <w:r w:rsidRPr="0044107F">
        <w:lastRenderedPageBreak/>
        <w:t>Consultation Process</w:t>
      </w:r>
      <w:bookmarkEnd w:id="3"/>
      <w:bookmarkEnd w:id="4"/>
    </w:p>
    <w:p w14:paraId="0E336437" w14:textId="77777777" w:rsidR="00F93018" w:rsidRPr="0044107F" w:rsidRDefault="00F93018" w:rsidP="00F93018">
      <w:pPr>
        <w:pStyle w:val="Heading2"/>
      </w:pPr>
      <w:bookmarkStart w:id="6" w:name="_Toc529797369"/>
      <w:bookmarkStart w:id="7" w:name="_Toc530493287"/>
      <w:r w:rsidRPr="0044107F">
        <w:t>Request for feedback and comments</w:t>
      </w:r>
      <w:bookmarkEnd w:id="6"/>
      <w:bookmarkEnd w:id="7"/>
    </w:p>
    <w:p w14:paraId="64983F16" w14:textId="7A0440C1" w:rsidR="00F93018" w:rsidRPr="0044107F" w:rsidRDefault="00F93018" w:rsidP="00F93018">
      <w:pPr>
        <w:pStyle w:val="Heading3noTOC"/>
      </w:pPr>
      <w:r w:rsidRPr="0044107F">
        <w:t xml:space="preserve">Closing date for submissions: </w:t>
      </w:r>
      <w:sdt>
        <w:sdtPr>
          <w:rPr>
            <w:rStyle w:val="Heading3Char"/>
          </w:rPr>
          <w:id w:val="1454836312"/>
          <w:placeholder>
            <w:docPart w:val="86C6E47048654C18B9EC1C31D333C727"/>
          </w:placeholder>
          <w:date w:fullDate="2018-12-21T00:00:00Z">
            <w:dateFormat w:val="dd MMMM yyyy"/>
            <w:lid w:val="en-AU"/>
            <w:storeMappedDataAs w:val="dateTime"/>
            <w:calendar w:val="gregorian"/>
          </w:date>
        </w:sdtPr>
        <w:sdtEndPr>
          <w:rPr>
            <w:rStyle w:val="DefaultParagraphFont"/>
            <w:rFonts w:cs="Calibri"/>
          </w:rPr>
        </w:sdtEndPr>
        <w:sdtContent>
          <w:r w:rsidR="00F45C9A">
            <w:rPr>
              <w:rStyle w:val="Heading3Char"/>
            </w:rPr>
            <w:t>21 December 2018</w:t>
          </w:r>
        </w:sdtContent>
      </w:sdt>
    </w:p>
    <w:tbl>
      <w:tblPr>
        <w:tblStyle w:val="TableGrid"/>
        <w:tblW w:w="0" w:type="auto"/>
        <w:tblLook w:val="04A0" w:firstRow="1" w:lastRow="0" w:firstColumn="1" w:lastColumn="0" w:noHBand="0" w:noVBand="1"/>
      </w:tblPr>
      <w:tblGrid>
        <w:gridCol w:w="1526"/>
        <w:gridCol w:w="7654"/>
      </w:tblGrid>
      <w:tr w:rsidR="00F93018" w:rsidRPr="0044107F" w14:paraId="66825DA6" w14:textId="77777777" w:rsidTr="00904FE7">
        <w:tc>
          <w:tcPr>
            <w:tcW w:w="1526" w:type="dxa"/>
            <w:shd w:val="clear" w:color="auto" w:fill="auto"/>
          </w:tcPr>
          <w:p w14:paraId="3FB9162B" w14:textId="77777777" w:rsidR="00F93018" w:rsidRPr="0044107F" w:rsidRDefault="00F93018" w:rsidP="00904FE7">
            <w:pPr>
              <w:rPr>
                <w:sz w:val="22"/>
                <w:szCs w:val="22"/>
              </w:rPr>
            </w:pPr>
            <w:r w:rsidRPr="0044107F">
              <w:rPr>
                <w:sz w:val="22"/>
                <w:szCs w:val="22"/>
              </w:rPr>
              <w:t>Email</w:t>
            </w:r>
          </w:p>
        </w:tc>
        <w:tc>
          <w:tcPr>
            <w:tcW w:w="7654" w:type="dxa"/>
            <w:shd w:val="clear" w:color="auto" w:fill="auto"/>
          </w:tcPr>
          <w:p w14:paraId="3A944E08" w14:textId="74080762" w:rsidR="00F93018" w:rsidRPr="0044107F" w:rsidRDefault="00161259" w:rsidP="00904FE7">
            <w:pPr>
              <w:rPr>
                <w:sz w:val="22"/>
                <w:szCs w:val="22"/>
              </w:rPr>
            </w:pPr>
            <w:hyperlink r:id="rId25" w:history="1">
              <w:r w:rsidR="000D400F" w:rsidRPr="00F45C9A">
                <w:rPr>
                  <w:rStyle w:val="Hyperlink"/>
                  <w:rFonts w:cs="Arial"/>
                  <w:szCs w:val="22"/>
                </w:rPr>
                <w:t>regmod@treasu</w:t>
              </w:r>
              <w:r w:rsidR="00D420EB" w:rsidRPr="00F45C9A">
                <w:rPr>
                  <w:rStyle w:val="Hyperlink"/>
                  <w:rFonts w:cs="Arial"/>
                  <w:szCs w:val="22"/>
                </w:rPr>
                <w:t>ry.gov.au</w:t>
              </w:r>
            </w:hyperlink>
          </w:p>
        </w:tc>
      </w:tr>
      <w:tr w:rsidR="00F93018" w:rsidRPr="0044107F" w14:paraId="747CA39B" w14:textId="77777777" w:rsidTr="00904FE7">
        <w:tc>
          <w:tcPr>
            <w:tcW w:w="1526" w:type="dxa"/>
            <w:shd w:val="clear" w:color="auto" w:fill="auto"/>
          </w:tcPr>
          <w:p w14:paraId="2B06138B" w14:textId="192AB2FB" w:rsidR="00F93018" w:rsidRPr="0044107F" w:rsidRDefault="00F93018" w:rsidP="00904FE7">
            <w:pPr>
              <w:rPr>
                <w:sz w:val="22"/>
                <w:szCs w:val="22"/>
              </w:rPr>
            </w:pPr>
            <w:r w:rsidRPr="0044107F">
              <w:rPr>
                <w:sz w:val="22"/>
                <w:szCs w:val="22"/>
              </w:rPr>
              <w:t>Mail</w:t>
            </w:r>
          </w:p>
        </w:tc>
        <w:tc>
          <w:tcPr>
            <w:tcW w:w="7654" w:type="dxa"/>
            <w:shd w:val="clear" w:color="auto" w:fill="auto"/>
          </w:tcPr>
          <w:p w14:paraId="2328908B" w14:textId="77777777" w:rsidR="00F93018" w:rsidRPr="00D420EB" w:rsidRDefault="00D420EB" w:rsidP="00904FE7">
            <w:pPr>
              <w:pStyle w:val="SingleParagraph"/>
              <w:rPr>
                <w:rFonts w:cs="Arial"/>
                <w:sz w:val="22"/>
                <w:szCs w:val="22"/>
              </w:rPr>
            </w:pPr>
            <w:r w:rsidRPr="00D420EB">
              <w:rPr>
                <w:rFonts w:cs="Arial"/>
                <w:szCs w:val="22"/>
              </w:rPr>
              <w:t>Matthew Sedgwick</w:t>
            </w:r>
          </w:p>
          <w:p w14:paraId="663DDE30" w14:textId="77777777" w:rsidR="00F93018" w:rsidRPr="0044107F" w:rsidRDefault="00D420EB" w:rsidP="00904FE7">
            <w:pPr>
              <w:pStyle w:val="SingleParagraph"/>
              <w:rPr>
                <w:rFonts w:cs="Arial"/>
                <w:sz w:val="22"/>
                <w:szCs w:val="22"/>
              </w:rPr>
            </w:pPr>
            <w:r>
              <w:rPr>
                <w:rFonts w:cs="Arial"/>
                <w:szCs w:val="22"/>
              </w:rPr>
              <w:t>Consumer and Corporations Policy Division</w:t>
            </w:r>
          </w:p>
          <w:p w14:paraId="6E81D264" w14:textId="77777777" w:rsidR="00F93018" w:rsidRPr="0044107F" w:rsidRDefault="00F93018" w:rsidP="00904FE7">
            <w:pPr>
              <w:pStyle w:val="SingleParagraph"/>
              <w:rPr>
                <w:rFonts w:cs="Arial"/>
                <w:sz w:val="22"/>
                <w:szCs w:val="22"/>
              </w:rPr>
            </w:pPr>
            <w:r w:rsidRPr="0044107F">
              <w:rPr>
                <w:rFonts w:cs="Arial"/>
                <w:sz w:val="22"/>
                <w:szCs w:val="22"/>
              </w:rPr>
              <w:t>The Treasury</w:t>
            </w:r>
          </w:p>
          <w:p w14:paraId="0571494F" w14:textId="77777777" w:rsidR="00F93018" w:rsidRPr="0044107F" w:rsidRDefault="00F93018" w:rsidP="00904FE7">
            <w:pPr>
              <w:pStyle w:val="SingleParagraph"/>
              <w:rPr>
                <w:rFonts w:cs="Arial"/>
                <w:sz w:val="22"/>
                <w:szCs w:val="22"/>
              </w:rPr>
            </w:pPr>
            <w:r w:rsidRPr="0044107F">
              <w:rPr>
                <w:rFonts w:cs="Arial"/>
                <w:sz w:val="22"/>
                <w:szCs w:val="22"/>
              </w:rPr>
              <w:t>Langton Crescent</w:t>
            </w:r>
          </w:p>
          <w:p w14:paraId="6615FC4B" w14:textId="77777777" w:rsidR="00F93018" w:rsidRPr="0044107F" w:rsidRDefault="00F93018" w:rsidP="00904FE7">
            <w:pPr>
              <w:pStyle w:val="SingleParagraph"/>
              <w:rPr>
                <w:sz w:val="22"/>
                <w:szCs w:val="22"/>
              </w:rPr>
            </w:pPr>
            <w:r w:rsidRPr="0044107F">
              <w:rPr>
                <w:sz w:val="22"/>
                <w:szCs w:val="22"/>
              </w:rPr>
              <w:t>PARKES ACT 2600</w:t>
            </w:r>
          </w:p>
        </w:tc>
      </w:tr>
      <w:tr w:rsidR="00F93018" w:rsidRPr="0044107F" w14:paraId="0640AC66" w14:textId="77777777" w:rsidTr="00904FE7">
        <w:tc>
          <w:tcPr>
            <w:tcW w:w="1526" w:type="dxa"/>
            <w:shd w:val="clear" w:color="auto" w:fill="auto"/>
          </w:tcPr>
          <w:p w14:paraId="6C9D73C2" w14:textId="77777777" w:rsidR="00F93018" w:rsidRPr="0044107F" w:rsidRDefault="00F93018" w:rsidP="00904FE7">
            <w:pPr>
              <w:rPr>
                <w:sz w:val="22"/>
                <w:szCs w:val="22"/>
              </w:rPr>
            </w:pPr>
            <w:r w:rsidRPr="0044107F">
              <w:rPr>
                <w:sz w:val="22"/>
                <w:szCs w:val="22"/>
              </w:rPr>
              <w:t>Enquiries</w:t>
            </w:r>
          </w:p>
        </w:tc>
        <w:tc>
          <w:tcPr>
            <w:tcW w:w="7654" w:type="dxa"/>
            <w:shd w:val="clear" w:color="auto" w:fill="auto"/>
          </w:tcPr>
          <w:p w14:paraId="6F6EBC74" w14:textId="1F4F76CC" w:rsidR="00F93018" w:rsidRPr="0044107F" w:rsidRDefault="00161259" w:rsidP="00D420EB">
            <w:pPr>
              <w:rPr>
                <w:sz w:val="22"/>
                <w:szCs w:val="22"/>
              </w:rPr>
            </w:pPr>
            <w:hyperlink r:id="rId26" w:history="1">
              <w:r w:rsidR="00F45C9A">
                <w:rPr>
                  <w:rStyle w:val="Hyperlink"/>
                  <w:rFonts w:cs="Arial"/>
                  <w:sz w:val="22"/>
                  <w:szCs w:val="22"/>
                </w:rPr>
                <w:t>regmod@treasury.gov.au</w:t>
              </w:r>
            </w:hyperlink>
          </w:p>
        </w:tc>
      </w:tr>
      <w:bookmarkEnd w:id="5"/>
    </w:tbl>
    <w:p w14:paraId="4F3E7D26" w14:textId="77777777" w:rsidR="00F93018" w:rsidRPr="0044107F" w:rsidRDefault="00F93018" w:rsidP="00F93018"/>
    <w:p w14:paraId="2B540847" w14:textId="77777777" w:rsidR="00F93018" w:rsidRPr="0044107F" w:rsidRDefault="00F93018" w:rsidP="00F93018">
      <w:r w:rsidRPr="0044107F">
        <w:t>The principles outlined in this paper have not received Government approval and are not yet law. As a consequence, this paper is merely a guide as to how the principles might operate.</w:t>
      </w:r>
    </w:p>
    <w:p w14:paraId="51CE4DBB" w14:textId="77777777" w:rsidR="00F93018" w:rsidRPr="0044107F" w:rsidRDefault="00F93018" w:rsidP="00F93018"/>
    <w:p w14:paraId="7288D2C7" w14:textId="77777777" w:rsidR="00F93018" w:rsidRPr="0044107F" w:rsidRDefault="00F93018" w:rsidP="00F93018">
      <w:pPr>
        <w:spacing w:before="0" w:after="160" w:line="259" w:lineRule="auto"/>
        <w:rPr>
          <w:rFonts w:cs="Arial"/>
          <w:color w:val="004A7F"/>
          <w:kern w:val="32"/>
          <w:sz w:val="48"/>
          <w:szCs w:val="36"/>
        </w:rPr>
      </w:pPr>
      <w:r w:rsidRPr="0044107F">
        <w:br w:type="page"/>
      </w:r>
    </w:p>
    <w:p w14:paraId="060AFFF4" w14:textId="77777777" w:rsidR="00F93018" w:rsidRPr="0044107F" w:rsidRDefault="00F93018" w:rsidP="00277653">
      <w:pPr>
        <w:pStyle w:val="Heading1"/>
      </w:pPr>
      <w:bookmarkStart w:id="8" w:name="_Toc306887371"/>
      <w:bookmarkStart w:id="9" w:name="_Toc432064635"/>
      <w:bookmarkStart w:id="10" w:name="_Toc530493288"/>
      <w:r w:rsidRPr="0044107F">
        <w:lastRenderedPageBreak/>
        <w:t>Introduction</w:t>
      </w:r>
      <w:bookmarkEnd w:id="8"/>
      <w:bookmarkEnd w:id="9"/>
      <w:bookmarkEnd w:id="10"/>
    </w:p>
    <w:p w14:paraId="6F09D714" w14:textId="024B3518" w:rsidR="00F93018" w:rsidRPr="0044107F" w:rsidRDefault="00F93018" w:rsidP="00393762">
      <w:r w:rsidRPr="0044107F">
        <w:t>The Government is modernising business registers to support businesses in an evolving digital economy.</w:t>
      </w:r>
      <w:r w:rsidR="00650E47" w:rsidRPr="0044107F">
        <w:t xml:space="preserve"> </w:t>
      </w:r>
      <w:r w:rsidR="001644F8" w:rsidRPr="0044107F">
        <w:t>In the 2018-19 Budget, the Government announced that</w:t>
      </w:r>
      <w:r w:rsidRPr="0044107F">
        <w:t xml:space="preserve"> the modernised registers will be administered by the Australian Business Registrar </w:t>
      </w:r>
      <w:r w:rsidR="007D1DEF">
        <w:t xml:space="preserve">(ABR) </w:t>
      </w:r>
      <w:r w:rsidRPr="0044107F">
        <w:t xml:space="preserve">within the Australian Taxation Office (ATO). A detailed business case </w:t>
      </w:r>
      <w:r w:rsidR="00F55080" w:rsidRPr="0044107F">
        <w:t xml:space="preserve">with </w:t>
      </w:r>
      <w:r w:rsidRPr="0044107F">
        <w:t xml:space="preserve">options for streamlining registry functions and upgrading technology systems </w:t>
      </w:r>
      <w:r w:rsidR="001475B0">
        <w:t>is being</w:t>
      </w:r>
      <w:r w:rsidRPr="0044107F">
        <w:t xml:space="preserve"> developed for consideration by Government in 2019.</w:t>
      </w:r>
    </w:p>
    <w:p w14:paraId="678D173E" w14:textId="5550F355" w:rsidR="001644F8" w:rsidRPr="0044107F" w:rsidRDefault="001644F8">
      <w:r w:rsidRPr="0044107F">
        <w:t xml:space="preserve">Registers administered by the Australian Securities and Investments Commission (ASIC) and the ABR will be moved to </w:t>
      </w:r>
      <w:r w:rsidR="001475B0">
        <w:t>a modernised platform</w:t>
      </w:r>
      <w:r w:rsidRPr="0044107F">
        <w:t>. This includes the registers for companies, business names, Australian Business Numbers (ABNs) and others.</w:t>
      </w:r>
    </w:p>
    <w:p w14:paraId="2AC1A4D4" w14:textId="77777777" w:rsidR="00EB08DB" w:rsidRPr="0044107F" w:rsidRDefault="00EB08DB" w:rsidP="00393762">
      <w:r w:rsidRPr="0044107F">
        <w:t xml:space="preserve">A modernised business registry system will provide the backbone for transforming the way business interacts with </w:t>
      </w:r>
      <w:r w:rsidR="00F55080" w:rsidRPr="0044107F">
        <w:t>G</w:t>
      </w:r>
      <w:r w:rsidRPr="0044107F">
        <w:t xml:space="preserve">overnment, making it simpler and faster to start and run a business. It will provide opportunities to foster open data and </w:t>
      </w:r>
      <w:r w:rsidR="00F55080" w:rsidRPr="0044107F">
        <w:t xml:space="preserve">allow </w:t>
      </w:r>
      <w:r w:rsidRPr="0044107F">
        <w:t>more innovative uses of business data.</w:t>
      </w:r>
      <w:r w:rsidR="00AD191B" w:rsidRPr="0044107F">
        <w:t xml:space="preserve"> </w:t>
      </w:r>
    </w:p>
    <w:p w14:paraId="61DD23CB" w14:textId="4EF53343" w:rsidR="001644F8" w:rsidRPr="00F471E6" w:rsidRDefault="001644F8" w:rsidP="008A0A4F">
      <w:pPr>
        <w:autoSpaceDE w:val="0"/>
        <w:autoSpaceDN w:val="0"/>
        <w:adjustRightInd w:val="0"/>
        <w:spacing w:after="0"/>
      </w:pPr>
      <w:r w:rsidRPr="0044107F">
        <w:t xml:space="preserve">A large number of businesses are required to interact with these </w:t>
      </w:r>
      <w:r w:rsidR="00ED0B12" w:rsidRPr="0044107F">
        <w:t>registers</w:t>
      </w:r>
      <w:r w:rsidRPr="0044107F">
        <w:t>. For example, there are over 2.</w:t>
      </w:r>
      <w:r w:rsidR="00DF05DF">
        <w:t>6</w:t>
      </w:r>
      <w:r w:rsidRPr="0044107F">
        <w:t xml:space="preserve"> million registered companies and over 2.</w:t>
      </w:r>
      <w:r w:rsidR="007D1DEF">
        <w:t>3</w:t>
      </w:r>
      <w:r w:rsidRPr="0044107F">
        <w:t xml:space="preserve"> million registered business names</w:t>
      </w:r>
      <w:r w:rsidR="009C0E46">
        <w:t xml:space="preserve"> and </w:t>
      </w:r>
      <w:r w:rsidRPr="0044107F">
        <w:t xml:space="preserve">ASIC registry handles over </w:t>
      </w:r>
      <w:r w:rsidR="00DF05DF">
        <w:t>3</w:t>
      </w:r>
      <w:r w:rsidRPr="0044107F">
        <w:t xml:space="preserve"> million updates per year. </w:t>
      </w:r>
      <w:r w:rsidR="001475B0">
        <w:t>T</w:t>
      </w:r>
      <w:r w:rsidRPr="0044107F">
        <w:t xml:space="preserve">he ABR </w:t>
      </w:r>
      <w:r w:rsidR="001475B0">
        <w:t>has</w:t>
      </w:r>
      <w:r w:rsidRPr="0044107F">
        <w:t xml:space="preserve"> over 7 million registered ABNs. The registers are</w:t>
      </w:r>
      <w:r w:rsidR="00F471E6">
        <w:t xml:space="preserve"> </w:t>
      </w:r>
      <w:r w:rsidR="009C0E46">
        <w:t>searched</w:t>
      </w:r>
      <w:r w:rsidRPr="0044107F">
        <w:t xml:space="preserve"> </w:t>
      </w:r>
      <w:r w:rsidRPr="00F471E6">
        <w:t>millions of times per day by businesses and individuals, checking they can trust who they are dealing with. In 201</w:t>
      </w:r>
      <w:r w:rsidR="00CD4680" w:rsidRPr="00F471E6">
        <w:t>7</w:t>
      </w:r>
      <w:r w:rsidRPr="00F471E6">
        <w:t>–</w:t>
      </w:r>
      <w:r w:rsidR="00CD4680" w:rsidRPr="00F471E6">
        <w:t>18</w:t>
      </w:r>
      <w:r w:rsidRPr="00F471E6">
        <w:t xml:space="preserve"> there were over </w:t>
      </w:r>
      <w:r w:rsidR="00CD4680" w:rsidRPr="00F471E6">
        <w:t>122.4</w:t>
      </w:r>
      <w:r w:rsidRPr="00F471E6">
        <w:t xml:space="preserve"> million ASIC </w:t>
      </w:r>
      <w:r w:rsidR="00F55080" w:rsidRPr="00F471E6">
        <w:t xml:space="preserve">Registry </w:t>
      </w:r>
      <w:r w:rsidRPr="00F471E6">
        <w:t>searches and</w:t>
      </w:r>
      <w:r w:rsidR="00CD4680" w:rsidRPr="00F471E6">
        <w:t xml:space="preserve"> over</w:t>
      </w:r>
      <w:r w:rsidRPr="00F471E6">
        <w:t xml:space="preserve"> 1 billion ABR searches. </w:t>
      </w:r>
    </w:p>
    <w:p w14:paraId="7BB30739" w14:textId="16B41D72" w:rsidR="00F93018" w:rsidRPr="0044107F" w:rsidRDefault="00F93018" w:rsidP="00393762">
      <w:r w:rsidRPr="00F471E6">
        <w:t>ASIC currently collects a range of fees</w:t>
      </w:r>
      <w:r w:rsidRPr="0044107F">
        <w:t xml:space="preserve"> through the operation of the ASIC Registers. </w:t>
      </w:r>
      <w:r w:rsidR="00877006" w:rsidRPr="0044107F">
        <w:t xml:space="preserve">Fees are a necessary component of the registry </w:t>
      </w:r>
      <w:r w:rsidR="001644F8" w:rsidRPr="0044107F">
        <w:t>system</w:t>
      </w:r>
      <w:r w:rsidR="00944974">
        <w:t>. However, t</w:t>
      </w:r>
      <w:r w:rsidR="00913AFA">
        <w:t>he Modernising</w:t>
      </w:r>
      <w:r w:rsidR="001644F8" w:rsidRPr="0044107F">
        <w:t xml:space="preserve"> Business Registers Program provides a</w:t>
      </w:r>
      <w:r w:rsidRPr="0044107F">
        <w:t xml:space="preserve"> timely</w:t>
      </w:r>
      <w:r w:rsidR="001644F8" w:rsidRPr="0044107F">
        <w:t xml:space="preserve"> opportunity</w:t>
      </w:r>
      <w:r w:rsidRPr="0044107F">
        <w:t xml:space="preserve"> to review both the quantum and nature of these fees</w:t>
      </w:r>
      <w:r w:rsidR="00AB5B63">
        <w:t>, and to ensure the business registers are funded sustainably into the future</w:t>
      </w:r>
      <w:r w:rsidR="00D72A05" w:rsidRPr="0044107F">
        <w:t xml:space="preserve">. </w:t>
      </w:r>
    </w:p>
    <w:p w14:paraId="1E2905CD" w14:textId="1D2ED640" w:rsidR="009C636C" w:rsidRDefault="009C636C" w:rsidP="008A0A4F">
      <w:pPr>
        <w:rPr>
          <w:rFonts w:eastAsiaTheme="minorHAnsi"/>
          <w:lang w:eastAsia="en-US"/>
        </w:rPr>
      </w:pPr>
      <w:r>
        <w:rPr>
          <w:rFonts w:eastAsiaTheme="minorHAnsi"/>
          <w:lang w:eastAsia="en-US"/>
        </w:rPr>
        <w:t>Earlier consultation has indicated that the Government is looking at ways to sustainably fund the registry infrastructure into the future</w:t>
      </w:r>
      <w:r w:rsidR="00294865">
        <w:rPr>
          <w:rStyle w:val="FootnoteReference"/>
          <w:rFonts w:eastAsiaTheme="minorHAnsi"/>
          <w:lang w:eastAsia="en-US"/>
        </w:rPr>
        <w:footnoteReference w:id="2"/>
      </w:r>
      <w:r>
        <w:rPr>
          <w:rFonts w:eastAsiaTheme="minorHAnsi"/>
          <w:lang w:eastAsia="en-US"/>
        </w:rPr>
        <w:t xml:space="preserve">. This consultation considered </w:t>
      </w:r>
      <w:r w:rsidR="00294865">
        <w:rPr>
          <w:rFonts w:eastAsiaTheme="minorHAnsi"/>
          <w:lang w:eastAsia="en-US"/>
        </w:rPr>
        <w:t>applying</w:t>
      </w:r>
      <w:r>
        <w:rPr>
          <w:rFonts w:eastAsiaTheme="minorHAnsi"/>
          <w:lang w:eastAsia="en-US"/>
        </w:rPr>
        <w:t xml:space="preserve"> the Government’s Charging Framework for the use of the IT infrastructure</w:t>
      </w:r>
      <w:r w:rsidR="00294865">
        <w:rPr>
          <w:rStyle w:val="FootnoteReference"/>
          <w:rFonts w:eastAsiaTheme="minorHAnsi"/>
          <w:lang w:eastAsia="en-US"/>
        </w:rPr>
        <w:footnoteReference w:id="3"/>
      </w:r>
      <w:r>
        <w:rPr>
          <w:rFonts w:eastAsiaTheme="minorHAnsi"/>
          <w:lang w:eastAsia="en-US"/>
        </w:rPr>
        <w:t xml:space="preserve">.  </w:t>
      </w:r>
    </w:p>
    <w:p w14:paraId="26D05920" w14:textId="3030A79E" w:rsidR="001644F8" w:rsidRPr="0044107F" w:rsidRDefault="009C636C">
      <w:pPr>
        <w:rPr>
          <w:rFonts w:eastAsiaTheme="minorHAnsi"/>
          <w:lang w:eastAsia="en-US"/>
        </w:rPr>
      </w:pPr>
      <w:r>
        <w:rPr>
          <w:rFonts w:eastAsiaTheme="minorHAnsi"/>
          <w:lang w:eastAsia="en-US"/>
        </w:rPr>
        <w:t>Following feedback from that consultation, t</w:t>
      </w:r>
      <w:r w:rsidR="00DA64C5" w:rsidRPr="0044107F">
        <w:rPr>
          <w:rFonts w:eastAsiaTheme="minorHAnsi"/>
          <w:lang w:eastAsia="en-US"/>
        </w:rPr>
        <w:t>he Government is</w:t>
      </w:r>
      <w:r>
        <w:rPr>
          <w:rFonts w:eastAsiaTheme="minorHAnsi"/>
          <w:lang w:eastAsia="en-US"/>
        </w:rPr>
        <w:t xml:space="preserve"> now</w:t>
      </w:r>
      <w:r w:rsidR="00DA64C5" w:rsidRPr="0044107F">
        <w:rPr>
          <w:rFonts w:eastAsiaTheme="minorHAnsi"/>
          <w:lang w:eastAsia="en-US"/>
        </w:rPr>
        <w:t xml:space="preserve"> </w:t>
      </w:r>
      <w:r w:rsidR="00F93018" w:rsidRPr="0044107F">
        <w:rPr>
          <w:rFonts w:eastAsiaTheme="minorHAnsi"/>
          <w:lang w:eastAsia="en-US"/>
        </w:rPr>
        <w:t>seek</w:t>
      </w:r>
      <w:r w:rsidR="00D3637E" w:rsidRPr="0044107F">
        <w:rPr>
          <w:rFonts w:eastAsiaTheme="minorHAnsi"/>
          <w:lang w:eastAsia="en-US"/>
        </w:rPr>
        <w:t>ing</w:t>
      </w:r>
      <w:r w:rsidR="00F93018" w:rsidRPr="0044107F">
        <w:rPr>
          <w:rFonts w:eastAsiaTheme="minorHAnsi"/>
          <w:lang w:eastAsia="en-US"/>
        </w:rPr>
        <w:t xml:space="preserve"> your views </w:t>
      </w:r>
      <w:r w:rsidR="00DA64C5" w:rsidRPr="0044107F">
        <w:rPr>
          <w:rFonts w:eastAsiaTheme="minorHAnsi"/>
          <w:lang w:eastAsia="en-US"/>
        </w:rPr>
        <w:t xml:space="preserve">on how to </w:t>
      </w:r>
      <w:r w:rsidR="001158FF" w:rsidRPr="0044107F">
        <w:rPr>
          <w:rFonts w:eastAsiaTheme="minorHAnsi"/>
          <w:lang w:eastAsia="en-US"/>
        </w:rPr>
        <w:t>improve</w:t>
      </w:r>
      <w:r>
        <w:rPr>
          <w:rFonts w:eastAsiaTheme="minorHAnsi"/>
          <w:lang w:eastAsia="en-US"/>
        </w:rPr>
        <w:t xml:space="preserve"> a broader set of</w:t>
      </w:r>
      <w:r w:rsidR="001158FF" w:rsidRPr="0044107F">
        <w:rPr>
          <w:rFonts w:eastAsiaTheme="minorHAnsi"/>
          <w:lang w:eastAsia="en-US"/>
        </w:rPr>
        <w:t xml:space="preserve"> </w:t>
      </w:r>
      <w:r w:rsidR="00F93018" w:rsidRPr="0044107F">
        <w:rPr>
          <w:rFonts w:eastAsiaTheme="minorHAnsi"/>
          <w:lang w:eastAsia="en-US"/>
        </w:rPr>
        <w:t>registry fees</w:t>
      </w:r>
      <w:r w:rsidR="00D3637E" w:rsidRPr="0044107F">
        <w:rPr>
          <w:rFonts w:eastAsiaTheme="minorHAnsi"/>
          <w:lang w:eastAsia="en-US"/>
        </w:rPr>
        <w:t xml:space="preserve"> </w:t>
      </w:r>
      <w:r>
        <w:rPr>
          <w:rFonts w:eastAsiaTheme="minorHAnsi"/>
          <w:lang w:eastAsia="en-US"/>
        </w:rPr>
        <w:t>with a view to</w:t>
      </w:r>
      <w:r w:rsidRPr="0044107F">
        <w:rPr>
          <w:rFonts w:eastAsiaTheme="minorHAnsi"/>
          <w:lang w:eastAsia="en-US"/>
        </w:rPr>
        <w:t xml:space="preserve"> </w:t>
      </w:r>
      <w:r w:rsidR="00D3637E" w:rsidRPr="0044107F">
        <w:rPr>
          <w:rFonts w:eastAsiaTheme="minorHAnsi"/>
          <w:lang w:eastAsia="en-US"/>
        </w:rPr>
        <w:t>making</w:t>
      </w:r>
      <w:r w:rsidR="001158FF" w:rsidRPr="0044107F">
        <w:rPr>
          <w:rFonts w:eastAsiaTheme="minorHAnsi"/>
          <w:lang w:eastAsia="en-US"/>
        </w:rPr>
        <w:t xml:space="preserve"> them</w:t>
      </w:r>
      <w:r w:rsidR="00F93018" w:rsidRPr="0044107F">
        <w:rPr>
          <w:rFonts w:eastAsiaTheme="minorHAnsi"/>
          <w:lang w:eastAsia="en-US"/>
        </w:rPr>
        <w:t xml:space="preserve"> simple</w:t>
      </w:r>
      <w:r w:rsidR="00D3637E" w:rsidRPr="0044107F">
        <w:rPr>
          <w:rFonts w:eastAsiaTheme="minorHAnsi"/>
          <w:lang w:eastAsia="en-US"/>
        </w:rPr>
        <w:t>r</w:t>
      </w:r>
      <w:r w:rsidR="00F93018" w:rsidRPr="0044107F">
        <w:rPr>
          <w:rFonts w:eastAsiaTheme="minorHAnsi"/>
          <w:lang w:eastAsia="en-US"/>
        </w:rPr>
        <w:t>, eas</w:t>
      </w:r>
      <w:r w:rsidR="00D3637E" w:rsidRPr="0044107F">
        <w:rPr>
          <w:rFonts w:eastAsiaTheme="minorHAnsi"/>
          <w:lang w:eastAsia="en-US"/>
        </w:rPr>
        <w:t>ier</w:t>
      </w:r>
      <w:r w:rsidR="00F93018" w:rsidRPr="0044107F">
        <w:rPr>
          <w:rFonts w:eastAsiaTheme="minorHAnsi"/>
          <w:lang w:eastAsia="en-US"/>
        </w:rPr>
        <w:t xml:space="preserve"> to understand, </w:t>
      </w:r>
      <w:r w:rsidR="00D3637E" w:rsidRPr="0044107F">
        <w:rPr>
          <w:rFonts w:eastAsiaTheme="minorHAnsi"/>
          <w:lang w:eastAsia="en-US"/>
        </w:rPr>
        <w:t xml:space="preserve">more </w:t>
      </w:r>
      <w:r w:rsidR="00F93018" w:rsidRPr="0044107F">
        <w:rPr>
          <w:rFonts w:eastAsiaTheme="minorHAnsi"/>
          <w:lang w:eastAsia="en-US"/>
        </w:rPr>
        <w:t xml:space="preserve">equitable </w:t>
      </w:r>
      <w:r w:rsidR="00D3637E" w:rsidRPr="0044107F">
        <w:rPr>
          <w:rFonts w:eastAsiaTheme="minorHAnsi"/>
          <w:lang w:eastAsia="en-US"/>
        </w:rPr>
        <w:t xml:space="preserve">and to </w:t>
      </w:r>
      <w:r w:rsidR="00F93018" w:rsidRPr="0044107F">
        <w:rPr>
          <w:rFonts w:eastAsiaTheme="minorHAnsi"/>
          <w:lang w:eastAsia="en-US"/>
        </w:rPr>
        <w:t xml:space="preserve">create </w:t>
      </w:r>
      <w:r w:rsidR="00F93018" w:rsidRPr="0044107F">
        <w:rPr>
          <w:rFonts w:eastAsiaTheme="minorHAnsi"/>
          <w:szCs w:val="22"/>
          <w:lang w:eastAsia="en-US"/>
        </w:rPr>
        <w:t>a funding environment</w:t>
      </w:r>
      <w:r w:rsidR="001158FF" w:rsidRPr="0044107F">
        <w:rPr>
          <w:rFonts w:eastAsiaTheme="minorHAnsi"/>
          <w:szCs w:val="22"/>
          <w:lang w:eastAsia="en-US"/>
        </w:rPr>
        <w:t xml:space="preserve"> where</w:t>
      </w:r>
      <w:r w:rsidR="00F93018" w:rsidRPr="0044107F">
        <w:rPr>
          <w:rFonts w:eastAsiaTheme="minorHAnsi"/>
          <w:szCs w:val="22"/>
          <w:lang w:eastAsia="en-US"/>
        </w:rPr>
        <w:t xml:space="preserve"> future upgrades to maintain a contemporary business registry is assured</w:t>
      </w:r>
      <w:r w:rsidR="00AD191B" w:rsidRPr="0044107F">
        <w:rPr>
          <w:rFonts w:eastAsiaTheme="minorHAnsi"/>
          <w:lang w:eastAsia="en-US"/>
        </w:rPr>
        <w:t>.</w:t>
      </w:r>
      <w:r>
        <w:rPr>
          <w:rFonts w:eastAsiaTheme="minorHAnsi"/>
          <w:lang w:eastAsia="en-US"/>
        </w:rPr>
        <w:t xml:space="preserve"> The infrastructure fee review consulted on earlier is also covered again in this review.</w:t>
      </w:r>
    </w:p>
    <w:p w14:paraId="547915C9" w14:textId="77777777" w:rsidR="00724218" w:rsidRPr="0044107F" w:rsidRDefault="001644F8" w:rsidP="00724218">
      <w:r w:rsidRPr="0044107F">
        <w:rPr>
          <w:rFonts w:eastAsiaTheme="minorHAnsi"/>
          <w:szCs w:val="22"/>
          <w:lang w:eastAsia="en-US"/>
        </w:rPr>
        <w:t xml:space="preserve">The Government has not made a decision on the </w:t>
      </w:r>
      <w:r w:rsidR="0099567E">
        <w:rPr>
          <w:rFonts w:eastAsiaTheme="minorHAnsi"/>
          <w:szCs w:val="22"/>
          <w:lang w:eastAsia="en-US"/>
        </w:rPr>
        <w:t>structure or quantum of fees generated by</w:t>
      </w:r>
      <w:r w:rsidR="00CD43EC" w:rsidRPr="0044107F">
        <w:rPr>
          <w:rFonts w:eastAsiaTheme="minorHAnsi"/>
          <w:szCs w:val="22"/>
          <w:lang w:eastAsia="en-US"/>
        </w:rPr>
        <w:t xml:space="preserve"> registry information and use</w:t>
      </w:r>
      <w:r w:rsidRPr="0044107F">
        <w:rPr>
          <w:rFonts w:eastAsiaTheme="minorHAnsi"/>
          <w:szCs w:val="22"/>
          <w:lang w:eastAsia="en-US"/>
        </w:rPr>
        <w:t>.</w:t>
      </w:r>
      <w:r w:rsidRPr="0044107F">
        <w:t xml:space="preserve"> </w:t>
      </w:r>
      <w:r w:rsidR="003D43F0">
        <w:t xml:space="preserve">Recommendations from this review will be considered as part of the detailed business case being considered by Government in 2019. </w:t>
      </w:r>
      <w:r w:rsidR="00724218" w:rsidRPr="0044107F">
        <w:t xml:space="preserve">Any </w:t>
      </w:r>
      <w:r w:rsidR="00724218">
        <w:t>changes</w:t>
      </w:r>
      <w:r w:rsidR="00724218" w:rsidRPr="0044107F">
        <w:t xml:space="preserve"> to</w:t>
      </w:r>
      <w:r w:rsidR="00724218">
        <w:t xml:space="preserve"> the current</w:t>
      </w:r>
      <w:r w:rsidR="00724218" w:rsidRPr="0044107F">
        <w:t xml:space="preserve"> fee</w:t>
      </w:r>
      <w:r w:rsidR="00724218">
        <w:t xml:space="preserve"> regime</w:t>
      </w:r>
      <w:r w:rsidR="00724218" w:rsidRPr="0044107F">
        <w:t xml:space="preserve"> will take into account the state of the ASIC mainframe, and </w:t>
      </w:r>
      <w:r w:rsidR="00724218">
        <w:t xml:space="preserve">will be delivered over the longer term as part of the Modernising Business Registers Program. </w:t>
      </w:r>
    </w:p>
    <w:p w14:paraId="21F7D753" w14:textId="2639D34C" w:rsidR="00F93018" w:rsidRPr="0044107F" w:rsidRDefault="003D43F0" w:rsidP="00724218">
      <w:pPr>
        <w:rPr>
          <w:rFonts w:eastAsiaTheme="minorHAnsi"/>
          <w:szCs w:val="22"/>
          <w:lang w:eastAsia="en-US"/>
        </w:rPr>
      </w:pPr>
      <w:r>
        <w:t>Further, a</w:t>
      </w:r>
      <w:r>
        <w:rPr>
          <w:rFonts w:eastAsiaTheme="minorHAnsi"/>
          <w:lang w:eastAsia="en-US"/>
        </w:rPr>
        <w:t>ny recommendations from this</w:t>
      </w:r>
      <w:r w:rsidR="001644F8" w:rsidRPr="0044107F">
        <w:rPr>
          <w:rFonts w:eastAsiaTheme="minorHAnsi"/>
          <w:lang w:eastAsia="en-US"/>
        </w:rPr>
        <w:t xml:space="preserve"> review will also consider other government policies such as the Government’s response to the Black Economy Taskforce Report</w:t>
      </w:r>
      <w:r w:rsidR="00F55080" w:rsidRPr="0044107F">
        <w:rPr>
          <w:rStyle w:val="FootnoteReference"/>
          <w:rFonts w:eastAsiaTheme="minorHAnsi"/>
          <w:lang w:eastAsia="en-US"/>
        </w:rPr>
        <w:footnoteReference w:id="4"/>
      </w:r>
      <w:r w:rsidR="001644F8" w:rsidRPr="0044107F">
        <w:rPr>
          <w:rFonts w:eastAsiaTheme="minorHAnsi"/>
          <w:lang w:eastAsia="en-US"/>
        </w:rPr>
        <w:t xml:space="preserve">, </w:t>
      </w:r>
      <w:r w:rsidR="00F93018" w:rsidRPr="0044107F">
        <w:rPr>
          <w:rFonts w:eastAsiaTheme="minorHAnsi"/>
          <w:lang w:eastAsia="en-US"/>
        </w:rPr>
        <w:t>the Australian Government’s Charging</w:t>
      </w:r>
      <w:r w:rsidR="00F93018" w:rsidRPr="0044107F">
        <w:rPr>
          <w:rFonts w:eastAsiaTheme="minorHAnsi"/>
          <w:szCs w:val="22"/>
          <w:lang w:eastAsia="en-US"/>
        </w:rPr>
        <w:t xml:space="preserve"> Framework</w:t>
      </w:r>
      <w:r w:rsidR="00F93018" w:rsidRPr="0044107F">
        <w:rPr>
          <w:szCs w:val="22"/>
        </w:rPr>
        <w:t xml:space="preserve"> </w:t>
      </w:r>
      <w:r w:rsidR="00F93018" w:rsidRPr="0044107F">
        <w:rPr>
          <w:rFonts w:eastAsiaTheme="minorHAnsi"/>
          <w:szCs w:val="22"/>
          <w:lang w:eastAsia="en-US"/>
        </w:rPr>
        <w:t>(the Charging Framework</w:t>
      </w:r>
      <w:r w:rsidR="00AD191B" w:rsidRPr="0044107F">
        <w:rPr>
          <w:rFonts w:eastAsiaTheme="minorHAnsi"/>
          <w:szCs w:val="22"/>
          <w:lang w:eastAsia="en-US"/>
        </w:rPr>
        <w:t xml:space="preserve">) and </w:t>
      </w:r>
      <w:r w:rsidR="00F93018" w:rsidRPr="0044107F">
        <w:rPr>
          <w:rFonts w:eastAsiaTheme="minorHAnsi"/>
          <w:szCs w:val="22"/>
          <w:lang w:eastAsia="en-US"/>
        </w:rPr>
        <w:t>Open Data policy</w:t>
      </w:r>
      <w:r w:rsidR="00F93018" w:rsidRPr="0044107F">
        <w:rPr>
          <w:rStyle w:val="FootnoteReference"/>
          <w:rFonts w:eastAsiaTheme="minorHAnsi" w:cs="Calibri"/>
          <w:szCs w:val="22"/>
          <w:lang w:eastAsia="en-US"/>
        </w:rPr>
        <w:footnoteReference w:id="5"/>
      </w:r>
      <w:r w:rsidR="00AD191B" w:rsidRPr="0044107F">
        <w:rPr>
          <w:rFonts w:eastAsiaTheme="minorHAnsi"/>
          <w:szCs w:val="22"/>
          <w:lang w:eastAsia="en-US"/>
        </w:rPr>
        <w:t>.</w:t>
      </w:r>
      <w:r w:rsidR="00F93018" w:rsidRPr="0044107F">
        <w:rPr>
          <w:rFonts w:eastAsiaTheme="minorHAnsi"/>
          <w:szCs w:val="22"/>
          <w:lang w:eastAsia="en-US"/>
        </w:rPr>
        <w:t xml:space="preserve"> </w:t>
      </w:r>
    </w:p>
    <w:p w14:paraId="3C0C558F" w14:textId="77777777" w:rsidR="00F93018" w:rsidRPr="0044107F" w:rsidRDefault="00436E3D" w:rsidP="00F93018">
      <w:pPr>
        <w:pStyle w:val="Heading3"/>
      </w:pPr>
      <w:bookmarkStart w:id="11" w:name="_Toc530493289"/>
      <w:r w:rsidRPr="0044107F">
        <w:lastRenderedPageBreak/>
        <w:t>Scope</w:t>
      </w:r>
      <w:bookmarkEnd w:id="11"/>
      <w:r w:rsidRPr="0044107F">
        <w:t xml:space="preserve"> </w:t>
      </w:r>
    </w:p>
    <w:p w14:paraId="403B1096" w14:textId="090BC435" w:rsidR="00901216" w:rsidRPr="0044107F" w:rsidRDefault="002B44D7" w:rsidP="008A0A4F">
      <w:r w:rsidRPr="0044107F">
        <w:t xml:space="preserve">The fees associated with ASIC’s business registers are separate to the levies and fees </w:t>
      </w:r>
      <w:r w:rsidR="007D1DEF">
        <w:t xml:space="preserve">for service </w:t>
      </w:r>
      <w:r w:rsidRPr="0044107F">
        <w:t xml:space="preserve">ASIC charges to recover its regulatory costs under the ASIC Industry Funding Model (IFM). </w:t>
      </w:r>
      <w:r w:rsidR="00436E3D" w:rsidRPr="0044107F">
        <w:t xml:space="preserve">This review is not considering </w:t>
      </w:r>
      <w:r w:rsidR="00F37481" w:rsidRPr="0044107F">
        <w:t xml:space="preserve">the levies and fees </w:t>
      </w:r>
      <w:r w:rsidR="007D1DEF">
        <w:t xml:space="preserve">for service </w:t>
      </w:r>
      <w:r w:rsidR="00F37481" w:rsidRPr="0044107F">
        <w:t xml:space="preserve">associated with </w:t>
      </w:r>
      <w:r w:rsidRPr="0044107F">
        <w:t xml:space="preserve">the </w:t>
      </w:r>
      <w:r w:rsidR="00436E3D" w:rsidRPr="0044107F">
        <w:t xml:space="preserve">IFM. </w:t>
      </w:r>
      <w:r w:rsidR="00F37481" w:rsidRPr="0044107F">
        <w:t xml:space="preserve">The IFM is designed such that the levies and fees imposed </w:t>
      </w:r>
      <w:r w:rsidR="00436E3D" w:rsidRPr="0044107F">
        <w:t xml:space="preserve">on regulated entities are proportionate to the amount of regulatory activity ASIC undertakes for that entity. </w:t>
      </w:r>
      <w:r w:rsidRPr="0044107F">
        <w:t xml:space="preserve">Registry fees and IFM fees are charged separately through different processes, with </w:t>
      </w:r>
      <w:r w:rsidR="00901216" w:rsidRPr="0044107F">
        <w:t>the exception of a $4 regulatory levy</w:t>
      </w:r>
      <w:r w:rsidRPr="0044107F">
        <w:t xml:space="preserve"> which is charged to all proprietary companies together with their registry annual review fee.</w:t>
      </w:r>
      <w:r w:rsidR="00901216" w:rsidRPr="0044107F">
        <w:t xml:space="preserve"> </w:t>
      </w:r>
      <w:r w:rsidR="0099567E">
        <w:t xml:space="preserve">This was designed as the most efficient way for small proprietary companies while minimising their reporting burden. </w:t>
      </w:r>
    </w:p>
    <w:p w14:paraId="34F828D4" w14:textId="77777777" w:rsidR="00436E3D" w:rsidRPr="0044107F" w:rsidRDefault="0099567E">
      <w:pPr>
        <w:rPr>
          <w:rFonts w:asciiTheme="minorHAnsi" w:hAnsiTheme="minorHAnsi"/>
        </w:rPr>
      </w:pPr>
      <w:r>
        <w:rPr>
          <w:rFonts w:asciiTheme="minorHAnsi" w:hAnsiTheme="minorHAnsi"/>
        </w:rPr>
        <w:t>Possible f</w:t>
      </w:r>
      <w:r w:rsidR="00436E3D" w:rsidRPr="0044107F">
        <w:rPr>
          <w:rFonts w:asciiTheme="minorHAnsi" w:hAnsiTheme="minorHAnsi"/>
        </w:rPr>
        <w:t>ees for director identification numbers or an ABN are also out of scope of this review.</w:t>
      </w:r>
    </w:p>
    <w:p w14:paraId="2F431ACB" w14:textId="77777777" w:rsidR="00DC0CE6" w:rsidRDefault="00436E3D" w:rsidP="00393762">
      <w:r w:rsidRPr="0044107F">
        <w:t xml:space="preserve">This review is reconsidering the imposition of fees </w:t>
      </w:r>
      <w:r w:rsidR="00A55C42">
        <w:t>including; a</w:t>
      </w:r>
      <w:r w:rsidR="00A55C42" w:rsidRPr="00DC0CE6">
        <w:t xml:space="preserve">nnual </w:t>
      </w:r>
      <w:r w:rsidR="00A55C42">
        <w:t>r</w:t>
      </w:r>
      <w:r w:rsidR="00A55C42" w:rsidRPr="00DC0CE6">
        <w:t>eview</w:t>
      </w:r>
      <w:r w:rsidR="00A55C42">
        <w:t>, registration a</w:t>
      </w:r>
      <w:r w:rsidR="00A55C42" w:rsidRPr="00DC0CE6">
        <w:t>pplication</w:t>
      </w:r>
      <w:r w:rsidR="00A55C42">
        <w:t>,</w:t>
      </w:r>
      <w:r w:rsidR="00A55C42" w:rsidRPr="00DC0CE6">
        <w:t xml:space="preserve"> </w:t>
      </w:r>
      <w:r w:rsidR="00A55C42">
        <w:t>late lodgement, review, and payment, business name registration and renewal and search fees.</w:t>
      </w:r>
      <w:r w:rsidRPr="0044107F">
        <w:t xml:space="preserve"> </w:t>
      </w:r>
    </w:p>
    <w:p w14:paraId="3C67A60D" w14:textId="42186D25" w:rsidR="00F93018" w:rsidRPr="0044107F" w:rsidRDefault="00DC0CE6" w:rsidP="007D1DEF">
      <w:r>
        <w:t>In addition an</w:t>
      </w:r>
      <w:r w:rsidR="00355A42">
        <w:t xml:space="preserve"> </w:t>
      </w:r>
      <w:r w:rsidR="005C1D4E">
        <w:t>infrastructure fee</w:t>
      </w:r>
      <w:r w:rsidR="00436E3D" w:rsidRPr="0044107F">
        <w:t xml:space="preserve"> </w:t>
      </w:r>
      <w:r w:rsidR="00CD43EC" w:rsidRPr="0044107F">
        <w:t xml:space="preserve">option </w:t>
      </w:r>
      <w:r w:rsidR="00436E3D" w:rsidRPr="0044107F">
        <w:t>was first considered in</w:t>
      </w:r>
      <w:r w:rsidR="00F93018" w:rsidRPr="0044107F">
        <w:t xml:space="preserve"> July 2018 </w:t>
      </w:r>
      <w:r w:rsidR="00436E3D" w:rsidRPr="0044107F">
        <w:t xml:space="preserve">when </w:t>
      </w:r>
      <w:r w:rsidR="00160B24" w:rsidRPr="0044107F">
        <w:t xml:space="preserve">the Government </w:t>
      </w:r>
      <w:r w:rsidR="00F93018" w:rsidRPr="0044107F">
        <w:t>r</w:t>
      </w:r>
      <w:r w:rsidR="00024B44" w:rsidRPr="0044107F">
        <w:t xml:space="preserve">eleased </w:t>
      </w:r>
      <w:r w:rsidR="00491F6A" w:rsidRPr="0044107F">
        <w:t xml:space="preserve">a </w:t>
      </w:r>
      <w:r w:rsidR="00024B44" w:rsidRPr="0044107F">
        <w:t>consultation paper</w:t>
      </w:r>
      <w:r w:rsidR="00F93018" w:rsidRPr="0044107F">
        <w:t xml:space="preserve"> “Modernising Business Registers Program”</w:t>
      </w:r>
      <w:r w:rsidR="00436E3D" w:rsidRPr="0044107F">
        <w:t>. This paper</w:t>
      </w:r>
      <w:r w:rsidR="00F93018" w:rsidRPr="0044107F">
        <w:t xml:space="preserve"> </w:t>
      </w:r>
      <w:r w:rsidR="00436E3D" w:rsidRPr="0044107F">
        <w:t>s</w:t>
      </w:r>
      <w:r w:rsidR="00F93018" w:rsidRPr="0044107F">
        <w:t>pecifically consulted on how to apply the charging framework to the service of making bulk data available in real time through modern A</w:t>
      </w:r>
      <w:r w:rsidR="00355A42">
        <w:t xml:space="preserve">pplication </w:t>
      </w:r>
      <w:r w:rsidR="00F93018" w:rsidRPr="0044107F">
        <w:t>P</w:t>
      </w:r>
      <w:r w:rsidR="00355A42">
        <w:t xml:space="preserve">rogramming </w:t>
      </w:r>
      <w:r w:rsidR="00F93018" w:rsidRPr="0044107F">
        <w:t>I</w:t>
      </w:r>
      <w:r w:rsidR="00355A42">
        <w:t>nterface</w:t>
      </w:r>
      <w:r w:rsidR="00F93018" w:rsidRPr="0044107F">
        <w:t>s,</w:t>
      </w:r>
      <w:r w:rsidR="00C1102C">
        <w:t xml:space="preserve"> or comparable technology,</w:t>
      </w:r>
      <w:r w:rsidR="00F93018" w:rsidRPr="0044107F">
        <w:t xml:space="preserve"> recognising that ASIC is already legally obliged to charge search fees for access to some data</w:t>
      </w:r>
      <w:r w:rsidR="00020D9E">
        <w:t xml:space="preserve"> (See Attachment A)</w:t>
      </w:r>
      <w:r w:rsidR="00F93018" w:rsidRPr="0044107F">
        <w:t xml:space="preserve">. </w:t>
      </w:r>
      <w:r w:rsidR="00CD43EC" w:rsidRPr="0044107F">
        <w:t>The majority of s</w:t>
      </w:r>
      <w:r w:rsidR="009101AE" w:rsidRPr="0044107F">
        <w:t>ubmissions</w:t>
      </w:r>
      <w:r w:rsidR="00CD43EC" w:rsidRPr="0044107F">
        <w:t>, including discussions during workshops, noted a preference for considering registry infrastructure funding as part of the greater registry fee context. Written submissions</w:t>
      </w:r>
      <w:r w:rsidR="009101AE" w:rsidRPr="0044107F">
        <w:t xml:space="preserve"> can be found </w:t>
      </w:r>
      <w:r w:rsidR="008313BC">
        <w:t xml:space="preserve">at </w:t>
      </w:r>
      <w:hyperlink r:id="rId27" w:history="1">
        <w:r w:rsidR="008313BC" w:rsidRPr="007D1DEF">
          <w:rPr>
            <w:rStyle w:val="Hyperlink"/>
            <w:u w:val="single"/>
          </w:rPr>
          <w:t>https://treasury.gov.au/consultation/c2018-t310411/</w:t>
        </w:r>
      </w:hyperlink>
      <w:r w:rsidR="007D1DEF">
        <w:rPr>
          <w:rStyle w:val="Hyperlink"/>
          <w:u w:val="single"/>
        </w:rPr>
        <w:t>.</w:t>
      </w:r>
      <w:r w:rsidR="00F93018" w:rsidRPr="0044107F">
        <w:br w:type="page"/>
      </w:r>
    </w:p>
    <w:p w14:paraId="6F5A256C" w14:textId="77777777" w:rsidR="00F93018" w:rsidRPr="0044107F" w:rsidRDefault="00F93018" w:rsidP="00F93018">
      <w:pPr>
        <w:pStyle w:val="Heading2"/>
      </w:pPr>
      <w:bookmarkStart w:id="12" w:name="_Toc530493290"/>
      <w:r w:rsidRPr="0044107F">
        <w:lastRenderedPageBreak/>
        <w:t xml:space="preserve">What </w:t>
      </w:r>
      <w:r w:rsidR="00CD43EC" w:rsidRPr="0044107F">
        <w:t xml:space="preserve">registry </w:t>
      </w:r>
      <w:r w:rsidRPr="0044107F">
        <w:t>fees are currently collected?</w:t>
      </w:r>
      <w:bookmarkEnd w:id="12"/>
    </w:p>
    <w:p w14:paraId="705AA53B" w14:textId="397989A9" w:rsidR="00DC0CE6" w:rsidRDefault="00DA64C5" w:rsidP="00DF2157">
      <w:r w:rsidRPr="0044107F">
        <w:t>ASIC</w:t>
      </w:r>
      <w:r w:rsidR="00436E3D" w:rsidRPr="0044107F">
        <w:t xml:space="preserve"> c</w:t>
      </w:r>
      <w:r w:rsidR="001644F8" w:rsidRPr="0044107F">
        <w:t>ollect</w:t>
      </w:r>
      <w:r w:rsidR="00160B24" w:rsidRPr="0044107F">
        <w:t>s</w:t>
      </w:r>
      <w:r w:rsidR="001644F8" w:rsidRPr="0044107F">
        <w:t xml:space="preserve"> a range of</w:t>
      </w:r>
      <w:r w:rsidR="00436E3D" w:rsidRPr="0044107F">
        <w:t xml:space="preserve"> registry</w:t>
      </w:r>
      <w:r w:rsidR="001644F8" w:rsidRPr="0044107F">
        <w:t xml:space="preserve"> fees from companies and other entities under Commonwealth laws.</w:t>
      </w:r>
      <w:r w:rsidR="00436E3D" w:rsidRPr="0044107F">
        <w:t xml:space="preserve"> </w:t>
      </w:r>
      <w:r w:rsidR="001644F8" w:rsidRPr="0044107F">
        <w:t xml:space="preserve">This includes </w:t>
      </w:r>
      <w:r w:rsidR="00DC0CE6">
        <w:t>a</w:t>
      </w:r>
      <w:r w:rsidR="00DC0CE6" w:rsidRPr="00DC0CE6">
        <w:t xml:space="preserve">nnual </w:t>
      </w:r>
      <w:r w:rsidR="00A55C42">
        <w:t>r</w:t>
      </w:r>
      <w:r w:rsidR="00DC0CE6" w:rsidRPr="00DC0CE6">
        <w:t>eview</w:t>
      </w:r>
      <w:r w:rsidR="00DC0CE6">
        <w:t xml:space="preserve">, </w:t>
      </w:r>
      <w:r w:rsidR="001644F8" w:rsidRPr="0044107F">
        <w:t xml:space="preserve">registration </w:t>
      </w:r>
      <w:r w:rsidR="00DC0CE6">
        <w:t>a</w:t>
      </w:r>
      <w:r w:rsidR="00DC0CE6" w:rsidRPr="00DC0CE6">
        <w:t>pplication</w:t>
      </w:r>
      <w:r w:rsidR="00DC0CE6">
        <w:t>,</w:t>
      </w:r>
      <w:r w:rsidR="00DC0CE6" w:rsidRPr="00DC0CE6">
        <w:t xml:space="preserve"> </w:t>
      </w:r>
      <w:r w:rsidR="00DC0CE6">
        <w:t>late lodgement,</w:t>
      </w:r>
      <w:r w:rsidR="009C636C">
        <w:t xml:space="preserve"> late</w:t>
      </w:r>
      <w:r w:rsidR="00016BB6">
        <w:t xml:space="preserve"> payment</w:t>
      </w:r>
      <w:r w:rsidR="001644F8" w:rsidRPr="0044107F">
        <w:t xml:space="preserve"> </w:t>
      </w:r>
      <w:r w:rsidR="009C636C">
        <w:t>late</w:t>
      </w:r>
      <w:r w:rsidR="00016BB6">
        <w:t xml:space="preserve"> review,</w:t>
      </w:r>
      <w:r w:rsidR="001644F8" w:rsidRPr="0044107F">
        <w:t xml:space="preserve"> </w:t>
      </w:r>
      <w:r w:rsidR="0005277B">
        <w:t xml:space="preserve">business name </w:t>
      </w:r>
      <w:r w:rsidR="00DC0CE6">
        <w:t>registration</w:t>
      </w:r>
      <w:r w:rsidR="007D1DEF">
        <w:t>,</w:t>
      </w:r>
      <w:r w:rsidR="00DC0CE6">
        <w:t xml:space="preserve"> </w:t>
      </w:r>
      <w:proofErr w:type="gramStart"/>
      <w:r w:rsidR="009C636C">
        <w:t>business</w:t>
      </w:r>
      <w:proofErr w:type="gramEnd"/>
      <w:r w:rsidR="009C636C">
        <w:t xml:space="preserve"> name </w:t>
      </w:r>
      <w:r w:rsidR="00DC0CE6">
        <w:t>renewal</w:t>
      </w:r>
      <w:r w:rsidR="0005277B">
        <w:t xml:space="preserve"> and search fees</w:t>
      </w:r>
      <w:r w:rsidR="001644F8" w:rsidRPr="0044107F">
        <w:t>.</w:t>
      </w:r>
    </w:p>
    <w:p w14:paraId="6081B228" w14:textId="77777777" w:rsidR="0077348F" w:rsidRPr="0044107F" w:rsidRDefault="0077348F" w:rsidP="00393762">
      <w:r w:rsidRPr="0044107F">
        <w:t xml:space="preserve">The total </w:t>
      </w:r>
      <w:r w:rsidR="00024B44" w:rsidRPr="0044107F">
        <w:t>value</w:t>
      </w:r>
      <w:r w:rsidRPr="0044107F">
        <w:t xml:space="preserve"> of registry fees collected by ASIC in 2017</w:t>
      </w:r>
      <w:r w:rsidR="00CD4680" w:rsidRPr="0044107F">
        <w:t>-</w:t>
      </w:r>
      <w:r w:rsidRPr="0044107F">
        <w:t>18 was $925m, a 5.7</w:t>
      </w:r>
      <w:r w:rsidR="00CD4680" w:rsidRPr="0044107F">
        <w:t xml:space="preserve"> per cent</w:t>
      </w:r>
      <w:r w:rsidRPr="0044107F">
        <w:t xml:space="preserve"> increase on the previous year</w:t>
      </w:r>
      <w:r w:rsidR="00024B44" w:rsidRPr="0044107F">
        <w:t xml:space="preserve">. </w:t>
      </w:r>
      <w:r w:rsidRPr="0044107F">
        <w:t>Since 2010</w:t>
      </w:r>
      <w:r w:rsidR="00CD4680" w:rsidRPr="0044107F">
        <w:t>-</w:t>
      </w:r>
      <w:r w:rsidRPr="0044107F">
        <w:t>11</w:t>
      </w:r>
      <w:r w:rsidR="00024B44" w:rsidRPr="0044107F">
        <w:t>,</w:t>
      </w:r>
      <w:r w:rsidRPr="0044107F">
        <w:t xml:space="preserve"> </w:t>
      </w:r>
      <w:r w:rsidR="00F55080" w:rsidRPr="0044107F">
        <w:t>r</w:t>
      </w:r>
      <w:r w:rsidRPr="0044107F">
        <w:t xml:space="preserve">egistry fees collected by ASIC have </w:t>
      </w:r>
      <w:r w:rsidR="00024B44" w:rsidRPr="0044107F">
        <w:t xml:space="preserve">increased each year, </w:t>
      </w:r>
      <w:r w:rsidRPr="0044107F">
        <w:t xml:space="preserve">at </w:t>
      </w:r>
      <w:r w:rsidR="00024B44" w:rsidRPr="0044107F">
        <w:t>a rate of between 5.3</w:t>
      </w:r>
      <w:r w:rsidR="00CD4680" w:rsidRPr="0044107F">
        <w:t xml:space="preserve"> per cent</w:t>
      </w:r>
      <w:r w:rsidR="00024B44" w:rsidRPr="0044107F">
        <w:t xml:space="preserve"> and 7.</w:t>
      </w:r>
      <w:r w:rsidR="00CD4680" w:rsidRPr="0044107F">
        <w:t>5 per cent</w:t>
      </w:r>
      <w:r w:rsidRPr="0044107F">
        <w:t xml:space="preserve">. </w:t>
      </w:r>
      <w:r w:rsidR="004A2F84" w:rsidRPr="0044107F">
        <w:t>The growth is associated with a combination of an increase in demand</w:t>
      </w:r>
      <w:r w:rsidR="00160B24" w:rsidRPr="0044107F">
        <w:t xml:space="preserve"> for searches</w:t>
      </w:r>
      <w:r w:rsidR="004A2F84" w:rsidRPr="0044107F">
        <w:t>, growth in the registered population</w:t>
      </w:r>
      <w:r w:rsidR="00160B24" w:rsidRPr="0044107F">
        <w:t xml:space="preserve"> of companies and business names</w:t>
      </w:r>
      <w:r w:rsidR="004A2F84" w:rsidRPr="0044107F">
        <w:t xml:space="preserve"> and fee indexation. </w:t>
      </w:r>
    </w:p>
    <w:p w14:paraId="6A9C8DC2" w14:textId="77777777" w:rsidR="00B31BD4" w:rsidRDefault="00B31BD4" w:rsidP="0077348F">
      <w:pPr>
        <w:jc w:val="both"/>
      </w:pPr>
    </w:p>
    <w:p w14:paraId="12F73487" w14:textId="77777777" w:rsidR="00160B24" w:rsidRPr="0044107F" w:rsidRDefault="00B31BD4" w:rsidP="00131B76">
      <w:pPr>
        <w:pStyle w:val="Heading3"/>
      </w:pPr>
      <w:bookmarkStart w:id="13" w:name="_Toc530493291"/>
      <w:r>
        <w:t>Figure 1: ASIC Registry Fees</w:t>
      </w:r>
      <w:r w:rsidR="00CA0AFC">
        <w:t xml:space="preserve"> growth over 8 years</w:t>
      </w:r>
      <w:bookmarkEnd w:id="13"/>
    </w:p>
    <w:p w14:paraId="30A6EBD9" w14:textId="77777777" w:rsidR="00DC5889" w:rsidRPr="0044107F" w:rsidRDefault="00DC5889" w:rsidP="0077348F">
      <w:pPr>
        <w:jc w:val="both"/>
      </w:pPr>
      <w:r>
        <w:rPr>
          <w:noProof/>
        </w:rPr>
        <w:drawing>
          <wp:inline distT="0" distB="0" distL="0" distR="0" wp14:anchorId="5BB0D15E" wp14:editId="295CF33E">
            <wp:extent cx="5580000" cy="3001920"/>
            <wp:effectExtent l="0" t="0" r="1905" b="825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EB29E48" w14:textId="2B3781E6" w:rsidR="00DC5889" w:rsidRDefault="00131B76" w:rsidP="0077348F">
      <w:pPr>
        <w:jc w:val="both"/>
      </w:pPr>
      <w:r>
        <w:t>Source: ASIC</w:t>
      </w:r>
    </w:p>
    <w:p w14:paraId="756ED757" w14:textId="77777777" w:rsidR="0077348F" w:rsidRPr="0044107F" w:rsidRDefault="00EA1BFD" w:rsidP="00393762">
      <w:r w:rsidRPr="0044107F">
        <w:t xml:space="preserve">In aggregate, over half of the registry fees collected are annual </w:t>
      </w:r>
      <w:r w:rsidR="0079749A">
        <w:t>review</w:t>
      </w:r>
      <w:r>
        <w:t xml:space="preserve"> </w:t>
      </w:r>
      <w:r w:rsidRPr="0044107F">
        <w:t>fees (see Figure 2).</w:t>
      </w:r>
      <w:r w:rsidR="0077348F" w:rsidRPr="0044107F">
        <w:t xml:space="preserve">While the overall </w:t>
      </w:r>
      <w:r w:rsidR="00436E3D" w:rsidRPr="0044107F">
        <w:t xml:space="preserve">amount </w:t>
      </w:r>
      <w:r w:rsidR="0077348F" w:rsidRPr="0044107F">
        <w:t xml:space="preserve">of </w:t>
      </w:r>
      <w:r w:rsidR="00F55080" w:rsidRPr="0044107F">
        <w:t>r</w:t>
      </w:r>
      <w:r w:rsidR="0077348F" w:rsidRPr="0044107F">
        <w:t xml:space="preserve">egistry fees collected has increased each year, the </w:t>
      </w:r>
      <w:r w:rsidR="00D22B17" w:rsidRPr="0044107F">
        <w:t xml:space="preserve">proportion </w:t>
      </w:r>
      <w:r w:rsidR="00CD4680" w:rsidRPr="0044107F">
        <w:t>raised from</w:t>
      </w:r>
      <w:r w:rsidR="00D22B17" w:rsidRPr="0044107F">
        <w:t xml:space="preserve"> each fee type</w:t>
      </w:r>
      <w:r w:rsidR="0077348F" w:rsidRPr="0044107F">
        <w:t xml:space="preserve"> has </w:t>
      </w:r>
      <w:r w:rsidR="00160B24" w:rsidRPr="0044107F">
        <w:t xml:space="preserve">remain relatively constant. </w:t>
      </w:r>
    </w:p>
    <w:p w14:paraId="384824BC" w14:textId="77777777" w:rsidR="00160B24" w:rsidRPr="0044107F" w:rsidRDefault="007569D8" w:rsidP="00393762">
      <w:r>
        <w:t xml:space="preserve">Annual review </w:t>
      </w:r>
      <w:r w:rsidR="00570119" w:rsidRPr="00FE2B6E">
        <w:t>fees progressively increase in aggregate because the total company population continues to rise each year (around 100,000 more companies have been incorporated than deregistered each year in Australia over the past five years), and because the fees are indexed</w:t>
      </w:r>
      <w:r w:rsidR="005C152F">
        <w:t xml:space="preserve"> annually</w:t>
      </w:r>
      <w:r w:rsidR="00570119" w:rsidRPr="00FE2B6E">
        <w:t xml:space="preserve"> to</w:t>
      </w:r>
      <w:r w:rsidR="005C152F">
        <w:t xml:space="preserve"> the </w:t>
      </w:r>
      <w:r w:rsidR="00570119" w:rsidRPr="00FE2B6E">
        <w:t>C</w:t>
      </w:r>
      <w:r w:rsidR="00355A42">
        <w:t xml:space="preserve">onsumer </w:t>
      </w:r>
      <w:r w:rsidR="00570119" w:rsidRPr="00FE2B6E">
        <w:t>P</w:t>
      </w:r>
      <w:r w:rsidR="00355A42">
        <w:t xml:space="preserve">rice </w:t>
      </w:r>
      <w:r w:rsidR="00570119" w:rsidRPr="00FE2B6E">
        <w:t>I</w:t>
      </w:r>
      <w:r w:rsidR="00355A42">
        <w:t>ndex</w:t>
      </w:r>
      <w:r w:rsidR="00570119" w:rsidRPr="00FE2B6E">
        <w:rPr>
          <w:rStyle w:val="FootnoteReference"/>
        </w:rPr>
        <w:footnoteReference w:id="6"/>
      </w:r>
      <w:r w:rsidR="00570119" w:rsidRPr="00FE2B6E">
        <w:t xml:space="preserve">. </w:t>
      </w:r>
    </w:p>
    <w:p w14:paraId="42B60B00" w14:textId="77777777" w:rsidR="00B31BD4" w:rsidRDefault="00B31BD4" w:rsidP="0077348F">
      <w:pPr>
        <w:jc w:val="both"/>
      </w:pPr>
    </w:p>
    <w:p w14:paraId="5CD0DC82" w14:textId="77777777" w:rsidR="00B31BD4" w:rsidRDefault="00B31BD4" w:rsidP="00131B76">
      <w:pPr>
        <w:pStyle w:val="Heading3"/>
      </w:pPr>
      <w:bookmarkStart w:id="14" w:name="_Toc530493292"/>
      <w:r>
        <w:lastRenderedPageBreak/>
        <w:t>Figure 2: Composition of ASIC Registry Fees</w:t>
      </w:r>
      <w:r w:rsidR="00131B76">
        <w:t xml:space="preserve"> 2017-18</w:t>
      </w:r>
      <w:bookmarkEnd w:id="14"/>
    </w:p>
    <w:p w14:paraId="53A85B71" w14:textId="77777777" w:rsidR="004A2F84" w:rsidRPr="0044107F" w:rsidRDefault="00131B76" w:rsidP="0077348F">
      <w:pPr>
        <w:jc w:val="both"/>
      </w:pPr>
      <w:r>
        <w:rPr>
          <w:noProof/>
        </w:rPr>
        <w:drawing>
          <wp:inline distT="0" distB="0" distL="0" distR="0" wp14:anchorId="6DEC6CA2" wp14:editId="22107E43">
            <wp:extent cx="5566811" cy="28800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CC8CD52" w14:textId="53C8690A" w:rsidR="0022114F" w:rsidRDefault="0022114F" w:rsidP="0022114F">
      <w:pPr>
        <w:jc w:val="both"/>
      </w:pPr>
      <w:r>
        <w:t>Source: ASIC</w:t>
      </w:r>
    </w:p>
    <w:p w14:paraId="3E79C9BC" w14:textId="77777777" w:rsidR="0022114F" w:rsidRPr="0044107F" w:rsidRDefault="0022114F" w:rsidP="00B31BD4">
      <w:pPr>
        <w:jc w:val="both"/>
      </w:pPr>
    </w:p>
    <w:p w14:paraId="613D1061" w14:textId="77777777" w:rsidR="004A2F84" w:rsidRPr="0044107F" w:rsidRDefault="004A2F84" w:rsidP="0077348F">
      <w:pPr>
        <w:jc w:val="both"/>
      </w:pPr>
    </w:p>
    <w:p w14:paraId="7EAA4655" w14:textId="77777777" w:rsidR="00131B76" w:rsidRPr="0044107F" w:rsidRDefault="00131B76" w:rsidP="0077348F">
      <w:pPr>
        <w:jc w:val="both"/>
      </w:pPr>
    </w:p>
    <w:p w14:paraId="655916B3" w14:textId="77777777" w:rsidR="004A2F84" w:rsidRPr="0044107F" w:rsidRDefault="004A2F84">
      <w:pPr>
        <w:spacing w:before="0" w:after="200" w:line="276" w:lineRule="auto"/>
        <w:sectPr w:rsidR="004A2F84" w:rsidRPr="0044107F">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708" w:footer="708" w:gutter="0"/>
          <w:cols w:space="708"/>
          <w:docGrid w:linePitch="360"/>
        </w:sectPr>
      </w:pPr>
    </w:p>
    <w:p w14:paraId="25C8B98E" w14:textId="77777777" w:rsidR="00F93018" w:rsidRDefault="00FE2B6E" w:rsidP="00FE2B6E">
      <w:pPr>
        <w:pStyle w:val="Heading3"/>
      </w:pPr>
      <w:bookmarkStart w:id="15" w:name="_Toc530493293"/>
      <w:r>
        <w:lastRenderedPageBreak/>
        <w:t xml:space="preserve">Summary of </w:t>
      </w:r>
      <w:r w:rsidR="00F93018" w:rsidRPr="00FE2B6E">
        <w:t>Registry</w:t>
      </w:r>
      <w:r w:rsidR="00F93018" w:rsidRPr="0044107F">
        <w:t xml:space="preserve"> fee envir</w:t>
      </w:r>
      <w:r w:rsidR="00DF05DF">
        <w:t>onment key fees</w:t>
      </w:r>
      <w:bookmarkEnd w:id="15"/>
    </w:p>
    <w:p w14:paraId="20833EFA" w14:textId="47033A81" w:rsidR="005C152F" w:rsidRPr="005C152F" w:rsidRDefault="005C152F" w:rsidP="005C152F">
      <w:r>
        <w:t>The following table summarises the applicable fees for this review:</w:t>
      </w:r>
    </w:p>
    <w:tbl>
      <w:tblPr>
        <w:tblStyle w:val="LightShading-Accent1"/>
        <w:tblW w:w="15343" w:type="dxa"/>
        <w:tblInd w:w="-743" w:type="dxa"/>
        <w:tblLook w:val="04A0" w:firstRow="1" w:lastRow="0" w:firstColumn="1" w:lastColumn="0" w:noHBand="0" w:noVBand="1"/>
      </w:tblPr>
      <w:tblGrid>
        <w:gridCol w:w="1457"/>
        <w:gridCol w:w="4923"/>
        <w:gridCol w:w="4536"/>
        <w:gridCol w:w="3969"/>
        <w:gridCol w:w="141"/>
        <w:gridCol w:w="95"/>
        <w:gridCol w:w="222"/>
      </w:tblGrid>
      <w:tr w:rsidR="00E97F0C" w:rsidRPr="00001E85" w14:paraId="50793633" w14:textId="77777777" w:rsidTr="005E0D8A">
        <w:trPr>
          <w:gridAfter w:val="3"/>
          <w:cnfStyle w:val="100000000000" w:firstRow="1" w:lastRow="0" w:firstColumn="0" w:lastColumn="0" w:oddVBand="0" w:evenVBand="0" w:oddHBand="0" w:evenHBand="0" w:firstRowFirstColumn="0" w:firstRowLastColumn="0" w:lastRowFirstColumn="0" w:lastRowLastColumn="0"/>
          <w:wAfter w:w="458" w:type="dxa"/>
          <w:trHeight w:val="519"/>
        </w:trPr>
        <w:tc>
          <w:tcPr>
            <w:cnfStyle w:val="001000000000" w:firstRow="0" w:lastRow="0" w:firstColumn="1" w:lastColumn="0" w:oddVBand="0" w:evenVBand="0" w:oddHBand="0" w:evenHBand="0" w:firstRowFirstColumn="0" w:firstRowLastColumn="0" w:lastRowFirstColumn="0" w:lastRowLastColumn="0"/>
            <w:tcW w:w="1457" w:type="dxa"/>
            <w:tcBorders>
              <w:top w:val="single" w:sz="12" w:space="0" w:color="4F81BD" w:themeColor="accent1"/>
              <w:bottom w:val="single" w:sz="12" w:space="0" w:color="4F81BD" w:themeColor="accent1"/>
            </w:tcBorders>
          </w:tcPr>
          <w:p w14:paraId="6613ADBF" w14:textId="77777777" w:rsidR="00A316EB" w:rsidRPr="00001E85" w:rsidRDefault="00A316EB" w:rsidP="00904FE7">
            <w:pPr>
              <w:rPr>
                <w:color w:val="4F81BD" w:themeColor="accent1"/>
              </w:rPr>
            </w:pPr>
            <w:r w:rsidRPr="00001E85">
              <w:rPr>
                <w:color w:val="4F81BD" w:themeColor="accent1"/>
              </w:rPr>
              <w:t>Fee Type</w:t>
            </w:r>
          </w:p>
        </w:tc>
        <w:tc>
          <w:tcPr>
            <w:tcW w:w="4923" w:type="dxa"/>
            <w:tcBorders>
              <w:top w:val="single" w:sz="12" w:space="0" w:color="4F81BD" w:themeColor="accent1"/>
              <w:bottom w:val="single" w:sz="12" w:space="0" w:color="4F81BD" w:themeColor="accent1"/>
            </w:tcBorders>
          </w:tcPr>
          <w:p w14:paraId="1BFD69AE" w14:textId="77777777" w:rsidR="00A316EB" w:rsidRPr="00001E85" w:rsidRDefault="00A316EB" w:rsidP="00904FE7">
            <w:pPr>
              <w:cnfStyle w:val="100000000000" w:firstRow="1" w:lastRow="0" w:firstColumn="0" w:lastColumn="0" w:oddVBand="0" w:evenVBand="0" w:oddHBand="0" w:evenHBand="0" w:firstRowFirstColumn="0" w:firstRowLastColumn="0" w:lastRowFirstColumn="0" w:lastRowLastColumn="0"/>
              <w:rPr>
                <w:color w:val="4F81BD" w:themeColor="accent1"/>
              </w:rPr>
            </w:pPr>
            <w:r w:rsidRPr="00001E85">
              <w:rPr>
                <w:color w:val="4F81BD" w:themeColor="accent1"/>
              </w:rPr>
              <w:t>Description</w:t>
            </w:r>
          </w:p>
        </w:tc>
        <w:tc>
          <w:tcPr>
            <w:tcW w:w="4536" w:type="dxa"/>
            <w:tcBorders>
              <w:top w:val="single" w:sz="12" w:space="0" w:color="4F81BD" w:themeColor="accent1"/>
              <w:bottom w:val="single" w:sz="12" w:space="0" w:color="4F81BD" w:themeColor="accent1"/>
            </w:tcBorders>
          </w:tcPr>
          <w:p w14:paraId="63CC0443" w14:textId="77777777" w:rsidR="00A316EB" w:rsidRPr="00001E85" w:rsidRDefault="00293D76" w:rsidP="00904FE7">
            <w:pPr>
              <w:cnfStyle w:val="100000000000" w:firstRow="1" w:lastRow="0" w:firstColumn="0" w:lastColumn="0" w:oddVBand="0" w:evenVBand="0" w:oddHBand="0" w:evenHBand="0" w:firstRowFirstColumn="0" w:firstRowLastColumn="0" w:lastRowFirstColumn="0" w:lastRowLastColumn="0"/>
              <w:rPr>
                <w:color w:val="4F81BD" w:themeColor="accent1"/>
              </w:rPr>
            </w:pPr>
            <w:r w:rsidRPr="00001E85">
              <w:rPr>
                <w:color w:val="4F81BD" w:themeColor="accent1"/>
              </w:rPr>
              <w:t>Fee amount</w:t>
            </w:r>
            <w:r w:rsidR="00570119">
              <w:rPr>
                <w:color w:val="4F81BD" w:themeColor="accent1"/>
              </w:rPr>
              <w:t xml:space="preserve"> </w:t>
            </w:r>
            <w:r w:rsidR="006A26EB">
              <w:rPr>
                <w:color w:val="4F81BD" w:themeColor="accent1"/>
              </w:rPr>
              <w:br/>
            </w:r>
            <w:r w:rsidR="00570119">
              <w:rPr>
                <w:color w:val="4F81BD" w:themeColor="accent1"/>
              </w:rPr>
              <w:t xml:space="preserve">(as at </w:t>
            </w:r>
            <w:r w:rsidR="006A26EB">
              <w:rPr>
                <w:color w:val="4F81BD" w:themeColor="accent1"/>
              </w:rPr>
              <w:t xml:space="preserve">October </w:t>
            </w:r>
            <w:r w:rsidR="00570119">
              <w:rPr>
                <w:color w:val="4F81BD" w:themeColor="accent1"/>
              </w:rPr>
              <w:t>2018)</w:t>
            </w:r>
          </w:p>
        </w:tc>
        <w:tc>
          <w:tcPr>
            <w:tcW w:w="3969" w:type="dxa"/>
            <w:tcBorders>
              <w:top w:val="single" w:sz="12" w:space="0" w:color="4F81BD" w:themeColor="accent1"/>
              <w:bottom w:val="single" w:sz="12" w:space="0" w:color="4F81BD" w:themeColor="accent1"/>
            </w:tcBorders>
          </w:tcPr>
          <w:p w14:paraId="24CC6631" w14:textId="77777777" w:rsidR="00A316EB" w:rsidRPr="00001E85" w:rsidRDefault="00A316EB" w:rsidP="00A316EB">
            <w:pPr>
              <w:cnfStyle w:val="100000000000" w:firstRow="1" w:lastRow="0" w:firstColumn="0" w:lastColumn="0" w:oddVBand="0" w:evenVBand="0" w:oddHBand="0" w:evenHBand="0" w:firstRowFirstColumn="0" w:firstRowLastColumn="0" w:lastRowFirstColumn="0" w:lastRowLastColumn="0"/>
              <w:rPr>
                <w:color w:val="4F81BD" w:themeColor="accent1"/>
              </w:rPr>
            </w:pPr>
            <w:r w:rsidRPr="00001E85">
              <w:rPr>
                <w:color w:val="4F81BD" w:themeColor="accent1"/>
              </w:rPr>
              <w:t>Revenue raised</w:t>
            </w:r>
          </w:p>
        </w:tc>
      </w:tr>
      <w:tr w:rsidR="00E97F0C" w:rsidRPr="00FE2B6E" w14:paraId="1C421031" w14:textId="77777777" w:rsidTr="005E0D8A">
        <w:trPr>
          <w:gridAfter w:val="2"/>
          <w:cnfStyle w:val="000000100000" w:firstRow="0" w:lastRow="0" w:firstColumn="0" w:lastColumn="0" w:oddVBand="0" w:evenVBand="0" w:oddHBand="1" w:evenHBand="0" w:firstRowFirstColumn="0" w:firstRowLastColumn="0" w:lastRowFirstColumn="0" w:lastRowLastColumn="0"/>
          <w:wAfter w:w="317" w:type="dxa"/>
          <w:trHeight w:val="706"/>
        </w:trPr>
        <w:tc>
          <w:tcPr>
            <w:cnfStyle w:val="001000000000" w:firstRow="0" w:lastRow="0" w:firstColumn="1" w:lastColumn="0" w:oddVBand="0" w:evenVBand="0" w:oddHBand="0" w:evenHBand="0" w:firstRowFirstColumn="0" w:firstRowLastColumn="0" w:lastRowFirstColumn="0" w:lastRowLastColumn="0"/>
            <w:tcW w:w="1457" w:type="dxa"/>
          </w:tcPr>
          <w:p w14:paraId="5521188B" w14:textId="77777777" w:rsidR="00BF0E04" w:rsidRPr="00FE2B6E" w:rsidRDefault="00BF0E04" w:rsidP="00A313A9">
            <w:pPr>
              <w:rPr>
                <w:b w:val="0"/>
                <w:color w:val="auto"/>
              </w:rPr>
            </w:pPr>
            <w:r w:rsidRPr="00FE2B6E">
              <w:rPr>
                <w:b w:val="0"/>
                <w:color w:val="auto"/>
              </w:rPr>
              <w:t xml:space="preserve">Annual Review </w:t>
            </w:r>
          </w:p>
        </w:tc>
        <w:tc>
          <w:tcPr>
            <w:tcW w:w="4923" w:type="dxa"/>
          </w:tcPr>
          <w:p w14:paraId="71B77A6A" w14:textId="77777777" w:rsidR="00BF0E04" w:rsidRPr="00FE2B6E" w:rsidRDefault="00BF0E04" w:rsidP="00A313A9">
            <w:pPr>
              <w:cnfStyle w:val="000000100000" w:firstRow="0" w:lastRow="0" w:firstColumn="0" w:lastColumn="0" w:oddVBand="0" w:evenVBand="0" w:oddHBand="1" w:evenHBand="0" w:firstRowFirstColumn="0" w:firstRowLastColumn="0" w:lastRowFirstColumn="0" w:lastRowLastColumn="0"/>
              <w:rPr>
                <w:color w:val="auto"/>
              </w:rPr>
            </w:pPr>
            <w:r w:rsidRPr="00FE2B6E">
              <w:rPr>
                <w:color w:val="auto"/>
              </w:rPr>
              <w:t>Fee paid on the anniversary of registration.</w:t>
            </w:r>
          </w:p>
          <w:p w14:paraId="2B138269" w14:textId="77777777" w:rsidR="0017302B" w:rsidRPr="0017302B" w:rsidRDefault="00BF0E04" w:rsidP="0017302B">
            <w:pPr>
              <w:cnfStyle w:val="000000100000" w:firstRow="0" w:lastRow="0" w:firstColumn="0" w:lastColumn="0" w:oddVBand="0" w:evenVBand="0" w:oddHBand="1" w:evenHBand="0" w:firstRowFirstColumn="0" w:firstRowLastColumn="0" w:lastRowFirstColumn="0" w:lastRowLastColumn="0"/>
              <w:rPr>
                <w:color w:val="auto"/>
              </w:rPr>
            </w:pPr>
            <w:r w:rsidRPr="00FE2B6E">
              <w:rPr>
                <w:color w:val="auto"/>
              </w:rPr>
              <w:t xml:space="preserve">Every company and managed investment scheme has an annual </w:t>
            </w:r>
            <w:r w:rsidRPr="0017302B">
              <w:rPr>
                <w:color w:val="auto"/>
              </w:rPr>
              <w:t xml:space="preserve">review date, usually the same date it was registered. </w:t>
            </w:r>
            <w:r w:rsidR="0017302B" w:rsidRPr="0017302B">
              <w:rPr>
                <w:color w:val="auto"/>
              </w:rPr>
              <w:t>To maintain an entity’s registration, the following are required:</w:t>
            </w:r>
          </w:p>
          <w:p w14:paraId="72368AAA" w14:textId="77777777" w:rsidR="0017302B" w:rsidRPr="0017302B" w:rsidRDefault="0017302B" w:rsidP="0017302B">
            <w:pPr>
              <w:pStyle w:val="Bullet"/>
              <w:cnfStyle w:val="000000100000" w:firstRow="0" w:lastRow="0" w:firstColumn="0" w:lastColumn="0" w:oddVBand="0" w:evenVBand="0" w:oddHBand="1" w:evenHBand="0" w:firstRowFirstColumn="0" w:firstRowLastColumn="0" w:lastRowFirstColumn="0" w:lastRowLastColumn="0"/>
              <w:rPr>
                <w:color w:val="auto"/>
              </w:rPr>
            </w:pPr>
            <w:r w:rsidRPr="0017302B">
              <w:rPr>
                <w:color w:val="auto"/>
              </w:rPr>
              <w:t>p</w:t>
            </w:r>
            <w:r w:rsidR="00BF0E04" w:rsidRPr="0017302B">
              <w:rPr>
                <w:color w:val="auto"/>
              </w:rPr>
              <w:t>ayment of the annual review fee</w:t>
            </w:r>
            <w:r w:rsidRPr="0017302B">
              <w:rPr>
                <w:color w:val="auto"/>
              </w:rPr>
              <w:t xml:space="preserve"> </w:t>
            </w:r>
            <w:r w:rsidR="00BF0E04" w:rsidRPr="0017302B">
              <w:rPr>
                <w:color w:val="auto"/>
              </w:rPr>
              <w:t xml:space="preserve">and </w:t>
            </w:r>
            <w:r w:rsidRPr="0017302B">
              <w:rPr>
                <w:color w:val="auto"/>
              </w:rPr>
              <w:t>the associated requirement to update</w:t>
            </w:r>
            <w:r w:rsidR="00BF0E04" w:rsidRPr="0017302B">
              <w:rPr>
                <w:color w:val="auto"/>
              </w:rPr>
              <w:t xml:space="preserve"> company details (if required), </w:t>
            </w:r>
          </w:p>
          <w:p w14:paraId="30E31769" w14:textId="3405BB8A" w:rsidR="0017302B" w:rsidRPr="0017302B" w:rsidRDefault="00BF0E04" w:rsidP="0017302B">
            <w:pPr>
              <w:pStyle w:val="Bullet"/>
              <w:cnfStyle w:val="000000100000" w:firstRow="0" w:lastRow="0" w:firstColumn="0" w:lastColumn="0" w:oddVBand="0" w:evenVBand="0" w:oddHBand="1" w:evenHBand="0" w:firstRowFirstColumn="0" w:firstRowLastColumn="0" w:lastRowFirstColumn="0" w:lastRowLastColumn="0"/>
              <w:rPr>
                <w:color w:val="auto"/>
              </w:rPr>
            </w:pPr>
            <w:proofErr w:type="gramStart"/>
            <w:r w:rsidRPr="0017302B" w:rsidDel="00B817C2">
              <w:rPr>
                <w:color w:val="auto"/>
              </w:rPr>
              <w:t>for</w:t>
            </w:r>
            <w:proofErr w:type="gramEnd"/>
            <w:r w:rsidRPr="0017302B" w:rsidDel="00B817C2">
              <w:rPr>
                <w:color w:val="auto"/>
              </w:rPr>
              <w:t xml:space="preserve"> most companies</w:t>
            </w:r>
            <w:r w:rsidRPr="0017302B">
              <w:rPr>
                <w:color w:val="auto"/>
              </w:rPr>
              <w:t>,</w:t>
            </w:r>
            <w:r w:rsidRPr="0017302B" w:rsidDel="00B817C2">
              <w:rPr>
                <w:color w:val="auto"/>
              </w:rPr>
              <w:t xml:space="preserve"> a resolution by the directors that the company is able to pay its debts as they fall due </w:t>
            </w:r>
            <w:r w:rsidRPr="0017302B">
              <w:rPr>
                <w:color w:val="auto"/>
              </w:rPr>
              <w:t>is sufficient</w:t>
            </w:r>
            <w:r w:rsidRPr="0017302B" w:rsidDel="00B817C2">
              <w:rPr>
                <w:color w:val="auto"/>
              </w:rPr>
              <w:t xml:space="preserve">. </w:t>
            </w:r>
          </w:p>
          <w:p w14:paraId="26E02042" w14:textId="1305D530" w:rsidR="00BF0E04" w:rsidRPr="00FE2B6E" w:rsidRDefault="00BF0E04" w:rsidP="0017302B">
            <w:pPr>
              <w:cnfStyle w:val="000000100000" w:firstRow="0" w:lastRow="0" w:firstColumn="0" w:lastColumn="0" w:oddVBand="0" w:evenVBand="0" w:oddHBand="1" w:evenHBand="0" w:firstRowFirstColumn="0" w:firstRowLastColumn="0" w:lastRowFirstColumn="0" w:lastRowLastColumn="0"/>
              <w:rPr>
                <w:color w:val="auto"/>
              </w:rPr>
            </w:pPr>
            <w:r w:rsidRPr="00FE2B6E">
              <w:rPr>
                <w:color w:val="auto"/>
              </w:rPr>
              <w:t>The review fee enables a company to maintain the benefits and responsibilities of a legal entity.</w:t>
            </w:r>
            <w:r w:rsidRPr="00FE2B6E" w:rsidDel="00B817C2">
              <w:rPr>
                <w:color w:val="auto"/>
              </w:rPr>
              <w:t xml:space="preserve"> </w:t>
            </w:r>
          </w:p>
        </w:tc>
        <w:tc>
          <w:tcPr>
            <w:tcW w:w="4536" w:type="dxa"/>
          </w:tcPr>
          <w:p w14:paraId="7F423F17" w14:textId="77777777" w:rsidR="00BF0E04" w:rsidRPr="00FE2B6E" w:rsidRDefault="00BF0E04" w:rsidP="00A313A9">
            <w:pPr>
              <w:cnfStyle w:val="000000100000" w:firstRow="0" w:lastRow="0" w:firstColumn="0" w:lastColumn="0" w:oddVBand="0" w:evenVBand="0" w:oddHBand="1" w:evenHBand="0" w:firstRowFirstColumn="0" w:firstRowLastColumn="0" w:lastRowFirstColumn="0" w:lastRowLastColumn="0"/>
              <w:rPr>
                <w:color w:val="auto"/>
              </w:rPr>
            </w:pPr>
            <w:r w:rsidRPr="00FE2B6E">
              <w:rPr>
                <w:color w:val="auto"/>
              </w:rPr>
              <w:t>The annual review fee charged depends on the company type:</w:t>
            </w:r>
          </w:p>
          <w:p w14:paraId="2B7B619F" w14:textId="77777777" w:rsidR="00BF0E04" w:rsidRPr="00FE2B6E" w:rsidRDefault="00BF0E04" w:rsidP="00A313A9">
            <w:pPr>
              <w:pStyle w:val="Bullet"/>
              <w:cnfStyle w:val="000000100000" w:firstRow="0" w:lastRow="0" w:firstColumn="0" w:lastColumn="0" w:oddVBand="0" w:evenVBand="0" w:oddHBand="1" w:evenHBand="0" w:firstRowFirstColumn="0" w:firstRowLastColumn="0" w:lastRowFirstColumn="0" w:lastRowLastColumn="0"/>
              <w:rPr>
                <w:color w:val="auto"/>
              </w:rPr>
            </w:pPr>
            <w:r w:rsidRPr="00FE2B6E">
              <w:rPr>
                <w:color w:val="auto"/>
              </w:rPr>
              <w:t xml:space="preserve"> $263 for a proprietary company (this includes the $4 IFM fee);</w:t>
            </w:r>
          </w:p>
          <w:p w14:paraId="375CEBCD" w14:textId="77777777" w:rsidR="00BF0E04" w:rsidRPr="00FE2B6E" w:rsidRDefault="00BF0E04" w:rsidP="00A313A9">
            <w:pPr>
              <w:pStyle w:val="Bullet"/>
              <w:cnfStyle w:val="000000100000" w:firstRow="0" w:lastRow="0" w:firstColumn="0" w:lastColumn="0" w:oddVBand="0" w:evenVBand="0" w:oddHBand="1" w:evenHBand="0" w:firstRowFirstColumn="0" w:firstRowLastColumn="0" w:lastRowFirstColumn="0" w:lastRowLastColumn="0"/>
              <w:rPr>
                <w:color w:val="auto"/>
              </w:rPr>
            </w:pPr>
            <w:r w:rsidRPr="00FE2B6E">
              <w:rPr>
                <w:color w:val="auto"/>
              </w:rPr>
              <w:t>$53 for a special purpose company (proprietary)</w:t>
            </w:r>
          </w:p>
          <w:p w14:paraId="02CEE58D" w14:textId="77777777" w:rsidR="00BF0E04" w:rsidRPr="00FE2B6E" w:rsidRDefault="00BF0E04" w:rsidP="00A313A9">
            <w:pPr>
              <w:pStyle w:val="Bullet"/>
              <w:cnfStyle w:val="000000100000" w:firstRow="0" w:lastRow="0" w:firstColumn="0" w:lastColumn="0" w:oddVBand="0" w:evenVBand="0" w:oddHBand="1" w:evenHBand="0" w:firstRowFirstColumn="0" w:firstRowLastColumn="0" w:lastRowFirstColumn="0" w:lastRowLastColumn="0"/>
              <w:rPr>
                <w:color w:val="auto"/>
              </w:rPr>
            </w:pPr>
            <w:r w:rsidRPr="00FE2B6E">
              <w:rPr>
                <w:color w:val="auto"/>
              </w:rPr>
              <w:t>$49 for a special purpose company (</w:t>
            </w:r>
            <w:r>
              <w:rPr>
                <w:color w:val="auto"/>
              </w:rPr>
              <w:t>p</w:t>
            </w:r>
            <w:r w:rsidRPr="00FE2B6E">
              <w:rPr>
                <w:color w:val="auto"/>
              </w:rPr>
              <w:t>ublic);</w:t>
            </w:r>
          </w:p>
          <w:p w14:paraId="5649100A" w14:textId="77777777" w:rsidR="00BF0E04" w:rsidRDefault="00BF0E04" w:rsidP="00A313A9">
            <w:pPr>
              <w:pStyle w:val="Bullet"/>
              <w:cnfStyle w:val="000000100000" w:firstRow="0" w:lastRow="0" w:firstColumn="0" w:lastColumn="0" w:oddVBand="0" w:evenVBand="0" w:oddHBand="1" w:evenHBand="0" w:firstRowFirstColumn="0" w:firstRowLastColumn="0" w:lastRowFirstColumn="0" w:lastRowLastColumn="0"/>
              <w:rPr>
                <w:color w:val="auto"/>
              </w:rPr>
            </w:pPr>
            <w:r w:rsidRPr="00FE2B6E">
              <w:rPr>
                <w:color w:val="auto"/>
              </w:rPr>
              <w:t xml:space="preserve">$1224 for a </w:t>
            </w:r>
            <w:r>
              <w:rPr>
                <w:color w:val="auto"/>
              </w:rPr>
              <w:t>p</w:t>
            </w:r>
            <w:r w:rsidRPr="00FE2B6E">
              <w:rPr>
                <w:color w:val="auto"/>
              </w:rPr>
              <w:t xml:space="preserve">ublic </w:t>
            </w:r>
            <w:r>
              <w:rPr>
                <w:color w:val="auto"/>
              </w:rPr>
              <w:t>c</w:t>
            </w:r>
            <w:r w:rsidRPr="00FE2B6E">
              <w:rPr>
                <w:color w:val="auto"/>
              </w:rPr>
              <w:t>ompany.</w:t>
            </w:r>
          </w:p>
          <w:p w14:paraId="4BF923DB" w14:textId="77777777" w:rsidR="00BF0E04" w:rsidRPr="00FE2B6E" w:rsidRDefault="00BF0E04" w:rsidP="00A313A9">
            <w:pPr>
              <w:pStyle w:val="Bullet"/>
              <w:numPr>
                <w:ilvl w:val="0"/>
                <w:numId w:val="0"/>
              </w:numPr>
              <w:ind w:left="283"/>
              <w:cnfStyle w:val="000000100000" w:firstRow="0" w:lastRow="0" w:firstColumn="0" w:lastColumn="0" w:oddVBand="0" w:evenVBand="0" w:oddHBand="1" w:evenHBand="0" w:firstRowFirstColumn="0" w:firstRowLastColumn="0" w:lastRowFirstColumn="0" w:lastRowLastColumn="0"/>
              <w:rPr>
                <w:color w:val="auto"/>
              </w:rPr>
            </w:pPr>
          </w:p>
        </w:tc>
        <w:tc>
          <w:tcPr>
            <w:tcW w:w="4110" w:type="dxa"/>
            <w:gridSpan w:val="2"/>
          </w:tcPr>
          <w:p w14:paraId="2FE15955" w14:textId="77777777" w:rsidR="00BF0E04" w:rsidRPr="00FE2B6E" w:rsidRDefault="00BF0E04" w:rsidP="00A313A9">
            <w:pPr>
              <w:cnfStyle w:val="000000100000" w:firstRow="0" w:lastRow="0" w:firstColumn="0" w:lastColumn="0" w:oddVBand="0" w:evenVBand="0" w:oddHBand="1" w:evenHBand="0" w:firstRowFirstColumn="0" w:firstRowLastColumn="0" w:lastRowFirstColumn="0" w:lastRowLastColumn="0"/>
              <w:rPr>
                <w:color w:val="auto"/>
              </w:rPr>
            </w:pPr>
            <w:r w:rsidRPr="00FE2B6E">
              <w:rPr>
                <w:color w:val="auto"/>
              </w:rPr>
              <w:t xml:space="preserve">The largest component of Registry fees is annual review fees levied on Australian companies, which comprised just over 60 per cent of the total fees collected in 2017-18 ($562m). </w:t>
            </w:r>
          </w:p>
          <w:p w14:paraId="732CE45F" w14:textId="77777777" w:rsidR="00BF0E04" w:rsidRPr="00FE2B6E" w:rsidRDefault="00BF0E04" w:rsidP="00A313A9">
            <w:pPr>
              <w:cnfStyle w:val="000000100000" w:firstRow="0" w:lastRow="0" w:firstColumn="0" w:lastColumn="0" w:oddVBand="0" w:evenVBand="0" w:oddHBand="1" w:evenHBand="0" w:firstRowFirstColumn="0" w:firstRowLastColumn="0" w:lastRowFirstColumn="0" w:lastRowLastColumn="0"/>
              <w:rPr>
                <w:color w:val="auto"/>
              </w:rPr>
            </w:pPr>
          </w:p>
        </w:tc>
      </w:tr>
      <w:tr w:rsidR="00E97F0C" w:rsidRPr="00FE2B6E" w14:paraId="3FC666EE" w14:textId="77777777" w:rsidTr="005E0D8A">
        <w:trPr>
          <w:gridAfter w:val="3"/>
          <w:wAfter w:w="458" w:type="dxa"/>
          <w:trHeight w:val="569"/>
        </w:trPr>
        <w:tc>
          <w:tcPr>
            <w:cnfStyle w:val="001000000000" w:firstRow="0" w:lastRow="0" w:firstColumn="1" w:lastColumn="0" w:oddVBand="0" w:evenVBand="0" w:oddHBand="0" w:evenHBand="0" w:firstRowFirstColumn="0" w:firstRowLastColumn="0" w:lastRowFirstColumn="0" w:lastRowLastColumn="0"/>
            <w:tcW w:w="1457" w:type="dxa"/>
            <w:tcBorders>
              <w:top w:val="single" w:sz="12" w:space="0" w:color="4F81BD" w:themeColor="accent1"/>
            </w:tcBorders>
          </w:tcPr>
          <w:p w14:paraId="2D73EF0F" w14:textId="267EB65C" w:rsidR="00A316EB" w:rsidRPr="00FE2B6E" w:rsidRDefault="00A316EB" w:rsidP="00BC589D">
            <w:pPr>
              <w:rPr>
                <w:b w:val="0"/>
                <w:color w:val="auto"/>
              </w:rPr>
            </w:pPr>
            <w:r w:rsidRPr="00FE2B6E">
              <w:rPr>
                <w:b w:val="0"/>
                <w:color w:val="auto"/>
              </w:rPr>
              <w:t>Registration</w:t>
            </w:r>
            <w:r w:rsidR="0062797B" w:rsidRPr="00FE2B6E">
              <w:rPr>
                <w:b w:val="0"/>
                <w:color w:val="auto"/>
              </w:rPr>
              <w:t xml:space="preserve"> </w:t>
            </w:r>
            <w:r w:rsidR="001A509C" w:rsidRPr="00FE2B6E">
              <w:rPr>
                <w:b w:val="0"/>
                <w:color w:val="auto"/>
              </w:rPr>
              <w:t>A</w:t>
            </w:r>
            <w:r w:rsidR="0062797B" w:rsidRPr="00FE2B6E">
              <w:rPr>
                <w:b w:val="0"/>
                <w:color w:val="auto"/>
              </w:rPr>
              <w:t>pplication</w:t>
            </w:r>
          </w:p>
        </w:tc>
        <w:tc>
          <w:tcPr>
            <w:tcW w:w="4923" w:type="dxa"/>
            <w:tcBorders>
              <w:top w:val="single" w:sz="12" w:space="0" w:color="4F81BD" w:themeColor="accent1"/>
            </w:tcBorders>
          </w:tcPr>
          <w:p w14:paraId="53A6E252" w14:textId="77777777" w:rsidR="00A316EB" w:rsidRPr="00FE2B6E" w:rsidRDefault="00A316EB" w:rsidP="00904FE7">
            <w:pPr>
              <w:cnfStyle w:val="000000000000" w:firstRow="0" w:lastRow="0" w:firstColumn="0" w:lastColumn="0" w:oddVBand="0" w:evenVBand="0" w:oddHBand="0" w:evenHBand="0" w:firstRowFirstColumn="0" w:firstRowLastColumn="0" w:lastRowFirstColumn="0" w:lastRowLastColumn="0"/>
              <w:rPr>
                <w:color w:val="auto"/>
              </w:rPr>
            </w:pPr>
            <w:r w:rsidRPr="00FE2B6E">
              <w:rPr>
                <w:color w:val="auto"/>
              </w:rPr>
              <w:t>Initial fee to</w:t>
            </w:r>
            <w:r w:rsidR="0062797B" w:rsidRPr="00FE2B6E">
              <w:rPr>
                <w:color w:val="auto"/>
              </w:rPr>
              <w:t xml:space="preserve"> apply to</w:t>
            </w:r>
            <w:r w:rsidRPr="00FE2B6E">
              <w:rPr>
                <w:color w:val="auto"/>
              </w:rPr>
              <w:t xml:space="preserve"> register a company.</w:t>
            </w:r>
          </w:p>
          <w:p w14:paraId="444555C1" w14:textId="6A39766F" w:rsidR="00A316EB" w:rsidRDefault="00A316EB" w:rsidP="00F55080">
            <w:pPr>
              <w:cnfStyle w:val="000000000000" w:firstRow="0" w:lastRow="0" w:firstColumn="0" w:lastColumn="0" w:oddVBand="0" w:evenVBand="0" w:oddHBand="0" w:evenHBand="0" w:firstRowFirstColumn="0" w:firstRowLastColumn="0" w:lastRowFirstColumn="0" w:lastRowLastColumn="0"/>
              <w:rPr>
                <w:color w:val="auto"/>
              </w:rPr>
            </w:pPr>
            <w:r w:rsidRPr="00FE2B6E">
              <w:rPr>
                <w:color w:val="auto"/>
              </w:rPr>
              <w:t xml:space="preserve">The </w:t>
            </w:r>
            <w:r w:rsidR="002C7D33" w:rsidRPr="00FE2B6E">
              <w:rPr>
                <w:color w:val="auto"/>
              </w:rPr>
              <w:t>registration</w:t>
            </w:r>
            <w:r w:rsidRPr="00FE2B6E">
              <w:rPr>
                <w:color w:val="auto"/>
              </w:rPr>
              <w:t xml:space="preserve"> of a company creates a </w:t>
            </w:r>
            <w:r w:rsidR="000A43F5">
              <w:rPr>
                <w:color w:val="auto"/>
              </w:rPr>
              <w:t>separate</w:t>
            </w:r>
            <w:r w:rsidR="000A43F5" w:rsidRPr="00FE2B6E">
              <w:rPr>
                <w:color w:val="auto"/>
              </w:rPr>
              <w:t xml:space="preserve"> </w:t>
            </w:r>
            <w:r w:rsidRPr="00FE2B6E">
              <w:rPr>
                <w:color w:val="auto"/>
              </w:rPr>
              <w:t xml:space="preserve">legal entity which brings with it a range of benefits, </w:t>
            </w:r>
            <w:r w:rsidR="00CB3ED6" w:rsidRPr="00FE2B6E">
              <w:rPr>
                <w:color w:val="auto"/>
              </w:rPr>
              <w:t>including limit</w:t>
            </w:r>
            <w:r w:rsidR="008E3E5E">
              <w:rPr>
                <w:color w:val="auto"/>
              </w:rPr>
              <w:t>ing</w:t>
            </w:r>
            <w:r w:rsidR="00CB3ED6" w:rsidRPr="00FE2B6E">
              <w:rPr>
                <w:color w:val="auto"/>
              </w:rPr>
              <w:t xml:space="preserve"> </w:t>
            </w:r>
            <w:r w:rsidR="008E3E5E">
              <w:rPr>
                <w:color w:val="auto"/>
              </w:rPr>
              <w:t xml:space="preserve">personal </w:t>
            </w:r>
            <w:r w:rsidR="00CB3ED6" w:rsidRPr="00FE2B6E">
              <w:rPr>
                <w:color w:val="auto"/>
              </w:rPr>
              <w:t>liabilit</w:t>
            </w:r>
            <w:r w:rsidR="008E3E5E">
              <w:rPr>
                <w:color w:val="auto"/>
              </w:rPr>
              <w:t>ies</w:t>
            </w:r>
            <w:r w:rsidR="00CB3ED6" w:rsidRPr="00FE2B6E">
              <w:rPr>
                <w:color w:val="auto"/>
              </w:rPr>
              <w:t xml:space="preserve"> and</w:t>
            </w:r>
            <w:r w:rsidRPr="00FE2B6E">
              <w:rPr>
                <w:color w:val="auto"/>
              </w:rPr>
              <w:t xml:space="preserve"> responsibilities</w:t>
            </w:r>
            <w:r w:rsidR="002C7D33" w:rsidRPr="00FE2B6E">
              <w:rPr>
                <w:color w:val="auto"/>
              </w:rPr>
              <w:t xml:space="preserve"> and duties outlined in the </w:t>
            </w:r>
            <w:r w:rsidR="002C7D33" w:rsidRPr="00E97F0C">
              <w:rPr>
                <w:i/>
                <w:color w:val="auto"/>
              </w:rPr>
              <w:t>Corporations Act</w:t>
            </w:r>
            <w:r w:rsidR="007D1DEF">
              <w:rPr>
                <w:i/>
                <w:color w:val="auto"/>
              </w:rPr>
              <w:t xml:space="preserve"> </w:t>
            </w:r>
            <w:r w:rsidR="007D1DEF">
              <w:rPr>
                <w:color w:val="auto"/>
              </w:rPr>
              <w:t>2001</w:t>
            </w:r>
            <w:r w:rsidR="00F55080" w:rsidRPr="00E97F0C">
              <w:rPr>
                <w:color w:val="auto"/>
              </w:rPr>
              <w:t xml:space="preserve">. Responsibilities </w:t>
            </w:r>
            <w:r w:rsidR="00F55080" w:rsidRPr="00FE2B6E">
              <w:rPr>
                <w:color w:val="auto"/>
              </w:rPr>
              <w:t>include</w:t>
            </w:r>
            <w:r w:rsidRPr="00FE2B6E">
              <w:rPr>
                <w:color w:val="auto"/>
              </w:rPr>
              <w:t xml:space="preserve"> lodgement </w:t>
            </w:r>
            <w:r w:rsidR="00F55080" w:rsidRPr="00FE2B6E">
              <w:rPr>
                <w:color w:val="auto"/>
              </w:rPr>
              <w:t xml:space="preserve">of documents </w:t>
            </w:r>
            <w:r w:rsidRPr="00FE2B6E">
              <w:rPr>
                <w:color w:val="auto"/>
              </w:rPr>
              <w:t xml:space="preserve">so that </w:t>
            </w:r>
            <w:r w:rsidR="001A509C" w:rsidRPr="00FE2B6E">
              <w:rPr>
                <w:color w:val="auto"/>
              </w:rPr>
              <w:t xml:space="preserve">the public and government </w:t>
            </w:r>
            <w:r w:rsidRPr="00FE2B6E">
              <w:rPr>
                <w:color w:val="auto"/>
              </w:rPr>
              <w:t>dealing with the company know that it exi</w:t>
            </w:r>
            <w:r w:rsidR="008A6926">
              <w:rPr>
                <w:color w:val="auto"/>
              </w:rPr>
              <w:t xml:space="preserve">sts and who its directors are. </w:t>
            </w:r>
            <w:r w:rsidR="00293D76" w:rsidRPr="00FE2B6E">
              <w:rPr>
                <w:color w:val="auto"/>
              </w:rPr>
              <w:t xml:space="preserve">Companies also </w:t>
            </w:r>
            <w:r w:rsidR="00293D76" w:rsidRPr="00FE2B6E">
              <w:rPr>
                <w:color w:val="auto"/>
              </w:rPr>
              <w:lastRenderedPageBreak/>
              <w:t xml:space="preserve">have different tax treatment </w:t>
            </w:r>
            <w:r w:rsidR="00B70692">
              <w:rPr>
                <w:color w:val="auto"/>
              </w:rPr>
              <w:t>to</w:t>
            </w:r>
            <w:r w:rsidR="00B70692" w:rsidRPr="00FE2B6E">
              <w:rPr>
                <w:color w:val="auto"/>
              </w:rPr>
              <w:t xml:space="preserve"> </w:t>
            </w:r>
            <w:r w:rsidR="00293D76" w:rsidRPr="00FE2B6E">
              <w:rPr>
                <w:color w:val="auto"/>
              </w:rPr>
              <w:t>non-companies.</w:t>
            </w:r>
          </w:p>
          <w:p w14:paraId="32F7B185" w14:textId="77777777" w:rsidR="00001E85" w:rsidRPr="00FE2B6E" w:rsidRDefault="00001E85" w:rsidP="00F55080">
            <w:pPr>
              <w:cnfStyle w:val="000000000000" w:firstRow="0" w:lastRow="0" w:firstColumn="0" w:lastColumn="0" w:oddVBand="0" w:evenVBand="0" w:oddHBand="0" w:evenHBand="0" w:firstRowFirstColumn="0" w:firstRowLastColumn="0" w:lastRowFirstColumn="0" w:lastRowLastColumn="0"/>
              <w:rPr>
                <w:color w:val="auto"/>
              </w:rPr>
            </w:pPr>
          </w:p>
        </w:tc>
        <w:tc>
          <w:tcPr>
            <w:tcW w:w="4536" w:type="dxa"/>
            <w:tcBorders>
              <w:top w:val="single" w:sz="12" w:space="0" w:color="4F81BD" w:themeColor="accent1"/>
            </w:tcBorders>
          </w:tcPr>
          <w:p w14:paraId="6361FE13" w14:textId="0749D388" w:rsidR="00A316EB" w:rsidRPr="00FE2B6E" w:rsidRDefault="007D1DEF" w:rsidP="00904FE7">
            <w:pPr>
              <w:cnfStyle w:val="000000000000" w:firstRow="0" w:lastRow="0" w:firstColumn="0" w:lastColumn="0" w:oddVBand="0" w:evenVBand="0" w:oddHBand="0" w:evenHBand="0" w:firstRowFirstColumn="0" w:firstRowLastColumn="0" w:lastRowFirstColumn="0" w:lastRowLastColumn="0"/>
              <w:rPr>
                <w:color w:val="auto"/>
              </w:rPr>
            </w:pPr>
            <w:r>
              <w:rPr>
                <w:color w:val="auto"/>
              </w:rPr>
              <w:lastRenderedPageBreak/>
              <w:t>T</w:t>
            </w:r>
            <w:r w:rsidR="00A316EB" w:rsidRPr="00FE2B6E">
              <w:rPr>
                <w:color w:val="auto"/>
              </w:rPr>
              <w:t>he fee for registering an Australian company with share capital is $488</w:t>
            </w:r>
            <w:r w:rsidR="00DF05DF" w:rsidRPr="00FE2B6E">
              <w:rPr>
                <w:color w:val="auto"/>
              </w:rPr>
              <w:t xml:space="preserve"> and $103 for a special purpose company</w:t>
            </w:r>
            <w:r w:rsidR="00A316EB" w:rsidRPr="00FE2B6E">
              <w:rPr>
                <w:color w:val="auto"/>
              </w:rPr>
              <w:t>.</w:t>
            </w:r>
          </w:p>
        </w:tc>
        <w:tc>
          <w:tcPr>
            <w:tcW w:w="3969" w:type="dxa"/>
            <w:tcBorders>
              <w:top w:val="single" w:sz="12" w:space="0" w:color="4F81BD" w:themeColor="accent1"/>
            </w:tcBorders>
          </w:tcPr>
          <w:p w14:paraId="415D1909" w14:textId="77777777" w:rsidR="00A316EB" w:rsidRPr="00FE2B6E" w:rsidRDefault="002C7D33" w:rsidP="00A316EB">
            <w:pPr>
              <w:cnfStyle w:val="000000000000" w:firstRow="0" w:lastRow="0" w:firstColumn="0" w:lastColumn="0" w:oddVBand="0" w:evenVBand="0" w:oddHBand="0" w:evenHBand="0" w:firstRowFirstColumn="0" w:firstRowLastColumn="0" w:lastRowFirstColumn="0" w:lastRowLastColumn="0"/>
              <w:rPr>
                <w:b/>
                <w:color w:val="auto"/>
              </w:rPr>
            </w:pPr>
            <w:r w:rsidRPr="00FE2B6E">
              <w:rPr>
                <w:color w:val="auto"/>
              </w:rPr>
              <w:t>Registration</w:t>
            </w:r>
            <w:r w:rsidR="00A316EB" w:rsidRPr="00FE2B6E">
              <w:rPr>
                <w:color w:val="auto"/>
              </w:rPr>
              <w:t xml:space="preserve"> fees for new companies comprised 13</w:t>
            </w:r>
            <w:r w:rsidR="009E7E4B" w:rsidRPr="00FE2B6E">
              <w:rPr>
                <w:color w:val="auto"/>
              </w:rPr>
              <w:t> per cent</w:t>
            </w:r>
            <w:r w:rsidR="00A316EB" w:rsidRPr="00FE2B6E">
              <w:rPr>
                <w:color w:val="auto"/>
              </w:rPr>
              <w:t xml:space="preserve"> ($118m</w:t>
            </w:r>
            <w:r w:rsidR="0079749A">
              <w:rPr>
                <w:color w:val="auto"/>
              </w:rPr>
              <w:t>,</w:t>
            </w:r>
            <w:r w:rsidR="00B70692">
              <w:rPr>
                <w:color w:val="auto"/>
              </w:rPr>
              <w:t xml:space="preserve"> reflecting </w:t>
            </w:r>
            <w:r w:rsidR="00D40655">
              <w:rPr>
                <w:color w:val="auto"/>
              </w:rPr>
              <w:t>244,510</w:t>
            </w:r>
            <w:r w:rsidR="00B70692">
              <w:rPr>
                <w:color w:val="auto"/>
              </w:rPr>
              <w:t xml:space="preserve"> </w:t>
            </w:r>
            <w:r w:rsidR="00D40655">
              <w:rPr>
                <w:color w:val="auto"/>
              </w:rPr>
              <w:t xml:space="preserve">new </w:t>
            </w:r>
            <w:r w:rsidR="00B70692">
              <w:rPr>
                <w:color w:val="auto"/>
              </w:rPr>
              <w:t>companies</w:t>
            </w:r>
            <w:r w:rsidR="00D40655">
              <w:rPr>
                <w:color w:val="auto"/>
              </w:rPr>
              <w:t xml:space="preserve"> registered</w:t>
            </w:r>
            <w:r w:rsidR="00A316EB" w:rsidRPr="00FE2B6E">
              <w:rPr>
                <w:color w:val="auto"/>
              </w:rPr>
              <w:t>) of fees collected in 2017</w:t>
            </w:r>
            <w:r w:rsidR="00F55080" w:rsidRPr="00FE2B6E">
              <w:rPr>
                <w:color w:val="auto"/>
              </w:rPr>
              <w:t>-</w:t>
            </w:r>
            <w:r w:rsidR="00A316EB" w:rsidRPr="00FE2B6E">
              <w:rPr>
                <w:color w:val="auto"/>
              </w:rPr>
              <w:t>18</w:t>
            </w:r>
            <w:r w:rsidR="008B773B">
              <w:rPr>
                <w:color w:val="auto"/>
              </w:rPr>
              <w:t>.</w:t>
            </w:r>
            <w:r w:rsidR="00A316EB" w:rsidRPr="00FE2B6E">
              <w:rPr>
                <w:color w:val="auto"/>
              </w:rPr>
              <w:t xml:space="preserve"> </w:t>
            </w:r>
          </w:p>
          <w:p w14:paraId="2B964AF5" w14:textId="77777777" w:rsidR="00A316EB" w:rsidRPr="00FE2B6E" w:rsidRDefault="00A316EB" w:rsidP="00904FE7">
            <w:pPr>
              <w:cnfStyle w:val="000000000000" w:firstRow="0" w:lastRow="0" w:firstColumn="0" w:lastColumn="0" w:oddVBand="0" w:evenVBand="0" w:oddHBand="0" w:evenHBand="0" w:firstRowFirstColumn="0" w:firstRowLastColumn="0" w:lastRowFirstColumn="0" w:lastRowLastColumn="0"/>
              <w:rPr>
                <w:color w:val="auto"/>
              </w:rPr>
            </w:pPr>
          </w:p>
        </w:tc>
      </w:tr>
      <w:tr w:rsidR="00E97F0C" w:rsidRPr="00FE2B6E" w14:paraId="70988E6D" w14:textId="77777777" w:rsidTr="005E0D8A">
        <w:trPr>
          <w:gridAfter w:val="2"/>
          <w:cnfStyle w:val="000000100000" w:firstRow="0" w:lastRow="0" w:firstColumn="0" w:lastColumn="0" w:oddVBand="0" w:evenVBand="0" w:oddHBand="1" w:evenHBand="0" w:firstRowFirstColumn="0" w:firstRowLastColumn="0" w:lastRowFirstColumn="0" w:lastRowLastColumn="0"/>
          <w:wAfter w:w="317" w:type="dxa"/>
          <w:trHeight w:val="700"/>
        </w:trPr>
        <w:tc>
          <w:tcPr>
            <w:cnfStyle w:val="001000000000" w:firstRow="0" w:lastRow="0" w:firstColumn="1" w:lastColumn="0" w:oddVBand="0" w:evenVBand="0" w:oddHBand="0" w:evenHBand="0" w:firstRowFirstColumn="0" w:firstRowLastColumn="0" w:lastRowFirstColumn="0" w:lastRowLastColumn="0"/>
            <w:tcW w:w="1457" w:type="dxa"/>
          </w:tcPr>
          <w:p w14:paraId="39678EB4" w14:textId="574808E5" w:rsidR="00BF0E04" w:rsidRPr="00FE2B6E" w:rsidRDefault="00BF0E04" w:rsidP="00A313A9">
            <w:pPr>
              <w:rPr>
                <w:b w:val="0"/>
                <w:color w:val="auto"/>
              </w:rPr>
            </w:pPr>
            <w:r w:rsidRPr="00FE2B6E">
              <w:rPr>
                <w:b w:val="0"/>
                <w:color w:val="auto"/>
              </w:rPr>
              <w:lastRenderedPageBreak/>
              <w:t xml:space="preserve">Late </w:t>
            </w:r>
            <w:r w:rsidR="00E97F0C">
              <w:rPr>
                <w:b w:val="0"/>
                <w:color w:val="auto"/>
              </w:rPr>
              <w:t xml:space="preserve">Fees for: late </w:t>
            </w:r>
            <w:r w:rsidRPr="00FE2B6E">
              <w:rPr>
                <w:b w:val="0"/>
                <w:color w:val="auto"/>
              </w:rPr>
              <w:t xml:space="preserve">lodgement, </w:t>
            </w:r>
            <w:r w:rsidR="00E97F0C">
              <w:rPr>
                <w:b w:val="0"/>
                <w:color w:val="auto"/>
              </w:rPr>
              <w:t xml:space="preserve">late </w:t>
            </w:r>
            <w:r w:rsidRPr="00FE2B6E">
              <w:rPr>
                <w:b w:val="0"/>
                <w:color w:val="auto"/>
              </w:rPr>
              <w:t xml:space="preserve">review, and </w:t>
            </w:r>
            <w:r w:rsidR="00E97F0C">
              <w:rPr>
                <w:b w:val="0"/>
                <w:color w:val="auto"/>
              </w:rPr>
              <w:t xml:space="preserve">late </w:t>
            </w:r>
            <w:r w:rsidRPr="00FE2B6E">
              <w:rPr>
                <w:b w:val="0"/>
                <w:color w:val="auto"/>
              </w:rPr>
              <w:t>payment</w:t>
            </w:r>
          </w:p>
        </w:tc>
        <w:tc>
          <w:tcPr>
            <w:tcW w:w="4923" w:type="dxa"/>
          </w:tcPr>
          <w:p w14:paraId="54DA6BDA" w14:textId="77777777" w:rsidR="00BF0E04" w:rsidRPr="00FE2B6E" w:rsidRDefault="00BF0E04" w:rsidP="00A313A9">
            <w:pPr>
              <w:cnfStyle w:val="000000100000" w:firstRow="0" w:lastRow="0" w:firstColumn="0" w:lastColumn="0" w:oddVBand="0" w:evenVBand="0" w:oddHBand="1" w:evenHBand="0" w:firstRowFirstColumn="0" w:firstRowLastColumn="0" w:lastRowFirstColumn="0" w:lastRowLastColumn="0"/>
              <w:rPr>
                <w:color w:val="auto"/>
              </w:rPr>
            </w:pPr>
            <w:r w:rsidRPr="00FE2B6E">
              <w:rPr>
                <w:color w:val="auto"/>
              </w:rPr>
              <w:t xml:space="preserve">There are three types of late fees: late lodgement, late review and late payment fees. </w:t>
            </w:r>
            <w:r w:rsidR="005C152F" w:rsidRPr="00FE2B6E">
              <w:rPr>
                <w:color w:val="auto"/>
              </w:rPr>
              <w:t>Attachment B explains late fees in more detail and provides examples to demonstrate the late fee process.</w:t>
            </w:r>
          </w:p>
          <w:p w14:paraId="5A686994" w14:textId="77777777" w:rsidR="00BF0E04" w:rsidRPr="00FE2B6E" w:rsidRDefault="00BF0E04" w:rsidP="00A313A9">
            <w:pPr>
              <w:cnfStyle w:val="000000100000" w:firstRow="0" w:lastRow="0" w:firstColumn="0" w:lastColumn="0" w:oddVBand="0" w:evenVBand="0" w:oddHBand="1" w:evenHBand="0" w:firstRowFirstColumn="0" w:firstRowLastColumn="0" w:lastRowFirstColumn="0" w:lastRowLastColumn="0"/>
              <w:rPr>
                <w:color w:val="auto"/>
              </w:rPr>
            </w:pPr>
            <w:r w:rsidRPr="00FE2B6E">
              <w:rPr>
                <w:color w:val="auto"/>
              </w:rPr>
              <w:t xml:space="preserve">Late lodgement - information needs to be lodged with ASIC within a certain timeframe, usually within 28 days of the date of change. If information is lodged outside of this time, ASIC may charge a late lodgement fee. The company is responsible for making sure the company lodges its documents on time. Information is only considered lodged when it is received and accepted by ASIC. If lodging in paper, companies need to allow enough time for postage and delivery. </w:t>
            </w:r>
          </w:p>
          <w:p w14:paraId="72A7355E" w14:textId="6661F68D" w:rsidR="00BF0E04" w:rsidRPr="00FE2B6E" w:rsidRDefault="00BF0E04" w:rsidP="00A313A9">
            <w:pPr>
              <w:cnfStyle w:val="000000100000" w:firstRow="0" w:lastRow="0" w:firstColumn="0" w:lastColumn="0" w:oddVBand="0" w:evenVBand="0" w:oddHBand="1" w:evenHBand="0" w:firstRowFirstColumn="0" w:firstRowLastColumn="0" w:lastRowFirstColumn="0" w:lastRowLastColumn="0"/>
              <w:rPr>
                <w:color w:val="auto"/>
              </w:rPr>
            </w:pPr>
            <w:r w:rsidRPr="00FE2B6E">
              <w:rPr>
                <w:color w:val="auto"/>
              </w:rPr>
              <w:t xml:space="preserve">Late payment – these late fees are imposed on entities that don’t pay their annual </w:t>
            </w:r>
            <w:r w:rsidR="00E97F0C">
              <w:rPr>
                <w:color w:val="auto"/>
              </w:rPr>
              <w:t xml:space="preserve">review </w:t>
            </w:r>
            <w:r w:rsidRPr="00FE2B6E">
              <w:rPr>
                <w:color w:val="auto"/>
              </w:rPr>
              <w:t xml:space="preserve">fee within the prescribed timeframe. If fees are left outstanding ASIC can take action to deregister the company. </w:t>
            </w:r>
          </w:p>
          <w:p w14:paraId="7BD866DA" w14:textId="1555D720" w:rsidR="00BF0E04" w:rsidRPr="00FE2B6E" w:rsidRDefault="00BF0E04" w:rsidP="00A313A9">
            <w:pPr>
              <w:autoSpaceDE w:val="0"/>
              <w:autoSpaceDN w:val="0"/>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rPr>
            </w:pPr>
            <w:r w:rsidRPr="00FE2B6E">
              <w:rPr>
                <w:color w:val="auto"/>
              </w:rPr>
              <w:t xml:space="preserve">Late review fees </w:t>
            </w:r>
            <w:r w:rsidRPr="00FE2B6E">
              <w:rPr>
                <w:rFonts w:asciiTheme="minorHAnsi" w:hAnsiTheme="minorHAnsi"/>
                <w:color w:val="auto"/>
              </w:rPr>
              <w:t>- companies must lodge information changes with ASIC within 28 days of the annual statement issue date, or a further late fee will apply.</w:t>
            </w:r>
          </w:p>
        </w:tc>
        <w:tc>
          <w:tcPr>
            <w:tcW w:w="4536" w:type="dxa"/>
          </w:tcPr>
          <w:p w14:paraId="37EEBA39" w14:textId="77777777" w:rsidR="00F97BDF" w:rsidRPr="00F97BDF" w:rsidRDefault="00F97BDF" w:rsidP="00F97BDF">
            <w:pPr>
              <w:cnfStyle w:val="000000100000" w:firstRow="0" w:lastRow="0" w:firstColumn="0" w:lastColumn="0" w:oddVBand="0" w:evenVBand="0" w:oddHBand="1" w:evenHBand="0" w:firstRowFirstColumn="0" w:firstRowLastColumn="0" w:lastRowFirstColumn="0" w:lastRowLastColumn="0"/>
              <w:rPr>
                <w:color w:val="auto"/>
              </w:rPr>
            </w:pPr>
            <w:r w:rsidRPr="00F97BDF">
              <w:rPr>
                <w:color w:val="auto"/>
              </w:rPr>
              <w:t>Late Payment Fee:</w:t>
            </w:r>
          </w:p>
          <w:p w14:paraId="5C6AEE4D" w14:textId="77777777" w:rsidR="00F97BDF" w:rsidRPr="00001E85" w:rsidRDefault="00F97BDF" w:rsidP="00F97BDF">
            <w:pPr>
              <w:pStyle w:val="ListParagraph"/>
              <w:numPr>
                <w:ilvl w:val="0"/>
                <w:numId w:val="27"/>
              </w:numPr>
              <w:spacing w:before="0" w:after="0"/>
              <w:cnfStyle w:val="000000100000" w:firstRow="0" w:lastRow="0" w:firstColumn="0" w:lastColumn="0" w:oddVBand="0" w:evenVBand="0" w:oddHBand="1" w:evenHBand="0" w:firstRowFirstColumn="0" w:firstRowLastColumn="0" w:lastRowFirstColumn="0" w:lastRowLastColumn="0"/>
              <w:rPr>
                <w:color w:val="auto"/>
              </w:rPr>
            </w:pPr>
            <w:r w:rsidRPr="00001E85">
              <w:rPr>
                <w:color w:val="auto"/>
              </w:rPr>
              <w:t>Annual review fee received less than one month late - $79</w:t>
            </w:r>
          </w:p>
          <w:p w14:paraId="0D44F8C3" w14:textId="77777777" w:rsidR="00F97BDF" w:rsidRPr="00001E85" w:rsidRDefault="00F97BDF" w:rsidP="00F97BDF">
            <w:pPr>
              <w:pStyle w:val="ListParagraph"/>
              <w:numPr>
                <w:ilvl w:val="0"/>
                <w:numId w:val="27"/>
              </w:numPr>
              <w:spacing w:before="0" w:after="0"/>
              <w:cnfStyle w:val="000000100000" w:firstRow="0" w:lastRow="0" w:firstColumn="0" w:lastColumn="0" w:oddVBand="0" w:evenVBand="0" w:oddHBand="1" w:evenHBand="0" w:firstRowFirstColumn="0" w:firstRowLastColumn="0" w:lastRowFirstColumn="0" w:lastRowLastColumn="0"/>
              <w:rPr>
                <w:color w:val="auto"/>
              </w:rPr>
            </w:pPr>
            <w:r w:rsidRPr="00001E85">
              <w:rPr>
                <w:color w:val="auto"/>
              </w:rPr>
              <w:t>Annual review fee received more than one month late - $329</w:t>
            </w:r>
          </w:p>
          <w:p w14:paraId="2A07FCD3" w14:textId="77777777" w:rsidR="00F97BDF" w:rsidRPr="00F97BDF" w:rsidRDefault="00F97BDF" w:rsidP="00F97BDF">
            <w:pPr>
              <w:cnfStyle w:val="000000100000" w:firstRow="0" w:lastRow="0" w:firstColumn="0" w:lastColumn="0" w:oddVBand="0" w:evenVBand="0" w:oddHBand="1" w:evenHBand="0" w:firstRowFirstColumn="0" w:firstRowLastColumn="0" w:lastRowFirstColumn="0" w:lastRowLastColumn="0"/>
              <w:rPr>
                <w:color w:val="auto"/>
              </w:rPr>
            </w:pPr>
            <w:r w:rsidRPr="00F97BDF">
              <w:rPr>
                <w:color w:val="auto"/>
              </w:rPr>
              <w:t>Late Lodgement Fee:</w:t>
            </w:r>
          </w:p>
          <w:p w14:paraId="0F7AF609" w14:textId="77777777" w:rsidR="00F97BDF" w:rsidRPr="00001E85" w:rsidRDefault="00F97BDF" w:rsidP="00F97BDF">
            <w:pPr>
              <w:pStyle w:val="ListParagraph"/>
              <w:numPr>
                <w:ilvl w:val="0"/>
                <w:numId w:val="27"/>
              </w:numPr>
              <w:spacing w:before="0" w:after="0"/>
              <w:cnfStyle w:val="000000100000" w:firstRow="0" w:lastRow="0" w:firstColumn="0" w:lastColumn="0" w:oddVBand="0" w:evenVBand="0" w:oddHBand="1" w:evenHBand="0" w:firstRowFirstColumn="0" w:firstRowLastColumn="0" w:lastRowFirstColumn="0" w:lastRowLastColumn="0"/>
              <w:rPr>
                <w:color w:val="auto"/>
              </w:rPr>
            </w:pPr>
            <w:r w:rsidRPr="00001E85">
              <w:rPr>
                <w:color w:val="auto"/>
              </w:rPr>
              <w:t>Change of company details notified less than one month late - $79</w:t>
            </w:r>
          </w:p>
          <w:p w14:paraId="7B3D6067" w14:textId="77777777" w:rsidR="00F97BDF" w:rsidRPr="00001E85" w:rsidRDefault="00F97BDF" w:rsidP="00F97BDF">
            <w:pPr>
              <w:pStyle w:val="ListParagraph"/>
              <w:numPr>
                <w:ilvl w:val="0"/>
                <w:numId w:val="27"/>
              </w:numPr>
              <w:spacing w:before="0" w:after="0"/>
              <w:cnfStyle w:val="000000100000" w:firstRow="0" w:lastRow="0" w:firstColumn="0" w:lastColumn="0" w:oddVBand="0" w:evenVBand="0" w:oddHBand="1" w:evenHBand="0" w:firstRowFirstColumn="0" w:firstRowLastColumn="0" w:lastRowFirstColumn="0" w:lastRowLastColumn="0"/>
              <w:rPr>
                <w:color w:val="auto"/>
              </w:rPr>
            </w:pPr>
            <w:r w:rsidRPr="00001E85">
              <w:rPr>
                <w:color w:val="auto"/>
              </w:rPr>
              <w:t>Change to company details notified more than one month late - $329</w:t>
            </w:r>
          </w:p>
          <w:p w14:paraId="7CA844E7" w14:textId="77777777" w:rsidR="00F97BDF" w:rsidRPr="00F97BDF" w:rsidRDefault="00F97BDF" w:rsidP="00F97BDF">
            <w:pPr>
              <w:cnfStyle w:val="000000100000" w:firstRow="0" w:lastRow="0" w:firstColumn="0" w:lastColumn="0" w:oddVBand="0" w:evenVBand="0" w:oddHBand="1" w:evenHBand="0" w:firstRowFirstColumn="0" w:firstRowLastColumn="0" w:lastRowFirstColumn="0" w:lastRowLastColumn="0"/>
              <w:rPr>
                <w:color w:val="auto"/>
              </w:rPr>
            </w:pPr>
            <w:r w:rsidRPr="00F97BDF">
              <w:rPr>
                <w:color w:val="auto"/>
              </w:rPr>
              <w:t>Late review fee</w:t>
            </w:r>
          </w:p>
          <w:p w14:paraId="5E684AED" w14:textId="77777777" w:rsidR="00F97BDF" w:rsidRPr="00001E85" w:rsidRDefault="00F97BDF" w:rsidP="00F97BDF">
            <w:pPr>
              <w:pStyle w:val="ListParagraph"/>
              <w:numPr>
                <w:ilvl w:val="0"/>
                <w:numId w:val="27"/>
              </w:numPr>
              <w:spacing w:before="0" w:after="0"/>
              <w:cnfStyle w:val="000000100000" w:firstRow="0" w:lastRow="0" w:firstColumn="0" w:lastColumn="0" w:oddVBand="0" w:evenVBand="0" w:oddHBand="1" w:evenHBand="0" w:firstRowFirstColumn="0" w:firstRowLastColumn="0" w:lastRowFirstColumn="0" w:lastRowLastColumn="0"/>
              <w:rPr>
                <w:color w:val="auto"/>
              </w:rPr>
            </w:pPr>
            <w:r w:rsidRPr="00001E85">
              <w:rPr>
                <w:color w:val="auto"/>
              </w:rPr>
              <w:t>Failure to notify a change with received less than one month late - $79</w:t>
            </w:r>
          </w:p>
          <w:p w14:paraId="620F4D6C" w14:textId="77777777" w:rsidR="00F97BDF" w:rsidRPr="00001E85" w:rsidRDefault="00F97BDF" w:rsidP="00F97BDF">
            <w:pPr>
              <w:pStyle w:val="ListParagraph"/>
              <w:numPr>
                <w:ilvl w:val="0"/>
                <w:numId w:val="27"/>
              </w:numPr>
              <w:spacing w:before="0" w:after="0"/>
              <w:cnfStyle w:val="000000100000" w:firstRow="0" w:lastRow="0" w:firstColumn="0" w:lastColumn="0" w:oddVBand="0" w:evenVBand="0" w:oddHBand="1" w:evenHBand="0" w:firstRowFirstColumn="0" w:firstRowLastColumn="0" w:lastRowFirstColumn="0" w:lastRowLastColumn="0"/>
              <w:rPr>
                <w:color w:val="auto"/>
              </w:rPr>
            </w:pPr>
            <w:r w:rsidRPr="00001E85">
              <w:rPr>
                <w:color w:val="auto"/>
              </w:rPr>
              <w:t>Annual review fee received more than one month late - $329</w:t>
            </w:r>
          </w:p>
          <w:p w14:paraId="001A1496" w14:textId="77777777" w:rsidR="00BF0E04" w:rsidRPr="00FE2B6E" w:rsidRDefault="00BF0E04" w:rsidP="00A313A9">
            <w:pPr>
              <w:cnfStyle w:val="000000100000" w:firstRow="0" w:lastRow="0" w:firstColumn="0" w:lastColumn="0" w:oddVBand="0" w:evenVBand="0" w:oddHBand="1" w:evenHBand="0" w:firstRowFirstColumn="0" w:firstRowLastColumn="0" w:lastRowFirstColumn="0" w:lastRowLastColumn="0"/>
              <w:rPr>
                <w:color w:val="auto"/>
              </w:rPr>
            </w:pPr>
          </w:p>
        </w:tc>
        <w:tc>
          <w:tcPr>
            <w:tcW w:w="4110" w:type="dxa"/>
            <w:gridSpan w:val="2"/>
          </w:tcPr>
          <w:p w14:paraId="039464A2" w14:textId="77777777" w:rsidR="00BF0E04" w:rsidRPr="00FE2B6E" w:rsidRDefault="00BF0E04" w:rsidP="00A313A9">
            <w:pPr>
              <w:cnfStyle w:val="000000100000" w:firstRow="0" w:lastRow="0" w:firstColumn="0" w:lastColumn="0" w:oddVBand="0" w:evenVBand="0" w:oddHBand="1" w:evenHBand="0" w:firstRowFirstColumn="0" w:firstRowLastColumn="0" w:lastRowFirstColumn="0" w:lastRowLastColumn="0"/>
              <w:rPr>
                <w:color w:val="auto"/>
              </w:rPr>
            </w:pPr>
            <w:r w:rsidRPr="00FE2B6E">
              <w:rPr>
                <w:color w:val="auto"/>
              </w:rPr>
              <w:t>Late fees comprised 13 per cent ($118m)</w:t>
            </w:r>
            <w:r w:rsidR="008A6926">
              <w:rPr>
                <w:color w:val="auto"/>
              </w:rPr>
              <w:t xml:space="preserve"> of fees collected in 2017-18. </w:t>
            </w:r>
          </w:p>
          <w:p w14:paraId="6EE55FC9" w14:textId="77777777" w:rsidR="00BF0E04" w:rsidRPr="00FE2B6E" w:rsidRDefault="00BF0E04" w:rsidP="00A313A9">
            <w:pPr>
              <w:cnfStyle w:val="000000100000" w:firstRow="0" w:lastRow="0" w:firstColumn="0" w:lastColumn="0" w:oddVBand="0" w:evenVBand="0" w:oddHBand="1" w:evenHBand="0" w:firstRowFirstColumn="0" w:firstRowLastColumn="0" w:lastRowFirstColumn="0" w:lastRowLastColumn="0"/>
              <w:rPr>
                <w:color w:val="auto"/>
              </w:rPr>
            </w:pPr>
          </w:p>
        </w:tc>
      </w:tr>
      <w:tr w:rsidR="00E97F0C" w:rsidRPr="00FE2B6E" w14:paraId="189D2FBD" w14:textId="77777777" w:rsidTr="005E0D8A">
        <w:trPr>
          <w:gridAfter w:val="3"/>
          <w:wAfter w:w="458" w:type="dxa"/>
          <w:trHeight w:val="706"/>
        </w:trPr>
        <w:tc>
          <w:tcPr>
            <w:cnfStyle w:val="001000000000" w:firstRow="0" w:lastRow="0" w:firstColumn="1" w:lastColumn="0" w:oddVBand="0" w:evenVBand="0" w:oddHBand="0" w:evenHBand="0" w:firstRowFirstColumn="0" w:firstRowLastColumn="0" w:lastRowFirstColumn="0" w:lastRowLastColumn="0"/>
            <w:tcW w:w="1457" w:type="dxa"/>
          </w:tcPr>
          <w:p w14:paraId="279CCE94" w14:textId="77777777" w:rsidR="0005598E" w:rsidRPr="00FE2B6E" w:rsidRDefault="0005598E" w:rsidP="00277653">
            <w:pPr>
              <w:rPr>
                <w:b w:val="0"/>
                <w:color w:val="auto"/>
              </w:rPr>
            </w:pPr>
            <w:r w:rsidRPr="00FE2B6E">
              <w:rPr>
                <w:b w:val="0"/>
                <w:color w:val="auto"/>
              </w:rPr>
              <w:t>Business Name Registration and Renewal</w:t>
            </w:r>
          </w:p>
        </w:tc>
        <w:tc>
          <w:tcPr>
            <w:tcW w:w="4923" w:type="dxa"/>
          </w:tcPr>
          <w:p w14:paraId="39D09858" w14:textId="7FA4C2B8" w:rsidR="0005598E" w:rsidRPr="00B775D7" w:rsidRDefault="002C7D33" w:rsidP="00F55080">
            <w:pPr>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FE2B6E">
              <w:rPr>
                <w:rFonts w:eastAsia="Calibri"/>
                <w:color w:val="auto"/>
                <w:lang w:eastAsia="en-US"/>
              </w:rPr>
              <w:t>A B</w:t>
            </w:r>
            <w:r w:rsidR="00F55080" w:rsidRPr="00FE2B6E">
              <w:rPr>
                <w:rFonts w:eastAsia="Calibri"/>
                <w:color w:val="auto"/>
                <w:lang w:eastAsia="en-US"/>
              </w:rPr>
              <w:t>usiness N</w:t>
            </w:r>
            <w:r w:rsidRPr="00FE2B6E">
              <w:rPr>
                <w:rFonts w:eastAsia="Calibri"/>
                <w:color w:val="auto"/>
                <w:lang w:eastAsia="en-US"/>
              </w:rPr>
              <w:t>ame is a name or title under which a person or entity conducts a business. It allows a business to differentiate themselves from competitors</w:t>
            </w:r>
            <w:r w:rsidR="00DF05DF" w:rsidRPr="00FE2B6E">
              <w:rPr>
                <w:rFonts w:eastAsia="Calibri"/>
                <w:color w:val="auto"/>
                <w:lang w:eastAsia="en-US"/>
              </w:rPr>
              <w:t xml:space="preserve"> and to operate using a name that is </w:t>
            </w:r>
            <w:r w:rsidR="00DF05DF" w:rsidRPr="00FE2B6E">
              <w:rPr>
                <w:rFonts w:eastAsia="Calibri"/>
                <w:color w:val="auto"/>
                <w:lang w:eastAsia="en-US"/>
              </w:rPr>
              <w:lastRenderedPageBreak/>
              <w:t>other than their own</w:t>
            </w:r>
            <w:r w:rsidRPr="00FE2B6E">
              <w:rPr>
                <w:rFonts w:eastAsia="Calibri"/>
                <w:color w:val="auto"/>
                <w:lang w:eastAsia="en-US"/>
              </w:rPr>
              <w:t xml:space="preserve">. </w:t>
            </w:r>
          </w:p>
        </w:tc>
        <w:tc>
          <w:tcPr>
            <w:tcW w:w="4536" w:type="dxa"/>
          </w:tcPr>
          <w:p w14:paraId="1271396B" w14:textId="77777777" w:rsidR="0005598E" w:rsidRPr="00FE2B6E" w:rsidRDefault="0005598E" w:rsidP="0003237B">
            <w:pPr>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FE2B6E">
              <w:rPr>
                <w:rFonts w:eastAsia="Calibri"/>
                <w:color w:val="auto"/>
                <w:lang w:eastAsia="en-US"/>
              </w:rPr>
              <w:lastRenderedPageBreak/>
              <w:t>The fee for registering a</w:t>
            </w:r>
            <w:r w:rsidR="00C52AE1">
              <w:rPr>
                <w:rFonts w:eastAsia="Calibri"/>
                <w:color w:val="auto"/>
                <w:lang w:eastAsia="en-US"/>
              </w:rPr>
              <w:t xml:space="preserve">nd renewing </w:t>
            </w:r>
            <w:r w:rsidRPr="00FE2B6E">
              <w:rPr>
                <w:rFonts w:eastAsia="Calibri"/>
                <w:color w:val="auto"/>
                <w:lang w:eastAsia="en-US"/>
              </w:rPr>
              <w:t>a business name is:</w:t>
            </w:r>
          </w:p>
          <w:p w14:paraId="1CB4825C" w14:textId="77777777" w:rsidR="0005598E" w:rsidRPr="00FE2B6E" w:rsidRDefault="0005598E" w:rsidP="0003237B">
            <w:pPr>
              <w:pStyle w:val="Bullet"/>
              <w:cnfStyle w:val="000000000000" w:firstRow="0" w:lastRow="0" w:firstColumn="0" w:lastColumn="0" w:oddVBand="0" w:evenVBand="0" w:oddHBand="0" w:evenHBand="0" w:firstRowFirstColumn="0" w:firstRowLastColumn="0" w:lastRowFirstColumn="0" w:lastRowLastColumn="0"/>
              <w:rPr>
                <w:color w:val="auto"/>
              </w:rPr>
            </w:pPr>
            <w:r w:rsidRPr="00FE2B6E">
              <w:rPr>
                <w:color w:val="auto"/>
              </w:rPr>
              <w:t>$36 for one year, or</w:t>
            </w:r>
          </w:p>
          <w:p w14:paraId="601E4640" w14:textId="377E5A80" w:rsidR="00F41AB9" w:rsidRPr="00B775D7" w:rsidRDefault="0005598E" w:rsidP="00B775D7">
            <w:pPr>
              <w:pStyle w:val="Bullet"/>
              <w:cnfStyle w:val="000000000000" w:firstRow="0" w:lastRow="0" w:firstColumn="0" w:lastColumn="0" w:oddVBand="0" w:evenVBand="0" w:oddHBand="0" w:evenHBand="0" w:firstRowFirstColumn="0" w:firstRowLastColumn="0" w:lastRowFirstColumn="0" w:lastRowLastColumn="0"/>
              <w:rPr>
                <w:color w:val="auto"/>
              </w:rPr>
            </w:pPr>
            <w:r w:rsidRPr="00FE2B6E">
              <w:rPr>
                <w:color w:val="auto"/>
              </w:rPr>
              <w:lastRenderedPageBreak/>
              <w:t>$84 for</w:t>
            </w:r>
            <w:r w:rsidR="001A509C" w:rsidRPr="00FE2B6E">
              <w:rPr>
                <w:color w:val="auto"/>
              </w:rPr>
              <w:t xml:space="preserve"> 3 years</w:t>
            </w:r>
            <w:r w:rsidR="00F55080" w:rsidRPr="00FE2B6E">
              <w:rPr>
                <w:color w:val="auto"/>
              </w:rPr>
              <w:t>.</w:t>
            </w:r>
          </w:p>
        </w:tc>
        <w:tc>
          <w:tcPr>
            <w:tcW w:w="3969" w:type="dxa"/>
          </w:tcPr>
          <w:p w14:paraId="53FFD50D" w14:textId="3713C18F" w:rsidR="0005598E" w:rsidRPr="00B775D7" w:rsidRDefault="002C7D33" w:rsidP="007D1DEF">
            <w:pPr>
              <w:cnfStyle w:val="000000000000" w:firstRow="0" w:lastRow="0" w:firstColumn="0" w:lastColumn="0" w:oddVBand="0" w:evenVBand="0" w:oddHBand="0" w:evenHBand="0" w:firstRowFirstColumn="0" w:firstRowLastColumn="0" w:lastRowFirstColumn="0" w:lastRowLastColumn="0"/>
              <w:rPr>
                <w:b/>
                <w:color w:val="auto"/>
              </w:rPr>
            </w:pPr>
            <w:r w:rsidRPr="00FE2B6E">
              <w:rPr>
                <w:rFonts w:eastAsia="Calibri"/>
                <w:color w:val="auto"/>
                <w:szCs w:val="22"/>
                <w:lang w:eastAsia="en-US"/>
              </w:rPr>
              <w:lastRenderedPageBreak/>
              <w:t>Business Names fees comprise</w:t>
            </w:r>
            <w:r w:rsidR="00C106E0" w:rsidRPr="00FE2B6E">
              <w:rPr>
                <w:rFonts w:eastAsia="Calibri"/>
                <w:color w:val="auto"/>
                <w:szCs w:val="22"/>
                <w:lang w:eastAsia="en-US"/>
              </w:rPr>
              <w:t>d</w:t>
            </w:r>
            <w:r w:rsidRPr="00FE2B6E">
              <w:rPr>
                <w:rFonts w:eastAsia="Calibri"/>
                <w:color w:val="auto"/>
                <w:szCs w:val="22"/>
                <w:lang w:eastAsia="en-US"/>
              </w:rPr>
              <w:t xml:space="preserve"> about 6</w:t>
            </w:r>
            <w:r w:rsidR="009E7E4B" w:rsidRPr="00FE2B6E">
              <w:rPr>
                <w:rFonts w:eastAsia="Calibri"/>
                <w:color w:val="auto"/>
                <w:szCs w:val="22"/>
                <w:lang w:eastAsia="en-US"/>
              </w:rPr>
              <w:t> per cent</w:t>
            </w:r>
            <w:r w:rsidRPr="00FE2B6E">
              <w:rPr>
                <w:rFonts w:eastAsia="Calibri"/>
                <w:color w:val="auto"/>
                <w:szCs w:val="22"/>
                <w:lang w:eastAsia="en-US"/>
              </w:rPr>
              <w:t xml:space="preserve"> ($51m) of total fees collected in 2017</w:t>
            </w:r>
            <w:r w:rsidR="00293D76" w:rsidRPr="00FE2B6E">
              <w:rPr>
                <w:rFonts w:eastAsia="Calibri"/>
                <w:color w:val="auto"/>
                <w:szCs w:val="22"/>
                <w:lang w:eastAsia="en-US"/>
              </w:rPr>
              <w:t>-</w:t>
            </w:r>
            <w:r w:rsidRPr="00FE2B6E">
              <w:rPr>
                <w:rFonts w:eastAsia="Calibri"/>
                <w:color w:val="auto"/>
                <w:szCs w:val="22"/>
                <w:lang w:eastAsia="en-US"/>
              </w:rPr>
              <w:t xml:space="preserve">18. This amount is split almost evenly between new business name registrations and renewal of existing </w:t>
            </w:r>
            <w:r w:rsidRPr="00FE2B6E">
              <w:rPr>
                <w:rFonts w:eastAsia="Calibri"/>
                <w:color w:val="auto"/>
                <w:szCs w:val="22"/>
                <w:lang w:eastAsia="en-US"/>
              </w:rPr>
              <w:lastRenderedPageBreak/>
              <w:t>business names.</w:t>
            </w:r>
            <w:r w:rsidRPr="00FE2B6E">
              <w:rPr>
                <w:b/>
                <w:color w:val="auto"/>
              </w:rPr>
              <w:t xml:space="preserve"> </w:t>
            </w:r>
          </w:p>
        </w:tc>
      </w:tr>
      <w:tr w:rsidR="00E97F0C" w:rsidRPr="00FE2B6E" w14:paraId="278326F5" w14:textId="77777777" w:rsidTr="005E0D8A">
        <w:trPr>
          <w:gridAfter w:val="3"/>
          <w:cnfStyle w:val="000000100000" w:firstRow="0" w:lastRow="0" w:firstColumn="0" w:lastColumn="0" w:oddVBand="0" w:evenVBand="0" w:oddHBand="1" w:evenHBand="0" w:firstRowFirstColumn="0" w:firstRowLastColumn="0" w:lastRowFirstColumn="0" w:lastRowLastColumn="0"/>
          <w:wAfter w:w="458" w:type="dxa"/>
          <w:trHeight w:val="426"/>
        </w:trPr>
        <w:tc>
          <w:tcPr>
            <w:cnfStyle w:val="001000000000" w:firstRow="0" w:lastRow="0" w:firstColumn="1" w:lastColumn="0" w:oddVBand="0" w:evenVBand="0" w:oddHBand="0" w:evenHBand="0" w:firstRowFirstColumn="0" w:firstRowLastColumn="0" w:lastRowFirstColumn="0" w:lastRowLastColumn="0"/>
            <w:tcW w:w="1457" w:type="dxa"/>
          </w:tcPr>
          <w:p w14:paraId="613D1B3B" w14:textId="77777777" w:rsidR="00A316EB" w:rsidRPr="00FE2B6E" w:rsidRDefault="00A316EB" w:rsidP="00904FE7">
            <w:pPr>
              <w:rPr>
                <w:b w:val="0"/>
                <w:color w:val="auto"/>
              </w:rPr>
            </w:pPr>
            <w:r w:rsidRPr="00FE2B6E">
              <w:rPr>
                <w:b w:val="0"/>
                <w:color w:val="auto"/>
              </w:rPr>
              <w:lastRenderedPageBreak/>
              <w:t>Search</w:t>
            </w:r>
          </w:p>
        </w:tc>
        <w:tc>
          <w:tcPr>
            <w:tcW w:w="4923" w:type="dxa"/>
          </w:tcPr>
          <w:p w14:paraId="004AA1C5" w14:textId="77777777" w:rsidR="00A316EB" w:rsidRPr="00FE2B6E" w:rsidRDefault="00A316EB" w:rsidP="00904FE7">
            <w:pPr>
              <w:cnfStyle w:val="000000100000" w:firstRow="0" w:lastRow="0" w:firstColumn="0" w:lastColumn="0" w:oddVBand="0" w:evenVBand="0" w:oddHBand="1" w:evenHBand="0" w:firstRowFirstColumn="0" w:firstRowLastColumn="0" w:lastRowFirstColumn="0" w:lastRowLastColumn="0"/>
              <w:rPr>
                <w:color w:val="auto"/>
              </w:rPr>
            </w:pPr>
            <w:r w:rsidRPr="00FE2B6E">
              <w:rPr>
                <w:color w:val="auto"/>
              </w:rPr>
              <w:t>Fee</w:t>
            </w:r>
            <w:r w:rsidR="00DF05DF" w:rsidRPr="00FE2B6E">
              <w:rPr>
                <w:color w:val="auto"/>
              </w:rPr>
              <w:t>s are</w:t>
            </w:r>
            <w:r w:rsidRPr="00FE2B6E">
              <w:rPr>
                <w:color w:val="auto"/>
              </w:rPr>
              <w:t xml:space="preserve"> charged to access certain kinds of data held on </w:t>
            </w:r>
            <w:r w:rsidR="009E7E4B" w:rsidRPr="00FE2B6E">
              <w:rPr>
                <w:color w:val="auto"/>
              </w:rPr>
              <w:t xml:space="preserve">the </w:t>
            </w:r>
            <w:r w:rsidRPr="00FE2B6E">
              <w:rPr>
                <w:color w:val="auto"/>
              </w:rPr>
              <w:t>registers</w:t>
            </w:r>
            <w:r w:rsidR="009C7C90" w:rsidRPr="00FE2B6E">
              <w:rPr>
                <w:color w:val="auto"/>
              </w:rPr>
              <w:t xml:space="preserve">. </w:t>
            </w:r>
          </w:p>
          <w:p w14:paraId="4A2CB54B" w14:textId="77777777" w:rsidR="0077348F" w:rsidRPr="00FE2B6E" w:rsidRDefault="008774A4" w:rsidP="00020D9E">
            <w:pPr>
              <w:cnfStyle w:val="000000100000" w:firstRow="0" w:lastRow="0" w:firstColumn="0" w:lastColumn="0" w:oddVBand="0" w:evenVBand="0" w:oddHBand="1" w:evenHBand="0" w:firstRowFirstColumn="0" w:firstRowLastColumn="0" w:lastRowFirstColumn="0" w:lastRowLastColumn="0"/>
              <w:rPr>
                <w:color w:val="auto"/>
              </w:rPr>
            </w:pPr>
            <w:r w:rsidRPr="00FE2B6E">
              <w:rPr>
                <w:color w:val="auto"/>
              </w:rPr>
              <w:t xml:space="preserve">Over 95 per cent </w:t>
            </w:r>
            <w:r w:rsidR="00DF05DF" w:rsidRPr="00FE2B6E">
              <w:rPr>
                <w:color w:val="auto"/>
              </w:rPr>
              <w:t xml:space="preserve">of </w:t>
            </w:r>
            <w:r w:rsidRPr="00FE2B6E">
              <w:rPr>
                <w:color w:val="auto"/>
              </w:rPr>
              <w:t xml:space="preserve">searches do not incur a fee. However, </w:t>
            </w:r>
            <w:r w:rsidR="0077348F" w:rsidRPr="00FE2B6E">
              <w:rPr>
                <w:color w:val="auto"/>
              </w:rPr>
              <w:t xml:space="preserve">ASIC is legally obliged to charge fees for some products. </w:t>
            </w:r>
            <w:r w:rsidR="00347570" w:rsidRPr="00FE2B6E">
              <w:rPr>
                <w:color w:val="auto"/>
              </w:rPr>
              <w:t xml:space="preserve">See </w:t>
            </w:r>
            <w:r w:rsidR="00B1627E" w:rsidRPr="00FE2B6E">
              <w:rPr>
                <w:color w:val="auto"/>
              </w:rPr>
              <w:t xml:space="preserve">Attachment </w:t>
            </w:r>
            <w:r w:rsidR="00020D9E" w:rsidRPr="00FE2B6E">
              <w:rPr>
                <w:color w:val="auto"/>
              </w:rPr>
              <w:t>C</w:t>
            </w:r>
            <w:r w:rsidR="00347570" w:rsidRPr="00FE2B6E">
              <w:rPr>
                <w:color w:val="auto"/>
              </w:rPr>
              <w:t xml:space="preserve"> for a full outline. </w:t>
            </w:r>
          </w:p>
        </w:tc>
        <w:tc>
          <w:tcPr>
            <w:tcW w:w="4536" w:type="dxa"/>
          </w:tcPr>
          <w:p w14:paraId="3033D6F7" w14:textId="77777777" w:rsidR="00A316EB" w:rsidRPr="00FE2B6E" w:rsidRDefault="00347570" w:rsidP="009E5ECA">
            <w:pPr>
              <w:cnfStyle w:val="000000100000" w:firstRow="0" w:lastRow="0" w:firstColumn="0" w:lastColumn="0" w:oddVBand="0" w:evenVBand="0" w:oddHBand="1" w:evenHBand="0" w:firstRowFirstColumn="0" w:firstRowLastColumn="0" w:lastRowFirstColumn="0" w:lastRowLastColumn="0"/>
              <w:rPr>
                <w:color w:val="auto"/>
              </w:rPr>
            </w:pPr>
            <w:r w:rsidRPr="00FE2B6E">
              <w:rPr>
                <w:color w:val="auto"/>
              </w:rPr>
              <w:t>The c</w:t>
            </w:r>
            <w:r w:rsidR="00A316EB" w:rsidRPr="00FE2B6E">
              <w:rPr>
                <w:color w:val="auto"/>
              </w:rPr>
              <w:t xml:space="preserve">ost per search varies depending on documents obtained. </w:t>
            </w:r>
            <w:r w:rsidR="00024B44" w:rsidRPr="00FE2B6E">
              <w:rPr>
                <w:color w:val="auto"/>
              </w:rPr>
              <w:t xml:space="preserve">Fees range from $9 to $43. </w:t>
            </w:r>
          </w:p>
        </w:tc>
        <w:tc>
          <w:tcPr>
            <w:tcW w:w="3969" w:type="dxa"/>
          </w:tcPr>
          <w:p w14:paraId="4FCA85FD" w14:textId="0BF55F66" w:rsidR="00A316EB" w:rsidRPr="00FE2B6E" w:rsidRDefault="004A2F84" w:rsidP="007D1DEF">
            <w:pPr>
              <w:cnfStyle w:val="000000100000" w:firstRow="0" w:lastRow="0" w:firstColumn="0" w:lastColumn="0" w:oddVBand="0" w:evenVBand="0" w:oddHBand="1" w:evenHBand="0" w:firstRowFirstColumn="0" w:firstRowLastColumn="0" w:lastRowFirstColumn="0" w:lastRowLastColumn="0"/>
              <w:rPr>
                <w:color w:val="auto"/>
              </w:rPr>
            </w:pPr>
            <w:r w:rsidRPr="00FE2B6E">
              <w:rPr>
                <w:color w:val="auto"/>
              </w:rPr>
              <w:t>Search fees accounted for 7</w:t>
            </w:r>
            <w:r w:rsidR="009E7E4B" w:rsidRPr="00FE2B6E">
              <w:rPr>
                <w:color w:val="auto"/>
              </w:rPr>
              <w:t xml:space="preserve"> per cent</w:t>
            </w:r>
            <w:r w:rsidRPr="00FE2B6E">
              <w:rPr>
                <w:color w:val="auto"/>
              </w:rPr>
              <w:t xml:space="preserve"> ($64m) of fee collections in 2017</w:t>
            </w:r>
            <w:r w:rsidR="009E7E4B" w:rsidRPr="00FE2B6E">
              <w:rPr>
                <w:color w:val="auto"/>
              </w:rPr>
              <w:t>-</w:t>
            </w:r>
            <w:r w:rsidRPr="00FE2B6E">
              <w:rPr>
                <w:color w:val="auto"/>
              </w:rPr>
              <w:t>18. The vast majority (86</w:t>
            </w:r>
            <w:r w:rsidR="009E7E4B" w:rsidRPr="00FE2B6E">
              <w:rPr>
                <w:color w:val="auto"/>
              </w:rPr>
              <w:t xml:space="preserve"> per cent</w:t>
            </w:r>
            <w:r w:rsidRPr="00FE2B6E">
              <w:rPr>
                <w:color w:val="auto"/>
              </w:rPr>
              <w:t xml:space="preserve"> in 2017</w:t>
            </w:r>
            <w:r w:rsidR="009E7E4B" w:rsidRPr="00FE2B6E">
              <w:rPr>
                <w:color w:val="auto"/>
              </w:rPr>
              <w:t>-</w:t>
            </w:r>
            <w:r w:rsidRPr="00FE2B6E">
              <w:rPr>
                <w:color w:val="auto"/>
              </w:rPr>
              <w:t xml:space="preserve">18) of these searches are conducted through information brokers. </w:t>
            </w:r>
          </w:p>
        </w:tc>
      </w:tr>
      <w:tr w:rsidR="00E97F0C" w:rsidRPr="00FE2B6E" w14:paraId="6AF94578" w14:textId="77777777" w:rsidTr="005E0D8A">
        <w:trPr>
          <w:trHeight w:val="806"/>
        </w:trPr>
        <w:tc>
          <w:tcPr>
            <w:cnfStyle w:val="001000000000" w:firstRow="0" w:lastRow="0" w:firstColumn="1" w:lastColumn="0" w:oddVBand="0" w:evenVBand="0" w:oddHBand="0" w:evenHBand="0" w:firstRowFirstColumn="0" w:firstRowLastColumn="0" w:lastRowFirstColumn="0" w:lastRowLastColumn="0"/>
            <w:tcW w:w="1457" w:type="dxa"/>
          </w:tcPr>
          <w:p w14:paraId="6D7A5BFE" w14:textId="77777777" w:rsidR="00A316EB" w:rsidRPr="00FE2B6E" w:rsidRDefault="00A316EB" w:rsidP="00904FE7">
            <w:pPr>
              <w:rPr>
                <w:b w:val="0"/>
                <w:color w:val="auto"/>
              </w:rPr>
            </w:pPr>
            <w:r w:rsidRPr="00FE2B6E">
              <w:rPr>
                <w:b w:val="0"/>
                <w:color w:val="auto"/>
              </w:rPr>
              <w:t>Infrastructure</w:t>
            </w:r>
          </w:p>
        </w:tc>
        <w:tc>
          <w:tcPr>
            <w:tcW w:w="4923" w:type="dxa"/>
          </w:tcPr>
          <w:p w14:paraId="0A281B0F" w14:textId="65BD74F2" w:rsidR="00A316EB" w:rsidRPr="00FE2B6E" w:rsidRDefault="009E7E4B" w:rsidP="007D1DEF">
            <w:pPr>
              <w:pStyle w:val="Bullet"/>
              <w:numPr>
                <w:ilvl w:val="0"/>
                <w:numId w:val="0"/>
              </w:numPr>
              <w:cnfStyle w:val="000000000000" w:firstRow="0" w:lastRow="0" w:firstColumn="0" w:lastColumn="0" w:oddVBand="0" w:evenVBand="0" w:oddHBand="0" w:evenHBand="0" w:firstRowFirstColumn="0" w:firstRowLastColumn="0" w:lastRowFirstColumn="0" w:lastRowLastColumn="0"/>
              <w:rPr>
                <w:color w:val="auto"/>
              </w:rPr>
            </w:pPr>
            <w:r w:rsidRPr="00FE2B6E">
              <w:rPr>
                <w:color w:val="auto"/>
              </w:rPr>
              <w:t xml:space="preserve">The </w:t>
            </w:r>
            <w:r w:rsidR="0079749A">
              <w:rPr>
                <w:color w:val="auto"/>
              </w:rPr>
              <w:t>MBR Program</w:t>
            </w:r>
            <w:r w:rsidRPr="00FE2B6E">
              <w:rPr>
                <w:color w:val="auto"/>
              </w:rPr>
              <w:t xml:space="preserve"> commenced consultation in </w:t>
            </w:r>
            <w:r w:rsidR="007D1DEF">
              <w:rPr>
                <w:color w:val="auto"/>
              </w:rPr>
              <w:t xml:space="preserve">    </w:t>
            </w:r>
            <w:r w:rsidRPr="00FE2B6E">
              <w:rPr>
                <w:color w:val="auto"/>
              </w:rPr>
              <w:t>July</w:t>
            </w:r>
            <w:r w:rsidR="007D1DEF">
              <w:t xml:space="preserve"> </w:t>
            </w:r>
            <w:r w:rsidRPr="00FE2B6E">
              <w:rPr>
                <w:color w:val="auto"/>
              </w:rPr>
              <w:t xml:space="preserve">2018 on the application of the Charging Framework to the services being provided when users access real-time </w:t>
            </w:r>
            <w:r w:rsidR="005B281F">
              <w:rPr>
                <w:color w:val="auto"/>
              </w:rPr>
              <w:t>data on</w:t>
            </w:r>
            <w:r w:rsidRPr="00FE2B6E">
              <w:rPr>
                <w:color w:val="auto"/>
              </w:rPr>
              <w:t xml:space="preserve"> the business registers via</w:t>
            </w:r>
            <w:r w:rsidR="00DF05DF" w:rsidRPr="00FE2B6E">
              <w:rPr>
                <w:color w:val="auto"/>
              </w:rPr>
              <w:t>, for example,</w:t>
            </w:r>
            <w:r w:rsidRPr="00FE2B6E">
              <w:rPr>
                <w:color w:val="auto"/>
              </w:rPr>
              <w:t xml:space="preserve"> modern </w:t>
            </w:r>
            <w:r w:rsidR="008A0A4F">
              <w:rPr>
                <w:color w:val="auto"/>
              </w:rPr>
              <w:t>A</w:t>
            </w:r>
            <w:r w:rsidRPr="00FE2B6E">
              <w:rPr>
                <w:color w:val="auto"/>
              </w:rPr>
              <w:t xml:space="preserve">pplication </w:t>
            </w:r>
            <w:r w:rsidR="008A0A4F">
              <w:rPr>
                <w:color w:val="auto"/>
              </w:rPr>
              <w:t>P</w:t>
            </w:r>
            <w:r w:rsidRPr="00FE2B6E">
              <w:rPr>
                <w:color w:val="auto"/>
              </w:rPr>
              <w:t xml:space="preserve">rogramming </w:t>
            </w:r>
            <w:r w:rsidR="008A0A4F">
              <w:rPr>
                <w:color w:val="auto"/>
              </w:rPr>
              <w:t>I</w:t>
            </w:r>
            <w:r w:rsidRPr="00FE2B6E">
              <w:rPr>
                <w:color w:val="auto"/>
              </w:rPr>
              <w:t>nterfaces (APIs)</w:t>
            </w:r>
            <w:r w:rsidR="00AB5B63" w:rsidRPr="00FE2B6E">
              <w:rPr>
                <w:color w:val="auto"/>
              </w:rPr>
              <w:t xml:space="preserve"> or similar technology</w:t>
            </w:r>
            <w:r w:rsidRPr="00FE2B6E">
              <w:rPr>
                <w:color w:val="auto"/>
              </w:rPr>
              <w:t>.</w:t>
            </w:r>
            <w:r w:rsidR="00AB5B63" w:rsidRPr="00FE2B6E">
              <w:rPr>
                <w:color w:val="auto"/>
              </w:rPr>
              <w:t xml:space="preserve"> </w:t>
            </w:r>
            <w:r w:rsidR="00772E3C" w:rsidRPr="00FE2B6E">
              <w:rPr>
                <w:color w:val="auto"/>
              </w:rPr>
              <w:t>No decision on the application of the Charging Framework has been made at this time.</w:t>
            </w:r>
          </w:p>
        </w:tc>
        <w:tc>
          <w:tcPr>
            <w:tcW w:w="4536" w:type="dxa"/>
          </w:tcPr>
          <w:p w14:paraId="3FA2C49F" w14:textId="77777777" w:rsidR="00A316EB" w:rsidRPr="00FE2B6E" w:rsidRDefault="00A316EB" w:rsidP="00904FE7">
            <w:pPr>
              <w:cnfStyle w:val="000000000000" w:firstRow="0" w:lastRow="0" w:firstColumn="0" w:lastColumn="0" w:oddVBand="0" w:evenVBand="0" w:oddHBand="0" w:evenHBand="0" w:firstRowFirstColumn="0" w:firstRowLastColumn="0" w:lastRowFirstColumn="0" w:lastRowLastColumn="0"/>
              <w:rPr>
                <w:color w:val="auto"/>
              </w:rPr>
            </w:pPr>
            <w:r w:rsidRPr="00FE2B6E">
              <w:rPr>
                <w:color w:val="auto"/>
              </w:rPr>
              <w:t>$0</w:t>
            </w:r>
          </w:p>
        </w:tc>
        <w:tc>
          <w:tcPr>
            <w:tcW w:w="3969" w:type="dxa"/>
          </w:tcPr>
          <w:p w14:paraId="625DEE1D" w14:textId="77777777" w:rsidR="00A316EB" w:rsidRPr="00FE2B6E" w:rsidRDefault="001A509C" w:rsidP="00904FE7">
            <w:pPr>
              <w:cnfStyle w:val="000000000000" w:firstRow="0" w:lastRow="0" w:firstColumn="0" w:lastColumn="0" w:oddVBand="0" w:evenVBand="0" w:oddHBand="0" w:evenHBand="0" w:firstRowFirstColumn="0" w:firstRowLastColumn="0" w:lastRowFirstColumn="0" w:lastRowLastColumn="0"/>
              <w:rPr>
                <w:color w:val="auto"/>
              </w:rPr>
            </w:pPr>
            <w:r w:rsidRPr="00FE2B6E">
              <w:rPr>
                <w:color w:val="auto"/>
              </w:rPr>
              <w:t>$0</w:t>
            </w:r>
          </w:p>
        </w:tc>
        <w:tc>
          <w:tcPr>
            <w:tcW w:w="236" w:type="dxa"/>
            <w:gridSpan w:val="2"/>
          </w:tcPr>
          <w:p w14:paraId="4884AD05" w14:textId="77777777" w:rsidR="00A316EB" w:rsidRPr="00FE2B6E" w:rsidRDefault="00A316EB" w:rsidP="00904FE7">
            <w:pPr>
              <w:cnfStyle w:val="000000000000" w:firstRow="0" w:lastRow="0" w:firstColumn="0" w:lastColumn="0" w:oddVBand="0" w:evenVBand="0" w:oddHBand="0" w:evenHBand="0" w:firstRowFirstColumn="0" w:firstRowLastColumn="0" w:lastRowFirstColumn="0" w:lastRowLastColumn="0"/>
              <w:rPr>
                <w:color w:val="auto"/>
              </w:rPr>
            </w:pPr>
          </w:p>
        </w:tc>
        <w:tc>
          <w:tcPr>
            <w:tcW w:w="0" w:type="auto"/>
          </w:tcPr>
          <w:p w14:paraId="24EE7488" w14:textId="77777777" w:rsidR="00A316EB" w:rsidRPr="00FE2B6E" w:rsidRDefault="00A316EB" w:rsidP="00904FE7">
            <w:pPr>
              <w:cnfStyle w:val="000000000000" w:firstRow="0" w:lastRow="0" w:firstColumn="0" w:lastColumn="0" w:oddVBand="0" w:evenVBand="0" w:oddHBand="0" w:evenHBand="0" w:firstRowFirstColumn="0" w:firstRowLastColumn="0" w:lastRowFirstColumn="0" w:lastRowLastColumn="0"/>
              <w:rPr>
                <w:color w:val="auto"/>
              </w:rPr>
            </w:pPr>
          </w:p>
        </w:tc>
      </w:tr>
    </w:tbl>
    <w:p w14:paraId="77EAF20B" w14:textId="77777777" w:rsidR="00423883" w:rsidRDefault="00423883" w:rsidP="00F93018">
      <w:pPr>
        <w:jc w:val="both"/>
        <w:sectPr w:rsidR="00423883" w:rsidSect="004A2F84">
          <w:pgSz w:w="16838" w:h="11906" w:orient="landscape"/>
          <w:pgMar w:top="1440" w:right="1440" w:bottom="1440" w:left="1440" w:header="708" w:footer="708" w:gutter="0"/>
          <w:cols w:space="708"/>
          <w:docGrid w:linePitch="360"/>
        </w:sectPr>
      </w:pPr>
    </w:p>
    <w:p w14:paraId="1CE51928" w14:textId="77777777" w:rsidR="004F0C36" w:rsidRPr="0044107F" w:rsidRDefault="004F0C36" w:rsidP="004F0C36">
      <w:pPr>
        <w:pStyle w:val="Heading2"/>
      </w:pPr>
      <w:bookmarkStart w:id="16" w:name="_Toc530493294"/>
      <w:r w:rsidRPr="0044107F">
        <w:lastRenderedPageBreak/>
        <w:t xml:space="preserve">Why does </w:t>
      </w:r>
      <w:r w:rsidR="00C106E0" w:rsidRPr="0044107F">
        <w:t>G</w:t>
      </w:r>
      <w:r w:rsidRPr="0044107F">
        <w:t>overnment charge fees?</w:t>
      </w:r>
      <w:bookmarkEnd w:id="16"/>
    </w:p>
    <w:p w14:paraId="1C02D34C" w14:textId="6FC9F4D9" w:rsidR="008774A4" w:rsidRPr="0044107F" w:rsidRDefault="008774A4" w:rsidP="00DD13CF">
      <w:pPr>
        <w:spacing w:before="0"/>
      </w:pPr>
      <w:r w:rsidRPr="0044107F">
        <w:t xml:space="preserve">Data held on the Government registers is important </w:t>
      </w:r>
      <w:r w:rsidR="00C106E0" w:rsidRPr="0044107F">
        <w:t>to</w:t>
      </w:r>
      <w:r w:rsidRPr="0044107F">
        <w:t xml:space="preserve"> th</w:t>
      </w:r>
      <w:r w:rsidR="00257DFA">
        <w:t xml:space="preserve">e Australian economy. </w:t>
      </w:r>
      <w:r w:rsidRPr="0044107F">
        <w:t>The data informs the community and the Government about the identity of the natural persons responsible for the conduct of Australian compan</w:t>
      </w:r>
      <w:r w:rsidR="00970B51">
        <w:t>ies</w:t>
      </w:r>
      <w:r w:rsidR="00185EDD">
        <w:t xml:space="preserve"> and businesses</w:t>
      </w:r>
      <w:r w:rsidR="00257DFA">
        <w:t xml:space="preserve"> they are dealing with.</w:t>
      </w:r>
      <w:r w:rsidRPr="0044107F">
        <w:t xml:space="preserve"> A wide range of industries rely on the data held on the registers when making decisions about counterparties that they may wish to interact with.</w:t>
      </w:r>
    </w:p>
    <w:p w14:paraId="3370D431" w14:textId="77777777" w:rsidR="008774A4" w:rsidRPr="0044107F" w:rsidRDefault="00595F71" w:rsidP="00DD13CF">
      <w:pPr>
        <w:spacing w:before="0"/>
      </w:pPr>
      <w:r w:rsidRPr="0044107F">
        <w:t xml:space="preserve">Governments also rely on the </w:t>
      </w:r>
      <w:r w:rsidR="00C440AB" w:rsidRPr="0044107F">
        <w:t>data</w:t>
      </w:r>
      <w:r w:rsidRPr="0044107F">
        <w:t xml:space="preserve"> to inform policy decision</w:t>
      </w:r>
      <w:r w:rsidR="00C106E0" w:rsidRPr="0044107F">
        <w:t>-</w:t>
      </w:r>
      <w:r w:rsidRPr="0044107F">
        <w:t xml:space="preserve">making and to </w:t>
      </w:r>
      <w:r w:rsidR="008774A4" w:rsidRPr="0044107F">
        <w:t>allow regulators, such as ASIC, to u</w:t>
      </w:r>
      <w:r w:rsidR="00257DFA">
        <w:t>ndertake regulatory activities.</w:t>
      </w:r>
      <w:r w:rsidR="008774A4" w:rsidRPr="0044107F">
        <w:t xml:space="preserve"> The</w:t>
      </w:r>
      <w:r w:rsidRPr="0044107F">
        <w:t xml:space="preserve"> ongoing</w:t>
      </w:r>
      <w:r w:rsidR="008774A4" w:rsidRPr="0044107F">
        <w:t xml:space="preserve"> accuracy of the data is therefore important.</w:t>
      </w:r>
    </w:p>
    <w:p w14:paraId="0A891D84" w14:textId="77777777" w:rsidR="00727E08" w:rsidRDefault="00727E08" w:rsidP="0003237B">
      <w:pPr>
        <w:pStyle w:val="Heading3"/>
      </w:pPr>
      <w:bookmarkStart w:id="17" w:name="_Toc530493295"/>
      <w:r w:rsidRPr="0044107F">
        <w:t>Annual review fees</w:t>
      </w:r>
      <w:bookmarkEnd w:id="17"/>
    </w:p>
    <w:p w14:paraId="493E0FE5" w14:textId="31C32584" w:rsidR="00185EDD" w:rsidRPr="00185EDD" w:rsidRDefault="00185EDD" w:rsidP="00185EDD">
      <w:r>
        <w:t xml:space="preserve">Prior to the </w:t>
      </w:r>
      <w:r w:rsidR="0058149C" w:rsidRPr="0058149C">
        <w:t>Corporate Law Economic Reform Program</w:t>
      </w:r>
      <w:r>
        <w:t xml:space="preserve"> changes, companies were required to lodge an annual return with </w:t>
      </w:r>
      <w:r w:rsidR="00F945E6">
        <w:t>a lodgement</w:t>
      </w:r>
      <w:r>
        <w:t xml:space="preserve"> fee. After the annual return was abolished, the updated regime included an annual review fee. </w:t>
      </w:r>
    </w:p>
    <w:p w14:paraId="05A18DF0" w14:textId="0924F915" w:rsidR="007A0B74" w:rsidRDefault="006656EF" w:rsidP="00DD13CF">
      <w:pPr>
        <w:spacing w:before="0"/>
      </w:pPr>
      <w:r>
        <w:t>Entities</w:t>
      </w:r>
      <w:r w:rsidR="00D23A59">
        <w:t xml:space="preserve"> across the economy </w:t>
      </w:r>
      <w:r w:rsidR="006B747F">
        <w:t>utilise</w:t>
      </w:r>
      <w:r w:rsidR="00BB512E">
        <w:t xml:space="preserve"> registry data for </w:t>
      </w:r>
      <w:r w:rsidR="00F71132">
        <w:t>a range of activities and rely</w:t>
      </w:r>
      <w:r w:rsidR="00BB512E">
        <w:t xml:space="preserve"> on the register as the </w:t>
      </w:r>
      <w:r w:rsidR="007D1DEF">
        <w:t>‘</w:t>
      </w:r>
      <w:r w:rsidR="00BB512E">
        <w:t>source of truth</w:t>
      </w:r>
      <w:r w:rsidR="007D1DEF">
        <w:t>’</w:t>
      </w:r>
      <w:r w:rsidR="00BB512E">
        <w:t xml:space="preserve"> for companies and regulated professionals. </w:t>
      </w:r>
      <w:r w:rsidR="00DD13CF" w:rsidRPr="0044107F">
        <w:t>Charging a fee incentiv</w:t>
      </w:r>
      <w:r w:rsidR="00727E08" w:rsidRPr="0044107F">
        <w:t>is</w:t>
      </w:r>
      <w:r w:rsidR="00DD13CF" w:rsidRPr="0044107F">
        <w:t>e</w:t>
      </w:r>
      <w:r w:rsidR="00727E08" w:rsidRPr="0044107F">
        <w:t>s companies and other entities to keep their data up-to-date</w:t>
      </w:r>
      <w:r w:rsidR="00DD13CF" w:rsidRPr="0044107F">
        <w:t>.</w:t>
      </w:r>
      <w:r w:rsidR="00C106E0" w:rsidRPr="0044107F">
        <w:t xml:space="preserve"> C</w:t>
      </w:r>
      <w:r w:rsidR="00595F71" w:rsidRPr="0044107F">
        <w:t>oupling the</w:t>
      </w:r>
      <w:r w:rsidR="008774A4" w:rsidRPr="0044107F">
        <w:t xml:space="preserve"> a</w:t>
      </w:r>
      <w:r w:rsidR="00DD13CF" w:rsidRPr="0044107F">
        <w:t xml:space="preserve">nnual review </w:t>
      </w:r>
      <w:r w:rsidR="00595F71" w:rsidRPr="0044107F">
        <w:t xml:space="preserve">with a fee requires the regulated entity to transact with ASIC each year and </w:t>
      </w:r>
      <w:r w:rsidR="00C1102C">
        <w:t>consider</w:t>
      </w:r>
      <w:r w:rsidR="00595F71" w:rsidRPr="0044107F">
        <w:t xml:space="preserve"> their ongoing solvency. This interaction helps to keep the data held on entities accurate</w:t>
      </w:r>
      <w:r w:rsidR="00727E08" w:rsidRPr="0044107F">
        <w:t xml:space="preserve"> and provides the community with confidence that those entities that remain on the registers are </w:t>
      </w:r>
      <w:r w:rsidR="00C1102C">
        <w:t>considering their solvency</w:t>
      </w:r>
      <w:r w:rsidR="00595F71" w:rsidRPr="0044107F">
        <w:t>.</w:t>
      </w:r>
      <w:r w:rsidR="00F8044F">
        <w:t xml:space="preserve"> </w:t>
      </w:r>
    </w:p>
    <w:p w14:paraId="38713FD2" w14:textId="6A74573E" w:rsidR="00BB512E" w:rsidRDefault="00F71132" w:rsidP="00DD13CF">
      <w:pPr>
        <w:spacing w:before="0"/>
      </w:pPr>
      <w:r>
        <w:t>Entities</w:t>
      </w:r>
      <w:r w:rsidR="00F8044F">
        <w:t xml:space="preserve"> </w:t>
      </w:r>
      <w:r>
        <w:t>benefit from the</w:t>
      </w:r>
      <w:r w:rsidR="00F8044F">
        <w:t xml:space="preserve"> accuracy </w:t>
      </w:r>
      <w:r>
        <w:t xml:space="preserve">of registry data </w:t>
      </w:r>
      <w:r w:rsidR="00BB512E">
        <w:t>as the</w:t>
      </w:r>
      <w:r>
        <w:t>y</w:t>
      </w:r>
      <w:r w:rsidR="00BB512E">
        <w:t xml:space="preserve"> are</w:t>
      </w:r>
      <w:r w:rsidR="00F8044F">
        <w:t xml:space="preserve"> able to interact confidently within a market where</w:t>
      </w:r>
      <w:r w:rsidR="00B927F3">
        <w:t xml:space="preserve"> other businesses</w:t>
      </w:r>
      <w:r w:rsidR="00F8044F">
        <w:t xml:space="preserve"> they are dealing with </w:t>
      </w:r>
      <w:r w:rsidR="007A0B74">
        <w:t>have been verified</w:t>
      </w:r>
      <w:r w:rsidR="00F8044F">
        <w:t xml:space="preserve">. </w:t>
      </w:r>
      <w:r w:rsidR="00BB512E">
        <w:t xml:space="preserve">For example, </w:t>
      </w:r>
      <w:r w:rsidR="007A0B74">
        <w:t>b</w:t>
      </w:r>
      <w:r w:rsidR="00BB512E" w:rsidRPr="00BB512E">
        <w:t xml:space="preserve">anks and other credit providers utilise </w:t>
      </w:r>
      <w:r w:rsidR="007D1DEF">
        <w:t>r</w:t>
      </w:r>
      <w:r w:rsidR="00BB512E" w:rsidRPr="00BB512E">
        <w:t>egistry data as part of the basis of their credit assessment of potential customers. Credit providers bundle credit score information based on Registry data with other products</w:t>
      </w:r>
      <w:r w:rsidR="00BB512E">
        <w:t>.</w:t>
      </w:r>
      <w:r w:rsidR="00BB512E" w:rsidRPr="00BB512E">
        <w:t xml:space="preserve"> </w:t>
      </w:r>
    </w:p>
    <w:p w14:paraId="6CF48DD8" w14:textId="6BAA2850" w:rsidR="00595F71" w:rsidRPr="0044107F" w:rsidRDefault="00470D8B" w:rsidP="00DD13CF">
      <w:pPr>
        <w:spacing w:before="0"/>
      </w:pPr>
      <w:r>
        <w:t xml:space="preserve">The registers thus provide a source of trusted information so that identity and solvency does not need to </w:t>
      </w:r>
      <w:r w:rsidR="00B927F3">
        <w:t>be proven</w:t>
      </w:r>
      <w:r>
        <w:t xml:space="preserve"> in every transaction.</w:t>
      </w:r>
      <w:r w:rsidR="00122505">
        <w:t xml:space="preserve"> </w:t>
      </w:r>
      <w:r w:rsidR="00F8044F">
        <w:t>The registry information provides an economy-wide verification process that is efficient in aggregate for individual businesses, hel</w:t>
      </w:r>
      <w:r w:rsidR="00B927F3">
        <w:t xml:space="preserve">ping businesses focus on their </w:t>
      </w:r>
      <w:r w:rsidR="00F8044F">
        <w:t xml:space="preserve">core </w:t>
      </w:r>
      <w:r w:rsidR="00B927F3">
        <w:t>functions</w:t>
      </w:r>
      <w:r w:rsidR="00F8044F">
        <w:t xml:space="preserve">. </w:t>
      </w:r>
    </w:p>
    <w:p w14:paraId="7CF28682" w14:textId="77777777" w:rsidR="00C01867" w:rsidRPr="0044107F" w:rsidRDefault="00DD13CF" w:rsidP="00DD13CF">
      <w:pPr>
        <w:spacing w:before="0"/>
      </w:pPr>
      <w:r w:rsidRPr="0044107F">
        <w:t xml:space="preserve">When no charge is </w:t>
      </w:r>
      <w:r w:rsidR="00C440AB" w:rsidRPr="0044107F">
        <w:t>imposed</w:t>
      </w:r>
      <w:r w:rsidRPr="0044107F">
        <w:t xml:space="preserve">, </w:t>
      </w:r>
      <w:r w:rsidR="00CC43C0">
        <w:t>reviewing registry user input</w:t>
      </w:r>
      <w:r w:rsidR="00C1102C">
        <w:t xml:space="preserve"> may be less likely</w:t>
      </w:r>
      <w:r w:rsidR="00CC43C0">
        <w:t>. This may lead to incorrect or inaccurate</w:t>
      </w:r>
      <w:r w:rsidRPr="0044107F">
        <w:t xml:space="preserve"> data </w:t>
      </w:r>
      <w:r w:rsidR="00CC43C0">
        <w:t>held on the registers</w:t>
      </w:r>
      <w:r w:rsidR="00C01867" w:rsidRPr="0044107F">
        <w:t>.</w:t>
      </w:r>
      <w:r w:rsidR="00595F71" w:rsidRPr="0044107F">
        <w:t xml:space="preserve"> For example, the 2018 Black Economy Taskforce Report highlighted that</w:t>
      </w:r>
      <w:r w:rsidR="00A844E9" w:rsidRPr="0044107F">
        <w:t xml:space="preserve">, despite a requirement to maintain the accuracy of ABN data, taxpayers consider the ABN to be a ‘set and forget’ identifier and do not </w:t>
      </w:r>
      <w:r w:rsidR="00CC43C0">
        <w:t xml:space="preserve">formally review </w:t>
      </w:r>
      <w:r w:rsidR="00A844E9" w:rsidRPr="0044107F">
        <w:t xml:space="preserve">their data </w:t>
      </w:r>
      <w:r w:rsidR="00CC43C0">
        <w:t xml:space="preserve">to </w:t>
      </w:r>
      <w:r w:rsidR="00A844E9" w:rsidRPr="0044107F">
        <w:t xml:space="preserve">keep </w:t>
      </w:r>
      <w:r w:rsidR="00CC43C0">
        <w:t xml:space="preserve">it </w:t>
      </w:r>
      <w:r w:rsidR="00A844E9" w:rsidRPr="0044107F">
        <w:t xml:space="preserve">up-to-date. </w:t>
      </w:r>
      <w:r w:rsidR="00CC43C0">
        <w:t>The lack of formal review</w:t>
      </w:r>
      <w:r w:rsidR="00727E08" w:rsidRPr="0044107F">
        <w:t xml:space="preserve"> can create doubt about the authenticity of the entities </w:t>
      </w:r>
      <w:r w:rsidR="00CC43C0">
        <w:t xml:space="preserve">and their attributes </w:t>
      </w:r>
      <w:r w:rsidR="00727E08" w:rsidRPr="0044107F">
        <w:t xml:space="preserve">on the registers. </w:t>
      </w:r>
    </w:p>
    <w:p w14:paraId="7F1F30C5" w14:textId="77777777" w:rsidR="00727E08" w:rsidRPr="0044107F" w:rsidRDefault="00727E08" w:rsidP="0003237B">
      <w:pPr>
        <w:pStyle w:val="Heading3"/>
      </w:pPr>
      <w:bookmarkStart w:id="18" w:name="_Toc530493296"/>
      <w:r w:rsidRPr="0044107F">
        <w:t>Registration fees</w:t>
      </w:r>
      <w:bookmarkEnd w:id="18"/>
    </w:p>
    <w:p w14:paraId="6A9EE608" w14:textId="411A48FF" w:rsidR="00B27B79" w:rsidRPr="0044107F" w:rsidRDefault="00C1102C" w:rsidP="00B27B79">
      <w:pPr>
        <w:spacing w:before="0"/>
      </w:pPr>
      <w:r>
        <w:t xml:space="preserve">Registration fees are payable upon application for a company. This fee reflects the benefits of creating a </w:t>
      </w:r>
      <w:r w:rsidR="001837C7">
        <w:t>separate</w:t>
      </w:r>
      <w:r>
        <w:t xml:space="preserve"> legal entity. It also provides a barrier for entry that reduces frivolous applications. </w:t>
      </w:r>
    </w:p>
    <w:p w14:paraId="6CEBB378" w14:textId="77777777" w:rsidR="00727E08" w:rsidRPr="0044107F" w:rsidRDefault="00727E08" w:rsidP="0003237B">
      <w:pPr>
        <w:pStyle w:val="Heading3"/>
      </w:pPr>
      <w:bookmarkStart w:id="19" w:name="_Toc530493297"/>
      <w:r w:rsidRPr="0044107F">
        <w:t>Late fees</w:t>
      </w:r>
      <w:bookmarkEnd w:id="19"/>
    </w:p>
    <w:p w14:paraId="2950F862" w14:textId="44D72705" w:rsidR="00997D3C" w:rsidRPr="0044107F" w:rsidRDefault="00A562AE" w:rsidP="00B37472">
      <w:pPr>
        <w:spacing w:before="0"/>
        <w:rPr>
          <w:rFonts w:ascii="Times New Roman" w:hAnsi="Times New Roman"/>
          <w:sz w:val="24"/>
          <w:szCs w:val="24"/>
        </w:rPr>
      </w:pPr>
      <w:r w:rsidRPr="0044107F">
        <w:t>T</w:t>
      </w:r>
      <w:r w:rsidR="00997D3C" w:rsidRPr="0044107F">
        <w:t xml:space="preserve">he </w:t>
      </w:r>
      <w:r w:rsidR="0011231B">
        <w:t>charging</w:t>
      </w:r>
      <w:r w:rsidR="0079749A">
        <w:t xml:space="preserve"> of</w:t>
      </w:r>
      <w:r w:rsidR="00997D3C" w:rsidRPr="0044107F">
        <w:t xml:space="preserve"> </w:t>
      </w:r>
      <w:r w:rsidR="00D33336" w:rsidRPr="0044107F">
        <w:t xml:space="preserve">late </w:t>
      </w:r>
      <w:r w:rsidR="00F945E6" w:rsidRPr="0044107F">
        <w:t>payment</w:t>
      </w:r>
      <w:r w:rsidR="00F945E6">
        <w:t>,</w:t>
      </w:r>
      <w:r w:rsidR="00C1102C">
        <w:t xml:space="preserve"> late review</w:t>
      </w:r>
      <w:r w:rsidR="00D33336" w:rsidRPr="0044107F">
        <w:t xml:space="preserve"> and </w:t>
      </w:r>
      <w:r w:rsidR="00C1102C">
        <w:t xml:space="preserve">late </w:t>
      </w:r>
      <w:r w:rsidR="00D33336" w:rsidRPr="0044107F">
        <w:t xml:space="preserve">lodgement fees </w:t>
      </w:r>
      <w:r w:rsidR="00997D3C" w:rsidRPr="0044107F">
        <w:t>encourage</w:t>
      </w:r>
      <w:r w:rsidR="0058149C">
        <w:t>s</w:t>
      </w:r>
      <w:r w:rsidR="00997D3C" w:rsidRPr="0044107F">
        <w:t xml:space="preserve"> timely payment</w:t>
      </w:r>
      <w:r w:rsidR="00C1102C">
        <w:t>,</w:t>
      </w:r>
      <w:r w:rsidR="0028196F">
        <w:t xml:space="preserve"> as well as the</w:t>
      </w:r>
      <w:r w:rsidR="00C1102C">
        <w:t xml:space="preserve"> review</w:t>
      </w:r>
      <w:r w:rsidR="00997D3C" w:rsidRPr="0044107F">
        <w:t xml:space="preserve"> and lodgement of documents.</w:t>
      </w:r>
      <w:r w:rsidRPr="0044107F">
        <w:t xml:space="preserve"> Late fees act as a penalty that can apply if a representative of a company does not update its details. Penalties exist as incentives for registry users to comply with their obligations.</w:t>
      </w:r>
      <w:r w:rsidRPr="0044107F">
        <w:rPr>
          <w:rFonts w:ascii="Times New Roman" w:hAnsi="Times New Roman"/>
          <w:sz w:val="24"/>
          <w:szCs w:val="24"/>
        </w:rPr>
        <w:t xml:space="preserve"> </w:t>
      </w:r>
    </w:p>
    <w:p w14:paraId="22558FC2" w14:textId="77777777" w:rsidR="00727E08" w:rsidRPr="0044107F" w:rsidRDefault="00727E08" w:rsidP="0003237B">
      <w:pPr>
        <w:pStyle w:val="Heading3"/>
      </w:pPr>
      <w:bookmarkStart w:id="20" w:name="_Toc530493298"/>
      <w:r w:rsidRPr="0044107F">
        <w:lastRenderedPageBreak/>
        <w:t>Search fees</w:t>
      </w:r>
      <w:bookmarkEnd w:id="20"/>
    </w:p>
    <w:p w14:paraId="4778DC3E" w14:textId="77777777" w:rsidR="00727E08" w:rsidRPr="0044107F" w:rsidRDefault="00727E08">
      <w:pPr>
        <w:spacing w:before="0"/>
      </w:pPr>
      <w:r w:rsidRPr="0044107F">
        <w:t>Search fees were developed to cater for a registry system that was based on providing documents or c</w:t>
      </w:r>
      <w:r w:rsidR="008A6926">
        <w:t xml:space="preserve">opies of documents on request. </w:t>
      </w:r>
      <w:r w:rsidRPr="0044107F">
        <w:t>The fees were set</w:t>
      </w:r>
      <w:r w:rsidR="00C1102C">
        <w:t xml:space="preserve"> at a time when most services were paper and counter based</w:t>
      </w:r>
      <w:r w:rsidRPr="0044107F">
        <w:t xml:space="preserve"> to approximate the cost incurred by the Government to retrieve the documents and provide them to the applicant.</w:t>
      </w:r>
    </w:p>
    <w:p w14:paraId="02A61D67" w14:textId="77777777" w:rsidR="00A11834" w:rsidRPr="0044107F" w:rsidRDefault="00C106E0" w:rsidP="00393762">
      <w:r w:rsidRPr="0044107F">
        <w:t>T</w:t>
      </w:r>
      <w:r w:rsidR="00A11834" w:rsidRPr="0044107F">
        <w:t>he Government has announced that as of 1 July 2019 it will reduce the existing search fees of $40 to $19 to reduce the burden on individuals and businesses that need to access company roles and relationship extracts from the o</w:t>
      </w:r>
      <w:r w:rsidR="008A6926">
        <w:t xml:space="preserve">nline registries. </w:t>
      </w:r>
    </w:p>
    <w:p w14:paraId="39C2BAF4" w14:textId="77777777" w:rsidR="00562858" w:rsidRDefault="00727E08" w:rsidP="00393762">
      <w:r w:rsidRPr="0044107F">
        <w:t xml:space="preserve">There are also a range of exemptions or concessions with respect to search fees. </w:t>
      </w:r>
      <w:r w:rsidR="00562858" w:rsidRPr="0044107F">
        <w:t xml:space="preserve">For example, from 1 July 2019 journalists will not be charged to search the ASIC registers. </w:t>
      </w:r>
      <w:r w:rsidR="00562858">
        <w:t>Government agencies, research institutions and academics are all currently charged to access information from the ASIC registers.</w:t>
      </w:r>
    </w:p>
    <w:p w14:paraId="7E8B07DE" w14:textId="77777777" w:rsidR="001F5511" w:rsidRPr="0044107F" w:rsidRDefault="00727E08" w:rsidP="00393762">
      <w:pPr>
        <w:rPr>
          <w:rFonts w:cs="Arial"/>
          <w:iCs/>
          <w:color w:val="004A7F"/>
          <w:kern w:val="32"/>
          <w:sz w:val="36"/>
          <w:szCs w:val="28"/>
        </w:rPr>
      </w:pPr>
      <w:r w:rsidRPr="0044107F">
        <w:t>In addition, there is inconsistent practice across other Commonwealth agencies with respect to charging search fees</w:t>
      </w:r>
      <w:r w:rsidR="00562858">
        <w:t xml:space="preserve"> for government registry data.</w:t>
      </w:r>
      <w:r w:rsidR="00562858" w:rsidRPr="00562858">
        <w:t xml:space="preserve"> For example, the Australian Financial Security Authority charges search fees, whereas the Australian Business Register does not</w:t>
      </w:r>
      <w:r w:rsidRPr="0044107F">
        <w:t>.</w:t>
      </w:r>
      <w:r w:rsidR="00A11834" w:rsidRPr="0044107F">
        <w:t xml:space="preserve"> </w:t>
      </w:r>
    </w:p>
    <w:p w14:paraId="36B9CFB4" w14:textId="77777777" w:rsidR="004645C7" w:rsidRPr="0044107F" w:rsidRDefault="004645C7" w:rsidP="00277653">
      <w:pPr>
        <w:pStyle w:val="Heading2"/>
      </w:pPr>
      <w:bookmarkStart w:id="21" w:name="_Toc530493299"/>
      <w:r w:rsidRPr="0044107F">
        <w:t xml:space="preserve">What will </w:t>
      </w:r>
      <w:r w:rsidR="004F0C36" w:rsidRPr="0044107F">
        <w:t xml:space="preserve">be different in the modernised </w:t>
      </w:r>
      <w:r w:rsidR="00727E08" w:rsidRPr="0044107F">
        <w:t>system</w:t>
      </w:r>
      <w:r w:rsidRPr="0044107F">
        <w:t>?</w:t>
      </w:r>
      <w:bookmarkEnd w:id="21"/>
    </w:p>
    <w:p w14:paraId="1161F034" w14:textId="67FE9672" w:rsidR="00255AB1" w:rsidRDefault="00074EA5">
      <w:r w:rsidRPr="0044107F">
        <w:t>The</w:t>
      </w:r>
      <w:r w:rsidR="00913AFA">
        <w:t xml:space="preserve"> Modernising</w:t>
      </w:r>
      <w:r w:rsidR="00727E08" w:rsidRPr="0044107F">
        <w:t xml:space="preserve"> Business Register</w:t>
      </w:r>
      <w:r w:rsidR="00C106E0" w:rsidRPr="0044107F">
        <w:t>s</w:t>
      </w:r>
      <w:r w:rsidR="00727E08" w:rsidRPr="0044107F">
        <w:t xml:space="preserve"> Program</w:t>
      </w:r>
      <w:r w:rsidRPr="0044107F">
        <w:t xml:space="preserve"> </w:t>
      </w:r>
      <w:r w:rsidR="00255AB1">
        <w:t xml:space="preserve">is expected to </w:t>
      </w:r>
      <w:r w:rsidRPr="0044107F">
        <w:t xml:space="preserve">deliver </w:t>
      </w:r>
      <w:r w:rsidR="00255AB1">
        <w:t xml:space="preserve">an improved client experience </w:t>
      </w:r>
      <w:r w:rsidRPr="0044107F">
        <w:t xml:space="preserve">across several aspects of business registers. </w:t>
      </w:r>
      <w:r w:rsidR="00255AB1">
        <w:t>During the consultation and design process</w:t>
      </w:r>
      <w:r w:rsidR="0079749A">
        <w:t>,</w:t>
      </w:r>
      <w:r w:rsidR="00255AB1">
        <w:t xml:space="preserve"> </w:t>
      </w:r>
      <w:r w:rsidR="0079749A">
        <w:t>the M</w:t>
      </w:r>
      <w:r w:rsidR="009C11D3">
        <w:t>odernising Business Registers (M</w:t>
      </w:r>
      <w:r w:rsidR="0079749A">
        <w:t>BR</w:t>
      </w:r>
      <w:r w:rsidR="009C11D3">
        <w:t>)</w:t>
      </w:r>
      <w:r w:rsidR="0079749A">
        <w:t xml:space="preserve"> program has</w:t>
      </w:r>
      <w:r w:rsidR="00255AB1">
        <w:t xml:space="preserve"> identified possible new enhancements that new technology could deliver. </w:t>
      </w:r>
      <w:r w:rsidRPr="0044107F">
        <w:t xml:space="preserve">Any changes to fees will need to take into consideration the </w:t>
      </w:r>
      <w:r w:rsidR="00C1102C">
        <w:t xml:space="preserve">modernised </w:t>
      </w:r>
      <w:r w:rsidRPr="0044107F">
        <w:t>techn</w:t>
      </w:r>
      <w:r w:rsidR="00727E08" w:rsidRPr="0044107F">
        <w:t>ological</w:t>
      </w:r>
      <w:r w:rsidRPr="0044107F">
        <w:t xml:space="preserve"> environment</w:t>
      </w:r>
      <w:r w:rsidR="00B67858">
        <w:t xml:space="preserve"> and the </w:t>
      </w:r>
      <w:r w:rsidR="00255AB1">
        <w:t xml:space="preserve">expected </w:t>
      </w:r>
      <w:r w:rsidR="00B67858">
        <w:t>timing of the modernised registers</w:t>
      </w:r>
      <w:r w:rsidRPr="0044107F">
        <w:t xml:space="preserve">. </w:t>
      </w:r>
    </w:p>
    <w:p w14:paraId="7548BD20" w14:textId="77777777" w:rsidR="001E029A" w:rsidRPr="0044107F" w:rsidRDefault="00255AB1">
      <w:r>
        <w:t>It is expected that t</w:t>
      </w:r>
      <w:r w:rsidR="00AB27C9" w:rsidRPr="0044107F">
        <w:t xml:space="preserve">he </w:t>
      </w:r>
      <w:r w:rsidR="0079749A">
        <w:t xml:space="preserve">modernised </w:t>
      </w:r>
      <w:r w:rsidR="00AB27C9" w:rsidRPr="0044107F">
        <w:t xml:space="preserve">system will </w:t>
      </w:r>
      <w:r w:rsidR="001E029A" w:rsidRPr="0044107F">
        <w:t>provide</w:t>
      </w:r>
      <w:r w:rsidR="009E5ECA" w:rsidRPr="0044107F">
        <w:t xml:space="preserve"> </w:t>
      </w:r>
      <w:r w:rsidR="001E029A" w:rsidRPr="0044107F">
        <w:t>digital services that make it easier and faster for businesses to manage their registrations and meet ongoing regulatory obligations</w:t>
      </w:r>
      <w:r w:rsidR="0079749A">
        <w:t>,</w:t>
      </w:r>
      <w:r w:rsidR="00980D95" w:rsidRPr="00980D95">
        <w:t xml:space="preserve"> </w:t>
      </w:r>
      <w:r w:rsidR="00A83619">
        <w:t xml:space="preserve">which </w:t>
      </w:r>
      <w:r w:rsidR="00CC43C0">
        <w:t>would in turn</w:t>
      </w:r>
      <w:r w:rsidR="00980D95" w:rsidRPr="0044107F">
        <w:t xml:space="preserve"> improve</w:t>
      </w:r>
      <w:r w:rsidR="00980D95">
        <w:t xml:space="preserve"> registry</w:t>
      </w:r>
      <w:r w:rsidR="00980D95" w:rsidRPr="0044107F">
        <w:t xml:space="preserve"> data accuracy</w:t>
      </w:r>
      <w:r w:rsidR="001E029A" w:rsidRPr="0044107F">
        <w:t xml:space="preserve">. </w:t>
      </w:r>
    </w:p>
    <w:p w14:paraId="028C6459" w14:textId="0C43E3B5" w:rsidR="0089222B" w:rsidRDefault="00A83619">
      <w:r>
        <w:t xml:space="preserve">It is expected that combining the registers could </w:t>
      </w:r>
      <w:r w:rsidR="0079749A">
        <w:t>p</w:t>
      </w:r>
      <w:r w:rsidR="00695F91" w:rsidRPr="0044107F">
        <w:t xml:space="preserve">rovide a source of truth for business data, which can be used to support government </w:t>
      </w:r>
      <w:r w:rsidR="0079749A">
        <w:t xml:space="preserve">functions </w:t>
      </w:r>
      <w:r w:rsidR="00695F91" w:rsidRPr="0044107F">
        <w:t>(</w:t>
      </w:r>
      <w:r w:rsidR="0079749A">
        <w:t xml:space="preserve">such </w:t>
      </w:r>
      <w:r w:rsidR="009C11D3">
        <w:t xml:space="preserve">as </w:t>
      </w:r>
      <w:r w:rsidR="00695F91" w:rsidRPr="0044107F">
        <w:t>regulatory functions and grant administration), inform economic policy and better target support for business.</w:t>
      </w:r>
      <w:r>
        <w:t xml:space="preserve"> </w:t>
      </w:r>
    </w:p>
    <w:p w14:paraId="5EF25736" w14:textId="2827BA0D" w:rsidR="004645C7" w:rsidRPr="0044107F" w:rsidRDefault="00A83619">
      <w:r>
        <w:t>Combi</w:t>
      </w:r>
      <w:r w:rsidR="0079749A">
        <w:t>ni</w:t>
      </w:r>
      <w:r>
        <w:t xml:space="preserve">ng </w:t>
      </w:r>
      <w:r w:rsidR="0079749A">
        <w:t>the registers w</w:t>
      </w:r>
      <w:r>
        <w:t>ould also c</w:t>
      </w:r>
      <w:r w:rsidR="00255AB1" w:rsidRPr="0044107F">
        <w:t>onsolidate search for all business registry information</w:t>
      </w:r>
      <w:r w:rsidR="008A0A4F">
        <w:t xml:space="preserve">. It could </w:t>
      </w:r>
      <w:r w:rsidR="00BC1C5A">
        <w:t>provide an</w:t>
      </w:r>
      <w:r w:rsidR="008A0A4F">
        <w:t xml:space="preserve"> </w:t>
      </w:r>
      <w:r w:rsidR="00255AB1">
        <w:t>i</w:t>
      </w:r>
      <w:r w:rsidR="008A5BDD" w:rsidRPr="0044107F">
        <w:t>ncreas</w:t>
      </w:r>
      <w:r w:rsidR="008A0A4F">
        <w:t>e</w:t>
      </w:r>
      <w:r w:rsidR="004645C7" w:rsidRPr="0044107F">
        <w:t xml:space="preserve"> </w:t>
      </w:r>
      <w:r w:rsidR="008A0A4F">
        <w:t xml:space="preserve">in </w:t>
      </w:r>
      <w:r w:rsidR="00255AB1" w:rsidRPr="0044107F">
        <w:t>contemporary search capabilities</w:t>
      </w:r>
      <w:r w:rsidR="004645C7" w:rsidRPr="0044107F">
        <w:t xml:space="preserve"> to facilitate greater use and innovation</w:t>
      </w:r>
      <w:r w:rsidR="008A5BDD" w:rsidRPr="0044107F">
        <w:t xml:space="preserve"> by</w:t>
      </w:r>
      <w:r w:rsidR="004645C7" w:rsidRPr="0044107F">
        <w:t xml:space="preserve"> </w:t>
      </w:r>
      <w:r w:rsidR="008A5BDD" w:rsidRPr="0044107F">
        <w:t>offering</w:t>
      </w:r>
      <w:r w:rsidR="004645C7" w:rsidRPr="0044107F">
        <w:t xml:space="preserve"> consolidated, modern APIs</w:t>
      </w:r>
      <w:r w:rsidR="00992319" w:rsidRPr="00A83619">
        <w:rPr>
          <w:vertAlign w:val="superscript"/>
        </w:rPr>
        <w:footnoteReference w:id="7"/>
      </w:r>
      <w:r w:rsidR="004645C7" w:rsidRPr="0044107F">
        <w:t xml:space="preserve"> to </w:t>
      </w:r>
      <w:r w:rsidR="008A0A4F">
        <w:t xml:space="preserve">access </w:t>
      </w:r>
      <w:r w:rsidR="00255AB1">
        <w:t>register data</w:t>
      </w:r>
      <w:r w:rsidR="009E5ECA" w:rsidRPr="0044107F">
        <w:t>. This</w:t>
      </w:r>
      <w:r w:rsidR="004645C7" w:rsidRPr="0044107F">
        <w:t xml:space="preserve"> </w:t>
      </w:r>
      <w:r w:rsidR="00255AB1">
        <w:t xml:space="preserve">could </w:t>
      </w:r>
      <w:r w:rsidR="008A5BDD" w:rsidRPr="0044107F">
        <w:t xml:space="preserve">provide </w:t>
      </w:r>
      <w:r w:rsidR="009A0D1E" w:rsidRPr="0044107F">
        <w:t>opportunities</w:t>
      </w:r>
      <w:r w:rsidR="00C1102C">
        <w:t xml:space="preserve"> for third parties, including</w:t>
      </w:r>
      <w:r w:rsidR="004645C7" w:rsidRPr="0044107F">
        <w:t xml:space="preserve"> software developers and information brokers to create enhanced service offerings. </w:t>
      </w:r>
    </w:p>
    <w:p w14:paraId="1208AB42" w14:textId="77777777" w:rsidR="00F93018" w:rsidRPr="0044107F" w:rsidRDefault="00F93018" w:rsidP="00F93018">
      <w:pPr>
        <w:spacing w:before="0" w:after="160" w:line="259" w:lineRule="auto"/>
      </w:pPr>
      <w:r w:rsidRPr="0044107F">
        <w:br w:type="page"/>
      </w:r>
    </w:p>
    <w:p w14:paraId="719EB806" w14:textId="77777777" w:rsidR="00F93018" w:rsidRPr="0044107F" w:rsidRDefault="00F93018" w:rsidP="00F93018">
      <w:pPr>
        <w:pStyle w:val="Heading2"/>
      </w:pPr>
      <w:bookmarkStart w:id="22" w:name="_Toc530493300"/>
      <w:r w:rsidRPr="0044107F">
        <w:lastRenderedPageBreak/>
        <w:t xml:space="preserve">What options are available </w:t>
      </w:r>
      <w:r w:rsidR="003F3D5B" w:rsidRPr="0044107F">
        <w:t xml:space="preserve">to improve </w:t>
      </w:r>
      <w:r w:rsidRPr="0044107F">
        <w:t>fee</w:t>
      </w:r>
      <w:r w:rsidR="003F3D5B" w:rsidRPr="0044107F">
        <w:t xml:space="preserve">s </w:t>
      </w:r>
      <w:r w:rsidR="00572412" w:rsidRPr="0044107F">
        <w:t>in</w:t>
      </w:r>
      <w:r w:rsidRPr="0044107F">
        <w:t xml:space="preserve"> </w:t>
      </w:r>
      <w:r w:rsidR="003F3D5B" w:rsidRPr="0044107F">
        <w:t xml:space="preserve">the </w:t>
      </w:r>
      <w:r w:rsidR="00572412" w:rsidRPr="0044107F">
        <w:t xml:space="preserve">new </w:t>
      </w:r>
      <w:r w:rsidR="003F3D5B" w:rsidRPr="0044107F">
        <w:t>system</w:t>
      </w:r>
      <w:r w:rsidRPr="0044107F">
        <w:t>?</w:t>
      </w:r>
      <w:bookmarkEnd w:id="22"/>
    </w:p>
    <w:p w14:paraId="7106AF18" w14:textId="77355CF4" w:rsidR="00F93018" w:rsidRPr="0044107F" w:rsidRDefault="00E8251B" w:rsidP="00F93018">
      <w:pPr>
        <w:pStyle w:val="Bullet"/>
        <w:numPr>
          <w:ilvl w:val="0"/>
          <w:numId w:val="0"/>
        </w:numPr>
      </w:pPr>
      <w:r w:rsidRPr="0044107F">
        <w:t>Reconsidering</w:t>
      </w:r>
      <w:r w:rsidR="00A85735" w:rsidRPr="0044107F">
        <w:t xml:space="preserve"> </w:t>
      </w:r>
      <w:r w:rsidR="00515374" w:rsidRPr="0044107F">
        <w:t>the</w:t>
      </w:r>
      <w:r w:rsidR="00F93018" w:rsidRPr="0044107F">
        <w:t xml:space="preserve"> </w:t>
      </w:r>
      <w:r w:rsidR="00BC74F1" w:rsidRPr="0044107F">
        <w:t xml:space="preserve">registry </w:t>
      </w:r>
      <w:r w:rsidR="00F93018" w:rsidRPr="0044107F">
        <w:t>fee mix</w:t>
      </w:r>
      <w:r w:rsidR="00A85735" w:rsidRPr="0044107F">
        <w:t xml:space="preserve"> </w:t>
      </w:r>
      <w:r w:rsidR="00F93018" w:rsidRPr="0044107F">
        <w:t xml:space="preserve">is important for the </w:t>
      </w:r>
      <w:r w:rsidR="009E5ECA" w:rsidRPr="0044107F">
        <w:t>M</w:t>
      </w:r>
      <w:r w:rsidR="00913AFA">
        <w:t>odernising</w:t>
      </w:r>
      <w:r w:rsidR="00F93018" w:rsidRPr="0044107F">
        <w:t xml:space="preserve"> </w:t>
      </w:r>
      <w:r w:rsidR="009E5ECA" w:rsidRPr="0044107F">
        <w:t>Business Register</w:t>
      </w:r>
      <w:r w:rsidR="00C106E0" w:rsidRPr="0044107F">
        <w:t>s</w:t>
      </w:r>
      <w:r w:rsidR="009E5ECA" w:rsidRPr="0044107F">
        <w:t xml:space="preserve"> Program </w:t>
      </w:r>
      <w:r w:rsidR="00515374" w:rsidRPr="0044107F">
        <w:t xml:space="preserve">to </w:t>
      </w:r>
      <w:r w:rsidRPr="0044107F">
        <w:t xml:space="preserve">effectively </w:t>
      </w:r>
      <w:r w:rsidR="004F4625" w:rsidRPr="0044107F">
        <w:t>foster more data</w:t>
      </w:r>
      <w:r w:rsidR="00C106E0" w:rsidRPr="0044107F">
        <w:t>-</w:t>
      </w:r>
      <w:r w:rsidR="004F4625" w:rsidRPr="0044107F">
        <w:t xml:space="preserve">driven </w:t>
      </w:r>
      <w:r w:rsidR="00373785" w:rsidRPr="0044107F">
        <w:t xml:space="preserve">innovative </w:t>
      </w:r>
      <w:r w:rsidR="004F4625" w:rsidRPr="0044107F">
        <w:t>business models</w:t>
      </w:r>
      <w:r w:rsidR="00373785" w:rsidRPr="0044107F">
        <w:t xml:space="preserve"> and</w:t>
      </w:r>
      <w:r w:rsidR="00F93018" w:rsidRPr="0044107F">
        <w:t xml:space="preserve"> </w:t>
      </w:r>
      <w:r w:rsidR="00373785" w:rsidRPr="0044107F">
        <w:t xml:space="preserve">provide an improved user experience. </w:t>
      </w:r>
      <w:r w:rsidR="00F93018" w:rsidRPr="0044107F">
        <w:t>The Government has not made a decision on the composition of the fee environment</w:t>
      </w:r>
      <w:r w:rsidR="00373785" w:rsidRPr="0044107F">
        <w:t xml:space="preserve"> and </w:t>
      </w:r>
      <w:r w:rsidRPr="0044107F">
        <w:t>your views will</w:t>
      </w:r>
      <w:r w:rsidR="00F93018" w:rsidRPr="0044107F">
        <w:t xml:space="preserve"> </w:t>
      </w:r>
      <w:r w:rsidR="008F248D" w:rsidRPr="0044107F">
        <w:t xml:space="preserve">be valuable for the Government’s development </w:t>
      </w:r>
      <w:r w:rsidR="00373785" w:rsidRPr="0044107F">
        <w:t>of</w:t>
      </w:r>
      <w:r w:rsidR="008F248D" w:rsidRPr="0044107F">
        <w:t xml:space="preserve"> the modernised registry platform.</w:t>
      </w:r>
    </w:p>
    <w:p w14:paraId="287821BC" w14:textId="77777777" w:rsidR="00F93018" w:rsidRPr="0044107F" w:rsidRDefault="00785571" w:rsidP="00F93018">
      <w:pPr>
        <w:pStyle w:val="Bullet"/>
        <w:numPr>
          <w:ilvl w:val="0"/>
          <w:numId w:val="0"/>
        </w:numPr>
      </w:pPr>
      <w:r w:rsidRPr="0044107F">
        <w:t>O</w:t>
      </w:r>
      <w:r w:rsidR="00F93018" w:rsidRPr="0044107F">
        <w:t xml:space="preserve">ptions </w:t>
      </w:r>
      <w:r w:rsidR="00A313A9">
        <w:t>for reform could</w:t>
      </w:r>
      <w:r w:rsidR="00F93018" w:rsidRPr="0044107F">
        <w:t xml:space="preserve"> include:</w:t>
      </w:r>
    </w:p>
    <w:p w14:paraId="23B2E012" w14:textId="77777777" w:rsidR="00F93018" w:rsidRPr="0044107F" w:rsidRDefault="00C74A72" w:rsidP="00F93018">
      <w:pPr>
        <w:pStyle w:val="Bullet"/>
      </w:pPr>
      <w:r w:rsidRPr="0044107F">
        <w:t>r</w:t>
      </w:r>
      <w:r w:rsidR="00BC74F1" w:rsidRPr="0044107F">
        <w:t xml:space="preserve">eforming registration and </w:t>
      </w:r>
      <w:r w:rsidR="00792495">
        <w:t>review</w:t>
      </w:r>
      <w:r w:rsidR="00BC74F1" w:rsidRPr="0044107F">
        <w:t xml:space="preserve"> fees</w:t>
      </w:r>
      <w:r w:rsidRPr="0044107F">
        <w:t>;</w:t>
      </w:r>
    </w:p>
    <w:p w14:paraId="204AE3EA" w14:textId="77777777" w:rsidR="00C74A72" w:rsidRPr="0044107F" w:rsidRDefault="00C74A72" w:rsidP="00F93018">
      <w:pPr>
        <w:pStyle w:val="Bullet"/>
      </w:pPr>
      <w:r w:rsidRPr="0044107F">
        <w:t>simplifying late fees;</w:t>
      </w:r>
    </w:p>
    <w:p w14:paraId="74164585" w14:textId="77777777" w:rsidR="00F93018" w:rsidRPr="0044107F" w:rsidRDefault="00C74A72" w:rsidP="00F93018">
      <w:pPr>
        <w:pStyle w:val="Bullet"/>
      </w:pPr>
      <w:r w:rsidRPr="0044107F">
        <w:t>s</w:t>
      </w:r>
      <w:r w:rsidR="000D60C0" w:rsidRPr="0044107F">
        <w:t xml:space="preserve">implifying </w:t>
      </w:r>
      <w:r w:rsidR="00F93018" w:rsidRPr="0044107F">
        <w:t>or removing search fees</w:t>
      </w:r>
      <w:r w:rsidR="00785571" w:rsidRPr="0044107F">
        <w:t xml:space="preserve"> for digital interactions</w:t>
      </w:r>
      <w:r w:rsidR="00F93018" w:rsidRPr="0044107F">
        <w:t xml:space="preserve">; </w:t>
      </w:r>
      <w:r w:rsidRPr="0044107F">
        <w:t>and</w:t>
      </w:r>
    </w:p>
    <w:p w14:paraId="15760464" w14:textId="77777777" w:rsidR="00F93018" w:rsidRPr="0044107F" w:rsidRDefault="00C74A72" w:rsidP="00F93018">
      <w:pPr>
        <w:pStyle w:val="Bullet"/>
      </w:pPr>
      <w:r w:rsidRPr="0044107F">
        <w:t>i</w:t>
      </w:r>
      <w:r w:rsidR="00F93018" w:rsidRPr="0044107F">
        <w:t>ntroducing an infrastructure fee</w:t>
      </w:r>
      <w:r w:rsidR="000E1670" w:rsidRPr="0044107F">
        <w:t xml:space="preserve"> for users of </w:t>
      </w:r>
      <w:r w:rsidR="00890E63">
        <w:t>the modernised registry</w:t>
      </w:r>
      <w:r w:rsidR="00785571" w:rsidRPr="0044107F">
        <w:t xml:space="preserve"> services</w:t>
      </w:r>
      <w:r w:rsidR="00F93018" w:rsidRPr="0044107F">
        <w:t>;</w:t>
      </w:r>
    </w:p>
    <w:p w14:paraId="6B933A94" w14:textId="77777777" w:rsidR="00F93018" w:rsidRPr="0044107F" w:rsidRDefault="00BC74F1" w:rsidP="00F93018">
      <w:pPr>
        <w:pStyle w:val="Heading3"/>
      </w:pPr>
      <w:bookmarkStart w:id="23" w:name="_Toc530493301"/>
      <w:r w:rsidRPr="0044107F">
        <w:t xml:space="preserve">Reforming </w:t>
      </w:r>
      <w:r w:rsidR="00792495">
        <w:t>review</w:t>
      </w:r>
      <w:r w:rsidRPr="0044107F">
        <w:t xml:space="preserve"> fees to better account for entity size</w:t>
      </w:r>
      <w:bookmarkEnd w:id="23"/>
    </w:p>
    <w:p w14:paraId="55D7D421" w14:textId="5312EB52" w:rsidR="00606C75" w:rsidRDefault="00606C75" w:rsidP="00F93018">
      <w:r>
        <w:t xml:space="preserve">One option to be considered is reforming the annual review fees that are currently charged to different entities.  </w:t>
      </w:r>
    </w:p>
    <w:p w14:paraId="0A3B4032" w14:textId="44501830" w:rsidR="005A5DD8" w:rsidRDefault="003C0459" w:rsidP="00F93018">
      <w:r w:rsidRPr="0044107F">
        <w:t xml:space="preserve">Charging different fees for large and small businesses could increase equity in the registry fee regime. </w:t>
      </w:r>
      <w:r>
        <w:t xml:space="preserve"> </w:t>
      </w:r>
      <w:r w:rsidR="00F00946">
        <w:t>One dimension of equity that can justify changing the annual review fee is that l</w:t>
      </w:r>
      <w:r w:rsidR="00F93018" w:rsidRPr="0044107F">
        <w:t xml:space="preserve">arger </w:t>
      </w:r>
      <w:r w:rsidR="005A5DD8" w:rsidRPr="0044107F">
        <w:t xml:space="preserve">entities </w:t>
      </w:r>
      <w:r w:rsidR="00C1102C">
        <w:t xml:space="preserve">generally </w:t>
      </w:r>
      <w:r w:rsidR="00F93018" w:rsidRPr="0044107F">
        <w:t xml:space="preserve">have better scale and financial capacity to pay </w:t>
      </w:r>
      <w:r w:rsidR="00C106E0" w:rsidRPr="0044107F">
        <w:t>G</w:t>
      </w:r>
      <w:r w:rsidR="006D68FC" w:rsidRPr="0044107F">
        <w:t xml:space="preserve">overnment </w:t>
      </w:r>
      <w:r w:rsidR="00F93018" w:rsidRPr="0044107F">
        <w:t>fee</w:t>
      </w:r>
      <w:r w:rsidR="005A5DD8" w:rsidRPr="0044107F">
        <w:t>s</w:t>
      </w:r>
      <w:r w:rsidR="00F93018" w:rsidRPr="0044107F">
        <w:t xml:space="preserve">. </w:t>
      </w:r>
      <w:r w:rsidR="00693757" w:rsidRPr="0044107F">
        <w:t>Minimising the costs to s</w:t>
      </w:r>
      <w:r w:rsidR="005A5DD8" w:rsidRPr="0044107F">
        <w:t xml:space="preserve">mall businesses </w:t>
      </w:r>
      <w:r w:rsidR="00693757" w:rsidRPr="0044107F">
        <w:t xml:space="preserve">provides </w:t>
      </w:r>
      <w:r w:rsidR="006D68FC" w:rsidRPr="0044107F">
        <w:t xml:space="preserve">opportunities for </w:t>
      </w:r>
      <w:r w:rsidR="00C70FD8" w:rsidRPr="0044107F">
        <w:t xml:space="preserve">business </w:t>
      </w:r>
      <w:r w:rsidR="00693757" w:rsidRPr="0044107F">
        <w:t>g</w:t>
      </w:r>
      <w:r w:rsidR="006D68FC" w:rsidRPr="0044107F">
        <w:t>rowth and encourages entrepreneurship.</w:t>
      </w:r>
      <w:r w:rsidR="00693757" w:rsidRPr="0044107F">
        <w:t xml:space="preserve"> </w:t>
      </w:r>
      <w:r w:rsidR="00F471E6">
        <w:t xml:space="preserve">Larger businesses have the scale and capacity to efficiently process these responsibilities and fees, creating an inequity in the real cost of the annual review fee. </w:t>
      </w:r>
    </w:p>
    <w:p w14:paraId="4B88BE19" w14:textId="3646D14A" w:rsidR="00470D8B" w:rsidRPr="0044107F" w:rsidRDefault="00470D8B" w:rsidP="00F93018">
      <w:r>
        <w:t>Another dimension of equity that justifies changing the</w:t>
      </w:r>
      <w:r w:rsidR="00F00946">
        <w:t xml:space="preserve"> annual review</w:t>
      </w:r>
      <w:r>
        <w:t xml:space="preserve"> </w:t>
      </w:r>
      <w:r w:rsidR="00F00946">
        <w:t xml:space="preserve">fee </w:t>
      </w:r>
      <w:r>
        <w:t xml:space="preserve">to account for entity size </w:t>
      </w:r>
      <w:r w:rsidR="00606C75">
        <w:t>could</w:t>
      </w:r>
      <w:r>
        <w:t xml:space="preserve"> also be considered. </w:t>
      </w:r>
      <w:r w:rsidR="00606C75">
        <w:t>In general, l</w:t>
      </w:r>
      <w:r>
        <w:t xml:space="preserve">arger </w:t>
      </w:r>
      <w:r w:rsidR="00606C75">
        <w:t>entities</w:t>
      </w:r>
      <w:r>
        <w:t xml:space="preserve"> gain the most benefit from the efficiencies provided by the verification process of the annual review</w:t>
      </w:r>
      <w:r w:rsidR="00606C75">
        <w:t>.</w:t>
      </w:r>
      <w:r>
        <w:t xml:space="preserve"> </w:t>
      </w:r>
      <w:r w:rsidR="00606C75">
        <w:t>This is because larger entities engage</w:t>
      </w:r>
      <w:r>
        <w:t xml:space="preserve"> in a higher number of transactions </w:t>
      </w:r>
      <w:r w:rsidR="00606C75">
        <w:t>and therefore derive a greater benefit</w:t>
      </w:r>
      <w:r>
        <w:t xml:space="preserve"> </w:t>
      </w:r>
      <w:r w:rsidR="00606C75">
        <w:t xml:space="preserve">from </w:t>
      </w:r>
      <w:r>
        <w:t xml:space="preserve">the trusted information sourced from the registry.  </w:t>
      </w:r>
      <w:r w:rsidR="00606C75">
        <w:t>This principle suggests l</w:t>
      </w:r>
      <w:r>
        <w:t xml:space="preserve">arger </w:t>
      </w:r>
      <w:r w:rsidR="00606C75">
        <w:t>entities</w:t>
      </w:r>
      <w:r>
        <w:t xml:space="preserve"> should pay more for this benefit, which could be captured in a higher annual review fee</w:t>
      </w:r>
      <w:r w:rsidR="00606C75">
        <w:t xml:space="preserve"> relative to smaller entities</w:t>
      </w:r>
      <w:r>
        <w:t xml:space="preserve">. </w:t>
      </w:r>
    </w:p>
    <w:p w14:paraId="1E1A7E61" w14:textId="77777777" w:rsidR="00A11834" w:rsidRPr="0044107F" w:rsidRDefault="00BC74F1" w:rsidP="00F93018">
      <w:r w:rsidRPr="0044107F">
        <w:t>As outlined earlier, annual review fees are set</w:t>
      </w:r>
      <w:r w:rsidR="00890E63">
        <w:t xml:space="preserve"> based on the type of company. </w:t>
      </w:r>
      <w:r w:rsidR="00C1102C">
        <w:t xml:space="preserve">The current model differentiates annual review fees based on whether a company is proprietary, public or special purpose. </w:t>
      </w:r>
      <w:r w:rsidRPr="0044107F">
        <w:t xml:space="preserve">One option being considered is to </w:t>
      </w:r>
      <w:r w:rsidR="006E4268" w:rsidRPr="0044107F">
        <w:t>reform the annual review fee so that smaller companies pay a lower review fee than larger companies.</w:t>
      </w:r>
      <w:r w:rsidR="0091045C">
        <w:t xml:space="preserve"> </w:t>
      </w:r>
    </w:p>
    <w:p w14:paraId="796F1C43" w14:textId="77777777" w:rsidR="00BC74F1" w:rsidRPr="0044107F" w:rsidRDefault="00C25F91" w:rsidP="00F93018">
      <w:r w:rsidRPr="0044107F">
        <w:t xml:space="preserve">Under this </w:t>
      </w:r>
      <w:r w:rsidR="00A11834" w:rsidRPr="0044107F">
        <w:t>option, small businesses w</w:t>
      </w:r>
      <w:r w:rsidRPr="0044107F">
        <w:t>ould pay a lower annual rev</w:t>
      </w:r>
      <w:r w:rsidR="008A6926">
        <w:t xml:space="preserve">iew fee for each company type. </w:t>
      </w:r>
      <w:r w:rsidR="00F471E6">
        <w:t xml:space="preserve">Annual review fees for large companies could also be reduced under this model, but differentiating between small and large businesses would ease the compliance burden on small businesses. </w:t>
      </w:r>
    </w:p>
    <w:p w14:paraId="369C2C0E" w14:textId="0DD3BD22" w:rsidR="00F93018" w:rsidRPr="0044107F" w:rsidRDefault="005A5DD8" w:rsidP="00F93018">
      <w:r w:rsidRPr="0044107F">
        <w:t>However,</w:t>
      </w:r>
      <w:r w:rsidR="00F93018" w:rsidRPr="0044107F">
        <w:t xml:space="preserve"> creating a two-tiered system could</w:t>
      </w:r>
      <w:r w:rsidRPr="0044107F">
        <w:t xml:space="preserve"> create complexity for businesses. </w:t>
      </w:r>
      <w:r w:rsidR="00C106E0" w:rsidRPr="0044107F">
        <w:t>Businesses</w:t>
      </w:r>
      <w:r w:rsidRPr="0044107F">
        <w:t xml:space="preserve"> would have to identify if the</w:t>
      </w:r>
      <w:r w:rsidR="00693757" w:rsidRPr="0044107F">
        <w:t>y</w:t>
      </w:r>
      <w:r w:rsidRPr="0044107F">
        <w:t xml:space="preserve"> are</w:t>
      </w:r>
      <w:r w:rsidR="00E25F21" w:rsidRPr="0044107F">
        <w:t xml:space="preserve"> </w:t>
      </w:r>
      <w:r w:rsidRPr="0044107F">
        <w:t>a</w:t>
      </w:r>
      <w:r w:rsidR="00F529EA" w:rsidRPr="0044107F">
        <w:t xml:space="preserve"> small business for the purpose</w:t>
      </w:r>
      <w:r w:rsidRPr="0044107F">
        <w:t xml:space="preserve"> of registry fees. </w:t>
      </w:r>
      <w:r w:rsidR="00922F7A" w:rsidRPr="0044107F">
        <w:t>This complexity can be alleviated by using definitions of small business that are already used by regulators</w:t>
      </w:r>
      <w:r w:rsidR="00F529EA" w:rsidRPr="0044107F">
        <w:t xml:space="preserve">, including </w:t>
      </w:r>
      <w:r w:rsidR="009A3C2D" w:rsidRPr="0044107F">
        <w:t>threshold</w:t>
      </w:r>
      <w:r w:rsidR="00F529EA" w:rsidRPr="0044107F">
        <w:t>s</w:t>
      </w:r>
      <w:r w:rsidR="009A3C2D" w:rsidRPr="0044107F">
        <w:t xml:space="preserve"> on </w:t>
      </w:r>
      <w:r w:rsidR="00F93018" w:rsidRPr="0044107F">
        <w:t xml:space="preserve">capital, as per the current </w:t>
      </w:r>
      <w:r w:rsidR="009A3C2D" w:rsidRPr="0044107F">
        <w:t xml:space="preserve">ASIC </w:t>
      </w:r>
      <w:r w:rsidR="007D1DEF">
        <w:t>IFM</w:t>
      </w:r>
      <w:r w:rsidR="009A3C2D" w:rsidRPr="0044107F">
        <w:t xml:space="preserve"> for small proprietary companies</w:t>
      </w:r>
      <w:r w:rsidR="009A3C2D" w:rsidRPr="0044107F">
        <w:rPr>
          <w:rStyle w:val="FootnoteReference"/>
        </w:rPr>
        <w:footnoteReference w:id="8"/>
      </w:r>
      <w:r w:rsidR="003C0459">
        <w:t>,</w:t>
      </w:r>
      <w:r w:rsidR="009A3C2D" w:rsidRPr="0044107F">
        <w:t xml:space="preserve"> or aggregated </w:t>
      </w:r>
      <w:r w:rsidR="009A3C2D" w:rsidRPr="0044107F">
        <w:lastRenderedPageBreak/>
        <w:t>turnover</w:t>
      </w:r>
      <w:r w:rsidR="009A3C2D" w:rsidRPr="0044107F">
        <w:rPr>
          <w:rStyle w:val="FootnoteReference"/>
        </w:rPr>
        <w:footnoteReference w:id="9"/>
      </w:r>
      <w:r w:rsidR="00F93018" w:rsidRPr="0044107F">
        <w:t xml:space="preserve"> as per tax purposes. </w:t>
      </w:r>
      <w:r w:rsidR="003A1104" w:rsidRPr="0044107F">
        <w:t>The</w:t>
      </w:r>
      <w:r w:rsidR="00F529EA" w:rsidRPr="0044107F">
        <w:t xml:space="preserve"> definition</w:t>
      </w:r>
      <w:r w:rsidR="003A1104" w:rsidRPr="0044107F">
        <w:t xml:space="preserve"> for small business</w:t>
      </w:r>
      <w:r w:rsidR="00F93018" w:rsidRPr="0044107F">
        <w:t xml:space="preserve"> would need to be set at an appropriate level to ensure</w:t>
      </w:r>
      <w:r w:rsidR="00C70FD8" w:rsidRPr="0044107F">
        <w:t xml:space="preserve"> the registry</w:t>
      </w:r>
      <w:r w:rsidR="00F93018" w:rsidRPr="0044107F">
        <w:t xml:space="preserve"> </w:t>
      </w:r>
      <w:r w:rsidR="00F529EA" w:rsidRPr="0044107F">
        <w:t>provide</w:t>
      </w:r>
      <w:r w:rsidR="008A0A4F">
        <w:t>s</w:t>
      </w:r>
      <w:r w:rsidR="003A1104" w:rsidRPr="0044107F">
        <w:t xml:space="preserve"> </w:t>
      </w:r>
      <w:r w:rsidR="00470D8B">
        <w:t xml:space="preserve">incentives for </w:t>
      </w:r>
      <w:r w:rsidR="00F529EA" w:rsidRPr="0044107F">
        <w:t xml:space="preserve">business </w:t>
      </w:r>
      <w:r w:rsidR="00F93018" w:rsidRPr="0044107F">
        <w:t>grow</w:t>
      </w:r>
      <w:r w:rsidR="003A1104" w:rsidRPr="0044107F">
        <w:t>th</w:t>
      </w:r>
      <w:r w:rsidR="00F93018" w:rsidRPr="0044107F">
        <w:t xml:space="preserve">. </w:t>
      </w:r>
    </w:p>
    <w:p w14:paraId="2052D65A" w14:textId="0F0B7EF2" w:rsidR="00BC74F1" w:rsidRPr="0044107F" w:rsidRDefault="006E4268" w:rsidP="00BC74F1">
      <w:r w:rsidRPr="0044107F">
        <w:t>The</w:t>
      </w:r>
      <w:r w:rsidR="00BC74F1" w:rsidRPr="0044107F">
        <w:t xml:space="preserve"> current registration fees are uniform </w:t>
      </w:r>
      <w:r w:rsidR="00611BA7">
        <w:t xml:space="preserve">for all company registrations. </w:t>
      </w:r>
      <w:r w:rsidR="008A0A4F">
        <w:t>The</w:t>
      </w:r>
      <w:r w:rsidR="00EE1722">
        <w:t xml:space="preserve"> vast majority of companies are </w:t>
      </w:r>
      <w:r w:rsidR="00BC74F1" w:rsidRPr="0044107F">
        <w:t xml:space="preserve">small </w:t>
      </w:r>
      <w:r w:rsidR="00EE1722">
        <w:t xml:space="preserve">proprietary </w:t>
      </w:r>
      <w:r w:rsidR="00BC74F1" w:rsidRPr="0044107F">
        <w:t>co</w:t>
      </w:r>
      <w:r w:rsidR="008A6926">
        <w:t xml:space="preserve">mpanies. </w:t>
      </w:r>
      <w:r w:rsidR="00BC74F1" w:rsidRPr="0044107F">
        <w:t xml:space="preserve">As such, setting fees based on company size is not </w:t>
      </w:r>
      <w:r w:rsidR="00C60E59" w:rsidRPr="0044107F">
        <w:t xml:space="preserve">likely to be </w:t>
      </w:r>
      <w:r w:rsidR="00BC74F1" w:rsidRPr="0044107F">
        <w:t>appropriate for registration fees</w:t>
      </w:r>
      <w:r w:rsidR="00E27A40" w:rsidRPr="0044107F">
        <w:t>, although options</w:t>
      </w:r>
      <w:r w:rsidR="0089222B">
        <w:t>, including lowering registration fees,</w:t>
      </w:r>
      <w:r w:rsidR="00E27A40" w:rsidRPr="0044107F">
        <w:t xml:space="preserve"> can be considered</w:t>
      </w:r>
      <w:r w:rsidR="00BC74F1" w:rsidRPr="0044107F">
        <w:t>.</w:t>
      </w:r>
    </w:p>
    <w:p w14:paraId="24F5F631" w14:textId="77777777" w:rsidR="00F93018" w:rsidRPr="0044107F" w:rsidRDefault="00F93018" w:rsidP="00F93018">
      <w:pPr>
        <w:pStyle w:val="Heading3"/>
      </w:pPr>
      <w:bookmarkStart w:id="24" w:name="_Toc530493302"/>
      <w:r w:rsidRPr="0044107F">
        <w:t>Simplifying Late Fees</w:t>
      </w:r>
      <w:bookmarkEnd w:id="24"/>
    </w:p>
    <w:p w14:paraId="0AF271D2" w14:textId="4166E891" w:rsidR="0006386F" w:rsidRPr="0044107F" w:rsidRDefault="0006386F" w:rsidP="00F93018">
      <w:r w:rsidRPr="0044107F">
        <w:t>Public f</w:t>
      </w:r>
      <w:r w:rsidR="00C70FD8" w:rsidRPr="0044107F">
        <w:t>eedback has indicated that l</w:t>
      </w:r>
      <w:r w:rsidR="00F93018" w:rsidRPr="0044107F">
        <w:t>ate fees are not well understood by registry users</w:t>
      </w:r>
      <w:r w:rsidR="00524E0F" w:rsidRPr="0044107F">
        <w:t xml:space="preserve"> (see Attachment </w:t>
      </w:r>
      <w:r w:rsidR="00992495">
        <w:t>A</w:t>
      </w:r>
      <w:r w:rsidR="00524E0F" w:rsidRPr="0044107F">
        <w:t xml:space="preserve"> for examples of </w:t>
      </w:r>
      <w:r w:rsidR="00B6602C">
        <w:t>process</w:t>
      </w:r>
      <w:r w:rsidR="00524E0F" w:rsidRPr="0044107F">
        <w:t>)</w:t>
      </w:r>
      <w:r w:rsidR="00F0684D" w:rsidRPr="0044107F">
        <w:t xml:space="preserve">. </w:t>
      </w:r>
      <w:r w:rsidR="001458DE" w:rsidRPr="0044107F">
        <w:t xml:space="preserve">The </w:t>
      </w:r>
      <w:r w:rsidR="00F0684D" w:rsidRPr="0044107F">
        <w:t>modernise</w:t>
      </w:r>
      <w:r w:rsidR="00C70FD8" w:rsidRPr="0044107F">
        <w:t>d</w:t>
      </w:r>
      <w:r w:rsidR="00F0684D" w:rsidRPr="0044107F">
        <w:t xml:space="preserve"> </w:t>
      </w:r>
      <w:r w:rsidR="00A71403" w:rsidRPr="0044107F">
        <w:t>registry</w:t>
      </w:r>
      <w:r w:rsidR="001458DE" w:rsidRPr="0044107F">
        <w:t xml:space="preserve"> system </w:t>
      </w:r>
      <w:r w:rsidR="00A313A9">
        <w:t>could</w:t>
      </w:r>
      <w:r w:rsidR="00A313A9" w:rsidRPr="0044107F">
        <w:t xml:space="preserve"> </w:t>
      </w:r>
      <w:r w:rsidRPr="0044107F">
        <w:t>provide</w:t>
      </w:r>
      <w:r w:rsidR="00F0684D" w:rsidRPr="0044107F">
        <w:t xml:space="preserve"> </w:t>
      </w:r>
      <w:r w:rsidRPr="0044107F">
        <w:t xml:space="preserve">a </w:t>
      </w:r>
      <w:r w:rsidR="00F0684D" w:rsidRPr="0044107F">
        <w:t xml:space="preserve">modern </w:t>
      </w:r>
      <w:r w:rsidR="001458DE" w:rsidRPr="0044107F">
        <w:t>notifications</w:t>
      </w:r>
      <w:r w:rsidRPr="0044107F">
        <w:t xml:space="preserve"> system (including to authorised representatives of a company) with easier interfaces to provide data to the Government</w:t>
      </w:r>
      <w:r w:rsidR="001458DE" w:rsidRPr="0044107F">
        <w:t xml:space="preserve">. </w:t>
      </w:r>
      <w:r w:rsidRPr="0044107F">
        <w:t xml:space="preserve">This is </w:t>
      </w:r>
      <w:r w:rsidR="002E477D" w:rsidRPr="0044107F">
        <w:t>expect</w:t>
      </w:r>
      <w:r w:rsidRPr="0044107F">
        <w:t xml:space="preserve">ed to lead to fewer </w:t>
      </w:r>
      <w:r w:rsidR="001458DE" w:rsidRPr="0044107F">
        <w:t xml:space="preserve">late fees </w:t>
      </w:r>
      <w:r w:rsidRPr="0044107F">
        <w:t>being</w:t>
      </w:r>
      <w:r w:rsidR="001458DE" w:rsidRPr="0044107F">
        <w:t xml:space="preserve"> </w:t>
      </w:r>
      <w:r w:rsidRPr="0044107F">
        <w:t xml:space="preserve">imposed </w:t>
      </w:r>
      <w:r w:rsidR="001458DE" w:rsidRPr="0044107F">
        <w:t xml:space="preserve">as </w:t>
      </w:r>
      <w:r w:rsidR="00A71403" w:rsidRPr="0044107F">
        <w:t>clients become more</w:t>
      </w:r>
      <w:r w:rsidR="001458DE" w:rsidRPr="0044107F">
        <w:t xml:space="preserve"> aware of </w:t>
      </w:r>
      <w:r w:rsidR="00C70FD8" w:rsidRPr="0044107F">
        <w:t>obligations and possible penalty implication</w:t>
      </w:r>
      <w:r w:rsidR="008A0A4F">
        <w:t>s</w:t>
      </w:r>
      <w:r w:rsidR="00C70FD8" w:rsidRPr="0044107F">
        <w:t xml:space="preserve"> of no</w:t>
      </w:r>
      <w:r w:rsidR="008A3C6E">
        <w:t>t</w:t>
      </w:r>
      <w:r w:rsidR="0079749A">
        <w:t xml:space="preserve"> </w:t>
      </w:r>
      <w:r w:rsidR="008A3C6E">
        <w:t xml:space="preserve">meeting </w:t>
      </w:r>
      <w:r w:rsidR="0079749A">
        <w:t>deadlines</w:t>
      </w:r>
      <w:r w:rsidR="00C70FD8" w:rsidRPr="0044107F">
        <w:t xml:space="preserve">. </w:t>
      </w:r>
    </w:p>
    <w:p w14:paraId="12054BBA" w14:textId="67793F68" w:rsidR="001458DE" w:rsidRPr="0044107F" w:rsidRDefault="0006386F" w:rsidP="00F93018">
      <w:r w:rsidRPr="0044107F">
        <w:t xml:space="preserve">While enhanced notifications and interfaces are practical steps to reduce the incidence of late fees, </w:t>
      </w:r>
      <w:r w:rsidR="00C25F91" w:rsidRPr="0044107F">
        <w:t>options</w:t>
      </w:r>
      <w:r w:rsidR="001458DE" w:rsidRPr="0044107F">
        <w:t xml:space="preserve"> to improve</w:t>
      </w:r>
      <w:r w:rsidR="00C1102C">
        <w:t xml:space="preserve"> the nature and processes around</w:t>
      </w:r>
      <w:r w:rsidR="001458DE" w:rsidRPr="0044107F">
        <w:t xml:space="preserve"> </w:t>
      </w:r>
      <w:r w:rsidR="00C70FD8" w:rsidRPr="0044107F">
        <w:t>late</w:t>
      </w:r>
      <w:r w:rsidR="001458DE" w:rsidRPr="0044107F">
        <w:t xml:space="preserve"> fees </w:t>
      </w:r>
      <w:r w:rsidR="008A6926">
        <w:t>remain.</w:t>
      </w:r>
      <w:r w:rsidR="00C25F91" w:rsidRPr="0044107F">
        <w:t xml:space="preserve"> These options </w:t>
      </w:r>
      <w:r w:rsidR="00A313A9">
        <w:t>could</w:t>
      </w:r>
      <w:r w:rsidR="00A313A9" w:rsidRPr="0044107F">
        <w:t xml:space="preserve"> </w:t>
      </w:r>
      <w:r w:rsidR="001458DE" w:rsidRPr="0044107F">
        <w:t>ensure that</w:t>
      </w:r>
      <w:r w:rsidR="00C25F91" w:rsidRPr="0044107F">
        <w:t xml:space="preserve"> late fees</w:t>
      </w:r>
      <w:r w:rsidR="001458DE" w:rsidRPr="0044107F">
        <w:t xml:space="preserve"> </w:t>
      </w:r>
      <w:r w:rsidR="00B67858">
        <w:t xml:space="preserve">continue to </w:t>
      </w:r>
      <w:r w:rsidR="00C25F91" w:rsidRPr="0044107F">
        <w:t>appropriately penalise</w:t>
      </w:r>
      <w:r w:rsidR="00A71403" w:rsidRPr="0044107F">
        <w:t xml:space="preserve"> late</w:t>
      </w:r>
      <w:r w:rsidR="00C106E0" w:rsidRPr="0044107F">
        <w:t xml:space="preserve"> lodgement and late payment to</w:t>
      </w:r>
      <w:r w:rsidR="008A0A4F">
        <w:t xml:space="preserve"> the</w:t>
      </w:r>
      <w:r w:rsidR="00C106E0" w:rsidRPr="0044107F">
        <w:t xml:space="preserve"> G</w:t>
      </w:r>
      <w:r w:rsidR="00A71403" w:rsidRPr="0044107F">
        <w:t>overnment</w:t>
      </w:r>
      <w:r w:rsidR="001458DE" w:rsidRPr="0044107F">
        <w:t xml:space="preserve">. </w:t>
      </w:r>
    </w:p>
    <w:p w14:paraId="7036C827" w14:textId="47DB0D0F" w:rsidR="002E477D" w:rsidRPr="0044107F" w:rsidRDefault="0006386F" w:rsidP="002E477D">
      <w:r w:rsidRPr="0044107F">
        <w:t xml:space="preserve">One option that </w:t>
      </w:r>
      <w:r w:rsidR="00A313A9">
        <w:t>could</w:t>
      </w:r>
      <w:r w:rsidR="00A313A9" w:rsidRPr="0044107F">
        <w:t xml:space="preserve"> </w:t>
      </w:r>
      <w:r w:rsidRPr="0044107F">
        <w:t>be considered is replacing late paymen</w:t>
      </w:r>
      <w:r w:rsidR="0091045C">
        <w:t>t fee</w:t>
      </w:r>
      <w:r w:rsidR="008A0A4F">
        <w:t>s</w:t>
      </w:r>
      <w:r w:rsidR="0091045C">
        <w:t xml:space="preserve"> with an interest charge. </w:t>
      </w:r>
      <w:r w:rsidRPr="0044107F">
        <w:t xml:space="preserve">This could be similar to </w:t>
      </w:r>
      <w:r w:rsidR="008A0A4F">
        <w:t xml:space="preserve">a </w:t>
      </w:r>
      <w:r w:rsidRPr="0044107F">
        <w:t xml:space="preserve">model currently used by </w:t>
      </w:r>
      <w:r w:rsidR="002E477D" w:rsidRPr="0044107F">
        <w:t xml:space="preserve">the ATO </w:t>
      </w:r>
      <w:r w:rsidRPr="0044107F">
        <w:t>where</w:t>
      </w:r>
      <w:r w:rsidR="002E477D" w:rsidRPr="0044107F">
        <w:t xml:space="preserve"> if </w:t>
      </w:r>
      <w:r w:rsidRPr="0044107F">
        <w:t>a taxpayer does not</w:t>
      </w:r>
      <w:r w:rsidR="002E477D" w:rsidRPr="0044107F">
        <w:t xml:space="preserve"> pay on time, a </w:t>
      </w:r>
      <w:r w:rsidRPr="0044107F">
        <w:t>G</w:t>
      </w:r>
      <w:r w:rsidR="002E477D" w:rsidRPr="0044107F">
        <w:t xml:space="preserve">eneral </w:t>
      </w:r>
      <w:r w:rsidRPr="0044107F">
        <w:t>I</w:t>
      </w:r>
      <w:r w:rsidR="002E477D" w:rsidRPr="0044107F">
        <w:t xml:space="preserve">nterest </w:t>
      </w:r>
      <w:r w:rsidR="00BC1C5A" w:rsidRPr="0044107F">
        <w:t>Charge will</w:t>
      </w:r>
      <w:r w:rsidR="002E477D" w:rsidRPr="0044107F">
        <w:t xml:space="preserve"> automatically be added to what </w:t>
      </w:r>
      <w:r w:rsidRPr="0044107F">
        <w:t xml:space="preserve">is </w:t>
      </w:r>
      <w:r w:rsidR="002E477D" w:rsidRPr="0044107F">
        <w:t>owe</w:t>
      </w:r>
      <w:r w:rsidRPr="0044107F">
        <w:t>d</w:t>
      </w:r>
      <w:r w:rsidR="00CC184C" w:rsidRPr="0044107F">
        <w:t xml:space="preserve">; therefore, </w:t>
      </w:r>
      <w:r w:rsidR="00C70FD8" w:rsidRPr="0044107F">
        <w:t>the</w:t>
      </w:r>
      <w:r w:rsidR="002E477D" w:rsidRPr="0044107F">
        <w:t xml:space="preserve"> </w:t>
      </w:r>
      <w:r w:rsidR="00C70FD8" w:rsidRPr="0044107F">
        <w:t>penalty</w:t>
      </w:r>
      <w:r w:rsidR="002E477D" w:rsidRPr="0044107F">
        <w:t xml:space="preserve"> will grow each day </w:t>
      </w:r>
      <w:r w:rsidR="00CC184C" w:rsidRPr="0044107F">
        <w:t>they remain</w:t>
      </w:r>
      <w:r w:rsidR="002E477D" w:rsidRPr="0044107F">
        <w:t xml:space="preserve"> unpaid. </w:t>
      </w:r>
    </w:p>
    <w:p w14:paraId="00A9791B" w14:textId="68018E97" w:rsidR="00C25F91" w:rsidRPr="0044107F" w:rsidRDefault="00C25F91" w:rsidP="002E477D">
      <w:r w:rsidRPr="0044107F">
        <w:t>Under this option, the late fee associated with being 30</w:t>
      </w:r>
      <w:r w:rsidR="008A6926">
        <w:t xml:space="preserve"> days late would be unchanged. </w:t>
      </w:r>
      <w:r w:rsidRPr="0044107F">
        <w:t>However, once the 30 days have elaps</w:t>
      </w:r>
      <w:r w:rsidR="008A6926">
        <w:t xml:space="preserve">ed, interest would be charged. </w:t>
      </w:r>
      <w:r w:rsidRPr="0044107F">
        <w:t>For entities that pay shortly after the 30</w:t>
      </w:r>
      <w:r w:rsidR="001960B8">
        <w:t> </w:t>
      </w:r>
      <w:r w:rsidRPr="0044107F">
        <w:t>days have passed, this option would lead to a lower fee being paid that would be the case under the current regime. However, this model would lead to higher fees being paid for those entities that do not pay the late fee until the interest charge is greater than the current late payment fee.</w:t>
      </w:r>
    </w:p>
    <w:p w14:paraId="0097BABB" w14:textId="77777777" w:rsidR="00180B6A" w:rsidRDefault="0006386F" w:rsidP="00277653">
      <w:r w:rsidRPr="0044107F">
        <w:t xml:space="preserve">Conversely, another </w:t>
      </w:r>
      <w:r w:rsidR="00015F72" w:rsidRPr="0044107F">
        <w:t xml:space="preserve">option </w:t>
      </w:r>
      <w:r w:rsidR="00A313A9">
        <w:t>that could be</w:t>
      </w:r>
      <w:r w:rsidR="00A313A9" w:rsidRPr="0044107F">
        <w:t xml:space="preserve"> </w:t>
      </w:r>
      <w:r w:rsidRPr="0044107F">
        <w:t xml:space="preserve">considered is </w:t>
      </w:r>
      <w:r w:rsidR="0091045C">
        <w:t xml:space="preserve">to </w:t>
      </w:r>
      <w:r w:rsidR="00015F72" w:rsidRPr="0044107F">
        <w:t>i</w:t>
      </w:r>
      <w:r w:rsidR="00B42F1E" w:rsidRPr="0044107F">
        <w:t>ncreas</w:t>
      </w:r>
      <w:r w:rsidR="001A5622" w:rsidRPr="0044107F">
        <w:t>e</w:t>
      </w:r>
      <w:r w:rsidR="00B42F1E" w:rsidRPr="0044107F">
        <w:t xml:space="preserve"> the</w:t>
      </w:r>
      <w:r w:rsidR="00A523CB">
        <w:t xml:space="preserve"> penalty</w:t>
      </w:r>
      <w:r w:rsidR="0091045C">
        <w:t xml:space="preserve"> fees for </w:t>
      </w:r>
      <w:r w:rsidR="00434C6D">
        <w:t>late lodgement of annual review information</w:t>
      </w:r>
      <w:r w:rsidR="0091045C">
        <w:t xml:space="preserve"> </w:t>
      </w:r>
      <w:r w:rsidR="00434C6D">
        <w:t xml:space="preserve">(keeping the register up to date) </w:t>
      </w:r>
      <w:r w:rsidR="0091045C">
        <w:t>and</w:t>
      </w:r>
      <w:r w:rsidR="00180B6A">
        <w:t xml:space="preserve"> to</w:t>
      </w:r>
      <w:r w:rsidR="0091045C">
        <w:t xml:space="preserve"> </w:t>
      </w:r>
      <w:r w:rsidR="0091045C" w:rsidRPr="0044107F">
        <w:t xml:space="preserve">lower </w:t>
      </w:r>
      <w:r w:rsidR="0091045C">
        <w:t>fees associated with late payments of money</w:t>
      </w:r>
      <w:r w:rsidR="00434C6D">
        <w:t xml:space="preserve"> from the annual review</w:t>
      </w:r>
      <w:r w:rsidR="00611BA7">
        <w:t xml:space="preserve"> process</w:t>
      </w:r>
      <w:r w:rsidR="00180B6A">
        <w:t>.</w:t>
      </w:r>
      <w:r w:rsidR="0091045C">
        <w:t xml:space="preserve"> </w:t>
      </w:r>
      <w:r w:rsidRPr="0044107F">
        <w:t xml:space="preserve">This option would </w:t>
      </w:r>
      <w:r w:rsidR="0091045C">
        <w:t xml:space="preserve">encourage </w:t>
      </w:r>
      <w:r w:rsidR="00180B6A">
        <w:t xml:space="preserve">users to </w:t>
      </w:r>
      <w:r w:rsidR="0091045C">
        <w:t>provid</w:t>
      </w:r>
      <w:r w:rsidR="00180B6A">
        <w:t>e</w:t>
      </w:r>
      <w:r w:rsidR="0091045C">
        <w:t xml:space="preserve"> updated business data and </w:t>
      </w:r>
      <w:r w:rsidR="00180B6A">
        <w:t xml:space="preserve">reduce the penalty for </w:t>
      </w:r>
      <w:r w:rsidR="00611BA7">
        <w:t xml:space="preserve">delayed </w:t>
      </w:r>
      <w:r w:rsidR="00180B6A">
        <w:t>payments.</w:t>
      </w:r>
    </w:p>
    <w:p w14:paraId="57E35B12" w14:textId="77777777" w:rsidR="00F93018" w:rsidRPr="0044107F" w:rsidRDefault="00F93018" w:rsidP="00F93018">
      <w:pPr>
        <w:pStyle w:val="Heading3"/>
      </w:pPr>
      <w:bookmarkStart w:id="25" w:name="_Toc530493303"/>
      <w:r w:rsidRPr="0044107F">
        <w:t>Limiting or removing search fees</w:t>
      </w:r>
      <w:bookmarkEnd w:id="25"/>
    </w:p>
    <w:p w14:paraId="48299D49" w14:textId="38689C8D" w:rsidR="00A11834" w:rsidRPr="0044107F" w:rsidRDefault="00A11834" w:rsidP="00A11834">
      <w:pPr>
        <w:jc w:val="both"/>
      </w:pPr>
      <w:r w:rsidRPr="0044107F">
        <w:t>As outline</w:t>
      </w:r>
      <w:r w:rsidR="00ED0B12" w:rsidRPr="0044107F">
        <w:t>d</w:t>
      </w:r>
      <w:r w:rsidRPr="0044107F">
        <w:t xml:space="preserve"> earlier, search fees were introduced to cover the cost incurred by the Government to retrieve the </w:t>
      </w:r>
      <w:r w:rsidR="00BC1C5A" w:rsidRPr="0044107F">
        <w:t>documents provide</w:t>
      </w:r>
      <w:r w:rsidRPr="0044107F">
        <w:t xml:space="preserve"> them to</w:t>
      </w:r>
      <w:r w:rsidRPr="0044107F" w:rsidDel="008A0A4F">
        <w:t xml:space="preserve"> </w:t>
      </w:r>
      <w:r w:rsidRPr="0044107F">
        <w:t>ap</w:t>
      </w:r>
      <w:r w:rsidR="008A6926">
        <w:t>plicant</w:t>
      </w:r>
      <w:r w:rsidR="008A0A4F">
        <w:t>s</w:t>
      </w:r>
      <w:r w:rsidR="008A6926">
        <w:t xml:space="preserve">. </w:t>
      </w:r>
    </w:p>
    <w:p w14:paraId="7F83DFA5" w14:textId="77777777" w:rsidR="00A11834" w:rsidRPr="0044107F" w:rsidRDefault="00C106E0" w:rsidP="00A11834">
      <w:pPr>
        <w:jc w:val="both"/>
      </w:pPr>
      <w:r w:rsidRPr="0044107F">
        <w:t xml:space="preserve">The cost of searching the registers </w:t>
      </w:r>
      <w:r w:rsidR="00C1102C">
        <w:t xml:space="preserve">has fallen over time and </w:t>
      </w:r>
      <w:r w:rsidRPr="0044107F">
        <w:t xml:space="preserve">is expected to fall </w:t>
      </w:r>
      <w:r w:rsidR="00C1102C">
        <w:t xml:space="preserve">further </w:t>
      </w:r>
      <w:r w:rsidRPr="0044107F">
        <w:t xml:space="preserve">after the move to a modernised business registry system. </w:t>
      </w:r>
    </w:p>
    <w:p w14:paraId="0127ACE3" w14:textId="77777777" w:rsidR="0089222B" w:rsidRDefault="001B364C" w:rsidP="0003237B">
      <w:r w:rsidRPr="0044107F">
        <w:t>Search fees are</w:t>
      </w:r>
      <w:r w:rsidR="008976EB" w:rsidRPr="0044107F">
        <w:t xml:space="preserve"> </w:t>
      </w:r>
      <w:r w:rsidR="00A313A9">
        <w:t>potentially</w:t>
      </w:r>
      <w:r w:rsidR="00A313A9" w:rsidRPr="0044107F">
        <w:t xml:space="preserve"> </w:t>
      </w:r>
      <w:r w:rsidRPr="0044107F">
        <w:t xml:space="preserve">inconsistent with the Government’s </w:t>
      </w:r>
      <w:r w:rsidR="00A313A9">
        <w:t xml:space="preserve">recently implemented </w:t>
      </w:r>
      <w:r w:rsidRPr="0044107F">
        <w:t>Open Data policy</w:t>
      </w:r>
      <w:r w:rsidR="00991733">
        <w:t>. Th</w:t>
      </w:r>
      <w:r w:rsidR="00F471E6">
        <w:t>e Open Data</w:t>
      </w:r>
      <w:r w:rsidR="00991733">
        <w:t xml:space="preserve"> policy </w:t>
      </w:r>
      <w:r w:rsidR="00F471E6">
        <w:t xml:space="preserve">dictates that, where possible, the Government should publish data by default, while </w:t>
      </w:r>
      <w:r w:rsidR="00991733">
        <w:t>only charg</w:t>
      </w:r>
      <w:r w:rsidR="00F471E6">
        <w:t>ing</w:t>
      </w:r>
      <w:r w:rsidR="00991733">
        <w:t xml:space="preserve"> for specialised data services. </w:t>
      </w:r>
    </w:p>
    <w:p w14:paraId="6A20422D" w14:textId="54A71346" w:rsidR="003D57CF" w:rsidRPr="0044107F" w:rsidRDefault="00991733" w:rsidP="0003237B">
      <w:r>
        <w:t>Current search fees</w:t>
      </w:r>
      <w:r w:rsidR="001B364C" w:rsidRPr="0044107F">
        <w:t xml:space="preserve"> </w:t>
      </w:r>
      <w:r w:rsidR="000C745B">
        <w:t>could</w:t>
      </w:r>
      <w:r w:rsidR="000C745B" w:rsidRPr="0044107F">
        <w:t xml:space="preserve"> </w:t>
      </w:r>
      <w:r>
        <w:t xml:space="preserve">be </w:t>
      </w:r>
      <w:r w:rsidR="008976EB" w:rsidRPr="0044107F">
        <w:t>inhibit</w:t>
      </w:r>
      <w:r>
        <w:t>ing</w:t>
      </w:r>
      <w:r w:rsidR="008976EB" w:rsidRPr="0044107F">
        <w:t xml:space="preserve"> access to </w:t>
      </w:r>
      <w:r w:rsidR="000C745B">
        <w:t>key business</w:t>
      </w:r>
      <w:r w:rsidR="000C745B" w:rsidRPr="0044107F">
        <w:t xml:space="preserve"> </w:t>
      </w:r>
      <w:r w:rsidR="008976EB" w:rsidRPr="0044107F">
        <w:t xml:space="preserve">data and therefore </w:t>
      </w:r>
      <w:r w:rsidR="000C745B">
        <w:t>limit</w:t>
      </w:r>
      <w:r>
        <w:t>ing</w:t>
      </w:r>
      <w:r w:rsidR="000C745B">
        <w:t xml:space="preserve"> </w:t>
      </w:r>
      <w:r w:rsidR="008976EB" w:rsidRPr="0044107F">
        <w:t>possible business opportunities</w:t>
      </w:r>
      <w:r w:rsidR="000C745B">
        <w:t xml:space="preserve">, innovation and economic </w:t>
      </w:r>
      <w:r w:rsidR="00F471E6">
        <w:t>efficiency</w:t>
      </w:r>
      <w:r w:rsidR="008976EB" w:rsidRPr="0044107F">
        <w:t>.</w:t>
      </w:r>
      <w:r>
        <w:t xml:space="preserve"> </w:t>
      </w:r>
      <w:r w:rsidR="00A11834" w:rsidRPr="0044107F">
        <w:t xml:space="preserve">On this basis, reducing search fees would better align with the </w:t>
      </w:r>
      <w:r w:rsidR="00C106E0" w:rsidRPr="0044107F">
        <w:t xml:space="preserve">actual </w:t>
      </w:r>
      <w:r w:rsidR="00A11834" w:rsidRPr="0044107F">
        <w:t xml:space="preserve">cost of </w:t>
      </w:r>
      <w:r>
        <w:t xml:space="preserve">providing </w:t>
      </w:r>
      <w:r w:rsidRPr="0044107F">
        <w:t>search</w:t>
      </w:r>
      <w:r>
        <w:t xml:space="preserve"> functions</w:t>
      </w:r>
      <w:r w:rsidRPr="0044107F">
        <w:t xml:space="preserve"> </w:t>
      </w:r>
      <w:r w:rsidR="00A11834" w:rsidRPr="0044107F">
        <w:t>and would also be</w:t>
      </w:r>
      <w:r>
        <w:t xml:space="preserve"> aligned</w:t>
      </w:r>
      <w:r w:rsidR="00F8044F">
        <w:t xml:space="preserve"> to</w:t>
      </w:r>
      <w:r>
        <w:t xml:space="preserve"> </w:t>
      </w:r>
      <w:r w:rsidR="00A11834" w:rsidRPr="0044107F">
        <w:t xml:space="preserve">the </w:t>
      </w:r>
      <w:r w:rsidR="00F471E6">
        <w:t>O</w:t>
      </w:r>
      <w:r w:rsidR="00A11834" w:rsidRPr="0044107F">
        <w:t xml:space="preserve">pen </w:t>
      </w:r>
      <w:r w:rsidR="00F471E6">
        <w:t>D</w:t>
      </w:r>
      <w:r w:rsidR="008A6926">
        <w:t xml:space="preserve">ata policy. </w:t>
      </w:r>
    </w:p>
    <w:p w14:paraId="72979DA6" w14:textId="77777777" w:rsidR="00A11834" w:rsidRPr="0044107F" w:rsidRDefault="00A11834" w:rsidP="0003237B">
      <w:pPr>
        <w:rPr>
          <w:b/>
        </w:rPr>
      </w:pPr>
      <w:r w:rsidRPr="0044107F">
        <w:lastRenderedPageBreak/>
        <w:t xml:space="preserve">One option </w:t>
      </w:r>
      <w:r w:rsidR="00A313A9">
        <w:t xml:space="preserve">that could </w:t>
      </w:r>
      <w:r w:rsidRPr="0044107F">
        <w:t xml:space="preserve">be considered is abolishing fees for searches of publicly available </w:t>
      </w:r>
      <w:r w:rsidR="00C74A72" w:rsidRPr="0044107F">
        <w:rPr>
          <w:i/>
        </w:rPr>
        <w:t>electronic</w:t>
      </w:r>
      <w:r w:rsidR="00C74A72" w:rsidRPr="0044107F">
        <w:t xml:space="preserve"> </w:t>
      </w:r>
      <w:r w:rsidRPr="0044107F">
        <w:t xml:space="preserve">information held on the modernised business register. </w:t>
      </w:r>
    </w:p>
    <w:p w14:paraId="3D87E4C9" w14:textId="12325F6B" w:rsidR="001B364C" w:rsidRPr="0044107F" w:rsidRDefault="001B364C" w:rsidP="001B364C">
      <w:r w:rsidRPr="0044107F">
        <w:t xml:space="preserve">Some search </w:t>
      </w:r>
      <w:r w:rsidR="008976EB" w:rsidRPr="0044107F">
        <w:t xml:space="preserve">fees may be maintained in </w:t>
      </w:r>
      <w:r w:rsidR="00A313A9">
        <w:t xml:space="preserve">a </w:t>
      </w:r>
      <w:r w:rsidRPr="0044107F">
        <w:t>modern</w:t>
      </w:r>
      <w:r w:rsidR="008976EB" w:rsidRPr="0044107F">
        <w:t xml:space="preserve">ised register as </w:t>
      </w:r>
      <w:r w:rsidRPr="0044107F">
        <w:t>older data</w:t>
      </w:r>
      <w:r w:rsidR="008976EB" w:rsidRPr="0044107F">
        <w:t xml:space="preserve"> may</w:t>
      </w:r>
      <w:r w:rsidRPr="0044107F">
        <w:t xml:space="preserve"> continue to be stored in out of date </w:t>
      </w:r>
      <w:r w:rsidR="008976EB" w:rsidRPr="0044107F">
        <w:t>paper</w:t>
      </w:r>
      <w:r w:rsidR="00B748F3">
        <w:t>-</w:t>
      </w:r>
      <w:r w:rsidR="008976EB" w:rsidRPr="0044107F">
        <w:t xml:space="preserve">based </w:t>
      </w:r>
      <w:r w:rsidRPr="0044107F">
        <w:t>methods. Due to the overhead of managing paper</w:t>
      </w:r>
      <w:r w:rsidR="00A313A9">
        <w:t>-</w:t>
      </w:r>
      <w:r w:rsidRPr="0044107F">
        <w:t>based data</w:t>
      </w:r>
      <w:r w:rsidR="00A313A9">
        <w:t>,</w:t>
      </w:r>
      <w:r w:rsidRPr="0044107F">
        <w:t xml:space="preserve"> search fees </w:t>
      </w:r>
      <w:r w:rsidR="0089222B">
        <w:t>could</w:t>
      </w:r>
      <w:r w:rsidR="0089222B" w:rsidRPr="0044107F">
        <w:t xml:space="preserve"> </w:t>
      </w:r>
      <w:r w:rsidRPr="0044107F">
        <w:t>be maintained on</w:t>
      </w:r>
      <w:r w:rsidR="00A313A9">
        <w:t xml:space="preserve"> a small range of</w:t>
      </w:r>
      <w:r w:rsidRPr="0044107F">
        <w:t xml:space="preserve"> activities that </w:t>
      </w:r>
      <w:r w:rsidR="00A313A9">
        <w:t>can</w:t>
      </w:r>
      <w:r w:rsidRPr="0044107F">
        <w:t xml:space="preserve">not </w:t>
      </w:r>
      <w:r w:rsidR="00A313A9">
        <w:t xml:space="preserve">be provided through </w:t>
      </w:r>
      <w:r w:rsidR="0089222B">
        <w:t>an automated data process</w:t>
      </w:r>
      <w:r w:rsidRPr="0044107F">
        <w:t>.</w:t>
      </w:r>
    </w:p>
    <w:p w14:paraId="2160DA0C" w14:textId="77777777" w:rsidR="00F93018" w:rsidRPr="0044107F" w:rsidRDefault="00F93018" w:rsidP="00F93018">
      <w:pPr>
        <w:pStyle w:val="Heading3"/>
      </w:pPr>
      <w:bookmarkStart w:id="26" w:name="_Toc530493304"/>
      <w:r w:rsidRPr="0044107F">
        <w:t>Introducing an Infrastructure Fee</w:t>
      </w:r>
      <w:bookmarkEnd w:id="26"/>
    </w:p>
    <w:p w14:paraId="1B99CED6" w14:textId="7A1374DD" w:rsidR="00C74A72" w:rsidRPr="0044107F" w:rsidRDefault="00C74A72" w:rsidP="00F93018">
      <w:pPr>
        <w:jc w:val="both"/>
      </w:pPr>
      <w:r w:rsidRPr="0044107F">
        <w:t>As outlined in t</w:t>
      </w:r>
      <w:r w:rsidR="00913AFA">
        <w:t>he Modernising</w:t>
      </w:r>
      <w:r w:rsidRPr="0044107F">
        <w:t xml:space="preserve"> Business Registers Program consultation </w:t>
      </w:r>
      <w:r w:rsidR="006C0CFC">
        <w:t xml:space="preserve">paper </w:t>
      </w:r>
      <w:r w:rsidRPr="0044107F">
        <w:t>in June 2018,</w:t>
      </w:r>
      <w:r w:rsidR="009101AE" w:rsidRPr="0044107F">
        <w:t xml:space="preserve"> </w:t>
      </w:r>
      <w:r w:rsidRPr="0044107F">
        <w:t>an</w:t>
      </w:r>
      <w:r w:rsidR="009101AE" w:rsidRPr="0044107F">
        <w:t xml:space="preserve"> infrastructure fee </w:t>
      </w:r>
      <w:r w:rsidRPr="0044107F">
        <w:t xml:space="preserve">is being considered </w:t>
      </w:r>
      <w:r w:rsidR="009101AE" w:rsidRPr="0044107F">
        <w:t xml:space="preserve">as a charge on the use of </w:t>
      </w:r>
      <w:r w:rsidR="00F93018" w:rsidRPr="0044107F">
        <w:t>an API or comparable technology</w:t>
      </w:r>
      <w:r w:rsidR="009101AE" w:rsidRPr="0044107F">
        <w:t xml:space="preserve">. </w:t>
      </w:r>
      <w:r w:rsidR="00185EDD">
        <w:t xml:space="preserve">This fee recognises that additional benefits are available to this group of users relative to those using retail channels, such as portals accessible through a government website. </w:t>
      </w:r>
      <w:r w:rsidR="0089222B">
        <w:t xml:space="preserve">It is also being considered as a way to sustainably fund the ongoing </w:t>
      </w:r>
      <w:r w:rsidR="00BC1C5A">
        <w:t>operation</w:t>
      </w:r>
      <w:r w:rsidR="0089222B">
        <w:t xml:space="preserve"> of the registry infrastructure into the future.</w:t>
      </w:r>
    </w:p>
    <w:p w14:paraId="76A09E5D" w14:textId="31834C89" w:rsidR="00C74A72" w:rsidRPr="0044107F" w:rsidRDefault="00C106E0" w:rsidP="00F93018">
      <w:pPr>
        <w:jc w:val="both"/>
      </w:pPr>
      <w:r w:rsidRPr="0044107F">
        <w:t>An</w:t>
      </w:r>
      <w:r w:rsidR="00C74A72" w:rsidRPr="0044107F">
        <w:t xml:space="preserve"> infrastructure fee </w:t>
      </w:r>
      <w:r w:rsidR="006C0CFC">
        <w:t>c</w:t>
      </w:r>
      <w:r w:rsidR="00C74A72" w:rsidRPr="0044107F">
        <w:t>ould be imposed on API users who on</w:t>
      </w:r>
      <w:r w:rsidRPr="0044107F">
        <w:t>-</w:t>
      </w:r>
      <w:r w:rsidR="00C74A72" w:rsidRPr="0044107F">
        <w:t>sell data or make a financial gain from accessing data</w:t>
      </w:r>
      <w:r w:rsidRPr="0044107F">
        <w:t xml:space="preserve"> stored on the register</w:t>
      </w:r>
      <w:r w:rsidR="00C74A72" w:rsidRPr="0044107F">
        <w:t xml:space="preserve">. For example, the fee could be imposed on an API user who </w:t>
      </w:r>
      <w:r w:rsidR="00C1102C">
        <w:t xml:space="preserve">uses </w:t>
      </w:r>
      <w:r w:rsidR="00C74A72" w:rsidRPr="0044107F">
        <w:t>software which searches the data on the registers. These searches could be to verify information in accounting software or for on</w:t>
      </w:r>
      <w:r w:rsidR="00436E3D" w:rsidRPr="0044107F">
        <w:t>-</w:t>
      </w:r>
      <w:r w:rsidR="00C74A72" w:rsidRPr="0044107F">
        <w:t>selling data to third parties. This would be an efficient way of charging h</w:t>
      </w:r>
      <w:r w:rsidR="00B748F3">
        <w:t>eavy</w:t>
      </w:r>
      <w:r w:rsidR="00C74A72" w:rsidRPr="0044107F">
        <w:t xml:space="preserve"> users of registry data who </w:t>
      </w:r>
      <w:r w:rsidRPr="0044107F">
        <w:t xml:space="preserve">gain a </w:t>
      </w:r>
      <w:r w:rsidR="00C74A72" w:rsidRPr="0044107F">
        <w:t>benefit from accessing r</w:t>
      </w:r>
      <w:r w:rsidRPr="0044107F">
        <w:t>egistry data by providing value-</w:t>
      </w:r>
      <w:r w:rsidR="00C74A72" w:rsidRPr="0044107F">
        <w:t>add services to other businesses.</w:t>
      </w:r>
    </w:p>
    <w:p w14:paraId="0AE83F96" w14:textId="77777777" w:rsidR="00F93018" w:rsidRPr="0044107F" w:rsidRDefault="00C74A72" w:rsidP="00F93018">
      <w:pPr>
        <w:jc w:val="both"/>
      </w:pPr>
      <w:r w:rsidRPr="0044107F">
        <w:t xml:space="preserve">Funds raised from the fee could be set </w:t>
      </w:r>
      <w:r w:rsidR="00436E3D" w:rsidRPr="0044107F">
        <w:t>aside</w:t>
      </w:r>
      <w:r w:rsidR="00F93018" w:rsidRPr="0044107F">
        <w:t xml:space="preserve"> </w:t>
      </w:r>
      <w:r w:rsidR="00671FF4">
        <w:t>to cover the cost of</w:t>
      </w:r>
      <w:r w:rsidR="00F93018" w:rsidRPr="0044107F">
        <w:t xml:space="preserve"> future system upgrades to take account of technological developments and user demands. </w:t>
      </w:r>
      <w:r w:rsidR="00C106E0" w:rsidRPr="0044107F">
        <w:t>By</w:t>
      </w:r>
      <w:r w:rsidR="009101AE" w:rsidRPr="0044107F">
        <w:t xml:space="preserve"> introducing an infrastructure fee, other </w:t>
      </w:r>
      <w:r w:rsidR="0041569D" w:rsidRPr="0044107F">
        <w:t xml:space="preserve">enhanced infrastructure </w:t>
      </w:r>
      <w:r w:rsidR="009101AE" w:rsidRPr="0044107F">
        <w:t xml:space="preserve">could concurrently be introduced, such as </w:t>
      </w:r>
      <w:r w:rsidR="00A91E19">
        <w:t xml:space="preserve">registry upgrades, </w:t>
      </w:r>
      <w:r w:rsidR="00F93018" w:rsidRPr="0044107F">
        <w:t>a testing environment to improve system integration</w:t>
      </w:r>
      <w:r w:rsidR="009101AE" w:rsidRPr="0044107F">
        <w:t>,</w:t>
      </w:r>
      <w:r w:rsidR="00F93018" w:rsidRPr="0044107F">
        <w:t xml:space="preserve"> </w:t>
      </w:r>
      <w:r w:rsidR="009101AE" w:rsidRPr="0044107F">
        <w:t xml:space="preserve">or </w:t>
      </w:r>
      <w:r w:rsidR="00F93018" w:rsidRPr="0044107F">
        <w:t xml:space="preserve">a sandbox to encourage testing of innovative products. </w:t>
      </w:r>
    </w:p>
    <w:p w14:paraId="0ADC2341" w14:textId="77777777" w:rsidR="00F93018" w:rsidRPr="0044107F" w:rsidRDefault="00F93018" w:rsidP="00F93018">
      <w:pPr>
        <w:jc w:val="both"/>
      </w:pPr>
      <w:r w:rsidRPr="0044107F">
        <w:rPr>
          <w:rFonts w:eastAsia="Calibri"/>
          <w:szCs w:val="22"/>
          <w:lang w:eastAsia="en-US"/>
        </w:rPr>
        <w:t xml:space="preserve">An infrastructure fee could be structured based on the existing Department of Home Affairs Document Verification System model (DVS - see Attachment </w:t>
      </w:r>
      <w:r w:rsidR="00020D9E">
        <w:rPr>
          <w:rFonts w:eastAsia="Calibri"/>
          <w:szCs w:val="22"/>
          <w:lang w:eastAsia="en-US"/>
        </w:rPr>
        <w:t>D</w:t>
      </w:r>
      <w:r w:rsidRPr="0044107F">
        <w:rPr>
          <w:rFonts w:eastAsia="Calibri"/>
          <w:szCs w:val="22"/>
          <w:lang w:eastAsia="en-US"/>
        </w:rPr>
        <w:t xml:space="preserve">), and comprise: </w:t>
      </w:r>
    </w:p>
    <w:p w14:paraId="3A412C36" w14:textId="77777777" w:rsidR="00F93018" w:rsidRPr="0044107F" w:rsidRDefault="00F93018" w:rsidP="002934D1">
      <w:pPr>
        <w:pStyle w:val="Dash"/>
        <w:rPr>
          <w:b/>
        </w:rPr>
      </w:pPr>
      <w:r w:rsidRPr="0044107F">
        <w:rPr>
          <w:rFonts w:eastAsia="Calibri"/>
          <w:szCs w:val="22"/>
          <w:lang w:eastAsia="en-US"/>
        </w:rPr>
        <w:t>A one-off entry fee, which is set at a level that recoups some or most of the costs of establishing the new data structure and APIs</w:t>
      </w:r>
      <w:r w:rsidRPr="0044107F">
        <w:rPr>
          <w:rFonts w:eastAsia="Calibri"/>
          <w:vertAlign w:val="superscript"/>
          <w:lang w:eastAsia="en-US"/>
        </w:rPr>
        <w:footnoteReference w:id="10"/>
      </w:r>
      <w:r w:rsidRPr="0044107F">
        <w:rPr>
          <w:rFonts w:eastAsia="Calibri"/>
          <w:szCs w:val="22"/>
          <w:lang w:eastAsia="en-US"/>
        </w:rPr>
        <w:t>; and.</w:t>
      </w:r>
      <w:r w:rsidRPr="0044107F">
        <w:rPr>
          <w:b/>
        </w:rPr>
        <w:t xml:space="preserve"> </w:t>
      </w:r>
    </w:p>
    <w:p w14:paraId="7149E4E9" w14:textId="77777777" w:rsidR="00F93018" w:rsidRPr="0044107F" w:rsidRDefault="00F93018" w:rsidP="002934D1">
      <w:pPr>
        <w:pStyle w:val="Dash"/>
        <w:rPr>
          <w:b/>
        </w:rPr>
      </w:pPr>
      <w:r w:rsidRPr="0044107F">
        <w:rPr>
          <w:rFonts w:eastAsia="Calibri"/>
          <w:szCs w:val="22"/>
          <w:lang w:eastAsia="en-US"/>
        </w:rPr>
        <w:t>A transaction fee</w:t>
      </w:r>
      <w:r w:rsidR="00C106E0" w:rsidRPr="0044107F">
        <w:rPr>
          <w:rFonts w:eastAsia="Calibri"/>
          <w:szCs w:val="22"/>
          <w:lang w:eastAsia="en-US"/>
        </w:rPr>
        <w:t>,</w:t>
      </w:r>
      <w:r w:rsidRPr="0044107F">
        <w:rPr>
          <w:rFonts w:eastAsia="Calibri"/>
          <w:szCs w:val="22"/>
          <w:lang w:eastAsia="en-US"/>
        </w:rPr>
        <w:t xml:space="preserve"> where the rate per transaction falls as the number of transactions increases, which is set at a level which covers maintenance costs, enhancements, governance/reporting, and generates </w:t>
      </w:r>
      <w:r w:rsidR="00C106E0" w:rsidRPr="0044107F">
        <w:rPr>
          <w:rFonts w:eastAsia="Calibri"/>
          <w:szCs w:val="22"/>
          <w:lang w:eastAsia="en-US"/>
        </w:rPr>
        <w:t>a</w:t>
      </w:r>
      <w:r w:rsidRPr="0044107F">
        <w:rPr>
          <w:rFonts w:eastAsia="Calibri"/>
          <w:szCs w:val="22"/>
          <w:lang w:eastAsia="en-US"/>
        </w:rPr>
        <w:t xml:space="preserve"> fund for future upgrades.</w:t>
      </w:r>
      <w:r w:rsidRPr="0044107F">
        <w:rPr>
          <w:b/>
        </w:rPr>
        <w:t xml:space="preserve"> </w:t>
      </w:r>
    </w:p>
    <w:p w14:paraId="3ADFC1EB" w14:textId="77777777" w:rsidR="00E27A40" w:rsidRPr="0044107F" w:rsidRDefault="00E27A40" w:rsidP="00F93018">
      <w:pPr>
        <w:pStyle w:val="Bullet"/>
        <w:numPr>
          <w:ilvl w:val="0"/>
          <w:numId w:val="0"/>
        </w:numPr>
      </w:pPr>
      <w:r w:rsidRPr="0044107F">
        <w:t>Other options raised during initial consultation in July 2018 were to have data-usage based fees such as those that currently apply to phone or internet data plans.</w:t>
      </w:r>
    </w:p>
    <w:p w14:paraId="351F3734" w14:textId="77777777" w:rsidR="00004D9E" w:rsidRPr="0044107F" w:rsidRDefault="00436E3D" w:rsidP="00F93018">
      <w:pPr>
        <w:pStyle w:val="Bullet"/>
        <w:numPr>
          <w:ilvl w:val="0"/>
          <w:numId w:val="0"/>
        </w:numPr>
      </w:pPr>
      <w:r w:rsidRPr="0044107F">
        <w:t xml:space="preserve">Further information on the proposed infrastructure fee can be found at Attachment </w:t>
      </w:r>
      <w:r w:rsidR="00020D9E">
        <w:t>E</w:t>
      </w:r>
      <w:r w:rsidRPr="0044107F">
        <w:t xml:space="preserve">. </w:t>
      </w:r>
    </w:p>
    <w:p w14:paraId="09958FC6" w14:textId="77777777" w:rsidR="00004D9E" w:rsidRPr="0044107F" w:rsidRDefault="00004D9E">
      <w:pPr>
        <w:spacing w:before="0" w:after="200" w:line="276" w:lineRule="auto"/>
      </w:pPr>
      <w:r w:rsidRPr="0044107F">
        <w:br w:type="page"/>
      </w:r>
    </w:p>
    <w:p w14:paraId="49B95627" w14:textId="77777777" w:rsidR="00F93018" w:rsidRPr="0044107F" w:rsidRDefault="00F93018" w:rsidP="00F93018">
      <w:pPr>
        <w:pStyle w:val="Bullet"/>
        <w:numPr>
          <w:ilvl w:val="0"/>
          <w:numId w:val="0"/>
        </w:numPr>
      </w:pPr>
    </w:p>
    <w:p w14:paraId="662AEAFC" w14:textId="77777777" w:rsidR="00F93018" w:rsidRPr="0044107F" w:rsidRDefault="00F93018" w:rsidP="00393762">
      <w:pPr>
        <w:pStyle w:val="Heading2"/>
        <w:rPr>
          <w:rFonts w:eastAsiaTheme="minorHAnsi" w:cs="Calibri"/>
          <w:b/>
          <w:bCs/>
          <w:sz w:val="24"/>
          <w:szCs w:val="24"/>
          <w:lang w:eastAsia="en-US"/>
        </w:rPr>
      </w:pPr>
      <w:bookmarkStart w:id="27" w:name="_Toc530493305"/>
      <w:r w:rsidRPr="0044107F">
        <w:rPr>
          <w:rFonts w:eastAsiaTheme="minorHAnsi"/>
          <w:lang w:eastAsia="en-US"/>
        </w:rPr>
        <w:t>Questions:</w:t>
      </w:r>
      <w:bookmarkEnd w:id="27"/>
    </w:p>
    <w:p w14:paraId="1785B711" w14:textId="151BF43F" w:rsidR="006C0CFC" w:rsidRDefault="00671FF4">
      <w:pPr>
        <w:pStyle w:val="OutlineNumbered1"/>
        <w:tabs>
          <w:tab w:val="clear" w:pos="851"/>
          <w:tab w:val="num" w:pos="567"/>
        </w:tabs>
        <w:spacing w:afterLines="60" w:after="144"/>
        <w:ind w:left="567" w:hanging="567"/>
        <w:rPr>
          <w:sz w:val="24"/>
          <w:szCs w:val="24"/>
        </w:rPr>
      </w:pPr>
      <w:r>
        <w:rPr>
          <w:sz w:val="24"/>
          <w:szCs w:val="24"/>
        </w:rPr>
        <w:t>Do you agree that the</w:t>
      </w:r>
      <w:r w:rsidR="006C0CFC">
        <w:rPr>
          <w:sz w:val="24"/>
          <w:szCs w:val="24"/>
        </w:rPr>
        <w:t xml:space="preserve"> principles </w:t>
      </w:r>
      <w:r>
        <w:rPr>
          <w:sz w:val="24"/>
          <w:szCs w:val="24"/>
        </w:rPr>
        <w:t xml:space="preserve">of making fees simpler, easier to understand and more equitable are </w:t>
      </w:r>
      <w:r w:rsidR="006C0CFC">
        <w:rPr>
          <w:sz w:val="24"/>
          <w:szCs w:val="24"/>
        </w:rPr>
        <w:t xml:space="preserve">the </w:t>
      </w:r>
      <w:r>
        <w:rPr>
          <w:sz w:val="24"/>
          <w:szCs w:val="24"/>
        </w:rPr>
        <w:t xml:space="preserve">best guide to review </w:t>
      </w:r>
      <w:r w:rsidR="006C0CFC">
        <w:rPr>
          <w:sz w:val="24"/>
          <w:szCs w:val="24"/>
        </w:rPr>
        <w:t xml:space="preserve">registry fees? </w:t>
      </w:r>
      <w:r>
        <w:rPr>
          <w:sz w:val="24"/>
          <w:szCs w:val="24"/>
        </w:rPr>
        <w:t xml:space="preserve">Should any other </w:t>
      </w:r>
      <w:r w:rsidR="00311680">
        <w:rPr>
          <w:sz w:val="24"/>
          <w:szCs w:val="24"/>
        </w:rPr>
        <w:t>principles</w:t>
      </w:r>
      <w:r w:rsidR="0089222B">
        <w:rPr>
          <w:sz w:val="24"/>
          <w:szCs w:val="24"/>
        </w:rPr>
        <w:t xml:space="preserve"> be considered</w:t>
      </w:r>
      <w:r>
        <w:rPr>
          <w:sz w:val="24"/>
          <w:szCs w:val="24"/>
        </w:rPr>
        <w:t>?</w:t>
      </w:r>
    </w:p>
    <w:p w14:paraId="7FCCC1C4" w14:textId="77777777" w:rsidR="006C0CFC" w:rsidRPr="006C0CFC" w:rsidRDefault="006C0CFC" w:rsidP="00393762">
      <w:pPr>
        <w:pStyle w:val="OutlineNumbered1"/>
        <w:numPr>
          <w:ilvl w:val="0"/>
          <w:numId w:val="0"/>
        </w:numPr>
        <w:spacing w:afterLines="60" w:after="144"/>
        <w:rPr>
          <w:b/>
          <w:sz w:val="24"/>
          <w:szCs w:val="24"/>
        </w:rPr>
      </w:pPr>
      <w:r w:rsidRPr="006C0CFC">
        <w:rPr>
          <w:rFonts w:eastAsiaTheme="minorHAnsi"/>
          <w:b/>
          <w:lang w:eastAsia="en-US"/>
        </w:rPr>
        <w:t>Reforming registration and review fees</w:t>
      </w:r>
    </w:p>
    <w:p w14:paraId="6D327E0D" w14:textId="6C75CB82" w:rsidR="004F0C36" w:rsidRPr="005E450C" w:rsidRDefault="00C74A72">
      <w:pPr>
        <w:pStyle w:val="OutlineNumbered1"/>
        <w:tabs>
          <w:tab w:val="clear" w:pos="851"/>
          <w:tab w:val="num" w:pos="567"/>
        </w:tabs>
        <w:spacing w:afterLines="60" w:after="144"/>
        <w:ind w:left="567" w:hanging="567"/>
        <w:rPr>
          <w:sz w:val="24"/>
          <w:szCs w:val="24"/>
        </w:rPr>
      </w:pPr>
      <w:r w:rsidRPr="005E450C">
        <w:rPr>
          <w:sz w:val="24"/>
          <w:szCs w:val="24"/>
        </w:rPr>
        <w:t xml:space="preserve">How </w:t>
      </w:r>
      <w:proofErr w:type="gramStart"/>
      <w:r w:rsidRPr="005E450C">
        <w:rPr>
          <w:sz w:val="24"/>
          <w:szCs w:val="24"/>
        </w:rPr>
        <w:t>could the registration and annual review system</w:t>
      </w:r>
      <w:proofErr w:type="gramEnd"/>
      <w:r w:rsidRPr="005E450C">
        <w:rPr>
          <w:sz w:val="24"/>
          <w:szCs w:val="24"/>
        </w:rPr>
        <w:t xml:space="preserve"> be reformed to make </w:t>
      </w:r>
      <w:r w:rsidR="00CD519F">
        <w:rPr>
          <w:sz w:val="24"/>
          <w:szCs w:val="24"/>
        </w:rPr>
        <w:t>it</w:t>
      </w:r>
      <w:r w:rsidRPr="005E450C">
        <w:rPr>
          <w:sz w:val="24"/>
          <w:szCs w:val="24"/>
        </w:rPr>
        <w:t xml:space="preserve"> simpler and more equitable?</w:t>
      </w:r>
    </w:p>
    <w:p w14:paraId="451AB0AF" w14:textId="77777777" w:rsidR="005E450C" w:rsidRDefault="000D7DCF" w:rsidP="00393762">
      <w:pPr>
        <w:pStyle w:val="OutlineNumbered1"/>
        <w:tabs>
          <w:tab w:val="clear" w:pos="851"/>
          <w:tab w:val="num" w:pos="567"/>
        </w:tabs>
        <w:spacing w:afterLines="60" w:after="144"/>
        <w:ind w:left="567" w:hanging="567"/>
        <w:rPr>
          <w:sz w:val="24"/>
          <w:szCs w:val="24"/>
        </w:rPr>
      </w:pPr>
      <w:r>
        <w:rPr>
          <w:sz w:val="24"/>
          <w:szCs w:val="24"/>
        </w:rPr>
        <w:t>Do you support the introduction of differentiated rates of annual review fees between small and large businesses</w:t>
      </w:r>
      <w:r w:rsidR="00C74A72" w:rsidRPr="005E450C">
        <w:rPr>
          <w:sz w:val="24"/>
          <w:szCs w:val="24"/>
        </w:rPr>
        <w:t xml:space="preserve">? </w:t>
      </w:r>
    </w:p>
    <w:p w14:paraId="2BF8FC12" w14:textId="77777777" w:rsidR="00C74A72" w:rsidRPr="003108B8" w:rsidRDefault="006565BC" w:rsidP="00393762">
      <w:pPr>
        <w:pStyle w:val="OutlineNumbered2"/>
        <w:spacing w:afterLines="60" w:after="144"/>
        <w:ind w:left="1134" w:hanging="567"/>
      </w:pPr>
      <w:r w:rsidRPr="003108B8">
        <w:t>I</w:t>
      </w:r>
      <w:r w:rsidR="00C74A72" w:rsidRPr="003108B8">
        <w:t>f yes, what definition of small business do you support</w:t>
      </w:r>
      <w:r w:rsidR="00185EDD" w:rsidRPr="003108B8">
        <w:t xml:space="preserve"> and how should the notification of small business status occur</w:t>
      </w:r>
      <w:r w:rsidR="00C74A72" w:rsidRPr="003108B8">
        <w:t>?</w:t>
      </w:r>
    </w:p>
    <w:p w14:paraId="09EB17DB" w14:textId="77777777" w:rsidR="003D57CF" w:rsidRPr="0044107F" w:rsidRDefault="003D57CF" w:rsidP="00393762">
      <w:pPr>
        <w:autoSpaceDE w:val="0"/>
        <w:autoSpaceDN w:val="0"/>
        <w:adjustRightInd w:val="0"/>
        <w:spacing w:before="0" w:after="0"/>
        <w:rPr>
          <w:rFonts w:eastAsiaTheme="minorHAnsi" w:cs="Calibri"/>
          <w:b/>
          <w:bCs/>
          <w:color w:val="004A7F"/>
          <w:sz w:val="24"/>
          <w:szCs w:val="24"/>
          <w:lang w:eastAsia="en-US"/>
        </w:rPr>
      </w:pPr>
    </w:p>
    <w:p w14:paraId="1AFEF3D1" w14:textId="77777777" w:rsidR="003D57CF" w:rsidRPr="0044107F" w:rsidRDefault="002313D1" w:rsidP="00393762">
      <w:pPr>
        <w:autoSpaceDE w:val="0"/>
        <w:autoSpaceDN w:val="0"/>
        <w:adjustRightInd w:val="0"/>
        <w:spacing w:before="0" w:after="60"/>
        <w:rPr>
          <w:rFonts w:eastAsiaTheme="minorHAnsi" w:cs="Calibri"/>
          <w:b/>
          <w:bCs/>
          <w:color w:val="004A7F"/>
          <w:sz w:val="24"/>
          <w:szCs w:val="24"/>
          <w:lang w:eastAsia="en-US"/>
        </w:rPr>
      </w:pPr>
      <w:r>
        <w:rPr>
          <w:rFonts w:eastAsiaTheme="minorHAnsi" w:cs="Calibri"/>
          <w:b/>
          <w:bCs/>
          <w:color w:val="004A7F"/>
          <w:sz w:val="24"/>
          <w:szCs w:val="24"/>
          <w:lang w:eastAsia="en-US"/>
        </w:rPr>
        <w:t>Simplifying late fees</w:t>
      </w:r>
    </w:p>
    <w:p w14:paraId="41DC68CD" w14:textId="77777777" w:rsidR="00C74A72" w:rsidRPr="0044107F" w:rsidRDefault="00C74A72" w:rsidP="00393762">
      <w:pPr>
        <w:pStyle w:val="OutlineNumbered1"/>
        <w:tabs>
          <w:tab w:val="clear" w:pos="851"/>
          <w:tab w:val="num" w:pos="567"/>
        </w:tabs>
        <w:spacing w:after="60"/>
        <w:ind w:left="567" w:hanging="567"/>
        <w:rPr>
          <w:sz w:val="24"/>
          <w:szCs w:val="24"/>
        </w:rPr>
      </w:pPr>
      <w:r w:rsidRPr="0044107F">
        <w:rPr>
          <w:sz w:val="24"/>
          <w:szCs w:val="24"/>
        </w:rPr>
        <w:t xml:space="preserve">How could the late fee system be reformed to </w:t>
      </w:r>
      <w:r w:rsidR="00185EDD">
        <w:rPr>
          <w:sz w:val="24"/>
          <w:szCs w:val="24"/>
        </w:rPr>
        <w:t xml:space="preserve">incentivise compliance and </w:t>
      </w:r>
      <w:r w:rsidRPr="0044107F">
        <w:rPr>
          <w:sz w:val="24"/>
          <w:szCs w:val="24"/>
        </w:rPr>
        <w:t>make the system simpler and more equitable?</w:t>
      </w:r>
    </w:p>
    <w:p w14:paraId="3FAD4C13" w14:textId="77777777" w:rsidR="00C74A72" w:rsidRPr="0044107F" w:rsidRDefault="00C74A72" w:rsidP="00393762">
      <w:pPr>
        <w:pStyle w:val="OutlineNumbered1"/>
        <w:tabs>
          <w:tab w:val="clear" w:pos="851"/>
          <w:tab w:val="num" w:pos="567"/>
        </w:tabs>
        <w:spacing w:after="60"/>
        <w:ind w:left="567" w:hanging="567"/>
        <w:rPr>
          <w:sz w:val="24"/>
          <w:szCs w:val="24"/>
        </w:rPr>
      </w:pPr>
      <w:r w:rsidRPr="0044107F">
        <w:rPr>
          <w:sz w:val="24"/>
          <w:szCs w:val="24"/>
        </w:rPr>
        <w:t xml:space="preserve">Do </w:t>
      </w:r>
      <w:r w:rsidR="00C106E0" w:rsidRPr="0044107F">
        <w:rPr>
          <w:sz w:val="24"/>
          <w:szCs w:val="24"/>
        </w:rPr>
        <w:t xml:space="preserve">you </w:t>
      </w:r>
      <w:r w:rsidRPr="0044107F">
        <w:rPr>
          <w:sz w:val="24"/>
          <w:szCs w:val="24"/>
        </w:rPr>
        <w:t>support the introduction of inter</w:t>
      </w:r>
      <w:r w:rsidR="003D57CF" w:rsidRPr="0044107F">
        <w:rPr>
          <w:sz w:val="24"/>
          <w:szCs w:val="24"/>
        </w:rPr>
        <w:t>est on late</w:t>
      </w:r>
      <w:r w:rsidRPr="0044107F">
        <w:rPr>
          <w:sz w:val="24"/>
          <w:szCs w:val="24"/>
        </w:rPr>
        <w:t xml:space="preserve"> payments rather than the late payment fee? </w:t>
      </w:r>
    </w:p>
    <w:p w14:paraId="764C594E" w14:textId="77777777" w:rsidR="00C74A72" w:rsidRPr="003108B8" w:rsidRDefault="006565BC" w:rsidP="00393762">
      <w:pPr>
        <w:pStyle w:val="OutlineNumbered2"/>
        <w:tabs>
          <w:tab w:val="clear" w:pos="1844"/>
        </w:tabs>
        <w:spacing w:after="60"/>
        <w:ind w:left="1134" w:hanging="567"/>
      </w:pPr>
      <w:r w:rsidRPr="003108B8">
        <w:t>I</w:t>
      </w:r>
      <w:r w:rsidR="00C74A72" w:rsidRPr="003108B8">
        <w:t xml:space="preserve">f yes, what </w:t>
      </w:r>
      <w:r w:rsidR="003D57CF" w:rsidRPr="003108B8">
        <w:t>interest rate should be charged and when should it be applied</w:t>
      </w:r>
      <w:r w:rsidR="00C74A72" w:rsidRPr="003108B8">
        <w:t>?</w:t>
      </w:r>
    </w:p>
    <w:p w14:paraId="6A0AEE75" w14:textId="77777777" w:rsidR="003D57CF" w:rsidRPr="0044107F" w:rsidRDefault="003D57CF" w:rsidP="00393762">
      <w:pPr>
        <w:pStyle w:val="OutlineNumbered1"/>
        <w:tabs>
          <w:tab w:val="clear" w:pos="851"/>
          <w:tab w:val="num" w:pos="567"/>
        </w:tabs>
        <w:spacing w:after="60"/>
        <w:ind w:left="567" w:hanging="567"/>
        <w:rPr>
          <w:sz w:val="24"/>
          <w:szCs w:val="24"/>
        </w:rPr>
      </w:pPr>
      <w:r w:rsidRPr="0044107F">
        <w:rPr>
          <w:sz w:val="24"/>
          <w:szCs w:val="24"/>
        </w:rPr>
        <w:t xml:space="preserve">Do you support lowering late </w:t>
      </w:r>
      <w:r w:rsidR="00185EDD">
        <w:rPr>
          <w:sz w:val="24"/>
          <w:szCs w:val="24"/>
        </w:rPr>
        <w:t xml:space="preserve">payment </w:t>
      </w:r>
      <w:r w:rsidRPr="0044107F">
        <w:rPr>
          <w:sz w:val="24"/>
          <w:szCs w:val="24"/>
        </w:rPr>
        <w:t xml:space="preserve">fees but increasing late </w:t>
      </w:r>
      <w:r w:rsidR="00185EDD">
        <w:rPr>
          <w:sz w:val="24"/>
          <w:szCs w:val="24"/>
        </w:rPr>
        <w:t xml:space="preserve">lodgement </w:t>
      </w:r>
      <w:r w:rsidRPr="0044107F">
        <w:rPr>
          <w:sz w:val="24"/>
          <w:szCs w:val="24"/>
        </w:rPr>
        <w:t>fees</w:t>
      </w:r>
      <w:r w:rsidR="00185EDD">
        <w:rPr>
          <w:sz w:val="24"/>
          <w:szCs w:val="24"/>
        </w:rPr>
        <w:t>, or eliminating late review fees</w:t>
      </w:r>
      <w:r w:rsidRPr="0044107F">
        <w:rPr>
          <w:sz w:val="24"/>
          <w:szCs w:val="24"/>
        </w:rPr>
        <w:t>?</w:t>
      </w:r>
    </w:p>
    <w:p w14:paraId="406AF8B6" w14:textId="7E0D2406" w:rsidR="003D57CF" w:rsidRPr="003108B8" w:rsidRDefault="006565BC">
      <w:pPr>
        <w:pStyle w:val="OutlineNumbered2"/>
        <w:tabs>
          <w:tab w:val="clear" w:pos="1844"/>
        </w:tabs>
        <w:spacing w:after="60"/>
        <w:ind w:left="1134" w:hanging="567"/>
        <w:rPr>
          <w:szCs w:val="24"/>
        </w:rPr>
      </w:pPr>
      <w:r w:rsidRPr="003108B8">
        <w:t>I</w:t>
      </w:r>
      <w:r w:rsidR="003D57CF" w:rsidRPr="003108B8">
        <w:t xml:space="preserve">f yes, by how </w:t>
      </w:r>
      <w:r w:rsidR="00410125" w:rsidRPr="003108B8">
        <w:t>much should the fees change?</w:t>
      </w:r>
    </w:p>
    <w:p w14:paraId="62D441C5" w14:textId="77777777" w:rsidR="003D57CF" w:rsidRPr="0044107F" w:rsidRDefault="003D57CF" w:rsidP="00393762">
      <w:pPr>
        <w:autoSpaceDE w:val="0"/>
        <w:autoSpaceDN w:val="0"/>
        <w:adjustRightInd w:val="0"/>
        <w:spacing w:before="0" w:after="0"/>
        <w:ind w:left="851" w:hanging="851"/>
        <w:rPr>
          <w:rFonts w:eastAsiaTheme="minorHAnsi" w:cs="Calibri"/>
          <w:b/>
          <w:bCs/>
          <w:color w:val="004A7F"/>
          <w:sz w:val="24"/>
          <w:szCs w:val="24"/>
          <w:lang w:eastAsia="en-US"/>
        </w:rPr>
      </w:pPr>
    </w:p>
    <w:p w14:paraId="03EC12BD" w14:textId="77777777" w:rsidR="003D57CF" w:rsidRPr="0044107F" w:rsidRDefault="003D57CF" w:rsidP="00393762">
      <w:pPr>
        <w:autoSpaceDE w:val="0"/>
        <w:autoSpaceDN w:val="0"/>
        <w:adjustRightInd w:val="0"/>
        <w:spacing w:before="0" w:after="60"/>
        <w:rPr>
          <w:rFonts w:eastAsiaTheme="minorHAnsi" w:cs="Calibri"/>
          <w:b/>
          <w:bCs/>
          <w:color w:val="004A7F"/>
          <w:sz w:val="24"/>
          <w:szCs w:val="24"/>
          <w:lang w:eastAsia="en-US"/>
        </w:rPr>
      </w:pPr>
      <w:r w:rsidRPr="0044107F">
        <w:rPr>
          <w:rFonts w:eastAsiaTheme="minorHAnsi" w:cs="Calibri"/>
          <w:b/>
          <w:bCs/>
          <w:color w:val="004A7F"/>
          <w:sz w:val="24"/>
          <w:szCs w:val="24"/>
          <w:lang w:eastAsia="en-US"/>
        </w:rPr>
        <w:t>Simplifying or removing search fees for digital interactions</w:t>
      </w:r>
    </w:p>
    <w:p w14:paraId="12978CEB" w14:textId="77777777" w:rsidR="003D57CF" w:rsidRPr="0044107F" w:rsidRDefault="003D57CF" w:rsidP="00393762">
      <w:pPr>
        <w:pStyle w:val="OutlineNumbered1"/>
        <w:tabs>
          <w:tab w:val="clear" w:pos="851"/>
          <w:tab w:val="num" w:pos="567"/>
        </w:tabs>
        <w:spacing w:after="60"/>
        <w:ind w:left="567" w:hanging="567"/>
        <w:rPr>
          <w:sz w:val="24"/>
          <w:szCs w:val="24"/>
        </w:rPr>
      </w:pPr>
      <w:r w:rsidRPr="0044107F">
        <w:rPr>
          <w:sz w:val="24"/>
          <w:szCs w:val="24"/>
        </w:rPr>
        <w:t xml:space="preserve">How could search fees be reformed to make </w:t>
      </w:r>
      <w:r w:rsidR="00185EDD">
        <w:rPr>
          <w:sz w:val="24"/>
          <w:szCs w:val="24"/>
        </w:rPr>
        <w:t xml:space="preserve">data more accessible, </w:t>
      </w:r>
      <w:r w:rsidRPr="0044107F">
        <w:rPr>
          <w:sz w:val="24"/>
          <w:szCs w:val="24"/>
        </w:rPr>
        <w:t>the system simpler and more equitable?</w:t>
      </w:r>
    </w:p>
    <w:p w14:paraId="5B05C5F2" w14:textId="77777777" w:rsidR="003D57CF" w:rsidRPr="0044107F" w:rsidRDefault="003D57CF" w:rsidP="00393762">
      <w:pPr>
        <w:autoSpaceDE w:val="0"/>
        <w:autoSpaceDN w:val="0"/>
        <w:adjustRightInd w:val="0"/>
        <w:spacing w:before="0" w:after="0"/>
        <w:rPr>
          <w:sz w:val="24"/>
          <w:szCs w:val="24"/>
        </w:rPr>
      </w:pPr>
    </w:p>
    <w:p w14:paraId="0787C60F" w14:textId="77777777" w:rsidR="003D57CF" w:rsidRPr="0044107F" w:rsidRDefault="003D57CF" w:rsidP="00393762">
      <w:pPr>
        <w:autoSpaceDE w:val="0"/>
        <w:autoSpaceDN w:val="0"/>
        <w:adjustRightInd w:val="0"/>
        <w:spacing w:before="0" w:after="60"/>
        <w:rPr>
          <w:rFonts w:eastAsiaTheme="minorHAnsi" w:cs="Calibri"/>
          <w:b/>
          <w:bCs/>
          <w:color w:val="004A7F"/>
          <w:sz w:val="24"/>
          <w:szCs w:val="24"/>
          <w:lang w:eastAsia="en-US"/>
        </w:rPr>
      </w:pPr>
      <w:r w:rsidRPr="0044107F">
        <w:rPr>
          <w:rFonts w:eastAsiaTheme="minorHAnsi" w:cs="Calibri"/>
          <w:b/>
          <w:bCs/>
          <w:color w:val="004A7F"/>
          <w:sz w:val="24"/>
          <w:szCs w:val="24"/>
          <w:lang w:eastAsia="en-US"/>
        </w:rPr>
        <w:t>An infrastructure fee for users of t</w:t>
      </w:r>
      <w:r w:rsidR="002313D1">
        <w:rPr>
          <w:rFonts w:eastAsiaTheme="minorHAnsi" w:cs="Calibri"/>
          <w:b/>
          <w:bCs/>
          <w:color w:val="004A7F"/>
          <w:sz w:val="24"/>
          <w:szCs w:val="24"/>
          <w:lang w:eastAsia="en-US"/>
        </w:rPr>
        <w:t>he modernised register services</w:t>
      </w:r>
    </w:p>
    <w:p w14:paraId="7EC5EB90" w14:textId="77777777" w:rsidR="00F93018" w:rsidRPr="00410125" w:rsidRDefault="00F93018" w:rsidP="00393762">
      <w:pPr>
        <w:pStyle w:val="OutlineNumbered1"/>
        <w:tabs>
          <w:tab w:val="clear" w:pos="851"/>
          <w:tab w:val="num" w:pos="567"/>
        </w:tabs>
        <w:spacing w:after="60"/>
        <w:ind w:left="567" w:hanging="567"/>
        <w:rPr>
          <w:sz w:val="24"/>
          <w:szCs w:val="24"/>
        </w:rPr>
      </w:pPr>
      <w:r w:rsidRPr="00410125">
        <w:rPr>
          <w:sz w:val="24"/>
          <w:szCs w:val="24"/>
        </w:rPr>
        <w:t>Should an infrastructure fee be introduced if it is payable by users of an API</w:t>
      </w:r>
      <w:r w:rsidR="00185EDD" w:rsidRPr="00410125">
        <w:rPr>
          <w:sz w:val="24"/>
          <w:szCs w:val="24"/>
        </w:rPr>
        <w:t xml:space="preserve"> or comparable technology</w:t>
      </w:r>
      <w:r w:rsidRPr="00410125">
        <w:rPr>
          <w:sz w:val="24"/>
          <w:szCs w:val="24"/>
        </w:rPr>
        <w:t xml:space="preserve">? </w:t>
      </w:r>
    </w:p>
    <w:p w14:paraId="09EAE369" w14:textId="77777777" w:rsidR="00F93018" w:rsidRPr="00410125" w:rsidRDefault="00F93018" w:rsidP="00393762">
      <w:pPr>
        <w:pStyle w:val="OutlineNumbered1"/>
        <w:tabs>
          <w:tab w:val="clear" w:pos="851"/>
          <w:tab w:val="num" w:pos="567"/>
        </w:tabs>
        <w:spacing w:after="60"/>
        <w:ind w:left="567" w:hanging="567"/>
        <w:rPr>
          <w:sz w:val="24"/>
          <w:szCs w:val="24"/>
        </w:rPr>
      </w:pPr>
      <w:r w:rsidRPr="00410125">
        <w:rPr>
          <w:sz w:val="24"/>
          <w:szCs w:val="24"/>
        </w:rPr>
        <w:t xml:space="preserve">Should </w:t>
      </w:r>
      <w:r w:rsidR="003D57CF" w:rsidRPr="00410125">
        <w:rPr>
          <w:sz w:val="24"/>
          <w:szCs w:val="24"/>
        </w:rPr>
        <w:t xml:space="preserve">funds raised from an infrastructure fee be set aside to cover the costs of </w:t>
      </w:r>
      <w:r w:rsidR="00185EDD" w:rsidRPr="00410125">
        <w:rPr>
          <w:sz w:val="24"/>
          <w:szCs w:val="24"/>
        </w:rPr>
        <w:t>upgrading the registry</w:t>
      </w:r>
      <w:r w:rsidR="00C07CE7">
        <w:rPr>
          <w:sz w:val="24"/>
          <w:szCs w:val="24"/>
        </w:rPr>
        <w:t xml:space="preserve"> and/or</w:t>
      </w:r>
      <w:r w:rsidR="00185EDD" w:rsidRPr="00410125">
        <w:rPr>
          <w:sz w:val="24"/>
          <w:szCs w:val="24"/>
        </w:rPr>
        <w:t xml:space="preserve"> </w:t>
      </w:r>
      <w:r w:rsidRPr="00410125">
        <w:rPr>
          <w:sz w:val="24"/>
          <w:szCs w:val="24"/>
        </w:rPr>
        <w:t>a testing environment</w:t>
      </w:r>
      <w:r w:rsidR="00ED0B12" w:rsidRPr="00410125">
        <w:rPr>
          <w:sz w:val="24"/>
          <w:szCs w:val="24"/>
        </w:rPr>
        <w:t>?</w:t>
      </w:r>
    </w:p>
    <w:p w14:paraId="1322DC6F" w14:textId="77777777" w:rsidR="00E27A40" w:rsidRPr="00410125" w:rsidRDefault="00F93018" w:rsidP="00393762">
      <w:pPr>
        <w:pStyle w:val="OutlineNumbered1"/>
        <w:tabs>
          <w:tab w:val="clear" w:pos="851"/>
          <w:tab w:val="num" w:pos="567"/>
        </w:tabs>
        <w:spacing w:after="60"/>
        <w:ind w:left="567" w:hanging="567"/>
        <w:rPr>
          <w:sz w:val="24"/>
          <w:szCs w:val="24"/>
        </w:rPr>
      </w:pPr>
      <w:r w:rsidRPr="00410125">
        <w:rPr>
          <w:sz w:val="24"/>
          <w:szCs w:val="24"/>
        </w:rPr>
        <w:t>Is the D</w:t>
      </w:r>
      <w:r w:rsidR="00C07CE7">
        <w:rPr>
          <w:sz w:val="24"/>
          <w:szCs w:val="24"/>
        </w:rPr>
        <w:t xml:space="preserve">ocument </w:t>
      </w:r>
      <w:r w:rsidRPr="00410125">
        <w:rPr>
          <w:sz w:val="24"/>
          <w:szCs w:val="24"/>
        </w:rPr>
        <w:t>V</w:t>
      </w:r>
      <w:r w:rsidR="00C07CE7">
        <w:rPr>
          <w:sz w:val="24"/>
          <w:szCs w:val="24"/>
        </w:rPr>
        <w:t xml:space="preserve">erification </w:t>
      </w:r>
      <w:r w:rsidRPr="00410125">
        <w:rPr>
          <w:sz w:val="24"/>
          <w:szCs w:val="24"/>
        </w:rPr>
        <w:t>S</w:t>
      </w:r>
      <w:r w:rsidR="00C07CE7">
        <w:rPr>
          <w:sz w:val="24"/>
          <w:szCs w:val="24"/>
        </w:rPr>
        <w:t>ervice charging</w:t>
      </w:r>
      <w:r w:rsidRPr="00410125">
        <w:rPr>
          <w:sz w:val="24"/>
          <w:szCs w:val="24"/>
        </w:rPr>
        <w:t xml:space="preserve"> model appropriate, or is there an alternative model that should be considered?</w:t>
      </w:r>
    </w:p>
    <w:p w14:paraId="3B6F4506" w14:textId="77777777" w:rsidR="00F93018" w:rsidRPr="0044107F" w:rsidRDefault="00F93018" w:rsidP="00393762">
      <w:pPr>
        <w:autoSpaceDE w:val="0"/>
        <w:autoSpaceDN w:val="0"/>
        <w:adjustRightInd w:val="0"/>
        <w:spacing w:before="0" w:after="0"/>
        <w:rPr>
          <w:rFonts w:eastAsiaTheme="minorHAnsi" w:cs="Calibri"/>
          <w:color w:val="000000"/>
          <w:sz w:val="24"/>
          <w:szCs w:val="24"/>
          <w:lang w:eastAsia="en-US"/>
        </w:rPr>
      </w:pPr>
    </w:p>
    <w:p w14:paraId="36B7C196" w14:textId="77777777" w:rsidR="00F93018" w:rsidRPr="0044107F" w:rsidRDefault="00F93018" w:rsidP="00F93018">
      <w:pPr>
        <w:spacing w:before="0" w:after="160" w:line="259" w:lineRule="auto"/>
      </w:pPr>
      <w:r w:rsidRPr="0044107F">
        <w:br w:type="page"/>
      </w:r>
    </w:p>
    <w:p w14:paraId="428A5921" w14:textId="77777777" w:rsidR="00F93018" w:rsidRPr="0044107F" w:rsidRDefault="00F93018" w:rsidP="00F93018">
      <w:pPr>
        <w:pStyle w:val="Heading2"/>
      </w:pPr>
      <w:bookmarkStart w:id="28" w:name="_Toc530493306"/>
      <w:r w:rsidRPr="0044107F">
        <w:lastRenderedPageBreak/>
        <w:t>Timing</w:t>
      </w:r>
      <w:bookmarkEnd w:id="28"/>
    </w:p>
    <w:p w14:paraId="508A2553" w14:textId="18A082FF" w:rsidR="00ED0B12" w:rsidRPr="0044107F" w:rsidRDefault="007D1DEF" w:rsidP="00F93018">
      <w:r>
        <w:t>T</w:t>
      </w:r>
      <w:r w:rsidR="00F93018" w:rsidRPr="0044107F">
        <w:t xml:space="preserve">his consultation </w:t>
      </w:r>
      <w:r>
        <w:t>will</w:t>
      </w:r>
      <w:r w:rsidR="00F93018" w:rsidRPr="0044107F">
        <w:t xml:space="preserve"> feed into the </w:t>
      </w:r>
      <w:r w:rsidR="00913AFA">
        <w:t>Modernising</w:t>
      </w:r>
      <w:r w:rsidR="00ED0B12" w:rsidRPr="0044107F">
        <w:t xml:space="preserve"> Business Registers Program </w:t>
      </w:r>
      <w:r w:rsidR="00F93018" w:rsidRPr="0044107F">
        <w:t xml:space="preserve">business case for </w:t>
      </w:r>
      <w:r>
        <w:t xml:space="preserve">Government </w:t>
      </w:r>
      <w:r w:rsidR="000D7DCF">
        <w:t>consideration in 2019</w:t>
      </w:r>
      <w:r w:rsidR="00F93018" w:rsidRPr="0044107F">
        <w:t xml:space="preserve">. </w:t>
      </w:r>
    </w:p>
    <w:p w14:paraId="5EC6AEED" w14:textId="72007909" w:rsidR="00F93018" w:rsidRPr="0044107F" w:rsidRDefault="00F93018" w:rsidP="00F93018">
      <w:r w:rsidRPr="0044107F">
        <w:t xml:space="preserve">Any </w:t>
      </w:r>
      <w:r w:rsidR="00393762">
        <w:t>changes</w:t>
      </w:r>
      <w:r w:rsidRPr="0044107F">
        <w:t xml:space="preserve"> to</w:t>
      </w:r>
      <w:r w:rsidR="00393762">
        <w:t xml:space="preserve"> the current</w:t>
      </w:r>
      <w:r w:rsidRPr="0044107F">
        <w:t xml:space="preserve"> fee</w:t>
      </w:r>
      <w:r w:rsidR="00393762">
        <w:t xml:space="preserve"> regime</w:t>
      </w:r>
      <w:r w:rsidRPr="0044107F">
        <w:t xml:space="preserve"> will take into account the state of the ASIC mainframe, and </w:t>
      </w:r>
      <w:r w:rsidR="00393762">
        <w:t xml:space="preserve">will be delivered over the longer term as part of the Modernising Business Registers Program. </w:t>
      </w:r>
    </w:p>
    <w:p w14:paraId="0731A8C5" w14:textId="77777777" w:rsidR="00F93018" w:rsidRPr="0044107F" w:rsidRDefault="00F93018" w:rsidP="00F93018">
      <w:r w:rsidRPr="0044107F">
        <w:t xml:space="preserve">Other reforms, such as to the Australian Business Number system, introducing director identification numbers, reducing </w:t>
      </w:r>
      <w:proofErr w:type="spellStart"/>
      <w:r w:rsidRPr="0044107F">
        <w:t>phoenixing</w:t>
      </w:r>
      <w:proofErr w:type="spellEnd"/>
      <w:r w:rsidRPr="0044107F">
        <w:t xml:space="preserve"> activity, implementing a digital identity framework, will all contribute to a more effecti</w:t>
      </w:r>
      <w:r w:rsidR="000D7DCF">
        <w:t>ve</w:t>
      </w:r>
      <w:r w:rsidRPr="0044107F">
        <w:t xml:space="preserve"> business environment.</w:t>
      </w:r>
    </w:p>
    <w:p w14:paraId="17244BE9" w14:textId="77777777" w:rsidR="00F93018" w:rsidRPr="0044107F" w:rsidRDefault="00F93018" w:rsidP="00F93018">
      <w:r w:rsidRPr="0044107F">
        <w:t>This consultation paper does not seek to duplicate consultations or work underway on these related reforms. However, where answering questions in this consultation paper requires referencing these reforms, we welcome views outlining the relevant interactions.</w:t>
      </w:r>
    </w:p>
    <w:p w14:paraId="6680E1EA" w14:textId="77777777" w:rsidR="00F93018" w:rsidRPr="0044107F" w:rsidRDefault="00F93018" w:rsidP="00F93018"/>
    <w:p w14:paraId="7967B7A7" w14:textId="77777777" w:rsidR="00F93018" w:rsidRPr="0044107F" w:rsidRDefault="00F93018" w:rsidP="00F93018"/>
    <w:p w14:paraId="1AFD8638" w14:textId="77777777" w:rsidR="00F93018" w:rsidRPr="0044107F" w:rsidRDefault="00F93018" w:rsidP="00F93018">
      <w:pPr>
        <w:spacing w:before="0" w:after="200" w:line="276" w:lineRule="auto"/>
      </w:pPr>
      <w:r w:rsidRPr="0044107F">
        <w:br w:type="page"/>
      </w:r>
    </w:p>
    <w:p w14:paraId="0B12D243" w14:textId="77777777" w:rsidR="00F93018" w:rsidRPr="0044107F" w:rsidRDefault="00D20371" w:rsidP="00F45256">
      <w:pPr>
        <w:pStyle w:val="Heading1"/>
      </w:pPr>
      <w:bookmarkStart w:id="29" w:name="_Toc530493307"/>
      <w:r w:rsidRPr="0044107F">
        <w:lastRenderedPageBreak/>
        <w:t>ATTACHMENT</w:t>
      </w:r>
      <w:r w:rsidR="00F93018" w:rsidRPr="0044107F">
        <w:t xml:space="preserve"> A</w:t>
      </w:r>
      <w:bookmarkEnd w:id="29"/>
    </w:p>
    <w:p w14:paraId="6C19057E" w14:textId="77777777" w:rsidR="0032531B" w:rsidRDefault="00D20371" w:rsidP="0032531B">
      <w:pPr>
        <w:pStyle w:val="Heading2"/>
      </w:pPr>
      <w:bookmarkStart w:id="30" w:name="_Toc530493308"/>
      <w:bookmarkStart w:id="31" w:name="_Toc527020401"/>
      <w:r>
        <w:t xml:space="preserve">Government </w:t>
      </w:r>
      <w:r w:rsidR="0032531B" w:rsidRPr="0032531B">
        <w:t>Charging Framework</w:t>
      </w:r>
      <w:bookmarkEnd w:id="30"/>
    </w:p>
    <w:p w14:paraId="16F4929C" w14:textId="77777777" w:rsidR="00F93018" w:rsidRPr="001D0DA9" w:rsidRDefault="00F93018" w:rsidP="001D0DA9">
      <w:pPr>
        <w:rPr>
          <w:rStyle w:val="Strong"/>
        </w:rPr>
      </w:pPr>
      <w:r w:rsidRPr="001D0DA9">
        <w:rPr>
          <w:rStyle w:val="Strong"/>
        </w:rPr>
        <w:t>Extract from Australian Government Treasury Consultation Paper “Modernising Business Registers Program”, July 2018, Attachment C: Funding Registry Infrastructure</w:t>
      </w:r>
      <w:bookmarkEnd w:id="31"/>
    </w:p>
    <w:p w14:paraId="3FA92A70" w14:textId="77777777" w:rsidR="00F93018" w:rsidRPr="0044107F" w:rsidRDefault="00F93018" w:rsidP="00F93018">
      <w:r w:rsidRPr="0044107F">
        <w:t xml:space="preserve">In April 2015, the Government agreed to implement a whole-of-government charging framework (the Charging Framework) to apply across </w:t>
      </w:r>
      <w:r w:rsidR="008A6926">
        <w:t xml:space="preserve">the general government sector. </w:t>
      </w:r>
      <w:r w:rsidRPr="0044107F">
        <w:t>The Charging Framework provides that where an individual or organisation creates demand for a government activity, they should generally be charged for it, unless the Government has decided to fund the activity.</w:t>
      </w:r>
      <w:r w:rsidRPr="0044107F">
        <w:rPr>
          <w:sz w:val="20"/>
          <w:vertAlign w:val="superscript"/>
        </w:rPr>
        <w:footnoteReference w:id="11"/>
      </w:r>
    </w:p>
    <w:p w14:paraId="57CDD444" w14:textId="77777777" w:rsidR="00F93018" w:rsidRPr="0044107F" w:rsidRDefault="00F93018" w:rsidP="00F93018">
      <w:r w:rsidRPr="0044107F">
        <w:t>The Framework outlines that charging for government activities can:</w:t>
      </w:r>
    </w:p>
    <w:p w14:paraId="0E551CC8" w14:textId="77777777" w:rsidR="00F93018" w:rsidRPr="0044107F" w:rsidRDefault="00F93018" w:rsidP="002934D1">
      <w:pPr>
        <w:pStyle w:val="Dash"/>
      </w:pPr>
      <w:r w:rsidRPr="0044107F">
        <w:t>promote equity, whereby the recipients who create the need for a government activity, rather than the general public, bear its costs;</w:t>
      </w:r>
    </w:p>
    <w:p w14:paraId="723DE398" w14:textId="77777777" w:rsidR="00F93018" w:rsidRPr="0044107F" w:rsidRDefault="00F93018" w:rsidP="002934D1">
      <w:pPr>
        <w:pStyle w:val="Dash"/>
      </w:pPr>
      <w:r w:rsidRPr="0044107F">
        <w:t>influence demand for government activities;</w:t>
      </w:r>
    </w:p>
    <w:p w14:paraId="4B512E3C" w14:textId="77777777" w:rsidR="00F93018" w:rsidRPr="0044107F" w:rsidRDefault="00F93018" w:rsidP="002934D1">
      <w:pPr>
        <w:pStyle w:val="Dash"/>
      </w:pPr>
      <w:r w:rsidRPr="0044107F">
        <w:t xml:space="preserve">improve the efficiency, productivity and responsiveness of government activities and accountability for those activities; and </w:t>
      </w:r>
    </w:p>
    <w:p w14:paraId="0467A2EB" w14:textId="77777777" w:rsidR="00F93018" w:rsidRPr="0044107F" w:rsidRDefault="00F93018" w:rsidP="002934D1">
      <w:pPr>
        <w:pStyle w:val="Dash"/>
      </w:pPr>
      <w:proofErr w:type="gramStart"/>
      <w:r w:rsidRPr="0044107F">
        <w:t>increase</w:t>
      </w:r>
      <w:proofErr w:type="gramEnd"/>
      <w:r w:rsidRPr="0044107F">
        <w:t xml:space="preserve"> cost consciousness for all stakeholders by raising awareness of how much a government activity costs.</w:t>
      </w:r>
    </w:p>
    <w:p w14:paraId="16E1D329" w14:textId="77777777" w:rsidR="00F93018" w:rsidRPr="0044107F" w:rsidRDefault="00F93018" w:rsidP="00F93018">
      <w:r w:rsidRPr="0044107F">
        <w:t>Consultation in 2017 revealed that users would like the ability to update their information on their internal systems and that these updates also be sent automatically</w:t>
      </w:r>
      <w:r w:rsidR="008A6926">
        <w:t xml:space="preserve"> to update business registers. </w:t>
      </w:r>
      <w:r w:rsidRPr="0044107F">
        <w:t xml:space="preserve">Similarly, there is demand for improved search facilities to access higher quality (and consolidated) </w:t>
      </w:r>
      <w:r w:rsidR="00D904F4">
        <w:t xml:space="preserve">data on Australian businesses. </w:t>
      </w:r>
    </w:p>
    <w:p w14:paraId="706E91CD" w14:textId="77777777" w:rsidR="00F93018" w:rsidRPr="0044107F" w:rsidRDefault="00F93018" w:rsidP="00F93018">
      <w:r w:rsidRPr="0044107F">
        <w:t>To meet these demands, the Modernising Business Registers Program (the Program) is expected to offer real-time acc</w:t>
      </w:r>
      <w:r w:rsidR="008A6926">
        <w:t xml:space="preserve">ess to the business registers. </w:t>
      </w:r>
      <w:r w:rsidRPr="0044107F">
        <w:t>This access is expe</w:t>
      </w:r>
      <w:r w:rsidR="00F45256" w:rsidRPr="0044107F">
        <w:t>cted to be provided via modern A</w:t>
      </w:r>
      <w:r w:rsidRPr="0044107F">
        <w:t xml:space="preserve">pplication </w:t>
      </w:r>
      <w:r w:rsidR="00F45256" w:rsidRPr="0044107F">
        <w:t>P</w:t>
      </w:r>
      <w:r w:rsidRPr="0044107F">
        <w:t xml:space="preserve">rogramming </w:t>
      </w:r>
      <w:r w:rsidR="00F45256" w:rsidRPr="0044107F">
        <w:t>I</w:t>
      </w:r>
      <w:r w:rsidRPr="0044107F">
        <w:t>nterfaces (APIs).</w:t>
      </w:r>
    </w:p>
    <w:p w14:paraId="5CDC515E" w14:textId="77777777" w:rsidR="00F93018" w:rsidRPr="0044107F" w:rsidRDefault="00F93018" w:rsidP="00F93018">
      <w:pPr>
        <w:keepNext/>
        <w:rPr>
          <w:rFonts w:cs="Arial"/>
          <w:bCs/>
          <w:color w:val="004A7F"/>
          <w:kern w:val="32"/>
          <w:szCs w:val="36"/>
        </w:rPr>
      </w:pPr>
      <w:r w:rsidRPr="0044107F">
        <w:rPr>
          <w:rFonts w:cs="Arial"/>
          <w:bCs/>
          <w:color w:val="004A7F"/>
          <w:kern w:val="32"/>
          <w:szCs w:val="36"/>
        </w:rPr>
        <w:t>Application of the Charging Framework</w:t>
      </w:r>
    </w:p>
    <w:p w14:paraId="0B2A7292" w14:textId="77777777" w:rsidR="00F93018" w:rsidRPr="0044107F" w:rsidRDefault="00F93018" w:rsidP="00F93018">
      <w:r w:rsidRPr="0044107F">
        <w:t xml:space="preserve">The </w:t>
      </w:r>
      <w:r w:rsidR="00F45256" w:rsidRPr="0044107F">
        <w:t xml:space="preserve">MBR </w:t>
      </w:r>
      <w:r w:rsidRPr="0044107F">
        <w:t>Program is considering how the Charging Framework could be applied to the services being provided when users access these APIs.</w:t>
      </w:r>
    </w:p>
    <w:p w14:paraId="767A0255" w14:textId="77777777" w:rsidR="00F93018" w:rsidRPr="0044107F" w:rsidRDefault="00F93018" w:rsidP="00F93018">
      <w:r w:rsidRPr="0044107F">
        <w:t>No decisions have been made on application of the Char</w:t>
      </w:r>
      <w:r w:rsidR="008A6926">
        <w:t xml:space="preserve">ging Framework for using APIs. </w:t>
      </w:r>
      <w:r w:rsidRPr="0044107F">
        <w:t>The Program will undertake consultation in relation to the Charging Framework’s application.</w:t>
      </w:r>
    </w:p>
    <w:p w14:paraId="41B87908" w14:textId="77777777" w:rsidR="00F93018" w:rsidRPr="0044107F" w:rsidRDefault="00F93018" w:rsidP="00F93018">
      <w:r w:rsidRPr="0044107F">
        <w:t>The Program is also cognisant that accessing data held by ASIC can result in</w:t>
      </w:r>
      <w:r w:rsidR="008A6926">
        <w:t xml:space="preserve"> fees. </w:t>
      </w:r>
      <w:r w:rsidRPr="0044107F">
        <w:t xml:space="preserve">ASIC is legally obliged under the </w:t>
      </w:r>
      <w:r w:rsidRPr="0044107F">
        <w:rPr>
          <w:i/>
        </w:rPr>
        <w:t>Corporations Act 2001</w:t>
      </w:r>
      <w:r w:rsidRPr="0044107F">
        <w:t xml:space="preserve"> to charge fees for some search products. ASIC also collects fees for </w:t>
      </w:r>
      <w:r w:rsidR="008A6926">
        <w:t xml:space="preserve">bulk data access arrangements. </w:t>
      </w:r>
      <w:r w:rsidRPr="0044107F">
        <w:t>The imposition of these fees will be taken into account in the consideration of how to apply the Charging Framework.</w:t>
      </w:r>
    </w:p>
    <w:p w14:paraId="5D07EF03" w14:textId="77777777" w:rsidR="00F93018" w:rsidRPr="00D20371" w:rsidRDefault="00F93018" w:rsidP="00D20371">
      <w:pPr>
        <w:rPr>
          <w:rStyle w:val="SubtleEmphasis"/>
        </w:rPr>
      </w:pPr>
      <w:r w:rsidRPr="00D20371">
        <w:rPr>
          <w:rStyle w:val="SubtleEmphasis"/>
        </w:rPr>
        <w:t>Excerpt from Charging Framework</w:t>
      </w:r>
    </w:p>
    <w:p w14:paraId="14692E65" w14:textId="77777777" w:rsidR="00F93018" w:rsidRPr="0044107F" w:rsidRDefault="00F93018" w:rsidP="00F93018">
      <w:r w:rsidRPr="0044107F">
        <w:t>Paragraph 22 of the Charging Framework provides more in</w:t>
      </w:r>
      <w:r w:rsidR="008A6926">
        <w:t xml:space="preserve">formation on these Principles. </w:t>
      </w:r>
      <w:r w:rsidRPr="0044107F">
        <w:t>It states: “The Charging Framework is underpinned by six principles:</w:t>
      </w:r>
    </w:p>
    <w:p w14:paraId="2225862D" w14:textId="77777777" w:rsidR="00F93018" w:rsidRPr="0044107F" w:rsidRDefault="00F93018" w:rsidP="00593A1A">
      <w:pPr>
        <w:pStyle w:val="Bullet"/>
      </w:pPr>
      <w:r w:rsidRPr="0044107F">
        <w:t>transparency –</w:t>
      </w:r>
      <w:r w:rsidR="00F45256" w:rsidRPr="0044107F">
        <w:t xml:space="preserve"> </w:t>
      </w:r>
      <w:r w:rsidRPr="0044107F">
        <w:t>making available key information about the activity, such as the authority to charge, charging rates, and, where relevant, the basis of the charges</w:t>
      </w:r>
      <w:r w:rsidR="00F45256" w:rsidRPr="0044107F">
        <w:t>;</w:t>
      </w:r>
    </w:p>
    <w:p w14:paraId="149929A4" w14:textId="77777777" w:rsidR="00F93018" w:rsidRPr="0044107F" w:rsidRDefault="00F93018" w:rsidP="00593A1A">
      <w:pPr>
        <w:pStyle w:val="Bullet"/>
      </w:pPr>
      <w:r w:rsidRPr="0044107F">
        <w:lastRenderedPageBreak/>
        <w:t>efficiency –</w:t>
      </w:r>
      <w:r w:rsidR="00F45256" w:rsidRPr="0044107F">
        <w:t xml:space="preserve"> </w:t>
      </w:r>
      <w:r w:rsidRPr="0044107F">
        <w:t>delivering activities at least cost, while achieving the policy objectives and meeting the legislative requirements of the Australian Government</w:t>
      </w:r>
      <w:r w:rsidR="00F45256" w:rsidRPr="0044107F">
        <w:t>;</w:t>
      </w:r>
      <w:r w:rsidRPr="0044107F">
        <w:t xml:space="preserve"> </w:t>
      </w:r>
    </w:p>
    <w:p w14:paraId="52DF4262" w14:textId="77777777" w:rsidR="00F93018" w:rsidRPr="0044107F" w:rsidRDefault="00F93018" w:rsidP="00593A1A">
      <w:pPr>
        <w:pStyle w:val="Bullet"/>
      </w:pPr>
      <w:proofErr w:type="gramStart"/>
      <w:r w:rsidRPr="0044107F">
        <w:t>performance</w:t>
      </w:r>
      <w:proofErr w:type="gramEnd"/>
      <w:r w:rsidRPr="0044107F">
        <w:t xml:space="preserve"> – which relates to effectiveness, risk mitigation, sust</w:t>
      </w:r>
      <w:r w:rsidR="008A6926">
        <w:t xml:space="preserve">ainability and responsiveness. </w:t>
      </w:r>
      <w:r w:rsidRPr="0044107F">
        <w:t>Engagement with stakeholders is a key element of managing and achieving performance. Entities must regularly review and evaluate charges in consultation with stakeholders to assess their impact and whether they are contributing to government outcomes</w:t>
      </w:r>
      <w:r w:rsidR="00F45256" w:rsidRPr="0044107F">
        <w:t>;</w:t>
      </w:r>
    </w:p>
    <w:p w14:paraId="5A028038" w14:textId="77777777" w:rsidR="00F93018" w:rsidRPr="0044107F" w:rsidRDefault="00F93018" w:rsidP="00593A1A">
      <w:pPr>
        <w:pStyle w:val="Bullet"/>
      </w:pPr>
      <w:proofErr w:type="gramStart"/>
      <w:r w:rsidRPr="0044107F">
        <w:t>equity</w:t>
      </w:r>
      <w:proofErr w:type="gramEnd"/>
      <w:r w:rsidRPr="0044107F">
        <w:t xml:space="preserve"> – where specific demand for a government activity is created by identifiable individuals or groups they should be charged for it, unless the Government has </w:t>
      </w:r>
      <w:r w:rsidR="008A6926">
        <w:t xml:space="preserve">decided to fund that activity. </w:t>
      </w:r>
      <w:r w:rsidRPr="0044107F">
        <w:t>Equity is also achieved through the Government’s social safety net, to ensure that vulnerable citizens are not further disadvantaged through the imposition of a charge</w:t>
      </w:r>
      <w:r w:rsidR="00F45256" w:rsidRPr="0044107F">
        <w:t>;</w:t>
      </w:r>
    </w:p>
    <w:p w14:paraId="2CFDBD49" w14:textId="77777777" w:rsidR="00F93018" w:rsidRPr="0044107F" w:rsidRDefault="00F93018" w:rsidP="00593A1A">
      <w:pPr>
        <w:pStyle w:val="Bullet"/>
      </w:pPr>
      <w:r w:rsidRPr="0044107F">
        <w:t>simplicity – whereby charges should be straightforward, practical, easy to understand and collect</w:t>
      </w:r>
      <w:r w:rsidR="00F45256" w:rsidRPr="0044107F">
        <w:t xml:space="preserve">; and </w:t>
      </w:r>
    </w:p>
    <w:p w14:paraId="1D53644D" w14:textId="77777777" w:rsidR="00761037" w:rsidRDefault="00F93018" w:rsidP="00593A1A">
      <w:pPr>
        <w:pStyle w:val="Bullet"/>
        <w:sectPr w:rsidR="00761037" w:rsidSect="00984C29">
          <w:pgSz w:w="11906" w:h="16838"/>
          <w:pgMar w:top="1440" w:right="1440" w:bottom="1440" w:left="1440" w:header="708" w:footer="708" w:gutter="0"/>
          <w:cols w:space="708"/>
          <w:docGrid w:linePitch="360"/>
        </w:sectPr>
      </w:pPr>
      <w:proofErr w:type="gramStart"/>
      <w:r w:rsidRPr="0044107F">
        <w:t>policy</w:t>
      </w:r>
      <w:proofErr w:type="gramEnd"/>
      <w:r w:rsidRPr="0044107F">
        <w:t xml:space="preserve"> consistency – charges must be consistent with Australian Government priorities and policies, including entity purpose and outcomes. Australian Government agreement may be required for the introduction of new charges and/or changes to charges.”</w:t>
      </w:r>
    </w:p>
    <w:p w14:paraId="233B9C17" w14:textId="77777777" w:rsidR="00761037" w:rsidRDefault="00D20371" w:rsidP="00761037">
      <w:pPr>
        <w:pStyle w:val="Heading1"/>
      </w:pPr>
      <w:bookmarkStart w:id="32" w:name="_Toc530493309"/>
      <w:r>
        <w:lastRenderedPageBreak/>
        <w:t>A</w:t>
      </w:r>
      <w:r w:rsidRPr="0044107F">
        <w:t>TTACHMENT</w:t>
      </w:r>
      <w:r w:rsidR="00761037" w:rsidRPr="0044107F">
        <w:t xml:space="preserve"> </w:t>
      </w:r>
      <w:r w:rsidR="00761037">
        <w:t>B</w:t>
      </w:r>
      <w:bookmarkEnd w:id="32"/>
    </w:p>
    <w:p w14:paraId="40DFE816" w14:textId="77777777" w:rsidR="00761037" w:rsidRPr="0044107F" w:rsidRDefault="00761037" w:rsidP="00001E85">
      <w:pPr>
        <w:pStyle w:val="Heading2"/>
      </w:pPr>
      <w:bookmarkStart w:id="33" w:name="_Toc530493310"/>
      <w:r w:rsidRPr="0044107F">
        <w:t>Late Fee Scenarios</w:t>
      </w:r>
      <w:bookmarkEnd w:id="33"/>
    </w:p>
    <w:p w14:paraId="68D763A4" w14:textId="77777777" w:rsidR="00761037" w:rsidRPr="0044107F" w:rsidRDefault="00761037" w:rsidP="00761037">
      <w:r w:rsidRPr="0044107F">
        <w:t xml:space="preserve">The following table explains late fees and provides examples that demonstrate the complexity of the late fee system. </w:t>
      </w:r>
    </w:p>
    <w:tbl>
      <w:tblPr>
        <w:tblStyle w:val="LightShading-Accent1"/>
        <w:tblW w:w="14283" w:type="dxa"/>
        <w:tblLook w:val="04A0" w:firstRow="1" w:lastRow="0" w:firstColumn="1" w:lastColumn="0" w:noHBand="0" w:noVBand="1"/>
      </w:tblPr>
      <w:tblGrid>
        <w:gridCol w:w="1128"/>
        <w:gridCol w:w="3545"/>
        <w:gridCol w:w="5641"/>
        <w:gridCol w:w="3969"/>
      </w:tblGrid>
      <w:tr w:rsidR="00761037" w:rsidRPr="0044107F" w14:paraId="66E783FE" w14:textId="77777777" w:rsidTr="00BF3C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8" w:type="dxa"/>
            <w:vMerge w:val="restart"/>
          </w:tcPr>
          <w:p w14:paraId="2A1667A4" w14:textId="77777777" w:rsidR="00761037" w:rsidRPr="00FA7613" w:rsidRDefault="00761037" w:rsidP="002E6199">
            <w:pPr>
              <w:jc w:val="center"/>
            </w:pPr>
            <w:r w:rsidRPr="00FA7613">
              <w:t xml:space="preserve">Common </w:t>
            </w:r>
            <w:r w:rsidR="002E6199">
              <w:t>f</w:t>
            </w:r>
            <w:r w:rsidRPr="00FA7613">
              <w:t>ees imposed</w:t>
            </w:r>
          </w:p>
        </w:tc>
        <w:tc>
          <w:tcPr>
            <w:tcW w:w="3545" w:type="dxa"/>
          </w:tcPr>
          <w:p w14:paraId="3892C8FC" w14:textId="77777777" w:rsidR="00761037" w:rsidRPr="00001E85" w:rsidRDefault="00001E85" w:rsidP="005E450C">
            <w:pPr>
              <w:cnfStyle w:val="100000000000" w:firstRow="1" w:lastRow="0" w:firstColumn="0" w:lastColumn="0" w:oddVBand="0" w:evenVBand="0" w:oddHBand="0" w:evenHBand="0" w:firstRowFirstColumn="0" w:firstRowLastColumn="0" w:lastRowFirstColumn="0" w:lastRowLastColumn="0"/>
            </w:pPr>
            <w:r>
              <w:t>Fee Type</w:t>
            </w:r>
          </w:p>
        </w:tc>
        <w:tc>
          <w:tcPr>
            <w:tcW w:w="5641" w:type="dxa"/>
          </w:tcPr>
          <w:p w14:paraId="72352D2E" w14:textId="77777777" w:rsidR="00761037" w:rsidRPr="00001E85" w:rsidRDefault="00761037" w:rsidP="005E450C">
            <w:pPr>
              <w:cnfStyle w:val="100000000000" w:firstRow="1" w:lastRow="0" w:firstColumn="0" w:lastColumn="0" w:oddVBand="0" w:evenVBand="0" w:oddHBand="0" w:evenHBand="0" w:firstRowFirstColumn="0" w:firstRowLastColumn="0" w:lastRowFirstColumn="0" w:lastRowLastColumn="0"/>
            </w:pPr>
            <w:r w:rsidRPr="00001E85">
              <w:t>Scenario</w:t>
            </w:r>
          </w:p>
        </w:tc>
        <w:tc>
          <w:tcPr>
            <w:tcW w:w="3969" w:type="dxa"/>
          </w:tcPr>
          <w:p w14:paraId="7D134268" w14:textId="77777777" w:rsidR="00761037" w:rsidRPr="00001E85" w:rsidRDefault="00761037" w:rsidP="005E450C">
            <w:pPr>
              <w:cnfStyle w:val="100000000000" w:firstRow="1" w:lastRow="0" w:firstColumn="0" w:lastColumn="0" w:oddVBand="0" w:evenVBand="0" w:oddHBand="0" w:evenHBand="0" w:firstRowFirstColumn="0" w:firstRowLastColumn="0" w:lastRowFirstColumn="0" w:lastRowLastColumn="0"/>
            </w:pPr>
            <w:r w:rsidRPr="00001E85">
              <w:t>Possible customer response</w:t>
            </w:r>
          </w:p>
        </w:tc>
      </w:tr>
      <w:tr w:rsidR="00761037" w:rsidRPr="0044107F" w14:paraId="06268041" w14:textId="77777777" w:rsidTr="00BF3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8" w:type="dxa"/>
            <w:vMerge/>
          </w:tcPr>
          <w:p w14:paraId="5ABF9CFC" w14:textId="77777777" w:rsidR="00761037" w:rsidRPr="0044107F" w:rsidRDefault="00761037" w:rsidP="005E450C"/>
        </w:tc>
        <w:tc>
          <w:tcPr>
            <w:tcW w:w="3545" w:type="dxa"/>
          </w:tcPr>
          <w:p w14:paraId="03F6571A" w14:textId="77777777" w:rsidR="00761037" w:rsidRPr="00001E85" w:rsidRDefault="00761037" w:rsidP="005E450C">
            <w:pPr>
              <w:cnfStyle w:val="000000100000" w:firstRow="0" w:lastRow="0" w:firstColumn="0" w:lastColumn="0" w:oddVBand="0" w:evenVBand="0" w:oddHBand="1" w:evenHBand="0" w:firstRowFirstColumn="0" w:firstRowLastColumn="0" w:lastRowFirstColumn="0" w:lastRowLastColumn="0"/>
              <w:rPr>
                <w:b/>
                <w:color w:val="auto"/>
              </w:rPr>
            </w:pPr>
            <w:r w:rsidRPr="00001E85">
              <w:rPr>
                <w:b/>
                <w:color w:val="auto"/>
              </w:rPr>
              <w:t>Late Payment Fee:</w:t>
            </w:r>
          </w:p>
          <w:p w14:paraId="1C7834F9" w14:textId="77777777" w:rsidR="00761037" w:rsidRPr="00001E85" w:rsidRDefault="00761037" w:rsidP="005E450C">
            <w:pPr>
              <w:pStyle w:val="ListParagraph"/>
              <w:numPr>
                <w:ilvl w:val="0"/>
                <w:numId w:val="27"/>
              </w:numPr>
              <w:spacing w:before="0" w:after="0"/>
              <w:cnfStyle w:val="000000100000" w:firstRow="0" w:lastRow="0" w:firstColumn="0" w:lastColumn="0" w:oddVBand="0" w:evenVBand="0" w:oddHBand="1" w:evenHBand="0" w:firstRowFirstColumn="0" w:firstRowLastColumn="0" w:lastRowFirstColumn="0" w:lastRowLastColumn="0"/>
              <w:rPr>
                <w:color w:val="auto"/>
              </w:rPr>
            </w:pPr>
            <w:r w:rsidRPr="00001E85">
              <w:rPr>
                <w:color w:val="auto"/>
              </w:rPr>
              <w:t>Annual review fee received less than one month late - $79</w:t>
            </w:r>
          </w:p>
          <w:p w14:paraId="4A94F498" w14:textId="77777777" w:rsidR="00761037" w:rsidRPr="00001E85" w:rsidRDefault="00761037" w:rsidP="005E450C">
            <w:pPr>
              <w:pStyle w:val="ListParagraph"/>
              <w:numPr>
                <w:ilvl w:val="0"/>
                <w:numId w:val="27"/>
              </w:numPr>
              <w:spacing w:before="0" w:after="0"/>
              <w:cnfStyle w:val="000000100000" w:firstRow="0" w:lastRow="0" w:firstColumn="0" w:lastColumn="0" w:oddVBand="0" w:evenVBand="0" w:oddHBand="1" w:evenHBand="0" w:firstRowFirstColumn="0" w:firstRowLastColumn="0" w:lastRowFirstColumn="0" w:lastRowLastColumn="0"/>
              <w:rPr>
                <w:color w:val="auto"/>
              </w:rPr>
            </w:pPr>
            <w:r w:rsidRPr="00001E85">
              <w:rPr>
                <w:color w:val="auto"/>
              </w:rPr>
              <w:t>Annual review fee received more than one month late - $329</w:t>
            </w:r>
          </w:p>
          <w:p w14:paraId="4F7857A4" w14:textId="77777777" w:rsidR="00761037" w:rsidRPr="00001E85" w:rsidRDefault="00761037" w:rsidP="005E450C">
            <w:pPr>
              <w:pStyle w:val="ListParagraph"/>
              <w:cnfStyle w:val="000000100000" w:firstRow="0" w:lastRow="0" w:firstColumn="0" w:lastColumn="0" w:oddVBand="0" w:evenVBand="0" w:oddHBand="1" w:evenHBand="0" w:firstRowFirstColumn="0" w:firstRowLastColumn="0" w:lastRowFirstColumn="0" w:lastRowLastColumn="0"/>
              <w:rPr>
                <w:color w:val="auto"/>
              </w:rPr>
            </w:pPr>
          </w:p>
        </w:tc>
        <w:tc>
          <w:tcPr>
            <w:tcW w:w="5641" w:type="dxa"/>
          </w:tcPr>
          <w:p w14:paraId="56C7020C" w14:textId="77777777" w:rsidR="00761037" w:rsidRPr="00001E85" w:rsidRDefault="00761037" w:rsidP="005E450C">
            <w:pPr>
              <w:pStyle w:val="ListParagraph"/>
              <w:numPr>
                <w:ilvl w:val="0"/>
                <w:numId w:val="26"/>
              </w:numPr>
              <w:spacing w:before="0" w:after="0"/>
              <w:cnfStyle w:val="000000100000" w:firstRow="0" w:lastRow="0" w:firstColumn="0" w:lastColumn="0" w:oddVBand="0" w:evenVBand="0" w:oddHBand="1" w:evenHBand="0" w:firstRowFirstColumn="0" w:firstRowLastColumn="0" w:lastRowFirstColumn="0" w:lastRowLastColumn="0"/>
              <w:rPr>
                <w:color w:val="auto"/>
              </w:rPr>
            </w:pPr>
            <w:r w:rsidRPr="00001E85">
              <w:rPr>
                <w:color w:val="auto"/>
              </w:rPr>
              <w:t>Company’s annual review is due</w:t>
            </w:r>
          </w:p>
          <w:p w14:paraId="2BA66D8A" w14:textId="77777777" w:rsidR="00761037" w:rsidRPr="00001E85" w:rsidRDefault="00761037" w:rsidP="005E450C">
            <w:pPr>
              <w:pStyle w:val="ListParagraph"/>
              <w:numPr>
                <w:ilvl w:val="0"/>
                <w:numId w:val="26"/>
              </w:numPr>
              <w:spacing w:before="0" w:after="0"/>
              <w:cnfStyle w:val="000000100000" w:firstRow="0" w:lastRow="0" w:firstColumn="0" w:lastColumn="0" w:oddVBand="0" w:evenVBand="0" w:oddHBand="1" w:evenHBand="0" w:firstRowFirstColumn="0" w:firstRowLastColumn="0" w:lastRowFirstColumn="0" w:lastRowLastColumn="0"/>
              <w:rPr>
                <w:color w:val="auto"/>
              </w:rPr>
            </w:pPr>
            <w:r w:rsidRPr="00001E85">
              <w:rPr>
                <w:color w:val="auto"/>
              </w:rPr>
              <w:t>Annual Statement and invoice is sent online to Company’s registered agent</w:t>
            </w:r>
          </w:p>
          <w:p w14:paraId="2AC4FF2E" w14:textId="77777777" w:rsidR="00761037" w:rsidRPr="00001E85" w:rsidRDefault="00761037" w:rsidP="005E450C">
            <w:pPr>
              <w:pStyle w:val="ListParagraph"/>
              <w:numPr>
                <w:ilvl w:val="0"/>
                <w:numId w:val="26"/>
              </w:numPr>
              <w:spacing w:before="0" w:after="0"/>
              <w:cnfStyle w:val="000000100000" w:firstRow="0" w:lastRow="0" w:firstColumn="0" w:lastColumn="0" w:oddVBand="0" w:evenVBand="0" w:oddHBand="1" w:evenHBand="0" w:firstRowFirstColumn="0" w:firstRowLastColumn="0" w:lastRowFirstColumn="0" w:lastRowLastColumn="0"/>
              <w:rPr>
                <w:color w:val="auto"/>
              </w:rPr>
            </w:pPr>
            <w:r w:rsidRPr="00001E85">
              <w:rPr>
                <w:color w:val="auto"/>
              </w:rPr>
              <w:t>Registered agent fails to download the statement and invoice and/or forward to it the Company</w:t>
            </w:r>
          </w:p>
          <w:p w14:paraId="627E5C74" w14:textId="77777777" w:rsidR="00761037" w:rsidRPr="00001E85" w:rsidRDefault="00761037" w:rsidP="005E450C">
            <w:pPr>
              <w:pStyle w:val="ListParagraph"/>
              <w:numPr>
                <w:ilvl w:val="0"/>
                <w:numId w:val="26"/>
              </w:numPr>
              <w:spacing w:before="0" w:after="0"/>
              <w:cnfStyle w:val="000000100000" w:firstRow="0" w:lastRow="0" w:firstColumn="0" w:lastColumn="0" w:oddVBand="0" w:evenVBand="0" w:oddHBand="1" w:evenHBand="0" w:firstRowFirstColumn="0" w:firstRowLastColumn="0" w:lastRowFirstColumn="0" w:lastRowLastColumn="0"/>
              <w:rPr>
                <w:color w:val="auto"/>
              </w:rPr>
            </w:pPr>
            <w:r w:rsidRPr="00001E85">
              <w:rPr>
                <w:color w:val="auto"/>
              </w:rPr>
              <w:t>Payment deadline passes and company incurs first late fee of $79, which is sent to registered agent</w:t>
            </w:r>
          </w:p>
          <w:p w14:paraId="24ADB8B1" w14:textId="5F240004" w:rsidR="00761037" w:rsidRPr="00001E85" w:rsidRDefault="00761037" w:rsidP="005E450C">
            <w:pPr>
              <w:pStyle w:val="ListParagraph"/>
              <w:numPr>
                <w:ilvl w:val="0"/>
                <w:numId w:val="26"/>
              </w:numPr>
              <w:spacing w:before="0" w:after="0"/>
              <w:cnfStyle w:val="000000100000" w:firstRow="0" w:lastRow="0" w:firstColumn="0" w:lastColumn="0" w:oddVBand="0" w:evenVBand="0" w:oddHBand="1" w:evenHBand="0" w:firstRowFirstColumn="0" w:firstRowLastColumn="0" w:lastRowFirstColumn="0" w:lastRowLastColumn="0"/>
              <w:rPr>
                <w:color w:val="auto"/>
              </w:rPr>
            </w:pPr>
            <w:r w:rsidRPr="00001E85">
              <w:rPr>
                <w:color w:val="auto"/>
              </w:rPr>
              <w:t>Registered agent forwards to invoice company</w:t>
            </w:r>
          </w:p>
          <w:p w14:paraId="37931D04" w14:textId="0321862E" w:rsidR="00761037" w:rsidRPr="00001E85" w:rsidRDefault="00761037" w:rsidP="005E450C">
            <w:pPr>
              <w:pStyle w:val="ListParagraph"/>
              <w:numPr>
                <w:ilvl w:val="0"/>
                <w:numId w:val="26"/>
              </w:numPr>
              <w:spacing w:before="0" w:after="0"/>
              <w:cnfStyle w:val="000000100000" w:firstRow="0" w:lastRow="0" w:firstColumn="0" w:lastColumn="0" w:oddVBand="0" w:evenVBand="0" w:oddHBand="1" w:evenHBand="0" w:firstRowFirstColumn="0" w:firstRowLastColumn="0" w:lastRowFirstColumn="0" w:lastRowLastColumn="0"/>
              <w:rPr>
                <w:color w:val="auto"/>
              </w:rPr>
            </w:pPr>
            <w:r w:rsidRPr="00001E85">
              <w:rPr>
                <w:color w:val="auto"/>
              </w:rPr>
              <w:t>Company first becomes aware of outstanding review and late payment fee when</w:t>
            </w:r>
            <w:r w:rsidR="007D1DEF">
              <w:rPr>
                <w:color w:val="auto"/>
              </w:rPr>
              <w:t xml:space="preserve"> it</w:t>
            </w:r>
            <w:r w:rsidRPr="00001E85">
              <w:rPr>
                <w:color w:val="auto"/>
              </w:rPr>
              <w:t xml:space="preserve"> receives invoices.</w:t>
            </w:r>
          </w:p>
          <w:p w14:paraId="21CCFD91" w14:textId="77777777" w:rsidR="00761037" w:rsidRPr="00001E85" w:rsidRDefault="00761037" w:rsidP="005E450C">
            <w:pPr>
              <w:pStyle w:val="ListParagraph"/>
              <w:ind w:left="360"/>
              <w:cnfStyle w:val="000000100000" w:firstRow="0" w:lastRow="0" w:firstColumn="0" w:lastColumn="0" w:oddVBand="0" w:evenVBand="0" w:oddHBand="1" w:evenHBand="0" w:firstRowFirstColumn="0" w:firstRowLastColumn="0" w:lastRowFirstColumn="0" w:lastRowLastColumn="0"/>
              <w:rPr>
                <w:color w:val="auto"/>
              </w:rPr>
            </w:pPr>
            <w:r w:rsidRPr="00001E85">
              <w:rPr>
                <w:color w:val="auto"/>
              </w:rPr>
              <w:t xml:space="preserve"> </w:t>
            </w:r>
          </w:p>
        </w:tc>
        <w:tc>
          <w:tcPr>
            <w:tcW w:w="3969" w:type="dxa"/>
          </w:tcPr>
          <w:p w14:paraId="502878B8" w14:textId="77777777" w:rsidR="00761037" w:rsidRPr="00001E85" w:rsidRDefault="00761037" w:rsidP="005E450C">
            <w:pPr>
              <w:pStyle w:val="ListParagraph"/>
              <w:numPr>
                <w:ilvl w:val="0"/>
                <w:numId w:val="26"/>
              </w:numPr>
              <w:spacing w:before="0" w:after="0"/>
              <w:cnfStyle w:val="000000100000" w:firstRow="0" w:lastRow="0" w:firstColumn="0" w:lastColumn="0" w:oddVBand="0" w:evenVBand="0" w:oddHBand="1" w:evenHBand="0" w:firstRowFirstColumn="0" w:firstRowLastColumn="0" w:lastRowFirstColumn="0" w:lastRowLastColumn="0"/>
              <w:rPr>
                <w:color w:val="auto"/>
              </w:rPr>
            </w:pPr>
            <w:r w:rsidRPr="00001E85">
              <w:rPr>
                <w:color w:val="auto"/>
              </w:rPr>
              <w:t xml:space="preserve">Enquiry to ASIC </w:t>
            </w:r>
          </w:p>
          <w:p w14:paraId="3BAC0AE7" w14:textId="77777777" w:rsidR="00761037" w:rsidRPr="00001E85" w:rsidRDefault="00761037" w:rsidP="005E450C">
            <w:pPr>
              <w:pStyle w:val="ListParagraph"/>
              <w:numPr>
                <w:ilvl w:val="0"/>
                <w:numId w:val="26"/>
              </w:numPr>
              <w:spacing w:before="0" w:after="0"/>
              <w:cnfStyle w:val="000000100000" w:firstRow="0" w:lastRow="0" w:firstColumn="0" w:lastColumn="0" w:oddVBand="0" w:evenVBand="0" w:oddHBand="1" w:evenHBand="0" w:firstRowFirstColumn="0" w:firstRowLastColumn="0" w:lastRowFirstColumn="0" w:lastRowLastColumn="0"/>
              <w:rPr>
                <w:color w:val="auto"/>
              </w:rPr>
            </w:pPr>
            <w:r w:rsidRPr="00001E85">
              <w:rPr>
                <w:color w:val="auto"/>
              </w:rPr>
              <w:t>Fee Waiver application lodged</w:t>
            </w:r>
          </w:p>
          <w:p w14:paraId="522B1483" w14:textId="77777777" w:rsidR="00761037" w:rsidRPr="00001E85" w:rsidRDefault="00761037" w:rsidP="005E450C">
            <w:pPr>
              <w:pStyle w:val="ListParagraph"/>
              <w:numPr>
                <w:ilvl w:val="0"/>
                <w:numId w:val="26"/>
              </w:numPr>
              <w:spacing w:before="0" w:after="0"/>
              <w:cnfStyle w:val="000000100000" w:firstRow="0" w:lastRow="0" w:firstColumn="0" w:lastColumn="0" w:oddVBand="0" w:evenVBand="0" w:oddHBand="1" w:evenHBand="0" w:firstRowFirstColumn="0" w:firstRowLastColumn="0" w:lastRowFirstColumn="0" w:lastRowLastColumn="0"/>
              <w:rPr>
                <w:color w:val="auto"/>
              </w:rPr>
            </w:pPr>
            <w:r w:rsidRPr="00001E85">
              <w:rPr>
                <w:color w:val="auto"/>
              </w:rPr>
              <w:t xml:space="preserve">Complaint lodged online with ASIC </w:t>
            </w:r>
          </w:p>
          <w:p w14:paraId="59BEC233" w14:textId="77777777" w:rsidR="00761037" w:rsidRPr="00001E85" w:rsidRDefault="00761037" w:rsidP="005E450C">
            <w:pPr>
              <w:pStyle w:val="ListParagraph"/>
              <w:numPr>
                <w:ilvl w:val="0"/>
                <w:numId w:val="26"/>
              </w:numPr>
              <w:spacing w:before="0" w:after="0"/>
              <w:cnfStyle w:val="000000100000" w:firstRow="0" w:lastRow="0" w:firstColumn="0" w:lastColumn="0" w:oddVBand="0" w:evenVBand="0" w:oddHBand="1" w:evenHBand="0" w:firstRowFirstColumn="0" w:firstRowLastColumn="0" w:lastRowFirstColumn="0" w:lastRowLastColumn="0"/>
              <w:rPr>
                <w:color w:val="auto"/>
              </w:rPr>
            </w:pPr>
            <w:r w:rsidRPr="00001E85">
              <w:rPr>
                <w:color w:val="auto"/>
              </w:rPr>
              <w:t>Complaint lodged with Commonwealth Ombudsman or local MP</w:t>
            </w:r>
          </w:p>
          <w:p w14:paraId="062D0BDA" w14:textId="77777777" w:rsidR="00761037" w:rsidRPr="00001E85" w:rsidRDefault="00761037" w:rsidP="005E450C">
            <w:pPr>
              <w:pStyle w:val="ListParagraph"/>
              <w:numPr>
                <w:ilvl w:val="0"/>
                <w:numId w:val="26"/>
              </w:numPr>
              <w:spacing w:before="0" w:after="0"/>
              <w:cnfStyle w:val="000000100000" w:firstRow="0" w:lastRow="0" w:firstColumn="0" w:lastColumn="0" w:oddVBand="0" w:evenVBand="0" w:oddHBand="1" w:evenHBand="0" w:firstRowFirstColumn="0" w:firstRowLastColumn="0" w:lastRowFirstColumn="0" w:lastRowLastColumn="0"/>
              <w:rPr>
                <w:color w:val="auto"/>
              </w:rPr>
            </w:pPr>
            <w:r w:rsidRPr="00001E85">
              <w:rPr>
                <w:color w:val="auto"/>
              </w:rPr>
              <w:t>Pays review fee but never pays late fee</w:t>
            </w:r>
          </w:p>
          <w:p w14:paraId="092C5E33" w14:textId="77777777" w:rsidR="00761037" w:rsidRPr="00001E85" w:rsidRDefault="00761037" w:rsidP="005E450C">
            <w:pPr>
              <w:cnfStyle w:val="000000100000" w:firstRow="0" w:lastRow="0" w:firstColumn="0" w:lastColumn="0" w:oddVBand="0" w:evenVBand="0" w:oddHBand="1" w:evenHBand="0" w:firstRowFirstColumn="0" w:firstRowLastColumn="0" w:lastRowFirstColumn="0" w:lastRowLastColumn="0"/>
              <w:rPr>
                <w:color w:val="auto"/>
              </w:rPr>
            </w:pPr>
          </w:p>
        </w:tc>
      </w:tr>
      <w:tr w:rsidR="00761037" w:rsidRPr="0044107F" w14:paraId="17B99BA8" w14:textId="77777777" w:rsidTr="00BF3C3E">
        <w:tc>
          <w:tcPr>
            <w:cnfStyle w:val="001000000000" w:firstRow="0" w:lastRow="0" w:firstColumn="1" w:lastColumn="0" w:oddVBand="0" w:evenVBand="0" w:oddHBand="0" w:evenHBand="0" w:firstRowFirstColumn="0" w:firstRowLastColumn="0" w:lastRowFirstColumn="0" w:lastRowLastColumn="0"/>
            <w:tcW w:w="1128" w:type="dxa"/>
            <w:vMerge/>
          </w:tcPr>
          <w:p w14:paraId="0E12FA29" w14:textId="77777777" w:rsidR="00761037" w:rsidRPr="0044107F" w:rsidRDefault="00761037" w:rsidP="005E450C"/>
        </w:tc>
        <w:tc>
          <w:tcPr>
            <w:tcW w:w="3545" w:type="dxa"/>
          </w:tcPr>
          <w:p w14:paraId="0913A162" w14:textId="77777777" w:rsidR="00761037" w:rsidRPr="00001E85" w:rsidRDefault="00761037" w:rsidP="005E450C">
            <w:pPr>
              <w:cnfStyle w:val="000000000000" w:firstRow="0" w:lastRow="0" w:firstColumn="0" w:lastColumn="0" w:oddVBand="0" w:evenVBand="0" w:oddHBand="0" w:evenHBand="0" w:firstRowFirstColumn="0" w:firstRowLastColumn="0" w:lastRowFirstColumn="0" w:lastRowLastColumn="0"/>
              <w:rPr>
                <w:b/>
                <w:color w:val="auto"/>
              </w:rPr>
            </w:pPr>
            <w:r w:rsidRPr="00001E85">
              <w:rPr>
                <w:b/>
                <w:color w:val="auto"/>
              </w:rPr>
              <w:t>Late Lodgement Fee:</w:t>
            </w:r>
          </w:p>
          <w:p w14:paraId="5122DFB4" w14:textId="77777777" w:rsidR="00761037" w:rsidRPr="00001E85" w:rsidRDefault="00761037" w:rsidP="005E450C">
            <w:pPr>
              <w:pStyle w:val="ListParagraph"/>
              <w:numPr>
                <w:ilvl w:val="0"/>
                <w:numId w:val="27"/>
              </w:numPr>
              <w:spacing w:before="0" w:after="0"/>
              <w:cnfStyle w:val="000000000000" w:firstRow="0" w:lastRow="0" w:firstColumn="0" w:lastColumn="0" w:oddVBand="0" w:evenVBand="0" w:oddHBand="0" w:evenHBand="0" w:firstRowFirstColumn="0" w:firstRowLastColumn="0" w:lastRowFirstColumn="0" w:lastRowLastColumn="0"/>
              <w:rPr>
                <w:color w:val="auto"/>
              </w:rPr>
            </w:pPr>
            <w:r w:rsidRPr="00001E85">
              <w:rPr>
                <w:color w:val="auto"/>
              </w:rPr>
              <w:t>Change of company details notified less than one month late - $79</w:t>
            </w:r>
          </w:p>
          <w:p w14:paraId="41ECD196" w14:textId="77777777" w:rsidR="00761037" w:rsidRPr="00001E85" w:rsidRDefault="00761037" w:rsidP="005E450C">
            <w:pPr>
              <w:pStyle w:val="ListParagraph"/>
              <w:numPr>
                <w:ilvl w:val="0"/>
                <w:numId w:val="27"/>
              </w:numPr>
              <w:spacing w:before="0" w:after="0"/>
              <w:cnfStyle w:val="000000000000" w:firstRow="0" w:lastRow="0" w:firstColumn="0" w:lastColumn="0" w:oddVBand="0" w:evenVBand="0" w:oddHBand="0" w:evenHBand="0" w:firstRowFirstColumn="0" w:firstRowLastColumn="0" w:lastRowFirstColumn="0" w:lastRowLastColumn="0"/>
              <w:rPr>
                <w:color w:val="auto"/>
              </w:rPr>
            </w:pPr>
            <w:r w:rsidRPr="00001E85">
              <w:rPr>
                <w:color w:val="auto"/>
              </w:rPr>
              <w:t>Change to company details notified more than one month late - $329</w:t>
            </w:r>
          </w:p>
          <w:p w14:paraId="35312F20" w14:textId="77777777" w:rsidR="00761037" w:rsidRPr="00001E85" w:rsidRDefault="00761037" w:rsidP="005E450C">
            <w:pPr>
              <w:cnfStyle w:val="000000000000" w:firstRow="0" w:lastRow="0" w:firstColumn="0" w:lastColumn="0" w:oddVBand="0" w:evenVBand="0" w:oddHBand="0" w:evenHBand="0" w:firstRowFirstColumn="0" w:firstRowLastColumn="0" w:lastRowFirstColumn="0" w:lastRowLastColumn="0"/>
              <w:rPr>
                <w:color w:val="auto"/>
              </w:rPr>
            </w:pPr>
          </w:p>
        </w:tc>
        <w:tc>
          <w:tcPr>
            <w:tcW w:w="5641" w:type="dxa"/>
          </w:tcPr>
          <w:p w14:paraId="3AE9AAFA" w14:textId="38253554" w:rsidR="00761037" w:rsidRPr="00001E85" w:rsidRDefault="00761037" w:rsidP="005E450C">
            <w:pPr>
              <w:pStyle w:val="ListParagraph"/>
              <w:numPr>
                <w:ilvl w:val="0"/>
                <w:numId w:val="26"/>
              </w:numPr>
              <w:spacing w:before="0" w:after="0"/>
              <w:cnfStyle w:val="000000000000" w:firstRow="0" w:lastRow="0" w:firstColumn="0" w:lastColumn="0" w:oddVBand="0" w:evenVBand="0" w:oddHBand="0" w:evenHBand="0" w:firstRowFirstColumn="0" w:firstRowLastColumn="0" w:lastRowFirstColumn="0" w:lastRowLastColumn="0"/>
              <w:rPr>
                <w:color w:val="auto"/>
              </w:rPr>
            </w:pPr>
            <w:r w:rsidRPr="00001E85">
              <w:rPr>
                <w:color w:val="auto"/>
              </w:rPr>
              <w:t>Company has appointed a new director and wants to notify ASIC but does not have online account with ASIC (can only notify in paper in exceptional circumstances)</w:t>
            </w:r>
          </w:p>
          <w:p w14:paraId="3151162F" w14:textId="51D71E2A" w:rsidR="00761037" w:rsidRPr="00001E85" w:rsidRDefault="00761037" w:rsidP="005E450C">
            <w:pPr>
              <w:pStyle w:val="ListParagraph"/>
              <w:numPr>
                <w:ilvl w:val="0"/>
                <w:numId w:val="26"/>
              </w:numPr>
              <w:spacing w:before="0" w:after="0"/>
              <w:cnfStyle w:val="000000000000" w:firstRow="0" w:lastRow="0" w:firstColumn="0" w:lastColumn="0" w:oddVBand="0" w:evenVBand="0" w:oddHBand="0" w:evenHBand="0" w:firstRowFirstColumn="0" w:firstRowLastColumn="0" w:lastRowFirstColumn="0" w:lastRowLastColumn="0"/>
              <w:rPr>
                <w:color w:val="auto"/>
              </w:rPr>
            </w:pPr>
            <w:r w:rsidRPr="00001E85">
              <w:rPr>
                <w:color w:val="auto"/>
              </w:rPr>
              <w:t xml:space="preserve">Officeholder attempts to set up an online account but does not have the Company’s </w:t>
            </w:r>
            <w:r w:rsidR="007D1DEF">
              <w:rPr>
                <w:color w:val="auto"/>
              </w:rPr>
              <w:t>C</w:t>
            </w:r>
            <w:r w:rsidRPr="00001E85">
              <w:rPr>
                <w:color w:val="auto"/>
              </w:rPr>
              <w:t xml:space="preserve">orporate </w:t>
            </w:r>
            <w:r w:rsidR="007D1DEF">
              <w:rPr>
                <w:color w:val="auto"/>
              </w:rPr>
              <w:t>K</w:t>
            </w:r>
            <w:r w:rsidRPr="00001E85">
              <w:rPr>
                <w:color w:val="auto"/>
              </w:rPr>
              <w:t>ey to do so</w:t>
            </w:r>
          </w:p>
          <w:p w14:paraId="0ECCC8FE" w14:textId="77777777" w:rsidR="00761037" w:rsidRPr="00001E85" w:rsidRDefault="00761037" w:rsidP="005E450C">
            <w:pPr>
              <w:pStyle w:val="ListParagraph"/>
              <w:numPr>
                <w:ilvl w:val="0"/>
                <w:numId w:val="26"/>
              </w:numPr>
              <w:spacing w:before="0" w:after="0"/>
              <w:cnfStyle w:val="000000000000" w:firstRow="0" w:lastRow="0" w:firstColumn="0" w:lastColumn="0" w:oddVBand="0" w:evenVBand="0" w:oddHBand="0" w:evenHBand="0" w:firstRowFirstColumn="0" w:firstRowLastColumn="0" w:lastRowFirstColumn="0" w:lastRowLastColumn="0"/>
              <w:rPr>
                <w:color w:val="auto"/>
              </w:rPr>
            </w:pPr>
            <w:r w:rsidRPr="00001E85">
              <w:rPr>
                <w:color w:val="auto"/>
              </w:rPr>
              <w:t>Calls ASIC to get a corporate key but, for security purposes, it is only sent in paper to an address on record for the company</w:t>
            </w:r>
          </w:p>
          <w:p w14:paraId="6147696D" w14:textId="77777777" w:rsidR="00761037" w:rsidRPr="00001E85" w:rsidRDefault="00761037" w:rsidP="005E450C">
            <w:pPr>
              <w:pStyle w:val="ListParagraph"/>
              <w:numPr>
                <w:ilvl w:val="0"/>
                <w:numId w:val="26"/>
              </w:numPr>
              <w:spacing w:before="0" w:after="0"/>
              <w:cnfStyle w:val="000000000000" w:firstRow="0" w:lastRow="0" w:firstColumn="0" w:lastColumn="0" w:oddVBand="0" w:evenVBand="0" w:oddHBand="0" w:evenHBand="0" w:firstRowFirstColumn="0" w:firstRowLastColumn="0" w:lastRowFirstColumn="0" w:lastRowLastColumn="0"/>
              <w:rPr>
                <w:color w:val="auto"/>
              </w:rPr>
            </w:pPr>
            <w:r w:rsidRPr="00001E85">
              <w:rPr>
                <w:color w:val="auto"/>
              </w:rPr>
              <w:t xml:space="preserve">Corporate Key is received in mail 10 days later </w:t>
            </w:r>
          </w:p>
          <w:p w14:paraId="0BA45A6F" w14:textId="3F139E4C" w:rsidR="00761037" w:rsidRPr="00001E85" w:rsidRDefault="00761037" w:rsidP="005E450C">
            <w:pPr>
              <w:pStyle w:val="ListParagraph"/>
              <w:numPr>
                <w:ilvl w:val="0"/>
                <w:numId w:val="26"/>
              </w:numPr>
              <w:spacing w:before="0" w:after="0"/>
              <w:cnfStyle w:val="000000000000" w:firstRow="0" w:lastRow="0" w:firstColumn="0" w:lastColumn="0" w:oddVBand="0" w:evenVBand="0" w:oddHBand="0" w:evenHBand="0" w:firstRowFirstColumn="0" w:firstRowLastColumn="0" w:lastRowFirstColumn="0" w:lastRowLastColumn="0"/>
              <w:rPr>
                <w:color w:val="auto"/>
              </w:rPr>
            </w:pPr>
            <w:r w:rsidRPr="00001E85">
              <w:rPr>
                <w:color w:val="auto"/>
              </w:rPr>
              <w:t xml:space="preserve">Officeholder again attempts to set up an online account with </w:t>
            </w:r>
            <w:r w:rsidR="007D1DEF">
              <w:rPr>
                <w:color w:val="auto"/>
              </w:rPr>
              <w:t>C</w:t>
            </w:r>
            <w:r w:rsidRPr="00001E85">
              <w:rPr>
                <w:color w:val="auto"/>
              </w:rPr>
              <w:t xml:space="preserve">orporate </w:t>
            </w:r>
            <w:r w:rsidR="007D1DEF">
              <w:rPr>
                <w:color w:val="auto"/>
              </w:rPr>
              <w:t>K</w:t>
            </w:r>
            <w:r w:rsidRPr="00001E85">
              <w:rPr>
                <w:color w:val="auto"/>
              </w:rPr>
              <w:t>ey, but experiences system issues</w:t>
            </w:r>
          </w:p>
          <w:p w14:paraId="3B2E1404" w14:textId="77777777" w:rsidR="00761037" w:rsidRPr="00001E85" w:rsidRDefault="00761037" w:rsidP="005E450C">
            <w:pPr>
              <w:pStyle w:val="ListParagraph"/>
              <w:numPr>
                <w:ilvl w:val="0"/>
                <w:numId w:val="26"/>
              </w:numPr>
              <w:spacing w:before="0" w:after="0"/>
              <w:cnfStyle w:val="000000000000" w:firstRow="0" w:lastRow="0" w:firstColumn="0" w:lastColumn="0" w:oddVBand="0" w:evenVBand="0" w:oddHBand="0" w:evenHBand="0" w:firstRowFirstColumn="0" w:firstRowLastColumn="0" w:lastRowFirstColumn="0" w:lastRowLastColumn="0"/>
              <w:rPr>
                <w:color w:val="auto"/>
              </w:rPr>
            </w:pPr>
            <w:r w:rsidRPr="00001E85">
              <w:rPr>
                <w:color w:val="auto"/>
              </w:rPr>
              <w:lastRenderedPageBreak/>
              <w:t>Calls ASIC and is advised to change browser</w:t>
            </w:r>
          </w:p>
          <w:p w14:paraId="71C2A010" w14:textId="77777777" w:rsidR="00761037" w:rsidRPr="00001E85" w:rsidRDefault="00761037" w:rsidP="005E450C">
            <w:pPr>
              <w:pStyle w:val="ListParagraph"/>
              <w:numPr>
                <w:ilvl w:val="0"/>
                <w:numId w:val="26"/>
              </w:numPr>
              <w:spacing w:before="0" w:after="0"/>
              <w:cnfStyle w:val="000000000000" w:firstRow="0" w:lastRow="0" w:firstColumn="0" w:lastColumn="0" w:oddVBand="0" w:evenVBand="0" w:oddHBand="0" w:evenHBand="0" w:firstRowFirstColumn="0" w:firstRowLastColumn="0" w:lastRowFirstColumn="0" w:lastRowLastColumn="0"/>
              <w:rPr>
                <w:color w:val="auto"/>
              </w:rPr>
            </w:pPr>
            <w:r w:rsidRPr="00001E85">
              <w:rPr>
                <w:color w:val="auto"/>
              </w:rPr>
              <w:t>Officeholder lodges change to company details online but is now 5 days late and incurs $79 late fee for failing to lodge within 28 days from date of change.</w:t>
            </w:r>
          </w:p>
        </w:tc>
        <w:tc>
          <w:tcPr>
            <w:tcW w:w="3969" w:type="dxa"/>
          </w:tcPr>
          <w:p w14:paraId="52837202" w14:textId="77777777" w:rsidR="00761037" w:rsidRPr="00001E85" w:rsidRDefault="00761037" w:rsidP="005E450C">
            <w:pPr>
              <w:cnfStyle w:val="000000000000" w:firstRow="0" w:lastRow="0" w:firstColumn="0" w:lastColumn="0" w:oddVBand="0" w:evenVBand="0" w:oddHBand="0" w:evenHBand="0" w:firstRowFirstColumn="0" w:firstRowLastColumn="0" w:lastRowFirstColumn="0" w:lastRowLastColumn="0"/>
              <w:rPr>
                <w:color w:val="auto"/>
              </w:rPr>
            </w:pPr>
            <w:r w:rsidRPr="00001E85">
              <w:rPr>
                <w:color w:val="auto"/>
              </w:rPr>
              <w:lastRenderedPageBreak/>
              <w:t xml:space="preserve">As above </w:t>
            </w:r>
          </w:p>
        </w:tc>
      </w:tr>
      <w:tr w:rsidR="00761037" w:rsidRPr="0044107F" w14:paraId="5B903C4B" w14:textId="77777777" w:rsidTr="00BF3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8" w:type="dxa"/>
            <w:vMerge w:val="restart"/>
            <w:shd w:val="clear" w:color="auto" w:fill="auto"/>
          </w:tcPr>
          <w:p w14:paraId="46954935" w14:textId="77777777" w:rsidR="00761037" w:rsidRPr="00FA7613" w:rsidRDefault="00761037" w:rsidP="005E450C">
            <w:pPr>
              <w:jc w:val="center"/>
            </w:pPr>
            <w:r w:rsidRPr="00FA7613">
              <w:lastRenderedPageBreak/>
              <w:t>More complex fees</w:t>
            </w:r>
          </w:p>
          <w:p w14:paraId="6826538A" w14:textId="77777777" w:rsidR="00761037" w:rsidRPr="0044107F" w:rsidRDefault="00761037" w:rsidP="00001E85">
            <w:pPr>
              <w:jc w:val="center"/>
            </w:pPr>
          </w:p>
        </w:tc>
        <w:tc>
          <w:tcPr>
            <w:tcW w:w="3545" w:type="dxa"/>
          </w:tcPr>
          <w:p w14:paraId="215FB472" w14:textId="77777777" w:rsidR="00761037" w:rsidRPr="00001E85" w:rsidRDefault="00761037" w:rsidP="005E450C">
            <w:pPr>
              <w:cnfStyle w:val="000000100000" w:firstRow="0" w:lastRow="0" w:firstColumn="0" w:lastColumn="0" w:oddVBand="0" w:evenVBand="0" w:oddHBand="1" w:evenHBand="0" w:firstRowFirstColumn="0" w:firstRowLastColumn="0" w:lastRowFirstColumn="0" w:lastRowLastColumn="0"/>
              <w:rPr>
                <w:b/>
                <w:color w:val="auto"/>
              </w:rPr>
            </w:pPr>
            <w:r w:rsidRPr="00001E85">
              <w:rPr>
                <w:b/>
                <w:color w:val="auto"/>
              </w:rPr>
              <w:t>Late review fee</w:t>
            </w:r>
          </w:p>
          <w:p w14:paraId="6F9A2EAF" w14:textId="77777777" w:rsidR="00761037" w:rsidRPr="00001E85" w:rsidRDefault="00761037" w:rsidP="005E450C">
            <w:pPr>
              <w:pStyle w:val="ListParagraph"/>
              <w:numPr>
                <w:ilvl w:val="0"/>
                <w:numId w:val="27"/>
              </w:numPr>
              <w:spacing w:before="0" w:after="0"/>
              <w:cnfStyle w:val="000000100000" w:firstRow="0" w:lastRow="0" w:firstColumn="0" w:lastColumn="0" w:oddVBand="0" w:evenVBand="0" w:oddHBand="1" w:evenHBand="0" w:firstRowFirstColumn="0" w:firstRowLastColumn="0" w:lastRowFirstColumn="0" w:lastRowLastColumn="0"/>
              <w:rPr>
                <w:color w:val="auto"/>
              </w:rPr>
            </w:pPr>
            <w:r w:rsidRPr="00001E85">
              <w:rPr>
                <w:color w:val="auto"/>
              </w:rPr>
              <w:t>Failure to notify a change with received less than one month late - $79</w:t>
            </w:r>
          </w:p>
          <w:p w14:paraId="08FDF566" w14:textId="77777777" w:rsidR="00761037" w:rsidRPr="00001E85" w:rsidRDefault="00761037" w:rsidP="005E450C">
            <w:pPr>
              <w:pStyle w:val="ListParagraph"/>
              <w:numPr>
                <w:ilvl w:val="0"/>
                <w:numId w:val="27"/>
              </w:numPr>
              <w:spacing w:before="0" w:after="0"/>
              <w:cnfStyle w:val="000000100000" w:firstRow="0" w:lastRow="0" w:firstColumn="0" w:lastColumn="0" w:oddVBand="0" w:evenVBand="0" w:oddHBand="1" w:evenHBand="0" w:firstRowFirstColumn="0" w:firstRowLastColumn="0" w:lastRowFirstColumn="0" w:lastRowLastColumn="0"/>
              <w:rPr>
                <w:color w:val="auto"/>
              </w:rPr>
            </w:pPr>
            <w:r w:rsidRPr="00001E85">
              <w:rPr>
                <w:color w:val="auto"/>
              </w:rPr>
              <w:t>Annual review fee received more than one month late - $329</w:t>
            </w:r>
          </w:p>
          <w:p w14:paraId="11BC0D45" w14:textId="77777777" w:rsidR="00761037" w:rsidRPr="00001E85" w:rsidRDefault="00761037" w:rsidP="005E450C">
            <w:pPr>
              <w:cnfStyle w:val="000000100000" w:firstRow="0" w:lastRow="0" w:firstColumn="0" w:lastColumn="0" w:oddVBand="0" w:evenVBand="0" w:oddHBand="1" w:evenHBand="0" w:firstRowFirstColumn="0" w:firstRowLastColumn="0" w:lastRowFirstColumn="0" w:lastRowLastColumn="0"/>
              <w:rPr>
                <w:color w:val="auto"/>
              </w:rPr>
            </w:pPr>
          </w:p>
          <w:p w14:paraId="7655C0EB" w14:textId="77777777" w:rsidR="00761037" w:rsidRPr="00001E85" w:rsidRDefault="00761037" w:rsidP="005E450C">
            <w:pPr>
              <w:cnfStyle w:val="000000100000" w:firstRow="0" w:lastRow="0" w:firstColumn="0" w:lastColumn="0" w:oddVBand="0" w:evenVBand="0" w:oddHBand="1" w:evenHBand="0" w:firstRowFirstColumn="0" w:firstRowLastColumn="0" w:lastRowFirstColumn="0" w:lastRowLastColumn="0"/>
              <w:rPr>
                <w:color w:val="auto"/>
              </w:rPr>
            </w:pPr>
          </w:p>
        </w:tc>
        <w:tc>
          <w:tcPr>
            <w:tcW w:w="5641" w:type="dxa"/>
          </w:tcPr>
          <w:p w14:paraId="52D6E1B2" w14:textId="77777777" w:rsidR="00761037" w:rsidRPr="00001E85" w:rsidRDefault="00761037" w:rsidP="005E450C">
            <w:pPr>
              <w:pStyle w:val="ListParagraph"/>
              <w:numPr>
                <w:ilvl w:val="0"/>
                <w:numId w:val="26"/>
              </w:numPr>
              <w:spacing w:before="0" w:after="0"/>
              <w:cnfStyle w:val="000000100000" w:firstRow="0" w:lastRow="0" w:firstColumn="0" w:lastColumn="0" w:oddVBand="0" w:evenVBand="0" w:oddHBand="1" w:evenHBand="0" w:firstRowFirstColumn="0" w:firstRowLastColumn="0" w:lastRowFirstColumn="0" w:lastRowLastColumn="0"/>
              <w:rPr>
                <w:color w:val="auto"/>
              </w:rPr>
            </w:pPr>
            <w:r w:rsidRPr="00001E85">
              <w:rPr>
                <w:color w:val="auto"/>
              </w:rPr>
              <w:t>Company’s annual review date occurs on 1 February 2018</w:t>
            </w:r>
          </w:p>
          <w:p w14:paraId="189D39EA" w14:textId="77777777" w:rsidR="00761037" w:rsidRPr="00001E85" w:rsidRDefault="00761037" w:rsidP="005E450C">
            <w:pPr>
              <w:pStyle w:val="ListParagraph"/>
              <w:numPr>
                <w:ilvl w:val="0"/>
                <w:numId w:val="26"/>
              </w:numPr>
              <w:spacing w:before="0" w:after="0"/>
              <w:cnfStyle w:val="000000100000" w:firstRow="0" w:lastRow="0" w:firstColumn="0" w:lastColumn="0" w:oddVBand="0" w:evenVBand="0" w:oddHBand="1" w:evenHBand="0" w:firstRowFirstColumn="0" w:firstRowLastColumn="0" w:lastRowFirstColumn="0" w:lastRowLastColumn="0"/>
              <w:rPr>
                <w:color w:val="auto"/>
              </w:rPr>
            </w:pPr>
            <w:r w:rsidRPr="00001E85">
              <w:rPr>
                <w:color w:val="auto"/>
              </w:rPr>
              <w:t xml:space="preserve">A new agent is appointed for Company on 1 April 2018. </w:t>
            </w:r>
          </w:p>
          <w:p w14:paraId="62C38E16" w14:textId="77777777" w:rsidR="00761037" w:rsidRPr="00001E85" w:rsidRDefault="00761037" w:rsidP="005E450C">
            <w:pPr>
              <w:pStyle w:val="ListParagraph"/>
              <w:numPr>
                <w:ilvl w:val="0"/>
                <w:numId w:val="26"/>
              </w:numPr>
              <w:spacing w:before="0" w:after="0"/>
              <w:cnfStyle w:val="000000100000" w:firstRow="0" w:lastRow="0" w:firstColumn="0" w:lastColumn="0" w:oddVBand="0" w:evenVBand="0" w:oddHBand="1" w:evenHBand="0" w:firstRowFirstColumn="0" w:firstRowLastColumn="0" w:lastRowFirstColumn="0" w:lastRowLastColumn="0"/>
              <w:rPr>
                <w:color w:val="auto"/>
              </w:rPr>
            </w:pPr>
            <w:r w:rsidRPr="00001E85">
              <w:rPr>
                <w:color w:val="auto"/>
              </w:rPr>
              <w:t>New agent undertakes a data download and discovers old agent failed to update ASIC as register reflects very old officeholders</w:t>
            </w:r>
          </w:p>
          <w:p w14:paraId="032ED828" w14:textId="77777777" w:rsidR="00761037" w:rsidRPr="00001E85" w:rsidRDefault="00761037" w:rsidP="005E450C">
            <w:pPr>
              <w:pStyle w:val="ListParagraph"/>
              <w:numPr>
                <w:ilvl w:val="0"/>
                <w:numId w:val="26"/>
              </w:numPr>
              <w:spacing w:before="0" w:after="0"/>
              <w:cnfStyle w:val="000000100000" w:firstRow="0" w:lastRow="0" w:firstColumn="0" w:lastColumn="0" w:oddVBand="0" w:evenVBand="0" w:oddHBand="1" w:evenHBand="0" w:firstRowFirstColumn="0" w:firstRowLastColumn="0" w:lastRowFirstColumn="0" w:lastRowLastColumn="0"/>
              <w:rPr>
                <w:color w:val="auto"/>
              </w:rPr>
            </w:pPr>
            <w:r w:rsidRPr="00001E85">
              <w:rPr>
                <w:color w:val="auto"/>
              </w:rPr>
              <w:t xml:space="preserve">New agent notifies </w:t>
            </w:r>
            <w:r w:rsidR="008A6926">
              <w:rPr>
                <w:color w:val="auto"/>
              </w:rPr>
              <w:t xml:space="preserve">ASIC of new officeholder, with </w:t>
            </w:r>
            <w:r w:rsidRPr="00001E85">
              <w:rPr>
                <w:color w:val="auto"/>
              </w:rPr>
              <w:t>effective date of change, 1 June 2016</w:t>
            </w:r>
          </w:p>
          <w:p w14:paraId="37273B2B" w14:textId="77777777" w:rsidR="00761037" w:rsidRPr="00001E85" w:rsidRDefault="00761037" w:rsidP="005E450C">
            <w:pPr>
              <w:pStyle w:val="ListParagraph"/>
              <w:numPr>
                <w:ilvl w:val="0"/>
                <w:numId w:val="26"/>
              </w:numPr>
              <w:spacing w:before="0" w:after="0"/>
              <w:cnfStyle w:val="000000100000" w:firstRow="0" w:lastRow="0" w:firstColumn="0" w:lastColumn="0" w:oddVBand="0" w:evenVBand="0" w:oddHBand="1" w:evenHBand="0" w:firstRowFirstColumn="0" w:firstRowLastColumn="0" w:lastRowFirstColumn="0" w:lastRowLastColumn="0"/>
              <w:rPr>
                <w:color w:val="auto"/>
              </w:rPr>
            </w:pPr>
            <w:r w:rsidRPr="00001E85">
              <w:rPr>
                <w:color w:val="auto"/>
              </w:rPr>
              <w:t>Company incurs late fees:</w:t>
            </w:r>
          </w:p>
          <w:p w14:paraId="7715A2C8" w14:textId="77777777" w:rsidR="00761037" w:rsidRPr="00001E85" w:rsidRDefault="00761037" w:rsidP="005E450C">
            <w:pPr>
              <w:pStyle w:val="ListParagraph"/>
              <w:numPr>
                <w:ilvl w:val="1"/>
                <w:numId w:val="26"/>
              </w:numPr>
              <w:spacing w:before="0" w:after="0"/>
              <w:cnfStyle w:val="000000100000" w:firstRow="0" w:lastRow="0" w:firstColumn="0" w:lastColumn="0" w:oddVBand="0" w:evenVBand="0" w:oddHBand="1" w:evenHBand="0" w:firstRowFirstColumn="0" w:firstRowLastColumn="0" w:lastRowFirstColumn="0" w:lastRowLastColumn="0"/>
              <w:rPr>
                <w:color w:val="auto"/>
              </w:rPr>
            </w:pPr>
            <w:r w:rsidRPr="00001E85">
              <w:rPr>
                <w:color w:val="auto"/>
              </w:rPr>
              <w:t xml:space="preserve"> $329 late lodgement fee, plus</w:t>
            </w:r>
          </w:p>
          <w:p w14:paraId="1412D269" w14:textId="77777777" w:rsidR="00761037" w:rsidRPr="00001E85" w:rsidRDefault="00761037" w:rsidP="005E450C">
            <w:pPr>
              <w:pStyle w:val="ListParagraph"/>
              <w:numPr>
                <w:ilvl w:val="1"/>
                <w:numId w:val="26"/>
              </w:numPr>
              <w:spacing w:before="0" w:after="0"/>
              <w:cnfStyle w:val="000000100000" w:firstRow="0" w:lastRow="0" w:firstColumn="0" w:lastColumn="0" w:oddVBand="0" w:evenVBand="0" w:oddHBand="1" w:evenHBand="0" w:firstRowFirstColumn="0" w:firstRowLastColumn="0" w:lastRowFirstColumn="0" w:lastRowLastColumn="0"/>
              <w:rPr>
                <w:color w:val="auto"/>
              </w:rPr>
            </w:pPr>
            <w:r w:rsidRPr="00001E85">
              <w:rPr>
                <w:color w:val="auto"/>
              </w:rPr>
              <w:t xml:space="preserve"> $658 </w:t>
            </w:r>
            <w:r w:rsidR="00001E85">
              <w:rPr>
                <w:color w:val="auto"/>
              </w:rPr>
              <w:t>late review fee (2017 and 2018)</w:t>
            </w:r>
          </w:p>
        </w:tc>
        <w:tc>
          <w:tcPr>
            <w:tcW w:w="3969" w:type="dxa"/>
          </w:tcPr>
          <w:p w14:paraId="311ED472" w14:textId="77777777" w:rsidR="00761037" w:rsidRPr="00001E85" w:rsidRDefault="00761037" w:rsidP="005E450C">
            <w:pPr>
              <w:pStyle w:val="ListParagraph"/>
              <w:numPr>
                <w:ilvl w:val="0"/>
                <w:numId w:val="26"/>
              </w:numPr>
              <w:spacing w:before="0" w:after="0"/>
              <w:cnfStyle w:val="000000100000" w:firstRow="0" w:lastRow="0" w:firstColumn="0" w:lastColumn="0" w:oddVBand="0" w:evenVBand="0" w:oddHBand="1" w:evenHBand="0" w:firstRowFirstColumn="0" w:firstRowLastColumn="0" w:lastRowFirstColumn="0" w:lastRowLastColumn="0"/>
              <w:rPr>
                <w:color w:val="auto"/>
              </w:rPr>
            </w:pPr>
            <w:r w:rsidRPr="00001E85">
              <w:rPr>
                <w:color w:val="auto"/>
              </w:rPr>
              <w:t>As above</w:t>
            </w:r>
          </w:p>
          <w:p w14:paraId="06C8EC24" w14:textId="77777777" w:rsidR="00761037" w:rsidRPr="00001E85" w:rsidRDefault="00761037" w:rsidP="005E450C">
            <w:pPr>
              <w:pStyle w:val="ListParagraph"/>
              <w:numPr>
                <w:ilvl w:val="0"/>
                <w:numId w:val="26"/>
              </w:numPr>
              <w:spacing w:before="0" w:after="0"/>
              <w:cnfStyle w:val="000000100000" w:firstRow="0" w:lastRow="0" w:firstColumn="0" w:lastColumn="0" w:oddVBand="0" w:evenVBand="0" w:oddHBand="1" w:evenHBand="0" w:firstRowFirstColumn="0" w:firstRowLastColumn="0" w:lastRowFirstColumn="0" w:lastRowLastColumn="0"/>
              <w:rPr>
                <w:color w:val="auto"/>
              </w:rPr>
            </w:pPr>
            <w:r w:rsidRPr="00001E85">
              <w:rPr>
                <w:color w:val="auto"/>
              </w:rPr>
              <w:t xml:space="preserve">Lodge a form to amend date of change </w:t>
            </w:r>
          </w:p>
          <w:p w14:paraId="6517C292" w14:textId="77777777" w:rsidR="00761037" w:rsidRPr="00001E85" w:rsidRDefault="00761037" w:rsidP="005E450C">
            <w:pPr>
              <w:pStyle w:val="ListParagraph"/>
              <w:numPr>
                <w:ilvl w:val="0"/>
                <w:numId w:val="26"/>
              </w:numPr>
              <w:spacing w:before="0" w:after="0"/>
              <w:cnfStyle w:val="000000100000" w:firstRow="0" w:lastRow="0" w:firstColumn="0" w:lastColumn="0" w:oddVBand="0" w:evenVBand="0" w:oddHBand="1" w:evenHBand="0" w:firstRowFirstColumn="0" w:firstRowLastColumn="0" w:lastRowFirstColumn="0" w:lastRowLastColumn="0"/>
              <w:rPr>
                <w:color w:val="auto"/>
              </w:rPr>
            </w:pPr>
            <w:r w:rsidRPr="00001E85">
              <w:rPr>
                <w:color w:val="auto"/>
              </w:rPr>
              <w:t>To avoid incurring late fees altogether, enter an incorrect change date when notifying ASIC so that it appears the change occurred within 28 days</w:t>
            </w:r>
          </w:p>
        </w:tc>
      </w:tr>
      <w:tr w:rsidR="00761037" w:rsidRPr="0044107F" w14:paraId="46263F31" w14:textId="77777777" w:rsidTr="00BF3C3E">
        <w:tc>
          <w:tcPr>
            <w:cnfStyle w:val="001000000000" w:firstRow="0" w:lastRow="0" w:firstColumn="1" w:lastColumn="0" w:oddVBand="0" w:evenVBand="0" w:oddHBand="0" w:evenHBand="0" w:firstRowFirstColumn="0" w:firstRowLastColumn="0" w:lastRowFirstColumn="0" w:lastRowLastColumn="0"/>
            <w:tcW w:w="1128" w:type="dxa"/>
            <w:vMerge/>
            <w:shd w:val="clear" w:color="auto" w:fill="auto"/>
          </w:tcPr>
          <w:p w14:paraId="4766009B" w14:textId="77777777" w:rsidR="00761037" w:rsidRPr="0044107F" w:rsidRDefault="00761037" w:rsidP="005E450C"/>
        </w:tc>
        <w:tc>
          <w:tcPr>
            <w:tcW w:w="3545" w:type="dxa"/>
          </w:tcPr>
          <w:p w14:paraId="2F3221B6" w14:textId="6EAC8FBD" w:rsidR="00761037" w:rsidRPr="00001E85" w:rsidRDefault="00761037" w:rsidP="005E450C">
            <w:pPr>
              <w:cnfStyle w:val="000000000000" w:firstRow="0" w:lastRow="0" w:firstColumn="0" w:lastColumn="0" w:oddVBand="0" w:evenVBand="0" w:oddHBand="0" w:evenHBand="0" w:firstRowFirstColumn="0" w:firstRowLastColumn="0" w:lastRowFirstColumn="0" w:lastRowLastColumn="0"/>
              <w:rPr>
                <w:b/>
                <w:color w:val="auto"/>
              </w:rPr>
            </w:pPr>
            <w:r w:rsidRPr="00001E85">
              <w:rPr>
                <w:b/>
                <w:color w:val="auto"/>
              </w:rPr>
              <w:t>Application to voluntar</w:t>
            </w:r>
            <w:r w:rsidR="00B748F3">
              <w:rPr>
                <w:b/>
                <w:color w:val="auto"/>
              </w:rPr>
              <w:t>ily</w:t>
            </w:r>
            <w:r w:rsidRPr="00001E85">
              <w:rPr>
                <w:b/>
                <w:color w:val="auto"/>
              </w:rPr>
              <w:t xml:space="preserve"> deregister a company–$40.</w:t>
            </w:r>
          </w:p>
          <w:p w14:paraId="31441012" w14:textId="77777777" w:rsidR="00761037" w:rsidRPr="00001E85" w:rsidRDefault="00761037" w:rsidP="005E450C">
            <w:pPr>
              <w:cnfStyle w:val="000000000000" w:firstRow="0" w:lastRow="0" w:firstColumn="0" w:lastColumn="0" w:oddVBand="0" w:evenVBand="0" w:oddHBand="0" w:evenHBand="0" w:firstRowFirstColumn="0" w:firstRowLastColumn="0" w:lastRowFirstColumn="0" w:lastRowLastColumn="0"/>
              <w:rPr>
                <w:color w:val="auto"/>
              </w:rPr>
            </w:pPr>
            <w:r w:rsidRPr="00001E85">
              <w:rPr>
                <w:color w:val="auto"/>
              </w:rPr>
              <w:t>When a company lodges an application to voluntarily deregister, once approved, a notice is published on ASIC’s website of the intended deregistration. If the notice is published before the review fee is due, a compan</w:t>
            </w:r>
            <w:r w:rsidR="008A6926">
              <w:rPr>
                <w:color w:val="auto"/>
              </w:rPr>
              <w:t>y does not have to pay the fee.</w:t>
            </w:r>
            <w:r w:rsidRPr="00001E85">
              <w:rPr>
                <w:color w:val="auto"/>
              </w:rPr>
              <w:t xml:space="preserve"> For example: if a company's annual review fee is due on 1 June and the notice is published on 30 May, the review fee does not need to be paid.</w:t>
            </w:r>
          </w:p>
        </w:tc>
        <w:tc>
          <w:tcPr>
            <w:tcW w:w="5641" w:type="dxa"/>
          </w:tcPr>
          <w:p w14:paraId="1B294AEC" w14:textId="4229D2A5" w:rsidR="00761037" w:rsidRPr="00001E85" w:rsidRDefault="00761037" w:rsidP="005E450C">
            <w:pPr>
              <w:pStyle w:val="ListParagraph"/>
              <w:numPr>
                <w:ilvl w:val="0"/>
                <w:numId w:val="28"/>
              </w:numPr>
              <w:spacing w:before="0" w:after="0"/>
              <w:cnfStyle w:val="000000000000" w:firstRow="0" w:lastRow="0" w:firstColumn="0" w:lastColumn="0" w:oddVBand="0" w:evenVBand="0" w:oddHBand="0" w:evenHBand="0" w:firstRowFirstColumn="0" w:firstRowLastColumn="0" w:lastRowFirstColumn="0" w:lastRowLastColumn="0"/>
              <w:rPr>
                <w:color w:val="auto"/>
              </w:rPr>
            </w:pPr>
            <w:r w:rsidRPr="00001E85">
              <w:rPr>
                <w:color w:val="auto"/>
              </w:rPr>
              <w:t xml:space="preserve">Company posts a Form 6010 online </w:t>
            </w:r>
            <w:r w:rsidRPr="00001E85">
              <w:rPr>
                <w:i/>
                <w:color w:val="auto"/>
              </w:rPr>
              <w:t>(application to voluntary deregister a company)</w:t>
            </w:r>
            <w:r w:rsidRPr="00001E85">
              <w:rPr>
                <w:color w:val="auto"/>
              </w:rPr>
              <w:t xml:space="preserve"> to ASIC on </w:t>
            </w:r>
            <w:r w:rsidR="007D1DEF">
              <w:rPr>
                <w:color w:val="auto"/>
              </w:rPr>
              <w:t xml:space="preserve">                     </w:t>
            </w:r>
            <w:r w:rsidRPr="00001E85">
              <w:rPr>
                <w:color w:val="auto"/>
              </w:rPr>
              <w:t>1 March 2018</w:t>
            </w:r>
          </w:p>
          <w:p w14:paraId="1A2C050C" w14:textId="77777777" w:rsidR="00761037" w:rsidRPr="00001E85" w:rsidRDefault="00761037" w:rsidP="005E450C">
            <w:pPr>
              <w:pStyle w:val="ListParagraph"/>
              <w:numPr>
                <w:ilvl w:val="0"/>
                <w:numId w:val="28"/>
              </w:numPr>
              <w:spacing w:before="0" w:after="0"/>
              <w:cnfStyle w:val="000000000000" w:firstRow="0" w:lastRow="0" w:firstColumn="0" w:lastColumn="0" w:oddVBand="0" w:evenVBand="0" w:oddHBand="0" w:evenHBand="0" w:firstRowFirstColumn="0" w:firstRowLastColumn="0" w:lastRowFirstColumn="0" w:lastRowLastColumn="0"/>
              <w:rPr>
                <w:color w:val="auto"/>
              </w:rPr>
            </w:pPr>
            <w:r w:rsidRPr="00001E85">
              <w:rPr>
                <w:color w:val="auto"/>
              </w:rPr>
              <w:t>ASIC receives Form 6010 on 8 March 2018</w:t>
            </w:r>
          </w:p>
          <w:p w14:paraId="25CA5183" w14:textId="77777777" w:rsidR="00761037" w:rsidRPr="00001E85" w:rsidRDefault="00761037" w:rsidP="005E450C">
            <w:pPr>
              <w:pStyle w:val="ListParagraph"/>
              <w:numPr>
                <w:ilvl w:val="0"/>
                <w:numId w:val="28"/>
              </w:numPr>
              <w:spacing w:before="0" w:after="0"/>
              <w:cnfStyle w:val="000000000000" w:firstRow="0" w:lastRow="0" w:firstColumn="0" w:lastColumn="0" w:oddVBand="0" w:evenVBand="0" w:oddHBand="0" w:evenHBand="0" w:firstRowFirstColumn="0" w:firstRowLastColumn="0" w:lastRowFirstColumn="0" w:lastRowLastColumn="0"/>
              <w:rPr>
                <w:color w:val="auto"/>
              </w:rPr>
            </w:pPr>
            <w:r w:rsidRPr="00001E85">
              <w:rPr>
                <w:color w:val="auto"/>
              </w:rPr>
              <w:t>Company’s annual review date is 10 March 2018</w:t>
            </w:r>
          </w:p>
          <w:p w14:paraId="5DA5D240" w14:textId="77777777" w:rsidR="00761037" w:rsidRPr="00001E85" w:rsidRDefault="00761037" w:rsidP="005E450C">
            <w:pPr>
              <w:pStyle w:val="ListParagraph"/>
              <w:numPr>
                <w:ilvl w:val="0"/>
                <w:numId w:val="28"/>
              </w:numPr>
              <w:spacing w:before="0" w:after="0"/>
              <w:cnfStyle w:val="000000000000" w:firstRow="0" w:lastRow="0" w:firstColumn="0" w:lastColumn="0" w:oddVBand="0" w:evenVBand="0" w:oddHBand="0" w:evenHBand="0" w:firstRowFirstColumn="0" w:firstRowLastColumn="0" w:lastRowFirstColumn="0" w:lastRowLastColumn="0"/>
              <w:rPr>
                <w:color w:val="auto"/>
              </w:rPr>
            </w:pPr>
            <w:r w:rsidRPr="00001E85">
              <w:rPr>
                <w:color w:val="auto"/>
              </w:rPr>
              <w:t xml:space="preserve">Form is processed on 11 March 2018 but is refused as Company’s annual </w:t>
            </w:r>
            <w:r w:rsidR="008A6926">
              <w:rPr>
                <w:color w:val="auto"/>
              </w:rPr>
              <w:t xml:space="preserve">review fee is due and payable. </w:t>
            </w:r>
          </w:p>
          <w:p w14:paraId="3D7FBBEA" w14:textId="6D134676" w:rsidR="00761037" w:rsidRPr="00001E85" w:rsidRDefault="00761037" w:rsidP="005E450C">
            <w:pPr>
              <w:pStyle w:val="ListParagraph"/>
              <w:numPr>
                <w:ilvl w:val="0"/>
                <w:numId w:val="28"/>
              </w:numPr>
              <w:spacing w:before="0" w:after="0"/>
              <w:cnfStyle w:val="000000000000" w:firstRow="0" w:lastRow="0" w:firstColumn="0" w:lastColumn="0" w:oddVBand="0" w:evenVBand="0" w:oddHBand="0" w:evenHBand="0" w:firstRowFirstColumn="0" w:firstRowLastColumn="0" w:lastRowFirstColumn="0" w:lastRowLastColumn="0"/>
              <w:rPr>
                <w:color w:val="auto"/>
              </w:rPr>
            </w:pPr>
            <w:r w:rsidRPr="00001E85">
              <w:rPr>
                <w:color w:val="auto"/>
              </w:rPr>
              <w:t xml:space="preserve">A refusal notice is sent to the </w:t>
            </w:r>
            <w:r w:rsidR="007D1DEF">
              <w:rPr>
                <w:color w:val="auto"/>
              </w:rPr>
              <w:t>c</w:t>
            </w:r>
            <w:r w:rsidRPr="00001E85">
              <w:rPr>
                <w:color w:val="auto"/>
              </w:rPr>
              <w:t>ompany, advising that the company has outstanding fees.</w:t>
            </w:r>
          </w:p>
        </w:tc>
        <w:tc>
          <w:tcPr>
            <w:tcW w:w="3969" w:type="dxa"/>
          </w:tcPr>
          <w:p w14:paraId="6858D19A" w14:textId="77777777" w:rsidR="00761037" w:rsidRPr="00001E85" w:rsidRDefault="00761037" w:rsidP="005E450C">
            <w:pPr>
              <w:pStyle w:val="ListParagraph"/>
              <w:numPr>
                <w:ilvl w:val="0"/>
                <w:numId w:val="28"/>
              </w:numPr>
              <w:spacing w:before="0" w:after="0"/>
              <w:cnfStyle w:val="000000000000" w:firstRow="0" w:lastRow="0" w:firstColumn="0" w:lastColumn="0" w:oddVBand="0" w:evenVBand="0" w:oddHBand="0" w:evenHBand="0" w:firstRowFirstColumn="0" w:firstRowLastColumn="0" w:lastRowFirstColumn="0" w:lastRowLastColumn="0"/>
              <w:rPr>
                <w:color w:val="auto"/>
              </w:rPr>
            </w:pPr>
            <w:r w:rsidRPr="00001E85">
              <w:rPr>
                <w:color w:val="auto"/>
              </w:rPr>
              <w:t>Company pays the 2018 review fee, lodges another Form 6010 with $40 application fee.</w:t>
            </w:r>
          </w:p>
          <w:p w14:paraId="326DF9BB" w14:textId="77777777" w:rsidR="00761037" w:rsidRPr="00001E85" w:rsidRDefault="00761037" w:rsidP="005E450C">
            <w:pPr>
              <w:pStyle w:val="ListParagraph"/>
              <w:numPr>
                <w:ilvl w:val="0"/>
                <w:numId w:val="28"/>
              </w:numPr>
              <w:spacing w:before="0" w:after="0"/>
              <w:cnfStyle w:val="000000000000" w:firstRow="0" w:lastRow="0" w:firstColumn="0" w:lastColumn="0" w:oddVBand="0" w:evenVBand="0" w:oddHBand="0" w:evenHBand="0" w:firstRowFirstColumn="0" w:firstRowLastColumn="0" w:lastRowFirstColumn="0" w:lastRowLastColumn="0"/>
              <w:rPr>
                <w:color w:val="auto"/>
              </w:rPr>
            </w:pPr>
            <w:r w:rsidRPr="00001E85">
              <w:rPr>
                <w:color w:val="auto"/>
              </w:rPr>
              <w:t xml:space="preserve">Enquiry to ASIC </w:t>
            </w:r>
          </w:p>
          <w:p w14:paraId="40124D48" w14:textId="77777777" w:rsidR="00761037" w:rsidRPr="00001E85" w:rsidRDefault="00761037" w:rsidP="005E450C">
            <w:pPr>
              <w:pStyle w:val="ListParagraph"/>
              <w:numPr>
                <w:ilvl w:val="0"/>
                <w:numId w:val="28"/>
              </w:numPr>
              <w:spacing w:before="0" w:after="0"/>
              <w:cnfStyle w:val="000000000000" w:firstRow="0" w:lastRow="0" w:firstColumn="0" w:lastColumn="0" w:oddVBand="0" w:evenVBand="0" w:oddHBand="0" w:evenHBand="0" w:firstRowFirstColumn="0" w:firstRowLastColumn="0" w:lastRowFirstColumn="0" w:lastRowLastColumn="0"/>
              <w:rPr>
                <w:color w:val="auto"/>
              </w:rPr>
            </w:pPr>
            <w:r w:rsidRPr="00001E85">
              <w:rPr>
                <w:color w:val="auto"/>
              </w:rPr>
              <w:t xml:space="preserve">Fee waiver application lodged </w:t>
            </w:r>
          </w:p>
          <w:p w14:paraId="192B8E89" w14:textId="77777777" w:rsidR="00761037" w:rsidRPr="00001E85" w:rsidRDefault="00761037" w:rsidP="005E450C">
            <w:pPr>
              <w:pStyle w:val="ListParagraph"/>
              <w:numPr>
                <w:ilvl w:val="0"/>
                <w:numId w:val="28"/>
              </w:numPr>
              <w:spacing w:before="0" w:after="0"/>
              <w:cnfStyle w:val="000000000000" w:firstRow="0" w:lastRow="0" w:firstColumn="0" w:lastColumn="0" w:oddVBand="0" w:evenVBand="0" w:oddHBand="0" w:evenHBand="0" w:firstRowFirstColumn="0" w:firstRowLastColumn="0" w:lastRowFirstColumn="0" w:lastRowLastColumn="0"/>
              <w:rPr>
                <w:color w:val="auto"/>
              </w:rPr>
            </w:pPr>
            <w:r w:rsidRPr="00001E85">
              <w:rPr>
                <w:color w:val="auto"/>
              </w:rPr>
              <w:t>Complaint to ASIC</w:t>
            </w:r>
            <w:r w:rsidRPr="00001E85">
              <w:rPr>
                <w:rFonts w:ascii="Times New Roman" w:hAnsi="Times New Roman"/>
                <w:color w:val="auto"/>
                <w:sz w:val="26"/>
                <w:szCs w:val="26"/>
              </w:rPr>
              <w:t xml:space="preserve"> </w:t>
            </w:r>
          </w:p>
          <w:p w14:paraId="3707ED45" w14:textId="66787816" w:rsidR="00761037" w:rsidRPr="00001E85" w:rsidRDefault="00761037" w:rsidP="005E450C">
            <w:pPr>
              <w:pStyle w:val="ListParagraph"/>
              <w:numPr>
                <w:ilvl w:val="0"/>
                <w:numId w:val="28"/>
              </w:numPr>
              <w:spacing w:before="0" w:after="0"/>
              <w:cnfStyle w:val="000000000000" w:firstRow="0" w:lastRow="0" w:firstColumn="0" w:lastColumn="0" w:oddVBand="0" w:evenVBand="0" w:oddHBand="0" w:evenHBand="0" w:firstRowFirstColumn="0" w:firstRowLastColumn="0" w:lastRowFirstColumn="0" w:lastRowLastColumn="0"/>
              <w:rPr>
                <w:color w:val="auto"/>
              </w:rPr>
            </w:pPr>
            <w:r w:rsidRPr="00001E85">
              <w:rPr>
                <w:color w:val="auto"/>
              </w:rPr>
              <w:t xml:space="preserve">Does nothing – ASIC will initiate action to deregister the company for failure to pay the review fee in full </w:t>
            </w:r>
            <w:r w:rsidR="007D1DEF">
              <w:rPr>
                <w:color w:val="auto"/>
              </w:rPr>
              <w:t xml:space="preserve">  </w:t>
            </w:r>
            <w:r w:rsidRPr="00001E85">
              <w:rPr>
                <w:color w:val="auto"/>
              </w:rPr>
              <w:t xml:space="preserve">12 months after the due date (s601AB of the </w:t>
            </w:r>
            <w:r w:rsidRPr="00393762">
              <w:rPr>
                <w:i/>
              </w:rPr>
              <w:t>Corporations Act</w:t>
            </w:r>
            <w:r w:rsidR="007D1DEF">
              <w:rPr>
                <w:color w:val="auto"/>
              </w:rPr>
              <w:t xml:space="preserve"> 2001</w:t>
            </w:r>
            <w:r w:rsidRPr="00001E85">
              <w:rPr>
                <w:color w:val="auto"/>
              </w:rPr>
              <w:t>)</w:t>
            </w:r>
          </w:p>
        </w:tc>
      </w:tr>
    </w:tbl>
    <w:p w14:paraId="44530D72" w14:textId="77777777" w:rsidR="00761037" w:rsidRPr="0044107F" w:rsidRDefault="00761037" w:rsidP="00761037"/>
    <w:p w14:paraId="4137B5AA" w14:textId="77777777" w:rsidR="00761037" w:rsidRDefault="00761037" w:rsidP="00761037">
      <w:pPr>
        <w:pStyle w:val="Bullet"/>
        <w:numPr>
          <w:ilvl w:val="0"/>
          <w:numId w:val="0"/>
        </w:numPr>
        <w:ind w:left="566" w:hanging="283"/>
        <w:sectPr w:rsidR="00761037" w:rsidSect="00761037">
          <w:pgSz w:w="16838" w:h="11906" w:orient="landscape"/>
          <w:pgMar w:top="1440" w:right="1440" w:bottom="1440" w:left="1440" w:header="708" w:footer="708" w:gutter="0"/>
          <w:cols w:space="708"/>
          <w:docGrid w:linePitch="360"/>
        </w:sectPr>
      </w:pPr>
    </w:p>
    <w:p w14:paraId="11412024" w14:textId="77777777" w:rsidR="00761037" w:rsidRDefault="00761037" w:rsidP="00761037">
      <w:pPr>
        <w:pStyle w:val="Heading1"/>
      </w:pPr>
      <w:bookmarkStart w:id="34" w:name="_Toc530493311"/>
      <w:bookmarkStart w:id="35" w:name="_Toc527020402"/>
      <w:r w:rsidRPr="0044107F">
        <w:lastRenderedPageBreak/>
        <w:t xml:space="preserve">Attachment </w:t>
      </w:r>
      <w:r>
        <w:t>C</w:t>
      </w:r>
      <w:bookmarkEnd w:id="34"/>
    </w:p>
    <w:p w14:paraId="0A7AAF57" w14:textId="77777777" w:rsidR="00761037" w:rsidRPr="0044107F" w:rsidRDefault="00761037" w:rsidP="00761037">
      <w:pPr>
        <w:pStyle w:val="Heading2"/>
      </w:pPr>
      <w:bookmarkStart w:id="36" w:name="_Toc530493312"/>
      <w:r w:rsidRPr="0044107F">
        <w:t xml:space="preserve">ASIC Search </w:t>
      </w:r>
      <w:r>
        <w:t>Fee S</w:t>
      </w:r>
      <w:r w:rsidRPr="0044107F">
        <w:t>chedule</w:t>
      </w:r>
      <w:bookmarkEnd w:id="36"/>
    </w:p>
    <w:p w14:paraId="1FA5612B" w14:textId="2242CF0A" w:rsidR="00761037" w:rsidRPr="0044107F" w:rsidRDefault="00761037" w:rsidP="00761037">
      <w:r w:rsidRPr="0044107F">
        <w:t xml:space="preserve">Search fees are charged by ASIC to show the cost of accessing the Registry. ASIC is legally obliged under the </w:t>
      </w:r>
      <w:r w:rsidRPr="00393762">
        <w:rPr>
          <w:i/>
        </w:rPr>
        <w:t>Corporations Act</w:t>
      </w:r>
      <w:r w:rsidRPr="0044107F">
        <w:t xml:space="preserve"> </w:t>
      </w:r>
      <w:r w:rsidR="007D1DEF">
        <w:t>2001</w:t>
      </w:r>
      <w:r w:rsidRPr="0044107F">
        <w:t>to charge fees for some products. The list of products below shows the fee applied for each.</w:t>
      </w:r>
    </w:p>
    <w:p w14:paraId="268D69D1" w14:textId="77777777" w:rsidR="00761037" w:rsidRPr="00D20371" w:rsidRDefault="00761037" w:rsidP="00226CCA">
      <w:pPr>
        <w:spacing w:before="240"/>
        <w:rPr>
          <w:rStyle w:val="SubtleEmphasis"/>
        </w:rPr>
      </w:pPr>
      <w:bookmarkStart w:id="37" w:name="companyandorg"/>
      <w:bookmarkEnd w:id="37"/>
      <w:r w:rsidRPr="00D20371">
        <w:rPr>
          <w:rStyle w:val="SubtleEmphasis"/>
        </w:rPr>
        <w:t>Company and Organisation searches</w:t>
      </w:r>
    </w:p>
    <w:tbl>
      <w:tblPr>
        <w:tblStyle w:val="LightShading-Accent1"/>
        <w:tblW w:w="5000" w:type="pct"/>
        <w:tblLook w:val="04A0" w:firstRow="1" w:lastRow="0" w:firstColumn="1" w:lastColumn="0" w:noHBand="0" w:noVBand="1"/>
      </w:tblPr>
      <w:tblGrid>
        <w:gridCol w:w="5546"/>
        <w:gridCol w:w="1848"/>
        <w:gridCol w:w="1848"/>
      </w:tblGrid>
      <w:tr w:rsidR="00001E85" w:rsidRPr="00001E85" w14:paraId="4E901B1D" w14:textId="77777777" w:rsidTr="00001E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3" w:type="pct"/>
            <w:hideMark/>
          </w:tcPr>
          <w:p w14:paraId="1A213D70" w14:textId="77777777" w:rsidR="00761037" w:rsidRPr="00001E85" w:rsidRDefault="00761037" w:rsidP="005E450C">
            <w:pPr>
              <w:rPr>
                <w:color w:val="4F81BD" w:themeColor="accent1"/>
              </w:rPr>
            </w:pPr>
            <w:r w:rsidRPr="00001E85">
              <w:rPr>
                <w:noProof/>
                <w:color w:val="4F81BD" w:themeColor="accent1"/>
              </w:rPr>
              <mc:AlternateContent>
                <mc:Choice Requires="wps">
                  <w:drawing>
                    <wp:inline distT="0" distB="0" distL="0" distR="0" wp14:anchorId="6DC88A1B" wp14:editId="41672FBC">
                      <wp:extent cx="9525" cy="9525"/>
                      <wp:effectExtent l="0" t="0" r="0" b="0"/>
                      <wp:docPr id="12" name="AutoShape 13" descr="https://asic.gov.au/online-services/search-asics-registers/search-fe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3" o:spid="_x0000_s1026" alt="https://asic.gov.au/online-services/search-asics-registers/search-fees/"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" filled="f" stroked="f">
                      <o:lock v:ext="edit" aspectratio="t"/>
                      <w10:anchorlock/>
                    </v:rect>
                  </w:pict>
                </mc:Fallback>
              </mc:AlternateContent>
            </w:r>
            <w:r w:rsidRPr="00001E85">
              <w:rPr>
                <w:color w:val="4F81BD" w:themeColor="accent1"/>
              </w:rPr>
              <w:t>Product</w:t>
            </w:r>
          </w:p>
        </w:tc>
        <w:tc>
          <w:tcPr>
            <w:tcW w:w="1000" w:type="pct"/>
            <w:hideMark/>
          </w:tcPr>
          <w:p w14:paraId="083EA23F" w14:textId="77777777" w:rsidR="00761037" w:rsidRPr="00001E85" w:rsidRDefault="00761037" w:rsidP="005E450C">
            <w:pPr>
              <w:jc w:val="center"/>
              <w:cnfStyle w:val="100000000000" w:firstRow="1" w:lastRow="0" w:firstColumn="0" w:lastColumn="0" w:oddVBand="0" w:evenVBand="0" w:oddHBand="0" w:evenHBand="0" w:firstRowFirstColumn="0" w:firstRowLastColumn="0" w:lastRowFirstColumn="0" w:lastRowLastColumn="0"/>
              <w:rPr>
                <w:color w:val="4F81BD" w:themeColor="accent1"/>
              </w:rPr>
            </w:pPr>
            <w:r w:rsidRPr="00001E85">
              <w:rPr>
                <w:color w:val="4F81BD" w:themeColor="accent1"/>
              </w:rPr>
              <w:t> Price online</w:t>
            </w:r>
          </w:p>
        </w:tc>
        <w:tc>
          <w:tcPr>
            <w:tcW w:w="1000" w:type="pct"/>
            <w:hideMark/>
          </w:tcPr>
          <w:p w14:paraId="65E2F2F9" w14:textId="77777777" w:rsidR="00761037" w:rsidRPr="00001E85" w:rsidRDefault="00761037" w:rsidP="005E450C">
            <w:pPr>
              <w:jc w:val="center"/>
              <w:cnfStyle w:val="100000000000" w:firstRow="1" w:lastRow="0" w:firstColumn="0" w:lastColumn="0" w:oddVBand="0" w:evenVBand="0" w:oddHBand="0" w:evenHBand="0" w:firstRowFirstColumn="0" w:firstRowLastColumn="0" w:lastRowFirstColumn="0" w:lastRowLastColumn="0"/>
              <w:rPr>
                <w:color w:val="4F81BD" w:themeColor="accent1"/>
              </w:rPr>
            </w:pPr>
            <w:r w:rsidRPr="00001E85">
              <w:rPr>
                <w:color w:val="4F81BD" w:themeColor="accent1"/>
              </w:rPr>
              <w:t>Price by mail</w:t>
            </w:r>
          </w:p>
        </w:tc>
      </w:tr>
      <w:tr w:rsidR="00001E85" w:rsidRPr="00001E85" w14:paraId="66CC0352" w14:textId="77777777" w:rsidTr="00001E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3" w:type="pct"/>
            <w:hideMark/>
          </w:tcPr>
          <w:p w14:paraId="096D0D84" w14:textId="77777777" w:rsidR="00761037" w:rsidRPr="00001E85" w:rsidRDefault="00761037" w:rsidP="00226CCA">
            <w:pPr>
              <w:spacing w:after="60"/>
              <w:rPr>
                <w:b w:val="0"/>
                <w:color w:val="auto"/>
              </w:rPr>
            </w:pPr>
            <w:r w:rsidRPr="00001E85">
              <w:rPr>
                <w:b w:val="0"/>
                <w:color w:val="auto"/>
              </w:rPr>
              <w:t>Current company extract</w:t>
            </w:r>
          </w:p>
        </w:tc>
        <w:tc>
          <w:tcPr>
            <w:tcW w:w="1000" w:type="pct"/>
            <w:hideMark/>
          </w:tcPr>
          <w:p w14:paraId="37AC3C99" w14:textId="77777777" w:rsidR="00761037" w:rsidRPr="00001E85" w:rsidRDefault="00761037" w:rsidP="00226CCA">
            <w:pPr>
              <w:spacing w:after="60"/>
              <w:jc w:val="center"/>
              <w:cnfStyle w:val="000000100000" w:firstRow="0" w:lastRow="0" w:firstColumn="0" w:lastColumn="0" w:oddVBand="0" w:evenVBand="0" w:oddHBand="1" w:evenHBand="0" w:firstRowFirstColumn="0" w:firstRowLastColumn="0" w:lastRowFirstColumn="0" w:lastRowLastColumn="0"/>
              <w:rPr>
                <w:color w:val="auto"/>
              </w:rPr>
            </w:pPr>
            <w:r w:rsidRPr="00001E85">
              <w:rPr>
                <w:color w:val="auto"/>
              </w:rPr>
              <w:t>$9 </w:t>
            </w:r>
          </w:p>
        </w:tc>
        <w:tc>
          <w:tcPr>
            <w:tcW w:w="1000" w:type="pct"/>
            <w:hideMark/>
          </w:tcPr>
          <w:p w14:paraId="659D8389" w14:textId="77777777" w:rsidR="00761037" w:rsidRPr="00001E85" w:rsidRDefault="00761037" w:rsidP="00226CCA">
            <w:pPr>
              <w:spacing w:after="60"/>
              <w:jc w:val="center"/>
              <w:cnfStyle w:val="000000100000" w:firstRow="0" w:lastRow="0" w:firstColumn="0" w:lastColumn="0" w:oddVBand="0" w:evenVBand="0" w:oddHBand="1" w:evenHBand="0" w:firstRowFirstColumn="0" w:firstRowLastColumn="0" w:lastRowFirstColumn="0" w:lastRowLastColumn="0"/>
              <w:rPr>
                <w:color w:val="auto"/>
              </w:rPr>
            </w:pPr>
            <w:r w:rsidRPr="00001E85">
              <w:rPr>
                <w:color w:val="auto"/>
              </w:rPr>
              <w:t>$12</w:t>
            </w:r>
          </w:p>
        </w:tc>
      </w:tr>
      <w:tr w:rsidR="00001E85" w:rsidRPr="00001E85" w14:paraId="533957D3" w14:textId="77777777" w:rsidTr="00001E85">
        <w:tc>
          <w:tcPr>
            <w:cnfStyle w:val="001000000000" w:firstRow="0" w:lastRow="0" w:firstColumn="1" w:lastColumn="0" w:oddVBand="0" w:evenVBand="0" w:oddHBand="0" w:evenHBand="0" w:firstRowFirstColumn="0" w:firstRowLastColumn="0" w:lastRowFirstColumn="0" w:lastRowLastColumn="0"/>
            <w:tcW w:w="2913" w:type="pct"/>
            <w:hideMark/>
          </w:tcPr>
          <w:p w14:paraId="3BA857DA" w14:textId="77777777" w:rsidR="00761037" w:rsidRPr="00001E85" w:rsidRDefault="00761037" w:rsidP="00226CCA">
            <w:pPr>
              <w:spacing w:after="60"/>
              <w:rPr>
                <w:b w:val="0"/>
                <w:color w:val="auto"/>
              </w:rPr>
            </w:pPr>
            <w:r w:rsidRPr="00001E85">
              <w:rPr>
                <w:b w:val="0"/>
                <w:color w:val="auto"/>
              </w:rPr>
              <w:t>Current and historical company extract</w:t>
            </w:r>
          </w:p>
        </w:tc>
        <w:tc>
          <w:tcPr>
            <w:tcW w:w="1000" w:type="pct"/>
            <w:hideMark/>
          </w:tcPr>
          <w:p w14:paraId="443F11B9" w14:textId="77777777" w:rsidR="00761037" w:rsidRPr="00001E85" w:rsidRDefault="00761037" w:rsidP="00226CCA">
            <w:pPr>
              <w:spacing w:after="60"/>
              <w:jc w:val="center"/>
              <w:cnfStyle w:val="000000000000" w:firstRow="0" w:lastRow="0" w:firstColumn="0" w:lastColumn="0" w:oddVBand="0" w:evenVBand="0" w:oddHBand="0" w:evenHBand="0" w:firstRowFirstColumn="0" w:firstRowLastColumn="0" w:lastRowFirstColumn="0" w:lastRowLastColumn="0"/>
              <w:rPr>
                <w:color w:val="auto"/>
              </w:rPr>
            </w:pPr>
            <w:r w:rsidRPr="00001E85">
              <w:rPr>
                <w:color w:val="auto"/>
              </w:rPr>
              <w:t> $17</w:t>
            </w:r>
          </w:p>
        </w:tc>
        <w:tc>
          <w:tcPr>
            <w:tcW w:w="1000" w:type="pct"/>
            <w:hideMark/>
          </w:tcPr>
          <w:p w14:paraId="4297C3A5" w14:textId="77777777" w:rsidR="00761037" w:rsidRPr="00001E85" w:rsidRDefault="00761037" w:rsidP="00226CCA">
            <w:pPr>
              <w:spacing w:after="60"/>
              <w:jc w:val="center"/>
              <w:cnfStyle w:val="000000000000" w:firstRow="0" w:lastRow="0" w:firstColumn="0" w:lastColumn="0" w:oddVBand="0" w:evenVBand="0" w:oddHBand="0" w:evenHBand="0" w:firstRowFirstColumn="0" w:firstRowLastColumn="0" w:lastRowFirstColumn="0" w:lastRowLastColumn="0"/>
              <w:rPr>
                <w:color w:val="auto"/>
              </w:rPr>
            </w:pPr>
            <w:r w:rsidRPr="00001E85">
              <w:rPr>
                <w:color w:val="auto"/>
              </w:rPr>
              <w:t>$20</w:t>
            </w:r>
          </w:p>
        </w:tc>
      </w:tr>
      <w:tr w:rsidR="00001E85" w:rsidRPr="00001E85" w14:paraId="1C361BA0" w14:textId="77777777" w:rsidTr="00001E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3" w:type="pct"/>
            <w:hideMark/>
          </w:tcPr>
          <w:p w14:paraId="59EB0D0C" w14:textId="77777777" w:rsidR="00761037" w:rsidRPr="00001E85" w:rsidRDefault="00761037" w:rsidP="00226CCA">
            <w:pPr>
              <w:spacing w:after="60"/>
              <w:rPr>
                <w:b w:val="0"/>
                <w:color w:val="auto"/>
              </w:rPr>
            </w:pPr>
            <w:r w:rsidRPr="00001E85">
              <w:rPr>
                <w:b w:val="0"/>
                <w:color w:val="auto"/>
              </w:rPr>
              <w:t>Roles and relationship extract</w:t>
            </w:r>
          </w:p>
        </w:tc>
        <w:tc>
          <w:tcPr>
            <w:tcW w:w="1000" w:type="pct"/>
            <w:hideMark/>
          </w:tcPr>
          <w:p w14:paraId="29606592" w14:textId="77777777" w:rsidR="00761037" w:rsidRPr="00001E85" w:rsidRDefault="00761037" w:rsidP="00226CCA">
            <w:pPr>
              <w:spacing w:after="60"/>
              <w:jc w:val="center"/>
              <w:cnfStyle w:val="000000100000" w:firstRow="0" w:lastRow="0" w:firstColumn="0" w:lastColumn="0" w:oddVBand="0" w:evenVBand="0" w:oddHBand="1" w:evenHBand="0" w:firstRowFirstColumn="0" w:firstRowLastColumn="0" w:lastRowFirstColumn="0" w:lastRowLastColumn="0"/>
              <w:rPr>
                <w:color w:val="auto"/>
              </w:rPr>
            </w:pPr>
            <w:r w:rsidRPr="00001E85">
              <w:rPr>
                <w:color w:val="auto"/>
              </w:rPr>
              <w:t> $40</w:t>
            </w:r>
          </w:p>
        </w:tc>
        <w:tc>
          <w:tcPr>
            <w:tcW w:w="1000" w:type="pct"/>
            <w:hideMark/>
          </w:tcPr>
          <w:p w14:paraId="72254E34" w14:textId="77777777" w:rsidR="00761037" w:rsidRPr="00001E85" w:rsidRDefault="00761037" w:rsidP="00226CCA">
            <w:pPr>
              <w:spacing w:after="60"/>
              <w:jc w:val="center"/>
              <w:cnfStyle w:val="000000100000" w:firstRow="0" w:lastRow="0" w:firstColumn="0" w:lastColumn="0" w:oddVBand="0" w:evenVBand="0" w:oddHBand="1" w:evenHBand="0" w:firstRowFirstColumn="0" w:firstRowLastColumn="0" w:lastRowFirstColumn="0" w:lastRowLastColumn="0"/>
              <w:rPr>
                <w:color w:val="auto"/>
              </w:rPr>
            </w:pPr>
            <w:r w:rsidRPr="00001E85">
              <w:rPr>
                <w:color w:val="auto"/>
              </w:rPr>
              <w:t>$43</w:t>
            </w:r>
          </w:p>
        </w:tc>
      </w:tr>
      <w:tr w:rsidR="00001E85" w:rsidRPr="00001E85" w14:paraId="7AF8915A" w14:textId="77777777" w:rsidTr="00001E85">
        <w:tc>
          <w:tcPr>
            <w:cnfStyle w:val="001000000000" w:firstRow="0" w:lastRow="0" w:firstColumn="1" w:lastColumn="0" w:oddVBand="0" w:evenVBand="0" w:oddHBand="0" w:evenHBand="0" w:firstRowFirstColumn="0" w:firstRowLastColumn="0" w:lastRowFirstColumn="0" w:lastRowLastColumn="0"/>
            <w:tcW w:w="2913" w:type="pct"/>
            <w:hideMark/>
          </w:tcPr>
          <w:p w14:paraId="62CE90D4" w14:textId="77777777" w:rsidR="00761037" w:rsidRPr="00001E85" w:rsidRDefault="00761037" w:rsidP="00226CCA">
            <w:pPr>
              <w:spacing w:after="60"/>
              <w:rPr>
                <w:b w:val="0"/>
                <w:color w:val="auto"/>
              </w:rPr>
            </w:pPr>
            <w:r w:rsidRPr="00001E85">
              <w:rPr>
                <w:b w:val="0"/>
                <w:color w:val="auto"/>
              </w:rPr>
              <w:t>Certificate of registration of company</w:t>
            </w:r>
          </w:p>
        </w:tc>
        <w:tc>
          <w:tcPr>
            <w:tcW w:w="1000" w:type="pct"/>
            <w:hideMark/>
          </w:tcPr>
          <w:p w14:paraId="29970EB3" w14:textId="77777777" w:rsidR="00761037" w:rsidRPr="00001E85" w:rsidRDefault="00761037" w:rsidP="00226CCA">
            <w:pPr>
              <w:spacing w:after="60"/>
              <w:jc w:val="center"/>
              <w:cnfStyle w:val="000000000000" w:firstRow="0" w:lastRow="0" w:firstColumn="0" w:lastColumn="0" w:oddVBand="0" w:evenVBand="0" w:oddHBand="0" w:evenHBand="0" w:firstRowFirstColumn="0" w:firstRowLastColumn="0" w:lastRowFirstColumn="0" w:lastRowLastColumn="0"/>
              <w:rPr>
                <w:color w:val="auto"/>
              </w:rPr>
            </w:pPr>
            <w:r w:rsidRPr="00001E85">
              <w:rPr>
                <w:color w:val="auto"/>
              </w:rPr>
              <w:t> $19</w:t>
            </w:r>
          </w:p>
        </w:tc>
        <w:tc>
          <w:tcPr>
            <w:tcW w:w="1000" w:type="pct"/>
            <w:hideMark/>
          </w:tcPr>
          <w:p w14:paraId="231BC245" w14:textId="77777777" w:rsidR="00761037" w:rsidRPr="00001E85" w:rsidRDefault="00761037" w:rsidP="00226CCA">
            <w:pPr>
              <w:spacing w:after="60"/>
              <w:jc w:val="center"/>
              <w:cnfStyle w:val="000000000000" w:firstRow="0" w:lastRow="0" w:firstColumn="0" w:lastColumn="0" w:oddVBand="0" w:evenVBand="0" w:oddHBand="0" w:evenHBand="0" w:firstRowFirstColumn="0" w:firstRowLastColumn="0" w:lastRowFirstColumn="0" w:lastRowLastColumn="0"/>
              <w:rPr>
                <w:color w:val="auto"/>
              </w:rPr>
            </w:pPr>
            <w:r w:rsidRPr="00001E85">
              <w:rPr>
                <w:color w:val="auto"/>
              </w:rPr>
              <w:t>$19</w:t>
            </w:r>
          </w:p>
        </w:tc>
      </w:tr>
      <w:tr w:rsidR="00001E85" w:rsidRPr="00001E85" w14:paraId="3D22B72B" w14:textId="77777777" w:rsidTr="00001E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3" w:type="pct"/>
            <w:hideMark/>
          </w:tcPr>
          <w:p w14:paraId="2CED240E" w14:textId="77777777" w:rsidR="00761037" w:rsidRPr="00001E85" w:rsidRDefault="00761037" w:rsidP="00226CCA">
            <w:pPr>
              <w:spacing w:after="60"/>
              <w:rPr>
                <w:b w:val="0"/>
                <w:color w:val="auto"/>
              </w:rPr>
            </w:pPr>
            <w:r w:rsidRPr="00001E85">
              <w:rPr>
                <w:b w:val="0"/>
                <w:color w:val="auto"/>
              </w:rPr>
              <w:t>Current Australian registered body extract</w:t>
            </w:r>
          </w:p>
        </w:tc>
        <w:tc>
          <w:tcPr>
            <w:tcW w:w="1000" w:type="pct"/>
            <w:hideMark/>
          </w:tcPr>
          <w:p w14:paraId="208CF864" w14:textId="77777777" w:rsidR="00761037" w:rsidRPr="00001E85" w:rsidRDefault="00761037" w:rsidP="00226CCA">
            <w:pPr>
              <w:spacing w:after="60"/>
              <w:jc w:val="center"/>
              <w:cnfStyle w:val="000000100000" w:firstRow="0" w:lastRow="0" w:firstColumn="0" w:lastColumn="0" w:oddVBand="0" w:evenVBand="0" w:oddHBand="1" w:evenHBand="0" w:firstRowFirstColumn="0" w:firstRowLastColumn="0" w:lastRowFirstColumn="0" w:lastRowLastColumn="0"/>
              <w:rPr>
                <w:color w:val="auto"/>
              </w:rPr>
            </w:pPr>
            <w:r w:rsidRPr="00001E85">
              <w:rPr>
                <w:color w:val="auto"/>
              </w:rPr>
              <w:t> $9</w:t>
            </w:r>
          </w:p>
        </w:tc>
        <w:tc>
          <w:tcPr>
            <w:tcW w:w="1000" w:type="pct"/>
            <w:hideMark/>
          </w:tcPr>
          <w:p w14:paraId="5B21DCDB" w14:textId="77777777" w:rsidR="00761037" w:rsidRPr="00001E85" w:rsidRDefault="00761037" w:rsidP="00226CCA">
            <w:pPr>
              <w:spacing w:after="60"/>
              <w:jc w:val="center"/>
              <w:cnfStyle w:val="000000100000" w:firstRow="0" w:lastRow="0" w:firstColumn="0" w:lastColumn="0" w:oddVBand="0" w:evenVBand="0" w:oddHBand="1" w:evenHBand="0" w:firstRowFirstColumn="0" w:firstRowLastColumn="0" w:lastRowFirstColumn="0" w:lastRowLastColumn="0"/>
              <w:rPr>
                <w:color w:val="auto"/>
              </w:rPr>
            </w:pPr>
            <w:r w:rsidRPr="00001E85">
              <w:rPr>
                <w:color w:val="auto"/>
              </w:rPr>
              <w:t>$12</w:t>
            </w:r>
          </w:p>
        </w:tc>
      </w:tr>
      <w:tr w:rsidR="00001E85" w:rsidRPr="00001E85" w14:paraId="1EA38760" w14:textId="77777777" w:rsidTr="00001E85">
        <w:tc>
          <w:tcPr>
            <w:cnfStyle w:val="001000000000" w:firstRow="0" w:lastRow="0" w:firstColumn="1" w:lastColumn="0" w:oddVBand="0" w:evenVBand="0" w:oddHBand="0" w:evenHBand="0" w:firstRowFirstColumn="0" w:firstRowLastColumn="0" w:lastRowFirstColumn="0" w:lastRowLastColumn="0"/>
            <w:tcW w:w="2913" w:type="pct"/>
            <w:hideMark/>
          </w:tcPr>
          <w:p w14:paraId="77D9BEE4" w14:textId="77777777" w:rsidR="00761037" w:rsidRPr="00001E85" w:rsidRDefault="00761037" w:rsidP="00226CCA">
            <w:pPr>
              <w:spacing w:after="60"/>
              <w:rPr>
                <w:b w:val="0"/>
                <w:color w:val="auto"/>
              </w:rPr>
            </w:pPr>
            <w:r w:rsidRPr="00001E85">
              <w:rPr>
                <w:b w:val="0"/>
                <w:color w:val="auto"/>
              </w:rPr>
              <w:t>Current and historical Australian registered body extract</w:t>
            </w:r>
          </w:p>
        </w:tc>
        <w:tc>
          <w:tcPr>
            <w:tcW w:w="1000" w:type="pct"/>
            <w:hideMark/>
          </w:tcPr>
          <w:p w14:paraId="777D1B99" w14:textId="77777777" w:rsidR="00761037" w:rsidRPr="00001E85" w:rsidRDefault="00761037" w:rsidP="00226CCA">
            <w:pPr>
              <w:spacing w:after="60"/>
              <w:jc w:val="center"/>
              <w:cnfStyle w:val="000000000000" w:firstRow="0" w:lastRow="0" w:firstColumn="0" w:lastColumn="0" w:oddVBand="0" w:evenVBand="0" w:oddHBand="0" w:evenHBand="0" w:firstRowFirstColumn="0" w:firstRowLastColumn="0" w:lastRowFirstColumn="0" w:lastRowLastColumn="0"/>
              <w:rPr>
                <w:color w:val="auto"/>
              </w:rPr>
            </w:pPr>
            <w:r w:rsidRPr="00001E85">
              <w:rPr>
                <w:color w:val="auto"/>
              </w:rPr>
              <w:t> $17</w:t>
            </w:r>
          </w:p>
        </w:tc>
        <w:tc>
          <w:tcPr>
            <w:tcW w:w="1000" w:type="pct"/>
            <w:hideMark/>
          </w:tcPr>
          <w:p w14:paraId="1598B6A5" w14:textId="77777777" w:rsidR="00761037" w:rsidRPr="00001E85" w:rsidRDefault="00761037" w:rsidP="00226CCA">
            <w:pPr>
              <w:spacing w:after="60"/>
              <w:jc w:val="center"/>
              <w:cnfStyle w:val="000000000000" w:firstRow="0" w:lastRow="0" w:firstColumn="0" w:lastColumn="0" w:oddVBand="0" w:evenVBand="0" w:oddHBand="0" w:evenHBand="0" w:firstRowFirstColumn="0" w:firstRowLastColumn="0" w:lastRowFirstColumn="0" w:lastRowLastColumn="0"/>
              <w:rPr>
                <w:color w:val="auto"/>
              </w:rPr>
            </w:pPr>
            <w:r w:rsidRPr="00001E85">
              <w:rPr>
                <w:color w:val="auto"/>
              </w:rPr>
              <w:t>$20</w:t>
            </w:r>
          </w:p>
        </w:tc>
      </w:tr>
      <w:tr w:rsidR="00001E85" w:rsidRPr="00001E85" w14:paraId="35E3D70E" w14:textId="77777777" w:rsidTr="00001E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0" w:type="pct"/>
            <w:hideMark/>
          </w:tcPr>
          <w:p w14:paraId="028D2088" w14:textId="77777777" w:rsidR="00761037" w:rsidRPr="00001E85" w:rsidRDefault="00761037" w:rsidP="00226CCA">
            <w:pPr>
              <w:spacing w:after="60"/>
              <w:rPr>
                <w:b w:val="0"/>
                <w:color w:val="auto"/>
              </w:rPr>
            </w:pPr>
            <w:r w:rsidRPr="00001E85">
              <w:rPr>
                <w:b w:val="0"/>
                <w:color w:val="auto"/>
              </w:rPr>
              <w:t>Current foreign company extract</w:t>
            </w:r>
          </w:p>
        </w:tc>
        <w:tc>
          <w:tcPr>
            <w:tcW w:w="1000" w:type="pct"/>
            <w:hideMark/>
          </w:tcPr>
          <w:p w14:paraId="7B25ACC9" w14:textId="77777777" w:rsidR="00761037" w:rsidRPr="00001E85" w:rsidRDefault="00761037" w:rsidP="00226CCA">
            <w:pPr>
              <w:spacing w:after="60"/>
              <w:jc w:val="center"/>
              <w:cnfStyle w:val="000000100000" w:firstRow="0" w:lastRow="0" w:firstColumn="0" w:lastColumn="0" w:oddVBand="0" w:evenVBand="0" w:oddHBand="1" w:evenHBand="0" w:firstRowFirstColumn="0" w:firstRowLastColumn="0" w:lastRowFirstColumn="0" w:lastRowLastColumn="0"/>
              <w:rPr>
                <w:color w:val="auto"/>
              </w:rPr>
            </w:pPr>
            <w:r w:rsidRPr="00001E85">
              <w:rPr>
                <w:color w:val="auto"/>
              </w:rPr>
              <w:t> $9</w:t>
            </w:r>
          </w:p>
        </w:tc>
        <w:tc>
          <w:tcPr>
            <w:tcW w:w="1000" w:type="pct"/>
            <w:hideMark/>
          </w:tcPr>
          <w:p w14:paraId="6F62A1BE" w14:textId="77777777" w:rsidR="00761037" w:rsidRPr="00001E85" w:rsidRDefault="00761037" w:rsidP="00226CCA">
            <w:pPr>
              <w:spacing w:after="60"/>
              <w:jc w:val="center"/>
              <w:cnfStyle w:val="000000100000" w:firstRow="0" w:lastRow="0" w:firstColumn="0" w:lastColumn="0" w:oddVBand="0" w:evenVBand="0" w:oddHBand="1" w:evenHBand="0" w:firstRowFirstColumn="0" w:firstRowLastColumn="0" w:lastRowFirstColumn="0" w:lastRowLastColumn="0"/>
              <w:rPr>
                <w:color w:val="auto"/>
              </w:rPr>
            </w:pPr>
            <w:r w:rsidRPr="00001E85">
              <w:rPr>
                <w:color w:val="auto"/>
              </w:rPr>
              <w:t>$12</w:t>
            </w:r>
          </w:p>
        </w:tc>
      </w:tr>
      <w:tr w:rsidR="00001E85" w:rsidRPr="00001E85" w14:paraId="69B00C40" w14:textId="77777777" w:rsidTr="00001E85">
        <w:tc>
          <w:tcPr>
            <w:cnfStyle w:val="001000000000" w:firstRow="0" w:lastRow="0" w:firstColumn="1" w:lastColumn="0" w:oddVBand="0" w:evenVBand="0" w:oddHBand="0" w:evenHBand="0" w:firstRowFirstColumn="0" w:firstRowLastColumn="0" w:lastRowFirstColumn="0" w:lastRowLastColumn="0"/>
            <w:tcW w:w="3000" w:type="pct"/>
            <w:hideMark/>
          </w:tcPr>
          <w:p w14:paraId="00BE169F" w14:textId="77777777" w:rsidR="00761037" w:rsidRPr="00001E85" w:rsidRDefault="00761037" w:rsidP="00226CCA">
            <w:pPr>
              <w:spacing w:after="60"/>
              <w:rPr>
                <w:b w:val="0"/>
                <w:color w:val="auto"/>
              </w:rPr>
            </w:pPr>
            <w:r w:rsidRPr="00001E85">
              <w:rPr>
                <w:b w:val="0"/>
                <w:color w:val="auto"/>
              </w:rPr>
              <w:t>Current and historical foreign company extract</w:t>
            </w:r>
          </w:p>
        </w:tc>
        <w:tc>
          <w:tcPr>
            <w:tcW w:w="1000" w:type="pct"/>
            <w:hideMark/>
          </w:tcPr>
          <w:p w14:paraId="17767FC5" w14:textId="77777777" w:rsidR="00761037" w:rsidRPr="00001E85" w:rsidRDefault="00761037" w:rsidP="00226CCA">
            <w:pPr>
              <w:spacing w:after="60"/>
              <w:jc w:val="center"/>
              <w:cnfStyle w:val="000000000000" w:firstRow="0" w:lastRow="0" w:firstColumn="0" w:lastColumn="0" w:oddVBand="0" w:evenVBand="0" w:oddHBand="0" w:evenHBand="0" w:firstRowFirstColumn="0" w:firstRowLastColumn="0" w:lastRowFirstColumn="0" w:lastRowLastColumn="0"/>
              <w:rPr>
                <w:color w:val="auto"/>
              </w:rPr>
            </w:pPr>
            <w:r w:rsidRPr="00001E85">
              <w:rPr>
                <w:color w:val="auto"/>
              </w:rPr>
              <w:t> $17</w:t>
            </w:r>
          </w:p>
        </w:tc>
        <w:tc>
          <w:tcPr>
            <w:tcW w:w="1000" w:type="pct"/>
            <w:hideMark/>
          </w:tcPr>
          <w:p w14:paraId="38107046" w14:textId="77777777" w:rsidR="00761037" w:rsidRPr="00001E85" w:rsidRDefault="00761037" w:rsidP="00226CCA">
            <w:pPr>
              <w:spacing w:after="60"/>
              <w:jc w:val="center"/>
              <w:cnfStyle w:val="000000000000" w:firstRow="0" w:lastRow="0" w:firstColumn="0" w:lastColumn="0" w:oddVBand="0" w:evenVBand="0" w:oddHBand="0" w:evenHBand="0" w:firstRowFirstColumn="0" w:firstRowLastColumn="0" w:lastRowFirstColumn="0" w:lastRowLastColumn="0"/>
              <w:rPr>
                <w:color w:val="auto"/>
              </w:rPr>
            </w:pPr>
            <w:r w:rsidRPr="00001E85">
              <w:rPr>
                <w:color w:val="auto"/>
              </w:rPr>
              <w:t>$20</w:t>
            </w:r>
          </w:p>
        </w:tc>
      </w:tr>
      <w:tr w:rsidR="00001E85" w:rsidRPr="00001E85" w14:paraId="39851B2C" w14:textId="77777777" w:rsidTr="00001E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0" w:type="pct"/>
            <w:hideMark/>
          </w:tcPr>
          <w:p w14:paraId="21D2DB2D" w14:textId="77777777" w:rsidR="00761037" w:rsidRPr="00001E85" w:rsidRDefault="00761037" w:rsidP="00226CCA">
            <w:pPr>
              <w:spacing w:after="60"/>
              <w:rPr>
                <w:b w:val="0"/>
                <w:color w:val="auto"/>
              </w:rPr>
            </w:pPr>
            <w:r w:rsidRPr="00001E85">
              <w:rPr>
                <w:b w:val="0"/>
                <w:color w:val="auto"/>
              </w:rPr>
              <w:t>Current managed investment scheme extract</w:t>
            </w:r>
          </w:p>
        </w:tc>
        <w:tc>
          <w:tcPr>
            <w:tcW w:w="1000" w:type="pct"/>
            <w:hideMark/>
          </w:tcPr>
          <w:p w14:paraId="312F24B7" w14:textId="77777777" w:rsidR="00761037" w:rsidRPr="00001E85" w:rsidRDefault="00761037" w:rsidP="00226CCA">
            <w:pPr>
              <w:spacing w:after="60"/>
              <w:jc w:val="center"/>
              <w:cnfStyle w:val="000000100000" w:firstRow="0" w:lastRow="0" w:firstColumn="0" w:lastColumn="0" w:oddVBand="0" w:evenVBand="0" w:oddHBand="1" w:evenHBand="0" w:firstRowFirstColumn="0" w:firstRowLastColumn="0" w:lastRowFirstColumn="0" w:lastRowLastColumn="0"/>
              <w:rPr>
                <w:color w:val="auto"/>
              </w:rPr>
            </w:pPr>
            <w:r w:rsidRPr="00001E85">
              <w:rPr>
                <w:color w:val="auto"/>
              </w:rPr>
              <w:t> $9</w:t>
            </w:r>
          </w:p>
        </w:tc>
        <w:tc>
          <w:tcPr>
            <w:tcW w:w="1000" w:type="pct"/>
            <w:hideMark/>
          </w:tcPr>
          <w:p w14:paraId="78A05260" w14:textId="77777777" w:rsidR="00761037" w:rsidRPr="00001E85" w:rsidRDefault="00761037" w:rsidP="00226CCA">
            <w:pPr>
              <w:spacing w:after="60"/>
              <w:jc w:val="center"/>
              <w:cnfStyle w:val="000000100000" w:firstRow="0" w:lastRow="0" w:firstColumn="0" w:lastColumn="0" w:oddVBand="0" w:evenVBand="0" w:oddHBand="1" w:evenHBand="0" w:firstRowFirstColumn="0" w:firstRowLastColumn="0" w:lastRowFirstColumn="0" w:lastRowLastColumn="0"/>
              <w:rPr>
                <w:color w:val="auto"/>
              </w:rPr>
            </w:pPr>
            <w:r w:rsidRPr="00001E85">
              <w:rPr>
                <w:color w:val="auto"/>
              </w:rPr>
              <w:t>$12</w:t>
            </w:r>
          </w:p>
        </w:tc>
      </w:tr>
      <w:tr w:rsidR="00001E85" w:rsidRPr="00001E85" w14:paraId="078816D7" w14:textId="77777777" w:rsidTr="00001E85">
        <w:tc>
          <w:tcPr>
            <w:cnfStyle w:val="001000000000" w:firstRow="0" w:lastRow="0" w:firstColumn="1" w:lastColumn="0" w:oddVBand="0" w:evenVBand="0" w:oddHBand="0" w:evenHBand="0" w:firstRowFirstColumn="0" w:firstRowLastColumn="0" w:lastRowFirstColumn="0" w:lastRowLastColumn="0"/>
            <w:tcW w:w="3000" w:type="pct"/>
            <w:hideMark/>
          </w:tcPr>
          <w:p w14:paraId="427028D9" w14:textId="77777777" w:rsidR="00761037" w:rsidRPr="00001E85" w:rsidRDefault="00761037" w:rsidP="00226CCA">
            <w:pPr>
              <w:spacing w:after="60"/>
              <w:rPr>
                <w:b w:val="0"/>
                <w:color w:val="auto"/>
              </w:rPr>
            </w:pPr>
            <w:r w:rsidRPr="00001E85">
              <w:rPr>
                <w:b w:val="0"/>
                <w:color w:val="auto"/>
              </w:rPr>
              <w:t>Current and historical managed investment scheme extract</w:t>
            </w:r>
          </w:p>
        </w:tc>
        <w:tc>
          <w:tcPr>
            <w:tcW w:w="1000" w:type="pct"/>
            <w:hideMark/>
          </w:tcPr>
          <w:p w14:paraId="63DBD9B5" w14:textId="77777777" w:rsidR="00761037" w:rsidRPr="00001E85" w:rsidRDefault="00761037" w:rsidP="00226CCA">
            <w:pPr>
              <w:spacing w:after="60"/>
              <w:jc w:val="center"/>
              <w:cnfStyle w:val="000000000000" w:firstRow="0" w:lastRow="0" w:firstColumn="0" w:lastColumn="0" w:oddVBand="0" w:evenVBand="0" w:oddHBand="0" w:evenHBand="0" w:firstRowFirstColumn="0" w:firstRowLastColumn="0" w:lastRowFirstColumn="0" w:lastRowLastColumn="0"/>
              <w:rPr>
                <w:color w:val="auto"/>
              </w:rPr>
            </w:pPr>
            <w:r w:rsidRPr="00001E85">
              <w:rPr>
                <w:color w:val="auto"/>
              </w:rPr>
              <w:t> $17</w:t>
            </w:r>
          </w:p>
        </w:tc>
        <w:tc>
          <w:tcPr>
            <w:tcW w:w="1000" w:type="pct"/>
            <w:hideMark/>
          </w:tcPr>
          <w:p w14:paraId="043BDC89" w14:textId="77777777" w:rsidR="00761037" w:rsidRPr="00001E85" w:rsidRDefault="00761037" w:rsidP="00226CCA">
            <w:pPr>
              <w:spacing w:after="60"/>
              <w:jc w:val="center"/>
              <w:cnfStyle w:val="000000000000" w:firstRow="0" w:lastRow="0" w:firstColumn="0" w:lastColumn="0" w:oddVBand="0" w:evenVBand="0" w:oddHBand="0" w:evenHBand="0" w:firstRowFirstColumn="0" w:firstRowLastColumn="0" w:lastRowFirstColumn="0" w:lastRowLastColumn="0"/>
              <w:rPr>
                <w:color w:val="auto"/>
              </w:rPr>
            </w:pPr>
            <w:r w:rsidRPr="00001E85">
              <w:rPr>
                <w:color w:val="auto"/>
              </w:rPr>
              <w:t>$20</w:t>
            </w:r>
          </w:p>
        </w:tc>
      </w:tr>
    </w:tbl>
    <w:p w14:paraId="0AE0E9E2" w14:textId="77777777" w:rsidR="00761037" w:rsidRPr="00D20371" w:rsidRDefault="00761037" w:rsidP="00226CCA">
      <w:pPr>
        <w:spacing w:before="240"/>
        <w:rPr>
          <w:rStyle w:val="SubtleEmphasis"/>
        </w:rPr>
      </w:pPr>
      <w:bookmarkStart w:id="38" w:name="businessname"/>
      <w:bookmarkEnd w:id="38"/>
      <w:r w:rsidRPr="00D20371">
        <w:rPr>
          <w:rStyle w:val="SubtleEmphasis"/>
        </w:rPr>
        <w:t>Business name searches</w:t>
      </w:r>
    </w:p>
    <w:tbl>
      <w:tblPr>
        <w:tblStyle w:val="LightShading-Accent1"/>
        <w:tblW w:w="5000" w:type="pct"/>
        <w:tblLayout w:type="fixed"/>
        <w:tblLook w:val="04A0" w:firstRow="1" w:lastRow="0" w:firstColumn="1" w:lastColumn="0" w:noHBand="0" w:noVBand="1"/>
      </w:tblPr>
      <w:tblGrid>
        <w:gridCol w:w="5546"/>
        <w:gridCol w:w="1848"/>
        <w:gridCol w:w="1848"/>
      </w:tblGrid>
      <w:tr w:rsidR="00001E85" w:rsidRPr="00001E85" w14:paraId="0F9431B1" w14:textId="77777777" w:rsidTr="00001E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0" w:type="pct"/>
            <w:hideMark/>
          </w:tcPr>
          <w:p w14:paraId="71794A48" w14:textId="77777777" w:rsidR="00761037" w:rsidRPr="00001E85" w:rsidRDefault="00761037" w:rsidP="005E450C">
            <w:pPr>
              <w:rPr>
                <w:color w:val="4F81BD" w:themeColor="accent1"/>
              </w:rPr>
            </w:pPr>
            <w:r w:rsidRPr="00001E85">
              <w:rPr>
                <w:color w:val="4F81BD" w:themeColor="accent1"/>
              </w:rPr>
              <w:t>Product</w:t>
            </w:r>
            <w:r w:rsidRPr="00001E85">
              <w:rPr>
                <w:noProof/>
                <w:color w:val="4F81BD" w:themeColor="accent1"/>
              </w:rPr>
              <mc:AlternateContent>
                <mc:Choice Requires="wps">
                  <w:drawing>
                    <wp:inline distT="0" distB="0" distL="0" distR="0" wp14:anchorId="2E9F17CA" wp14:editId="286067B7">
                      <wp:extent cx="9525" cy="9525"/>
                      <wp:effectExtent l="0" t="0" r="0" b="0"/>
                      <wp:docPr id="11" name="AutoShape 14" descr="https://asic.gov.au/online-services/search-asics-registers/search-fe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4" o:spid="_x0000_s1026" alt="https://asic.gov.au/online-services/search-asics-registers/search-fees/"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" filled="f" stroked="f">
                      <o:lock v:ext="edit" aspectratio="t"/>
                      <w10:anchorlock/>
                    </v:rect>
                  </w:pict>
                </mc:Fallback>
              </mc:AlternateContent>
            </w:r>
          </w:p>
        </w:tc>
        <w:tc>
          <w:tcPr>
            <w:tcW w:w="1000" w:type="pct"/>
            <w:hideMark/>
          </w:tcPr>
          <w:p w14:paraId="55239B6C" w14:textId="77777777" w:rsidR="00761037" w:rsidRPr="00001E85" w:rsidRDefault="00761037" w:rsidP="005E450C">
            <w:pPr>
              <w:jc w:val="center"/>
              <w:cnfStyle w:val="100000000000" w:firstRow="1" w:lastRow="0" w:firstColumn="0" w:lastColumn="0" w:oddVBand="0" w:evenVBand="0" w:oddHBand="0" w:evenHBand="0" w:firstRowFirstColumn="0" w:firstRowLastColumn="0" w:lastRowFirstColumn="0" w:lastRowLastColumn="0"/>
              <w:rPr>
                <w:color w:val="4F81BD" w:themeColor="accent1"/>
              </w:rPr>
            </w:pPr>
            <w:r w:rsidRPr="00001E85">
              <w:rPr>
                <w:color w:val="4F81BD" w:themeColor="accent1"/>
              </w:rPr>
              <w:t>Price online</w:t>
            </w:r>
          </w:p>
        </w:tc>
        <w:tc>
          <w:tcPr>
            <w:tcW w:w="1000" w:type="pct"/>
            <w:hideMark/>
          </w:tcPr>
          <w:p w14:paraId="520E7465" w14:textId="77777777" w:rsidR="00761037" w:rsidRPr="00001E85" w:rsidRDefault="00761037" w:rsidP="005E450C">
            <w:pPr>
              <w:jc w:val="center"/>
              <w:cnfStyle w:val="100000000000" w:firstRow="1" w:lastRow="0" w:firstColumn="0" w:lastColumn="0" w:oddVBand="0" w:evenVBand="0" w:oddHBand="0" w:evenHBand="0" w:firstRowFirstColumn="0" w:firstRowLastColumn="0" w:lastRowFirstColumn="0" w:lastRowLastColumn="0"/>
              <w:rPr>
                <w:color w:val="4F81BD" w:themeColor="accent1"/>
              </w:rPr>
            </w:pPr>
            <w:r w:rsidRPr="00001E85">
              <w:rPr>
                <w:color w:val="4F81BD" w:themeColor="accent1"/>
              </w:rPr>
              <w:t>Price by mail</w:t>
            </w:r>
          </w:p>
        </w:tc>
      </w:tr>
      <w:tr w:rsidR="00001E85" w:rsidRPr="00001E85" w14:paraId="743A3D4D" w14:textId="77777777" w:rsidTr="00001E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0" w:type="pct"/>
            <w:hideMark/>
          </w:tcPr>
          <w:p w14:paraId="43431576" w14:textId="77777777" w:rsidR="00761037" w:rsidRPr="00001E85" w:rsidRDefault="00761037" w:rsidP="00226CCA">
            <w:pPr>
              <w:spacing w:after="60"/>
              <w:rPr>
                <w:b w:val="0"/>
                <w:color w:val="auto"/>
              </w:rPr>
            </w:pPr>
            <w:r w:rsidRPr="00001E85">
              <w:rPr>
                <w:b w:val="0"/>
                <w:color w:val="auto"/>
              </w:rPr>
              <w:t>Current business name extract</w:t>
            </w:r>
          </w:p>
        </w:tc>
        <w:tc>
          <w:tcPr>
            <w:tcW w:w="1000" w:type="pct"/>
            <w:hideMark/>
          </w:tcPr>
          <w:p w14:paraId="7F9B389D" w14:textId="77777777" w:rsidR="00761037" w:rsidRPr="00001E85" w:rsidRDefault="00761037" w:rsidP="00226CCA">
            <w:pPr>
              <w:spacing w:after="60"/>
              <w:jc w:val="center"/>
              <w:cnfStyle w:val="000000100000" w:firstRow="0" w:lastRow="0" w:firstColumn="0" w:lastColumn="0" w:oddVBand="0" w:evenVBand="0" w:oddHBand="1" w:evenHBand="0" w:firstRowFirstColumn="0" w:firstRowLastColumn="0" w:lastRowFirstColumn="0" w:lastRowLastColumn="0"/>
              <w:rPr>
                <w:color w:val="auto"/>
              </w:rPr>
            </w:pPr>
            <w:r w:rsidRPr="00001E85">
              <w:rPr>
                <w:color w:val="auto"/>
              </w:rPr>
              <w:t>$9</w:t>
            </w:r>
          </w:p>
        </w:tc>
        <w:tc>
          <w:tcPr>
            <w:tcW w:w="1000" w:type="pct"/>
            <w:hideMark/>
          </w:tcPr>
          <w:p w14:paraId="00D7DCB2" w14:textId="77777777" w:rsidR="00761037" w:rsidRPr="00001E85" w:rsidRDefault="00761037" w:rsidP="00226CCA">
            <w:pPr>
              <w:spacing w:after="60"/>
              <w:jc w:val="center"/>
              <w:cnfStyle w:val="000000100000" w:firstRow="0" w:lastRow="0" w:firstColumn="0" w:lastColumn="0" w:oddVBand="0" w:evenVBand="0" w:oddHBand="1" w:evenHBand="0" w:firstRowFirstColumn="0" w:firstRowLastColumn="0" w:lastRowFirstColumn="0" w:lastRowLastColumn="0"/>
              <w:rPr>
                <w:color w:val="auto"/>
              </w:rPr>
            </w:pPr>
            <w:r w:rsidRPr="00001E85">
              <w:rPr>
                <w:color w:val="auto"/>
              </w:rPr>
              <w:t>$12</w:t>
            </w:r>
          </w:p>
        </w:tc>
      </w:tr>
      <w:tr w:rsidR="00001E85" w:rsidRPr="00001E85" w14:paraId="2506F410" w14:textId="77777777" w:rsidTr="00001E85">
        <w:tc>
          <w:tcPr>
            <w:cnfStyle w:val="001000000000" w:firstRow="0" w:lastRow="0" w:firstColumn="1" w:lastColumn="0" w:oddVBand="0" w:evenVBand="0" w:oddHBand="0" w:evenHBand="0" w:firstRowFirstColumn="0" w:firstRowLastColumn="0" w:lastRowFirstColumn="0" w:lastRowLastColumn="0"/>
            <w:tcW w:w="3000" w:type="pct"/>
            <w:hideMark/>
          </w:tcPr>
          <w:p w14:paraId="794EAC5B" w14:textId="77777777" w:rsidR="00761037" w:rsidRPr="00001E85" w:rsidRDefault="00761037" w:rsidP="00226CCA">
            <w:pPr>
              <w:spacing w:after="60"/>
              <w:rPr>
                <w:b w:val="0"/>
                <w:color w:val="auto"/>
              </w:rPr>
            </w:pPr>
            <w:r w:rsidRPr="00001E85">
              <w:rPr>
                <w:b w:val="0"/>
                <w:color w:val="auto"/>
              </w:rPr>
              <w:t>Current and historical business name extract</w:t>
            </w:r>
          </w:p>
        </w:tc>
        <w:tc>
          <w:tcPr>
            <w:tcW w:w="1000" w:type="pct"/>
            <w:hideMark/>
          </w:tcPr>
          <w:p w14:paraId="5A370E53" w14:textId="77777777" w:rsidR="00761037" w:rsidRPr="00001E85" w:rsidRDefault="00761037" w:rsidP="00226CCA">
            <w:pPr>
              <w:spacing w:after="60"/>
              <w:jc w:val="center"/>
              <w:cnfStyle w:val="000000000000" w:firstRow="0" w:lastRow="0" w:firstColumn="0" w:lastColumn="0" w:oddVBand="0" w:evenVBand="0" w:oddHBand="0" w:evenHBand="0" w:firstRowFirstColumn="0" w:firstRowLastColumn="0" w:lastRowFirstColumn="0" w:lastRowLastColumn="0"/>
              <w:rPr>
                <w:color w:val="auto"/>
              </w:rPr>
            </w:pPr>
            <w:r w:rsidRPr="00001E85">
              <w:rPr>
                <w:color w:val="auto"/>
              </w:rPr>
              <w:t> $17</w:t>
            </w:r>
          </w:p>
        </w:tc>
        <w:tc>
          <w:tcPr>
            <w:tcW w:w="1000" w:type="pct"/>
            <w:hideMark/>
          </w:tcPr>
          <w:p w14:paraId="0D2D7C51" w14:textId="77777777" w:rsidR="00761037" w:rsidRPr="00001E85" w:rsidRDefault="00761037" w:rsidP="00226CCA">
            <w:pPr>
              <w:spacing w:after="60"/>
              <w:jc w:val="center"/>
              <w:cnfStyle w:val="000000000000" w:firstRow="0" w:lastRow="0" w:firstColumn="0" w:lastColumn="0" w:oddVBand="0" w:evenVBand="0" w:oddHBand="0" w:evenHBand="0" w:firstRowFirstColumn="0" w:firstRowLastColumn="0" w:lastRowFirstColumn="0" w:lastRowLastColumn="0"/>
              <w:rPr>
                <w:color w:val="auto"/>
              </w:rPr>
            </w:pPr>
            <w:r w:rsidRPr="00001E85">
              <w:rPr>
                <w:color w:val="auto"/>
              </w:rPr>
              <w:t>$20</w:t>
            </w:r>
          </w:p>
        </w:tc>
      </w:tr>
      <w:tr w:rsidR="00001E85" w:rsidRPr="00001E85" w14:paraId="067F25DE" w14:textId="77777777" w:rsidTr="00001E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0" w:type="pct"/>
            <w:hideMark/>
          </w:tcPr>
          <w:p w14:paraId="16CDCBFA" w14:textId="77777777" w:rsidR="00761037" w:rsidRPr="00001E85" w:rsidRDefault="00761037" w:rsidP="00226CCA">
            <w:pPr>
              <w:spacing w:after="60"/>
              <w:rPr>
                <w:b w:val="0"/>
                <w:color w:val="auto"/>
              </w:rPr>
            </w:pPr>
            <w:r w:rsidRPr="00001E85">
              <w:rPr>
                <w:b w:val="0"/>
                <w:color w:val="auto"/>
              </w:rPr>
              <w:t>Current business name holder (person or organisation) extract</w:t>
            </w:r>
          </w:p>
        </w:tc>
        <w:tc>
          <w:tcPr>
            <w:tcW w:w="1000" w:type="pct"/>
            <w:hideMark/>
          </w:tcPr>
          <w:p w14:paraId="7016F834" w14:textId="77777777" w:rsidR="00761037" w:rsidRPr="00001E85" w:rsidRDefault="00761037" w:rsidP="00226CCA">
            <w:pPr>
              <w:spacing w:after="60"/>
              <w:jc w:val="center"/>
              <w:cnfStyle w:val="000000100000" w:firstRow="0" w:lastRow="0" w:firstColumn="0" w:lastColumn="0" w:oddVBand="0" w:evenVBand="0" w:oddHBand="1" w:evenHBand="0" w:firstRowFirstColumn="0" w:firstRowLastColumn="0" w:lastRowFirstColumn="0" w:lastRowLastColumn="0"/>
              <w:rPr>
                <w:color w:val="auto"/>
              </w:rPr>
            </w:pPr>
            <w:r w:rsidRPr="00001E85">
              <w:rPr>
                <w:color w:val="auto"/>
              </w:rPr>
              <w:t>N/A</w:t>
            </w:r>
          </w:p>
        </w:tc>
        <w:tc>
          <w:tcPr>
            <w:tcW w:w="1000" w:type="pct"/>
            <w:hideMark/>
          </w:tcPr>
          <w:p w14:paraId="3C3CE08C" w14:textId="77777777" w:rsidR="00761037" w:rsidRPr="00001E85" w:rsidRDefault="00761037" w:rsidP="00226CCA">
            <w:pPr>
              <w:spacing w:after="60"/>
              <w:jc w:val="center"/>
              <w:cnfStyle w:val="000000100000" w:firstRow="0" w:lastRow="0" w:firstColumn="0" w:lastColumn="0" w:oddVBand="0" w:evenVBand="0" w:oddHBand="1" w:evenHBand="0" w:firstRowFirstColumn="0" w:firstRowLastColumn="0" w:lastRowFirstColumn="0" w:lastRowLastColumn="0"/>
              <w:rPr>
                <w:color w:val="auto"/>
              </w:rPr>
            </w:pPr>
            <w:r w:rsidRPr="00001E85">
              <w:rPr>
                <w:color w:val="auto"/>
              </w:rPr>
              <w:t>$22</w:t>
            </w:r>
          </w:p>
        </w:tc>
      </w:tr>
      <w:tr w:rsidR="00001E85" w:rsidRPr="00001E85" w14:paraId="33DBC6C6" w14:textId="77777777" w:rsidTr="00001E85">
        <w:tc>
          <w:tcPr>
            <w:cnfStyle w:val="001000000000" w:firstRow="0" w:lastRow="0" w:firstColumn="1" w:lastColumn="0" w:oddVBand="0" w:evenVBand="0" w:oddHBand="0" w:evenHBand="0" w:firstRowFirstColumn="0" w:firstRowLastColumn="0" w:lastRowFirstColumn="0" w:lastRowLastColumn="0"/>
            <w:tcW w:w="3000" w:type="pct"/>
            <w:hideMark/>
          </w:tcPr>
          <w:p w14:paraId="56DC624E" w14:textId="77777777" w:rsidR="00761037" w:rsidRPr="00001E85" w:rsidRDefault="00761037" w:rsidP="00226CCA">
            <w:pPr>
              <w:spacing w:after="60"/>
              <w:rPr>
                <w:b w:val="0"/>
                <w:color w:val="auto"/>
              </w:rPr>
            </w:pPr>
            <w:r w:rsidRPr="00001E85">
              <w:rPr>
                <w:b w:val="0"/>
                <w:color w:val="auto"/>
              </w:rPr>
              <w:t>Current and historical business name holder (person or organisation) extract</w:t>
            </w:r>
          </w:p>
        </w:tc>
        <w:tc>
          <w:tcPr>
            <w:tcW w:w="1000" w:type="pct"/>
            <w:hideMark/>
          </w:tcPr>
          <w:p w14:paraId="5FB42E10" w14:textId="77777777" w:rsidR="00761037" w:rsidRPr="00001E85" w:rsidRDefault="00761037" w:rsidP="00226CCA">
            <w:pPr>
              <w:spacing w:after="60"/>
              <w:jc w:val="center"/>
              <w:cnfStyle w:val="000000000000" w:firstRow="0" w:lastRow="0" w:firstColumn="0" w:lastColumn="0" w:oddVBand="0" w:evenVBand="0" w:oddHBand="0" w:evenHBand="0" w:firstRowFirstColumn="0" w:firstRowLastColumn="0" w:lastRowFirstColumn="0" w:lastRowLastColumn="0"/>
              <w:rPr>
                <w:color w:val="auto"/>
              </w:rPr>
            </w:pPr>
            <w:r w:rsidRPr="00001E85">
              <w:rPr>
                <w:color w:val="auto"/>
              </w:rPr>
              <w:t>N/A</w:t>
            </w:r>
          </w:p>
        </w:tc>
        <w:tc>
          <w:tcPr>
            <w:tcW w:w="1000" w:type="pct"/>
            <w:hideMark/>
          </w:tcPr>
          <w:p w14:paraId="1E5812F3" w14:textId="77777777" w:rsidR="00761037" w:rsidRPr="00001E85" w:rsidRDefault="00761037" w:rsidP="00226CCA">
            <w:pPr>
              <w:spacing w:after="60"/>
              <w:jc w:val="center"/>
              <w:cnfStyle w:val="000000000000" w:firstRow="0" w:lastRow="0" w:firstColumn="0" w:lastColumn="0" w:oddVBand="0" w:evenVBand="0" w:oddHBand="0" w:evenHBand="0" w:firstRowFirstColumn="0" w:firstRowLastColumn="0" w:lastRowFirstColumn="0" w:lastRowLastColumn="0"/>
              <w:rPr>
                <w:color w:val="auto"/>
              </w:rPr>
            </w:pPr>
            <w:r w:rsidRPr="00001E85">
              <w:rPr>
                <w:color w:val="auto"/>
              </w:rPr>
              <w:t>$43</w:t>
            </w:r>
          </w:p>
        </w:tc>
      </w:tr>
    </w:tbl>
    <w:p w14:paraId="1165733F" w14:textId="77777777" w:rsidR="00761037" w:rsidRPr="00D20371" w:rsidRDefault="00761037" w:rsidP="00226CCA">
      <w:pPr>
        <w:spacing w:before="240"/>
        <w:rPr>
          <w:rStyle w:val="SubtleEmphasis"/>
        </w:rPr>
      </w:pPr>
      <w:bookmarkStart w:id="39" w:name="personsearches"/>
      <w:bookmarkEnd w:id="39"/>
      <w:r w:rsidRPr="00D20371">
        <w:rPr>
          <w:rStyle w:val="SubtleEmphasis"/>
        </w:rPr>
        <w:t>Person searches (paper only)</w:t>
      </w:r>
    </w:p>
    <w:tbl>
      <w:tblPr>
        <w:tblStyle w:val="LightShading-Accent1"/>
        <w:tblW w:w="5000" w:type="pct"/>
        <w:tblLook w:val="04A0" w:firstRow="1" w:lastRow="0" w:firstColumn="1" w:lastColumn="0" w:noHBand="0" w:noVBand="1"/>
      </w:tblPr>
      <w:tblGrid>
        <w:gridCol w:w="5546"/>
        <w:gridCol w:w="1848"/>
        <w:gridCol w:w="1848"/>
      </w:tblGrid>
      <w:tr w:rsidR="00001E85" w:rsidRPr="00001E85" w14:paraId="4A7631F2" w14:textId="77777777" w:rsidTr="00001E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0" w:type="pct"/>
            <w:hideMark/>
          </w:tcPr>
          <w:p w14:paraId="7C02FF24" w14:textId="77777777" w:rsidR="00761037" w:rsidRPr="00001E85" w:rsidRDefault="00761037" w:rsidP="005E450C">
            <w:pPr>
              <w:rPr>
                <w:color w:val="4F81BD" w:themeColor="accent1"/>
              </w:rPr>
            </w:pPr>
            <w:r w:rsidRPr="00001E85">
              <w:rPr>
                <w:color w:val="4F81BD" w:themeColor="accent1"/>
              </w:rPr>
              <w:t>Product</w:t>
            </w:r>
            <w:r w:rsidRPr="00001E85">
              <w:rPr>
                <w:noProof/>
                <w:color w:val="4F81BD" w:themeColor="accent1"/>
              </w:rPr>
              <mc:AlternateContent>
                <mc:Choice Requires="wps">
                  <w:drawing>
                    <wp:inline distT="0" distB="0" distL="0" distR="0" wp14:anchorId="1577AE53" wp14:editId="2B676DA3">
                      <wp:extent cx="9525" cy="9525"/>
                      <wp:effectExtent l="0" t="0" r="0" b="0"/>
                      <wp:docPr id="10" name="AutoShape 15" descr="https://asic.gov.au/online-services/search-asics-registers/search-fe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5" o:spid="_x0000_s1026" alt="https://asic.gov.au/online-services/search-asics-registers/search-fees/"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" filled="f" stroked="f">
                      <o:lock v:ext="edit" aspectratio="t"/>
                      <w10:anchorlock/>
                    </v:rect>
                  </w:pict>
                </mc:Fallback>
              </mc:AlternateContent>
            </w:r>
          </w:p>
        </w:tc>
        <w:tc>
          <w:tcPr>
            <w:tcW w:w="1000" w:type="pct"/>
            <w:hideMark/>
          </w:tcPr>
          <w:p w14:paraId="1A02FE51" w14:textId="77777777" w:rsidR="00761037" w:rsidRPr="00001E85" w:rsidRDefault="00761037" w:rsidP="005E450C">
            <w:pPr>
              <w:jc w:val="center"/>
              <w:cnfStyle w:val="100000000000" w:firstRow="1" w:lastRow="0" w:firstColumn="0" w:lastColumn="0" w:oddVBand="0" w:evenVBand="0" w:oddHBand="0" w:evenHBand="0" w:firstRowFirstColumn="0" w:firstRowLastColumn="0" w:lastRowFirstColumn="0" w:lastRowLastColumn="0"/>
              <w:rPr>
                <w:color w:val="4F81BD" w:themeColor="accent1"/>
              </w:rPr>
            </w:pPr>
            <w:r w:rsidRPr="00001E85">
              <w:rPr>
                <w:color w:val="4F81BD" w:themeColor="accent1"/>
              </w:rPr>
              <w:t>Price online</w:t>
            </w:r>
          </w:p>
        </w:tc>
        <w:tc>
          <w:tcPr>
            <w:tcW w:w="1000" w:type="pct"/>
            <w:hideMark/>
          </w:tcPr>
          <w:p w14:paraId="7FE33506" w14:textId="77777777" w:rsidR="00761037" w:rsidRPr="00001E85" w:rsidRDefault="00761037" w:rsidP="005E450C">
            <w:pPr>
              <w:jc w:val="center"/>
              <w:cnfStyle w:val="100000000000" w:firstRow="1" w:lastRow="0" w:firstColumn="0" w:lastColumn="0" w:oddVBand="0" w:evenVBand="0" w:oddHBand="0" w:evenHBand="0" w:firstRowFirstColumn="0" w:firstRowLastColumn="0" w:lastRowFirstColumn="0" w:lastRowLastColumn="0"/>
              <w:rPr>
                <w:color w:val="4F81BD" w:themeColor="accent1"/>
              </w:rPr>
            </w:pPr>
            <w:r w:rsidRPr="00001E85">
              <w:rPr>
                <w:color w:val="4F81BD" w:themeColor="accent1"/>
              </w:rPr>
              <w:t> Price by mail</w:t>
            </w:r>
          </w:p>
        </w:tc>
      </w:tr>
      <w:tr w:rsidR="00001E85" w:rsidRPr="00001E85" w14:paraId="687982BB" w14:textId="77777777" w:rsidTr="00001E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0" w:type="pct"/>
            <w:hideMark/>
          </w:tcPr>
          <w:p w14:paraId="3366FA0A" w14:textId="77777777" w:rsidR="00761037" w:rsidRPr="00001E85" w:rsidRDefault="00761037" w:rsidP="00226CCA">
            <w:pPr>
              <w:spacing w:after="60"/>
              <w:rPr>
                <w:b w:val="0"/>
                <w:color w:val="auto"/>
              </w:rPr>
            </w:pPr>
            <w:r w:rsidRPr="00001E85">
              <w:rPr>
                <w:b w:val="0"/>
                <w:color w:val="auto"/>
              </w:rPr>
              <w:t>Current personal name extract</w:t>
            </w:r>
          </w:p>
        </w:tc>
        <w:tc>
          <w:tcPr>
            <w:tcW w:w="1000" w:type="pct"/>
            <w:hideMark/>
          </w:tcPr>
          <w:p w14:paraId="10932568" w14:textId="77777777" w:rsidR="00761037" w:rsidRPr="00001E85" w:rsidRDefault="00761037" w:rsidP="00226CCA">
            <w:pPr>
              <w:spacing w:after="60"/>
              <w:jc w:val="center"/>
              <w:cnfStyle w:val="000000100000" w:firstRow="0" w:lastRow="0" w:firstColumn="0" w:lastColumn="0" w:oddVBand="0" w:evenVBand="0" w:oddHBand="1" w:evenHBand="0" w:firstRowFirstColumn="0" w:firstRowLastColumn="0" w:lastRowFirstColumn="0" w:lastRowLastColumn="0"/>
              <w:rPr>
                <w:color w:val="auto"/>
              </w:rPr>
            </w:pPr>
            <w:r w:rsidRPr="00001E85">
              <w:rPr>
                <w:color w:val="auto"/>
              </w:rPr>
              <w:t>N/A </w:t>
            </w:r>
          </w:p>
        </w:tc>
        <w:tc>
          <w:tcPr>
            <w:tcW w:w="1000" w:type="pct"/>
            <w:hideMark/>
          </w:tcPr>
          <w:p w14:paraId="780EBD1A" w14:textId="77777777" w:rsidR="00761037" w:rsidRPr="00001E85" w:rsidRDefault="00761037" w:rsidP="00226CCA">
            <w:pPr>
              <w:spacing w:after="60"/>
              <w:jc w:val="center"/>
              <w:cnfStyle w:val="000000100000" w:firstRow="0" w:lastRow="0" w:firstColumn="0" w:lastColumn="0" w:oddVBand="0" w:evenVBand="0" w:oddHBand="1" w:evenHBand="0" w:firstRowFirstColumn="0" w:firstRowLastColumn="0" w:lastRowFirstColumn="0" w:lastRowLastColumn="0"/>
              <w:rPr>
                <w:color w:val="auto"/>
              </w:rPr>
            </w:pPr>
            <w:r w:rsidRPr="00001E85">
              <w:rPr>
                <w:color w:val="auto"/>
              </w:rPr>
              <w:t> $43</w:t>
            </w:r>
          </w:p>
        </w:tc>
      </w:tr>
      <w:tr w:rsidR="00001E85" w:rsidRPr="00001E85" w14:paraId="6DD0CA8C" w14:textId="77777777" w:rsidTr="00001E85">
        <w:tc>
          <w:tcPr>
            <w:cnfStyle w:val="001000000000" w:firstRow="0" w:lastRow="0" w:firstColumn="1" w:lastColumn="0" w:oddVBand="0" w:evenVBand="0" w:oddHBand="0" w:evenHBand="0" w:firstRowFirstColumn="0" w:firstRowLastColumn="0" w:lastRowFirstColumn="0" w:lastRowLastColumn="0"/>
            <w:tcW w:w="3000" w:type="pct"/>
            <w:hideMark/>
          </w:tcPr>
          <w:p w14:paraId="18993C8B" w14:textId="77777777" w:rsidR="00761037" w:rsidRPr="00001E85" w:rsidRDefault="00761037" w:rsidP="00226CCA">
            <w:pPr>
              <w:spacing w:after="60"/>
              <w:rPr>
                <w:b w:val="0"/>
                <w:color w:val="auto"/>
              </w:rPr>
            </w:pPr>
            <w:r w:rsidRPr="00001E85">
              <w:rPr>
                <w:b w:val="0"/>
                <w:color w:val="auto"/>
              </w:rPr>
              <w:lastRenderedPageBreak/>
              <w:t>Current and historical personal name extract</w:t>
            </w:r>
          </w:p>
        </w:tc>
        <w:tc>
          <w:tcPr>
            <w:tcW w:w="1000" w:type="pct"/>
            <w:hideMark/>
          </w:tcPr>
          <w:p w14:paraId="49B45698" w14:textId="77777777" w:rsidR="00761037" w:rsidRPr="00001E85" w:rsidRDefault="00761037" w:rsidP="00226CCA">
            <w:pPr>
              <w:spacing w:after="60"/>
              <w:jc w:val="center"/>
              <w:cnfStyle w:val="000000000000" w:firstRow="0" w:lastRow="0" w:firstColumn="0" w:lastColumn="0" w:oddVBand="0" w:evenVBand="0" w:oddHBand="0" w:evenHBand="0" w:firstRowFirstColumn="0" w:firstRowLastColumn="0" w:lastRowFirstColumn="0" w:lastRowLastColumn="0"/>
              <w:rPr>
                <w:color w:val="auto"/>
              </w:rPr>
            </w:pPr>
            <w:r w:rsidRPr="00001E85">
              <w:rPr>
                <w:color w:val="auto"/>
              </w:rPr>
              <w:t>N/A </w:t>
            </w:r>
          </w:p>
        </w:tc>
        <w:tc>
          <w:tcPr>
            <w:tcW w:w="1000" w:type="pct"/>
            <w:hideMark/>
          </w:tcPr>
          <w:p w14:paraId="266AE49B" w14:textId="77777777" w:rsidR="00761037" w:rsidRPr="00001E85" w:rsidRDefault="00761037" w:rsidP="00226CCA">
            <w:pPr>
              <w:spacing w:after="60"/>
              <w:jc w:val="center"/>
              <w:cnfStyle w:val="000000000000" w:firstRow="0" w:lastRow="0" w:firstColumn="0" w:lastColumn="0" w:oddVBand="0" w:evenVBand="0" w:oddHBand="0" w:evenHBand="0" w:firstRowFirstColumn="0" w:firstRowLastColumn="0" w:lastRowFirstColumn="0" w:lastRowLastColumn="0"/>
              <w:rPr>
                <w:color w:val="auto"/>
              </w:rPr>
            </w:pPr>
            <w:r w:rsidRPr="00001E85">
              <w:rPr>
                <w:color w:val="auto"/>
              </w:rPr>
              <w:t> $43</w:t>
            </w:r>
          </w:p>
        </w:tc>
      </w:tr>
      <w:tr w:rsidR="00001E85" w:rsidRPr="00001E85" w14:paraId="31261ABB" w14:textId="77777777" w:rsidTr="00001E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0" w:type="pct"/>
            <w:hideMark/>
          </w:tcPr>
          <w:p w14:paraId="7DF75E8F" w14:textId="77777777" w:rsidR="00761037" w:rsidRPr="00001E85" w:rsidRDefault="00761037" w:rsidP="00226CCA">
            <w:pPr>
              <w:spacing w:after="60"/>
              <w:rPr>
                <w:b w:val="0"/>
                <w:color w:val="auto"/>
              </w:rPr>
            </w:pPr>
            <w:r w:rsidRPr="00001E85">
              <w:rPr>
                <w:b w:val="0"/>
                <w:color w:val="auto"/>
              </w:rPr>
              <w:t>Preliminary search report</w:t>
            </w:r>
          </w:p>
        </w:tc>
        <w:tc>
          <w:tcPr>
            <w:tcW w:w="1000" w:type="pct"/>
            <w:hideMark/>
          </w:tcPr>
          <w:p w14:paraId="15F37DFA" w14:textId="77777777" w:rsidR="00761037" w:rsidRPr="00001E85" w:rsidRDefault="00761037" w:rsidP="00226CCA">
            <w:pPr>
              <w:spacing w:after="60"/>
              <w:jc w:val="center"/>
              <w:cnfStyle w:val="000000100000" w:firstRow="0" w:lastRow="0" w:firstColumn="0" w:lastColumn="0" w:oddVBand="0" w:evenVBand="0" w:oddHBand="1" w:evenHBand="0" w:firstRowFirstColumn="0" w:firstRowLastColumn="0" w:lastRowFirstColumn="0" w:lastRowLastColumn="0"/>
              <w:rPr>
                <w:color w:val="auto"/>
              </w:rPr>
            </w:pPr>
            <w:r w:rsidRPr="00001E85">
              <w:rPr>
                <w:color w:val="auto"/>
              </w:rPr>
              <w:t>N/A </w:t>
            </w:r>
          </w:p>
        </w:tc>
        <w:tc>
          <w:tcPr>
            <w:tcW w:w="1000" w:type="pct"/>
            <w:hideMark/>
          </w:tcPr>
          <w:p w14:paraId="39349432" w14:textId="77777777" w:rsidR="00761037" w:rsidRPr="00001E85" w:rsidRDefault="00761037" w:rsidP="00226CCA">
            <w:pPr>
              <w:spacing w:after="60"/>
              <w:jc w:val="center"/>
              <w:cnfStyle w:val="000000100000" w:firstRow="0" w:lastRow="0" w:firstColumn="0" w:lastColumn="0" w:oddVBand="0" w:evenVBand="0" w:oddHBand="1" w:evenHBand="0" w:firstRowFirstColumn="0" w:firstRowLastColumn="0" w:lastRowFirstColumn="0" w:lastRowLastColumn="0"/>
              <w:rPr>
                <w:color w:val="auto"/>
              </w:rPr>
            </w:pPr>
            <w:r w:rsidRPr="00001E85">
              <w:rPr>
                <w:color w:val="auto"/>
              </w:rPr>
              <w:t> $12</w:t>
            </w:r>
          </w:p>
        </w:tc>
      </w:tr>
    </w:tbl>
    <w:p w14:paraId="1DDC463C" w14:textId="77777777" w:rsidR="00761037" w:rsidRPr="00D20371" w:rsidRDefault="00761037" w:rsidP="00226CCA">
      <w:pPr>
        <w:spacing w:before="240"/>
        <w:rPr>
          <w:rStyle w:val="SubtleEmphasis"/>
        </w:rPr>
      </w:pPr>
      <w:bookmarkStart w:id="40" w:name="documentsearches"/>
      <w:bookmarkEnd w:id="40"/>
      <w:r w:rsidRPr="00D20371">
        <w:rPr>
          <w:rStyle w:val="SubtleEmphasis"/>
        </w:rPr>
        <w:t>Document searches</w:t>
      </w:r>
    </w:p>
    <w:tbl>
      <w:tblPr>
        <w:tblStyle w:val="LightShading-Accent1"/>
        <w:tblW w:w="5000" w:type="pct"/>
        <w:tblLook w:val="04A0" w:firstRow="1" w:lastRow="0" w:firstColumn="1" w:lastColumn="0" w:noHBand="0" w:noVBand="1"/>
      </w:tblPr>
      <w:tblGrid>
        <w:gridCol w:w="5546"/>
        <w:gridCol w:w="1848"/>
        <w:gridCol w:w="1848"/>
      </w:tblGrid>
      <w:tr w:rsidR="00001E85" w:rsidRPr="00001E85" w14:paraId="55182C85" w14:textId="77777777" w:rsidTr="00001E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0" w:type="pct"/>
            <w:hideMark/>
          </w:tcPr>
          <w:p w14:paraId="267F3E85" w14:textId="77777777" w:rsidR="00761037" w:rsidRPr="00001E85" w:rsidRDefault="00761037" w:rsidP="005E450C">
            <w:pPr>
              <w:rPr>
                <w:color w:val="4F81BD" w:themeColor="accent1"/>
              </w:rPr>
            </w:pPr>
            <w:r w:rsidRPr="00001E85">
              <w:rPr>
                <w:noProof/>
                <w:color w:val="4F81BD" w:themeColor="accent1"/>
              </w:rPr>
              <mc:AlternateContent>
                <mc:Choice Requires="wps">
                  <w:drawing>
                    <wp:inline distT="0" distB="0" distL="0" distR="0" wp14:anchorId="39E5C4A1" wp14:editId="3EB53A17">
                      <wp:extent cx="9525" cy="9525"/>
                      <wp:effectExtent l="0" t="0" r="0" b="0"/>
                      <wp:docPr id="9" name="AutoShape 16" descr="https://asic.gov.au/online-services/search-asics-registers/search-fe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6" o:spid="_x0000_s1026" alt="https://asic.gov.au/online-services/search-asics-registers/search-fees/"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" filled="f" stroked="f">
                      <o:lock v:ext="edit" aspectratio="t"/>
                      <w10:anchorlock/>
                    </v:rect>
                  </w:pict>
                </mc:Fallback>
              </mc:AlternateContent>
            </w:r>
            <w:r w:rsidRPr="00001E85">
              <w:rPr>
                <w:color w:val="4F81BD" w:themeColor="accent1"/>
              </w:rPr>
              <w:t>Product</w:t>
            </w:r>
          </w:p>
        </w:tc>
        <w:tc>
          <w:tcPr>
            <w:tcW w:w="1000" w:type="pct"/>
            <w:hideMark/>
          </w:tcPr>
          <w:p w14:paraId="7A8E3C2B" w14:textId="77777777" w:rsidR="00761037" w:rsidRPr="00001E85" w:rsidRDefault="00761037" w:rsidP="005E450C">
            <w:pPr>
              <w:jc w:val="center"/>
              <w:cnfStyle w:val="100000000000" w:firstRow="1" w:lastRow="0" w:firstColumn="0" w:lastColumn="0" w:oddVBand="0" w:evenVBand="0" w:oddHBand="0" w:evenHBand="0" w:firstRowFirstColumn="0" w:firstRowLastColumn="0" w:lastRowFirstColumn="0" w:lastRowLastColumn="0"/>
              <w:rPr>
                <w:color w:val="4F81BD" w:themeColor="accent1"/>
              </w:rPr>
            </w:pPr>
            <w:r w:rsidRPr="00001E85">
              <w:rPr>
                <w:color w:val="4F81BD" w:themeColor="accent1"/>
              </w:rPr>
              <w:t>Price online</w:t>
            </w:r>
          </w:p>
        </w:tc>
        <w:tc>
          <w:tcPr>
            <w:tcW w:w="1008" w:type="pct"/>
            <w:hideMark/>
          </w:tcPr>
          <w:p w14:paraId="3DA7453E" w14:textId="77777777" w:rsidR="00761037" w:rsidRPr="00001E85" w:rsidRDefault="00761037" w:rsidP="005E450C">
            <w:pPr>
              <w:jc w:val="center"/>
              <w:cnfStyle w:val="100000000000" w:firstRow="1" w:lastRow="0" w:firstColumn="0" w:lastColumn="0" w:oddVBand="0" w:evenVBand="0" w:oddHBand="0" w:evenHBand="0" w:firstRowFirstColumn="0" w:firstRowLastColumn="0" w:lastRowFirstColumn="0" w:lastRowLastColumn="0"/>
              <w:rPr>
                <w:color w:val="4F81BD" w:themeColor="accent1"/>
              </w:rPr>
            </w:pPr>
            <w:r w:rsidRPr="00001E85">
              <w:rPr>
                <w:color w:val="4F81BD" w:themeColor="accent1"/>
              </w:rPr>
              <w:t>Price by mail</w:t>
            </w:r>
          </w:p>
        </w:tc>
      </w:tr>
      <w:tr w:rsidR="00001E85" w:rsidRPr="00001E85" w14:paraId="5A8D0515" w14:textId="77777777" w:rsidTr="00001E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0" w:type="pct"/>
            <w:hideMark/>
          </w:tcPr>
          <w:p w14:paraId="1B70D1B8" w14:textId="77777777" w:rsidR="00761037" w:rsidRPr="00001E85" w:rsidRDefault="00761037" w:rsidP="00226CCA">
            <w:pPr>
              <w:spacing w:after="60"/>
              <w:rPr>
                <w:b w:val="0"/>
                <w:color w:val="auto"/>
              </w:rPr>
            </w:pPr>
            <w:r w:rsidRPr="00001E85">
              <w:rPr>
                <w:b w:val="0"/>
                <w:color w:val="auto"/>
              </w:rPr>
              <w:t>Documents (less than 10 pages</w:t>
            </w:r>
          </w:p>
        </w:tc>
        <w:tc>
          <w:tcPr>
            <w:tcW w:w="1000" w:type="pct"/>
            <w:hideMark/>
          </w:tcPr>
          <w:p w14:paraId="522A4CCB" w14:textId="77777777" w:rsidR="00761037" w:rsidRPr="00001E85" w:rsidRDefault="00761037" w:rsidP="00226CCA">
            <w:pPr>
              <w:spacing w:after="60"/>
              <w:jc w:val="center"/>
              <w:cnfStyle w:val="000000100000" w:firstRow="0" w:lastRow="0" w:firstColumn="0" w:lastColumn="0" w:oddVBand="0" w:evenVBand="0" w:oddHBand="1" w:evenHBand="0" w:firstRowFirstColumn="0" w:firstRowLastColumn="0" w:lastRowFirstColumn="0" w:lastRowLastColumn="0"/>
              <w:rPr>
                <w:color w:val="auto"/>
              </w:rPr>
            </w:pPr>
            <w:r w:rsidRPr="00001E85">
              <w:rPr>
                <w:color w:val="auto"/>
              </w:rPr>
              <w:t>$17</w:t>
            </w:r>
          </w:p>
        </w:tc>
        <w:tc>
          <w:tcPr>
            <w:tcW w:w="1008" w:type="pct"/>
            <w:hideMark/>
          </w:tcPr>
          <w:p w14:paraId="3BD0F67E" w14:textId="77777777" w:rsidR="00761037" w:rsidRPr="00001E85" w:rsidRDefault="00761037" w:rsidP="00226CCA">
            <w:pPr>
              <w:spacing w:after="60"/>
              <w:jc w:val="center"/>
              <w:cnfStyle w:val="000000100000" w:firstRow="0" w:lastRow="0" w:firstColumn="0" w:lastColumn="0" w:oddVBand="0" w:evenVBand="0" w:oddHBand="1" w:evenHBand="0" w:firstRowFirstColumn="0" w:firstRowLastColumn="0" w:lastRowFirstColumn="0" w:lastRowLastColumn="0"/>
              <w:rPr>
                <w:color w:val="auto"/>
              </w:rPr>
            </w:pPr>
            <w:r w:rsidRPr="00001E85">
              <w:rPr>
                <w:color w:val="auto"/>
              </w:rPr>
              <w:t>$20</w:t>
            </w:r>
          </w:p>
        </w:tc>
      </w:tr>
      <w:tr w:rsidR="00001E85" w:rsidRPr="00001E85" w14:paraId="74D0BFA3" w14:textId="77777777" w:rsidTr="00001E85">
        <w:tc>
          <w:tcPr>
            <w:cnfStyle w:val="001000000000" w:firstRow="0" w:lastRow="0" w:firstColumn="1" w:lastColumn="0" w:oddVBand="0" w:evenVBand="0" w:oddHBand="0" w:evenHBand="0" w:firstRowFirstColumn="0" w:firstRowLastColumn="0" w:lastRowFirstColumn="0" w:lastRowLastColumn="0"/>
            <w:tcW w:w="3000" w:type="pct"/>
            <w:hideMark/>
          </w:tcPr>
          <w:p w14:paraId="6F08D124" w14:textId="77777777" w:rsidR="00761037" w:rsidRPr="00001E85" w:rsidRDefault="00761037" w:rsidP="00226CCA">
            <w:pPr>
              <w:spacing w:after="60"/>
              <w:rPr>
                <w:b w:val="0"/>
                <w:color w:val="auto"/>
              </w:rPr>
            </w:pPr>
            <w:r w:rsidRPr="00001E85">
              <w:rPr>
                <w:b w:val="0"/>
                <w:color w:val="auto"/>
              </w:rPr>
              <w:t>Documents (10 pages or more)</w:t>
            </w:r>
          </w:p>
        </w:tc>
        <w:tc>
          <w:tcPr>
            <w:tcW w:w="1000" w:type="pct"/>
            <w:hideMark/>
          </w:tcPr>
          <w:p w14:paraId="404C3C1A" w14:textId="77777777" w:rsidR="00761037" w:rsidRPr="00001E85" w:rsidRDefault="00761037" w:rsidP="00226CCA">
            <w:pPr>
              <w:spacing w:after="60"/>
              <w:jc w:val="center"/>
              <w:cnfStyle w:val="000000000000" w:firstRow="0" w:lastRow="0" w:firstColumn="0" w:lastColumn="0" w:oddVBand="0" w:evenVBand="0" w:oddHBand="0" w:evenHBand="0" w:firstRowFirstColumn="0" w:firstRowLastColumn="0" w:lastRowFirstColumn="0" w:lastRowLastColumn="0"/>
              <w:rPr>
                <w:color w:val="auto"/>
              </w:rPr>
            </w:pPr>
            <w:r w:rsidRPr="00001E85">
              <w:rPr>
                <w:color w:val="auto"/>
              </w:rPr>
              <w:t> $40</w:t>
            </w:r>
          </w:p>
        </w:tc>
        <w:tc>
          <w:tcPr>
            <w:tcW w:w="1008" w:type="pct"/>
            <w:hideMark/>
          </w:tcPr>
          <w:p w14:paraId="47AA8C2F" w14:textId="77777777" w:rsidR="00761037" w:rsidRPr="00001E85" w:rsidRDefault="00761037" w:rsidP="00226CCA">
            <w:pPr>
              <w:spacing w:after="60"/>
              <w:jc w:val="center"/>
              <w:cnfStyle w:val="000000000000" w:firstRow="0" w:lastRow="0" w:firstColumn="0" w:lastColumn="0" w:oddVBand="0" w:evenVBand="0" w:oddHBand="0" w:evenHBand="0" w:firstRowFirstColumn="0" w:firstRowLastColumn="0" w:lastRowFirstColumn="0" w:lastRowLastColumn="0"/>
              <w:rPr>
                <w:color w:val="auto"/>
              </w:rPr>
            </w:pPr>
            <w:r w:rsidRPr="00001E85">
              <w:rPr>
                <w:color w:val="auto"/>
              </w:rPr>
              <w:t>$43</w:t>
            </w:r>
          </w:p>
        </w:tc>
      </w:tr>
      <w:tr w:rsidR="00001E85" w:rsidRPr="00001E85" w14:paraId="7C38105A" w14:textId="77777777" w:rsidTr="00001E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0" w:type="pct"/>
            <w:hideMark/>
          </w:tcPr>
          <w:p w14:paraId="0754C4E2" w14:textId="77777777" w:rsidR="00761037" w:rsidRPr="00001E85" w:rsidRDefault="00761037" w:rsidP="00226CCA">
            <w:pPr>
              <w:spacing w:after="60"/>
              <w:rPr>
                <w:b w:val="0"/>
                <w:color w:val="auto"/>
              </w:rPr>
            </w:pPr>
            <w:r w:rsidRPr="00001E85">
              <w:rPr>
                <w:b w:val="0"/>
                <w:color w:val="auto"/>
              </w:rPr>
              <w:t>Certification of a document (additional fee)</w:t>
            </w:r>
          </w:p>
        </w:tc>
        <w:tc>
          <w:tcPr>
            <w:tcW w:w="1000" w:type="pct"/>
            <w:hideMark/>
          </w:tcPr>
          <w:p w14:paraId="5A11BE88" w14:textId="77777777" w:rsidR="00761037" w:rsidRPr="00001E85" w:rsidRDefault="00761037" w:rsidP="00226CCA">
            <w:pPr>
              <w:spacing w:after="60"/>
              <w:jc w:val="center"/>
              <w:cnfStyle w:val="000000100000" w:firstRow="0" w:lastRow="0" w:firstColumn="0" w:lastColumn="0" w:oddVBand="0" w:evenVBand="0" w:oddHBand="1" w:evenHBand="0" w:firstRowFirstColumn="0" w:firstRowLastColumn="0" w:lastRowFirstColumn="0" w:lastRowLastColumn="0"/>
              <w:rPr>
                <w:color w:val="auto"/>
              </w:rPr>
            </w:pPr>
            <w:r w:rsidRPr="00001E85">
              <w:rPr>
                <w:color w:val="auto"/>
              </w:rPr>
              <w:t> $19</w:t>
            </w:r>
          </w:p>
        </w:tc>
        <w:tc>
          <w:tcPr>
            <w:tcW w:w="1008" w:type="pct"/>
            <w:hideMark/>
          </w:tcPr>
          <w:p w14:paraId="75C75C97" w14:textId="77777777" w:rsidR="00761037" w:rsidRPr="00001E85" w:rsidRDefault="00761037" w:rsidP="00226CCA">
            <w:pPr>
              <w:spacing w:after="60"/>
              <w:jc w:val="center"/>
              <w:cnfStyle w:val="000000100000" w:firstRow="0" w:lastRow="0" w:firstColumn="0" w:lastColumn="0" w:oddVBand="0" w:evenVBand="0" w:oddHBand="1" w:evenHBand="0" w:firstRowFirstColumn="0" w:firstRowLastColumn="0" w:lastRowFirstColumn="0" w:lastRowLastColumn="0"/>
              <w:rPr>
                <w:color w:val="auto"/>
              </w:rPr>
            </w:pPr>
            <w:r w:rsidRPr="00001E85">
              <w:rPr>
                <w:color w:val="auto"/>
              </w:rPr>
              <w:t>$19</w:t>
            </w:r>
          </w:p>
        </w:tc>
      </w:tr>
    </w:tbl>
    <w:p w14:paraId="0DD84482" w14:textId="77777777" w:rsidR="00761037" w:rsidRPr="00D20371" w:rsidRDefault="00761037" w:rsidP="00226CCA">
      <w:pPr>
        <w:spacing w:before="240"/>
        <w:rPr>
          <w:rStyle w:val="SubtleEmphasis"/>
        </w:rPr>
      </w:pPr>
      <w:bookmarkStart w:id="41" w:name="bannedanddisqualified"/>
      <w:bookmarkEnd w:id="41"/>
      <w:r w:rsidRPr="00D20371">
        <w:rPr>
          <w:rStyle w:val="SubtleEmphasis"/>
        </w:rPr>
        <w:t>Banned and disqualified persons</w:t>
      </w:r>
    </w:p>
    <w:tbl>
      <w:tblPr>
        <w:tblStyle w:val="LightShading-Accent1"/>
        <w:tblW w:w="5000" w:type="pct"/>
        <w:tblLook w:val="04A0" w:firstRow="1" w:lastRow="0" w:firstColumn="1" w:lastColumn="0" w:noHBand="0" w:noVBand="1"/>
      </w:tblPr>
      <w:tblGrid>
        <w:gridCol w:w="5546"/>
        <w:gridCol w:w="1848"/>
        <w:gridCol w:w="1848"/>
      </w:tblGrid>
      <w:tr w:rsidR="00CA4847" w:rsidRPr="00CA4847" w14:paraId="3189B759" w14:textId="77777777" w:rsidTr="00CA48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0" w:type="pct"/>
            <w:hideMark/>
          </w:tcPr>
          <w:p w14:paraId="3CC8F3C9" w14:textId="77777777" w:rsidR="00761037" w:rsidRPr="00CA4847" w:rsidRDefault="00761037" w:rsidP="005E450C">
            <w:pPr>
              <w:rPr>
                <w:color w:val="4F81BD" w:themeColor="accent1"/>
              </w:rPr>
            </w:pPr>
            <w:r w:rsidRPr="00CA4847">
              <w:rPr>
                <w:noProof/>
                <w:color w:val="4F81BD" w:themeColor="accent1"/>
              </w:rPr>
              <mc:AlternateContent>
                <mc:Choice Requires="wps">
                  <w:drawing>
                    <wp:inline distT="0" distB="0" distL="0" distR="0" wp14:anchorId="498269E2" wp14:editId="2B24E1AA">
                      <wp:extent cx="9525" cy="9525"/>
                      <wp:effectExtent l="0" t="0" r="0" b="0"/>
                      <wp:docPr id="8" name="AutoShape 17" descr="https://asic.gov.au/online-services/search-asics-registers/search-fe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7" o:spid="_x0000_s1026" alt="https://asic.gov.au/online-services/search-asics-registers/search-fees/"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" filled="f" stroked="f">
                      <o:lock v:ext="edit" aspectratio="t"/>
                      <w10:anchorlock/>
                    </v:rect>
                  </w:pict>
                </mc:Fallback>
              </mc:AlternateContent>
            </w:r>
            <w:r w:rsidRPr="00CA4847">
              <w:rPr>
                <w:color w:val="4F81BD" w:themeColor="accent1"/>
              </w:rPr>
              <w:t>Product</w:t>
            </w:r>
          </w:p>
        </w:tc>
        <w:tc>
          <w:tcPr>
            <w:tcW w:w="1000" w:type="pct"/>
            <w:hideMark/>
          </w:tcPr>
          <w:p w14:paraId="043D4795" w14:textId="77777777" w:rsidR="00761037" w:rsidRPr="00CA4847" w:rsidRDefault="00761037" w:rsidP="005E450C">
            <w:pPr>
              <w:jc w:val="center"/>
              <w:cnfStyle w:val="100000000000" w:firstRow="1" w:lastRow="0" w:firstColumn="0" w:lastColumn="0" w:oddVBand="0" w:evenVBand="0" w:oddHBand="0" w:evenHBand="0" w:firstRowFirstColumn="0" w:firstRowLastColumn="0" w:lastRowFirstColumn="0" w:lastRowLastColumn="0"/>
              <w:rPr>
                <w:color w:val="4F81BD" w:themeColor="accent1"/>
              </w:rPr>
            </w:pPr>
            <w:r w:rsidRPr="00CA4847">
              <w:rPr>
                <w:color w:val="4F81BD" w:themeColor="accent1"/>
              </w:rPr>
              <w:t> Price online</w:t>
            </w:r>
          </w:p>
        </w:tc>
        <w:tc>
          <w:tcPr>
            <w:tcW w:w="1000" w:type="pct"/>
            <w:hideMark/>
          </w:tcPr>
          <w:p w14:paraId="3DEFBF46" w14:textId="77777777" w:rsidR="00761037" w:rsidRPr="00CA4847" w:rsidRDefault="00761037" w:rsidP="005E450C">
            <w:pPr>
              <w:jc w:val="center"/>
              <w:cnfStyle w:val="100000000000" w:firstRow="1" w:lastRow="0" w:firstColumn="0" w:lastColumn="0" w:oddVBand="0" w:evenVBand="0" w:oddHBand="0" w:evenHBand="0" w:firstRowFirstColumn="0" w:firstRowLastColumn="0" w:lastRowFirstColumn="0" w:lastRowLastColumn="0"/>
              <w:rPr>
                <w:color w:val="4F81BD" w:themeColor="accent1"/>
              </w:rPr>
            </w:pPr>
            <w:r w:rsidRPr="00CA4847">
              <w:rPr>
                <w:color w:val="4F81BD" w:themeColor="accent1"/>
              </w:rPr>
              <w:t>Price by mail</w:t>
            </w:r>
          </w:p>
        </w:tc>
      </w:tr>
      <w:tr w:rsidR="00761037" w:rsidRPr="0044107F" w14:paraId="5C5654B6" w14:textId="77777777" w:rsidTr="00CA4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0" w:type="pct"/>
            <w:hideMark/>
          </w:tcPr>
          <w:p w14:paraId="0B4B9FC9" w14:textId="77777777" w:rsidR="00761037" w:rsidRPr="00CA4847" w:rsidRDefault="00761037" w:rsidP="00226CCA">
            <w:pPr>
              <w:spacing w:after="60"/>
              <w:rPr>
                <w:b w:val="0"/>
                <w:color w:val="auto"/>
              </w:rPr>
            </w:pPr>
            <w:r w:rsidRPr="00CA4847">
              <w:rPr>
                <w:b w:val="0"/>
                <w:color w:val="auto"/>
              </w:rPr>
              <w:t>Disqualified person extract</w:t>
            </w:r>
          </w:p>
        </w:tc>
        <w:tc>
          <w:tcPr>
            <w:tcW w:w="1000" w:type="pct"/>
            <w:hideMark/>
          </w:tcPr>
          <w:p w14:paraId="6F3D9C50" w14:textId="77777777" w:rsidR="00761037" w:rsidRPr="00CA4847" w:rsidRDefault="00761037" w:rsidP="00226CCA">
            <w:pPr>
              <w:spacing w:after="60"/>
              <w:jc w:val="center"/>
              <w:cnfStyle w:val="000000100000" w:firstRow="0" w:lastRow="0" w:firstColumn="0" w:lastColumn="0" w:oddVBand="0" w:evenVBand="0" w:oddHBand="1" w:evenHBand="0" w:firstRowFirstColumn="0" w:firstRowLastColumn="0" w:lastRowFirstColumn="0" w:lastRowLastColumn="0"/>
              <w:rPr>
                <w:color w:val="auto"/>
              </w:rPr>
            </w:pPr>
            <w:r w:rsidRPr="00CA4847">
              <w:rPr>
                <w:b/>
                <w:color w:val="00B050"/>
              </w:rPr>
              <w:t>Free</w:t>
            </w:r>
          </w:p>
        </w:tc>
        <w:tc>
          <w:tcPr>
            <w:tcW w:w="1000" w:type="pct"/>
            <w:hideMark/>
          </w:tcPr>
          <w:p w14:paraId="29A28F0B" w14:textId="77777777" w:rsidR="00761037" w:rsidRPr="00CA4847" w:rsidRDefault="00761037" w:rsidP="00226CCA">
            <w:pPr>
              <w:spacing w:after="60"/>
              <w:jc w:val="center"/>
              <w:cnfStyle w:val="000000100000" w:firstRow="0" w:lastRow="0" w:firstColumn="0" w:lastColumn="0" w:oddVBand="0" w:evenVBand="0" w:oddHBand="1" w:evenHBand="0" w:firstRowFirstColumn="0" w:firstRowLastColumn="0" w:lastRowFirstColumn="0" w:lastRowLastColumn="0"/>
              <w:rPr>
                <w:color w:val="auto"/>
              </w:rPr>
            </w:pPr>
            <w:r w:rsidRPr="00CA4847">
              <w:rPr>
                <w:color w:val="auto"/>
              </w:rPr>
              <w:t>$12</w:t>
            </w:r>
          </w:p>
        </w:tc>
      </w:tr>
      <w:tr w:rsidR="00761037" w:rsidRPr="0044107F" w14:paraId="384CD6F2" w14:textId="77777777" w:rsidTr="00CA4847">
        <w:tc>
          <w:tcPr>
            <w:cnfStyle w:val="001000000000" w:firstRow="0" w:lastRow="0" w:firstColumn="1" w:lastColumn="0" w:oddVBand="0" w:evenVBand="0" w:oddHBand="0" w:evenHBand="0" w:firstRowFirstColumn="0" w:firstRowLastColumn="0" w:lastRowFirstColumn="0" w:lastRowLastColumn="0"/>
            <w:tcW w:w="3000" w:type="pct"/>
            <w:hideMark/>
          </w:tcPr>
          <w:p w14:paraId="76FCC166" w14:textId="77777777" w:rsidR="00761037" w:rsidRPr="00CA4847" w:rsidRDefault="00761037" w:rsidP="00226CCA">
            <w:pPr>
              <w:spacing w:after="60"/>
              <w:rPr>
                <w:b w:val="0"/>
                <w:color w:val="auto"/>
              </w:rPr>
            </w:pPr>
            <w:r w:rsidRPr="00CA4847">
              <w:rPr>
                <w:b w:val="0"/>
                <w:color w:val="auto"/>
              </w:rPr>
              <w:t>Banned securities representative extract</w:t>
            </w:r>
          </w:p>
        </w:tc>
        <w:tc>
          <w:tcPr>
            <w:tcW w:w="1000" w:type="pct"/>
            <w:hideMark/>
          </w:tcPr>
          <w:p w14:paraId="59946CD9" w14:textId="77777777" w:rsidR="00761037" w:rsidRPr="00CA4847" w:rsidRDefault="00761037" w:rsidP="00226CCA">
            <w:pPr>
              <w:spacing w:after="60"/>
              <w:jc w:val="center"/>
              <w:cnfStyle w:val="000000000000" w:firstRow="0" w:lastRow="0" w:firstColumn="0" w:lastColumn="0" w:oddVBand="0" w:evenVBand="0" w:oddHBand="0" w:evenHBand="0" w:firstRowFirstColumn="0" w:firstRowLastColumn="0" w:lastRowFirstColumn="0" w:lastRowLastColumn="0"/>
              <w:rPr>
                <w:color w:val="auto"/>
              </w:rPr>
            </w:pPr>
            <w:r w:rsidRPr="00CA4847">
              <w:rPr>
                <w:color w:val="auto"/>
              </w:rPr>
              <w:t>N/A </w:t>
            </w:r>
          </w:p>
        </w:tc>
        <w:tc>
          <w:tcPr>
            <w:tcW w:w="1000" w:type="pct"/>
            <w:hideMark/>
          </w:tcPr>
          <w:p w14:paraId="2E20B858" w14:textId="77777777" w:rsidR="00761037" w:rsidRPr="00CA4847" w:rsidRDefault="00761037" w:rsidP="00226CCA">
            <w:pPr>
              <w:spacing w:after="60"/>
              <w:jc w:val="center"/>
              <w:cnfStyle w:val="000000000000" w:firstRow="0" w:lastRow="0" w:firstColumn="0" w:lastColumn="0" w:oddVBand="0" w:evenVBand="0" w:oddHBand="0" w:evenHBand="0" w:firstRowFirstColumn="0" w:firstRowLastColumn="0" w:lastRowFirstColumn="0" w:lastRowLastColumn="0"/>
              <w:rPr>
                <w:color w:val="auto"/>
              </w:rPr>
            </w:pPr>
            <w:r w:rsidRPr="00CA4847">
              <w:rPr>
                <w:color w:val="auto"/>
              </w:rPr>
              <w:t> $12</w:t>
            </w:r>
          </w:p>
        </w:tc>
      </w:tr>
      <w:tr w:rsidR="00761037" w:rsidRPr="0044107F" w14:paraId="4E38F530" w14:textId="77777777" w:rsidTr="00CA4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0" w:type="pct"/>
            <w:hideMark/>
          </w:tcPr>
          <w:p w14:paraId="76DEC69F" w14:textId="77777777" w:rsidR="00761037" w:rsidRPr="00CA4847" w:rsidRDefault="00761037" w:rsidP="00226CCA">
            <w:pPr>
              <w:spacing w:after="60"/>
              <w:rPr>
                <w:b w:val="0"/>
                <w:color w:val="auto"/>
              </w:rPr>
            </w:pPr>
            <w:r w:rsidRPr="00CA4847">
              <w:rPr>
                <w:b w:val="0"/>
                <w:color w:val="auto"/>
              </w:rPr>
              <w:t>Banned futures representative extract</w:t>
            </w:r>
          </w:p>
        </w:tc>
        <w:tc>
          <w:tcPr>
            <w:tcW w:w="1000" w:type="pct"/>
            <w:hideMark/>
          </w:tcPr>
          <w:p w14:paraId="5B76B141" w14:textId="77777777" w:rsidR="00761037" w:rsidRPr="00CA4847" w:rsidRDefault="00761037" w:rsidP="00226CCA">
            <w:pPr>
              <w:spacing w:after="60"/>
              <w:jc w:val="center"/>
              <w:cnfStyle w:val="000000100000" w:firstRow="0" w:lastRow="0" w:firstColumn="0" w:lastColumn="0" w:oddVBand="0" w:evenVBand="0" w:oddHBand="1" w:evenHBand="0" w:firstRowFirstColumn="0" w:firstRowLastColumn="0" w:lastRowFirstColumn="0" w:lastRowLastColumn="0"/>
              <w:rPr>
                <w:color w:val="auto"/>
              </w:rPr>
            </w:pPr>
            <w:r w:rsidRPr="00CA4847">
              <w:rPr>
                <w:color w:val="auto"/>
              </w:rPr>
              <w:t>N/A </w:t>
            </w:r>
          </w:p>
        </w:tc>
        <w:tc>
          <w:tcPr>
            <w:tcW w:w="1000" w:type="pct"/>
            <w:hideMark/>
          </w:tcPr>
          <w:p w14:paraId="737AEF3D" w14:textId="77777777" w:rsidR="00761037" w:rsidRPr="00CA4847" w:rsidRDefault="00761037" w:rsidP="00226CCA">
            <w:pPr>
              <w:spacing w:after="60"/>
              <w:jc w:val="center"/>
              <w:cnfStyle w:val="000000100000" w:firstRow="0" w:lastRow="0" w:firstColumn="0" w:lastColumn="0" w:oddVBand="0" w:evenVBand="0" w:oddHBand="1" w:evenHBand="0" w:firstRowFirstColumn="0" w:firstRowLastColumn="0" w:lastRowFirstColumn="0" w:lastRowLastColumn="0"/>
              <w:rPr>
                <w:color w:val="auto"/>
              </w:rPr>
            </w:pPr>
            <w:r w:rsidRPr="00CA4847">
              <w:rPr>
                <w:color w:val="auto"/>
              </w:rPr>
              <w:t> $12</w:t>
            </w:r>
          </w:p>
        </w:tc>
      </w:tr>
    </w:tbl>
    <w:p w14:paraId="7A232034" w14:textId="77777777" w:rsidR="00761037" w:rsidRPr="00D20371" w:rsidRDefault="00761037" w:rsidP="00226CCA">
      <w:pPr>
        <w:spacing w:before="240"/>
        <w:rPr>
          <w:rStyle w:val="SubtleEmphasis"/>
        </w:rPr>
      </w:pPr>
      <w:bookmarkStart w:id="42" w:name="professionalregisters"/>
      <w:bookmarkEnd w:id="42"/>
      <w:r w:rsidRPr="00D20371">
        <w:rPr>
          <w:rStyle w:val="SubtleEmphasis"/>
        </w:rPr>
        <w:t>Professional registers</w:t>
      </w:r>
    </w:p>
    <w:tbl>
      <w:tblPr>
        <w:tblStyle w:val="LightShading-Accent1"/>
        <w:tblW w:w="5000" w:type="pct"/>
        <w:tblLook w:val="04A0" w:firstRow="1" w:lastRow="0" w:firstColumn="1" w:lastColumn="0" w:noHBand="0" w:noVBand="1"/>
      </w:tblPr>
      <w:tblGrid>
        <w:gridCol w:w="5546"/>
        <w:gridCol w:w="1848"/>
        <w:gridCol w:w="1848"/>
      </w:tblGrid>
      <w:tr w:rsidR="00CA4847" w:rsidRPr="00CA4847" w14:paraId="2861ADD1" w14:textId="77777777" w:rsidTr="00CA48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0" w:type="pct"/>
            <w:hideMark/>
          </w:tcPr>
          <w:p w14:paraId="30976F11" w14:textId="77777777" w:rsidR="00761037" w:rsidRPr="00CA4847" w:rsidRDefault="00761037" w:rsidP="005E450C">
            <w:pPr>
              <w:rPr>
                <w:color w:val="4F81BD" w:themeColor="accent1"/>
              </w:rPr>
            </w:pPr>
            <w:r w:rsidRPr="00CA4847">
              <w:rPr>
                <w:noProof/>
                <w:color w:val="4F81BD" w:themeColor="accent1"/>
              </w:rPr>
              <mc:AlternateContent>
                <mc:Choice Requires="wps">
                  <w:drawing>
                    <wp:inline distT="0" distB="0" distL="0" distR="0" wp14:anchorId="40F1F313" wp14:editId="1D070236">
                      <wp:extent cx="9525" cy="9525"/>
                      <wp:effectExtent l="0" t="0" r="0" b="0"/>
                      <wp:docPr id="1" name="AutoShape 18" descr="https://asic.gov.au/online-services/search-asics-registers/search-fe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8" o:spid="_x0000_s1026" alt="https://asic.gov.au/online-services/search-asics-registers/search-fees/"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" filled="f" stroked="f">
                      <o:lock v:ext="edit" aspectratio="t"/>
                      <w10:anchorlock/>
                    </v:rect>
                  </w:pict>
                </mc:Fallback>
              </mc:AlternateContent>
            </w:r>
            <w:r w:rsidRPr="00CA4847">
              <w:rPr>
                <w:color w:val="4F81BD" w:themeColor="accent1"/>
              </w:rPr>
              <w:t>Product</w:t>
            </w:r>
          </w:p>
        </w:tc>
        <w:tc>
          <w:tcPr>
            <w:tcW w:w="1000" w:type="pct"/>
            <w:hideMark/>
          </w:tcPr>
          <w:p w14:paraId="3C8CA289" w14:textId="77777777" w:rsidR="00761037" w:rsidRPr="00CA4847" w:rsidRDefault="00761037" w:rsidP="005E450C">
            <w:pPr>
              <w:jc w:val="center"/>
              <w:cnfStyle w:val="100000000000" w:firstRow="1" w:lastRow="0" w:firstColumn="0" w:lastColumn="0" w:oddVBand="0" w:evenVBand="0" w:oddHBand="0" w:evenHBand="0" w:firstRowFirstColumn="0" w:firstRowLastColumn="0" w:lastRowFirstColumn="0" w:lastRowLastColumn="0"/>
              <w:rPr>
                <w:color w:val="4F81BD" w:themeColor="accent1"/>
              </w:rPr>
            </w:pPr>
            <w:r w:rsidRPr="00CA4847">
              <w:rPr>
                <w:color w:val="4F81BD" w:themeColor="accent1"/>
              </w:rPr>
              <w:t>Price online</w:t>
            </w:r>
          </w:p>
        </w:tc>
        <w:tc>
          <w:tcPr>
            <w:tcW w:w="1000" w:type="pct"/>
            <w:hideMark/>
          </w:tcPr>
          <w:p w14:paraId="7A4446EB" w14:textId="77777777" w:rsidR="00761037" w:rsidRPr="00CA4847" w:rsidRDefault="00761037" w:rsidP="005E450C">
            <w:pPr>
              <w:jc w:val="center"/>
              <w:cnfStyle w:val="100000000000" w:firstRow="1" w:lastRow="0" w:firstColumn="0" w:lastColumn="0" w:oddVBand="0" w:evenVBand="0" w:oddHBand="0" w:evenHBand="0" w:firstRowFirstColumn="0" w:firstRowLastColumn="0" w:lastRowFirstColumn="0" w:lastRowLastColumn="0"/>
              <w:rPr>
                <w:color w:val="4F81BD" w:themeColor="accent1"/>
              </w:rPr>
            </w:pPr>
            <w:r w:rsidRPr="00CA4847">
              <w:rPr>
                <w:color w:val="4F81BD" w:themeColor="accent1"/>
              </w:rPr>
              <w:t>Price by mail</w:t>
            </w:r>
          </w:p>
        </w:tc>
      </w:tr>
      <w:tr w:rsidR="00761037" w:rsidRPr="0044107F" w14:paraId="01F37B95" w14:textId="77777777" w:rsidTr="00CA4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0" w:type="pct"/>
            <w:hideMark/>
          </w:tcPr>
          <w:p w14:paraId="4655FBEC" w14:textId="77777777" w:rsidR="00761037" w:rsidRPr="00CA4847" w:rsidRDefault="00761037" w:rsidP="00226CCA">
            <w:pPr>
              <w:spacing w:after="60"/>
              <w:rPr>
                <w:b w:val="0"/>
                <w:color w:val="auto"/>
              </w:rPr>
            </w:pPr>
            <w:r w:rsidRPr="00CA4847">
              <w:rPr>
                <w:b w:val="0"/>
                <w:color w:val="auto"/>
              </w:rPr>
              <w:t>Futures broker pre-AFS</w:t>
            </w:r>
          </w:p>
        </w:tc>
        <w:tc>
          <w:tcPr>
            <w:tcW w:w="1000" w:type="pct"/>
            <w:hideMark/>
          </w:tcPr>
          <w:p w14:paraId="6BAE7422" w14:textId="77777777" w:rsidR="00761037" w:rsidRPr="0044107F" w:rsidRDefault="00761037" w:rsidP="00226CCA">
            <w:pPr>
              <w:spacing w:after="60"/>
              <w:jc w:val="center"/>
              <w:cnfStyle w:val="000000100000" w:firstRow="0" w:lastRow="0" w:firstColumn="0" w:lastColumn="0" w:oddVBand="0" w:evenVBand="0" w:oddHBand="1" w:evenHBand="0" w:firstRowFirstColumn="0" w:firstRowLastColumn="0" w:lastRowFirstColumn="0" w:lastRowLastColumn="0"/>
              <w:rPr>
                <w:b/>
                <w:color w:val="00B050"/>
              </w:rPr>
            </w:pPr>
            <w:r w:rsidRPr="0044107F">
              <w:rPr>
                <w:b/>
                <w:color w:val="00B050"/>
              </w:rPr>
              <w:t>Free</w:t>
            </w:r>
          </w:p>
        </w:tc>
        <w:tc>
          <w:tcPr>
            <w:tcW w:w="1000" w:type="pct"/>
            <w:hideMark/>
          </w:tcPr>
          <w:p w14:paraId="1EAA2FAB" w14:textId="77777777" w:rsidR="00761037" w:rsidRPr="00CA4847" w:rsidRDefault="00761037" w:rsidP="00226CCA">
            <w:pPr>
              <w:spacing w:after="60"/>
              <w:jc w:val="center"/>
              <w:cnfStyle w:val="000000100000" w:firstRow="0" w:lastRow="0" w:firstColumn="0" w:lastColumn="0" w:oddVBand="0" w:evenVBand="0" w:oddHBand="1" w:evenHBand="0" w:firstRowFirstColumn="0" w:firstRowLastColumn="0" w:lastRowFirstColumn="0" w:lastRowLastColumn="0"/>
              <w:rPr>
                <w:color w:val="auto"/>
              </w:rPr>
            </w:pPr>
            <w:r w:rsidRPr="00CA4847">
              <w:rPr>
                <w:color w:val="auto"/>
              </w:rPr>
              <w:t>$12</w:t>
            </w:r>
          </w:p>
        </w:tc>
      </w:tr>
      <w:tr w:rsidR="00761037" w:rsidRPr="0044107F" w14:paraId="6150A839" w14:textId="77777777" w:rsidTr="00CA4847">
        <w:tc>
          <w:tcPr>
            <w:cnfStyle w:val="001000000000" w:firstRow="0" w:lastRow="0" w:firstColumn="1" w:lastColumn="0" w:oddVBand="0" w:evenVBand="0" w:oddHBand="0" w:evenHBand="0" w:firstRowFirstColumn="0" w:firstRowLastColumn="0" w:lastRowFirstColumn="0" w:lastRowLastColumn="0"/>
            <w:tcW w:w="3000" w:type="pct"/>
            <w:hideMark/>
          </w:tcPr>
          <w:p w14:paraId="74D8A90A" w14:textId="77777777" w:rsidR="00761037" w:rsidRPr="00CA4847" w:rsidRDefault="00761037" w:rsidP="00226CCA">
            <w:pPr>
              <w:spacing w:after="60"/>
              <w:rPr>
                <w:b w:val="0"/>
                <w:color w:val="auto"/>
              </w:rPr>
            </w:pPr>
            <w:r w:rsidRPr="00CA4847">
              <w:rPr>
                <w:b w:val="0"/>
                <w:color w:val="auto"/>
              </w:rPr>
              <w:t>Investment adviser pre-AFS</w:t>
            </w:r>
          </w:p>
        </w:tc>
        <w:tc>
          <w:tcPr>
            <w:tcW w:w="1000" w:type="pct"/>
            <w:hideMark/>
          </w:tcPr>
          <w:p w14:paraId="36D9E164" w14:textId="77777777" w:rsidR="00761037" w:rsidRPr="0044107F" w:rsidRDefault="00761037" w:rsidP="00226CCA">
            <w:pPr>
              <w:spacing w:after="60"/>
              <w:jc w:val="center"/>
              <w:cnfStyle w:val="000000000000" w:firstRow="0" w:lastRow="0" w:firstColumn="0" w:lastColumn="0" w:oddVBand="0" w:evenVBand="0" w:oddHBand="0" w:evenHBand="0" w:firstRowFirstColumn="0" w:firstRowLastColumn="0" w:lastRowFirstColumn="0" w:lastRowLastColumn="0"/>
              <w:rPr>
                <w:b/>
                <w:color w:val="00B050"/>
              </w:rPr>
            </w:pPr>
            <w:r w:rsidRPr="0044107F">
              <w:rPr>
                <w:b/>
                <w:color w:val="00B050"/>
              </w:rPr>
              <w:t>Free</w:t>
            </w:r>
          </w:p>
        </w:tc>
        <w:tc>
          <w:tcPr>
            <w:tcW w:w="1000" w:type="pct"/>
            <w:hideMark/>
          </w:tcPr>
          <w:p w14:paraId="5FA8945D" w14:textId="77777777" w:rsidR="00761037" w:rsidRPr="00CA4847" w:rsidRDefault="00761037" w:rsidP="00226CCA">
            <w:pPr>
              <w:spacing w:after="60"/>
              <w:jc w:val="center"/>
              <w:cnfStyle w:val="000000000000" w:firstRow="0" w:lastRow="0" w:firstColumn="0" w:lastColumn="0" w:oddVBand="0" w:evenVBand="0" w:oddHBand="0" w:evenHBand="0" w:firstRowFirstColumn="0" w:firstRowLastColumn="0" w:lastRowFirstColumn="0" w:lastRowLastColumn="0"/>
              <w:rPr>
                <w:color w:val="auto"/>
              </w:rPr>
            </w:pPr>
            <w:r w:rsidRPr="00CA4847">
              <w:rPr>
                <w:color w:val="auto"/>
              </w:rPr>
              <w:t>$12</w:t>
            </w:r>
          </w:p>
        </w:tc>
      </w:tr>
      <w:tr w:rsidR="00761037" w:rsidRPr="0044107F" w14:paraId="311DF664" w14:textId="77777777" w:rsidTr="00CA4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0" w:type="pct"/>
            <w:hideMark/>
          </w:tcPr>
          <w:p w14:paraId="6E5276E2" w14:textId="77777777" w:rsidR="00761037" w:rsidRPr="00CA4847" w:rsidRDefault="00761037" w:rsidP="00226CCA">
            <w:pPr>
              <w:spacing w:after="60"/>
              <w:rPr>
                <w:b w:val="0"/>
                <w:color w:val="auto"/>
              </w:rPr>
            </w:pPr>
            <w:r w:rsidRPr="00CA4847">
              <w:rPr>
                <w:b w:val="0"/>
                <w:color w:val="auto"/>
              </w:rPr>
              <w:t>Securities dealer pre-AFS</w:t>
            </w:r>
          </w:p>
        </w:tc>
        <w:tc>
          <w:tcPr>
            <w:tcW w:w="1000" w:type="pct"/>
            <w:hideMark/>
          </w:tcPr>
          <w:p w14:paraId="6CA7B6AF" w14:textId="77777777" w:rsidR="00761037" w:rsidRPr="0044107F" w:rsidRDefault="00761037" w:rsidP="00226CCA">
            <w:pPr>
              <w:spacing w:after="60"/>
              <w:jc w:val="center"/>
              <w:cnfStyle w:val="000000100000" w:firstRow="0" w:lastRow="0" w:firstColumn="0" w:lastColumn="0" w:oddVBand="0" w:evenVBand="0" w:oddHBand="1" w:evenHBand="0" w:firstRowFirstColumn="0" w:firstRowLastColumn="0" w:lastRowFirstColumn="0" w:lastRowLastColumn="0"/>
              <w:rPr>
                <w:b/>
                <w:color w:val="00B050"/>
              </w:rPr>
            </w:pPr>
            <w:r w:rsidRPr="0044107F">
              <w:rPr>
                <w:b/>
                <w:color w:val="00B050"/>
              </w:rPr>
              <w:t>Free</w:t>
            </w:r>
          </w:p>
        </w:tc>
        <w:tc>
          <w:tcPr>
            <w:tcW w:w="1000" w:type="pct"/>
            <w:hideMark/>
          </w:tcPr>
          <w:p w14:paraId="791837B4" w14:textId="77777777" w:rsidR="00761037" w:rsidRPr="00CA4847" w:rsidRDefault="00761037" w:rsidP="00226CCA">
            <w:pPr>
              <w:spacing w:after="60"/>
              <w:jc w:val="center"/>
              <w:cnfStyle w:val="000000100000" w:firstRow="0" w:lastRow="0" w:firstColumn="0" w:lastColumn="0" w:oddVBand="0" w:evenVBand="0" w:oddHBand="1" w:evenHBand="0" w:firstRowFirstColumn="0" w:firstRowLastColumn="0" w:lastRowFirstColumn="0" w:lastRowLastColumn="0"/>
              <w:rPr>
                <w:color w:val="auto"/>
              </w:rPr>
            </w:pPr>
            <w:r w:rsidRPr="00CA4847">
              <w:rPr>
                <w:color w:val="auto"/>
              </w:rPr>
              <w:t>$12</w:t>
            </w:r>
          </w:p>
        </w:tc>
      </w:tr>
      <w:tr w:rsidR="00761037" w:rsidRPr="0044107F" w14:paraId="0892A7DB" w14:textId="77777777" w:rsidTr="00CA4847">
        <w:trPr>
          <w:trHeight w:val="267"/>
        </w:trPr>
        <w:tc>
          <w:tcPr>
            <w:cnfStyle w:val="001000000000" w:firstRow="0" w:lastRow="0" w:firstColumn="1" w:lastColumn="0" w:oddVBand="0" w:evenVBand="0" w:oddHBand="0" w:evenHBand="0" w:firstRowFirstColumn="0" w:firstRowLastColumn="0" w:lastRowFirstColumn="0" w:lastRowLastColumn="0"/>
            <w:tcW w:w="3000" w:type="pct"/>
            <w:hideMark/>
          </w:tcPr>
          <w:p w14:paraId="658239DC" w14:textId="77777777" w:rsidR="00761037" w:rsidRPr="00CA4847" w:rsidRDefault="00761037" w:rsidP="00226CCA">
            <w:pPr>
              <w:spacing w:after="60"/>
              <w:rPr>
                <w:b w:val="0"/>
                <w:color w:val="auto"/>
              </w:rPr>
            </w:pPr>
            <w:r w:rsidRPr="00CA4847">
              <w:rPr>
                <w:b w:val="0"/>
                <w:color w:val="auto"/>
              </w:rPr>
              <w:t>Futures representative pre-AFS</w:t>
            </w:r>
          </w:p>
        </w:tc>
        <w:tc>
          <w:tcPr>
            <w:tcW w:w="1000" w:type="pct"/>
            <w:hideMark/>
          </w:tcPr>
          <w:p w14:paraId="4FF29D77" w14:textId="77777777" w:rsidR="00761037" w:rsidRPr="0044107F" w:rsidRDefault="00761037" w:rsidP="00226CCA">
            <w:pPr>
              <w:spacing w:after="60"/>
              <w:jc w:val="center"/>
              <w:cnfStyle w:val="000000000000" w:firstRow="0" w:lastRow="0" w:firstColumn="0" w:lastColumn="0" w:oddVBand="0" w:evenVBand="0" w:oddHBand="0" w:evenHBand="0" w:firstRowFirstColumn="0" w:firstRowLastColumn="0" w:lastRowFirstColumn="0" w:lastRowLastColumn="0"/>
              <w:rPr>
                <w:b/>
                <w:color w:val="00B050"/>
              </w:rPr>
            </w:pPr>
            <w:r w:rsidRPr="0044107F">
              <w:rPr>
                <w:b/>
                <w:color w:val="00B050"/>
              </w:rPr>
              <w:t>Free</w:t>
            </w:r>
          </w:p>
        </w:tc>
        <w:tc>
          <w:tcPr>
            <w:tcW w:w="1000" w:type="pct"/>
            <w:hideMark/>
          </w:tcPr>
          <w:p w14:paraId="298FB154" w14:textId="77777777" w:rsidR="00761037" w:rsidRPr="00CA4847" w:rsidRDefault="00761037" w:rsidP="00226CCA">
            <w:pPr>
              <w:spacing w:after="60"/>
              <w:jc w:val="center"/>
              <w:cnfStyle w:val="000000000000" w:firstRow="0" w:lastRow="0" w:firstColumn="0" w:lastColumn="0" w:oddVBand="0" w:evenVBand="0" w:oddHBand="0" w:evenHBand="0" w:firstRowFirstColumn="0" w:firstRowLastColumn="0" w:lastRowFirstColumn="0" w:lastRowLastColumn="0"/>
              <w:rPr>
                <w:color w:val="auto"/>
              </w:rPr>
            </w:pPr>
            <w:r w:rsidRPr="00CA4847">
              <w:rPr>
                <w:color w:val="auto"/>
              </w:rPr>
              <w:t>$12</w:t>
            </w:r>
          </w:p>
        </w:tc>
      </w:tr>
      <w:tr w:rsidR="00761037" w:rsidRPr="0044107F" w14:paraId="1CDF1017" w14:textId="77777777" w:rsidTr="00CA4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0" w:type="pct"/>
            <w:hideMark/>
          </w:tcPr>
          <w:p w14:paraId="7D3E22D8" w14:textId="77777777" w:rsidR="00761037" w:rsidRPr="00CA4847" w:rsidRDefault="00761037" w:rsidP="00226CCA">
            <w:pPr>
              <w:spacing w:after="60"/>
              <w:rPr>
                <w:b w:val="0"/>
                <w:color w:val="auto"/>
              </w:rPr>
            </w:pPr>
            <w:r w:rsidRPr="00CA4847">
              <w:rPr>
                <w:b w:val="0"/>
                <w:color w:val="auto"/>
              </w:rPr>
              <w:t>Securities representative pre-AFS</w:t>
            </w:r>
          </w:p>
        </w:tc>
        <w:tc>
          <w:tcPr>
            <w:tcW w:w="1000" w:type="pct"/>
            <w:hideMark/>
          </w:tcPr>
          <w:p w14:paraId="53CBB1B4" w14:textId="77777777" w:rsidR="00761037" w:rsidRPr="0044107F" w:rsidRDefault="00761037" w:rsidP="00226CCA">
            <w:pPr>
              <w:spacing w:after="60"/>
              <w:jc w:val="center"/>
              <w:cnfStyle w:val="000000100000" w:firstRow="0" w:lastRow="0" w:firstColumn="0" w:lastColumn="0" w:oddVBand="0" w:evenVBand="0" w:oddHBand="1" w:evenHBand="0" w:firstRowFirstColumn="0" w:firstRowLastColumn="0" w:lastRowFirstColumn="0" w:lastRowLastColumn="0"/>
              <w:rPr>
                <w:b/>
                <w:color w:val="00B050"/>
              </w:rPr>
            </w:pPr>
            <w:r w:rsidRPr="0044107F">
              <w:rPr>
                <w:b/>
                <w:color w:val="00B050"/>
              </w:rPr>
              <w:t>Free</w:t>
            </w:r>
          </w:p>
        </w:tc>
        <w:tc>
          <w:tcPr>
            <w:tcW w:w="1000" w:type="pct"/>
            <w:hideMark/>
          </w:tcPr>
          <w:p w14:paraId="486D1C2F" w14:textId="77777777" w:rsidR="00761037" w:rsidRPr="00CA4847" w:rsidRDefault="00761037" w:rsidP="00226CCA">
            <w:pPr>
              <w:spacing w:after="60"/>
              <w:jc w:val="center"/>
              <w:cnfStyle w:val="000000100000" w:firstRow="0" w:lastRow="0" w:firstColumn="0" w:lastColumn="0" w:oddVBand="0" w:evenVBand="0" w:oddHBand="1" w:evenHBand="0" w:firstRowFirstColumn="0" w:firstRowLastColumn="0" w:lastRowFirstColumn="0" w:lastRowLastColumn="0"/>
              <w:rPr>
                <w:color w:val="auto"/>
              </w:rPr>
            </w:pPr>
            <w:r w:rsidRPr="00CA4847">
              <w:rPr>
                <w:color w:val="auto"/>
              </w:rPr>
              <w:t>$12</w:t>
            </w:r>
          </w:p>
        </w:tc>
      </w:tr>
      <w:tr w:rsidR="00761037" w:rsidRPr="0044107F" w14:paraId="2B9602AE" w14:textId="77777777" w:rsidTr="00CA4847">
        <w:tc>
          <w:tcPr>
            <w:cnfStyle w:val="001000000000" w:firstRow="0" w:lastRow="0" w:firstColumn="1" w:lastColumn="0" w:oddVBand="0" w:evenVBand="0" w:oddHBand="0" w:evenHBand="0" w:firstRowFirstColumn="0" w:firstRowLastColumn="0" w:lastRowFirstColumn="0" w:lastRowLastColumn="0"/>
            <w:tcW w:w="3000" w:type="pct"/>
            <w:hideMark/>
          </w:tcPr>
          <w:p w14:paraId="3479141A" w14:textId="77777777" w:rsidR="00761037" w:rsidRPr="00CA4847" w:rsidRDefault="00761037" w:rsidP="00226CCA">
            <w:pPr>
              <w:spacing w:after="60"/>
              <w:rPr>
                <w:b w:val="0"/>
                <w:color w:val="auto"/>
              </w:rPr>
            </w:pPr>
            <w:r w:rsidRPr="00CA4847">
              <w:rPr>
                <w:b w:val="0"/>
                <w:color w:val="auto"/>
              </w:rPr>
              <w:t>Current disqualified person extract</w:t>
            </w:r>
          </w:p>
        </w:tc>
        <w:tc>
          <w:tcPr>
            <w:tcW w:w="1000" w:type="pct"/>
            <w:hideMark/>
          </w:tcPr>
          <w:p w14:paraId="240509CE" w14:textId="77777777" w:rsidR="00761037" w:rsidRPr="0044107F" w:rsidRDefault="00761037" w:rsidP="00226CCA">
            <w:pPr>
              <w:spacing w:after="60"/>
              <w:jc w:val="center"/>
              <w:cnfStyle w:val="000000000000" w:firstRow="0" w:lastRow="0" w:firstColumn="0" w:lastColumn="0" w:oddVBand="0" w:evenVBand="0" w:oddHBand="0" w:evenHBand="0" w:firstRowFirstColumn="0" w:firstRowLastColumn="0" w:lastRowFirstColumn="0" w:lastRowLastColumn="0"/>
            </w:pPr>
            <w:r w:rsidRPr="0044107F">
              <w:rPr>
                <w:color w:val="A6A6A6" w:themeColor="background1" w:themeShade="A6"/>
              </w:rPr>
              <w:t>N/A</w:t>
            </w:r>
          </w:p>
        </w:tc>
        <w:tc>
          <w:tcPr>
            <w:tcW w:w="1000" w:type="pct"/>
            <w:hideMark/>
          </w:tcPr>
          <w:p w14:paraId="7055EDF0" w14:textId="77777777" w:rsidR="00761037" w:rsidRPr="00CA4847" w:rsidRDefault="00761037" w:rsidP="00226CCA">
            <w:pPr>
              <w:spacing w:after="60"/>
              <w:jc w:val="center"/>
              <w:cnfStyle w:val="000000000000" w:firstRow="0" w:lastRow="0" w:firstColumn="0" w:lastColumn="0" w:oddVBand="0" w:evenVBand="0" w:oddHBand="0" w:evenHBand="0" w:firstRowFirstColumn="0" w:firstRowLastColumn="0" w:lastRowFirstColumn="0" w:lastRowLastColumn="0"/>
              <w:rPr>
                <w:color w:val="auto"/>
              </w:rPr>
            </w:pPr>
            <w:r w:rsidRPr="00CA4847">
              <w:rPr>
                <w:color w:val="auto"/>
              </w:rPr>
              <w:t>$12</w:t>
            </w:r>
          </w:p>
        </w:tc>
      </w:tr>
      <w:tr w:rsidR="00761037" w:rsidRPr="0044107F" w14:paraId="77F5F7CF" w14:textId="77777777" w:rsidTr="00CA4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0" w:type="pct"/>
            <w:hideMark/>
          </w:tcPr>
          <w:p w14:paraId="34F195AB" w14:textId="77777777" w:rsidR="00761037" w:rsidRPr="00CA4847" w:rsidRDefault="00761037" w:rsidP="00226CCA">
            <w:pPr>
              <w:spacing w:after="60"/>
              <w:rPr>
                <w:b w:val="0"/>
                <w:color w:val="auto"/>
              </w:rPr>
            </w:pPr>
            <w:r w:rsidRPr="00CA4847">
              <w:rPr>
                <w:b w:val="0"/>
                <w:color w:val="auto"/>
              </w:rPr>
              <w:t>Current AFS licensee extract</w:t>
            </w:r>
          </w:p>
        </w:tc>
        <w:tc>
          <w:tcPr>
            <w:tcW w:w="1000" w:type="pct"/>
            <w:hideMark/>
          </w:tcPr>
          <w:p w14:paraId="33078D66" w14:textId="77777777" w:rsidR="00761037" w:rsidRPr="0044107F" w:rsidRDefault="00761037" w:rsidP="00226CCA">
            <w:pPr>
              <w:spacing w:after="60"/>
              <w:jc w:val="center"/>
              <w:cnfStyle w:val="000000100000" w:firstRow="0" w:lastRow="0" w:firstColumn="0" w:lastColumn="0" w:oddVBand="0" w:evenVBand="0" w:oddHBand="1" w:evenHBand="0" w:firstRowFirstColumn="0" w:firstRowLastColumn="0" w:lastRowFirstColumn="0" w:lastRowLastColumn="0"/>
              <w:rPr>
                <w:b/>
                <w:color w:val="00B050"/>
              </w:rPr>
            </w:pPr>
            <w:r w:rsidRPr="0044107F">
              <w:rPr>
                <w:b/>
                <w:color w:val="00B050"/>
              </w:rPr>
              <w:t>Free</w:t>
            </w:r>
          </w:p>
        </w:tc>
        <w:tc>
          <w:tcPr>
            <w:tcW w:w="1000" w:type="pct"/>
            <w:hideMark/>
          </w:tcPr>
          <w:p w14:paraId="43C85872" w14:textId="77777777" w:rsidR="00761037" w:rsidRPr="00CA4847" w:rsidRDefault="00761037" w:rsidP="00226CCA">
            <w:pPr>
              <w:spacing w:after="60"/>
              <w:jc w:val="center"/>
              <w:cnfStyle w:val="000000100000" w:firstRow="0" w:lastRow="0" w:firstColumn="0" w:lastColumn="0" w:oddVBand="0" w:evenVBand="0" w:oddHBand="1" w:evenHBand="0" w:firstRowFirstColumn="0" w:firstRowLastColumn="0" w:lastRowFirstColumn="0" w:lastRowLastColumn="0"/>
              <w:rPr>
                <w:color w:val="auto"/>
              </w:rPr>
            </w:pPr>
            <w:r w:rsidRPr="00CA4847">
              <w:rPr>
                <w:color w:val="auto"/>
              </w:rPr>
              <w:t>$12</w:t>
            </w:r>
          </w:p>
        </w:tc>
      </w:tr>
      <w:tr w:rsidR="00761037" w:rsidRPr="0044107F" w14:paraId="47E19834" w14:textId="77777777" w:rsidTr="00CA4847">
        <w:tc>
          <w:tcPr>
            <w:cnfStyle w:val="001000000000" w:firstRow="0" w:lastRow="0" w:firstColumn="1" w:lastColumn="0" w:oddVBand="0" w:evenVBand="0" w:oddHBand="0" w:evenHBand="0" w:firstRowFirstColumn="0" w:firstRowLastColumn="0" w:lastRowFirstColumn="0" w:lastRowLastColumn="0"/>
            <w:tcW w:w="3000" w:type="pct"/>
            <w:hideMark/>
          </w:tcPr>
          <w:p w14:paraId="3230BDB5" w14:textId="77777777" w:rsidR="00761037" w:rsidRPr="00CA4847" w:rsidRDefault="00761037" w:rsidP="00226CCA">
            <w:pPr>
              <w:spacing w:after="60"/>
              <w:rPr>
                <w:b w:val="0"/>
                <w:color w:val="auto"/>
              </w:rPr>
            </w:pPr>
            <w:r w:rsidRPr="00CA4847">
              <w:rPr>
                <w:b w:val="0"/>
                <w:color w:val="auto"/>
              </w:rPr>
              <w:t>Current AFS representative extract</w:t>
            </w:r>
          </w:p>
        </w:tc>
        <w:tc>
          <w:tcPr>
            <w:tcW w:w="1000" w:type="pct"/>
            <w:hideMark/>
          </w:tcPr>
          <w:p w14:paraId="12EA85D3" w14:textId="77777777" w:rsidR="00761037" w:rsidRPr="0044107F" w:rsidRDefault="00761037" w:rsidP="00226CCA">
            <w:pPr>
              <w:spacing w:after="60"/>
              <w:jc w:val="center"/>
              <w:cnfStyle w:val="000000000000" w:firstRow="0" w:lastRow="0" w:firstColumn="0" w:lastColumn="0" w:oddVBand="0" w:evenVBand="0" w:oddHBand="0" w:evenHBand="0" w:firstRowFirstColumn="0" w:firstRowLastColumn="0" w:lastRowFirstColumn="0" w:lastRowLastColumn="0"/>
              <w:rPr>
                <w:b/>
                <w:color w:val="00B050"/>
              </w:rPr>
            </w:pPr>
            <w:r w:rsidRPr="0044107F">
              <w:rPr>
                <w:b/>
                <w:color w:val="00B050"/>
              </w:rPr>
              <w:t>Free</w:t>
            </w:r>
          </w:p>
        </w:tc>
        <w:tc>
          <w:tcPr>
            <w:tcW w:w="1000" w:type="pct"/>
            <w:hideMark/>
          </w:tcPr>
          <w:p w14:paraId="4A1CA48D" w14:textId="77777777" w:rsidR="00761037" w:rsidRPr="00CA4847" w:rsidRDefault="00761037" w:rsidP="00226CCA">
            <w:pPr>
              <w:spacing w:after="60"/>
              <w:jc w:val="center"/>
              <w:cnfStyle w:val="000000000000" w:firstRow="0" w:lastRow="0" w:firstColumn="0" w:lastColumn="0" w:oddVBand="0" w:evenVBand="0" w:oddHBand="0" w:evenHBand="0" w:firstRowFirstColumn="0" w:firstRowLastColumn="0" w:lastRowFirstColumn="0" w:lastRowLastColumn="0"/>
              <w:rPr>
                <w:color w:val="auto"/>
              </w:rPr>
            </w:pPr>
            <w:r w:rsidRPr="00CA4847">
              <w:rPr>
                <w:color w:val="auto"/>
              </w:rPr>
              <w:t>$12</w:t>
            </w:r>
          </w:p>
        </w:tc>
      </w:tr>
      <w:tr w:rsidR="00761037" w:rsidRPr="0044107F" w14:paraId="22B02DC8" w14:textId="77777777" w:rsidTr="00CA4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0" w:type="pct"/>
            <w:hideMark/>
          </w:tcPr>
          <w:p w14:paraId="3498DAB5" w14:textId="77777777" w:rsidR="00761037" w:rsidRPr="00CA4847" w:rsidRDefault="00761037" w:rsidP="00226CCA">
            <w:pPr>
              <w:spacing w:after="60"/>
              <w:rPr>
                <w:b w:val="0"/>
                <w:color w:val="auto"/>
              </w:rPr>
            </w:pPr>
            <w:r w:rsidRPr="00CA4847">
              <w:rPr>
                <w:b w:val="0"/>
                <w:color w:val="auto"/>
              </w:rPr>
              <w:t>Current credit registered person extract</w:t>
            </w:r>
          </w:p>
        </w:tc>
        <w:tc>
          <w:tcPr>
            <w:tcW w:w="1000" w:type="pct"/>
            <w:hideMark/>
          </w:tcPr>
          <w:p w14:paraId="670B2718" w14:textId="77777777" w:rsidR="00761037" w:rsidRPr="0044107F" w:rsidRDefault="00761037" w:rsidP="00226CCA">
            <w:pPr>
              <w:spacing w:after="60"/>
              <w:jc w:val="center"/>
              <w:cnfStyle w:val="000000100000" w:firstRow="0" w:lastRow="0" w:firstColumn="0" w:lastColumn="0" w:oddVBand="0" w:evenVBand="0" w:oddHBand="1" w:evenHBand="0" w:firstRowFirstColumn="0" w:firstRowLastColumn="0" w:lastRowFirstColumn="0" w:lastRowLastColumn="0"/>
              <w:rPr>
                <w:b/>
                <w:color w:val="00B050"/>
              </w:rPr>
            </w:pPr>
            <w:r w:rsidRPr="0044107F">
              <w:rPr>
                <w:b/>
                <w:color w:val="00B050"/>
              </w:rPr>
              <w:t>Free</w:t>
            </w:r>
          </w:p>
        </w:tc>
        <w:tc>
          <w:tcPr>
            <w:tcW w:w="1000" w:type="pct"/>
            <w:hideMark/>
          </w:tcPr>
          <w:p w14:paraId="31E7BFA7" w14:textId="77777777" w:rsidR="00761037" w:rsidRPr="00CA4847" w:rsidRDefault="00761037" w:rsidP="00226CCA">
            <w:pPr>
              <w:spacing w:after="60"/>
              <w:jc w:val="center"/>
              <w:cnfStyle w:val="000000100000" w:firstRow="0" w:lastRow="0" w:firstColumn="0" w:lastColumn="0" w:oddVBand="0" w:evenVBand="0" w:oddHBand="1" w:evenHBand="0" w:firstRowFirstColumn="0" w:firstRowLastColumn="0" w:lastRowFirstColumn="0" w:lastRowLastColumn="0"/>
              <w:rPr>
                <w:color w:val="auto"/>
              </w:rPr>
            </w:pPr>
            <w:r w:rsidRPr="00CA4847">
              <w:rPr>
                <w:color w:val="auto"/>
              </w:rPr>
              <w:t>$12</w:t>
            </w:r>
          </w:p>
        </w:tc>
      </w:tr>
      <w:tr w:rsidR="00761037" w:rsidRPr="0044107F" w14:paraId="3C70C0D3" w14:textId="77777777" w:rsidTr="00CA4847">
        <w:tc>
          <w:tcPr>
            <w:cnfStyle w:val="001000000000" w:firstRow="0" w:lastRow="0" w:firstColumn="1" w:lastColumn="0" w:oddVBand="0" w:evenVBand="0" w:oddHBand="0" w:evenHBand="0" w:firstRowFirstColumn="0" w:firstRowLastColumn="0" w:lastRowFirstColumn="0" w:lastRowLastColumn="0"/>
            <w:tcW w:w="3000" w:type="pct"/>
            <w:hideMark/>
          </w:tcPr>
          <w:p w14:paraId="5BD90967" w14:textId="77777777" w:rsidR="00761037" w:rsidRPr="00CA4847" w:rsidRDefault="00761037" w:rsidP="00226CCA">
            <w:pPr>
              <w:spacing w:after="60"/>
              <w:rPr>
                <w:b w:val="0"/>
                <w:color w:val="auto"/>
              </w:rPr>
            </w:pPr>
            <w:r w:rsidRPr="00CA4847">
              <w:rPr>
                <w:b w:val="0"/>
                <w:color w:val="auto"/>
              </w:rPr>
              <w:t>Current credit representative extract</w:t>
            </w:r>
          </w:p>
        </w:tc>
        <w:tc>
          <w:tcPr>
            <w:tcW w:w="1000" w:type="pct"/>
            <w:hideMark/>
          </w:tcPr>
          <w:p w14:paraId="304A93A7" w14:textId="77777777" w:rsidR="00761037" w:rsidRPr="0044107F" w:rsidRDefault="00761037" w:rsidP="00226CCA">
            <w:pPr>
              <w:spacing w:after="60"/>
              <w:jc w:val="center"/>
              <w:cnfStyle w:val="000000000000" w:firstRow="0" w:lastRow="0" w:firstColumn="0" w:lastColumn="0" w:oddVBand="0" w:evenVBand="0" w:oddHBand="0" w:evenHBand="0" w:firstRowFirstColumn="0" w:firstRowLastColumn="0" w:lastRowFirstColumn="0" w:lastRowLastColumn="0"/>
              <w:rPr>
                <w:b/>
                <w:color w:val="00B050"/>
              </w:rPr>
            </w:pPr>
            <w:r w:rsidRPr="0044107F">
              <w:rPr>
                <w:b/>
                <w:color w:val="00B050"/>
              </w:rPr>
              <w:t>Free</w:t>
            </w:r>
          </w:p>
        </w:tc>
        <w:tc>
          <w:tcPr>
            <w:tcW w:w="1000" w:type="pct"/>
            <w:hideMark/>
          </w:tcPr>
          <w:p w14:paraId="380F4256" w14:textId="77777777" w:rsidR="00761037" w:rsidRPr="00CA4847" w:rsidRDefault="00761037" w:rsidP="00226CCA">
            <w:pPr>
              <w:spacing w:after="60"/>
              <w:jc w:val="center"/>
              <w:cnfStyle w:val="000000000000" w:firstRow="0" w:lastRow="0" w:firstColumn="0" w:lastColumn="0" w:oddVBand="0" w:evenVBand="0" w:oddHBand="0" w:evenHBand="0" w:firstRowFirstColumn="0" w:firstRowLastColumn="0" w:lastRowFirstColumn="0" w:lastRowLastColumn="0"/>
              <w:rPr>
                <w:color w:val="auto"/>
              </w:rPr>
            </w:pPr>
            <w:r w:rsidRPr="00CA4847">
              <w:rPr>
                <w:color w:val="auto"/>
              </w:rPr>
              <w:t>$12</w:t>
            </w:r>
          </w:p>
        </w:tc>
      </w:tr>
      <w:tr w:rsidR="00761037" w:rsidRPr="0044107F" w14:paraId="14D097D1" w14:textId="77777777" w:rsidTr="00CA4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0" w:type="pct"/>
            <w:hideMark/>
          </w:tcPr>
          <w:p w14:paraId="4CA2217D" w14:textId="77777777" w:rsidR="00761037" w:rsidRPr="00CA4847" w:rsidRDefault="00761037" w:rsidP="00226CCA">
            <w:pPr>
              <w:spacing w:after="60"/>
              <w:rPr>
                <w:b w:val="0"/>
                <w:color w:val="auto"/>
              </w:rPr>
            </w:pPr>
            <w:r w:rsidRPr="00CA4847">
              <w:rPr>
                <w:b w:val="0"/>
                <w:color w:val="auto"/>
              </w:rPr>
              <w:t>Current credit licensee extract</w:t>
            </w:r>
          </w:p>
        </w:tc>
        <w:tc>
          <w:tcPr>
            <w:tcW w:w="1000" w:type="pct"/>
            <w:hideMark/>
          </w:tcPr>
          <w:p w14:paraId="02EB9327" w14:textId="77777777" w:rsidR="00761037" w:rsidRPr="0044107F" w:rsidRDefault="00761037" w:rsidP="00226CCA">
            <w:pPr>
              <w:spacing w:after="60"/>
              <w:jc w:val="center"/>
              <w:cnfStyle w:val="000000100000" w:firstRow="0" w:lastRow="0" w:firstColumn="0" w:lastColumn="0" w:oddVBand="0" w:evenVBand="0" w:oddHBand="1" w:evenHBand="0" w:firstRowFirstColumn="0" w:firstRowLastColumn="0" w:lastRowFirstColumn="0" w:lastRowLastColumn="0"/>
              <w:rPr>
                <w:b/>
                <w:color w:val="00B050"/>
              </w:rPr>
            </w:pPr>
            <w:r w:rsidRPr="0044107F">
              <w:rPr>
                <w:b/>
                <w:color w:val="00B050"/>
              </w:rPr>
              <w:t>Free</w:t>
            </w:r>
          </w:p>
        </w:tc>
        <w:tc>
          <w:tcPr>
            <w:tcW w:w="1000" w:type="pct"/>
            <w:hideMark/>
          </w:tcPr>
          <w:p w14:paraId="2278F15F" w14:textId="77777777" w:rsidR="00761037" w:rsidRPr="00CA4847" w:rsidRDefault="00761037" w:rsidP="00226CCA">
            <w:pPr>
              <w:spacing w:after="60"/>
              <w:jc w:val="center"/>
              <w:cnfStyle w:val="000000100000" w:firstRow="0" w:lastRow="0" w:firstColumn="0" w:lastColumn="0" w:oddVBand="0" w:evenVBand="0" w:oddHBand="1" w:evenHBand="0" w:firstRowFirstColumn="0" w:firstRowLastColumn="0" w:lastRowFirstColumn="0" w:lastRowLastColumn="0"/>
              <w:rPr>
                <w:color w:val="auto"/>
              </w:rPr>
            </w:pPr>
            <w:r w:rsidRPr="00CA4847">
              <w:rPr>
                <w:color w:val="auto"/>
              </w:rPr>
              <w:t>$12</w:t>
            </w:r>
          </w:p>
        </w:tc>
      </w:tr>
      <w:tr w:rsidR="00761037" w:rsidRPr="0044107F" w14:paraId="1065809A" w14:textId="77777777" w:rsidTr="00CA4847">
        <w:tc>
          <w:tcPr>
            <w:cnfStyle w:val="001000000000" w:firstRow="0" w:lastRow="0" w:firstColumn="1" w:lastColumn="0" w:oddVBand="0" w:evenVBand="0" w:oddHBand="0" w:evenHBand="0" w:firstRowFirstColumn="0" w:firstRowLastColumn="0" w:lastRowFirstColumn="0" w:lastRowLastColumn="0"/>
            <w:tcW w:w="3000" w:type="pct"/>
            <w:hideMark/>
          </w:tcPr>
          <w:p w14:paraId="215CF04A" w14:textId="77777777" w:rsidR="00761037" w:rsidRPr="00CA4847" w:rsidRDefault="00761037" w:rsidP="00226CCA">
            <w:pPr>
              <w:spacing w:after="60"/>
              <w:rPr>
                <w:b w:val="0"/>
                <w:color w:val="auto"/>
              </w:rPr>
            </w:pPr>
            <w:r w:rsidRPr="00CA4847">
              <w:rPr>
                <w:b w:val="0"/>
                <w:color w:val="auto"/>
              </w:rPr>
              <w:t>Current registered liquidator extract</w:t>
            </w:r>
          </w:p>
        </w:tc>
        <w:tc>
          <w:tcPr>
            <w:tcW w:w="1000" w:type="pct"/>
            <w:hideMark/>
          </w:tcPr>
          <w:p w14:paraId="057B05AD" w14:textId="77777777" w:rsidR="00761037" w:rsidRPr="0044107F" w:rsidRDefault="00761037" w:rsidP="00226CCA">
            <w:pPr>
              <w:spacing w:after="60"/>
              <w:jc w:val="center"/>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44107F">
              <w:rPr>
                <w:b/>
                <w:color w:val="00B050"/>
              </w:rPr>
              <w:t>Free</w:t>
            </w:r>
          </w:p>
        </w:tc>
        <w:tc>
          <w:tcPr>
            <w:tcW w:w="1000" w:type="pct"/>
            <w:hideMark/>
          </w:tcPr>
          <w:p w14:paraId="5B957990" w14:textId="77777777" w:rsidR="00761037" w:rsidRPr="00CA4847" w:rsidRDefault="00761037" w:rsidP="00226CCA">
            <w:pPr>
              <w:spacing w:after="60"/>
              <w:jc w:val="center"/>
              <w:cnfStyle w:val="000000000000" w:firstRow="0" w:lastRow="0" w:firstColumn="0" w:lastColumn="0" w:oddVBand="0" w:evenVBand="0" w:oddHBand="0" w:evenHBand="0" w:firstRowFirstColumn="0" w:firstRowLastColumn="0" w:lastRowFirstColumn="0" w:lastRowLastColumn="0"/>
              <w:rPr>
                <w:color w:val="auto"/>
              </w:rPr>
            </w:pPr>
            <w:r w:rsidRPr="00CA4847">
              <w:rPr>
                <w:color w:val="auto"/>
              </w:rPr>
              <w:t>$12</w:t>
            </w:r>
          </w:p>
        </w:tc>
      </w:tr>
      <w:tr w:rsidR="00761037" w:rsidRPr="0044107F" w14:paraId="1B49928E" w14:textId="77777777" w:rsidTr="00CA4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0" w:type="pct"/>
            <w:hideMark/>
          </w:tcPr>
          <w:p w14:paraId="21034E04" w14:textId="77777777" w:rsidR="00761037" w:rsidRPr="00CA4847" w:rsidRDefault="00761037" w:rsidP="00226CCA">
            <w:pPr>
              <w:spacing w:after="60"/>
              <w:rPr>
                <w:b w:val="0"/>
                <w:color w:val="auto"/>
              </w:rPr>
            </w:pPr>
            <w:r w:rsidRPr="00CA4847">
              <w:rPr>
                <w:b w:val="0"/>
                <w:color w:val="auto"/>
              </w:rPr>
              <w:t>Current official liquidator extract</w:t>
            </w:r>
          </w:p>
        </w:tc>
        <w:tc>
          <w:tcPr>
            <w:tcW w:w="1000" w:type="pct"/>
            <w:hideMark/>
          </w:tcPr>
          <w:p w14:paraId="16D4C087" w14:textId="77777777" w:rsidR="00761037" w:rsidRPr="0044107F" w:rsidRDefault="00761037" w:rsidP="00226CCA">
            <w:pPr>
              <w:spacing w:after="60"/>
              <w:jc w:val="center"/>
              <w:cnfStyle w:val="000000100000" w:firstRow="0" w:lastRow="0" w:firstColumn="0" w:lastColumn="0" w:oddVBand="0" w:evenVBand="0" w:oddHBand="1" w:evenHBand="0" w:firstRowFirstColumn="0" w:firstRowLastColumn="0" w:lastRowFirstColumn="0" w:lastRowLastColumn="0"/>
              <w:rPr>
                <w:color w:val="A6A6A6" w:themeColor="background1" w:themeShade="A6"/>
              </w:rPr>
            </w:pPr>
            <w:r w:rsidRPr="0044107F">
              <w:rPr>
                <w:color w:val="A6A6A6" w:themeColor="background1" w:themeShade="A6"/>
              </w:rPr>
              <w:t>N/A</w:t>
            </w:r>
          </w:p>
        </w:tc>
        <w:tc>
          <w:tcPr>
            <w:tcW w:w="1000" w:type="pct"/>
            <w:hideMark/>
          </w:tcPr>
          <w:p w14:paraId="7AEAC30C" w14:textId="77777777" w:rsidR="00761037" w:rsidRPr="00CA4847" w:rsidRDefault="00761037" w:rsidP="00226CCA">
            <w:pPr>
              <w:spacing w:after="60"/>
              <w:jc w:val="center"/>
              <w:cnfStyle w:val="000000100000" w:firstRow="0" w:lastRow="0" w:firstColumn="0" w:lastColumn="0" w:oddVBand="0" w:evenVBand="0" w:oddHBand="1" w:evenHBand="0" w:firstRowFirstColumn="0" w:firstRowLastColumn="0" w:lastRowFirstColumn="0" w:lastRowLastColumn="0"/>
              <w:rPr>
                <w:color w:val="auto"/>
              </w:rPr>
            </w:pPr>
            <w:r w:rsidRPr="00CA4847">
              <w:rPr>
                <w:color w:val="auto"/>
              </w:rPr>
              <w:t>$12</w:t>
            </w:r>
          </w:p>
        </w:tc>
      </w:tr>
    </w:tbl>
    <w:p w14:paraId="70881A57" w14:textId="77777777" w:rsidR="00761037" w:rsidRPr="0044107F" w:rsidRDefault="00761037" w:rsidP="00226CCA"/>
    <w:p w14:paraId="306763C2" w14:textId="77777777" w:rsidR="00761037" w:rsidRPr="0044107F" w:rsidRDefault="00761037" w:rsidP="00761037">
      <w:pPr>
        <w:keepNext/>
        <w:spacing w:before="240"/>
        <w:outlineLvl w:val="2"/>
        <w:sectPr w:rsidR="00761037" w:rsidRPr="0044107F" w:rsidSect="00761037">
          <w:pgSz w:w="11906" w:h="16838"/>
          <w:pgMar w:top="1440" w:right="1440" w:bottom="1440" w:left="1440" w:header="708" w:footer="708" w:gutter="0"/>
          <w:cols w:space="708"/>
          <w:docGrid w:linePitch="360"/>
        </w:sectPr>
      </w:pPr>
    </w:p>
    <w:p w14:paraId="096ACF63" w14:textId="77777777" w:rsidR="00F93018" w:rsidRPr="0044107F" w:rsidRDefault="00F93018" w:rsidP="00E2242F">
      <w:pPr>
        <w:pStyle w:val="Heading1"/>
      </w:pPr>
      <w:bookmarkStart w:id="43" w:name="_Toc530493313"/>
      <w:r w:rsidRPr="0044107F">
        <w:lastRenderedPageBreak/>
        <w:t xml:space="preserve">ATTACHMENT </w:t>
      </w:r>
      <w:bookmarkEnd w:id="35"/>
      <w:r w:rsidR="00761037">
        <w:t>D</w:t>
      </w:r>
      <w:bookmarkEnd w:id="43"/>
    </w:p>
    <w:p w14:paraId="61A2CE7F" w14:textId="77777777" w:rsidR="00F93018" w:rsidRPr="0044107F" w:rsidRDefault="00F93018" w:rsidP="00F93018">
      <w:pPr>
        <w:pStyle w:val="Heading2"/>
      </w:pPr>
      <w:bookmarkStart w:id="44" w:name="_Toc527020403"/>
      <w:bookmarkStart w:id="45" w:name="_Toc530493314"/>
      <w:r w:rsidRPr="0044107F">
        <w:t>Example of “Large User” fee: Document Verification Service</w:t>
      </w:r>
      <w:bookmarkEnd w:id="44"/>
      <w:bookmarkEnd w:id="45"/>
    </w:p>
    <w:p w14:paraId="3DD8CD8E" w14:textId="77777777" w:rsidR="00F93018" w:rsidRPr="0044107F" w:rsidRDefault="00F93018" w:rsidP="00F93018">
      <w:pPr>
        <w:pStyle w:val="ListParagraph"/>
        <w:ind w:left="2163"/>
      </w:pPr>
    </w:p>
    <w:p w14:paraId="41529E3F" w14:textId="17830000" w:rsidR="00F93018" w:rsidRPr="0044107F" w:rsidRDefault="00F93018" w:rsidP="00F93018">
      <w:pPr>
        <w:pStyle w:val="ListParagraph"/>
        <w:ind w:left="0"/>
        <w:contextualSpacing w:val="0"/>
      </w:pPr>
      <w:r w:rsidRPr="0044107F">
        <w:t>The Document Verification Service (DVS) provided by the Department of Home Affairs is a national online system that allows organi</w:t>
      </w:r>
      <w:r w:rsidR="00B748F3">
        <w:t>s</w:t>
      </w:r>
      <w:r w:rsidRPr="0044107F">
        <w:t>ations to compare a customer's identifying informa</w:t>
      </w:r>
      <w:r w:rsidR="008A6926">
        <w:t xml:space="preserve">tion with a government record. </w:t>
      </w:r>
      <w:r w:rsidRPr="0044107F">
        <w:t>It is a secure system that operates 24/7 and matches key details contained on Australian-issued identifying credentials, providing a 'yes'</w:t>
      </w:r>
      <w:r w:rsidR="008A6926">
        <w:t xml:space="preserve"> or 'no' answer within seconds.</w:t>
      </w:r>
      <w:r w:rsidRPr="0044107F">
        <w:t xml:space="preserve"> </w:t>
      </w:r>
    </w:p>
    <w:p w14:paraId="198DB2AD" w14:textId="77777777" w:rsidR="00F93018" w:rsidRPr="0044107F" w:rsidRDefault="00F93018" w:rsidP="00F93018">
      <w:pPr>
        <w:pStyle w:val="ListParagraph"/>
        <w:ind w:left="0"/>
        <w:rPr>
          <w:u w:val="single"/>
        </w:rPr>
      </w:pPr>
      <w:r w:rsidRPr="0044107F">
        <w:rPr>
          <w:u w:val="single"/>
        </w:rPr>
        <w:t>Gateway Service Providers</w:t>
      </w:r>
    </w:p>
    <w:p w14:paraId="6C0C5DE1" w14:textId="41A83F5F" w:rsidR="00F93018" w:rsidRPr="0044107F" w:rsidRDefault="00F93018" w:rsidP="00F93018">
      <w:pPr>
        <w:pStyle w:val="ListParagraph"/>
        <w:ind w:left="0"/>
        <w:contextualSpacing w:val="0"/>
      </w:pPr>
      <w:r w:rsidRPr="0044107F">
        <w:t xml:space="preserve">Businesses which establish a direct ICT connection to the DVS act as Gateway Service Providers (GSPs). They may be accessing the DVS on their behalf as an approved Business User, or in order to provide services to other Users. GSPs are charged $50,000 to link their systems to the DVS Hub infrastructure via Web Services, including test and ‘sandpit’ environments, testing processes and migration into the production environment. The connection fee includes an amount payable to current IT service providers together with </w:t>
      </w:r>
      <w:r w:rsidR="009159B3">
        <w:t xml:space="preserve">the Department of </w:t>
      </w:r>
      <w:r w:rsidRPr="0044107F">
        <w:t>Home Affairs</w:t>
      </w:r>
      <w:r w:rsidR="009159B3">
        <w:t>’</w:t>
      </w:r>
      <w:r w:rsidRPr="0044107F">
        <w:t xml:space="preserve"> internal costs. GSPs are invoiced half of the connection fee on approval of their application and the remainder once a production certificate has been issued to them.</w:t>
      </w:r>
    </w:p>
    <w:p w14:paraId="317A6212" w14:textId="77777777" w:rsidR="00F93018" w:rsidRPr="0044107F" w:rsidRDefault="00F93018" w:rsidP="00F93018">
      <w:pPr>
        <w:pStyle w:val="ListParagraph"/>
        <w:ind w:left="0"/>
        <w:rPr>
          <w:u w:val="single"/>
        </w:rPr>
      </w:pPr>
      <w:r w:rsidRPr="0044107F">
        <w:rPr>
          <w:u w:val="single"/>
        </w:rPr>
        <w:t>Transaction Fees</w:t>
      </w:r>
    </w:p>
    <w:p w14:paraId="3F112495" w14:textId="77777777" w:rsidR="00F93018" w:rsidRPr="0044107F" w:rsidRDefault="00F93018" w:rsidP="00F93018">
      <w:pPr>
        <w:pStyle w:val="ListParagraph"/>
        <w:ind w:left="0"/>
      </w:pPr>
      <w:r w:rsidRPr="0044107F">
        <w:t>Transaction fees are payable by the party connecting directly to the DVS (i.e. GSPs). GSPs are invoiced monthly and where annual transaction volumes (calculated from the monthly equivalent) are less than 800,000 a fee of $0.80 o</w:t>
      </w:r>
      <w:r w:rsidR="008A6926">
        <w:t xml:space="preserve">n each transaction is charged. </w:t>
      </w:r>
      <w:r w:rsidRPr="0044107F">
        <w:t>High volume discounts of $0.50 and $0.40 per transaction apply once the GSP has been invoiced for one million transactions and eight million transactions within the applicable year.</w:t>
      </w:r>
    </w:p>
    <w:p w14:paraId="0FB52C04" w14:textId="77777777" w:rsidR="00F93018" w:rsidRPr="0044107F" w:rsidRDefault="00F93018" w:rsidP="00F93018">
      <w:pPr>
        <w:pStyle w:val="ListParagraph"/>
        <w:ind w:left="0"/>
      </w:pPr>
    </w:p>
    <w:tbl>
      <w:tblPr>
        <w:tblStyle w:val="TableGrid"/>
        <w:tblW w:w="0" w:type="auto"/>
        <w:tblLook w:val="04A0" w:firstRow="1" w:lastRow="0" w:firstColumn="1" w:lastColumn="0" w:noHBand="0" w:noVBand="1"/>
      </w:tblPr>
      <w:tblGrid>
        <w:gridCol w:w="4477"/>
        <w:gridCol w:w="4408"/>
      </w:tblGrid>
      <w:tr w:rsidR="00F93018" w:rsidRPr="0044107F" w14:paraId="79517A08" w14:textId="77777777" w:rsidTr="00904FE7">
        <w:tc>
          <w:tcPr>
            <w:tcW w:w="4477" w:type="dxa"/>
          </w:tcPr>
          <w:p w14:paraId="34665EA9" w14:textId="77777777" w:rsidR="00F93018" w:rsidRPr="0044107F" w:rsidRDefault="00F93018" w:rsidP="00904FE7">
            <w:pPr>
              <w:pStyle w:val="ListParagraph"/>
              <w:ind w:left="0"/>
              <w:rPr>
                <w:b/>
              </w:rPr>
            </w:pPr>
            <w:r w:rsidRPr="0044107F">
              <w:rPr>
                <w:b/>
              </w:rPr>
              <w:t>Annual Volume</w:t>
            </w:r>
          </w:p>
        </w:tc>
        <w:tc>
          <w:tcPr>
            <w:tcW w:w="4408" w:type="dxa"/>
          </w:tcPr>
          <w:p w14:paraId="564A3EA1" w14:textId="77777777" w:rsidR="00F93018" w:rsidRPr="0044107F" w:rsidRDefault="00F93018" w:rsidP="00904FE7">
            <w:pPr>
              <w:pStyle w:val="ListParagraph"/>
              <w:ind w:left="0"/>
              <w:rPr>
                <w:b/>
              </w:rPr>
            </w:pPr>
            <w:r w:rsidRPr="0044107F">
              <w:rPr>
                <w:b/>
              </w:rPr>
              <w:t>Per query charge</w:t>
            </w:r>
          </w:p>
        </w:tc>
      </w:tr>
      <w:tr w:rsidR="00F93018" w:rsidRPr="0044107F" w14:paraId="01380C36" w14:textId="77777777" w:rsidTr="00904FE7">
        <w:tc>
          <w:tcPr>
            <w:tcW w:w="4477" w:type="dxa"/>
          </w:tcPr>
          <w:p w14:paraId="45C3730D" w14:textId="77777777" w:rsidR="00F93018" w:rsidRPr="0044107F" w:rsidRDefault="00F93018" w:rsidP="00904FE7">
            <w:pPr>
              <w:pStyle w:val="ListParagraph"/>
              <w:ind w:left="0"/>
            </w:pPr>
            <w:r w:rsidRPr="0044107F">
              <w:t>&lt;800,000</w:t>
            </w:r>
          </w:p>
        </w:tc>
        <w:tc>
          <w:tcPr>
            <w:tcW w:w="4408" w:type="dxa"/>
          </w:tcPr>
          <w:p w14:paraId="76219402" w14:textId="77777777" w:rsidR="00F93018" w:rsidRPr="0044107F" w:rsidRDefault="00F93018" w:rsidP="00904FE7">
            <w:pPr>
              <w:pStyle w:val="ListParagraph"/>
              <w:ind w:left="0"/>
            </w:pPr>
            <w:r w:rsidRPr="0044107F">
              <w:t>$0.80</w:t>
            </w:r>
          </w:p>
        </w:tc>
      </w:tr>
      <w:tr w:rsidR="00F93018" w:rsidRPr="0044107F" w14:paraId="75E1CEEF" w14:textId="77777777" w:rsidTr="00904FE7">
        <w:tc>
          <w:tcPr>
            <w:tcW w:w="4477" w:type="dxa"/>
          </w:tcPr>
          <w:p w14:paraId="5E393447" w14:textId="77777777" w:rsidR="00F93018" w:rsidRPr="0044107F" w:rsidRDefault="00F93018" w:rsidP="00904FE7">
            <w:pPr>
              <w:pStyle w:val="ListParagraph"/>
              <w:ind w:left="0"/>
            </w:pPr>
            <w:r w:rsidRPr="0044107F">
              <w:t>&gt;800,000&lt;1,000,000</w:t>
            </w:r>
          </w:p>
        </w:tc>
        <w:tc>
          <w:tcPr>
            <w:tcW w:w="4408" w:type="dxa"/>
          </w:tcPr>
          <w:p w14:paraId="53977EA1" w14:textId="77777777" w:rsidR="00F93018" w:rsidRPr="0044107F" w:rsidRDefault="00F93018" w:rsidP="00904FE7">
            <w:pPr>
              <w:pStyle w:val="ListParagraph"/>
              <w:ind w:left="0"/>
            </w:pPr>
            <w:r w:rsidRPr="0044107F">
              <w:t>$0.60</w:t>
            </w:r>
          </w:p>
        </w:tc>
      </w:tr>
      <w:tr w:rsidR="00F93018" w:rsidRPr="0044107F" w14:paraId="7A3794B9" w14:textId="77777777" w:rsidTr="00904FE7">
        <w:tc>
          <w:tcPr>
            <w:tcW w:w="4477" w:type="dxa"/>
          </w:tcPr>
          <w:p w14:paraId="72CCAEF7" w14:textId="77777777" w:rsidR="00F93018" w:rsidRPr="0044107F" w:rsidRDefault="00F93018" w:rsidP="00904FE7">
            <w:pPr>
              <w:pStyle w:val="ListParagraph"/>
              <w:ind w:left="0"/>
            </w:pPr>
            <w:r w:rsidRPr="0044107F">
              <w:t>&gt;1,000,001</w:t>
            </w:r>
          </w:p>
        </w:tc>
        <w:tc>
          <w:tcPr>
            <w:tcW w:w="4408" w:type="dxa"/>
          </w:tcPr>
          <w:p w14:paraId="31613B95" w14:textId="77777777" w:rsidR="00F93018" w:rsidRPr="0044107F" w:rsidRDefault="00F93018" w:rsidP="00904FE7">
            <w:pPr>
              <w:pStyle w:val="ListParagraph"/>
              <w:ind w:left="0"/>
            </w:pPr>
            <w:r w:rsidRPr="0044107F">
              <w:t>$0.50</w:t>
            </w:r>
          </w:p>
        </w:tc>
      </w:tr>
      <w:tr w:rsidR="00F93018" w:rsidRPr="0044107F" w14:paraId="41829624" w14:textId="77777777" w:rsidTr="00904FE7">
        <w:tc>
          <w:tcPr>
            <w:tcW w:w="4477" w:type="dxa"/>
          </w:tcPr>
          <w:p w14:paraId="415175FE" w14:textId="77777777" w:rsidR="00F93018" w:rsidRPr="0044107F" w:rsidRDefault="00F93018" w:rsidP="00904FE7">
            <w:pPr>
              <w:pStyle w:val="ListParagraph"/>
              <w:ind w:left="0"/>
            </w:pPr>
            <w:r w:rsidRPr="0044107F">
              <w:t>&gt;8,000,001</w:t>
            </w:r>
          </w:p>
        </w:tc>
        <w:tc>
          <w:tcPr>
            <w:tcW w:w="4408" w:type="dxa"/>
          </w:tcPr>
          <w:p w14:paraId="6D28639E" w14:textId="77777777" w:rsidR="00F93018" w:rsidRPr="0044107F" w:rsidRDefault="00F93018" w:rsidP="00904FE7">
            <w:pPr>
              <w:pStyle w:val="ListParagraph"/>
              <w:ind w:left="0"/>
            </w:pPr>
            <w:r w:rsidRPr="0044107F">
              <w:t>$0.40</w:t>
            </w:r>
          </w:p>
        </w:tc>
      </w:tr>
    </w:tbl>
    <w:p w14:paraId="49C6B294" w14:textId="77777777" w:rsidR="00F93018" w:rsidRPr="0044107F" w:rsidRDefault="00F93018" w:rsidP="00F93018">
      <w:pPr>
        <w:pStyle w:val="ListParagraph"/>
        <w:ind w:left="0"/>
      </w:pPr>
    </w:p>
    <w:p w14:paraId="66BDA6E3" w14:textId="77777777" w:rsidR="00F93018" w:rsidRPr="0044107F" w:rsidRDefault="008A6926" w:rsidP="00F93018">
      <w:pPr>
        <w:pStyle w:val="ListParagraph"/>
        <w:ind w:left="0"/>
        <w:rPr>
          <w:sz w:val="18"/>
          <w:szCs w:val="18"/>
        </w:rPr>
      </w:pPr>
      <w:r>
        <w:rPr>
          <w:sz w:val="18"/>
          <w:szCs w:val="18"/>
        </w:rPr>
        <w:t xml:space="preserve">Source: </w:t>
      </w:r>
      <w:proofErr w:type="gramStart"/>
      <w:r w:rsidR="00F93018" w:rsidRPr="0044107F">
        <w:rPr>
          <w:sz w:val="18"/>
          <w:szCs w:val="18"/>
        </w:rPr>
        <w:t>Department of Home Affairs</w:t>
      </w:r>
      <w:proofErr w:type="gramEnd"/>
      <w:r w:rsidR="00F93018" w:rsidRPr="0044107F">
        <w:rPr>
          <w:sz w:val="18"/>
          <w:szCs w:val="18"/>
        </w:rPr>
        <w:t xml:space="preserve"> website, DVS tab: </w:t>
      </w:r>
      <w:hyperlink r:id="rId36" w:history="1">
        <w:r w:rsidR="00F93018" w:rsidRPr="0044107F">
          <w:rPr>
            <w:rStyle w:val="Hyperlink"/>
            <w:rFonts w:eastAsiaTheme="minorHAnsi"/>
            <w:sz w:val="18"/>
            <w:szCs w:val="18"/>
          </w:rPr>
          <w:t>https://www.dvs.gov.au/users/Pages/Gateway-Service-Providers.aspx</w:t>
        </w:r>
      </w:hyperlink>
    </w:p>
    <w:p w14:paraId="14B84B7A" w14:textId="77777777" w:rsidR="00F45256" w:rsidRPr="0044107F" w:rsidRDefault="00F45256">
      <w:pPr>
        <w:spacing w:before="0" w:after="200" w:line="276" w:lineRule="auto"/>
        <w:rPr>
          <w:rFonts w:cs="Arial"/>
          <w:iCs/>
          <w:color w:val="004A7F"/>
          <w:kern w:val="32"/>
          <w:sz w:val="36"/>
          <w:szCs w:val="28"/>
        </w:rPr>
      </w:pPr>
      <w:r w:rsidRPr="0044107F">
        <w:br w:type="page"/>
      </w:r>
    </w:p>
    <w:p w14:paraId="7D344834" w14:textId="77777777" w:rsidR="002934D1" w:rsidRDefault="00436E3D" w:rsidP="00E2242F">
      <w:pPr>
        <w:pStyle w:val="Heading1"/>
      </w:pPr>
      <w:bookmarkStart w:id="46" w:name="_Toc530493315"/>
      <w:r w:rsidRPr="0044107F">
        <w:lastRenderedPageBreak/>
        <w:t>ATTACHMENT</w:t>
      </w:r>
      <w:r w:rsidR="00761037">
        <w:t xml:space="preserve"> E</w:t>
      </w:r>
      <w:bookmarkEnd w:id="46"/>
    </w:p>
    <w:p w14:paraId="59C2FEA1" w14:textId="77777777" w:rsidR="00F93018" w:rsidRPr="0044107F" w:rsidRDefault="000D7DCF" w:rsidP="002934D1">
      <w:pPr>
        <w:pStyle w:val="Heading2"/>
      </w:pPr>
      <w:bookmarkStart w:id="47" w:name="_Toc530493316"/>
      <w:r>
        <w:t>Background on a proposed</w:t>
      </w:r>
      <w:r w:rsidRPr="0044107F">
        <w:t xml:space="preserve"> </w:t>
      </w:r>
      <w:r w:rsidR="00F93018" w:rsidRPr="0044107F">
        <w:t>Infrastructure fee</w:t>
      </w:r>
      <w:bookmarkEnd w:id="47"/>
    </w:p>
    <w:p w14:paraId="28AF5D8D" w14:textId="77777777" w:rsidR="00F93018" w:rsidRPr="0044107F" w:rsidRDefault="00F93018" w:rsidP="00F93018">
      <w:pPr>
        <w:jc w:val="both"/>
      </w:pPr>
      <w:r w:rsidRPr="0044107F">
        <w:t>Direct access to the ASIC Registry is increasingly valuable to commercial ventures</w:t>
      </w:r>
      <w:r w:rsidR="00F45256" w:rsidRPr="0044107F">
        <w:t>,</w:t>
      </w:r>
      <w:r w:rsidRPr="0044107F">
        <w:t xml:space="preserve"> which provide services to clients who interact with ASIC or access the data to provide verification or other products and serv</w:t>
      </w:r>
      <w:r w:rsidR="008A6926">
        <w:t xml:space="preserve">ices to themselves or clients. </w:t>
      </w:r>
      <w:r w:rsidRPr="0044107F">
        <w:t>Currently, there is no distinction drawn between the fees paid by large commercial searchers of the ASIC Registry, and those who search the database infrequently to verify their own or another’s business status.</w:t>
      </w:r>
    </w:p>
    <w:p w14:paraId="6AA4B5C0" w14:textId="77777777" w:rsidR="00F93018" w:rsidRPr="0044107F" w:rsidRDefault="00F93018" w:rsidP="00F93018">
      <w:pPr>
        <w:jc w:val="both"/>
      </w:pPr>
      <w:r w:rsidRPr="0044107F">
        <w:t xml:space="preserve">The introduction of an infrastructure fee for </w:t>
      </w:r>
      <w:r w:rsidR="006A509C">
        <w:t xml:space="preserve">large data </w:t>
      </w:r>
      <w:r w:rsidRPr="0044107F">
        <w:t xml:space="preserve">users through an API or comparable technology in the future could be constructed so that it transparently provides a source for funding future system upgrades to take account of technological developments and user demands, in a way that the existing fee structure </w:t>
      </w:r>
      <w:r w:rsidR="007B304F" w:rsidRPr="0044107F">
        <w:t>does</w:t>
      </w:r>
      <w:r w:rsidR="008A6926">
        <w:t xml:space="preserve"> not.</w:t>
      </w:r>
      <w:r w:rsidRPr="0044107F">
        <w:t xml:space="preserve"> It could also fund a testing environment to improve system integration and a sandbox to encourage </w:t>
      </w:r>
      <w:r w:rsidR="008A6926">
        <w:t>testing of innovative products.</w:t>
      </w:r>
      <w:r w:rsidRPr="0044107F">
        <w:t xml:space="preserve"> Properly constructed it would be a more equitable and efficient way of charging users of the data contained in the registers than the current system of search fees. </w:t>
      </w:r>
    </w:p>
    <w:p w14:paraId="4BDD642F" w14:textId="77777777" w:rsidR="00F93018" w:rsidRPr="0044107F" w:rsidRDefault="00F93018" w:rsidP="00F93018">
      <w:pPr>
        <w:jc w:val="both"/>
      </w:pPr>
      <w:r w:rsidRPr="0044107F">
        <w:rPr>
          <w:rFonts w:eastAsia="Calibri"/>
          <w:szCs w:val="22"/>
          <w:lang w:eastAsia="en-US"/>
        </w:rPr>
        <w:t>Users of the data in the ASIC registers can be classified into:</w:t>
      </w:r>
      <w:r w:rsidRPr="0044107F">
        <w:t xml:space="preserve"> </w:t>
      </w:r>
    </w:p>
    <w:p w14:paraId="07594C53" w14:textId="77777777" w:rsidR="00F93018" w:rsidRPr="0044107F" w:rsidRDefault="008A6926" w:rsidP="00F93018">
      <w:pPr>
        <w:pStyle w:val="ListParagraph"/>
        <w:numPr>
          <w:ilvl w:val="0"/>
          <w:numId w:val="9"/>
        </w:numPr>
        <w:jc w:val="both"/>
      </w:pPr>
      <w:r>
        <w:rPr>
          <w:rFonts w:eastAsia="Calibri"/>
          <w:szCs w:val="22"/>
          <w:lang w:eastAsia="en-US"/>
        </w:rPr>
        <w:t xml:space="preserve">Users for a public purpose: </w:t>
      </w:r>
      <w:r w:rsidR="00F93018" w:rsidRPr="0044107F">
        <w:rPr>
          <w:rFonts w:eastAsia="Calibri"/>
          <w:szCs w:val="22"/>
          <w:lang w:eastAsia="en-US"/>
        </w:rPr>
        <w:t>this category includes Government agencies at all levels of Government, as well</w:t>
      </w:r>
      <w:r>
        <w:rPr>
          <w:rFonts w:eastAsia="Calibri"/>
          <w:szCs w:val="22"/>
          <w:lang w:eastAsia="en-US"/>
        </w:rPr>
        <w:t xml:space="preserve"> as academics and journalists. </w:t>
      </w:r>
      <w:r w:rsidR="00F93018" w:rsidRPr="0044107F">
        <w:rPr>
          <w:rFonts w:eastAsia="Calibri"/>
          <w:szCs w:val="22"/>
          <w:lang w:eastAsia="en-US"/>
        </w:rPr>
        <w:t>Presently there are a range of exemptions and concessional fees that apply to these users, and some pay full search fees</w:t>
      </w:r>
      <w:r w:rsidR="00F93018" w:rsidRPr="0044107F">
        <w:rPr>
          <w:rFonts w:eastAsia="Calibri"/>
          <w:vertAlign w:val="superscript"/>
          <w:lang w:eastAsia="en-US"/>
        </w:rPr>
        <w:footnoteReference w:id="12"/>
      </w:r>
      <w:r>
        <w:rPr>
          <w:rFonts w:eastAsia="Calibri"/>
          <w:szCs w:val="22"/>
          <w:lang w:eastAsia="en-US"/>
        </w:rPr>
        <w:t xml:space="preserve">. </w:t>
      </w:r>
      <w:r w:rsidR="00F93018" w:rsidRPr="0044107F">
        <w:rPr>
          <w:rFonts w:eastAsia="Calibri"/>
          <w:szCs w:val="22"/>
          <w:lang w:eastAsia="en-US"/>
        </w:rPr>
        <w:t>Currently many Government agencies use direct machine-to-machine channels or use the MASCOT service, which provides them with a copy of the dataset, including some confidential info</w:t>
      </w:r>
      <w:r>
        <w:rPr>
          <w:rFonts w:eastAsia="Calibri"/>
          <w:szCs w:val="22"/>
          <w:lang w:eastAsia="en-US"/>
        </w:rPr>
        <w:t xml:space="preserve">rmation held on the registers. </w:t>
      </w:r>
      <w:r w:rsidR="00F93018" w:rsidRPr="0044107F">
        <w:rPr>
          <w:rFonts w:eastAsia="Calibri"/>
          <w:szCs w:val="22"/>
          <w:lang w:eastAsia="en-US"/>
        </w:rPr>
        <w:t xml:space="preserve">It is anticipated that these entities will continue to use large volume channels, either in their own right or through another provider, to </w:t>
      </w:r>
      <w:r>
        <w:rPr>
          <w:rFonts w:eastAsia="Calibri"/>
          <w:szCs w:val="22"/>
          <w:lang w:eastAsia="en-US"/>
        </w:rPr>
        <w:t xml:space="preserve">access the data they require. </w:t>
      </w:r>
      <w:r w:rsidR="00F93018" w:rsidRPr="0044107F">
        <w:rPr>
          <w:rFonts w:eastAsia="Calibri"/>
          <w:szCs w:val="22"/>
          <w:lang w:eastAsia="en-US"/>
        </w:rPr>
        <w:t>Most of these users require or prefer real-time access to data</w:t>
      </w:r>
      <w:r w:rsidR="00F93018" w:rsidRPr="0044107F">
        <w:t xml:space="preserve">. </w:t>
      </w:r>
    </w:p>
    <w:p w14:paraId="07D1B930" w14:textId="77777777" w:rsidR="00F93018" w:rsidRPr="0044107F" w:rsidRDefault="00F93018" w:rsidP="00F93018">
      <w:pPr>
        <w:pStyle w:val="ListParagraph"/>
        <w:numPr>
          <w:ilvl w:val="0"/>
          <w:numId w:val="9"/>
        </w:numPr>
        <w:jc w:val="both"/>
      </w:pPr>
      <w:r w:rsidRPr="0044107F">
        <w:rPr>
          <w:rFonts w:eastAsia="Calibri"/>
          <w:szCs w:val="22"/>
          <w:lang w:eastAsia="en-US"/>
        </w:rPr>
        <w:t xml:space="preserve">Large </w:t>
      </w:r>
      <w:r w:rsidR="008A6926">
        <w:rPr>
          <w:rFonts w:eastAsia="Calibri"/>
          <w:szCs w:val="22"/>
          <w:lang w:eastAsia="en-US"/>
        </w:rPr>
        <w:t xml:space="preserve">users for commercial purposes: </w:t>
      </w:r>
      <w:r w:rsidRPr="0044107F">
        <w:rPr>
          <w:rFonts w:eastAsia="Calibri"/>
          <w:szCs w:val="22"/>
          <w:lang w:eastAsia="en-US"/>
        </w:rPr>
        <w:t xml:space="preserve">this category comprises large users whose business model revolves around compiling and analysing data </w:t>
      </w:r>
      <w:r w:rsidR="00F45256" w:rsidRPr="0044107F">
        <w:rPr>
          <w:rFonts w:eastAsia="Calibri"/>
          <w:szCs w:val="22"/>
          <w:lang w:eastAsia="en-US"/>
        </w:rPr>
        <w:t>stored on the registers about</w:t>
      </w:r>
      <w:r w:rsidRPr="0044107F">
        <w:rPr>
          <w:rFonts w:eastAsia="Calibri"/>
          <w:szCs w:val="22"/>
          <w:lang w:eastAsia="en-US"/>
        </w:rPr>
        <w:t xml:space="preserve"> individuals and corporates and on-selling information products, such as credit reporting bu</w:t>
      </w:r>
      <w:r w:rsidR="008A6926">
        <w:rPr>
          <w:rFonts w:eastAsia="Calibri"/>
          <w:szCs w:val="22"/>
          <w:lang w:eastAsia="en-US"/>
        </w:rPr>
        <w:t xml:space="preserve">reaux and information brokers. </w:t>
      </w:r>
      <w:r w:rsidRPr="0044107F">
        <w:rPr>
          <w:rFonts w:eastAsia="Calibri"/>
          <w:szCs w:val="22"/>
          <w:lang w:eastAsia="en-US"/>
        </w:rPr>
        <w:t>It also includes users who need to undertake a large volume of searches for thei</w:t>
      </w:r>
      <w:r w:rsidR="008A6926">
        <w:rPr>
          <w:rFonts w:eastAsia="Calibri"/>
          <w:szCs w:val="22"/>
          <w:lang w:eastAsia="en-US"/>
        </w:rPr>
        <w:t xml:space="preserve">r own business, such as banks. </w:t>
      </w:r>
      <w:r w:rsidRPr="0044107F">
        <w:rPr>
          <w:rFonts w:eastAsia="Calibri"/>
          <w:szCs w:val="22"/>
          <w:lang w:eastAsia="en-US"/>
        </w:rPr>
        <w:t>Users in this category are currently charged search fees and pass t</w:t>
      </w:r>
      <w:r w:rsidR="008A6926">
        <w:rPr>
          <w:rFonts w:eastAsia="Calibri"/>
          <w:szCs w:val="22"/>
          <w:lang w:eastAsia="en-US"/>
        </w:rPr>
        <w:t xml:space="preserve">hat cost on to their clients. </w:t>
      </w:r>
      <w:r w:rsidRPr="0044107F">
        <w:rPr>
          <w:rFonts w:eastAsia="Calibri"/>
          <w:szCs w:val="22"/>
          <w:lang w:eastAsia="en-US"/>
        </w:rPr>
        <w:t xml:space="preserve">These users require real-time access to data as they have a customer base to </w:t>
      </w:r>
      <w:proofErr w:type="gramStart"/>
      <w:r w:rsidRPr="0044107F">
        <w:rPr>
          <w:rFonts w:eastAsia="Calibri"/>
          <w:szCs w:val="22"/>
          <w:lang w:eastAsia="en-US"/>
        </w:rPr>
        <w:t>whom</w:t>
      </w:r>
      <w:proofErr w:type="gramEnd"/>
      <w:r w:rsidRPr="0044107F">
        <w:rPr>
          <w:rFonts w:eastAsia="Calibri"/>
          <w:szCs w:val="22"/>
          <w:lang w:eastAsia="en-US"/>
        </w:rPr>
        <w:t xml:space="preserve"> they can pass o</w:t>
      </w:r>
      <w:r w:rsidR="008A6926">
        <w:rPr>
          <w:rFonts w:eastAsia="Calibri"/>
          <w:szCs w:val="22"/>
          <w:lang w:eastAsia="en-US"/>
        </w:rPr>
        <w:t xml:space="preserve">n the cost. </w:t>
      </w:r>
      <w:r w:rsidRPr="0044107F">
        <w:rPr>
          <w:rFonts w:eastAsia="Calibri"/>
          <w:szCs w:val="22"/>
          <w:lang w:eastAsia="en-US"/>
        </w:rPr>
        <w:t>Some of these users also require access to historical data, such as previous addresses, to assist them to establish and assure identity.</w:t>
      </w:r>
      <w:r w:rsidR="008A6926">
        <w:t xml:space="preserve"> </w:t>
      </w:r>
    </w:p>
    <w:p w14:paraId="13BA2049" w14:textId="77777777" w:rsidR="00F93018" w:rsidRPr="0044107F" w:rsidRDefault="00F93018" w:rsidP="00F93018">
      <w:pPr>
        <w:pStyle w:val="ListParagraph"/>
        <w:numPr>
          <w:ilvl w:val="0"/>
          <w:numId w:val="9"/>
        </w:numPr>
        <w:jc w:val="both"/>
      </w:pPr>
      <w:r w:rsidRPr="0044107F">
        <w:rPr>
          <w:rFonts w:eastAsia="Calibri"/>
          <w:szCs w:val="22"/>
          <w:lang w:eastAsia="en-US"/>
        </w:rPr>
        <w:t>Small users for co</w:t>
      </w:r>
      <w:r w:rsidR="008A6926">
        <w:rPr>
          <w:rFonts w:eastAsia="Calibri"/>
          <w:szCs w:val="22"/>
          <w:lang w:eastAsia="en-US"/>
        </w:rPr>
        <w:t xml:space="preserve">mmercial or personal purposes: </w:t>
      </w:r>
      <w:r w:rsidRPr="0044107F">
        <w:rPr>
          <w:rFonts w:eastAsia="Calibri"/>
          <w:szCs w:val="22"/>
          <w:lang w:eastAsia="en-US"/>
        </w:rPr>
        <w:t>this category covers businesses, professional service providers (lawyers and accountants) and individuals who seek and use the data to verify</w:t>
      </w:r>
      <w:r w:rsidR="008A6926">
        <w:rPr>
          <w:rFonts w:eastAsia="Calibri"/>
          <w:szCs w:val="22"/>
          <w:lang w:eastAsia="en-US"/>
        </w:rPr>
        <w:t xml:space="preserve"> identities and transactions. </w:t>
      </w:r>
      <w:r w:rsidRPr="0044107F">
        <w:rPr>
          <w:rFonts w:eastAsia="Calibri"/>
          <w:szCs w:val="22"/>
          <w:lang w:eastAsia="en-US"/>
        </w:rPr>
        <w:t>Users in this category usually access the dat</w:t>
      </w:r>
      <w:r w:rsidR="008A6926">
        <w:rPr>
          <w:rFonts w:eastAsia="Calibri"/>
          <w:szCs w:val="22"/>
          <w:lang w:eastAsia="en-US"/>
        </w:rPr>
        <w:t xml:space="preserve">a through information brokers. </w:t>
      </w:r>
    </w:p>
    <w:p w14:paraId="66754CAF" w14:textId="77777777" w:rsidR="00F93018" w:rsidRPr="0044107F" w:rsidRDefault="00F93018" w:rsidP="00F93018">
      <w:pPr>
        <w:jc w:val="both"/>
      </w:pPr>
      <w:r w:rsidRPr="0044107F">
        <w:rPr>
          <w:rFonts w:eastAsia="Calibri"/>
          <w:szCs w:val="22"/>
          <w:lang w:eastAsia="en-US"/>
        </w:rPr>
        <w:t>Large users (those in a. and b. above) create the need for better infrastructure to access the data efficiently, and for the data to be structured in such a way that it can be integrated across multiple registers to provide a mo</w:t>
      </w:r>
      <w:r w:rsidR="008A6926">
        <w:rPr>
          <w:rFonts w:eastAsia="Calibri"/>
          <w:szCs w:val="22"/>
          <w:lang w:eastAsia="en-US"/>
        </w:rPr>
        <w:t xml:space="preserve">re holistic view of the data. </w:t>
      </w:r>
      <w:r w:rsidRPr="0044107F">
        <w:rPr>
          <w:rFonts w:eastAsia="Calibri"/>
          <w:szCs w:val="22"/>
          <w:lang w:eastAsia="en-US"/>
        </w:rPr>
        <w:t xml:space="preserve">While the users in category a. contribute to this need for the infrastructure, a number of these users have longstanding exemptions or concessional arrangements for access to the data, based on the argument that reduced or no cost access is </w:t>
      </w:r>
      <w:r w:rsidRPr="0044107F">
        <w:rPr>
          <w:rFonts w:eastAsia="Calibri"/>
          <w:szCs w:val="22"/>
          <w:lang w:eastAsia="en-US"/>
        </w:rPr>
        <w:lastRenderedPageBreak/>
        <w:t xml:space="preserve">justified by the public purpose </w:t>
      </w:r>
      <w:r w:rsidR="008A6926">
        <w:rPr>
          <w:rFonts w:eastAsia="Calibri"/>
          <w:szCs w:val="22"/>
          <w:lang w:eastAsia="en-US"/>
        </w:rPr>
        <w:t>for which the access is needed.</w:t>
      </w:r>
      <w:r w:rsidRPr="0044107F">
        <w:rPr>
          <w:rFonts w:eastAsia="Calibri"/>
          <w:szCs w:val="22"/>
          <w:lang w:eastAsia="en-US"/>
        </w:rPr>
        <w:t xml:space="preserve"> It </w:t>
      </w:r>
      <w:r w:rsidR="000D7DCF">
        <w:rPr>
          <w:rFonts w:eastAsia="Calibri"/>
          <w:szCs w:val="22"/>
          <w:lang w:eastAsia="en-US"/>
        </w:rPr>
        <w:t>could be</w:t>
      </w:r>
      <w:r w:rsidR="000D7DCF" w:rsidRPr="0044107F">
        <w:rPr>
          <w:rFonts w:eastAsia="Calibri"/>
          <w:szCs w:val="22"/>
          <w:lang w:eastAsia="en-US"/>
        </w:rPr>
        <w:t xml:space="preserve"> </w:t>
      </w:r>
      <w:r w:rsidRPr="0044107F">
        <w:rPr>
          <w:rFonts w:eastAsia="Calibri"/>
          <w:szCs w:val="22"/>
          <w:lang w:eastAsia="en-US"/>
        </w:rPr>
        <w:t xml:space="preserve">proposed that these users should not be charged a fee to </w:t>
      </w:r>
      <w:r w:rsidR="008A6926">
        <w:rPr>
          <w:rFonts w:eastAsia="Calibri"/>
          <w:szCs w:val="22"/>
          <w:lang w:eastAsia="en-US"/>
        </w:rPr>
        <w:t>use the APIs on the same basis.</w:t>
      </w:r>
    </w:p>
    <w:p w14:paraId="3D0BD04F" w14:textId="77777777" w:rsidR="00F93018" w:rsidRPr="0044107F" w:rsidRDefault="00F93018" w:rsidP="00F93018">
      <w:pPr>
        <w:jc w:val="both"/>
      </w:pPr>
      <w:r w:rsidRPr="0044107F">
        <w:rPr>
          <w:rFonts w:eastAsia="Calibri"/>
          <w:szCs w:val="22"/>
          <w:lang w:eastAsia="en-US"/>
        </w:rPr>
        <w:t>Large commercial users (those in category b. above) have a commercial incentive to seek to reduce the infrastructure cost of accessing and analysing the data.</w:t>
      </w:r>
      <w:r w:rsidR="008A6926">
        <w:rPr>
          <w:rFonts w:eastAsia="Calibri"/>
          <w:szCs w:val="22"/>
          <w:lang w:eastAsia="en-US"/>
        </w:rPr>
        <w:t xml:space="preserve"> </w:t>
      </w:r>
      <w:r w:rsidRPr="0044107F">
        <w:rPr>
          <w:rFonts w:eastAsia="Calibri"/>
          <w:szCs w:val="22"/>
          <w:lang w:eastAsia="en-US"/>
        </w:rPr>
        <w:t>Large commercial users could readily be identified as those using a uniq</w:t>
      </w:r>
      <w:r w:rsidR="008A6926">
        <w:rPr>
          <w:rFonts w:eastAsia="Calibri"/>
          <w:szCs w:val="22"/>
          <w:lang w:eastAsia="en-US"/>
        </w:rPr>
        <w:t>ue API to access registry data.</w:t>
      </w:r>
    </w:p>
    <w:p w14:paraId="09432E69" w14:textId="77777777" w:rsidR="00F93018" w:rsidRPr="0044107F" w:rsidRDefault="00F93018" w:rsidP="00F93018">
      <w:pPr>
        <w:jc w:val="both"/>
      </w:pPr>
      <w:r w:rsidRPr="0044107F">
        <w:rPr>
          <w:rFonts w:eastAsia="Calibri"/>
          <w:szCs w:val="22"/>
          <w:lang w:eastAsia="en-US"/>
        </w:rPr>
        <w:t>Small users (those in category c. above) do not have as significant an incentive to use an API to access the data, provided they can access real-time data at a reasonable price through a large user or can meet their need by accessing non real-time data through</w:t>
      </w:r>
      <w:r w:rsidR="00D904F4">
        <w:rPr>
          <w:rFonts w:eastAsia="Calibri"/>
          <w:szCs w:val="22"/>
          <w:lang w:eastAsia="en-US"/>
        </w:rPr>
        <w:t xml:space="preserve"> channels such as data.gov.au. </w:t>
      </w:r>
      <w:r w:rsidRPr="0044107F">
        <w:rPr>
          <w:rFonts w:eastAsia="Calibri"/>
          <w:szCs w:val="22"/>
          <w:lang w:eastAsia="en-US"/>
        </w:rPr>
        <w:t xml:space="preserve">However, if they chose to use an API to access real-time data, there could be justification in charging them on the same basis as a large user. </w:t>
      </w:r>
    </w:p>
    <w:p w14:paraId="71581F19" w14:textId="77777777" w:rsidR="00F93018" w:rsidRPr="0044107F" w:rsidRDefault="00F93018" w:rsidP="00F93018">
      <w:pPr>
        <w:jc w:val="both"/>
      </w:pPr>
      <w:r w:rsidRPr="0044107F">
        <w:rPr>
          <w:rFonts w:eastAsia="Calibri"/>
          <w:szCs w:val="22"/>
          <w:lang w:eastAsia="en-US"/>
        </w:rPr>
        <w:t>There is also a category of potential users that aspire to become a large user for commercial purposes but need to test a new business model or product innovat</w:t>
      </w:r>
      <w:r w:rsidR="00D904F4">
        <w:rPr>
          <w:rFonts w:eastAsia="Calibri"/>
          <w:szCs w:val="22"/>
          <w:lang w:eastAsia="en-US"/>
        </w:rPr>
        <w:t xml:space="preserve">ion before they become viable. </w:t>
      </w:r>
      <w:r w:rsidRPr="0044107F">
        <w:rPr>
          <w:rFonts w:eastAsia="Calibri"/>
          <w:szCs w:val="22"/>
          <w:lang w:eastAsia="en-US"/>
        </w:rPr>
        <w:t>This category is important to promote competition and innovation, as full access to and use of APIs is likely to invo</w:t>
      </w:r>
      <w:r w:rsidR="008A6926">
        <w:rPr>
          <w:rFonts w:eastAsia="Calibri"/>
          <w:szCs w:val="22"/>
          <w:lang w:eastAsia="en-US"/>
        </w:rPr>
        <w:t xml:space="preserve">lve significant upfront costs. </w:t>
      </w:r>
      <w:r w:rsidRPr="0044107F">
        <w:rPr>
          <w:rFonts w:eastAsia="Calibri"/>
          <w:szCs w:val="22"/>
          <w:lang w:eastAsia="en-US"/>
        </w:rPr>
        <w:t xml:space="preserve">These users could be accommodated by providing them with access to a testing environment or sandbox. </w:t>
      </w:r>
    </w:p>
    <w:p w14:paraId="5CAE01AF" w14:textId="77777777" w:rsidR="00F93018" w:rsidRPr="0044107F" w:rsidRDefault="00F93018" w:rsidP="00F93018">
      <w:pPr>
        <w:jc w:val="both"/>
      </w:pPr>
      <w:r w:rsidRPr="0044107F">
        <w:t xml:space="preserve">We expect that Government agencies will not be charged to access registry data in keeping with the Government’s Open Data Policy and given other platforms in the Digital Transformation Agenda such as Tell Us Once will rely on access to this data. </w:t>
      </w:r>
    </w:p>
    <w:p w14:paraId="1A837D4E" w14:textId="77777777" w:rsidR="00F93018" w:rsidRPr="008D4B46" w:rsidRDefault="00F93018" w:rsidP="008D4B46">
      <w:pPr>
        <w:rPr>
          <w:rStyle w:val="SubtleEmphasis"/>
          <w:rFonts w:eastAsia="Calibri"/>
        </w:rPr>
      </w:pPr>
      <w:bookmarkStart w:id="48" w:name="_Toc529401670"/>
      <w:r w:rsidRPr="008D4B46">
        <w:rPr>
          <w:rStyle w:val="SubtleEmphasis"/>
          <w:rFonts w:eastAsia="Calibri"/>
        </w:rPr>
        <w:t>Proposed Infrastructure Fee</w:t>
      </w:r>
      <w:bookmarkEnd w:id="48"/>
    </w:p>
    <w:p w14:paraId="416ACDF0" w14:textId="77777777" w:rsidR="00F93018" w:rsidRPr="0044107F" w:rsidRDefault="00F93018" w:rsidP="00F93018">
      <w:pPr>
        <w:jc w:val="both"/>
      </w:pPr>
      <w:r w:rsidRPr="0044107F">
        <w:rPr>
          <w:rFonts w:eastAsia="Calibri"/>
          <w:szCs w:val="22"/>
          <w:lang w:eastAsia="en-US"/>
        </w:rPr>
        <w:t xml:space="preserve">In order to be consistent with the Charging Framework, the infrastructure fee </w:t>
      </w:r>
      <w:r w:rsidR="000D7DCF">
        <w:rPr>
          <w:rFonts w:eastAsia="Calibri"/>
          <w:szCs w:val="22"/>
          <w:lang w:eastAsia="en-US"/>
        </w:rPr>
        <w:t>c</w:t>
      </w:r>
      <w:r w:rsidRPr="0044107F">
        <w:rPr>
          <w:rFonts w:eastAsia="Calibri"/>
          <w:szCs w:val="22"/>
          <w:lang w:eastAsia="en-US"/>
        </w:rPr>
        <w:t xml:space="preserve">ould be set at a level which covers the cost of: </w:t>
      </w:r>
    </w:p>
    <w:p w14:paraId="396B374C" w14:textId="77777777" w:rsidR="00F93018" w:rsidRPr="0044107F" w:rsidRDefault="00F93018" w:rsidP="00393762">
      <w:pPr>
        <w:pStyle w:val="Dash"/>
        <w:rPr>
          <w:b/>
        </w:rPr>
      </w:pPr>
      <w:r w:rsidRPr="0044107F">
        <w:rPr>
          <w:rFonts w:eastAsia="Calibri"/>
          <w:lang w:eastAsia="en-US"/>
        </w:rPr>
        <w:t>structuring the data so that it can be efficiently accessed;</w:t>
      </w:r>
      <w:r w:rsidRPr="0044107F">
        <w:rPr>
          <w:b/>
        </w:rPr>
        <w:t xml:space="preserve"> </w:t>
      </w:r>
    </w:p>
    <w:p w14:paraId="6135208B" w14:textId="77777777" w:rsidR="00F93018" w:rsidRPr="0044107F" w:rsidRDefault="00F93018" w:rsidP="00393762">
      <w:pPr>
        <w:pStyle w:val="Dash"/>
        <w:rPr>
          <w:b/>
        </w:rPr>
      </w:pPr>
      <w:r w:rsidRPr="0044107F">
        <w:rPr>
          <w:rFonts w:eastAsia="Calibri"/>
          <w:lang w:eastAsia="en-US"/>
        </w:rPr>
        <w:t>establishing and maintaining access to the data, through an API or comparable technology;</w:t>
      </w:r>
      <w:r w:rsidRPr="0044107F">
        <w:rPr>
          <w:b/>
        </w:rPr>
        <w:t xml:space="preserve"> </w:t>
      </w:r>
    </w:p>
    <w:p w14:paraId="4E2E6EB4" w14:textId="77777777" w:rsidR="00F93018" w:rsidRPr="0044107F" w:rsidRDefault="00F93018" w:rsidP="00393762">
      <w:pPr>
        <w:pStyle w:val="Dash"/>
        <w:rPr>
          <w:b/>
        </w:rPr>
      </w:pPr>
      <w:r w:rsidRPr="0044107F">
        <w:rPr>
          <w:rFonts w:eastAsia="Calibri"/>
          <w:lang w:eastAsia="en-US"/>
        </w:rPr>
        <w:t>developing and maintaining an end-to-end testing environment, to enable users to integrate the data into their systems efficiently and to manage enhancements and upgrades over time, and to provide a sandbox for potential users to test new business models or product innovations; and</w:t>
      </w:r>
    </w:p>
    <w:p w14:paraId="6659D30B" w14:textId="77777777" w:rsidR="00F93018" w:rsidRPr="0044107F" w:rsidRDefault="00F93018" w:rsidP="00393762">
      <w:pPr>
        <w:pStyle w:val="Dash"/>
        <w:rPr>
          <w:b/>
        </w:rPr>
      </w:pPr>
      <w:proofErr w:type="gramStart"/>
      <w:r w:rsidRPr="0044107F">
        <w:rPr>
          <w:rFonts w:eastAsia="Calibri"/>
          <w:lang w:eastAsia="en-US"/>
        </w:rPr>
        <w:t>desirably</w:t>
      </w:r>
      <w:proofErr w:type="gramEnd"/>
      <w:r w:rsidRPr="0044107F">
        <w:rPr>
          <w:rFonts w:eastAsia="Calibri"/>
          <w:lang w:eastAsia="en-US"/>
        </w:rPr>
        <w:t>, establishing and maintaining a governance and reporting process to enable users to be consulted and participate in decisions about enhancements and upgrades to the overall system.</w:t>
      </w:r>
      <w:r w:rsidRPr="0044107F">
        <w:rPr>
          <w:b/>
        </w:rPr>
        <w:t xml:space="preserve"> </w:t>
      </w:r>
    </w:p>
    <w:p w14:paraId="1F023D2B" w14:textId="77777777" w:rsidR="00365FAD" w:rsidRPr="0044107F" w:rsidRDefault="00365FAD" w:rsidP="00365FAD">
      <w:pPr>
        <w:jc w:val="both"/>
      </w:pPr>
    </w:p>
    <w:p w14:paraId="33F14AE0" w14:textId="77777777" w:rsidR="006A3E1E" w:rsidRPr="0044107F" w:rsidRDefault="006A3E1E" w:rsidP="00761037">
      <w:pPr>
        <w:spacing w:before="0" w:after="200" w:line="276" w:lineRule="auto"/>
      </w:pPr>
    </w:p>
    <w:sectPr w:rsidR="006A3E1E" w:rsidRPr="0044107F" w:rsidSect="007610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1AF04D" w14:textId="77777777" w:rsidR="002457C7" w:rsidRDefault="002457C7" w:rsidP="00241026">
      <w:pPr>
        <w:spacing w:before="0" w:after="0"/>
      </w:pPr>
      <w:r>
        <w:separator/>
      </w:r>
    </w:p>
  </w:endnote>
  <w:endnote w:type="continuationSeparator" w:id="0">
    <w:p w14:paraId="3739D2FF" w14:textId="77777777" w:rsidR="002457C7" w:rsidRDefault="002457C7" w:rsidP="00241026">
      <w:pPr>
        <w:spacing w:before="0" w:after="0"/>
      </w:pPr>
      <w:r>
        <w:continuationSeparator/>
      </w:r>
    </w:p>
  </w:endnote>
  <w:endnote w:type="continuationNotice" w:id="1">
    <w:p w14:paraId="4814D32D" w14:textId="77777777" w:rsidR="002457C7" w:rsidRDefault="002457C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80B7B2" w14:textId="77777777" w:rsidR="002457C7" w:rsidRPr="00E1136B" w:rsidRDefault="002457C7" w:rsidP="00904FE7">
    <w:pPr>
      <w:pStyle w:val="Footer"/>
    </w:pPr>
    <w:r>
      <w:rPr>
        <w:noProof/>
      </w:rPr>
      <w:drawing>
        <wp:anchor distT="0" distB="0" distL="114300" distR="114300" simplePos="0" relativeHeight="251658241" behindDoc="1" locked="0" layoutInCell="1" allowOverlap="1" wp14:anchorId="47750B1A" wp14:editId="7037AE9F">
          <wp:simplePos x="0" y="0"/>
          <wp:positionH relativeFrom="page">
            <wp:align>center</wp:align>
          </wp:positionH>
          <wp:positionV relativeFrom="page">
            <wp:posOffset>4860925</wp:posOffset>
          </wp:positionV>
          <wp:extent cx="7199640" cy="5675760"/>
          <wp:effectExtent l="0" t="0" r="127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9640" cy="567576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sidR="00161259">
      <w:rPr>
        <w:noProof/>
      </w:rPr>
      <w:t>i</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B7E51F" w14:textId="77777777" w:rsidR="002457C7" w:rsidRPr="00E77C89" w:rsidRDefault="002457C7" w:rsidP="00904FE7">
    <w:r>
      <w:fldChar w:fldCharType="begin"/>
    </w:r>
    <w:r>
      <w:instrText xml:space="preserve"> PAGE  \* Arabic  \* MERGEFORMAT </w:instrText>
    </w:r>
    <w:r>
      <w:fldChar w:fldCharType="separate"/>
    </w:r>
    <w:r>
      <w:t>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ADEE0" w14:textId="77777777" w:rsidR="002457C7" w:rsidRDefault="002457C7" w:rsidP="00904FE7">
    <w:pPr>
      <w:pStyle w:val="SecurityClassificationFooter"/>
    </w:pPr>
    <w:r>
      <w:fldChar w:fldCharType="begin"/>
    </w:r>
    <w:r>
      <w:instrText xml:space="preserve"> DOCPROPERTY WorkingDocStatus \* MERGEFORMAT </w:instrText>
    </w:r>
    <w:r>
      <w:fldChar w:fldCharType="separate"/>
    </w:r>
    <w:r>
      <w:rPr>
        <w:b w:val="0"/>
        <w:bCs/>
        <w:lang w:val="en-US"/>
      </w:rPr>
      <w:t>Error! Unknown document property name.</w:t>
    </w:r>
    <w:r>
      <w:fldChar w:fldCharType="end"/>
    </w:r>
  </w:p>
  <w:p w14:paraId="1F14FF4F" w14:textId="77777777" w:rsidR="002457C7" w:rsidRDefault="002457C7" w:rsidP="00904FE7">
    <w:pPr>
      <w:pStyle w:val="SecurityClassificationFooter"/>
    </w:pPr>
    <w:r>
      <w:fldChar w:fldCharType="begin"/>
    </w:r>
    <w:r>
      <w:instrText xml:space="preserve"> DOCPROPERTY SecurityClassification \* MERGEFORMAT </w:instrText>
    </w:r>
    <w:r>
      <w:fldChar w:fldCharType="separate"/>
    </w:r>
    <w:r>
      <w:rPr>
        <w:b w:val="0"/>
        <w:bCs/>
        <w:lang w:val="en-US"/>
      </w:rPr>
      <w:t>Error! Unknown document property name.</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0374956"/>
      <w:docPartObj>
        <w:docPartGallery w:val="Page Numbers (Bottom of Page)"/>
        <w:docPartUnique/>
      </w:docPartObj>
    </w:sdtPr>
    <w:sdtEndPr>
      <w:rPr>
        <w:color w:val="004A7F"/>
        <w:sz w:val="20"/>
      </w:rPr>
    </w:sdtEndPr>
    <w:sdtContent>
      <w:p w14:paraId="4260D030" w14:textId="77777777" w:rsidR="002457C7" w:rsidRPr="001911E8" w:rsidRDefault="002457C7" w:rsidP="001911E8">
        <w:pPr>
          <w:pStyle w:val="Footer"/>
          <w:jc w:val="center"/>
          <w:rPr>
            <w:color w:val="004A7F"/>
            <w:sz w:val="20"/>
          </w:rPr>
        </w:pPr>
        <w:r w:rsidRPr="001911E8">
          <w:rPr>
            <w:color w:val="004A7F"/>
            <w:sz w:val="20"/>
          </w:rPr>
          <w:fldChar w:fldCharType="begin"/>
        </w:r>
        <w:r>
          <w:instrText xml:space="preserve"> PAGE   \* MERGEFORMAT </w:instrText>
        </w:r>
        <w:r w:rsidRPr="001911E8">
          <w:rPr>
            <w:color w:val="004A7F"/>
            <w:sz w:val="20"/>
          </w:rPr>
          <w:fldChar w:fldCharType="separate"/>
        </w:r>
        <w:r w:rsidR="00161259">
          <w:rPr>
            <w:noProof/>
          </w:rPr>
          <w:t>27</w:t>
        </w:r>
        <w:r w:rsidRPr="001911E8">
          <w:rPr>
            <w:color w:val="004A7F"/>
            <w:sz w:val="20"/>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D81F4C" w14:textId="77777777" w:rsidR="002457C7" w:rsidRDefault="002457C7" w:rsidP="00904FE7">
    <w:pPr>
      <w:pStyle w:val="SecurityClassificationFooter"/>
    </w:pPr>
    <w:r>
      <w:fldChar w:fldCharType="begin"/>
    </w:r>
    <w:r>
      <w:instrText xml:space="preserve"> DOCPROPERTY WorkingDocStatus \* MERGEFORMAT </w:instrText>
    </w:r>
    <w:r>
      <w:fldChar w:fldCharType="separate"/>
    </w:r>
    <w:r>
      <w:rPr>
        <w:b w:val="0"/>
        <w:bCs/>
        <w:lang w:val="en-US"/>
      </w:rPr>
      <w:t>Error! Unknown document property name.</w:t>
    </w:r>
    <w:r>
      <w:fldChar w:fldCharType="end"/>
    </w:r>
  </w:p>
  <w:p w14:paraId="27357656" w14:textId="77777777" w:rsidR="002457C7" w:rsidRDefault="002457C7" w:rsidP="00904FE7">
    <w:pPr>
      <w:pStyle w:val="SecurityClassificationFooter"/>
    </w:pPr>
    <w:r>
      <w:fldChar w:fldCharType="begin"/>
    </w:r>
    <w:r>
      <w:instrText xml:space="preserve"> DOCPROPERTY SecurityClassification \* MERGEFORMAT </w:instrText>
    </w:r>
    <w:r>
      <w:fldChar w:fldCharType="separate"/>
    </w:r>
    <w:r>
      <w:rPr>
        <w:b w:val="0"/>
        <w:bCs/>
        <w:lang w:val="en-US"/>
      </w:rPr>
      <w:t>Error! Unknown document property name.</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FD3A07" w14:textId="77777777" w:rsidR="002457C7" w:rsidRDefault="002457C7" w:rsidP="00241026">
      <w:pPr>
        <w:spacing w:before="0" w:after="0"/>
      </w:pPr>
      <w:r>
        <w:separator/>
      </w:r>
    </w:p>
  </w:footnote>
  <w:footnote w:type="continuationSeparator" w:id="0">
    <w:p w14:paraId="3C1DE93D" w14:textId="77777777" w:rsidR="002457C7" w:rsidRDefault="002457C7" w:rsidP="00241026">
      <w:pPr>
        <w:spacing w:before="0" w:after="0"/>
      </w:pPr>
      <w:r>
        <w:continuationSeparator/>
      </w:r>
    </w:p>
  </w:footnote>
  <w:footnote w:type="continuationNotice" w:id="1">
    <w:p w14:paraId="56729AD5" w14:textId="77777777" w:rsidR="002457C7" w:rsidRDefault="002457C7">
      <w:pPr>
        <w:spacing w:before="0" w:after="0"/>
      </w:pPr>
    </w:p>
  </w:footnote>
  <w:footnote w:id="2">
    <w:p w14:paraId="3F0F08AA" w14:textId="63EB6ED8" w:rsidR="002457C7" w:rsidRDefault="002457C7">
      <w:pPr>
        <w:pStyle w:val="FootnoteText"/>
      </w:pPr>
      <w:r>
        <w:rPr>
          <w:rStyle w:val="FootnoteReference"/>
        </w:rPr>
        <w:footnoteRef/>
      </w:r>
      <w:r>
        <w:t xml:space="preserve"> </w:t>
      </w:r>
      <w:hyperlink r:id="rId1" w:history="1">
        <w:r w:rsidRPr="00CB3CDD">
          <w:rPr>
            <w:rStyle w:val="Hyperlink"/>
          </w:rPr>
          <w:t>https://treasury.gov.au/consultation/c2018-t310411/</w:t>
        </w:r>
      </w:hyperlink>
    </w:p>
  </w:footnote>
  <w:footnote w:id="3">
    <w:p w14:paraId="0AC511C2" w14:textId="006C33BD" w:rsidR="002457C7" w:rsidRDefault="002457C7">
      <w:pPr>
        <w:pStyle w:val="FootnoteText"/>
      </w:pPr>
      <w:r>
        <w:rPr>
          <w:rStyle w:val="FootnoteReference"/>
        </w:rPr>
        <w:footnoteRef/>
      </w:r>
      <w:r>
        <w:t xml:space="preserve"> </w:t>
      </w:r>
      <w:hyperlink r:id="rId2" w:history="1">
        <w:r w:rsidRPr="00627BC5">
          <w:rPr>
            <w:rStyle w:val="Hyperlink"/>
            <w:rFonts w:eastAsiaTheme="minorHAnsi"/>
          </w:rPr>
          <w:t>https://www.finance.gov.au/resource-management/charging-framework/</w:t>
        </w:r>
      </w:hyperlink>
    </w:p>
  </w:footnote>
  <w:footnote w:id="4">
    <w:p w14:paraId="23330339" w14:textId="7E41B33F" w:rsidR="002457C7" w:rsidRDefault="002457C7">
      <w:pPr>
        <w:pStyle w:val="FootnoteText"/>
      </w:pPr>
      <w:r>
        <w:rPr>
          <w:rStyle w:val="FootnoteReference"/>
        </w:rPr>
        <w:footnoteRef/>
      </w:r>
      <w:r>
        <w:t xml:space="preserve"> </w:t>
      </w:r>
      <w:hyperlink r:id="rId3" w:history="1">
        <w:r w:rsidRPr="00DE660B">
          <w:rPr>
            <w:rStyle w:val="Hyperlink"/>
          </w:rPr>
          <w:t>https://static.treasury.gov.au/uploads/sites/1/2018/05/Black-Economy-Taskforce_Final-Report.pdf</w:t>
        </w:r>
      </w:hyperlink>
    </w:p>
  </w:footnote>
  <w:footnote w:id="5">
    <w:p w14:paraId="24CD6085" w14:textId="77777777" w:rsidR="002457C7" w:rsidRDefault="002457C7" w:rsidP="00F93018">
      <w:pPr>
        <w:pStyle w:val="FootnoteText"/>
      </w:pPr>
      <w:r>
        <w:rPr>
          <w:rStyle w:val="FootnoteReference"/>
        </w:rPr>
        <w:footnoteRef/>
      </w:r>
      <w:r>
        <w:t xml:space="preserve"> </w:t>
      </w:r>
      <w:hyperlink r:id="rId4" w:history="1">
        <w:r w:rsidRPr="008E04D8">
          <w:rPr>
            <w:rStyle w:val="Hyperlink"/>
            <w:rFonts w:eastAsiaTheme="minorHAnsi"/>
          </w:rPr>
          <w:t>https://www.pmc.gov.au/public-data/open-data</w:t>
        </w:r>
      </w:hyperlink>
    </w:p>
  </w:footnote>
  <w:footnote w:id="6">
    <w:p w14:paraId="75FC9D10" w14:textId="77777777" w:rsidR="002457C7" w:rsidRDefault="002457C7" w:rsidP="00570119">
      <w:pPr>
        <w:pStyle w:val="FootnoteText"/>
      </w:pPr>
      <w:r>
        <w:rPr>
          <w:rStyle w:val="FootnoteReference"/>
        </w:rPr>
        <w:footnoteRef/>
      </w:r>
      <w:r>
        <w:t xml:space="preserve"> </w:t>
      </w:r>
      <w:r w:rsidRPr="00AD1DBB">
        <w:t>Indexation of ASIC fees commenced 1 July 2010, as outlined in 2009</w:t>
      </w:r>
      <w:r>
        <w:t>-10</w:t>
      </w:r>
      <w:r w:rsidRPr="00AD1DBB">
        <w:t xml:space="preserve"> Federal Budget.</w:t>
      </w:r>
      <w:r w:rsidRPr="000B0E2D">
        <w:t xml:space="preserve"> </w:t>
      </w:r>
      <w:hyperlink r:id="rId5" w:history="1">
        <w:r w:rsidRPr="00DE660B">
          <w:rPr>
            <w:rStyle w:val="Hyperlink"/>
          </w:rPr>
          <w:t>https://asic.gov.au/for-business/payments-fees-and-invoices/asic-fees/asic-fee-indexation/</w:t>
        </w:r>
      </w:hyperlink>
    </w:p>
  </w:footnote>
  <w:footnote w:id="7">
    <w:p w14:paraId="18556673" w14:textId="77777777" w:rsidR="002457C7" w:rsidRDefault="002457C7" w:rsidP="00992319">
      <w:pPr>
        <w:pStyle w:val="Bullet"/>
        <w:numPr>
          <w:ilvl w:val="0"/>
          <w:numId w:val="0"/>
        </w:numPr>
      </w:pPr>
      <w:r>
        <w:rPr>
          <w:rStyle w:val="FootnoteReference"/>
        </w:rPr>
        <w:footnoteRef/>
      </w:r>
      <w:r>
        <w:t xml:space="preserve"> </w:t>
      </w:r>
      <w:r w:rsidRPr="00992319">
        <w:rPr>
          <w:sz w:val="20"/>
        </w:rPr>
        <w:t xml:space="preserve">The new registry platform will provide API access to both input and extract data from the registry. An API is a set of programming instructions and standards that translates raw computer code data into usable information. An API is a software-to-software interface; it is not a user interface. </w:t>
      </w:r>
    </w:p>
    <w:p w14:paraId="1F480CB1" w14:textId="77777777" w:rsidR="002457C7" w:rsidRDefault="002457C7">
      <w:pPr>
        <w:pStyle w:val="FootnoteText"/>
      </w:pPr>
    </w:p>
  </w:footnote>
  <w:footnote w:id="8">
    <w:p w14:paraId="2A1B9DA5" w14:textId="77777777" w:rsidR="002457C7" w:rsidRDefault="002457C7">
      <w:pPr>
        <w:pStyle w:val="FootnoteText"/>
      </w:pPr>
      <w:r>
        <w:rPr>
          <w:rStyle w:val="FootnoteReference"/>
        </w:rPr>
        <w:footnoteRef/>
      </w:r>
      <w:r>
        <w:t xml:space="preserve"> Definition of Small</w:t>
      </w:r>
      <w:r w:rsidRPr="009A3C2D">
        <w:t xml:space="preserve"> proprietary companies</w:t>
      </w:r>
      <w:r>
        <w:t xml:space="preserve">: </w:t>
      </w:r>
      <w:r w:rsidRPr="009A3C2D">
        <w:t>https://asic.gov.au/about-asic/what-we-do/how-we-operate/asic-industry-funding/</w:t>
      </w:r>
    </w:p>
  </w:footnote>
  <w:footnote w:id="9">
    <w:p w14:paraId="007B9764" w14:textId="77777777" w:rsidR="002457C7" w:rsidRDefault="002457C7">
      <w:pPr>
        <w:pStyle w:val="FootnoteText"/>
      </w:pPr>
      <w:r>
        <w:rPr>
          <w:rStyle w:val="FootnoteReference"/>
        </w:rPr>
        <w:footnoteRef/>
      </w:r>
      <w:r>
        <w:t xml:space="preserve"> Definition of Small business for Tax purposes: </w:t>
      </w:r>
      <w:r w:rsidRPr="009A3C2D">
        <w:t>https://www.ato.gov.au/Business/Small-business-entity-concessions/Eligibility/Definitions/</w:t>
      </w:r>
    </w:p>
  </w:footnote>
  <w:footnote w:id="10">
    <w:p w14:paraId="206B7FA4" w14:textId="77777777" w:rsidR="002457C7" w:rsidRDefault="002457C7" w:rsidP="00F93018">
      <w:pPr>
        <w:pStyle w:val="FootnoteText"/>
      </w:pPr>
      <w:r>
        <w:rPr>
          <w:rStyle w:val="FootnoteReference"/>
        </w:rPr>
        <w:footnoteRef/>
      </w:r>
      <w:r>
        <w:t xml:space="preserve"> This fee could also be staggered over several years, for example over the period between upgrades, both so that it is affordable for the entity paying it and so that it can be reset based on the actual cost of the upgrade.</w:t>
      </w:r>
    </w:p>
  </w:footnote>
  <w:footnote w:id="11">
    <w:p w14:paraId="570C85C7" w14:textId="77777777" w:rsidR="002457C7" w:rsidRDefault="002457C7" w:rsidP="00F93018">
      <w:pPr>
        <w:pStyle w:val="FootnoteText"/>
      </w:pPr>
      <w:r>
        <w:rPr>
          <w:rStyle w:val="FootnoteReference"/>
        </w:rPr>
        <w:footnoteRef/>
      </w:r>
      <w:r>
        <w:t xml:space="preserve"> </w:t>
      </w:r>
      <w:hyperlink r:id="rId6" w:history="1">
        <w:r w:rsidRPr="00627BC5">
          <w:rPr>
            <w:rStyle w:val="Hyperlink"/>
            <w:rFonts w:eastAsiaTheme="minorHAnsi"/>
          </w:rPr>
          <w:t>https://www.finance.gov.au/resource-management/charging-framework/</w:t>
        </w:r>
      </w:hyperlink>
      <w:r>
        <w:t xml:space="preserve"> </w:t>
      </w:r>
    </w:p>
  </w:footnote>
  <w:footnote w:id="12">
    <w:p w14:paraId="16750869" w14:textId="77777777" w:rsidR="002457C7" w:rsidRDefault="002457C7" w:rsidP="00F93018">
      <w:pPr>
        <w:pStyle w:val="FootnoteText"/>
      </w:pPr>
      <w:r>
        <w:rPr>
          <w:rStyle w:val="FootnoteReference"/>
        </w:rPr>
        <w:footnoteRef/>
      </w:r>
      <w:r>
        <w:t xml:space="preserve"> On 30 July 2018 the Government announced that it would extend an exemption from search fees to all journalists conducting searches for journalistic purposes: see </w:t>
      </w:r>
      <w:hyperlink r:id="rId7" w:history="1">
        <w:r w:rsidRPr="007C3E7C">
          <w:rPr>
            <w:rStyle w:val="Hyperlink"/>
            <w:rFonts w:eastAsiaTheme="minorHAnsi"/>
          </w:rPr>
          <w:t>http://kmo.ministers.treasury.gov.au/media-release/091-2018</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54018" w14:textId="77777777" w:rsidR="002457C7" w:rsidRDefault="002457C7">
    <w:pPr>
      <w:pStyle w:val="Header"/>
    </w:pPr>
    <w:r>
      <w:rPr>
        <w:noProof/>
      </w:rPr>
      <w:drawing>
        <wp:anchor distT="0" distB="0" distL="114300" distR="114300" simplePos="0" relativeHeight="251658240" behindDoc="1" locked="0" layoutInCell="1" allowOverlap="1" wp14:anchorId="6C1D4A78" wp14:editId="3ABEDEC5">
          <wp:simplePos x="0" y="0"/>
          <wp:positionH relativeFrom="page">
            <wp:align>center</wp:align>
          </wp:positionH>
          <wp:positionV relativeFrom="page">
            <wp:posOffset>180340</wp:posOffset>
          </wp:positionV>
          <wp:extent cx="7199640" cy="1079640"/>
          <wp:effectExtent l="0" t="0" r="127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9640" cy="1079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402D9E" w14:textId="77777777" w:rsidR="002457C7" w:rsidRPr="001F3912" w:rsidRDefault="002457C7" w:rsidP="00904FE7">
    <w:r>
      <w:fldChar w:fldCharType="begin"/>
    </w:r>
    <w:r>
      <w:instrText xml:space="preserve"> macrobutton nomacro [Click and add Publication Title]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ABE71" w14:textId="77777777" w:rsidR="002457C7" w:rsidRPr="001F3912" w:rsidRDefault="002457C7" w:rsidP="00904FE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A48DB" w14:textId="77777777" w:rsidR="002457C7" w:rsidRDefault="002457C7" w:rsidP="00904FE7">
    <w:pPr>
      <w:pStyle w:val="SecurityClassificationHeader"/>
    </w:pPr>
    <w:r>
      <w:fldChar w:fldCharType="begin"/>
    </w:r>
    <w:r>
      <w:instrText xml:space="preserve"> DOCPROPERTY SecurityClassification \* MERGEFORMAT </w:instrText>
    </w:r>
    <w:r>
      <w:fldChar w:fldCharType="separate"/>
    </w:r>
    <w:r>
      <w:rPr>
        <w:b w:val="0"/>
        <w:bCs/>
        <w:lang w:val="en-US"/>
      </w:rPr>
      <w:t>Error! Unknown document property name.</w:t>
    </w:r>
    <w:r>
      <w:fldChar w:fldCharType="end"/>
    </w:r>
  </w:p>
  <w:p w14:paraId="08A9CDB5" w14:textId="77777777" w:rsidR="002457C7" w:rsidRDefault="002457C7" w:rsidP="00904FE7">
    <w:pPr>
      <w:pStyle w:val="SecurityClassificationHeader"/>
    </w:pPr>
    <w:r>
      <w:fldChar w:fldCharType="begin"/>
    </w:r>
    <w:r>
      <w:instrText xml:space="preserve"> DOCPROPERTY WorkingDocStatus \* MERGEFORMAT </w:instrText>
    </w:r>
    <w:r>
      <w:fldChar w:fldCharType="separate"/>
    </w:r>
    <w:r>
      <w:rPr>
        <w:b w:val="0"/>
        <w:bCs/>
        <w:lang w:val="en-US"/>
      </w:rPr>
      <w:t>Error! Unknown document property name.</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706644" w14:textId="77777777" w:rsidR="002457C7" w:rsidRPr="001911E8" w:rsidRDefault="002457C7" w:rsidP="001911E8">
    <w:pPr>
      <w:pStyle w:val="Header"/>
      <w:keepNext/>
      <w:tabs>
        <w:tab w:val="clear" w:pos="4513"/>
        <w:tab w:val="clear" w:pos="9026"/>
      </w:tabs>
      <w:spacing w:before="0"/>
      <w:jc w:val="right"/>
      <w:rPr>
        <w:color w:val="004A7F"/>
        <w:sz w:val="20"/>
      </w:rPr>
    </w:pPr>
    <w:r w:rsidRPr="001911E8">
      <w:rPr>
        <w:color w:val="004A7F"/>
        <w:sz w:val="20"/>
      </w:rPr>
      <w:t>MODERNISING BUSINESS REGISTERS PROG</w:t>
    </w:r>
    <w:r>
      <w:rPr>
        <w:color w:val="004A7F"/>
        <w:sz w:val="20"/>
      </w:rPr>
      <w:t>R</w:t>
    </w:r>
    <w:r w:rsidRPr="001911E8">
      <w:rPr>
        <w:color w:val="004A7F"/>
        <w:sz w:val="20"/>
      </w:rPr>
      <w:t>AM</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AB6C69" w14:textId="77777777" w:rsidR="002457C7" w:rsidRDefault="002457C7" w:rsidP="00904FE7">
    <w:pPr>
      <w:pStyle w:val="SecurityClassificationHeader"/>
    </w:pPr>
    <w:r>
      <w:fldChar w:fldCharType="begin"/>
    </w:r>
    <w:r>
      <w:instrText xml:space="preserve"> DOCPROPERTY SecurityClassification \* MERGEFORMAT </w:instrText>
    </w:r>
    <w:r>
      <w:fldChar w:fldCharType="separate"/>
    </w:r>
    <w:r>
      <w:rPr>
        <w:b w:val="0"/>
        <w:bCs/>
        <w:lang w:val="en-US"/>
      </w:rPr>
      <w:t>Error! Unknown document property name.</w:t>
    </w:r>
    <w:r>
      <w:fldChar w:fldCharType="end"/>
    </w:r>
  </w:p>
  <w:p w14:paraId="2F6AD249" w14:textId="77777777" w:rsidR="002457C7" w:rsidRDefault="002457C7" w:rsidP="00904FE7">
    <w:pPr>
      <w:pStyle w:val="SecurityClassificationHeader"/>
    </w:pPr>
    <w:r>
      <w:fldChar w:fldCharType="begin"/>
    </w:r>
    <w:r>
      <w:instrText xml:space="preserve"> DOCPROPERTY WorkingDocStatus \* MERGEFORMAT </w:instrText>
    </w:r>
    <w:r>
      <w:fldChar w:fldCharType="separate"/>
    </w:r>
    <w:r>
      <w:rPr>
        <w:b w:val="0"/>
        <w:bCs/>
        <w:lang w:val="en-US"/>
      </w:rPr>
      <w:t>Error! Unknown document property name.</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29CA"/>
    <w:multiLevelType w:val="multilevel"/>
    <w:tmpl w:val="BE44C77E"/>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50703B1"/>
    <w:multiLevelType w:val="hybridMultilevel"/>
    <w:tmpl w:val="891C67A8"/>
    <w:lvl w:ilvl="0" w:tplc="FC70FC80">
      <w:numFmt w:val="bullet"/>
      <w:lvlText w:val="•"/>
      <w:lvlJc w:val="left"/>
      <w:pPr>
        <w:ind w:left="72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93B3B3F"/>
    <w:multiLevelType w:val="multilevel"/>
    <w:tmpl w:val="D2A45340"/>
    <w:name w:val="StandardNumberedList"/>
    <w:lvl w:ilvl="0">
      <w:start w:val="1"/>
      <w:numFmt w:val="decimal"/>
      <w:lvlText w:val="%1."/>
      <w:lvlJc w:val="left"/>
      <w:pPr>
        <w:tabs>
          <w:tab w:val="num" w:pos="520"/>
        </w:tabs>
        <w:ind w:left="520" w:hanging="520"/>
      </w:pPr>
    </w:lvl>
    <w:lvl w:ilvl="1">
      <w:start w:val="1"/>
      <w:numFmt w:val="decimal"/>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DB04452"/>
    <w:multiLevelType w:val="hybridMultilevel"/>
    <w:tmpl w:val="6C4C2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844"/>
        </w:tabs>
        <w:ind w:left="184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5B86E2B"/>
    <w:multiLevelType w:val="hybridMultilevel"/>
    <w:tmpl w:val="B0566F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A1D73B7"/>
    <w:multiLevelType w:val="hybridMultilevel"/>
    <w:tmpl w:val="24D20BE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8504B23"/>
    <w:multiLevelType w:val="hybridMultilevel"/>
    <w:tmpl w:val="89620C72"/>
    <w:lvl w:ilvl="0" w:tplc="FC70FC80">
      <w:numFmt w:val="bullet"/>
      <w:lvlText w:val="•"/>
      <w:lvlJc w:val="left"/>
      <w:pPr>
        <w:ind w:left="72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B8F43BC"/>
    <w:multiLevelType w:val="multilevel"/>
    <w:tmpl w:val="67F800B6"/>
    <w:lvl w:ilvl="0">
      <w:start w:val="1"/>
      <w:numFmt w:val="bullet"/>
      <w:lvlText w:val=""/>
      <w:lvlJc w:val="left"/>
      <w:pPr>
        <w:tabs>
          <w:tab w:val="num" w:pos="566"/>
        </w:tabs>
        <w:ind w:left="566" w:hanging="283"/>
      </w:pPr>
      <w:rPr>
        <w:rFonts w:ascii="Symbol" w:hAnsi="Symbol" w:hint="default"/>
        <w:b w:val="0"/>
        <w:i w:val="0"/>
      </w:rPr>
    </w:lvl>
    <w:lvl w:ilvl="1">
      <w:start w:val="1"/>
      <w:numFmt w:val="bullet"/>
      <w:lvlText w:val="–"/>
      <w:lvlJc w:val="left"/>
      <w:pPr>
        <w:tabs>
          <w:tab w:val="num" w:pos="850"/>
        </w:tabs>
        <w:ind w:left="850" w:hanging="284"/>
      </w:pPr>
      <w:rPr>
        <w:rFonts w:ascii="Times New Roman" w:hAnsi="Times New Roman" w:cs="Times New Roman" w:hint="default"/>
        <w:b w:val="0"/>
        <w:i w:val="0"/>
      </w:rPr>
    </w:lvl>
    <w:lvl w:ilvl="2">
      <w:start w:val="1"/>
      <w:numFmt w:val="bullet"/>
      <w:lvlText w:val=":"/>
      <w:lvlJc w:val="left"/>
      <w:pPr>
        <w:tabs>
          <w:tab w:val="num" w:pos="1133"/>
        </w:tabs>
        <w:ind w:left="1133" w:hanging="283"/>
      </w:pPr>
      <w:rPr>
        <w:rFonts w:ascii="Times New Roman" w:hAnsi="Times New Roman" w:cs="Times New Roman" w:hint="default"/>
        <w:b w:val="0"/>
        <w:i w:val="0"/>
      </w:rPr>
    </w:lvl>
    <w:lvl w:ilvl="3">
      <w:start w:val="1"/>
      <w:numFmt w:val="decimal"/>
      <w:lvlText w:val="(%4)"/>
      <w:lvlJc w:val="left"/>
      <w:pPr>
        <w:tabs>
          <w:tab w:val="num" w:pos="1723"/>
        </w:tabs>
        <w:ind w:left="1723" w:hanging="360"/>
      </w:pPr>
      <w:rPr>
        <w:rFonts w:hint="default"/>
        <w:b w:val="0"/>
        <w:i w:val="0"/>
      </w:rPr>
    </w:lvl>
    <w:lvl w:ilvl="4">
      <w:start w:val="1"/>
      <w:numFmt w:val="lowerLetter"/>
      <w:lvlText w:val="(%5)"/>
      <w:lvlJc w:val="left"/>
      <w:pPr>
        <w:tabs>
          <w:tab w:val="num" w:pos="2083"/>
        </w:tabs>
        <w:ind w:left="2083" w:hanging="360"/>
      </w:pPr>
      <w:rPr>
        <w:rFonts w:hint="default"/>
        <w:b w:val="0"/>
        <w:i w:val="0"/>
      </w:rPr>
    </w:lvl>
    <w:lvl w:ilvl="5">
      <w:start w:val="1"/>
      <w:numFmt w:val="lowerRoman"/>
      <w:lvlText w:val="(%6)"/>
      <w:lvlJc w:val="left"/>
      <w:pPr>
        <w:tabs>
          <w:tab w:val="num" w:pos="2443"/>
        </w:tabs>
        <w:ind w:left="2443" w:hanging="360"/>
      </w:pPr>
      <w:rPr>
        <w:rFonts w:hint="default"/>
        <w:b w:val="0"/>
        <w:i w:val="0"/>
      </w:rPr>
    </w:lvl>
    <w:lvl w:ilvl="6">
      <w:start w:val="1"/>
      <w:numFmt w:val="decimal"/>
      <w:lvlText w:val="%7."/>
      <w:lvlJc w:val="left"/>
      <w:pPr>
        <w:tabs>
          <w:tab w:val="num" w:pos="2803"/>
        </w:tabs>
        <w:ind w:left="2803" w:hanging="360"/>
      </w:pPr>
      <w:rPr>
        <w:rFonts w:hint="default"/>
        <w:b w:val="0"/>
        <w:i w:val="0"/>
      </w:rPr>
    </w:lvl>
    <w:lvl w:ilvl="7">
      <w:start w:val="1"/>
      <w:numFmt w:val="lowerLetter"/>
      <w:lvlText w:val="%8."/>
      <w:lvlJc w:val="left"/>
      <w:pPr>
        <w:tabs>
          <w:tab w:val="num" w:pos="3163"/>
        </w:tabs>
        <w:ind w:left="3163" w:hanging="360"/>
      </w:pPr>
      <w:rPr>
        <w:rFonts w:hint="default"/>
        <w:b w:val="0"/>
        <w:i w:val="0"/>
      </w:rPr>
    </w:lvl>
    <w:lvl w:ilvl="8">
      <w:start w:val="1"/>
      <w:numFmt w:val="lowerRoman"/>
      <w:lvlText w:val="%9."/>
      <w:lvlJc w:val="left"/>
      <w:pPr>
        <w:tabs>
          <w:tab w:val="num" w:pos="3523"/>
        </w:tabs>
        <w:ind w:left="3523" w:hanging="360"/>
      </w:pPr>
      <w:rPr>
        <w:rFonts w:hint="default"/>
        <w:b w:val="0"/>
        <w:i w:val="0"/>
      </w:rPr>
    </w:lvl>
  </w:abstractNum>
  <w:abstractNum w:abstractNumId="9">
    <w:nsid w:val="2E413002"/>
    <w:multiLevelType w:val="hybridMultilevel"/>
    <w:tmpl w:val="F506B32E"/>
    <w:lvl w:ilvl="0" w:tplc="FC70FC80">
      <w:numFmt w:val="bullet"/>
      <w:lvlText w:val="•"/>
      <w:lvlJc w:val="left"/>
      <w:pPr>
        <w:ind w:left="72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08C2710"/>
    <w:multiLevelType w:val="multilevel"/>
    <w:tmpl w:val="5D645BA6"/>
    <w:styleLink w:val="BulletedList"/>
    <w:lvl w:ilvl="0">
      <w:start w:val="7"/>
      <w:numFmt w:val="bullet"/>
      <w:pStyle w:val="Bullet"/>
      <w:lvlText w:val="-"/>
      <w:lvlJc w:val="left"/>
      <w:pPr>
        <w:tabs>
          <w:tab w:val="num" w:pos="566"/>
        </w:tabs>
        <w:ind w:left="566" w:hanging="283"/>
      </w:pPr>
      <w:rPr>
        <w:rFonts w:ascii="Calibri" w:eastAsiaTheme="minorHAnsi" w:hAnsi="Calibri" w:cstheme="minorBidi" w:hint="default"/>
        <w:b w:val="0"/>
        <w:i w:val="0"/>
      </w:rPr>
    </w:lvl>
    <w:lvl w:ilvl="1">
      <w:start w:val="1"/>
      <w:numFmt w:val="bullet"/>
      <w:pStyle w:val="Dash"/>
      <w:lvlText w:val="–"/>
      <w:lvlJc w:val="left"/>
      <w:pPr>
        <w:tabs>
          <w:tab w:val="num" w:pos="850"/>
        </w:tabs>
        <w:ind w:left="850" w:hanging="284"/>
      </w:pPr>
      <w:rPr>
        <w:rFonts w:ascii="Times New Roman" w:hAnsi="Times New Roman" w:cs="Times New Roman" w:hint="default"/>
        <w:b w:val="0"/>
        <w:i w:val="0"/>
      </w:rPr>
    </w:lvl>
    <w:lvl w:ilvl="2">
      <w:start w:val="1"/>
      <w:numFmt w:val="bullet"/>
      <w:pStyle w:val="DoubleDot"/>
      <w:lvlText w:val=":"/>
      <w:lvlJc w:val="left"/>
      <w:pPr>
        <w:tabs>
          <w:tab w:val="num" w:pos="1133"/>
        </w:tabs>
        <w:ind w:left="1133" w:hanging="283"/>
      </w:pPr>
      <w:rPr>
        <w:rFonts w:ascii="Times New Roman" w:hAnsi="Times New Roman" w:cs="Times New Roman" w:hint="default"/>
        <w:b w:val="0"/>
        <w:i w:val="0"/>
      </w:rPr>
    </w:lvl>
    <w:lvl w:ilvl="3">
      <w:start w:val="1"/>
      <w:numFmt w:val="decimal"/>
      <w:lvlText w:val="(%4)"/>
      <w:lvlJc w:val="left"/>
      <w:pPr>
        <w:tabs>
          <w:tab w:val="num" w:pos="1723"/>
        </w:tabs>
        <w:ind w:left="1723" w:hanging="360"/>
      </w:pPr>
      <w:rPr>
        <w:rFonts w:hint="default"/>
        <w:b w:val="0"/>
        <w:i w:val="0"/>
      </w:rPr>
    </w:lvl>
    <w:lvl w:ilvl="4">
      <w:start w:val="1"/>
      <w:numFmt w:val="lowerLetter"/>
      <w:lvlText w:val="(%5)"/>
      <w:lvlJc w:val="left"/>
      <w:pPr>
        <w:tabs>
          <w:tab w:val="num" w:pos="2083"/>
        </w:tabs>
        <w:ind w:left="2083" w:hanging="360"/>
      </w:pPr>
      <w:rPr>
        <w:rFonts w:hint="default"/>
        <w:b w:val="0"/>
        <w:i w:val="0"/>
      </w:rPr>
    </w:lvl>
    <w:lvl w:ilvl="5">
      <w:start w:val="1"/>
      <w:numFmt w:val="lowerRoman"/>
      <w:lvlText w:val="(%6)"/>
      <w:lvlJc w:val="left"/>
      <w:pPr>
        <w:tabs>
          <w:tab w:val="num" w:pos="2443"/>
        </w:tabs>
        <w:ind w:left="2443" w:hanging="360"/>
      </w:pPr>
      <w:rPr>
        <w:rFonts w:hint="default"/>
        <w:b w:val="0"/>
        <w:i w:val="0"/>
      </w:rPr>
    </w:lvl>
    <w:lvl w:ilvl="6">
      <w:start w:val="1"/>
      <w:numFmt w:val="decimal"/>
      <w:lvlText w:val="%7."/>
      <w:lvlJc w:val="left"/>
      <w:pPr>
        <w:tabs>
          <w:tab w:val="num" w:pos="2803"/>
        </w:tabs>
        <w:ind w:left="2803" w:hanging="360"/>
      </w:pPr>
      <w:rPr>
        <w:rFonts w:hint="default"/>
        <w:b w:val="0"/>
        <w:i w:val="0"/>
      </w:rPr>
    </w:lvl>
    <w:lvl w:ilvl="7">
      <w:start w:val="1"/>
      <w:numFmt w:val="lowerLetter"/>
      <w:lvlText w:val="%8."/>
      <w:lvlJc w:val="left"/>
      <w:pPr>
        <w:tabs>
          <w:tab w:val="num" w:pos="3163"/>
        </w:tabs>
        <w:ind w:left="3163" w:hanging="360"/>
      </w:pPr>
      <w:rPr>
        <w:rFonts w:hint="default"/>
        <w:b w:val="0"/>
        <w:i w:val="0"/>
      </w:rPr>
    </w:lvl>
    <w:lvl w:ilvl="8">
      <w:start w:val="1"/>
      <w:numFmt w:val="lowerRoman"/>
      <w:lvlText w:val="%9."/>
      <w:lvlJc w:val="left"/>
      <w:pPr>
        <w:tabs>
          <w:tab w:val="num" w:pos="3523"/>
        </w:tabs>
        <w:ind w:left="3523" w:hanging="360"/>
      </w:pPr>
      <w:rPr>
        <w:rFonts w:hint="default"/>
        <w:b w:val="0"/>
        <w:i w:val="0"/>
      </w:rPr>
    </w:lvl>
  </w:abstractNum>
  <w:abstractNum w:abstractNumId="11">
    <w:nsid w:val="31931D2B"/>
    <w:multiLevelType w:val="multilevel"/>
    <w:tmpl w:val="654C6FFE"/>
    <w:lvl w:ilvl="0">
      <w:start w:val="1"/>
      <w:numFmt w:val="bullet"/>
      <w:lvlText w:val=""/>
      <w:lvlJc w:val="left"/>
      <w:pPr>
        <w:tabs>
          <w:tab w:val="num" w:pos="566"/>
        </w:tabs>
        <w:ind w:left="566" w:hanging="283"/>
      </w:pPr>
      <w:rPr>
        <w:rFonts w:ascii="Symbol" w:hAnsi="Symbol" w:hint="default"/>
        <w:b w:val="0"/>
        <w:i w:val="0"/>
      </w:rPr>
    </w:lvl>
    <w:lvl w:ilvl="1">
      <w:start w:val="1"/>
      <w:numFmt w:val="bullet"/>
      <w:lvlText w:val="–"/>
      <w:lvlJc w:val="left"/>
      <w:pPr>
        <w:tabs>
          <w:tab w:val="num" w:pos="850"/>
        </w:tabs>
        <w:ind w:left="850" w:hanging="284"/>
      </w:pPr>
      <w:rPr>
        <w:rFonts w:ascii="Times New Roman" w:hAnsi="Times New Roman" w:cs="Times New Roman" w:hint="default"/>
        <w:b w:val="0"/>
        <w:i w:val="0"/>
      </w:rPr>
    </w:lvl>
    <w:lvl w:ilvl="2">
      <w:start w:val="1"/>
      <w:numFmt w:val="bullet"/>
      <w:lvlText w:val=":"/>
      <w:lvlJc w:val="left"/>
      <w:pPr>
        <w:tabs>
          <w:tab w:val="num" w:pos="1133"/>
        </w:tabs>
        <w:ind w:left="1133" w:hanging="283"/>
      </w:pPr>
      <w:rPr>
        <w:rFonts w:ascii="Times New Roman" w:hAnsi="Times New Roman" w:cs="Times New Roman" w:hint="default"/>
        <w:b w:val="0"/>
        <w:i w:val="0"/>
      </w:rPr>
    </w:lvl>
    <w:lvl w:ilvl="3">
      <w:start w:val="1"/>
      <w:numFmt w:val="decimal"/>
      <w:lvlText w:val="(%4)"/>
      <w:lvlJc w:val="left"/>
      <w:pPr>
        <w:tabs>
          <w:tab w:val="num" w:pos="1723"/>
        </w:tabs>
        <w:ind w:left="1723" w:hanging="360"/>
      </w:pPr>
      <w:rPr>
        <w:rFonts w:hint="default"/>
        <w:b w:val="0"/>
        <w:i w:val="0"/>
      </w:rPr>
    </w:lvl>
    <w:lvl w:ilvl="4">
      <w:start w:val="1"/>
      <w:numFmt w:val="lowerLetter"/>
      <w:lvlText w:val="(%5)"/>
      <w:lvlJc w:val="left"/>
      <w:pPr>
        <w:tabs>
          <w:tab w:val="num" w:pos="2083"/>
        </w:tabs>
        <w:ind w:left="2083" w:hanging="360"/>
      </w:pPr>
      <w:rPr>
        <w:rFonts w:hint="default"/>
        <w:b w:val="0"/>
        <w:i w:val="0"/>
      </w:rPr>
    </w:lvl>
    <w:lvl w:ilvl="5">
      <w:start w:val="1"/>
      <w:numFmt w:val="lowerRoman"/>
      <w:lvlText w:val="(%6)"/>
      <w:lvlJc w:val="left"/>
      <w:pPr>
        <w:tabs>
          <w:tab w:val="num" w:pos="2443"/>
        </w:tabs>
        <w:ind w:left="2443" w:hanging="360"/>
      </w:pPr>
      <w:rPr>
        <w:rFonts w:hint="default"/>
        <w:b w:val="0"/>
        <w:i w:val="0"/>
      </w:rPr>
    </w:lvl>
    <w:lvl w:ilvl="6">
      <w:start w:val="1"/>
      <w:numFmt w:val="decimal"/>
      <w:lvlText w:val="%7."/>
      <w:lvlJc w:val="left"/>
      <w:pPr>
        <w:tabs>
          <w:tab w:val="num" w:pos="2803"/>
        </w:tabs>
        <w:ind w:left="2803" w:hanging="360"/>
      </w:pPr>
      <w:rPr>
        <w:rFonts w:hint="default"/>
        <w:b w:val="0"/>
        <w:i w:val="0"/>
      </w:rPr>
    </w:lvl>
    <w:lvl w:ilvl="7">
      <w:start w:val="1"/>
      <w:numFmt w:val="lowerLetter"/>
      <w:lvlText w:val="%8."/>
      <w:lvlJc w:val="left"/>
      <w:pPr>
        <w:tabs>
          <w:tab w:val="num" w:pos="3163"/>
        </w:tabs>
        <w:ind w:left="3163" w:hanging="360"/>
      </w:pPr>
      <w:rPr>
        <w:rFonts w:hint="default"/>
        <w:b w:val="0"/>
        <w:i w:val="0"/>
      </w:rPr>
    </w:lvl>
    <w:lvl w:ilvl="8">
      <w:start w:val="1"/>
      <w:numFmt w:val="lowerRoman"/>
      <w:lvlText w:val="%9."/>
      <w:lvlJc w:val="left"/>
      <w:pPr>
        <w:tabs>
          <w:tab w:val="num" w:pos="3523"/>
        </w:tabs>
        <w:ind w:left="3523" w:hanging="360"/>
      </w:pPr>
      <w:rPr>
        <w:rFonts w:hint="default"/>
        <w:b w:val="0"/>
        <w:i w:val="0"/>
      </w:rPr>
    </w:lvl>
  </w:abstractNum>
  <w:abstractNum w:abstractNumId="12">
    <w:nsid w:val="3C7935BD"/>
    <w:multiLevelType w:val="multilevel"/>
    <w:tmpl w:val="0D0CDD9C"/>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pStyle w:val="ChartGraphic"/>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38F18B3"/>
    <w:multiLevelType w:val="hybridMultilevel"/>
    <w:tmpl w:val="FC6C5C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510D2021"/>
    <w:multiLevelType w:val="multilevel"/>
    <w:tmpl w:val="72F8140E"/>
    <w:numStyleLink w:val="OutlineList"/>
  </w:abstractNum>
  <w:abstractNum w:abstractNumId="15">
    <w:nsid w:val="590F6CF9"/>
    <w:multiLevelType w:val="hybridMultilevel"/>
    <w:tmpl w:val="B6DA3C62"/>
    <w:lvl w:ilvl="0" w:tplc="DE2265E6">
      <w:start w:val="15"/>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nsid w:val="5B20141D"/>
    <w:multiLevelType w:val="multilevel"/>
    <w:tmpl w:val="FAC86488"/>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649C0811"/>
    <w:multiLevelType w:val="hybridMultilevel"/>
    <w:tmpl w:val="50C4C89C"/>
    <w:lvl w:ilvl="0" w:tplc="0FD48E98">
      <w:numFmt w:val="bullet"/>
      <w:lvlText w:val="•"/>
      <w:lvlJc w:val="left"/>
      <w:pPr>
        <w:ind w:left="720" w:hanging="720"/>
      </w:pPr>
      <w:rPr>
        <w:rFonts w:ascii="Calibri" w:eastAsiaTheme="minorHAnsi" w:hAnsi="Calibri" w:cs="Calibri" w:hint="default"/>
      </w:rPr>
    </w:lvl>
    <w:lvl w:ilvl="1" w:tplc="C4384EF6" w:tentative="1">
      <w:start w:val="1"/>
      <w:numFmt w:val="bullet"/>
      <w:lvlText w:val="o"/>
      <w:lvlJc w:val="left"/>
      <w:pPr>
        <w:ind w:left="1080" w:hanging="360"/>
      </w:pPr>
      <w:rPr>
        <w:rFonts w:ascii="Courier New" w:hAnsi="Courier New" w:cs="Courier New" w:hint="default"/>
      </w:rPr>
    </w:lvl>
    <w:lvl w:ilvl="2" w:tplc="B3A8C5E0" w:tentative="1">
      <w:start w:val="1"/>
      <w:numFmt w:val="bullet"/>
      <w:lvlText w:val=""/>
      <w:lvlJc w:val="left"/>
      <w:pPr>
        <w:ind w:left="1800" w:hanging="360"/>
      </w:pPr>
      <w:rPr>
        <w:rFonts w:ascii="Wingdings" w:hAnsi="Wingdings" w:hint="default"/>
      </w:rPr>
    </w:lvl>
    <w:lvl w:ilvl="3" w:tplc="CB5AD4CE" w:tentative="1">
      <w:start w:val="1"/>
      <w:numFmt w:val="bullet"/>
      <w:lvlText w:val=""/>
      <w:lvlJc w:val="left"/>
      <w:pPr>
        <w:ind w:left="2520" w:hanging="360"/>
      </w:pPr>
      <w:rPr>
        <w:rFonts w:ascii="Symbol" w:hAnsi="Symbol" w:hint="default"/>
      </w:rPr>
    </w:lvl>
    <w:lvl w:ilvl="4" w:tplc="6D5CC2B8" w:tentative="1">
      <w:start w:val="1"/>
      <w:numFmt w:val="bullet"/>
      <w:lvlText w:val="o"/>
      <w:lvlJc w:val="left"/>
      <w:pPr>
        <w:ind w:left="3240" w:hanging="360"/>
      </w:pPr>
      <w:rPr>
        <w:rFonts w:ascii="Courier New" w:hAnsi="Courier New" w:cs="Courier New" w:hint="default"/>
      </w:rPr>
    </w:lvl>
    <w:lvl w:ilvl="5" w:tplc="942003F0" w:tentative="1">
      <w:start w:val="1"/>
      <w:numFmt w:val="bullet"/>
      <w:lvlText w:val=""/>
      <w:lvlJc w:val="left"/>
      <w:pPr>
        <w:ind w:left="3960" w:hanging="360"/>
      </w:pPr>
      <w:rPr>
        <w:rFonts w:ascii="Wingdings" w:hAnsi="Wingdings" w:hint="default"/>
      </w:rPr>
    </w:lvl>
    <w:lvl w:ilvl="6" w:tplc="75D8772C" w:tentative="1">
      <w:start w:val="1"/>
      <w:numFmt w:val="bullet"/>
      <w:lvlText w:val=""/>
      <w:lvlJc w:val="left"/>
      <w:pPr>
        <w:ind w:left="4680" w:hanging="360"/>
      </w:pPr>
      <w:rPr>
        <w:rFonts w:ascii="Symbol" w:hAnsi="Symbol" w:hint="default"/>
      </w:rPr>
    </w:lvl>
    <w:lvl w:ilvl="7" w:tplc="76B45A62" w:tentative="1">
      <w:start w:val="1"/>
      <w:numFmt w:val="bullet"/>
      <w:lvlText w:val="o"/>
      <w:lvlJc w:val="left"/>
      <w:pPr>
        <w:ind w:left="5400" w:hanging="360"/>
      </w:pPr>
      <w:rPr>
        <w:rFonts w:ascii="Courier New" w:hAnsi="Courier New" w:cs="Courier New" w:hint="default"/>
      </w:rPr>
    </w:lvl>
    <w:lvl w:ilvl="8" w:tplc="D6702C76" w:tentative="1">
      <w:start w:val="1"/>
      <w:numFmt w:val="bullet"/>
      <w:lvlText w:val=""/>
      <w:lvlJc w:val="left"/>
      <w:pPr>
        <w:ind w:left="6120" w:hanging="360"/>
      </w:pPr>
      <w:rPr>
        <w:rFonts w:ascii="Wingdings" w:hAnsi="Wingdings" w:hint="default"/>
      </w:rPr>
    </w:lvl>
  </w:abstractNum>
  <w:abstractNum w:abstractNumId="18">
    <w:nsid w:val="69EA7F29"/>
    <w:multiLevelType w:val="multilevel"/>
    <w:tmpl w:val="0D829EF6"/>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6E660A41"/>
    <w:multiLevelType w:val="singleLevel"/>
    <w:tmpl w:val="0C09000F"/>
    <w:lvl w:ilvl="0">
      <w:start w:val="1"/>
      <w:numFmt w:val="decimal"/>
      <w:lvlText w:val="%1."/>
      <w:lvlJc w:val="left"/>
      <w:pPr>
        <w:tabs>
          <w:tab w:val="num" w:pos="851"/>
        </w:tabs>
        <w:ind w:left="851" w:hanging="851"/>
      </w:pPr>
      <w:rPr>
        <w:rFonts w:hint="default"/>
      </w:rPr>
    </w:lvl>
  </w:abstractNum>
  <w:abstractNum w:abstractNumId="20">
    <w:nsid w:val="71A75BB6"/>
    <w:multiLevelType w:val="hybridMultilevel"/>
    <w:tmpl w:val="3376B714"/>
    <w:lvl w:ilvl="0" w:tplc="C34235D8">
      <w:numFmt w:val="bullet"/>
      <w:lvlText w:val="•"/>
      <w:lvlJc w:val="left"/>
      <w:pPr>
        <w:ind w:left="720" w:hanging="720"/>
      </w:pPr>
      <w:rPr>
        <w:rFonts w:ascii="Calibri" w:eastAsiaTheme="minorHAnsi" w:hAnsi="Calibri" w:cs="Calibri" w:hint="default"/>
      </w:rPr>
    </w:lvl>
    <w:lvl w:ilvl="1" w:tplc="09E62A44" w:tentative="1">
      <w:start w:val="1"/>
      <w:numFmt w:val="bullet"/>
      <w:lvlText w:val="o"/>
      <w:lvlJc w:val="left"/>
      <w:pPr>
        <w:ind w:left="1440" w:hanging="360"/>
      </w:pPr>
      <w:rPr>
        <w:rFonts w:ascii="Courier New" w:hAnsi="Courier New" w:cs="Courier New" w:hint="default"/>
      </w:rPr>
    </w:lvl>
    <w:lvl w:ilvl="2" w:tplc="E3E41CE6" w:tentative="1">
      <w:start w:val="1"/>
      <w:numFmt w:val="bullet"/>
      <w:lvlText w:val=""/>
      <w:lvlJc w:val="left"/>
      <w:pPr>
        <w:ind w:left="2160" w:hanging="360"/>
      </w:pPr>
      <w:rPr>
        <w:rFonts w:ascii="Wingdings" w:hAnsi="Wingdings" w:hint="default"/>
      </w:rPr>
    </w:lvl>
    <w:lvl w:ilvl="3" w:tplc="EB9665C0" w:tentative="1">
      <w:start w:val="1"/>
      <w:numFmt w:val="bullet"/>
      <w:lvlText w:val=""/>
      <w:lvlJc w:val="left"/>
      <w:pPr>
        <w:ind w:left="2880" w:hanging="360"/>
      </w:pPr>
      <w:rPr>
        <w:rFonts w:ascii="Symbol" w:hAnsi="Symbol" w:hint="default"/>
      </w:rPr>
    </w:lvl>
    <w:lvl w:ilvl="4" w:tplc="FABE044C" w:tentative="1">
      <w:start w:val="1"/>
      <w:numFmt w:val="bullet"/>
      <w:lvlText w:val="o"/>
      <w:lvlJc w:val="left"/>
      <w:pPr>
        <w:ind w:left="3600" w:hanging="360"/>
      </w:pPr>
      <w:rPr>
        <w:rFonts w:ascii="Courier New" w:hAnsi="Courier New" w:cs="Courier New" w:hint="default"/>
      </w:rPr>
    </w:lvl>
    <w:lvl w:ilvl="5" w:tplc="3334CF9C" w:tentative="1">
      <w:start w:val="1"/>
      <w:numFmt w:val="bullet"/>
      <w:lvlText w:val=""/>
      <w:lvlJc w:val="left"/>
      <w:pPr>
        <w:ind w:left="4320" w:hanging="360"/>
      </w:pPr>
      <w:rPr>
        <w:rFonts w:ascii="Wingdings" w:hAnsi="Wingdings" w:hint="default"/>
      </w:rPr>
    </w:lvl>
    <w:lvl w:ilvl="6" w:tplc="390627AA" w:tentative="1">
      <w:start w:val="1"/>
      <w:numFmt w:val="bullet"/>
      <w:lvlText w:val=""/>
      <w:lvlJc w:val="left"/>
      <w:pPr>
        <w:ind w:left="5040" w:hanging="360"/>
      </w:pPr>
      <w:rPr>
        <w:rFonts w:ascii="Symbol" w:hAnsi="Symbol" w:hint="default"/>
      </w:rPr>
    </w:lvl>
    <w:lvl w:ilvl="7" w:tplc="F756524E" w:tentative="1">
      <w:start w:val="1"/>
      <w:numFmt w:val="bullet"/>
      <w:lvlText w:val="o"/>
      <w:lvlJc w:val="left"/>
      <w:pPr>
        <w:ind w:left="5760" w:hanging="360"/>
      </w:pPr>
      <w:rPr>
        <w:rFonts w:ascii="Courier New" w:hAnsi="Courier New" w:cs="Courier New" w:hint="default"/>
      </w:rPr>
    </w:lvl>
    <w:lvl w:ilvl="8" w:tplc="08C48916" w:tentative="1">
      <w:start w:val="1"/>
      <w:numFmt w:val="bullet"/>
      <w:lvlText w:val=""/>
      <w:lvlJc w:val="left"/>
      <w:pPr>
        <w:ind w:left="6480" w:hanging="360"/>
      </w:pPr>
      <w:rPr>
        <w:rFonts w:ascii="Wingdings" w:hAnsi="Wingdings" w:hint="default"/>
      </w:rPr>
    </w:lvl>
  </w:abstractNum>
  <w:abstractNum w:abstractNumId="21">
    <w:nsid w:val="7545377C"/>
    <w:multiLevelType w:val="hybridMultilevel"/>
    <w:tmpl w:val="3FB215C6"/>
    <w:lvl w:ilvl="0" w:tplc="FC70FC80">
      <w:start w:val="1"/>
      <w:numFmt w:val="bullet"/>
      <w:lvlText w:val=""/>
      <w:lvlJc w:val="left"/>
      <w:pPr>
        <w:ind w:left="1440" w:hanging="72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nsid w:val="76F31C0D"/>
    <w:multiLevelType w:val="hybridMultilevel"/>
    <w:tmpl w:val="7FA4342E"/>
    <w:lvl w:ilvl="0" w:tplc="0C09000B">
      <w:numFmt w:val="bullet"/>
      <w:lvlText w:val="•"/>
      <w:lvlJc w:val="left"/>
      <w:pPr>
        <w:ind w:left="72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7CCD1238"/>
    <w:multiLevelType w:val="hybridMultilevel"/>
    <w:tmpl w:val="F22AB62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0"/>
  </w:num>
  <w:num w:numId="2">
    <w:abstractNumId w:val="7"/>
  </w:num>
  <w:num w:numId="3">
    <w:abstractNumId w:val="20"/>
  </w:num>
  <w:num w:numId="4">
    <w:abstractNumId w:val="22"/>
  </w:num>
  <w:num w:numId="5">
    <w:abstractNumId w:val="9"/>
  </w:num>
  <w:num w:numId="6">
    <w:abstractNumId w:val="1"/>
  </w:num>
  <w:num w:numId="7">
    <w:abstractNumId w:val="16"/>
  </w:num>
  <w:num w:numId="8">
    <w:abstractNumId w:val="12"/>
  </w:num>
  <w:num w:numId="9">
    <w:abstractNumId w:val="6"/>
  </w:num>
  <w:num w:numId="10">
    <w:abstractNumId w:val="4"/>
  </w:num>
  <w:num w:numId="11">
    <w:abstractNumId w:val="19"/>
  </w:num>
  <w:num w:numId="12">
    <w:abstractNumId w:val="2"/>
  </w:num>
  <w:num w:numId="13">
    <w:abstractNumId w:val="11"/>
  </w:num>
  <w:num w:numId="14">
    <w:abstractNumId w:val="21"/>
  </w:num>
  <w:num w:numId="15">
    <w:abstractNumId w:val="17"/>
  </w:num>
  <w:num w:numId="16">
    <w:abstractNumId w:val="3"/>
  </w:num>
  <w:num w:numId="17">
    <w:abstractNumId w:val="19"/>
    <w:lvlOverride w:ilvl="0">
      <w:startOverride w:val="1"/>
    </w:lvlOverride>
  </w:num>
  <w:num w:numId="18">
    <w:abstractNumId w:val="8"/>
  </w:num>
  <w:num w:numId="19">
    <w:abstractNumId w:val="0"/>
  </w:num>
  <w:num w:numId="20">
    <w:abstractNumId w:val="14"/>
    <w:lvlOverride w:ilvl="1">
      <w:lvl w:ilvl="1">
        <w:start w:val="1"/>
        <w:numFmt w:val="decimal"/>
        <w:pStyle w:val="OutlineNumbered2"/>
        <w:lvlText w:val="%1.%2"/>
        <w:lvlJc w:val="left"/>
        <w:pPr>
          <w:tabs>
            <w:tab w:val="num" w:pos="1985"/>
          </w:tabs>
          <w:ind w:left="1985" w:hanging="1134"/>
        </w:pPr>
        <w:rPr>
          <w:rFonts w:hint="default"/>
        </w:rPr>
      </w:lvl>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0"/>
  </w:num>
  <w:num w:numId="24">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23"/>
  </w:num>
  <w:num w:numId="27">
    <w:abstractNumId w:val="5"/>
  </w:num>
  <w:num w:numId="28">
    <w:abstractNumId w:val="13"/>
  </w:num>
  <w:num w:numId="29">
    <w:abstractNumId w:val="14"/>
  </w:num>
  <w:num w:numId="30">
    <w:abstractNumId w:val="14"/>
  </w:num>
  <w:num w:numId="31">
    <w:abstractNumId w:val="14"/>
    <w:lvlOverride w:ilvl="1">
      <w:lvl w:ilvl="1">
        <w:start w:val="1"/>
        <w:numFmt w:val="decimal"/>
        <w:pStyle w:val="OutlineNumbered2"/>
        <w:lvlText w:val="%1.%2"/>
        <w:lvlJc w:val="left"/>
        <w:pPr>
          <w:tabs>
            <w:tab w:val="num" w:pos="1844"/>
          </w:tabs>
          <w:ind w:left="1844" w:hanging="1134"/>
        </w:pPr>
        <w:rPr>
          <w:rFonts w:hint="default"/>
        </w:rPr>
      </w:lvl>
    </w:lvlOverride>
  </w:num>
  <w:num w:numId="32">
    <w:abstractNumId w:val="14"/>
    <w:lvlOverride w:ilvl="1">
      <w:lvl w:ilvl="1">
        <w:start w:val="1"/>
        <w:numFmt w:val="decimal"/>
        <w:pStyle w:val="OutlineNumbered2"/>
        <w:lvlText w:val="%1.%2"/>
        <w:lvlJc w:val="left"/>
        <w:pPr>
          <w:tabs>
            <w:tab w:val="num" w:pos="1844"/>
          </w:tabs>
          <w:ind w:left="1844" w:hanging="1134"/>
        </w:pPr>
        <w:rPr>
          <w:rFonts w:hint="default"/>
        </w:rPr>
      </w:lvl>
    </w:lvlOverride>
  </w:num>
  <w:num w:numId="33">
    <w:abstractNumId w:val="14"/>
    <w:lvlOverride w:ilvl="1">
      <w:lvl w:ilvl="1">
        <w:start w:val="1"/>
        <w:numFmt w:val="decimal"/>
        <w:pStyle w:val="OutlineNumbered2"/>
        <w:lvlText w:val="%1.%2"/>
        <w:lvlJc w:val="left"/>
        <w:pPr>
          <w:tabs>
            <w:tab w:val="num" w:pos="1844"/>
          </w:tabs>
          <w:ind w:left="1844" w:hanging="1134"/>
        </w:pPr>
        <w:rPr>
          <w:rFonts w:hint="default"/>
        </w:rPr>
      </w:lvl>
    </w:lvlOverride>
  </w:num>
  <w:num w:numId="34">
    <w:abstractNumId w:val="14"/>
    <w:lvlOverride w:ilvl="1">
      <w:lvl w:ilvl="1">
        <w:start w:val="1"/>
        <w:numFmt w:val="decimal"/>
        <w:pStyle w:val="OutlineNumbered2"/>
        <w:lvlText w:val="%1.%2"/>
        <w:lvlJc w:val="left"/>
        <w:pPr>
          <w:tabs>
            <w:tab w:val="num" w:pos="1844"/>
          </w:tabs>
          <w:ind w:left="1844" w:hanging="1134"/>
        </w:pPr>
        <w:rPr>
          <w:rFonts w:hint="default"/>
        </w:rPr>
      </w:lvl>
    </w:lvlOverride>
  </w:num>
  <w:num w:numId="35">
    <w:abstractNumId w:val="14"/>
    <w:lvlOverride w:ilvl="1">
      <w:lvl w:ilvl="1">
        <w:start w:val="1"/>
        <w:numFmt w:val="decimal"/>
        <w:pStyle w:val="OutlineNumbered2"/>
        <w:lvlText w:val="%1.%2"/>
        <w:lvlJc w:val="left"/>
        <w:pPr>
          <w:tabs>
            <w:tab w:val="num" w:pos="1844"/>
          </w:tabs>
          <w:ind w:left="1844" w:hanging="1134"/>
        </w:pPr>
        <w:rPr>
          <w:rFonts w:hint="default"/>
        </w:rPr>
      </w:lvl>
    </w:lvlOverride>
  </w:num>
  <w:num w:numId="36">
    <w:abstractNumId w:val="14"/>
    <w:lvlOverride w:ilvl="1">
      <w:lvl w:ilvl="1">
        <w:start w:val="1"/>
        <w:numFmt w:val="decimal"/>
        <w:pStyle w:val="OutlineNumbered2"/>
        <w:lvlText w:val="%1.%2"/>
        <w:lvlJc w:val="left"/>
        <w:pPr>
          <w:tabs>
            <w:tab w:val="num" w:pos="1985"/>
          </w:tabs>
          <w:ind w:left="1985" w:hanging="1134"/>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026"/>
    <w:rsid w:val="00001E85"/>
    <w:rsid w:val="00001FF3"/>
    <w:rsid w:val="00003503"/>
    <w:rsid w:val="00003B76"/>
    <w:rsid w:val="00004D9E"/>
    <w:rsid w:val="00007491"/>
    <w:rsid w:val="00013199"/>
    <w:rsid w:val="00015F72"/>
    <w:rsid w:val="00016264"/>
    <w:rsid w:val="00016BB6"/>
    <w:rsid w:val="00020D9E"/>
    <w:rsid w:val="000232E1"/>
    <w:rsid w:val="00024B44"/>
    <w:rsid w:val="000258E8"/>
    <w:rsid w:val="0003237B"/>
    <w:rsid w:val="00033FF9"/>
    <w:rsid w:val="0005277B"/>
    <w:rsid w:val="0005355A"/>
    <w:rsid w:val="0005598E"/>
    <w:rsid w:val="000604E4"/>
    <w:rsid w:val="0006386F"/>
    <w:rsid w:val="00067209"/>
    <w:rsid w:val="00074EA5"/>
    <w:rsid w:val="000927CD"/>
    <w:rsid w:val="000A43F5"/>
    <w:rsid w:val="000A5A4D"/>
    <w:rsid w:val="000A5D68"/>
    <w:rsid w:val="000B0E2D"/>
    <w:rsid w:val="000B4901"/>
    <w:rsid w:val="000B6972"/>
    <w:rsid w:val="000B77CD"/>
    <w:rsid w:val="000C3284"/>
    <w:rsid w:val="000C745B"/>
    <w:rsid w:val="000C7AC1"/>
    <w:rsid w:val="000D400F"/>
    <w:rsid w:val="000D60C0"/>
    <w:rsid w:val="000D7DCF"/>
    <w:rsid w:val="000E1360"/>
    <w:rsid w:val="000E1670"/>
    <w:rsid w:val="000F4124"/>
    <w:rsid w:val="000F6E76"/>
    <w:rsid w:val="00101BE2"/>
    <w:rsid w:val="0010339D"/>
    <w:rsid w:val="0011231B"/>
    <w:rsid w:val="0011328C"/>
    <w:rsid w:val="00114C01"/>
    <w:rsid w:val="001158FF"/>
    <w:rsid w:val="00117A39"/>
    <w:rsid w:val="001215CD"/>
    <w:rsid w:val="00122505"/>
    <w:rsid w:val="0012772A"/>
    <w:rsid w:val="001310A6"/>
    <w:rsid w:val="00131B76"/>
    <w:rsid w:val="001458DE"/>
    <w:rsid w:val="001475B0"/>
    <w:rsid w:val="00160B24"/>
    <w:rsid w:val="00161259"/>
    <w:rsid w:val="001616BA"/>
    <w:rsid w:val="00161AA2"/>
    <w:rsid w:val="001644F8"/>
    <w:rsid w:val="00164801"/>
    <w:rsid w:val="0017302B"/>
    <w:rsid w:val="00175401"/>
    <w:rsid w:val="00176069"/>
    <w:rsid w:val="0017616A"/>
    <w:rsid w:val="00180B6A"/>
    <w:rsid w:val="00182F02"/>
    <w:rsid w:val="001837C7"/>
    <w:rsid w:val="001853F3"/>
    <w:rsid w:val="00185EDD"/>
    <w:rsid w:val="001911E8"/>
    <w:rsid w:val="001960B8"/>
    <w:rsid w:val="001A3410"/>
    <w:rsid w:val="001A509C"/>
    <w:rsid w:val="001A5622"/>
    <w:rsid w:val="001A6E86"/>
    <w:rsid w:val="001B364C"/>
    <w:rsid w:val="001B5605"/>
    <w:rsid w:val="001B563C"/>
    <w:rsid w:val="001B6408"/>
    <w:rsid w:val="001B7D48"/>
    <w:rsid w:val="001C4119"/>
    <w:rsid w:val="001C4BB6"/>
    <w:rsid w:val="001D0DA9"/>
    <w:rsid w:val="001D15BE"/>
    <w:rsid w:val="001D3B18"/>
    <w:rsid w:val="001D5498"/>
    <w:rsid w:val="001E029A"/>
    <w:rsid w:val="001E3E9F"/>
    <w:rsid w:val="001F5511"/>
    <w:rsid w:val="00200976"/>
    <w:rsid w:val="00202811"/>
    <w:rsid w:val="00203A2D"/>
    <w:rsid w:val="002147AE"/>
    <w:rsid w:val="002172EA"/>
    <w:rsid w:val="0022114F"/>
    <w:rsid w:val="00221EA1"/>
    <w:rsid w:val="00226CCA"/>
    <w:rsid w:val="002313D1"/>
    <w:rsid w:val="00241026"/>
    <w:rsid w:val="002457C7"/>
    <w:rsid w:val="00246B86"/>
    <w:rsid w:val="00250506"/>
    <w:rsid w:val="002508D5"/>
    <w:rsid w:val="00251E36"/>
    <w:rsid w:val="00254B4B"/>
    <w:rsid w:val="00255872"/>
    <w:rsid w:val="00255AB1"/>
    <w:rsid w:val="00257DFA"/>
    <w:rsid w:val="00263035"/>
    <w:rsid w:val="002660E1"/>
    <w:rsid w:val="00267E8C"/>
    <w:rsid w:val="00276EBB"/>
    <w:rsid w:val="00277653"/>
    <w:rsid w:val="0028196F"/>
    <w:rsid w:val="0028743E"/>
    <w:rsid w:val="00290388"/>
    <w:rsid w:val="002934D1"/>
    <w:rsid w:val="00293D76"/>
    <w:rsid w:val="00294865"/>
    <w:rsid w:val="002B0447"/>
    <w:rsid w:val="002B3E12"/>
    <w:rsid w:val="002B44D7"/>
    <w:rsid w:val="002C3594"/>
    <w:rsid w:val="002C7D33"/>
    <w:rsid w:val="002D26F8"/>
    <w:rsid w:val="002E3515"/>
    <w:rsid w:val="002E3A59"/>
    <w:rsid w:val="002E477D"/>
    <w:rsid w:val="002E4EBC"/>
    <w:rsid w:val="002E6199"/>
    <w:rsid w:val="002F0D8B"/>
    <w:rsid w:val="002F461F"/>
    <w:rsid w:val="00300993"/>
    <w:rsid w:val="00305BB4"/>
    <w:rsid w:val="0030705C"/>
    <w:rsid w:val="003108B8"/>
    <w:rsid w:val="00311680"/>
    <w:rsid w:val="0031396F"/>
    <w:rsid w:val="0031548D"/>
    <w:rsid w:val="0032531B"/>
    <w:rsid w:val="003254CA"/>
    <w:rsid w:val="003338D5"/>
    <w:rsid w:val="00335AA2"/>
    <w:rsid w:val="00347570"/>
    <w:rsid w:val="00351352"/>
    <w:rsid w:val="00355A42"/>
    <w:rsid w:val="00363E6B"/>
    <w:rsid w:val="00365FAD"/>
    <w:rsid w:val="00373785"/>
    <w:rsid w:val="0037746B"/>
    <w:rsid w:val="003901FF"/>
    <w:rsid w:val="00391ECA"/>
    <w:rsid w:val="00393762"/>
    <w:rsid w:val="00396CA2"/>
    <w:rsid w:val="003A1104"/>
    <w:rsid w:val="003A4628"/>
    <w:rsid w:val="003A5B91"/>
    <w:rsid w:val="003B09A4"/>
    <w:rsid w:val="003B4A6A"/>
    <w:rsid w:val="003C0459"/>
    <w:rsid w:val="003C6688"/>
    <w:rsid w:val="003D1DE0"/>
    <w:rsid w:val="003D43F0"/>
    <w:rsid w:val="003D57CF"/>
    <w:rsid w:val="003E097D"/>
    <w:rsid w:val="003E11B0"/>
    <w:rsid w:val="003F3D5B"/>
    <w:rsid w:val="003F6253"/>
    <w:rsid w:val="00410125"/>
    <w:rsid w:val="0041569D"/>
    <w:rsid w:val="0041653F"/>
    <w:rsid w:val="00417CB8"/>
    <w:rsid w:val="00421CAE"/>
    <w:rsid w:val="00423883"/>
    <w:rsid w:val="004255AC"/>
    <w:rsid w:val="00434C6D"/>
    <w:rsid w:val="00436E3D"/>
    <w:rsid w:val="0044107F"/>
    <w:rsid w:val="004416CE"/>
    <w:rsid w:val="00452EB8"/>
    <w:rsid w:val="004645C7"/>
    <w:rsid w:val="00465A96"/>
    <w:rsid w:val="00470D8B"/>
    <w:rsid w:val="00470EAF"/>
    <w:rsid w:val="00485AFB"/>
    <w:rsid w:val="00485BEC"/>
    <w:rsid w:val="00491F6A"/>
    <w:rsid w:val="00495043"/>
    <w:rsid w:val="004A2F84"/>
    <w:rsid w:val="004B012A"/>
    <w:rsid w:val="004B25FE"/>
    <w:rsid w:val="004B7D0F"/>
    <w:rsid w:val="004D69C0"/>
    <w:rsid w:val="004F0C36"/>
    <w:rsid w:val="004F4625"/>
    <w:rsid w:val="004F6E99"/>
    <w:rsid w:val="00500545"/>
    <w:rsid w:val="00500E07"/>
    <w:rsid w:val="00501021"/>
    <w:rsid w:val="0050321E"/>
    <w:rsid w:val="005142C5"/>
    <w:rsid w:val="00515374"/>
    <w:rsid w:val="00524E0F"/>
    <w:rsid w:val="00537C12"/>
    <w:rsid w:val="00541D6F"/>
    <w:rsid w:val="00547E21"/>
    <w:rsid w:val="00553092"/>
    <w:rsid w:val="00553799"/>
    <w:rsid w:val="00554EE3"/>
    <w:rsid w:val="00562858"/>
    <w:rsid w:val="005661D2"/>
    <w:rsid w:val="00570119"/>
    <w:rsid w:val="00572412"/>
    <w:rsid w:val="00572DDA"/>
    <w:rsid w:val="00573FAB"/>
    <w:rsid w:val="0058149C"/>
    <w:rsid w:val="00585714"/>
    <w:rsid w:val="00593A1A"/>
    <w:rsid w:val="00594E2E"/>
    <w:rsid w:val="00595F71"/>
    <w:rsid w:val="005A5DD8"/>
    <w:rsid w:val="005B281F"/>
    <w:rsid w:val="005C152F"/>
    <w:rsid w:val="005C1D4E"/>
    <w:rsid w:val="005C72E8"/>
    <w:rsid w:val="005E0D8A"/>
    <w:rsid w:val="005E450C"/>
    <w:rsid w:val="00602A9E"/>
    <w:rsid w:val="006052D4"/>
    <w:rsid w:val="00606C75"/>
    <w:rsid w:val="00610277"/>
    <w:rsid w:val="00611BA7"/>
    <w:rsid w:val="00620CED"/>
    <w:rsid w:val="0062797B"/>
    <w:rsid w:val="00634E3F"/>
    <w:rsid w:val="00643F2A"/>
    <w:rsid w:val="0064659D"/>
    <w:rsid w:val="00650E47"/>
    <w:rsid w:val="0065166B"/>
    <w:rsid w:val="0065580C"/>
    <w:rsid w:val="006565BC"/>
    <w:rsid w:val="00656CC4"/>
    <w:rsid w:val="006656EF"/>
    <w:rsid w:val="00671FF4"/>
    <w:rsid w:val="00677614"/>
    <w:rsid w:val="00693757"/>
    <w:rsid w:val="00693DBB"/>
    <w:rsid w:val="00695F91"/>
    <w:rsid w:val="0069725B"/>
    <w:rsid w:val="006A1986"/>
    <w:rsid w:val="006A26EB"/>
    <w:rsid w:val="006A3E1E"/>
    <w:rsid w:val="006A509C"/>
    <w:rsid w:val="006B3A12"/>
    <w:rsid w:val="006B747F"/>
    <w:rsid w:val="006C0CFC"/>
    <w:rsid w:val="006D2F8A"/>
    <w:rsid w:val="006D56A7"/>
    <w:rsid w:val="006D68FC"/>
    <w:rsid w:val="006D75B1"/>
    <w:rsid w:val="006E156B"/>
    <w:rsid w:val="006E3A81"/>
    <w:rsid w:val="006E4268"/>
    <w:rsid w:val="006F1FC8"/>
    <w:rsid w:val="006F5384"/>
    <w:rsid w:val="006F7327"/>
    <w:rsid w:val="007145F4"/>
    <w:rsid w:val="00724218"/>
    <w:rsid w:val="00727E08"/>
    <w:rsid w:val="007404CF"/>
    <w:rsid w:val="007466B7"/>
    <w:rsid w:val="00752622"/>
    <w:rsid w:val="00753B1B"/>
    <w:rsid w:val="007569D8"/>
    <w:rsid w:val="00761037"/>
    <w:rsid w:val="00772E3C"/>
    <w:rsid w:val="0077348F"/>
    <w:rsid w:val="00775235"/>
    <w:rsid w:val="00777A72"/>
    <w:rsid w:val="00783563"/>
    <w:rsid w:val="007848E2"/>
    <w:rsid w:val="00785571"/>
    <w:rsid w:val="00792495"/>
    <w:rsid w:val="00794E43"/>
    <w:rsid w:val="00795175"/>
    <w:rsid w:val="0079749A"/>
    <w:rsid w:val="007A0599"/>
    <w:rsid w:val="007A0B74"/>
    <w:rsid w:val="007A0F61"/>
    <w:rsid w:val="007A204A"/>
    <w:rsid w:val="007B304F"/>
    <w:rsid w:val="007B4030"/>
    <w:rsid w:val="007C1A38"/>
    <w:rsid w:val="007C5F73"/>
    <w:rsid w:val="007D190E"/>
    <w:rsid w:val="007D1DEF"/>
    <w:rsid w:val="007D4F6B"/>
    <w:rsid w:val="007E59C7"/>
    <w:rsid w:val="007F3559"/>
    <w:rsid w:val="007F57D1"/>
    <w:rsid w:val="00810968"/>
    <w:rsid w:val="0081114C"/>
    <w:rsid w:val="00821F09"/>
    <w:rsid w:val="00825298"/>
    <w:rsid w:val="008307E4"/>
    <w:rsid w:val="008313BC"/>
    <w:rsid w:val="00836985"/>
    <w:rsid w:val="00850D81"/>
    <w:rsid w:val="00852CB8"/>
    <w:rsid w:val="00857EF5"/>
    <w:rsid w:val="00862D49"/>
    <w:rsid w:val="00872F98"/>
    <w:rsid w:val="0087365A"/>
    <w:rsid w:val="00877006"/>
    <w:rsid w:val="00877454"/>
    <w:rsid w:val="008774A4"/>
    <w:rsid w:val="0088614D"/>
    <w:rsid w:val="00890E63"/>
    <w:rsid w:val="0089222B"/>
    <w:rsid w:val="00893337"/>
    <w:rsid w:val="008960C0"/>
    <w:rsid w:val="008976EB"/>
    <w:rsid w:val="008A0A4F"/>
    <w:rsid w:val="008A3C6E"/>
    <w:rsid w:val="008A5BDD"/>
    <w:rsid w:val="008A6926"/>
    <w:rsid w:val="008B773B"/>
    <w:rsid w:val="008B7B1D"/>
    <w:rsid w:val="008D4B46"/>
    <w:rsid w:val="008E3E5E"/>
    <w:rsid w:val="008F10AD"/>
    <w:rsid w:val="008F248D"/>
    <w:rsid w:val="008F487A"/>
    <w:rsid w:val="00901216"/>
    <w:rsid w:val="00903A1F"/>
    <w:rsid w:val="00904FE7"/>
    <w:rsid w:val="009072B1"/>
    <w:rsid w:val="009101AE"/>
    <w:rsid w:val="0091045C"/>
    <w:rsid w:val="009111D9"/>
    <w:rsid w:val="00911615"/>
    <w:rsid w:val="00913AFA"/>
    <w:rsid w:val="009159B3"/>
    <w:rsid w:val="00916FD5"/>
    <w:rsid w:val="00922F7A"/>
    <w:rsid w:val="00944974"/>
    <w:rsid w:val="00945805"/>
    <w:rsid w:val="00953C31"/>
    <w:rsid w:val="00961284"/>
    <w:rsid w:val="00961CDF"/>
    <w:rsid w:val="00970B51"/>
    <w:rsid w:val="00972970"/>
    <w:rsid w:val="0097427C"/>
    <w:rsid w:val="00980D95"/>
    <w:rsid w:val="00981D5C"/>
    <w:rsid w:val="00983676"/>
    <w:rsid w:val="009846A3"/>
    <w:rsid w:val="00984C29"/>
    <w:rsid w:val="00987BD4"/>
    <w:rsid w:val="00991733"/>
    <w:rsid w:val="00992319"/>
    <w:rsid w:val="00992495"/>
    <w:rsid w:val="0099567E"/>
    <w:rsid w:val="00997D3C"/>
    <w:rsid w:val="009A0D1E"/>
    <w:rsid w:val="009A14D4"/>
    <w:rsid w:val="009A3C2D"/>
    <w:rsid w:val="009B7905"/>
    <w:rsid w:val="009C0E46"/>
    <w:rsid w:val="009C11D3"/>
    <w:rsid w:val="009C636C"/>
    <w:rsid w:val="009C7C90"/>
    <w:rsid w:val="009D05E0"/>
    <w:rsid w:val="009E303A"/>
    <w:rsid w:val="009E47C7"/>
    <w:rsid w:val="009E4A84"/>
    <w:rsid w:val="009E5ECA"/>
    <w:rsid w:val="009E6317"/>
    <w:rsid w:val="009E7E4B"/>
    <w:rsid w:val="009F20DC"/>
    <w:rsid w:val="009F69D2"/>
    <w:rsid w:val="00A01F70"/>
    <w:rsid w:val="00A02DA1"/>
    <w:rsid w:val="00A04FBE"/>
    <w:rsid w:val="00A11834"/>
    <w:rsid w:val="00A11CF8"/>
    <w:rsid w:val="00A175C6"/>
    <w:rsid w:val="00A313A9"/>
    <w:rsid w:val="00A316EB"/>
    <w:rsid w:val="00A353ED"/>
    <w:rsid w:val="00A523CB"/>
    <w:rsid w:val="00A55C42"/>
    <w:rsid w:val="00A562AE"/>
    <w:rsid w:val="00A6287A"/>
    <w:rsid w:val="00A65A28"/>
    <w:rsid w:val="00A71403"/>
    <w:rsid w:val="00A7261F"/>
    <w:rsid w:val="00A76C9E"/>
    <w:rsid w:val="00A83619"/>
    <w:rsid w:val="00A844E9"/>
    <w:rsid w:val="00A85735"/>
    <w:rsid w:val="00A90C23"/>
    <w:rsid w:val="00A91E19"/>
    <w:rsid w:val="00A93D55"/>
    <w:rsid w:val="00A96E8D"/>
    <w:rsid w:val="00AA352D"/>
    <w:rsid w:val="00AB1265"/>
    <w:rsid w:val="00AB27C9"/>
    <w:rsid w:val="00AB29B9"/>
    <w:rsid w:val="00AB5B63"/>
    <w:rsid w:val="00AD191B"/>
    <w:rsid w:val="00AD39A7"/>
    <w:rsid w:val="00AE0C26"/>
    <w:rsid w:val="00AE4C60"/>
    <w:rsid w:val="00AE5201"/>
    <w:rsid w:val="00AE696D"/>
    <w:rsid w:val="00AF50D4"/>
    <w:rsid w:val="00AF6033"/>
    <w:rsid w:val="00AF6849"/>
    <w:rsid w:val="00AF78CB"/>
    <w:rsid w:val="00B10A4C"/>
    <w:rsid w:val="00B1627E"/>
    <w:rsid w:val="00B21E7D"/>
    <w:rsid w:val="00B27410"/>
    <w:rsid w:val="00B27B79"/>
    <w:rsid w:val="00B31036"/>
    <w:rsid w:val="00B31848"/>
    <w:rsid w:val="00B31BD4"/>
    <w:rsid w:val="00B340AD"/>
    <w:rsid w:val="00B37472"/>
    <w:rsid w:val="00B42F1E"/>
    <w:rsid w:val="00B54751"/>
    <w:rsid w:val="00B569C3"/>
    <w:rsid w:val="00B65B49"/>
    <w:rsid w:val="00B6602C"/>
    <w:rsid w:val="00B67858"/>
    <w:rsid w:val="00B70692"/>
    <w:rsid w:val="00B748F3"/>
    <w:rsid w:val="00B76A89"/>
    <w:rsid w:val="00B775D7"/>
    <w:rsid w:val="00B80B0E"/>
    <w:rsid w:val="00B839A1"/>
    <w:rsid w:val="00B927F3"/>
    <w:rsid w:val="00B95A43"/>
    <w:rsid w:val="00BA320E"/>
    <w:rsid w:val="00BA487C"/>
    <w:rsid w:val="00BA7DE5"/>
    <w:rsid w:val="00BB1761"/>
    <w:rsid w:val="00BB512E"/>
    <w:rsid w:val="00BB6A50"/>
    <w:rsid w:val="00BC1C5A"/>
    <w:rsid w:val="00BC2368"/>
    <w:rsid w:val="00BC51E3"/>
    <w:rsid w:val="00BC589D"/>
    <w:rsid w:val="00BC71ED"/>
    <w:rsid w:val="00BC74F1"/>
    <w:rsid w:val="00BD02F3"/>
    <w:rsid w:val="00BF0E04"/>
    <w:rsid w:val="00BF1568"/>
    <w:rsid w:val="00BF3BD9"/>
    <w:rsid w:val="00BF3C3E"/>
    <w:rsid w:val="00BF4B7A"/>
    <w:rsid w:val="00C00500"/>
    <w:rsid w:val="00C01867"/>
    <w:rsid w:val="00C01BF0"/>
    <w:rsid w:val="00C03455"/>
    <w:rsid w:val="00C07CE7"/>
    <w:rsid w:val="00C106E0"/>
    <w:rsid w:val="00C1102C"/>
    <w:rsid w:val="00C21176"/>
    <w:rsid w:val="00C25F91"/>
    <w:rsid w:val="00C339AE"/>
    <w:rsid w:val="00C440AB"/>
    <w:rsid w:val="00C454E1"/>
    <w:rsid w:val="00C466DD"/>
    <w:rsid w:val="00C52AE1"/>
    <w:rsid w:val="00C5449C"/>
    <w:rsid w:val="00C55ED7"/>
    <w:rsid w:val="00C60E59"/>
    <w:rsid w:val="00C70FD8"/>
    <w:rsid w:val="00C74A72"/>
    <w:rsid w:val="00C82AAE"/>
    <w:rsid w:val="00C82BE2"/>
    <w:rsid w:val="00C838B1"/>
    <w:rsid w:val="00C844D3"/>
    <w:rsid w:val="00C9013C"/>
    <w:rsid w:val="00C92B7F"/>
    <w:rsid w:val="00C92E4F"/>
    <w:rsid w:val="00CA0AFC"/>
    <w:rsid w:val="00CA4847"/>
    <w:rsid w:val="00CB3ED6"/>
    <w:rsid w:val="00CB715C"/>
    <w:rsid w:val="00CC184C"/>
    <w:rsid w:val="00CC43C0"/>
    <w:rsid w:val="00CD3F02"/>
    <w:rsid w:val="00CD43EC"/>
    <w:rsid w:val="00CD4680"/>
    <w:rsid w:val="00CD519F"/>
    <w:rsid w:val="00CD5CF8"/>
    <w:rsid w:val="00CE1205"/>
    <w:rsid w:val="00D00A59"/>
    <w:rsid w:val="00D00D2A"/>
    <w:rsid w:val="00D00E39"/>
    <w:rsid w:val="00D1039D"/>
    <w:rsid w:val="00D11CF7"/>
    <w:rsid w:val="00D12E12"/>
    <w:rsid w:val="00D15AF4"/>
    <w:rsid w:val="00D17207"/>
    <w:rsid w:val="00D20371"/>
    <w:rsid w:val="00D22B17"/>
    <w:rsid w:val="00D23A59"/>
    <w:rsid w:val="00D2477F"/>
    <w:rsid w:val="00D303FA"/>
    <w:rsid w:val="00D33336"/>
    <w:rsid w:val="00D3637E"/>
    <w:rsid w:val="00D40655"/>
    <w:rsid w:val="00D420EB"/>
    <w:rsid w:val="00D46F5F"/>
    <w:rsid w:val="00D6626D"/>
    <w:rsid w:val="00D678DD"/>
    <w:rsid w:val="00D715A0"/>
    <w:rsid w:val="00D72A05"/>
    <w:rsid w:val="00D73951"/>
    <w:rsid w:val="00D80892"/>
    <w:rsid w:val="00D82B26"/>
    <w:rsid w:val="00D8657E"/>
    <w:rsid w:val="00D876F1"/>
    <w:rsid w:val="00D904F4"/>
    <w:rsid w:val="00D979FD"/>
    <w:rsid w:val="00DA1374"/>
    <w:rsid w:val="00DA64C5"/>
    <w:rsid w:val="00DB398E"/>
    <w:rsid w:val="00DB4982"/>
    <w:rsid w:val="00DB52D4"/>
    <w:rsid w:val="00DC0CE6"/>
    <w:rsid w:val="00DC5889"/>
    <w:rsid w:val="00DC7F07"/>
    <w:rsid w:val="00DD13CF"/>
    <w:rsid w:val="00DD2B81"/>
    <w:rsid w:val="00DE3B8E"/>
    <w:rsid w:val="00DE429A"/>
    <w:rsid w:val="00DE4E62"/>
    <w:rsid w:val="00DF05DF"/>
    <w:rsid w:val="00DF2157"/>
    <w:rsid w:val="00DF3078"/>
    <w:rsid w:val="00DF350E"/>
    <w:rsid w:val="00E02DAD"/>
    <w:rsid w:val="00E13F0A"/>
    <w:rsid w:val="00E2242F"/>
    <w:rsid w:val="00E25F21"/>
    <w:rsid w:val="00E26D1A"/>
    <w:rsid w:val="00E27A40"/>
    <w:rsid w:val="00E404B0"/>
    <w:rsid w:val="00E40B42"/>
    <w:rsid w:val="00E536BF"/>
    <w:rsid w:val="00E56369"/>
    <w:rsid w:val="00E56B21"/>
    <w:rsid w:val="00E60665"/>
    <w:rsid w:val="00E60670"/>
    <w:rsid w:val="00E62136"/>
    <w:rsid w:val="00E6550E"/>
    <w:rsid w:val="00E65AF8"/>
    <w:rsid w:val="00E718D4"/>
    <w:rsid w:val="00E71CD8"/>
    <w:rsid w:val="00E74219"/>
    <w:rsid w:val="00E74FBE"/>
    <w:rsid w:val="00E80430"/>
    <w:rsid w:val="00E80720"/>
    <w:rsid w:val="00E81013"/>
    <w:rsid w:val="00E8251B"/>
    <w:rsid w:val="00E83AC3"/>
    <w:rsid w:val="00E935C0"/>
    <w:rsid w:val="00E97917"/>
    <w:rsid w:val="00E97F0C"/>
    <w:rsid w:val="00EA1BFD"/>
    <w:rsid w:val="00EB08DB"/>
    <w:rsid w:val="00EB0C14"/>
    <w:rsid w:val="00EC6692"/>
    <w:rsid w:val="00ED0B12"/>
    <w:rsid w:val="00ED4D5D"/>
    <w:rsid w:val="00ED683F"/>
    <w:rsid w:val="00EE1722"/>
    <w:rsid w:val="00EF3AE3"/>
    <w:rsid w:val="00F00946"/>
    <w:rsid w:val="00F0684D"/>
    <w:rsid w:val="00F11DA5"/>
    <w:rsid w:val="00F126E4"/>
    <w:rsid w:val="00F208E7"/>
    <w:rsid w:val="00F27FAD"/>
    <w:rsid w:val="00F36A30"/>
    <w:rsid w:val="00F37481"/>
    <w:rsid w:val="00F41AB9"/>
    <w:rsid w:val="00F45256"/>
    <w:rsid w:val="00F456D0"/>
    <w:rsid w:val="00F45C9A"/>
    <w:rsid w:val="00F471E6"/>
    <w:rsid w:val="00F529EA"/>
    <w:rsid w:val="00F52FE2"/>
    <w:rsid w:val="00F55080"/>
    <w:rsid w:val="00F55582"/>
    <w:rsid w:val="00F64849"/>
    <w:rsid w:val="00F661F8"/>
    <w:rsid w:val="00F71132"/>
    <w:rsid w:val="00F713A8"/>
    <w:rsid w:val="00F8044F"/>
    <w:rsid w:val="00F80D0B"/>
    <w:rsid w:val="00F854A9"/>
    <w:rsid w:val="00F90C5C"/>
    <w:rsid w:val="00F922D7"/>
    <w:rsid w:val="00F93018"/>
    <w:rsid w:val="00F945E6"/>
    <w:rsid w:val="00F966AA"/>
    <w:rsid w:val="00F973DE"/>
    <w:rsid w:val="00F97BDF"/>
    <w:rsid w:val="00FA7613"/>
    <w:rsid w:val="00FB6346"/>
    <w:rsid w:val="00FB7FBC"/>
    <w:rsid w:val="00FD64B7"/>
    <w:rsid w:val="00FD7AD2"/>
    <w:rsid w:val="00FE20EA"/>
    <w:rsid w:val="00FE2B6E"/>
    <w:rsid w:val="00FE2F72"/>
    <w:rsid w:val="00FE35B1"/>
    <w:rsid w:val="00FE57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F1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026"/>
    <w:pPr>
      <w:spacing w:before="120" w:after="120" w:line="240" w:lineRule="auto"/>
    </w:pPr>
    <w:rPr>
      <w:rFonts w:ascii="Calibri" w:eastAsia="Times New Roman" w:hAnsi="Calibri" w:cs="Times New Roman"/>
      <w:szCs w:val="20"/>
      <w:lang w:eastAsia="en-AU"/>
    </w:rPr>
  </w:style>
  <w:style w:type="paragraph" w:styleId="Heading1">
    <w:name w:val="heading 1"/>
    <w:basedOn w:val="Normal"/>
    <w:next w:val="Normal"/>
    <w:link w:val="Heading1Char"/>
    <w:qFormat/>
    <w:rsid w:val="00241026"/>
    <w:pPr>
      <w:keepNext/>
      <w:spacing w:before="480"/>
      <w:outlineLvl w:val="0"/>
    </w:pPr>
    <w:rPr>
      <w:rFonts w:cs="Arial"/>
      <w:color w:val="004A7F"/>
      <w:kern w:val="32"/>
      <w:sz w:val="48"/>
      <w:szCs w:val="36"/>
    </w:rPr>
  </w:style>
  <w:style w:type="paragraph" w:styleId="Heading2">
    <w:name w:val="heading 2"/>
    <w:basedOn w:val="Normal"/>
    <w:next w:val="Normal"/>
    <w:link w:val="Heading2Char"/>
    <w:qFormat/>
    <w:rsid w:val="00241026"/>
    <w:pPr>
      <w:keepNext/>
      <w:spacing w:before="360"/>
      <w:outlineLvl w:val="1"/>
    </w:pPr>
    <w:rPr>
      <w:rFonts w:cs="Arial"/>
      <w:iCs/>
      <w:color w:val="004A7F"/>
      <w:kern w:val="32"/>
      <w:sz w:val="36"/>
      <w:szCs w:val="28"/>
    </w:rPr>
  </w:style>
  <w:style w:type="paragraph" w:styleId="Heading3">
    <w:name w:val="heading 3"/>
    <w:basedOn w:val="Normal"/>
    <w:next w:val="Normal"/>
    <w:link w:val="Heading3Char"/>
    <w:qFormat/>
    <w:rsid w:val="00241026"/>
    <w:pPr>
      <w:keepNext/>
      <w:spacing w:before="240"/>
      <w:outlineLvl w:val="2"/>
    </w:pPr>
    <w:rPr>
      <w:rFonts w:cs="Arial"/>
      <w:color w:val="7F7F7F"/>
      <w:kern w:val="32"/>
      <w:sz w:val="28"/>
      <w:szCs w:val="26"/>
    </w:rPr>
  </w:style>
  <w:style w:type="paragraph" w:styleId="Heading4">
    <w:name w:val="heading 4"/>
    <w:basedOn w:val="Normal"/>
    <w:next w:val="Normal"/>
    <w:link w:val="Heading4Char"/>
    <w:qFormat/>
    <w:rsid w:val="00241026"/>
    <w:pPr>
      <w:keepNext/>
      <w:spacing w:before="0"/>
      <w:outlineLvl w:val="3"/>
    </w:pPr>
    <w:rPr>
      <w:rFonts w:cs="Arial"/>
      <w:color w:val="336E98"/>
      <w:kern w:val="32"/>
      <w:sz w:val="26"/>
      <w:szCs w:val="26"/>
    </w:rPr>
  </w:style>
  <w:style w:type="paragraph" w:styleId="Heading5">
    <w:name w:val="heading 5"/>
    <w:basedOn w:val="Normal"/>
    <w:next w:val="Normal"/>
    <w:link w:val="Heading5Char"/>
    <w:unhideWhenUsed/>
    <w:qFormat/>
    <w:rsid w:val="00F93018"/>
    <w:pPr>
      <w:keepNext/>
      <w:keepLines/>
      <w:spacing w:before="200" w:after="0"/>
      <w:outlineLvl w:val="4"/>
    </w:pPr>
    <w:rPr>
      <w:rFonts w:cs="Arial"/>
      <w:b/>
      <w:iCs/>
      <w:color w:val="004A7F"/>
      <w:kern w:val="3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1026"/>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241026"/>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241026"/>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241026"/>
    <w:rPr>
      <w:rFonts w:ascii="Calibri" w:eastAsia="Times New Roman" w:hAnsi="Calibri" w:cs="Arial"/>
      <w:color w:val="336E98"/>
      <w:kern w:val="32"/>
      <w:sz w:val="26"/>
      <w:szCs w:val="26"/>
      <w:lang w:eastAsia="en-AU"/>
    </w:rPr>
  </w:style>
  <w:style w:type="paragraph" w:styleId="Header">
    <w:name w:val="header"/>
    <w:basedOn w:val="Normal"/>
    <w:link w:val="HeaderChar"/>
    <w:uiPriority w:val="99"/>
    <w:unhideWhenUsed/>
    <w:rsid w:val="00241026"/>
    <w:pPr>
      <w:tabs>
        <w:tab w:val="center" w:pos="4513"/>
        <w:tab w:val="right" w:pos="9026"/>
      </w:tabs>
      <w:spacing w:after="0"/>
    </w:pPr>
  </w:style>
  <w:style w:type="character" w:customStyle="1" w:styleId="HeaderChar">
    <w:name w:val="Header Char"/>
    <w:basedOn w:val="DefaultParagraphFont"/>
    <w:link w:val="Header"/>
    <w:uiPriority w:val="99"/>
    <w:rsid w:val="00241026"/>
    <w:rPr>
      <w:rFonts w:ascii="Calibri" w:eastAsia="Times New Roman" w:hAnsi="Calibri" w:cs="Times New Roman"/>
      <w:szCs w:val="20"/>
      <w:lang w:eastAsia="en-AU"/>
    </w:rPr>
  </w:style>
  <w:style w:type="paragraph" w:styleId="Footer">
    <w:name w:val="footer"/>
    <w:basedOn w:val="Normal"/>
    <w:link w:val="FooterChar"/>
    <w:unhideWhenUsed/>
    <w:rsid w:val="00241026"/>
    <w:pPr>
      <w:tabs>
        <w:tab w:val="center" w:pos="4513"/>
        <w:tab w:val="right" w:pos="9026"/>
      </w:tabs>
      <w:spacing w:after="0"/>
    </w:pPr>
  </w:style>
  <w:style w:type="character" w:customStyle="1" w:styleId="FooterChar">
    <w:name w:val="Footer Char"/>
    <w:basedOn w:val="DefaultParagraphFont"/>
    <w:link w:val="Footer"/>
    <w:rsid w:val="00241026"/>
    <w:rPr>
      <w:rFonts w:ascii="Calibri" w:eastAsia="Times New Roman" w:hAnsi="Calibri" w:cs="Times New Roman"/>
      <w:szCs w:val="20"/>
      <w:lang w:eastAsia="en-AU"/>
    </w:rPr>
  </w:style>
  <w:style w:type="paragraph" w:customStyle="1" w:styleId="SecurityClassificationHeader">
    <w:name w:val="Security Classification Header"/>
    <w:link w:val="SecurityClassificationHeaderChar"/>
    <w:rsid w:val="00241026"/>
    <w:pPr>
      <w:spacing w:before="240" w:after="60"/>
      <w:jc w:val="center"/>
    </w:pPr>
    <w:rPr>
      <w:rFonts w:ascii="Calibri" w:eastAsia="Times New Roman" w:hAnsi="Calibri" w:cs="Times New Roman"/>
      <w:b/>
      <w:caps/>
      <w:sz w:val="24"/>
      <w:szCs w:val="20"/>
      <w:lang w:eastAsia="en-AU"/>
    </w:rPr>
  </w:style>
  <w:style w:type="character" w:customStyle="1" w:styleId="SecurityClassificationHeaderChar">
    <w:name w:val="Security Classification Header Char"/>
    <w:basedOn w:val="HeaderChar"/>
    <w:link w:val="SecurityClassificationHeader"/>
    <w:rsid w:val="00241026"/>
    <w:rPr>
      <w:rFonts w:ascii="Calibri" w:eastAsia="Times New Roman" w:hAnsi="Calibri" w:cs="Times New Roman"/>
      <w:b/>
      <w:caps/>
      <w:sz w:val="24"/>
      <w:szCs w:val="20"/>
      <w:lang w:eastAsia="en-AU"/>
    </w:rPr>
  </w:style>
  <w:style w:type="paragraph" w:customStyle="1" w:styleId="SecurityClassificationFooter">
    <w:name w:val="Security Classification Footer"/>
    <w:link w:val="SecurityClassificationFooterChar"/>
    <w:rsid w:val="00241026"/>
    <w:pPr>
      <w:spacing w:before="60" w:after="240"/>
      <w:jc w:val="center"/>
    </w:pPr>
    <w:rPr>
      <w:rFonts w:ascii="Calibri" w:eastAsia="Times New Roman" w:hAnsi="Calibri" w:cs="Times New Roman"/>
      <w:b/>
      <w:caps/>
      <w:sz w:val="24"/>
      <w:szCs w:val="20"/>
      <w:lang w:eastAsia="en-AU"/>
    </w:rPr>
  </w:style>
  <w:style w:type="character" w:customStyle="1" w:styleId="SecurityClassificationFooterChar">
    <w:name w:val="Security Classification Footer Char"/>
    <w:basedOn w:val="HeaderChar"/>
    <w:link w:val="SecurityClassificationFooter"/>
    <w:rsid w:val="00241026"/>
    <w:rPr>
      <w:rFonts w:ascii="Calibri" w:eastAsia="Times New Roman" w:hAnsi="Calibri" w:cs="Times New Roman"/>
      <w:b/>
      <w:caps/>
      <w:sz w:val="24"/>
      <w:szCs w:val="20"/>
      <w:lang w:eastAsia="en-AU"/>
    </w:rPr>
  </w:style>
  <w:style w:type="paragraph" w:customStyle="1" w:styleId="ChartGraphic">
    <w:name w:val="Chart Graphic"/>
    <w:basedOn w:val="Normal"/>
    <w:next w:val="Normal"/>
    <w:rsid w:val="00241026"/>
    <w:pPr>
      <w:keepNext/>
      <w:numPr>
        <w:ilvl w:val="2"/>
        <w:numId w:val="8"/>
      </w:numPr>
      <w:tabs>
        <w:tab w:val="clear" w:pos="1560"/>
      </w:tabs>
      <w:spacing w:before="0" w:after="0"/>
      <w:ind w:left="0" w:firstLine="0"/>
      <w:jc w:val="center"/>
    </w:pPr>
    <w:rPr>
      <w:color w:val="004A7F"/>
      <w:sz w:val="20"/>
    </w:rPr>
  </w:style>
  <w:style w:type="paragraph" w:customStyle="1" w:styleId="BoxHeading">
    <w:name w:val="Box Heading"/>
    <w:basedOn w:val="Normal"/>
    <w:next w:val="Normal"/>
    <w:rsid w:val="00241026"/>
    <w:pPr>
      <w:keepNext/>
      <w:spacing w:before="240"/>
    </w:pPr>
    <w:rPr>
      <w:b/>
      <w:color w:val="004A7F"/>
      <w:sz w:val="26"/>
      <w:szCs w:val="26"/>
    </w:rPr>
  </w:style>
  <w:style w:type="paragraph" w:customStyle="1" w:styleId="BoxText">
    <w:name w:val="Box Text"/>
    <w:basedOn w:val="Normal"/>
    <w:rsid w:val="00241026"/>
  </w:style>
  <w:style w:type="paragraph" w:customStyle="1" w:styleId="Bullet">
    <w:name w:val="Bullet"/>
    <w:aliases w:val="Body,Bullet + line,b,b + line,b1,level 1"/>
    <w:basedOn w:val="Normal"/>
    <w:link w:val="BulletChar"/>
    <w:qFormat/>
    <w:rsid w:val="00241026"/>
    <w:pPr>
      <w:numPr>
        <w:numId w:val="1"/>
      </w:numPr>
      <w:spacing w:before="0"/>
    </w:pPr>
  </w:style>
  <w:style w:type="paragraph" w:customStyle="1" w:styleId="ReportDate">
    <w:name w:val="Report Date"/>
    <w:basedOn w:val="Normal"/>
    <w:link w:val="ReportDateChar"/>
    <w:rsid w:val="00241026"/>
    <w:pPr>
      <w:keepNext/>
      <w:spacing w:before="0" w:after="360"/>
      <w:ind w:right="139"/>
      <w:jc w:val="right"/>
    </w:pPr>
    <w:rPr>
      <w:color w:val="004A7F"/>
      <w:sz w:val="44"/>
    </w:rPr>
  </w:style>
  <w:style w:type="paragraph" w:customStyle="1" w:styleId="Dash">
    <w:name w:val="Dash"/>
    <w:basedOn w:val="Normal"/>
    <w:link w:val="DashChar"/>
    <w:qFormat/>
    <w:rsid w:val="00241026"/>
    <w:pPr>
      <w:numPr>
        <w:ilvl w:val="1"/>
        <w:numId w:val="1"/>
      </w:numPr>
      <w:spacing w:before="0"/>
      <w:ind w:left="568"/>
    </w:pPr>
  </w:style>
  <w:style w:type="paragraph" w:customStyle="1" w:styleId="DoubleDot">
    <w:name w:val="Double Dot"/>
    <w:basedOn w:val="Normal"/>
    <w:qFormat/>
    <w:rsid w:val="00241026"/>
    <w:pPr>
      <w:numPr>
        <w:ilvl w:val="2"/>
        <w:numId w:val="1"/>
      </w:numPr>
      <w:spacing w:before="0"/>
      <w:ind w:left="851" w:hanging="284"/>
    </w:pPr>
  </w:style>
  <w:style w:type="character" w:styleId="Hyperlink">
    <w:name w:val="Hyperlink"/>
    <w:basedOn w:val="DefaultParagraphFont"/>
    <w:uiPriority w:val="99"/>
    <w:rsid w:val="00241026"/>
    <w:rPr>
      <w:color w:val="004A7F"/>
      <w:u w:val="none"/>
    </w:rPr>
  </w:style>
  <w:style w:type="paragraph" w:customStyle="1" w:styleId="SingleParagraph">
    <w:name w:val="Single Paragraph"/>
    <w:basedOn w:val="Normal"/>
    <w:link w:val="SingleParagraphChar"/>
    <w:rsid w:val="00241026"/>
    <w:pPr>
      <w:spacing w:before="0" w:after="0"/>
    </w:pPr>
  </w:style>
  <w:style w:type="table" w:styleId="TableGrid">
    <w:name w:val="Table Grid"/>
    <w:basedOn w:val="TableNormal"/>
    <w:uiPriority w:val="39"/>
    <w:rsid w:val="00241026"/>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styleId="TOC1">
    <w:name w:val="toc 1"/>
    <w:basedOn w:val="Normal"/>
    <w:next w:val="Normal"/>
    <w:uiPriority w:val="39"/>
    <w:qFormat/>
    <w:rsid w:val="00241026"/>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241026"/>
    <w:pPr>
      <w:keepNext/>
      <w:tabs>
        <w:tab w:val="right" w:leader="dot" w:pos="9072"/>
      </w:tabs>
      <w:spacing w:before="40" w:after="20"/>
      <w:ind w:right="-2"/>
    </w:pPr>
    <w:rPr>
      <w:noProof/>
      <w:color w:val="004A7F"/>
    </w:rPr>
  </w:style>
  <w:style w:type="numbering" w:customStyle="1" w:styleId="BulletedList">
    <w:name w:val="Bulleted List"/>
    <w:uiPriority w:val="99"/>
    <w:rsid w:val="00241026"/>
    <w:pPr>
      <w:numPr>
        <w:numId w:val="1"/>
      </w:numPr>
    </w:pPr>
  </w:style>
  <w:style w:type="paragraph" w:customStyle="1" w:styleId="Crest">
    <w:name w:val="Crest"/>
    <w:basedOn w:val="Header"/>
    <w:rsid w:val="00241026"/>
    <w:pPr>
      <w:keepNext/>
      <w:tabs>
        <w:tab w:val="clear" w:pos="4513"/>
        <w:tab w:val="clear" w:pos="9026"/>
      </w:tabs>
      <w:spacing w:after="480"/>
      <w:jc w:val="center"/>
    </w:pPr>
    <w:rPr>
      <w:color w:val="000000" w:themeColor="text1"/>
      <w:sz w:val="20"/>
    </w:rPr>
  </w:style>
  <w:style w:type="character" w:customStyle="1" w:styleId="SingleParagraphChar">
    <w:name w:val="Single Paragraph Char"/>
    <w:basedOn w:val="DefaultParagraphFont"/>
    <w:link w:val="SingleParagraph"/>
    <w:rsid w:val="00241026"/>
    <w:rPr>
      <w:rFonts w:ascii="Calibri" w:eastAsia="Times New Roman" w:hAnsi="Calibri" w:cs="Times New Roman"/>
      <w:szCs w:val="20"/>
      <w:lang w:eastAsia="en-AU"/>
    </w:rPr>
  </w:style>
  <w:style w:type="paragraph" w:styleId="Title">
    <w:name w:val="Title"/>
    <w:basedOn w:val="Normal"/>
    <w:next w:val="Normal"/>
    <w:link w:val="TitleChar"/>
    <w:uiPriority w:val="10"/>
    <w:qFormat/>
    <w:rsid w:val="00241026"/>
    <w:pPr>
      <w:spacing w:before="0" w:after="300"/>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241026"/>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241026"/>
    <w:pPr>
      <w:numPr>
        <w:ilvl w:val="1"/>
      </w:numPr>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241026"/>
    <w:rPr>
      <w:rFonts w:ascii="Calibri" w:eastAsiaTheme="majorEastAsia" w:hAnsi="Calibri" w:cstheme="majorBidi"/>
      <w:iCs/>
      <w:color w:val="7F7F7F" w:themeColor="text1" w:themeTint="80"/>
      <w:sz w:val="44"/>
      <w:szCs w:val="44"/>
      <w:lang w:eastAsia="en-AU"/>
    </w:rPr>
  </w:style>
  <w:style w:type="character" w:styleId="PlaceholderText">
    <w:name w:val="Placeholder Text"/>
    <w:basedOn w:val="DefaultParagraphFont"/>
    <w:uiPriority w:val="99"/>
    <w:semiHidden/>
    <w:rsid w:val="00241026"/>
    <w:rPr>
      <w:color w:val="808080"/>
    </w:rPr>
  </w:style>
  <w:style w:type="character" w:customStyle="1" w:styleId="ReportDateChar">
    <w:name w:val="Report Date Char"/>
    <w:basedOn w:val="DefaultParagraphFont"/>
    <w:link w:val="ReportDate"/>
    <w:rsid w:val="00241026"/>
    <w:rPr>
      <w:rFonts w:ascii="Calibri" w:eastAsia="Times New Roman" w:hAnsi="Calibri" w:cs="Times New Roman"/>
      <w:color w:val="004A7F"/>
      <w:sz w:val="44"/>
      <w:szCs w:val="20"/>
      <w:lang w:eastAsia="en-AU"/>
    </w:rPr>
  </w:style>
  <w:style w:type="paragraph" w:customStyle="1" w:styleId="Divider">
    <w:name w:val="Divider"/>
    <w:basedOn w:val="ReportDate"/>
    <w:qFormat/>
    <w:rsid w:val="00241026"/>
    <w:pPr>
      <w:spacing w:after="1800"/>
      <w:ind w:right="0"/>
    </w:pPr>
    <w:rPr>
      <w:rFonts w:ascii="Rockwell" w:hAnsi="Rockwell"/>
      <w:sz w:val="24"/>
    </w:rPr>
  </w:style>
  <w:style w:type="character" w:styleId="FootnoteReference">
    <w:name w:val="footnote reference"/>
    <w:basedOn w:val="DefaultParagraphFont"/>
    <w:uiPriority w:val="99"/>
    <w:rsid w:val="00241026"/>
    <w:rPr>
      <w:rFonts w:ascii="Calibri" w:hAnsi="Calibri"/>
      <w:sz w:val="20"/>
      <w:vertAlign w:val="superscript"/>
    </w:rPr>
  </w:style>
  <w:style w:type="paragraph" w:styleId="FootnoteText">
    <w:name w:val="footnote text"/>
    <w:basedOn w:val="Normal"/>
    <w:link w:val="FootnoteTextChar"/>
    <w:uiPriority w:val="99"/>
    <w:rsid w:val="00241026"/>
    <w:pPr>
      <w:spacing w:before="0" w:after="0"/>
    </w:pPr>
    <w:rPr>
      <w:sz w:val="20"/>
    </w:rPr>
  </w:style>
  <w:style w:type="character" w:customStyle="1" w:styleId="FootnoteTextChar">
    <w:name w:val="Footnote Text Char"/>
    <w:basedOn w:val="DefaultParagraphFont"/>
    <w:link w:val="FootnoteText"/>
    <w:uiPriority w:val="99"/>
    <w:rsid w:val="00241026"/>
    <w:rPr>
      <w:rFonts w:ascii="Calibri" w:eastAsia="Times New Roman" w:hAnsi="Calibri" w:cs="Times New Roman"/>
      <w:sz w:val="20"/>
      <w:szCs w:val="20"/>
      <w:lang w:eastAsia="en-AU"/>
    </w:rPr>
  </w:style>
  <w:style w:type="paragraph" w:customStyle="1" w:styleId="Heading3noTOC">
    <w:name w:val="Heading 3 no TOC"/>
    <w:basedOn w:val="Heading3"/>
    <w:qFormat/>
    <w:rsid w:val="00241026"/>
    <w:rPr>
      <w:rFonts w:cs="Calibri"/>
    </w:rPr>
  </w:style>
  <w:style w:type="paragraph" w:styleId="ListParagraph">
    <w:name w:val="List Paragraph"/>
    <w:aliases w:val="List Bullet Cab,CAB - List Bullet,1 heading,Bullet point,Dot point 1.5 line spacing,L,List Paragraph - bullets,List Paragraph1,List Paragraph11,NFP GP Bulleted List,Recommendation,bullet point list,List Paragraph2,FooterText,numbered,列出段落"/>
    <w:basedOn w:val="Normal"/>
    <w:link w:val="ListParagraphChar"/>
    <w:uiPriority w:val="34"/>
    <w:qFormat/>
    <w:rsid w:val="00241026"/>
    <w:pPr>
      <w:ind w:left="720"/>
      <w:contextualSpacing/>
    </w:pPr>
  </w:style>
  <w:style w:type="character" w:customStyle="1" w:styleId="ListParagraphChar">
    <w:name w:val="List Paragraph Char"/>
    <w:aliases w:val="List Bullet Cab Char,CAB - List Bullet Char,1 heading Char,Bullet point Char,Dot point 1.5 line spacing Char,L Char,List Paragraph - bullets Char,List Paragraph1 Char,List Paragraph11 Char,NFP GP Bulleted List Char,FooterText Char"/>
    <w:link w:val="ListParagraph"/>
    <w:uiPriority w:val="34"/>
    <w:locked/>
    <w:rsid w:val="00241026"/>
    <w:rPr>
      <w:rFonts w:ascii="Calibri" w:eastAsia="Times New Roman" w:hAnsi="Calibri" w:cs="Times New Roman"/>
      <w:szCs w:val="20"/>
      <w:lang w:eastAsia="en-AU"/>
    </w:rPr>
  </w:style>
  <w:style w:type="character" w:styleId="CommentReference">
    <w:name w:val="annotation reference"/>
    <w:basedOn w:val="DefaultParagraphFont"/>
    <w:uiPriority w:val="99"/>
    <w:semiHidden/>
    <w:unhideWhenUsed/>
    <w:rsid w:val="00241026"/>
    <w:rPr>
      <w:sz w:val="16"/>
      <w:szCs w:val="16"/>
    </w:rPr>
  </w:style>
  <w:style w:type="paragraph" w:styleId="CommentText">
    <w:name w:val="annotation text"/>
    <w:basedOn w:val="Normal"/>
    <w:link w:val="CommentTextChar"/>
    <w:uiPriority w:val="99"/>
    <w:semiHidden/>
    <w:unhideWhenUsed/>
    <w:rsid w:val="00241026"/>
    <w:rPr>
      <w:sz w:val="20"/>
    </w:rPr>
  </w:style>
  <w:style w:type="character" w:customStyle="1" w:styleId="CommentTextChar">
    <w:name w:val="Comment Text Char"/>
    <w:basedOn w:val="DefaultParagraphFont"/>
    <w:link w:val="CommentText"/>
    <w:uiPriority w:val="99"/>
    <w:semiHidden/>
    <w:rsid w:val="00241026"/>
    <w:rPr>
      <w:rFonts w:ascii="Calibri" w:eastAsia="Times New Roman" w:hAnsi="Calibri" w:cs="Times New Roman"/>
      <w:sz w:val="20"/>
      <w:szCs w:val="20"/>
      <w:lang w:eastAsia="en-AU"/>
    </w:rPr>
  </w:style>
  <w:style w:type="character" w:customStyle="1" w:styleId="BulletChar">
    <w:name w:val="Bullet Char"/>
    <w:aliases w:val="b Char,b Char Char,b + line Char Char"/>
    <w:basedOn w:val="DefaultParagraphFont"/>
    <w:link w:val="Bullet"/>
    <w:rsid w:val="00241026"/>
    <w:rPr>
      <w:rFonts w:ascii="Calibri" w:eastAsia="Times New Roman" w:hAnsi="Calibri" w:cs="Times New Roman"/>
      <w:szCs w:val="20"/>
      <w:lang w:eastAsia="en-AU"/>
    </w:rPr>
  </w:style>
  <w:style w:type="table" w:styleId="LightShading-Accent1">
    <w:name w:val="Light Shading Accent 1"/>
    <w:basedOn w:val="TableNormal"/>
    <w:uiPriority w:val="60"/>
    <w:rsid w:val="0024102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OutlineNumbered1">
    <w:name w:val="Outline Numbered 1"/>
    <w:basedOn w:val="Normal"/>
    <w:rsid w:val="00241026"/>
    <w:pPr>
      <w:numPr>
        <w:numId w:val="20"/>
      </w:numPr>
      <w:spacing w:before="0"/>
    </w:pPr>
  </w:style>
  <w:style w:type="paragraph" w:customStyle="1" w:styleId="OutlineNumbered2">
    <w:name w:val="Outline Numbered 2"/>
    <w:basedOn w:val="Normal"/>
    <w:rsid w:val="00241026"/>
    <w:pPr>
      <w:numPr>
        <w:ilvl w:val="1"/>
        <w:numId w:val="20"/>
      </w:numPr>
      <w:tabs>
        <w:tab w:val="clear" w:pos="1985"/>
        <w:tab w:val="num" w:pos="1844"/>
      </w:tabs>
      <w:spacing w:before="0"/>
      <w:ind w:left="1844"/>
    </w:pPr>
  </w:style>
  <w:style w:type="paragraph" w:customStyle="1" w:styleId="OutlineNumbered3">
    <w:name w:val="Outline Numbered 3"/>
    <w:basedOn w:val="Normal"/>
    <w:rsid w:val="00241026"/>
    <w:pPr>
      <w:numPr>
        <w:ilvl w:val="2"/>
        <w:numId w:val="20"/>
      </w:numPr>
      <w:spacing w:before="0"/>
    </w:pPr>
  </w:style>
  <w:style w:type="numbering" w:customStyle="1" w:styleId="OutlineList">
    <w:name w:val="OutlineList"/>
    <w:uiPriority w:val="99"/>
    <w:rsid w:val="00241026"/>
    <w:pPr>
      <w:numPr>
        <w:numId w:val="10"/>
      </w:numPr>
    </w:pPr>
  </w:style>
  <w:style w:type="table" w:styleId="LightShading-Accent5">
    <w:name w:val="Light Shading Accent 5"/>
    <w:basedOn w:val="TableNormal"/>
    <w:uiPriority w:val="60"/>
    <w:rsid w:val="0024102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BalloonText">
    <w:name w:val="Balloon Text"/>
    <w:basedOn w:val="Normal"/>
    <w:link w:val="BalloonTextChar"/>
    <w:uiPriority w:val="99"/>
    <w:semiHidden/>
    <w:unhideWhenUsed/>
    <w:rsid w:val="0024102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026"/>
    <w:rPr>
      <w:rFonts w:ascii="Tahoma" w:eastAsia="Times New Roman" w:hAnsi="Tahoma" w:cs="Tahoma"/>
      <w:sz w:val="16"/>
      <w:szCs w:val="16"/>
      <w:lang w:eastAsia="en-AU"/>
    </w:rPr>
  </w:style>
  <w:style w:type="character" w:customStyle="1" w:styleId="Heading5Char">
    <w:name w:val="Heading 5 Char"/>
    <w:basedOn w:val="DefaultParagraphFont"/>
    <w:link w:val="Heading5"/>
    <w:rsid w:val="00F93018"/>
    <w:rPr>
      <w:rFonts w:ascii="Calibri" w:eastAsia="Times New Roman" w:hAnsi="Calibri" w:cs="Arial"/>
      <w:b/>
      <w:iCs/>
      <w:color w:val="004A7F"/>
      <w:kern w:val="32"/>
      <w:szCs w:val="36"/>
      <w:lang w:eastAsia="en-AU"/>
    </w:rPr>
  </w:style>
  <w:style w:type="paragraph" w:customStyle="1" w:styleId="DLMSecurityHeader">
    <w:name w:val="DLM Security Header"/>
    <w:link w:val="DLMSecurityHeaderChar"/>
    <w:rsid w:val="00F93018"/>
    <w:pPr>
      <w:spacing w:before="60" w:after="240"/>
      <w:jc w:val="center"/>
    </w:pPr>
    <w:rPr>
      <w:rFonts w:ascii="Calibri" w:eastAsia="Times New Roman" w:hAnsi="Calibri" w:cs="Times New Roman"/>
      <w:b/>
      <w:caps/>
      <w:sz w:val="24"/>
      <w:szCs w:val="20"/>
      <w:lang w:eastAsia="en-AU"/>
    </w:rPr>
  </w:style>
  <w:style w:type="character" w:customStyle="1" w:styleId="DLMSecurityHeaderChar">
    <w:name w:val="DLM Security Header Char"/>
    <w:basedOn w:val="HeaderChar"/>
    <w:link w:val="DLMSecurityHeader"/>
    <w:rsid w:val="00F93018"/>
    <w:rPr>
      <w:rFonts w:ascii="Calibri" w:eastAsia="Times New Roman" w:hAnsi="Calibri" w:cs="Times New Roman"/>
      <w:b/>
      <w:caps/>
      <w:sz w:val="24"/>
      <w:szCs w:val="20"/>
      <w:lang w:eastAsia="en-AU"/>
    </w:rPr>
  </w:style>
  <w:style w:type="paragraph" w:customStyle="1" w:styleId="DLMSecurityFooter">
    <w:name w:val="DLM Security Footer"/>
    <w:link w:val="DLMSecurityFooterChar"/>
    <w:rsid w:val="00F93018"/>
    <w:pPr>
      <w:spacing w:before="240" w:after="60"/>
      <w:jc w:val="center"/>
    </w:pPr>
    <w:rPr>
      <w:rFonts w:ascii="Calibri" w:eastAsia="Times New Roman" w:hAnsi="Calibri" w:cs="Times New Roman"/>
      <w:b/>
      <w:caps/>
      <w:sz w:val="24"/>
      <w:szCs w:val="20"/>
      <w:lang w:eastAsia="en-AU"/>
    </w:rPr>
  </w:style>
  <w:style w:type="character" w:customStyle="1" w:styleId="DLMSecurityFooterChar">
    <w:name w:val="DLM Security Footer Char"/>
    <w:basedOn w:val="HeaderChar"/>
    <w:link w:val="DLMSecurityFooter"/>
    <w:rsid w:val="00F93018"/>
    <w:rPr>
      <w:rFonts w:ascii="Calibri" w:eastAsia="Times New Roman" w:hAnsi="Calibri" w:cs="Times New Roman"/>
      <w:b/>
      <w:caps/>
      <w:sz w:val="24"/>
      <w:szCs w:val="20"/>
      <w:lang w:eastAsia="en-AU"/>
    </w:rPr>
  </w:style>
  <w:style w:type="character" w:customStyle="1" w:styleId="DashChar">
    <w:name w:val="Dash Char"/>
    <w:basedOn w:val="DefaultParagraphFont"/>
    <w:link w:val="Dash"/>
    <w:rsid w:val="00F93018"/>
    <w:rPr>
      <w:rFonts w:ascii="Calibri" w:eastAsia="Times New Roman" w:hAnsi="Calibri" w:cs="Times New Roman"/>
      <w:szCs w:val="20"/>
      <w:lang w:eastAsia="en-AU"/>
    </w:rPr>
  </w:style>
  <w:style w:type="character" w:customStyle="1" w:styleId="Heading5Char1">
    <w:name w:val="Heading 5 Char1"/>
    <w:basedOn w:val="DefaultParagraphFont"/>
    <w:uiPriority w:val="9"/>
    <w:semiHidden/>
    <w:rsid w:val="00F93018"/>
    <w:rPr>
      <w:rFonts w:asciiTheme="majorHAnsi" w:eastAsiaTheme="majorEastAsia" w:hAnsiTheme="majorHAnsi" w:cstheme="majorBidi"/>
      <w:color w:val="243F60" w:themeColor="accent1" w:themeShade="7F"/>
      <w:szCs w:val="20"/>
      <w:lang w:eastAsia="en-AU"/>
    </w:rPr>
  </w:style>
  <w:style w:type="paragraph" w:styleId="CommentSubject">
    <w:name w:val="annotation subject"/>
    <w:basedOn w:val="CommentText"/>
    <w:next w:val="CommentText"/>
    <w:link w:val="CommentSubjectChar"/>
    <w:uiPriority w:val="99"/>
    <w:semiHidden/>
    <w:unhideWhenUsed/>
    <w:rsid w:val="00F93018"/>
    <w:rPr>
      <w:b/>
      <w:bCs/>
    </w:rPr>
  </w:style>
  <w:style w:type="character" w:customStyle="1" w:styleId="CommentSubjectChar">
    <w:name w:val="Comment Subject Char"/>
    <w:basedOn w:val="CommentTextChar"/>
    <w:link w:val="CommentSubject"/>
    <w:uiPriority w:val="99"/>
    <w:semiHidden/>
    <w:rsid w:val="00F93018"/>
    <w:rPr>
      <w:rFonts w:ascii="Calibri" w:eastAsia="Times New Roman" w:hAnsi="Calibri" w:cs="Times New Roman"/>
      <w:b/>
      <w:bCs/>
      <w:sz w:val="20"/>
      <w:szCs w:val="20"/>
      <w:lang w:eastAsia="en-AU"/>
    </w:rPr>
  </w:style>
  <w:style w:type="paragraph" w:styleId="EndnoteText">
    <w:name w:val="endnote text"/>
    <w:basedOn w:val="Normal"/>
    <w:link w:val="EndnoteTextChar"/>
    <w:uiPriority w:val="99"/>
    <w:semiHidden/>
    <w:unhideWhenUsed/>
    <w:rsid w:val="00F93018"/>
    <w:pPr>
      <w:spacing w:before="0" w:after="0"/>
    </w:pPr>
    <w:rPr>
      <w:sz w:val="20"/>
    </w:rPr>
  </w:style>
  <w:style w:type="character" w:customStyle="1" w:styleId="EndnoteTextChar">
    <w:name w:val="Endnote Text Char"/>
    <w:basedOn w:val="DefaultParagraphFont"/>
    <w:link w:val="EndnoteText"/>
    <w:uiPriority w:val="99"/>
    <w:semiHidden/>
    <w:rsid w:val="00F93018"/>
    <w:rPr>
      <w:rFonts w:ascii="Calibri" w:eastAsia="Times New Roman" w:hAnsi="Calibri" w:cs="Times New Roman"/>
      <w:sz w:val="20"/>
      <w:szCs w:val="20"/>
      <w:lang w:eastAsia="en-AU"/>
    </w:rPr>
  </w:style>
  <w:style w:type="character" w:styleId="EndnoteReference">
    <w:name w:val="endnote reference"/>
    <w:basedOn w:val="DefaultParagraphFont"/>
    <w:uiPriority w:val="99"/>
    <w:semiHidden/>
    <w:unhideWhenUsed/>
    <w:rsid w:val="00F93018"/>
    <w:rPr>
      <w:vertAlign w:val="superscript"/>
    </w:rPr>
  </w:style>
  <w:style w:type="paragraph" w:styleId="Revision">
    <w:name w:val="Revision"/>
    <w:hidden/>
    <w:uiPriority w:val="99"/>
    <w:semiHidden/>
    <w:rsid w:val="00F93018"/>
    <w:pPr>
      <w:spacing w:after="0" w:line="240" w:lineRule="auto"/>
    </w:pPr>
    <w:rPr>
      <w:rFonts w:ascii="Calibri" w:eastAsia="Times New Roman" w:hAnsi="Calibri" w:cs="Times New Roman"/>
      <w:szCs w:val="20"/>
      <w:lang w:eastAsia="en-AU"/>
    </w:rPr>
  </w:style>
  <w:style w:type="table" w:styleId="LightList-Accent1">
    <w:name w:val="Light List Accent 1"/>
    <w:basedOn w:val="TableNormal"/>
    <w:uiPriority w:val="61"/>
    <w:rsid w:val="00F9301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efault">
    <w:name w:val="Default"/>
    <w:rsid w:val="003D1DE0"/>
    <w:pPr>
      <w:autoSpaceDE w:val="0"/>
      <w:autoSpaceDN w:val="0"/>
      <w:adjustRightInd w:val="0"/>
      <w:spacing w:after="0" w:line="240" w:lineRule="auto"/>
    </w:pPr>
    <w:rPr>
      <w:rFonts w:ascii="Calibri" w:hAnsi="Calibri" w:cs="Calibri"/>
      <w:color w:val="000000"/>
      <w:sz w:val="24"/>
      <w:szCs w:val="24"/>
    </w:rPr>
  </w:style>
  <w:style w:type="paragraph" w:styleId="PlainText">
    <w:name w:val="Plain Text"/>
    <w:basedOn w:val="Normal"/>
    <w:link w:val="PlainTextChar"/>
    <w:uiPriority w:val="99"/>
    <w:semiHidden/>
    <w:unhideWhenUsed/>
    <w:rsid w:val="006A1986"/>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6A1986"/>
    <w:rPr>
      <w:rFonts w:ascii="Consolas" w:eastAsia="Times New Roman" w:hAnsi="Consolas" w:cs="Times New Roman"/>
      <w:sz w:val="21"/>
      <w:szCs w:val="21"/>
      <w:lang w:eastAsia="en-AU"/>
    </w:rPr>
  </w:style>
  <w:style w:type="paragraph" w:styleId="NormalWeb">
    <w:name w:val="Normal (Web)"/>
    <w:basedOn w:val="Normal"/>
    <w:uiPriority w:val="99"/>
    <w:semiHidden/>
    <w:unhideWhenUsed/>
    <w:rsid w:val="001644F8"/>
    <w:pPr>
      <w:spacing w:before="100" w:beforeAutospacing="1" w:after="100" w:afterAutospacing="1"/>
    </w:pPr>
    <w:rPr>
      <w:rFonts w:ascii="Times New Roman" w:hAnsi="Times New Roman"/>
      <w:sz w:val="24"/>
      <w:szCs w:val="24"/>
    </w:rPr>
  </w:style>
  <w:style w:type="paragraph" w:customStyle="1" w:styleId="HeadingBase">
    <w:name w:val="Heading Base"/>
    <w:qFormat/>
    <w:rsid w:val="009E7E4B"/>
    <w:pPr>
      <w:keepNext/>
      <w:spacing w:after="120" w:line="240" w:lineRule="auto"/>
    </w:pPr>
    <w:rPr>
      <w:rFonts w:ascii="Calibri" w:eastAsia="Times New Roman" w:hAnsi="Calibri" w:cs="Arial"/>
      <w:bCs/>
      <w:color w:val="004A7F"/>
      <w:kern w:val="32"/>
      <w:szCs w:val="36"/>
      <w:lang w:eastAsia="en-AU"/>
    </w:rPr>
  </w:style>
  <w:style w:type="paragraph" w:styleId="TOC3">
    <w:name w:val="toc 3"/>
    <w:basedOn w:val="Normal"/>
    <w:next w:val="Normal"/>
    <w:autoRedefine/>
    <w:uiPriority w:val="39"/>
    <w:unhideWhenUsed/>
    <w:rsid w:val="009E303A"/>
    <w:pPr>
      <w:spacing w:after="100"/>
      <w:ind w:left="440"/>
    </w:pPr>
  </w:style>
  <w:style w:type="paragraph" w:customStyle="1" w:styleId="SinglePara">
    <w:name w:val="Single Para"/>
    <w:basedOn w:val="Normal"/>
    <w:rsid w:val="0005355A"/>
    <w:pPr>
      <w:spacing w:before="0" w:after="0"/>
    </w:pPr>
    <w:rPr>
      <w:rFonts w:ascii="Times New Roman" w:hAnsi="Times New Roman"/>
      <w:sz w:val="24"/>
    </w:rPr>
  </w:style>
  <w:style w:type="character" w:styleId="Strong">
    <w:name w:val="Strong"/>
    <w:basedOn w:val="DefaultParagraphFont"/>
    <w:uiPriority w:val="22"/>
    <w:qFormat/>
    <w:rsid w:val="00226CCA"/>
    <w:rPr>
      <w:b/>
      <w:bCs/>
    </w:rPr>
  </w:style>
  <w:style w:type="character" w:styleId="SubtleEmphasis">
    <w:name w:val="Subtle Emphasis"/>
    <w:basedOn w:val="DefaultParagraphFont"/>
    <w:uiPriority w:val="19"/>
    <w:qFormat/>
    <w:rsid w:val="008D4B46"/>
    <w:rPr>
      <w:i/>
      <w:iCs/>
      <w:color w:val="808080" w:themeColor="text1" w:themeTint="7F"/>
    </w:rPr>
  </w:style>
  <w:style w:type="character" w:styleId="FollowedHyperlink">
    <w:name w:val="FollowedHyperlink"/>
    <w:basedOn w:val="DefaultParagraphFont"/>
    <w:uiPriority w:val="99"/>
    <w:semiHidden/>
    <w:unhideWhenUsed/>
    <w:rsid w:val="0087365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026"/>
    <w:pPr>
      <w:spacing w:before="120" w:after="120" w:line="240" w:lineRule="auto"/>
    </w:pPr>
    <w:rPr>
      <w:rFonts w:ascii="Calibri" w:eastAsia="Times New Roman" w:hAnsi="Calibri" w:cs="Times New Roman"/>
      <w:szCs w:val="20"/>
      <w:lang w:eastAsia="en-AU"/>
    </w:rPr>
  </w:style>
  <w:style w:type="paragraph" w:styleId="Heading1">
    <w:name w:val="heading 1"/>
    <w:basedOn w:val="Normal"/>
    <w:next w:val="Normal"/>
    <w:link w:val="Heading1Char"/>
    <w:qFormat/>
    <w:rsid w:val="00241026"/>
    <w:pPr>
      <w:keepNext/>
      <w:spacing w:before="480"/>
      <w:outlineLvl w:val="0"/>
    </w:pPr>
    <w:rPr>
      <w:rFonts w:cs="Arial"/>
      <w:color w:val="004A7F"/>
      <w:kern w:val="32"/>
      <w:sz w:val="48"/>
      <w:szCs w:val="36"/>
    </w:rPr>
  </w:style>
  <w:style w:type="paragraph" w:styleId="Heading2">
    <w:name w:val="heading 2"/>
    <w:basedOn w:val="Normal"/>
    <w:next w:val="Normal"/>
    <w:link w:val="Heading2Char"/>
    <w:qFormat/>
    <w:rsid w:val="00241026"/>
    <w:pPr>
      <w:keepNext/>
      <w:spacing w:before="360"/>
      <w:outlineLvl w:val="1"/>
    </w:pPr>
    <w:rPr>
      <w:rFonts w:cs="Arial"/>
      <w:iCs/>
      <w:color w:val="004A7F"/>
      <w:kern w:val="32"/>
      <w:sz w:val="36"/>
      <w:szCs w:val="28"/>
    </w:rPr>
  </w:style>
  <w:style w:type="paragraph" w:styleId="Heading3">
    <w:name w:val="heading 3"/>
    <w:basedOn w:val="Normal"/>
    <w:next w:val="Normal"/>
    <w:link w:val="Heading3Char"/>
    <w:qFormat/>
    <w:rsid w:val="00241026"/>
    <w:pPr>
      <w:keepNext/>
      <w:spacing w:before="240"/>
      <w:outlineLvl w:val="2"/>
    </w:pPr>
    <w:rPr>
      <w:rFonts w:cs="Arial"/>
      <w:color w:val="7F7F7F"/>
      <w:kern w:val="32"/>
      <w:sz w:val="28"/>
      <w:szCs w:val="26"/>
    </w:rPr>
  </w:style>
  <w:style w:type="paragraph" w:styleId="Heading4">
    <w:name w:val="heading 4"/>
    <w:basedOn w:val="Normal"/>
    <w:next w:val="Normal"/>
    <w:link w:val="Heading4Char"/>
    <w:qFormat/>
    <w:rsid w:val="00241026"/>
    <w:pPr>
      <w:keepNext/>
      <w:spacing w:before="0"/>
      <w:outlineLvl w:val="3"/>
    </w:pPr>
    <w:rPr>
      <w:rFonts w:cs="Arial"/>
      <w:color w:val="336E98"/>
      <w:kern w:val="32"/>
      <w:sz w:val="26"/>
      <w:szCs w:val="26"/>
    </w:rPr>
  </w:style>
  <w:style w:type="paragraph" w:styleId="Heading5">
    <w:name w:val="heading 5"/>
    <w:basedOn w:val="Normal"/>
    <w:next w:val="Normal"/>
    <w:link w:val="Heading5Char"/>
    <w:unhideWhenUsed/>
    <w:qFormat/>
    <w:rsid w:val="00F93018"/>
    <w:pPr>
      <w:keepNext/>
      <w:keepLines/>
      <w:spacing w:before="200" w:after="0"/>
      <w:outlineLvl w:val="4"/>
    </w:pPr>
    <w:rPr>
      <w:rFonts w:cs="Arial"/>
      <w:b/>
      <w:iCs/>
      <w:color w:val="004A7F"/>
      <w:kern w:val="3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1026"/>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241026"/>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241026"/>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241026"/>
    <w:rPr>
      <w:rFonts w:ascii="Calibri" w:eastAsia="Times New Roman" w:hAnsi="Calibri" w:cs="Arial"/>
      <w:color w:val="336E98"/>
      <w:kern w:val="32"/>
      <w:sz w:val="26"/>
      <w:szCs w:val="26"/>
      <w:lang w:eastAsia="en-AU"/>
    </w:rPr>
  </w:style>
  <w:style w:type="paragraph" w:styleId="Header">
    <w:name w:val="header"/>
    <w:basedOn w:val="Normal"/>
    <w:link w:val="HeaderChar"/>
    <w:uiPriority w:val="99"/>
    <w:unhideWhenUsed/>
    <w:rsid w:val="00241026"/>
    <w:pPr>
      <w:tabs>
        <w:tab w:val="center" w:pos="4513"/>
        <w:tab w:val="right" w:pos="9026"/>
      </w:tabs>
      <w:spacing w:after="0"/>
    </w:pPr>
  </w:style>
  <w:style w:type="character" w:customStyle="1" w:styleId="HeaderChar">
    <w:name w:val="Header Char"/>
    <w:basedOn w:val="DefaultParagraphFont"/>
    <w:link w:val="Header"/>
    <w:uiPriority w:val="99"/>
    <w:rsid w:val="00241026"/>
    <w:rPr>
      <w:rFonts w:ascii="Calibri" w:eastAsia="Times New Roman" w:hAnsi="Calibri" w:cs="Times New Roman"/>
      <w:szCs w:val="20"/>
      <w:lang w:eastAsia="en-AU"/>
    </w:rPr>
  </w:style>
  <w:style w:type="paragraph" w:styleId="Footer">
    <w:name w:val="footer"/>
    <w:basedOn w:val="Normal"/>
    <w:link w:val="FooterChar"/>
    <w:unhideWhenUsed/>
    <w:rsid w:val="00241026"/>
    <w:pPr>
      <w:tabs>
        <w:tab w:val="center" w:pos="4513"/>
        <w:tab w:val="right" w:pos="9026"/>
      </w:tabs>
      <w:spacing w:after="0"/>
    </w:pPr>
  </w:style>
  <w:style w:type="character" w:customStyle="1" w:styleId="FooterChar">
    <w:name w:val="Footer Char"/>
    <w:basedOn w:val="DefaultParagraphFont"/>
    <w:link w:val="Footer"/>
    <w:rsid w:val="00241026"/>
    <w:rPr>
      <w:rFonts w:ascii="Calibri" w:eastAsia="Times New Roman" w:hAnsi="Calibri" w:cs="Times New Roman"/>
      <w:szCs w:val="20"/>
      <w:lang w:eastAsia="en-AU"/>
    </w:rPr>
  </w:style>
  <w:style w:type="paragraph" w:customStyle="1" w:styleId="SecurityClassificationHeader">
    <w:name w:val="Security Classification Header"/>
    <w:link w:val="SecurityClassificationHeaderChar"/>
    <w:rsid w:val="00241026"/>
    <w:pPr>
      <w:spacing w:before="240" w:after="60"/>
      <w:jc w:val="center"/>
    </w:pPr>
    <w:rPr>
      <w:rFonts w:ascii="Calibri" w:eastAsia="Times New Roman" w:hAnsi="Calibri" w:cs="Times New Roman"/>
      <w:b/>
      <w:caps/>
      <w:sz w:val="24"/>
      <w:szCs w:val="20"/>
      <w:lang w:eastAsia="en-AU"/>
    </w:rPr>
  </w:style>
  <w:style w:type="character" w:customStyle="1" w:styleId="SecurityClassificationHeaderChar">
    <w:name w:val="Security Classification Header Char"/>
    <w:basedOn w:val="HeaderChar"/>
    <w:link w:val="SecurityClassificationHeader"/>
    <w:rsid w:val="00241026"/>
    <w:rPr>
      <w:rFonts w:ascii="Calibri" w:eastAsia="Times New Roman" w:hAnsi="Calibri" w:cs="Times New Roman"/>
      <w:b/>
      <w:caps/>
      <w:sz w:val="24"/>
      <w:szCs w:val="20"/>
      <w:lang w:eastAsia="en-AU"/>
    </w:rPr>
  </w:style>
  <w:style w:type="paragraph" w:customStyle="1" w:styleId="SecurityClassificationFooter">
    <w:name w:val="Security Classification Footer"/>
    <w:link w:val="SecurityClassificationFooterChar"/>
    <w:rsid w:val="00241026"/>
    <w:pPr>
      <w:spacing w:before="60" w:after="240"/>
      <w:jc w:val="center"/>
    </w:pPr>
    <w:rPr>
      <w:rFonts w:ascii="Calibri" w:eastAsia="Times New Roman" w:hAnsi="Calibri" w:cs="Times New Roman"/>
      <w:b/>
      <w:caps/>
      <w:sz w:val="24"/>
      <w:szCs w:val="20"/>
      <w:lang w:eastAsia="en-AU"/>
    </w:rPr>
  </w:style>
  <w:style w:type="character" w:customStyle="1" w:styleId="SecurityClassificationFooterChar">
    <w:name w:val="Security Classification Footer Char"/>
    <w:basedOn w:val="HeaderChar"/>
    <w:link w:val="SecurityClassificationFooter"/>
    <w:rsid w:val="00241026"/>
    <w:rPr>
      <w:rFonts w:ascii="Calibri" w:eastAsia="Times New Roman" w:hAnsi="Calibri" w:cs="Times New Roman"/>
      <w:b/>
      <w:caps/>
      <w:sz w:val="24"/>
      <w:szCs w:val="20"/>
      <w:lang w:eastAsia="en-AU"/>
    </w:rPr>
  </w:style>
  <w:style w:type="paragraph" w:customStyle="1" w:styleId="ChartGraphic">
    <w:name w:val="Chart Graphic"/>
    <w:basedOn w:val="Normal"/>
    <w:next w:val="Normal"/>
    <w:rsid w:val="00241026"/>
    <w:pPr>
      <w:keepNext/>
      <w:numPr>
        <w:ilvl w:val="2"/>
        <w:numId w:val="8"/>
      </w:numPr>
      <w:tabs>
        <w:tab w:val="clear" w:pos="1560"/>
      </w:tabs>
      <w:spacing w:before="0" w:after="0"/>
      <w:ind w:left="0" w:firstLine="0"/>
      <w:jc w:val="center"/>
    </w:pPr>
    <w:rPr>
      <w:color w:val="004A7F"/>
      <w:sz w:val="20"/>
    </w:rPr>
  </w:style>
  <w:style w:type="paragraph" w:customStyle="1" w:styleId="BoxHeading">
    <w:name w:val="Box Heading"/>
    <w:basedOn w:val="Normal"/>
    <w:next w:val="Normal"/>
    <w:rsid w:val="00241026"/>
    <w:pPr>
      <w:keepNext/>
      <w:spacing w:before="240"/>
    </w:pPr>
    <w:rPr>
      <w:b/>
      <w:color w:val="004A7F"/>
      <w:sz w:val="26"/>
      <w:szCs w:val="26"/>
    </w:rPr>
  </w:style>
  <w:style w:type="paragraph" w:customStyle="1" w:styleId="BoxText">
    <w:name w:val="Box Text"/>
    <w:basedOn w:val="Normal"/>
    <w:rsid w:val="00241026"/>
  </w:style>
  <w:style w:type="paragraph" w:customStyle="1" w:styleId="Bullet">
    <w:name w:val="Bullet"/>
    <w:aliases w:val="Body,Bullet + line,b,b + line,b1,level 1"/>
    <w:basedOn w:val="Normal"/>
    <w:link w:val="BulletChar"/>
    <w:qFormat/>
    <w:rsid w:val="00241026"/>
    <w:pPr>
      <w:numPr>
        <w:numId w:val="1"/>
      </w:numPr>
      <w:spacing w:before="0"/>
    </w:pPr>
  </w:style>
  <w:style w:type="paragraph" w:customStyle="1" w:styleId="ReportDate">
    <w:name w:val="Report Date"/>
    <w:basedOn w:val="Normal"/>
    <w:link w:val="ReportDateChar"/>
    <w:rsid w:val="00241026"/>
    <w:pPr>
      <w:keepNext/>
      <w:spacing w:before="0" w:after="360"/>
      <w:ind w:right="139"/>
      <w:jc w:val="right"/>
    </w:pPr>
    <w:rPr>
      <w:color w:val="004A7F"/>
      <w:sz w:val="44"/>
    </w:rPr>
  </w:style>
  <w:style w:type="paragraph" w:customStyle="1" w:styleId="Dash">
    <w:name w:val="Dash"/>
    <w:basedOn w:val="Normal"/>
    <w:link w:val="DashChar"/>
    <w:qFormat/>
    <w:rsid w:val="00241026"/>
    <w:pPr>
      <w:numPr>
        <w:ilvl w:val="1"/>
        <w:numId w:val="1"/>
      </w:numPr>
      <w:spacing w:before="0"/>
      <w:ind w:left="568"/>
    </w:pPr>
  </w:style>
  <w:style w:type="paragraph" w:customStyle="1" w:styleId="DoubleDot">
    <w:name w:val="Double Dot"/>
    <w:basedOn w:val="Normal"/>
    <w:qFormat/>
    <w:rsid w:val="00241026"/>
    <w:pPr>
      <w:numPr>
        <w:ilvl w:val="2"/>
        <w:numId w:val="1"/>
      </w:numPr>
      <w:spacing w:before="0"/>
      <w:ind w:left="851" w:hanging="284"/>
    </w:pPr>
  </w:style>
  <w:style w:type="character" w:styleId="Hyperlink">
    <w:name w:val="Hyperlink"/>
    <w:basedOn w:val="DefaultParagraphFont"/>
    <w:uiPriority w:val="99"/>
    <w:rsid w:val="00241026"/>
    <w:rPr>
      <w:color w:val="004A7F"/>
      <w:u w:val="none"/>
    </w:rPr>
  </w:style>
  <w:style w:type="paragraph" w:customStyle="1" w:styleId="SingleParagraph">
    <w:name w:val="Single Paragraph"/>
    <w:basedOn w:val="Normal"/>
    <w:link w:val="SingleParagraphChar"/>
    <w:rsid w:val="00241026"/>
    <w:pPr>
      <w:spacing w:before="0" w:after="0"/>
    </w:pPr>
  </w:style>
  <w:style w:type="table" w:styleId="TableGrid">
    <w:name w:val="Table Grid"/>
    <w:basedOn w:val="TableNormal"/>
    <w:uiPriority w:val="39"/>
    <w:rsid w:val="00241026"/>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styleId="TOC1">
    <w:name w:val="toc 1"/>
    <w:basedOn w:val="Normal"/>
    <w:next w:val="Normal"/>
    <w:uiPriority w:val="39"/>
    <w:qFormat/>
    <w:rsid w:val="00241026"/>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241026"/>
    <w:pPr>
      <w:keepNext/>
      <w:tabs>
        <w:tab w:val="right" w:leader="dot" w:pos="9072"/>
      </w:tabs>
      <w:spacing w:before="40" w:after="20"/>
      <w:ind w:right="-2"/>
    </w:pPr>
    <w:rPr>
      <w:noProof/>
      <w:color w:val="004A7F"/>
    </w:rPr>
  </w:style>
  <w:style w:type="numbering" w:customStyle="1" w:styleId="BulletedList">
    <w:name w:val="Bulleted List"/>
    <w:uiPriority w:val="99"/>
    <w:rsid w:val="00241026"/>
    <w:pPr>
      <w:numPr>
        <w:numId w:val="1"/>
      </w:numPr>
    </w:pPr>
  </w:style>
  <w:style w:type="paragraph" w:customStyle="1" w:styleId="Crest">
    <w:name w:val="Crest"/>
    <w:basedOn w:val="Header"/>
    <w:rsid w:val="00241026"/>
    <w:pPr>
      <w:keepNext/>
      <w:tabs>
        <w:tab w:val="clear" w:pos="4513"/>
        <w:tab w:val="clear" w:pos="9026"/>
      </w:tabs>
      <w:spacing w:after="480"/>
      <w:jc w:val="center"/>
    </w:pPr>
    <w:rPr>
      <w:color w:val="000000" w:themeColor="text1"/>
      <w:sz w:val="20"/>
    </w:rPr>
  </w:style>
  <w:style w:type="character" w:customStyle="1" w:styleId="SingleParagraphChar">
    <w:name w:val="Single Paragraph Char"/>
    <w:basedOn w:val="DefaultParagraphFont"/>
    <w:link w:val="SingleParagraph"/>
    <w:rsid w:val="00241026"/>
    <w:rPr>
      <w:rFonts w:ascii="Calibri" w:eastAsia="Times New Roman" w:hAnsi="Calibri" w:cs="Times New Roman"/>
      <w:szCs w:val="20"/>
      <w:lang w:eastAsia="en-AU"/>
    </w:rPr>
  </w:style>
  <w:style w:type="paragraph" w:styleId="Title">
    <w:name w:val="Title"/>
    <w:basedOn w:val="Normal"/>
    <w:next w:val="Normal"/>
    <w:link w:val="TitleChar"/>
    <w:uiPriority w:val="10"/>
    <w:qFormat/>
    <w:rsid w:val="00241026"/>
    <w:pPr>
      <w:spacing w:before="0" w:after="300"/>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241026"/>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241026"/>
    <w:pPr>
      <w:numPr>
        <w:ilvl w:val="1"/>
      </w:numPr>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241026"/>
    <w:rPr>
      <w:rFonts w:ascii="Calibri" w:eastAsiaTheme="majorEastAsia" w:hAnsi="Calibri" w:cstheme="majorBidi"/>
      <w:iCs/>
      <w:color w:val="7F7F7F" w:themeColor="text1" w:themeTint="80"/>
      <w:sz w:val="44"/>
      <w:szCs w:val="44"/>
      <w:lang w:eastAsia="en-AU"/>
    </w:rPr>
  </w:style>
  <w:style w:type="character" w:styleId="PlaceholderText">
    <w:name w:val="Placeholder Text"/>
    <w:basedOn w:val="DefaultParagraphFont"/>
    <w:uiPriority w:val="99"/>
    <w:semiHidden/>
    <w:rsid w:val="00241026"/>
    <w:rPr>
      <w:color w:val="808080"/>
    </w:rPr>
  </w:style>
  <w:style w:type="character" w:customStyle="1" w:styleId="ReportDateChar">
    <w:name w:val="Report Date Char"/>
    <w:basedOn w:val="DefaultParagraphFont"/>
    <w:link w:val="ReportDate"/>
    <w:rsid w:val="00241026"/>
    <w:rPr>
      <w:rFonts w:ascii="Calibri" w:eastAsia="Times New Roman" w:hAnsi="Calibri" w:cs="Times New Roman"/>
      <w:color w:val="004A7F"/>
      <w:sz w:val="44"/>
      <w:szCs w:val="20"/>
      <w:lang w:eastAsia="en-AU"/>
    </w:rPr>
  </w:style>
  <w:style w:type="paragraph" w:customStyle="1" w:styleId="Divider">
    <w:name w:val="Divider"/>
    <w:basedOn w:val="ReportDate"/>
    <w:qFormat/>
    <w:rsid w:val="00241026"/>
    <w:pPr>
      <w:spacing w:after="1800"/>
      <w:ind w:right="0"/>
    </w:pPr>
    <w:rPr>
      <w:rFonts w:ascii="Rockwell" w:hAnsi="Rockwell"/>
      <w:sz w:val="24"/>
    </w:rPr>
  </w:style>
  <w:style w:type="character" w:styleId="FootnoteReference">
    <w:name w:val="footnote reference"/>
    <w:basedOn w:val="DefaultParagraphFont"/>
    <w:uiPriority w:val="99"/>
    <w:rsid w:val="00241026"/>
    <w:rPr>
      <w:rFonts w:ascii="Calibri" w:hAnsi="Calibri"/>
      <w:sz w:val="20"/>
      <w:vertAlign w:val="superscript"/>
    </w:rPr>
  </w:style>
  <w:style w:type="paragraph" w:styleId="FootnoteText">
    <w:name w:val="footnote text"/>
    <w:basedOn w:val="Normal"/>
    <w:link w:val="FootnoteTextChar"/>
    <w:uiPriority w:val="99"/>
    <w:rsid w:val="00241026"/>
    <w:pPr>
      <w:spacing w:before="0" w:after="0"/>
    </w:pPr>
    <w:rPr>
      <w:sz w:val="20"/>
    </w:rPr>
  </w:style>
  <w:style w:type="character" w:customStyle="1" w:styleId="FootnoteTextChar">
    <w:name w:val="Footnote Text Char"/>
    <w:basedOn w:val="DefaultParagraphFont"/>
    <w:link w:val="FootnoteText"/>
    <w:uiPriority w:val="99"/>
    <w:rsid w:val="00241026"/>
    <w:rPr>
      <w:rFonts w:ascii="Calibri" w:eastAsia="Times New Roman" w:hAnsi="Calibri" w:cs="Times New Roman"/>
      <w:sz w:val="20"/>
      <w:szCs w:val="20"/>
      <w:lang w:eastAsia="en-AU"/>
    </w:rPr>
  </w:style>
  <w:style w:type="paragraph" w:customStyle="1" w:styleId="Heading3noTOC">
    <w:name w:val="Heading 3 no TOC"/>
    <w:basedOn w:val="Heading3"/>
    <w:qFormat/>
    <w:rsid w:val="00241026"/>
    <w:rPr>
      <w:rFonts w:cs="Calibri"/>
    </w:rPr>
  </w:style>
  <w:style w:type="paragraph" w:styleId="ListParagraph">
    <w:name w:val="List Paragraph"/>
    <w:aliases w:val="List Bullet Cab,CAB - List Bullet,1 heading,Bullet point,Dot point 1.5 line spacing,L,List Paragraph - bullets,List Paragraph1,List Paragraph11,NFP GP Bulleted List,Recommendation,bullet point list,List Paragraph2,FooterText,numbered,列出段落"/>
    <w:basedOn w:val="Normal"/>
    <w:link w:val="ListParagraphChar"/>
    <w:uiPriority w:val="34"/>
    <w:qFormat/>
    <w:rsid w:val="00241026"/>
    <w:pPr>
      <w:ind w:left="720"/>
      <w:contextualSpacing/>
    </w:pPr>
  </w:style>
  <w:style w:type="character" w:customStyle="1" w:styleId="ListParagraphChar">
    <w:name w:val="List Paragraph Char"/>
    <w:aliases w:val="List Bullet Cab Char,CAB - List Bullet Char,1 heading Char,Bullet point Char,Dot point 1.5 line spacing Char,L Char,List Paragraph - bullets Char,List Paragraph1 Char,List Paragraph11 Char,NFP GP Bulleted List Char,FooterText Char"/>
    <w:link w:val="ListParagraph"/>
    <w:uiPriority w:val="34"/>
    <w:locked/>
    <w:rsid w:val="00241026"/>
    <w:rPr>
      <w:rFonts w:ascii="Calibri" w:eastAsia="Times New Roman" w:hAnsi="Calibri" w:cs="Times New Roman"/>
      <w:szCs w:val="20"/>
      <w:lang w:eastAsia="en-AU"/>
    </w:rPr>
  </w:style>
  <w:style w:type="character" w:styleId="CommentReference">
    <w:name w:val="annotation reference"/>
    <w:basedOn w:val="DefaultParagraphFont"/>
    <w:uiPriority w:val="99"/>
    <w:semiHidden/>
    <w:unhideWhenUsed/>
    <w:rsid w:val="00241026"/>
    <w:rPr>
      <w:sz w:val="16"/>
      <w:szCs w:val="16"/>
    </w:rPr>
  </w:style>
  <w:style w:type="paragraph" w:styleId="CommentText">
    <w:name w:val="annotation text"/>
    <w:basedOn w:val="Normal"/>
    <w:link w:val="CommentTextChar"/>
    <w:uiPriority w:val="99"/>
    <w:semiHidden/>
    <w:unhideWhenUsed/>
    <w:rsid w:val="00241026"/>
    <w:rPr>
      <w:sz w:val="20"/>
    </w:rPr>
  </w:style>
  <w:style w:type="character" w:customStyle="1" w:styleId="CommentTextChar">
    <w:name w:val="Comment Text Char"/>
    <w:basedOn w:val="DefaultParagraphFont"/>
    <w:link w:val="CommentText"/>
    <w:uiPriority w:val="99"/>
    <w:semiHidden/>
    <w:rsid w:val="00241026"/>
    <w:rPr>
      <w:rFonts w:ascii="Calibri" w:eastAsia="Times New Roman" w:hAnsi="Calibri" w:cs="Times New Roman"/>
      <w:sz w:val="20"/>
      <w:szCs w:val="20"/>
      <w:lang w:eastAsia="en-AU"/>
    </w:rPr>
  </w:style>
  <w:style w:type="character" w:customStyle="1" w:styleId="BulletChar">
    <w:name w:val="Bullet Char"/>
    <w:aliases w:val="b Char,b Char Char,b + line Char Char"/>
    <w:basedOn w:val="DefaultParagraphFont"/>
    <w:link w:val="Bullet"/>
    <w:rsid w:val="00241026"/>
    <w:rPr>
      <w:rFonts w:ascii="Calibri" w:eastAsia="Times New Roman" w:hAnsi="Calibri" w:cs="Times New Roman"/>
      <w:szCs w:val="20"/>
      <w:lang w:eastAsia="en-AU"/>
    </w:rPr>
  </w:style>
  <w:style w:type="table" w:styleId="LightShading-Accent1">
    <w:name w:val="Light Shading Accent 1"/>
    <w:basedOn w:val="TableNormal"/>
    <w:uiPriority w:val="60"/>
    <w:rsid w:val="0024102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OutlineNumbered1">
    <w:name w:val="Outline Numbered 1"/>
    <w:basedOn w:val="Normal"/>
    <w:rsid w:val="00241026"/>
    <w:pPr>
      <w:numPr>
        <w:numId w:val="20"/>
      </w:numPr>
      <w:spacing w:before="0"/>
    </w:pPr>
  </w:style>
  <w:style w:type="paragraph" w:customStyle="1" w:styleId="OutlineNumbered2">
    <w:name w:val="Outline Numbered 2"/>
    <w:basedOn w:val="Normal"/>
    <w:rsid w:val="00241026"/>
    <w:pPr>
      <w:numPr>
        <w:ilvl w:val="1"/>
        <w:numId w:val="20"/>
      </w:numPr>
      <w:tabs>
        <w:tab w:val="clear" w:pos="1985"/>
        <w:tab w:val="num" w:pos="1844"/>
      </w:tabs>
      <w:spacing w:before="0"/>
      <w:ind w:left="1844"/>
    </w:pPr>
  </w:style>
  <w:style w:type="paragraph" w:customStyle="1" w:styleId="OutlineNumbered3">
    <w:name w:val="Outline Numbered 3"/>
    <w:basedOn w:val="Normal"/>
    <w:rsid w:val="00241026"/>
    <w:pPr>
      <w:numPr>
        <w:ilvl w:val="2"/>
        <w:numId w:val="20"/>
      </w:numPr>
      <w:spacing w:before="0"/>
    </w:pPr>
  </w:style>
  <w:style w:type="numbering" w:customStyle="1" w:styleId="OutlineList">
    <w:name w:val="OutlineList"/>
    <w:uiPriority w:val="99"/>
    <w:rsid w:val="00241026"/>
    <w:pPr>
      <w:numPr>
        <w:numId w:val="10"/>
      </w:numPr>
    </w:pPr>
  </w:style>
  <w:style w:type="table" w:styleId="LightShading-Accent5">
    <w:name w:val="Light Shading Accent 5"/>
    <w:basedOn w:val="TableNormal"/>
    <w:uiPriority w:val="60"/>
    <w:rsid w:val="0024102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BalloonText">
    <w:name w:val="Balloon Text"/>
    <w:basedOn w:val="Normal"/>
    <w:link w:val="BalloonTextChar"/>
    <w:uiPriority w:val="99"/>
    <w:semiHidden/>
    <w:unhideWhenUsed/>
    <w:rsid w:val="0024102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026"/>
    <w:rPr>
      <w:rFonts w:ascii="Tahoma" w:eastAsia="Times New Roman" w:hAnsi="Tahoma" w:cs="Tahoma"/>
      <w:sz w:val="16"/>
      <w:szCs w:val="16"/>
      <w:lang w:eastAsia="en-AU"/>
    </w:rPr>
  </w:style>
  <w:style w:type="character" w:customStyle="1" w:styleId="Heading5Char">
    <w:name w:val="Heading 5 Char"/>
    <w:basedOn w:val="DefaultParagraphFont"/>
    <w:link w:val="Heading5"/>
    <w:rsid w:val="00F93018"/>
    <w:rPr>
      <w:rFonts w:ascii="Calibri" w:eastAsia="Times New Roman" w:hAnsi="Calibri" w:cs="Arial"/>
      <w:b/>
      <w:iCs/>
      <w:color w:val="004A7F"/>
      <w:kern w:val="32"/>
      <w:szCs w:val="36"/>
      <w:lang w:eastAsia="en-AU"/>
    </w:rPr>
  </w:style>
  <w:style w:type="paragraph" w:customStyle="1" w:styleId="DLMSecurityHeader">
    <w:name w:val="DLM Security Header"/>
    <w:link w:val="DLMSecurityHeaderChar"/>
    <w:rsid w:val="00F93018"/>
    <w:pPr>
      <w:spacing w:before="60" w:after="240"/>
      <w:jc w:val="center"/>
    </w:pPr>
    <w:rPr>
      <w:rFonts w:ascii="Calibri" w:eastAsia="Times New Roman" w:hAnsi="Calibri" w:cs="Times New Roman"/>
      <w:b/>
      <w:caps/>
      <w:sz w:val="24"/>
      <w:szCs w:val="20"/>
      <w:lang w:eastAsia="en-AU"/>
    </w:rPr>
  </w:style>
  <w:style w:type="character" w:customStyle="1" w:styleId="DLMSecurityHeaderChar">
    <w:name w:val="DLM Security Header Char"/>
    <w:basedOn w:val="HeaderChar"/>
    <w:link w:val="DLMSecurityHeader"/>
    <w:rsid w:val="00F93018"/>
    <w:rPr>
      <w:rFonts w:ascii="Calibri" w:eastAsia="Times New Roman" w:hAnsi="Calibri" w:cs="Times New Roman"/>
      <w:b/>
      <w:caps/>
      <w:sz w:val="24"/>
      <w:szCs w:val="20"/>
      <w:lang w:eastAsia="en-AU"/>
    </w:rPr>
  </w:style>
  <w:style w:type="paragraph" w:customStyle="1" w:styleId="DLMSecurityFooter">
    <w:name w:val="DLM Security Footer"/>
    <w:link w:val="DLMSecurityFooterChar"/>
    <w:rsid w:val="00F93018"/>
    <w:pPr>
      <w:spacing w:before="240" w:after="60"/>
      <w:jc w:val="center"/>
    </w:pPr>
    <w:rPr>
      <w:rFonts w:ascii="Calibri" w:eastAsia="Times New Roman" w:hAnsi="Calibri" w:cs="Times New Roman"/>
      <w:b/>
      <w:caps/>
      <w:sz w:val="24"/>
      <w:szCs w:val="20"/>
      <w:lang w:eastAsia="en-AU"/>
    </w:rPr>
  </w:style>
  <w:style w:type="character" w:customStyle="1" w:styleId="DLMSecurityFooterChar">
    <w:name w:val="DLM Security Footer Char"/>
    <w:basedOn w:val="HeaderChar"/>
    <w:link w:val="DLMSecurityFooter"/>
    <w:rsid w:val="00F93018"/>
    <w:rPr>
      <w:rFonts w:ascii="Calibri" w:eastAsia="Times New Roman" w:hAnsi="Calibri" w:cs="Times New Roman"/>
      <w:b/>
      <w:caps/>
      <w:sz w:val="24"/>
      <w:szCs w:val="20"/>
      <w:lang w:eastAsia="en-AU"/>
    </w:rPr>
  </w:style>
  <w:style w:type="character" w:customStyle="1" w:styleId="DashChar">
    <w:name w:val="Dash Char"/>
    <w:basedOn w:val="DefaultParagraphFont"/>
    <w:link w:val="Dash"/>
    <w:rsid w:val="00F93018"/>
    <w:rPr>
      <w:rFonts w:ascii="Calibri" w:eastAsia="Times New Roman" w:hAnsi="Calibri" w:cs="Times New Roman"/>
      <w:szCs w:val="20"/>
      <w:lang w:eastAsia="en-AU"/>
    </w:rPr>
  </w:style>
  <w:style w:type="character" w:customStyle="1" w:styleId="Heading5Char1">
    <w:name w:val="Heading 5 Char1"/>
    <w:basedOn w:val="DefaultParagraphFont"/>
    <w:uiPriority w:val="9"/>
    <w:semiHidden/>
    <w:rsid w:val="00F93018"/>
    <w:rPr>
      <w:rFonts w:asciiTheme="majorHAnsi" w:eastAsiaTheme="majorEastAsia" w:hAnsiTheme="majorHAnsi" w:cstheme="majorBidi"/>
      <w:color w:val="243F60" w:themeColor="accent1" w:themeShade="7F"/>
      <w:szCs w:val="20"/>
      <w:lang w:eastAsia="en-AU"/>
    </w:rPr>
  </w:style>
  <w:style w:type="paragraph" w:styleId="CommentSubject">
    <w:name w:val="annotation subject"/>
    <w:basedOn w:val="CommentText"/>
    <w:next w:val="CommentText"/>
    <w:link w:val="CommentSubjectChar"/>
    <w:uiPriority w:val="99"/>
    <w:semiHidden/>
    <w:unhideWhenUsed/>
    <w:rsid w:val="00F93018"/>
    <w:rPr>
      <w:b/>
      <w:bCs/>
    </w:rPr>
  </w:style>
  <w:style w:type="character" w:customStyle="1" w:styleId="CommentSubjectChar">
    <w:name w:val="Comment Subject Char"/>
    <w:basedOn w:val="CommentTextChar"/>
    <w:link w:val="CommentSubject"/>
    <w:uiPriority w:val="99"/>
    <w:semiHidden/>
    <w:rsid w:val="00F93018"/>
    <w:rPr>
      <w:rFonts w:ascii="Calibri" w:eastAsia="Times New Roman" w:hAnsi="Calibri" w:cs="Times New Roman"/>
      <w:b/>
      <w:bCs/>
      <w:sz w:val="20"/>
      <w:szCs w:val="20"/>
      <w:lang w:eastAsia="en-AU"/>
    </w:rPr>
  </w:style>
  <w:style w:type="paragraph" w:styleId="EndnoteText">
    <w:name w:val="endnote text"/>
    <w:basedOn w:val="Normal"/>
    <w:link w:val="EndnoteTextChar"/>
    <w:uiPriority w:val="99"/>
    <w:semiHidden/>
    <w:unhideWhenUsed/>
    <w:rsid w:val="00F93018"/>
    <w:pPr>
      <w:spacing w:before="0" w:after="0"/>
    </w:pPr>
    <w:rPr>
      <w:sz w:val="20"/>
    </w:rPr>
  </w:style>
  <w:style w:type="character" w:customStyle="1" w:styleId="EndnoteTextChar">
    <w:name w:val="Endnote Text Char"/>
    <w:basedOn w:val="DefaultParagraphFont"/>
    <w:link w:val="EndnoteText"/>
    <w:uiPriority w:val="99"/>
    <w:semiHidden/>
    <w:rsid w:val="00F93018"/>
    <w:rPr>
      <w:rFonts w:ascii="Calibri" w:eastAsia="Times New Roman" w:hAnsi="Calibri" w:cs="Times New Roman"/>
      <w:sz w:val="20"/>
      <w:szCs w:val="20"/>
      <w:lang w:eastAsia="en-AU"/>
    </w:rPr>
  </w:style>
  <w:style w:type="character" w:styleId="EndnoteReference">
    <w:name w:val="endnote reference"/>
    <w:basedOn w:val="DefaultParagraphFont"/>
    <w:uiPriority w:val="99"/>
    <w:semiHidden/>
    <w:unhideWhenUsed/>
    <w:rsid w:val="00F93018"/>
    <w:rPr>
      <w:vertAlign w:val="superscript"/>
    </w:rPr>
  </w:style>
  <w:style w:type="paragraph" w:styleId="Revision">
    <w:name w:val="Revision"/>
    <w:hidden/>
    <w:uiPriority w:val="99"/>
    <w:semiHidden/>
    <w:rsid w:val="00F93018"/>
    <w:pPr>
      <w:spacing w:after="0" w:line="240" w:lineRule="auto"/>
    </w:pPr>
    <w:rPr>
      <w:rFonts w:ascii="Calibri" w:eastAsia="Times New Roman" w:hAnsi="Calibri" w:cs="Times New Roman"/>
      <w:szCs w:val="20"/>
      <w:lang w:eastAsia="en-AU"/>
    </w:rPr>
  </w:style>
  <w:style w:type="table" w:styleId="LightList-Accent1">
    <w:name w:val="Light List Accent 1"/>
    <w:basedOn w:val="TableNormal"/>
    <w:uiPriority w:val="61"/>
    <w:rsid w:val="00F9301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efault">
    <w:name w:val="Default"/>
    <w:rsid w:val="003D1DE0"/>
    <w:pPr>
      <w:autoSpaceDE w:val="0"/>
      <w:autoSpaceDN w:val="0"/>
      <w:adjustRightInd w:val="0"/>
      <w:spacing w:after="0" w:line="240" w:lineRule="auto"/>
    </w:pPr>
    <w:rPr>
      <w:rFonts w:ascii="Calibri" w:hAnsi="Calibri" w:cs="Calibri"/>
      <w:color w:val="000000"/>
      <w:sz w:val="24"/>
      <w:szCs w:val="24"/>
    </w:rPr>
  </w:style>
  <w:style w:type="paragraph" w:styleId="PlainText">
    <w:name w:val="Plain Text"/>
    <w:basedOn w:val="Normal"/>
    <w:link w:val="PlainTextChar"/>
    <w:uiPriority w:val="99"/>
    <w:semiHidden/>
    <w:unhideWhenUsed/>
    <w:rsid w:val="006A1986"/>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6A1986"/>
    <w:rPr>
      <w:rFonts w:ascii="Consolas" w:eastAsia="Times New Roman" w:hAnsi="Consolas" w:cs="Times New Roman"/>
      <w:sz w:val="21"/>
      <w:szCs w:val="21"/>
      <w:lang w:eastAsia="en-AU"/>
    </w:rPr>
  </w:style>
  <w:style w:type="paragraph" w:styleId="NormalWeb">
    <w:name w:val="Normal (Web)"/>
    <w:basedOn w:val="Normal"/>
    <w:uiPriority w:val="99"/>
    <w:semiHidden/>
    <w:unhideWhenUsed/>
    <w:rsid w:val="001644F8"/>
    <w:pPr>
      <w:spacing w:before="100" w:beforeAutospacing="1" w:after="100" w:afterAutospacing="1"/>
    </w:pPr>
    <w:rPr>
      <w:rFonts w:ascii="Times New Roman" w:hAnsi="Times New Roman"/>
      <w:sz w:val="24"/>
      <w:szCs w:val="24"/>
    </w:rPr>
  </w:style>
  <w:style w:type="paragraph" w:customStyle="1" w:styleId="HeadingBase">
    <w:name w:val="Heading Base"/>
    <w:qFormat/>
    <w:rsid w:val="009E7E4B"/>
    <w:pPr>
      <w:keepNext/>
      <w:spacing w:after="120" w:line="240" w:lineRule="auto"/>
    </w:pPr>
    <w:rPr>
      <w:rFonts w:ascii="Calibri" w:eastAsia="Times New Roman" w:hAnsi="Calibri" w:cs="Arial"/>
      <w:bCs/>
      <w:color w:val="004A7F"/>
      <w:kern w:val="32"/>
      <w:szCs w:val="36"/>
      <w:lang w:eastAsia="en-AU"/>
    </w:rPr>
  </w:style>
  <w:style w:type="paragraph" w:styleId="TOC3">
    <w:name w:val="toc 3"/>
    <w:basedOn w:val="Normal"/>
    <w:next w:val="Normal"/>
    <w:autoRedefine/>
    <w:uiPriority w:val="39"/>
    <w:unhideWhenUsed/>
    <w:rsid w:val="009E303A"/>
    <w:pPr>
      <w:spacing w:after="100"/>
      <w:ind w:left="440"/>
    </w:pPr>
  </w:style>
  <w:style w:type="paragraph" w:customStyle="1" w:styleId="SinglePara">
    <w:name w:val="Single Para"/>
    <w:basedOn w:val="Normal"/>
    <w:rsid w:val="0005355A"/>
    <w:pPr>
      <w:spacing w:before="0" w:after="0"/>
    </w:pPr>
    <w:rPr>
      <w:rFonts w:ascii="Times New Roman" w:hAnsi="Times New Roman"/>
      <w:sz w:val="24"/>
    </w:rPr>
  </w:style>
  <w:style w:type="character" w:styleId="Strong">
    <w:name w:val="Strong"/>
    <w:basedOn w:val="DefaultParagraphFont"/>
    <w:uiPriority w:val="22"/>
    <w:qFormat/>
    <w:rsid w:val="00226CCA"/>
    <w:rPr>
      <w:b/>
      <w:bCs/>
    </w:rPr>
  </w:style>
  <w:style w:type="character" w:styleId="SubtleEmphasis">
    <w:name w:val="Subtle Emphasis"/>
    <w:basedOn w:val="DefaultParagraphFont"/>
    <w:uiPriority w:val="19"/>
    <w:qFormat/>
    <w:rsid w:val="008D4B46"/>
    <w:rPr>
      <w:i/>
      <w:iCs/>
      <w:color w:val="808080" w:themeColor="text1" w:themeTint="7F"/>
    </w:rPr>
  </w:style>
  <w:style w:type="character" w:styleId="FollowedHyperlink">
    <w:name w:val="FollowedHyperlink"/>
    <w:basedOn w:val="DefaultParagraphFont"/>
    <w:uiPriority w:val="99"/>
    <w:semiHidden/>
    <w:unhideWhenUsed/>
    <w:rsid w:val="008736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855891">
      <w:bodyDiv w:val="1"/>
      <w:marLeft w:val="0"/>
      <w:marRight w:val="0"/>
      <w:marTop w:val="0"/>
      <w:marBottom w:val="0"/>
      <w:divBdr>
        <w:top w:val="none" w:sz="0" w:space="0" w:color="auto"/>
        <w:left w:val="none" w:sz="0" w:space="0" w:color="auto"/>
        <w:bottom w:val="none" w:sz="0" w:space="0" w:color="auto"/>
        <w:right w:val="none" w:sz="0" w:space="0" w:color="auto"/>
      </w:divBdr>
    </w:div>
    <w:div w:id="523203756">
      <w:bodyDiv w:val="1"/>
      <w:marLeft w:val="0"/>
      <w:marRight w:val="0"/>
      <w:marTop w:val="0"/>
      <w:marBottom w:val="0"/>
      <w:divBdr>
        <w:top w:val="none" w:sz="0" w:space="0" w:color="auto"/>
        <w:left w:val="none" w:sz="0" w:space="0" w:color="auto"/>
        <w:bottom w:val="none" w:sz="0" w:space="0" w:color="auto"/>
        <w:right w:val="none" w:sz="0" w:space="0" w:color="auto"/>
      </w:divBdr>
    </w:div>
    <w:div w:id="578290155">
      <w:bodyDiv w:val="1"/>
      <w:marLeft w:val="0"/>
      <w:marRight w:val="0"/>
      <w:marTop w:val="0"/>
      <w:marBottom w:val="0"/>
      <w:divBdr>
        <w:top w:val="none" w:sz="0" w:space="0" w:color="auto"/>
        <w:left w:val="none" w:sz="0" w:space="0" w:color="auto"/>
        <w:bottom w:val="none" w:sz="0" w:space="0" w:color="auto"/>
        <w:right w:val="none" w:sz="0" w:space="0" w:color="auto"/>
      </w:divBdr>
      <w:divsChild>
        <w:div w:id="894582959">
          <w:marLeft w:val="0"/>
          <w:marRight w:val="0"/>
          <w:marTop w:val="0"/>
          <w:marBottom w:val="0"/>
          <w:divBdr>
            <w:top w:val="none" w:sz="0" w:space="0" w:color="auto"/>
            <w:left w:val="none" w:sz="0" w:space="0" w:color="auto"/>
            <w:bottom w:val="none" w:sz="0" w:space="0" w:color="auto"/>
            <w:right w:val="none" w:sz="0" w:space="0" w:color="auto"/>
          </w:divBdr>
          <w:divsChild>
            <w:div w:id="1834643445">
              <w:marLeft w:val="0"/>
              <w:marRight w:val="0"/>
              <w:marTop w:val="0"/>
              <w:marBottom w:val="0"/>
              <w:divBdr>
                <w:top w:val="none" w:sz="0" w:space="0" w:color="auto"/>
                <w:left w:val="none" w:sz="0" w:space="0" w:color="auto"/>
                <w:bottom w:val="none" w:sz="0" w:space="0" w:color="auto"/>
                <w:right w:val="none" w:sz="0" w:space="0" w:color="auto"/>
              </w:divBdr>
              <w:divsChild>
                <w:div w:id="1136681617">
                  <w:marLeft w:val="0"/>
                  <w:marRight w:val="0"/>
                  <w:marTop w:val="100"/>
                  <w:marBottom w:val="100"/>
                  <w:divBdr>
                    <w:top w:val="none" w:sz="0" w:space="0" w:color="auto"/>
                    <w:left w:val="none" w:sz="0" w:space="0" w:color="auto"/>
                    <w:bottom w:val="none" w:sz="0" w:space="0" w:color="auto"/>
                    <w:right w:val="none" w:sz="0" w:space="0" w:color="auto"/>
                  </w:divBdr>
                  <w:divsChild>
                    <w:div w:id="2143958011">
                      <w:marLeft w:val="1"/>
                      <w:marRight w:val="1"/>
                      <w:marTop w:val="0"/>
                      <w:marBottom w:val="0"/>
                      <w:divBdr>
                        <w:top w:val="none" w:sz="0" w:space="0" w:color="auto"/>
                        <w:left w:val="none" w:sz="0" w:space="0" w:color="auto"/>
                        <w:bottom w:val="none" w:sz="0" w:space="0" w:color="auto"/>
                        <w:right w:val="none" w:sz="0" w:space="0" w:color="auto"/>
                      </w:divBdr>
                      <w:divsChild>
                        <w:div w:id="129784024">
                          <w:marLeft w:val="-1"/>
                          <w:marRight w:val="-1"/>
                          <w:marTop w:val="0"/>
                          <w:marBottom w:val="0"/>
                          <w:divBdr>
                            <w:top w:val="none" w:sz="0" w:space="0" w:color="auto"/>
                            <w:left w:val="none" w:sz="0" w:space="0" w:color="auto"/>
                            <w:bottom w:val="none" w:sz="0" w:space="0" w:color="auto"/>
                            <w:right w:val="none" w:sz="0" w:space="0" w:color="auto"/>
                          </w:divBdr>
                          <w:divsChild>
                            <w:div w:id="10056671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974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hyperlink" Target="mailto:regmod@treasury.gov.au"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medialiaison@treasury.gov.au" TargetMode="External"/><Relationship Id="rId34" Type="http://schemas.openxmlformats.org/officeDocument/2006/relationships/header" Target="header6.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creativecommons.org/licenses/by/3.0/au/legalcode" TargetMode="External"/><Relationship Id="rId25" Type="http://schemas.openxmlformats.org/officeDocument/2006/relationships/hyperlink" Target="mailto:regmod@treasury.gov.au" TargetMode="External"/><Relationship Id="rId33" Type="http://schemas.openxmlformats.org/officeDocument/2006/relationships/footer" Target="footer4.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creativecommons.org/licenses/by/3.0/au/deed.en" TargetMode="External"/><Relationship Id="rId20" Type="http://schemas.openxmlformats.org/officeDocument/2006/relationships/hyperlink" Target="http://www.pmc.gov.au/government/commonwealth-coat-arm" TargetMode="External"/><Relationship Id="rId29"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32" Type="http://schemas.openxmlformats.org/officeDocument/2006/relationships/footer" Target="footer3.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3.xml"/><Relationship Id="rId28" Type="http://schemas.openxmlformats.org/officeDocument/2006/relationships/chart" Target="charts/chart1.xml"/><Relationship Id="rId36" Type="http://schemas.openxmlformats.org/officeDocument/2006/relationships/hyperlink" Target="https://www.dvs.gov.au/users/Pages/Gateway-Service-Providers.aspx" TargetMode="External"/><Relationship Id="rId10" Type="http://schemas.openxmlformats.org/officeDocument/2006/relationships/settings" Target="settings.xml"/><Relationship Id="rId19" Type="http://schemas.openxmlformats.org/officeDocument/2006/relationships/hyperlink" Target="http://creativecommons.org/licenses/by/3.0/au/deed.en" TargetMode="External"/><Relationship Id="rId31" Type="http://schemas.openxmlformats.org/officeDocument/2006/relationships/header" Target="header5.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header" Target="header2.xml"/><Relationship Id="rId27" Type="http://schemas.openxmlformats.org/officeDocument/2006/relationships/hyperlink" Target="https://treasury.gov.au/consultation/c2018-t310411/" TargetMode="External"/><Relationship Id="rId30" Type="http://schemas.openxmlformats.org/officeDocument/2006/relationships/header" Target="header4.xml"/><Relationship Id="rId35"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https://static.treasury.gov.au/uploads/sites/1/2018/05/Black-Economy-Taskforce_Final-Report.pdf" TargetMode="External"/><Relationship Id="rId7" Type="http://schemas.openxmlformats.org/officeDocument/2006/relationships/hyperlink" Target="http://kmo.ministers.treasury.gov.au/media-release/091-2018" TargetMode="External"/><Relationship Id="rId2" Type="http://schemas.openxmlformats.org/officeDocument/2006/relationships/hyperlink" Target="https://www.finance.gov.au/resource-management/charging-framework/" TargetMode="External"/><Relationship Id="rId1" Type="http://schemas.openxmlformats.org/officeDocument/2006/relationships/hyperlink" Target="https://treasury.gov.au/consultation/c2018-t310411/" TargetMode="External"/><Relationship Id="rId6" Type="http://schemas.openxmlformats.org/officeDocument/2006/relationships/hyperlink" Target="https://www.finance.gov.au/resource-management/charging-framework/" TargetMode="External"/><Relationship Id="rId5" Type="http://schemas.openxmlformats.org/officeDocument/2006/relationships/hyperlink" Target="https://asic.gov.au/for-business/payments-fees-and-invoices/asic-fees/asic-fee-indexation/" TargetMode="External"/><Relationship Id="rId4" Type="http://schemas.openxmlformats.org/officeDocument/2006/relationships/hyperlink" Target="https://www.pmc.gov.au/public-data/open-dat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ucs\AppData\Local\Microsoft\Windows\Temporary%20Internet%20Files\Content.Outlook\G5M58RXA\Book3.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C:\Users\ucs\AppData\Local\Microsoft\Windows\Temporary%20Internet%20Files\Content.Outlook\G5M58RXA\Book3.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xMode val="edge"/>
          <c:yMode val="edge"/>
          <c:x val="1.5931899641577062E-2"/>
          <c:y val="3.9687500000000001E-2"/>
          <c:w val="0.98406810035842296"/>
          <c:h val="0.88015624999999997"/>
        </c:manualLayout>
      </c:layout>
      <c:barChart>
        <c:barDir val="col"/>
        <c:grouping val="clustered"/>
        <c:varyColors val="0"/>
        <c:ser>
          <c:idx val="0"/>
          <c:order val="0"/>
          <c:tx>
            <c:strRef>
              <c:f>Sheet1!$B$1</c:f>
              <c:strCache>
                <c:ptCount val="1"/>
                <c:pt idx="0">
                  <c:v>Registry fees collected (LHS)</c:v>
                </c:pt>
              </c:strCache>
            </c:strRef>
          </c:tx>
          <c:invertIfNegative val="0"/>
          <c:cat>
            <c:strRef>
              <c:f>Sheet1!$A$2:$A$9</c:f>
              <c:strCache>
                <c:ptCount val="8"/>
                <c:pt idx="0">
                  <c:v>2010/11</c:v>
                </c:pt>
                <c:pt idx="1">
                  <c:v>2011/12</c:v>
                </c:pt>
                <c:pt idx="2">
                  <c:v>2012/13</c:v>
                </c:pt>
                <c:pt idx="3">
                  <c:v>2013/14</c:v>
                </c:pt>
                <c:pt idx="4">
                  <c:v>2014/15</c:v>
                </c:pt>
                <c:pt idx="5">
                  <c:v>2015/16</c:v>
                </c:pt>
                <c:pt idx="6">
                  <c:v>2016/17</c:v>
                </c:pt>
                <c:pt idx="7">
                  <c:v>2017/18</c:v>
                </c:pt>
              </c:strCache>
            </c:strRef>
          </c:cat>
          <c:val>
            <c:numRef>
              <c:f>Sheet1!$B$2:$B$9</c:f>
              <c:numCache>
                <c:formatCode>General</c:formatCode>
                <c:ptCount val="8"/>
                <c:pt idx="0">
                  <c:v>526490000</c:v>
                </c:pt>
                <c:pt idx="1">
                  <c:v>631718000</c:v>
                </c:pt>
                <c:pt idx="2">
                  <c:v>674370000</c:v>
                </c:pt>
                <c:pt idx="3">
                  <c:v>725065000</c:v>
                </c:pt>
                <c:pt idx="4">
                  <c:v>779301000</c:v>
                </c:pt>
                <c:pt idx="5">
                  <c:v>831910000</c:v>
                </c:pt>
                <c:pt idx="6">
                  <c:v>875812000</c:v>
                </c:pt>
                <c:pt idx="7">
                  <c:v>925568000</c:v>
                </c:pt>
              </c:numCache>
            </c:numRef>
          </c:val>
        </c:ser>
        <c:dLbls>
          <c:showLegendKey val="0"/>
          <c:showVal val="0"/>
          <c:showCatName val="0"/>
          <c:showSerName val="0"/>
          <c:showPercent val="0"/>
          <c:showBubbleSize val="0"/>
        </c:dLbls>
        <c:gapWidth val="150"/>
        <c:axId val="122834304"/>
        <c:axId val="127288448"/>
      </c:barChart>
      <c:lineChart>
        <c:grouping val="standard"/>
        <c:varyColors val="0"/>
        <c:ser>
          <c:idx val="1"/>
          <c:order val="1"/>
          <c:tx>
            <c:strRef>
              <c:f>Sheet1!$C$1</c:f>
              <c:strCache>
                <c:ptCount val="1"/>
                <c:pt idx="0">
                  <c:v>% Change on Previous Year (RHS)</c:v>
                </c:pt>
              </c:strCache>
            </c:strRef>
          </c:tx>
          <c:cat>
            <c:strRef>
              <c:f>Sheet1!$A$2:$A$9</c:f>
              <c:strCache>
                <c:ptCount val="8"/>
                <c:pt idx="0">
                  <c:v>2010/11</c:v>
                </c:pt>
                <c:pt idx="1">
                  <c:v>2011/12</c:v>
                </c:pt>
                <c:pt idx="2">
                  <c:v>2012/13</c:v>
                </c:pt>
                <c:pt idx="3">
                  <c:v>2013/14</c:v>
                </c:pt>
                <c:pt idx="4">
                  <c:v>2014/15</c:v>
                </c:pt>
                <c:pt idx="5">
                  <c:v>2015/16</c:v>
                </c:pt>
                <c:pt idx="6">
                  <c:v>2016/17</c:v>
                </c:pt>
                <c:pt idx="7">
                  <c:v>2017/18</c:v>
                </c:pt>
              </c:strCache>
            </c:strRef>
          </c:cat>
          <c:val>
            <c:numRef>
              <c:f>Sheet1!$C$2:$C$9</c:f>
              <c:numCache>
                <c:formatCode>General</c:formatCode>
                <c:ptCount val="8"/>
                <c:pt idx="1">
                  <c:v>6.6199999999999995E-2</c:v>
                </c:pt>
                <c:pt idx="2">
                  <c:v>6.7500000000000004E-2</c:v>
                </c:pt>
                <c:pt idx="3">
                  <c:v>7.5200000000000003E-2</c:v>
                </c:pt>
                <c:pt idx="4">
                  <c:v>7.4800000000000005E-2</c:v>
                </c:pt>
                <c:pt idx="5">
                  <c:v>6.7500000000000004E-2</c:v>
                </c:pt>
                <c:pt idx="6">
                  <c:v>5.28E-2</c:v>
                </c:pt>
                <c:pt idx="7">
                  <c:v>5.6800000000000003E-2</c:v>
                </c:pt>
              </c:numCache>
            </c:numRef>
          </c:val>
          <c:smooth val="0"/>
        </c:ser>
        <c:dLbls>
          <c:showLegendKey val="0"/>
          <c:showVal val="0"/>
          <c:showCatName val="0"/>
          <c:showSerName val="0"/>
          <c:showPercent val="0"/>
          <c:showBubbleSize val="0"/>
        </c:dLbls>
        <c:marker val="1"/>
        <c:smooth val="0"/>
        <c:axId val="127292928"/>
        <c:axId val="127290752"/>
      </c:lineChart>
      <c:catAx>
        <c:axId val="122834304"/>
        <c:scaling>
          <c:orientation val="minMax"/>
        </c:scaling>
        <c:delete val="0"/>
        <c:axPos val="b"/>
        <c:majorTickMark val="in"/>
        <c:minorTickMark val="none"/>
        <c:tickLblPos val="low"/>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27288448"/>
        <c:crosses val="autoZero"/>
        <c:auto val="1"/>
        <c:lblAlgn val="ctr"/>
        <c:lblOffset val="100"/>
        <c:noMultiLvlLbl val="0"/>
      </c:catAx>
      <c:valAx>
        <c:axId val="127288448"/>
        <c:scaling>
          <c:orientation val="minMax"/>
          <c:max val="1000000000"/>
        </c:scaling>
        <c:delete val="0"/>
        <c:axPos val="l"/>
        <c:title>
          <c:tx>
            <c:rich>
              <a:bodyPr rot="0" vert="horz"/>
              <a:lstStyle/>
              <a:p>
                <a:pPr>
                  <a:defRPr sz="800" b="0" i="0">
                    <a:solidFill>
                      <a:srgbClr val="000000"/>
                    </a:solidFill>
                    <a:latin typeface="Arial"/>
                    <a:ea typeface="Arial"/>
                    <a:cs typeface="Arial"/>
                  </a:defRPr>
                </a:pPr>
                <a:r>
                  <a:rPr lang="en-AU"/>
                  <a:t>$million</a:t>
                </a:r>
              </a:p>
            </c:rich>
          </c:tx>
          <c:layout>
            <c:manualLayout>
              <c:xMode val="edge"/>
              <c:yMode val="edge"/>
              <c:x val="7.5107526881720427E-2"/>
              <c:y val="0"/>
            </c:manualLayout>
          </c:layout>
          <c:overlay val="0"/>
        </c:title>
        <c:numFmt formatCode="#,##0" sourceLinked="0"/>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22834304"/>
        <c:crosses val="autoZero"/>
        <c:crossBetween val="between"/>
        <c:dispUnits>
          <c:builtInUnit val="millions"/>
        </c:dispUnits>
      </c:valAx>
      <c:valAx>
        <c:axId val="127290752"/>
        <c:scaling>
          <c:orientation val="minMax"/>
        </c:scaling>
        <c:delete val="0"/>
        <c:axPos val="r"/>
        <c:title>
          <c:tx>
            <c:rich>
              <a:bodyPr rot="0" vert="horz"/>
              <a:lstStyle/>
              <a:p>
                <a:pPr>
                  <a:defRPr sz="800" b="0" i="0">
                    <a:solidFill>
                      <a:srgbClr val="000000"/>
                    </a:solidFill>
                    <a:latin typeface="Arial"/>
                    <a:ea typeface="Arial"/>
                    <a:cs typeface="Arial"/>
                  </a:defRPr>
                </a:pPr>
                <a:r>
                  <a:rPr lang="en-AU"/>
                  <a:t>Percentage change</a:t>
                </a:r>
              </a:p>
            </c:rich>
          </c:tx>
          <c:layout>
            <c:manualLayout>
              <c:xMode val="edge"/>
              <c:yMode val="edge"/>
              <c:x val="0.78059498207885303"/>
              <c:y val="0"/>
            </c:manualLayout>
          </c:layout>
          <c:overlay val="0"/>
        </c:title>
        <c:numFmt formatCode="0%" sourceLinked="0"/>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27292928"/>
        <c:crosses val="max"/>
        <c:crossBetween val="between"/>
      </c:valAx>
      <c:catAx>
        <c:axId val="127292928"/>
        <c:scaling>
          <c:orientation val="minMax"/>
        </c:scaling>
        <c:delete val="1"/>
        <c:axPos val="b"/>
        <c:majorTickMark val="out"/>
        <c:minorTickMark val="none"/>
        <c:tickLblPos val="nextTo"/>
        <c:crossAx val="127290752"/>
        <c:crosses val="autoZero"/>
        <c:auto val="1"/>
        <c:lblAlgn val="ctr"/>
        <c:lblOffset val="100"/>
        <c:noMultiLvlLbl val="0"/>
      </c:catAx>
      <c:spPr>
        <a:solidFill>
          <a:srgbClr val="FFFFFF"/>
        </a:solidFill>
        <a:ln>
          <a:noFill/>
          <a:round/>
        </a:ln>
        <a:effectLst/>
        <a:extLst>
          <a:ext uri="{91240B29-F687-4F45-9708-019B960494DF}">
            <a14:hiddenLine xmlns:a14="http://schemas.microsoft.com/office/drawing/2010/main">
              <a:noFill/>
              <a:round/>
            </a14:hiddenLine>
          </a:ext>
        </a:extLst>
      </c:spPr>
    </c:plotArea>
    <c:legend>
      <c:legendPos val="b"/>
      <c:overlay val="0"/>
      <c:spPr>
        <a:noFill/>
        <a:ln w="25400">
          <a:noFill/>
        </a:ln>
      </c:spPr>
      <c:txPr>
        <a:bodyPr/>
        <a:lstStyle/>
        <a:p>
          <a:pPr>
            <a:defRPr sz="800">
              <a:latin typeface="Arial"/>
              <a:ea typeface="Arial"/>
              <a:cs typeface="Arial"/>
            </a:defRPr>
          </a:pPr>
          <a:endParaRPr lang="en-US"/>
        </a:p>
      </c:txPr>
    </c:legend>
    <c:plotVisOnly val="1"/>
    <c:dispBlanksAs val="gap"/>
    <c:showDLblsOverMax val="0"/>
  </c:chart>
  <c:spPr>
    <a:solidFill>
      <a:srgbClr val="FFFFFF"/>
    </a:solidFill>
    <a:ln w="9525" cap="flat" cmpd="sng" algn="ctr">
      <a:noFill/>
      <a:prstDash val="solid"/>
      <a:round/>
    </a:ln>
    <a:effectLst/>
    <a:extLst>
      <a:ext uri="{91240B29-F687-4F45-9708-019B960494DF}">
        <a14:hiddenLine xmlns:a14="http://schemas.microsoft.com/office/drawing/2010/main" w="9525" cap="flat" cmpd="sng" algn="ctr">
          <a:solidFill>
            <a:sysClr val="windowText" lastClr="000000">
              <a:tint val="75000"/>
              <a:shade val="95000"/>
              <a:satMod val="105000"/>
            </a:sysClr>
          </a:solidFill>
          <a:prstDash val="solid"/>
          <a:round/>
        </a14:hiddenLine>
      </a:ext>
    </a:ex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222149118152832"/>
          <c:y val="0.11443323765131366"/>
          <c:w val="0.67898182538503904"/>
          <c:h val="0.84248246561153051"/>
        </c:manualLayout>
      </c:layout>
      <c:pieChart>
        <c:varyColors val="1"/>
        <c:ser>
          <c:idx val="0"/>
          <c:order val="0"/>
          <c:tx>
            <c:strRef>
              <c:f>Sheet2!$A$13</c:f>
              <c:strCache>
                <c:ptCount val="1"/>
                <c:pt idx="0">
                  <c:v>2017/18</c:v>
                </c:pt>
              </c:strCache>
            </c:strRef>
          </c:tx>
          <c:spPr>
            <a:ln>
              <a:noFill/>
            </a:ln>
          </c:spPr>
          <c:dPt>
            <c:idx val="0"/>
            <c:bubble3D val="0"/>
            <c:spPr>
              <a:solidFill>
                <a:schemeClr val="accent1"/>
              </a:solidFill>
              <a:ln w="6350">
                <a:solidFill>
                  <a:schemeClr val="accent1"/>
                </a:solidFill>
              </a:ln>
            </c:spPr>
          </c:dPt>
          <c:dPt>
            <c:idx val="1"/>
            <c:bubble3D val="0"/>
            <c:spPr>
              <a:solidFill>
                <a:schemeClr val="accent2"/>
              </a:solidFill>
              <a:ln>
                <a:noFill/>
              </a:ln>
            </c:spPr>
          </c:dPt>
          <c:dPt>
            <c:idx val="2"/>
            <c:bubble3D val="0"/>
            <c:spPr>
              <a:solidFill>
                <a:schemeClr val="accent3"/>
              </a:solidFill>
              <a:ln w="6350">
                <a:noFill/>
              </a:ln>
            </c:spPr>
          </c:dPt>
          <c:dPt>
            <c:idx val="3"/>
            <c:bubble3D val="0"/>
            <c:spPr>
              <a:solidFill>
                <a:schemeClr val="accent4"/>
              </a:solidFill>
              <a:ln w="6350">
                <a:solidFill>
                  <a:schemeClr val="accent4"/>
                </a:solidFill>
              </a:ln>
            </c:spPr>
          </c:dPt>
          <c:dPt>
            <c:idx val="4"/>
            <c:bubble3D val="0"/>
            <c:spPr>
              <a:solidFill>
                <a:schemeClr val="accent5"/>
              </a:solidFill>
              <a:ln w="6350">
                <a:solidFill>
                  <a:schemeClr val="accent5"/>
                </a:solidFill>
              </a:ln>
            </c:spPr>
          </c:dPt>
          <c:dPt>
            <c:idx val="5"/>
            <c:bubble3D val="0"/>
            <c:spPr>
              <a:solidFill>
                <a:schemeClr val="accent6"/>
              </a:solidFill>
              <a:ln w="6350">
                <a:solidFill>
                  <a:schemeClr val="accent6"/>
                </a:solidFill>
              </a:ln>
            </c:spPr>
          </c:dPt>
          <c:dPt>
            <c:idx val="6"/>
            <c:bubble3D val="0"/>
            <c:spPr>
              <a:solidFill>
                <a:schemeClr val="tx1">
                  <a:lumMod val="75000"/>
                  <a:lumOff val="25000"/>
                </a:schemeClr>
              </a:solidFill>
              <a:ln w="6350">
                <a:solidFill>
                  <a:schemeClr val="tx1">
                    <a:lumMod val="75000"/>
                    <a:lumOff val="25000"/>
                  </a:schemeClr>
                </a:solidFill>
              </a:ln>
            </c:spPr>
          </c:dPt>
          <c:dPt>
            <c:idx val="7"/>
            <c:bubble3D val="0"/>
            <c:spPr>
              <a:solidFill>
                <a:schemeClr val="tx2"/>
              </a:solidFill>
              <a:ln w="6350">
                <a:solidFill>
                  <a:schemeClr val="tx2"/>
                </a:solidFill>
              </a:ln>
            </c:spPr>
          </c:dPt>
          <c:dLbls>
            <c:dLbl>
              <c:idx val="0"/>
              <c:layout>
                <c:manualLayout>
                  <c:x val="-2.636698102378543E-3"/>
                  <c:y val="2.6037037037037036E-2"/>
                </c:manualLayout>
              </c:layout>
              <c:tx>
                <c:rich>
                  <a:bodyPr/>
                  <a:lstStyle/>
                  <a:p>
                    <a:r>
                      <a:rPr lang="en-US"/>
                      <a:t>Annual review</a:t>
                    </a:r>
                    <a:r>
                      <a:rPr lang="en-US" baseline="0"/>
                      <a:t> </a:t>
                    </a:r>
                    <a:r>
                      <a:rPr lang="en-US"/>
                      <a:t>fees
61%</a:t>
                    </a:r>
                  </a:p>
                </c:rich>
              </c:tx>
              <c:showLegendKey val="0"/>
              <c:showVal val="0"/>
              <c:showCatName val="1"/>
              <c:showSerName val="0"/>
              <c:showPercent val="1"/>
              <c:showBubbleSize val="0"/>
            </c:dLbl>
            <c:dLbl>
              <c:idx val="1"/>
              <c:layout>
                <c:manualLayout>
                  <c:x val="-3.9758849366360741E-3"/>
                  <c:y val="-7.0525000000000004E-2"/>
                </c:manualLayout>
              </c:layout>
              <c:showLegendKey val="0"/>
              <c:showVal val="0"/>
              <c:showCatName val="1"/>
              <c:showSerName val="0"/>
              <c:showPercent val="1"/>
              <c:showBubbleSize val="0"/>
            </c:dLbl>
            <c:dLbl>
              <c:idx val="2"/>
              <c:layout>
                <c:manualLayout>
                  <c:x val="1.5181600125664132E-2"/>
                  <c:y val="-4.1400127654124652E-2"/>
                </c:manualLayout>
              </c:layout>
              <c:tx>
                <c:rich>
                  <a:bodyPr/>
                  <a:lstStyle/>
                  <a:p>
                    <a:r>
                      <a:rPr lang="en-US"/>
                      <a:t>Registration applications 
13%</a:t>
                    </a:r>
                  </a:p>
                </c:rich>
              </c:tx>
              <c:showLegendKey val="0"/>
              <c:showVal val="0"/>
              <c:showCatName val="1"/>
              <c:showSerName val="0"/>
              <c:showPercent val="1"/>
              <c:showBubbleSize val="0"/>
            </c:dLbl>
            <c:dLbl>
              <c:idx val="3"/>
              <c:layout>
                <c:manualLayout>
                  <c:x val="1.3158341463362058E-2"/>
                  <c:y val="3.9278819444444446E-2"/>
                </c:manualLayout>
              </c:layout>
              <c:showLegendKey val="0"/>
              <c:showVal val="0"/>
              <c:showCatName val="1"/>
              <c:showSerName val="0"/>
              <c:showPercent val="1"/>
              <c:showBubbleSize val="0"/>
            </c:dLbl>
            <c:dLbl>
              <c:idx val="4"/>
              <c:layout>
                <c:manualLayout>
                  <c:x val="2.8023225505590183E-2"/>
                  <c:y val="3.4500925925925928E-2"/>
                </c:manualLayout>
              </c:layout>
              <c:showLegendKey val="0"/>
              <c:showVal val="0"/>
              <c:showCatName val="1"/>
              <c:showSerName val="0"/>
              <c:showPercent val="1"/>
              <c:showBubbleSize val="0"/>
            </c:dLbl>
            <c:dLbl>
              <c:idx val="5"/>
              <c:layout>
                <c:manualLayout>
                  <c:x val="2.5959746073649707E-2"/>
                  <c:y val="2.234826388888889E-2"/>
                </c:manualLayout>
              </c:layout>
              <c:showLegendKey val="0"/>
              <c:showVal val="0"/>
              <c:showCatName val="1"/>
              <c:showSerName val="0"/>
              <c:showPercent val="1"/>
              <c:showBubbleSize val="0"/>
            </c:dLbl>
            <c:dLbl>
              <c:idx val="6"/>
              <c:layout>
                <c:manualLayout>
                  <c:x val="2.6793822086980282E-2"/>
                  <c:y val="1.4817545800086047E-4"/>
                </c:manualLayout>
              </c:layout>
              <c:showLegendKey val="0"/>
              <c:showVal val="0"/>
              <c:showCatName val="1"/>
              <c:showSerName val="0"/>
              <c:showPercent val="1"/>
              <c:showBubbleSize val="0"/>
            </c:dLbl>
            <c:dLbl>
              <c:idx val="7"/>
              <c:layout>
                <c:manualLayout>
                  <c:x val="2.6160692177628741E-2"/>
                  <c:y val="-6.6896654640578555E-3"/>
                </c:manualLayout>
              </c:layout>
              <c:spPr>
                <a:ln>
                  <a:noFill/>
                </a:ln>
              </c:spPr>
              <c:txPr>
                <a:bodyPr/>
                <a:lstStyle/>
                <a:p>
                  <a:pPr>
                    <a:defRPr/>
                  </a:pPr>
                  <a:endParaRPr lang="en-US"/>
                </a:p>
              </c:txPr>
              <c:showLegendKey val="0"/>
              <c:showVal val="0"/>
              <c:showCatName val="1"/>
              <c:showSerName val="0"/>
              <c:showPercent val="1"/>
              <c:showBubbleSize val="0"/>
            </c:dLbl>
            <c:spPr>
              <a:ln>
                <a:noFill/>
              </a:ln>
            </c:spPr>
            <c:showLegendKey val="0"/>
            <c:showVal val="0"/>
            <c:showCatName val="1"/>
            <c:showSerName val="0"/>
            <c:showPercent val="1"/>
            <c:showBubbleSize val="0"/>
            <c:showLeaderLines val="0"/>
          </c:dLbls>
          <c:cat>
            <c:strRef>
              <c:f>Sheet2!$B$12:$G$12</c:f>
              <c:strCache>
                <c:ptCount val="6"/>
                <c:pt idx="0">
                  <c:v>Annual company fees</c:v>
                </c:pt>
                <c:pt idx="1">
                  <c:v>Late fees</c:v>
                </c:pt>
                <c:pt idx="2">
                  <c:v>Registration of new companies</c:v>
                </c:pt>
                <c:pt idx="3">
                  <c:v>Search fees</c:v>
                </c:pt>
                <c:pt idx="4">
                  <c:v>Business Names fees</c:v>
                </c:pt>
                <c:pt idx="5">
                  <c:v>Other fees</c:v>
                </c:pt>
              </c:strCache>
            </c:strRef>
          </c:cat>
          <c:val>
            <c:numRef>
              <c:f>Sheet2!$B$13:$G$13</c:f>
              <c:numCache>
                <c:formatCode>0.00</c:formatCode>
                <c:ptCount val="6"/>
                <c:pt idx="0">
                  <c:v>60.723470212353249</c:v>
                </c:pt>
                <c:pt idx="1">
                  <c:v>12.716146486814573</c:v>
                </c:pt>
                <c:pt idx="2">
                  <c:v>12.753377689885681</c:v>
                </c:pt>
                <c:pt idx="3">
                  <c:v>6.895976073720643</c:v>
                </c:pt>
                <c:pt idx="4">
                  <c:v>5.5074313324669326</c:v>
                </c:pt>
                <c:pt idx="5">
                  <c:v>1.4035982047589264</c:v>
                </c:pt>
              </c:numCache>
            </c:numRef>
          </c:val>
        </c:ser>
        <c:dLbls>
          <c:showLegendKey val="0"/>
          <c:showVal val="1"/>
          <c:showCatName val="0"/>
          <c:showSerName val="0"/>
          <c:showPercent val="0"/>
          <c:showBubbleSize val="0"/>
          <c:showLeaderLines val="0"/>
        </c:dLbls>
        <c:firstSliceAng val="0"/>
      </c:pieChart>
    </c:plotArea>
    <c:plotVisOnly val="1"/>
    <c:dispBlanksAs val="gap"/>
    <c:showDLblsOverMax val="0"/>
  </c:chart>
  <c:spPr>
    <a:ln>
      <a:noFill/>
    </a:ln>
  </c:spPr>
  <c:txPr>
    <a:bodyPr/>
    <a:lstStyle/>
    <a:p>
      <a:pPr>
        <a:defRPr sz="800">
          <a:latin typeface="Arial" pitchFamily="34" charset="0"/>
          <a:cs typeface="Arial" pitchFamily="34" charset="0"/>
        </a:defRPr>
      </a:pPr>
      <a:endParaRPr lang="en-US"/>
    </a:p>
  </c:txPr>
  <c:externalData r:id="rId2">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6C6E47048654C18B9EC1C31D333C727"/>
        <w:category>
          <w:name w:val="General"/>
          <w:gallery w:val="placeholder"/>
        </w:category>
        <w:types>
          <w:type w:val="bbPlcHdr"/>
        </w:types>
        <w:behaviors>
          <w:behavior w:val="content"/>
        </w:behaviors>
        <w:guid w:val="{8E10A0B4-234C-4479-914D-76214C9405AC}"/>
      </w:docPartPr>
      <w:docPartBody>
        <w:p w14:paraId="46629EE1" w14:textId="77777777" w:rsidR="00A00606" w:rsidRDefault="00A00606" w:rsidP="00A00606">
          <w:pPr>
            <w:pStyle w:val="86C6E47048654C18B9EC1C31D333C727"/>
          </w:pPr>
          <w:r w:rsidRPr="00225CD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606"/>
    <w:rsid w:val="00002B2E"/>
    <w:rsid w:val="000C3252"/>
    <w:rsid w:val="000C3931"/>
    <w:rsid w:val="00101421"/>
    <w:rsid w:val="002A7100"/>
    <w:rsid w:val="002F741F"/>
    <w:rsid w:val="00352A3C"/>
    <w:rsid w:val="004705A4"/>
    <w:rsid w:val="004B1196"/>
    <w:rsid w:val="007105EF"/>
    <w:rsid w:val="00720012"/>
    <w:rsid w:val="008613C3"/>
    <w:rsid w:val="009B56D7"/>
    <w:rsid w:val="00A00606"/>
    <w:rsid w:val="00A51CE1"/>
    <w:rsid w:val="00B05DA3"/>
    <w:rsid w:val="00B76D45"/>
    <w:rsid w:val="00D51F16"/>
    <w:rsid w:val="00D60130"/>
    <w:rsid w:val="00F01E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6629EE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773C5B190E4235A559D55053C0A31A">
    <w:name w:val="23773C5B190E4235A559D55053C0A31A"/>
    <w:rsid w:val="00A00606"/>
  </w:style>
  <w:style w:type="character" w:styleId="PlaceholderText">
    <w:name w:val="Placeholder Text"/>
    <w:basedOn w:val="DefaultParagraphFont"/>
    <w:uiPriority w:val="99"/>
    <w:semiHidden/>
    <w:rsid w:val="00A00606"/>
    <w:rPr>
      <w:color w:val="808080"/>
    </w:rPr>
  </w:style>
  <w:style w:type="paragraph" w:customStyle="1" w:styleId="EB08E841298C41A4838B94BB2706F830">
    <w:name w:val="EB08E841298C41A4838B94BB2706F830"/>
    <w:rsid w:val="00A00606"/>
  </w:style>
  <w:style w:type="paragraph" w:customStyle="1" w:styleId="C6C33AF696E742AABA72E2CA39CCA5A1">
    <w:name w:val="C6C33AF696E742AABA72E2CA39CCA5A1"/>
    <w:rsid w:val="00A00606"/>
  </w:style>
  <w:style w:type="paragraph" w:customStyle="1" w:styleId="AFBF769A249F4C08B54D98A81AEE38ED">
    <w:name w:val="AFBF769A249F4C08B54D98A81AEE38ED"/>
    <w:rsid w:val="00A00606"/>
  </w:style>
  <w:style w:type="paragraph" w:customStyle="1" w:styleId="86C6E47048654C18B9EC1C31D333C727">
    <w:name w:val="86C6E47048654C18B9EC1C31D333C727"/>
    <w:rsid w:val="00A0060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773C5B190E4235A559D55053C0A31A">
    <w:name w:val="23773C5B190E4235A559D55053C0A31A"/>
    <w:rsid w:val="00A00606"/>
  </w:style>
  <w:style w:type="character" w:styleId="PlaceholderText">
    <w:name w:val="Placeholder Text"/>
    <w:basedOn w:val="DefaultParagraphFont"/>
    <w:uiPriority w:val="99"/>
    <w:semiHidden/>
    <w:rsid w:val="00A00606"/>
    <w:rPr>
      <w:color w:val="808080"/>
    </w:rPr>
  </w:style>
  <w:style w:type="paragraph" w:customStyle="1" w:styleId="EB08E841298C41A4838B94BB2706F830">
    <w:name w:val="EB08E841298C41A4838B94BB2706F830"/>
    <w:rsid w:val="00A00606"/>
  </w:style>
  <w:style w:type="paragraph" w:customStyle="1" w:styleId="C6C33AF696E742AABA72E2CA39CCA5A1">
    <w:name w:val="C6C33AF696E742AABA72E2CA39CCA5A1"/>
    <w:rsid w:val="00A00606"/>
  </w:style>
  <w:style w:type="paragraph" w:customStyle="1" w:styleId="AFBF769A249F4C08B54D98A81AEE38ED">
    <w:name w:val="AFBF769A249F4C08B54D98A81AEE38ED"/>
    <w:rsid w:val="00A00606"/>
  </w:style>
  <w:style w:type="paragraph" w:customStyle="1" w:styleId="86C6E47048654C18B9EC1C31D333C727">
    <w:name w:val="86C6E47048654C18B9EC1C31D333C727"/>
    <w:rsid w:val="00A006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Corporate">
    <a:dk1>
      <a:sysClr val="windowText" lastClr="000000"/>
    </a:dk1>
    <a:lt1>
      <a:sysClr val="window" lastClr="FFFFFF"/>
    </a:lt1>
    <a:dk2>
      <a:srgbClr val="16325C"/>
    </a:dk2>
    <a:lt2>
      <a:srgbClr val="004A80"/>
    </a:lt2>
    <a:accent1>
      <a:srgbClr val="0074BD"/>
    </a:accent1>
    <a:accent2>
      <a:srgbClr val="F06252"/>
    </a:accent2>
    <a:accent3>
      <a:srgbClr val="128E6D"/>
    </a:accent3>
    <a:accent4>
      <a:srgbClr val="404A8F"/>
    </a:accent4>
    <a:accent5>
      <a:srgbClr val="C8DD6B"/>
    </a:accent5>
    <a:accent6>
      <a:srgbClr val="00ABBD"/>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26EFBF102293724BA14D3AC4224A6253" ma:contentTypeVersion="15877" ma:contentTypeDescription="" ma:contentTypeScope="" ma:versionID="9cf814b9ef87fae02ee3b2087bbc7e3a">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015cdfd610baefae58abc920fa79f529"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15</Value>
    </TaxCatchAl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RA-9286 - Destroy 30 years after action completed</TermName>
          <TermId xmlns="http://schemas.microsoft.com/office/infopath/2007/PartnerControls">25f6becb-d27e-4b14-8184-7aaf4a836cb6</TermId>
        </TermInfo>
      </Terms>
    </lb508a4dc5e84436a0fe496b536466aa>
    <_dlc_DocId xmlns="0f563589-9cf9-4143-b1eb-fb0534803d38">2018MG-211-5736</_dlc_DocId>
    <_dlc_DocIdUrl xmlns="0f563589-9cf9-4143-b1eb-fb0534803d38">
      <Url>http://tweb13/sites/mg/dp/_layouts/15/DocIdRedir.aspx?ID=2018MG-211-5736</Url>
      <Description>2018MG-211-5736</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A457C-CEC1-4531-9EFB-9623E210000D}">
  <ds:schemaRefs>
    <ds:schemaRef ds:uri="http://schemas.microsoft.com/sharepoint/events"/>
  </ds:schemaRefs>
</ds:datastoreItem>
</file>

<file path=customXml/itemProps2.xml><?xml version="1.0" encoding="utf-8"?>
<ds:datastoreItem xmlns:ds="http://schemas.openxmlformats.org/officeDocument/2006/customXml" ds:itemID="{292FE8A8-E8DB-41C7-BBD6-1E960B00C1CE}">
  <ds:schemaRefs>
    <ds:schemaRef ds:uri="office.server.policy"/>
  </ds:schemaRefs>
</ds:datastoreItem>
</file>

<file path=customXml/itemProps3.xml><?xml version="1.0" encoding="utf-8"?>
<ds:datastoreItem xmlns:ds="http://schemas.openxmlformats.org/officeDocument/2006/customXml" ds:itemID="{BF98AE44-08C9-4348-A10D-CB0E81AC9063}">
  <ds:schemaRefs>
    <ds:schemaRef ds:uri="http://schemas.microsoft.com/sharepoint/v3/contenttype/forms"/>
  </ds:schemaRefs>
</ds:datastoreItem>
</file>

<file path=customXml/itemProps4.xml><?xml version="1.0" encoding="utf-8"?>
<ds:datastoreItem xmlns:ds="http://schemas.openxmlformats.org/officeDocument/2006/customXml" ds:itemID="{645D8A06-FBF2-4697-920F-0E48BFF19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8780C4-2639-4D5A-8A73-17EDB9A315EA}">
  <ds:schemaRefs>
    <ds:schemaRef ds:uri="http://schemas.microsoft.com/office/2006/documentManagement/types"/>
    <ds:schemaRef ds:uri="http://purl.org/dc/terms/"/>
    <ds:schemaRef ds:uri="http://schemas.microsoft.com/sharepoint/v4"/>
    <ds:schemaRef ds:uri="http://www.w3.org/XML/1998/namespace"/>
    <ds:schemaRef ds:uri="http://schemas.microsoft.com/sharepoint/v3"/>
    <ds:schemaRef ds:uri="http://schemas.microsoft.com/office/infopath/2007/PartnerControls"/>
    <ds:schemaRef ds:uri="http://schemas.openxmlformats.org/package/2006/metadata/core-properties"/>
    <ds:schemaRef ds:uri="d4dd4adf-ddb3-46a3-8d7c-fab3fb2a6bc7"/>
    <ds:schemaRef ds:uri="0f563589-9cf9-4143-b1eb-fb0534803d38"/>
    <ds:schemaRef ds:uri="http://schemas.microsoft.com/office/2006/metadata/properties"/>
    <ds:schemaRef ds:uri="http://purl.org/dc/dcmitype/"/>
    <ds:schemaRef ds:uri="http://purl.org/dc/elements/1.1/"/>
  </ds:schemaRefs>
</ds:datastoreItem>
</file>

<file path=customXml/itemProps6.xml><?xml version="1.0" encoding="utf-8"?>
<ds:datastoreItem xmlns:ds="http://schemas.openxmlformats.org/officeDocument/2006/customXml" ds:itemID="{DCF3BE2D-4FB3-47D5-9BEF-8EFAD056E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7858</Words>
  <Characters>44796</Characters>
  <Application>Microsoft Office Word</Application>
  <DocSecurity>4</DocSecurity>
  <Lines>373</Lines>
  <Paragraphs>105</Paragraphs>
  <ScaleCrop>false</ScaleCrop>
  <HeadingPairs>
    <vt:vector size="2" baseType="variant">
      <vt:variant>
        <vt:lpstr>Title</vt:lpstr>
      </vt:variant>
      <vt:variant>
        <vt:i4>1</vt:i4>
      </vt:variant>
    </vt:vector>
  </HeadingPairs>
  <TitlesOfParts>
    <vt:vector size="1" baseType="lpstr">
      <vt:lpstr>Discussion Paper - Registry Fees</vt:lpstr>
    </vt:vector>
  </TitlesOfParts>
  <Company>Australian Government - The Treasury</Company>
  <LinksUpToDate>false</LinksUpToDate>
  <CharactersWithSpaces>52549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Paper - Registry Fees</dc:title>
  <dc:subject>Consultation</dc:subject>
  <dc:creator>The Treasury</dc:creator>
  <cp:lastModifiedBy>Thomas, Deborah</cp:lastModifiedBy>
  <cp:revision>2</cp:revision>
  <cp:lastPrinted>2018-11-13T03:50:00Z</cp:lastPrinted>
  <dcterms:created xsi:type="dcterms:W3CDTF">2018-11-27T23:08:00Z</dcterms:created>
  <dcterms:modified xsi:type="dcterms:W3CDTF">2018-11-27T23:08:00Z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0x010100E95D40E5DFEA714B90E88DB5CE07A6B50026EFBF102293724BA14D3AC4224A6253</vt:lpwstr>
  </property>
  <property fmtid="{D5CDD505-2E9C-101B-9397-08002B2CF9AE}" pid="3" name="TSYRecordClass">
    <vt:lpwstr>15;#TSY RA-9286 - Destroy 30 years after action completed|25f6becb-d27e-4b14-8184-7aaf4a836cb6</vt:lpwstr>
  </property>
  <property fmtid="{D5CDD505-2E9C-101B-9397-08002B2CF9AE}" pid="4" name="RecordPoint_WorkflowType">
    <vt:lpwstr>ActiveSubmitStub</vt:lpwstr>
  </property>
  <property fmtid="{D5CDD505-2E9C-101B-9397-08002B2CF9AE}" pid="5" name="RecordPoint_ActiveItemListId">
    <vt:lpwstr>{ad378177-c700-4d3c-9a97-9abb1395c497}</vt:lpwstr>
  </property>
  <property fmtid="{D5CDD505-2E9C-101B-9397-08002B2CF9AE}" pid="6" name="RecordPoint_ActiveItemWebId">
    <vt:lpwstr>{eef44b56-61a8-478c-94af-3bf4008756fb}</vt:lpwstr>
  </property>
  <property fmtid="{D5CDD505-2E9C-101B-9397-08002B2CF9AE}" pid="7" name="RecordPoint_ActiveItemSiteId">
    <vt:lpwstr>{08cedf7d-7ad2-4b81-a81f-47e3ec332c41}</vt:lpwstr>
  </property>
  <property fmtid="{D5CDD505-2E9C-101B-9397-08002B2CF9AE}" pid="8" name="RecordPoint_RecordNumberSubmitted">
    <vt:lpwstr>R0001933474</vt:lpwstr>
  </property>
  <property fmtid="{D5CDD505-2E9C-101B-9397-08002B2CF9AE}" pid="9" name="RecordPoint_SubmissionCompleted">
    <vt:lpwstr>2018-11-21T02:33:17.0485765+11:00</vt:lpwstr>
  </property>
  <property fmtid="{D5CDD505-2E9C-101B-9397-08002B2CF9AE}" pid="10" name="RecordPoint_SubmissionDate">
    <vt:lpwstr/>
  </property>
  <property fmtid="{D5CDD505-2E9C-101B-9397-08002B2CF9AE}" pid="11" name="RecordPoint_ActiveItemMoved">
    <vt:lpwstr/>
  </property>
  <property fmtid="{D5CDD505-2E9C-101B-9397-08002B2CF9AE}" pid="12" name="RecordPoint_RecordFormat">
    <vt:lpwstr/>
  </property>
  <property fmtid="{D5CDD505-2E9C-101B-9397-08002B2CF9AE}" pid="13" name="_AdHocReviewCycleID">
    <vt:i4>-1420318273</vt:i4>
  </property>
  <property fmtid="{D5CDD505-2E9C-101B-9397-08002B2CF9AE}" pid="14" name="_NewReviewCycle">
    <vt:lpwstr/>
  </property>
  <property fmtid="{D5CDD505-2E9C-101B-9397-08002B2CF9AE}" pid="15" name="_EmailSubject">
    <vt:lpwstr>ASIC Registry fee review</vt:lpwstr>
  </property>
  <property fmtid="{D5CDD505-2E9C-101B-9397-08002B2CF9AE}" pid="16" name="_AuthorEmail">
    <vt:lpwstr>Adam.Bogiatzis@TREASURY.GOV.AU</vt:lpwstr>
  </property>
  <property fmtid="{D5CDD505-2E9C-101B-9397-08002B2CF9AE}" pid="17" name="_AuthorEmailDisplayName">
    <vt:lpwstr>Bogiatzis, Adam</vt:lpwstr>
  </property>
  <property fmtid="{D5CDD505-2E9C-101B-9397-08002B2CF9AE}" pid="18" name="_dlc_DocIdItemGuid">
    <vt:lpwstr>0977bb15-0d67-4720-955f-1ab7b7d12158</vt:lpwstr>
  </property>
  <property fmtid="{D5CDD505-2E9C-101B-9397-08002B2CF9AE}" pid="19" name="RecordPoint_ActiveItemUniqueId">
    <vt:lpwstr>{0977bb15-0d67-4720-955f-1ab7b7d12158}</vt:lpwstr>
  </property>
  <property fmtid="{D5CDD505-2E9C-101B-9397-08002B2CF9AE}" pid="20" name="_PreviousAdHocReviewCycleID">
    <vt:i4>480997959</vt:i4>
  </property>
  <property fmtid="{D5CDD505-2E9C-101B-9397-08002B2CF9AE}" pid="21" name="_ReviewingToolsShownOnce">
    <vt:lpwstr/>
  </property>
</Properties>
</file>