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6FF96"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68D6FF97" w14:textId="6EC4C2F5" w:rsidR="007662C7" w:rsidRPr="003E1CE3" w:rsidRDefault="00F109D4" w:rsidP="003E1CE3">
      <w:pPr>
        <w:pStyle w:val="Heading2"/>
        <w:jc w:val="center"/>
      </w:pPr>
      <w:r w:rsidRPr="00503E44">
        <w:t xml:space="preserve">Issued by authority of the </w:t>
      </w:r>
      <w:r w:rsidR="00906BFC">
        <w:t xml:space="preserve">Assistant </w:t>
      </w:r>
      <w:r w:rsidR="00AC5A61">
        <w:t>Treasurer</w:t>
      </w:r>
    </w:p>
    <w:p w14:paraId="68D6FF98" w14:textId="77777777" w:rsidR="00F109D4" w:rsidRPr="00503E44" w:rsidRDefault="00AC5A61" w:rsidP="00AA1689">
      <w:pPr>
        <w:spacing w:before="0" w:after="240"/>
        <w:jc w:val="center"/>
        <w:rPr>
          <w:i/>
        </w:rPr>
      </w:pPr>
      <w:r>
        <w:rPr>
          <w:i/>
        </w:rPr>
        <w:t xml:space="preserve">Australian Prudential </w:t>
      </w:r>
      <w:r w:rsidRPr="00D6046D">
        <w:rPr>
          <w:i/>
        </w:rPr>
        <w:t xml:space="preserve">Regulation </w:t>
      </w:r>
      <w:r>
        <w:rPr>
          <w:i/>
        </w:rPr>
        <w:t>Authority Act 1998</w:t>
      </w:r>
    </w:p>
    <w:p w14:paraId="68D6FF99" w14:textId="77777777" w:rsidR="00F109D4" w:rsidRPr="00503E44" w:rsidRDefault="00AC5A61" w:rsidP="00AA1689">
      <w:pPr>
        <w:tabs>
          <w:tab w:val="left" w:pos="1418"/>
        </w:tabs>
        <w:spacing w:before="0" w:after="240"/>
        <w:jc w:val="center"/>
        <w:rPr>
          <w:i/>
        </w:rPr>
      </w:pPr>
      <w:r>
        <w:rPr>
          <w:i/>
        </w:rPr>
        <w:t xml:space="preserve">Australian Prudential </w:t>
      </w:r>
      <w:r w:rsidRPr="00D6046D">
        <w:rPr>
          <w:i/>
        </w:rPr>
        <w:t xml:space="preserve">Regulation </w:t>
      </w:r>
      <w:r>
        <w:rPr>
          <w:i/>
        </w:rPr>
        <w:t>Authority Regulations</w:t>
      </w:r>
      <w:r w:rsidRPr="00112931">
        <w:rPr>
          <w:i/>
        </w:rPr>
        <w:t xml:space="preserve"> </w:t>
      </w:r>
      <w:r>
        <w:rPr>
          <w:i/>
        </w:rPr>
        <w:t>2018</w:t>
      </w:r>
    </w:p>
    <w:p w14:paraId="68D6FF9A" w14:textId="5CDC0501" w:rsidR="00AC5A61" w:rsidRDefault="00AC5A61" w:rsidP="00647BB7">
      <w:pPr>
        <w:spacing w:before="240"/>
      </w:pPr>
      <w:r w:rsidRPr="00AC5A61">
        <w:t xml:space="preserve">The </w:t>
      </w:r>
      <w:r w:rsidRPr="00807B68">
        <w:rPr>
          <w:i/>
        </w:rPr>
        <w:t>Australian Prudential Regulation Authority Act 1998</w:t>
      </w:r>
      <w:r w:rsidRPr="00AC5A61">
        <w:t xml:space="preserve"> (the Act) establishes the Australian Prudent</w:t>
      </w:r>
      <w:r w:rsidR="000D35D1">
        <w:t xml:space="preserve">ial Regulation Authority (APRA), </w:t>
      </w:r>
      <w:r w:rsidRPr="00AC5A61">
        <w:t>outlines the main purposes for which APRA exists, and grants functions and powers to APRA</w:t>
      </w:r>
      <w:r>
        <w:t>.</w:t>
      </w:r>
    </w:p>
    <w:p w14:paraId="68D6FF9B" w14:textId="77777777" w:rsidR="00F109D4" w:rsidRDefault="00C55D29" w:rsidP="00647BB7">
      <w:pPr>
        <w:spacing w:before="240"/>
      </w:pPr>
      <w:r w:rsidRPr="00794EA8">
        <w:t xml:space="preserve">Section </w:t>
      </w:r>
      <w:r w:rsidR="00AC5A61" w:rsidRPr="00794EA8">
        <w:t>60</w:t>
      </w:r>
      <w:r w:rsidR="005E4BAC" w:rsidRPr="00794EA8">
        <w:t xml:space="preserve"> </w:t>
      </w:r>
      <w:r w:rsidR="00807B68" w:rsidRPr="00794EA8">
        <w:t>of the Act</w:t>
      </w:r>
      <w:r w:rsidR="00F109D4" w:rsidRPr="006235AA">
        <w:t xml:space="preserve"> provides</w:t>
      </w:r>
      <w:r w:rsidR="00F109D4" w:rsidRPr="00503E44">
        <w:t xml:space="preserve"> that the Governor-General may make regulations prescribing matters required or permitted by the Act to be prescribed, or necessary or convenient to be prescribed for carrying out or giving effect to the Act.</w:t>
      </w:r>
    </w:p>
    <w:p w14:paraId="68D6FF9C" w14:textId="10E04E15" w:rsidR="00807B68" w:rsidRPr="00807B68" w:rsidRDefault="00807B68" w:rsidP="00807B68">
      <w:pPr>
        <w:spacing w:before="240"/>
      </w:pPr>
      <w:r w:rsidRPr="00807B68">
        <w:t xml:space="preserve">The purpose of the </w:t>
      </w:r>
      <w:r w:rsidRPr="00807B68">
        <w:rPr>
          <w:i/>
        </w:rPr>
        <w:t>Australian Prudential Regulation Authority Regulations 2018</w:t>
      </w:r>
      <w:r w:rsidRPr="00807B68">
        <w:t xml:space="preserve"> (the Regulations) </w:t>
      </w:r>
      <w:r w:rsidR="006B0E6A">
        <w:t>is</w:t>
      </w:r>
      <w:r w:rsidRPr="00807B68">
        <w:t xml:space="preserve"> to remake</w:t>
      </w:r>
      <w:r w:rsidR="005B22DB">
        <w:t xml:space="preserve"> the</w:t>
      </w:r>
      <w:r w:rsidRPr="00807B68">
        <w:t xml:space="preserve"> </w:t>
      </w:r>
      <w:r w:rsidRPr="00807B68">
        <w:rPr>
          <w:i/>
        </w:rPr>
        <w:t xml:space="preserve">Australian Prudential Regulation Authority Regulations 1998 </w:t>
      </w:r>
      <w:r w:rsidRPr="00807B68">
        <w:t>(the 1998 Regulations)</w:t>
      </w:r>
      <w:r w:rsidRPr="00807B68">
        <w:rPr>
          <w:i/>
        </w:rPr>
        <w:t xml:space="preserve"> </w:t>
      </w:r>
      <w:r w:rsidRPr="00807B68">
        <w:t xml:space="preserve">prior to ‘sunsetting’. The </w:t>
      </w:r>
      <w:r w:rsidRPr="00807B68">
        <w:rPr>
          <w:i/>
        </w:rPr>
        <w:t>Legislation Act 2003</w:t>
      </w:r>
      <w:r w:rsidRPr="00807B68">
        <w:t xml:space="preserve"> provides that all legislative instruments, other than exempt instruments, are automatically repealed on or after the tenth anniversary of registration. The </w:t>
      </w:r>
      <w:r w:rsidR="005B22DB" w:rsidRPr="005B45C1">
        <w:t>1998 Regulations</w:t>
      </w:r>
      <w:r w:rsidRPr="00807B68">
        <w:rPr>
          <w:i/>
        </w:rPr>
        <w:t xml:space="preserve"> </w:t>
      </w:r>
      <w:r w:rsidRPr="00807B68">
        <w:t>will be automatically repealed on 1 April 2019.</w:t>
      </w:r>
      <w:r w:rsidRPr="00807B68">
        <w:rPr>
          <w:i/>
        </w:rPr>
        <w:t xml:space="preserve"> </w:t>
      </w:r>
      <w:r w:rsidRPr="00807B68">
        <w:t xml:space="preserve">Legislative instruments generally cease to have effect after a specific date unless further legislative action is taken to extend their operation, such as remaking the instrument. </w:t>
      </w:r>
    </w:p>
    <w:p w14:paraId="68D6FF9D" w14:textId="7AAA51BB" w:rsidR="006B0E6A" w:rsidRDefault="006B0E6A" w:rsidP="006B0E6A">
      <w:r>
        <w:t xml:space="preserve">The Regulations remake the </w:t>
      </w:r>
      <w:r w:rsidR="00EE2329" w:rsidRPr="005B45C1">
        <w:t>1998 Regulations</w:t>
      </w:r>
      <w:r w:rsidR="00EE2329">
        <w:rPr>
          <w:i/>
        </w:rPr>
        <w:t xml:space="preserve"> </w:t>
      </w:r>
      <w:r w:rsidRPr="00DC20AE">
        <w:t xml:space="preserve">by </w:t>
      </w:r>
      <w:r>
        <w:t>restructuring provisions to align with current drafting practices. These changes do</w:t>
      </w:r>
      <w:r w:rsidRPr="00B96E9A">
        <w:t xml:space="preserve"> not change the substantive meaning or operation of the provisions.</w:t>
      </w:r>
      <w:r>
        <w:t xml:space="preserve"> </w:t>
      </w:r>
      <w:r w:rsidR="00EE2329">
        <w:t>The Regulations also update</w:t>
      </w:r>
      <w:r>
        <w:t xml:space="preserve"> the list of agencies prescribed for the purposes of disclosing protected information or producing protected documents.</w:t>
      </w:r>
    </w:p>
    <w:p w14:paraId="68D6FF9E" w14:textId="730E67F8" w:rsidR="00C67C8F" w:rsidRDefault="00C67C8F" w:rsidP="00C67C8F">
      <w:pPr>
        <w:spacing w:before="240"/>
      </w:pPr>
      <w:r>
        <w:t xml:space="preserve">Details of the Regulations are set out in the </w:t>
      </w:r>
      <w:r w:rsidRPr="00317816">
        <w:rPr>
          <w:u w:val="single"/>
        </w:rPr>
        <w:t>Attachment</w:t>
      </w:r>
      <w:r>
        <w:t>.</w:t>
      </w:r>
    </w:p>
    <w:p w14:paraId="68D6FF9F" w14:textId="0AB78AA9" w:rsidR="00C67C8F" w:rsidRDefault="00C67C8F" w:rsidP="00C67C8F">
      <w:pPr>
        <w:spacing w:before="240"/>
      </w:pPr>
      <w:r>
        <w:t>The Act specifies no conditions that need to be satisfied before the power to make the Regulations may be exercised.</w:t>
      </w:r>
    </w:p>
    <w:p w14:paraId="68D6FFA0" w14:textId="72B47388" w:rsidR="00C67C8F" w:rsidRPr="00D3322F" w:rsidRDefault="00C67C8F" w:rsidP="00FC7395">
      <w:pPr>
        <w:spacing w:before="240"/>
        <w:ind w:right="-341"/>
      </w:pPr>
      <w:r w:rsidRPr="00D3322F">
        <w:t>The Regulation</w:t>
      </w:r>
      <w:r>
        <w:t>s</w:t>
      </w:r>
      <w:r w:rsidRPr="00D3322F">
        <w:t xml:space="preserve"> </w:t>
      </w:r>
      <w:r w:rsidR="002A2A68">
        <w:t>are</w:t>
      </w:r>
      <w:r w:rsidRPr="00D3322F">
        <w:t xml:space="preserve"> a legislative instrument for the purposes of the</w:t>
      </w:r>
      <w:r w:rsidRPr="00322524">
        <w:t xml:space="preserve"> </w:t>
      </w:r>
      <w:r w:rsidRPr="00D3322F">
        <w:rPr>
          <w:i/>
        </w:rPr>
        <w:t>Legislation Act 2003</w:t>
      </w:r>
      <w:r w:rsidRPr="00D3322F">
        <w:t xml:space="preserve">. </w:t>
      </w:r>
    </w:p>
    <w:p w14:paraId="7FBC7FDE" w14:textId="2F264CC6" w:rsidR="002F2523" w:rsidRPr="005B45C1" w:rsidRDefault="00C67C8F" w:rsidP="00C67C8F">
      <w:pPr>
        <w:spacing w:before="240"/>
      </w:pPr>
      <w:r w:rsidRPr="00322524">
        <w:t>The Regulation</w:t>
      </w:r>
      <w:r>
        <w:t>s</w:t>
      </w:r>
      <w:r w:rsidRPr="00322524">
        <w:t xml:space="preserve"> commence </w:t>
      </w:r>
      <w:r w:rsidRPr="00BB06C3">
        <w:t>on the day after it is registered on the Federal Register of Legislation.</w:t>
      </w:r>
    </w:p>
    <w:p w14:paraId="55C199E6" w14:textId="0B2F98DD" w:rsidR="002F2523" w:rsidRPr="00647BB7" w:rsidRDefault="002F2523" w:rsidP="005B45C1">
      <w:pPr>
        <w:spacing w:before="0" w:after="0"/>
        <w:rPr>
          <w:i/>
        </w:rPr>
      </w:pPr>
      <w:r>
        <w:rPr>
          <w:i/>
        </w:rPr>
        <w:br w:type="page"/>
      </w:r>
    </w:p>
    <w:p w14:paraId="68D6FFA2" w14:textId="77777777" w:rsidR="00C67C8F" w:rsidRPr="00C67C8F" w:rsidRDefault="00C67C8F" w:rsidP="00C67C8F">
      <w:pPr>
        <w:spacing w:before="240"/>
        <w:jc w:val="right"/>
        <w:rPr>
          <w:b/>
          <w:u w:val="single"/>
        </w:rPr>
      </w:pPr>
      <w:r w:rsidRPr="00C67C8F">
        <w:rPr>
          <w:b/>
          <w:u w:val="single"/>
        </w:rPr>
        <w:lastRenderedPageBreak/>
        <w:t>ATTACHMENT</w:t>
      </w:r>
    </w:p>
    <w:p w14:paraId="68D6FFA3" w14:textId="4B2456A1" w:rsidR="00C67C8F" w:rsidRDefault="00C67C8F" w:rsidP="00C67C8F">
      <w:pPr>
        <w:spacing w:before="240"/>
        <w:rPr>
          <w:b/>
          <w:i/>
          <w:u w:val="single"/>
        </w:rPr>
      </w:pPr>
      <w:r w:rsidRPr="00C67C8F">
        <w:rPr>
          <w:b/>
          <w:u w:val="single"/>
        </w:rPr>
        <w:t xml:space="preserve">Details of the </w:t>
      </w:r>
      <w:r w:rsidRPr="00C67C8F">
        <w:rPr>
          <w:b/>
          <w:i/>
          <w:u w:val="single"/>
        </w:rPr>
        <w:t>Australian Prudential Regulation Authority Regulations 2018</w:t>
      </w:r>
    </w:p>
    <w:p w14:paraId="68D6FFA4" w14:textId="379A9936" w:rsidR="00EE4537" w:rsidRPr="00523101" w:rsidRDefault="00EE4537" w:rsidP="00C67C8F">
      <w:pPr>
        <w:spacing w:before="240"/>
        <w:rPr>
          <w:szCs w:val="24"/>
        </w:rPr>
      </w:pPr>
      <w:r w:rsidRPr="00EE4537">
        <w:rPr>
          <w:szCs w:val="24"/>
        </w:rPr>
        <w:t xml:space="preserve">This Attachment sets out further details of the </w:t>
      </w:r>
      <w:r>
        <w:rPr>
          <w:i/>
          <w:iCs/>
          <w:szCs w:val="24"/>
        </w:rPr>
        <w:t xml:space="preserve">Australian Prudential Authority </w:t>
      </w:r>
      <w:r w:rsidRPr="00EE4537">
        <w:rPr>
          <w:i/>
          <w:iCs/>
          <w:szCs w:val="24"/>
        </w:rPr>
        <w:t xml:space="preserve">Regulations 2018 </w:t>
      </w:r>
      <w:r w:rsidRPr="00EE4537">
        <w:rPr>
          <w:szCs w:val="24"/>
        </w:rPr>
        <w:t>(</w:t>
      </w:r>
      <w:r>
        <w:rPr>
          <w:szCs w:val="24"/>
        </w:rPr>
        <w:t xml:space="preserve">the </w:t>
      </w:r>
      <w:r w:rsidRPr="00EE4537">
        <w:rPr>
          <w:szCs w:val="24"/>
        </w:rPr>
        <w:t xml:space="preserve">Regulations). All references are to the Regulations unless otherwise stated. References to a ‘corresponding provision’ are to the corresponding provision in the </w:t>
      </w:r>
      <w:r>
        <w:rPr>
          <w:i/>
          <w:iCs/>
          <w:szCs w:val="24"/>
        </w:rPr>
        <w:t xml:space="preserve">Australian Prudential Regulation Authority </w:t>
      </w:r>
      <w:r w:rsidRPr="00523101">
        <w:rPr>
          <w:i/>
          <w:iCs/>
          <w:szCs w:val="24"/>
        </w:rPr>
        <w:t xml:space="preserve">Regulations 1998 </w:t>
      </w:r>
      <w:r w:rsidRPr="00523101">
        <w:rPr>
          <w:szCs w:val="24"/>
        </w:rPr>
        <w:t>(the 1998 Regulations).</w:t>
      </w:r>
    </w:p>
    <w:p w14:paraId="6F4BCAAA" w14:textId="0BFBA6B3" w:rsidR="00523101" w:rsidRPr="00EE4537" w:rsidRDefault="00EE4537" w:rsidP="00C67C8F">
      <w:pPr>
        <w:spacing w:before="240"/>
        <w:rPr>
          <w:b/>
          <w:szCs w:val="24"/>
          <w:u w:val="single"/>
        </w:rPr>
      </w:pPr>
      <w:r w:rsidRPr="005B45C1">
        <w:rPr>
          <w:szCs w:val="24"/>
        </w:rPr>
        <w:t xml:space="preserve">Changes of a minor or machinery nature, such as references to section rather than regulation in accordance with modern drafting practices, are generally not specifically identified in this Attachment. Where the Regulations make changes that require further explanation, these are identified and explained in this Attachment. </w:t>
      </w:r>
    </w:p>
    <w:p w14:paraId="68D6FFA6" w14:textId="5036D5B4" w:rsidR="00C67C8F" w:rsidRPr="00C67C8F" w:rsidRDefault="00C67C8F" w:rsidP="00C67C8F">
      <w:pPr>
        <w:spacing w:before="240"/>
        <w:rPr>
          <w:u w:val="single"/>
        </w:rPr>
      </w:pPr>
      <w:r w:rsidRPr="00C67C8F">
        <w:rPr>
          <w:u w:val="single"/>
        </w:rPr>
        <w:t>Section 1- Name of Regulations</w:t>
      </w:r>
    </w:p>
    <w:p w14:paraId="68D6FFA7" w14:textId="416A4169" w:rsidR="00C67C8F" w:rsidRPr="00C67C8F" w:rsidRDefault="00C67C8F" w:rsidP="00C67C8F">
      <w:pPr>
        <w:spacing w:before="240"/>
      </w:pPr>
      <w:r w:rsidRPr="00C67C8F">
        <w:t>This section provide</w:t>
      </w:r>
      <w:r w:rsidR="008E028F">
        <w:t>s</w:t>
      </w:r>
      <w:r w:rsidRPr="00C67C8F">
        <w:t xml:space="preserve"> that the title of the Regulations is the </w:t>
      </w:r>
      <w:r w:rsidRPr="00C67C8F">
        <w:rPr>
          <w:i/>
        </w:rPr>
        <w:t>Australian Prudential Regulation Authority Regulations 2018</w:t>
      </w:r>
      <w:r w:rsidRPr="00C67C8F">
        <w:t xml:space="preserve">. </w:t>
      </w:r>
    </w:p>
    <w:p w14:paraId="68D6FFA8" w14:textId="77777777" w:rsidR="00C67C8F" w:rsidRPr="00C67C8F" w:rsidRDefault="00C67C8F" w:rsidP="00C67C8F">
      <w:pPr>
        <w:spacing w:before="240"/>
        <w:rPr>
          <w:u w:val="single"/>
        </w:rPr>
      </w:pPr>
      <w:r w:rsidRPr="00C67C8F">
        <w:rPr>
          <w:u w:val="single"/>
        </w:rPr>
        <w:t>Section 2 - Commencement</w:t>
      </w:r>
    </w:p>
    <w:p w14:paraId="68D6FFA9" w14:textId="7F4528EA" w:rsidR="00C67C8F" w:rsidRPr="00C67C8F" w:rsidRDefault="00C67C8F" w:rsidP="00C67C8F">
      <w:pPr>
        <w:spacing w:before="240"/>
      </w:pPr>
      <w:r w:rsidRPr="00C67C8F">
        <w:t>This section provide</w:t>
      </w:r>
      <w:r w:rsidR="008E028F">
        <w:t>s</w:t>
      </w:r>
      <w:r w:rsidRPr="00C67C8F">
        <w:t xml:space="preserve"> that the Regulations commence the day after registration. </w:t>
      </w:r>
    </w:p>
    <w:p w14:paraId="68D6FFAA" w14:textId="77777777" w:rsidR="00C67C8F" w:rsidRPr="00C67C8F" w:rsidRDefault="00C67C8F" w:rsidP="00C67C8F">
      <w:pPr>
        <w:spacing w:before="240"/>
        <w:rPr>
          <w:u w:val="single"/>
        </w:rPr>
      </w:pPr>
      <w:r w:rsidRPr="00C67C8F">
        <w:rPr>
          <w:u w:val="single"/>
        </w:rPr>
        <w:t>Section 3 - Authority</w:t>
      </w:r>
    </w:p>
    <w:p w14:paraId="68D6FFAB" w14:textId="72279B50" w:rsidR="00C67C8F" w:rsidRPr="00C67C8F" w:rsidRDefault="00C67C8F" w:rsidP="00C67C8F">
      <w:pPr>
        <w:spacing w:before="240"/>
      </w:pPr>
      <w:r w:rsidRPr="00C67C8F">
        <w:t>This section provide</w:t>
      </w:r>
      <w:r w:rsidR="00EE4537">
        <w:t>s</w:t>
      </w:r>
      <w:r w:rsidRPr="00C67C8F">
        <w:t xml:space="preserve"> that the Regulations are made under the </w:t>
      </w:r>
      <w:r w:rsidRPr="00C67C8F">
        <w:rPr>
          <w:i/>
        </w:rPr>
        <w:t>Australian Prudential Regulation Authority Act 1998</w:t>
      </w:r>
      <w:r w:rsidRPr="00C67C8F" w:rsidDel="005C4530">
        <w:rPr>
          <w:i/>
        </w:rPr>
        <w:t xml:space="preserve"> </w:t>
      </w:r>
      <w:r w:rsidRPr="00C67C8F">
        <w:t xml:space="preserve">(the Act). </w:t>
      </w:r>
    </w:p>
    <w:p w14:paraId="68D6FFAC" w14:textId="77777777" w:rsidR="007752E4" w:rsidRPr="00C67C8F" w:rsidRDefault="007752E4" w:rsidP="007752E4">
      <w:pPr>
        <w:spacing w:before="240"/>
        <w:rPr>
          <w:u w:val="single"/>
        </w:rPr>
      </w:pPr>
      <w:r w:rsidRPr="00C67C8F">
        <w:rPr>
          <w:u w:val="single"/>
        </w:rPr>
        <w:t xml:space="preserve">Section </w:t>
      </w:r>
      <w:r>
        <w:rPr>
          <w:u w:val="single"/>
        </w:rPr>
        <w:t>4</w:t>
      </w:r>
      <w:r w:rsidRPr="00C67C8F">
        <w:rPr>
          <w:u w:val="single"/>
        </w:rPr>
        <w:t xml:space="preserve"> - Schedules</w:t>
      </w:r>
    </w:p>
    <w:p w14:paraId="68D6FFAD" w14:textId="07FB5C32" w:rsidR="007752E4" w:rsidRPr="007752E4" w:rsidRDefault="007752E4" w:rsidP="00C67C8F">
      <w:pPr>
        <w:spacing w:before="240"/>
      </w:pPr>
      <w:r w:rsidRPr="00C67C8F">
        <w:t>This section provide</w:t>
      </w:r>
      <w:r>
        <w:t>s</w:t>
      </w:r>
      <w:r w:rsidRPr="00C67C8F">
        <w:t xml:space="preserve"> that each instrument that is specified in a Schedule to the Regulations is amended or repealed as set out in the applicable items in the Schedule concerned, and any other items in a Schedule to this instrument has effect according to its terms. </w:t>
      </w:r>
    </w:p>
    <w:p w14:paraId="68D6FFAE" w14:textId="747E39C1" w:rsidR="00C67C8F" w:rsidRPr="00C67C8F" w:rsidRDefault="00C67C8F" w:rsidP="00C67C8F">
      <w:pPr>
        <w:spacing w:before="240"/>
        <w:rPr>
          <w:u w:val="single"/>
        </w:rPr>
      </w:pPr>
      <w:r w:rsidRPr="00C67C8F">
        <w:rPr>
          <w:u w:val="single"/>
        </w:rPr>
        <w:t xml:space="preserve">Section </w:t>
      </w:r>
      <w:r w:rsidR="007752E4">
        <w:rPr>
          <w:u w:val="single"/>
        </w:rPr>
        <w:t>5</w:t>
      </w:r>
      <w:r w:rsidRPr="00C67C8F">
        <w:rPr>
          <w:u w:val="single"/>
        </w:rPr>
        <w:t xml:space="preserve"> - Definitions</w:t>
      </w:r>
    </w:p>
    <w:p w14:paraId="68D6FFAF" w14:textId="297A9E52" w:rsidR="00C67C8F" w:rsidRPr="00C67C8F" w:rsidRDefault="00C67C8F" w:rsidP="00C67C8F">
      <w:pPr>
        <w:spacing w:before="240"/>
        <w:rPr>
          <w:u w:val="single"/>
        </w:rPr>
      </w:pPr>
      <w:r w:rsidRPr="00C67C8F">
        <w:t>This section define</w:t>
      </w:r>
      <w:r w:rsidR="00EE4537">
        <w:t>s</w:t>
      </w:r>
      <w:r w:rsidRPr="00C67C8F">
        <w:t xml:space="preserve"> terms used in the instrument.</w:t>
      </w:r>
    </w:p>
    <w:p w14:paraId="68D6FFB2" w14:textId="02FEBB61" w:rsidR="00C67C8F" w:rsidRPr="00C67C8F" w:rsidRDefault="00C67C8F" w:rsidP="00C67C8F">
      <w:pPr>
        <w:spacing w:before="240"/>
        <w:rPr>
          <w:u w:val="single"/>
        </w:rPr>
      </w:pPr>
      <w:r w:rsidRPr="00C67C8F">
        <w:rPr>
          <w:u w:val="single"/>
        </w:rPr>
        <w:t xml:space="preserve">Section 6 </w:t>
      </w:r>
      <w:r w:rsidR="00DC4D75">
        <w:rPr>
          <w:u w:val="single"/>
        </w:rPr>
        <w:t xml:space="preserve">- </w:t>
      </w:r>
      <w:r w:rsidRPr="00C67C8F">
        <w:rPr>
          <w:u w:val="single"/>
        </w:rPr>
        <w:t>Cooperation with other agencies</w:t>
      </w:r>
    </w:p>
    <w:p w14:paraId="68D6FFB3" w14:textId="77777777" w:rsidR="006235AA" w:rsidRDefault="006235AA" w:rsidP="006235AA">
      <w:pPr>
        <w:spacing w:before="240"/>
      </w:pPr>
      <w:r>
        <w:t xml:space="preserve">Under section 10A of the Act, APRA should have regard to the desirability of cooperating with other financial sector supervisory agencies, and with other agencies specified in regulations, in performing and exercising its functions and powers. </w:t>
      </w:r>
    </w:p>
    <w:p w14:paraId="524CB274" w14:textId="1B3DB536" w:rsidR="00954E34" w:rsidRDefault="0073653B" w:rsidP="00C67C8F">
      <w:pPr>
        <w:spacing w:before="240"/>
      </w:pPr>
      <w:r>
        <w:t>S</w:t>
      </w:r>
      <w:r w:rsidR="006235AA">
        <w:t xml:space="preserve">ection </w:t>
      </w:r>
      <w:r>
        <w:t xml:space="preserve">6 </w:t>
      </w:r>
      <w:r w:rsidR="006235AA">
        <w:t xml:space="preserve">of the Regulations specifies the agencies with which APRA should cooperate </w:t>
      </w:r>
      <w:r>
        <w:t>for the purposes of sub</w:t>
      </w:r>
      <w:r w:rsidR="006235AA">
        <w:t>section 10A(1) of the Act</w:t>
      </w:r>
      <w:r w:rsidR="00104417">
        <w:t xml:space="preserve">. </w:t>
      </w:r>
    </w:p>
    <w:p w14:paraId="6AA4364D" w14:textId="2D25EB1D" w:rsidR="00C82508" w:rsidRDefault="00716F21" w:rsidP="00C67C8F">
      <w:pPr>
        <w:spacing w:before="240"/>
      </w:pPr>
      <w:r>
        <w:t>To align with current drafting practices</w:t>
      </w:r>
      <w:r w:rsidR="0073653B">
        <w:t xml:space="preserve">, </w:t>
      </w:r>
      <w:r w:rsidR="000D3DD4">
        <w:t xml:space="preserve">section 6 </w:t>
      </w:r>
      <w:r w:rsidR="000D3DD4" w:rsidRPr="000D3DD4">
        <w:t>expand</w:t>
      </w:r>
      <w:r w:rsidR="000D3DD4">
        <w:t>s</w:t>
      </w:r>
      <w:r w:rsidR="000D3DD4" w:rsidRPr="000D3DD4">
        <w:t xml:space="preserve"> the list of agencies </w:t>
      </w:r>
      <w:r w:rsidR="00824C6A">
        <w:t xml:space="preserve">to give effect to </w:t>
      </w:r>
      <w:r w:rsidR="00C82508" w:rsidRPr="00C82508">
        <w:t xml:space="preserve">subitem 7(2) of Schedule 3 to the </w:t>
      </w:r>
      <w:r w:rsidR="00C82508" w:rsidRPr="001D6A8C">
        <w:rPr>
          <w:i/>
        </w:rPr>
        <w:t>Australian Prudential Regulation Authority Amendment Act 2003</w:t>
      </w:r>
      <w:r w:rsidR="000D3DD4" w:rsidRPr="000D3DD4">
        <w:t xml:space="preserve">. </w:t>
      </w:r>
      <w:r w:rsidR="00954E34">
        <w:t xml:space="preserve">That item provided that agencies specified for the purposes of </w:t>
      </w:r>
      <w:r w:rsidR="00954E34" w:rsidRPr="00954E34">
        <w:lastRenderedPageBreak/>
        <w:t xml:space="preserve">paragraph 56(5)(a) of the Act </w:t>
      </w:r>
      <w:r w:rsidR="00954E34">
        <w:t>at the time of the amendment were to be taken to be specified for the purposes of subsection 10A(1) of the Act</w:t>
      </w:r>
      <w:r w:rsidR="00954E34" w:rsidRPr="000D3DD4">
        <w:t xml:space="preserve"> </w:t>
      </w:r>
      <w:r w:rsidR="00954E34">
        <w:t xml:space="preserve">as well. </w:t>
      </w:r>
      <w:r w:rsidR="000D3DD4" w:rsidRPr="000D3DD4">
        <w:t xml:space="preserve">The effect </w:t>
      </w:r>
      <w:r w:rsidR="000D3DD4">
        <w:t>is that the</w:t>
      </w:r>
      <w:r w:rsidR="000D3DD4" w:rsidRPr="000D3DD4">
        <w:t xml:space="preserve"> list of agencies is the same as those previously listed</w:t>
      </w:r>
      <w:r w:rsidR="00954E34">
        <w:t xml:space="preserve"> but </w:t>
      </w:r>
      <w:r w:rsidR="009A737A">
        <w:t xml:space="preserve">are now </w:t>
      </w:r>
      <w:r w:rsidR="00954E34">
        <w:t>displayed for clarity</w:t>
      </w:r>
      <w:r w:rsidR="000D3DD4">
        <w:t>.</w:t>
      </w:r>
      <w:r w:rsidR="00C50AF6">
        <w:t xml:space="preserve"> </w:t>
      </w:r>
    </w:p>
    <w:p w14:paraId="68D6FFB4" w14:textId="22B99559" w:rsidR="006235AA" w:rsidRDefault="00C50AF6" w:rsidP="00C67C8F">
      <w:pPr>
        <w:spacing w:before="240"/>
      </w:pPr>
      <w:r>
        <w:t xml:space="preserve">The reference to the Council of Financial Regulators has </w:t>
      </w:r>
      <w:r w:rsidR="00A464EC">
        <w:t xml:space="preserve">also </w:t>
      </w:r>
      <w:r>
        <w:t>been expanded to list the individual members</w:t>
      </w:r>
      <w:r w:rsidR="00B13783">
        <w:t xml:space="preserve"> (excluding APRA)</w:t>
      </w:r>
      <w:r>
        <w:t>, being: the Reserve Bank of Australia; the Australian Securities and Investments Commission; and the Treasury.</w:t>
      </w:r>
    </w:p>
    <w:p w14:paraId="68D6FFB5" w14:textId="53FB5073" w:rsidR="0089164F" w:rsidRPr="00C67C8F" w:rsidRDefault="00C67C8F" w:rsidP="00C67C8F">
      <w:pPr>
        <w:spacing w:before="240"/>
      </w:pPr>
      <w:r w:rsidRPr="00C67C8F">
        <w:t xml:space="preserve">This section </w:t>
      </w:r>
      <w:r w:rsidR="000B5D06">
        <w:t>operates in the same way as</w:t>
      </w:r>
      <w:r w:rsidR="000B5D06" w:rsidRPr="00C67C8F">
        <w:t xml:space="preserve"> </w:t>
      </w:r>
      <w:r w:rsidRPr="00C67C8F">
        <w:t>the corresponding provision in the 1998</w:t>
      </w:r>
      <w:r w:rsidR="00523101">
        <w:t> </w:t>
      </w:r>
      <w:r w:rsidRPr="00C67C8F">
        <w:t>Regulations.</w:t>
      </w:r>
    </w:p>
    <w:p w14:paraId="68D6FFB6" w14:textId="77777777" w:rsidR="00C67C8F" w:rsidRDefault="00C67C8F" w:rsidP="00C67C8F">
      <w:pPr>
        <w:spacing w:before="240"/>
        <w:rPr>
          <w:u w:val="single"/>
        </w:rPr>
      </w:pPr>
      <w:r w:rsidRPr="00C67C8F">
        <w:rPr>
          <w:u w:val="single"/>
        </w:rPr>
        <w:t>Section 7 - Liability to fringe benefits taxation</w:t>
      </w:r>
    </w:p>
    <w:p w14:paraId="68D6FFB7" w14:textId="77777777" w:rsidR="00EE3A41" w:rsidRDefault="00EE3A41" w:rsidP="00C67C8F">
      <w:pPr>
        <w:spacing w:before="240"/>
      </w:pPr>
      <w:r>
        <w:t>Subsection</w:t>
      </w:r>
      <w:r w:rsidR="003C5995">
        <w:t>s</w:t>
      </w:r>
      <w:r>
        <w:t xml:space="preserve"> </w:t>
      </w:r>
      <w:r w:rsidRPr="00252E6F">
        <w:t>55(1)</w:t>
      </w:r>
      <w:r w:rsidR="003C5995" w:rsidRPr="00252E6F">
        <w:t xml:space="preserve"> and (2)</w:t>
      </w:r>
      <w:r w:rsidR="003C5995">
        <w:t xml:space="preserve"> of the Act </w:t>
      </w:r>
      <w:r w:rsidR="00171B9C">
        <w:t xml:space="preserve">respectively </w:t>
      </w:r>
      <w:r w:rsidR="003C5995">
        <w:t>provide</w:t>
      </w:r>
      <w:r>
        <w:t xml:space="preserve"> that APRA is not subject to taxation under the laws of the Commonwealth or of a State or Territory</w:t>
      </w:r>
      <w:r w:rsidR="003C5995">
        <w:t xml:space="preserve">, and </w:t>
      </w:r>
      <w:r w:rsidR="00171B9C">
        <w:t>that the regulations may limit the application of subsection (1)</w:t>
      </w:r>
      <w:r>
        <w:t xml:space="preserve">. </w:t>
      </w:r>
    </w:p>
    <w:p w14:paraId="68D6FFB8" w14:textId="44A33AB1" w:rsidR="00171B9C" w:rsidRPr="00BA6CCB" w:rsidRDefault="00824C6A" w:rsidP="00C67C8F">
      <w:pPr>
        <w:spacing w:before="240"/>
      </w:pPr>
      <w:r>
        <w:t>S</w:t>
      </w:r>
      <w:r w:rsidR="00171B9C">
        <w:t xml:space="preserve">ection </w:t>
      </w:r>
      <w:r>
        <w:t xml:space="preserve">7 </w:t>
      </w:r>
      <w:r w:rsidR="00171B9C">
        <w:t xml:space="preserve">of the Regulations provides that APRA may be subject to taxation in relation to the </w:t>
      </w:r>
      <w:r w:rsidR="00171B9C">
        <w:rPr>
          <w:i/>
        </w:rPr>
        <w:t>Fringe Benefits Tax Assessment Act 1986</w:t>
      </w:r>
      <w:r w:rsidR="00171B9C">
        <w:t xml:space="preserve">. </w:t>
      </w:r>
    </w:p>
    <w:p w14:paraId="68D6FFB9" w14:textId="2A5E08A9" w:rsidR="00C67C8F" w:rsidRPr="00C67C8F" w:rsidRDefault="00C67C8F" w:rsidP="00C67C8F">
      <w:pPr>
        <w:spacing w:before="240"/>
      </w:pPr>
      <w:r w:rsidRPr="00C67C8F">
        <w:t xml:space="preserve">This section </w:t>
      </w:r>
      <w:r w:rsidR="000B5D06">
        <w:t>operates in the same way as</w:t>
      </w:r>
      <w:r w:rsidR="000B5D06" w:rsidRPr="00C67C8F">
        <w:t xml:space="preserve"> </w:t>
      </w:r>
      <w:r w:rsidRPr="00C67C8F">
        <w:t>the corresponding provision in the 1998</w:t>
      </w:r>
      <w:r w:rsidR="00523101">
        <w:t> </w:t>
      </w:r>
      <w:r w:rsidRPr="00C67C8F">
        <w:t>Regulations.</w:t>
      </w:r>
    </w:p>
    <w:p w14:paraId="68D6FFBA" w14:textId="77777777" w:rsidR="00C67C8F" w:rsidRPr="00C67C8F" w:rsidRDefault="00C67C8F" w:rsidP="00C67C8F">
      <w:pPr>
        <w:spacing w:before="240"/>
        <w:rPr>
          <w:u w:val="single"/>
        </w:rPr>
      </w:pPr>
      <w:r w:rsidRPr="00C67C8F">
        <w:rPr>
          <w:u w:val="single"/>
        </w:rPr>
        <w:t>Section 8 - Prescription of prudential regulation framework laws</w:t>
      </w:r>
    </w:p>
    <w:p w14:paraId="402E2DCD" w14:textId="3EDB0C44" w:rsidR="003A7813" w:rsidRDefault="003A7813" w:rsidP="00C67C8F">
      <w:pPr>
        <w:spacing w:before="240"/>
      </w:pPr>
      <w:r>
        <w:t>Paragraph 3</w:t>
      </w:r>
      <w:r w:rsidR="00BA6CCB">
        <w:t>(1)(o)</w:t>
      </w:r>
      <w:r>
        <w:t xml:space="preserve"> of the Act provides</w:t>
      </w:r>
      <w:r w:rsidR="00BA6CCB">
        <w:t xml:space="preserve"> that</w:t>
      </w:r>
      <w:r>
        <w:t xml:space="preserve"> the definition </w:t>
      </w:r>
      <w:r w:rsidR="00BA6CCB">
        <w:t xml:space="preserve">of </w:t>
      </w:r>
      <w:r w:rsidR="00BA6CCB">
        <w:rPr>
          <w:i/>
        </w:rPr>
        <w:t>prudential regulation framework law</w:t>
      </w:r>
      <w:r w:rsidR="00BA6CCB">
        <w:t xml:space="preserve"> includes another Act that is prescribed for the purposes of the section in which the expression appears. </w:t>
      </w:r>
    </w:p>
    <w:p w14:paraId="57E31CF7" w14:textId="450F7D74" w:rsidR="00BA6CCB" w:rsidRDefault="00824C6A" w:rsidP="00C67C8F">
      <w:pPr>
        <w:spacing w:before="240"/>
      </w:pPr>
      <w:r>
        <w:t>S</w:t>
      </w:r>
      <w:r w:rsidR="00BA6CCB">
        <w:t>ection</w:t>
      </w:r>
      <w:r>
        <w:t xml:space="preserve"> 8</w:t>
      </w:r>
      <w:r w:rsidR="00BA6CCB">
        <w:t xml:space="preserve"> of the Regulations provides that the </w:t>
      </w:r>
      <w:r w:rsidR="00BA6CCB">
        <w:rPr>
          <w:i/>
        </w:rPr>
        <w:t xml:space="preserve">prudential regulation framework law </w:t>
      </w:r>
      <w:r w:rsidR="00BA6CCB">
        <w:t xml:space="preserve">means the </w:t>
      </w:r>
      <w:r w:rsidR="00BA6CCB">
        <w:rPr>
          <w:i/>
        </w:rPr>
        <w:t>Royal Commissions Act 1902</w:t>
      </w:r>
      <w:r w:rsidR="00BA6CCB">
        <w:t xml:space="preserve"> for the purposes of section 56 of the </w:t>
      </w:r>
      <w:r w:rsidR="00523101">
        <w:t>Act.</w:t>
      </w:r>
      <w:r w:rsidR="00BA6CCB">
        <w:t xml:space="preserve"> </w:t>
      </w:r>
    </w:p>
    <w:p w14:paraId="68D6FFBB" w14:textId="58E8A0B8" w:rsidR="00C67C8F" w:rsidRPr="00C67C8F" w:rsidRDefault="00C67C8F" w:rsidP="00C67C8F">
      <w:pPr>
        <w:spacing w:before="240"/>
      </w:pPr>
      <w:r w:rsidRPr="00C67C8F">
        <w:t xml:space="preserve">This section </w:t>
      </w:r>
      <w:r w:rsidR="000B5D06">
        <w:t>operates in the same way as</w:t>
      </w:r>
      <w:r w:rsidR="000B5D06" w:rsidRPr="00C67C8F">
        <w:t xml:space="preserve"> </w:t>
      </w:r>
      <w:r w:rsidRPr="00C67C8F">
        <w:t>the corresponding provision in the</w:t>
      </w:r>
      <w:r w:rsidRPr="00C67C8F">
        <w:rPr>
          <w:i/>
        </w:rPr>
        <w:t xml:space="preserve"> </w:t>
      </w:r>
      <w:r w:rsidRPr="00C67C8F">
        <w:t>1998</w:t>
      </w:r>
      <w:r w:rsidR="00523101">
        <w:t> </w:t>
      </w:r>
      <w:r w:rsidRPr="00C67C8F">
        <w:t>Regulations.</w:t>
      </w:r>
    </w:p>
    <w:p w14:paraId="68D6FFBC" w14:textId="0BA33EC2" w:rsidR="00C67C8F" w:rsidRPr="00C67C8F" w:rsidRDefault="00C67C8F" w:rsidP="00C67C8F">
      <w:pPr>
        <w:spacing w:before="240"/>
        <w:rPr>
          <w:u w:val="single"/>
        </w:rPr>
      </w:pPr>
      <w:r w:rsidRPr="00C67C8F">
        <w:rPr>
          <w:u w:val="single"/>
        </w:rPr>
        <w:t xml:space="preserve">Section 9 </w:t>
      </w:r>
      <w:r w:rsidR="00523101">
        <w:rPr>
          <w:u w:val="single"/>
        </w:rPr>
        <w:t>-</w:t>
      </w:r>
      <w:r w:rsidRPr="00C67C8F">
        <w:rPr>
          <w:u w:val="single"/>
        </w:rPr>
        <w:t xml:space="preserve"> Secrecy</w:t>
      </w:r>
      <w:r w:rsidR="00DC4D75">
        <w:rPr>
          <w:u w:val="single"/>
        </w:rPr>
        <w:t>–disclosure of protect</w:t>
      </w:r>
      <w:r w:rsidR="00523101">
        <w:rPr>
          <w:u w:val="single"/>
        </w:rPr>
        <w:t>ed</w:t>
      </w:r>
      <w:r w:rsidR="00DC4D75">
        <w:rPr>
          <w:u w:val="single"/>
        </w:rPr>
        <w:t xml:space="preserve"> information or production of protected documents to specified agencies</w:t>
      </w:r>
    </w:p>
    <w:p w14:paraId="7973FB40" w14:textId="023FDBE5" w:rsidR="00545679" w:rsidRDefault="003B7F2C" w:rsidP="00545679">
      <w:pPr>
        <w:spacing w:before="240"/>
      </w:pPr>
      <w:r>
        <w:t xml:space="preserve">APRA works with both domestic and international entities in order to fulfil its purposes as outlined in the APRA Act, including the maintenance of financial stability in Australia. </w:t>
      </w:r>
      <w:r w:rsidR="00545679">
        <w:t>For the purposes of conducting its mandate, APRA regularly</w:t>
      </w:r>
      <w:r w:rsidR="00935B89">
        <w:t xml:space="preserve"> engages</w:t>
      </w:r>
      <w:r w:rsidR="00545679">
        <w:t xml:space="preserve"> with a number of Australian </w:t>
      </w:r>
      <w:r>
        <w:t xml:space="preserve">and international </w:t>
      </w:r>
      <w:r w:rsidR="00545679">
        <w:t xml:space="preserve">agencies and </w:t>
      </w:r>
      <w:r w:rsidR="00906BFC">
        <w:t>institutions</w:t>
      </w:r>
      <w:r w:rsidR="00545679">
        <w:t xml:space="preserve"> in such a way that requires them to be able to share protected information </w:t>
      </w:r>
      <w:r>
        <w:t xml:space="preserve">in </w:t>
      </w:r>
      <w:r w:rsidR="00545679">
        <w:t xml:space="preserve">specific circumstances. </w:t>
      </w:r>
      <w:r w:rsidR="0090274C" w:rsidRPr="00C67C8F">
        <w:t>Protected information is information which APRA has obtained in relation to a prudential regulation framework law, relating to a financial sector entity, a related body corporate or a customer of certain classes of financial institution.</w:t>
      </w:r>
      <w:r w:rsidR="0090274C">
        <w:t xml:space="preserve"> </w:t>
      </w:r>
    </w:p>
    <w:p w14:paraId="061F6A3C" w14:textId="246B8212" w:rsidR="00DC4D75" w:rsidRPr="00C67C8F" w:rsidRDefault="001D792F" w:rsidP="00C67C8F">
      <w:pPr>
        <w:spacing w:before="240"/>
      </w:pPr>
      <w:r>
        <w:t>Paragraph</w:t>
      </w:r>
      <w:r w:rsidRPr="005B45C1">
        <w:t xml:space="preserve"> </w:t>
      </w:r>
      <w:r w:rsidR="00C67C8F" w:rsidRPr="005B45C1">
        <w:t>56(5)(a)</w:t>
      </w:r>
      <w:r w:rsidR="00C67C8F" w:rsidRPr="00DC4D75">
        <w:t xml:space="preserve"> of the Act</w:t>
      </w:r>
      <w:r w:rsidR="00C67C8F" w:rsidRPr="00C67C8F">
        <w:t xml:space="preserve"> allows APRA to disclose protected information </w:t>
      </w:r>
      <w:r w:rsidR="0090274C">
        <w:t xml:space="preserve">or produce a protected document </w:t>
      </w:r>
      <w:r w:rsidR="00F45CF1">
        <w:t xml:space="preserve">to </w:t>
      </w:r>
      <w:r w:rsidR="00C67C8F" w:rsidRPr="00C67C8F">
        <w:t>a financial sector supervisory agency or a</w:t>
      </w:r>
      <w:r w:rsidR="00F45CF1">
        <w:t xml:space="preserve">n </w:t>
      </w:r>
      <w:r w:rsidR="00C67C8F" w:rsidRPr="00C67C8F">
        <w:t xml:space="preserve">agency (including foreign agencies) specified in the </w:t>
      </w:r>
      <w:r w:rsidR="00C950AB">
        <w:t>r</w:t>
      </w:r>
      <w:r w:rsidR="00C67C8F" w:rsidRPr="00C67C8F">
        <w:t xml:space="preserve">egulations. </w:t>
      </w:r>
    </w:p>
    <w:p w14:paraId="68D6FFC0" w14:textId="5086A551" w:rsidR="00C67C8F" w:rsidRPr="00C67C8F" w:rsidRDefault="0090274C" w:rsidP="00C67C8F">
      <w:pPr>
        <w:spacing w:before="240"/>
        <w:rPr>
          <w:lang w:val="en-US"/>
        </w:rPr>
      </w:pPr>
      <w:r>
        <w:lastRenderedPageBreak/>
        <w:t>S</w:t>
      </w:r>
      <w:r w:rsidR="00C67C8F" w:rsidRPr="00C67C8F">
        <w:t xml:space="preserve">ection </w:t>
      </w:r>
      <w:r>
        <w:t xml:space="preserve">9 </w:t>
      </w:r>
      <w:r w:rsidR="00CF1A2E">
        <w:t xml:space="preserve">of the Regulations </w:t>
      </w:r>
      <w:r>
        <w:t>specifies</w:t>
      </w:r>
      <w:r w:rsidR="00CF1A2E">
        <w:t xml:space="preserve"> the agencies for the purposes of </w:t>
      </w:r>
      <w:r w:rsidR="001D792F">
        <w:t>paragraph</w:t>
      </w:r>
      <w:r w:rsidR="00CF1A2E">
        <w:t xml:space="preserve"> 56(5)(a) of the Act. Th</w:t>
      </w:r>
      <w:r w:rsidR="009C5E84">
        <w:t>e</w:t>
      </w:r>
      <w:r w:rsidR="00CF1A2E">
        <w:t xml:space="preserve"> </w:t>
      </w:r>
      <w:r w:rsidR="00D92955">
        <w:t xml:space="preserve">list replicates that </w:t>
      </w:r>
      <w:r w:rsidR="00C67C8F" w:rsidRPr="00C67C8F">
        <w:t xml:space="preserve">contained in </w:t>
      </w:r>
      <w:r w:rsidR="00A83B3B">
        <w:t>section 5 of the</w:t>
      </w:r>
      <w:r w:rsidR="00A83B3B" w:rsidRPr="00C67C8F">
        <w:t xml:space="preserve"> </w:t>
      </w:r>
      <w:r w:rsidR="00C67C8F" w:rsidRPr="00C67C8F">
        <w:t xml:space="preserve">1998 Regulations with the following changes: </w:t>
      </w:r>
      <w:r w:rsidR="00C67C8F" w:rsidRPr="00C67C8F">
        <w:rPr>
          <w:lang w:val="en-US"/>
        </w:rPr>
        <w:t xml:space="preserve"> </w:t>
      </w:r>
    </w:p>
    <w:p w14:paraId="5FEA3950" w14:textId="01E45A12" w:rsidR="00A83B3B" w:rsidRDefault="00A83B3B" w:rsidP="00F218C1">
      <w:pPr>
        <w:pStyle w:val="Bullet"/>
      </w:pPr>
      <w:r>
        <w:t xml:space="preserve">the list of agencies is ordered alphabetically; </w:t>
      </w:r>
    </w:p>
    <w:p w14:paraId="57EFC7A9" w14:textId="5880FF76" w:rsidR="00A83B3B" w:rsidRDefault="00F218C1" w:rsidP="00F218C1">
      <w:pPr>
        <w:pStyle w:val="Bullet"/>
      </w:pPr>
      <w:r>
        <w:t xml:space="preserve">the reference </w:t>
      </w:r>
      <w:r w:rsidR="001E3FA9">
        <w:t xml:space="preserve">to the </w:t>
      </w:r>
      <w:r w:rsidR="001E3FA9" w:rsidRPr="00CF555B">
        <w:t>Commissioner of Taxatio</w:t>
      </w:r>
      <w:r w:rsidR="001E3FA9" w:rsidRPr="00110A01">
        <w:t>n</w:t>
      </w:r>
      <w:r w:rsidR="001E3FA9">
        <w:t xml:space="preserve"> </w:t>
      </w:r>
      <w:r>
        <w:t xml:space="preserve">is </w:t>
      </w:r>
      <w:r w:rsidR="001E3FA9">
        <w:t xml:space="preserve">amended to remove the conditionality </w:t>
      </w:r>
      <w:r>
        <w:t xml:space="preserve">for consistency with </w:t>
      </w:r>
      <w:r w:rsidR="001E3FA9">
        <w:t>the broader position on information sharing</w:t>
      </w:r>
      <w:r>
        <w:t>;</w:t>
      </w:r>
      <w:r w:rsidR="001E3FA9" w:rsidRPr="001E3FA9">
        <w:t xml:space="preserve"> </w:t>
      </w:r>
    </w:p>
    <w:p w14:paraId="7D72A863" w14:textId="7685A89E" w:rsidR="00F218C1" w:rsidRDefault="00A83B3B" w:rsidP="00F218C1">
      <w:pPr>
        <w:pStyle w:val="Bullet"/>
      </w:pPr>
      <w:r>
        <w:t xml:space="preserve">the reference to the </w:t>
      </w:r>
      <w:r w:rsidRPr="00563DEF">
        <w:rPr>
          <w:i/>
        </w:rPr>
        <w:t xml:space="preserve">Superannuation (Excluded Funds) Taxation Act 1987 </w:t>
      </w:r>
      <w:r>
        <w:t xml:space="preserve">is updated to the </w:t>
      </w:r>
      <w:r w:rsidRPr="00563DEF">
        <w:rPr>
          <w:i/>
        </w:rPr>
        <w:t xml:space="preserve">Superannuation (Self Managed Superannuation Funds) Taxation Act </w:t>
      </w:r>
      <w:r w:rsidRPr="00660B0C">
        <w:rPr>
          <w:i/>
        </w:rPr>
        <w:t>1987</w:t>
      </w:r>
      <w:r>
        <w:t xml:space="preserve">; </w:t>
      </w:r>
      <w:r w:rsidR="001E3FA9">
        <w:t>and</w:t>
      </w:r>
    </w:p>
    <w:p w14:paraId="2DDB8C48" w14:textId="77D5321B" w:rsidR="00F218C1" w:rsidRDefault="00C67C8F" w:rsidP="005B45C1">
      <w:pPr>
        <w:pStyle w:val="Bullet"/>
      </w:pPr>
      <w:r w:rsidRPr="00C67C8F">
        <w:t xml:space="preserve">the Commission of Inquiry relating the HIH Insurance Group </w:t>
      </w:r>
      <w:r w:rsidR="00CF1A2E">
        <w:t>is</w:t>
      </w:r>
      <w:r w:rsidRPr="00C67C8F">
        <w:t xml:space="preserve"> removed as it is no longer relevant</w:t>
      </w:r>
      <w:r w:rsidR="001E3FA9">
        <w:t>.</w:t>
      </w:r>
      <w:r w:rsidR="009C5E84">
        <w:t xml:space="preserve"> </w:t>
      </w:r>
    </w:p>
    <w:p w14:paraId="68D6FFC5" w14:textId="58835E7F" w:rsidR="00C67C8F" w:rsidRPr="00C67C8F" w:rsidRDefault="00C67C8F" w:rsidP="00C67C8F">
      <w:pPr>
        <w:spacing w:before="240"/>
        <w:rPr>
          <w:u w:val="single"/>
        </w:rPr>
      </w:pPr>
      <w:r w:rsidRPr="00C67C8F">
        <w:rPr>
          <w:u w:val="single"/>
        </w:rPr>
        <w:t xml:space="preserve">Schedule 1 </w:t>
      </w:r>
      <w:r w:rsidR="006827A7">
        <w:rPr>
          <w:u w:val="single"/>
        </w:rPr>
        <w:t>-</w:t>
      </w:r>
      <w:r w:rsidRPr="00C67C8F">
        <w:rPr>
          <w:u w:val="single"/>
        </w:rPr>
        <w:t xml:space="preserve"> Repeals </w:t>
      </w:r>
    </w:p>
    <w:p w14:paraId="68D6FFC6" w14:textId="1E685300" w:rsidR="00C67C8F" w:rsidRPr="00C67C8F" w:rsidRDefault="00C67C8F" w:rsidP="00C67C8F">
      <w:pPr>
        <w:spacing w:before="240"/>
        <w:rPr>
          <w:lang w:val="en-US"/>
        </w:rPr>
      </w:pPr>
      <w:r w:rsidRPr="00C67C8F">
        <w:rPr>
          <w:bCs/>
        </w:rPr>
        <w:t>This schedule provide</w:t>
      </w:r>
      <w:r w:rsidR="006550A6">
        <w:rPr>
          <w:bCs/>
        </w:rPr>
        <w:t>s</w:t>
      </w:r>
      <w:r w:rsidRPr="00C67C8F">
        <w:rPr>
          <w:bCs/>
        </w:rPr>
        <w:t xml:space="preserve"> for the repeal of the </w:t>
      </w:r>
      <w:r w:rsidR="006827A7">
        <w:rPr>
          <w:bCs/>
        </w:rPr>
        <w:t xml:space="preserve">1998 Regulations </w:t>
      </w:r>
      <w:r w:rsidRPr="00C67C8F">
        <w:rPr>
          <w:bCs/>
        </w:rPr>
        <w:t>as the instrument is due to sunset on 1 April 2019 and is being remade by the Regulations.</w:t>
      </w:r>
    </w:p>
    <w:p w14:paraId="68D6FFC7" w14:textId="24D17CBC" w:rsidR="00C67C8F" w:rsidRPr="00C67C8F" w:rsidRDefault="00C67C8F" w:rsidP="00C67C8F">
      <w:pPr>
        <w:spacing w:before="240"/>
        <w:rPr>
          <w:b/>
          <w:u w:val="single"/>
        </w:rPr>
      </w:pPr>
      <w:r w:rsidRPr="006235AA">
        <w:rPr>
          <w:lang w:val="en-US"/>
        </w:rPr>
        <w:t xml:space="preserve">Under section 7 of the </w:t>
      </w:r>
      <w:r w:rsidRPr="006235AA">
        <w:rPr>
          <w:i/>
          <w:lang w:val="en-US"/>
        </w:rPr>
        <w:t>Acts Interpretation Act 1901</w:t>
      </w:r>
      <w:r w:rsidRPr="006235AA">
        <w:rPr>
          <w:lang w:val="en-US"/>
        </w:rPr>
        <w:t xml:space="preserve">, as applied to legislative instruments by subsection </w:t>
      </w:r>
      <w:r w:rsidRPr="00CC2A8B">
        <w:rPr>
          <w:lang w:val="en-US"/>
        </w:rPr>
        <w:t>13(1) of the</w:t>
      </w:r>
      <w:r w:rsidRPr="00C67C8F">
        <w:rPr>
          <w:lang w:val="en-US"/>
        </w:rPr>
        <w:t xml:space="preserve"> </w:t>
      </w:r>
      <w:r w:rsidRPr="00C67C8F">
        <w:rPr>
          <w:i/>
          <w:lang w:val="en-US"/>
        </w:rPr>
        <w:t>Legislation Act 2003</w:t>
      </w:r>
      <w:r w:rsidRPr="00C67C8F">
        <w:rPr>
          <w:lang w:val="en-US"/>
        </w:rPr>
        <w:t xml:space="preserve">, the repeal of the </w:t>
      </w:r>
      <w:r w:rsidR="006827A7" w:rsidRPr="006827A7">
        <w:t>1</w:t>
      </w:r>
      <w:r w:rsidR="006827A7">
        <w:t>998 </w:t>
      </w:r>
      <w:r w:rsidR="006827A7" w:rsidRPr="006827A7">
        <w:t>Regulations</w:t>
      </w:r>
      <w:r w:rsidRPr="00C67C8F">
        <w:rPr>
          <w:i/>
        </w:rPr>
        <w:t xml:space="preserve"> </w:t>
      </w:r>
      <w:r w:rsidR="00CC2A8B">
        <w:rPr>
          <w:lang w:val="en-US"/>
        </w:rPr>
        <w:t>does</w:t>
      </w:r>
      <w:r w:rsidR="00CC2A8B" w:rsidRPr="00C67C8F">
        <w:rPr>
          <w:lang w:val="en-US"/>
        </w:rPr>
        <w:t xml:space="preserve"> </w:t>
      </w:r>
      <w:r w:rsidRPr="00C67C8F">
        <w:rPr>
          <w:lang w:val="en-US"/>
        </w:rPr>
        <w:t xml:space="preserve">not affect its previous operation. </w:t>
      </w:r>
    </w:p>
    <w:p w14:paraId="68D6FFC8" w14:textId="77777777" w:rsidR="006550A6" w:rsidRDefault="006550A6">
      <w:pPr>
        <w:spacing w:before="0" w:after="0"/>
      </w:pPr>
      <w:r>
        <w:br w:type="page"/>
      </w:r>
    </w:p>
    <w:p w14:paraId="68D6FFC9" w14:textId="77777777" w:rsidR="009143A0" w:rsidRDefault="006550A6" w:rsidP="00647BB7">
      <w:pPr>
        <w:spacing w:before="240"/>
        <w:rPr>
          <w:b/>
          <w:u w:val="single"/>
        </w:rPr>
      </w:pPr>
      <w:r w:rsidRPr="006550A6">
        <w:rPr>
          <w:b/>
          <w:u w:val="single"/>
        </w:rPr>
        <w:lastRenderedPageBreak/>
        <w:t>Finding table</w:t>
      </w:r>
    </w:p>
    <w:p w14:paraId="68D6FFCA" w14:textId="218A1407" w:rsidR="006550A6" w:rsidRPr="003A7813" w:rsidRDefault="006550A6" w:rsidP="006550A6">
      <w:pPr>
        <w:pStyle w:val="Default"/>
      </w:pPr>
      <w:r w:rsidRPr="00A71C5C">
        <w:t xml:space="preserve">As a result of some of the changes described above, it became necessary to renumber provisions of the Regulations. </w:t>
      </w:r>
      <w:r w:rsidR="003D3845">
        <w:t>Below is a</w:t>
      </w:r>
      <w:r w:rsidRPr="00A71C5C">
        <w:t xml:space="preserve"> finding table to assist in identifying which provision in the </w:t>
      </w:r>
      <w:r w:rsidRPr="003A7813">
        <w:t xml:space="preserve">Regulations corresponds to a provision in the </w:t>
      </w:r>
      <w:r>
        <w:t>1998 Regulations</w:t>
      </w:r>
      <w:r w:rsidRPr="003A7813">
        <w:t xml:space="preserve"> that has been rewritten. </w:t>
      </w:r>
    </w:p>
    <w:p w14:paraId="68D6FFCB" w14:textId="13168E05" w:rsidR="006550A6" w:rsidRDefault="006550A6" w:rsidP="006550A6">
      <w:pPr>
        <w:spacing w:before="240"/>
        <w:rPr>
          <w:szCs w:val="24"/>
        </w:rPr>
      </w:pPr>
      <w:r w:rsidRPr="003A7813">
        <w:rPr>
          <w:szCs w:val="24"/>
        </w:rPr>
        <w:t xml:space="preserve">References to the old law </w:t>
      </w:r>
      <w:r>
        <w:rPr>
          <w:szCs w:val="24"/>
        </w:rPr>
        <w:t xml:space="preserve">in the below table </w:t>
      </w:r>
      <w:r w:rsidRPr="003A7813">
        <w:rPr>
          <w:szCs w:val="24"/>
        </w:rPr>
        <w:t xml:space="preserve">are to the </w:t>
      </w:r>
      <w:r w:rsidR="003D3845" w:rsidRPr="005B45C1">
        <w:t>1998 Regulations</w:t>
      </w:r>
      <w:r w:rsidRPr="003A7813">
        <w:rPr>
          <w:i/>
          <w:iCs/>
          <w:szCs w:val="24"/>
        </w:rPr>
        <w:t xml:space="preserve">. </w:t>
      </w:r>
      <w:r w:rsidRPr="003A7813">
        <w:rPr>
          <w:szCs w:val="24"/>
        </w:rPr>
        <w:t xml:space="preserve">References to the new law are to the </w:t>
      </w:r>
      <w:r w:rsidRPr="005B45C1">
        <w:t>2018</w:t>
      </w:r>
      <w:r w:rsidR="003D3845" w:rsidRPr="005B45C1">
        <w:t xml:space="preserve"> Regulations</w:t>
      </w:r>
      <w:r w:rsidRPr="003A7813">
        <w:rPr>
          <w:szCs w:val="24"/>
        </w:rPr>
        <w:t>. Also, in the finding table, ‘no equivalent’ means that this is a new provision that has no equivalent in the old law</w:t>
      </w:r>
      <w:r w:rsidR="00CF2C0C">
        <w:rPr>
          <w:szCs w:val="24"/>
        </w:rPr>
        <w:t>, and vice versa</w:t>
      </w:r>
      <w:r w:rsidRPr="003A7813">
        <w:rPr>
          <w:szCs w:val="24"/>
        </w:rPr>
        <w:t>.</w:t>
      </w:r>
    </w:p>
    <w:tbl>
      <w:tblPr>
        <w:tblStyle w:val="TableGrid"/>
        <w:tblW w:w="0" w:type="auto"/>
        <w:tblLook w:val="04A0" w:firstRow="1" w:lastRow="0" w:firstColumn="1" w:lastColumn="0" w:noHBand="0" w:noVBand="1"/>
      </w:tblPr>
      <w:tblGrid>
        <w:gridCol w:w="4261"/>
        <w:gridCol w:w="4261"/>
      </w:tblGrid>
      <w:tr w:rsidR="007969E3" w14:paraId="68D6FFCE" w14:textId="77777777" w:rsidTr="007969E3">
        <w:tc>
          <w:tcPr>
            <w:tcW w:w="4261" w:type="dxa"/>
          </w:tcPr>
          <w:p w14:paraId="68D6FFCC" w14:textId="77777777" w:rsidR="007969E3" w:rsidRPr="003A7813" w:rsidRDefault="007969E3" w:rsidP="003A7813">
            <w:pPr>
              <w:spacing w:before="240"/>
              <w:jc w:val="center"/>
              <w:rPr>
                <w:b/>
                <w:i/>
                <w:szCs w:val="24"/>
              </w:rPr>
            </w:pPr>
            <w:r w:rsidRPr="003A7813">
              <w:rPr>
                <w:b/>
                <w:i/>
                <w:szCs w:val="24"/>
              </w:rPr>
              <w:t>Old law</w:t>
            </w:r>
          </w:p>
        </w:tc>
        <w:tc>
          <w:tcPr>
            <w:tcW w:w="4261" w:type="dxa"/>
          </w:tcPr>
          <w:p w14:paraId="68D6FFCD" w14:textId="77777777" w:rsidR="007969E3" w:rsidRPr="003A7813" w:rsidRDefault="007969E3" w:rsidP="003A7813">
            <w:pPr>
              <w:spacing w:before="240"/>
              <w:jc w:val="center"/>
              <w:rPr>
                <w:b/>
                <w:i/>
                <w:szCs w:val="24"/>
              </w:rPr>
            </w:pPr>
            <w:r w:rsidRPr="003A7813">
              <w:rPr>
                <w:b/>
                <w:i/>
                <w:szCs w:val="24"/>
              </w:rPr>
              <w:t>New Law</w:t>
            </w:r>
          </w:p>
        </w:tc>
      </w:tr>
      <w:tr w:rsidR="007969E3" w14:paraId="68D6FFD1" w14:textId="77777777" w:rsidTr="007969E3">
        <w:tc>
          <w:tcPr>
            <w:tcW w:w="4261" w:type="dxa"/>
          </w:tcPr>
          <w:p w14:paraId="68D6FFCF" w14:textId="77777777" w:rsidR="007969E3" w:rsidRPr="003A7813" w:rsidRDefault="007969E3" w:rsidP="003A7813">
            <w:pPr>
              <w:spacing w:before="240"/>
              <w:jc w:val="center"/>
              <w:rPr>
                <w:i/>
                <w:szCs w:val="24"/>
              </w:rPr>
            </w:pPr>
            <w:r w:rsidRPr="00C67C8F">
              <w:rPr>
                <w:i/>
              </w:rPr>
              <w:t>Australian Prudential Regulation Authority Regulations 1998</w:t>
            </w:r>
          </w:p>
        </w:tc>
        <w:tc>
          <w:tcPr>
            <w:tcW w:w="4261" w:type="dxa"/>
          </w:tcPr>
          <w:p w14:paraId="68D6FFD0" w14:textId="77777777" w:rsidR="007969E3" w:rsidRPr="003A7813" w:rsidRDefault="007969E3" w:rsidP="003A7813">
            <w:pPr>
              <w:spacing w:before="240"/>
              <w:jc w:val="center"/>
              <w:rPr>
                <w:i/>
                <w:szCs w:val="24"/>
              </w:rPr>
            </w:pPr>
            <w:r w:rsidRPr="00C67C8F">
              <w:rPr>
                <w:i/>
              </w:rPr>
              <w:t xml:space="preserve">Australian Prudential Regulation Authority Regulations </w:t>
            </w:r>
            <w:r>
              <w:rPr>
                <w:i/>
              </w:rPr>
              <w:t>201</w:t>
            </w:r>
            <w:r w:rsidRPr="00C67C8F">
              <w:rPr>
                <w:i/>
              </w:rPr>
              <w:t>8</w:t>
            </w:r>
          </w:p>
        </w:tc>
      </w:tr>
      <w:tr w:rsidR="007969E3" w14:paraId="68D6FFD4" w14:textId="77777777" w:rsidTr="007969E3">
        <w:tc>
          <w:tcPr>
            <w:tcW w:w="4261" w:type="dxa"/>
          </w:tcPr>
          <w:p w14:paraId="68D6FFD2" w14:textId="77777777" w:rsidR="007969E3" w:rsidRDefault="00CC2A8B" w:rsidP="006550A6">
            <w:pPr>
              <w:spacing w:before="240"/>
              <w:rPr>
                <w:szCs w:val="24"/>
              </w:rPr>
            </w:pPr>
            <w:r>
              <w:rPr>
                <w:szCs w:val="24"/>
              </w:rPr>
              <w:t>1 – Name of Regulations</w:t>
            </w:r>
          </w:p>
        </w:tc>
        <w:tc>
          <w:tcPr>
            <w:tcW w:w="4261" w:type="dxa"/>
          </w:tcPr>
          <w:p w14:paraId="68D6FFD3" w14:textId="77777777" w:rsidR="007969E3" w:rsidRDefault="00CC2A8B" w:rsidP="006550A6">
            <w:pPr>
              <w:spacing w:before="240"/>
              <w:rPr>
                <w:szCs w:val="24"/>
              </w:rPr>
            </w:pPr>
            <w:r>
              <w:rPr>
                <w:szCs w:val="24"/>
              </w:rPr>
              <w:t>1 – Name</w:t>
            </w:r>
          </w:p>
        </w:tc>
      </w:tr>
      <w:tr w:rsidR="00CC2A8B" w14:paraId="68D6FFD7" w14:textId="77777777" w:rsidTr="007969E3">
        <w:tc>
          <w:tcPr>
            <w:tcW w:w="4261" w:type="dxa"/>
          </w:tcPr>
          <w:p w14:paraId="68D6FFD5" w14:textId="77777777" w:rsidR="00CC2A8B" w:rsidRDefault="00CC2A8B" w:rsidP="006550A6">
            <w:pPr>
              <w:spacing w:before="240"/>
              <w:rPr>
                <w:szCs w:val="24"/>
              </w:rPr>
            </w:pPr>
            <w:r>
              <w:rPr>
                <w:szCs w:val="24"/>
              </w:rPr>
              <w:t xml:space="preserve">No equivalent </w:t>
            </w:r>
          </w:p>
        </w:tc>
        <w:tc>
          <w:tcPr>
            <w:tcW w:w="4261" w:type="dxa"/>
          </w:tcPr>
          <w:p w14:paraId="68D6FFD6" w14:textId="77777777" w:rsidR="00CC2A8B" w:rsidRDefault="00CC2A8B" w:rsidP="006550A6">
            <w:pPr>
              <w:spacing w:before="240"/>
              <w:rPr>
                <w:szCs w:val="24"/>
              </w:rPr>
            </w:pPr>
            <w:r>
              <w:rPr>
                <w:szCs w:val="24"/>
              </w:rPr>
              <w:t>2 – Commencement</w:t>
            </w:r>
          </w:p>
        </w:tc>
      </w:tr>
      <w:tr w:rsidR="00CC2A8B" w14:paraId="68D6FFDA" w14:textId="77777777" w:rsidTr="007969E3">
        <w:tc>
          <w:tcPr>
            <w:tcW w:w="4261" w:type="dxa"/>
          </w:tcPr>
          <w:p w14:paraId="68D6FFD8" w14:textId="77777777" w:rsidR="00CC2A8B" w:rsidRDefault="00CC2A8B" w:rsidP="006550A6">
            <w:pPr>
              <w:spacing w:before="240"/>
              <w:rPr>
                <w:szCs w:val="24"/>
              </w:rPr>
            </w:pPr>
            <w:r>
              <w:rPr>
                <w:szCs w:val="24"/>
              </w:rPr>
              <w:t>No equivalent</w:t>
            </w:r>
          </w:p>
        </w:tc>
        <w:tc>
          <w:tcPr>
            <w:tcW w:w="4261" w:type="dxa"/>
          </w:tcPr>
          <w:p w14:paraId="68D6FFD9" w14:textId="634F0025" w:rsidR="00CC2A8B" w:rsidRDefault="00CC2A8B" w:rsidP="006550A6">
            <w:pPr>
              <w:spacing w:before="240"/>
              <w:rPr>
                <w:szCs w:val="24"/>
              </w:rPr>
            </w:pPr>
            <w:r>
              <w:rPr>
                <w:szCs w:val="24"/>
              </w:rPr>
              <w:t>3 –</w:t>
            </w:r>
            <w:r w:rsidR="002A6848">
              <w:rPr>
                <w:szCs w:val="24"/>
              </w:rPr>
              <w:t xml:space="preserve"> </w:t>
            </w:r>
            <w:r>
              <w:rPr>
                <w:szCs w:val="24"/>
              </w:rPr>
              <w:t xml:space="preserve">Authority </w:t>
            </w:r>
          </w:p>
        </w:tc>
      </w:tr>
      <w:tr w:rsidR="007969E3" w14:paraId="68D6FFDD" w14:textId="77777777" w:rsidTr="007969E3">
        <w:tc>
          <w:tcPr>
            <w:tcW w:w="4261" w:type="dxa"/>
          </w:tcPr>
          <w:p w14:paraId="68D6FFDB" w14:textId="77777777" w:rsidR="007969E3" w:rsidRDefault="00FF07DC" w:rsidP="006550A6">
            <w:pPr>
              <w:spacing w:before="240"/>
              <w:rPr>
                <w:szCs w:val="24"/>
              </w:rPr>
            </w:pPr>
            <w:r>
              <w:rPr>
                <w:szCs w:val="24"/>
              </w:rPr>
              <w:t>No equivalent</w:t>
            </w:r>
          </w:p>
        </w:tc>
        <w:tc>
          <w:tcPr>
            <w:tcW w:w="4261" w:type="dxa"/>
          </w:tcPr>
          <w:p w14:paraId="68D6FFDC" w14:textId="77777777" w:rsidR="007969E3" w:rsidRDefault="00CC2A8B" w:rsidP="006550A6">
            <w:pPr>
              <w:spacing w:before="240"/>
              <w:rPr>
                <w:szCs w:val="24"/>
              </w:rPr>
            </w:pPr>
            <w:r>
              <w:rPr>
                <w:szCs w:val="24"/>
              </w:rPr>
              <w:t xml:space="preserve">4 – Schedules </w:t>
            </w:r>
          </w:p>
        </w:tc>
      </w:tr>
      <w:tr w:rsidR="007969E3" w14:paraId="68D6FFE0" w14:textId="77777777" w:rsidTr="007969E3">
        <w:tc>
          <w:tcPr>
            <w:tcW w:w="4261" w:type="dxa"/>
          </w:tcPr>
          <w:p w14:paraId="68D6FFDE" w14:textId="77777777" w:rsidR="007969E3" w:rsidRDefault="00FF07DC" w:rsidP="006550A6">
            <w:pPr>
              <w:spacing w:before="240"/>
              <w:rPr>
                <w:szCs w:val="24"/>
              </w:rPr>
            </w:pPr>
            <w:r>
              <w:rPr>
                <w:szCs w:val="24"/>
              </w:rPr>
              <w:t>3 – Definitions</w:t>
            </w:r>
          </w:p>
        </w:tc>
        <w:tc>
          <w:tcPr>
            <w:tcW w:w="4261" w:type="dxa"/>
          </w:tcPr>
          <w:p w14:paraId="68D6FFDF" w14:textId="77777777" w:rsidR="007969E3" w:rsidRDefault="00CC2A8B" w:rsidP="006550A6">
            <w:pPr>
              <w:spacing w:before="240"/>
              <w:rPr>
                <w:szCs w:val="24"/>
              </w:rPr>
            </w:pPr>
            <w:r>
              <w:rPr>
                <w:szCs w:val="24"/>
              </w:rPr>
              <w:t>5 – Definitions</w:t>
            </w:r>
          </w:p>
        </w:tc>
      </w:tr>
      <w:tr w:rsidR="007969E3" w14:paraId="68D6FFE3" w14:textId="77777777" w:rsidTr="007969E3">
        <w:tc>
          <w:tcPr>
            <w:tcW w:w="4261" w:type="dxa"/>
          </w:tcPr>
          <w:p w14:paraId="68D6FFE1" w14:textId="77777777" w:rsidR="007969E3" w:rsidRDefault="00FF07DC" w:rsidP="006550A6">
            <w:pPr>
              <w:spacing w:before="240"/>
              <w:rPr>
                <w:szCs w:val="24"/>
              </w:rPr>
            </w:pPr>
            <w:r>
              <w:rPr>
                <w:szCs w:val="24"/>
              </w:rPr>
              <w:t>3A – Cooperation with other agencies</w:t>
            </w:r>
          </w:p>
        </w:tc>
        <w:tc>
          <w:tcPr>
            <w:tcW w:w="4261" w:type="dxa"/>
          </w:tcPr>
          <w:p w14:paraId="68D6FFE2" w14:textId="77777777" w:rsidR="007969E3" w:rsidRDefault="0038278D" w:rsidP="006550A6">
            <w:pPr>
              <w:spacing w:before="240"/>
              <w:rPr>
                <w:szCs w:val="24"/>
              </w:rPr>
            </w:pPr>
            <w:r>
              <w:rPr>
                <w:szCs w:val="24"/>
              </w:rPr>
              <w:t>6 – Cooperation with other agencies</w:t>
            </w:r>
          </w:p>
        </w:tc>
      </w:tr>
      <w:tr w:rsidR="007969E3" w14:paraId="68D6FFE6" w14:textId="77777777" w:rsidTr="007969E3">
        <w:tc>
          <w:tcPr>
            <w:tcW w:w="4261" w:type="dxa"/>
          </w:tcPr>
          <w:p w14:paraId="68D6FFE4" w14:textId="77777777" w:rsidR="007969E3" w:rsidRDefault="00FF07DC" w:rsidP="006550A6">
            <w:pPr>
              <w:spacing w:before="240"/>
              <w:rPr>
                <w:szCs w:val="24"/>
              </w:rPr>
            </w:pPr>
            <w:r>
              <w:rPr>
                <w:szCs w:val="24"/>
              </w:rPr>
              <w:t>4 – Liability to fringe benefits taxation (Act, s55 (2))</w:t>
            </w:r>
          </w:p>
        </w:tc>
        <w:tc>
          <w:tcPr>
            <w:tcW w:w="4261" w:type="dxa"/>
          </w:tcPr>
          <w:p w14:paraId="68D6FFE5" w14:textId="77777777" w:rsidR="007969E3" w:rsidRDefault="0038278D" w:rsidP="006550A6">
            <w:pPr>
              <w:spacing w:before="240"/>
              <w:rPr>
                <w:szCs w:val="24"/>
              </w:rPr>
            </w:pPr>
            <w:r>
              <w:rPr>
                <w:szCs w:val="24"/>
              </w:rPr>
              <w:t>7 – Liability to fringe benefits taxation</w:t>
            </w:r>
          </w:p>
        </w:tc>
      </w:tr>
      <w:tr w:rsidR="00CC2A8B" w14:paraId="68D6FFE9" w14:textId="77777777" w:rsidTr="007969E3">
        <w:tc>
          <w:tcPr>
            <w:tcW w:w="4261" w:type="dxa"/>
          </w:tcPr>
          <w:p w14:paraId="68D6FFE7" w14:textId="77777777" w:rsidR="00CC2A8B" w:rsidRDefault="00FF07DC" w:rsidP="006235AA">
            <w:pPr>
              <w:spacing w:before="240"/>
              <w:rPr>
                <w:szCs w:val="24"/>
              </w:rPr>
            </w:pPr>
            <w:r>
              <w:rPr>
                <w:szCs w:val="24"/>
              </w:rPr>
              <w:t>4A – Prescription of prudential regulation framework laws</w:t>
            </w:r>
          </w:p>
        </w:tc>
        <w:tc>
          <w:tcPr>
            <w:tcW w:w="4261" w:type="dxa"/>
          </w:tcPr>
          <w:p w14:paraId="68D6FFE8" w14:textId="77777777" w:rsidR="00CC2A8B" w:rsidRDefault="0038278D" w:rsidP="006550A6">
            <w:pPr>
              <w:spacing w:before="240"/>
              <w:rPr>
                <w:szCs w:val="24"/>
              </w:rPr>
            </w:pPr>
            <w:r>
              <w:rPr>
                <w:szCs w:val="24"/>
              </w:rPr>
              <w:t>8 – Prescription of prudential regulation framework laws</w:t>
            </w:r>
          </w:p>
        </w:tc>
      </w:tr>
      <w:tr w:rsidR="00FF07DC" w14:paraId="68D6FFEC" w14:textId="77777777" w:rsidTr="007969E3">
        <w:tc>
          <w:tcPr>
            <w:tcW w:w="4261" w:type="dxa"/>
          </w:tcPr>
          <w:p w14:paraId="68D6FFEA" w14:textId="74D1C6B1" w:rsidR="00FF07DC" w:rsidRDefault="00FF07DC" w:rsidP="00CC2A8B">
            <w:pPr>
              <w:spacing w:before="240"/>
              <w:rPr>
                <w:szCs w:val="24"/>
              </w:rPr>
            </w:pPr>
            <w:r>
              <w:rPr>
                <w:szCs w:val="24"/>
              </w:rPr>
              <w:t>5 – Secrecy – disclosure of protect</w:t>
            </w:r>
            <w:r w:rsidR="00C61B71">
              <w:rPr>
                <w:szCs w:val="24"/>
              </w:rPr>
              <w:t>ed</w:t>
            </w:r>
            <w:r>
              <w:rPr>
                <w:szCs w:val="24"/>
              </w:rPr>
              <w:t xml:space="preserve"> information or production of protected document to specified agencies (Act s 56 (5))</w:t>
            </w:r>
          </w:p>
        </w:tc>
        <w:tc>
          <w:tcPr>
            <w:tcW w:w="4261" w:type="dxa"/>
          </w:tcPr>
          <w:p w14:paraId="68D6FFEB" w14:textId="77777777" w:rsidR="00FF07DC" w:rsidRDefault="00FF07DC" w:rsidP="006550A6">
            <w:pPr>
              <w:spacing w:before="240"/>
              <w:rPr>
                <w:szCs w:val="24"/>
              </w:rPr>
            </w:pPr>
            <w:r>
              <w:rPr>
                <w:szCs w:val="24"/>
              </w:rPr>
              <w:t xml:space="preserve">9 – Secrecy – disclosure of protected information or production of protected document to specified agencies </w:t>
            </w:r>
          </w:p>
        </w:tc>
      </w:tr>
      <w:tr w:rsidR="007969E3" w14:paraId="68D6FFEF" w14:textId="77777777" w:rsidTr="007969E3">
        <w:tc>
          <w:tcPr>
            <w:tcW w:w="4261" w:type="dxa"/>
          </w:tcPr>
          <w:p w14:paraId="68D6FFED" w14:textId="77777777" w:rsidR="007969E3" w:rsidRDefault="007969E3" w:rsidP="006550A6">
            <w:pPr>
              <w:spacing w:before="240"/>
              <w:rPr>
                <w:szCs w:val="24"/>
              </w:rPr>
            </w:pPr>
            <w:r>
              <w:rPr>
                <w:szCs w:val="24"/>
              </w:rPr>
              <w:t xml:space="preserve">No equivalent </w:t>
            </w:r>
          </w:p>
        </w:tc>
        <w:tc>
          <w:tcPr>
            <w:tcW w:w="4261" w:type="dxa"/>
          </w:tcPr>
          <w:p w14:paraId="68D6FFEE" w14:textId="41BAF356" w:rsidR="007969E3" w:rsidRDefault="007969E3" w:rsidP="006550A6">
            <w:pPr>
              <w:spacing w:before="240"/>
              <w:rPr>
                <w:szCs w:val="24"/>
              </w:rPr>
            </w:pPr>
            <w:r>
              <w:rPr>
                <w:szCs w:val="24"/>
              </w:rPr>
              <w:t>Schedule 1</w:t>
            </w:r>
            <w:r w:rsidR="009B4B70">
              <w:rPr>
                <w:szCs w:val="24"/>
              </w:rPr>
              <w:t xml:space="preserve"> – Repeal </w:t>
            </w:r>
          </w:p>
        </w:tc>
      </w:tr>
    </w:tbl>
    <w:p w14:paraId="68D6FFF0" w14:textId="77777777" w:rsidR="007969E3" w:rsidRPr="003A7813" w:rsidRDefault="007969E3" w:rsidP="006550A6">
      <w:pPr>
        <w:spacing w:before="240"/>
        <w:rPr>
          <w:szCs w:val="24"/>
        </w:rPr>
      </w:pPr>
    </w:p>
    <w:sectPr w:rsidR="007969E3" w:rsidRPr="003A7813"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EBBFC" w14:textId="77777777" w:rsidR="0073653B" w:rsidRDefault="0073653B" w:rsidP="00954679">
      <w:pPr>
        <w:spacing w:before="0" w:after="0"/>
      </w:pPr>
      <w:r>
        <w:separator/>
      </w:r>
    </w:p>
  </w:endnote>
  <w:endnote w:type="continuationSeparator" w:id="0">
    <w:p w14:paraId="50943F4C" w14:textId="77777777" w:rsidR="0073653B" w:rsidRDefault="0073653B" w:rsidP="00954679">
      <w:pPr>
        <w:spacing w:before="0" w:after="0"/>
      </w:pPr>
      <w:r>
        <w:continuationSeparator/>
      </w:r>
    </w:p>
  </w:endnote>
  <w:endnote w:type="continuationNotice" w:id="1">
    <w:p w14:paraId="42C05A83" w14:textId="77777777" w:rsidR="0073653B" w:rsidRDefault="007365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A06C" w14:textId="77777777" w:rsidR="0073653B" w:rsidRDefault="00736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8D6FFF8" w14:textId="77777777" w:rsidR="0073653B" w:rsidRDefault="0073653B"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D3C4E">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D3C4E">
              <w:rPr>
                <w:bCs/>
                <w:noProof/>
              </w:rPr>
              <w:t>5</w:t>
            </w:r>
            <w:r w:rsidRPr="00954679">
              <w:rPr>
                <w:bCs/>
                <w:szCs w:val="24"/>
              </w:rPr>
              <w:fldChar w:fldCharType="end"/>
            </w:r>
          </w:p>
        </w:sdtContent>
      </w:sdt>
    </w:sdtContent>
  </w:sdt>
  <w:p w14:paraId="68D6FFF9" w14:textId="77777777" w:rsidR="0073653B" w:rsidRPr="005071CC" w:rsidRDefault="0073653B" w:rsidP="005071CC">
    <w:pPr>
      <w:pStyle w:val="Header"/>
      <w:jc w:val="center"/>
      <w:rPr>
        <w:rFonts w:ascii="Arial" w:hAnsi="Arial" w:cs="Arial"/>
        <w:color w:val="FF0000"/>
      </w:rPr>
    </w:pPr>
    <w:r w:rsidRPr="005071CC">
      <w:rPr>
        <w:rFonts w:ascii="Arial" w:hAnsi="Arial" w:cs="Arial"/>
        <w:b/>
        <w:bCs/>
        <w:color w:val="FF0000"/>
        <w:sz w:val="40"/>
        <w:szCs w:val="40"/>
      </w:rPr>
      <w:t>EXPOSURE 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D412" w14:textId="77777777" w:rsidR="0073653B" w:rsidRDefault="00736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445A1" w14:textId="77777777" w:rsidR="0073653B" w:rsidRDefault="0073653B" w:rsidP="00954679">
      <w:pPr>
        <w:spacing w:before="0" w:after="0"/>
      </w:pPr>
      <w:r>
        <w:separator/>
      </w:r>
    </w:p>
  </w:footnote>
  <w:footnote w:type="continuationSeparator" w:id="0">
    <w:p w14:paraId="470A08DE" w14:textId="77777777" w:rsidR="0073653B" w:rsidRDefault="0073653B" w:rsidP="00954679">
      <w:pPr>
        <w:spacing w:before="0" w:after="0"/>
      </w:pPr>
      <w:r>
        <w:continuationSeparator/>
      </w:r>
    </w:p>
  </w:footnote>
  <w:footnote w:type="continuationNotice" w:id="1">
    <w:p w14:paraId="7C53019A" w14:textId="77777777" w:rsidR="0073653B" w:rsidRDefault="0073653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03427" w14:textId="77777777" w:rsidR="0073653B" w:rsidRDefault="00736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FFF7" w14:textId="3D94AA6C" w:rsidR="0073653B" w:rsidRPr="005071CC" w:rsidRDefault="0073653B" w:rsidP="005071CC">
    <w:pPr>
      <w:pStyle w:val="Header"/>
      <w:jc w:val="center"/>
      <w:rPr>
        <w:rFonts w:ascii="Arial" w:hAnsi="Arial" w:cs="Arial"/>
        <w:color w:val="FF0000"/>
      </w:rPr>
    </w:pPr>
    <w:r w:rsidRPr="005071CC">
      <w:rPr>
        <w:rFonts w:ascii="Arial" w:hAnsi="Arial" w:cs="Arial"/>
        <w:b/>
        <w:bCs/>
        <w:color w:val="FF0000"/>
        <w:sz w:val="40"/>
        <w:szCs w:val="40"/>
      </w:rPr>
      <w:t>EXPOSURE 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BEEFC" w14:textId="77777777" w:rsidR="0073653B" w:rsidRDefault="00736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5FBC7E8D"/>
    <w:multiLevelType w:val="singleLevel"/>
    <w:tmpl w:val="41CE05E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
    <w:nsid w:val="67A43C0B"/>
    <w:multiLevelType w:val="multilevel"/>
    <w:tmpl w:val="19F05B4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4F"/>
    <w:rsid w:val="00000004"/>
    <w:rsid w:val="00016EA2"/>
    <w:rsid w:val="00053DF1"/>
    <w:rsid w:val="00095211"/>
    <w:rsid w:val="000B1420"/>
    <w:rsid w:val="000B2089"/>
    <w:rsid w:val="000B5D06"/>
    <w:rsid w:val="000B62C8"/>
    <w:rsid w:val="000C0EAC"/>
    <w:rsid w:val="000C10DF"/>
    <w:rsid w:val="000C3D0D"/>
    <w:rsid w:val="000C7C9D"/>
    <w:rsid w:val="000D35D1"/>
    <w:rsid w:val="000D3DD4"/>
    <w:rsid w:val="000F2086"/>
    <w:rsid w:val="000F2190"/>
    <w:rsid w:val="00104417"/>
    <w:rsid w:val="00107172"/>
    <w:rsid w:val="00110A01"/>
    <w:rsid w:val="00113B45"/>
    <w:rsid w:val="00113D5D"/>
    <w:rsid w:val="001411B9"/>
    <w:rsid w:val="001529C0"/>
    <w:rsid w:val="00171B9C"/>
    <w:rsid w:val="00174DD6"/>
    <w:rsid w:val="00190CB2"/>
    <w:rsid w:val="001A03D0"/>
    <w:rsid w:val="001B22C7"/>
    <w:rsid w:val="001D6A8C"/>
    <w:rsid w:val="001D792F"/>
    <w:rsid w:val="001E3FA9"/>
    <w:rsid w:val="001E6A74"/>
    <w:rsid w:val="001F206A"/>
    <w:rsid w:val="001F41D0"/>
    <w:rsid w:val="001F7838"/>
    <w:rsid w:val="00204572"/>
    <w:rsid w:val="00220F16"/>
    <w:rsid w:val="00223653"/>
    <w:rsid w:val="002327B5"/>
    <w:rsid w:val="002418E8"/>
    <w:rsid w:val="002474FE"/>
    <w:rsid w:val="00252E6F"/>
    <w:rsid w:val="00254C5B"/>
    <w:rsid w:val="00272025"/>
    <w:rsid w:val="00272E0F"/>
    <w:rsid w:val="00291B8E"/>
    <w:rsid w:val="002A2A68"/>
    <w:rsid w:val="002A6848"/>
    <w:rsid w:val="002F2523"/>
    <w:rsid w:val="002F374A"/>
    <w:rsid w:val="00306816"/>
    <w:rsid w:val="003164C4"/>
    <w:rsid w:val="003342CD"/>
    <w:rsid w:val="0033465F"/>
    <w:rsid w:val="00335042"/>
    <w:rsid w:val="00340102"/>
    <w:rsid w:val="00344EFE"/>
    <w:rsid w:val="00347B74"/>
    <w:rsid w:val="00362B70"/>
    <w:rsid w:val="00364FD4"/>
    <w:rsid w:val="00375B2A"/>
    <w:rsid w:val="0038278D"/>
    <w:rsid w:val="00392BBA"/>
    <w:rsid w:val="003954FD"/>
    <w:rsid w:val="003A565E"/>
    <w:rsid w:val="003A7813"/>
    <w:rsid w:val="003B7F2C"/>
    <w:rsid w:val="003C5995"/>
    <w:rsid w:val="003D3845"/>
    <w:rsid w:val="003E1CE3"/>
    <w:rsid w:val="003E2ADD"/>
    <w:rsid w:val="003E327F"/>
    <w:rsid w:val="00434EA9"/>
    <w:rsid w:val="00444AC0"/>
    <w:rsid w:val="00462095"/>
    <w:rsid w:val="00491E8E"/>
    <w:rsid w:val="004B3C0F"/>
    <w:rsid w:val="004B4F62"/>
    <w:rsid w:val="004C05E4"/>
    <w:rsid w:val="004E39E1"/>
    <w:rsid w:val="00503E44"/>
    <w:rsid w:val="0050672D"/>
    <w:rsid w:val="005071CC"/>
    <w:rsid w:val="00515283"/>
    <w:rsid w:val="00517600"/>
    <w:rsid w:val="00523101"/>
    <w:rsid w:val="00530CE5"/>
    <w:rsid w:val="00533926"/>
    <w:rsid w:val="00545679"/>
    <w:rsid w:val="0055097A"/>
    <w:rsid w:val="0055675D"/>
    <w:rsid w:val="00563DEF"/>
    <w:rsid w:val="00566E8F"/>
    <w:rsid w:val="00567985"/>
    <w:rsid w:val="005833BE"/>
    <w:rsid w:val="00595EDD"/>
    <w:rsid w:val="00597E1C"/>
    <w:rsid w:val="005A1C59"/>
    <w:rsid w:val="005A6561"/>
    <w:rsid w:val="005B22DB"/>
    <w:rsid w:val="005B45C1"/>
    <w:rsid w:val="005C58B5"/>
    <w:rsid w:val="005D7D5A"/>
    <w:rsid w:val="005E4BAC"/>
    <w:rsid w:val="005F5661"/>
    <w:rsid w:val="0060130D"/>
    <w:rsid w:val="0060424E"/>
    <w:rsid w:val="00620785"/>
    <w:rsid w:val="006235AA"/>
    <w:rsid w:val="0064129F"/>
    <w:rsid w:val="00642C98"/>
    <w:rsid w:val="00647BB7"/>
    <w:rsid w:val="006550A6"/>
    <w:rsid w:val="00660356"/>
    <w:rsid w:val="00660B0C"/>
    <w:rsid w:val="00680297"/>
    <w:rsid w:val="0068253C"/>
    <w:rsid w:val="006827A7"/>
    <w:rsid w:val="006A0786"/>
    <w:rsid w:val="006A1476"/>
    <w:rsid w:val="006B0E6A"/>
    <w:rsid w:val="006B3C8B"/>
    <w:rsid w:val="006B7A08"/>
    <w:rsid w:val="006C1A89"/>
    <w:rsid w:val="006D3C4E"/>
    <w:rsid w:val="006F186E"/>
    <w:rsid w:val="00716F21"/>
    <w:rsid w:val="00717F90"/>
    <w:rsid w:val="00734261"/>
    <w:rsid w:val="00735F50"/>
    <w:rsid w:val="0073653B"/>
    <w:rsid w:val="00736F61"/>
    <w:rsid w:val="007662C7"/>
    <w:rsid w:val="007752E4"/>
    <w:rsid w:val="00775704"/>
    <w:rsid w:val="00776306"/>
    <w:rsid w:val="00794EA8"/>
    <w:rsid w:val="007969E3"/>
    <w:rsid w:val="007B1F10"/>
    <w:rsid w:val="007C6156"/>
    <w:rsid w:val="007D08D5"/>
    <w:rsid w:val="007D7674"/>
    <w:rsid w:val="007E018D"/>
    <w:rsid w:val="007F1B71"/>
    <w:rsid w:val="00807B68"/>
    <w:rsid w:val="00807E7D"/>
    <w:rsid w:val="00813417"/>
    <w:rsid w:val="00824C6A"/>
    <w:rsid w:val="00831675"/>
    <w:rsid w:val="00836AC2"/>
    <w:rsid w:val="008378BF"/>
    <w:rsid w:val="0088467C"/>
    <w:rsid w:val="0089164F"/>
    <w:rsid w:val="00894579"/>
    <w:rsid w:val="008A5B67"/>
    <w:rsid w:val="008D093A"/>
    <w:rsid w:val="008D16F7"/>
    <w:rsid w:val="008E028F"/>
    <w:rsid w:val="008E1427"/>
    <w:rsid w:val="0090274C"/>
    <w:rsid w:val="00905304"/>
    <w:rsid w:val="00906BFC"/>
    <w:rsid w:val="009143A0"/>
    <w:rsid w:val="009255BC"/>
    <w:rsid w:val="00935B89"/>
    <w:rsid w:val="00936FB1"/>
    <w:rsid w:val="009424D4"/>
    <w:rsid w:val="00943302"/>
    <w:rsid w:val="00954679"/>
    <w:rsid w:val="00954E34"/>
    <w:rsid w:val="009743ED"/>
    <w:rsid w:val="009745C3"/>
    <w:rsid w:val="00981902"/>
    <w:rsid w:val="009A19C2"/>
    <w:rsid w:val="009A737A"/>
    <w:rsid w:val="009B4B70"/>
    <w:rsid w:val="009C4CCF"/>
    <w:rsid w:val="009C5E84"/>
    <w:rsid w:val="009E2F86"/>
    <w:rsid w:val="009E3FCA"/>
    <w:rsid w:val="009F300A"/>
    <w:rsid w:val="00A12209"/>
    <w:rsid w:val="00A36DF3"/>
    <w:rsid w:val="00A464EC"/>
    <w:rsid w:val="00A532DD"/>
    <w:rsid w:val="00A62717"/>
    <w:rsid w:val="00A65202"/>
    <w:rsid w:val="00A71C5C"/>
    <w:rsid w:val="00A80BCF"/>
    <w:rsid w:val="00A8369C"/>
    <w:rsid w:val="00A83B3B"/>
    <w:rsid w:val="00AA1689"/>
    <w:rsid w:val="00AB1CDA"/>
    <w:rsid w:val="00AC1D15"/>
    <w:rsid w:val="00AC5A61"/>
    <w:rsid w:val="00AD3859"/>
    <w:rsid w:val="00AF44D6"/>
    <w:rsid w:val="00B07B0C"/>
    <w:rsid w:val="00B13783"/>
    <w:rsid w:val="00B14580"/>
    <w:rsid w:val="00B17B4A"/>
    <w:rsid w:val="00B25563"/>
    <w:rsid w:val="00B2661D"/>
    <w:rsid w:val="00B26D48"/>
    <w:rsid w:val="00B42EE1"/>
    <w:rsid w:val="00B53C00"/>
    <w:rsid w:val="00B54A0E"/>
    <w:rsid w:val="00B70D08"/>
    <w:rsid w:val="00B813F5"/>
    <w:rsid w:val="00B92478"/>
    <w:rsid w:val="00B97AB2"/>
    <w:rsid w:val="00BA3F20"/>
    <w:rsid w:val="00BA6CCB"/>
    <w:rsid w:val="00BC77A5"/>
    <w:rsid w:val="00BD3D83"/>
    <w:rsid w:val="00BD61A2"/>
    <w:rsid w:val="00BE484D"/>
    <w:rsid w:val="00BF0E81"/>
    <w:rsid w:val="00C37E05"/>
    <w:rsid w:val="00C50AF6"/>
    <w:rsid w:val="00C55D29"/>
    <w:rsid w:val="00C61B71"/>
    <w:rsid w:val="00C67C8F"/>
    <w:rsid w:val="00C71A42"/>
    <w:rsid w:val="00C82508"/>
    <w:rsid w:val="00C83701"/>
    <w:rsid w:val="00C84A1C"/>
    <w:rsid w:val="00C950AB"/>
    <w:rsid w:val="00CA0BE9"/>
    <w:rsid w:val="00CA138D"/>
    <w:rsid w:val="00CC01E8"/>
    <w:rsid w:val="00CC2A8B"/>
    <w:rsid w:val="00CC59E9"/>
    <w:rsid w:val="00CC7641"/>
    <w:rsid w:val="00CF1A2E"/>
    <w:rsid w:val="00CF2C0C"/>
    <w:rsid w:val="00D13794"/>
    <w:rsid w:val="00D15281"/>
    <w:rsid w:val="00D158D9"/>
    <w:rsid w:val="00D24052"/>
    <w:rsid w:val="00D24386"/>
    <w:rsid w:val="00D31575"/>
    <w:rsid w:val="00D32E33"/>
    <w:rsid w:val="00D34626"/>
    <w:rsid w:val="00D4257A"/>
    <w:rsid w:val="00D44EE5"/>
    <w:rsid w:val="00D62665"/>
    <w:rsid w:val="00D74EB4"/>
    <w:rsid w:val="00D83431"/>
    <w:rsid w:val="00D92955"/>
    <w:rsid w:val="00DB46FE"/>
    <w:rsid w:val="00DC0CDE"/>
    <w:rsid w:val="00DC4D72"/>
    <w:rsid w:val="00DC4D75"/>
    <w:rsid w:val="00DE235B"/>
    <w:rsid w:val="00E05047"/>
    <w:rsid w:val="00E0624D"/>
    <w:rsid w:val="00E31B23"/>
    <w:rsid w:val="00E4438C"/>
    <w:rsid w:val="00E457F3"/>
    <w:rsid w:val="00E5607E"/>
    <w:rsid w:val="00E76F20"/>
    <w:rsid w:val="00E93426"/>
    <w:rsid w:val="00EB3BC3"/>
    <w:rsid w:val="00EB4404"/>
    <w:rsid w:val="00EB7E71"/>
    <w:rsid w:val="00EC3C1E"/>
    <w:rsid w:val="00EE2329"/>
    <w:rsid w:val="00EE3A41"/>
    <w:rsid w:val="00EE4537"/>
    <w:rsid w:val="00EE6810"/>
    <w:rsid w:val="00F109D4"/>
    <w:rsid w:val="00F146A6"/>
    <w:rsid w:val="00F218C1"/>
    <w:rsid w:val="00F237CF"/>
    <w:rsid w:val="00F25F5B"/>
    <w:rsid w:val="00F45CF1"/>
    <w:rsid w:val="00F47585"/>
    <w:rsid w:val="00F554A6"/>
    <w:rsid w:val="00F75DDE"/>
    <w:rsid w:val="00F85862"/>
    <w:rsid w:val="00F85E6F"/>
    <w:rsid w:val="00F9284F"/>
    <w:rsid w:val="00FA0903"/>
    <w:rsid w:val="00FA3914"/>
    <w:rsid w:val="00FB2C8B"/>
    <w:rsid w:val="00FB3FA4"/>
    <w:rsid w:val="00FC7278"/>
    <w:rsid w:val="00FC7395"/>
    <w:rsid w:val="00FD39B8"/>
    <w:rsid w:val="00FE04E4"/>
    <w:rsid w:val="00FE73F9"/>
    <w:rsid w:val="00FF0210"/>
    <w:rsid w:val="00FF07DC"/>
    <w:rsid w:val="00FF1057"/>
    <w:rsid w:val="00FF3E25"/>
    <w:rsid w:val="00FF5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D6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79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5"/>
    <w:basedOn w:val="Normal"/>
    <w:rsid w:val="0089164F"/>
    <w:pPr>
      <w:spacing w:before="100" w:beforeAutospacing="1" w:after="100" w:afterAutospacing="1"/>
    </w:pPr>
    <w:rPr>
      <w:szCs w:val="24"/>
    </w:rPr>
  </w:style>
  <w:style w:type="character" w:customStyle="1" w:styleId="charsectno">
    <w:name w:val="charsectno"/>
    <w:basedOn w:val="DefaultParagraphFont"/>
    <w:rsid w:val="0089164F"/>
  </w:style>
  <w:style w:type="paragraph" w:customStyle="1" w:styleId="subsection">
    <w:name w:val="subsection"/>
    <w:basedOn w:val="Normal"/>
    <w:rsid w:val="0089164F"/>
    <w:pPr>
      <w:spacing w:before="100" w:beforeAutospacing="1" w:after="100" w:afterAutospacing="1"/>
    </w:pPr>
    <w:rPr>
      <w:szCs w:val="24"/>
    </w:rPr>
  </w:style>
  <w:style w:type="paragraph" w:styleId="Revision">
    <w:name w:val="Revision"/>
    <w:hidden/>
    <w:uiPriority w:val="99"/>
    <w:semiHidden/>
    <w:rsid w:val="00DC4D75"/>
    <w:rPr>
      <w:sz w:val="24"/>
    </w:rPr>
  </w:style>
  <w:style w:type="paragraph" w:styleId="FootnoteText">
    <w:name w:val="footnote text"/>
    <w:basedOn w:val="Normal"/>
    <w:link w:val="FootnoteTextChar"/>
    <w:uiPriority w:val="99"/>
    <w:semiHidden/>
    <w:unhideWhenUsed/>
    <w:rsid w:val="00BA3F20"/>
    <w:pPr>
      <w:spacing w:before="0" w:after="0"/>
    </w:pPr>
    <w:rPr>
      <w:sz w:val="20"/>
    </w:rPr>
  </w:style>
  <w:style w:type="character" w:customStyle="1" w:styleId="FootnoteTextChar">
    <w:name w:val="Footnote Text Char"/>
    <w:basedOn w:val="DefaultParagraphFont"/>
    <w:link w:val="FootnoteText"/>
    <w:uiPriority w:val="99"/>
    <w:semiHidden/>
    <w:rsid w:val="00BA3F20"/>
  </w:style>
  <w:style w:type="character" w:styleId="FootnoteReference">
    <w:name w:val="footnote reference"/>
    <w:basedOn w:val="DefaultParagraphFont"/>
    <w:uiPriority w:val="99"/>
    <w:semiHidden/>
    <w:unhideWhenUsed/>
    <w:rsid w:val="00BA3F20"/>
    <w:rPr>
      <w:vertAlign w:val="superscript"/>
    </w:rPr>
  </w:style>
  <w:style w:type="character" w:customStyle="1" w:styleId="base-text-paragraphChar">
    <w:name w:val="base-text-paragraph Char"/>
    <w:basedOn w:val="DefaultParagraphFont"/>
    <w:link w:val="base-text-paragraph"/>
    <w:rsid w:val="00A83B3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table" w:styleId="TableGrid">
    <w:name w:val="Table Grid"/>
    <w:basedOn w:val="TableNormal"/>
    <w:uiPriority w:val="59"/>
    <w:rsid w:val="0079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5"/>
    <w:basedOn w:val="Normal"/>
    <w:rsid w:val="0089164F"/>
    <w:pPr>
      <w:spacing w:before="100" w:beforeAutospacing="1" w:after="100" w:afterAutospacing="1"/>
    </w:pPr>
    <w:rPr>
      <w:szCs w:val="24"/>
    </w:rPr>
  </w:style>
  <w:style w:type="character" w:customStyle="1" w:styleId="charsectno">
    <w:name w:val="charsectno"/>
    <w:basedOn w:val="DefaultParagraphFont"/>
    <w:rsid w:val="0089164F"/>
  </w:style>
  <w:style w:type="paragraph" w:customStyle="1" w:styleId="subsection">
    <w:name w:val="subsection"/>
    <w:basedOn w:val="Normal"/>
    <w:rsid w:val="0089164F"/>
    <w:pPr>
      <w:spacing w:before="100" w:beforeAutospacing="1" w:after="100" w:afterAutospacing="1"/>
    </w:pPr>
    <w:rPr>
      <w:szCs w:val="24"/>
    </w:rPr>
  </w:style>
  <w:style w:type="paragraph" w:styleId="Revision">
    <w:name w:val="Revision"/>
    <w:hidden/>
    <w:uiPriority w:val="99"/>
    <w:semiHidden/>
    <w:rsid w:val="00DC4D75"/>
    <w:rPr>
      <w:sz w:val="24"/>
    </w:rPr>
  </w:style>
  <w:style w:type="paragraph" w:styleId="FootnoteText">
    <w:name w:val="footnote text"/>
    <w:basedOn w:val="Normal"/>
    <w:link w:val="FootnoteTextChar"/>
    <w:uiPriority w:val="99"/>
    <w:semiHidden/>
    <w:unhideWhenUsed/>
    <w:rsid w:val="00BA3F20"/>
    <w:pPr>
      <w:spacing w:before="0" w:after="0"/>
    </w:pPr>
    <w:rPr>
      <w:sz w:val="20"/>
    </w:rPr>
  </w:style>
  <w:style w:type="character" w:customStyle="1" w:styleId="FootnoteTextChar">
    <w:name w:val="Footnote Text Char"/>
    <w:basedOn w:val="DefaultParagraphFont"/>
    <w:link w:val="FootnoteText"/>
    <w:uiPriority w:val="99"/>
    <w:semiHidden/>
    <w:rsid w:val="00BA3F20"/>
  </w:style>
  <w:style w:type="character" w:styleId="FootnoteReference">
    <w:name w:val="footnote reference"/>
    <w:basedOn w:val="DefaultParagraphFont"/>
    <w:uiPriority w:val="99"/>
    <w:semiHidden/>
    <w:unhideWhenUsed/>
    <w:rsid w:val="00BA3F20"/>
    <w:rPr>
      <w:vertAlign w:val="superscript"/>
    </w:rPr>
  </w:style>
  <w:style w:type="character" w:customStyle="1" w:styleId="base-text-paragraphChar">
    <w:name w:val="base-text-paragraph Char"/>
    <w:basedOn w:val="DefaultParagraphFont"/>
    <w:link w:val="base-text-paragraph"/>
    <w:rsid w:val="00A83B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673042">
      <w:bodyDiv w:val="1"/>
      <w:marLeft w:val="0"/>
      <w:marRight w:val="0"/>
      <w:marTop w:val="0"/>
      <w:marBottom w:val="0"/>
      <w:divBdr>
        <w:top w:val="none" w:sz="0" w:space="0" w:color="auto"/>
        <w:left w:val="none" w:sz="0" w:space="0" w:color="auto"/>
        <w:bottom w:val="none" w:sz="0" w:space="0" w:color="auto"/>
        <w:right w:val="none" w:sz="0" w:space="0" w:color="auto"/>
      </w:divBdr>
      <w:divsChild>
        <w:div w:id="550458465">
          <w:marLeft w:val="0"/>
          <w:marRight w:val="0"/>
          <w:marTop w:val="0"/>
          <w:marBottom w:val="0"/>
          <w:divBdr>
            <w:top w:val="none" w:sz="0" w:space="0" w:color="auto"/>
            <w:left w:val="none" w:sz="0" w:space="0" w:color="auto"/>
            <w:bottom w:val="none" w:sz="0" w:space="0" w:color="auto"/>
            <w:right w:val="none" w:sz="0" w:space="0" w:color="auto"/>
          </w:divBdr>
          <w:divsChild>
            <w:div w:id="1769735883">
              <w:marLeft w:val="0"/>
              <w:marRight w:val="0"/>
              <w:marTop w:val="0"/>
              <w:marBottom w:val="0"/>
              <w:divBdr>
                <w:top w:val="none" w:sz="0" w:space="0" w:color="auto"/>
                <w:left w:val="none" w:sz="0" w:space="0" w:color="auto"/>
                <w:bottom w:val="none" w:sz="0" w:space="0" w:color="auto"/>
                <w:right w:val="none" w:sz="0" w:space="0" w:color="auto"/>
              </w:divBdr>
              <w:divsChild>
                <w:div w:id="1822427466">
                  <w:marLeft w:val="0"/>
                  <w:marRight w:val="0"/>
                  <w:marTop w:val="0"/>
                  <w:marBottom w:val="0"/>
                  <w:divBdr>
                    <w:top w:val="none" w:sz="0" w:space="0" w:color="auto"/>
                    <w:left w:val="none" w:sz="0" w:space="0" w:color="auto"/>
                    <w:bottom w:val="none" w:sz="0" w:space="0" w:color="auto"/>
                    <w:right w:val="none" w:sz="0" w:space="0" w:color="auto"/>
                  </w:divBdr>
                  <w:divsChild>
                    <w:div w:id="521162577">
                      <w:marLeft w:val="0"/>
                      <w:marRight w:val="0"/>
                      <w:marTop w:val="0"/>
                      <w:marBottom w:val="0"/>
                      <w:divBdr>
                        <w:top w:val="none" w:sz="0" w:space="0" w:color="auto"/>
                        <w:left w:val="none" w:sz="0" w:space="0" w:color="auto"/>
                        <w:bottom w:val="none" w:sz="0" w:space="0" w:color="auto"/>
                        <w:right w:val="none" w:sz="0" w:space="0" w:color="auto"/>
                      </w:divBdr>
                      <w:divsChild>
                        <w:div w:id="1047148582">
                          <w:marLeft w:val="0"/>
                          <w:marRight w:val="0"/>
                          <w:marTop w:val="0"/>
                          <w:marBottom w:val="0"/>
                          <w:divBdr>
                            <w:top w:val="none" w:sz="0" w:space="0" w:color="auto"/>
                            <w:left w:val="none" w:sz="0" w:space="0" w:color="auto"/>
                            <w:bottom w:val="none" w:sz="0" w:space="0" w:color="auto"/>
                            <w:right w:val="none" w:sz="0" w:space="0" w:color="auto"/>
                          </w:divBdr>
                          <w:divsChild>
                            <w:div w:id="1222057040">
                              <w:marLeft w:val="0"/>
                              <w:marRight w:val="0"/>
                              <w:marTop w:val="0"/>
                              <w:marBottom w:val="0"/>
                              <w:divBdr>
                                <w:top w:val="none" w:sz="0" w:space="0" w:color="auto"/>
                                <w:left w:val="none" w:sz="0" w:space="0" w:color="auto"/>
                                <w:bottom w:val="none" w:sz="0" w:space="0" w:color="auto"/>
                                <w:right w:val="none" w:sz="0" w:space="0" w:color="auto"/>
                              </w:divBdr>
                              <w:divsChild>
                                <w:div w:id="1979021569">
                                  <w:marLeft w:val="0"/>
                                  <w:marRight w:val="0"/>
                                  <w:marTop w:val="0"/>
                                  <w:marBottom w:val="0"/>
                                  <w:divBdr>
                                    <w:top w:val="none" w:sz="0" w:space="0" w:color="auto"/>
                                    <w:left w:val="none" w:sz="0" w:space="0" w:color="auto"/>
                                    <w:bottom w:val="none" w:sz="0" w:space="0" w:color="auto"/>
                                    <w:right w:val="none" w:sz="0" w:space="0" w:color="auto"/>
                                  </w:divBdr>
                                  <w:divsChild>
                                    <w:div w:id="606352577">
                                      <w:marLeft w:val="0"/>
                                      <w:marRight w:val="0"/>
                                      <w:marTop w:val="0"/>
                                      <w:marBottom w:val="0"/>
                                      <w:divBdr>
                                        <w:top w:val="none" w:sz="0" w:space="0" w:color="auto"/>
                                        <w:left w:val="none" w:sz="0" w:space="0" w:color="auto"/>
                                        <w:bottom w:val="none" w:sz="0" w:space="0" w:color="auto"/>
                                        <w:right w:val="none" w:sz="0" w:space="0" w:color="auto"/>
                                      </w:divBdr>
                                      <w:divsChild>
                                        <w:div w:id="2061855078">
                                          <w:marLeft w:val="0"/>
                                          <w:marRight w:val="0"/>
                                          <w:marTop w:val="0"/>
                                          <w:marBottom w:val="0"/>
                                          <w:divBdr>
                                            <w:top w:val="none" w:sz="0" w:space="0" w:color="auto"/>
                                            <w:left w:val="none" w:sz="0" w:space="0" w:color="auto"/>
                                            <w:bottom w:val="none" w:sz="0" w:space="0" w:color="auto"/>
                                            <w:right w:val="none" w:sz="0" w:space="0" w:color="auto"/>
                                          </w:divBdr>
                                          <w:divsChild>
                                            <w:div w:id="1318069380">
                                              <w:marLeft w:val="0"/>
                                              <w:marRight w:val="0"/>
                                              <w:marTop w:val="0"/>
                                              <w:marBottom w:val="0"/>
                                              <w:divBdr>
                                                <w:top w:val="none" w:sz="0" w:space="0" w:color="auto"/>
                                                <w:left w:val="none" w:sz="0" w:space="0" w:color="auto"/>
                                                <w:bottom w:val="none" w:sz="0" w:space="0" w:color="auto"/>
                                                <w:right w:val="none" w:sz="0" w:space="0" w:color="auto"/>
                                              </w:divBdr>
                                              <w:divsChild>
                                                <w:div w:id="326321436">
                                                  <w:marLeft w:val="0"/>
                                                  <w:marRight w:val="0"/>
                                                  <w:marTop w:val="0"/>
                                                  <w:marBottom w:val="0"/>
                                                  <w:divBdr>
                                                    <w:top w:val="none" w:sz="0" w:space="0" w:color="auto"/>
                                                    <w:left w:val="none" w:sz="0" w:space="0" w:color="auto"/>
                                                    <w:bottom w:val="none" w:sz="0" w:space="0" w:color="auto"/>
                                                    <w:right w:val="none" w:sz="0" w:space="0" w:color="auto"/>
                                                  </w:divBdr>
                                                  <w:divsChild>
                                                    <w:div w:id="1159467670">
                                                      <w:marLeft w:val="0"/>
                                                      <w:marRight w:val="0"/>
                                                      <w:marTop w:val="0"/>
                                                      <w:marBottom w:val="0"/>
                                                      <w:divBdr>
                                                        <w:top w:val="none" w:sz="0" w:space="0" w:color="auto"/>
                                                        <w:left w:val="none" w:sz="0" w:space="0" w:color="auto"/>
                                                        <w:bottom w:val="none" w:sz="0" w:space="0" w:color="auto"/>
                                                        <w:right w:val="none" w:sz="0" w:space="0" w:color="auto"/>
                                                      </w:divBdr>
                                                      <w:divsChild>
                                                        <w:div w:id="12704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18226-5EB0-452F-9D22-3F56D061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1408</Words>
  <Characters>7917</Characters>
  <Application>Microsoft Office Word</Application>
  <DocSecurity>0</DocSecurity>
  <Lines>255</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2018-09-18T06:02:00Z</dcterms:created>
  <dcterms:modified xsi:type="dcterms:W3CDTF">2018-09-18T06:02:00Z</dcterms:modified>
</cp:coreProperties>
</file>