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FBF01" w14:textId="3692863A" w:rsidR="002B4DEA" w:rsidRPr="002B4DEA" w:rsidRDefault="002B4DEA" w:rsidP="002B4DEA">
      <w:pPr>
        <w:pStyle w:val="Enc"/>
        <w:spacing w:before="0"/>
        <w:rPr>
          <w:sz w:val="36"/>
          <w:szCs w:val="36"/>
        </w:rPr>
      </w:pPr>
      <w:bookmarkStart w:id="0" w:name="_GoBack"/>
      <w:bookmarkEnd w:id="0"/>
    </w:p>
    <w:p w14:paraId="3B0F5531" w14:textId="77777777" w:rsidR="002B4DEA" w:rsidRPr="002B4DEA" w:rsidRDefault="002B4DEA" w:rsidP="002B4DEA">
      <w:pPr>
        <w:jc w:val="center"/>
        <w:rPr>
          <w:rFonts w:ascii="Times New Roman" w:hAnsi="Times New Roman" w:cs="Times New Roman"/>
          <w:caps/>
          <w:sz w:val="36"/>
          <w:szCs w:val="36"/>
        </w:rPr>
      </w:pPr>
      <w:r w:rsidRPr="002B4DEA">
        <w:rPr>
          <w:rFonts w:ascii="Times New Roman" w:hAnsi="Times New Roman" w:cs="Times New Roman"/>
          <w:caps/>
          <w:noProof/>
          <w:sz w:val="36"/>
          <w:szCs w:val="36"/>
          <w:lang w:eastAsia="en-AU"/>
        </w:rPr>
        <w:drawing>
          <wp:inline distT="0" distB="0" distL="0" distR="0" wp14:anchorId="06597FBC" wp14:editId="32860612">
            <wp:extent cx="2466975" cy="13716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BBF" w14:textId="77777777" w:rsidR="002B4DEA" w:rsidRPr="002B4DEA" w:rsidRDefault="002B4DEA" w:rsidP="002B4DE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0B837B27" w14:textId="77777777" w:rsidR="002B4DEA" w:rsidRPr="002B4DEA" w:rsidRDefault="002B4DEA" w:rsidP="002B4DEA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4E1835B3" w14:textId="77777777" w:rsidR="002B4DEA" w:rsidRPr="002B4DEA" w:rsidRDefault="002B4DEA" w:rsidP="002B4DEA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11D0E627" w14:textId="4E6CAC53" w:rsidR="002B4DEA" w:rsidRPr="002B4DEA" w:rsidRDefault="002B4DEA" w:rsidP="002B4DEA">
      <w:pPr>
        <w:jc w:val="center"/>
        <w:rPr>
          <w:rFonts w:ascii="Times New Roman" w:hAnsi="Times New Roman" w:cs="Times New Roman"/>
          <w:sz w:val="36"/>
          <w:szCs w:val="36"/>
        </w:rPr>
      </w:pPr>
      <w:r w:rsidRPr="002B4DEA">
        <w:rPr>
          <w:rFonts w:ascii="Times New Roman" w:hAnsi="Times New Roman" w:cs="Times New Roman"/>
          <w:sz w:val="36"/>
          <w:szCs w:val="36"/>
        </w:rPr>
        <w:t xml:space="preserve">Australian Government response to the </w:t>
      </w:r>
      <w:r w:rsidRPr="002B4DEA">
        <w:rPr>
          <w:rFonts w:ascii="Times New Roman" w:hAnsi="Times New Roman" w:cs="Times New Roman"/>
          <w:sz w:val="36"/>
          <w:szCs w:val="36"/>
        </w:rPr>
        <w:br/>
        <w:t>Parliamentary Joint Committee on Corporations and Financial Services</w:t>
      </w:r>
      <w:r>
        <w:rPr>
          <w:rFonts w:ascii="Times New Roman" w:hAnsi="Times New Roman" w:cs="Times New Roman"/>
          <w:sz w:val="36"/>
          <w:szCs w:val="36"/>
        </w:rPr>
        <w:t>:</w:t>
      </w:r>
    </w:p>
    <w:p w14:paraId="161A1CA5" w14:textId="37B17319" w:rsidR="002B4DEA" w:rsidRPr="002B4DEA" w:rsidRDefault="002B3331" w:rsidP="002B4DEA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Report on the 2015</w:t>
      </w:r>
      <w:r>
        <w:rPr>
          <w:rFonts w:ascii="Times New Roman" w:hAnsi="Times New Roman" w:cs="Times New Roman"/>
          <w:i/>
          <w:sz w:val="36"/>
          <w:szCs w:val="36"/>
        </w:rPr>
        <w:noBreakHyphen/>
      </w:r>
      <w:r w:rsidR="002B4DEA" w:rsidRPr="002B4DEA">
        <w:rPr>
          <w:rFonts w:ascii="Times New Roman" w:hAnsi="Times New Roman" w:cs="Times New Roman"/>
          <w:i/>
          <w:sz w:val="36"/>
          <w:szCs w:val="36"/>
        </w:rPr>
        <w:t xml:space="preserve">2016 annual reports of bodies established under the ASIC Act </w:t>
      </w:r>
    </w:p>
    <w:p w14:paraId="02C99B72" w14:textId="77777777" w:rsidR="002B4DEA" w:rsidRPr="002B4DEA" w:rsidRDefault="002B4DEA" w:rsidP="002B4DE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0B5D0C0E" w14:textId="77777777" w:rsidR="002B4DEA" w:rsidRPr="002B4DEA" w:rsidRDefault="002B4DEA" w:rsidP="002B4DE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0BA42BF0" w14:textId="77777777" w:rsidR="002B4DEA" w:rsidRPr="002B4DEA" w:rsidRDefault="002B4DEA" w:rsidP="002B4DE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34365F29" w14:textId="77777777" w:rsidR="002B4DEA" w:rsidRPr="002B4DEA" w:rsidRDefault="002B4DEA" w:rsidP="002B4DE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24ED6F55" w14:textId="77777777" w:rsidR="002B4DEA" w:rsidRPr="002B4DEA" w:rsidRDefault="002B4DEA" w:rsidP="002B4DE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43D4CEBE" w14:textId="77777777" w:rsidR="002B4DEA" w:rsidRPr="002B4DEA" w:rsidRDefault="002B4DEA" w:rsidP="002B4DE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560C3812" w14:textId="77777777" w:rsidR="002B4DEA" w:rsidRPr="002B4DEA" w:rsidRDefault="002B4DEA" w:rsidP="002B4DE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2DCFFDB5" w14:textId="77777777" w:rsidR="002B4DEA" w:rsidRPr="002B4DEA" w:rsidRDefault="002B4DEA" w:rsidP="002B4DE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1F44C333" w14:textId="77777777" w:rsidR="002B4DEA" w:rsidRPr="002B4DEA" w:rsidRDefault="002B4DEA" w:rsidP="002B4DE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2C014914" w14:textId="77777777" w:rsidR="002B4DEA" w:rsidRPr="002B4DEA" w:rsidRDefault="002B4DEA" w:rsidP="002B4DE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485D5E08" w14:textId="77777777" w:rsidR="002B4DEA" w:rsidRPr="002B4DEA" w:rsidRDefault="002B4DEA" w:rsidP="002B4DE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40ED239C" w14:textId="77777777" w:rsidR="002B4DEA" w:rsidRPr="002B4DEA" w:rsidRDefault="002B4DEA" w:rsidP="002B4DE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647BF52E" w14:textId="77777777" w:rsidR="002B4DEA" w:rsidRPr="002B4DEA" w:rsidRDefault="002B4DEA" w:rsidP="002B4DE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0279D9EE" w14:textId="77777777" w:rsidR="002B4DEA" w:rsidRPr="002B4DEA" w:rsidRDefault="002B4DEA" w:rsidP="002B4DE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17AA2860" w14:textId="77777777" w:rsidR="002B4DEA" w:rsidRPr="002B4DEA" w:rsidRDefault="002B4DEA" w:rsidP="002B4DEA">
      <w:pPr>
        <w:spacing w:after="0"/>
        <w:rPr>
          <w:rFonts w:ascii="Times New Roman" w:hAnsi="Times New Roman" w:cs="Times New Roman"/>
          <w:caps/>
          <w:sz w:val="36"/>
          <w:szCs w:val="36"/>
        </w:rPr>
      </w:pPr>
    </w:p>
    <w:p w14:paraId="75DBA518" w14:textId="3BBF57A7" w:rsidR="002B4DEA" w:rsidRPr="002B4DEA" w:rsidRDefault="002B4DEA" w:rsidP="002B4DE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 2018</w:t>
      </w:r>
    </w:p>
    <w:p w14:paraId="7FDCA461" w14:textId="77777777" w:rsidR="002B4DEA" w:rsidRDefault="002B4DEA">
      <w:pPr>
        <w:rPr>
          <w:rFonts w:ascii="Times New Roman" w:eastAsia="Times New Roman" w:hAnsi="Times New Roman" w:cs="Times New Roman"/>
          <w:b/>
          <w:sz w:val="24"/>
          <w:szCs w:val="20"/>
          <w:lang w:eastAsia="en-AU"/>
        </w:rPr>
      </w:pPr>
      <w:r>
        <w:rPr>
          <w:b/>
        </w:rPr>
        <w:br w:type="page"/>
      </w:r>
    </w:p>
    <w:p w14:paraId="1610C90F" w14:textId="62159B84" w:rsidR="001135EE" w:rsidRDefault="001135EE" w:rsidP="004340D5">
      <w:pPr>
        <w:pStyle w:val="Bullet"/>
        <w:numPr>
          <w:ilvl w:val="0"/>
          <w:numId w:val="0"/>
        </w:numPr>
        <w:ind w:left="567" w:hanging="567"/>
        <w:jc w:val="center"/>
        <w:rPr>
          <w:b/>
        </w:rPr>
      </w:pPr>
      <w:r>
        <w:rPr>
          <w:b/>
        </w:rPr>
        <w:lastRenderedPageBreak/>
        <w:t>Parliamentary Joint Committee on Corporations and Financial Services</w:t>
      </w:r>
    </w:p>
    <w:p w14:paraId="450A3014" w14:textId="7FDA9930" w:rsidR="004340D5" w:rsidRPr="001135EE" w:rsidRDefault="002B3331" w:rsidP="004340D5">
      <w:pPr>
        <w:pStyle w:val="Bullet"/>
        <w:numPr>
          <w:ilvl w:val="0"/>
          <w:numId w:val="0"/>
        </w:numPr>
        <w:ind w:left="567" w:hanging="567"/>
        <w:jc w:val="center"/>
        <w:rPr>
          <w:i/>
        </w:rPr>
      </w:pPr>
      <w:r>
        <w:rPr>
          <w:i/>
        </w:rPr>
        <w:t>Report on the 2015</w:t>
      </w:r>
      <w:r>
        <w:rPr>
          <w:i/>
        </w:rPr>
        <w:noBreakHyphen/>
      </w:r>
      <w:r w:rsidR="00BA10B0" w:rsidRPr="001135EE">
        <w:rPr>
          <w:i/>
        </w:rPr>
        <w:t>2016</w:t>
      </w:r>
      <w:r w:rsidR="004340D5" w:rsidRPr="001135EE">
        <w:rPr>
          <w:i/>
        </w:rPr>
        <w:t xml:space="preserve"> annual reports of bodies established under the ASIC Act</w:t>
      </w:r>
    </w:p>
    <w:p w14:paraId="0B038F4F" w14:textId="45BB6678" w:rsidR="001135EE" w:rsidRDefault="001135EE" w:rsidP="004340D5">
      <w:pPr>
        <w:pStyle w:val="Bullet"/>
        <w:numPr>
          <w:ilvl w:val="0"/>
          <w:numId w:val="0"/>
        </w:numPr>
        <w:ind w:left="567" w:hanging="567"/>
        <w:jc w:val="center"/>
        <w:rPr>
          <w:b/>
        </w:rPr>
      </w:pPr>
      <w:r>
        <w:rPr>
          <w:b/>
        </w:rPr>
        <w:t>Government’s Response to Committee’s Recommendations:</w:t>
      </w:r>
    </w:p>
    <w:p w14:paraId="564F92B1" w14:textId="77777777" w:rsidR="001135EE" w:rsidRPr="001135EE" w:rsidRDefault="001135EE" w:rsidP="001135EE">
      <w:pPr>
        <w:pStyle w:val="Bullet"/>
        <w:numPr>
          <w:ilvl w:val="0"/>
          <w:numId w:val="0"/>
        </w:numPr>
        <w:ind w:left="567" w:hanging="567"/>
      </w:pPr>
    </w:p>
    <w:p w14:paraId="32E35552" w14:textId="77777777" w:rsidR="004340D5" w:rsidRDefault="004340D5" w:rsidP="001135EE">
      <w:pPr>
        <w:pStyle w:val="Bulle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Recommendation 1</w:t>
      </w:r>
    </w:p>
    <w:p w14:paraId="415B6F98" w14:textId="370F1913" w:rsidR="001135EE" w:rsidRPr="001135EE" w:rsidRDefault="001135EE" w:rsidP="001135EE">
      <w:pPr>
        <w:pStyle w:val="Bulle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1135EE">
        <w:rPr>
          <w:rFonts w:eastAsiaTheme="minorHAnsi"/>
          <w:bCs/>
          <w:lang w:eastAsia="en-US"/>
        </w:rPr>
        <w:t>ASIC investigate the feasibility of establishing a searchable public register containing information on the applications or waivers for relief currently in effect as well as indicative information for consumers regarding how they might be affected.</w:t>
      </w:r>
    </w:p>
    <w:p w14:paraId="564CED66" w14:textId="6271BD84" w:rsidR="004340D5" w:rsidRDefault="004340D5" w:rsidP="00BA10B0">
      <w:pPr>
        <w:pStyle w:val="Bullet"/>
        <w:numPr>
          <w:ilvl w:val="0"/>
          <w:numId w:val="0"/>
        </w:numPr>
      </w:pPr>
      <w:r>
        <w:t xml:space="preserve">The Government </w:t>
      </w:r>
      <w:r w:rsidR="00BA10B0" w:rsidRPr="001135EE">
        <w:rPr>
          <w:b/>
        </w:rPr>
        <w:t>notes</w:t>
      </w:r>
      <w:r>
        <w:t xml:space="preserve"> </w:t>
      </w:r>
      <w:r w:rsidR="00BA10B0">
        <w:t>this recommendation</w:t>
      </w:r>
      <w:r>
        <w:t>.</w:t>
      </w:r>
    </w:p>
    <w:p w14:paraId="1C771CE7" w14:textId="77777777" w:rsidR="00632DED" w:rsidRPr="00632DED" w:rsidRDefault="00632DED" w:rsidP="007C5A7D">
      <w:pPr>
        <w:autoSpaceDE w:val="0"/>
        <w:autoSpaceDN w:val="0"/>
        <w:adjustRightInd w:val="0"/>
        <w:spacing w:before="2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2DED">
        <w:rPr>
          <w:rFonts w:ascii="Times New Roman" w:hAnsi="Times New Roman" w:cs="Times New Roman"/>
          <w:color w:val="000000"/>
          <w:sz w:val="24"/>
          <w:szCs w:val="24"/>
        </w:rPr>
        <w:t>ASIC legislative instruments, which grant relief to a class of persons in particular circumstances, are registered on the Federal Register of Legislation at www.legislation.gov.au, which is a whole of Australian Government searchable public register of legislation and legislative instruments. Each ASIC legislative instrument must be accompanied by an Explanatory Statement which is also included on that register.</w:t>
      </w:r>
    </w:p>
    <w:p w14:paraId="31495D6C" w14:textId="77EA7F50" w:rsidR="00632DED" w:rsidRPr="00632DED" w:rsidRDefault="00632DED" w:rsidP="007C5A7D">
      <w:pPr>
        <w:autoSpaceDE w:val="0"/>
        <w:autoSpaceDN w:val="0"/>
        <w:adjustRightInd w:val="0"/>
        <w:spacing w:before="2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2DED">
        <w:rPr>
          <w:rFonts w:ascii="Times New Roman" w:hAnsi="Times New Roman" w:cs="Times New Roman"/>
          <w:color w:val="000000"/>
          <w:sz w:val="24"/>
          <w:szCs w:val="24"/>
        </w:rPr>
        <w:t>ASIC publishes individual relief instruments in the ASIC Gazette, which is a specialised versio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 of the Commonwealth Gazette. </w:t>
      </w:r>
      <w:r w:rsidRPr="00632DED">
        <w:rPr>
          <w:rFonts w:ascii="Times New Roman" w:hAnsi="Times New Roman" w:cs="Times New Roman"/>
          <w:color w:val="000000"/>
          <w:sz w:val="24"/>
          <w:szCs w:val="24"/>
        </w:rPr>
        <w:t>This is in line with general practice among government agencies.</w:t>
      </w:r>
      <w:r w:rsidR="00632E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012F8A9" w14:textId="18421B96" w:rsidR="00632DED" w:rsidRPr="00632DED" w:rsidRDefault="00632DED" w:rsidP="007C5A7D">
      <w:pPr>
        <w:autoSpaceDE w:val="0"/>
        <w:autoSpaceDN w:val="0"/>
        <w:adjustRightInd w:val="0"/>
        <w:spacing w:before="2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2DED">
        <w:rPr>
          <w:rFonts w:ascii="Times New Roman" w:hAnsi="Times New Roman" w:cs="Times New Roman"/>
          <w:color w:val="000000"/>
          <w:sz w:val="24"/>
          <w:szCs w:val="24"/>
        </w:rPr>
        <w:t>In addition, ASIC publishes a regular report about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applications for relief that it</w:t>
      </w:r>
      <w:r w:rsidRPr="00632DED">
        <w:rPr>
          <w:rFonts w:ascii="Times New Roman" w:hAnsi="Times New Roman" w:cs="Times New Roman"/>
          <w:color w:val="000000"/>
          <w:sz w:val="24"/>
          <w:szCs w:val="24"/>
        </w:rPr>
        <w:t xml:space="preserve"> receive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632DED">
        <w:rPr>
          <w:rFonts w:ascii="Times New Roman" w:hAnsi="Times New Roman" w:cs="Times New Roman"/>
          <w:color w:val="000000"/>
          <w:sz w:val="24"/>
          <w:szCs w:val="24"/>
        </w:rPr>
        <w:t xml:space="preserve"> and their outcomes. These reports provide 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overview of situations where ASIC</w:t>
      </w:r>
      <w:r w:rsidRPr="00632DED">
        <w:rPr>
          <w:rFonts w:ascii="Times New Roman" w:hAnsi="Times New Roman" w:cs="Times New Roman"/>
          <w:color w:val="000000"/>
          <w:sz w:val="24"/>
          <w:szCs w:val="24"/>
        </w:rPr>
        <w:t xml:space="preserve"> have exerci</w:t>
      </w:r>
      <w:r>
        <w:rPr>
          <w:rFonts w:ascii="Times New Roman" w:hAnsi="Times New Roman" w:cs="Times New Roman"/>
          <w:color w:val="000000"/>
          <w:sz w:val="24"/>
          <w:szCs w:val="24"/>
        </w:rPr>
        <w:t>sed, or refused to exercise, its</w:t>
      </w:r>
      <w:r w:rsidRPr="00632DED">
        <w:rPr>
          <w:rFonts w:ascii="Times New Roman" w:hAnsi="Times New Roman" w:cs="Times New Roman"/>
          <w:color w:val="000000"/>
          <w:sz w:val="24"/>
          <w:szCs w:val="24"/>
        </w:rPr>
        <w:t xml:space="preserve"> exemption and modification powers.</w:t>
      </w:r>
    </w:p>
    <w:p w14:paraId="34A2C567" w14:textId="77FCA775" w:rsidR="00632DED" w:rsidRPr="00632DED" w:rsidRDefault="00632DED" w:rsidP="007C5A7D">
      <w:pPr>
        <w:autoSpaceDE w:val="0"/>
        <w:autoSpaceDN w:val="0"/>
        <w:adjustRightInd w:val="0"/>
        <w:spacing w:before="2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ASIC</w:t>
      </w:r>
      <w:r w:rsidRPr="00632DED">
        <w:rPr>
          <w:rFonts w:ascii="Times New Roman" w:hAnsi="Times New Roman" w:cs="Times New Roman"/>
          <w:color w:val="000000"/>
          <w:sz w:val="24"/>
          <w:szCs w:val="24"/>
        </w:rPr>
        <w:t xml:space="preserve"> also generally grant relief based on policy positions </w:t>
      </w:r>
      <w:r>
        <w:rPr>
          <w:rFonts w:ascii="Times New Roman" w:hAnsi="Times New Roman" w:cs="Times New Roman"/>
          <w:color w:val="000000"/>
          <w:sz w:val="24"/>
          <w:szCs w:val="24"/>
        </w:rPr>
        <w:t>on which they</w:t>
      </w:r>
      <w:r w:rsidRPr="00632DED">
        <w:rPr>
          <w:rFonts w:ascii="Times New Roman" w:hAnsi="Times New Roman" w:cs="Times New Roman"/>
          <w:color w:val="000000"/>
          <w:sz w:val="24"/>
          <w:szCs w:val="24"/>
        </w:rPr>
        <w:t xml:space="preserve"> consult, and that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632DED">
        <w:rPr>
          <w:rFonts w:ascii="Times New Roman" w:hAnsi="Times New Roman" w:cs="Times New Roman"/>
          <w:color w:val="000000"/>
          <w:sz w:val="24"/>
          <w:szCs w:val="24"/>
        </w:rPr>
        <w:t xml:space="preserve"> publish</w:t>
      </w:r>
      <w:r>
        <w:rPr>
          <w:rFonts w:ascii="Times New Roman" w:hAnsi="Times New Roman" w:cs="Times New Roman"/>
          <w:color w:val="000000"/>
          <w:sz w:val="24"/>
          <w:szCs w:val="24"/>
        </w:rPr>
        <w:t>es in its</w:t>
      </w:r>
      <w:r w:rsidRPr="00632DED">
        <w:rPr>
          <w:rFonts w:ascii="Times New Roman" w:hAnsi="Times New Roman" w:cs="Times New Roman"/>
          <w:color w:val="000000"/>
          <w:sz w:val="24"/>
          <w:szCs w:val="24"/>
        </w:rPr>
        <w:t xml:space="preserve"> regulatory guides. T</w:t>
      </w:r>
      <w:r>
        <w:rPr>
          <w:rFonts w:ascii="Times New Roman" w:hAnsi="Times New Roman" w:cs="Times New Roman"/>
          <w:color w:val="000000"/>
          <w:sz w:val="24"/>
          <w:szCs w:val="24"/>
        </w:rPr>
        <w:t>hese guides are available on ASIC’s website.</w:t>
      </w:r>
      <w:r w:rsidRPr="00632D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F268209" w14:textId="35066866" w:rsidR="00632DED" w:rsidRPr="00632DED" w:rsidRDefault="00632DED" w:rsidP="007C5A7D">
      <w:pPr>
        <w:autoSpaceDE w:val="0"/>
        <w:autoSpaceDN w:val="0"/>
        <w:adjustRightInd w:val="0"/>
        <w:spacing w:before="2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ASIC’s</w:t>
      </w:r>
      <w:r w:rsidRPr="00632DED">
        <w:rPr>
          <w:rFonts w:ascii="Times New Roman" w:hAnsi="Times New Roman" w:cs="Times New Roman"/>
          <w:color w:val="000000"/>
          <w:sz w:val="24"/>
          <w:szCs w:val="24"/>
        </w:rPr>
        <w:t xml:space="preserve"> individual relief decisions can be appealed to the Admin</w:t>
      </w:r>
      <w:r w:rsidR="0095689C">
        <w:rPr>
          <w:rFonts w:ascii="Times New Roman" w:hAnsi="Times New Roman" w:cs="Times New Roman"/>
          <w:color w:val="000000"/>
          <w:sz w:val="24"/>
          <w:szCs w:val="24"/>
        </w:rPr>
        <w:t xml:space="preserve">istrative Appeals Tribunal and, </w:t>
      </w:r>
      <w:r w:rsidRPr="00632DED">
        <w:rPr>
          <w:rFonts w:ascii="Times New Roman" w:hAnsi="Times New Roman" w:cs="Times New Roman"/>
          <w:color w:val="000000"/>
          <w:sz w:val="24"/>
          <w:szCs w:val="24"/>
        </w:rPr>
        <w:t xml:space="preserve">in the case of applications for relief from the takeovers provisions of the </w:t>
      </w:r>
      <w:r w:rsidRPr="0095689C">
        <w:rPr>
          <w:rFonts w:ascii="Times New Roman" w:hAnsi="Times New Roman" w:cs="Times New Roman"/>
          <w:i/>
          <w:color w:val="000000"/>
          <w:sz w:val="24"/>
          <w:szCs w:val="24"/>
        </w:rPr>
        <w:t>Corporations Act</w:t>
      </w:r>
      <w:r w:rsidR="0095689C" w:rsidRPr="0095689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2001</w:t>
      </w:r>
      <w:r w:rsidR="0095689C">
        <w:rPr>
          <w:rFonts w:ascii="Times New Roman" w:hAnsi="Times New Roman" w:cs="Times New Roman"/>
          <w:color w:val="000000"/>
          <w:sz w:val="24"/>
          <w:szCs w:val="24"/>
        </w:rPr>
        <w:t xml:space="preserve"> (Corporations Act), </w:t>
      </w:r>
      <w:r w:rsidRPr="00632DED">
        <w:rPr>
          <w:rFonts w:ascii="Times New Roman" w:hAnsi="Times New Roman" w:cs="Times New Roman"/>
          <w:color w:val="000000"/>
          <w:sz w:val="24"/>
          <w:szCs w:val="24"/>
        </w:rPr>
        <w:t>the Takeovers Panel</w:t>
      </w:r>
      <w:r>
        <w:rPr>
          <w:rFonts w:ascii="Times New Roman" w:hAnsi="Times New Roman" w:cs="Times New Roman"/>
          <w:color w:val="000000"/>
          <w:sz w:val="24"/>
          <w:szCs w:val="24"/>
        </w:rPr>
        <w:t>. ASIC’s</w:t>
      </w:r>
      <w:r w:rsidRPr="00632DED">
        <w:rPr>
          <w:rFonts w:ascii="Times New Roman" w:hAnsi="Times New Roman" w:cs="Times New Roman"/>
          <w:color w:val="000000"/>
          <w:sz w:val="24"/>
          <w:szCs w:val="24"/>
        </w:rPr>
        <w:t xml:space="preserve"> legislative instruments are subject to Parliamentary disallowance. </w:t>
      </w:r>
    </w:p>
    <w:p w14:paraId="65B22586" w14:textId="5D558772" w:rsidR="00632DED" w:rsidRPr="00632DED" w:rsidRDefault="00632DED" w:rsidP="007C5A7D">
      <w:pPr>
        <w:autoSpaceDE w:val="0"/>
        <w:autoSpaceDN w:val="0"/>
        <w:adjustRightInd w:val="0"/>
        <w:spacing w:before="2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2DED">
        <w:rPr>
          <w:rFonts w:ascii="Times New Roman" w:hAnsi="Times New Roman" w:cs="Times New Roman"/>
          <w:color w:val="000000"/>
          <w:sz w:val="24"/>
          <w:szCs w:val="24"/>
        </w:rPr>
        <w:t>Given the existing transparency and accountability mechanisms around ASIC’s exemption and modification powers</w:t>
      </w:r>
      <w:r>
        <w:rPr>
          <w:rFonts w:ascii="Times New Roman" w:hAnsi="Times New Roman" w:cs="Times New Roman"/>
          <w:color w:val="000000"/>
          <w:sz w:val="24"/>
          <w:szCs w:val="24"/>
        </w:rPr>
        <w:t>, the Government</w:t>
      </w:r>
      <w:r w:rsidRPr="00632DED">
        <w:rPr>
          <w:rFonts w:ascii="Times New Roman" w:hAnsi="Times New Roman" w:cs="Times New Roman"/>
          <w:color w:val="000000"/>
          <w:sz w:val="24"/>
          <w:szCs w:val="24"/>
        </w:rPr>
        <w:t xml:space="preserve"> do</w:t>
      </w:r>
      <w:r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Pr="00632DED">
        <w:rPr>
          <w:rFonts w:ascii="Times New Roman" w:hAnsi="Times New Roman" w:cs="Times New Roman"/>
          <w:color w:val="000000"/>
          <w:sz w:val="24"/>
          <w:szCs w:val="24"/>
        </w:rPr>
        <w:t xml:space="preserve"> not believe that creating a searchable database of relief instruments would necessarily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add significant value. </w:t>
      </w:r>
      <w:r w:rsidRPr="00632DED">
        <w:rPr>
          <w:rFonts w:ascii="Times New Roman" w:hAnsi="Times New Roman" w:cs="Times New Roman"/>
          <w:color w:val="000000"/>
          <w:sz w:val="24"/>
          <w:szCs w:val="24"/>
        </w:rPr>
        <w:t xml:space="preserve">This is partly because </w:t>
      </w:r>
      <w:r>
        <w:rPr>
          <w:rFonts w:ascii="Times New Roman" w:hAnsi="Times New Roman" w:cs="Times New Roman"/>
          <w:color w:val="000000"/>
          <w:sz w:val="24"/>
          <w:szCs w:val="24"/>
        </w:rPr>
        <w:t>ASIC is of the view that</w:t>
      </w:r>
      <w:r w:rsidRPr="00632DED">
        <w:rPr>
          <w:rFonts w:ascii="Times New Roman" w:hAnsi="Times New Roman" w:cs="Times New Roman"/>
          <w:color w:val="000000"/>
          <w:sz w:val="24"/>
          <w:szCs w:val="24"/>
        </w:rPr>
        <w:t xml:space="preserve"> it is unlikely that consumers or the general public would make widespread use of any such database.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2DED">
        <w:rPr>
          <w:rFonts w:ascii="Times New Roman" w:hAnsi="Times New Roman" w:cs="Times New Roman"/>
          <w:color w:val="000000"/>
          <w:sz w:val="24"/>
          <w:szCs w:val="24"/>
        </w:rPr>
        <w:t>If a more searchable database is considered desirable it m</w:t>
      </w:r>
      <w:r>
        <w:rPr>
          <w:rFonts w:ascii="Times New Roman" w:hAnsi="Times New Roman" w:cs="Times New Roman"/>
          <w:color w:val="000000"/>
          <w:sz w:val="24"/>
          <w:szCs w:val="24"/>
        </w:rPr>
        <w:t>ay be useful to find a whole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  <w:t>of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</w:r>
      <w:r w:rsidRPr="00632DED">
        <w:rPr>
          <w:rFonts w:ascii="Times New Roman" w:hAnsi="Times New Roman" w:cs="Times New Roman"/>
          <w:color w:val="000000"/>
          <w:sz w:val="24"/>
          <w:szCs w:val="24"/>
        </w:rPr>
        <w:t xml:space="preserve">Government solution for all individual instruments or waivers issued by all agencies. </w:t>
      </w:r>
    </w:p>
    <w:p w14:paraId="54AC2B31" w14:textId="1C56B6ED" w:rsidR="00632DED" w:rsidRPr="00632DED" w:rsidRDefault="00632DED" w:rsidP="007C5A7D">
      <w:pPr>
        <w:autoSpaceDE w:val="0"/>
        <w:autoSpaceDN w:val="0"/>
        <w:adjustRightInd w:val="0"/>
        <w:spacing w:before="2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However, ASIC</w:t>
      </w:r>
      <w:r w:rsidRPr="00632DED">
        <w:rPr>
          <w:rFonts w:ascii="Times New Roman" w:hAnsi="Times New Roman" w:cs="Times New Roman"/>
          <w:color w:val="000000"/>
          <w:sz w:val="24"/>
          <w:szCs w:val="24"/>
        </w:rPr>
        <w:t xml:space="preserve"> would be open to considering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cost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</w:r>
      <w:r w:rsidRPr="00632DED">
        <w:rPr>
          <w:rFonts w:ascii="Times New Roman" w:hAnsi="Times New Roman" w:cs="Times New Roman"/>
          <w:color w:val="000000"/>
          <w:sz w:val="24"/>
          <w:szCs w:val="24"/>
        </w:rPr>
        <w:t>effective ways to further improve the tran</w:t>
      </w:r>
      <w:r>
        <w:rPr>
          <w:rFonts w:ascii="Times New Roman" w:hAnsi="Times New Roman" w:cs="Times New Roman"/>
          <w:color w:val="000000"/>
          <w:sz w:val="24"/>
          <w:szCs w:val="24"/>
        </w:rPr>
        <w:t>sparency and availability of its</w:t>
      </w:r>
      <w:r w:rsidRPr="00632DED">
        <w:rPr>
          <w:rFonts w:ascii="Times New Roman" w:hAnsi="Times New Roman" w:cs="Times New Roman"/>
          <w:color w:val="000000"/>
          <w:sz w:val="24"/>
          <w:szCs w:val="24"/>
        </w:rPr>
        <w:t xml:space="preserve"> relief instruments. Technological developments may </w:t>
      </w:r>
      <w:r>
        <w:rPr>
          <w:rFonts w:ascii="Times New Roman" w:hAnsi="Times New Roman" w:cs="Times New Roman"/>
          <w:color w:val="000000"/>
          <w:sz w:val="24"/>
          <w:szCs w:val="24"/>
        </w:rPr>
        <w:t>enable ASIC to do this in future.</w:t>
      </w:r>
    </w:p>
    <w:p w14:paraId="1DF5A682" w14:textId="6A67BBD6" w:rsidR="00632DED" w:rsidRPr="00632DED" w:rsidRDefault="00632DED" w:rsidP="007C5A7D">
      <w:pPr>
        <w:autoSpaceDE w:val="0"/>
        <w:autoSpaceDN w:val="0"/>
        <w:adjustRightInd w:val="0"/>
        <w:spacing w:before="2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2DED">
        <w:rPr>
          <w:rFonts w:ascii="Times New Roman" w:hAnsi="Times New Roman" w:cs="Times New Roman"/>
          <w:color w:val="000000"/>
          <w:sz w:val="24"/>
          <w:szCs w:val="24"/>
        </w:rPr>
        <w:t>In relation to the recommendation that there be a register of waivers that are "in effect"</w:t>
      </w:r>
      <w:r w:rsidR="00EE685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32DED">
        <w:rPr>
          <w:rFonts w:ascii="Times New Roman" w:hAnsi="Times New Roman" w:cs="Times New Roman"/>
          <w:color w:val="000000"/>
          <w:sz w:val="24"/>
          <w:szCs w:val="24"/>
        </w:rPr>
        <w:t xml:space="preserve"> this may be challenging in practice because most ASIC individual instruments apply and are </w:t>
      </w:r>
      <w:r w:rsidRPr="00632DED">
        <w:rPr>
          <w:rFonts w:ascii="Times New Roman" w:hAnsi="Times New Roman" w:cs="Times New Roman"/>
          <w:color w:val="000000"/>
          <w:sz w:val="24"/>
          <w:szCs w:val="24"/>
        </w:rPr>
        <w:lastRenderedPageBreak/>
        <w:t>limited on their face by reference to a specific event or transaction rather than having an expiry date.</w:t>
      </w:r>
    </w:p>
    <w:p w14:paraId="7C5E25EA" w14:textId="5DCC976F" w:rsidR="00632DED" w:rsidRPr="00632DED" w:rsidRDefault="00632DED" w:rsidP="007C5A7D">
      <w:pPr>
        <w:autoSpaceDE w:val="0"/>
        <w:autoSpaceDN w:val="0"/>
        <w:adjustRightInd w:val="0"/>
        <w:spacing w:before="2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ASIC</w:t>
      </w:r>
      <w:r w:rsidRPr="00632DED">
        <w:rPr>
          <w:rFonts w:ascii="Times New Roman" w:hAnsi="Times New Roman" w:cs="Times New Roman"/>
          <w:color w:val="000000"/>
          <w:sz w:val="24"/>
          <w:szCs w:val="24"/>
        </w:rPr>
        <w:t xml:space="preserve"> also stress</w:t>
      </w:r>
      <w:r>
        <w:rPr>
          <w:rFonts w:ascii="Times New Roman" w:hAnsi="Times New Roman" w:cs="Times New Roman"/>
          <w:color w:val="000000"/>
          <w:sz w:val="24"/>
          <w:szCs w:val="24"/>
        </w:rPr>
        <w:t>es that it</w:t>
      </w:r>
      <w:r w:rsidRPr="00632DED">
        <w:rPr>
          <w:rFonts w:ascii="Times New Roman" w:hAnsi="Times New Roman" w:cs="Times New Roman"/>
          <w:color w:val="000000"/>
          <w:sz w:val="24"/>
          <w:szCs w:val="24"/>
        </w:rPr>
        <w:t xml:space="preserve"> usually will only grant relief in </w:t>
      </w:r>
      <w:r>
        <w:rPr>
          <w:rFonts w:ascii="Times New Roman" w:hAnsi="Times New Roman" w:cs="Times New Roman"/>
          <w:color w:val="000000"/>
          <w:sz w:val="24"/>
          <w:szCs w:val="24"/>
        </w:rPr>
        <w:t>new policy applications where it</w:t>
      </w:r>
      <w:r w:rsidRPr="00632DED">
        <w:rPr>
          <w:rFonts w:ascii="Times New Roman" w:hAnsi="Times New Roman" w:cs="Times New Roman"/>
          <w:color w:val="000000"/>
          <w:sz w:val="24"/>
          <w:szCs w:val="24"/>
        </w:rPr>
        <w:t xml:space="preserve"> consider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632DED">
        <w:rPr>
          <w:rFonts w:ascii="Times New Roman" w:hAnsi="Times New Roman" w:cs="Times New Roman"/>
          <w:color w:val="000000"/>
          <w:sz w:val="24"/>
          <w:szCs w:val="24"/>
        </w:rPr>
        <w:t xml:space="preserve"> that there is a net regulatory benefit, or any regulatory detriment is minimal and is outweighed by the commercial benefit. </w:t>
      </w:r>
      <w:r>
        <w:rPr>
          <w:rFonts w:ascii="Times New Roman" w:hAnsi="Times New Roman" w:cs="Times New Roman"/>
          <w:color w:val="000000"/>
          <w:sz w:val="24"/>
          <w:szCs w:val="24"/>
        </w:rPr>
        <w:t>ASIC</w:t>
      </w:r>
      <w:r w:rsidRPr="00632DED">
        <w:rPr>
          <w:rFonts w:ascii="Times New Roman" w:hAnsi="Times New Roman" w:cs="Times New Roman"/>
          <w:color w:val="000000"/>
          <w:sz w:val="24"/>
          <w:szCs w:val="24"/>
        </w:rPr>
        <w:t xml:space="preserve"> will also not generally offer relief to reverse the usual and intended effect of the Corporations Act or National Credit Act.</w:t>
      </w:r>
    </w:p>
    <w:p w14:paraId="6144583D" w14:textId="5D5B067C" w:rsidR="00632DED" w:rsidRPr="00632DED" w:rsidRDefault="007C5A7D" w:rsidP="007C5A7D">
      <w:pPr>
        <w:autoSpaceDE w:val="0"/>
        <w:autoSpaceDN w:val="0"/>
        <w:adjustRightInd w:val="0"/>
        <w:spacing w:before="2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ASIC</w:t>
      </w:r>
      <w:r w:rsidR="00632DED" w:rsidRPr="00632D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02E8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="00632DED" w:rsidRPr="00632DED">
        <w:rPr>
          <w:rFonts w:ascii="Times New Roman" w:hAnsi="Times New Roman" w:cs="Times New Roman"/>
          <w:color w:val="000000"/>
          <w:sz w:val="24"/>
          <w:szCs w:val="24"/>
        </w:rPr>
        <w:t xml:space="preserve"> unaware of signifi</w:t>
      </w:r>
      <w:r>
        <w:rPr>
          <w:rFonts w:ascii="Times New Roman" w:hAnsi="Times New Roman" w:cs="Times New Roman"/>
          <w:color w:val="000000"/>
          <w:sz w:val="24"/>
          <w:szCs w:val="24"/>
        </w:rPr>
        <w:t>cant consumer concerns about its</w:t>
      </w:r>
      <w:r w:rsidR="00632DED" w:rsidRPr="00632DED">
        <w:rPr>
          <w:rFonts w:ascii="Times New Roman" w:hAnsi="Times New Roman" w:cs="Times New Roman"/>
          <w:color w:val="000000"/>
          <w:sz w:val="24"/>
          <w:szCs w:val="24"/>
        </w:rPr>
        <w:t xml:space="preserve"> use of relief powers.</w:t>
      </w:r>
    </w:p>
    <w:p w14:paraId="36BA51FC" w14:textId="60F12719" w:rsidR="00632DED" w:rsidRPr="00632DED" w:rsidRDefault="00632DED" w:rsidP="007C5A7D">
      <w:pPr>
        <w:autoSpaceDE w:val="0"/>
        <w:autoSpaceDN w:val="0"/>
        <w:adjustRightInd w:val="0"/>
        <w:spacing w:before="2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2DED">
        <w:rPr>
          <w:rFonts w:ascii="Times New Roman" w:hAnsi="Times New Roman" w:cs="Times New Roman"/>
          <w:color w:val="000000"/>
          <w:sz w:val="24"/>
          <w:szCs w:val="24"/>
        </w:rPr>
        <w:t>Relief applications themselves could not be included in any searchable public register because they are subject to s</w:t>
      </w:r>
      <w:r w:rsidR="007C5A7D">
        <w:rPr>
          <w:rFonts w:ascii="Times New Roman" w:hAnsi="Times New Roman" w:cs="Times New Roman"/>
          <w:color w:val="000000"/>
          <w:sz w:val="24"/>
          <w:szCs w:val="24"/>
        </w:rPr>
        <w:t>ection </w:t>
      </w:r>
      <w:r w:rsidRPr="00632DED">
        <w:rPr>
          <w:rFonts w:ascii="Times New Roman" w:hAnsi="Times New Roman" w:cs="Times New Roman"/>
          <w:color w:val="000000"/>
          <w:sz w:val="24"/>
          <w:szCs w:val="24"/>
        </w:rPr>
        <w:t xml:space="preserve">127 of the </w:t>
      </w:r>
      <w:r w:rsidR="0095689C" w:rsidRPr="0095689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Australian Securities and Investments Commission </w:t>
      </w:r>
      <w:r w:rsidR="0095689C" w:rsidRPr="0095689C">
        <w:rPr>
          <w:rFonts w:ascii="Times New Roman" w:hAnsi="Times New Roman" w:cs="Times New Roman"/>
          <w:bCs/>
          <w:i/>
          <w:color w:val="000000"/>
          <w:sz w:val="24"/>
          <w:szCs w:val="24"/>
        </w:rPr>
        <w:t>Act</w:t>
      </w:r>
      <w:r w:rsidR="0095689C" w:rsidRPr="0095689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2001</w:t>
      </w:r>
      <w:r w:rsidR="0095689C" w:rsidRPr="009568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689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632DED">
        <w:rPr>
          <w:rFonts w:ascii="Times New Roman" w:hAnsi="Times New Roman" w:cs="Times New Roman"/>
          <w:color w:val="000000"/>
          <w:sz w:val="24"/>
          <w:szCs w:val="24"/>
        </w:rPr>
        <w:t>ASIC Act</w:t>
      </w:r>
      <w:r w:rsidR="0095689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32DED">
        <w:rPr>
          <w:rFonts w:ascii="Times New Roman" w:hAnsi="Times New Roman" w:cs="Times New Roman"/>
          <w:color w:val="000000"/>
          <w:sz w:val="24"/>
          <w:szCs w:val="24"/>
        </w:rPr>
        <w:t>, which obliges ASIC to keep them confidential.</w:t>
      </w:r>
    </w:p>
    <w:p w14:paraId="2CA8750F" w14:textId="64C8BA3C" w:rsidR="004340D5" w:rsidRPr="0095689C" w:rsidRDefault="004340D5" w:rsidP="0095689C">
      <w:pPr>
        <w:autoSpaceDE w:val="0"/>
        <w:autoSpaceDN w:val="0"/>
        <w:adjustRightInd w:val="0"/>
        <w:spacing w:before="2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340D5" w:rsidRPr="0095689C" w:rsidSect="001135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2" w:right="1440" w:bottom="993" w:left="1440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1F6CD" w14:textId="77777777" w:rsidR="006C62CC" w:rsidRDefault="006C62CC" w:rsidP="006C62CC">
      <w:pPr>
        <w:spacing w:after="0" w:line="240" w:lineRule="auto"/>
      </w:pPr>
      <w:r>
        <w:separator/>
      </w:r>
    </w:p>
  </w:endnote>
  <w:endnote w:type="continuationSeparator" w:id="0">
    <w:p w14:paraId="2C170A2D" w14:textId="77777777" w:rsidR="006C62CC" w:rsidRDefault="006C62CC" w:rsidP="006C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0FB86" w14:textId="77777777" w:rsidR="00C94FEB" w:rsidRDefault="00C94F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54F31" w14:textId="77777777" w:rsidR="00C94FEB" w:rsidRDefault="00C94F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DB364" w14:textId="77777777" w:rsidR="00C94FEB" w:rsidRDefault="00C94F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5EBEF" w14:textId="77777777" w:rsidR="006C62CC" w:rsidRDefault="006C62CC" w:rsidP="006C62CC">
      <w:pPr>
        <w:spacing w:after="0" w:line="240" w:lineRule="auto"/>
      </w:pPr>
      <w:r>
        <w:separator/>
      </w:r>
    </w:p>
  </w:footnote>
  <w:footnote w:type="continuationSeparator" w:id="0">
    <w:p w14:paraId="2221EA60" w14:textId="77777777" w:rsidR="006C62CC" w:rsidRDefault="006C62CC" w:rsidP="006C6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A3A9D" w14:textId="77777777" w:rsidR="00C94FEB" w:rsidRDefault="00C94F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974E1" w14:textId="77777777" w:rsidR="00C94FEB" w:rsidRDefault="00C94F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3AD8B" w14:textId="77777777" w:rsidR="00C94FEB" w:rsidRDefault="00C94F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29CA"/>
    <w:multiLevelType w:val="multilevel"/>
    <w:tmpl w:val="E2F68120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135"/>
        </w:tabs>
        <w:ind w:left="1135" w:hanging="567"/>
      </w:pPr>
      <w:rPr>
        <w:rFonts w:ascii="Symbol" w:hAnsi="Symbol" w:hint="default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D5"/>
    <w:rsid w:val="000C3422"/>
    <w:rsid w:val="001135EE"/>
    <w:rsid w:val="002B3331"/>
    <w:rsid w:val="002B4DEA"/>
    <w:rsid w:val="004340D5"/>
    <w:rsid w:val="00632DED"/>
    <w:rsid w:val="00632E4B"/>
    <w:rsid w:val="00654B30"/>
    <w:rsid w:val="006C62CC"/>
    <w:rsid w:val="006C6610"/>
    <w:rsid w:val="00751E21"/>
    <w:rsid w:val="00752DC4"/>
    <w:rsid w:val="007C5A7D"/>
    <w:rsid w:val="0095689C"/>
    <w:rsid w:val="00A05A07"/>
    <w:rsid w:val="00AB2D04"/>
    <w:rsid w:val="00AE3BBB"/>
    <w:rsid w:val="00BA10B0"/>
    <w:rsid w:val="00C621C2"/>
    <w:rsid w:val="00C94FEB"/>
    <w:rsid w:val="00D802E8"/>
    <w:rsid w:val="00EE6854"/>
    <w:rsid w:val="00FA29D0"/>
    <w:rsid w:val="00FB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1CE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aliases w:val="b,b1,b + line,Body,level 1"/>
    <w:basedOn w:val="Normal"/>
    <w:link w:val="BulletChar"/>
    <w:qFormat/>
    <w:rsid w:val="004340D5"/>
    <w:pPr>
      <w:numPr>
        <w:numId w:val="1"/>
      </w:numPr>
      <w:spacing w:before="28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BulletChar">
    <w:name w:val="Bullet Char"/>
    <w:aliases w:val="b Char,b Char Char,b + line Char Char"/>
    <w:basedOn w:val="DefaultParagraphFont"/>
    <w:link w:val="Bullet"/>
    <w:rsid w:val="004340D5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DoubleDot">
    <w:name w:val="Double Dot"/>
    <w:basedOn w:val="Normal"/>
    <w:qFormat/>
    <w:rsid w:val="004340D5"/>
    <w:pPr>
      <w:numPr>
        <w:ilvl w:val="2"/>
        <w:numId w:val="1"/>
      </w:numPr>
      <w:spacing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Dash">
    <w:name w:val="Dash"/>
    <w:basedOn w:val="Normal"/>
    <w:rsid w:val="006C62CC"/>
    <w:pPr>
      <w:tabs>
        <w:tab w:val="num" w:pos="1134"/>
      </w:tabs>
      <w:spacing w:line="240" w:lineRule="auto"/>
      <w:ind w:left="1134" w:hanging="567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noteText">
    <w:name w:val="footnote text"/>
    <w:basedOn w:val="Normal"/>
    <w:link w:val="FootnoteTextChar"/>
    <w:semiHidden/>
    <w:rsid w:val="006C62C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semiHidden/>
    <w:rsid w:val="006C62CC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6C62C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32DED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5689C"/>
    <w:rPr>
      <w:b/>
      <w:bCs/>
      <w:i w:val="0"/>
      <w:iCs w:val="0"/>
    </w:rPr>
  </w:style>
  <w:style w:type="character" w:customStyle="1" w:styleId="st1">
    <w:name w:val="st1"/>
    <w:basedOn w:val="DefaultParagraphFont"/>
    <w:rsid w:val="0095689C"/>
  </w:style>
  <w:style w:type="paragraph" w:styleId="Header">
    <w:name w:val="header"/>
    <w:basedOn w:val="Normal"/>
    <w:link w:val="HeaderChar"/>
    <w:uiPriority w:val="99"/>
    <w:unhideWhenUsed/>
    <w:rsid w:val="00654B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B30"/>
  </w:style>
  <w:style w:type="paragraph" w:styleId="Footer">
    <w:name w:val="footer"/>
    <w:basedOn w:val="Normal"/>
    <w:link w:val="FooterChar"/>
    <w:uiPriority w:val="99"/>
    <w:unhideWhenUsed/>
    <w:rsid w:val="00654B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B30"/>
  </w:style>
  <w:style w:type="character" w:styleId="CommentReference">
    <w:name w:val="annotation reference"/>
    <w:basedOn w:val="DefaultParagraphFont"/>
    <w:uiPriority w:val="99"/>
    <w:semiHidden/>
    <w:unhideWhenUsed/>
    <w:rsid w:val="00D802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2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2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2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2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2E8"/>
    <w:rPr>
      <w:rFonts w:ascii="Tahoma" w:hAnsi="Tahoma" w:cs="Tahoma"/>
      <w:sz w:val="16"/>
      <w:szCs w:val="16"/>
    </w:rPr>
  </w:style>
  <w:style w:type="paragraph" w:customStyle="1" w:styleId="Enc">
    <w:name w:val="Enc"/>
    <w:basedOn w:val="Normal"/>
    <w:qFormat/>
    <w:rsid w:val="002B4DEA"/>
    <w:pPr>
      <w:spacing w:before="240" w:after="0" w:line="240" w:lineRule="auto"/>
    </w:pPr>
    <w:rPr>
      <w:rFonts w:ascii="Times New Roman" w:eastAsia="Times New Roman" w:hAnsi="Times New Roman" w:cs="Times New Roman"/>
      <w:b/>
      <w:color w:val="000000" w:themeColor="text1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aliases w:val="b,b1,b + line,Body,level 1"/>
    <w:basedOn w:val="Normal"/>
    <w:link w:val="BulletChar"/>
    <w:qFormat/>
    <w:rsid w:val="004340D5"/>
    <w:pPr>
      <w:numPr>
        <w:numId w:val="1"/>
      </w:numPr>
      <w:spacing w:before="28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BulletChar">
    <w:name w:val="Bullet Char"/>
    <w:aliases w:val="b Char,b Char Char,b + line Char Char"/>
    <w:basedOn w:val="DefaultParagraphFont"/>
    <w:link w:val="Bullet"/>
    <w:rsid w:val="004340D5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DoubleDot">
    <w:name w:val="Double Dot"/>
    <w:basedOn w:val="Normal"/>
    <w:qFormat/>
    <w:rsid w:val="004340D5"/>
    <w:pPr>
      <w:numPr>
        <w:ilvl w:val="2"/>
        <w:numId w:val="1"/>
      </w:numPr>
      <w:spacing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Dash">
    <w:name w:val="Dash"/>
    <w:basedOn w:val="Normal"/>
    <w:rsid w:val="006C62CC"/>
    <w:pPr>
      <w:tabs>
        <w:tab w:val="num" w:pos="1134"/>
      </w:tabs>
      <w:spacing w:line="240" w:lineRule="auto"/>
      <w:ind w:left="1134" w:hanging="567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noteText">
    <w:name w:val="footnote text"/>
    <w:basedOn w:val="Normal"/>
    <w:link w:val="FootnoteTextChar"/>
    <w:semiHidden/>
    <w:rsid w:val="006C62C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semiHidden/>
    <w:rsid w:val="006C62CC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6C62C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32DED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5689C"/>
    <w:rPr>
      <w:b/>
      <w:bCs/>
      <w:i w:val="0"/>
      <w:iCs w:val="0"/>
    </w:rPr>
  </w:style>
  <w:style w:type="character" w:customStyle="1" w:styleId="st1">
    <w:name w:val="st1"/>
    <w:basedOn w:val="DefaultParagraphFont"/>
    <w:rsid w:val="0095689C"/>
  </w:style>
  <w:style w:type="paragraph" w:styleId="Header">
    <w:name w:val="header"/>
    <w:basedOn w:val="Normal"/>
    <w:link w:val="HeaderChar"/>
    <w:uiPriority w:val="99"/>
    <w:unhideWhenUsed/>
    <w:rsid w:val="00654B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B30"/>
  </w:style>
  <w:style w:type="paragraph" w:styleId="Footer">
    <w:name w:val="footer"/>
    <w:basedOn w:val="Normal"/>
    <w:link w:val="FooterChar"/>
    <w:uiPriority w:val="99"/>
    <w:unhideWhenUsed/>
    <w:rsid w:val="00654B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B30"/>
  </w:style>
  <w:style w:type="character" w:styleId="CommentReference">
    <w:name w:val="annotation reference"/>
    <w:basedOn w:val="DefaultParagraphFont"/>
    <w:uiPriority w:val="99"/>
    <w:semiHidden/>
    <w:unhideWhenUsed/>
    <w:rsid w:val="00D802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2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2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2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2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2E8"/>
    <w:rPr>
      <w:rFonts w:ascii="Tahoma" w:hAnsi="Tahoma" w:cs="Tahoma"/>
      <w:sz w:val="16"/>
      <w:szCs w:val="16"/>
    </w:rPr>
  </w:style>
  <w:style w:type="paragraph" w:customStyle="1" w:styleId="Enc">
    <w:name w:val="Enc"/>
    <w:basedOn w:val="Normal"/>
    <w:qFormat/>
    <w:rsid w:val="002B4DEA"/>
    <w:pPr>
      <w:spacing w:before="240" w:after="0" w:line="240" w:lineRule="auto"/>
    </w:pPr>
    <w:rPr>
      <w:rFonts w:ascii="Times New Roman" w:eastAsia="Times New Roman" w:hAnsi="Times New Roman" w:cs="Times New Roman"/>
      <w:b/>
      <w:color w:val="000000" w:themeColor="text1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Government response to the Parliamentary Joint Committee on Corporations and Financial Services</vt:lpstr>
    </vt:vector>
  </TitlesOfParts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Government response to the Parliamentary Joint Committee on Corporations and Financial Services</dc:title>
  <dc:creator/>
  <cp:lastModifiedBy/>
  <cp:revision>1</cp:revision>
  <dcterms:created xsi:type="dcterms:W3CDTF">2018-05-10T02:26:00Z</dcterms:created>
  <dcterms:modified xsi:type="dcterms:W3CDTF">2018-05-10T02:28:00Z</dcterms:modified>
</cp:coreProperties>
</file>