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9078220" w14:textId="77777777" w:rsidR="009D01F2" w:rsidRDefault="00A72DC0">
      <w:pPr>
        <w:spacing w:line="256" w:lineRule="auto"/>
        <w:rPr>
          <w:rFonts w:ascii="Verdana" w:eastAsia="Verdana" w:hAnsi="Verdana" w:cs="Verdana"/>
          <w:sz w:val="21"/>
          <w:szCs w:val="21"/>
        </w:rPr>
      </w:pPr>
      <w:r>
        <w:rPr>
          <w:rFonts w:ascii="Verdana" w:eastAsia="Verdana" w:hAnsi="Verdana" w:cs="Verdana"/>
          <w:sz w:val="21"/>
          <w:szCs w:val="21"/>
        </w:rPr>
        <w:t>The Treasury</w:t>
      </w:r>
    </w:p>
    <w:p w14:paraId="7017D44C" w14:textId="77777777" w:rsidR="009D01F2" w:rsidRDefault="00A72DC0">
      <w:pPr>
        <w:spacing w:line="256" w:lineRule="auto"/>
        <w:rPr>
          <w:rFonts w:ascii="Verdana" w:eastAsia="Verdana" w:hAnsi="Verdana" w:cs="Verdana"/>
          <w:sz w:val="21"/>
          <w:szCs w:val="21"/>
        </w:rPr>
      </w:pPr>
      <w:r>
        <w:rPr>
          <w:rFonts w:ascii="Verdana" w:eastAsia="Verdana" w:hAnsi="Verdana" w:cs="Verdana"/>
          <w:sz w:val="21"/>
          <w:szCs w:val="21"/>
        </w:rPr>
        <w:t>Langton Crescent</w:t>
      </w:r>
    </w:p>
    <w:p w14:paraId="5D385D2C" w14:textId="77777777" w:rsidR="009D01F2" w:rsidRDefault="00A72DC0">
      <w:pPr>
        <w:rPr>
          <w:rFonts w:ascii="Verdana" w:eastAsia="Verdana" w:hAnsi="Verdana" w:cs="Verdana"/>
          <w:sz w:val="21"/>
          <w:szCs w:val="21"/>
        </w:rPr>
      </w:pPr>
      <w:r>
        <w:rPr>
          <w:rFonts w:ascii="Verdana" w:eastAsia="Verdana" w:hAnsi="Verdana" w:cs="Verdana"/>
          <w:sz w:val="21"/>
          <w:szCs w:val="21"/>
        </w:rPr>
        <w:t>PARKES ACT 2600                                                                                                                   March 2018</w:t>
      </w:r>
    </w:p>
    <w:p w14:paraId="565B3AAC" w14:textId="77777777" w:rsidR="009D01F2" w:rsidRDefault="00A72DC0">
      <w:pPr>
        <w:rPr>
          <w:rFonts w:ascii="Verdana" w:eastAsia="Verdana" w:hAnsi="Verdana" w:cs="Verdana"/>
          <w:sz w:val="21"/>
          <w:szCs w:val="21"/>
        </w:rPr>
      </w:pPr>
      <w:r>
        <w:rPr>
          <w:rFonts w:ascii="Verdana" w:eastAsia="Verdana" w:hAnsi="Verdana" w:cs="Verdana"/>
          <w:sz w:val="21"/>
          <w:szCs w:val="21"/>
        </w:rPr>
        <w:t>AUSTRALIA</w:t>
      </w:r>
    </w:p>
    <w:p w14:paraId="04E6C296" w14:textId="77777777" w:rsidR="009D01F2" w:rsidRDefault="00A72DC0">
      <w:pPr>
        <w:rPr>
          <w:rFonts w:ascii="Verdana" w:eastAsia="Verdana" w:hAnsi="Verdana" w:cs="Verdana"/>
        </w:rPr>
      </w:pPr>
      <w:r>
        <w:rPr>
          <w:rFonts w:ascii="Verdana" w:eastAsia="Verdana" w:hAnsi="Verdana" w:cs="Verdana"/>
          <w:b/>
          <w:sz w:val="21"/>
          <w:szCs w:val="21"/>
        </w:rPr>
        <w:t xml:space="preserve"> </w:t>
      </w:r>
    </w:p>
    <w:p w14:paraId="23C3AFC3" w14:textId="77777777" w:rsidR="009D01F2" w:rsidRDefault="00A72DC0">
      <w:pPr>
        <w:rPr>
          <w:rFonts w:ascii="Verdana" w:eastAsia="Verdana" w:hAnsi="Verdana" w:cs="Verdana"/>
          <w:b/>
          <w:sz w:val="21"/>
          <w:szCs w:val="21"/>
        </w:rPr>
      </w:pPr>
      <w:r>
        <w:rPr>
          <w:rFonts w:ascii="Verdana" w:eastAsia="Verdana" w:hAnsi="Verdana" w:cs="Verdana"/>
          <w:b/>
          <w:sz w:val="21"/>
          <w:szCs w:val="21"/>
        </w:rPr>
        <w:t>Reference:  Review into Open Banking in Australia – Final Report</w:t>
      </w:r>
    </w:p>
    <w:p w14:paraId="253A9951" w14:textId="77777777" w:rsidR="009D01F2" w:rsidRDefault="009D01F2">
      <w:pPr>
        <w:rPr>
          <w:rFonts w:ascii="Verdana" w:eastAsia="Verdana" w:hAnsi="Verdana" w:cs="Verdana"/>
          <w:b/>
          <w:sz w:val="21"/>
          <w:szCs w:val="21"/>
          <w:highlight w:val="yellow"/>
        </w:rPr>
      </w:pPr>
    </w:p>
    <w:p w14:paraId="54188B38" w14:textId="77777777" w:rsidR="009D01F2" w:rsidRDefault="00A72DC0">
      <w:pPr>
        <w:rPr>
          <w:rFonts w:ascii="Verdana" w:eastAsia="Verdana" w:hAnsi="Verdana" w:cs="Verdana"/>
          <w:b/>
          <w:sz w:val="21"/>
          <w:szCs w:val="21"/>
        </w:rPr>
      </w:pPr>
      <w:r>
        <w:rPr>
          <w:rFonts w:ascii="Verdana" w:eastAsia="Verdana" w:hAnsi="Verdana" w:cs="Verdana"/>
          <w:b/>
          <w:sz w:val="21"/>
          <w:szCs w:val="21"/>
        </w:rPr>
        <w:t xml:space="preserve">22 March 2018 </w:t>
      </w:r>
    </w:p>
    <w:p w14:paraId="4CA1D888" w14:textId="77777777" w:rsidR="009D01F2" w:rsidRDefault="009D01F2">
      <w:pPr>
        <w:rPr>
          <w:rFonts w:ascii="Verdana" w:eastAsia="Verdana" w:hAnsi="Verdana" w:cs="Verdana"/>
          <w:sz w:val="21"/>
          <w:szCs w:val="21"/>
          <w:highlight w:val="yellow"/>
        </w:rPr>
      </w:pPr>
    </w:p>
    <w:p w14:paraId="77FCB68A" w14:textId="77777777" w:rsidR="009D01F2" w:rsidRDefault="00A72DC0">
      <w:pPr>
        <w:rPr>
          <w:rFonts w:ascii="Verdana" w:eastAsia="Verdana" w:hAnsi="Verdana" w:cs="Verdana"/>
          <w:sz w:val="21"/>
          <w:szCs w:val="21"/>
        </w:rPr>
      </w:pPr>
      <w:r>
        <w:rPr>
          <w:rFonts w:ascii="Verdana" w:eastAsia="Verdana" w:hAnsi="Verdana" w:cs="Verdana"/>
          <w:sz w:val="21"/>
          <w:szCs w:val="21"/>
        </w:rPr>
        <w:t>To the Treasurer,</w:t>
      </w:r>
    </w:p>
    <w:p w14:paraId="34F3C3DF"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06ADFFAE" w14:textId="77777777" w:rsidR="009D01F2" w:rsidRDefault="00A72DC0">
      <w:pPr>
        <w:rPr>
          <w:rFonts w:ascii="Verdana" w:eastAsia="Verdana" w:hAnsi="Verdana" w:cs="Verdana"/>
          <w:sz w:val="21"/>
          <w:szCs w:val="21"/>
        </w:rPr>
      </w:pPr>
      <w:r>
        <w:rPr>
          <w:rFonts w:ascii="Verdana" w:eastAsia="Verdana" w:hAnsi="Verdana" w:cs="Verdana"/>
          <w:sz w:val="21"/>
          <w:szCs w:val="21"/>
        </w:rPr>
        <w:t>We write to you on behalf of Moneytree Financial Technology Pty Ltd in relation to the ‘Review into Open Banking in Australia – Final Report,’ (the Report) released in February 2018 for public consultation, and to submit</w:t>
      </w:r>
      <w:r>
        <w:rPr>
          <w:rFonts w:ascii="Verdana" w:eastAsia="Verdana" w:hAnsi="Verdana" w:cs="Verdana"/>
          <w:sz w:val="21"/>
          <w:szCs w:val="21"/>
        </w:rPr>
        <w:t xml:space="preserve"> our comments on Open Banking policy and regulation in Australia.</w:t>
      </w:r>
    </w:p>
    <w:p w14:paraId="5C367C7E"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3152D626" w14:textId="77777777" w:rsidR="009D01F2" w:rsidRDefault="00A72DC0">
      <w:pPr>
        <w:rPr>
          <w:rFonts w:ascii="Verdana" w:eastAsia="Verdana" w:hAnsi="Verdana" w:cs="Verdana"/>
          <w:b/>
          <w:sz w:val="21"/>
          <w:szCs w:val="21"/>
        </w:rPr>
      </w:pPr>
      <w:r>
        <w:rPr>
          <w:rFonts w:ascii="Verdana" w:eastAsia="Verdana" w:hAnsi="Verdana" w:cs="Verdana"/>
          <w:b/>
          <w:sz w:val="21"/>
          <w:szCs w:val="21"/>
        </w:rPr>
        <w:t>Background on Moneytree</w:t>
      </w:r>
    </w:p>
    <w:p w14:paraId="51EE4A9E" w14:textId="77777777" w:rsidR="009D01F2" w:rsidRDefault="00A72DC0">
      <w:pPr>
        <w:rPr>
          <w:rFonts w:ascii="Verdana" w:eastAsia="Verdana" w:hAnsi="Verdana" w:cs="Verdana"/>
          <w:b/>
          <w:sz w:val="21"/>
          <w:szCs w:val="21"/>
        </w:rPr>
      </w:pPr>
      <w:r>
        <w:rPr>
          <w:rFonts w:ascii="Verdana" w:eastAsia="Verdana" w:hAnsi="Verdana" w:cs="Verdana"/>
          <w:b/>
          <w:sz w:val="21"/>
          <w:szCs w:val="21"/>
        </w:rPr>
        <w:t xml:space="preserve"> </w:t>
      </w:r>
    </w:p>
    <w:p w14:paraId="3DB16EEF" w14:textId="77777777" w:rsidR="009D01F2" w:rsidRDefault="00A72DC0">
      <w:pPr>
        <w:rPr>
          <w:rFonts w:ascii="Verdana" w:eastAsia="Verdana" w:hAnsi="Verdana" w:cs="Verdana"/>
          <w:sz w:val="21"/>
          <w:szCs w:val="21"/>
        </w:rPr>
      </w:pPr>
      <w:r>
        <w:rPr>
          <w:rFonts w:ascii="Verdana" w:eastAsia="Verdana" w:hAnsi="Verdana" w:cs="Verdana"/>
          <w:sz w:val="21"/>
          <w:szCs w:val="21"/>
        </w:rPr>
        <w:t>Moneytree is a financial data aggregation platform, operating in Japan since 2013 and in Australia since 2017. We aim to bring financial institutions and their cu</w:t>
      </w:r>
      <w:r>
        <w:rPr>
          <w:rFonts w:ascii="Verdana" w:eastAsia="Verdana" w:hAnsi="Verdana" w:cs="Verdana"/>
          <w:sz w:val="21"/>
          <w:szCs w:val="21"/>
        </w:rPr>
        <w:t>stomers closer together through a permission-based platform composed of three parts:</w:t>
      </w:r>
    </w:p>
    <w:p w14:paraId="5AF99100"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333CA676" w14:textId="77777777" w:rsidR="009D01F2" w:rsidRDefault="00A72DC0">
      <w:pPr>
        <w:numPr>
          <w:ilvl w:val="0"/>
          <w:numId w:val="1"/>
        </w:numPr>
        <w:contextualSpacing/>
        <w:rPr>
          <w:rFonts w:ascii="Verdana" w:eastAsia="Verdana" w:hAnsi="Verdana" w:cs="Verdana"/>
          <w:sz w:val="21"/>
          <w:szCs w:val="21"/>
        </w:rPr>
      </w:pPr>
      <w:r>
        <w:rPr>
          <w:rFonts w:ascii="Verdana" w:eastAsia="Verdana" w:hAnsi="Verdana" w:cs="Verdana"/>
          <w:sz w:val="21"/>
          <w:szCs w:val="21"/>
        </w:rPr>
        <w:t>a personal financial management mobile application for individuals;</w:t>
      </w:r>
    </w:p>
    <w:p w14:paraId="38CAC134" w14:textId="77777777" w:rsidR="009D01F2" w:rsidRDefault="00A72DC0">
      <w:pPr>
        <w:numPr>
          <w:ilvl w:val="0"/>
          <w:numId w:val="1"/>
        </w:numPr>
        <w:contextualSpacing/>
        <w:rPr>
          <w:rFonts w:ascii="Verdana" w:eastAsia="Verdana" w:hAnsi="Verdana" w:cs="Verdana"/>
          <w:sz w:val="21"/>
          <w:szCs w:val="21"/>
        </w:rPr>
      </w:pPr>
      <w:r>
        <w:rPr>
          <w:rFonts w:ascii="Verdana" w:eastAsia="Verdana" w:hAnsi="Verdana" w:cs="Verdana"/>
          <w:sz w:val="21"/>
          <w:szCs w:val="21"/>
        </w:rPr>
        <w:t>an expense tracking tool for small and medium-sized businesses, and;</w:t>
      </w:r>
    </w:p>
    <w:p w14:paraId="5562B48B" w14:textId="77777777" w:rsidR="009D01F2" w:rsidRDefault="00A72DC0">
      <w:pPr>
        <w:numPr>
          <w:ilvl w:val="0"/>
          <w:numId w:val="1"/>
        </w:numPr>
        <w:contextualSpacing/>
        <w:rPr>
          <w:rFonts w:ascii="Verdana" w:eastAsia="Verdana" w:hAnsi="Verdana" w:cs="Verdana"/>
          <w:sz w:val="21"/>
          <w:szCs w:val="21"/>
        </w:rPr>
      </w:pPr>
      <w:r>
        <w:rPr>
          <w:rFonts w:ascii="Verdana" w:eastAsia="Verdana" w:hAnsi="Verdana" w:cs="Verdana"/>
          <w:sz w:val="21"/>
          <w:szCs w:val="21"/>
        </w:rPr>
        <w:t>a standardised API of aggregated</w:t>
      </w:r>
      <w:r>
        <w:rPr>
          <w:rFonts w:ascii="Verdana" w:eastAsia="Verdana" w:hAnsi="Verdana" w:cs="Verdana"/>
          <w:sz w:val="21"/>
          <w:szCs w:val="21"/>
        </w:rPr>
        <w:t xml:space="preserve"> financial customer data for enterprises.</w:t>
      </w:r>
    </w:p>
    <w:p w14:paraId="46B50B5E" w14:textId="77777777" w:rsidR="009D01F2" w:rsidRDefault="009D01F2">
      <w:pPr>
        <w:rPr>
          <w:rFonts w:ascii="Verdana" w:eastAsia="Verdana" w:hAnsi="Verdana" w:cs="Verdana"/>
          <w:sz w:val="21"/>
          <w:szCs w:val="21"/>
        </w:rPr>
      </w:pPr>
    </w:p>
    <w:p w14:paraId="2A81EAF1" w14:textId="77777777" w:rsidR="009D01F2" w:rsidRDefault="00A72DC0">
      <w:pPr>
        <w:rPr>
          <w:rFonts w:ascii="Verdana" w:eastAsia="Verdana" w:hAnsi="Verdana" w:cs="Verdana"/>
          <w:sz w:val="21"/>
          <w:szCs w:val="21"/>
        </w:rPr>
      </w:pPr>
      <w:r>
        <w:rPr>
          <w:rFonts w:ascii="Verdana" w:eastAsia="Verdana" w:hAnsi="Verdana" w:cs="Verdana"/>
          <w:sz w:val="21"/>
          <w:szCs w:val="21"/>
        </w:rPr>
        <w:t>Moneytree counts Japan’s three megabanks and numerous regional banks among its clients and investors. Our company also submitted comments for the initial consultation period on Open Banking, between August and Sep</w:t>
      </w:r>
      <w:r>
        <w:rPr>
          <w:rFonts w:ascii="Verdana" w:eastAsia="Verdana" w:hAnsi="Verdana" w:cs="Verdana"/>
          <w:sz w:val="21"/>
          <w:szCs w:val="21"/>
        </w:rPr>
        <w:t>tember 2017, which can be reviewed</w:t>
      </w:r>
      <w:hyperlink r:id="rId7">
        <w:r>
          <w:rPr>
            <w:rFonts w:ascii="Verdana" w:eastAsia="Verdana" w:hAnsi="Verdana" w:cs="Verdana"/>
            <w:sz w:val="21"/>
            <w:szCs w:val="21"/>
          </w:rPr>
          <w:t xml:space="preserve"> </w:t>
        </w:r>
      </w:hyperlink>
      <w:hyperlink r:id="rId8">
        <w:r>
          <w:rPr>
            <w:rFonts w:ascii="Verdana" w:eastAsia="Verdana" w:hAnsi="Verdana" w:cs="Verdana"/>
            <w:color w:val="1155CC"/>
            <w:sz w:val="21"/>
            <w:szCs w:val="21"/>
            <w:u w:val="single"/>
          </w:rPr>
          <w:t>here</w:t>
        </w:r>
      </w:hyperlink>
      <w:r>
        <w:rPr>
          <w:rFonts w:ascii="Verdana" w:eastAsia="Verdana" w:hAnsi="Verdana" w:cs="Verdana"/>
          <w:sz w:val="21"/>
          <w:szCs w:val="21"/>
        </w:rPr>
        <w:t>.</w:t>
      </w:r>
    </w:p>
    <w:p w14:paraId="551EF891" w14:textId="77777777" w:rsidR="009D01F2" w:rsidRDefault="009D01F2">
      <w:pPr>
        <w:rPr>
          <w:rFonts w:ascii="Verdana" w:eastAsia="Verdana" w:hAnsi="Verdana" w:cs="Verdana"/>
          <w:sz w:val="21"/>
          <w:szCs w:val="21"/>
          <w:highlight w:val="black"/>
        </w:rPr>
      </w:pPr>
    </w:p>
    <w:p w14:paraId="2032A46D" w14:textId="77777777" w:rsidR="009D01F2" w:rsidRDefault="00A72DC0">
      <w:pPr>
        <w:rPr>
          <w:rFonts w:ascii="Verdana" w:eastAsia="Verdana" w:hAnsi="Verdana" w:cs="Verdana"/>
          <w:b/>
          <w:sz w:val="21"/>
          <w:szCs w:val="21"/>
        </w:rPr>
      </w:pPr>
      <w:r>
        <w:rPr>
          <w:rFonts w:ascii="Verdana" w:eastAsia="Verdana" w:hAnsi="Verdana" w:cs="Verdana"/>
          <w:b/>
          <w:sz w:val="21"/>
          <w:szCs w:val="21"/>
        </w:rPr>
        <w:t>Assessment of the Report</w:t>
      </w:r>
    </w:p>
    <w:p w14:paraId="51DAA397" w14:textId="77777777" w:rsidR="009D01F2" w:rsidRDefault="009D01F2">
      <w:pPr>
        <w:rPr>
          <w:rFonts w:ascii="Verdana" w:eastAsia="Verdana" w:hAnsi="Verdana" w:cs="Verdana"/>
          <w:b/>
          <w:sz w:val="21"/>
          <w:szCs w:val="21"/>
        </w:rPr>
      </w:pPr>
    </w:p>
    <w:p w14:paraId="4BC2C853" w14:textId="77777777" w:rsidR="009D01F2" w:rsidRDefault="00A72DC0">
      <w:pPr>
        <w:rPr>
          <w:rFonts w:ascii="Verdana" w:eastAsia="Verdana" w:hAnsi="Verdana" w:cs="Verdana"/>
          <w:sz w:val="21"/>
          <w:szCs w:val="21"/>
        </w:rPr>
      </w:pPr>
      <w:r>
        <w:rPr>
          <w:rFonts w:ascii="Verdana" w:eastAsia="Verdana" w:hAnsi="Verdana" w:cs="Verdana"/>
          <w:sz w:val="21"/>
          <w:szCs w:val="21"/>
        </w:rPr>
        <w:t>Upon review of the 50 recommendations contained in the</w:t>
      </w:r>
      <w:hyperlink r:id="rId9">
        <w:r>
          <w:rPr>
            <w:rFonts w:ascii="Verdana" w:eastAsia="Verdana" w:hAnsi="Verdana" w:cs="Verdana"/>
            <w:color w:val="073763"/>
            <w:sz w:val="21"/>
            <w:szCs w:val="21"/>
          </w:rPr>
          <w:t xml:space="preserve"> </w:t>
        </w:r>
      </w:hyperlink>
      <w:hyperlink r:id="rId10">
        <w:r>
          <w:rPr>
            <w:rFonts w:ascii="Verdana" w:eastAsia="Verdana" w:hAnsi="Verdana" w:cs="Verdana"/>
            <w:color w:val="1155CC"/>
            <w:sz w:val="21"/>
            <w:szCs w:val="21"/>
            <w:u w:val="single"/>
          </w:rPr>
          <w:t>Report</w:t>
        </w:r>
      </w:hyperlink>
      <w:r>
        <w:rPr>
          <w:rFonts w:ascii="Verdana" w:eastAsia="Verdana" w:hAnsi="Verdana" w:cs="Verdana"/>
          <w:sz w:val="21"/>
          <w:szCs w:val="21"/>
        </w:rPr>
        <w:t>, it is clear the views of all parties were deeply considered and weighed. We applaud this. Based on the Report, we believe the goal of establishing a fair, equitable, and representative regulatory</w:t>
      </w:r>
      <w:r>
        <w:rPr>
          <w:rFonts w:ascii="Verdana" w:eastAsia="Verdana" w:hAnsi="Verdana" w:cs="Verdana"/>
          <w:sz w:val="21"/>
          <w:szCs w:val="21"/>
        </w:rPr>
        <w:t xml:space="preserve"> Open Banking framework in Australia is well within grasp.</w:t>
      </w:r>
    </w:p>
    <w:p w14:paraId="0A8BE448"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33C1669D"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Nevertheless, it is our view that some of the recommendations in the Report in current form may lead to unintended negative consequences and should be carefully reconsidered. </w:t>
      </w:r>
    </w:p>
    <w:p w14:paraId="1D8A6151"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60C41074"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From our direct experience with Open Banking in Japan (both as a contributor to policy and regulatory discussions, as well as a market participant) and with additional reference to the UK and EU models, we make the following comments </w:t>
      </w:r>
      <w:r>
        <w:rPr>
          <w:rFonts w:ascii="Verdana" w:eastAsia="Verdana" w:hAnsi="Verdana" w:cs="Verdana"/>
          <w:sz w:val="21"/>
          <w:szCs w:val="21"/>
        </w:rPr>
        <w:lastRenderedPageBreak/>
        <w:t>from the perspective o</w:t>
      </w:r>
      <w:r>
        <w:rPr>
          <w:rFonts w:ascii="Verdana" w:eastAsia="Verdana" w:hAnsi="Verdana" w:cs="Verdana"/>
          <w:sz w:val="21"/>
          <w:szCs w:val="21"/>
        </w:rPr>
        <w:t>f ensuring the Australian market remains in step with emerging Open Banking global standards.</w:t>
      </w:r>
    </w:p>
    <w:p w14:paraId="5CB81C8A" w14:textId="77777777" w:rsidR="009D01F2" w:rsidRDefault="00A72DC0">
      <w:pPr>
        <w:rPr>
          <w:rFonts w:ascii="Verdana" w:eastAsia="Verdana" w:hAnsi="Verdana" w:cs="Verdana"/>
          <w:b/>
          <w:sz w:val="21"/>
          <w:szCs w:val="21"/>
        </w:rPr>
      </w:pPr>
      <w:r>
        <w:rPr>
          <w:rFonts w:ascii="Verdana" w:eastAsia="Verdana" w:hAnsi="Verdana" w:cs="Verdana"/>
          <w:b/>
          <w:sz w:val="21"/>
          <w:szCs w:val="21"/>
        </w:rPr>
        <w:t xml:space="preserve"> </w:t>
      </w:r>
    </w:p>
    <w:p w14:paraId="1E2BB147"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It is in this spirit that we submit seven comments for consideration. </w:t>
      </w:r>
    </w:p>
    <w:p w14:paraId="0D3CADCA" w14:textId="77777777" w:rsidR="009D01F2" w:rsidRDefault="009D01F2">
      <w:pPr>
        <w:rPr>
          <w:rFonts w:ascii="Verdana" w:eastAsia="Verdana" w:hAnsi="Verdana" w:cs="Verdana"/>
          <w:sz w:val="21"/>
          <w:szCs w:val="21"/>
        </w:rPr>
      </w:pPr>
    </w:p>
    <w:p w14:paraId="6BE3CC50" w14:textId="77777777" w:rsidR="009D01F2" w:rsidRDefault="009D01F2">
      <w:pPr>
        <w:rPr>
          <w:rFonts w:ascii="Verdana" w:eastAsia="Verdana" w:hAnsi="Verdana" w:cs="Verdana"/>
          <w:sz w:val="21"/>
          <w:szCs w:val="21"/>
        </w:rPr>
      </w:pPr>
    </w:p>
    <w:p w14:paraId="1D22002B" w14:textId="77777777" w:rsidR="009D01F2" w:rsidRDefault="009D01F2">
      <w:pPr>
        <w:rPr>
          <w:rFonts w:ascii="Verdana" w:eastAsia="Verdana" w:hAnsi="Verdana" w:cs="Verdana"/>
          <w:sz w:val="21"/>
          <w:szCs w:val="21"/>
        </w:rPr>
      </w:pPr>
    </w:p>
    <w:p w14:paraId="3C6D22B3"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41D905E4" w14:textId="77777777" w:rsidR="009D01F2" w:rsidRDefault="00A72DC0">
      <w:pPr>
        <w:jc w:val="center"/>
        <w:rPr>
          <w:rFonts w:ascii="Verdana" w:eastAsia="Verdana" w:hAnsi="Verdana" w:cs="Verdana"/>
          <w:b/>
          <w:sz w:val="32"/>
          <w:szCs w:val="32"/>
          <w:u w:val="single"/>
        </w:rPr>
      </w:pPr>
      <w:r>
        <w:rPr>
          <w:rFonts w:ascii="Verdana" w:eastAsia="Verdana" w:hAnsi="Verdana" w:cs="Verdana"/>
          <w:b/>
          <w:sz w:val="32"/>
          <w:szCs w:val="32"/>
          <w:u w:val="single"/>
        </w:rPr>
        <w:t>Comments regarding specific recommendations from the Review</w:t>
      </w:r>
    </w:p>
    <w:p w14:paraId="3DC3E601"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1F5B769A" w14:textId="77777777" w:rsidR="009D01F2" w:rsidRDefault="00A72DC0">
      <w:pPr>
        <w:rPr>
          <w:rFonts w:ascii="Verdana" w:eastAsia="Verdana" w:hAnsi="Verdana" w:cs="Verdana"/>
          <w:color w:val="073763"/>
          <w:sz w:val="21"/>
          <w:szCs w:val="21"/>
        </w:rPr>
      </w:pPr>
      <w:r>
        <w:rPr>
          <w:rFonts w:ascii="Verdana" w:eastAsia="Verdana" w:hAnsi="Verdana" w:cs="Verdana"/>
          <w:sz w:val="21"/>
          <w:szCs w:val="21"/>
        </w:rPr>
        <w:t xml:space="preserve">We highlight the following recommendations from the Report, and comment on what we believe should be amended.  </w:t>
      </w:r>
    </w:p>
    <w:p w14:paraId="12E1BB4E" w14:textId="77777777" w:rsidR="009D01F2" w:rsidRDefault="009D01F2">
      <w:pPr>
        <w:rPr>
          <w:rFonts w:ascii="Verdana" w:eastAsia="Verdana" w:hAnsi="Verdana" w:cs="Verdana"/>
          <w:b/>
          <w:color w:val="073763"/>
          <w:sz w:val="21"/>
          <w:szCs w:val="21"/>
        </w:rPr>
      </w:pPr>
    </w:p>
    <w:p w14:paraId="78DB4C24" w14:textId="77777777" w:rsidR="009D01F2" w:rsidRDefault="00A72DC0">
      <w:pPr>
        <w:rPr>
          <w:rFonts w:ascii="Verdana" w:eastAsia="Verdana" w:hAnsi="Verdana" w:cs="Verdana"/>
          <w:b/>
          <w:color w:val="134F5C"/>
          <w:sz w:val="21"/>
          <w:szCs w:val="21"/>
          <w:u w:val="single"/>
        </w:rPr>
      </w:pPr>
      <w:r>
        <w:rPr>
          <w:rFonts w:ascii="Verdana" w:eastAsia="Verdana" w:hAnsi="Verdana" w:cs="Verdana"/>
          <w:b/>
          <w:color w:val="134F5C"/>
          <w:sz w:val="21"/>
          <w:szCs w:val="21"/>
          <w:u w:val="single"/>
        </w:rPr>
        <w:t>Comment 1</w:t>
      </w:r>
    </w:p>
    <w:p w14:paraId="1004F2BF" w14:textId="77777777" w:rsidR="009D01F2" w:rsidRDefault="009D01F2">
      <w:pPr>
        <w:rPr>
          <w:rFonts w:ascii="Verdana" w:eastAsia="Verdana" w:hAnsi="Verdana" w:cs="Verdana"/>
          <w:b/>
          <w:color w:val="134F5C"/>
          <w:sz w:val="21"/>
          <w:szCs w:val="21"/>
          <w:u w:val="single"/>
        </w:rPr>
      </w:pPr>
    </w:p>
    <w:tbl>
      <w:tblPr>
        <w:tblStyle w:val="a"/>
        <w:tblW w:w="90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15"/>
      </w:tblGrid>
      <w:tr w:rsidR="009D01F2" w14:paraId="6713577C" w14:textId="77777777">
        <w:trPr>
          <w:trHeight w:val="460"/>
        </w:trPr>
        <w:tc>
          <w:tcPr>
            <w:tcW w:w="9015" w:type="dxa"/>
            <w:tcBorders>
              <w:top w:val="single" w:sz="8" w:space="0" w:color="000000"/>
              <w:left w:val="single" w:sz="8" w:space="0" w:color="000000"/>
              <w:bottom w:val="single" w:sz="8" w:space="0" w:color="000000"/>
              <w:right w:val="single" w:sz="8" w:space="0" w:color="000000"/>
            </w:tcBorders>
            <w:shd w:val="clear" w:color="auto" w:fill="134F5C"/>
            <w:tcMar>
              <w:top w:w="100" w:type="dxa"/>
              <w:left w:w="100" w:type="dxa"/>
              <w:bottom w:w="100" w:type="dxa"/>
              <w:right w:w="100" w:type="dxa"/>
            </w:tcMar>
          </w:tcPr>
          <w:p w14:paraId="28E151FE" w14:textId="77777777" w:rsidR="009D01F2" w:rsidRDefault="00A72DC0">
            <w:pPr>
              <w:rPr>
                <w:rFonts w:ascii="Verdana" w:eastAsia="Verdana" w:hAnsi="Verdana" w:cs="Verdana"/>
                <w:b/>
                <w:i/>
                <w:color w:val="FFFFFF"/>
              </w:rPr>
            </w:pPr>
            <w:r>
              <w:rPr>
                <w:rFonts w:ascii="Verdana" w:eastAsia="Verdana" w:hAnsi="Verdana" w:cs="Verdana"/>
                <w:b/>
                <w:color w:val="FFFFFF"/>
                <w:sz w:val="21"/>
                <w:szCs w:val="21"/>
              </w:rPr>
              <w:t>Re. recommendation 2.5 – the Standards (p. 20-21)</w:t>
            </w:r>
          </w:p>
        </w:tc>
      </w:tr>
      <w:tr w:rsidR="009D01F2" w14:paraId="42576D19" w14:textId="77777777">
        <w:trPr>
          <w:trHeight w:val="960"/>
        </w:trPr>
        <w:tc>
          <w:tcPr>
            <w:tcW w:w="9015"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C10248F" w14:textId="77777777" w:rsidR="009D01F2" w:rsidRDefault="00A72DC0">
            <w:pPr>
              <w:rPr>
                <w:rFonts w:ascii="Verdana" w:eastAsia="Verdana" w:hAnsi="Verdana" w:cs="Verdana"/>
                <w:i/>
                <w:color w:val="073763"/>
              </w:rPr>
            </w:pPr>
            <w:r>
              <w:rPr>
                <w:rFonts w:ascii="Verdana" w:eastAsia="Verdana" w:hAnsi="Verdana" w:cs="Verdana"/>
                <w:sz w:val="21"/>
                <w:szCs w:val="21"/>
              </w:rPr>
              <w:t xml:space="preserve">The Standards should include transfer, </w:t>
            </w:r>
            <w:r>
              <w:rPr>
                <w:rFonts w:ascii="Verdana" w:eastAsia="Verdana" w:hAnsi="Verdana" w:cs="Verdana"/>
                <w:b/>
                <w:color w:val="CC0000"/>
                <w:sz w:val="21"/>
                <w:szCs w:val="21"/>
              </w:rPr>
              <w:t>data</w:t>
            </w:r>
            <w:r>
              <w:rPr>
                <w:rFonts w:ascii="Verdana" w:eastAsia="Verdana" w:hAnsi="Verdana" w:cs="Verdana"/>
                <w:sz w:val="21"/>
                <w:szCs w:val="21"/>
              </w:rPr>
              <w:t>, and security standards. Allowing sup</w:t>
            </w:r>
            <w:r>
              <w:rPr>
                <w:rFonts w:ascii="Verdana" w:eastAsia="Verdana" w:hAnsi="Verdana" w:cs="Verdana"/>
                <w:sz w:val="21"/>
                <w:szCs w:val="21"/>
              </w:rPr>
              <w:t>plemental, non-binding, standards to develop (provided they do not interfere with interoperability) will encourage competitive standards-setting and innovation.</w:t>
            </w:r>
          </w:p>
        </w:tc>
      </w:tr>
    </w:tbl>
    <w:p w14:paraId="2F012855" w14:textId="77777777" w:rsidR="009D01F2" w:rsidRDefault="009D01F2">
      <w:pPr>
        <w:rPr>
          <w:rFonts w:ascii="Verdana" w:eastAsia="Verdana" w:hAnsi="Verdana" w:cs="Verdana"/>
          <w:sz w:val="21"/>
          <w:szCs w:val="21"/>
        </w:rPr>
      </w:pPr>
    </w:p>
    <w:p w14:paraId="5A750CF5"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Setting standards for </w:t>
      </w:r>
      <w:r>
        <w:rPr>
          <w:rFonts w:ascii="Verdana" w:eastAsia="Verdana" w:hAnsi="Verdana" w:cs="Verdana"/>
          <w:b/>
          <w:sz w:val="21"/>
          <w:szCs w:val="21"/>
        </w:rPr>
        <w:t>transfer</w:t>
      </w:r>
      <w:r>
        <w:rPr>
          <w:rFonts w:ascii="Verdana" w:eastAsia="Verdana" w:hAnsi="Verdana" w:cs="Verdana"/>
          <w:sz w:val="21"/>
          <w:szCs w:val="21"/>
        </w:rPr>
        <w:t xml:space="preserve"> and </w:t>
      </w:r>
      <w:r>
        <w:rPr>
          <w:rFonts w:ascii="Verdana" w:eastAsia="Verdana" w:hAnsi="Verdana" w:cs="Verdana"/>
          <w:b/>
          <w:sz w:val="21"/>
          <w:szCs w:val="21"/>
        </w:rPr>
        <w:t>security</w:t>
      </w:r>
      <w:r>
        <w:rPr>
          <w:rFonts w:ascii="Verdana" w:eastAsia="Verdana" w:hAnsi="Verdana" w:cs="Verdana"/>
          <w:sz w:val="21"/>
          <w:szCs w:val="21"/>
        </w:rPr>
        <w:t xml:space="preserve"> is primarily a technical discussion and agreeing on these aspects is readily achievable. </w:t>
      </w:r>
    </w:p>
    <w:p w14:paraId="577F092A" w14:textId="77777777" w:rsidR="009D01F2" w:rsidRDefault="009D01F2">
      <w:pPr>
        <w:rPr>
          <w:rFonts w:ascii="Verdana" w:eastAsia="Verdana" w:hAnsi="Verdana" w:cs="Verdana"/>
          <w:sz w:val="21"/>
          <w:szCs w:val="21"/>
        </w:rPr>
      </w:pPr>
    </w:p>
    <w:p w14:paraId="3F8F7B41"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However, the setting of </w:t>
      </w:r>
      <w:r>
        <w:rPr>
          <w:rFonts w:ascii="Verdana" w:eastAsia="Verdana" w:hAnsi="Verdana" w:cs="Verdana"/>
          <w:b/>
          <w:sz w:val="21"/>
          <w:szCs w:val="21"/>
        </w:rPr>
        <w:t>data standards</w:t>
      </w:r>
      <w:r>
        <w:rPr>
          <w:rFonts w:ascii="Verdana" w:eastAsia="Verdana" w:hAnsi="Verdana" w:cs="Verdana"/>
          <w:sz w:val="21"/>
          <w:szCs w:val="21"/>
        </w:rPr>
        <w:t xml:space="preserve"> may add significant lead time to the introduction of Open Banking in Australia. On the other hand, with many diverse stakehol</w:t>
      </w:r>
      <w:r>
        <w:rPr>
          <w:rFonts w:ascii="Verdana" w:eastAsia="Verdana" w:hAnsi="Verdana" w:cs="Verdana"/>
          <w:sz w:val="21"/>
          <w:szCs w:val="21"/>
        </w:rPr>
        <w:t>ders involved, prioritising the introduction of data standards within a limited timeframe could lead to innovation gridlock, whereby participants are disincentivised to go against a monolithic data standard, and simultaneously left waiting for standards to</w:t>
      </w:r>
      <w:r>
        <w:rPr>
          <w:rFonts w:ascii="Verdana" w:eastAsia="Verdana" w:hAnsi="Verdana" w:cs="Verdana"/>
          <w:sz w:val="21"/>
          <w:szCs w:val="21"/>
        </w:rPr>
        <w:t xml:space="preserve"> be updated in order to meet emerging needs.</w:t>
      </w:r>
    </w:p>
    <w:p w14:paraId="7E785522"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69670876"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It is our view that the suggested list of specific products to be included in the scope of Open Banking (table 3.1 of the Report) suffices as a definition of shareable data. </w:t>
      </w:r>
    </w:p>
    <w:p w14:paraId="30BC94AC" w14:textId="77777777" w:rsidR="009D01F2" w:rsidRDefault="009D01F2">
      <w:pPr>
        <w:rPr>
          <w:rFonts w:ascii="Verdana" w:eastAsia="Verdana" w:hAnsi="Verdana" w:cs="Verdana"/>
          <w:sz w:val="21"/>
          <w:szCs w:val="21"/>
        </w:rPr>
      </w:pPr>
    </w:p>
    <w:p w14:paraId="4DA06359" w14:textId="77777777" w:rsidR="009D01F2" w:rsidRDefault="00A72DC0">
      <w:pPr>
        <w:rPr>
          <w:rFonts w:ascii="Verdana" w:eastAsia="Verdana" w:hAnsi="Verdana" w:cs="Verdana"/>
          <w:sz w:val="21"/>
          <w:szCs w:val="21"/>
        </w:rPr>
      </w:pPr>
      <w:r>
        <w:rPr>
          <w:rFonts w:ascii="Verdana" w:eastAsia="Verdana" w:hAnsi="Verdana" w:cs="Verdana"/>
          <w:sz w:val="21"/>
          <w:szCs w:val="21"/>
        </w:rPr>
        <w:t>Given these considerations, the m</w:t>
      </w:r>
      <w:r>
        <w:rPr>
          <w:rFonts w:ascii="Verdana" w:eastAsia="Verdana" w:hAnsi="Verdana" w:cs="Verdana"/>
          <w:sz w:val="21"/>
          <w:szCs w:val="21"/>
        </w:rPr>
        <w:t>ost important role of the Standards Body would be to ensure that the agreed transfer and security standards keep pace with real world needs. In setting these standards, the Standards Body should give recourse to all use-cases and types of data currently us</w:t>
      </w:r>
      <w:r>
        <w:rPr>
          <w:rFonts w:ascii="Verdana" w:eastAsia="Verdana" w:hAnsi="Verdana" w:cs="Verdana"/>
          <w:sz w:val="21"/>
          <w:szCs w:val="21"/>
        </w:rPr>
        <w:t>ed within industry.</w:t>
      </w:r>
    </w:p>
    <w:p w14:paraId="1D103782" w14:textId="77777777" w:rsidR="009D01F2" w:rsidRDefault="009D01F2">
      <w:pPr>
        <w:rPr>
          <w:rFonts w:ascii="Verdana" w:eastAsia="Verdana" w:hAnsi="Verdana" w:cs="Verdana"/>
          <w:sz w:val="21"/>
          <w:szCs w:val="21"/>
        </w:rPr>
      </w:pPr>
    </w:p>
    <w:p w14:paraId="122E3877"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In summary, we think the setting of comprehensively defined </w:t>
      </w:r>
      <w:r>
        <w:rPr>
          <w:rFonts w:ascii="Verdana" w:eastAsia="Verdana" w:hAnsi="Verdana" w:cs="Verdana"/>
          <w:b/>
          <w:sz w:val="21"/>
          <w:szCs w:val="21"/>
        </w:rPr>
        <w:t>data standards</w:t>
      </w:r>
      <w:r>
        <w:rPr>
          <w:rFonts w:ascii="Verdana" w:eastAsia="Verdana" w:hAnsi="Verdana" w:cs="Verdana"/>
          <w:sz w:val="21"/>
          <w:szCs w:val="21"/>
        </w:rPr>
        <w:t xml:space="preserve"> is overly prescriptive and risks significantly considerably delaying the realisation of the benefits of Open Banking.</w:t>
      </w:r>
    </w:p>
    <w:p w14:paraId="1238F697" w14:textId="77777777" w:rsidR="009D01F2" w:rsidRDefault="009D01F2">
      <w:pPr>
        <w:rPr>
          <w:rFonts w:ascii="Verdana" w:eastAsia="Verdana" w:hAnsi="Verdana" w:cs="Verdana"/>
          <w:b/>
          <w:color w:val="073763"/>
          <w:sz w:val="21"/>
          <w:szCs w:val="21"/>
        </w:rPr>
      </w:pPr>
    </w:p>
    <w:p w14:paraId="2E58ABAA" w14:textId="77777777" w:rsidR="009D01F2" w:rsidRDefault="009D01F2">
      <w:pPr>
        <w:rPr>
          <w:rFonts w:ascii="Verdana" w:eastAsia="Verdana" w:hAnsi="Verdana" w:cs="Verdana"/>
          <w:b/>
          <w:color w:val="073763"/>
          <w:sz w:val="21"/>
          <w:szCs w:val="21"/>
        </w:rPr>
      </w:pPr>
    </w:p>
    <w:p w14:paraId="1ABE6410" w14:textId="77777777" w:rsidR="009D01F2" w:rsidRDefault="00A72DC0">
      <w:pPr>
        <w:rPr>
          <w:rFonts w:ascii="Verdana" w:eastAsia="Verdana" w:hAnsi="Verdana" w:cs="Verdana"/>
          <w:b/>
          <w:color w:val="073763"/>
          <w:sz w:val="21"/>
          <w:szCs w:val="21"/>
        </w:rPr>
      </w:pPr>
      <w:r>
        <w:rPr>
          <w:rFonts w:ascii="Verdana" w:eastAsia="Verdana" w:hAnsi="Verdana" w:cs="Verdana"/>
          <w:b/>
          <w:color w:val="134F5C"/>
          <w:sz w:val="21"/>
          <w:szCs w:val="21"/>
          <w:u w:val="single"/>
        </w:rPr>
        <w:lastRenderedPageBreak/>
        <w:t>C</w:t>
      </w:r>
      <w:r>
        <w:rPr>
          <w:rFonts w:ascii="Verdana" w:eastAsia="Verdana" w:hAnsi="Verdana" w:cs="Verdana"/>
          <w:b/>
          <w:color w:val="134F5C"/>
          <w:sz w:val="21"/>
          <w:szCs w:val="21"/>
          <w:u w:val="single"/>
        </w:rPr>
        <w:t>omment 2</w:t>
      </w:r>
    </w:p>
    <w:p w14:paraId="15118259" w14:textId="77777777" w:rsidR="009D01F2" w:rsidRDefault="009D01F2">
      <w:pPr>
        <w:rPr>
          <w:rFonts w:ascii="Verdana" w:eastAsia="Verdana" w:hAnsi="Verdana" w:cs="Verdana"/>
          <w:b/>
          <w:color w:val="073763"/>
          <w:sz w:val="21"/>
          <w:szCs w:val="21"/>
        </w:rPr>
      </w:pPr>
    </w:p>
    <w:tbl>
      <w:tblPr>
        <w:tblStyle w:val="a0"/>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9D01F2" w14:paraId="45B33940" w14:textId="77777777">
        <w:tc>
          <w:tcPr>
            <w:tcW w:w="9026" w:type="dxa"/>
            <w:shd w:val="clear" w:color="auto" w:fill="134F5C"/>
            <w:tcMar>
              <w:top w:w="100" w:type="dxa"/>
              <w:left w:w="100" w:type="dxa"/>
              <w:bottom w:w="100" w:type="dxa"/>
              <w:right w:w="100" w:type="dxa"/>
            </w:tcMar>
          </w:tcPr>
          <w:p w14:paraId="5BC23D36" w14:textId="77777777" w:rsidR="009D01F2" w:rsidRDefault="00A72DC0">
            <w:pPr>
              <w:rPr>
                <w:rFonts w:ascii="Verdana" w:eastAsia="Verdana" w:hAnsi="Verdana" w:cs="Verdana"/>
                <w:b/>
                <w:i/>
                <w:color w:val="FFFFFF"/>
                <w:sz w:val="20"/>
                <w:szCs w:val="20"/>
              </w:rPr>
            </w:pPr>
            <w:r>
              <w:rPr>
                <w:rFonts w:ascii="Verdana" w:eastAsia="Verdana" w:hAnsi="Verdana" w:cs="Verdana"/>
                <w:b/>
                <w:color w:val="FFFFFF"/>
                <w:sz w:val="21"/>
                <w:szCs w:val="21"/>
              </w:rPr>
              <w:t>Re. recommendation 3.2 – transaction data (p. 37)</w:t>
            </w:r>
          </w:p>
        </w:tc>
      </w:tr>
      <w:tr w:rsidR="009D01F2" w14:paraId="3C8BBFE0" w14:textId="77777777">
        <w:tc>
          <w:tcPr>
            <w:tcW w:w="9026" w:type="dxa"/>
            <w:shd w:val="clear" w:color="auto" w:fill="F3F3F3"/>
            <w:tcMar>
              <w:top w:w="100" w:type="dxa"/>
              <w:left w:w="100" w:type="dxa"/>
              <w:bottom w:w="100" w:type="dxa"/>
              <w:right w:w="100" w:type="dxa"/>
            </w:tcMar>
          </w:tcPr>
          <w:p w14:paraId="07A83707" w14:textId="77777777" w:rsidR="009D01F2" w:rsidRDefault="00A72DC0">
            <w:pPr>
              <w:rPr>
                <w:rFonts w:ascii="Verdana" w:eastAsia="Verdana" w:hAnsi="Verdana" w:cs="Verdana"/>
                <w:sz w:val="21"/>
                <w:szCs w:val="21"/>
              </w:rPr>
            </w:pPr>
            <w:r>
              <w:rPr>
                <w:rFonts w:ascii="Verdana" w:eastAsia="Verdana" w:hAnsi="Verdana" w:cs="Verdana"/>
                <w:sz w:val="21"/>
                <w:szCs w:val="21"/>
              </w:rPr>
              <w:t>At a customer’s (or former customer’s) direction, data holders should be obliged to share all transaction data in a form that facilitates its transfer and use.</w:t>
            </w:r>
          </w:p>
          <w:p w14:paraId="5B53B4CC" w14:textId="77777777" w:rsidR="009D01F2" w:rsidRDefault="009D01F2">
            <w:pPr>
              <w:rPr>
                <w:rFonts w:ascii="Verdana" w:eastAsia="Verdana" w:hAnsi="Verdana" w:cs="Verdana"/>
                <w:sz w:val="21"/>
                <w:szCs w:val="21"/>
              </w:rPr>
            </w:pPr>
          </w:p>
          <w:p w14:paraId="354BEB39" w14:textId="77777777" w:rsidR="009D01F2" w:rsidRDefault="00A72DC0">
            <w:pPr>
              <w:rPr>
                <w:rFonts w:ascii="Verdana" w:eastAsia="Verdana" w:hAnsi="Verdana" w:cs="Verdana"/>
                <w:sz w:val="21"/>
                <w:szCs w:val="21"/>
              </w:rPr>
            </w:pPr>
            <w:r>
              <w:rPr>
                <w:rFonts w:ascii="Verdana" w:eastAsia="Verdana" w:hAnsi="Verdana" w:cs="Verdana"/>
                <w:sz w:val="21"/>
                <w:szCs w:val="21"/>
              </w:rPr>
              <w:t>The obligation should apply for the period t</w:t>
            </w:r>
            <w:r>
              <w:rPr>
                <w:rFonts w:ascii="Verdana" w:eastAsia="Verdana" w:hAnsi="Verdana" w:cs="Verdana"/>
                <w:sz w:val="21"/>
                <w:szCs w:val="21"/>
              </w:rPr>
              <w:t xml:space="preserve">hat data holders are otherwise required to retain records under existing regulations. </w:t>
            </w:r>
            <w:r>
              <w:rPr>
                <w:rFonts w:ascii="Verdana" w:eastAsia="Verdana" w:hAnsi="Verdana" w:cs="Verdana"/>
                <w:b/>
                <w:color w:val="CC0000"/>
                <w:sz w:val="21"/>
                <w:szCs w:val="21"/>
              </w:rPr>
              <w:t>Table 3.1</w:t>
            </w:r>
            <w:r>
              <w:rPr>
                <w:rFonts w:ascii="Verdana" w:eastAsia="Verdana" w:hAnsi="Verdana" w:cs="Verdana"/>
                <w:sz w:val="21"/>
                <w:szCs w:val="21"/>
              </w:rPr>
              <w:t xml:space="preserve"> describes the list of accounts and other products to which this obligation should apply</w:t>
            </w:r>
          </w:p>
        </w:tc>
      </w:tr>
    </w:tbl>
    <w:p w14:paraId="584CC9DE" w14:textId="77777777" w:rsidR="009D01F2" w:rsidRDefault="009D01F2">
      <w:pPr>
        <w:rPr>
          <w:rFonts w:ascii="Verdana" w:eastAsia="Verdana" w:hAnsi="Verdana" w:cs="Verdana"/>
          <w:b/>
          <w:color w:val="073763"/>
          <w:sz w:val="21"/>
          <w:szCs w:val="21"/>
        </w:rPr>
      </w:pPr>
    </w:p>
    <w:p w14:paraId="14E92D28" w14:textId="77777777" w:rsidR="009D01F2" w:rsidRDefault="00A72DC0">
      <w:pPr>
        <w:rPr>
          <w:rFonts w:ascii="Verdana" w:eastAsia="Verdana" w:hAnsi="Verdana" w:cs="Verdana"/>
          <w:b/>
          <w:color w:val="073763"/>
          <w:sz w:val="21"/>
          <w:szCs w:val="21"/>
        </w:rPr>
      </w:pPr>
      <w:r>
        <w:rPr>
          <w:rFonts w:ascii="Verdana" w:eastAsia="Verdana" w:hAnsi="Verdana" w:cs="Verdana"/>
          <w:b/>
          <w:color w:val="073763"/>
          <w:sz w:val="21"/>
          <w:szCs w:val="21"/>
        </w:rPr>
        <w:t xml:space="preserve">Table 3.1: Proposed list of banking products </w:t>
      </w:r>
    </w:p>
    <w:p w14:paraId="50761366" w14:textId="77777777" w:rsidR="009D01F2" w:rsidRDefault="009D01F2">
      <w:pPr>
        <w:rPr>
          <w:rFonts w:ascii="Verdana" w:eastAsia="Verdana" w:hAnsi="Verdana" w:cs="Verdana"/>
          <w:b/>
          <w:color w:val="073763"/>
          <w:sz w:val="21"/>
          <w:szCs w:val="21"/>
        </w:rPr>
      </w:pPr>
    </w:p>
    <w:tbl>
      <w:tblPr>
        <w:tblStyle w:val="a1"/>
        <w:tblW w:w="90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20"/>
        <w:gridCol w:w="4505"/>
      </w:tblGrid>
      <w:tr w:rsidR="009D01F2" w14:paraId="3D1E1959" w14:textId="77777777">
        <w:trPr>
          <w:trHeight w:val="300"/>
        </w:trPr>
        <w:tc>
          <w:tcPr>
            <w:tcW w:w="4520" w:type="dxa"/>
            <w:tcBorders>
              <w:top w:val="single" w:sz="8" w:space="0" w:color="000000"/>
              <w:left w:val="single" w:sz="8" w:space="0" w:color="000000"/>
              <w:bottom w:val="single" w:sz="8" w:space="0" w:color="000000"/>
              <w:right w:val="single" w:sz="8" w:space="0" w:color="000000"/>
            </w:tcBorders>
            <w:shd w:val="clear" w:color="auto" w:fill="002060"/>
            <w:tcMar>
              <w:top w:w="100" w:type="dxa"/>
              <w:left w:w="100" w:type="dxa"/>
              <w:bottom w:w="100" w:type="dxa"/>
              <w:right w:w="100" w:type="dxa"/>
            </w:tcMar>
          </w:tcPr>
          <w:p w14:paraId="5CD30EEA" w14:textId="77777777" w:rsidR="009D01F2" w:rsidRDefault="00A72DC0">
            <w:pPr>
              <w:rPr>
                <w:rFonts w:ascii="Verdana" w:eastAsia="Verdana" w:hAnsi="Verdana" w:cs="Verdana"/>
                <w:b/>
                <w:color w:val="FFFFFF"/>
                <w:sz w:val="18"/>
                <w:szCs w:val="18"/>
              </w:rPr>
            </w:pPr>
            <w:r>
              <w:rPr>
                <w:rFonts w:ascii="Verdana" w:eastAsia="Verdana" w:hAnsi="Verdana" w:cs="Verdana"/>
                <w:b/>
                <w:color w:val="FFFFFF"/>
                <w:sz w:val="18"/>
                <w:szCs w:val="18"/>
              </w:rPr>
              <w:t>Deposit products</w:t>
            </w:r>
          </w:p>
        </w:tc>
        <w:tc>
          <w:tcPr>
            <w:tcW w:w="4505" w:type="dxa"/>
            <w:tcBorders>
              <w:top w:val="single" w:sz="8" w:space="0" w:color="000000"/>
              <w:bottom w:val="single" w:sz="8" w:space="0" w:color="000000"/>
              <w:right w:val="single" w:sz="8" w:space="0" w:color="000000"/>
            </w:tcBorders>
            <w:shd w:val="clear" w:color="auto" w:fill="002060"/>
            <w:tcMar>
              <w:top w:w="100" w:type="dxa"/>
              <w:left w:w="100" w:type="dxa"/>
              <w:bottom w:w="100" w:type="dxa"/>
              <w:right w:w="100" w:type="dxa"/>
            </w:tcMar>
          </w:tcPr>
          <w:p w14:paraId="27EFFF33" w14:textId="77777777" w:rsidR="009D01F2" w:rsidRDefault="00A72DC0">
            <w:pPr>
              <w:rPr>
                <w:rFonts w:ascii="Verdana" w:eastAsia="Verdana" w:hAnsi="Verdana" w:cs="Verdana"/>
                <w:b/>
                <w:color w:val="FFFFFF"/>
                <w:sz w:val="18"/>
                <w:szCs w:val="18"/>
              </w:rPr>
            </w:pPr>
            <w:r>
              <w:rPr>
                <w:rFonts w:ascii="Verdana" w:eastAsia="Verdana" w:hAnsi="Verdana" w:cs="Verdana"/>
                <w:b/>
                <w:color w:val="FFFFFF"/>
                <w:sz w:val="18"/>
                <w:szCs w:val="18"/>
              </w:rPr>
              <w:t>Lending products</w:t>
            </w:r>
          </w:p>
        </w:tc>
      </w:tr>
      <w:tr w:rsidR="009D01F2" w14:paraId="59DBC2A1" w14:textId="77777777">
        <w:trPr>
          <w:trHeight w:val="4080"/>
        </w:trPr>
        <w:tc>
          <w:tcPr>
            <w:tcW w:w="45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BF52A8" w14:textId="77777777" w:rsidR="009D01F2" w:rsidRDefault="00A72DC0">
            <w:pPr>
              <w:rPr>
                <w:rFonts w:ascii="Verdana" w:eastAsia="Verdana" w:hAnsi="Verdana" w:cs="Verdana"/>
                <w:sz w:val="18"/>
                <w:szCs w:val="18"/>
              </w:rPr>
            </w:pPr>
            <w:r>
              <w:rPr>
                <w:rFonts w:ascii="Verdana" w:eastAsia="Verdana" w:hAnsi="Verdana" w:cs="Verdana"/>
                <w:sz w:val="18"/>
                <w:szCs w:val="18"/>
              </w:rPr>
              <w:t xml:space="preserve">Savings accounts     </w:t>
            </w:r>
            <w:r>
              <w:rPr>
                <w:rFonts w:ascii="Verdana" w:eastAsia="Verdana" w:hAnsi="Verdana" w:cs="Verdana"/>
                <w:sz w:val="18"/>
                <w:szCs w:val="18"/>
              </w:rPr>
              <w:tab/>
            </w:r>
          </w:p>
          <w:p w14:paraId="34D2E361" w14:textId="77777777" w:rsidR="009D01F2" w:rsidRDefault="00A72DC0">
            <w:pPr>
              <w:rPr>
                <w:rFonts w:ascii="Verdana" w:eastAsia="Verdana" w:hAnsi="Verdana" w:cs="Verdana"/>
                <w:sz w:val="18"/>
                <w:szCs w:val="18"/>
              </w:rPr>
            </w:pPr>
            <w:r>
              <w:rPr>
                <w:rFonts w:ascii="Verdana" w:eastAsia="Verdana" w:hAnsi="Verdana" w:cs="Verdana"/>
                <w:sz w:val="18"/>
                <w:szCs w:val="18"/>
              </w:rPr>
              <w:t xml:space="preserve">Call accounts   </w:t>
            </w:r>
          </w:p>
          <w:p w14:paraId="1969CCBE" w14:textId="77777777" w:rsidR="009D01F2" w:rsidRDefault="00A72DC0">
            <w:pPr>
              <w:rPr>
                <w:rFonts w:ascii="Verdana" w:eastAsia="Verdana" w:hAnsi="Verdana" w:cs="Verdana"/>
                <w:sz w:val="18"/>
                <w:szCs w:val="18"/>
              </w:rPr>
            </w:pPr>
            <w:r>
              <w:rPr>
                <w:rFonts w:ascii="Verdana" w:eastAsia="Verdana" w:hAnsi="Verdana" w:cs="Verdana"/>
                <w:sz w:val="18"/>
                <w:szCs w:val="18"/>
              </w:rPr>
              <w:t>Term deposits</w:t>
            </w:r>
          </w:p>
          <w:p w14:paraId="0AE059F6" w14:textId="77777777" w:rsidR="009D01F2" w:rsidRDefault="00A72DC0">
            <w:pPr>
              <w:rPr>
                <w:rFonts w:ascii="Verdana" w:eastAsia="Verdana" w:hAnsi="Verdana" w:cs="Verdana"/>
                <w:sz w:val="18"/>
                <w:szCs w:val="18"/>
              </w:rPr>
            </w:pPr>
            <w:r>
              <w:rPr>
                <w:rFonts w:ascii="Verdana" w:eastAsia="Verdana" w:hAnsi="Verdana" w:cs="Verdana"/>
                <w:sz w:val="18"/>
                <w:szCs w:val="18"/>
              </w:rPr>
              <w:t xml:space="preserve">Current accounts      </w:t>
            </w:r>
            <w:r>
              <w:rPr>
                <w:rFonts w:ascii="Verdana" w:eastAsia="Verdana" w:hAnsi="Verdana" w:cs="Verdana"/>
                <w:sz w:val="18"/>
                <w:szCs w:val="18"/>
              </w:rPr>
              <w:tab/>
            </w:r>
          </w:p>
          <w:p w14:paraId="5BE7EA0A" w14:textId="77777777" w:rsidR="009D01F2" w:rsidRDefault="00A72DC0">
            <w:pPr>
              <w:rPr>
                <w:rFonts w:ascii="Verdana" w:eastAsia="Verdana" w:hAnsi="Verdana" w:cs="Verdana"/>
                <w:sz w:val="18"/>
                <w:szCs w:val="18"/>
              </w:rPr>
            </w:pPr>
            <w:r>
              <w:rPr>
                <w:rFonts w:ascii="Verdana" w:eastAsia="Verdana" w:hAnsi="Verdana" w:cs="Verdana"/>
                <w:sz w:val="18"/>
                <w:szCs w:val="18"/>
              </w:rPr>
              <w:t xml:space="preserve">Cheque accounts      </w:t>
            </w:r>
            <w:r>
              <w:rPr>
                <w:rFonts w:ascii="Verdana" w:eastAsia="Verdana" w:hAnsi="Verdana" w:cs="Verdana"/>
                <w:sz w:val="18"/>
                <w:szCs w:val="18"/>
              </w:rPr>
              <w:tab/>
            </w:r>
          </w:p>
          <w:p w14:paraId="6B0A59E5" w14:textId="77777777" w:rsidR="009D01F2" w:rsidRDefault="00A72DC0">
            <w:pPr>
              <w:rPr>
                <w:rFonts w:ascii="Verdana" w:eastAsia="Verdana" w:hAnsi="Verdana" w:cs="Verdana"/>
                <w:sz w:val="18"/>
                <w:szCs w:val="18"/>
              </w:rPr>
            </w:pPr>
            <w:r>
              <w:rPr>
                <w:rFonts w:ascii="Verdana" w:eastAsia="Verdana" w:hAnsi="Verdana" w:cs="Verdana"/>
                <w:sz w:val="18"/>
                <w:szCs w:val="18"/>
              </w:rPr>
              <w:t xml:space="preserve">Debit card accounts  </w:t>
            </w:r>
            <w:r>
              <w:rPr>
                <w:rFonts w:ascii="Verdana" w:eastAsia="Verdana" w:hAnsi="Verdana" w:cs="Verdana"/>
                <w:sz w:val="18"/>
                <w:szCs w:val="18"/>
              </w:rPr>
              <w:tab/>
            </w:r>
          </w:p>
          <w:p w14:paraId="0727A559" w14:textId="77777777" w:rsidR="009D01F2" w:rsidRDefault="00A72DC0">
            <w:pPr>
              <w:rPr>
                <w:rFonts w:ascii="Verdana" w:eastAsia="Verdana" w:hAnsi="Verdana" w:cs="Verdana"/>
                <w:sz w:val="18"/>
                <w:szCs w:val="18"/>
              </w:rPr>
            </w:pPr>
            <w:r>
              <w:rPr>
                <w:rFonts w:ascii="Verdana" w:eastAsia="Verdana" w:hAnsi="Verdana" w:cs="Verdana"/>
                <w:sz w:val="18"/>
                <w:szCs w:val="18"/>
              </w:rPr>
              <w:t>Transactions accounts</w:t>
            </w:r>
          </w:p>
          <w:p w14:paraId="16FF0440" w14:textId="77777777" w:rsidR="009D01F2" w:rsidRDefault="00A72DC0">
            <w:pPr>
              <w:rPr>
                <w:rFonts w:ascii="Verdana" w:eastAsia="Verdana" w:hAnsi="Verdana" w:cs="Verdana"/>
                <w:sz w:val="18"/>
                <w:szCs w:val="18"/>
              </w:rPr>
            </w:pPr>
            <w:r>
              <w:rPr>
                <w:rFonts w:ascii="Verdana" w:eastAsia="Verdana" w:hAnsi="Verdana" w:cs="Verdana"/>
                <w:sz w:val="18"/>
                <w:szCs w:val="18"/>
              </w:rPr>
              <w:t>Personal basic account</w:t>
            </w:r>
          </w:p>
          <w:p w14:paraId="5052D893" w14:textId="77777777" w:rsidR="009D01F2" w:rsidRDefault="00A72DC0">
            <w:pPr>
              <w:rPr>
                <w:rFonts w:ascii="Verdana" w:eastAsia="Verdana" w:hAnsi="Verdana" w:cs="Verdana"/>
                <w:sz w:val="18"/>
                <w:szCs w:val="18"/>
              </w:rPr>
            </w:pPr>
            <w:r>
              <w:rPr>
                <w:rFonts w:ascii="Verdana" w:eastAsia="Verdana" w:hAnsi="Verdana" w:cs="Verdana"/>
                <w:sz w:val="18"/>
                <w:szCs w:val="18"/>
              </w:rPr>
              <w:t xml:space="preserve">GST and tax accounts  </w:t>
            </w:r>
          </w:p>
          <w:p w14:paraId="154B6AA1" w14:textId="77777777" w:rsidR="009D01F2" w:rsidRDefault="00A72DC0">
            <w:pPr>
              <w:rPr>
                <w:rFonts w:ascii="Verdana" w:eastAsia="Verdana" w:hAnsi="Verdana" w:cs="Verdana"/>
                <w:sz w:val="18"/>
                <w:szCs w:val="18"/>
              </w:rPr>
            </w:pPr>
            <w:r>
              <w:rPr>
                <w:rFonts w:ascii="Verdana" w:eastAsia="Verdana" w:hAnsi="Verdana" w:cs="Verdana"/>
                <w:sz w:val="18"/>
                <w:szCs w:val="18"/>
              </w:rPr>
              <w:t xml:space="preserve">Cash management accounts </w:t>
            </w:r>
            <w:r>
              <w:rPr>
                <w:rFonts w:ascii="Verdana" w:eastAsia="Verdana" w:hAnsi="Verdana" w:cs="Verdana"/>
                <w:sz w:val="18"/>
                <w:szCs w:val="18"/>
              </w:rPr>
              <w:tab/>
            </w:r>
          </w:p>
          <w:p w14:paraId="09465332" w14:textId="77777777" w:rsidR="009D01F2" w:rsidRDefault="00A72DC0">
            <w:pPr>
              <w:rPr>
                <w:rFonts w:ascii="Verdana" w:eastAsia="Verdana" w:hAnsi="Verdana" w:cs="Verdana"/>
                <w:sz w:val="18"/>
                <w:szCs w:val="18"/>
              </w:rPr>
            </w:pPr>
            <w:r>
              <w:rPr>
                <w:rFonts w:ascii="Verdana" w:eastAsia="Verdana" w:hAnsi="Verdana" w:cs="Verdana"/>
                <w:sz w:val="18"/>
                <w:szCs w:val="18"/>
              </w:rPr>
              <w:t>Farm management dep</w:t>
            </w:r>
            <w:r>
              <w:rPr>
                <w:rFonts w:ascii="Verdana" w:eastAsia="Verdana" w:hAnsi="Verdana" w:cs="Verdana"/>
                <w:sz w:val="18"/>
                <w:szCs w:val="18"/>
              </w:rPr>
              <w:t xml:space="preserve">osits </w:t>
            </w:r>
            <w:r>
              <w:rPr>
                <w:rFonts w:ascii="Verdana" w:eastAsia="Verdana" w:hAnsi="Verdana" w:cs="Verdana"/>
                <w:sz w:val="18"/>
                <w:szCs w:val="18"/>
              </w:rPr>
              <w:tab/>
            </w:r>
          </w:p>
          <w:p w14:paraId="69F25B2F" w14:textId="77777777" w:rsidR="009D01F2" w:rsidRDefault="00A72DC0">
            <w:pPr>
              <w:rPr>
                <w:rFonts w:ascii="Verdana" w:eastAsia="Verdana" w:hAnsi="Verdana" w:cs="Verdana"/>
                <w:sz w:val="18"/>
                <w:szCs w:val="18"/>
              </w:rPr>
            </w:pPr>
            <w:r>
              <w:rPr>
                <w:rFonts w:ascii="Verdana" w:eastAsia="Verdana" w:hAnsi="Verdana" w:cs="Verdana"/>
                <w:sz w:val="18"/>
                <w:szCs w:val="18"/>
              </w:rPr>
              <w:t>Pensioner deeming accounts</w:t>
            </w:r>
          </w:p>
          <w:p w14:paraId="11A118DB" w14:textId="77777777" w:rsidR="009D01F2" w:rsidRDefault="00A72DC0">
            <w:pPr>
              <w:rPr>
                <w:rFonts w:ascii="Verdana" w:eastAsia="Verdana" w:hAnsi="Verdana" w:cs="Verdana"/>
                <w:sz w:val="18"/>
                <w:szCs w:val="18"/>
              </w:rPr>
            </w:pPr>
            <w:r>
              <w:rPr>
                <w:rFonts w:ascii="Verdana" w:eastAsia="Verdana" w:hAnsi="Verdana" w:cs="Verdana"/>
                <w:sz w:val="18"/>
                <w:szCs w:val="18"/>
              </w:rPr>
              <w:t>Mortgage offset accounts</w:t>
            </w:r>
          </w:p>
          <w:p w14:paraId="6C4349EB" w14:textId="77777777" w:rsidR="009D01F2" w:rsidRDefault="00A72DC0">
            <w:pPr>
              <w:rPr>
                <w:rFonts w:ascii="Verdana" w:eastAsia="Verdana" w:hAnsi="Verdana" w:cs="Verdana"/>
                <w:sz w:val="18"/>
                <w:szCs w:val="18"/>
              </w:rPr>
            </w:pPr>
            <w:r>
              <w:rPr>
                <w:rFonts w:ascii="Verdana" w:eastAsia="Verdana" w:hAnsi="Verdana" w:cs="Verdana"/>
                <w:sz w:val="18"/>
                <w:szCs w:val="18"/>
              </w:rPr>
              <w:t>Trust accounts</w:t>
            </w:r>
          </w:p>
          <w:p w14:paraId="6C77BDB2" w14:textId="77777777" w:rsidR="009D01F2" w:rsidRDefault="00A72DC0">
            <w:pPr>
              <w:rPr>
                <w:rFonts w:ascii="Verdana" w:eastAsia="Verdana" w:hAnsi="Verdana" w:cs="Verdana"/>
                <w:sz w:val="18"/>
                <w:szCs w:val="18"/>
              </w:rPr>
            </w:pPr>
            <w:r>
              <w:rPr>
                <w:rFonts w:ascii="Verdana" w:eastAsia="Verdana" w:hAnsi="Verdana" w:cs="Verdana"/>
                <w:sz w:val="18"/>
                <w:szCs w:val="18"/>
              </w:rPr>
              <w:t>Retirement savings accounts</w:t>
            </w:r>
          </w:p>
          <w:p w14:paraId="48B54349" w14:textId="77777777" w:rsidR="009D01F2" w:rsidRDefault="00A72DC0">
            <w:pPr>
              <w:rPr>
                <w:rFonts w:ascii="Verdana" w:eastAsia="Verdana" w:hAnsi="Verdana" w:cs="Verdana"/>
                <w:sz w:val="18"/>
                <w:szCs w:val="18"/>
              </w:rPr>
            </w:pPr>
            <w:r>
              <w:rPr>
                <w:rFonts w:ascii="Verdana" w:eastAsia="Verdana" w:hAnsi="Verdana" w:cs="Verdana"/>
                <w:sz w:val="18"/>
                <w:szCs w:val="18"/>
              </w:rPr>
              <w:t>Foreign currency accounts</w:t>
            </w:r>
          </w:p>
        </w:tc>
        <w:tc>
          <w:tcPr>
            <w:tcW w:w="4505" w:type="dxa"/>
            <w:tcBorders>
              <w:bottom w:val="single" w:sz="8" w:space="0" w:color="000000"/>
              <w:right w:val="single" w:sz="8" w:space="0" w:color="000000"/>
            </w:tcBorders>
            <w:tcMar>
              <w:top w:w="100" w:type="dxa"/>
              <w:left w:w="100" w:type="dxa"/>
              <w:bottom w:w="100" w:type="dxa"/>
              <w:right w:w="100" w:type="dxa"/>
            </w:tcMar>
          </w:tcPr>
          <w:p w14:paraId="6CE31777" w14:textId="77777777" w:rsidR="009D01F2" w:rsidRDefault="00A72DC0">
            <w:pPr>
              <w:rPr>
                <w:rFonts w:ascii="Verdana" w:eastAsia="Verdana" w:hAnsi="Verdana" w:cs="Verdana"/>
                <w:b/>
                <w:color w:val="CC0000"/>
                <w:sz w:val="18"/>
                <w:szCs w:val="18"/>
              </w:rPr>
            </w:pPr>
            <w:r>
              <w:rPr>
                <w:rFonts w:ascii="Verdana" w:eastAsia="Verdana" w:hAnsi="Verdana" w:cs="Verdana"/>
                <w:b/>
                <w:color w:val="CC0000"/>
                <w:sz w:val="18"/>
                <w:szCs w:val="18"/>
              </w:rPr>
              <w:t>Mortgages</w:t>
            </w:r>
          </w:p>
          <w:p w14:paraId="5F08292A" w14:textId="77777777" w:rsidR="009D01F2" w:rsidRDefault="00A72DC0">
            <w:pPr>
              <w:rPr>
                <w:rFonts w:ascii="Verdana" w:eastAsia="Verdana" w:hAnsi="Verdana" w:cs="Verdana"/>
                <w:sz w:val="18"/>
                <w:szCs w:val="18"/>
              </w:rPr>
            </w:pPr>
            <w:r>
              <w:rPr>
                <w:rFonts w:ascii="Verdana" w:eastAsia="Verdana" w:hAnsi="Verdana" w:cs="Verdana"/>
                <w:sz w:val="18"/>
                <w:szCs w:val="18"/>
              </w:rPr>
              <w:t>Business finance</w:t>
            </w:r>
          </w:p>
          <w:p w14:paraId="572010B0" w14:textId="77777777" w:rsidR="009D01F2" w:rsidRDefault="00A72DC0">
            <w:pPr>
              <w:rPr>
                <w:rFonts w:ascii="Verdana" w:eastAsia="Verdana" w:hAnsi="Verdana" w:cs="Verdana"/>
                <w:sz w:val="18"/>
                <w:szCs w:val="18"/>
              </w:rPr>
            </w:pPr>
            <w:r>
              <w:rPr>
                <w:rFonts w:ascii="Verdana" w:eastAsia="Verdana" w:hAnsi="Verdana" w:cs="Verdana"/>
                <w:sz w:val="18"/>
                <w:szCs w:val="18"/>
              </w:rPr>
              <w:t>Personal loans</w:t>
            </w:r>
          </w:p>
          <w:p w14:paraId="042D2761" w14:textId="77777777" w:rsidR="009D01F2" w:rsidRDefault="00A72DC0">
            <w:pPr>
              <w:rPr>
                <w:rFonts w:ascii="Verdana" w:eastAsia="Verdana" w:hAnsi="Verdana" w:cs="Verdana"/>
                <w:sz w:val="18"/>
                <w:szCs w:val="18"/>
              </w:rPr>
            </w:pPr>
            <w:r>
              <w:rPr>
                <w:rFonts w:ascii="Verdana" w:eastAsia="Verdana" w:hAnsi="Verdana" w:cs="Verdana"/>
                <w:sz w:val="18"/>
                <w:szCs w:val="18"/>
              </w:rPr>
              <w:t>Lines of credit (personal)</w:t>
            </w:r>
          </w:p>
          <w:p w14:paraId="534C55E1" w14:textId="77777777" w:rsidR="009D01F2" w:rsidRDefault="00A72DC0">
            <w:pPr>
              <w:rPr>
                <w:rFonts w:ascii="Verdana" w:eastAsia="Verdana" w:hAnsi="Verdana" w:cs="Verdana"/>
                <w:sz w:val="18"/>
                <w:szCs w:val="18"/>
              </w:rPr>
            </w:pPr>
            <w:r>
              <w:rPr>
                <w:rFonts w:ascii="Verdana" w:eastAsia="Verdana" w:hAnsi="Verdana" w:cs="Verdana"/>
                <w:sz w:val="18"/>
                <w:szCs w:val="18"/>
              </w:rPr>
              <w:t>Lines of credit (business)</w:t>
            </w:r>
          </w:p>
          <w:p w14:paraId="328787EF" w14:textId="77777777" w:rsidR="009D01F2" w:rsidRDefault="00A72DC0">
            <w:pPr>
              <w:rPr>
                <w:rFonts w:ascii="Verdana" w:eastAsia="Verdana" w:hAnsi="Verdana" w:cs="Verdana"/>
                <w:sz w:val="18"/>
                <w:szCs w:val="18"/>
              </w:rPr>
            </w:pPr>
            <w:r>
              <w:rPr>
                <w:rFonts w:ascii="Verdana" w:eastAsia="Verdana" w:hAnsi="Verdana" w:cs="Verdana"/>
                <w:sz w:val="18"/>
                <w:szCs w:val="18"/>
              </w:rPr>
              <w:t>Overdrafts (personal)</w:t>
            </w:r>
          </w:p>
          <w:p w14:paraId="1476A495" w14:textId="77777777" w:rsidR="009D01F2" w:rsidRDefault="00A72DC0">
            <w:pPr>
              <w:rPr>
                <w:rFonts w:ascii="Verdana" w:eastAsia="Verdana" w:hAnsi="Verdana" w:cs="Verdana"/>
                <w:sz w:val="18"/>
                <w:szCs w:val="18"/>
              </w:rPr>
            </w:pPr>
            <w:r>
              <w:rPr>
                <w:rFonts w:ascii="Verdana" w:eastAsia="Verdana" w:hAnsi="Verdana" w:cs="Verdana"/>
                <w:sz w:val="18"/>
                <w:szCs w:val="18"/>
              </w:rPr>
              <w:t>Overdrafts (business)</w:t>
            </w:r>
          </w:p>
          <w:p w14:paraId="2694A9EB" w14:textId="77777777" w:rsidR="009D01F2" w:rsidRDefault="00A72DC0">
            <w:pPr>
              <w:rPr>
                <w:rFonts w:ascii="Verdana" w:eastAsia="Verdana" w:hAnsi="Verdana" w:cs="Verdana"/>
                <w:sz w:val="18"/>
                <w:szCs w:val="18"/>
              </w:rPr>
            </w:pPr>
            <w:r>
              <w:rPr>
                <w:rFonts w:ascii="Verdana" w:eastAsia="Verdana" w:hAnsi="Verdana" w:cs="Verdana"/>
                <w:sz w:val="18"/>
                <w:szCs w:val="18"/>
              </w:rPr>
              <w:t>Consumer leases</w:t>
            </w:r>
          </w:p>
          <w:p w14:paraId="30476248" w14:textId="77777777" w:rsidR="009D01F2" w:rsidRDefault="00A72DC0">
            <w:pPr>
              <w:rPr>
                <w:rFonts w:ascii="Verdana" w:eastAsia="Verdana" w:hAnsi="Verdana" w:cs="Verdana"/>
                <w:sz w:val="18"/>
                <w:szCs w:val="18"/>
              </w:rPr>
            </w:pPr>
            <w:r>
              <w:rPr>
                <w:rFonts w:ascii="Verdana" w:eastAsia="Verdana" w:hAnsi="Verdana" w:cs="Verdana"/>
                <w:sz w:val="18"/>
                <w:szCs w:val="18"/>
              </w:rPr>
              <w:t>Credit and charge cards (personal)</w:t>
            </w:r>
          </w:p>
          <w:p w14:paraId="3D9229B1" w14:textId="77777777" w:rsidR="009D01F2" w:rsidRDefault="00A72DC0">
            <w:pPr>
              <w:rPr>
                <w:rFonts w:ascii="Verdana" w:eastAsia="Verdana" w:hAnsi="Verdana" w:cs="Verdana"/>
                <w:sz w:val="18"/>
                <w:szCs w:val="18"/>
              </w:rPr>
            </w:pPr>
            <w:r>
              <w:rPr>
                <w:rFonts w:ascii="Verdana" w:eastAsia="Verdana" w:hAnsi="Verdana" w:cs="Verdana"/>
                <w:sz w:val="18"/>
                <w:szCs w:val="18"/>
              </w:rPr>
              <w:t>Credit and charge cards (business)</w:t>
            </w:r>
          </w:p>
          <w:p w14:paraId="2B56345C" w14:textId="77777777" w:rsidR="009D01F2" w:rsidRDefault="00A72DC0">
            <w:pPr>
              <w:rPr>
                <w:rFonts w:ascii="Verdana" w:eastAsia="Verdana" w:hAnsi="Verdana" w:cs="Verdana"/>
                <w:sz w:val="18"/>
                <w:szCs w:val="18"/>
              </w:rPr>
            </w:pPr>
            <w:r>
              <w:rPr>
                <w:rFonts w:ascii="Verdana" w:eastAsia="Verdana" w:hAnsi="Verdana" w:cs="Verdana"/>
                <w:sz w:val="18"/>
                <w:szCs w:val="18"/>
              </w:rPr>
              <w:t>Asset finance (and leases)</w:t>
            </w:r>
          </w:p>
          <w:p w14:paraId="252364B9" w14:textId="77777777" w:rsidR="009D01F2" w:rsidRDefault="00A72DC0">
            <w:pPr>
              <w:rPr>
                <w:rFonts w:ascii="Verdana" w:eastAsia="Verdana" w:hAnsi="Verdana" w:cs="Verdana"/>
                <w:sz w:val="18"/>
                <w:szCs w:val="18"/>
              </w:rPr>
            </w:pPr>
            <w:r>
              <w:rPr>
                <w:rFonts w:ascii="Verdana" w:eastAsia="Verdana" w:hAnsi="Verdana" w:cs="Verdana"/>
                <w:sz w:val="18"/>
                <w:szCs w:val="18"/>
              </w:rPr>
              <w:t xml:space="preserve"> </w:t>
            </w:r>
          </w:p>
        </w:tc>
      </w:tr>
    </w:tbl>
    <w:p w14:paraId="5EC687E2" w14:textId="77777777" w:rsidR="009D01F2" w:rsidRDefault="009D01F2">
      <w:pPr>
        <w:rPr>
          <w:rFonts w:ascii="Verdana" w:eastAsia="Verdana" w:hAnsi="Verdana" w:cs="Verdana"/>
          <w:b/>
          <w:color w:val="073763"/>
          <w:sz w:val="21"/>
          <w:szCs w:val="21"/>
        </w:rPr>
      </w:pPr>
    </w:p>
    <w:p w14:paraId="0157CA70" w14:textId="77777777" w:rsidR="009D01F2" w:rsidRDefault="00A72DC0">
      <w:pPr>
        <w:rPr>
          <w:rFonts w:ascii="Verdana" w:eastAsia="Verdana" w:hAnsi="Verdana" w:cs="Verdana"/>
          <w:sz w:val="21"/>
          <w:szCs w:val="21"/>
        </w:rPr>
      </w:pPr>
      <w:r>
        <w:rPr>
          <w:rFonts w:ascii="Verdana" w:eastAsia="Verdana" w:hAnsi="Verdana" w:cs="Verdana"/>
          <w:sz w:val="21"/>
          <w:szCs w:val="21"/>
        </w:rPr>
        <w:t>We agree with the list of products prescribed for inclusion in the scope of Open Banking. However, from our experienc</w:t>
      </w:r>
      <w:r>
        <w:rPr>
          <w:rFonts w:ascii="Verdana" w:eastAsia="Verdana" w:hAnsi="Verdana" w:cs="Verdana"/>
          <w:sz w:val="21"/>
          <w:szCs w:val="21"/>
        </w:rPr>
        <w:t xml:space="preserve">e with Open Banking in Japan, it has been our experience that some products (e.g. home loans) are at times not connected to core banking information systems, and not visible in internet banking. This makes it impractical for those banks to share this data </w:t>
      </w:r>
      <w:r>
        <w:rPr>
          <w:rFonts w:ascii="Verdana" w:eastAsia="Verdana" w:hAnsi="Verdana" w:cs="Verdana"/>
          <w:sz w:val="21"/>
          <w:szCs w:val="21"/>
        </w:rPr>
        <w:t>via early versions of their APIs.</w:t>
      </w:r>
    </w:p>
    <w:p w14:paraId="1FFDDC4B" w14:textId="77777777" w:rsidR="009D01F2" w:rsidRDefault="009D01F2">
      <w:pPr>
        <w:rPr>
          <w:rFonts w:ascii="Verdana" w:eastAsia="Verdana" w:hAnsi="Verdana" w:cs="Verdana"/>
          <w:sz w:val="21"/>
          <w:szCs w:val="21"/>
        </w:rPr>
      </w:pPr>
    </w:p>
    <w:p w14:paraId="68F8E629" w14:textId="77777777" w:rsidR="009D01F2" w:rsidRDefault="00A72DC0">
      <w:pPr>
        <w:rPr>
          <w:rFonts w:ascii="Verdana" w:eastAsia="Verdana" w:hAnsi="Verdana" w:cs="Verdana"/>
          <w:sz w:val="21"/>
          <w:szCs w:val="21"/>
        </w:rPr>
      </w:pPr>
      <w:r>
        <w:rPr>
          <w:rFonts w:ascii="Verdana" w:eastAsia="Verdana" w:hAnsi="Verdana" w:cs="Verdana"/>
          <w:sz w:val="21"/>
          <w:szCs w:val="21"/>
        </w:rPr>
        <w:t>We advise Treasury to give consideration to this and similar practical limitations. In cases where certain products on the prescribed list are not able to be provisioned electronically, we propose allowing a phased approa</w:t>
      </w:r>
      <w:r>
        <w:rPr>
          <w:rFonts w:ascii="Verdana" w:eastAsia="Verdana" w:hAnsi="Verdana" w:cs="Verdana"/>
          <w:sz w:val="21"/>
          <w:szCs w:val="21"/>
        </w:rPr>
        <w:t>ch to implementation.</w:t>
      </w:r>
    </w:p>
    <w:p w14:paraId="2FA2B216" w14:textId="77777777" w:rsidR="009D01F2" w:rsidRDefault="009D01F2">
      <w:pPr>
        <w:rPr>
          <w:rFonts w:ascii="Verdana" w:eastAsia="Verdana" w:hAnsi="Verdana" w:cs="Verdana"/>
          <w:sz w:val="21"/>
          <w:szCs w:val="21"/>
        </w:rPr>
      </w:pPr>
    </w:p>
    <w:p w14:paraId="0F96C977" w14:textId="77777777" w:rsidR="009D01F2" w:rsidRDefault="009D01F2">
      <w:pPr>
        <w:rPr>
          <w:rFonts w:ascii="Verdana" w:eastAsia="Verdana" w:hAnsi="Verdana" w:cs="Verdana"/>
          <w:sz w:val="21"/>
          <w:szCs w:val="21"/>
        </w:rPr>
      </w:pPr>
    </w:p>
    <w:p w14:paraId="26BB9B0C" w14:textId="77777777" w:rsidR="009D01F2" w:rsidRDefault="009D01F2">
      <w:pPr>
        <w:rPr>
          <w:rFonts w:ascii="Verdana" w:eastAsia="Verdana" w:hAnsi="Verdana" w:cs="Verdana"/>
          <w:sz w:val="21"/>
          <w:szCs w:val="21"/>
        </w:rPr>
      </w:pPr>
    </w:p>
    <w:p w14:paraId="0637D369" w14:textId="77777777" w:rsidR="009D01F2" w:rsidRDefault="009D01F2">
      <w:pPr>
        <w:rPr>
          <w:rFonts w:ascii="Verdana" w:eastAsia="Verdana" w:hAnsi="Verdana" w:cs="Verdana"/>
          <w:sz w:val="21"/>
          <w:szCs w:val="21"/>
        </w:rPr>
      </w:pPr>
    </w:p>
    <w:p w14:paraId="26B61187" w14:textId="77777777" w:rsidR="009D01F2" w:rsidRDefault="009D01F2">
      <w:pPr>
        <w:rPr>
          <w:rFonts w:ascii="Verdana" w:eastAsia="Verdana" w:hAnsi="Verdana" w:cs="Verdana"/>
          <w:sz w:val="21"/>
          <w:szCs w:val="21"/>
        </w:rPr>
      </w:pPr>
    </w:p>
    <w:p w14:paraId="31CB2C3B" w14:textId="77777777" w:rsidR="009D01F2" w:rsidRDefault="009D01F2">
      <w:pPr>
        <w:rPr>
          <w:rFonts w:ascii="Verdana" w:eastAsia="Verdana" w:hAnsi="Verdana" w:cs="Verdana"/>
          <w:sz w:val="21"/>
          <w:szCs w:val="21"/>
        </w:rPr>
      </w:pPr>
    </w:p>
    <w:p w14:paraId="5A6C9226" w14:textId="77777777" w:rsidR="009D01F2" w:rsidRDefault="009D01F2">
      <w:pPr>
        <w:rPr>
          <w:rFonts w:ascii="Verdana" w:eastAsia="Verdana" w:hAnsi="Verdana" w:cs="Verdana"/>
          <w:sz w:val="21"/>
          <w:szCs w:val="21"/>
        </w:rPr>
      </w:pPr>
    </w:p>
    <w:p w14:paraId="122F96EC" w14:textId="77777777" w:rsidR="009D01F2" w:rsidRDefault="00A72DC0">
      <w:pPr>
        <w:rPr>
          <w:rFonts w:ascii="Verdana" w:eastAsia="Verdana" w:hAnsi="Verdana" w:cs="Verdana"/>
          <w:b/>
          <w:color w:val="134F5C"/>
          <w:sz w:val="21"/>
          <w:szCs w:val="21"/>
          <w:u w:val="single"/>
        </w:rPr>
      </w:pPr>
      <w:r>
        <w:rPr>
          <w:rFonts w:ascii="Verdana" w:eastAsia="Verdana" w:hAnsi="Verdana" w:cs="Verdana"/>
          <w:b/>
          <w:color w:val="134F5C"/>
          <w:sz w:val="21"/>
          <w:szCs w:val="21"/>
          <w:u w:val="single"/>
        </w:rPr>
        <w:lastRenderedPageBreak/>
        <w:t>Comment 3</w:t>
      </w:r>
    </w:p>
    <w:p w14:paraId="46BD8A6A" w14:textId="77777777" w:rsidR="009D01F2" w:rsidRDefault="009D01F2">
      <w:pPr>
        <w:rPr>
          <w:rFonts w:ascii="Verdana" w:eastAsia="Verdana" w:hAnsi="Verdana" w:cs="Verdana"/>
          <w:b/>
          <w:color w:val="134F5C"/>
          <w:sz w:val="21"/>
          <w:szCs w:val="21"/>
          <w:u w:val="single"/>
        </w:rPr>
      </w:pPr>
    </w:p>
    <w:tbl>
      <w:tblPr>
        <w:tblStyle w:val="a2"/>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9D01F2" w14:paraId="29146346" w14:textId="77777777">
        <w:tc>
          <w:tcPr>
            <w:tcW w:w="9026" w:type="dxa"/>
            <w:shd w:val="clear" w:color="auto" w:fill="134F5C"/>
            <w:tcMar>
              <w:top w:w="100" w:type="dxa"/>
              <w:left w:w="100" w:type="dxa"/>
              <w:bottom w:w="100" w:type="dxa"/>
              <w:right w:w="100" w:type="dxa"/>
            </w:tcMar>
          </w:tcPr>
          <w:p w14:paraId="7073E490" w14:textId="77777777" w:rsidR="009D01F2" w:rsidRDefault="00A72DC0">
            <w:pPr>
              <w:rPr>
                <w:rFonts w:ascii="Verdana" w:eastAsia="Verdana" w:hAnsi="Verdana" w:cs="Verdana"/>
                <w:b/>
                <w:i/>
                <w:color w:val="FFFFFF"/>
                <w:sz w:val="20"/>
                <w:szCs w:val="20"/>
              </w:rPr>
            </w:pPr>
            <w:r>
              <w:rPr>
                <w:rFonts w:ascii="Verdana" w:eastAsia="Verdana" w:hAnsi="Verdana" w:cs="Verdana"/>
                <w:b/>
                <w:color w:val="FFFFFF"/>
                <w:sz w:val="21"/>
                <w:szCs w:val="21"/>
              </w:rPr>
              <w:t xml:space="preserve">Re. recommendation 3.9 – reciprocal obligations in Open Banking </w:t>
            </w:r>
            <w:r>
              <w:rPr>
                <w:rFonts w:ascii="Verdana" w:eastAsia="Verdana" w:hAnsi="Verdana" w:cs="Verdana"/>
                <w:b/>
                <w:color w:val="FFFFFF"/>
                <w:sz w:val="21"/>
                <w:szCs w:val="21"/>
              </w:rPr>
              <w:br/>
              <w:t>(p. 43-44)</w:t>
            </w:r>
          </w:p>
        </w:tc>
      </w:tr>
      <w:tr w:rsidR="009D01F2" w14:paraId="0F41FC0B" w14:textId="77777777">
        <w:tc>
          <w:tcPr>
            <w:tcW w:w="9026" w:type="dxa"/>
            <w:shd w:val="clear" w:color="auto" w:fill="F3F3F3"/>
            <w:tcMar>
              <w:top w:w="100" w:type="dxa"/>
              <w:left w:w="100" w:type="dxa"/>
              <w:bottom w:w="100" w:type="dxa"/>
              <w:right w:w="100" w:type="dxa"/>
            </w:tcMar>
          </w:tcPr>
          <w:p w14:paraId="0E312AC2"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Entities participating in Open Banking as </w:t>
            </w:r>
            <w:r>
              <w:rPr>
                <w:rFonts w:ascii="Verdana" w:eastAsia="Verdana" w:hAnsi="Verdana" w:cs="Verdana"/>
                <w:b/>
                <w:color w:val="CC0000"/>
                <w:sz w:val="21"/>
                <w:szCs w:val="21"/>
              </w:rPr>
              <w:t>data recipients</w:t>
            </w:r>
            <w:r>
              <w:rPr>
                <w:rFonts w:ascii="Verdana" w:eastAsia="Verdana" w:hAnsi="Verdana" w:cs="Verdana"/>
                <w:sz w:val="21"/>
                <w:szCs w:val="21"/>
              </w:rPr>
              <w:t xml:space="preserve"> should be obliged to comply with a customer’s direction to share any data provided to them under Open Banking, plus </w:t>
            </w:r>
            <w:r>
              <w:rPr>
                <w:rFonts w:ascii="Verdana" w:eastAsia="Verdana" w:hAnsi="Verdana" w:cs="Verdana"/>
                <w:b/>
                <w:color w:val="CC0000"/>
                <w:sz w:val="21"/>
                <w:szCs w:val="21"/>
              </w:rPr>
              <w:t>any data held by them that is transaction data or that is the equivalent of transaction data</w:t>
            </w:r>
            <w:r>
              <w:rPr>
                <w:rFonts w:ascii="Verdana" w:eastAsia="Verdana" w:hAnsi="Verdana" w:cs="Verdana"/>
                <w:sz w:val="21"/>
                <w:szCs w:val="21"/>
              </w:rPr>
              <w:t>.</w:t>
            </w:r>
          </w:p>
        </w:tc>
      </w:tr>
    </w:tbl>
    <w:p w14:paraId="716EE1DF" w14:textId="77777777" w:rsidR="009D01F2" w:rsidRDefault="009D01F2">
      <w:pPr>
        <w:rPr>
          <w:rFonts w:ascii="Verdana" w:eastAsia="Verdana" w:hAnsi="Verdana" w:cs="Verdana"/>
          <w:sz w:val="21"/>
          <w:szCs w:val="21"/>
        </w:rPr>
      </w:pPr>
    </w:p>
    <w:p w14:paraId="45DC2AD6" w14:textId="77777777" w:rsidR="009D01F2" w:rsidRDefault="00A72DC0">
      <w:pPr>
        <w:rPr>
          <w:rFonts w:ascii="Verdana" w:eastAsia="Verdana" w:hAnsi="Verdana" w:cs="Verdana"/>
          <w:sz w:val="21"/>
          <w:szCs w:val="21"/>
        </w:rPr>
      </w:pPr>
      <w:r>
        <w:rPr>
          <w:rFonts w:ascii="Verdana" w:eastAsia="Verdana" w:hAnsi="Verdana" w:cs="Verdana"/>
          <w:sz w:val="21"/>
          <w:szCs w:val="21"/>
        </w:rPr>
        <w:t>Moneytree believes the principle of reciprocity is generally fair, as applied to the exchange of non-value-added data. If participants engaged in bank-like behaviour are receiving value from Open Banking, they should be required to make available their raw</w:t>
      </w:r>
      <w:r>
        <w:rPr>
          <w:rFonts w:ascii="Verdana" w:eastAsia="Verdana" w:hAnsi="Verdana" w:cs="Verdana"/>
          <w:sz w:val="21"/>
          <w:szCs w:val="21"/>
        </w:rPr>
        <w:t xml:space="preserve"> data to other participants in a similar way.</w:t>
      </w:r>
    </w:p>
    <w:p w14:paraId="2A643347" w14:textId="77777777" w:rsidR="009D01F2" w:rsidRDefault="009D01F2">
      <w:pPr>
        <w:rPr>
          <w:rFonts w:ascii="Verdana" w:eastAsia="Verdana" w:hAnsi="Verdana" w:cs="Verdana"/>
          <w:sz w:val="21"/>
          <w:szCs w:val="21"/>
        </w:rPr>
      </w:pPr>
    </w:p>
    <w:p w14:paraId="610FF4F8" w14:textId="77777777" w:rsidR="009D01F2" w:rsidRDefault="00A72DC0">
      <w:pPr>
        <w:rPr>
          <w:rFonts w:ascii="Verdana" w:eastAsia="Verdana" w:hAnsi="Verdana" w:cs="Verdana"/>
          <w:sz w:val="21"/>
          <w:szCs w:val="21"/>
        </w:rPr>
      </w:pPr>
      <w:r>
        <w:rPr>
          <w:rFonts w:ascii="Verdana" w:eastAsia="Verdana" w:hAnsi="Verdana" w:cs="Verdana"/>
          <w:sz w:val="21"/>
          <w:szCs w:val="21"/>
        </w:rPr>
        <w:t>However, one interpretation of reciprocity obligations requires participants to on-share raw data they have received. We believe this creates significant technical and operational risks that could compromise t</w:t>
      </w:r>
      <w:r>
        <w:rPr>
          <w:rFonts w:ascii="Verdana" w:eastAsia="Verdana" w:hAnsi="Verdana" w:cs="Verdana"/>
          <w:sz w:val="21"/>
          <w:szCs w:val="21"/>
        </w:rPr>
        <w:t>he viability of Open Banking.</w:t>
      </w:r>
    </w:p>
    <w:p w14:paraId="3C35C78E"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763556EB" w14:textId="77777777" w:rsidR="009D01F2" w:rsidRDefault="00A72DC0">
      <w:pPr>
        <w:rPr>
          <w:rFonts w:ascii="Verdana" w:eastAsia="Verdana" w:hAnsi="Verdana" w:cs="Verdana"/>
          <w:sz w:val="21"/>
          <w:szCs w:val="21"/>
        </w:rPr>
      </w:pPr>
      <w:r>
        <w:rPr>
          <w:rFonts w:ascii="Verdana" w:eastAsia="Verdana" w:hAnsi="Verdana" w:cs="Verdana"/>
          <w:sz w:val="21"/>
          <w:szCs w:val="21"/>
        </w:rPr>
        <w:t>On page 44, the Report states:</w:t>
      </w:r>
    </w:p>
    <w:p w14:paraId="77546862"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7C3570E8" w14:textId="77777777" w:rsidR="009D01F2" w:rsidRDefault="00A72DC0">
      <w:pPr>
        <w:ind w:left="720"/>
        <w:rPr>
          <w:rFonts w:ascii="Verdana" w:eastAsia="Verdana" w:hAnsi="Verdana" w:cs="Verdana"/>
          <w:i/>
          <w:sz w:val="21"/>
          <w:szCs w:val="21"/>
        </w:rPr>
      </w:pPr>
      <w:r>
        <w:rPr>
          <w:rFonts w:ascii="Verdana" w:eastAsia="Verdana" w:hAnsi="Verdana" w:cs="Verdana"/>
          <w:i/>
          <w:sz w:val="21"/>
          <w:szCs w:val="21"/>
        </w:rPr>
        <w:t xml:space="preserve">“An Open Banking system in which all eligible </w:t>
      </w:r>
      <w:r>
        <w:rPr>
          <w:rFonts w:ascii="Verdana" w:eastAsia="Verdana" w:hAnsi="Verdana" w:cs="Verdana"/>
          <w:b/>
          <w:i/>
          <w:sz w:val="21"/>
          <w:szCs w:val="21"/>
        </w:rPr>
        <w:t>entities participate fully — both as data holders and data recipients</w:t>
      </w:r>
      <w:r>
        <w:rPr>
          <w:rFonts w:ascii="Verdana" w:eastAsia="Verdana" w:hAnsi="Verdana" w:cs="Verdana"/>
          <w:i/>
          <w:sz w:val="21"/>
          <w:szCs w:val="21"/>
        </w:rPr>
        <w:t xml:space="preserve"> — is likely to be more vibrant and dynamic than one in which non-ADI partic</w:t>
      </w:r>
      <w:r>
        <w:rPr>
          <w:rFonts w:ascii="Verdana" w:eastAsia="Verdana" w:hAnsi="Verdana" w:cs="Verdana"/>
          <w:i/>
          <w:sz w:val="21"/>
          <w:szCs w:val="21"/>
        </w:rPr>
        <w:t xml:space="preserve">ipants are solely receivers of data, and ADIs are largely only transmitters of data. On the other hand, this proposal is essentially about banking data and any concern for fairness that leads to a principle of reciprocity </w:t>
      </w:r>
      <w:r>
        <w:rPr>
          <w:rFonts w:ascii="Verdana" w:eastAsia="Verdana" w:hAnsi="Verdana" w:cs="Verdana"/>
          <w:b/>
          <w:i/>
          <w:sz w:val="21"/>
          <w:szCs w:val="21"/>
        </w:rPr>
        <w:t>should not be allowed to unduly ex</w:t>
      </w:r>
      <w:r>
        <w:rPr>
          <w:rFonts w:ascii="Verdana" w:eastAsia="Verdana" w:hAnsi="Verdana" w:cs="Verdana"/>
          <w:b/>
          <w:i/>
          <w:sz w:val="21"/>
          <w:szCs w:val="21"/>
        </w:rPr>
        <w:t>tend the scope of the system by stealth</w:t>
      </w:r>
      <w:r>
        <w:rPr>
          <w:rFonts w:ascii="Verdana" w:eastAsia="Verdana" w:hAnsi="Verdana" w:cs="Verdana"/>
          <w:i/>
          <w:sz w:val="21"/>
          <w:szCs w:val="21"/>
        </w:rPr>
        <w:t>”.</w:t>
      </w:r>
    </w:p>
    <w:p w14:paraId="2939777B" w14:textId="77777777" w:rsidR="009D01F2" w:rsidRDefault="00A72DC0">
      <w:pPr>
        <w:ind w:left="720"/>
        <w:rPr>
          <w:rFonts w:ascii="Verdana" w:eastAsia="Verdana" w:hAnsi="Verdana" w:cs="Verdana"/>
          <w:i/>
          <w:sz w:val="21"/>
          <w:szCs w:val="21"/>
        </w:rPr>
      </w:pPr>
      <w:r>
        <w:rPr>
          <w:rFonts w:ascii="Verdana" w:eastAsia="Verdana" w:hAnsi="Verdana" w:cs="Verdana"/>
          <w:i/>
          <w:sz w:val="21"/>
          <w:szCs w:val="21"/>
        </w:rPr>
        <w:t xml:space="preserve"> </w:t>
      </w:r>
    </w:p>
    <w:p w14:paraId="1CA985A0" w14:textId="77777777" w:rsidR="009D01F2" w:rsidRDefault="00A72DC0">
      <w:pPr>
        <w:ind w:left="720"/>
        <w:rPr>
          <w:rFonts w:ascii="Verdana" w:eastAsia="Verdana" w:hAnsi="Verdana" w:cs="Verdana"/>
          <w:i/>
          <w:sz w:val="21"/>
          <w:szCs w:val="21"/>
        </w:rPr>
      </w:pPr>
      <w:r>
        <w:rPr>
          <w:rFonts w:ascii="Verdana" w:eastAsia="Verdana" w:hAnsi="Verdana" w:cs="Verdana"/>
          <w:i/>
          <w:sz w:val="21"/>
          <w:szCs w:val="21"/>
        </w:rPr>
        <w:t xml:space="preserve">“This concern for balancing obligations of participants has led the Review to the conclusion that, </w:t>
      </w:r>
      <w:r>
        <w:rPr>
          <w:rFonts w:ascii="Verdana" w:eastAsia="Verdana" w:hAnsi="Verdana" w:cs="Verdana"/>
          <w:b/>
          <w:i/>
          <w:sz w:val="21"/>
          <w:szCs w:val="21"/>
        </w:rPr>
        <w:t xml:space="preserve">in principle, any non-ADI entity that participates in Open Banking as a recipient of data should also be obliged </w:t>
      </w:r>
      <w:r>
        <w:rPr>
          <w:rFonts w:ascii="Verdana" w:eastAsia="Verdana" w:hAnsi="Verdana" w:cs="Verdana"/>
          <w:b/>
          <w:i/>
          <w:sz w:val="21"/>
          <w:szCs w:val="21"/>
        </w:rPr>
        <w:t>to provide equivalent data in response to a direction from a customer</w:t>
      </w:r>
      <w:r>
        <w:rPr>
          <w:rFonts w:ascii="Verdana" w:eastAsia="Verdana" w:hAnsi="Verdana" w:cs="Verdana"/>
          <w:i/>
          <w:sz w:val="21"/>
          <w:szCs w:val="21"/>
        </w:rPr>
        <w:t>. Equivalent data would consist of:</w:t>
      </w:r>
      <w:r>
        <w:rPr>
          <w:rFonts w:ascii="Verdana" w:eastAsia="Verdana" w:hAnsi="Verdana" w:cs="Verdana"/>
          <w:i/>
          <w:color w:val="980000"/>
          <w:sz w:val="21"/>
          <w:szCs w:val="21"/>
        </w:rPr>
        <w:t xml:space="preserve"> </w:t>
      </w:r>
      <w:r>
        <w:rPr>
          <w:rFonts w:ascii="Verdana" w:eastAsia="Verdana" w:hAnsi="Verdana" w:cs="Verdana"/>
          <w:b/>
          <w:i/>
          <w:color w:val="CC0000"/>
          <w:sz w:val="21"/>
          <w:szCs w:val="21"/>
        </w:rPr>
        <w:t>data received from another participant in Open Banking</w:t>
      </w:r>
      <w:r>
        <w:rPr>
          <w:rFonts w:ascii="Verdana" w:eastAsia="Verdana" w:hAnsi="Verdana" w:cs="Verdana"/>
          <w:i/>
          <w:sz w:val="21"/>
          <w:szCs w:val="21"/>
        </w:rPr>
        <w:t>; any customer-provided data (subject to the exclusions discussed above); data relating to the lending of money on credit; and data relating to the payment of monies to which they are either a party or that they are facilitating”.</w:t>
      </w:r>
    </w:p>
    <w:p w14:paraId="2E77F9BB"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4BB45406" w14:textId="77777777" w:rsidR="009D01F2" w:rsidRDefault="00A72DC0">
      <w:pPr>
        <w:rPr>
          <w:rFonts w:ascii="Verdana" w:eastAsia="Verdana" w:hAnsi="Verdana" w:cs="Verdana"/>
          <w:sz w:val="21"/>
          <w:szCs w:val="21"/>
        </w:rPr>
      </w:pPr>
      <w:r>
        <w:rPr>
          <w:rFonts w:ascii="Verdana" w:eastAsia="Verdana" w:hAnsi="Verdana" w:cs="Verdana"/>
          <w:sz w:val="21"/>
          <w:szCs w:val="21"/>
        </w:rPr>
        <w:t>One interpretation of t</w:t>
      </w:r>
      <w:r>
        <w:rPr>
          <w:rFonts w:ascii="Verdana" w:eastAsia="Verdana" w:hAnsi="Verdana" w:cs="Verdana"/>
          <w:sz w:val="21"/>
          <w:szCs w:val="21"/>
        </w:rPr>
        <w:t xml:space="preserve">hese recommendations would make all participants of Open Banking </w:t>
      </w:r>
      <w:r>
        <w:rPr>
          <w:rFonts w:ascii="Verdana" w:eastAsia="Verdana" w:hAnsi="Verdana" w:cs="Verdana"/>
          <w:b/>
          <w:sz w:val="21"/>
          <w:szCs w:val="21"/>
        </w:rPr>
        <w:t>both data holders and data recipients</w:t>
      </w:r>
      <w:r>
        <w:rPr>
          <w:rFonts w:ascii="Verdana" w:eastAsia="Verdana" w:hAnsi="Verdana" w:cs="Verdana"/>
          <w:sz w:val="21"/>
          <w:szCs w:val="21"/>
        </w:rPr>
        <w:t>.</w:t>
      </w:r>
      <w:r>
        <w:rPr>
          <w:rFonts w:ascii="Verdana" w:eastAsia="Verdana" w:hAnsi="Verdana" w:cs="Verdana"/>
          <w:sz w:val="24"/>
          <w:szCs w:val="24"/>
        </w:rPr>
        <w:t xml:space="preserve"> </w:t>
      </w:r>
      <w:r>
        <w:rPr>
          <w:rFonts w:ascii="Verdana" w:eastAsia="Verdana" w:hAnsi="Verdana" w:cs="Verdana"/>
          <w:sz w:val="21"/>
          <w:szCs w:val="21"/>
        </w:rPr>
        <w:t>As such, all participants would have to replicate the APIs of participants providing them with raw data so they can on-share this data (Recommendation 3</w:t>
      </w:r>
      <w:r>
        <w:rPr>
          <w:rFonts w:ascii="Verdana" w:eastAsia="Verdana" w:hAnsi="Verdana" w:cs="Verdana"/>
          <w:sz w:val="21"/>
          <w:szCs w:val="21"/>
        </w:rPr>
        <w:t>.11). It is our view that this requirement is impractical in some respects and inapplicable in others. In particular, we have identified the following possible negative outcomes:</w:t>
      </w:r>
    </w:p>
    <w:p w14:paraId="600842E5"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37FB276E" w14:textId="77777777" w:rsidR="009D01F2" w:rsidRDefault="00A72DC0">
      <w:pPr>
        <w:ind w:left="360" w:hanging="360"/>
        <w:rPr>
          <w:rFonts w:ascii="Verdana" w:eastAsia="Verdana" w:hAnsi="Verdana" w:cs="Verdana"/>
          <w:sz w:val="21"/>
          <w:szCs w:val="21"/>
        </w:rPr>
      </w:pPr>
      <w:r>
        <w:rPr>
          <w:rFonts w:ascii="Verdana" w:eastAsia="Verdana" w:hAnsi="Verdana" w:cs="Verdana"/>
          <w:sz w:val="21"/>
          <w:szCs w:val="21"/>
        </w:rPr>
        <w:lastRenderedPageBreak/>
        <w:t xml:space="preserve">a) </w:t>
      </w:r>
      <w:r>
        <w:rPr>
          <w:rFonts w:ascii="Verdana" w:eastAsia="Verdana" w:hAnsi="Verdana" w:cs="Verdana"/>
          <w:b/>
          <w:sz w:val="21"/>
          <w:szCs w:val="21"/>
        </w:rPr>
        <w:t>Participants would incur a high operational burden</w:t>
      </w:r>
      <w:r>
        <w:rPr>
          <w:rFonts w:ascii="Verdana" w:eastAsia="Verdana" w:hAnsi="Verdana" w:cs="Verdana"/>
          <w:sz w:val="21"/>
          <w:szCs w:val="21"/>
        </w:rPr>
        <w:t>, especially non-ADIs,</w:t>
      </w:r>
      <w:r>
        <w:rPr>
          <w:rFonts w:ascii="Verdana" w:eastAsia="Verdana" w:hAnsi="Verdana" w:cs="Verdana"/>
          <w:sz w:val="21"/>
          <w:szCs w:val="21"/>
        </w:rPr>
        <w:t xml:space="preserve"> as the on-sharing of raw data would force them to duplicate the APIs of participants providing them with raw data. This would add significant cost and operational complexity for all participants, and divert significant resources away from innovation towar</w:t>
      </w:r>
      <w:r>
        <w:rPr>
          <w:rFonts w:ascii="Verdana" w:eastAsia="Verdana" w:hAnsi="Verdana" w:cs="Verdana"/>
          <w:sz w:val="21"/>
          <w:szCs w:val="21"/>
        </w:rPr>
        <w:t>d compliance.</w:t>
      </w:r>
    </w:p>
    <w:p w14:paraId="39247171" w14:textId="77777777" w:rsidR="009D01F2" w:rsidRDefault="009D01F2">
      <w:pPr>
        <w:ind w:left="360" w:hanging="360"/>
        <w:rPr>
          <w:rFonts w:ascii="Verdana" w:eastAsia="Verdana" w:hAnsi="Verdana" w:cs="Verdana"/>
          <w:sz w:val="21"/>
          <w:szCs w:val="21"/>
        </w:rPr>
      </w:pPr>
    </w:p>
    <w:p w14:paraId="4620C4A8" w14:textId="77777777" w:rsidR="009D01F2" w:rsidRDefault="00A72DC0">
      <w:pPr>
        <w:ind w:left="360" w:hanging="360"/>
        <w:rPr>
          <w:rFonts w:ascii="Verdana" w:eastAsia="Verdana" w:hAnsi="Verdana" w:cs="Verdana"/>
          <w:sz w:val="21"/>
          <w:szCs w:val="21"/>
        </w:rPr>
      </w:pPr>
      <w:r>
        <w:rPr>
          <w:rFonts w:ascii="Verdana" w:eastAsia="Verdana" w:hAnsi="Verdana" w:cs="Verdana"/>
          <w:sz w:val="21"/>
          <w:szCs w:val="21"/>
        </w:rPr>
        <w:t xml:space="preserve">b)  </w:t>
      </w:r>
      <w:r>
        <w:rPr>
          <w:rFonts w:ascii="Verdana" w:eastAsia="Verdana" w:hAnsi="Verdana" w:cs="Verdana"/>
          <w:b/>
          <w:sz w:val="21"/>
          <w:szCs w:val="21"/>
        </w:rPr>
        <w:t>Participants would be forced to assume potential legal liability for data they have received but did not create.</w:t>
      </w:r>
      <w:r>
        <w:rPr>
          <w:rFonts w:ascii="Verdana" w:eastAsia="Verdana" w:hAnsi="Verdana" w:cs="Verdana"/>
          <w:sz w:val="21"/>
          <w:szCs w:val="21"/>
        </w:rPr>
        <w:t xml:space="preserve"> In addition to the burden of having to provide duplicate APIs to on-share raw data, participants would have to assume liabil</w:t>
      </w:r>
      <w:r>
        <w:rPr>
          <w:rFonts w:ascii="Verdana" w:eastAsia="Verdana" w:hAnsi="Verdana" w:cs="Verdana"/>
          <w:sz w:val="21"/>
          <w:szCs w:val="21"/>
        </w:rPr>
        <w:t>ity for the accuracy of data they did not originally create, and which they may not have any way to verify (i.e. where they received data from a participant other than the original source, there may be no way to compare it against “the source of truth”).</w:t>
      </w:r>
    </w:p>
    <w:p w14:paraId="72253B3E"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195EAE0A" w14:textId="77777777" w:rsidR="009D01F2" w:rsidRDefault="00A72DC0">
      <w:pPr>
        <w:ind w:left="360"/>
        <w:rPr>
          <w:rFonts w:ascii="Verdana" w:eastAsia="Verdana" w:hAnsi="Verdana" w:cs="Verdana"/>
          <w:sz w:val="21"/>
          <w:szCs w:val="21"/>
        </w:rPr>
      </w:pPr>
      <w:r>
        <w:rPr>
          <w:rFonts w:ascii="Verdana" w:eastAsia="Verdana" w:hAnsi="Verdana" w:cs="Verdana"/>
          <w:sz w:val="21"/>
          <w:szCs w:val="21"/>
        </w:rPr>
        <w:t xml:space="preserve">c)  </w:t>
      </w:r>
      <w:r>
        <w:rPr>
          <w:rFonts w:ascii="Verdana" w:eastAsia="Verdana" w:hAnsi="Verdana" w:cs="Verdana"/>
          <w:b/>
          <w:sz w:val="21"/>
          <w:szCs w:val="21"/>
        </w:rPr>
        <w:t>Given the greater costs and risks outlined in (a) and (b) above, there would be hesitation to participate, especially among Fintech companies.</w:t>
      </w:r>
      <w:r>
        <w:rPr>
          <w:rFonts w:ascii="Verdana" w:eastAsia="Verdana" w:hAnsi="Verdana" w:cs="Verdana"/>
          <w:sz w:val="21"/>
          <w:szCs w:val="21"/>
        </w:rPr>
        <w:t xml:space="preserve"> Given the added overhead arising from this interpretation of reciprocity, participants would be incentivized to side step Open Banking, perhaps favoring other channels with less burdensome rules for participation (e.g. bilateral agreements).</w:t>
      </w:r>
    </w:p>
    <w:p w14:paraId="60477A7E"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31330AD7" w14:textId="77777777" w:rsidR="009D01F2" w:rsidRDefault="00A72DC0">
      <w:pPr>
        <w:ind w:left="360"/>
        <w:rPr>
          <w:rFonts w:ascii="Verdana" w:eastAsia="Verdana" w:hAnsi="Verdana" w:cs="Verdana"/>
          <w:sz w:val="21"/>
          <w:szCs w:val="21"/>
        </w:rPr>
      </w:pPr>
      <w:r>
        <w:rPr>
          <w:rFonts w:ascii="Verdana" w:eastAsia="Verdana" w:hAnsi="Verdana" w:cs="Verdana"/>
          <w:sz w:val="21"/>
          <w:szCs w:val="21"/>
        </w:rPr>
        <w:t xml:space="preserve">d)  </w:t>
      </w:r>
      <w:r>
        <w:rPr>
          <w:rFonts w:ascii="Verdana" w:eastAsia="Verdana" w:hAnsi="Verdana" w:cs="Verdana"/>
          <w:b/>
          <w:sz w:val="21"/>
          <w:szCs w:val="21"/>
        </w:rPr>
        <w:t>Data in</w:t>
      </w:r>
      <w:r>
        <w:rPr>
          <w:rFonts w:ascii="Verdana" w:eastAsia="Verdana" w:hAnsi="Verdana" w:cs="Verdana"/>
          <w:b/>
          <w:sz w:val="21"/>
          <w:szCs w:val="21"/>
        </w:rPr>
        <w:t>tegrity and trust in the system could be severely compromised over time.</w:t>
      </w:r>
      <w:r>
        <w:rPr>
          <w:rFonts w:ascii="Verdana" w:eastAsia="Verdana" w:hAnsi="Verdana" w:cs="Verdana"/>
          <w:sz w:val="21"/>
          <w:szCs w:val="21"/>
        </w:rPr>
        <w:t xml:space="preserve"> As the same data passes from one participant to another, there is an increasing risk of data integrity errors. This can occur due to software bugs, data transformation processes, or t</w:t>
      </w:r>
      <w:r>
        <w:rPr>
          <w:rFonts w:ascii="Verdana" w:eastAsia="Verdana" w:hAnsi="Verdana" w:cs="Verdana"/>
          <w:sz w:val="21"/>
          <w:szCs w:val="21"/>
        </w:rPr>
        <w:t xml:space="preserve">he peculiarities of different database systems. The more times data is shared by a participant who is not “the source of truth”, the greater the risk of errors being introduced. In the event of legal or regulatory action, unwinding the chain of custody to </w:t>
      </w:r>
      <w:r>
        <w:rPr>
          <w:rFonts w:ascii="Verdana" w:eastAsia="Verdana" w:hAnsi="Verdana" w:cs="Verdana"/>
          <w:sz w:val="21"/>
          <w:szCs w:val="21"/>
        </w:rPr>
        <w:t>determine liability would, at best, be costly and time consuming, and at worst would be impossible (e.g. if participants in the chain of custody were no longer operational).</w:t>
      </w:r>
    </w:p>
    <w:p w14:paraId="0E33B67F"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70ECD830" w14:textId="77777777" w:rsidR="009D01F2" w:rsidRDefault="00A72DC0">
      <w:pPr>
        <w:ind w:left="360"/>
        <w:rPr>
          <w:rFonts w:ascii="Verdana" w:eastAsia="Verdana" w:hAnsi="Verdana" w:cs="Verdana"/>
          <w:sz w:val="21"/>
          <w:szCs w:val="21"/>
        </w:rPr>
      </w:pPr>
      <w:r>
        <w:rPr>
          <w:rFonts w:ascii="Verdana" w:eastAsia="Verdana" w:hAnsi="Verdana" w:cs="Verdana"/>
          <w:sz w:val="21"/>
          <w:szCs w:val="21"/>
        </w:rPr>
        <w:t xml:space="preserve">e)  </w:t>
      </w:r>
      <w:r>
        <w:rPr>
          <w:rFonts w:ascii="Verdana" w:eastAsia="Verdana" w:hAnsi="Verdana" w:cs="Verdana"/>
          <w:b/>
          <w:sz w:val="21"/>
          <w:szCs w:val="21"/>
        </w:rPr>
        <w:t xml:space="preserve">ADI’s core banking systems are designed to hold internal data, and have no </w:t>
      </w:r>
      <w:r>
        <w:rPr>
          <w:rFonts w:ascii="Verdana" w:eastAsia="Verdana" w:hAnsi="Verdana" w:cs="Verdana"/>
          <w:b/>
          <w:sz w:val="21"/>
          <w:szCs w:val="21"/>
        </w:rPr>
        <w:t>facility to store raw data received from other ADIs</w:t>
      </w:r>
      <w:r>
        <w:rPr>
          <w:rFonts w:ascii="Verdana" w:eastAsia="Verdana" w:hAnsi="Verdana" w:cs="Verdana"/>
          <w:sz w:val="21"/>
          <w:szCs w:val="21"/>
        </w:rPr>
        <w:t>. Core banking systems used by ADIs are generally not designed to store the raw data conceived under Open Banking. In order to satisfy the above interpretation of reciprocity, ADIs will have to purchase or</w:t>
      </w:r>
      <w:r>
        <w:rPr>
          <w:rFonts w:ascii="Verdana" w:eastAsia="Verdana" w:hAnsi="Verdana" w:cs="Verdana"/>
          <w:sz w:val="21"/>
          <w:szCs w:val="21"/>
        </w:rPr>
        <w:t xml:space="preserve"> upgrade information systems in order to support storing raw data received from third parties. Their holding of this data would be subject to equivalent duties of care and compliance obligations, making the true costs of Open Banking much higher than inten</w:t>
      </w:r>
      <w:r>
        <w:rPr>
          <w:rFonts w:ascii="Verdana" w:eastAsia="Verdana" w:hAnsi="Verdana" w:cs="Verdana"/>
          <w:sz w:val="21"/>
          <w:szCs w:val="21"/>
        </w:rPr>
        <w:t>ded. Additionally the issues identified in (a), (c) and (d) above would adversely apply to ADIs too.</w:t>
      </w:r>
    </w:p>
    <w:p w14:paraId="492E902A"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1A5D764C" w14:textId="77777777" w:rsidR="009D01F2" w:rsidRDefault="00A72DC0">
      <w:pPr>
        <w:rPr>
          <w:rFonts w:ascii="Verdana" w:eastAsia="Verdana" w:hAnsi="Verdana" w:cs="Verdana"/>
          <w:sz w:val="21"/>
          <w:szCs w:val="21"/>
        </w:rPr>
      </w:pPr>
      <w:r>
        <w:rPr>
          <w:rFonts w:ascii="Verdana" w:eastAsia="Verdana" w:hAnsi="Verdana" w:cs="Verdana"/>
          <w:sz w:val="21"/>
          <w:szCs w:val="21"/>
        </w:rPr>
        <w:t>In summary, we believe the challenges of duplicating raw data to on-share with other participants could jeopardise the Open Banking model, and heavily ou</w:t>
      </w:r>
      <w:r>
        <w:rPr>
          <w:rFonts w:ascii="Verdana" w:eastAsia="Verdana" w:hAnsi="Verdana" w:cs="Verdana"/>
          <w:sz w:val="21"/>
          <w:szCs w:val="21"/>
        </w:rPr>
        <w:t>tweigh any potential benefits.</w:t>
      </w:r>
    </w:p>
    <w:p w14:paraId="0E900FB0" w14:textId="77777777" w:rsidR="009D01F2" w:rsidRDefault="009D01F2">
      <w:pPr>
        <w:rPr>
          <w:rFonts w:ascii="Verdana" w:eastAsia="Verdana" w:hAnsi="Verdana" w:cs="Verdana"/>
          <w:sz w:val="21"/>
          <w:szCs w:val="21"/>
        </w:rPr>
      </w:pPr>
    </w:p>
    <w:p w14:paraId="47B690C1" w14:textId="77777777" w:rsidR="009D01F2" w:rsidRDefault="009D01F2">
      <w:pPr>
        <w:rPr>
          <w:rFonts w:ascii="Verdana" w:eastAsia="Verdana" w:hAnsi="Verdana" w:cs="Verdana"/>
          <w:sz w:val="21"/>
          <w:szCs w:val="21"/>
          <w:shd w:val="clear" w:color="auto" w:fill="FF9900"/>
        </w:rPr>
      </w:pPr>
    </w:p>
    <w:p w14:paraId="41DC1055" w14:textId="77777777" w:rsidR="009D01F2" w:rsidRDefault="009D01F2">
      <w:pPr>
        <w:rPr>
          <w:rFonts w:ascii="Verdana" w:eastAsia="Verdana" w:hAnsi="Verdana" w:cs="Verdana"/>
          <w:sz w:val="21"/>
          <w:szCs w:val="21"/>
          <w:shd w:val="clear" w:color="auto" w:fill="FF9900"/>
        </w:rPr>
      </w:pPr>
    </w:p>
    <w:p w14:paraId="326B6D03" w14:textId="77777777" w:rsidR="009D01F2" w:rsidRDefault="00A72DC0">
      <w:pPr>
        <w:rPr>
          <w:rFonts w:ascii="Verdana" w:eastAsia="Verdana" w:hAnsi="Verdana" w:cs="Verdana"/>
          <w:sz w:val="21"/>
          <w:szCs w:val="21"/>
          <w:highlight w:val="yellow"/>
        </w:rPr>
      </w:pPr>
      <w:r>
        <w:rPr>
          <w:rFonts w:ascii="Verdana" w:eastAsia="Verdana" w:hAnsi="Verdana" w:cs="Verdana"/>
          <w:b/>
          <w:color w:val="134F5C"/>
          <w:sz w:val="21"/>
          <w:szCs w:val="21"/>
          <w:u w:val="single"/>
        </w:rPr>
        <w:lastRenderedPageBreak/>
        <w:t>Comment 4</w:t>
      </w:r>
    </w:p>
    <w:p w14:paraId="5E41E7A7" w14:textId="77777777" w:rsidR="009D01F2" w:rsidRDefault="009D01F2">
      <w:pPr>
        <w:rPr>
          <w:rFonts w:ascii="Verdana" w:eastAsia="Verdana" w:hAnsi="Verdana" w:cs="Verdana"/>
          <w:sz w:val="21"/>
          <w:szCs w:val="21"/>
          <w:highlight w:val="yellow"/>
        </w:rPr>
      </w:pPr>
    </w:p>
    <w:tbl>
      <w:tblPr>
        <w:tblStyle w:val="a3"/>
        <w:tblW w:w="901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15"/>
      </w:tblGrid>
      <w:tr w:rsidR="009D01F2" w14:paraId="19384E3B" w14:textId="77777777">
        <w:trPr>
          <w:trHeight w:val="440"/>
        </w:trPr>
        <w:tc>
          <w:tcPr>
            <w:tcW w:w="9015" w:type="dxa"/>
            <w:tcBorders>
              <w:top w:val="single" w:sz="8" w:space="0" w:color="000000"/>
              <w:left w:val="single" w:sz="8" w:space="0" w:color="000000"/>
              <w:bottom w:val="single" w:sz="8" w:space="0" w:color="000000"/>
              <w:right w:val="single" w:sz="8" w:space="0" w:color="000000"/>
            </w:tcBorders>
            <w:shd w:val="clear" w:color="auto" w:fill="134F5C"/>
            <w:tcMar>
              <w:top w:w="100" w:type="dxa"/>
              <w:left w:w="100" w:type="dxa"/>
              <w:bottom w:w="100" w:type="dxa"/>
              <w:right w:w="100" w:type="dxa"/>
            </w:tcMar>
          </w:tcPr>
          <w:p w14:paraId="2160CA29" w14:textId="77777777" w:rsidR="009D01F2" w:rsidRDefault="00A72DC0">
            <w:pPr>
              <w:ind w:left="100"/>
              <w:rPr>
                <w:rFonts w:ascii="Verdana" w:eastAsia="Verdana" w:hAnsi="Verdana" w:cs="Verdana"/>
                <w:b/>
                <w:color w:val="F3F3F3"/>
                <w:sz w:val="21"/>
                <w:szCs w:val="21"/>
              </w:rPr>
            </w:pPr>
            <w:r>
              <w:rPr>
                <w:rFonts w:ascii="Verdana" w:eastAsia="Verdana" w:hAnsi="Verdana" w:cs="Verdana"/>
                <w:b/>
                <w:color w:val="F3F3F3"/>
                <w:sz w:val="21"/>
                <w:szCs w:val="21"/>
              </w:rPr>
              <w:t>Re. recommendation 5.6 – persistent authorisation (page 88)</w:t>
            </w:r>
          </w:p>
        </w:tc>
      </w:tr>
      <w:tr w:rsidR="009D01F2" w14:paraId="34D7217E" w14:textId="77777777">
        <w:trPr>
          <w:trHeight w:val="1420"/>
        </w:trPr>
        <w:tc>
          <w:tcPr>
            <w:tcW w:w="9015"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01DDDEA" w14:textId="77777777" w:rsidR="009D01F2" w:rsidRDefault="00A72DC0">
            <w:pPr>
              <w:ind w:left="100"/>
              <w:rPr>
                <w:rFonts w:ascii="Verdana" w:eastAsia="Verdana" w:hAnsi="Verdana" w:cs="Verdana"/>
                <w:color w:val="FF0000"/>
                <w:sz w:val="21"/>
                <w:szCs w:val="21"/>
              </w:rPr>
            </w:pPr>
            <w:r>
              <w:rPr>
                <w:rFonts w:ascii="Verdana" w:eastAsia="Verdana" w:hAnsi="Verdana" w:cs="Verdana"/>
                <w:sz w:val="21"/>
                <w:szCs w:val="21"/>
              </w:rPr>
              <w:t>Customers should be able to grant persistent authorisation. They should also be able to limit the authorisation period at their discretion, revoke authorisation through the third-party service or via the data holder and be notified periodically they are st</w:t>
            </w:r>
            <w:r>
              <w:rPr>
                <w:rFonts w:ascii="Verdana" w:eastAsia="Verdana" w:hAnsi="Verdana" w:cs="Verdana"/>
                <w:sz w:val="21"/>
                <w:szCs w:val="21"/>
              </w:rPr>
              <w:t xml:space="preserve">ill sharing their information. </w:t>
            </w:r>
            <w:r>
              <w:rPr>
                <w:rFonts w:ascii="Verdana" w:eastAsia="Verdana" w:hAnsi="Verdana" w:cs="Verdana"/>
                <w:b/>
                <w:color w:val="CC0000"/>
                <w:sz w:val="21"/>
                <w:szCs w:val="21"/>
              </w:rPr>
              <w:t>All authorisations should expire after a set period</w:t>
            </w:r>
            <w:r>
              <w:rPr>
                <w:rFonts w:ascii="Verdana" w:eastAsia="Verdana" w:hAnsi="Verdana" w:cs="Verdana"/>
                <w:sz w:val="21"/>
                <w:szCs w:val="21"/>
              </w:rPr>
              <w:t>.</w:t>
            </w:r>
          </w:p>
        </w:tc>
      </w:tr>
    </w:tbl>
    <w:p w14:paraId="3C2C9D30" w14:textId="77777777" w:rsidR="009D01F2" w:rsidRDefault="009D01F2">
      <w:pPr>
        <w:rPr>
          <w:rFonts w:ascii="Verdana" w:eastAsia="Verdana" w:hAnsi="Verdana" w:cs="Verdana"/>
        </w:rPr>
      </w:pPr>
    </w:p>
    <w:p w14:paraId="1697200B"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Moneytree agrees with almost the entirety of this recommendation. However, we believe that is important for users to have the option to specify that third-party services may retrieve data on an ongoing basis and without expiring access. </w:t>
      </w:r>
    </w:p>
    <w:p w14:paraId="3EB50529" w14:textId="77777777" w:rsidR="009D01F2" w:rsidRDefault="009D01F2">
      <w:pPr>
        <w:rPr>
          <w:rFonts w:ascii="Verdana" w:eastAsia="Verdana" w:hAnsi="Verdana" w:cs="Verdana"/>
          <w:sz w:val="21"/>
          <w:szCs w:val="21"/>
        </w:rPr>
      </w:pPr>
    </w:p>
    <w:p w14:paraId="4193D474" w14:textId="77777777" w:rsidR="009D01F2" w:rsidRDefault="00A72DC0">
      <w:pPr>
        <w:rPr>
          <w:rFonts w:ascii="Verdana" w:eastAsia="Verdana" w:hAnsi="Verdana" w:cs="Verdana"/>
          <w:sz w:val="21"/>
          <w:szCs w:val="21"/>
        </w:rPr>
      </w:pPr>
      <w:r>
        <w:rPr>
          <w:rFonts w:ascii="Verdana" w:eastAsia="Verdana" w:hAnsi="Verdana" w:cs="Verdana"/>
          <w:sz w:val="21"/>
          <w:szCs w:val="21"/>
        </w:rPr>
        <w:t>In our experience</w:t>
      </w:r>
      <w:r>
        <w:rPr>
          <w:rFonts w:ascii="Verdana" w:eastAsia="Verdana" w:hAnsi="Verdana" w:cs="Verdana"/>
          <w:sz w:val="21"/>
          <w:szCs w:val="21"/>
        </w:rPr>
        <w:t>, as a provider of financial data aggregation to nearly 2M bank customers in Japan, we are well aware of the high hurdle involved in requiring users to connect multiple financial institutions just to enjoy a new service. Enforcing expiry after a set period</w:t>
      </w:r>
      <w:r>
        <w:rPr>
          <w:rFonts w:ascii="Verdana" w:eastAsia="Verdana" w:hAnsi="Verdana" w:cs="Verdana"/>
          <w:sz w:val="21"/>
          <w:szCs w:val="21"/>
        </w:rPr>
        <w:t xml:space="preserve"> in all cases will lead to confusion among users as services simply stop functioning after unclearly defined periods. This would have the unintended effect of enforcing the status quo, and undermining the competition objective of Open Banking.</w:t>
      </w:r>
    </w:p>
    <w:p w14:paraId="5F4A48D2" w14:textId="77777777" w:rsidR="009D01F2" w:rsidRDefault="009D01F2">
      <w:pPr>
        <w:rPr>
          <w:rFonts w:ascii="Verdana" w:eastAsia="Verdana" w:hAnsi="Verdana" w:cs="Verdana"/>
          <w:sz w:val="21"/>
          <w:szCs w:val="21"/>
        </w:rPr>
      </w:pPr>
    </w:p>
    <w:p w14:paraId="3FD88298" w14:textId="77777777" w:rsidR="009D01F2" w:rsidRDefault="00A72DC0">
      <w:pPr>
        <w:rPr>
          <w:rFonts w:ascii="Verdana" w:eastAsia="Verdana" w:hAnsi="Verdana" w:cs="Verdana"/>
          <w:sz w:val="21"/>
          <w:szCs w:val="21"/>
        </w:rPr>
      </w:pPr>
      <w:r>
        <w:rPr>
          <w:rFonts w:ascii="Verdana" w:eastAsia="Verdana" w:hAnsi="Verdana" w:cs="Verdana"/>
          <w:sz w:val="21"/>
          <w:szCs w:val="21"/>
        </w:rPr>
        <w:t>Instead, we</w:t>
      </w:r>
      <w:r>
        <w:rPr>
          <w:rFonts w:ascii="Verdana" w:eastAsia="Verdana" w:hAnsi="Verdana" w:cs="Verdana"/>
          <w:sz w:val="21"/>
          <w:szCs w:val="21"/>
        </w:rPr>
        <w:t xml:space="preserve"> recommend a more user centric approach, requiring data recipients to periodically notify users of continued access, and providing a readily accessible method to review and revoke connections.</w:t>
      </w:r>
    </w:p>
    <w:p w14:paraId="7016E70B" w14:textId="77777777" w:rsidR="009D01F2" w:rsidRDefault="009D01F2">
      <w:pPr>
        <w:rPr>
          <w:rFonts w:ascii="Verdana" w:eastAsia="Verdana" w:hAnsi="Verdana" w:cs="Verdana"/>
        </w:rPr>
      </w:pPr>
    </w:p>
    <w:p w14:paraId="39AA8B6E"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5EB3CD4E" w14:textId="77777777" w:rsidR="009D01F2" w:rsidRDefault="00A72DC0">
      <w:pPr>
        <w:rPr>
          <w:rFonts w:ascii="Verdana" w:eastAsia="Verdana" w:hAnsi="Verdana" w:cs="Verdana"/>
          <w:b/>
          <w:sz w:val="21"/>
          <w:szCs w:val="21"/>
        </w:rPr>
      </w:pPr>
      <w:r>
        <w:rPr>
          <w:rFonts w:ascii="Verdana" w:eastAsia="Verdana" w:hAnsi="Verdana" w:cs="Verdana"/>
          <w:b/>
          <w:color w:val="134F5C"/>
          <w:sz w:val="21"/>
          <w:szCs w:val="21"/>
          <w:u w:val="single"/>
        </w:rPr>
        <w:t>Comment 5</w:t>
      </w:r>
    </w:p>
    <w:p w14:paraId="32D81B14" w14:textId="77777777" w:rsidR="009D01F2" w:rsidRDefault="009D01F2">
      <w:pPr>
        <w:rPr>
          <w:rFonts w:ascii="Verdana" w:eastAsia="Verdana" w:hAnsi="Verdana" w:cs="Verdana"/>
        </w:rPr>
      </w:pPr>
    </w:p>
    <w:tbl>
      <w:tblPr>
        <w:tblStyle w:val="a4"/>
        <w:tblW w:w="901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15"/>
      </w:tblGrid>
      <w:tr w:rsidR="009D01F2" w14:paraId="65183753" w14:textId="77777777">
        <w:trPr>
          <w:trHeight w:val="440"/>
        </w:trPr>
        <w:tc>
          <w:tcPr>
            <w:tcW w:w="9015" w:type="dxa"/>
            <w:tcBorders>
              <w:top w:val="single" w:sz="8" w:space="0" w:color="000000"/>
              <w:left w:val="single" w:sz="8" w:space="0" w:color="000000"/>
              <w:bottom w:val="single" w:sz="8" w:space="0" w:color="000000"/>
              <w:right w:val="single" w:sz="8" w:space="0" w:color="000000"/>
            </w:tcBorders>
            <w:shd w:val="clear" w:color="auto" w:fill="134F5C"/>
            <w:tcMar>
              <w:top w:w="100" w:type="dxa"/>
              <w:left w:w="100" w:type="dxa"/>
              <w:bottom w:w="100" w:type="dxa"/>
              <w:right w:w="100" w:type="dxa"/>
            </w:tcMar>
          </w:tcPr>
          <w:p w14:paraId="27939DC4" w14:textId="77777777" w:rsidR="009D01F2" w:rsidRDefault="00A72DC0">
            <w:pPr>
              <w:ind w:left="100"/>
              <w:rPr>
                <w:rFonts w:ascii="Verdana" w:eastAsia="Verdana" w:hAnsi="Verdana" w:cs="Verdana"/>
                <w:b/>
                <w:color w:val="F3F3F3"/>
                <w:sz w:val="21"/>
                <w:szCs w:val="21"/>
              </w:rPr>
            </w:pPr>
            <w:r>
              <w:rPr>
                <w:rFonts w:ascii="Verdana" w:eastAsia="Verdana" w:hAnsi="Verdana" w:cs="Verdana"/>
                <w:b/>
                <w:color w:val="F3F3F3"/>
                <w:sz w:val="21"/>
                <w:szCs w:val="21"/>
              </w:rPr>
              <w:t>Re. recommendation 5.10 – access frequency (p.91)</w:t>
            </w:r>
          </w:p>
        </w:tc>
      </w:tr>
      <w:tr w:rsidR="009D01F2" w14:paraId="02826026" w14:textId="77777777">
        <w:trPr>
          <w:trHeight w:val="680"/>
        </w:trPr>
        <w:tc>
          <w:tcPr>
            <w:tcW w:w="9015"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D0F6429" w14:textId="77777777" w:rsidR="009D01F2" w:rsidRDefault="00A72DC0">
            <w:pPr>
              <w:ind w:left="100"/>
              <w:rPr>
                <w:rFonts w:ascii="Verdana" w:eastAsia="Verdana" w:hAnsi="Verdana" w:cs="Verdana"/>
                <w:sz w:val="21"/>
                <w:szCs w:val="21"/>
              </w:rPr>
            </w:pPr>
            <w:r>
              <w:rPr>
                <w:rFonts w:ascii="Verdana" w:eastAsia="Verdana" w:hAnsi="Verdana" w:cs="Verdana"/>
                <w:sz w:val="21"/>
                <w:szCs w:val="21"/>
              </w:rPr>
              <w:t xml:space="preserve">The Data Standards Body should determine how to </w:t>
            </w:r>
            <w:r>
              <w:rPr>
                <w:rFonts w:ascii="Verdana" w:eastAsia="Verdana" w:hAnsi="Verdana" w:cs="Verdana"/>
                <w:b/>
                <w:color w:val="FF0000"/>
                <w:sz w:val="21"/>
                <w:szCs w:val="21"/>
              </w:rPr>
              <w:t xml:space="preserve">limit </w:t>
            </w:r>
            <w:r>
              <w:rPr>
                <w:rFonts w:ascii="Verdana" w:eastAsia="Verdana" w:hAnsi="Verdana" w:cs="Verdana"/>
                <w:sz w:val="21"/>
                <w:szCs w:val="21"/>
              </w:rPr>
              <w:t>the number of data requests that can be made.</w:t>
            </w:r>
          </w:p>
        </w:tc>
      </w:tr>
    </w:tbl>
    <w:p w14:paraId="5EAF50F8" w14:textId="77777777" w:rsidR="009D01F2" w:rsidRDefault="009D01F2">
      <w:pPr>
        <w:rPr>
          <w:rFonts w:ascii="Verdana" w:eastAsia="Verdana" w:hAnsi="Verdana" w:cs="Verdana"/>
          <w:sz w:val="21"/>
          <w:szCs w:val="21"/>
        </w:rPr>
      </w:pPr>
    </w:p>
    <w:p w14:paraId="06C218A9"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Third party initiated data </w:t>
      </w:r>
      <w:r>
        <w:rPr>
          <w:rFonts w:ascii="Verdana" w:eastAsia="Verdana" w:hAnsi="Verdana" w:cs="Verdana"/>
          <w:sz w:val="21"/>
          <w:szCs w:val="21"/>
        </w:rPr>
        <w:t>requests should not be any less frequent than the current standard in the European Union, which is four times a day. Different business models require more frequent access to data, and setting the maximum frequency too low could hamper the development of s</w:t>
      </w:r>
      <w:r>
        <w:rPr>
          <w:rFonts w:ascii="Verdana" w:eastAsia="Verdana" w:hAnsi="Verdana" w:cs="Verdana"/>
          <w:sz w:val="21"/>
          <w:szCs w:val="21"/>
        </w:rPr>
        <w:t>ome existing, and yet to be discovered future, business models.</w:t>
      </w:r>
    </w:p>
    <w:p w14:paraId="5F38B85A" w14:textId="77777777" w:rsidR="009D01F2" w:rsidRDefault="009D01F2">
      <w:pPr>
        <w:rPr>
          <w:rFonts w:ascii="Verdana" w:eastAsia="Verdana" w:hAnsi="Verdana" w:cs="Verdana"/>
          <w:sz w:val="21"/>
          <w:szCs w:val="21"/>
        </w:rPr>
      </w:pPr>
    </w:p>
    <w:p w14:paraId="1E052DF0" w14:textId="77777777" w:rsidR="009D01F2" w:rsidRDefault="009D01F2">
      <w:pPr>
        <w:rPr>
          <w:rFonts w:ascii="Verdana" w:eastAsia="Verdana" w:hAnsi="Verdana" w:cs="Verdana"/>
          <w:b/>
          <w:color w:val="073763"/>
          <w:sz w:val="21"/>
          <w:szCs w:val="21"/>
        </w:rPr>
      </w:pPr>
    </w:p>
    <w:p w14:paraId="47C0107A" w14:textId="77777777" w:rsidR="009D01F2" w:rsidRDefault="009D01F2">
      <w:pPr>
        <w:rPr>
          <w:rFonts w:ascii="Verdana" w:eastAsia="Verdana" w:hAnsi="Verdana" w:cs="Verdana"/>
          <w:b/>
          <w:color w:val="073763"/>
          <w:sz w:val="21"/>
          <w:szCs w:val="21"/>
        </w:rPr>
      </w:pPr>
    </w:p>
    <w:p w14:paraId="2E44EC51" w14:textId="77777777" w:rsidR="009D01F2" w:rsidRDefault="009D01F2">
      <w:pPr>
        <w:rPr>
          <w:rFonts w:ascii="Verdana" w:eastAsia="Verdana" w:hAnsi="Verdana" w:cs="Verdana"/>
          <w:b/>
          <w:color w:val="073763"/>
          <w:sz w:val="21"/>
          <w:szCs w:val="21"/>
        </w:rPr>
      </w:pPr>
    </w:p>
    <w:p w14:paraId="252AAAA8" w14:textId="77777777" w:rsidR="009D01F2" w:rsidRDefault="009D01F2">
      <w:pPr>
        <w:rPr>
          <w:rFonts w:ascii="Verdana" w:eastAsia="Verdana" w:hAnsi="Verdana" w:cs="Verdana"/>
          <w:b/>
          <w:color w:val="073763"/>
          <w:sz w:val="21"/>
          <w:szCs w:val="21"/>
        </w:rPr>
      </w:pPr>
    </w:p>
    <w:p w14:paraId="70E1B097" w14:textId="77777777" w:rsidR="009D01F2" w:rsidRDefault="009D01F2">
      <w:pPr>
        <w:rPr>
          <w:rFonts w:ascii="Verdana" w:eastAsia="Verdana" w:hAnsi="Verdana" w:cs="Verdana"/>
          <w:b/>
          <w:color w:val="073763"/>
          <w:sz w:val="21"/>
          <w:szCs w:val="21"/>
        </w:rPr>
      </w:pPr>
    </w:p>
    <w:p w14:paraId="50AAE28A" w14:textId="77777777" w:rsidR="009D01F2" w:rsidRDefault="00A72DC0">
      <w:pPr>
        <w:rPr>
          <w:rFonts w:ascii="Verdana" w:eastAsia="Verdana" w:hAnsi="Verdana" w:cs="Verdana"/>
          <w:b/>
          <w:sz w:val="21"/>
          <w:szCs w:val="21"/>
        </w:rPr>
      </w:pPr>
      <w:bookmarkStart w:id="0" w:name="_GoBack"/>
      <w:bookmarkEnd w:id="0"/>
      <w:r>
        <w:rPr>
          <w:rFonts w:ascii="Verdana" w:eastAsia="Verdana" w:hAnsi="Verdana" w:cs="Verdana"/>
          <w:b/>
          <w:color w:val="134F5C"/>
          <w:sz w:val="21"/>
          <w:szCs w:val="21"/>
          <w:u w:val="single"/>
        </w:rPr>
        <w:lastRenderedPageBreak/>
        <w:t>Comment 6</w:t>
      </w:r>
    </w:p>
    <w:p w14:paraId="46C19E00" w14:textId="77777777" w:rsidR="009D01F2" w:rsidRDefault="009D01F2">
      <w:pPr>
        <w:rPr>
          <w:rFonts w:ascii="Verdana" w:eastAsia="Verdana" w:hAnsi="Verdana" w:cs="Verdana"/>
          <w:b/>
          <w:color w:val="073763"/>
          <w:sz w:val="21"/>
          <w:szCs w:val="21"/>
        </w:rPr>
      </w:pPr>
    </w:p>
    <w:tbl>
      <w:tblPr>
        <w:tblStyle w:val="a5"/>
        <w:tblW w:w="901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15"/>
      </w:tblGrid>
      <w:tr w:rsidR="009D01F2" w14:paraId="39A4A22C" w14:textId="77777777">
        <w:trPr>
          <w:trHeight w:val="440"/>
        </w:trPr>
        <w:tc>
          <w:tcPr>
            <w:tcW w:w="9015" w:type="dxa"/>
            <w:tcBorders>
              <w:top w:val="single" w:sz="8" w:space="0" w:color="000000"/>
              <w:left w:val="single" w:sz="8" w:space="0" w:color="000000"/>
              <w:bottom w:val="single" w:sz="8" w:space="0" w:color="000000"/>
              <w:right w:val="single" w:sz="8" w:space="0" w:color="000000"/>
            </w:tcBorders>
            <w:shd w:val="clear" w:color="auto" w:fill="134F5C"/>
            <w:tcMar>
              <w:top w:w="100" w:type="dxa"/>
              <w:left w:w="100" w:type="dxa"/>
              <w:bottom w:w="100" w:type="dxa"/>
              <w:right w:w="100" w:type="dxa"/>
            </w:tcMar>
          </w:tcPr>
          <w:p w14:paraId="0CD745FD" w14:textId="77777777" w:rsidR="009D01F2" w:rsidRDefault="00A72DC0">
            <w:pPr>
              <w:ind w:left="100"/>
              <w:rPr>
                <w:rFonts w:ascii="Verdana" w:eastAsia="Verdana" w:hAnsi="Verdana" w:cs="Verdana"/>
                <w:b/>
                <w:color w:val="F3F3F3"/>
                <w:sz w:val="21"/>
                <w:szCs w:val="21"/>
              </w:rPr>
            </w:pPr>
            <w:r>
              <w:rPr>
                <w:rFonts w:ascii="Verdana" w:eastAsia="Verdana" w:hAnsi="Verdana" w:cs="Verdana"/>
                <w:b/>
                <w:color w:val="F3F3F3"/>
                <w:sz w:val="21"/>
                <w:szCs w:val="21"/>
              </w:rPr>
              <w:t>Re. recommendation 5.11 – transparency</w:t>
            </w:r>
          </w:p>
        </w:tc>
      </w:tr>
      <w:tr w:rsidR="009D01F2" w14:paraId="00E8236E" w14:textId="77777777">
        <w:trPr>
          <w:trHeight w:val="920"/>
        </w:trPr>
        <w:tc>
          <w:tcPr>
            <w:tcW w:w="9015"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BEE52B7" w14:textId="77777777" w:rsidR="009D01F2" w:rsidRDefault="00A72DC0">
            <w:pPr>
              <w:ind w:left="100"/>
              <w:rPr>
                <w:rFonts w:ascii="Verdana" w:eastAsia="Verdana" w:hAnsi="Verdana" w:cs="Verdana"/>
                <w:sz w:val="21"/>
                <w:szCs w:val="21"/>
              </w:rPr>
            </w:pPr>
            <w:r>
              <w:rPr>
                <w:rFonts w:ascii="Verdana" w:eastAsia="Verdana" w:hAnsi="Verdana" w:cs="Verdana"/>
                <w:sz w:val="21"/>
                <w:szCs w:val="21"/>
              </w:rPr>
              <w:t xml:space="preserve">Customers should be able to access a record of their usage history and data holders should keep </w:t>
            </w:r>
            <w:r>
              <w:rPr>
                <w:rFonts w:ascii="Verdana" w:eastAsia="Verdana" w:hAnsi="Verdana" w:cs="Verdana"/>
                <w:b/>
                <w:color w:val="FF0000"/>
                <w:sz w:val="21"/>
                <w:szCs w:val="21"/>
              </w:rPr>
              <w:t>records of the performance of their API</w:t>
            </w:r>
            <w:r>
              <w:rPr>
                <w:rFonts w:ascii="Verdana" w:eastAsia="Verdana" w:hAnsi="Verdana" w:cs="Verdana"/>
                <w:sz w:val="21"/>
                <w:szCs w:val="21"/>
              </w:rPr>
              <w:t xml:space="preserve"> that can be supplied to the regulator as needed.</w:t>
            </w:r>
          </w:p>
        </w:tc>
      </w:tr>
    </w:tbl>
    <w:p w14:paraId="64A3EAA1" w14:textId="77777777" w:rsidR="009D01F2" w:rsidRDefault="009D01F2">
      <w:pPr>
        <w:rPr>
          <w:rFonts w:ascii="Verdana" w:eastAsia="Verdana" w:hAnsi="Verdana" w:cs="Verdana"/>
          <w:b/>
          <w:color w:val="134F5C"/>
          <w:sz w:val="21"/>
          <w:szCs w:val="21"/>
          <w:u w:val="single"/>
        </w:rPr>
      </w:pPr>
    </w:p>
    <w:p w14:paraId="7F6D211D"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We request clarification on what constitutes “records of the performance of their APIs.” Does this definition include </w:t>
      </w:r>
      <w:r>
        <w:rPr>
          <w:rFonts w:ascii="Verdana" w:eastAsia="Verdana" w:hAnsi="Verdana" w:cs="Verdana"/>
          <w:sz w:val="21"/>
          <w:szCs w:val="21"/>
        </w:rPr>
        <w:t xml:space="preserve">usage history? In the case that this is a list of ‘who’ an Open Banking participant has authorised for ‘what’ and ‘when’, this should be easy to develop and maintain. </w:t>
      </w:r>
    </w:p>
    <w:p w14:paraId="189C6028" w14:textId="77777777" w:rsidR="009D01F2" w:rsidRDefault="009D01F2">
      <w:pPr>
        <w:rPr>
          <w:rFonts w:ascii="Verdana" w:eastAsia="Verdana" w:hAnsi="Verdana" w:cs="Verdana"/>
          <w:sz w:val="21"/>
          <w:szCs w:val="21"/>
        </w:rPr>
      </w:pPr>
    </w:p>
    <w:p w14:paraId="42219381" w14:textId="77777777" w:rsidR="009D01F2" w:rsidRDefault="00A72DC0">
      <w:pPr>
        <w:rPr>
          <w:rFonts w:ascii="Verdana" w:eastAsia="Verdana" w:hAnsi="Verdana" w:cs="Verdana"/>
          <w:sz w:val="21"/>
          <w:szCs w:val="21"/>
        </w:rPr>
      </w:pPr>
      <w:r>
        <w:rPr>
          <w:rFonts w:ascii="Verdana" w:eastAsia="Verdana" w:hAnsi="Verdana" w:cs="Verdana"/>
          <w:sz w:val="21"/>
          <w:szCs w:val="21"/>
        </w:rPr>
        <w:t>However, if the recommendation requires a complete list of every API level access for e</w:t>
      </w:r>
      <w:r>
        <w:rPr>
          <w:rFonts w:ascii="Verdana" w:eastAsia="Verdana" w:hAnsi="Verdana" w:cs="Verdana"/>
          <w:sz w:val="21"/>
          <w:szCs w:val="21"/>
        </w:rPr>
        <w:t>ach bank customer (presumably subject to seven years data retention) being delivered via API (which we presume under 'subject to the Customer Data Right and capable of being shared with third parties'); there would be a heavy burden on participants, and th</w:t>
      </w:r>
      <w:r>
        <w:rPr>
          <w:rFonts w:ascii="Verdana" w:eastAsia="Verdana" w:hAnsi="Verdana" w:cs="Verdana"/>
          <w:sz w:val="21"/>
          <w:szCs w:val="21"/>
        </w:rPr>
        <w:t>us suggest the elimination of such obligation.</w:t>
      </w:r>
    </w:p>
    <w:p w14:paraId="1D24A5D0" w14:textId="77777777" w:rsidR="009D01F2" w:rsidRDefault="009D01F2">
      <w:pPr>
        <w:rPr>
          <w:rFonts w:ascii="Verdana" w:eastAsia="Verdana" w:hAnsi="Verdana" w:cs="Verdana"/>
        </w:rPr>
      </w:pPr>
    </w:p>
    <w:p w14:paraId="21F9F042" w14:textId="77777777" w:rsidR="009D01F2" w:rsidRDefault="009D01F2">
      <w:pPr>
        <w:rPr>
          <w:rFonts w:ascii="Verdana" w:eastAsia="Verdana" w:hAnsi="Verdana" w:cs="Verdana"/>
        </w:rPr>
      </w:pPr>
    </w:p>
    <w:p w14:paraId="0C82E9B3" w14:textId="77777777" w:rsidR="009D01F2" w:rsidRDefault="00A72DC0">
      <w:pPr>
        <w:rPr>
          <w:rFonts w:ascii="Verdana" w:eastAsia="Verdana" w:hAnsi="Verdana" w:cs="Verdana"/>
        </w:rPr>
      </w:pPr>
      <w:r>
        <w:rPr>
          <w:rFonts w:ascii="Verdana" w:eastAsia="Verdana" w:hAnsi="Verdana" w:cs="Verdana"/>
          <w:b/>
          <w:color w:val="134F5C"/>
          <w:sz w:val="21"/>
          <w:szCs w:val="21"/>
          <w:u w:val="single"/>
        </w:rPr>
        <w:t>Comment 7</w:t>
      </w:r>
    </w:p>
    <w:p w14:paraId="154C23B7" w14:textId="77777777" w:rsidR="009D01F2" w:rsidRDefault="009D01F2">
      <w:pPr>
        <w:rPr>
          <w:rFonts w:ascii="Verdana" w:eastAsia="Verdana" w:hAnsi="Verdana" w:cs="Verdana"/>
        </w:rPr>
      </w:pPr>
    </w:p>
    <w:p w14:paraId="2502D2FD" w14:textId="77777777" w:rsidR="009D01F2" w:rsidRDefault="00A72DC0">
      <w:pPr>
        <w:rPr>
          <w:rFonts w:ascii="Verdana" w:eastAsia="Verdana" w:hAnsi="Verdana" w:cs="Verdana"/>
          <w:b/>
          <w:sz w:val="21"/>
          <w:szCs w:val="21"/>
        </w:rPr>
      </w:pPr>
      <w:r>
        <w:rPr>
          <w:rFonts w:ascii="Verdana" w:eastAsia="Verdana" w:hAnsi="Verdana" w:cs="Verdana"/>
          <w:b/>
          <w:sz w:val="21"/>
          <w:szCs w:val="21"/>
        </w:rPr>
        <w:t>Additional considerations on the data transfer mechanism (Chapter 5)</w:t>
      </w:r>
    </w:p>
    <w:p w14:paraId="7864ED87" w14:textId="77777777" w:rsidR="009D01F2" w:rsidRDefault="009D01F2">
      <w:pPr>
        <w:rPr>
          <w:rFonts w:ascii="Verdana" w:eastAsia="Verdana" w:hAnsi="Verdana" w:cs="Verdana"/>
          <w:sz w:val="21"/>
          <w:szCs w:val="21"/>
        </w:rPr>
      </w:pPr>
    </w:p>
    <w:p w14:paraId="52F94808"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On page 84, the draft proposal on Open Banking says: </w:t>
      </w:r>
    </w:p>
    <w:p w14:paraId="404D3BA4" w14:textId="77777777" w:rsidR="009D01F2" w:rsidRDefault="009D01F2">
      <w:pPr>
        <w:rPr>
          <w:rFonts w:ascii="Verdana" w:eastAsia="Verdana" w:hAnsi="Verdana" w:cs="Verdana"/>
          <w:sz w:val="21"/>
          <w:szCs w:val="21"/>
        </w:rPr>
      </w:pPr>
    </w:p>
    <w:p w14:paraId="6DF5C928" w14:textId="77777777" w:rsidR="009D01F2" w:rsidRDefault="00A72DC0">
      <w:pPr>
        <w:ind w:left="720"/>
        <w:rPr>
          <w:rFonts w:ascii="Verdana" w:eastAsia="Verdana" w:hAnsi="Verdana" w:cs="Verdana"/>
          <w:i/>
          <w:sz w:val="21"/>
          <w:szCs w:val="21"/>
        </w:rPr>
      </w:pPr>
      <w:r>
        <w:rPr>
          <w:rFonts w:ascii="Verdana" w:eastAsia="Verdana" w:hAnsi="Verdana" w:cs="Verdana"/>
          <w:i/>
          <w:sz w:val="21"/>
          <w:szCs w:val="21"/>
        </w:rPr>
        <w:t>“This Review does not make any recommendation that the Government should endorse screenscraping. However, banning it would remove an important market-based check on the design of Open Banking”.</w:t>
      </w:r>
    </w:p>
    <w:p w14:paraId="093307C9" w14:textId="77777777" w:rsidR="009D01F2" w:rsidRDefault="009D01F2">
      <w:pPr>
        <w:rPr>
          <w:rFonts w:ascii="Verdana" w:eastAsia="Verdana" w:hAnsi="Verdana" w:cs="Verdana"/>
          <w:sz w:val="21"/>
          <w:szCs w:val="21"/>
        </w:rPr>
      </w:pPr>
    </w:p>
    <w:p w14:paraId="05BE4E10" w14:textId="77777777" w:rsidR="009D01F2" w:rsidRDefault="00A72DC0">
      <w:pPr>
        <w:rPr>
          <w:rFonts w:ascii="Verdana" w:eastAsia="Verdana" w:hAnsi="Verdana" w:cs="Verdana"/>
          <w:sz w:val="21"/>
          <w:szCs w:val="21"/>
        </w:rPr>
      </w:pPr>
      <w:r>
        <w:rPr>
          <w:rFonts w:ascii="Verdana" w:eastAsia="Verdana" w:hAnsi="Verdana" w:cs="Verdana"/>
          <w:sz w:val="21"/>
          <w:szCs w:val="21"/>
        </w:rPr>
        <w:t>Our company strongly agrees with this approach. In Japan, Ope</w:t>
      </w:r>
      <w:r>
        <w:rPr>
          <w:rFonts w:ascii="Verdana" w:eastAsia="Verdana" w:hAnsi="Verdana" w:cs="Verdana"/>
          <w:sz w:val="21"/>
          <w:szCs w:val="21"/>
        </w:rPr>
        <w:t>n Banking is setting  a 2-year transition period from the commencement date, by which time banks must comply with providing an approved method of access. From a practical viewpoint, we believe this period is too short a period for all banks to comply.</w:t>
      </w:r>
    </w:p>
    <w:p w14:paraId="70C57D72" w14:textId="77777777" w:rsidR="009D01F2" w:rsidRDefault="009D01F2">
      <w:pPr>
        <w:rPr>
          <w:rFonts w:ascii="Verdana" w:eastAsia="Verdana" w:hAnsi="Verdana" w:cs="Verdana"/>
          <w:sz w:val="21"/>
          <w:szCs w:val="21"/>
        </w:rPr>
      </w:pPr>
    </w:p>
    <w:p w14:paraId="636A831C"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In </w:t>
      </w:r>
      <w:r>
        <w:rPr>
          <w:rFonts w:ascii="Verdana" w:eastAsia="Verdana" w:hAnsi="Verdana" w:cs="Verdana"/>
          <w:sz w:val="21"/>
          <w:szCs w:val="21"/>
        </w:rPr>
        <w:t>Australia under the proposals, an overly aggressive transition schedule could lead to banks pushing for short cuts or exclusions in the data standards in order to meet the deadline. Such actions would necessarily limit the scope of data available, and thus</w:t>
      </w:r>
      <w:r>
        <w:rPr>
          <w:rFonts w:ascii="Verdana" w:eastAsia="Verdana" w:hAnsi="Verdana" w:cs="Verdana"/>
          <w:sz w:val="21"/>
          <w:szCs w:val="21"/>
        </w:rPr>
        <w:t xml:space="preserve"> limit third-party business optionality. Once again, phasing the implementation would mitigate the risks of this occurring.</w:t>
      </w:r>
    </w:p>
    <w:p w14:paraId="0834BD64" w14:textId="77777777" w:rsidR="009D01F2" w:rsidRDefault="009D01F2">
      <w:pPr>
        <w:rPr>
          <w:rFonts w:ascii="Verdana" w:eastAsia="Verdana" w:hAnsi="Verdana" w:cs="Verdana"/>
          <w:sz w:val="21"/>
          <w:szCs w:val="21"/>
        </w:rPr>
      </w:pPr>
    </w:p>
    <w:p w14:paraId="6A524E3D" w14:textId="77777777" w:rsidR="009D01F2" w:rsidRDefault="009D01F2">
      <w:pPr>
        <w:rPr>
          <w:rFonts w:ascii="Verdana" w:eastAsia="Verdana" w:hAnsi="Verdana" w:cs="Verdana"/>
          <w:sz w:val="21"/>
          <w:szCs w:val="21"/>
        </w:rPr>
      </w:pPr>
    </w:p>
    <w:p w14:paraId="72905ABD" w14:textId="77777777" w:rsidR="009D01F2" w:rsidRDefault="009D01F2">
      <w:pPr>
        <w:rPr>
          <w:rFonts w:ascii="Verdana" w:eastAsia="Verdana" w:hAnsi="Verdana" w:cs="Verdana"/>
        </w:rPr>
      </w:pPr>
    </w:p>
    <w:p w14:paraId="26F60A09" w14:textId="77777777" w:rsidR="009D01F2" w:rsidRDefault="009D01F2">
      <w:pPr>
        <w:rPr>
          <w:rFonts w:ascii="Verdana" w:eastAsia="Verdana" w:hAnsi="Verdana" w:cs="Verdana"/>
        </w:rPr>
      </w:pPr>
    </w:p>
    <w:p w14:paraId="47EBBB09" w14:textId="77777777" w:rsidR="009D01F2" w:rsidRDefault="009D01F2">
      <w:pPr>
        <w:rPr>
          <w:rFonts w:ascii="Verdana" w:eastAsia="Verdana" w:hAnsi="Verdana" w:cs="Verdana"/>
          <w:b/>
        </w:rPr>
      </w:pPr>
    </w:p>
    <w:p w14:paraId="397311DA" w14:textId="77777777" w:rsidR="009D01F2" w:rsidRPr="00540D68" w:rsidRDefault="00A72DC0">
      <w:pPr>
        <w:rPr>
          <w:rFonts w:ascii="Verdana" w:eastAsia="Verdana" w:hAnsi="Verdana" w:cs="Verdana"/>
          <w:b/>
        </w:rPr>
      </w:pPr>
      <w:r>
        <w:br w:type="page"/>
      </w:r>
      <w:r>
        <w:rPr>
          <w:rFonts w:ascii="Verdana" w:eastAsia="Verdana" w:hAnsi="Verdana" w:cs="Verdana"/>
          <w:b/>
          <w:sz w:val="21"/>
          <w:szCs w:val="21"/>
        </w:rPr>
        <w:lastRenderedPageBreak/>
        <w:t>Conclusion</w:t>
      </w:r>
    </w:p>
    <w:p w14:paraId="0E8099E9"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 </w:t>
      </w:r>
    </w:p>
    <w:p w14:paraId="769D3E95" w14:textId="77777777" w:rsidR="009D01F2" w:rsidRDefault="00A72DC0">
      <w:pPr>
        <w:rPr>
          <w:rFonts w:ascii="Verdana" w:eastAsia="Verdana" w:hAnsi="Verdana" w:cs="Verdana"/>
          <w:sz w:val="21"/>
          <w:szCs w:val="21"/>
        </w:rPr>
      </w:pPr>
      <w:r>
        <w:rPr>
          <w:rFonts w:ascii="Verdana" w:eastAsia="Verdana" w:hAnsi="Verdana" w:cs="Verdana"/>
          <w:sz w:val="21"/>
          <w:szCs w:val="21"/>
        </w:rPr>
        <w:t>It is Moneytree’s view that the majority of the recommendations contained in the Report are well considered and headed in the right direction. In our comments above, we elected to focus on specific recommendations from the Report that should be reconsidere</w:t>
      </w:r>
      <w:r>
        <w:rPr>
          <w:rFonts w:ascii="Verdana" w:eastAsia="Verdana" w:hAnsi="Verdana" w:cs="Verdana"/>
          <w:sz w:val="21"/>
          <w:szCs w:val="21"/>
        </w:rPr>
        <w:t>d as a priority prior to implementation.</w:t>
      </w:r>
    </w:p>
    <w:p w14:paraId="0976CA26" w14:textId="77777777" w:rsidR="009D01F2" w:rsidRDefault="009D01F2">
      <w:pPr>
        <w:rPr>
          <w:rFonts w:ascii="Verdana" w:eastAsia="Verdana" w:hAnsi="Verdana" w:cs="Verdana"/>
          <w:sz w:val="21"/>
          <w:szCs w:val="21"/>
        </w:rPr>
      </w:pPr>
    </w:p>
    <w:p w14:paraId="2D35DC90" w14:textId="77777777" w:rsidR="009D01F2" w:rsidRDefault="00A72DC0">
      <w:pPr>
        <w:rPr>
          <w:rFonts w:ascii="Verdana" w:eastAsia="Verdana" w:hAnsi="Verdana" w:cs="Verdana"/>
          <w:sz w:val="21"/>
          <w:szCs w:val="21"/>
        </w:rPr>
      </w:pPr>
      <w:r>
        <w:rPr>
          <w:rFonts w:ascii="Verdana" w:eastAsia="Verdana" w:hAnsi="Verdana" w:cs="Verdana"/>
          <w:sz w:val="21"/>
          <w:szCs w:val="21"/>
        </w:rPr>
        <w:t>As a company with operations in Japan and Australia, we are privileged to participate in two Open Banking frameworks concurrently. The Japanese government passed legislation establishing an Open Banking framework i</w:t>
      </w:r>
      <w:r>
        <w:rPr>
          <w:rFonts w:ascii="Verdana" w:eastAsia="Verdana" w:hAnsi="Verdana" w:cs="Verdana"/>
          <w:sz w:val="21"/>
          <w:szCs w:val="21"/>
        </w:rPr>
        <w:t xml:space="preserve">n mid 2017, and it is due to commence from April 2018. In the lead up to this, Moneytree has providing its API service to more than 30 parties in Japan, including megabanks (the equivalent of Australia’s Big Four Banks), regional banks, Fintech companies, </w:t>
      </w:r>
      <w:r>
        <w:rPr>
          <w:rFonts w:ascii="Verdana" w:eastAsia="Verdana" w:hAnsi="Verdana" w:cs="Verdana"/>
          <w:sz w:val="21"/>
          <w:szCs w:val="21"/>
        </w:rPr>
        <w:t>major accounting software providers and ERP providers.</w:t>
      </w:r>
    </w:p>
    <w:p w14:paraId="065B421A" w14:textId="77777777" w:rsidR="009D01F2" w:rsidRDefault="009D01F2">
      <w:pPr>
        <w:rPr>
          <w:rFonts w:ascii="Verdana" w:eastAsia="Verdana" w:hAnsi="Verdana" w:cs="Verdana"/>
          <w:sz w:val="21"/>
          <w:szCs w:val="21"/>
        </w:rPr>
      </w:pPr>
    </w:p>
    <w:p w14:paraId="7603A55A" w14:textId="77777777" w:rsidR="009D01F2" w:rsidRDefault="00A72DC0">
      <w:pPr>
        <w:rPr>
          <w:rFonts w:ascii="Verdana" w:eastAsia="Verdana" w:hAnsi="Verdana" w:cs="Verdana"/>
          <w:sz w:val="21"/>
          <w:szCs w:val="21"/>
        </w:rPr>
      </w:pPr>
      <w:r>
        <w:rPr>
          <w:rFonts w:ascii="Verdana" w:eastAsia="Verdana" w:hAnsi="Verdana" w:cs="Verdana"/>
          <w:sz w:val="21"/>
          <w:szCs w:val="21"/>
        </w:rPr>
        <w:t>In addition to our experience and expertise in data management, we have considerable experience in the design of single-screen, customer consent mechanisms and developing a consistent customer-consent</w:t>
      </w:r>
      <w:r>
        <w:rPr>
          <w:rFonts w:ascii="Verdana" w:eastAsia="Verdana" w:hAnsi="Verdana" w:cs="Verdana"/>
          <w:sz w:val="21"/>
          <w:szCs w:val="21"/>
        </w:rPr>
        <w:t xml:space="preserve"> taxonomy (Safeguards contained in Chapter 4). We are happy to share this knowledge for the benefit of all participants in Australia. Given our relevant experience and expertise, as well as our neutral stance as a company working closely with banks and Fin</w:t>
      </w:r>
      <w:r>
        <w:rPr>
          <w:rFonts w:ascii="Verdana" w:eastAsia="Verdana" w:hAnsi="Verdana" w:cs="Verdana"/>
          <w:sz w:val="21"/>
          <w:szCs w:val="21"/>
        </w:rPr>
        <w:t>techs alike, we welcome the opportunity to formally participate in the Data Standards Body in Australia.</w:t>
      </w:r>
    </w:p>
    <w:p w14:paraId="04EB5999" w14:textId="77777777" w:rsidR="009D01F2" w:rsidRDefault="009D01F2">
      <w:pPr>
        <w:rPr>
          <w:rFonts w:ascii="Verdana" w:eastAsia="Verdana" w:hAnsi="Verdana" w:cs="Verdana"/>
          <w:sz w:val="21"/>
          <w:szCs w:val="21"/>
        </w:rPr>
      </w:pPr>
    </w:p>
    <w:p w14:paraId="53D8E546" w14:textId="77777777" w:rsidR="009D01F2" w:rsidRDefault="009D01F2">
      <w:pPr>
        <w:rPr>
          <w:rFonts w:ascii="Verdana" w:eastAsia="Verdana" w:hAnsi="Verdana" w:cs="Verdana"/>
          <w:sz w:val="21"/>
          <w:szCs w:val="21"/>
        </w:rPr>
      </w:pPr>
    </w:p>
    <w:p w14:paraId="42E08C17" w14:textId="77777777" w:rsidR="009D01F2" w:rsidRDefault="00A72DC0">
      <w:pPr>
        <w:rPr>
          <w:rFonts w:ascii="Verdana" w:eastAsia="Verdana" w:hAnsi="Verdana" w:cs="Verdana"/>
          <w:sz w:val="21"/>
          <w:szCs w:val="21"/>
        </w:rPr>
      </w:pPr>
      <w:r>
        <w:rPr>
          <w:rFonts w:ascii="Verdana" w:eastAsia="Verdana" w:hAnsi="Verdana" w:cs="Verdana"/>
          <w:sz w:val="21"/>
          <w:szCs w:val="21"/>
        </w:rPr>
        <w:t>Sincerely,</w:t>
      </w:r>
    </w:p>
    <w:p w14:paraId="3B6B2A25" w14:textId="77777777" w:rsidR="009D01F2" w:rsidRDefault="009D01F2">
      <w:pPr>
        <w:rPr>
          <w:rFonts w:ascii="Verdana" w:eastAsia="Verdana" w:hAnsi="Verdana" w:cs="Verdana"/>
          <w:sz w:val="21"/>
          <w:szCs w:val="21"/>
        </w:rPr>
      </w:pPr>
    </w:p>
    <w:tbl>
      <w:tblPr>
        <w:tblStyle w:val="a6"/>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560"/>
      </w:tblGrid>
      <w:tr w:rsidR="009D01F2" w14:paraId="05B97796" w14:textId="77777777">
        <w:tc>
          <w:tcPr>
            <w:tcW w:w="4515" w:type="dxa"/>
            <w:tcBorders>
              <w:top w:val="nil"/>
              <w:left w:val="nil"/>
              <w:bottom w:val="nil"/>
              <w:right w:val="nil"/>
            </w:tcBorders>
            <w:shd w:val="clear" w:color="auto" w:fill="auto"/>
            <w:tcMar>
              <w:top w:w="100" w:type="dxa"/>
              <w:left w:w="100" w:type="dxa"/>
              <w:bottom w:w="100" w:type="dxa"/>
              <w:right w:w="100" w:type="dxa"/>
            </w:tcMar>
          </w:tcPr>
          <w:p w14:paraId="193C947A" w14:textId="77777777" w:rsidR="009D01F2" w:rsidRDefault="00A72DC0">
            <w:pPr>
              <w:rPr>
                <w:rFonts w:ascii="Verdana" w:eastAsia="Verdana" w:hAnsi="Verdana" w:cs="Verdana"/>
                <w:sz w:val="21"/>
                <w:szCs w:val="21"/>
              </w:rPr>
            </w:pPr>
            <w:r>
              <w:rPr>
                <w:rFonts w:ascii="Verdana" w:eastAsia="Verdana" w:hAnsi="Verdana" w:cs="Verdana"/>
                <w:sz w:val="21"/>
                <w:szCs w:val="21"/>
              </w:rPr>
              <w:t>Mr Paul Chapman</w:t>
            </w:r>
          </w:p>
          <w:p w14:paraId="4418C74A" w14:textId="77777777" w:rsidR="009D01F2" w:rsidRDefault="00A72DC0">
            <w:pPr>
              <w:rPr>
                <w:rFonts w:ascii="Verdana" w:eastAsia="Verdana" w:hAnsi="Verdana" w:cs="Verdana"/>
                <w:sz w:val="21"/>
                <w:szCs w:val="21"/>
              </w:rPr>
            </w:pPr>
            <w:r>
              <w:rPr>
                <w:rFonts w:ascii="Verdana" w:eastAsia="Verdana" w:hAnsi="Verdana" w:cs="Verdana"/>
                <w:sz w:val="21"/>
                <w:szCs w:val="21"/>
              </w:rPr>
              <w:t>Chief Executive</w:t>
            </w:r>
          </w:p>
          <w:p w14:paraId="05A239DA" w14:textId="77777777" w:rsidR="009D01F2" w:rsidRDefault="00A72DC0">
            <w:pPr>
              <w:rPr>
                <w:rFonts w:ascii="Verdana" w:eastAsia="Verdana" w:hAnsi="Verdana" w:cs="Verdana"/>
                <w:sz w:val="21"/>
                <w:szCs w:val="21"/>
              </w:rPr>
            </w:pPr>
            <w:r>
              <w:rPr>
                <w:rFonts w:ascii="Verdana" w:eastAsia="Verdana" w:hAnsi="Verdana" w:cs="Verdana"/>
                <w:sz w:val="21"/>
                <w:szCs w:val="21"/>
              </w:rPr>
              <w:t xml:space="preserve">Moneytree Financial Technology Pty Ltd </w:t>
            </w:r>
          </w:p>
        </w:tc>
        <w:tc>
          <w:tcPr>
            <w:tcW w:w="4560" w:type="dxa"/>
            <w:tcBorders>
              <w:top w:val="nil"/>
              <w:left w:val="nil"/>
              <w:bottom w:val="nil"/>
              <w:right w:val="nil"/>
            </w:tcBorders>
            <w:shd w:val="clear" w:color="auto" w:fill="auto"/>
            <w:tcMar>
              <w:top w:w="100" w:type="dxa"/>
              <w:left w:w="100" w:type="dxa"/>
              <w:bottom w:w="100" w:type="dxa"/>
              <w:right w:w="100" w:type="dxa"/>
            </w:tcMar>
          </w:tcPr>
          <w:p w14:paraId="3B921D1D" w14:textId="77777777" w:rsidR="009D01F2" w:rsidRDefault="00A72DC0">
            <w:pPr>
              <w:rPr>
                <w:rFonts w:ascii="Verdana" w:eastAsia="Verdana" w:hAnsi="Verdana" w:cs="Verdana"/>
                <w:sz w:val="21"/>
                <w:szCs w:val="21"/>
              </w:rPr>
            </w:pPr>
            <w:r>
              <w:rPr>
                <w:rFonts w:ascii="Verdana" w:eastAsia="Verdana" w:hAnsi="Verdana" w:cs="Verdana"/>
                <w:sz w:val="21"/>
                <w:szCs w:val="21"/>
              </w:rPr>
              <w:t>Mr Ross Sharrott</w:t>
            </w:r>
          </w:p>
          <w:p w14:paraId="6F73AEDC" w14:textId="77777777" w:rsidR="009D01F2" w:rsidRDefault="00A72DC0">
            <w:pPr>
              <w:rPr>
                <w:rFonts w:ascii="Verdana" w:eastAsia="Verdana" w:hAnsi="Verdana" w:cs="Verdana"/>
                <w:sz w:val="21"/>
                <w:szCs w:val="21"/>
              </w:rPr>
            </w:pPr>
            <w:r>
              <w:rPr>
                <w:rFonts w:ascii="Verdana" w:eastAsia="Verdana" w:hAnsi="Verdana" w:cs="Verdana"/>
                <w:sz w:val="21"/>
                <w:szCs w:val="21"/>
              </w:rPr>
              <w:t>Chief of Technology</w:t>
            </w:r>
          </w:p>
          <w:p w14:paraId="44081925" w14:textId="77777777" w:rsidR="009D01F2" w:rsidRDefault="00A72DC0">
            <w:pPr>
              <w:rPr>
                <w:rFonts w:ascii="Verdana" w:eastAsia="Verdana" w:hAnsi="Verdana" w:cs="Verdana"/>
                <w:sz w:val="21"/>
                <w:szCs w:val="21"/>
              </w:rPr>
            </w:pPr>
            <w:r>
              <w:rPr>
                <w:rFonts w:ascii="Verdana" w:eastAsia="Verdana" w:hAnsi="Verdana" w:cs="Verdana"/>
                <w:sz w:val="21"/>
                <w:szCs w:val="21"/>
              </w:rPr>
              <w:t>Moneytree Financial Technolo</w:t>
            </w:r>
            <w:r>
              <w:rPr>
                <w:rFonts w:ascii="Verdana" w:eastAsia="Verdana" w:hAnsi="Verdana" w:cs="Verdana"/>
                <w:sz w:val="21"/>
                <w:szCs w:val="21"/>
              </w:rPr>
              <w:t xml:space="preserve">gy Pty Ltd </w:t>
            </w:r>
          </w:p>
        </w:tc>
      </w:tr>
    </w:tbl>
    <w:p w14:paraId="372D727C" w14:textId="77777777" w:rsidR="009D01F2" w:rsidRDefault="009D01F2">
      <w:pPr>
        <w:rPr>
          <w:rFonts w:ascii="Verdana" w:eastAsia="Verdana" w:hAnsi="Verdana" w:cs="Verdana"/>
          <w:sz w:val="21"/>
          <w:szCs w:val="21"/>
        </w:rPr>
      </w:pPr>
    </w:p>
    <w:p w14:paraId="658DD357" w14:textId="77777777" w:rsidR="009D01F2" w:rsidRDefault="009D01F2">
      <w:pPr>
        <w:rPr>
          <w:rFonts w:ascii="Verdana" w:eastAsia="Verdana" w:hAnsi="Verdana" w:cs="Verdana"/>
        </w:rPr>
      </w:pPr>
    </w:p>
    <w:sectPr w:rsidR="009D01F2">
      <w:headerReference w:type="defaul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2A796" w14:textId="77777777" w:rsidR="00A72DC0" w:rsidRDefault="00A72DC0">
      <w:pPr>
        <w:spacing w:line="240" w:lineRule="auto"/>
      </w:pPr>
      <w:r>
        <w:separator/>
      </w:r>
    </w:p>
  </w:endnote>
  <w:endnote w:type="continuationSeparator" w:id="0">
    <w:p w14:paraId="2FF05E19" w14:textId="77777777" w:rsidR="00A72DC0" w:rsidRDefault="00A72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46867" w14:textId="77777777" w:rsidR="00A72DC0" w:rsidRDefault="00A72DC0">
      <w:pPr>
        <w:spacing w:line="240" w:lineRule="auto"/>
      </w:pPr>
      <w:r>
        <w:separator/>
      </w:r>
    </w:p>
  </w:footnote>
  <w:footnote w:type="continuationSeparator" w:id="0">
    <w:p w14:paraId="6EB474CF" w14:textId="77777777" w:rsidR="00A72DC0" w:rsidRDefault="00A72DC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93ED6" w14:textId="77777777" w:rsidR="009D01F2" w:rsidRDefault="00A72DC0">
    <w:r>
      <w:rPr>
        <w:noProof/>
        <w:lang w:val="en-US"/>
      </w:rPr>
      <w:drawing>
        <wp:anchor distT="114300" distB="114300" distL="114300" distR="114300" simplePos="0" relativeHeight="251658240" behindDoc="0" locked="0" layoutInCell="1" hidden="0" allowOverlap="1" wp14:anchorId="4E4325E2" wp14:editId="01111F0E">
          <wp:simplePos x="0" y="0"/>
          <wp:positionH relativeFrom="margin">
            <wp:posOffset>1596903</wp:posOffset>
          </wp:positionH>
          <wp:positionV relativeFrom="paragraph">
            <wp:posOffset>80963</wp:posOffset>
          </wp:positionV>
          <wp:extent cx="2184522" cy="423863"/>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84522" cy="423863"/>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A1CD0"/>
    <w:multiLevelType w:val="multilevel"/>
    <w:tmpl w:val="29169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01F2"/>
    <w:rsid w:val="00540D68"/>
    <w:rsid w:val="008619D9"/>
    <w:rsid w:val="009D01F2"/>
    <w:rsid w:val="00A72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05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ja-JP"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s://static.treasury.gov.au/uploads/sites/1/2017/09/c2017-t224510_Moneytree.pdf" TargetMode="External"/><Relationship Id="rId18" Type="http://schemas.openxmlformats.org/officeDocument/2006/relationships/customXml" Target="../customXml/item5.xml"/><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hyperlink" Target="https://static.treasury.gov.au/uploads/sites/1/2017/09/c2017-t224510_Moneytree.pdf" TargetMode="Externa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static.treasury.gov.au/uploads/sites/1/2018/02/Review-into-Open-Banking-_For-web-1.pdf" TargetMode="External"/><Relationship Id="rId4" Type="http://schemas.openxmlformats.org/officeDocument/2006/relationships/webSettings" Target="webSettings.xml"/><Relationship Id="rId9" Type="http://schemas.openxmlformats.org/officeDocument/2006/relationships/hyperlink" Target="https://static.treasury.gov.au/uploads/sites/1/2018/02/Review-into-Open-Banking-_For-web-1.pdf"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0242" ma:contentTypeDescription="" ma:contentTypeScope="" ma:versionID="0e9555cabf1853588feb412effccf1f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bfac8e52420368ce6ac7c74f2e5aba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2018MG-133-31896</_dlc_DocId>
    <TaxCatchAll xmlns="d4dd4adf-ddb3-46a3-8d7c-fab3fb2a6bc7">
      <Value>2</Value>
    </TaxCatchAll>
    <_dlc_DocIdUrl xmlns="d4dd4adf-ddb3-46a3-8d7c-fab3fb2a6bc7">
      <Url>http://tweb/sites/mg/sbccpd/_layouts/15/DocIdRedir.aspx?ID=2018MG-133-31896</Url>
      <Description>2018MG-133-31896</Description>
    </_dlc_DocIdUrl>
    <IconOverlay xmlns="http://schemas.microsoft.com/sharepoint/v4" xsi:nil="true"/>
  </documentManagement>
</p:properties>
</file>

<file path=customXml/itemProps1.xml><?xml version="1.0" encoding="utf-8"?>
<ds:datastoreItem xmlns:ds="http://schemas.openxmlformats.org/officeDocument/2006/customXml" ds:itemID="{66C38B10-22B2-4EF7-A96F-CE6F5D1608C3}"/>
</file>

<file path=customXml/itemProps2.xml><?xml version="1.0" encoding="utf-8"?>
<ds:datastoreItem xmlns:ds="http://schemas.openxmlformats.org/officeDocument/2006/customXml" ds:itemID="{8EB1216E-BD44-4487-AA36-977641F692EA}"/>
</file>

<file path=customXml/itemProps3.xml><?xml version="1.0" encoding="utf-8"?>
<ds:datastoreItem xmlns:ds="http://schemas.openxmlformats.org/officeDocument/2006/customXml" ds:itemID="{8BF0D712-8437-4A29-9090-7C23117283FF}"/>
</file>

<file path=customXml/itemProps4.xml><?xml version="1.0" encoding="utf-8"?>
<ds:datastoreItem xmlns:ds="http://schemas.openxmlformats.org/officeDocument/2006/customXml" ds:itemID="{94F8B814-A9F7-4198-9D1E-E3BE8EA4AAAF}"/>
</file>

<file path=customXml/itemProps5.xml><?xml version="1.0" encoding="utf-8"?>
<ds:datastoreItem xmlns:ds="http://schemas.openxmlformats.org/officeDocument/2006/customXml" ds:itemID="{5C5EB390-897F-49C7-A084-9367E1DC532A}"/>
</file>

<file path=docProps/app.xml><?xml version="1.0" encoding="utf-8"?>
<Properties xmlns="http://schemas.openxmlformats.org/officeDocument/2006/extended-properties" xmlns:vt="http://schemas.openxmlformats.org/officeDocument/2006/docPropsVTypes">
  <Template>Normal.dotm</Template>
  <TotalTime>1</TotalTime>
  <Pages>8</Pages>
  <Words>2536</Words>
  <Characters>14459</Characters>
  <Application>Microsoft Macintosh Word</Application>
  <DocSecurity>0</DocSecurity>
  <Lines>120</Lines>
  <Paragraphs>33</Paragraphs>
  <ScaleCrop>false</ScaleCrop>
  <LinksUpToDate>false</LinksUpToDate>
  <CharactersWithSpaces>16962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Zach Taub</cp:lastModifiedBy>
  <cp:revision>3</cp:revision>
  <dcterms:created xsi:type="dcterms:W3CDTF">2018-03-23T01:36:00Z</dcterms:created>
  <dcterms:modified xsi:type="dcterms:W3CDTF">2018-03-23T01:36:00Z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e4b2b06c-5671-4360-a1c0-fab56785fd63</vt:lpwstr>
  </property>
  <property fmtid="{D5CDD505-2E9C-101B-9397-08002B2CF9AE}" pid="3" name="ContentTypeId">
    <vt:lpwstr>0x010100E95D40E5DFEA714B90E88DB5CE07A6B500DDAFF7E1A29DE64F981B4EA50562BA75</vt:lpwstr>
  </property>
  <property fmtid="{D5CDD505-2E9C-101B-9397-08002B2CF9AE}" pid="4" name="TSYRecordClass">
    <vt:lpwstr>2;#TSY RA-9081 - Retain as national archives|bbf0bcde-1687-4ff2-bc57-f31b5d545d4b</vt:lpwstr>
  </property>
  <property fmtid="{D5CDD505-2E9C-101B-9397-08002B2CF9AE}" pid="5" name="RecordPoint_WorkflowType">
    <vt:lpwstr>ActiveSubmitStub</vt:lpwstr>
  </property>
  <property fmtid="{D5CDD505-2E9C-101B-9397-08002B2CF9AE}" pid="6" name="RecordPoint_ActiveItemListId">
    <vt:lpwstr>{020b99f8-d659-456c-88bf-b1c791ab809a}</vt:lpwstr>
  </property>
  <property fmtid="{D5CDD505-2E9C-101B-9397-08002B2CF9AE}" pid="7" name="RecordPoint_ActiveItemUniqueId">
    <vt:lpwstr>{e4b2b06c-5671-4360-a1c0-fab56785fd63}</vt:lpwstr>
  </property>
  <property fmtid="{D5CDD505-2E9C-101B-9397-08002B2CF9AE}" pid="8" name="RecordPoint_ActiveItemWebId">
    <vt:lpwstr>{682871c2-4073-4158-957a-6d924b9ba0a6}</vt:lpwstr>
  </property>
  <property fmtid="{D5CDD505-2E9C-101B-9397-08002B2CF9AE}" pid="9" name="RecordPoint_ActiveItemSiteId">
    <vt:lpwstr>{08cedf7d-7ad2-4b81-a81f-47e3ec332c41}</vt:lpwstr>
  </property>
  <property fmtid="{D5CDD505-2E9C-101B-9397-08002B2CF9AE}" pid="10" name="RecordPoint_RecordNumberSubmitted">
    <vt:lpwstr>R0001629275</vt:lpwstr>
  </property>
  <property fmtid="{D5CDD505-2E9C-101B-9397-08002B2CF9AE}" pid="11" name="RecordPoint_SubmissionCompleted">
    <vt:lpwstr>2018-03-23T12:52:56.6716738+11:00</vt:lpwstr>
  </property>
</Properties>
</file>