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055D5" w14:textId="77777777" w:rsidR="00FD2507" w:rsidRDefault="00FD2507" w:rsidP="00FD2507">
      <w:pPr>
        <w:pStyle w:val="NoSpacing"/>
        <w:sectPr w:rsidR="00FD2507" w:rsidSect="001E05B9">
          <w:headerReference w:type="default" r:id="rId8"/>
          <w:footerReference w:type="default" r:id="rId9"/>
          <w:pgSz w:w="11907" w:h="16839" w:code="9"/>
          <w:pgMar w:top="2552" w:right="964" w:bottom="1134" w:left="1560" w:header="720" w:footer="595" w:gutter="0"/>
          <w:cols w:space="720"/>
          <w:docGrid w:linePitch="360"/>
        </w:sectPr>
      </w:pPr>
      <w:bookmarkStart w:id="0" w:name="_GoBack"/>
      <w:bookmarkEnd w:id="0"/>
    </w:p>
    <w:p w14:paraId="2F04CEAE" w14:textId="77777777" w:rsidR="009A1131" w:rsidRPr="0027372A" w:rsidRDefault="009A1131" w:rsidP="00D1189E">
      <w:pPr>
        <w:rPr>
          <w:szCs w:val="20"/>
        </w:rPr>
      </w:pPr>
      <w:r w:rsidRPr="0027372A">
        <w:rPr>
          <w:szCs w:val="20"/>
        </w:rPr>
        <w:t>23 March 2018</w:t>
      </w:r>
    </w:p>
    <w:p w14:paraId="6679A6CD" w14:textId="77777777" w:rsidR="009A1131" w:rsidRPr="0027372A" w:rsidRDefault="009A1131" w:rsidP="00D1189E">
      <w:pPr>
        <w:rPr>
          <w:szCs w:val="20"/>
        </w:rPr>
      </w:pPr>
    </w:p>
    <w:p w14:paraId="6400EC26" w14:textId="77777777" w:rsidR="009A1131" w:rsidRPr="0027372A" w:rsidRDefault="009A1131" w:rsidP="00D1189E">
      <w:pPr>
        <w:rPr>
          <w:szCs w:val="20"/>
        </w:rPr>
      </w:pPr>
    </w:p>
    <w:p w14:paraId="12705A4E" w14:textId="77777777" w:rsidR="009A1131" w:rsidRPr="0027372A" w:rsidRDefault="009A1131" w:rsidP="00D1189E">
      <w:pPr>
        <w:rPr>
          <w:szCs w:val="20"/>
        </w:rPr>
      </w:pPr>
      <w:r w:rsidRPr="0027372A">
        <w:rPr>
          <w:rFonts w:cs="Arial"/>
          <w:color w:val="000000"/>
          <w:szCs w:val="20"/>
          <w:shd w:val="clear" w:color="auto" w:fill="FFFFFF"/>
        </w:rPr>
        <w:t>The Treasury</w:t>
      </w:r>
      <w:r w:rsidRPr="0027372A">
        <w:rPr>
          <w:rFonts w:cs="Arial"/>
          <w:color w:val="000000"/>
          <w:szCs w:val="20"/>
        </w:rPr>
        <w:br/>
      </w:r>
      <w:r w:rsidRPr="0027372A">
        <w:rPr>
          <w:rFonts w:cs="Arial"/>
          <w:color w:val="000000"/>
          <w:szCs w:val="20"/>
          <w:shd w:val="clear" w:color="auto" w:fill="FFFFFF"/>
        </w:rPr>
        <w:t>Langton Crescent</w:t>
      </w:r>
      <w:r w:rsidRPr="0027372A">
        <w:rPr>
          <w:rFonts w:cs="Arial"/>
          <w:color w:val="000000"/>
          <w:szCs w:val="20"/>
        </w:rPr>
        <w:br/>
      </w:r>
      <w:r w:rsidRPr="0027372A">
        <w:rPr>
          <w:rFonts w:cs="Arial"/>
          <w:color w:val="000000"/>
          <w:szCs w:val="20"/>
          <w:shd w:val="clear" w:color="auto" w:fill="FFFFFF"/>
        </w:rPr>
        <w:t>PARKES ACT 2600</w:t>
      </w:r>
    </w:p>
    <w:p w14:paraId="7B451668" w14:textId="77777777" w:rsidR="001E0271" w:rsidRPr="0027372A" w:rsidRDefault="009A1131">
      <w:pPr>
        <w:spacing w:after="160" w:line="259" w:lineRule="auto"/>
        <w:rPr>
          <w:szCs w:val="20"/>
        </w:rPr>
      </w:pPr>
      <w:r w:rsidRPr="0027372A">
        <w:rPr>
          <w:szCs w:val="20"/>
        </w:rPr>
        <w:t>Email</w:t>
      </w:r>
      <w:r w:rsidR="004B40BB" w:rsidRPr="0027372A">
        <w:rPr>
          <w:szCs w:val="20"/>
        </w:rPr>
        <w:t xml:space="preserve">: </w:t>
      </w:r>
      <w:hyperlink r:id="rId10" w:history="1">
        <w:r w:rsidRPr="0027372A">
          <w:rPr>
            <w:rStyle w:val="Hyperlink"/>
            <w:rFonts w:cs="Arial"/>
            <w:color w:val="004A7F"/>
            <w:szCs w:val="20"/>
            <w:shd w:val="clear" w:color="auto" w:fill="FFFFFF"/>
          </w:rPr>
          <w:t>data@treasury.gov.au</w:t>
        </w:r>
      </w:hyperlink>
      <w:r w:rsidRPr="0027372A">
        <w:rPr>
          <w:szCs w:val="20"/>
        </w:rPr>
        <w:t xml:space="preserve"> </w:t>
      </w:r>
    </w:p>
    <w:p w14:paraId="24799D34" w14:textId="77777777" w:rsidR="009A1131" w:rsidRPr="0027372A" w:rsidRDefault="009A1131">
      <w:pPr>
        <w:spacing w:after="160" w:line="259" w:lineRule="auto"/>
        <w:rPr>
          <w:szCs w:val="20"/>
        </w:rPr>
      </w:pPr>
    </w:p>
    <w:p w14:paraId="5925A790" w14:textId="77777777" w:rsidR="00DF7F66" w:rsidRDefault="00DF7F66">
      <w:pPr>
        <w:spacing w:after="160" w:line="259" w:lineRule="auto"/>
        <w:rPr>
          <w:szCs w:val="20"/>
        </w:rPr>
      </w:pPr>
    </w:p>
    <w:p w14:paraId="68908C76" w14:textId="49122BC3" w:rsidR="009A1131" w:rsidRPr="0027372A" w:rsidRDefault="009A1131">
      <w:pPr>
        <w:spacing w:after="160" w:line="259" w:lineRule="auto"/>
        <w:rPr>
          <w:szCs w:val="20"/>
        </w:rPr>
      </w:pPr>
      <w:r w:rsidRPr="0027372A">
        <w:rPr>
          <w:szCs w:val="20"/>
        </w:rPr>
        <w:t>Dear Sir/Madam</w:t>
      </w:r>
    </w:p>
    <w:p w14:paraId="43155C3E" w14:textId="77777777" w:rsidR="006C4CEA" w:rsidRPr="0027372A" w:rsidRDefault="009A1131" w:rsidP="006C4CEA">
      <w:pPr>
        <w:spacing w:after="160" w:line="259" w:lineRule="auto"/>
        <w:rPr>
          <w:b/>
          <w:szCs w:val="20"/>
        </w:rPr>
      </w:pPr>
      <w:r w:rsidRPr="0027372A">
        <w:rPr>
          <w:b/>
          <w:szCs w:val="20"/>
        </w:rPr>
        <w:t>Review into Open Banking in Australia – Final Report</w:t>
      </w:r>
    </w:p>
    <w:p w14:paraId="25809E3A" w14:textId="0E49CD29" w:rsidR="006C4CEA" w:rsidRPr="0027372A" w:rsidRDefault="00014E06" w:rsidP="006C4CEA">
      <w:pPr>
        <w:spacing w:after="160" w:line="259" w:lineRule="auto"/>
        <w:rPr>
          <w:szCs w:val="20"/>
        </w:rPr>
      </w:pPr>
      <w:r w:rsidRPr="0027372A">
        <w:rPr>
          <w:szCs w:val="20"/>
        </w:rPr>
        <w:t xml:space="preserve">COBA </w:t>
      </w:r>
      <w:r w:rsidR="00216485">
        <w:rPr>
          <w:szCs w:val="20"/>
        </w:rPr>
        <w:t>appreciates the</w:t>
      </w:r>
      <w:r w:rsidRPr="0027372A">
        <w:rPr>
          <w:szCs w:val="20"/>
        </w:rPr>
        <w:t xml:space="preserve"> opportunity to provide comments on the recommendations of the Review</w:t>
      </w:r>
      <w:r w:rsidR="007A0726" w:rsidRPr="0027372A">
        <w:rPr>
          <w:szCs w:val="20"/>
        </w:rPr>
        <w:t xml:space="preserve"> i</w:t>
      </w:r>
      <w:r w:rsidRPr="0027372A">
        <w:rPr>
          <w:szCs w:val="20"/>
        </w:rPr>
        <w:t>nto Open Bank</w:t>
      </w:r>
      <w:r w:rsidR="00EA3CE7" w:rsidRPr="0027372A">
        <w:rPr>
          <w:szCs w:val="20"/>
        </w:rPr>
        <w:t xml:space="preserve">ing </w:t>
      </w:r>
      <w:r w:rsidRPr="0027372A">
        <w:rPr>
          <w:szCs w:val="20"/>
        </w:rPr>
        <w:t>in Australia.</w:t>
      </w:r>
    </w:p>
    <w:p w14:paraId="5242D988" w14:textId="7E1D68E0" w:rsidR="00014E06" w:rsidRPr="0027372A" w:rsidRDefault="00014E06" w:rsidP="006C4CEA">
      <w:pPr>
        <w:spacing w:after="160" w:line="259" w:lineRule="auto"/>
        <w:rPr>
          <w:szCs w:val="20"/>
        </w:rPr>
      </w:pPr>
      <w:r w:rsidRPr="0027372A">
        <w:rPr>
          <w:szCs w:val="20"/>
        </w:rPr>
        <w:t xml:space="preserve">COBA is the industry association for Australia’s customer owned banking institutions, i.e. mutual banks, credit unions and building societies. </w:t>
      </w:r>
      <w:r w:rsidR="00216485">
        <w:rPr>
          <w:szCs w:val="20"/>
        </w:rPr>
        <w:t>There are 78 institutions in the customer owned banking sector, ranging in size from under $200 million in assets to more than $10 billion</w:t>
      </w:r>
      <w:r w:rsidR="00D90ECA">
        <w:rPr>
          <w:szCs w:val="20"/>
        </w:rPr>
        <w:t xml:space="preserve">. </w:t>
      </w:r>
      <w:r w:rsidRPr="0027372A">
        <w:rPr>
          <w:szCs w:val="20"/>
        </w:rPr>
        <w:t>Collectively, our sector has $110 billion in assets</w:t>
      </w:r>
      <w:r w:rsidR="00D90ECA">
        <w:rPr>
          <w:szCs w:val="20"/>
        </w:rPr>
        <w:t xml:space="preserve"> and </w:t>
      </w:r>
      <w:r w:rsidRPr="0027372A">
        <w:rPr>
          <w:szCs w:val="20"/>
        </w:rPr>
        <w:t>four million customers.</w:t>
      </w:r>
      <w:r w:rsidR="00EA3CE7" w:rsidRPr="0027372A">
        <w:rPr>
          <w:szCs w:val="20"/>
        </w:rPr>
        <w:t xml:space="preserve"> </w:t>
      </w:r>
    </w:p>
    <w:p w14:paraId="6F96A83F" w14:textId="432ED9B4" w:rsidR="00D656AE" w:rsidRPr="0039305C" w:rsidRDefault="00D656AE" w:rsidP="006C4CEA">
      <w:pPr>
        <w:spacing w:after="160" w:line="259" w:lineRule="auto"/>
        <w:rPr>
          <w:b/>
          <w:szCs w:val="20"/>
        </w:rPr>
      </w:pPr>
      <w:r w:rsidRPr="0039305C">
        <w:rPr>
          <w:b/>
          <w:szCs w:val="20"/>
        </w:rPr>
        <w:t>Key points:</w:t>
      </w:r>
    </w:p>
    <w:p w14:paraId="4417A49B" w14:textId="77777777" w:rsidR="00D656AE" w:rsidRPr="0039305C" w:rsidRDefault="00D90ECA" w:rsidP="009538E4">
      <w:pPr>
        <w:pStyle w:val="ListParagraph"/>
        <w:numPr>
          <w:ilvl w:val="0"/>
          <w:numId w:val="11"/>
        </w:numPr>
        <w:rPr>
          <w:rFonts w:ascii="Verdana" w:hAnsi="Verdana"/>
          <w:sz w:val="20"/>
          <w:szCs w:val="20"/>
        </w:rPr>
      </w:pPr>
      <w:r w:rsidRPr="0039305C">
        <w:rPr>
          <w:rFonts w:ascii="Verdana" w:hAnsi="Verdana"/>
          <w:sz w:val="20"/>
          <w:szCs w:val="20"/>
        </w:rPr>
        <w:t>COBA is generally supportive of the approach recommended by the Review</w:t>
      </w:r>
      <w:r w:rsidR="00D656AE" w:rsidRPr="0039305C">
        <w:rPr>
          <w:rFonts w:ascii="Verdana" w:hAnsi="Verdana"/>
          <w:sz w:val="20"/>
          <w:szCs w:val="20"/>
        </w:rPr>
        <w:t xml:space="preserve">, including </w:t>
      </w:r>
      <w:r w:rsidRPr="0039305C">
        <w:rPr>
          <w:rFonts w:ascii="Verdana" w:hAnsi="Verdana"/>
          <w:sz w:val="20"/>
          <w:szCs w:val="20"/>
        </w:rPr>
        <w:t xml:space="preserve">design of the proposed framework. However, we do not support mandatory participation by smaller banking institutions. </w:t>
      </w:r>
    </w:p>
    <w:p w14:paraId="18F78969" w14:textId="17BA7068" w:rsidR="00D656AE" w:rsidRPr="0039305C" w:rsidRDefault="00D656AE" w:rsidP="009538E4">
      <w:pPr>
        <w:pStyle w:val="ListParagraph"/>
        <w:numPr>
          <w:ilvl w:val="0"/>
          <w:numId w:val="11"/>
        </w:numPr>
        <w:rPr>
          <w:rFonts w:ascii="Verdana" w:hAnsi="Verdana"/>
          <w:sz w:val="20"/>
          <w:szCs w:val="20"/>
        </w:rPr>
      </w:pPr>
      <w:r w:rsidRPr="0039305C">
        <w:rPr>
          <w:rFonts w:ascii="Verdana" w:hAnsi="Verdana"/>
          <w:sz w:val="20"/>
          <w:szCs w:val="20"/>
        </w:rPr>
        <w:t>I</w:t>
      </w:r>
      <w:r w:rsidR="00D90ECA" w:rsidRPr="0039305C">
        <w:rPr>
          <w:rFonts w:ascii="Verdana" w:hAnsi="Verdana"/>
          <w:sz w:val="20"/>
          <w:szCs w:val="20"/>
        </w:rPr>
        <w:t xml:space="preserve">mplementation of an Open Banking regime that is likely to deliver the benefits of competition and innovation requires </w:t>
      </w:r>
      <w:r w:rsidRPr="0039305C">
        <w:rPr>
          <w:rFonts w:ascii="Verdana" w:hAnsi="Verdana"/>
          <w:sz w:val="20"/>
          <w:szCs w:val="20"/>
        </w:rPr>
        <w:t>mandated</w:t>
      </w:r>
      <w:r w:rsidR="00D90ECA" w:rsidRPr="0039305C">
        <w:rPr>
          <w:rFonts w:ascii="Verdana" w:hAnsi="Verdana"/>
          <w:sz w:val="20"/>
          <w:szCs w:val="20"/>
        </w:rPr>
        <w:t xml:space="preserve"> participation of the major banks but does not require mandated participation by all other banking institutions. </w:t>
      </w:r>
    </w:p>
    <w:p w14:paraId="6D439AE4" w14:textId="77777777" w:rsidR="002A6054" w:rsidRDefault="00C34386" w:rsidP="002A6054">
      <w:pPr>
        <w:pStyle w:val="ListParagraph"/>
        <w:numPr>
          <w:ilvl w:val="0"/>
          <w:numId w:val="11"/>
        </w:numPr>
        <w:rPr>
          <w:szCs w:val="20"/>
        </w:rPr>
      </w:pPr>
      <w:r w:rsidRPr="0039305C">
        <w:rPr>
          <w:rFonts w:ascii="Verdana" w:hAnsi="Verdana"/>
          <w:sz w:val="20"/>
          <w:szCs w:val="20"/>
        </w:rPr>
        <w:t>Policy-makers should seek to keep costs to the least necessary to achieve their objectives.</w:t>
      </w:r>
      <w:r w:rsidR="002A6054" w:rsidRPr="002A6054">
        <w:rPr>
          <w:szCs w:val="20"/>
        </w:rPr>
        <w:t xml:space="preserve"> </w:t>
      </w:r>
    </w:p>
    <w:p w14:paraId="66770FF5" w14:textId="682CE153" w:rsidR="00C34386" w:rsidRPr="002A6054" w:rsidRDefault="002A6054" w:rsidP="001F61D4">
      <w:pPr>
        <w:pStyle w:val="ListParagraph"/>
        <w:numPr>
          <w:ilvl w:val="0"/>
          <w:numId w:val="11"/>
        </w:numPr>
        <w:rPr>
          <w:rFonts w:ascii="Verdana" w:hAnsi="Verdana"/>
          <w:sz w:val="20"/>
          <w:szCs w:val="20"/>
        </w:rPr>
      </w:pPr>
      <w:r w:rsidRPr="002A6054">
        <w:rPr>
          <w:rFonts w:ascii="Verdana" w:hAnsi="Verdana"/>
          <w:sz w:val="20"/>
          <w:szCs w:val="20"/>
        </w:rPr>
        <w:t>The post-implementation review</w:t>
      </w:r>
      <w:r w:rsidR="00873DC9">
        <w:rPr>
          <w:rFonts w:ascii="Verdana" w:hAnsi="Verdana"/>
          <w:sz w:val="20"/>
          <w:szCs w:val="20"/>
        </w:rPr>
        <w:t xml:space="preserve"> (Recommendation 6.6)</w:t>
      </w:r>
      <w:r w:rsidRPr="002A6054">
        <w:rPr>
          <w:rFonts w:ascii="Verdana" w:hAnsi="Verdana"/>
          <w:sz w:val="20"/>
          <w:szCs w:val="20"/>
        </w:rPr>
        <w:t xml:space="preserve"> is the opportunity to consider issues such as </w:t>
      </w:r>
      <w:proofErr w:type="gramStart"/>
      <w:r w:rsidRPr="002A6054">
        <w:rPr>
          <w:rFonts w:ascii="Verdana" w:hAnsi="Verdana"/>
          <w:sz w:val="20"/>
          <w:szCs w:val="20"/>
        </w:rPr>
        <w:t>whether or not</w:t>
      </w:r>
      <w:proofErr w:type="gramEnd"/>
      <w:r w:rsidRPr="002A6054">
        <w:rPr>
          <w:rFonts w:ascii="Verdana" w:hAnsi="Verdana"/>
          <w:sz w:val="20"/>
          <w:szCs w:val="20"/>
        </w:rPr>
        <w:t xml:space="preserve"> to extend the mandatory participation regime to ADIs other than the major banks and the timing of any such extension.</w:t>
      </w:r>
    </w:p>
    <w:p w14:paraId="380DE0D1" w14:textId="6B5F3EF5" w:rsidR="00D90ECA" w:rsidRPr="0039305C" w:rsidRDefault="00D90ECA" w:rsidP="009538E4">
      <w:pPr>
        <w:pStyle w:val="ListParagraph"/>
        <w:numPr>
          <w:ilvl w:val="0"/>
          <w:numId w:val="11"/>
        </w:numPr>
        <w:rPr>
          <w:rFonts w:ascii="Verdana" w:hAnsi="Verdana"/>
          <w:sz w:val="20"/>
          <w:szCs w:val="20"/>
        </w:rPr>
      </w:pPr>
      <w:r w:rsidRPr="0039305C">
        <w:rPr>
          <w:rFonts w:ascii="Verdana" w:hAnsi="Verdana"/>
          <w:sz w:val="20"/>
          <w:szCs w:val="20"/>
        </w:rPr>
        <w:t xml:space="preserve">Smaller banking institutions should be able to participate </w:t>
      </w:r>
      <w:r w:rsidR="00D656AE" w:rsidRPr="0039305C">
        <w:rPr>
          <w:rFonts w:ascii="Verdana" w:hAnsi="Verdana"/>
          <w:sz w:val="20"/>
          <w:szCs w:val="20"/>
        </w:rPr>
        <w:t>according to their own timetables based on their customer needs and their investment priorities.</w:t>
      </w:r>
    </w:p>
    <w:p w14:paraId="2C9C4556" w14:textId="15C422F7" w:rsidR="00D656AE" w:rsidRPr="0039305C" w:rsidRDefault="00D656AE" w:rsidP="00774290">
      <w:pPr>
        <w:pStyle w:val="ListParagraph"/>
        <w:numPr>
          <w:ilvl w:val="0"/>
          <w:numId w:val="11"/>
        </w:numPr>
        <w:rPr>
          <w:rFonts w:ascii="Verdana" w:hAnsi="Verdana"/>
          <w:sz w:val="20"/>
          <w:szCs w:val="20"/>
        </w:rPr>
      </w:pPr>
      <w:r w:rsidRPr="0039305C">
        <w:rPr>
          <w:rFonts w:ascii="Verdana" w:hAnsi="Verdana"/>
          <w:sz w:val="20"/>
          <w:szCs w:val="20"/>
        </w:rPr>
        <w:t>Several COBA members</w:t>
      </w:r>
      <w:r w:rsidR="00C34386" w:rsidRPr="0039305C">
        <w:rPr>
          <w:rFonts w:ascii="Verdana" w:hAnsi="Verdana"/>
          <w:sz w:val="20"/>
          <w:szCs w:val="20"/>
        </w:rPr>
        <w:t xml:space="preserve"> have indicated they</w:t>
      </w:r>
      <w:r w:rsidRPr="0039305C">
        <w:rPr>
          <w:rFonts w:ascii="Verdana" w:hAnsi="Verdana"/>
          <w:sz w:val="20"/>
          <w:szCs w:val="20"/>
        </w:rPr>
        <w:t xml:space="preserve"> will be early adopters of Open Banking</w:t>
      </w:r>
      <w:r w:rsidR="00C34386" w:rsidRPr="0039305C">
        <w:rPr>
          <w:rFonts w:ascii="Verdana" w:hAnsi="Verdana"/>
          <w:sz w:val="20"/>
          <w:szCs w:val="20"/>
        </w:rPr>
        <w:t>.</w:t>
      </w:r>
    </w:p>
    <w:p w14:paraId="4C24D0ED" w14:textId="0103501C" w:rsidR="002A6054" w:rsidRPr="002A6054" w:rsidRDefault="0039305C" w:rsidP="00787EEC">
      <w:pPr>
        <w:pStyle w:val="ListParagraph"/>
        <w:numPr>
          <w:ilvl w:val="0"/>
          <w:numId w:val="11"/>
        </w:numPr>
        <w:rPr>
          <w:rFonts w:ascii="Verdana" w:hAnsi="Verdana"/>
          <w:sz w:val="20"/>
          <w:szCs w:val="20"/>
        </w:rPr>
      </w:pPr>
      <w:r w:rsidRPr="002A6054">
        <w:rPr>
          <w:rFonts w:ascii="Verdana" w:hAnsi="Verdana"/>
          <w:sz w:val="20"/>
          <w:szCs w:val="20"/>
        </w:rPr>
        <w:t>Our sector’s</w:t>
      </w:r>
      <w:r w:rsidR="00C34386" w:rsidRPr="002A6054">
        <w:rPr>
          <w:rFonts w:ascii="Verdana" w:hAnsi="Verdana"/>
          <w:sz w:val="20"/>
          <w:szCs w:val="20"/>
        </w:rPr>
        <w:t xml:space="preserve"> willingness to deliver customers the benefits of technological innovation is demonstrated by</w:t>
      </w:r>
      <w:r w:rsidR="003839CC" w:rsidRPr="002A6054">
        <w:rPr>
          <w:rFonts w:ascii="Verdana" w:hAnsi="Verdana"/>
          <w:sz w:val="20"/>
          <w:szCs w:val="20"/>
        </w:rPr>
        <w:t xml:space="preserve"> its</w:t>
      </w:r>
      <w:r w:rsidR="00C34386" w:rsidRPr="002A6054">
        <w:rPr>
          <w:rFonts w:ascii="Verdana" w:hAnsi="Verdana"/>
          <w:sz w:val="20"/>
          <w:szCs w:val="20"/>
        </w:rPr>
        <w:t xml:space="preserve"> strong ‘day one’ participation in the New Payments Platform and widespread availability of digital wallet applications such as Apple Pay, Android Pay and Samsung pay.</w:t>
      </w:r>
    </w:p>
    <w:p w14:paraId="139F5CB0" w14:textId="60D27128" w:rsidR="00D656AE" w:rsidRPr="0039305C" w:rsidRDefault="0039305C" w:rsidP="00D656AE">
      <w:pPr>
        <w:rPr>
          <w:b/>
          <w:szCs w:val="20"/>
        </w:rPr>
      </w:pPr>
      <w:r>
        <w:rPr>
          <w:b/>
          <w:szCs w:val="20"/>
        </w:rPr>
        <w:t>Banking market &amp; c</w:t>
      </w:r>
      <w:r w:rsidRPr="0039305C">
        <w:rPr>
          <w:b/>
          <w:szCs w:val="20"/>
        </w:rPr>
        <w:t>osts of regulatory intervention</w:t>
      </w:r>
    </w:p>
    <w:p w14:paraId="087D0EC0" w14:textId="3BE67A3C" w:rsidR="0039305C" w:rsidRDefault="0039305C" w:rsidP="006C4CEA">
      <w:pPr>
        <w:spacing w:after="160" w:line="259" w:lineRule="auto"/>
      </w:pPr>
      <w:r>
        <w:rPr>
          <w:szCs w:val="20"/>
        </w:rPr>
        <w:t xml:space="preserve">The four major banks have around 80 per cent of the home loan, deposits and credit card markets in </w:t>
      </w:r>
      <w:r w:rsidR="003839CC">
        <w:rPr>
          <w:szCs w:val="20"/>
        </w:rPr>
        <w:t xml:space="preserve">a </w:t>
      </w:r>
      <w:r>
        <w:rPr>
          <w:szCs w:val="20"/>
        </w:rPr>
        <w:t>banking market the Productivity Commission describes as “</w:t>
      </w:r>
      <w:r>
        <w:t>a strong oligopoly with a long tail of smaller providers.”</w:t>
      </w:r>
      <w:r>
        <w:rPr>
          <w:rStyle w:val="FootnoteReference"/>
        </w:rPr>
        <w:footnoteReference w:id="1"/>
      </w:r>
    </w:p>
    <w:p w14:paraId="796FB9F4" w14:textId="77777777" w:rsidR="003839CC" w:rsidRPr="0027372A" w:rsidRDefault="003839CC" w:rsidP="003839CC">
      <w:pPr>
        <w:spacing w:after="160" w:line="259" w:lineRule="auto"/>
        <w:rPr>
          <w:szCs w:val="20"/>
        </w:rPr>
      </w:pPr>
      <w:r>
        <w:rPr>
          <w:szCs w:val="20"/>
        </w:rPr>
        <w:lastRenderedPageBreak/>
        <w:t>According to t</w:t>
      </w:r>
      <w:r w:rsidRPr="0027372A">
        <w:rPr>
          <w:szCs w:val="20"/>
        </w:rPr>
        <w:t>he ACCC</w:t>
      </w:r>
      <w:r>
        <w:rPr>
          <w:szCs w:val="20"/>
        </w:rPr>
        <w:t xml:space="preserve">, </w:t>
      </w:r>
      <w:r w:rsidRPr="0027372A">
        <w:rPr>
          <w:szCs w:val="20"/>
        </w:rPr>
        <w:t>“in situations of oligopoly, all else being equal, a market structure that enables a competitive fringe of second tier firms to effectively challenge the price and service decisions of large incumbents is likely to produce significantly better outcomes for consumers than one that does not.”</w:t>
      </w:r>
      <w:r>
        <w:rPr>
          <w:rStyle w:val="FootnoteReference"/>
          <w:szCs w:val="20"/>
        </w:rPr>
        <w:footnoteReference w:id="2"/>
      </w:r>
      <w:r w:rsidRPr="0027372A">
        <w:rPr>
          <w:szCs w:val="20"/>
        </w:rPr>
        <w:t xml:space="preserve"> </w:t>
      </w:r>
    </w:p>
    <w:p w14:paraId="30E09EF1" w14:textId="4DF748C2" w:rsidR="0039305C" w:rsidRDefault="00D656AE" w:rsidP="006C4CEA">
      <w:pPr>
        <w:spacing w:after="160" w:line="259" w:lineRule="auto"/>
        <w:rPr>
          <w:szCs w:val="20"/>
        </w:rPr>
      </w:pPr>
      <w:r>
        <w:rPr>
          <w:szCs w:val="20"/>
        </w:rPr>
        <w:t>R</w:t>
      </w:r>
      <w:r w:rsidR="006C4CEA" w:rsidRPr="0027372A">
        <w:rPr>
          <w:szCs w:val="20"/>
        </w:rPr>
        <w:t xml:space="preserve">egulatory interventions and regulatory compliance costs are critical factors in determining whether the competitive fringe of second tier firms can challenge the major banks. </w:t>
      </w:r>
    </w:p>
    <w:p w14:paraId="69A014AA" w14:textId="221C406F" w:rsidR="00014E06" w:rsidRPr="0027372A" w:rsidRDefault="006C4CEA" w:rsidP="006C4CEA">
      <w:pPr>
        <w:spacing w:after="160" w:line="259" w:lineRule="auto"/>
        <w:rPr>
          <w:szCs w:val="20"/>
        </w:rPr>
      </w:pPr>
      <w:r w:rsidRPr="0027372A">
        <w:rPr>
          <w:szCs w:val="20"/>
        </w:rPr>
        <w:t xml:space="preserve">Implementing Open Banking will involve significant costs, including the costs of building the technical infrastructure, sourcing the necessary skills and resources to participate, and implementing the policies and procedures to comply with the regime. </w:t>
      </w:r>
    </w:p>
    <w:p w14:paraId="3D45AAEE" w14:textId="4D497E7D" w:rsidR="00014E06" w:rsidRPr="00DF7F66" w:rsidRDefault="00014E06" w:rsidP="00DF7F66">
      <w:pPr>
        <w:spacing w:after="160" w:line="259" w:lineRule="auto"/>
        <w:rPr>
          <w:szCs w:val="20"/>
        </w:rPr>
      </w:pPr>
      <w:r w:rsidRPr="0027372A">
        <w:rPr>
          <w:color w:val="000000"/>
          <w:szCs w:val="20"/>
        </w:rPr>
        <w:t>Small</w:t>
      </w:r>
      <w:r w:rsidR="003839CC">
        <w:rPr>
          <w:color w:val="000000"/>
          <w:szCs w:val="20"/>
        </w:rPr>
        <w:t>er</w:t>
      </w:r>
      <w:r w:rsidRPr="0027372A">
        <w:rPr>
          <w:color w:val="000000"/>
          <w:szCs w:val="20"/>
        </w:rPr>
        <w:t xml:space="preserve"> ADIs should be not forced to budget and plan for unknown costs and unknown technical solutions when they </w:t>
      </w:r>
      <w:r w:rsidR="00DD3694" w:rsidRPr="0027372A">
        <w:rPr>
          <w:color w:val="000000"/>
          <w:szCs w:val="20"/>
        </w:rPr>
        <w:t xml:space="preserve">may </w:t>
      </w:r>
      <w:r w:rsidRPr="0027372A">
        <w:rPr>
          <w:color w:val="000000"/>
          <w:szCs w:val="20"/>
        </w:rPr>
        <w:t>have more important</w:t>
      </w:r>
      <w:r w:rsidR="00C80EB7">
        <w:rPr>
          <w:color w:val="000000"/>
          <w:szCs w:val="20"/>
        </w:rPr>
        <w:t xml:space="preserve"> investment</w:t>
      </w:r>
      <w:r w:rsidRPr="0027372A">
        <w:rPr>
          <w:color w:val="000000"/>
          <w:szCs w:val="20"/>
        </w:rPr>
        <w:t xml:space="preserve"> priorities to compete with major banks and serve their customers. Technology evolves </w:t>
      </w:r>
      <w:proofErr w:type="gramStart"/>
      <w:r w:rsidRPr="0027372A">
        <w:rPr>
          <w:color w:val="000000"/>
          <w:szCs w:val="20"/>
        </w:rPr>
        <w:t>rapidly</w:t>
      </w:r>
      <w:proofErr w:type="gramEnd"/>
      <w:r w:rsidRPr="0027372A">
        <w:rPr>
          <w:color w:val="000000"/>
          <w:szCs w:val="20"/>
        </w:rPr>
        <w:t xml:space="preserve"> and more cost-</w:t>
      </w:r>
      <w:r w:rsidRPr="00DF7F66">
        <w:rPr>
          <w:szCs w:val="20"/>
        </w:rPr>
        <w:t xml:space="preserve">effective solutions </w:t>
      </w:r>
      <w:r w:rsidR="003839CC" w:rsidRPr="00DF7F66">
        <w:rPr>
          <w:szCs w:val="20"/>
        </w:rPr>
        <w:t>are likely</w:t>
      </w:r>
      <w:r w:rsidRPr="00DF7F66">
        <w:rPr>
          <w:szCs w:val="20"/>
        </w:rPr>
        <w:t xml:space="preserve"> be available after the initial implementation</w:t>
      </w:r>
      <w:r w:rsidR="00C80EB7" w:rsidRPr="00DF7F66">
        <w:rPr>
          <w:szCs w:val="20"/>
        </w:rPr>
        <w:t xml:space="preserve"> of Open Banking</w:t>
      </w:r>
      <w:r w:rsidRPr="00DF7F66">
        <w:rPr>
          <w:szCs w:val="20"/>
        </w:rPr>
        <w:t>.</w:t>
      </w:r>
    </w:p>
    <w:p w14:paraId="452C4ADF" w14:textId="712150E2" w:rsidR="0039305C" w:rsidRPr="00DF7F66" w:rsidRDefault="0039305C" w:rsidP="00DF7F66">
      <w:pPr>
        <w:spacing w:after="160" w:line="259" w:lineRule="auto"/>
        <w:rPr>
          <w:szCs w:val="20"/>
        </w:rPr>
      </w:pPr>
      <w:r w:rsidRPr="00DF7F66">
        <w:rPr>
          <w:szCs w:val="20"/>
        </w:rPr>
        <w:t>In implementing Open Banking, policy-makers should seek to keep costs to the least necessary to achieve their objectives.</w:t>
      </w:r>
    </w:p>
    <w:p w14:paraId="0D8240CC" w14:textId="77777777" w:rsidR="006C4CEA" w:rsidRPr="0027372A" w:rsidRDefault="006C4CEA" w:rsidP="006C4CEA">
      <w:pPr>
        <w:spacing w:after="160" w:line="259" w:lineRule="auto"/>
        <w:rPr>
          <w:szCs w:val="20"/>
        </w:rPr>
      </w:pPr>
      <w:r w:rsidRPr="0027372A">
        <w:rPr>
          <w:szCs w:val="20"/>
        </w:rPr>
        <w:t xml:space="preserve">Given this cost burden and the state of the banking market, mandating participation by all banking institutions on an aggressive timetable will be counterproductive. The costs of complying with regulation fall more heavily on smaller firms. This effect provides yet another advantage to the major banks because they can spread fixed regulatory compliance costs over a vastly bigger revenue base. </w:t>
      </w:r>
      <w:r w:rsidR="00DD3694" w:rsidRPr="0027372A">
        <w:rPr>
          <w:szCs w:val="20"/>
        </w:rPr>
        <w:t>In customer-owned institutions, these costs fall onto their customer-owners.</w:t>
      </w:r>
    </w:p>
    <w:p w14:paraId="6BDCAECE" w14:textId="4944F6E6" w:rsidR="006C4CEA" w:rsidRPr="0027372A" w:rsidRDefault="006C4CEA" w:rsidP="006C4CEA">
      <w:pPr>
        <w:spacing w:after="160" w:line="259" w:lineRule="auto"/>
        <w:rPr>
          <w:szCs w:val="20"/>
        </w:rPr>
      </w:pPr>
      <w:r w:rsidRPr="0039305C">
        <w:rPr>
          <w:szCs w:val="20"/>
        </w:rPr>
        <w:t xml:space="preserve">Implementation of an Open Banking regime that delivers the promised benefits of competition, innovation and productivity requires the participation of the major banks but does not require the </w:t>
      </w:r>
      <w:r w:rsidR="0039305C">
        <w:rPr>
          <w:szCs w:val="20"/>
        </w:rPr>
        <w:t xml:space="preserve">mandated </w:t>
      </w:r>
      <w:r w:rsidRPr="0039305C">
        <w:rPr>
          <w:szCs w:val="20"/>
        </w:rPr>
        <w:t>participation</w:t>
      </w:r>
      <w:r w:rsidR="0039305C">
        <w:rPr>
          <w:szCs w:val="20"/>
        </w:rPr>
        <w:t xml:space="preserve"> by an arbitrary date</w:t>
      </w:r>
      <w:r w:rsidRPr="0039305C">
        <w:rPr>
          <w:szCs w:val="20"/>
        </w:rPr>
        <w:t xml:space="preserve"> of all other banking institutions. </w:t>
      </w:r>
      <w:r w:rsidR="003839CC">
        <w:rPr>
          <w:szCs w:val="20"/>
        </w:rPr>
        <w:t>A</w:t>
      </w:r>
      <w:r w:rsidR="00DD3694" w:rsidRPr="0039305C">
        <w:rPr>
          <w:szCs w:val="20"/>
        </w:rPr>
        <w:t xml:space="preserve"> </w:t>
      </w:r>
      <w:r w:rsidR="0039305C">
        <w:rPr>
          <w:szCs w:val="20"/>
        </w:rPr>
        <w:t>targeted</w:t>
      </w:r>
      <w:r w:rsidR="00DD3694" w:rsidRPr="0039305C">
        <w:rPr>
          <w:szCs w:val="20"/>
        </w:rPr>
        <w:t xml:space="preserve"> approach is the most efficient way to increase competition.</w:t>
      </w:r>
    </w:p>
    <w:p w14:paraId="74BC337D" w14:textId="77777777" w:rsidR="00C55C61" w:rsidRDefault="006C4CEA" w:rsidP="00C55C61">
      <w:pPr>
        <w:spacing w:after="160" w:line="259" w:lineRule="auto"/>
        <w:rPr>
          <w:szCs w:val="20"/>
        </w:rPr>
      </w:pPr>
      <w:r w:rsidRPr="0027372A">
        <w:rPr>
          <w:szCs w:val="20"/>
        </w:rPr>
        <w:t xml:space="preserve">Customer owned banking institutions have a strong, built-in incentive to participate in Open Banking because, as challengers to the dominant players, they are motivated to </w:t>
      </w:r>
      <w:proofErr w:type="spellStart"/>
      <w:r w:rsidRPr="0027372A">
        <w:rPr>
          <w:szCs w:val="20"/>
        </w:rPr>
        <w:t>maximise</w:t>
      </w:r>
      <w:proofErr w:type="spellEnd"/>
      <w:r w:rsidRPr="0027372A">
        <w:rPr>
          <w:szCs w:val="20"/>
        </w:rPr>
        <w:t xml:space="preserve"> their competitive potential and the visibility to consumers of their products and services. This means that, subject to strategic priorities and resource constraints, challenger banking institutions are likely to voluntarily participate in Open Banking.</w:t>
      </w:r>
      <w:r w:rsidR="00DD3694" w:rsidRPr="0027372A">
        <w:rPr>
          <w:szCs w:val="20"/>
        </w:rPr>
        <w:t xml:space="preserve"> </w:t>
      </w:r>
    </w:p>
    <w:p w14:paraId="1388ED1B" w14:textId="77777777" w:rsidR="00C55C61" w:rsidRPr="0027372A" w:rsidRDefault="00C55C61" w:rsidP="00C55C61">
      <w:pPr>
        <w:spacing w:after="160" w:line="259" w:lineRule="auto"/>
        <w:rPr>
          <w:b/>
          <w:szCs w:val="20"/>
        </w:rPr>
      </w:pPr>
      <w:r w:rsidRPr="0027372A">
        <w:rPr>
          <w:szCs w:val="20"/>
        </w:rPr>
        <w:t>In contrast, the dominant players in the market are less likely to voluntarily participate. The House Economics Committee found that the major banks have “a conflict as the process of opening up data will lead to the asset being shared with other financial services companies.”</w:t>
      </w:r>
      <w:r w:rsidRPr="0027372A">
        <w:rPr>
          <w:rStyle w:val="FootnoteReference"/>
          <w:szCs w:val="20"/>
        </w:rPr>
        <w:footnoteReference w:id="3"/>
      </w:r>
      <w:r w:rsidRPr="0027372A">
        <w:rPr>
          <w:szCs w:val="20"/>
        </w:rPr>
        <w:t xml:space="preserve"> The Productivity Commission (PC) found that “it is likely that access to data provides some degree of competitive advantage for incumbents.”</w:t>
      </w:r>
      <w:r w:rsidRPr="0027372A">
        <w:rPr>
          <w:rStyle w:val="FootnoteReference"/>
          <w:szCs w:val="20"/>
        </w:rPr>
        <w:footnoteReference w:id="4"/>
      </w:r>
    </w:p>
    <w:p w14:paraId="6C31CE09" w14:textId="485CA717" w:rsidR="00EA3CE7" w:rsidRPr="0027372A" w:rsidRDefault="00C55C61" w:rsidP="00C55C61">
      <w:pPr>
        <w:spacing w:after="160" w:line="259" w:lineRule="auto"/>
        <w:rPr>
          <w:szCs w:val="20"/>
        </w:rPr>
      </w:pPr>
      <w:r>
        <w:rPr>
          <w:szCs w:val="20"/>
        </w:rPr>
        <w:t xml:space="preserve">Once Open Banking has been implemented via mandatory participation by the dominant players in the market, other institutions will feel </w:t>
      </w:r>
      <w:r w:rsidR="003839CC">
        <w:rPr>
          <w:szCs w:val="20"/>
        </w:rPr>
        <w:t>mounting</w:t>
      </w:r>
      <w:r>
        <w:rPr>
          <w:szCs w:val="20"/>
        </w:rPr>
        <w:t xml:space="preserve"> competitive pressure to participate. Over time </w:t>
      </w:r>
      <w:r w:rsidR="00014E06" w:rsidRPr="0027372A">
        <w:rPr>
          <w:szCs w:val="20"/>
        </w:rPr>
        <w:t xml:space="preserve">more and more customers </w:t>
      </w:r>
      <w:r>
        <w:rPr>
          <w:szCs w:val="20"/>
        </w:rPr>
        <w:t xml:space="preserve">will </w:t>
      </w:r>
      <w:r w:rsidR="00014E06" w:rsidRPr="0027372A">
        <w:rPr>
          <w:szCs w:val="20"/>
        </w:rPr>
        <w:t>demand the services that can only be provided through the ‘open banking’ interface (i.e. the apps and comparison tools)</w:t>
      </w:r>
      <w:r w:rsidR="00DD3694" w:rsidRPr="0027372A">
        <w:rPr>
          <w:szCs w:val="20"/>
        </w:rPr>
        <w:t>.</w:t>
      </w:r>
    </w:p>
    <w:p w14:paraId="4DBA1A1E" w14:textId="77777777" w:rsidR="00DD3694" w:rsidRPr="0027372A" w:rsidRDefault="00DD3694" w:rsidP="00DD3694">
      <w:pPr>
        <w:rPr>
          <w:szCs w:val="20"/>
        </w:rPr>
      </w:pPr>
    </w:p>
    <w:p w14:paraId="55F904C7" w14:textId="77777777" w:rsidR="00227A31" w:rsidRPr="0027372A" w:rsidRDefault="00227A31" w:rsidP="00227A31">
      <w:pPr>
        <w:rPr>
          <w:b/>
          <w:szCs w:val="20"/>
        </w:rPr>
      </w:pPr>
      <w:r w:rsidRPr="0027372A">
        <w:rPr>
          <w:b/>
          <w:szCs w:val="20"/>
        </w:rPr>
        <w:t>Design of the Framework</w:t>
      </w:r>
    </w:p>
    <w:p w14:paraId="5ACACA35" w14:textId="39B6C0F1" w:rsidR="00BC010D" w:rsidRPr="0027372A" w:rsidRDefault="00BC010D" w:rsidP="00DF7F66">
      <w:pPr>
        <w:spacing w:after="160" w:line="259" w:lineRule="auto"/>
        <w:rPr>
          <w:szCs w:val="20"/>
        </w:rPr>
      </w:pPr>
      <w:r w:rsidRPr="0027372A">
        <w:rPr>
          <w:szCs w:val="20"/>
        </w:rPr>
        <w:t>COBA b</w:t>
      </w:r>
      <w:r w:rsidR="009A1131" w:rsidRPr="0027372A">
        <w:rPr>
          <w:szCs w:val="20"/>
        </w:rPr>
        <w:t>roadly supports the design of th</w:t>
      </w:r>
      <w:r w:rsidR="00C55C61">
        <w:rPr>
          <w:szCs w:val="20"/>
        </w:rPr>
        <w:t>e Open Banking</w:t>
      </w:r>
      <w:r w:rsidR="009A1131" w:rsidRPr="0027372A">
        <w:rPr>
          <w:szCs w:val="20"/>
        </w:rPr>
        <w:t xml:space="preserve"> framework</w:t>
      </w:r>
      <w:r w:rsidR="00C55C61">
        <w:rPr>
          <w:szCs w:val="20"/>
        </w:rPr>
        <w:t xml:space="preserve"> proposed by the Review.</w:t>
      </w:r>
    </w:p>
    <w:p w14:paraId="30BC3543" w14:textId="03C88E64" w:rsidR="00BC010D" w:rsidRPr="0027372A" w:rsidRDefault="003C45DB" w:rsidP="00DF7F66">
      <w:pPr>
        <w:spacing w:after="160" w:line="259" w:lineRule="auto"/>
        <w:rPr>
          <w:szCs w:val="20"/>
        </w:rPr>
      </w:pPr>
      <w:r w:rsidRPr="0027372A">
        <w:rPr>
          <w:szCs w:val="20"/>
        </w:rPr>
        <w:t>COBA members have noted support for k</w:t>
      </w:r>
      <w:r w:rsidR="00BC010D" w:rsidRPr="0027372A">
        <w:rPr>
          <w:szCs w:val="20"/>
        </w:rPr>
        <w:t>ey design features includ</w:t>
      </w:r>
      <w:r w:rsidR="00C55C61">
        <w:rPr>
          <w:szCs w:val="20"/>
        </w:rPr>
        <w:t>ing</w:t>
      </w:r>
      <w:r w:rsidR="00BC010D" w:rsidRPr="0027372A">
        <w:rPr>
          <w:szCs w:val="20"/>
        </w:rPr>
        <w:t>:</w:t>
      </w:r>
    </w:p>
    <w:p w14:paraId="3F54154B" w14:textId="13D28A3E" w:rsidR="003C45DB" w:rsidRPr="00C55C61" w:rsidRDefault="00C55C61" w:rsidP="00C55C61">
      <w:pPr>
        <w:pStyle w:val="ListParagraph"/>
        <w:numPr>
          <w:ilvl w:val="0"/>
          <w:numId w:val="12"/>
        </w:numPr>
        <w:rPr>
          <w:rFonts w:ascii="Verdana" w:hAnsi="Verdana"/>
          <w:sz w:val="20"/>
          <w:szCs w:val="20"/>
        </w:rPr>
      </w:pPr>
      <w:r>
        <w:rPr>
          <w:rFonts w:ascii="Verdana" w:hAnsi="Verdana"/>
          <w:sz w:val="20"/>
          <w:szCs w:val="20"/>
        </w:rPr>
        <w:t>t</w:t>
      </w:r>
      <w:r w:rsidR="003C45DB" w:rsidRPr="00C55C61">
        <w:rPr>
          <w:rFonts w:ascii="Verdana" w:hAnsi="Verdana"/>
          <w:sz w:val="20"/>
          <w:szCs w:val="20"/>
        </w:rPr>
        <w:t>he need for a</w:t>
      </w:r>
      <w:r w:rsidR="009A1131" w:rsidRPr="00C55C61">
        <w:rPr>
          <w:rFonts w:ascii="Verdana" w:hAnsi="Verdana"/>
          <w:sz w:val="20"/>
          <w:szCs w:val="20"/>
        </w:rPr>
        <w:t xml:space="preserve">ccreditation of </w:t>
      </w:r>
      <w:r w:rsidR="00227A31" w:rsidRPr="00C55C61">
        <w:rPr>
          <w:rFonts w:ascii="Verdana" w:hAnsi="Verdana"/>
          <w:sz w:val="20"/>
          <w:szCs w:val="20"/>
        </w:rPr>
        <w:t>third</w:t>
      </w:r>
      <w:r w:rsidR="009A1131" w:rsidRPr="00C55C61">
        <w:rPr>
          <w:rFonts w:ascii="Verdana" w:hAnsi="Verdana"/>
          <w:sz w:val="20"/>
          <w:szCs w:val="20"/>
        </w:rPr>
        <w:t xml:space="preserve"> parties</w:t>
      </w:r>
      <w:r w:rsidR="003C45DB" w:rsidRPr="00C55C61">
        <w:rPr>
          <w:rFonts w:ascii="Verdana" w:hAnsi="Verdana"/>
          <w:sz w:val="20"/>
          <w:szCs w:val="20"/>
        </w:rPr>
        <w:t xml:space="preserve"> to access the data</w:t>
      </w:r>
    </w:p>
    <w:p w14:paraId="17C1C2CD" w14:textId="6823AEFE" w:rsidR="009A1131" w:rsidRPr="00C55C61" w:rsidRDefault="00C55C61" w:rsidP="00C55C61">
      <w:pPr>
        <w:pStyle w:val="ListParagraph"/>
        <w:numPr>
          <w:ilvl w:val="0"/>
          <w:numId w:val="12"/>
        </w:numPr>
        <w:rPr>
          <w:rFonts w:ascii="Verdana" w:hAnsi="Verdana"/>
          <w:sz w:val="20"/>
          <w:szCs w:val="20"/>
        </w:rPr>
      </w:pPr>
      <w:r>
        <w:rPr>
          <w:rFonts w:ascii="Verdana" w:hAnsi="Verdana"/>
          <w:sz w:val="20"/>
          <w:szCs w:val="20"/>
        </w:rPr>
        <w:lastRenderedPageBreak/>
        <w:t>s</w:t>
      </w:r>
      <w:r w:rsidR="003C45DB" w:rsidRPr="00C55C61">
        <w:rPr>
          <w:rFonts w:ascii="Verdana" w:hAnsi="Verdana"/>
          <w:sz w:val="20"/>
          <w:szCs w:val="20"/>
        </w:rPr>
        <w:t xml:space="preserve">upport for the </w:t>
      </w:r>
      <w:r w:rsidR="00227A31" w:rsidRPr="00C55C61">
        <w:rPr>
          <w:rFonts w:ascii="Verdana" w:hAnsi="Verdana"/>
          <w:sz w:val="20"/>
          <w:szCs w:val="20"/>
        </w:rPr>
        <w:t>assumed accreditation of ADIs</w:t>
      </w:r>
      <w:r w:rsidR="00D43AB9">
        <w:rPr>
          <w:rFonts w:ascii="Verdana" w:hAnsi="Verdana"/>
          <w:sz w:val="20"/>
          <w:szCs w:val="20"/>
        </w:rPr>
        <w:t xml:space="preserve"> to receive data</w:t>
      </w:r>
    </w:p>
    <w:p w14:paraId="7F5B032B" w14:textId="5377BF4E" w:rsidR="009A1131" w:rsidRPr="00C55C61" w:rsidRDefault="00C55C61" w:rsidP="00C55C61">
      <w:pPr>
        <w:pStyle w:val="ListParagraph"/>
        <w:numPr>
          <w:ilvl w:val="0"/>
          <w:numId w:val="12"/>
        </w:numPr>
        <w:rPr>
          <w:rFonts w:ascii="Verdana" w:hAnsi="Verdana"/>
          <w:sz w:val="20"/>
          <w:szCs w:val="20"/>
        </w:rPr>
      </w:pPr>
      <w:r>
        <w:rPr>
          <w:rFonts w:ascii="Verdana" w:hAnsi="Verdana"/>
          <w:sz w:val="20"/>
          <w:szCs w:val="20"/>
        </w:rPr>
        <w:t>t</w:t>
      </w:r>
      <w:r w:rsidR="00227A31" w:rsidRPr="00C55C61">
        <w:rPr>
          <w:rFonts w:ascii="Verdana" w:hAnsi="Verdana"/>
          <w:sz w:val="20"/>
          <w:szCs w:val="20"/>
        </w:rPr>
        <w:t>he need for c</w:t>
      </w:r>
      <w:r w:rsidR="009A1131" w:rsidRPr="00C55C61">
        <w:rPr>
          <w:rFonts w:ascii="Verdana" w:hAnsi="Verdana"/>
          <w:sz w:val="20"/>
          <w:szCs w:val="20"/>
        </w:rPr>
        <w:t>ustomer consent</w:t>
      </w:r>
      <w:r w:rsidR="00227A31" w:rsidRPr="00C55C61">
        <w:rPr>
          <w:rFonts w:ascii="Verdana" w:hAnsi="Verdana"/>
          <w:sz w:val="20"/>
          <w:szCs w:val="20"/>
        </w:rPr>
        <w:t xml:space="preserve"> to share data</w:t>
      </w:r>
    </w:p>
    <w:p w14:paraId="61957A83" w14:textId="0ACC3A27" w:rsidR="009A1131" w:rsidRPr="00C55C61" w:rsidRDefault="00C55C61" w:rsidP="00C55C61">
      <w:pPr>
        <w:pStyle w:val="ListParagraph"/>
        <w:numPr>
          <w:ilvl w:val="0"/>
          <w:numId w:val="12"/>
        </w:numPr>
        <w:rPr>
          <w:rFonts w:ascii="Verdana" w:hAnsi="Verdana"/>
          <w:sz w:val="20"/>
          <w:szCs w:val="20"/>
        </w:rPr>
      </w:pPr>
      <w:r>
        <w:rPr>
          <w:rFonts w:ascii="Verdana" w:hAnsi="Verdana"/>
          <w:sz w:val="20"/>
          <w:szCs w:val="20"/>
        </w:rPr>
        <w:t>p</w:t>
      </w:r>
      <w:r w:rsidR="009A1131" w:rsidRPr="00C55C61">
        <w:rPr>
          <w:rFonts w:ascii="Verdana" w:hAnsi="Verdana"/>
          <w:sz w:val="20"/>
          <w:szCs w:val="20"/>
        </w:rPr>
        <w:t>roposed data sharing scope</w:t>
      </w:r>
      <w:r w:rsidR="00227A31" w:rsidRPr="00C55C61">
        <w:rPr>
          <w:rFonts w:ascii="Verdana" w:hAnsi="Verdana"/>
          <w:sz w:val="20"/>
          <w:szCs w:val="20"/>
        </w:rPr>
        <w:t xml:space="preserve">, including to the extent that it excludes </w:t>
      </w:r>
      <w:r w:rsidR="00F07E04" w:rsidRPr="00C55C61">
        <w:rPr>
          <w:rFonts w:ascii="Verdana" w:hAnsi="Verdana"/>
          <w:sz w:val="20"/>
          <w:szCs w:val="20"/>
        </w:rPr>
        <w:t>propriety</w:t>
      </w:r>
      <w:r w:rsidR="00227A31" w:rsidRPr="00C55C61">
        <w:rPr>
          <w:rFonts w:ascii="Verdana" w:hAnsi="Verdana"/>
          <w:sz w:val="20"/>
          <w:szCs w:val="20"/>
        </w:rPr>
        <w:t xml:space="preserve"> data</w:t>
      </w:r>
    </w:p>
    <w:p w14:paraId="3E89D107" w14:textId="75742800" w:rsidR="009A1131" w:rsidRPr="00C55C61" w:rsidRDefault="00D43AB9" w:rsidP="00C55C61">
      <w:pPr>
        <w:pStyle w:val="ListParagraph"/>
        <w:numPr>
          <w:ilvl w:val="0"/>
          <w:numId w:val="12"/>
        </w:numPr>
        <w:rPr>
          <w:rFonts w:ascii="Verdana" w:hAnsi="Verdana"/>
          <w:sz w:val="20"/>
          <w:szCs w:val="20"/>
        </w:rPr>
      </w:pPr>
      <w:r>
        <w:rPr>
          <w:rFonts w:ascii="Verdana" w:hAnsi="Verdana"/>
          <w:sz w:val="20"/>
          <w:szCs w:val="20"/>
        </w:rPr>
        <w:t>i</w:t>
      </w:r>
      <w:r w:rsidR="00227A31" w:rsidRPr="00C55C61">
        <w:rPr>
          <w:rFonts w:ascii="Verdana" w:hAnsi="Verdana"/>
          <w:sz w:val="20"/>
          <w:szCs w:val="20"/>
        </w:rPr>
        <w:t xml:space="preserve">nitial implementation of </w:t>
      </w:r>
      <w:r w:rsidR="002A6054">
        <w:rPr>
          <w:rFonts w:ascii="Verdana" w:hAnsi="Verdana"/>
          <w:sz w:val="20"/>
          <w:szCs w:val="20"/>
        </w:rPr>
        <w:t>‘</w:t>
      </w:r>
      <w:r w:rsidR="00227A31" w:rsidRPr="00C55C61">
        <w:rPr>
          <w:rFonts w:ascii="Verdana" w:hAnsi="Verdana"/>
          <w:sz w:val="20"/>
          <w:szCs w:val="20"/>
        </w:rPr>
        <w:t>read</w:t>
      </w:r>
      <w:r w:rsidR="002A6054">
        <w:rPr>
          <w:rFonts w:ascii="Verdana" w:hAnsi="Verdana"/>
          <w:sz w:val="20"/>
          <w:szCs w:val="20"/>
        </w:rPr>
        <w:t>’</w:t>
      </w:r>
      <w:r w:rsidR="00227A31" w:rsidRPr="00C55C61">
        <w:rPr>
          <w:rFonts w:ascii="Verdana" w:hAnsi="Verdana"/>
          <w:sz w:val="20"/>
          <w:szCs w:val="20"/>
        </w:rPr>
        <w:t xml:space="preserve">, with progress </w:t>
      </w:r>
      <w:r>
        <w:rPr>
          <w:rFonts w:ascii="Verdana" w:hAnsi="Verdana"/>
          <w:sz w:val="20"/>
          <w:szCs w:val="20"/>
        </w:rPr>
        <w:t>to</w:t>
      </w:r>
      <w:r w:rsidR="00227A31" w:rsidRPr="00C55C61">
        <w:rPr>
          <w:rFonts w:ascii="Verdana" w:hAnsi="Verdana"/>
          <w:sz w:val="20"/>
          <w:szCs w:val="20"/>
        </w:rPr>
        <w:t xml:space="preserve"> </w:t>
      </w:r>
      <w:r w:rsidR="002A6054">
        <w:rPr>
          <w:rFonts w:ascii="Verdana" w:hAnsi="Verdana"/>
          <w:sz w:val="20"/>
          <w:szCs w:val="20"/>
        </w:rPr>
        <w:t>‘</w:t>
      </w:r>
      <w:r w:rsidR="00227A31" w:rsidRPr="00C55C61">
        <w:rPr>
          <w:rFonts w:ascii="Verdana" w:hAnsi="Verdana"/>
          <w:sz w:val="20"/>
          <w:szCs w:val="20"/>
        </w:rPr>
        <w:t>write</w:t>
      </w:r>
      <w:r w:rsidR="002A6054">
        <w:rPr>
          <w:rFonts w:ascii="Verdana" w:hAnsi="Verdana"/>
          <w:sz w:val="20"/>
          <w:szCs w:val="20"/>
        </w:rPr>
        <w:t>’</w:t>
      </w:r>
      <w:r w:rsidR="00227A31" w:rsidRPr="00C55C61">
        <w:rPr>
          <w:rFonts w:ascii="Verdana" w:hAnsi="Verdana"/>
          <w:sz w:val="20"/>
          <w:szCs w:val="20"/>
        </w:rPr>
        <w:t xml:space="preserve"> access later</w:t>
      </w:r>
    </w:p>
    <w:p w14:paraId="4824C06D" w14:textId="21419267" w:rsidR="009A1131" w:rsidRPr="00C55C61" w:rsidRDefault="00C55C61" w:rsidP="00C55C61">
      <w:pPr>
        <w:pStyle w:val="ListParagraph"/>
        <w:numPr>
          <w:ilvl w:val="0"/>
          <w:numId w:val="12"/>
        </w:numPr>
        <w:rPr>
          <w:rFonts w:ascii="Verdana" w:hAnsi="Verdana"/>
          <w:sz w:val="20"/>
          <w:szCs w:val="20"/>
        </w:rPr>
      </w:pPr>
      <w:r>
        <w:rPr>
          <w:rFonts w:ascii="Verdana" w:hAnsi="Verdana"/>
          <w:sz w:val="20"/>
          <w:szCs w:val="20"/>
        </w:rPr>
        <w:t>a</w:t>
      </w:r>
      <w:r w:rsidR="009A1131" w:rsidRPr="00C55C61">
        <w:rPr>
          <w:rFonts w:ascii="Verdana" w:hAnsi="Verdana"/>
          <w:sz w:val="20"/>
          <w:szCs w:val="20"/>
        </w:rPr>
        <w:t>llocation of liability to data recipients</w:t>
      </w:r>
      <w:r>
        <w:rPr>
          <w:rFonts w:ascii="Verdana" w:hAnsi="Verdana"/>
          <w:sz w:val="20"/>
          <w:szCs w:val="20"/>
        </w:rPr>
        <w:t>, and</w:t>
      </w:r>
    </w:p>
    <w:p w14:paraId="44F6E8FE" w14:textId="5E55B163" w:rsidR="009A1131" w:rsidRPr="00C55C61" w:rsidRDefault="00C55C61" w:rsidP="00C55C61">
      <w:pPr>
        <w:pStyle w:val="ListParagraph"/>
        <w:numPr>
          <w:ilvl w:val="0"/>
          <w:numId w:val="12"/>
        </w:numPr>
        <w:rPr>
          <w:rFonts w:ascii="Verdana" w:hAnsi="Verdana"/>
          <w:sz w:val="20"/>
          <w:szCs w:val="20"/>
        </w:rPr>
      </w:pPr>
      <w:r>
        <w:rPr>
          <w:rFonts w:ascii="Verdana" w:hAnsi="Verdana"/>
          <w:sz w:val="20"/>
          <w:szCs w:val="20"/>
        </w:rPr>
        <w:t>t</w:t>
      </w:r>
      <w:r w:rsidR="009A1131" w:rsidRPr="00C55C61">
        <w:rPr>
          <w:rFonts w:ascii="Verdana" w:hAnsi="Verdana"/>
          <w:sz w:val="20"/>
          <w:szCs w:val="20"/>
        </w:rPr>
        <w:t xml:space="preserve">hird party compliance with </w:t>
      </w:r>
      <w:r>
        <w:rPr>
          <w:rFonts w:ascii="Verdana" w:hAnsi="Verdana"/>
          <w:sz w:val="20"/>
          <w:szCs w:val="20"/>
        </w:rPr>
        <w:t>P</w:t>
      </w:r>
      <w:r w:rsidR="009A1131" w:rsidRPr="00C55C61">
        <w:rPr>
          <w:rFonts w:ascii="Verdana" w:hAnsi="Verdana"/>
          <w:sz w:val="20"/>
          <w:szCs w:val="20"/>
        </w:rPr>
        <w:t>rivacy</w:t>
      </w:r>
      <w:r>
        <w:rPr>
          <w:rFonts w:ascii="Verdana" w:hAnsi="Verdana"/>
          <w:sz w:val="20"/>
          <w:szCs w:val="20"/>
        </w:rPr>
        <w:t xml:space="preserve"> A</w:t>
      </w:r>
      <w:r w:rsidR="009A1131" w:rsidRPr="00C55C61">
        <w:rPr>
          <w:rFonts w:ascii="Verdana" w:hAnsi="Verdana"/>
          <w:sz w:val="20"/>
          <w:szCs w:val="20"/>
        </w:rPr>
        <w:t>ct</w:t>
      </w:r>
      <w:r>
        <w:rPr>
          <w:rFonts w:ascii="Verdana" w:hAnsi="Verdana"/>
          <w:sz w:val="20"/>
          <w:szCs w:val="20"/>
        </w:rPr>
        <w:t>.</w:t>
      </w:r>
    </w:p>
    <w:p w14:paraId="1364A938" w14:textId="63C8DBBE" w:rsidR="00072923" w:rsidRPr="0027372A" w:rsidRDefault="00014E06" w:rsidP="00A267C6">
      <w:pPr>
        <w:rPr>
          <w:szCs w:val="20"/>
        </w:rPr>
      </w:pPr>
      <w:r w:rsidRPr="0027372A">
        <w:rPr>
          <w:b/>
          <w:szCs w:val="20"/>
        </w:rPr>
        <w:t xml:space="preserve">COBA does not support mandating </w:t>
      </w:r>
      <w:r w:rsidR="002A6054">
        <w:rPr>
          <w:b/>
          <w:szCs w:val="20"/>
        </w:rPr>
        <w:t xml:space="preserve">participation by </w:t>
      </w:r>
      <w:r w:rsidRPr="0027372A">
        <w:rPr>
          <w:b/>
          <w:szCs w:val="20"/>
        </w:rPr>
        <w:t>all</w:t>
      </w:r>
      <w:r w:rsidR="0082620F" w:rsidRPr="0027372A">
        <w:rPr>
          <w:b/>
          <w:szCs w:val="20"/>
        </w:rPr>
        <w:t xml:space="preserve"> </w:t>
      </w:r>
      <w:r w:rsidRPr="0027372A">
        <w:rPr>
          <w:b/>
          <w:szCs w:val="20"/>
        </w:rPr>
        <w:t>ADIs</w:t>
      </w:r>
    </w:p>
    <w:p w14:paraId="343B7F67" w14:textId="28D92C1A" w:rsidR="00AB4FF8" w:rsidRPr="0027372A" w:rsidRDefault="00A267C6" w:rsidP="00DF7F66">
      <w:pPr>
        <w:spacing w:after="160" w:line="259" w:lineRule="auto"/>
        <w:rPr>
          <w:szCs w:val="20"/>
        </w:rPr>
      </w:pPr>
      <w:r w:rsidRPr="0027372A">
        <w:rPr>
          <w:szCs w:val="20"/>
        </w:rPr>
        <w:t xml:space="preserve">COBA does not </w:t>
      </w:r>
      <w:r w:rsidR="00B777BB" w:rsidRPr="0027372A">
        <w:rPr>
          <w:szCs w:val="20"/>
        </w:rPr>
        <w:t xml:space="preserve">support the </w:t>
      </w:r>
      <w:r w:rsidR="00DD3694" w:rsidRPr="0027372A">
        <w:rPr>
          <w:szCs w:val="20"/>
        </w:rPr>
        <w:t>R</w:t>
      </w:r>
      <w:r w:rsidR="00B777BB" w:rsidRPr="0027372A">
        <w:rPr>
          <w:szCs w:val="20"/>
        </w:rPr>
        <w:t xml:space="preserve">eport’s </w:t>
      </w:r>
      <w:r w:rsidR="00DD3694" w:rsidRPr="0027372A">
        <w:rPr>
          <w:szCs w:val="20"/>
        </w:rPr>
        <w:t>recommendation</w:t>
      </w:r>
      <w:r w:rsidR="00B777BB" w:rsidRPr="0027372A">
        <w:rPr>
          <w:szCs w:val="20"/>
        </w:rPr>
        <w:t xml:space="preserve"> to </w:t>
      </w:r>
      <w:r w:rsidRPr="0027372A">
        <w:rPr>
          <w:szCs w:val="20"/>
        </w:rPr>
        <w:t>mandat</w:t>
      </w:r>
      <w:r w:rsidR="00B777BB" w:rsidRPr="0027372A">
        <w:rPr>
          <w:szCs w:val="20"/>
        </w:rPr>
        <w:t>e</w:t>
      </w:r>
      <w:r w:rsidRPr="0027372A">
        <w:rPr>
          <w:szCs w:val="20"/>
        </w:rPr>
        <w:t xml:space="preserve"> small ADIs into </w:t>
      </w:r>
      <w:r w:rsidR="002A6054">
        <w:rPr>
          <w:szCs w:val="20"/>
        </w:rPr>
        <w:t>O</w:t>
      </w:r>
      <w:r w:rsidR="00B777BB" w:rsidRPr="0027372A">
        <w:rPr>
          <w:szCs w:val="20"/>
        </w:rPr>
        <w:t xml:space="preserve">pen </w:t>
      </w:r>
      <w:r w:rsidR="00BB3C23">
        <w:rPr>
          <w:szCs w:val="20"/>
        </w:rPr>
        <w:t>B</w:t>
      </w:r>
      <w:r w:rsidR="00B777BB" w:rsidRPr="0027372A">
        <w:rPr>
          <w:szCs w:val="20"/>
        </w:rPr>
        <w:t>anking</w:t>
      </w:r>
      <w:r w:rsidR="00DD3694" w:rsidRPr="0027372A">
        <w:rPr>
          <w:szCs w:val="20"/>
        </w:rPr>
        <w:t xml:space="preserve"> </w:t>
      </w:r>
      <w:r w:rsidR="00CC38E7" w:rsidRPr="0027372A">
        <w:rPr>
          <w:szCs w:val="20"/>
        </w:rPr>
        <w:t>12 months after the commencement date. Even th</w:t>
      </w:r>
      <w:r w:rsidR="00D43AB9">
        <w:rPr>
          <w:szCs w:val="20"/>
        </w:rPr>
        <w:t>e proposed</w:t>
      </w:r>
      <w:r w:rsidR="00DD3694" w:rsidRPr="0027372A">
        <w:rPr>
          <w:szCs w:val="20"/>
        </w:rPr>
        <w:t xml:space="preserve"> phased approach reduces the individual choice of </w:t>
      </w:r>
      <w:r w:rsidR="00CC38E7" w:rsidRPr="0027372A">
        <w:rPr>
          <w:szCs w:val="20"/>
        </w:rPr>
        <w:t>small</w:t>
      </w:r>
      <w:r w:rsidR="00D43AB9">
        <w:rPr>
          <w:szCs w:val="20"/>
        </w:rPr>
        <w:t>er</w:t>
      </w:r>
      <w:r w:rsidR="00CC38E7" w:rsidRPr="0027372A">
        <w:rPr>
          <w:szCs w:val="20"/>
        </w:rPr>
        <w:t xml:space="preserve"> </w:t>
      </w:r>
      <w:r w:rsidR="00DD3694" w:rsidRPr="0027372A">
        <w:rPr>
          <w:szCs w:val="20"/>
        </w:rPr>
        <w:t>ADIs</w:t>
      </w:r>
      <w:r w:rsidR="00CC38E7" w:rsidRPr="0027372A">
        <w:rPr>
          <w:szCs w:val="20"/>
        </w:rPr>
        <w:t xml:space="preserve"> to </w:t>
      </w:r>
      <w:r w:rsidR="00D43AB9">
        <w:rPr>
          <w:szCs w:val="20"/>
        </w:rPr>
        <w:t xml:space="preserve">decide their priorities and </w:t>
      </w:r>
      <w:r w:rsidR="00CC38E7" w:rsidRPr="0027372A">
        <w:rPr>
          <w:szCs w:val="20"/>
        </w:rPr>
        <w:t>plan their investments</w:t>
      </w:r>
      <w:r w:rsidR="00B777BB" w:rsidRPr="0027372A">
        <w:rPr>
          <w:szCs w:val="20"/>
        </w:rPr>
        <w:t>.</w:t>
      </w:r>
      <w:r w:rsidR="00014E06" w:rsidRPr="0027372A">
        <w:rPr>
          <w:szCs w:val="20"/>
        </w:rPr>
        <w:t xml:space="preserve"> </w:t>
      </w:r>
    </w:p>
    <w:p w14:paraId="26D14A35" w14:textId="764A33B5" w:rsidR="00A267C6" w:rsidRDefault="00D43AB9" w:rsidP="00DF7F66">
      <w:pPr>
        <w:spacing w:after="160" w:line="259" w:lineRule="auto"/>
        <w:rPr>
          <w:szCs w:val="20"/>
        </w:rPr>
      </w:pPr>
      <w:r>
        <w:rPr>
          <w:szCs w:val="20"/>
        </w:rPr>
        <w:t>There should be</w:t>
      </w:r>
      <w:r w:rsidR="00B777BB" w:rsidRPr="0027372A">
        <w:rPr>
          <w:szCs w:val="20"/>
        </w:rPr>
        <w:t xml:space="preserve"> </w:t>
      </w:r>
      <w:r w:rsidR="00BC010D" w:rsidRPr="0027372A">
        <w:rPr>
          <w:szCs w:val="20"/>
        </w:rPr>
        <w:t>greater flexibility for small</w:t>
      </w:r>
      <w:r>
        <w:rPr>
          <w:szCs w:val="20"/>
        </w:rPr>
        <w:t>er</w:t>
      </w:r>
      <w:r w:rsidR="00BC010D" w:rsidRPr="0027372A">
        <w:rPr>
          <w:szCs w:val="20"/>
        </w:rPr>
        <w:t xml:space="preserve"> ADIs </w:t>
      </w:r>
      <w:r w:rsidR="00F07E04" w:rsidRPr="0027372A">
        <w:rPr>
          <w:szCs w:val="20"/>
        </w:rPr>
        <w:t>to ad</w:t>
      </w:r>
      <w:r>
        <w:rPr>
          <w:szCs w:val="20"/>
        </w:rPr>
        <w:t>o</w:t>
      </w:r>
      <w:r w:rsidR="00F07E04" w:rsidRPr="0027372A">
        <w:rPr>
          <w:szCs w:val="20"/>
        </w:rPr>
        <w:t xml:space="preserve">pt </w:t>
      </w:r>
      <w:r>
        <w:rPr>
          <w:szCs w:val="20"/>
        </w:rPr>
        <w:t>O</w:t>
      </w:r>
      <w:r w:rsidR="00F07E04" w:rsidRPr="0027372A">
        <w:rPr>
          <w:szCs w:val="20"/>
        </w:rPr>
        <w:t xml:space="preserve">pen </w:t>
      </w:r>
      <w:r>
        <w:rPr>
          <w:szCs w:val="20"/>
        </w:rPr>
        <w:t>B</w:t>
      </w:r>
      <w:r w:rsidR="00F07E04" w:rsidRPr="0027372A">
        <w:rPr>
          <w:szCs w:val="20"/>
        </w:rPr>
        <w:t xml:space="preserve">anking </w:t>
      </w:r>
      <w:r>
        <w:rPr>
          <w:szCs w:val="20"/>
        </w:rPr>
        <w:t>according to their own timetables,</w:t>
      </w:r>
      <w:r w:rsidR="00B777BB" w:rsidRPr="0027372A">
        <w:rPr>
          <w:szCs w:val="20"/>
        </w:rPr>
        <w:t xml:space="preserve"> given relatively limited resourcing</w:t>
      </w:r>
      <w:r>
        <w:rPr>
          <w:szCs w:val="20"/>
        </w:rPr>
        <w:t xml:space="preserve"> and uncertainty about customer </w:t>
      </w:r>
      <w:r w:rsidR="00DD3694" w:rsidRPr="0027372A">
        <w:rPr>
          <w:szCs w:val="20"/>
        </w:rPr>
        <w:t>take</w:t>
      </w:r>
      <w:r w:rsidR="00490FAA">
        <w:rPr>
          <w:szCs w:val="20"/>
        </w:rPr>
        <w:t>-up</w:t>
      </w:r>
      <w:r>
        <w:rPr>
          <w:szCs w:val="20"/>
        </w:rPr>
        <w:t xml:space="preserve">. </w:t>
      </w:r>
      <w:r w:rsidR="00B777BB" w:rsidRPr="0027372A">
        <w:rPr>
          <w:szCs w:val="20"/>
        </w:rPr>
        <w:t xml:space="preserve"> </w:t>
      </w:r>
    </w:p>
    <w:p w14:paraId="1A72E940" w14:textId="39CA8E9D" w:rsidR="007B17D9" w:rsidRPr="0027372A" w:rsidRDefault="00D43AB9" w:rsidP="00BA4D10">
      <w:pPr>
        <w:spacing w:after="160" w:line="259" w:lineRule="auto"/>
        <w:rPr>
          <w:szCs w:val="20"/>
        </w:rPr>
      </w:pPr>
      <w:r>
        <w:rPr>
          <w:szCs w:val="20"/>
        </w:rPr>
        <w:t>T</w:t>
      </w:r>
      <w:r w:rsidR="00A267C6" w:rsidRPr="0027372A">
        <w:rPr>
          <w:szCs w:val="20"/>
        </w:rPr>
        <w:t>he Review proposes a phased commencement for entities</w:t>
      </w:r>
      <w:r>
        <w:rPr>
          <w:szCs w:val="20"/>
        </w:rPr>
        <w:t>, acknowledging</w:t>
      </w:r>
      <w:r w:rsidR="00B777BB" w:rsidRPr="0027372A">
        <w:rPr>
          <w:szCs w:val="20"/>
        </w:rPr>
        <w:t xml:space="preserve"> “potential resource constraints and competing demands”</w:t>
      </w:r>
      <w:r w:rsidR="007B17D9" w:rsidRPr="0027372A">
        <w:rPr>
          <w:szCs w:val="20"/>
        </w:rPr>
        <w:t xml:space="preserve"> for smaller ADIs</w:t>
      </w:r>
      <w:r w:rsidR="00B777BB" w:rsidRPr="0027372A">
        <w:rPr>
          <w:szCs w:val="20"/>
        </w:rPr>
        <w:t xml:space="preserve">. </w:t>
      </w:r>
    </w:p>
    <w:tbl>
      <w:tblPr>
        <w:tblStyle w:val="TableGrid"/>
        <w:tblW w:w="0" w:type="auto"/>
        <w:tblInd w:w="562" w:type="dxa"/>
        <w:shd w:val="clear" w:color="auto" w:fill="E2EFD9" w:themeFill="accent6" w:themeFillTint="33"/>
        <w:tblLook w:val="04A0" w:firstRow="1" w:lastRow="0" w:firstColumn="1" w:lastColumn="0" w:noHBand="0" w:noVBand="1"/>
      </w:tblPr>
      <w:tblGrid>
        <w:gridCol w:w="8811"/>
      </w:tblGrid>
      <w:tr w:rsidR="007B17D9" w:rsidRPr="0027372A" w14:paraId="3C9A1860" w14:textId="77777777" w:rsidTr="0036076C">
        <w:tc>
          <w:tcPr>
            <w:tcW w:w="8811" w:type="dxa"/>
            <w:shd w:val="clear" w:color="auto" w:fill="auto"/>
          </w:tcPr>
          <w:p w14:paraId="443779E4" w14:textId="77777777" w:rsidR="00DF7F66" w:rsidRDefault="00DF7F66" w:rsidP="00DF7F66">
            <w:pPr>
              <w:rPr>
                <w:szCs w:val="20"/>
              </w:rPr>
            </w:pPr>
          </w:p>
          <w:p w14:paraId="456AED41" w14:textId="14636572" w:rsidR="007B17D9" w:rsidRPr="0027372A" w:rsidRDefault="007B17D9" w:rsidP="00DF7F66">
            <w:pPr>
              <w:rPr>
                <w:szCs w:val="20"/>
              </w:rPr>
            </w:pPr>
            <w:r w:rsidRPr="0027372A">
              <w:rPr>
                <w:szCs w:val="20"/>
              </w:rPr>
              <w:t>Recommendation 6.2 - phased commencement for entities</w:t>
            </w:r>
          </w:p>
          <w:p w14:paraId="321CA883" w14:textId="77777777" w:rsidR="007B17D9" w:rsidRPr="0027372A" w:rsidRDefault="007B17D9" w:rsidP="00DF7F66">
            <w:pPr>
              <w:rPr>
                <w:szCs w:val="20"/>
              </w:rPr>
            </w:pPr>
          </w:p>
          <w:p w14:paraId="6F8D2222" w14:textId="77777777" w:rsidR="007B17D9" w:rsidRDefault="007B17D9" w:rsidP="00DF7F66">
            <w:pPr>
              <w:rPr>
                <w:szCs w:val="20"/>
              </w:rPr>
            </w:pPr>
            <w:r w:rsidRPr="0027372A">
              <w:rPr>
                <w:szCs w:val="20"/>
              </w:rPr>
              <w:t xml:space="preserve">From the Commencement Date, the four major Australian banks should be obliged to comply with a direction to share data under Open Banking. The remaining </w:t>
            </w:r>
            <w:proofErr w:type="spellStart"/>
            <w:r w:rsidRPr="0027372A">
              <w:rPr>
                <w:szCs w:val="20"/>
              </w:rPr>
              <w:t>Authorised</w:t>
            </w:r>
            <w:proofErr w:type="spellEnd"/>
            <w:r w:rsidRPr="0027372A">
              <w:rPr>
                <w:szCs w:val="20"/>
              </w:rPr>
              <w:t xml:space="preserve"> Deposit-taking Institutions should be obliged to share data from 12 months after the Commencement Date, unless the ACCC determines that a later date is more appropriate.</w:t>
            </w:r>
          </w:p>
          <w:p w14:paraId="1E04E38B" w14:textId="3B2AAF20" w:rsidR="00DF7F66" w:rsidRPr="0027372A" w:rsidRDefault="00DF7F66" w:rsidP="00DF7F66">
            <w:pPr>
              <w:rPr>
                <w:szCs w:val="20"/>
              </w:rPr>
            </w:pPr>
          </w:p>
        </w:tc>
      </w:tr>
    </w:tbl>
    <w:p w14:paraId="39C9E974" w14:textId="77777777" w:rsidR="00BA4D10" w:rsidRDefault="00BA4D10" w:rsidP="00DF7F66">
      <w:pPr>
        <w:spacing w:after="160" w:line="259" w:lineRule="auto"/>
        <w:rPr>
          <w:szCs w:val="20"/>
        </w:rPr>
      </w:pPr>
    </w:p>
    <w:p w14:paraId="649E2E78" w14:textId="2ACDF201" w:rsidR="00D43AB9" w:rsidRDefault="007B17D9" w:rsidP="00DF7F66">
      <w:pPr>
        <w:spacing w:after="160" w:line="259" w:lineRule="auto"/>
        <w:rPr>
          <w:szCs w:val="20"/>
        </w:rPr>
      </w:pPr>
      <w:r w:rsidRPr="0027372A">
        <w:rPr>
          <w:szCs w:val="20"/>
        </w:rPr>
        <w:t>COBA strongly</w:t>
      </w:r>
      <w:r w:rsidR="00A267C6" w:rsidRPr="0027372A">
        <w:rPr>
          <w:szCs w:val="20"/>
        </w:rPr>
        <w:t xml:space="preserve"> supports the intent on this recommendation to provide </w:t>
      </w:r>
      <w:r w:rsidR="00D43AB9">
        <w:rPr>
          <w:szCs w:val="20"/>
        </w:rPr>
        <w:t xml:space="preserve">additional </w:t>
      </w:r>
      <w:r w:rsidR="00A267C6" w:rsidRPr="0027372A">
        <w:rPr>
          <w:szCs w:val="20"/>
        </w:rPr>
        <w:t>time for small institution</w:t>
      </w:r>
      <w:r w:rsidR="006C4CEA" w:rsidRPr="0027372A">
        <w:rPr>
          <w:szCs w:val="20"/>
        </w:rPr>
        <w:t>s</w:t>
      </w:r>
      <w:r w:rsidR="00D43AB9">
        <w:rPr>
          <w:szCs w:val="20"/>
        </w:rPr>
        <w:t xml:space="preserve"> but we do not support limiting this time to 12 months.</w:t>
      </w:r>
    </w:p>
    <w:p w14:paraId="0A40D913" w14:textId="64761AB2" w:rsidR="006C4CEA" w:rsidRPr="00BA4D10" w:rsidRDefault="00D43AB9" w:rsidP="00DF7F66">
      <w:pPr>
        <w:spacing w:after="160" w:line="259" w:lineRule="auto"/>
        <w:rPr>
          <w:szCs w:val="20"/>
        </w:rPr>
      </w:pPr>
      <w:r>
        <w:rPr>
          <w:szCs w:val="20"/>
        </w:rPr>
        <w:t xml:space="preserve">The better approach to the ACCC’s determination powers is the approach taken in relation to the </w:t>
      </w:r>
      <w:r w:rsidR="00920A52" w:rsidRPr="0027372A">
        <w:rPr>
          <w:szCs w:val="20"/>
        </w:rPr>
        <w:t xml:space="preserve">proposed implementation of comprehensive credit reporting (CCR). In the current draft CCR </w:t>
      </w:r>
      <w:r w:rsidR="00CC1BAA">
        <w:rPr>
          <w:szCs w:val="20"/>
        </w:rPr>
        <w:t>B</w:t>
      </w:r>
      <w:r w:rsidR="00920A52" w:rsidRPr="0027372A">
        <w:rPr>
          <w:szCs w:val="20"/>
        </w:rPr>
        <w:t>ill</w:t>
      </w:r>
      <w:r w:rsidR="00920A52" w:rsidRPr="00BA4D10">
        <w:rPr>
          <w:sz w:val="16"/>
          <w:vertAlign w:val="superscript"/>
        </w:rPr>
        <w:footnoteReference w:id="5"/>
      </w:r>
      <w:r w:rsidR="00920A52" w:rsidRPr="0027372A">
        <w:rPr>
          <w:szCs w:val="20"/>
        </w:rPr>
        <w:t xml:space="preserve"> the Govern</w:t>
      </w:r>
      <w:r w:rsidR="004F2103" w:rsidRPr="0027372A">
        <w:rPr>
          <w:szCs w:val="20"/>
        </w:rPr>
        <w:t>m</w:t>
      </w:r>
      <w:r w:rsidR="00920A52" w:rsidRPr="0027372A">
        <w:rPr>
          <w:szCs w:val="20"/>
        </w:rPr>
        <w:t xml:space="preserve">ent proposes to mandate in the large ADIs, while </w:t>
      </w:r>
      <w:r w:rsidR="004F2103" w:rsidRPr="0027372A">
        <w:rPr>
          <w:szCs w:val="20"/>
        </w:rPr>
        <w:t>providing the ability to make regulations to mandate in other credit providers as it sees fit. The Explanatory Memorandum</w:t>
      </w:r>
      <w:r>
        <w:rPr>
          <w:szCs w:val="20"/>
        </w:rPr>
        <w:t xml:space="preserve"> says:</w:t>
      </w:r>
      <w:r w:rsidR="004F2103" w:rsidRPr="0027372A">
        <w:rPr>
          <w:szCs w:val="20"/>
        </w:rPr>
        <w:t xml:space="preserve"> “The Government expects that regulations would be made if it becomes apparent, after the mandatory regime has been in operation, that other credit providers are not voluntarily supplying data”</w:t>
      </w:r>
      <w:r w:rsidR="004F2103" w:rsidRPr="00BA4D10">
        <w:rPr>
          <w:sz w:val="16"/>
          <w:vertAlign w:val="superscript"/>
        </w:rPr>
        <w:footnoteReference w:id="6"/>
      </w:r>
      <w:r w:rsidR="00BA4D10">
        <w:rPr>
          <w:sz w:val="16"/>
        </w:rPr>
        <w:t>.</w:t>
      </w:r>
    </w:p>
    <w:p w14:paraId="15DEB2ED" w14:textId="1055760E" w:rsidR="00CC38E7" w:rsidRPr="0027372A" w:rsidRDefault="004F2103" w:rsidP="00DF7F66">
      <w:pPr>
        <w:spacing w:after="160" w:line="259" w:lineRule="auto"/>
        <w:rPr>
          <w:szCs w:val="20"/>
        </w:rPr>
      </w:pPr>
      <w:r w:rsidRPr="0027372A">
        <w:rPr>
          <w:szCs w:val="20"/>
        </w:rPr>
        <w:t xml:space="preserve">This approach allows </w:t>
      </w:r>
      <w:r w:rsidR="00CC1BAA">
        <w:rPr>
          <w:szCs w:val="20"/>
        </w:rPr>
        <w:t xml:space="preserve">for </w:t>
      </w:r>
      <w:r w:rsidRPr="0027372A">
        <w:rPr>
          <w:szCs w:val="20"/>
        </w:rPr>
        <w:t xml:space="preserve">the consideration of a multitude of factors before extending the regime to the wider </w:t>
      </w:r>
      <w:r w:rsidR="00CC38E7" w:rsidRPr="0027372A">
        <w:rPr>
          <w:szCs w:val="20"/>
        </w:rPr>
        <w:t>ADI</w:t>
      </w:r>
      <w:r w:rsidRPr="0027372A">
        <w:rPr>
          <w:szCs w:val="20"/>
        </w:rPr>
        <w:t xml:space="preserve"> community. </w:t>
      </w:r>
    </w:p>
    <w:p w14:paraId="24288578" w14:textId="24470C64" w:rsidR="00CC1BAA" w:rsidRDefault="004F2103" w:rsidP="00DF7F66">
      <w:pPr>
        <w:spacing w:after="160" w:line="259" w:lineRule="auto"/>
        <w:rPr>
          <w:szCs w:val="20"/>
        </w:rPr>
      </w:pPr>
      <w:r w:rsidRPr="0027372A">
        <w:rPr>
          <w:szCs w:val="20"/>
        </w:rPr>
        <w:t xml:space="preserve">COBA believes that such an approach will allow the ACCC to </w:t>
      </w:r>
      <w:r w:rsidR="00E51C96" w:rsidRPr="0027372A">
        <w:rPr>
          <w:szCs w:val="20"/>
        </w:rPr>
        <w:t>consider</w:t>
      </w:r>
      <w:r w:rsidRPr="0027372A">
        <w:rPr>
          <w:szCs w:val="20"/>
        </w:rPr>
        <w:t xml:space="preserve"> </w:t>
      </w:r>
      <w:r w:rsidR="00CC1BAA">
        <w:rPr>
          <w:szCs w:val="20"/>
        </w:rPr>
        <w:t>the take</w:t>
      </w:r>
      <w:r w:rsidR="00490FAA">
        <w:rPr>
          <w:szCs w:val="20"/>
        </w:rPr>
        <w:t>-up</w:t>
      </w:r>
      <w:r w:rsidR="00CC1BAA">
        <w:rPr>
          <w:szCs w:val="20"/>
        </w:rPr>
        <w:t xml:space="preserve"> of Open Banking by consumers and the a</w:t>
      </w:r>
      <w:r w:rsidRPr="0027372A">
        <w:rPr>
          <w:szCs w:val="20"/>
        </w:rPr>
        <w:t xml:space="preserve">ctual rather than </w:t>
      </w:r>
      <w:r w:rsidR="00CC1BAA">
        <w:rPr>
          <w:szCs w:val="20"/>
        </w:rPr>
        <w:t>forecast</w:t>
      </w:r>
      <w:r w:rsidRPr="0027372A">
        <w:rPr>
          <w:szCs w:val="20"/>
        </w:rPr>
        <w:t xml:space="preserve"> benefits</w:t>
      </w:r>
      <w:r w:rsidR="00CC1BAA">
        <w:rPr>
          <w:szCs w:val="20"/>
        </w:rPr>
        <w:t xml:space="preserve"> as well as</w:t>
      </w:r>
      <w:r w:rsidRPr="0027372A">
        <w:rPr>
          <w:szCs w:val="20"/>
        </w:rPr>
        <w:t xml:space="preserve"> firmer information </w:t>
      </w:r>
      <w:r w:rsidR="00CC1BAA">
        <w:rPr>
          <w:szCs w:val="20"/>
        </w:rPr>
        <w:t>about:</w:t>
      </w:r>
    </w:p>
    <w:p w14:paraId="295B6A29" w14:textId="77777777" w:rsidR="00CC1BAA" w:rsidRPr="00CC1BAA" w:rsidRDefault="00CC1BAA" w:rsidP="00CC1BAA">
      <w:pPr>
        <w:pStyle w:val="ListParagraph"/>
        <w:numPr>
          <w:ilvl w:val="0"/>
          <w:numId w:val="13"/>
        </w:numPr>
        <w:rPr>
          <w:rFonts w:ascii="Verdana" w:hAnsi="Verdana"/>
          <w:sz w:val="20"/>
          <w:szCs w:val="20"/>
        </w:rPr>
      </w:pPr>
      <w:r w:rsidRPr="00CC1BAA">
        <w:rPr>
          <w:rFonts w:ascii="Verdana" w:hAnsi="Verdana"/>
          <w:sz w:val="20"/>
          <w:szCs w:val="20"/>
        </w:rPr>
        <w:t>the costs of O</w:t>
      </w:r>
      <w:r w:rsidR="004F2103" w:rsidRPr="00CC1BAA">
        <w:rPr>
          <w:rFonts w:ascii="Verdana" w:hAnsi="Verdana"/>
          <w:sz w:val="20"/>
          <w:szCs w:val="20"/>
        </w:rPr>
        <w:t>pen</w:t>
      </w:r>
      <w:r w:rsidRPr="00CC1BAA">
        <w:rPr>
          <w:rFonts w:ascii="Verdana" w:hAnsi="Verdana"/>
          <w:sz w:val="20"/>
          <w:szCs w:val="20"/>
        </w:rPr>
        <w:t xml:space="preserve"> B</w:t>
      </w:r>
      <w:r w:rsidR="004F2103" w:rsidRPr="00CC1BAA">
        <w:rPr>
          <w:rFonts w:ascii="Verdana" w:hAnsi="Verdana"/>
          <w:sz w:val="20"/>
          <w:szCs w:val="20"/>
        </w:rPr>
        <w:t>anking</w:t>
      </w:r>
      <w:r w:rsidRPr="00CC1BAA">
        <w:rPr>
          <w:rFonts w:ascii="Verdana" w:hAnsi="Verdana"/>
          <w:sz w:val="20"/>
          <w:szCs w:val="20"/>
        </w:rPr>
        <w:t xml:space="preserve"> </w:t>
      </w:r>
    </w:p>
    <w:p w14:paraId="5482E1E7" w14:textId="4586FDCB" w:rsidR="00CC1BAA" w:rsidRPr="00CC1BAA" w:rsidRDefault="00CC1BAA" w:rsidP="00CC1BAA">
      <w:pPr>
        <w:pStyle w:val="ListParagraph"/>
        <w:numPr>
          <w:ilvl w:val="0"/>
          <w:numId w:val="13"/>
        </w:numPr>
        <w:rPr>
          <w:rFonts w:ascii="Verdana" w:hAnsi="Verdana"/>
          <w:sz w:val="20"/>
          <w:szCs w:val="20"/>
        </w:rPr>
      </w:pPr>
      <w:r w:rsidRPr="00CC1BAA">
        <w:rPr>
          <w:rFonts w:ascii="Verdana" w:hAnsi="Verdana"/>
          <w:sz w:val="20"/>
          <w:szCs w:val="20"/>
        </w:rPr>
        <w:t xml:space="preserve">the </w:t>
      </w:r>
      <w:r w:rsidR="004F2103" w:rsidRPr="00CC1BAA">
        <w:rPr>
          <w:rFonts w:ascii="Verdana" w:hAnsi="Verdana"/>
          <w:sz w:val="20"/>
          <w:szCs w:val="20"/>
        </w:rPr>
        <w:t>emergence of potential low-cost alternatives that meet the</w:t>
      </w:r>
      <w:r w:rsidR="007044A9">
        <w:rPr>
          <w:rFonts w:ascii="Verdana" w:hAnsi="Verdana"/>
          <w:sz w:val="20"/>
          <w:szCs w:val="20"/>
        </w:rPr>
        <w:t xml:space="preserve"> Consumer Data Right (</w:t>
      </w:r>
      <w:r w:rsidR="004F2103" w:rsidRPr="00CC1BAA">
        <w:rPr>
          <w:rFonts w:ascii="Verdana" w:hAnsi="Verdana"/>
          <w:sz w:val="20"/>
          <w:szCs w:val="20"/>
        </w:rPr>
        <w:t>CDR</w:t>
      </w:r>
      <w:r w:rsidR="007044A9">
        <w:rPr>
          <w:rFonts w:ascii="Verdana" w:hAnsi="Verdana"/>
          <w:sz w:val="20"/>
          <w:szCs w:val="20"/>
        </w:rPr>
        <w:t>)</w:t>
      </w:r>
      <w:r w:rsidR="004F2103" w:rsidRPr="00CC1BAA">
        <w:rPr>
          <w:rStyle w:val="FootnoteReference"/>
          <w:rFonts w:ascii="Verdana" w:hAnsi="Verdana"/>
          <w:sz w:val="20"/>
          <w:szCs w:val="20"/>
        </w:rPr>
        <w:footnoteReference w:id="7"/>
      </w:r>
      <w:r w:rsidR="004F2103" w:rsidRPr="00CC1BAA">
        <w:rPr>
          <w:rFonts w:ascii="Verdana" w:hAnsi="Verdana"/>
          <w:sz w:val="20"/>
          <w:szCs w:val="20"/>
        </w:rPr>
        <w:t xml:space="preserve">, and </w:t>
      </w:r>
    </w:p>
    <w:p w14:paraId="089B847D" w14:textId="77CF91C2" w:rsidR="004F2103" w:rsidRPr="00CC1BAA" w:rsidRDefault="00CC1BAA" w:rsidP="00CC1BAA">
      <w:pPr>
        <w:pStyle w:val="ListParagraph"/>
        <w:numPr>
          <w:ilvl w:val="0"/>
          <w:numId w:val="13"/>
        </w:numPr>
        <w:rPr>
          <w:rFonts w:ascii="Verdana" w:hAnsi="Verdana"/>
          <w:sz w:val="20"/>
          <w:szCs w:val="20"/>
        </w:rPr>
      </w:pPr>
      <w:r>
        <w:rPr>
          <w:rFonts w:ascii="Verdana" w:hAnsi="Verdana"/>
          <w:sz w:val="20"/>
          <w:szCs w:val="20"/>
        </w:rPr>
        <w:t xml:space="preserve">other </w:t>
      </w:r>
      <w:r w:rsidR="004F2103" w:rsidRPr="00CC1BAA">
        <w:rPr>
          <w:rFonts w:ascii="Verdana" w:hAnsi="Verdana"/>
          <w:sz w:val="20"/>
          <w:szCs w:val="20"/>
        </w:rPr>
        <w:t xml:space="preserve">lessons learnt from the first phase of </w:t>
      </w:r>
      <w:r>
        <w:rPr>
          <w:rFonts w:ascii="Verdana" w:hAnsi="Verdana"/>
          <w:sz w:val="20"/>
          <w:szCs w:val="20"/>
        </w:rPr>
        <w:t>O</w:t>
      </w:r>
      <w:r w:rsidR="004F2103" w:rsidRPr="00CC1BAA">
        <w:rPr>
          <w:rFonts w:ascii="Verdana" w:hAnsi="Verdana"/>
          <w:sz w:val="20"/>
          <w:szCs w:val="20"/>
        </w:rPr>
        <w:t xml:space="preserve">pen </w:t>
      </w:r>
      <w:r>
        <w:rPr>
          <w:rFonts w:ascii="Verdana" w:hAnsi="Verdana"/>
          <w:sz w:val="20"/>
          <w:szCs w:val="20"/>
        </w:rPr>
        <w:t>B</w:t>
      </w:r>
      <w:r w:rsidR="004F2103" w:rsidRPr="00CC1BAA">
        <w:rPr>
          <w:rFonts w:ascii="Verdana" w:hAnsi="Verdana"/>
          <w:sz w:val="20"/>
          <w:szCs w:val="20"/>
        </w:rPr>
        <w:t>anking implementation</w:t>
      </w:r>
      <w:r w:rsidR="00820CBF" w:rsidRPr="00CC1BAA">
        <w:rPr>
          <w:rFonts w:ascii="Verdana" w:hAnsi="Verdana"/>
          <w:sz w:val="20"/>
          <w:szCs w:val="20"/>
        </w:rPr>
        <w:t>.</w:t>
      </w:r>
    </w:p>
    <w:p w14:paraId="5136716C" w14:textId="77777777" w:rsidR="004F2103" w:rsidRPr="0027372A" w:rsidRDefault="004F2103" w:rsidP="007B17D9">
      <w:pPr>
        <w:rPr>
          <w:szCs w:val="20"/>
        </w:rPr>
      </w:pPr>
    </w:p>
    <w:p w14:paraId="30AA170C" w14:textId="66C32B5C" w:rsidR="004F2103" w:rsidRDefault="004F2103" w:rsidP="00DF7F66">
      <w:pPr>
        <w:spacing w:after="160" w:line="259" w:lineRule="auto"/>
        <w:rPr>
          <w:szCs w:val="20"/>
        </w:rPr>
      </w:pPr>
      <w:r w:rsidRPr="0027372A">
        <w:rPr>
          <w:szCs w:val="20"/>
        </w:rPr>
        <w:lastRenderedPageBreak/>
        <w:t>This approach will provide great</w:t>
      </w:r>
      <w:r w:rsidR="00B20734" w:rsidRPr="0027372A">
        <w:rPr>
          <w:szCs w:val="20"/>
        </w:rPr>
        <w:t>er</w:t>
      </w:r>
      <w:r w:rsidRPr="0027372A">
        <w:rPr>
          <w:szCs w:val="20"/>
        </w:rPr>
        <w:t xml:space="preserve"> flexibility for small ADIs to adopt </w:t>
      </w:r>
      <w:r w:rsidR="00CC1BAA">
        <w:rPr>
          <w:szCs w:val="20"/>
        </w:rPr>
        <w:t>O</w:t>
      </w:r>
      <w:r w:rsidR="00B20734" w:rsidRPr="0027372A">
        <w:rPr>
          <w:szCs w:val="20"/>
        </w:rPr>
        <w:t xml:space="preserve">pen </w:t>
      </w:r>
      <w:r w:rsidR="00CC1BAA">
        <w:rPr>
          <w:szCs w:val="20"/>
        </w:rPr>
        <w:t>B</w:t>
      </w:r>
      <w:r w:rsidR="00B20734" w:rsidRPr="0027372A">
        <w:rPr>
          <w:szCs w:val="20"/>
        </w:rPr>
        <w:t xml:space="preserve">anking </w:t>
      </w:r>
      <w:r w:rsidR="00CC1BAA">
        <w:rPr>
          <w:szCs w:val="20"/>
        </w:rPr>
        <w:t xml:space="preserve">according to their </w:t>
      </w:r>
      <w:r w:rsidR="00CC1BAA" w:rsidRPr="0039305C">
        <w:rPr>
          <w:szCs w:val="20"/>
        </w:rPr>
        <w:t>own timetables based on their customer needs and their investment priorities.</w:t>
      </w:r>
      <w:r w:rsidR="00CC1BAA">
        <w:rPr>
          <w:szCs w:val="20"/>
        </w:rPr>
        <w:t xml:space="preserve"> </w:t>
      </w:r>
      <w:r w:rsidR="00CC38E7" w:rsidRPr="0027372A">
        <w:rPr>
          <w:szCs w:val="20"/>
        </w:rPr>
        <w:t xml:space="preserve">An arbitrary implementation date is likely to drive up costs as entities compete for a limited supply of </w:t>
      </w:r>
      <w:r w:rsidR="00CC1BAA">
        <w:rPr>
          <w:szCs w:val="20"/>
        </w:rPr>
        <w:t>expertise</w:t>
      </w:r>
      <w:r w:rsidR="00CC38E7" w:rsidRPr="0027372A">
        <w:rPr>
          <w:szCs w:val="20"/>
        </w:rPr>
        <w:t xml:space="preserve">. </w:t>
      </w:r>
    </w:p>
    <w:p w14:paraId="7112B02E" w14:textId="4BD3BA43" w:rsidR="00CC1BAA" w:rsidRPr="0027372A" w:rsidRDefault="00CC1BAA" w:rsidP="00DF7F66">
      <w:pPr>
        <w:spacing w:after="160" w:line="259" w:lineRule="auto"/>
        <w:rPr>
          <w:szCs w:val="20"/>
        </w:rPr>
      </w:pPr>
      <w:r>
        <w:rPr>
          <w:szCs w:val="20"/>
        </w:rPr>
        <w:t>The challenge of implementing Open Banking even for large banking institutions is demonstrated by the UK experience.</w:t>
      </w:r>
    </w:p>
    <w:p w14:paraId="0E6C4960" w14:textId="3E0B9A2F" w:rsidR="00CC38E7" w:rsidRPr="0027372A" w:rsidRDefault="00CC1BAA" w:rsidP="00DF7F66">
      <w:pPr>
        <w:spacing w:after="160" w:line="259" w:lineRule="auto"/>
        <w:rPr>
          <w:szCs w:val="20"/>
        </w:rPr>
      </w:pPr>
      <w:r>
        <w:rPr>
          <w:szCs w:val="20"/>
        </w:rPr>
        <w:t xml:space="preserve">The UK mandated nine larger banking institutions into Open Banking and of these, </w:t>
      </w:r>
      <w:r w:rsidR="00896E10" w:rsidRPr="0027372A">
        <w:rPr>
          <w:szCs w:val="20"/>
        </w:rPr>
        <w:t>five banks (</w:t>
      </w:r>
      <w:r w:rsidR="00CC38E7" w:rsidRPr="0027372A">
        <w:rPr>
          <w:szCs w:val="20"/>
        </w:rPr>
        <w:t>Barclays,</w:t>
      </w:r>
      <w:r>
        <w:rPr>
          <w:szCs w:val="20"/>
        </w:rPr>
        <w:t xml:space="preserve"> </w:t>
      </w:r>
      <w:hyperlink r:id="rId11" w:history="1">
        <w:r w:rsidR="00CC38E7" w:rsidRPr="0027372A">
          <w:rPr>
            <w:szCs w:val="20"/>
          </w:rPr>
          <w:t>RBS</w:t>
        </w:r>
      </w:hyperlink>
      <w:r w:rsidR="00896E10" w:rsidRPr="0027372A">
        <w:rPr>
          <w:szCs w:val="20"/>
        </w:rPr>
        <w:t>,</w:t>
      </w:r>
      <w:r w:rsidR="00CC38E7" w:rsidRPr="0027372A">
        <w:rPr>
          <w:szCs w:val="20"/>
        </w:rPr>
        <w:t xml:space="preserve"> HSBC</w:t>
      </w:r>
      <w:r w:rsidR="00896E10" w:rsidRPr="0027372A">
        <w:rPr>
          <w:szCs w:val="20"/>
        </w:rPr>
        <w:t xml:space="preserve">, </w:t>
      </w:r>
      <w:r w:rsidR="00CC38E7" w:rsidRPr="0027372A">
        <w:rPr>
          <w:szCs w:val="20"/>
        </w:rPr>
        <w:t xml:space="preserve">Bank of Ireland </w:t>
      </w:r>
      <w:r w:rsidR="00896E10" w:rsidRPr="0027372A">
        <w:rPr>
          <w:szCs w:val="20"/>
        </w:rPr>
        <w:t>and Santander) sought extensions to the deadline.</w:t>
      </w:r>
      <w:r w:rsidR="00896E10" w:rsidRPr="0027372A">
        <w:rPr>
          <w:rStyle w:val="FootnoteReference"/>
          <w:szCs w:val="20"/>
        </w:rPr>
        <w:footnoteReference w:id="8"/>
      </w:r>
      <w:r w:rsidR="00DF6A66" w:rsidRPr="0027372A">
        <w:rPr>
          <w:szCs w:val="20"/>
        </w:rPr>
        <w:t xml:space="preserve"> Another institution (Nationwide Building Society) required a la</w:t>
      </w:r>
      <w:r w:rsidR="00E51C96" w:rsidRPr="0027372A">
        <w:rPr>
          <w:szCs w:val="20"/>
        </w:rPr>
        <w:t>s</w:t>
      </w:r>
      <w:r w:rsidR="00DF6A66" w:rsidRPr="0027372A">
        <w:rPr>
          <w:szCs w:val="20"/>
        </w:rPr>
        <w:t xml:space="preserve">t-minute extension. </w:t>
      </w:r>
      <w:r w:rsidR="00DF6A66" w:rsidRPr="0027372A">
        <w:rPr>
          <w:rStyle w:val="FootnoteReference"/>
          <w:szCs w:val="20"/>
        </w:rPr>
        <w:footnoteReference w:id="9"/>
      </w:r>
    </w:p>
    <w:p w14:paraId="6B47949B" w14:textId="77777777" w:rsidR="00CC38E7" w:rsidRPr="0027372A" w:rsidRDefault="00CC38E7" w:rsidP="00CC38E7">
      <w:pPr>
        <w:pStyle w:val="NormalWeb"/>
        <w:shd w:val="clear" w:color="auto" w:fill="FFFFFF"/>
        <w:spacing w:before="0" w:beforeAutospacing="0" w:after="0" w:afterAutospacing="0"/>
        <w:textAlignment w:val="baseline"/>
        <w:rPr>
          <w:rFonts w:ascii="Verdana" w:eastAsiaTheme="minorEastAsia" w:hAnsi="Verdana" w:cstheme="minorBidi"/>
          <w:color w:val="000000" w:themeColor="text1"/>
          <w:sz w:val="20"/>
          <w:szCs w:val="20"/>
          <w:lang w:val="en-US" w:eastAsia="en-US"/>
        </w:rPr>
      </w:pPr>
    </w:p>
    <w:p w14:paraId="341CE902" w14:textId="5DEC1620" w:rsidR="00FA7794" w:rsidRPr="0027372A" w:rsidRDefault="0027372A" w:rsidP="007B17D9">
      <w:pPr>
        <w:rPr>
          <w:b/>
          <w:szCs w:val="20"/>
        </w:rPr>
      </w:pPr>
      <w:r>
        <w:rPr>
          <w:b/>
          <w:szCs w:val="20"/>
        </w:rPr>
        <w:t xml:space="preserve">Mandated </w:t>
      </w:r>
      <w:r w:rsidR="00BB3C23">
        <w:rPr>
          <w:b/>
          <w:szCs w:val="20"/>
        </w:rPr>
        <w:t>O</w:t>
      </w:r>
      <w:r>
        <w:rPr>
          <w:b/>
          <w:szCs w:val="20"/>
        </w:rPr>
        <w:t xml:space="preserve">pen </w:t>
      </w:r>
      <w:r w:rsidR="00BB3C23">
        <w:rPr>
          <w:b/>
          <w:szCs w:val="20"/>
        </w:rPr>
        <w:t>B</w:t>
      </w:r>
      <w:r>
        <w:rPr>
          <w:b/>
          <w:szCs w:val="20"/>
        </w:rPr>
        <w:t>anking would be costly and compete with</w:t>
      </w:r>
      <w:r w:rsidR="00FA7794" w:rsidRPr="0027372A">
        <w:rPr>
          <w:b/>
          <w:szCs w:val="20"/>
        </w:rPr>
        <w:t xml:space="preserve"> other </w:t>
      </w:r>
      <w:r w:rsidR="002A6054">
        <w:rPr>
          <w:b/>
          <w:szCs w:val="20"/>
        </w:rPr>
        <w:t>priorities</w:t>
      </w:r>
    </w:p>
    <w:p w14:paraId="7A4B621B" w14:textId="77777777" w:rsidR="0027372A" w:rsidRDefault="0027372A" w:rsidP="00DF7F66">
      <w:pPr>
        <w:spacing w:after="160" w:line="259" w:lineRule="auto"/>
        <w:rPr>
          <w:szCs w:val="20"/>
        </w:rPr>
      </w:pPr>
      <w:r w:rsidRPr="0027372A">
        <w:rPr>
          <w:szCs w:val="20"/>
        </w:rPr>
        <w:t>Implementing Open Banking will involve significant costs, including the costs of building the technical infrastructure, sourcing the necessary skills and resources to participate, and implementing the policies and procedures to comply with the regime.</w:t>
      </w:r>
    </w:p>
    <w:p w14:paraId="41F559D2" w14:textId="77777777" w:rsidR="00FA7794" w:rsidRPr="0027372A" w:rsidRDefault="00DF6A66" w:rsidP="00DF7F66">
      <w:pPr>
        <w:spacing w:after="160" w:line="259" w:lineRule="auto"/>
        <w:rPr>
          <w:szCs w:val="20"/>
        </w:rPr>
      </w:pPr>
      <w:r w:rsidRPr="0027372A">
        <w:rPr>
          <w:szCs w:val="20"/>
        </w:rPr>
        <w:t>Due to their relatively small size compared to the major banks, customer owned banking institutions continually face difficult trade-offs in deciding where to allocate scare resources for investment.</w:t>
      </w:r>
    </w:p>
    <w:p w14:paraId="61845099" w14:textId="21EF1DB3" w:rsidR="00FA7794" w:rsidRDefault="00DF6A66" w:rsidP="00DF7F66">
      <w:pPr>
        <w:spacing w:after="160" w:line="259" w:lineRule="auto"/>
        <w:rPr>
          <w:szCs w:val="20"/>
        </w:rPr>
      </w:pPr>
      <w:r w:rsidRPr="0027372A">
        <w:rPr>
          <w:szCs w:val="20"/>
        </w:rPr>
        <w:t xml:space="preserve">There are several </w:t>
      </w:r>
      <w:r w:rsidR="00FA7794" w:rsidRPr="0027372A">
        <w:rPr>
          <w:szCs w:val="20"/>
        </w:rPr>
        <w:t xml:space="preserve">other projects competing for resources in </w:t>
      </w:r>
      <w:r w:rsidRPr="0027372A">
        <w:rPr>
          <w:szCs w:val="20"/>
        </w:rPr>
        <w:t xml:space="preserve">near future. </w:t>
      </w:r>
      <w:r w:rsidR="0097653C">
        <w:rPr>
          <w:szCs w:val="20"/>
        </w:rPr>
        <w:t>P</w:t>
      </w:r>
      <w:r w:rsidRPr="0027372A">
        <w:rPr>
          <w:szCs w:val="20"/>
        </w:rPr>
        <w:t xml:space="preserve">reparation for </w:t>
      </w:r>
      <w:r w:rsidR="00E51C96" w:rsidRPr="0027372A">
        <w:rPr>
          <w:szCs w:val="20"/>
        </w:rPr>
        <w:t>comprehensive credit reporting</w:t>
      </w:r>
      <w:r w:rsidR="00FA7794" w:rsidRPr="0027372A">
        <w:rPr>
          <w:szCs w:val="20"/>
        </w:rPr>
        <w:t xml:space="preserve"> is likely to overlap with any mandated </w:t>
      </w:r>
      <w:r w:rsidR="00BB3C23">
        <w:rPr>
          <w:szCs w:val="20"/>
        </w:rPr>
        <w:t>O</w:t>
      </w:r>
      <w:r w:rsidR="00FA7794" w:rsidRPr="0027372A">
        <w:rPr>
          <w:szCs w:val="20"/>
        </w:rPr>
        <w:t xml:space="preserve">pen </w:t>
      </w:r>
      <w:r w:rsidR="00BB3C23">
        <w:rPr>
          <w:szCs w:val="20"/>
        </w:rPr>
        <w:t>B</w:t>
      </w:r>
      <w:r w:rsidR="00FA7794" w:rsidRPr="0027372A">
        <w:rPr>
          <w:szCs w:val="20"/>
        </w:rPr>
        <w:t xml:space="preserve">anking </w:t>
      </w:r>
      <w:r w:rsidR="00E51C96" w:rsidRPr="0027372A">
        <w:rPr>
          <w:szCs w:val="20"/>
        </w:rPr>
        <w:t>implementation</w:t>
      </w:r>
      <w:r w:rsidRPr="0027372A">
        <w:rPr>
          <w:szCs w:val="20"/>
        </w:rPr>
        <w:t xml:space="preserve">. Similarly, </w:t>
      </w:r>
      <w:r w:rsidR="00FA7794" w:rsidRPr="0027372A">
        <w:rPr>
          <w:szCs w:val="20"/>
        </w:rPr>
        <w:t>APRA</w:t>
      </w:r>
      <w:r w:rsidR="00E51C96" w:rsidRPr="0027372A">
        <w:rPr>
          <w:szCs w:val="20"/>
        </w:rPr>
        <w:t xml:space="preserve"> is in the process of redesigning its data collection solution which is also expected to be rolled out during this period</w:t>
      </w:r>
      <w:r w:rsidRPr="0027372A">
        <w:rPr>
          <w:szCs w:val="20"/>
        </w:rPr>
        <w:t>. This is in addition to the g</w:t>
      </w:r>
      <w:r w:rsidR="00FA7794" w:rsidRPr="0027372A">
        <w:rPr>
          <w:szCs w:val="20"/>
        </w:rPr>
        <w:t>eneral expectations of what is required to</w:t>
      </w:r>
      <w:r w:rsidR="0097653C">
        <w:rPr>
          <w:szCs w:val="20"/>
        </w:rPr>
        <w:t xml:space="preserve"> compete and meet customer needs in the </w:t>
      </w:r>
      <w:r w:rsidR="00FA7794" w:rsidRPr="0027372A">
        <w:rPr>
          <w:szCs w:val="20"/>
        </w:rPr>
        <w:t>modern retail</w:t>
      </w:r>
      <w:r w:rsidRPr="0027372A">
        <w:rPr>
          <w:szCs w:val="20"/>
        </w:rPr>
        <w:t xml:space="preserve"> </w:t>
      </w:r>
      <w:r w:rsidR="00FA7794" w:rsidRPr="0027372A">
        <w:rPr>
          <w:szCs w:val="20"/>
        </w:rPr>
        <w:t xml:space="preserve">banking </w:t>
      </w:r>
      <w:r w:rsidR="0097653C">
        <w:rPr>
          <w:szCs w:val="20"/>
        </w:rPr>
        <w:t xml:space="preserve">market, e.g. partnering </w:t>
      </w:r>
      <w:r w:rsidRPr="0027372A">
        <w:rPr>
          <w:szCs w:val="20"/>
        </w:rPr>
        <w:t xml:space="preserve">with </w:t>
      </w:r>
      <w:proofErr w:type="spellStart"/>
      <w:r w:rsidRPr="0027372A">
        <w:rPr>
          <w:szCs w:val="20"/>
        </w:rPr>
        <w:t>fintechs</w:t>
      </w:r>
      <w:proofErr w:type="spellEnd"/>
      <w:r w:rsidRPr="0027372A">
        <w:rPr>
          <w:szCs w:val="20"/>
        </w:rPr>
        <w:t>.</w:t>
      </w:r>
    </w:p>
    <w:p w14:paraId="35162395" w14:textId="37E8024F" w:rsidR="0097653C" w:rsidRDefault="0097653C" w:rsidP="00DF7F66">
      <w:pPr>
        <w:spacing w:after="160" w:line="259" w:lineRule="auto"/>
        <w:rPr>
          <w:szCs w:val="20"/>
        </w:rPr>
      </w:pPr>
      <w:r>
        <w:rPr>
          <w:szCs w:val="20"/>
        </w:rPr>
        <w:t>Allowing smaller banking institutions to adopt Open Banking according to their own timetables is more likely to see the development of potential lower-cost alternative solutions as envisaged in the Review’s recommendation 1.1. If all ADIs are forced to comply within an arbitrary timeframe, this beneficial outcome will not eventuate.</w:t>
      </w:r>
    </w:p>
    <w:p w14:paraId="10B64F2A" w14:textId="686367B9" w:rsidR="00896E10" w:rsidRPr="0027372A" w:rsidRDefault="0097653C" w:rsidP="00DF7F66">
      <w:pPr>
        <w:spacing w:after="160" w:line="259" w:lineRule="auto"/>
        <w:rPr>
          <w:szCs w:val="20"/>
        </w:rPr>
      </w:pPr>
      <w:r>
        <w:rPr>
          <w:szCs w:val="20"/>
        </w:rPr>
        <w:t>T</w:t>
      </w:r>
      <w:r w:rsidR="00896E10" w:rsidRPr="0027372A">
        <w:rPr>
          <w:szCs w:val="20"/>
        </w:rPr>
        <w:t>he Open Banking regime implemented in the UK mandated participation only by the largest banks. The UK regulator found that smaller banks would encounter disproportionately higher costs in adopting and integrating the necessary technology. The UK regulator noted that since their participation was “not essential for the remedy to be effective” and that some of them may in any case choose to participate “as part of their competitive strategy, we should not oblige them to do so, but will welcome their participation.”</w:t>
      </w:r>
      <w:r w:rsidR="00896E10" w:rsidRPr="0027372A">
        <w:rPr>
          <w:rStyle w:val="FootnoteReference"/>
          <w:szCs w:val="20"/>
        </w:rPr>
        <w:footnoteReference w:id="10"/>
      </w:r>
      <w:r w:rsidR="00D72F04">
        <w:rPr>
          <w:szCs w:val="20"/>
        </w:rPr>
        <w:t xml:space="preserve"> COBA </w:t>
      </w:r>
      <w:r>
        <w:rPr>
          <w:szCs w:val="20"/>
        </w:rPr>
        <w:t xml:space="preserve">strongly </w:t>
      </w:r>
      <w:r w:rsidR="00D72F04">
        <w:rPr>
          <w:szCs w:val="20"/>
        </w:rPr>
        <w:t xml:space="preserve">supports this approach </w:t>
      </w:r>
      <w:r>
        <w:rPr>
          <w:szCs w:val="20"/>
        </w:rPr>
        <w:t>in our market, in keeping with the principle that p</w:t>
      </w:r>
      <w:r w:rsidRPr="0039305C">
        <w:rPr>
          <w:szCs w:val="20"/>
        </w:rPr>
        <w:t>olicy-makers should seek to keep costs to the least necessary to achieve their objectives</w:t>
      </w:r>
    </w:p>
    <w:p w14:paraId="3D07BF85" w14:textId="77777777" w:rsidR="00896E10" w:rsidRPr="0027372A" w:rsidRDefault="00896E10" w:rsidP="007B17D9">
      <w:pPr>
        <w:rPr>
          <w:szCs w:val="20"/>
        </w:rPr>
      </w:pPr>
    </w:p>
    <w:p w14:paraId="25B1CC63" w14:textId="77777777" w:rsidR="002A6054" w:rsidRDefault="002A6054" w:rsidP="007B17D9">
      <w:pPr>
        <w:rPr>
          <w:b/>
          <w:szCs w:val="20"/>
        </w:rPr>
      </w:pPr>
      <w:r>
        <w:rPr>
          <w:b/>
          <w:szCs w:val="20"/>
        </w:rPr>
        <w:t>Competitive pressure will ensure expanding participation in Open Banking</w:t>
      </w:r>
    </w:p>
    <w:p w14:paraId="36FC39A8" w14:textId="1BF27582" w:rsidR="001232C8" w:rsidRPr="0027372A" w:rsidRDefault="0097653C" w:rsidP="00DF7F66">
      <w:pPr>
        <w:spacing w:after="160" w:line="259" w:lineRule="auto"/>
        <w:rPr>
          <w:szCs w:val="20"/>
        </w:rPr>
      </w:pPr>
      <w:r>
        <w:rPr>
          <w:szCs w:val="20"/>
        </w:rPr>
        <w:t xml:space="preserve">It is highly likely that </w:t>
      </w:r>
      <w:r w:rsidR="001232C8" w:rsidRPr="0027372A">
        <w:rPr>
          <w:szCs w:val="20"/>
        </w:rPr>
        <w:t>u</w:t>
      </w:r>
      <w:r w:rsidR="00B20734" w:rsidRPr="0027372A">
        <w:rPr>
          <w:szCs w:val="20"/>
        </w:rPr>
        <w:t>ltimately customers will walk if they</w:t>
      </w:r>
      <w:r>
        <w:rPr>
          <w:szCs w:val="20"/>
        </w:rPr>
        <w:t xml:space="preserve"> become aware of the benefits of Open Banking and </w:t>
      </w:r>
      <w:r w:rsidR="00B20734" w:rsidRPr="0027372A">
        <w:rPr>
          <w:szCs w:val="20"/>
        </w:rPr>
        <w:t xml:space="preserve">can’t take advantage of </w:t>
      </w:r>
      <w:r>
        <w:rPr>
          <w:szCs w:val="20"/>
        </w:rPr>
        <w:t>them</w:t>
      </w:r>
      <w:r w:rsidR="00B20734" w:rsidRPr="0027372A">
        <w:rPr>
          <w:szCs w:val="20"/>
        </w:rPr>
        <w:t xml:space="preserve"> with their current bank</w:t>
      </w:r>
      <w:r>
        <w:rPr>
          <w:szCs w:val="20"/>
        </w:rPr>
        <w:t>ing institution</w:t>
      </w:r>
      <w:r w:rsidR="00B20734" w:rsidRPr="0027372A">
        <w:rPr>
          <w:szCs w:val="20"/>
        </w:rPr>
        <w:t>.</w:t>
      </w:r>
      <w:r w:rsidR="001232C8" w:rsidRPr="0027372A">
        <w:rPr>
          <w:szCs w:val="20"/>
        </w:rPr>
        <w:t xml:space="preserve"> </w:t>
      </w:r>
      <w:r>
        <w:rPr>
          <w:szCs w:val="20"/>
        </w:rPr>
        <w:t>M</w:t>
      </w:r>
      <w:r w:rsidR="001232C8" w:rsidRPr="0027372A">
        <w:rPr>
          <w:szCs w:val="20"/>
        </w:rPr>
        <w:t>andating the major banks</w:t>
      </w:r>
      <w:r w:rsidR="00471465" w:rsidRPr="0027372A">
        <w:rPr>
          <w:szCs w:val="20"/>
        </w:rPr>
        <w:t xml:space="preserve"> </w:t>
      </w:r>
      <w:r w:rsidR="00DF6A66" w:rsidRPr="0027372A">
        <w:rPr>
          <w:szCs w:val="20"/>
        </w:rPr>
        <w:t xml:space="preserve">into Open Banking </w:t>
      </w:r>
      <w:r w:rsidR="00471465" w:rsidRPr="0027372A">
        <w:rPr>
          <w:szCs w:val="20"/>
        </w:rPr>
        <w:t>will</w:t>
      </w:r>
      <w:r w:rsidR="001232C8" w:rsidRPr="0027372A">
        <w:rPr>
          <w:szCs w:val="20"/>
        </w:rPr>
        <w:t xml:space="preserve"> create </w:t>
      </w:r>
      <w:r>
        <w:rPr>
          <w:szCs w:val="20"/>
        </w:rPr>
        <w:t xml:space="preserve">the </w:t>
      </w:r>
      <w:r w:rsidR="001232C8" w:rsidRPr="0027372A">
        <w:rPr>
          <w:szCs w:val="20"/>
        </w:rPr>
        <w:t xml:space="preserve">critical mass of </w:t>
      </w:r>
      <w:r w:rsidR="007044A9">
        <w:rPr>
          <w:szCs w:val="20"/>
        </w:rPr>
        <w:t xml:space="preserve">customer </w:t>
      </w:r>
      <w:r w:rsidR="001232C8" w:rsidRPr="0027372A">
        <w:rPr>
          <w:szCs w:val="20"/>
        </w:rPr>
        <w:t xml:space="preserve">data to be available to develop the </w:t>
      </w:r>
      <w:r w:rsidR="00E70218" w:rsidRPr="0027372A">
        <w:rPr>
          <w:szCs w:val="20"/>
        </w:rPr>
        <w:t>third-party</w:t>
      </w:r>
      <w:r w:rsidR="001232C8" w:rsidRPr="0027372A">
        <w:rPr>
          <w:szCs w:val="20"/>
        </w:rPr>
        <w:t xml:space="preserve"> ecosystem around </w:t>
      </w:r>
      <w:r>
        <w:rPr>
          <w:szCs w:val="20"/>
        </w:rPr>
        <w:t>O</w:t>
      </w:r>
      <w:r w:rsidR="001232C8" w:rsidRPr="0027372A">
        <w:rPr>
          <w:szCs w:val="20"/>
        </w:rPr>
        <w:t xml:space="preserve">pen </w:t>
      </w:r>
      <w:r>
        <w:rPr>
          <w:szCs w:val="20"/>
        </w:rPr>
        <w:t>B</w:t>
      </w:r>
      <w:r w:rsidR="001232C8" w:rsidRPr="0027372A">
        <w:rPr>
          <w:szCs w:val="20"/>
        </w:rPr>
        <w:t xml:space="preserve">anking. These applications no doubt in time will provide significant functionality to their users.  </w:t>
      </w:r>
    </w:p>
    <w:p w14:paraId="0592F09A" w14:textId="098F4C1E" w:rsidR="00471465" w:rsidRPr="0027372A" w:rsidRDefault="001232C8" w:rsidP="00DF7F66">
      <w:pPr>
        <w:spacing w:after="160" w:line="259" w:lineRule="auto"/>
        <w:rPr>
          <w:szCs w:val="20"/>
        </w:rPr>
      </w:pPr>
      <w:r w:rsidRPr="0027372A">
        <w:rPr>
          <w:szCs w:val="20"/>
        </w:rPr>
        <w:t xml:space="preserve">Banks that do not provide </w:t>
      </w:r>
      <w:r w:rsidR="007044A9">
        <w:rPr>
          <w:szCs w:val="20"/>
        </w:rPr>
        <w:t xml:space="preserve">capacity for their customers to easily share </w:t>
      </w:r>
      <w:r w:rsidRPr="0027372A">
        <w:rPr>
          <w:szCs w:val="20"/>
        </w:rPr>
        <w:t>this data will struggle to compete in the market of consumers that are willing to share their data with third</w:t>
      </w:r>
      <w:r w:rsidR="00DF6A66" w:rsidRPr="0027372A">
        <w:rPr>
          <w:szCs w:val="20"/>
        </w:rPr>
        <w:t xml:space="preserve"> </w:t>
      </w:r>
      <w:r w:rsidRPr="0027372A">
        <w:rPr>
          <w:szCs w:val="20"/>
        </w:rPr>
        <w:t>part</w:t>
      </w:r>
      <w:r w:rsidR="00DF6A66" w:rsidRPr="0027372A">
        <w:rPr>
          <w:szCs w:val="20"/>
        </w:rPr>
        <w:t>ies</w:t>
      </w:r>
      <w:r w:rsidRPr="0027372A">
        <w:rPr>
          <w:szCs w:val="20"/>
        </w:rPr>
        <w:t>.</w:t>
      </w:r>
      <w:r w:rsidR="00B901D3" w:rsidRPr="0027372A">
        <w:rPr>
          <w:szCs w:val="20"/>
        </w:rPr>
        <w:t xml:space="preserve"> </w:t>
      </w:r>
      <w:r w:rsidR="00B20734" w:rsidRPr="0027372A">
        <w:rPr>
          <w:szCs w:val="20"/>
        </w:rPr>
        <w:lastRenderedPageBreak/>
        <w:t>The</w:t>
      </w:r>
      <w:r w:rsidR="00B901D3" w:rsidRPr="0027372A">
        <w:rPr>
          <w:szCs w:val="20"/>
        </w:rPr>
        <w:t>se banks</w:t>
      </w:r>
      <w:r w:rsidR="00B20734" w:rsidRPr="0027372A">
        <w:rPr>
          <w:szCs w:val="20"/>
        </w:rPr>
        <w:t xml:space="preserve"> will have to justify to their</w:t>
      </w:r>
      <w:r w:rsidR="00B901D3" w:rsidRPr="0027372A">
        <w:rPr>
          <w:szCs w:val="20"/>
        </w:rPr>
        <w:t xml:space="preserve"> customers</w:t>
      </w:r>
      <w:r w:rsidR="00471465" w:rsidRPr="0027372A">
        <w:rPr>
          <w:szCs w:val="20"/>
        </w:rPr>
        <w:t xml:space="preserve"> why they do not offer this service</w:t>
      </w:r>
      <w:r w:rsidR="00B901D3" w:rsidRPr="0027372A">
        <w:rPr>
          <w:szCs w:val="20"/>
        </w:rPr>
        <w:t xml:space="preserve">. </w:t>
      </w:r>
      <w:r w:rsidR="00EA3CE7" w:rsidRPr="0027372A">
        <w:rPr>
          <w:szCs w:val="20"/>
        </w:rPr>
        <w:t>These banks are likely to find it difficult to compete for the digita</w:t>
      </w:r>
      <w:r w:rsidR="0097653C">
        <w:rPr>
          <w:szCs w:val="20"/>
        </w:rPr>
        <w:t>l</w:t>
      </w:r>
      <w:r w:rsidR="00EA3CE7" w:rsidRPr="0027372A">
        <w:rPr>
          <w:szCs w:val="20"/>
        </w:rPr>
        <w:t>l</w:t>
      </w:r>
      <w:r w:rsidR="0097653C">
        <w:rPr>
          <w:szCs w:val="20"/>
        </w:rPr>
        <w:t>y-</w:t>
      </w:r>
      <w:r w:rsidR="00EA3CE7" w:rsidRPr="0027372A">
        <w:rPr>
          <w:szCs w:val="20"/>
        </w:rPr>
        <w:t xml:space="preserve">savvy </w:t>
      </w:r>
      <w:r w:rsidR="0097653C">
        <w:rPr>
          <w:szCs w:val="20"/>
        </w:rPr>
        <w:t>consumer</w:t>
      </w:r>
      <w:r w:rsidR="00EA3CE7" w:rsidRPr="0027372A">
        <w:rPr>
          <w:szCs w:val="20"/>
        </w:rPr>
        <w:t>.</w:t>
      </w:r>
    </w:p>
    <w:p w14:paraId="58DD9289" w14:textId="65EE8F7F" w:rsidR="00B9440F" w:rsidRDefault="00EA3CE7" w:rsidP="00DF7F66">
      <w:pPr>
        <w:spacing w:after="160" w:line="259" w:lineRule="auto"/>
        <w:rPr>
          <w:szCs w:val="20"/>
        </w:rPr>
      </w:pPr>
      <w:r w:rsidRPr="0027372A">
        <w:rPr>
          <w:szCs w:val="20"/>
        </w:rPr>
        <w:t>The response should also consider</w:t>
      </w:r>
      <w:r w:rsidR="00471465" w:rsidRPr="0027372A">
        <w:rPr>
          <w:szCs w:val="20"/>
        </w:rPr>
        <w:t xml:space="preserve"> </w:t>
      </w:r>
      <w:r w:rsidR="007044A9">
        <w:rPr>
          <w:szCs w:val="20"/>
        </w:rPr>
        <w:t xml:space="preserve">that </w:t>
      </w:r>
      <w:r w:rsidR="00471465" w:rsidRPr="0027372A">
        <w:rPr>
          <w:szCs w:val="20"/>
        </w:rPr>
        <w:t>almost two-thirds of Australians bank with more than one bank</w:t>
      </w:r>
      <w:r w:rsidR="00471465" w:rsidRPr="00BA4D10">
        <w:rPr>
          <w:sz w:val="16"/>
          <w:vertAlign w:val="superscript"/>
        </w:rPr>
        <w:footnoteReference w:id="11"/>
      </w:r>
      <w:r w:rsidR="00471465" w:rsidRPr="0027372A">
        <w:rPr>
          <w:szCs w:val="20"/>
        </w:rPr>
        <w:t>. Given the major</w:t>
      </w:r>
      <w:r w:rsidR="0097653C">
        <w:rPr>
          <w:szCs w:val="20"/>
        </w:rPr>
        <w:t xml:space="preserve"> banks’</w:t>
      </w:r>
      <w:r w:rsidR="00471465" w:rsidRPr="0027372A">
        <w:rPr>
          <w:szCs w:val="20"/>
        </w:rPr>
        <w:t xml:space="preserve"> dominance of the </w:t>
      </w:r>
      <w:r w:rsidR="0097653C">
        <w:rPr>
          <w:szCs w:val="20"/>
        </w:rPr>
        <w:t>market</w:t>
      </w:r>
      <w:r w:rsidR="00471465" w:rsidRPr="0027372A">
        <w:rPr>
          <w:szCs w:val="20"/>
        </w:rPr>
        <w:t>, it is likely that one of these banks</w:t>
      </w:r>
      <w:r w:rsidR="00B9440F">
        <w:rPr>
          <w:szCs w:val="20"/>
        </w:rPr>
        <w:t xml:space="preserve"> per consumer</w:t>
      </w:r>
      <w:r w:rsidR="00471465" w:rsidRPr="0027372A">
        <w:rPr>
          <w:szCs w:val="20"/>
        </w:rPr>
        <w:t xml:space="preserve"> is likely to be a major bank</w:t>
      </w:r>
      <w:r w:rsidRPr="0027372A">
        <w:rPr>
          <w:szCs w:val="20"/>
        </w:rPr>
        <w:t xml:space="preserve"> (who will have to provide </w:t>
      </w:r>
      <w:r w:rsidR="0097653C">
        <w:rPr>
          <w:szCs w:val="20"/>
        </w:rPr>
        <w:t>O</w:t>
      </w:r>
      <w:r w:rsidRPr="0027372A">
        <w:rPr>
          <w:szCs w:val="20"/>
        </w:rPr>
        <w:t xml:space="preserve">pen </w:t>
      </w:r>
      <w:r w:rsidR="0097653C">
        <w:rPr>
          <w:szCs w:val="20"/>
        </w:rPr>
        <w:t>B</w:t>
      </w:r>
      <w:r w:rsidRPr="0027372A">
        <w:rPr>
          <w:szCs w:val="20"/>
        </w:rPr>
        <w:t>anking)</w:t>
      </w:r>
      <w:r w:rsidR="00471465" w:rsidRPr="0027372A">
        <w:rPr>
          <w:szCs w:val="20"/>
        </w:rPr>
        <w:t>.</w:t>
      </w:r>
      <w:r w:rsidRPr="0027372A">
        <w:rPr>
          <w:szCs w:val="20"/>
        </w:rPr>
        <w:t xml:space="preserve"> The </w:t>
      </w:r>
      <w:r w:rsidR="0097653C">
        <w:rPr>
          <w:szCs w:val="20"/>
        </w:rPr>
        <w:t>availability of O</w:t>
      </w:r>
      <w:r w:rsidR="00DF6A66" w:rsidRPr="0027372A">
        <w:rPr>
          <w:szCs w:val="20"/>
        </w:rPr>
        <w:t xml:space="preserve">pen </w:t>
      </w:r>
      <w:r w:rsidR="0097653C">
        <w:rPr>
          <w:szCs w:val="20"/>
        </w:rPr>
        <w:t>B</w:t>
      </w:r>
      <w:r w:rsidR="00DF6A66" w:rsidRPr="0027372A">
        <w:rPr>
          <w:szCs w:val="20"/>
        </w:rPr>
        <w:t xml:space="preserve">anking </w:t>
      </w:r>
      <w:r w:rsidR="00B9440F">
        <w:rPr>
          <w:szCs w:val="20"/>
        </w:rPr>
        <w:t xml:space="preserve">from day one </w:t>
      </w:r>
      <w:r w:rsidRPr="0027372A">
        <w:rPr>
          <w:szCs w:val="20"/>
        </w:rPr>
        <w:t>is likely to</w:t>
      </w:r>
      <w:r w:rsidR="00B9440F">
        <w:rPr>
          <w:szCs w:val="20"/>
        </w:rPr>
        <w:t xml:space="preserve"> include</w:t>
      </w:r>
      <w:r w:rsidRPr="0027372A">
        <w:rPr>
          <w:szCs w:val="20"/>
        </w:rPr>
        <w:t xml:space="preserve"> </w:t>
      </w:r>
      <w:r w:rsidR="00B9440F">
        <w:rPr>
          <w:szCs w:val="20"/>
        </w:rPr>
        <w:t>entities in addition to the mandated major banks. O</w:t>
      </w:r>
      <w:r w:rsidRPr="0027372A">
        <w:rPr>
          <w:szCs w:val="20"/>
        </w:rPr>
        <w:t>ther Australian banks</w:t>
      </w:r>
      <w:r w:rsidR="00B9440F">
        <w:rPr>
          <w:szCs w:val="20"/>
        </w:rPr>
        <w:t>, including</w:t>
      </w:r>
      <w:r w:rsidRPr="0027372A">
        <w:rPr>
          <w:szCs w:val="20"/>
        </w:rPr>
        <w:t xml:space="preserve"> COBA members</w:t>
      </w:r>
      <w:r w:rsidR="00B9440F">
        <w:rPr>
          <w:szCs w:val="20"/>
        </w:rPr>
        <w:t>,</w:t>
      </w:r>
      <w:r w:rsidRPr="0027372A">
        <w:rPr>
          <w:szCs w:val="20"/>
        </w:rPr>
        <w:t xml:space="preserve"> are likely to </w:t>
      </w:r>
      <w:r w:rsidR="00B9440F">
        <w:rPr>
          <w:szCs w:val="20"/>
        </w:rPr>
        <w:t xml:space="preserve">be early adopters of Open Banking due to their competitive strategy. </w:t>
      </w:r>
    </w:p>
    <w:p w14:paraId="61F777C0" w14:textId="6659F8A5" w:rsidR="00B20734" w:rsidRPr="0027372A" w:rsidRDefault="009912AF" w:rsidP="00DF7F66">
      <w:pPr>
        <w:spacing w:after="160" w:line="259" w:lineRule="auto"/>
        <w:rPr>
          <w:szCs w:val="20"/>
        </w:rPr>
      </w:pPr>
      <w:r w:rsidRPr="0027372A">
        <w:rPr>
          <w:szCs w:val="20"/>
        </w:rPr>
        <w:t xml:space="preserve">Customer-owned banking institutions have already show that are willing to invest in technological </w:t>
      </w:r>
      <w:r w:rsidR="00B9440F">
        <w:rPr>
          <w:szCs w:val="20"/>
        </w:rPr>
        <w:t xml:space="preserve">innovation </w:t>
      </w:r>
      <w:r w:rsidRPr="0027372A">
        <w:rPr>
          <w:szCs w:val="20"/>
        </w:rPr>
        <w:t xml:space="preserve">that </w:t>
      </w:r>
      <w:r w:rsidR="00B9440F">
        <w:rPr>
          <w:szCs w:val="20"/>
        </w:rPr>
        <w:t>meets customer needs. For example</w:t>
      </w:r>
      <w:r w:rsidRPr="0027372A">
        <w:rPr>
          <w:szCs w:val="20"/>
        </w:rPr>
        <w:t>:</w:t>
      </w:r>
    </w:p>
    <w:p w14:paraId="0EAA5D08" w14:textId="3D5C7910" w:rsidR="009912AF" w:rsidRPr="00DF7F66" w:rsidRDefault="00DF6A66" w:rsidP="00DF7F66">
      <w:pPr>
        <w:pStyle w:val="ListParagraph"/>
        <w:numPr>
          <w:ilvl w:val="0"/>
          <w:numId w:val="15"/>
        </w:numPr>
        <w:rPr>
          <w:rFonts w:ascii="Verdana" w:hAnsi="Verdana"/>
          <w:sz w:val="20"/>
          <w:szCs w:val="20"/>
        </w:rPr>
      </w:pPr>
      <w:r w:rsidRPr="00DF7F66">
        <w:rPr>
          <w:rFonts w:ascii="Verdana" w:hAnsi="Verdana"/>
          <w:sz w:val="20"/>
          <w:szCs w:val="20"/>
        </w:rPr>
        <w:t>m</w:t>
      </w:r>
      <w:r w:rsidR="00B9440F" w:rsidRPr="00DF7F66">
        <w:rPr>
          <w:rFonts w:ascii="Verdana" w:hAnsi="Verdana"/>
          <w:sz w:val="20"/>
          <w:szCs w:val="20"/>
        </w:rPr>
        <w:t>ost</w:t>
      </w:r>
      <w:r w:rsidR="009912AF" w:rsidRPr="00DF7F66">
        <w:rPr>
          <w:rFonts w:ascii="Verdana" w:hAnsi="Verdana"/>
          <w:sz w:val="20"/>
          <w:szCs w:val="20"/>
        </w:rPr>
        <w:t xml:space="preserve"> COBA members provide access to the full range of digital wallet solutions – Apple Pay</w:t>
      </w:r>
      <w:r w:rsidR="009912AF" w:rsidRPr="00DF7F66">
        <w:rPr>
          <w:rStyle w:val="FootnoteReference"/>
          <w:rFonts w:ascii="Verdana" w:hAnsi="Verdana"/>
          <w:sz w:val="20"/>
          <w:szCs w:val="20"/>
        </w:rPr>
        <w:footnoteReference w:id="12"/>
      </w:r>
      <w:r w:rsidR="009912AF" w:rsidRPr="00DF7F66">
        <w:rPr>
          <w:rFonts w:ascii="Verdana" w:hAnsi="Verdana"/>
          <w:sz w:val="20"/>
          <w:szCs w:val="20"/>
        </w:rPr>
        <w:t>, Android Pay</w:t>
      </w:r>
      <w:r w:rsidR="009912AF" w:rsidRPr="00DF7F66">
        <w:rPr>
          <w:rStyle w:val="FootnoteReference"/>
          <w:rFonts w:ascii="Verdana" w:hAnsi="Verdana"/>
          <w:sz w:val="20"/>
          <w:szCs w:val="20"/>
        </w:rPr>
        <w:footnoteReference w:id="13"/>
      </w:r>
      <w:r w:rsidR="009912AF" w:rsidRPr="00DF7F66">
        <w:rPr>
          <w:rFonts w:ascii="Verdana" w:hAnsi="Verdana"/>
          <w:sz w:val="20"/>
          <w:szCs w:val="20"/>
        </w:rPr>
        <w:t xml:space="preserve"> and Samsung Pay</w:t>
      </w:r>
      <w:r w:rsidR="009912AF" w:rsidRPr="00DF7F66">
        <w:rPr>
          <w:rStyle w:val="FootnoteReference"/>
          <w:rFonts w:ascii="Verdana" w:hAnsi="Verdana"/>
          <w:sz w:val="20"/>
          <w:szCs w:val="20"/>
        </w:rPr>
        <w:footnoteReference w:id="14"/>
      </w:r>
    </w:p>
    <w:p w14:paraId="38BFA617" w14:textId="412735D4" w:rsidR="00610F49" w:rsidRPr="00DF7F66" w:rsidRDefault="00DF6A66" w:rsidP="00DF7F66">
      <w:pPr>
        <w:pStyle w:val="ListParagraph"/>
        <w:numPr>
          <w:ilvl w:val="0"/>
          <w:numId w:val="15"/>
        </w:numPr>
        <w:rPr>
          <w:rFonts w:ascii="Verdana" w:hAnsi="Verdana"/>
          <w:sz w:val="20"/>
          <w:szCs w:val="20"/>
        </w:rPr>
      </w:pPr>
      <w:r w:rsidRPr="00DF7F66">
        <w:rPr>
          <w:rFonts w:ascii="Verdana" w:hAnsi="Verdana"/>
          <w:sz w:val="20"/>
          <w:szCs w:val="20"/>
        </w:rPr>
        <w:t>m</w:t>
      </w:r>
      <w:r w:rsidR="00B9440F" w:rsidRPr="00DF7F66">
        <w:rPr>
          <w:rFonts w:ascii="Verdana" w:hAnsi="Verdana"/>
          <w:sz w:val="20"/>
          <w:szCs w:val="20"/>
        </w:rPr>
        <w:t xml:space="preserve">ost COBA members offered their customers </w:t>
      </w:r>
      <w:r w:rsidRPr="00DF7F66">
        <w:rPr>
          <w:rFonts w:ascii="Verdana" w:hAnsi="Verdana"/>
          <w:sz w:val="20"/>
          <w:szCs w:val="20"/>
        </w:rPr>
        <w:t>a</w:t>
      </w:r>
      <w:r w:rsidR="009912AF" w:rsidRPr="00DF7F66">
        <w:rPr>
          <w:rFonts w:ascii="Verdana" w:hAnsi="Verdana"/>
          <w:sz w:val="20"/>
          <w:szCs w:val="20"/>
        </w:rPr>
        <w:t>ccess to the New Payments Platform</w:t>
      </w:r>
      <w:r w:rsidR="00B9440F" w:rsidRPr="00DF7F66">
        <w:rPr>
          <w:rFonts w:ascii="Verdana" w:hAnsi="Verdana"/>
          <w:sz w:val="20"/>
          <w:szCs w:val="20"/>
        </w:rPr>
        <w:t xml:space="preserve"> from day one</w:t>
      </w:r>
    </w:p>
    <w:p w14:paraId="42D35061" w14:textId="550B1920" w:rsidR="0082620F" w:rsidRPr="00DF7F66" w:rsidRDefault="00B9440F" w:rsidP="00DF7F66">
      <w:pPr>
        <w:pStyle w:val="ListParagraph"/>
        <w:numPr>
          <w:ilvl w:val="0"/>
          <w:numId w:val="15"/>
        </w:numPr>
        <w:rPr>
          <w:rFonts w:ascii="Verdana" w:hAnsi="Verdana"/>
          <w:sz w:val="20"/>
          <w:szCs w:val="20"/>
        </w:rPr>
      </w:pPr>
      <w:r w:rsidRPr="00DF7F66">
        <w:rPr>
          <w:rFonts w:ascii="Verdana" w:hAnsi="Verdana"/>
          <w:sz w:val="20"/>
          <w:szCs w:val="20"/>
        </w:rPr>
        <w:t xml:space="preserve">most COBA members are </w:t>
      </w:r>
      <w:r w:rsidR="00610F49" w:rsidRPr="00DF7F66">
        <w:rPr>
          <w:rFonts w:ascii="Verdana" w:hAnsi="Verdana"/>
          <w:sz w:val="20"/>
          <w:szCs w:val="20"/>
        </w:rPr>
        <w:t>supplying direct feeds t</w:t>
      </w:r>
      <w:r w:rsidR="0082620F" w:rsidRPr="00DF7F66">
        <w:rPr>
          <w:rFonts w:ascii="Verdana" w:hAnsi="Verdana"/>
          <w:sz w:val="20"/>
          <w:szCs w:val="20"/>
        </w:rPr>
        <w:t>o accounting software provider</w:t>
      </w:r>
      <w:r w:rsidRPr="00DF7F66">
        <w:rPr>
          <w:rFonts w:ascii="Verdana" w:hAnsi="Verdana"/>
          <w:sz w:val="20"/>
          <w:szCs w:val="20"/>
        </w:rPr>
        <w:t>s</w:t>
      </w:r>
      <w:r w:rsidR="00610F49" w:rsidRPr="00DF7F66">
        <w:rPr>
          <w:rFonts w:ascii="Verdana" w:hAnsi="Verdana"/>
          <w:sz w:val="20"/>
          <w:szCs w:val="20"/>
        </w:rPr>
        <w:t xml:space="preserve"> </w:t>
      </w:r>
      <w:proofErr w:type="spellStart"/>
      <w:r w:rsidR="00610F49" w:rsidRPr="00DF7F66">
        <w:rPr>
          <w:rFonts w:ascii="Verdana" w:hAnsi="Verdana"/>
          <w:sz w:val="20"/>
          <w:szCs w:val="20"/>
        </w:rPr>
        <w:t>Xero</w:t>
      </w:r>
      <w:proofErr w:type="spellEnd"/>
      <w:r w:rsidR="00610F49" w:rsidRPr="00DF7F66">
        <w:rPr>
          <w:rStyle w:val="FootnoteReference"/>
          <w:rFonts w:ascii="Verdana" w:hAnsi="Verdana"/>
          <w:sz w:val="20"/>
          <w:szCs w:val="20"/>
        </w:rPr>
        <w:footnoteReference w:id="15"/>
      </w:r>
      <w:r w:rsidRPr="00DF7F66">
        <w:rPr>
          <w:rFonts w:ascii="Verdana" w:hAnsi="Verdana"/>
          <w:sz w:val="20"/>
          <w:szCs w:val="20"/>
        </w:rPr>
        <w:t xml:space="preserve"> and </w:t>
      </w:r>
      <w:r w:rsidR="0082620F" w:rsidRPr="00DF7F66">
        <w:rPr>
          <w:rFonts w:ascii="Verdana" w:hAnsi="Verdana"/>
          <w:sz w:val="20"/>
          <w:szCs w:val="20"/>
        </w:rPr>
        <w:t>MYOB</w:t>
      </w:r>
      <w:r w:rsidR="0082620F" w:rsidRPr="00DF7F66">
        <w:rPr>
          <w:rStyle w:val="FootnoteReference"/>
          <w:rFonts w:ascii="Verdana" w:hAnsi="Verdana"/>
          <w:sz w:val="20"/>
          <w:szCs w:val="20"/>
        </w:rPr>
        <w:footnoteReference w:id="16"/>
      </w:r>
      <w:r w:rsidRPr="00DF7F66">
        <w:rPr>
          <w:rFonts w:ascii="Verdana" w:hAnsi="Verdana"/>
          <w:sz w:val="20"/>
          <w:szCs w:val="20"/>
        </w:rPr>
        <w:t>, and</w:t>
      </w:r>
    </w:p>
    <w:p w14:paraId="3FBF5F5F" w14:textId="204642EA" w:rsidR="00896E10" w:rsidRPr="00DF7F66" w:rsidRDefault="00B9440F" w:rsidP="00DF7F66">
      <w:pPr>
        <w:pStyle w:val="ListParagraph"/>
        <w:numPr>
          <w:ilvl w:val="0"/>
          <w:numId w:val="15"/>
        </w:numPr>
        <w:rPr>
          <w:rFonts w:ascii="Verdana" w:hAnsi="Verdana"/>
          <w:sz w:val="20"/>
          <w:szCs w:val="20"/>
        </w:rPr>
      </w:pPr>
      <w:r w:rsidRPr="00DF7F66">
        <w:rPr>
          <w:rFonts w:ascii="Verdana" w:hAnsi="Verdana"/>
          <w:sz w:val="20"/>
          <w:szCs w:val="20"/>
        </w:rPr>
        <w:t xml:space="preserve">seven COBA members are participating in KPMG’s Mutuals Fintech Accelerator, “connecting Australia’s most progressive mutual banks with fintech </w:t>
      </w:r>
      <w:proofErr w:type="spellStart"/>
      <w:r w:rsidRPr="00DF7F66">
        <w:rPr>
          <w:rFonts w:ascii="Verdana" w:hAnsi="Verdana"/>
          <w:sz w:val="20"/>
          <w:szCs w:val="20"/>
        </w:rPr>
        <w:t>startups</w:t>
      </w:r>
      <w:proofErr w:type="spellEnd"/>
      <w:r w:rsidRPr="00DF7F66">
        <w:rPr>
          <w:rFonts w:ascii="Verdana" w:hAnsi="Verdana"/>
          <w:sz w:val="20"/>
          <w:szCs w:val="20"/>
        </w:rPr>
        <w:t>.”</w:t>
      </w:r>
      <w:r w:rsidR="00896E10" w:rsidRPr="00DF7F66">
        <w:rPr>
          <w:rStyle w:val="FootnoteReference"/>
          <w:rFonts w:ascii="Verdana" w:hAnsi="Verdana"/>
          <w:sz w:val="20"/>
          <w:szCs w:val="20"/>
        </w:rPr>
        <w:footnoteReference w:id="17"/>
      </w:r>
    </w:p>
    <w:p w14:paraId="30310BFB" w14:textId="51252376" w:rsidR="00E51C96" w:rsidRPr="0027372A" w:rsidRDefault="00E51C96" w:rsidP="00DF7F66">
      <w:pPr>
        <w:spacing w:after="160" w:line="259" w:lineRule="auto"/>
        <w:rPr>
          <w:szCs w:val="20"/>
        </w:rPr>
      </w:pPr>
      <w:r w:rsidRPr="0027372A">
        <w:rPr>
          <w:szCs w:val="20"/>
        </w:rPr>
        <w:t xml:space="preserve">Increasing numbers of smaller banking institutions are likely to </w:t>
      </w:r>
      <w:r w:rsidR="00490FAA">
        <w:rPr>
          <w:szCs w:val="20"/>
        </w:rPr>
        <w:t>adopt Open Banking</w:t>
      </w:r>
      <w:r w:rsidRPr="0027372A">
        <w:rPr>
          <w:szCs w:val="20"/>
        </w:rPr>
        <w:t xml:space="preserve"> once the costs and benefits </w:t>
      </w:r>
      <w:r w:rsidR="00490FAA">
        <w:rPr>
          <w:szCs w:val="20"/>
        </w:rPr>
        <w:t>are</w:t>
      </w:r>
      <w:r w:rsidRPr="0027372A">
        <w:rPr>
          <w:szCs w:val="20"/>
        </w:rPr>
        <w:t xml:space="preserve"> clear enough to make an informed commercial decision. As Open Banking delivers benefits to consumers, it is likely that the market will demand greater adoption as more customers want to share their data with </w:t>
      </w:r>
      <w:proofErr w:type="spellStart"/>
      <w:r w:rsidRPr="0027372A">
        <w:rPr>
          <w:szCs w:val="20"/>
        </w:rPr>
        <w:t>Fintechs</w:t>
      </w:r>
      <w:proofErr w:type="spellEnd"/>
      <w:r w:rsidRPr="0027372A">
        <w:rPr>
          <w:szCs w:val="20"/>
        </w:rPr>
        <w:t xml:space="preserve"> and other third parties.</w:t>
      </w:r>
    </w:p>
    <w:p w14:paraId="64A57220" w14:textId="77777777" w:rsidR="003B697B" w:rsidRPr="0027372A" w:rsidRDefault="003B697B" w:rsidP="00610F49">
      <w:pPr>
        <w:rPr>
          <w:b/>
          <w:szCs w:val="20"/>
        </w:rPr>
      </w:pPr>
    </w:p>
    <w:p w14:paraId="3A181C94" w14:textId="77777777" w:rsidR="00E70218" w:rsidRPr="0027372A" w:rsidRDefault="008816B4" w:rsidP="00E70218">
      <w:pPr>
        <w:rPr>
          <w:b/>
          <w:szCs w:val="20"/>
        </w:rPr>
      </w:pPr>
      <w:r>
        <w:rPr>
          <w:b/>
          <w:szCs w:val="20"/>
        </w:rPr>
        <w:t>U</w:t>
      </w:r>
      <w:r w:rsidR="00EA3CE7" w:rsidRPr="0027372A">
        <w:rPr>
          <w:b/>
          <w:szCs w:val="20"/>
        </w:rPr>
        <w:t>ncertain take-up rate</w:t>
      </w:r>
      <w:r>
        <w:rPr>
          <w:b/>
          <w:szCs w:val="20"/>
        </w:rPr>
        <w:t>s</w:t>
      </w:r>
      <w:r w:rsidR="003B697B" w:rsidRPr="0027372A">
        <w:rPr>
          <w:b/>
          <w:szCs w:val="20"/>
        </w:rPr>
        <w:t xml:space="preserve"> </w:t>
      </w:r>
    </w:p>
    <w:p w14:paraId="750EEF2C" w14:textId="04900EF5" w:rsidR="00A532D5" w:rsidRPr="0027372A" w:rsidRDefault="00EA3CE7" w:rsidP="00BA4D10">
      <w:pPr>
        <w:spacing w:after="160" w:line="259" w:lineRule="auto"/>
        <w:rPr>
          <w:szCs w:val="20"/>
        </w:rPr>
      </w:pPr>
      <w:r w:rsidRPr="0027372A">
        <w:rPr>
          <w:szCs w:val="20"/>
        </w:rPr>
        <w:t xml:space="preserve">As with any major reform, there is always uncertainty about the potential outcomes. </w:t>
      </w:r>
      <w:r w:rsidR="00490FAA">
        <w:rPr>
          <w:szCs w:val="20"/>
        </w:rPr>
        <w:t>I</w:t>
      </w:r>
      <w:r w:rsidRPr="0027372A">
        <w:rPr>
          <w:szCs w:val="20"/>
        </w:rPr>
        <w:t>t is more efficient to mandate in the major</w:t>
      </w:r>
      <w:r w:rsidR="00490FAA">
        <w:rPr>
          <w:szCs w:val="20"/>
        </w:rPr>
        <w:t xml:space="preserve"> bank</w:t>
      </w:r>
      <w:r w:rsidRPr="0027372A">
        <w:rPr>
          <w:szCs w:val="20"/>
        </w:rPr>
        <w:t>s and let the remaining ADIs progress into open banking on their own timeline.</w:t>
      </w:r>
      <w:r w:rsidR="00A532D5" w:rsidRPr="0027372A">
        <w:rPr>
          <w:szCs w:val="20"/>
        </w:rPr>
        <w:t xml:space="preserve"> </w:t>
      </w:r>
      <w:r w:rsidR="0027372A" w:rsidRPr="0027372A">
        <w:rPr>
          <w:szCs w:val="20"/>
        </w:rPr>
        <w:t>If there is to be compulsory</w:t>
      </w:r>
      <w:r w:rsidR="00490FAA">
        <w:rPr>
          <w:szCs w:val="20"/>
        </w:rPr>
        <w:t xml:space="preserve"> participation in</w:t>
      </w:r>
      <w:r w:rsidR="0027372A" w:rsidRPr="0027372A">
        <w:rPr>
          <w:szCs w:val="20"/>
        </w:rPr>
        <w:t xml:space="preserve"> </w:t>
      </w:r>
      <w:r w:rsidR="00490FAA">
        <w:rPr>
          <w:szCs w:val="20"/>
        </w:rPr>
        <w:t>O</w:t>
      </w:r>
      <w:r w:rsidR="0027372A" w:rsidRPr="0027372A">
        <w:rPr>
          <w:szCs w:val="20"/>
        </w:rPr>
        <w:t xml:space="preserve">pen </w:t>
      </w:r>
      <w:r w:rsidR="00490FAA">
        <w:rPr>
          <w:szCs w:val="20"/>
        </w:rPr>
        <w:t>B</w:t>
      </w:r>
      <w:r w:rsidR="0027372A" w:rsidRPr="0027372A">
        <w:rPr>
          <w:szCs w:val="20"/>
        </w:rPr>
        <w:t xml:space="preserve">anking </w:t>
      </w:r>
      <w:r w:rsidR="00490FAA">
        <w:rPr>
          <w:szCs w:val="20"/>
        </w:rPr>
        <w:t xml:space="preserve">by all ADIs, </w:t>
      </w:r>
      <w:r w:rsidR="0027372A" w:rsidRPr="0027372A">
        <w:rPr>
          <w:szCs w:val="20"/>
        </w:rPr>
        <w:t xml:space="preserve">then </w:t>
      </w:r>
      <w:r w:rsidR="00DD3433">
        <w:rPr>
          <w:szCs w:val="20"/>
        </w:rPr>
        <w:t xml:space="preserve">the </w:t>
      </w:r>
      <w:r w:rsidR="0027372A" w:rsidRPr="0027372A">
        <w:rPr>
          <w:szCs w:val="20"/>
        </w:rPr>
        <w:t xml:space="preserve">ACCC </w:t>
      </w:r>
      <w:r w:rsidR="00490FAA">
        <w:rPr>
          <w:szCs w:val="20"/>
        </w:rPr>
        <w:t>should decide the timing</w:t>
      </w:r>
      <w:r w:rsidR="0027372A" w:rsidRPr="0027372A">
        <w:rPr>
          <w:szCs w:val="20"/>
        </w:rPr>
        <w:t xml:space="preserve"> based upon sufficient evidence that it will promote competition.</w:t>
      </w:r>
    </w:p>
    <w:p w14:paraId="5305FFC9" w14:textId="13E63602" w:rsidR="00EA3CE7" w:rsidRPr="0027372A" w:rsidRDefault="00A532D5" w:rsidP="00BA4D10">
      <w:pPr>
        <w:spacing w:after="160" w:line="259" w:lineRule="auto"/>
        <w:rPr>
          <w:szCs w:val="20"/>
        </w:rPr>
      </w:pPr>
      <w:r w:rsidRPr="0027372A">
        <w:rPr>
          <w:szCs w:val="20"/>
        </w:rPr>
        <w:t>The Review</w:t>
      </w:r>
      <w:r w:rsidR="00490FAA">
        <w:rPr>
          <w:szCs w:val="20"/>
        </w:rPr>
        <w:t xml:space="preserve"> itself concedes that Open Banking is an </w:t>
      </w:r>
      <w:r w:rsidRPr="0027372A">
        <w:rPr>
          <w:szCs w:val="20"/>
        </w:rPr>
        <w:t>untested proposition:</w:t>
      </w:r>
      <w:r w:rsidR="00490FAA">
        <w:rPr>
          <w:szCs w:val="20"/>
        </w:rPr>
        <w:t xml:space="preserve"> </w:t>
      </w:r>
      <w:r w:rsidR="00EA3CE7" w:rsidRPr="0027372A">
        <w:rPr>
          <w:szCs w:val="20"/>
        </w:rPr>
        <w:t xml:space="preserve">“While it is </w:t>
      </w:r>
      <w:r w:rsidR="00EA3CE7" w:rsidRPr="00490FAA">
        <w:rPr>
          <w:szCs w:val="20"/>
        </w:rPr>
        <w:t xml:space="preserve">expected </w:t>
      </w:r>
      <w:r w:rsidR="00EA3CE7" w:rsidRPr="0027372A">
        <w:rPr>
          <w:szCs w:val="20"/>
        </w:rPr>
        <w:t xml:space="preserve">that Open Banking will deliver major benefits, all regulatory reforms are </w:t>
      </w:r>
      <w:r w:rsidR="00EA3CE7" w:rsidRPr="00490FAA">
        <w:rPr>
          <w:szCs w:val="20"/>
        </w:rPr>
        <w:t xml:space="preserve">essentially propositions to be tested </w:t>
      </w:r>
      <w:r w:rsidR="00EA3CE7" w:rsidRPr="0027372A">
        <w:rPr>
          <w:szCs w:val="20"/>
        </w:rPr>
        <w:t>and should therefore be evaluated for their effectiveness.”</w:t>
      </w:r>
      <w:r w:rsidR="00490FAA" w:rsidRPr="00BA4D10">
        <w:rPr>
          <w:sz w:val="16"/>
          <w:vertAlign w:val="superscript"/>
        </w:rPr>
        <w:footnoteReference w:id="18"/>
      </w:r>
      <w:r w:rsidRPr="0027372A">
        <w:rPr>
          <w:szCs w:val="20"/>
        </w:rPr>
        <w:t xml:space="preserve"> </w:t>
      </w:r>
    </w:p>
    <w:p w14:paraId="3BB9D441" w14:textId="77777777" w:rsidR="00CC38E7" w:rsidRPr="00BA4D10" w:rsidRDefault="00CC38E7" w:rsidP="00BA4D10">
      <w:pPr>
        <w:spacing w:after="160" w:line="259" w:lineRule="auto"/>
        <w:rPr>
          <w:szCs w:val="20"/>
        </w:rPr>
      </w:pPr>
      <w:r w:rsidRPr="0027372A">
        <w:rPr>
          <w:szCs w:val="20"/>
        </w:rPr>
        <w:t>If take-up rates are low, the case for smaller banking institutions to allocate scarce resources to this area is weakened.</w:t>
      </w:r>
    </w:p>
    <w:p w14:paraId="0E062FE1" w14:textId="77777777" w:rsidR="003B697B" w:rsidRPr="0027372A" w:rsidRDefault="003B697B" w:rsidP="00BA4D10">
      <w:pPr>
        <w:spacing w:after="160" w:line="259" w:lineRule="auto"/>
        <w:rPr>
          <w:szCs w:val="20"/>
        </w:rPr>
      </w:pPr>
      <w:r w:rsidRPr="0027372A">
        <w:rPr>
          <w:szCs w:val="20"/>
        </w:rPr>
        <w:t xml:space="preserve">The unknown adoption curve has been highlighted as an issue in the UK pending the launch of Open Banking there: ‘Matt Cox, head of insight and innovation at Nationwide Building Society is a tad more </w:t>
      </w:r>
      <w:r w:rsidR="00DD3433" w:rsidRPr="0027372A">
        <w:rPr>
          <w:szCs w:val="20"/>
        </w:rPr>
        <w:t>skeptical</w:t>
      </w:r>
      <w:r w:rsidRPr="0027372A">
        <w:rPr>
          <w:szCs w:val="20"/>
        </w:rPr>
        <w:t xml:space="preserve"> though. “</w:t>
      </w:r>
      <w:proofErr w:type="gramStart"/>
      <w:r w:rsidRPr="0027372A">
        <w:rPr>
          <w:szCs w:val="20"/>
        </w:rPr>
        <w:t>So</w:t>
      </w:r>
      <w:proofErr w:type="gramEnd"/>
      <w:r w:rsidRPr="0027372A">
        <w:rPr>
          <w:szCs w:val="20"/>
        </w:rPr>
        <w:t xml:space="preserve"> when this thing launches do I think there will be an explosion of people using it? No. Traditionally you see a relatively consistent take-up profile, with early adopters and 5-10 percent of users waiting to consume this. There will be </w:t>
      </w:r>
      <w:r w:rsidRPr="0027372A">
        <w:rPr>
          <w:szCs w:val="20"/>
        </w:rPr>
        <w:lastRenderedPageBreak/>
        <w:t>an adoption curve and the steepness of that will come down to how we as an industry get trust and security right.”’</w:t>
      </w:r>
      <w:r w:rsidRPr="00BA4D10">
        <w:rPr>
          <w:sz w:val="16"/>
          <w:vertAlign w:val="superscript"/>
        </w:rPr>
        <w:footnoteReference w:id="19"/>
      </w:r>
    </w:p>
    <w:p w14:paraId="02734064" w14:textId="77777777" w:rsidR="00E51C96" w:rsidRPr="0027372A" w:rsidRDefault="00E51C96" w:rsidP="00BA4D10">
      <w:pPr>
        <w:spacing w:after="160" w:line="259" w:lineRule="auto"/>
        <w:rPr>
          <w:color w:val="auto"/>
          <w:szCs w:val="20"/>
        </w:rPr>
      </w:pPr>
      <w:r w:rsidRPr="00BA4D10">
        <w:rPr>
          <w:szCs w:val="20"/>
        </w:rPr>
        <w:t>Similarly, a recent Accenture survey found that two-thirds of consumers in the U.K. said they won’t</w:t>
      </w:r>
      <w:r w:rsidRPr="0027372A">
        <w:rPr>
          <w:rFonts w:cs="Arial"/>
          <w:color w:val="auto"/>
          <w:szCs w:val="20"/>
          <w:shd w:val="clear" w:color="auto" w:fill="FFFFFF"/>
        </w:rPr>
        <w:t xml:space="preserve"> share their personal financial data with third-party providers”. These results also vary by demographic:</w:t>
      </w:r>
    </w:p>
    <w:p w14:paraId="5264A9D9" w14:textId="52273161" w:rsidR="00E51C96" w:rsidRPr="0027372A" w:rsidRDefault="00E51C96" w:rsidP="00E51C96">
      <w:pPr>
        <w:ind w:left="720"/>
        <w:rPr>
          <w:color w:val="auto"/>
          <w:szCs w:val="20"/>
        </w:rPr>
      </w:pPr>
      <w:r w:rsidRPr="0027372A">
        <w:rPr>
          <w:rFonts w:cs="Arial"/>
          <w:color w:val="auto"/>
          <w:szCs w:val="20"/>
          <w:shd w:val="clear" w:color="auto" w:fill="FFFFFF"/>
        </w:rPr>
        <w:t>One-third (39 per</w:t>
      </w:r>
      <w:r w:rsidR="00490FAA">
        <w:rPr>
          <w:rFonts w:cs="Arial"/>
          <w:color w:val="auto"/>
          <w:szCs w:val="20"/>
          <w:shd w:val="clear" w:color="auto" w:fill="FFFFFF"/>
        </w:rPr>
        <w:t xml:space="preserve"> </w:t>
      </w:r>
      <w:r w:rsidRPr="0027372A">
        <w:rPr>
          <w:rFonts w:cs="Arial"/>
          <w:color w:val="auto"/>
          <w:szCs w:val="20"/>
          <w:shd w:val="clear" w:color="auto" w:fill="FFFFFF"/>
        </w:rPr>
        <w:t xml:space="preserve">cent) of Gen Z respondents – those born after 1996 – describe themselves as likely to use </w:t>
      </w:r>
      <w:r w:rsidR="00BB3C23">
        <w:rPr>
          <w:rFonts w:cs="Arial"/>
          <w:color w:val="auto"/>
          <w:szCs w:val="20"/>
          <w:shd w:val="clear" w:color="auto" w:fill="FFFFFF"/>
        </w:rPr>
        <w:t>o</w:t>
      </w:r>
      <w:r w:rsidRPr="0027372A">
        <w:rPr>
          <w:rFonts w:cs="Arial"/>
          <w:color w:val="auto"/>
          <w:szCs w:val="20"/>
          <w:shd w:val="clear" w:color="auto" w:fill="FFFFFF"/>
        </w:rPr>
        <w:t>pen banking instead of their usual method of payment in the future, compared with just 13 per</w:t>
      </w:r>
      <w:r w:rsidR="00490FAA">
        <w:rPr>
          <w:rFonts w:cs="Arial"/>
          <w:color w:val="auto"/>
          <w:szCs w:val="20"/>
          <w:shd w:val="clear" w:color="auto" w:fill="FFFFFF"/>
        </w:rPr>
        <w:t xml:space="preserve"> </w:t>
      </w:r>
      <w:r w:rsidRPr="0027372A">
        <w:rPr>
          <w:rFonts w:cs="Arial"/>
          <w:color w:val="auto"/>
          <w:szCs w:val="20"/>
          <w:shd w:val="clear" w:color="auto" w:fill="FFFFFF"/>
        </w:rPr>
        <w:t>cent of Baby Boomers (those born between 1946 and 1964).</w:t>
      </w:r>
      <w:r w:rsidR="00490FAA">
        <w:rPr>
          <w:rStyle w:val="FootnoteReference"/>
          <w:rFonts w:cs="Arial"/>
          <w:color w:val="auto"/>
          <w:szCs w:val="20"/>
          <w:shd w:val="clear" w:color="auto" w:fill="FFFFFF"/>
        </w:rPr>
        <w:footnoteReference w:id="20"/>
      </w:r>
    </w:p>
    <w:p w14:paraId="7AD4BDF9" w14:textId="77777777" w:rsidR="00E51C96" w:rsidRPr="0027372A" w:rsidRDefault="00E51C96" w:rsidP="003B697B">
      <w:pPr>
        <w:rPr>
          <w:szCs w:val="20"/>
        </w:rPr>
      </w:pPr>
    </w:p>
    <w:p w14:paraId="733F2B2F" w14:textId="4EE118AB" w:rsidR="00BC010D" w:rsidRPr="0027372A" w:rsidRDefault="00490FAA" w:rsidP="00F07E04">
      <w:pPr>
        <w:rPr>
          <w:b/>
          <w:szCs w:val="20"/>
        </w:rPr>
      </w:pPr>
      <w:r>
        <w:rPr>
          <w:b/>
          <w:szCs w:val="20"/>
        </w:rPr>
        <w:t>P</w:t>
      </w:r>
      <w:r w:rsidR="00F07E04" w:rsidRPr="0027372A">
        <w:rPr>
          <w:b/>
          <w:szCs w:val="20"/>
        </w:rPr>
        <w:t>ost-implementation review</w:t>
      </w:r>
    </w:p>
    <w:p w14:paraId="3550363E" w14:textId="501CE2A5" w:rsidR="00A67AF8" w:rsidRDefault="00DB72B4" w:rsidP="0029165C">
      <w:pPr>
        <w:rPr>
          <w:szCs w:val="20"/>
        </w:rPr>
      </w:pPr>
      <w:r w:rsidRPr="0027372A">
        <w:rPr>
          <w:szCs w:val="20"/>
        </w:rPr>
        <w:t>Recommendation 6.6 of t</w:t>
      </w:r>
      <w:r w:rsidR="00F07E04" w:rsidRPr="0027372A">
        <w:rPr>
          <w:szCs w:val="20"/>
        </w:rPr>
        <w:t xml:space="preserve">he Report proposes </w:t>
      </w:r>
      <w:proofErr w:type="gramStart"/>
      <w:r w:rsidR="00490FAA">
        <w:rPr>
          <w:szCs w:val="20"/>
        </w:rPr>
        <w:t>a</w:t>
      </w:r>
      <w:r w:rsidR="00F07E04" w:rsidRPr="0027372A">
        <w:rPr>
          <w:szCs w:val="20"/>
        </w:rPr>
        <w:t xml:space="preserve"> </w:t>
      </w:r>
      <w:r w:rsidR="003D28AC" w:rsidRPr="0027372A">
        <w:rPr>
          <w:szCs w:val="20"/>
        </w:rPr>
        <w:t>post-implementation review 12 months</w:t>
      </w:r>
      <w:proofErr w:type="gramEnd"/>
      <w:r w:rsidR="00F07E04" w:rsidRPr="0027372A">
        <w:rPr>
          <w:szCs w:val="20"/>
        </w:rPr>
        <w:t xml:space="preserve"> after the Commencement Date. </w:t>
      </w:r>
      <w:r w:rsidR="00490FAA">
        <w:rPr>
          <w:szCs w:val="20"/>
        </w:rPr>
        <w:t xml:space="preserve">We </w:t>
      </w:r>
      <w:r w:rsidR="00166F47" w:rsidRPr="0027372A">
        <w:rPr>
          <w:szCs w:val="20"/>
        </w:rPr>
        <w:t>support</w:t>
      </w:r>
      <w:r w:rsidR="00490FAA">
        <w:rPr>
          <w:szCs w:val="20"/>
        </w:rPr>
        <w:t xml:space="preserve"> this recommendation and suggest that</w:t>
      </w:r>
      <w:r w:rsidR="00166F47" w:rsidRPr="0027372A">
        <w:rPr>
          <w:szCs w:val="20"/>
        </w:rPr>
        <w:t xml:space="preserve"> the post implementation review</w:t>
      </w:r>
      <w:r w:rsidR="00490FAA">
        <w:rPr>
          <w:szCs w:val="20"/>
        </w:rPr>
        <w:t xml:space="preserve"> is the opportunity to consider issues such as</w:t>
      </w:r>
      <w:r w:rsidR="00A67AF8">
        <w:rPr>
          <w:szCs w:val="20"/>
        </w:rPr>
        <w:t xml:space="preserve"> </w:t>
      </w:r>
      <w:proofErr w:type="gramStart"/>
      <w:r w:rsidR="00A67AF8">
        <w:rPr>
          <w:szCs w:val="20"/>
        </w:rPr>
        <w:t>whether or not</w:t>
      </w:r>
      <w:proofErr w:type="gramEnd"/>
      <w:r w:rsidR="00A67AF8">
        <w:rPr>
          <w:szCs w:val="20"/>
        </w:rPr>
        <w:t xml:space="preserve"> to extend the mandatory participation regime to ADIs other than the major banks and the timing of any such extension.</w:t>
      </w:r>
    </w:p>
    <w:p w14:paraId="1D0F2567" w14:textId="77777777" w:rsidR="00166F47" w:rsidRPr="0027372A" w:rsidRDefault="00166F47" w:rsidP="0029165C">
      <w:pPr>
        <w:rPr>
          <w:szCs w:val="20"/>
        </w:rPr>
      </w:pPr>
    </w:p>
    <w:tbl>
      <w:tblPr>
        <w:tblStyle w:val="TableGrid"/>
        <w:tblW w:w="0" w:type="auto"/>
        <w:tblInd w:w="562" w:type="dxa"/>
        <w:tblLook w:val="04A0" w:firstRow="1" w:lastRow="0" w:firstColumn="1" w:lastColumn="0" w:noHBand="0" w:noVBand="1"/>
      </w:tblPr>
      <w:tblGrid>
        <w:gridCol w:w="8811"/>
      </w:tblGrid>
      <w:tr w:rsidR="0029165C" w:rsidRPr="0027372A" w14:paraId="58AE2784" w14:textId="77777777" w:rsidTr="0036076C">
        <w:tc>
          <w:tcPr>
            <w:tcW w:w="8811" w:type="dxa"/>
            <w:shd w:val="clear" w:color="auto" w:fill="auto"/>
          </w:tcPr>
          <w:p w14:paraId="51A323D4" w14:textId="77777777" w:rsidR="00DF7F66" w:rsidRDefault="00DF7F66" w:rsidP="005C282B">
            <w:pPr>
              <w:rPr>
                <w:szCs w:val="20"/>
              </w:rPr>
            </w:pPr>
          </w:p>
          <w:p w14:paraId="691A9FE1" w14:textId="1AE155BE" w:rsidR="0029165C" w:rsidRPr="0027372A" w:rsidRDefault="0029165C" w:rsidP="005C282B">
            <w:pPr>
              <w:rPr>
                <w:szCs w:val="20"/>
              </w:rPr>
            </w:pPr>
            <w:r w:rsidRPr="0027372A">
              <w:rPr>
                <w:szCs w:val="20"/>
              </w:rPr>
              <w:t>Recommendation 6.6 – timely post-implementation assessment</w:t>
            </w:r>
          </w:p>
          <w:p w14:paraId="3D74752C" w14:textId="77777777" w:rsidR="0029165C" w:rsidRPr="0027372A" w:rsidRDefault="0029165C" w:rsidP="005C282B">
            <w:pPr>
              <w:rPr>
                <w:szCs w:val="20"/>
              </w:rPr>
            </w:pPr>
          </w:p>
          <w:p w14:paraId="4048E9CB" w14:textId="77777777" w:rsidR="0029165C" w:rsidRDefault="0029165C" w:rsidP="005C282B">
            <w:pPr>
              <w:rPr>
                <w:szCs w:val="20"/>
              </w:rPr>
            </w:pPr>
            <w:r w:rsidRPr="0027372A">
              <w:rPr>
                <w:szCs w:val="20"/>
              </w:rPr>
              <w:t>A post-implementation assessment of Open Banking should be conducted by the regulator (or an independent person) approximately 12 months after the Commencement Date and report to the Minister with recommendations.</w:t>
            </w:r>
          </w:p>
          <w:p w14:paraId="37BFEB2E" w14:textId="7AA252A1" w:rsidR="00DF7F66" w:rsidRPr="0027372A" w:rsidRDefault="00DF7F66" w:rsidP="005C282B">
            <w:pPr>
              <w:rPr>
                <w:szCs w:val="20"/>
              </w:rPr>
            </w:pPr>
          </w:p>
        </w:tc>
      </w:tr>
    </w:tbl>
    <w:p w14:paraId="2C2ECAB2" w14:textId="77777777" w:rsidR="00F07E04" w:rsidRPr="0027372A" w:rsidRDefault="00F07E04" w:rsidP="00F07E04">
      <w:pPr>
        <w:rPr>
          <w:szCs w:val="20"/>
        </w:rPr>
      </w:pPr>
    </w:p>
    <w:p w14:paraId="7FCEA41C" w14:textId="5B770C47" w:rsidR="00B40A1F" w:rsidRDefault="00A67AF8" w:rsidP="00BA4D10">
      <w:pPr>
        <w:spacing w:after="160" w:line="259" w:lineRule="auto"/>
        <w:rPr>
          <w:szCs w:val="20"/>
        </w:rPr>
      </w:pPr>
      <w:r w:rsidRPr="002A6054">
        <w:rPr>
          <w:szCs w:val="20"/>
        </w:rPr>
        <w:t>T</w:t>
      </w:r>
      <w:r w:rsidR="00F07E04" w:rsidRPr="002A6054">
        <w:rPr>
          <w:szCs w:val="20"/>
        </w:rPr>
        <w:t>h</w:t>
      </w:r>
      <w:r w:rsidR="002A6054">
        <w:rPr>
          <w:szCs w:val="20"/>
        </w:rPr>
        <w:t>e</w:t>
      </w:r>
      <w:r w:rsidR="00F07E04" w:rsidRPr="002A6054">
        <w:rPr>
          <w:szCs w:val="20"/>
        </w:rPr>
        <w:t xml:space="preserve"> review will </w:t>
      </w:r>
      <w:r w:rsidR="002A6054">
        <w:rPr>
          <w:szCs w:val="20"/>
        </w:rPr>
        <w:t>assess the impact of initial</w:t>
      </w:r>
      <w:r w:rsidR="00F07E04" w:rsidRPr="002A6054">
        <w:rPr>
          <w:szCs w:val="20"/>
        </w:rPr>
        <w:t xml:space="preserve"> implementation of </w:t>
      </w:r>
      <w:r w:rsidR="00B40A1F" w:rsidRPr="002A6054">
        <w:rPr>
          <w:szCs w:val="20"/>
        </w:rPr>
        <w:t>O</w:t>
      </w:r>
      <w:r w:rsidR="00F07E04" w:rsidRPr="002A6054">
        <w:rPr>
          <w:szCs w:val="20"/>
        </w:rPr>
        <w:t xml:space="preserve">pen </w:t>
      </w:r>
      <w:r w:rsidR="00B40A1F" w:rsidRPr="002A6054">
        <w:rPr>
          <w:szCs w:val="20"/>
        </w:rPr>
        <w:t>B</w:t>
      </w:r>
      <w:r w:rsidR="00F07E04" w:rsidRPr="002A6054">
        <w:rPr>
          <w:szCs w:val="20"/>
        </w:rPr>
        <w:t>anking</w:t>
      </w:r>
      <w:r w:rsidR="00B40A1F" w:rsidRPr="002A6054">
        <w:rPr>
          <w:szCs w:val="20"/>
        </w:rPr>
        <w:t xml:space="preserve"> and whether the regime is working optimally for consumers</w:t>
      </w:r>
      <w:r w:rsidR="00F07E04" w:rsidRPr="002A6054">
        <w:rPr>
          <w:szCs w:val="20"/>
        </w:rPr>
        <w:t xml:space="preserve">. </w:t>
      </w:r>
      <w:r w:rsidR="00B40A1F" w:rsidRPr="002A6054">
        <w:rPr>
          <w:szCs w:val="20"/>
        </w:rPr>
        <w:t>Decisions</w:t>
      </w:r>
      <w:r w:rsidR="00B40A1F">
        <w:rPr>
          <w:szCs w:val="20"/>
        </w:rPr>
        <w:t xml:space="preserve"> can then be taken on whether the regime needs amending. Significant changes </w:t>
      </w:r>
      <w:r w:rsidR="003E00F3">
        <w:rPr>
          <w:szCs w:val="20"/>
        </w:rPr>
        <w:t>could have significant cost implications due to the need to change systems and processes for participating ADIs.</w:t>
      </w:r>
      <w:r w:rsidR="00B40A1F">
        <w:rPr>
          <w:szCs w:val="20"/>
        </w:rPr>
        <w:t xml:space="preserve"> This is another reason not to force smaller ADIs to comply</w:t>
      </w:r>
      <w:r w:rsidR="003E00F3">
        <w:rPr>
          <w:szCs w:val="20"/>
        </w:rPr>
        <w:t xml:space="preserve"> by an arbitrary date</w:t>
      </w:r>
      <w:r w:rsidR="00B40A1F">
        <w:rPr>
          <w:szCs w:val="20"/>
        </w:rPr>
        <w:t xml:space="preserve"> in conflict with their other investment priorities. </w:t>
      </w:r>
    </w:p>
    <w:p w14:paraId="51B1959F" w14:textId="191A2A26" w:rsidR="0027372A" w:rsidRDefault="0027372A" w:rsidP="00BA4D10">
      <w:pPr>
        <w:spacing w:after="160" w:line="259" w:lineRule="auto"/>
      </w:pPr>
      <w:r w:rsidRPr="00BA4D10">
        <w:rPr>
          <w:szCs w:val="20"/>
        </w:rPr>
        <w:t>Thank you for the opportunity to provide this submission.</w:t>
      </w:r>
      <w:r w:rsidR="003E00F3" w:rsidRPr="00BA4D10">
        <w:rPr>
          <w:szCs w:val="20"/>
        </w:rPr>
        <w:t xml:space="preserve"> </w:t>
      </w:r>
      <w:r w:rsidRPr="00BA4D10">
        <w:rPr>
          <w:szCs w:val="20"/>
        </w:rPr>
        <w:t xml:space="preserve">If you </w:t>
      </w:r>
      <w:r w:rsidR="00B40A1F" w:rsidRPr="00BA4D10">
        <w:rPr>
          <w:szCs w:val="20"/>
        </w:rPr>
        <w:t>would like to discuss any aspect</w:t>
      </w:r>
      <w:r w:rsidR="00B40A1F">
        <w:t xml:space="preserve"> of this submission, please contact me on 02 8035 8441 or </w:t>
      </w:r>
      <w:r w:rsidR="00D43AB9">
        <w:t>COBA’s Policy Direct</w:t>
      </w:r>
      <w:r w:rsidR="00B40A1F">
        <w:t>or</w:t>
      </w:r>
      <w:r w:rsidR="00D43AB9">
        <w:t xml:space="preserve">, </w:t>
      </w:r>
      <w:r>
        <w:t>Luke Lawler, on 02 8035 8448</w:t>
      </w:r>
      <w:r w:rsidR="00D43AB9">
        <w:t xml:space="preserve"> </w:t>
      </w:r>
      <w:r>
        <w:t>or</w:t>
      </w:r>
      <w:r w:rsidR="00D43AB9">
        <w:t xml:space="preserve"> at</w:t>
      </w:r>
      <w:r>
        <w:t xml:space="preserve"> </w:t>
      </w:r>
      <w:hyperlink r:id="rId12" w:history="1">
        <w:r w:rsidRPr="00715860">
          <w:rPr>
            <w:rStyle w:val="Hyperlink"/>
          </w:rPr>
          <w:t>llawler@coba.asn.au</w:t>
        </w:r>
      </w:hyperlink>
      <w:r>
        <w:t xml:space="preserve"> </w:t>
      </w:r>
    </w:p>
    <w:p w14:paraId="24C5E861" w14:textId="77777777" w:rsidR="0027372A" w:rsidRDefault="0027372A" w:rsidP="00D1189E"/>
    <w:p w14:paraId="57708F21" w14:textId="25663C96" w:rsidR="0027372A" w:rsidRDefault="00D43AB9" w:rsidP="00D1189E">
      <w:r>
        <w:t>Yours sincerely</w:t>
      </w:r>
    </w:p>
    <w:p w14:paraId="142FC02E" w14:textId="77777777" w:rsidR="0027372A" w:rsidRDefault="0027372A" w:rsidP="00D1189E"/>
    <w:p w14:paraId="06EC5A5D" w14:textId="118956F0" w:rsidR="0027372A" w:rsidRDefault="00DF7F66" w:rsidP="00D1189E">
      <w:r>
        <w:rPr>
          <w:noProof/>
        </w:rPr>
        <w:drawing>
          <wp:inline distT="0" distB="0" distL="0" distR="0" wp14:anchorId="5CD8E30B" wp14:editId="14F9AA97">
            <wp:extent cx="2523644" cy="77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ke Lawrence.jpg"/>
                    <pic:cNvPicPr/>
                  </pic:nvPicPr>
                  <pic:blipFill>
                    <a:blip r:embed="rId13"/>
                    <a:stretch>
                      <a:fillRect/>
                    </a:stretch>
                  </pic:blipFill>
                  <pic:spPr>
                    <a:xfrm>
                      <a:off x="0" y="0"/>
                      <a:ext cx="2531219" cy="777025"/>
                    </a:xfrm>
                    <a:prstGeom prst="rect">
                      <a:avLst/>
                    </a:prstGeom>
                  </pic:spPr>
                </pic:pic>
              </a:graphicData>
            </a:graphic>
          </wp:inline>
        </w:drawing>
      </w:r>
    </w:p>
    <w:p w14:paraId="795D77B4" w14:textId="6779E701" w:rsidR="00D43AB9" w:rsidRDefault="00A84D85" w:rsidP="00D1189E">
      <w:pPr>
        <w:rPr>
          <w:b/>
        </w:rPr>
      </w:pPr>
      <w:r w:rsidRPr="006209AB">
        <w:rPr>
          <w:b/>
        </w:rPr>
        <w:t>M</w:t>
      </w:r>
      <w:r>
        <w:rPr>
          <w:b/>
        </w:rPr>
        <w:t>ICHAEL LAWRENCE</w:t>
      </w:r>
    </w:p>
    <w:p w14:paraId="262797F5" w14:textId="62AD706C" w:rsidR="00D43AB9" w:rsidRDefault="00A84D85" w:rsidP="00D1189E">
      <w:pPr>
        <w:rPr>
          <w:b/>
        </w:rPr>
      </w:pPr>
      <w:r>
        <w:rPr>
          <w:b/>
        </w:rPr>
        <w:t>Chief Executiv</w:t>
      </w:r>
      <w:r w:rsidRPr="002A6054">
        <w:rPr>
          <w:b/>
        </w:rPr>
        <w:t>e</w:t>
      </w:r>
      <w:r>
        <w:rPr>
          <w:b/>
        </w:rPr>
        <w:t xml:space="preserve"> Officer</w:t>
      </w:r>
    </w:p>
    <w:sectPr w:rsidR="00D43AB9" w:rsidSect="001E05B9">
      <w:headerReference w:type="default" r:id="rId14"/>
      <w:footerReference w:type="default" r:id="rId15"/>
      <w:type w:val="continuous"/>
      <w:pgSz w:w="11907" w:h="16839" w:code="9"/>
      <w:pgMar w:top="1276" w:right="964" w:bottom="1134" w:left="1560" w:header="851"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99A30" w14:textId="77777777" w:rsidR="00917626" w:rsidRDefault="00917626" w:rsidP="00FA0A34">
      <w:r>
        <w:separator/>
      </w:r>
    </w:p>
  </w:endnote>
  <w:endnote w:type="continuationSeparator" w:id="0">
    <w:p w14:paraId="23350993" w14:textId="77777777" w:rsidR="00917626" w:rsidRDefault="00917626" w:rsidP="00FA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F21FF" w14:textId="77777777" w:rsidR="009F49EC" w:rsidRPr="00E6645A" w:rsidRDefault="00B506B9" w:rsidP="001E05B9">
    <w:pPr>
      <w:pStyle w:val="FootnoteText"/>
      <w:tabs>
        <w:tab w:val="left" w:pos="1995"/>
      </w:tabs>
      <w:jc w:val="left"/>
    </w:pPr>
    <w:r>
      <w:rPr>
        <w:noProof/>
        <w:lang w:val="en-AU" w:eastAsia="en-AU"/>
      </w:rPr>
      <w:drawing>
        <wp:anchor distT="0" distB="0" distL="114300" distR="114300" simplePos="0" relativeHeight="251680768" behindDoc="0" locked="0" layoutInCell="1" allowOverlap="1" wp14:anchorId="2B831F58" wp14:editId="60564B75">
          <wp:simplePos x="0" y="0"/>
          <wp:positionH relativeFrom="page">
            <wp:posOffset>4292600</wp:posOffset>
          </wp:positionH>
          <wp:positionV relativeFrom="paragraph">
            <wp:posOffset>71755</wp:posOffset>
          </wp:positionV>
          <wp:extent cx="2897503" cy="1227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3223 COBA-letterhead-word-footer_update.jpg"/>
                  <pic:cNvPicPr/>
                </pic:nvPicPr>
                <pic:blipFill>
                  <a:blip r:embed="rId1">
                    <a:extLst>
                      <a:ext uri="{28A0092B-C50C-407E-A947-70E740481C1C}">
                        <a14:useLocalDpi xmlns:a14="http://schemas.microsoft.com/office/drawing/2010/main" val="0"/>
                      </a:ext>
                    </a:extLst>
                  </a:blip>
                  <a:stretch>
                    <a:fillRect/>
                  </a:stretch>
                </pic:blipFill>
                <pic:spPr>
                  <a:xfrm>
                    <a:off x="0" y="0"/>
                    <a:ext cx="2897503" cy="1227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47A2" w14:textId="77777777" w:rsidR="00EB2A16" w:rsidRPr="00E6645A" w:rsidRDefault="001E05B9" w:rsidP="001E05B9">
    <w:pPr>
      <w:pStyle w:val="FootnoteText"/>
    </w:pPr>
    <w:r>
      <w:rPr>
        <w:noProof/>
        <w:lang w:val="en-AU" w:eastAsia="en-AU"/>
      </w:rPr>
      <w:drawing>
        <wp:anchor distT="0" distB="0" distL="114300" distR="114300" simplePos="0" relativeHeight="251683840" behindDoc="0" locked="0" layoutInCell="1" allowOverlap="1" wp14:anchorId="6999B532" wp14:editId="48C93C5E">
          <wp:simplePos x="0" y="0"/>
          <wp:positionH relativeFrom="page">
            <wp:posOffset>4416425</wp:posOffset>
          </wp:positionH>
          <wp:positionV relativeFrom="paragraph">
            <wp:posOffset>214630</wp:posOffset>
          </wp:positionV>
          <wp:extent cx="2896870" cy="1225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3223 COBA-letterhead-word-footer_update.jpg"/>
                  <pic:cNvPicPr/>
                </pic:nvPicPr>
                <pic:blipFill>
                  <a:blip r:embed="rId1">
                    <a:extLst>
                      <a:ext uri="{28A0092B-C50C-407E-A947-70E740481C1C}">
                        <a14:useLocalDpi xmlns:a14="http://schemas.microsoft.com/office/drawing/2010/main" val="0"/>
                      </a:ext>
                    </a:extLst>
                  </a:blip>
                  <a:stretch>
                    <a:fillRect/>
                  </a:stretch>
                </pic:blipFill>
                <pic:spPr>
                  <a:xfrm>
                    <a:off x="0" y="0"/>
                    <a:ext cx="2896870" cy="1225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B2A16">
      <w:t xml:space="preserve">          </w:t>
    </w:r>
    <w:sdt>
      <w:sdtPr>
        <w:id w:val="-806932981"/>
        <w:docPartObj>
          <w:docPartGallery w:val="Page Numbers (Bottom of Page)"/>
          <w:docPartUnique/>
        </w:docPartObj>
      </w:sdtPr>
      <w:sdtEndPr>
        <w:rPr>
          <w:noProof/>
        </w:rPr>
      </w:sdtEndPr>
      <w:sdtContent>
        <w:r w:rsidR="00EB2A16">
          <w:fldChar w:fldCharType="begin"/>
        </w:r>
        <w:r w:rsidR="00EB2A16">
          <w:instrText xml:space="preserve"> PAGE   \* MERGEFORMAT </w:instrText>
        </w:r>
        <w:r w:rsidR="00EB2A16">
          <w:fldChar w:fldCharType="separate"/>
        </w:r>
        <w:r>
          <w:rPr>
            <w:noProof/>
          </w:rPr>
          <w:t>2</w:t>
        </w:r>
        <w:r w:rsidR="00EB2A1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BB83C" w14:textId="77777777" w:rsidR="00917626" w:rsidRDefault="00917626" w:rsidP="00FA0A34">
      <w:r>
        <w:separator/>
      </w:r>
    </w:p>
  </w:footnote>
  <w:footnote w:type="continuationSeparator" w:id="0">
    <w:p w14:paraId="6F02C25D" w14:textId="77777777" w:rsidR="00917626" w:rsidRDefault="00917626" w:rsidP="00FA0A34">
      <w:r>
        <w:continuationSeparator/>
      </w:r>
    </w:p>
  </w:footnote>
  <w:footnote w:id="1">
    <w:p w14:paraId="0F9F960C" w14:textId="7C1302FD" w:rsidR="0039305C" w:rsidRDefault="0039305C" w:rsidP="0039305C">
      <w:pPr>
        <w:pStyle w:val="FootnoteText"/>
        <w:jc w:val="left"/>
      </w:pPr>
      <w:r>
        <w:rPr>
          <w:rStyle w:val="FootnoteReference"/>
        </w:rPr>
        <w:footnoteRef/>
      </w:r>
      <w:r>
        <w:t xml:space="preserve"> Productivity Commission Draft Report</w:t>
      </w:r>
      <w:r w:rsidR="00C80EB7">
        <w:t xml:space="preserve"> – Competition in the Australian Financial System, January 2018</w:t>
      </w:r>
    </w:p>
  </w:footnote>
  <w:footnote w:id="2">
    <w:p w14:paraId="4E3DB369" w14:textId="77777777" w:rsidR="003839CC" w:rsidRDefault="003839CC" w:rsidP="003839CC">
      <w:pPr>
        <w:pStyle w:val="FootnoteText"/>
        <w:jc w:val="left"/>
      </w:pPr>
      <w:r>
        <w:rPr>
          <w:rStyle w:val="FootnoteReference"/>
        </w:rPr>
        <w:footnoteRef/>
      </w:r>
      <w:r>
        <w:t xml:space="preserve"> </w:t>
      </w:r>
      <w:r>
        <w:rPr>
          <w:szCs w:val="15"/>
        </w:rPr>
        <w:t xml:space="preserve">ACCC submission to Productivity Commission inquiry into competition in the Australian financial system, September 2017 </w:t>
      </w:r>
      <w:r>
        <w:t xml:space="preserve"> </w:t>
      </w:r>
    </w:p>
  </w:footnote>
  <w:footnote w:id="3">
    <w:p w14:paraId="06FCDB0F" w14:textId="77777777" w:rsidR="00C55C61" w:rsidRPr="00DD3694" w:rsidRDefault="00C55C61" w:rsidP="00C55C61">
      <w:pPr>
        <w:pStyle w:val="FootnoteText"/>
        <w:jc w:val="left"/>
        <w:rPr>
          <w:lang w:val="en-AU"/>
        </w:rPr>
      </w:pPr>
      <w:r>
        <w:rPr>
          <w:rStyle w:val="FootnoteReference"/>
        </w:rPr>
        <w:footnoteRef/>
      </w:r>
      <w:r>
        <w:t xml:space="preserve"> House of Representatives Economics Committee, 2nd Report into the Major Banks, April 2017</w:t>
      </w:r>
    </w:p>
  </w:footnote>
  <w:footnote w:id="4">
    <w:p w14:paraId="2D6C9568" w14:textId="77777777" w:rsidR="00C55C61" w:rsidRPr="00DD3694" w:rsidRDefault="00C55C61" w:rsidP="00C55C61">
      <w:pPr>
        <w:pStyle w:val="FootnoteText"/>
        <w:jc w:val="left"/>
        <w:rPr>
          <w:lang w:val="en-AU"/>
        </w:rPr>
      </w:pPr>
      <w:r>
        <w:rPr>
          <w:rStyle w:val="FootnoteReference"/>
        </w:rPr>
        <w:footnoteRef/>
      </w:r>
      <w:r>
        <w:t xml:space="preserve"> 4 PC Report Data Availability &amp; Use March 2017</w:t>
      </w:r>
    </w:p>
  </w:footnote>
  <w:footnote w:id="5">
    <w:p w14:paraId="1A2A6067" w14:textId="77777777" w:rsidR="00920A52" w:rsidRPr="00920A52" w:rsidRDefault="00920A52" w:rsidP="00DF6A66">
      <w:pPr>
        <w:pStyle w:val="FootnoteText"/>
        <w:jc w:val="left"/>
        <w:rPr>
          <w:lang w:val="en-AU"/>
        </w:rPr>
      </w:pPr>
      <w:r>
        <w:rPr>
          <w:rStyle w:val="FootnoteReference"/>
        </w:rPr>
        <w:footnoteRef/>
      </w:r>
      <w:r>
        <w:t xml:space="preserve"> </w:t>
      </w:r>
      <w:hyperlink r:id="rId1" w:history="1">
        <w:r w:rsidR="0027372A" w:rsidRPr="00715860">
          <w:rPr>
            <w:rStyle w:val="Hyperlink"/>
          </w:rPr>
          <w:t>https://treasury.gov.au/consultation/c2018-t256276/</w:t>
        </w:r>
      </w:hyperlink>
      <w:r w:rsidR="0027372A">
        <w:t xml:space="preserve"> </w:t>
      </w:r>
    </w:p>
  </w:footnote>
  <w:footnote w:id="6">
    <w:p w14:paraId="66C115A0" w14:textId="77777777" w:rsidR="004F2103" w:rsidRPr="004F2103" w:rsidRDefault="004F2103" w:rsidP="00DF6A66">
      <w:pPr>
        <w:pStyle w:val="FootnoteText"/>
        <w:jc w:val="left"/>
        <w:rPr>
          <w:lang w:val="en-AU"/>
        </w:rPr>
      </w:pPr>
      <w:r>
        <w:rPr>
          <w:rStyle w:val="FootnoteReference"/>
        </w:rPr>
        <w:footnoteRef/>
      </w:r>
      <w:r>
        <w:t xml:space="preserve"> </w:t>
      </w:r>
      <w:hyperlink r:id="rId2" w:history="1">
        <w:r w:rsidRPr="00551029">
          <w:rPr>
            <w:rStyle w:val="Hyperlink"/>
          </w:rPr>
          <w:t>https://static.treasury.gov.au/uploads/sites/1/2018/02/Exposure-Draft-EM.pdf</w:t>
        </w:r>
      </w:hyperlink>
      <w:r>
        <w:t xml:space="preserve"> </w:t>
      </w:r>
    </w:p>
  </w:footnote>
  <w:footnote w:id="7">
    <w:p w14:paraId="18677C89" w14:textId="4FFAFB1F" w:rsidR="004F2103" w:rsidRPr="004F2103" w:rsidRDefault="004F2103" w:rsidP="00DF6A66">
      <w:pPr>
        <w:pStyle w:val="FootnoteText"/>
        <w:jc w:val="left"/>
        <w:rPr>
          <w:lang w:val="en-AU"/>
        </w:rPr>
      </w:pPr>
      <w:r>
        <w:rPr>
          <w:rStyle w:val="FootnoteReference"/>
        </w:rPr>
        <w:footnoteRef/>
      </w:r>
      <w:r>
        <w:t xml:space="preserve"> </w:t>
      </w:r>
      <w:r>
        <w:rPr>
          <w:lang w:val="en-AU"/>
        </w:rPr>
        <w:t>Noting that Recommendation 1.1 of the Review suggests that there should be allowed to be competing approaches</w:t>
      </w:r>
      <w:r w:rsidR="00CC1BAA">
        <w:rPr>
          <w:lang w:val="en-AU"/>
        </w:rPr>
        <w:t>.</w:t>
      </w:r>
    </w:p>
  </w:footnote>
  <w:footnote w:id="8">
    <w:p w14:paraId="55214C57" w14:textId="77777777" w:rsidR="00896E10" w:rsidRPr="00896E10" w:rsidRDefault="00896E10" w:rsidP="00DF6A66">
      <w:pPr>
        <w:pStyle w:val="FootnoteText"/>
        <w:jc w:val="left"/>
        <w:rPr>
          <w:lang w:val="en-AU"/>
        </w:rPr>
      </w:pPr>
      <w:r>
        <w:rPr>
          <w:rStyle w:val="FootnoteReference"/>
        </w:rPr>
        <w:footnoteRef/>
      </w:r>
      <w:r>
        <w:t xml:space="preserve"> </w:t>
      </w:r>
      <w:r w:rsidR="0027372A" w:rsidRPr="0027372A">
        <w:t>Five UK banks given Open Banking deadline extension by CMA</w:t>
      </w:r>
      <w:r w:rsidR="0027372A">
        <w:t xml:space="preserve">, 19 Dec 2017, </w:t>
      </w:r>
      <w:hyperlink r:id="rId3" w:history="1">
        <w:r w:rsidR="0027372A" w:rsidRPr="00715860">
          <w:rPr>
            <w:rStyle w:val="Hyperlink"/>
          </w:rPr>
          <w:t>http://www.cityam.com/277814/five-uk-banks-given-open-banking-deadline-extension-cma</w:t>
        </w:r>
      </w:hyperlink>
      <w:r>
        <w:t xml:space="preserve"> </w:t>
      </w:r>
    </w:p>
  </w:footnote>
  <w:footnote w:id="9">
    <w:p w14:paraId="797A84C3" w14:textId="77777777" w:rsidR="00DF6A66" w:rsidRPr="00DF6A66" w:rsidRDefault="00DF6A66" w:rsidP="00DF6A66">
      <w:pPr>
        <w:pStyle w:val="FootnoteText"/>
        <w:jc w:val="left"/>
        <w:rPr>
          <w:lang w:val="en-AU"/>
        </w:rPr>
      </w:pPr>
      <w:r>
        <w:rPr>
          <w:rStyle w:val="FootnoteReference"/>
        </w:rPr>
        <w:footnoteRef/>
      </w:r>
      <w:r w:rsidR="0027372A">
        <w:t xml:space="preserve"> </w:t>
      </w:r>
      <w:r w:rsidR="0027372A" w:rsidRPr="0027372A">
        <w:t>Nationwide delays Open Banking launch</w:t>
      </w:r>
      <w:r w:rsidR="0027372A">
        <w:t>, 15 Jan 2018,</w:t>
      </w:r>
      <w:r>
        <w:t xml:space="preserve"> </w:t>
      </w:r>
      <w:hyperlink r:id="rId4" w:history="1">
        <w:r w:rsidRPr="00715860">
          <w:rPr>
            <w:rStyle w:val="Hyperlink"/>
          </w:rPr>
          <w:t>http://www.bbc.com/news/business-42691661</w:t>
        </w:r>
      </w:hyperlink>
      <w:r>
        <w:t xml:space="preserve"> </w:t>
      </w:r>
    </w:p>
  </w:footnote>
  <w:footnote w:id="10">
    <w:p w14:paraId="6C4420E7" w14:textId="77777777" w:rsidR="00896E10" w:rsidRPr="00820CBF" w:rsidRDefault="00896E10" w:rsidP="00DF6A66">
      <w:pPr>
        <w:pStyle w:val="FootnoteText"/>
        <w:jc w:val="left"/>
        <w:rPr>
          <w:lang w:val="en-AU"/>
        </w:rPr>
      </w:pPr>
      <w:r>
        <w:rPr>
          <w:rStyle w:val="FootnoteReference"/>
        </w:rPr>
        <w:footnoteRef/>
      </w:r>
      <w:r>
        <w:t xml:space="preserve"> UK CMA Retail Banking Market Investigation – Provisional decisions on remedies May 2016 </w:t>
      </w:r>
    </w:p>
  </w:footnote>
  <w:footnote w:id="11">
    <w:p w14:paraId="0CAF25B2" w14:textId="77777777" w:rsidR="00471465" w:rsidRPr="00471465" w:rsidRDefault="00471465" w:rsidP="00A532D5">
      <w:pPr>
        <w:pStyle w:val="FootnoteText"/>
        <w:jc w:val="left"/>
        <w:rPr>
          <w:lang w:val="en-AU"/>
        </w:rPr>
      </w:pPr>
      <w:r>
        <w:rPr>
          <w:rStyle w:val="FootnoteReference"/>
        </w:rPr>
        <w:footnoteRef/>
      </w:r>
      <w:r>
        <w:t xml:space="preserve"> </w:t>
      </w:r>
      <w:r>
        <w:rPr>
          <w:lang w:val="en-AU"/>
        </w:rPr>
        <w:t xml:space="preserve">See Page 78 of ABA submission to the PC Competition Inquiry  </w:t>
      </w:r>
      <w:hyperlink r:id="rId5" w:history="1">
        <w:r w:rsidRPr="00551029">
          <w:rPr>
            <w:rStyle w:val="Hyperlink"/>
            <w:lang w:val="en-AU"/>
          </w:rPr>
          <w:t>https://www.ausbanking.org.au/images/uploads/Submissions/ABA-Submission__PC__Inquiry_into_Competition_in_the_Australian_Financial_System_-_15.09.17.PDF</w:t>
        </w:r>
      </w:hyperlink>
      <w:r>
        <w:rPr>
          <w:lang w:val="en-AU"/>
        </w:rPr>
        <w:t xml:space="preserve"> </w:t>
      </w:r>
    </w:p>
  </w:footnote>
  <w:footnote w:id="12">
    <w:p w14:paraId="3645E72B" w14:textId="4EFD384D" w:rsidR="009912AF" w:rsidRPr="009912AF" w:rsidRDefault="009912AF" w:rsidP="00A532D5">
      <w:pPr>
        <w:pStyle w:val="FootnoteText"/>
        <w:jc w:val="left"/>
        <w:rPr>
          <w:lang w:val="en-AU"/>
        </w:rPr>
      </w:pPr>
      <w:r>
        <w:rPr>
          <w:rStyle w:val="FootnoteReference"/>
        </w:rPr>
        <w:footnoteRef/>
      </w:r>
      <w:r w:rsidR="00DF7F66">
        <w:t xml:space="preserve"> </w:t>
      </w:r>
      <w:r w:rsidR="000B2D6C">
        <w:t>40 of 54</w:t>
      </w:r>
      <w:r>
        <w:t xml:space="preserve"> Apple Pay participating banks and card issuers in A</w:t>
      </w:r>
      <w:r w:rsidR="000B2D6C">
        <w:t>ustralia are customer-owned banks or their sub-brands</w:t>
      </w:r>
      <w:r>
        <w:t xml:space="preserve">, </w:t>
      </w:r>
      <w:bookmarkStart w:id="1" w:name="_Hlk509397733"/>
      <w:r>
        <w:fldChar w:fldCharType="begin"/>
      </w:r>
      <w:r>
        <w:instrText xml:space="preserve"> HYPERLINK "https://support.apple.com/en-au/HT206638" </w:instrText>
      </w:r>
      <w:r>
        <w:fldChar w:fldCharType="separate"/>
      </w:r>
      <w:r w:rsidRPr="00551029">
        <w:rPr>
          <w:rStyle w:val="Hyperlink"/>
        </w:rPr>
        <w:t>https://support.apple.com/en-au/HT206638</w:t>
      </w:r>
      <w:r>
        <w:fldChar w:fldCharType="end"/>
      </w:r>
      <w:bookmarkEnd w:id="1"/>
      <w:r>
        <w:t xml:space="preserve"> </w:t>
      </w:r>
    </w:p>
  </w:footnote>
  <w:footnote w:id="13">
    <w:p w14:paraId="32C23DBB" w14:textId="4FD85891" w:rsidR="009912AF" w:rsidRPr="009912AF" w:rsidRDefault="009912AF" w:rsidP="00A532D5">
      <w:pPr>
        <w:pStyle w:val="FootnoteText"/>
        <w:jc w:val="left"/>
        <w:rPr>
          <w:lang w:val="en-AU"/>
        </w:rPr>
      </w:pPr>
      <w:r>
        <w:rPr>
          <w:rStyle w:val="FootnoteReference"/>
        </w:rPr>
        <w:footnoteRef/>
      </w:r>
      <w:r w:rsidR="00BA4D10">
        <w:t xml:space="preserve"> </w:t>
      </w:r>
      <w:r w:rsidR="000B2D6C">
        <w:t>41 of 57 Google</w:t>
      </w:r>
      <w:r>
        <w:t xml:space="preserve"> Pay Participating Banks</w:t>
      </w:r>
      <w:r w:rsidR="000B2D6C">
        <w:t xml:space="preserve"> are COBs or their sub-brands</w:t>
      </w:r>
      <w:r>
        <w:t xml:space="preserve">, </w:t>
      </w:r>
      <w:hyperlink r:id="rId6" w:history="1">
        <w:r w:rsidR="000B2D6C" w:rsidRPr="00551029">
          <w:rPr>
            <w:rStyle w:val="Hyperlink"/>
          </w:rPr>
          <w:t>https://support.google.com/pay/answer/7351634</w:t>
        </w:r>
      </w:hyperlink>
      <w:r w:rsidR="000B2D6C">
        <w:t xml:space="preserve"> </w:t>
      </w:r>
      <w:r>
        <w:t xml:space="preserve">/  </w:t>
      </w:r>
    </w:p>
  </w:footnote>
  <w:footnote w:id="14">
    <w:p w14:paraId="60C6F1FE" w14:textId="77777777" w:rsidR="009912AF" w:rsidRPr="009912AF" w:rsidRDefault="009912AF" w:rsidP="00A532D5">
      <w:pPr>
        <w:pStyle w:val="FootnoteText"/>
        <w:jc w:val="left"/>
        <w:rPr>
          <w:lang w:val="en-AU"/>
        </w:rPr>
      </w:pPr>
      <w:r>
        <w:rPr>
          <w:rStyle w:val="FootnoteReference"/>
        </w:rPr>
        <w:footnoteRef/>
      </w:r>
      <w:r w:rsidR="000B2D6C">
        <w:t xml:space="preserve"> 33 of 46</w:t>
      </w:r>
      <w:r>
        <w:t xml:space="preserve"> Samsung Pay Banking Partners, </w:t>
      </w:r>
      <w:hyperlink r:id="rId7" w:history="1">
        <w:r w:rsidR="00DD3694" w:rsidRPr="00715860">
          <w:rPr>
            <w:rStyle w:val="Hyperlink"/>
          </w:rPr>
          <w:t>http://www.samsung.com/au/apps/samsungpay/banking-partners/</w:t>
        </w:r>
      </w:hyperlink>
      <w:r w:rsidR="00DD3694">
        <w:t xml:space="preserve"> </w:t>
      </w:r>
    </w:p>
  </w:footnote>
  <w:footnote w:id="15">
    <w:p w14:paraId="4B3E8CEB" w14:textId="77777777" w:rsidR="00610F49" w:rsidRPr="00DD3694" w:rsidRDefault="00610F49" w:rsidP="00A532D5">
      <w:pPr>
        <w:pStyle w:val="FootnoteText"/>
        <w:jc w:val="left"/>
        <w:rPr>
          <w:szCs w:val="15"/>
          <w:lang w:val="en-AU"/>
        </w:rPr>
      </w:pPr>
      <w:r w:rsidRPr="00DD3694">
        <w:rPr>
          <w:rStyle w:val="FootnoteReference"/>
          <w:szCs w:val="15"/>
        </w:rPr>
        <w:footnoteRef/>
      </w:r>
      <w:r w:rsidRPr="00DD3694">
        <w:rPr>
          <w:szCs w:val="15"/>
        </w:rPr>
        <w:t xml:space="preserve"> </w:t>
      </w:r>
      <w:hyperlink r:id="rId8" w:history="1">
        <w:r w:rsidRPr="00DD3694">
          <w:rPr>
            <w:rStyle w:val="Hyperlink"/>
            <w:szCs w:val="15"/>
          </w:rPr>
          <w:t>https://help.xero.com/au/DirectFeeds-AU</w:t>
        </w:r>
      </w:hyperlink>
      <w:r w:rsidRPr="00DD3694">
        <w:rPr>
          <w:szCs w:val="15"/>
        </w:rPr>
        <w:t xml:space="preserve"> </w:t>
      </w:r>
    </w:p>
  </w:footnote>
  <w:footnote w:id="16">
    <w:p w14:paraId="517DD9D3" w14:textId="5ACBABF4" w:rsidR="0082620F" w:rsidRPr="0082620F" w:rsidRDefault="0082620F" w:rsidP="00B9440F">
      <w:pPr>
        <w:rPr>
          <w:lang w:val="en-AU"/>
        </w:rPr>
      </w:pPr>
      <w:r w:rsidRPr="00DD3694">
        <w:rPr>
          <w:rStyle w:val="FootnoteReference"/>
          <w:sz w:val="15"/>
          <w:szCs w:val="15"/>
        </w:rPr>
        <w:footnoteRef/>
      </w:r>
      <w:r w:rsidRPr="00DD3694">
        <w:rPr>
          <w:sz w:val="15"/>
          <w:szCs w:val="15"/>
        </w:rPr>
        <w:t xml:space="preserve"> </w:t>
      </w:r>
      <w:hyperlink r:id="rId9" w:history="1">
        <w:r w:rsidRPr="00DD3694">
          <w:rPr>
            <w:rStyle w:val="Hyperlink"/>
            <w:sz w:val="15"/>
            <w:szCs w:val="15"/>
          </w:rPr>
          <w:t>https://www.myob.com/au/accounting-software/bankfeeds/feeds</w:t>
        </w:r>
      </w:hyperlink>
    </w:p>
  </w:footnote>
  <w:footnote w:id="17">
    <w:p w14:paraId="641A622B" w14:textId="77777777" w:rsidR="00896E10" w:rsidRPr="00896E10" w:rsidRDefault="00896E10" w:rsidP="00896E10">
      <w:pPr>
        <w:pStyle w:val="FootnoteText"/>
        <w:jc w:val="left"/>
        <w:rPr>
          <w:lang w:val="en-AU"/>
        </w:rPr>
      </w:pPr>
      <w:r>
        <w:rPr>
          <w:rStyle w:val="FootnoteReference"/>
        </w:rPr>
        <w:footnoteRef/>
      </w:r>
      <w:r>
        <w:t xml:space="preserve"> </w:t>
      </w:r>
      <w:hyperlink r:id="rId10" w:history="1">
        <w:r w:rsidRPr="00715860">
          <w:rPr>
            <w:rStyle w:val="Hyperlink"/>
          </w:rPr>
          <w:t>https://home.kpmg.com/au/en/home/industries/financial-services/mutuals-fintech-accelerator/mutuals.html</w:t>
        </w:r>
      </w:hyperlink>
      <w:r>
        <w:t xml:space="preserve"> </w:t>
      </w:r>
    </w:p>
  </w:footnote>
  <w:footnote w:id="18">
    <w:p w14:paraId="6517F4DA" w14:textId="7A7FCCF1" w:rsidR="00490FAA" w:rsidRDefault="00490FAA" w:rsidP="00490FAA">
      <w:pPr>
        <w:pStyle w:val="FootnoteText"/>
        <w:jc w:val="left"/>
      </w:pPr>
      <w:r>
        <w:rPr>
          <w:rStyle w:val="FootnoteReference"/>
        </w:rPr>
        <w:footnoteRef/>
      </w:r>
      <w:r>
        <w:t xml:space="preserve"> Review report, p106</w:t>
      </w:r>
    </w:p>
  </w:footnote>
  <w:footnote w:id="19">
    <w:p w14:paraId="049D94A1" w14:textId="77777777" w:rsidR="003B697B" w:rsidRPr="003B697B" w:rsidRDefault="003B697B" w:rsidP="00DF6A66">
      <w:pPr>
        <w:pStyle w:val="FootnoteText"/>
        <w:jc w:val="left"/>
        <w:rPr>
          <w:lang w:val="en-AU"/>
        </w:rPr>
      </w:pPr>
      <w:r>
        <w:rPr>
          <w:rStyle w:val="FootnoteReference"/>
        </w:rPr>
        <w:footnoteRef/>
      </w:r>
      <w:r>
        <w:t xml:space="preserve"> </w:t>
      </w:r>
      <w:hyperlink r:id="rId11" w:history="1">
        <w:r w:rsidR="00DF6A66" w:rsidRPr="00715860">
          <w:rPr>
            <w:rStyle w:val="Hyperlink"/>
          </w:rPr>
          <w:t>http://www.computerworlduk.com/applications/is-2017-year-that-open-banking-becomes-reality-in-uk-3653824/</w:t>
        </w:r>
      </w:hyperlink>
      <w:r w:rsidR="00DF6A66">
        <w:t xml:space="preserve"> </w:t>
      </w:r>
    </w:p>
  </w:footnote>
  <w:footnote w:id="20">
    <w:p w14:paraId="59DACF32" w14:textId="22CBADD4" w:rsidR="00490FAA" w:rsidRDefault="00490FAA" w:rsidP="00490FAA">
      <w:pPr>
        <w:pStyle w:val="FootnoteText"/>
        <w:jc w:val="left"/>
      </w:pPr>
      <w:r>
        <w:rPr>
          <w:rStyle w:val="FootnoteReference"/>
        </w:rPr>
        <w:footnoteRef/>
      </w:r>
      <w:r>
        <w:t xml:space="preserve"> </w:t>
      </w:r>
      <w:hyperlink r:id="rId12" w:history="1">
        <w:r w:rsidRPr="00426C25">
          <w:rPr>
            <w:rStyle w:val="Hyperlink"/>
          </w:rPr>
          <w:t>https://newsroom.accenture.com/news/accenture-research-finds-lack-of-trust-in-third-party-providers-creates-major-opportunity-for-banks-as-open-banking-set-to-roll-out-across-europe.htm</w:t>
        </w:r>
      </w:hyperlink>
    </w:p>
    <w:p w14:paraId="0B8DAD0C" w14:textId="77777777" w:rsidR="00490FAA" w:rsidRDefault="00490FAA" w:rsidP="00490FAA">
      <w:pPr>
        <w:pStyle w:val="FootnoteText"/>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F948" w14:textId="77777777" w:rsidR="009F49EC" w:rsidRDefault="00B22586">
    <w:pPr>
      <w:pStyle w:val="Header"/>
    </w:pPr>
    <w:r>
      <w:rPr>
        <w:noProof/>
        <w:lang w:val="en-AU" w:eastAsia="en-AU"/>
      </w:rPr>
      <w:drawing>
        <wp:anchor distT="0" distB="0" distL="114300" distR="114300" simplePos="0" relativeHeight="251681792" behindDoc="0" locked="0" layoutInCell="1" allowOverlap="1" wp14:anchorId="24008EFF" wp14:editId="447A8668">
          <wp:simplePos x="0" y="0"/>
          <wp:positionH relativeFrom="page">
            <wp:align>right</wp:align>
          </wp:positionH>
          <wp:positionV relativeFrom="page">
            <wp:align>top</wp:align>
          </wp:positionV>
          <wp:extent cx="7223760" cy="117652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3769 COBA-generic-doc-temp-update_Final.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223760" cy="117652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164D" w14:textId="77777777" w:rsidR="009F49EC" w:rsidRDefault="009F4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BF85E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868469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D424209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37E26A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B6A42D5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EE4761"/>
    <w:multiLevelType w:val="hybridMultilevel"/>
    <w:tmpl w:val="5E927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867DBC"/>
    <w:multiLevelType w:val="hybridMultilevel"/>
    <w:tmpl w:val="DB8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161AF"/>
    <w:multiLevelType w:val="hybridMultilevel"/>
    <w:tmpl w:val="7266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032DBF"/>
    <w:multiLevelType w:val="hybridMultilevel"/>
    <w:tmpl w:val="6CEAD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3E783D"/>
    <w:multiLevelType w:val="hybridMultilevel"/>
    <w:tmpl w:val="0158C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9410D9"/>
    <w:multiLevelType w:val="hybridMultilevel"/>
    <w:tmpl w:val="00E48B5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546F6821"/>
    <w:multiLevelType w:val="hybridMultilevel"/>
    <w:tmpl w:val="08F29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9168CF"/>
    <w:multiLevelType w:val="hybridMultilevel"/>
    <w:tmpl w:val="26247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3742D0"/>
    <w:multiLevelType w:val="hybridMultilevel"/>
    <w:tmpl w:val="C82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495771"/>
    <w:multiLevelType w:val="hybridMultilevel"/>
    <w:tmpl w:val="3410A8A8"/>
    <w:lvl w:ilvl="0" w:tplc="86F26788">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14"/>
  </w:num>
  <w:num w:numId="8">
    <w:abstractNumId w:val="9"/>
  </w:num>
  <w:num w:numId="9">
    <w:abstractNumId w:val="8"/>
  </w:num>
  <w:num w:numId="10">
    <w:abstractNumId w:val="7"/>
  </w:num>
  <w:num w:numId="11">
    <w:abstractNumId w:val="6"/>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31"/>
    <w:rsid w:val="00014E06"/>
    <w:rsid w:val="0001637B"/>
    <w:rsid w:val="000327C0"/>
    <w:rsid w:val="00060B14"/>
    <w:rsid w:val="00063836"/>
    <w:rsid w:val="00072923"/>
    <w:rsid w:val="00087533"/>
    <w:rsid w:val="000A2F89"/>
    <w:rsid w:val="000B2D6C"/>
    <w:rsid w:val="000B3373"/>
    <w:rsid w:val="000C50A7"/>
    <w:rsid w:val="000F5C97"/>
    <w:rsid w:val="00107E09"/>
    <w:rsid w:val="001232C8"/>
    <w:rsid w:val="00166F47"/>
    <w:rsid w:val="001A14D2"/>
    <w:rsid w:val="001B033C"/>
    <w:rsid w:val="001E0271"/>
    <w:rsid w:val="001E05B9"/>
    <w:rsid w:val="001E4A9C"/>
    <w:rsid w:val="001F0C28"/>
    <w:rsid w:val="00206EEC"/>
    <w:rsid w:val="00216485"/>
    <w:rsid w:val="00222CA9"/>
    <w:rsid w:val="00225009"/>
    <w:rsid w:val="00227A31"/>
    <w:rsid w:val="00236871"/>
    <w:rsid w:val="0027372A"/>
    <w:rsid w:val="0029165C"/>
    <w:rsid w:val="00296B5B"/>
    <w:rsid w:val="002A6054"/>
    <w:rsid w:val="002B17BF"/>
    <w:rsid w:val="002B30E2"/>
    <w:rsid w:val="002C135C"/>
    <w:rsid w:val="002E76B2"/>
    <w:rsid w:val="002F5E00"/>
    <w:rsid w:val="00325E5A"/>
    <w:rsid w:val="003531E3"/>
    <w:rsid w:val="0036076C"/>
    <w:rsid w:val="003839CC"/>
    <w:rsid w:val="0039305C"/>
    <w:rsid w:val="003A069C"/>
    <w:rsid w:val="003B0028"/>
    <w:rsid w:val="003B697B"/>
    <w:rsid w:val="003C45DB"/>
    <w:rsid w:val="003C62BF"/>
    <w:rsid w:val="003D28AC"/>
    <w:rsid w:val="003E00F3"/>
    <w:rsid w:val="003F443A"/>
    <w:rsid w:val="004054E4"/>
    <w:rsid w:val="0041688D"/>
    <w:rsid w:val="004309E5"/>
    <w:rsid w:val="00443988"/>
    <w:rsid w:val="004458B5"/>
    <w:rsid w:val="0045338C"/>
    <w:rsid w:val="00471465"/>
    <w:rsid w:val="00473F9B"/>
    <w:rsid w:val="00490FAA"/>
    <w:rsid w:val="004B40BB"/>
    <w:rsid w:val="004F2103"/>
    <w:rsid w:val="00500EA3"/>
    <w:rsid w:val="0050440E"/>
    <w:rsid w:val="00521652"/>
    <w:rsid w:val="00541CEA"/>
    <w:rsid w:val="00544393"/>
    <w:rsid w:val="0058129D"/>
    <w:rsid w:val="00587E09"/>
    <w:rsid w:val="005C2D21"/>
    <w:rsid w:val="0060107B"/>
    <w:rsid w:val="00605B09"/>
    <w:rsid w:val="00610F49"/>
    <w:rsid w:val="00612CBB"/>
    <w:rsid w:val="006209AB"/>
    <w:rsid w:val="00664B3A"/>
    <w:rsid w:val="006C3C03"/>
    <w:rsid w:val="006C4CEA"/>
    <w:rsid w:val="006D3D32"/>
    <w:rsid w:val="006F24B8"/>
    <w:rsid w:val="007044A9"/>
    <w:rsid w:val="007334C0"/>
    <w:rsid w:val="00742093"/>
    <w:rsid w:val="00753DDB"/>
    <w:rsid w:val="007840A8"/>
    <w:rsid w:val="007A0726"/>
    <w:rsid w:val="007B17D9"/>
    <w:rsid w:val="007B78B7"/>
    <w:rsid w:val="007E69FA"/>
    <w:rsid w:val="0081126C"/>
    <w:rsid w:val="00820CBF"/>
    <w:rsid w:val="00821675"/>
    <w:rsid w:val="0082620F"/>
    <w:rsid w:val="00836E09"/>
    <w:rsid w:val="00855325"/>
    <w:rsid w:val="0086744D"/>
    <w:rsid w:val="0087012F"/>
    <w:rsid w:val="00873DC9"/>
    <w:rsid w:val="00877849"/>
    <w:rsid w:val="00880B73"/>
    <w:rsid w:val="008816B4"/>
    <w:rsid w:val="00881CC1"/>
    <w:rsid w:val="00896E10"/>
    <w:rsid w:val="008A2DCE"/>
    <w:rsid w:val="008D0919"/>
    <w:rsid w:val="008F5C71"/>
    <w:rsid w:val="008F67CA"/>
    <w:rsid w:val="00917626"/>
    <w:rsid w:val="00920A52"/>
    <w:rsid w:val="0092175E"/>
    <w:rsid w:val="009329B4"/>
    <w:rsid w:val="0097653C"/>
    <w:rsid w:val="00976B26"/>
    <w:rsid w:val="00982CA6"/>
    <w:rsid w:val="00990897"/>
    <w:rsid w:val="009912AF"/>
    <w:rsid w:val="009A1131"/>
    <w:rsid w:val="009A4692"/>
    <w:rsid w:val="009B3133"/>
    <w:rsid w:val="009C2736"/>
    <w:rsid w:val="009F49EC"/>
    <w:rsid w:val="00A12A37"/>
    <w:rsid w:val="00A267C6"/>
    <w:rsid w:val="00A424BC"/>
    <w:rsid w:val="00A532D5"/>
    <w:rsid w:val="00A56150"/>
    <w:rsid w:val="00A67AF8"/>
    <w:rsid w:val="00A76953"/>
    <w:rsid w:val="00A84D85"/>
    <w:rsid w:val="00A85C4C"/>
    <w:rsid w:val="00AB4FF8"/>
    <w:rsid w:val="00AC2D46"/>
    <w:rsid w:val="00AD1B8A"/>
    <w:rsid w:val="00AF702D"/>
    <w:rsid w:val="00B20734"/>
    <w:rsid w:val="00B21BBB"/>
    <w:rsid w:val="00B22586"/>
    <w:rsid w:val="00B40A1F"/>
    <w:rsid w:val="00B506B9"/>
    <w:rsid w:val="00B51AC6"/>
    <w:rsid w:val="00B777BB"/>
    <w:rsid w:val="00B901D3"/>
    <w:rsid w:val="00B9440F"/>
    <w:rsid w:val="00B96D1B"/>
    <w:rsid w:val="00BA4D10"/>
    <w:rsid w:val="00BB3C23"/>
    <w:rsid w:val="00BC010D"/>
    <w:rsid w:val="00BD1F71"/>
    <w:rsid w:val="00BD537C"/>
    <w:rsid w:val="00BD746B"/>
    <w:rsid w:val="00BE398C"/>
    <w:rsid w:val="00BE7342"/>
    <w:rsid w:val="00C278F3"/>
    <w:rsid w:val="00C34386"/>
    <w:rsid w:val="00C516B0"/>
    <w:rsid w:val="00C55C61"/>
    <w:rsid w:val="00C6401C"/>
    <w:rsid w:val="00C80EB7"/>
    <w:rsid w:val="00CC1BAA"/>
    <w:rsid w:val="00CC38E7"/>
    <w:rsid w:val="00CE4D4B"/>
    <w:rsid w:val="00CF4DCC"/>
    <w:rsid w:val="00D04B70"/>
    <w:rsid w:val="00D1189E"/>
    <w:rsid w:val="00D42D56"/>
    <w:rsid w:val="00D43AB9"/>
    <w:rsid w:val="00D64081"/>
    <w:rsid w:val="00D656AE"/>
    <w:rsid w:val="00D710BD"/>
    <w:rsid w:val="00D72F04"/>
    <w:rsid w:val="00D851C9"/>
    <w:rsid w:val="00D90ECA"/>
    <w:rsid w:val="00DA5A53"/>
    <w:rsid w:val="00DB72B4"/>
    <w:rsid w:val="00DC3DDC"/>
    <w:rsid w:val="00DC4D32"/>
    <w:rsid w:val="00DD3433"/>
    <w:rsid w:val="00DD3694"/>
    <w:rsid w:val="00DD499E"/>
    <w:rsid w:val="00DF6A66"/>
    <w:rsid w:val="00DF7F66"/>
    <w:rsid w:val="00E05108"/>
    <w:rsid w:val="00E064DA"/>
    <w:rsid w:val="00E10E36"/>
    <w:rsid w:val="00E11D03"/>
    <w:rsid w:val="00E503B7"/>
    <w:rsid w:val="00E51C96"/>
    <w:rsid w:val="00E5707D"/>
    <w:rsid w:val="00E6645A"/>
    <w:rsid w:val="00E70218"/>
    <w:rsid w:val="00E70531"/>
    <w:rsid w:val="00EA3CE7"/>
    <w:rsid w:val="00EA7722"/>
    <w:rsid w:val="00EB2A16"/>
    <w:rsid w:val="00EB30B8"/>
    <w:rsid w:val="00F07E04"/>
    <w:rsid w:val="00F54A8E"/>
    <w:rsid w:val="00F555D9"/>
    <w:rsid w:val="00F67C2E"/>
    <w:rsid w:val="00F74480"/>
    <w:rsid w:val="00F83FDA"/>
    <w:rsid w:val="00FA0A34"/>
    <w:rsid w:val="00FA7794"/>
    <w:rsid w:val="00FB51C2"/>
    <w:rsid w:val="00FD2507"/>
    <w:rsid w:val="00FE4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825CD5"/>
  <w15:docId w15:val="{B834671A-B7A9-4282-9B6F-FD73A1C5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D03"/>
    <w:pPr>
      <w:spacing w:after="0" w:line="240" w:lineRule="auto"/>
    </w:pPr>
    <w:rPr>
      <w:rFonts w:ascii="Verdana" w:eastAsiaTheme="minorEastAsia" w:hAnsi="Verdana"/>
      <w:color w:val="000000" w:themeColor="text1"/>
      <w:sz w:val="20"/>
    </w:rPr>
  </w:style>
  <w:style w:type="paragraph" w:styleId="Heading1">
    <w:name w:val="heading 1"/>
    <w:next w:val="Subtitle"/>
    <w:link w:val="Heading1Char"/>
    <w:uiPriority w:val="9"/>
    <w:qFormat/>
    <w:rsid w:val="00325E5A"/>
    <w:pPr>
      <w:keepNext/>
      <w:keepLines/>
      <w:spacing w:after="840" w:line="620" w:lineRule="exact"/>
      <w:outlineLvl w:val="0"/>
    </w:pPr>
    <w:rPr>
      <w:rFonts w:ascii="Verdana" w:eastAsiaTheme="majorEastAsia" w:hAnsi="Verdana" w:cstheme="majorBidi"/>
      <w:caps/>
      <w:color w:val="00693C"/>
      <w:sz w:val="52"/>
      <w:szCs w:val="32"/>
    </w:rPr>
  </w:style>
  <w:style w:type="paragraph" w:styleId="Heading2">
    <w:name w:val="heading 2"/>
    <w:basedOn w:val="Normal"/>
    <w:next w:val="Normal"/>
    <w:link w:val="Heading2Char"/>
    <w:uiPriority w:val="9"/>
    <w:unhideWhenUsed/>
    <w:qFormat/>
    <w:rsid w:val="00E6645A"/>
    <w:pPr>
      <w:keepNext/>
      <w:keepLines/>
      <w:spacing w:before="360" w:line="280" w:lineRule="exact"/>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A34"/>
    <w:pPr>
      <w:tabs>
        <w:tab w:val="center" w:pos="4680"/>
        <w:tab w:val="right" w:pos="9360"/>
      </w:tabs>
    </w:pPr>
  </w:style>
  <w:style w:type="character" w:customStyle="1" w:styleId="HeaderChar">
    <w:name w:val="Header Char"/>
    <w:basedOn w:val="DefaultParagraphFont"/>
    <w:link w:val="Header"/>
    <w:uiPriority w:val="99"/>
    <w:rsid w:val="00FA0A34"/>
  </w:style>
  <w:style w:type="paragraph" w:styleId="Footer">
    <w:name w:val="footer"/>
    <w:basedOn w:val="Normal"/>
    <w:link w:val="FooterChar"/>
    <w:uiPriority w:val="99"/>
    <w:unhideWhenUsed/>
    <w:rsid w:val="00E6645A"/>
    <w:pPr>
      <w:tabs>
        <w:tab w:val="center" w:pos="4680"/>
        <w:tab w:val="right" w:pos="9360"/>
      </w:tabs>
      <w:jc w:val="right"/>
    </w:pPr>
    <w:rPr>
      <w:sz w:val="14"/>
    </w:rPr>
  </w:style>
  <w:style w:type="character" w:customStyle="1" w:styleId="FooterChar">
    <w:name w:val="Footer Char"/>
    <w:basedOn w:val="DefaultParagraphFont"/>
    <w:link w:val="Footer"/>
    <w:uiPriority w:val="99"/>
    <w:rsid w:val="00E6645A"/>
    <w:rPr>
      <w:rFonts w:ascii="Verdana" w:eastAsiaTheme="minorEastAsia" w:hAnsi="Verdana"/>
      <w:color w:val="595959" w:themeColor="text1" w:themeTint="A6"/>
      <w:sz w:val="14"/>
    </w:rPr>
  </w:style>
  <w:style w:type="character" w:customStyle="1" w:styleId="Heading1Char">
    <w:name w:val="Heading 1 Char"/>
    <w:basedOn w:val="DefaultParagraphFont"/>
    <w:link w:val="Heading1"/>
    <w:uiPriority w:val="9"/>
    <w:rsid w:val="00325E5A"/>
    <w:rPr>
      <w:rFonts w:ascii="Verdana" w:eastAsiaTheme="majorEastAsia" w:hAnsi="Verdana" w:cstheme="majorBidi"/>
      <w:caps/>
      <w:color w:val="00693C"/>
      <w:sz w:val="52"/>
      <w:szCs w:val="32"/>
    </w:rPr>
  </w:style>
  <w:style w:type="paragraph" w:styleId="Subtitle">
    <w:name w:val="Subtitle"/>
    <w:basedOn w:val="Normal"/>
    <w:next w:val="Normal"/>
    <w:link w:val="SubtitleChar"/>
    <w:uiPriority w:val="11"/>
    <w:qFormat/>
    <w:rsid w:val="00F555D9"/>
    <w:pPr>
      <w:numPr>
        <w:ilvl w:val="1"/>
      </w:numPr>
      <w:spacing w:after="400" w:line="400" w:lineRule="exact"/>
    </w:pPr>
    <w:rPr>
      <w:color w:val="5A5A5A" w:themeColor="text1" w:themeTint="A5"/>
      <w:sz w:val="32"/>
    </w:rPr>
  </w:style>
  <w:style w:type="character" w:customStyle="1" w:styleId="SubtitleChar">
    <w:name w:val="Subtitle Char"/>
    <w:basedOn w:val="DefaultParagraphFont"/>
    <w:link w:val="Subtitle"/>
    <w:uiPriority w:val="11"/>
    <w:rsid w:val="00F555D9"/>
    <w:rPr>
      <w:rFonts w:ascii="Verdana" w:eastAsiaTheme="minorEastAsia" w:hAnsi="Verdana"/>
      <w:color w:val="5A5A5A" w:themeColor="text1" w:themeTint="A5"/>
      <w:sz w:val="32"/>
    </w:rPr>
  </w:style>
  <w:style w:type="character" w:customStyle="1" w:styleId="Heading2Char">
    <w:name w:val="Heading 2 Char"/>
    <w:basedOn w:val="DefaultParagraphFont"/>
    <w:link w:val="Heading2"/>
    <w:uiPriority w:val="9"/>
    <w:rsid w:val="00E6645A"/>
    <w:rPr>
      <w:rFonts w:ascii="Verdana" w:eastAsiaTheme="majorEastAsia" w:hAnsi="Verdana" w:cstheme="majorBidi"/>
      <w:color w:val="595959" w:themeColor="text1" w:themeTint="A6"/>
      <w:sz w:val="24"/>
      <w:szCs w:val="26"/>
    </w:rPr>
  </w:style>
  <w:style w:type="paragraph" w:styleId="ListBullet">
    <w:name w:val="List Bullet"/>
    <w:basedOn w:val="Normal"/>
    <w:uiPriority w:val="99"/>
    <w:unhideWhenUsed/>
    <w:qFormat/>
    <w:rsid w:val="00AD1B8A"/>
    <w:pPr>
      <w:numPr>
        <w:numId w:val="1"/>
      </w:numPr>
      <w:ind w:left="227" w:hanging="227"/>
      <w:contextualSpacing/>
    </w:pPr>
  </w:style>
  <w:style w:type="paragraph" w:styleId="EndnoteText">
    <w:name w:val="endnote text"/>
    <w:basedOn w:val="Normal"/>
    <w:next w:val="Normal"/>
    <w:link w:val="EndnoteTextChar"/>
    <w:uiPriority w:val="99"/>
    <w:unhideWhenUsed/>
    <w:qFormat/>
    <w:rsid w:val="00236871"/>
    <w:pPr>
      <w:spacing w:before="760" w:line="200" w:lineRule="exact"/>
    </w:pPr>
    <w:rPr>
      <w:b/>
      <w:caps/>
      <w:sz w:val="16"/>
      <w:szCs w:val="20"/>
    </w:rPr>
  </w:style>
  <w:style w:type="character" w:customStyle="1" w:styleId="EndnoteTextChar">
    <w:name w:val="Endnote Text Char"/>
    <w:basedOn w:val="DefaultParagraphFont"/>
    <w:link w:val="EndnoteText"/>
    <w:uiPriority w:val="99"/>
    <w:rsid w:val="00236871"/>
    <w:rPr>
      <w:rFonts w:ascii="Verdana" w:eastAsiaTheme="minorEastAsia" w:hAnsi="Verdana"/>
      <w:b/>
      <w:caps/>
      <w:color w:val="595959" w:themeColor="text1" w:themeTint="A6"/>
      <w:sz w:val="16"/>
      <w:szCs w:val="20"/>
    </w:rPr>
  </w:style>
  <w:style w:type="paragraph" w:styleId="FootnoteText">
    <w:name w:val="footnote text"/>
    <w:basedOn w:val="Normal"/>
    <w:link w:val="FootnoteTextChar"/>
    <w:uiPriority w:val="99"/>
    <w:unhideWhenUsed/>
    <w:qFormat/>
    <w:rsid w:val="00236871"/>
    <w:pPr>
      <w:ind w:right="-510"/>
      <w:jc w:val="right"/>
    </w:pPr>
    <w:rPr>
      <w:sz w:val="15"/>
      <w:szCs w:val="20"/>
    </w:rPr>
  </w:style>
  <w:style w:type="character" w:customStyle="1" w:styleId="FootnoteTextChar">
    <w:name w:val="Footnote Text Char"/>
    <w:basedOn w:val="DefaultParagraphFont"/>
    <w:link w:val="FootnoteText"/>
    <w:uiPriority w:val="99"/>
    <w:rsid w:val="00236871"/>
    <w:rPr>
      <w:rFonts w:ascii="Verdana" w:eastAsiaTheme="minorEastAsia" w:hAnsi="Verdana"/>
      <w:color w:val="595959" w:themeColor="text1" w:themeTint="A6"/>
      <w:sz w:val="15"/>
      <w:szCs w:val="20"/>
    </w:rPr>
  </w:style>
  <w:style w:type="paragraph" w:styleId="NoSpacing">
    <w:name w:val="No Spacing"/>
    <w:uiPriority w:val="1"/>
    <w:qFormat/>
    <w:rsid w:val="00D1189E"/>
    <w:pPr>
      <w:spacing w:after="0" w:line="240" w:lineRule="auto"/>
    </w:pPr>
    <w:rPr>
      <w:rFonts w:ascii="Verdana" w:eastAsiaTheme="minorEastAsia" w:hAnsi="Verdana"/>
      <w:color w:val="000000" w:themeColor="text1"/>
      <w:sz w:val="20"/>
    </w:rPr>
  </w:style>
  <w:style w:type="table" w:styleId="TableGrid">
    <w:name w:val="Table Grid"/>
    <w:basedOn w:val="TableNormal"/>
    <w:uiPriority w:val="39"/>
    <w:rsid w:val="005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89E"/>
    <w:rPr>
      <w:rFonts w:ascii="Verdana" w:hAnsi="Verdana"/>
      <w:b/>
      <w:bCs/>
      <w:i w:val="0"/>
      <w:color w:val="auto"/>
      <w:sz w:val="20"/>
    </w:rPr>
  </w:style>
  <w:style w:type="paragraph" w:styleId="BalloonText">
    <w:name w:val="Balloon Text"/>
    <w:basedOn w:val="Normal"/>
    <w:link w:val="BalloonTextChar"/>
    <w:uiPriority w:val="99"/>
    <w:semiHidden/>
    <w:unhideWhenUsed/>
    <w:rsid w:val="00E50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3B7"/>
    <w:rPr>
      <w:rFonts w:ascii="Lucida Grande" w:eastAsiaTheme="minorEastAsia" w:hAnsi="Lucida Grande" w:cs="Lucida Grande"/>
      <w:color w:val="000000" w:themeColor="text1"/>
      <w:sz w:val="18"/>
      <w:szCs w:val="18"/>
    </w:rPr>
  </w:style>
  <w:style w:type="character" w:styleId="Hyperlink">
    <w:name w:val="Hyperlink"/>
    <w:basedOn w:val="DefaultParagraphFont"/>
    <w:uiPriority w:val="99"/>
    <w:unhideWhenUsed/>
    <w:rsid w:val="009A1131"/>
    <w:rPr>
      <w:color w:val="0000FF"/>
      <w:u w:val="single"/>
    </w:rPr>
  </w:style>
  <w:style w:type="paragraph" w:styleId="ListParagraph">
    <w:name w:val="List Paragraph"/>
    <w:basedOn w:val="Normal"/>
    <w:uiPriority w:val="34"/>
    <w:qFormat/>
    <w:rsid w:val="009A1131"/>
    <w:pPr>
      <w:spacing w:after="160" w:line="259" w:lineRule="auto"/>
      <w:ind w:left="720"/>
      <w:contextualSpacing/>
    </w:pPr>
    <w:rPr>
      <w:rFonts w:asciiTheme="minorHAnsi" w:eastAsiaTheme="minorHAnsi" w:hAnsiTheme="minorHAnsi"/>
      <w:color w:val="auto"/>
      <w:sz w:val="22"/>
      <w:lang w:val="en-AU"/>
    </w:rPr>
  </w:style>
  <w:style w:type="paragraph" w:styleId="NormalWeb">
    <w:name w:val="Normal (Web)"/>
    <w:basedOn w:val="Normal"/>
    <w:uiPriority w:val="99"/>
    <w:semiHidden/>
    <w:unhideWhenUsed/>
    <w:rsid w:val="005C2D21"/>
    <w:pPr>
      <w:spacing w:before="100" w:beforeAutospacing="1" w:after="100" w:afterAutospacing="1"/>
    </w:pPr>
    <w:rPr>
      <w:rFonts w:ascii="Times New Roman" w:eastAsia="Times New Roman" w:hAnsi="Times New Roman" w:cs="Times New Roman"/>
      <w:color w:val="auto"/>
      <w:sz w:val="24"/>
      <w:szCs w:val="24"/>
      <w:lang w:val="en-AU" w:eastAsia="en-AU"/>
    </w:rPr>
  </w:style>
  <w:style w:type="character" w:styleId="UnresolvedMention">
    <w:name w:val="Unresolved Mention"/>
    <w:basedOn w:val="DefaultParagraphFont"/>
    <w:uiPriority w:val="99"/>
    <w:semiHidden/>
    <w:unhideWhenUsed/>
    <w:rsid w:val="005C2D21"/>
    <w:rPr>
      <w:color w:val="808080"/>
      <w:shd w:val="clear" w:color="auto" w:fill="E6E6E6"/>
    </w:rPr>
  </w:style>
  <w:style w:type="paragraph" w:customStyle="1" w:styleId="Default">
    <w:name w:val="Default"/>
    <w:rsid w:val="00821675"/>
    <w:pPr>
      <w:autoSpaceDE w:val="0"/>
      <w:autoSpaceDN w:val="0"/>
      <w:adjustRightInd w:val="0"/>
      <w:spacing w:after="0" w:line="240" w:lineRule="auto"/>
    </w:pPr>
    <w:rPr>
      <w:rFonts w:ascii="Verdana" w:hAnsi="Verdana" w:cs="Verdana"/>
      <w:color w:val="000000"/>
      <w:sz w:val="24"/>
      <w:szCs w:val="24"/>
      <w:lang w:val="en-AU"/>
    </w:rPr>
  </w:style>
  <w:style w:type="character" w:styleId="FootnoteReference">
    <w:name w:val="footnote reference"/>
    <w:basedOn w:val="DefaultParagraphFont"/>
    <w:uiPriority w:val="99"/>
    <w:semiHidden/>
    <w:unhideWhenUsed/>
    <w:rsid w:val="00920A52"/>
    <w:rPr>
      <w:vertAlign w:val="superscript"/>
    </w:rPr>
  </w:style>
  <w:style w:type="character" w:styleId="CommentReference">
    <w:name w:val="annotation reference"/>
    <w:basedOn w:val="DefaultParagraphFont"/>
    <w:uiPriority w:val="99"/>
    <w:semiHidden/>
    <w:unhideWhenUsed/>
    <w:rsid w:val="00014E06"/>
    <w:rPr>
      <w:sz w:val="16"/>
      <w:szCs w:val="16"/>
    </w:rPr>
  </w:style>
  <w:style w:type="paragraph" w:styleId="CommentText">
    <w:name w:val="annotation text"/>
    <w:basedOn w:val="Normal"/>
    <w:link w:val="CommentTextChar"/>
    <w:uiPriority w:val="99"/>
    <w:semiHidden/>
    <w:unhideWhenUsed/>
    <w:rsid w:val="00014E06"/>
    <w:rPr>
      <w:szCs w:val="20"/>
    </w:rPr>
  </w:style>
  <w:style w:type="character" w:customStyle="1" w:styleId="CommentTextChar">
    <w:name w:val="Comment Text Char"/>
    <w:basedOn w:val="DefaultParagraphFont"/>
    <w:link w:val="CommentText"/>
    <w:uiPriority w:val="99"/>
    <w:semiHidden/>
    <w:rsid w:val="00014E06"/>
    <w:rPr>
      <w:rFonts w:ascii="Verdana" w:eastAsiaTheme="minorEastAsi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14E06"/>
    <w:rPr>
      <w:b/>
      <w:bCs/>
    </w:rPr>
  </w:style>
  <w:style w:type="character" w:customStyle="1" w:styleId="CommentSubjectChar">
    <w:name w:val="Comment Subject Char"/>
    <w:basedOn w:val="CommentTextChar"/>
    <w:link w:val="CommentSubject"/>
    <w:uiPriority w:val="99"/>
    <w:semiHidden/>
    <w:rsid w:val="00014E06"/>
    <w:rPr>
      <w:rFonts w:ascii="Verdana" w:eastAsiaTheme="minorEastAsia" w:hAnsi="Verdana"/>
      <w:b/>
      <w:bCs/>
      <w:color w:val="000000" w:themeColor="text1"/>
      <w:sz w:val="20"/>
      <w:szCs w:val="20"/>
    </w:rPr>
  </w:style>
  <w:style w:type="character" w:styleId="FollowedHyperlink">
    <w:name w:val="FollowedHyperlink"/>
    <w:basedOn w:val="DefaultParagraphFont"/>
    <w:uiPriority w:val="99"/>
    <w:semiHidden/>
    <w:unhideWhenUsed/>
    <w:rsid w:val="00B94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00909">
      <w:bodyDiv w:val="1"/>
      <w:marLeft w:val="0"/>
      <w:marRight w:val="0"/>
      <w:marTop w:val="0"/>
      <w:marBottom w:val="0"/>
      <w:divBdr>
        <w:top w:val="none" w:sz="0" w:space="0" w:color="auto"/>
        <w:left w:val="none" w:sz="0" w:space="0" w:color="auto"/>
        <w:bottom w:val="none" w:sz="0" w:space="0" w:color="auto"/>
        <w:right w:val="none" w:sz="0" w:space="0" w:color="auto"/>
      </w:divBdr>
    </w:div>
    <w:div w:id="632322468">
      <w:bodyDiv w:val="1"/>
      <w:marLeft w:val="0"/>
      <w:marRight w:val="0"/>
      <w:marTop w:val="0"/>
      <w:marBottom w:val="0"/>
      <w:divBdr>
        <w:top w:val="none" w:sz="0" w:space="0" w:color="auto"/>
        <w:left w:val="none" w:sz="0" w:space="0" w:color="auto"/>
        <w:bottom w:val="none" w:sz="0" w:space="0" w:color="auto"/>
        <w:right w:val="none" w:sz="0" w:space="0" w:color="auto"/>
      </w:divBdr>
    </w:div>
    <w:div w:id="1402561974">
      <w:bodyDiv w:val="1"/>
      <w:marLeft w:val="0"/>
      <w:marRight w:val="0"/>
      <w:marTop w:val="0"/>
      <w:marBottom w:val="0"/>
      <w:divBdr>
        <w:top w:val="none" w:sz="0" w:space="0" w:color="auto"/>
        <w:left w:val="none" w:sz="0" w:space="0" w:color="auto"/>
        <w:bottom w:val="none" w:sz="0" w:space="0" w:color="auto"/>
        <w:right w:val="none" w:sz="0" w:space="0" w:color="auto"/>
      </w:divBdr>
    </w:div>
    <w:div w:id="1889219005">
      <w:bodyDiv w:val="1"/>
      <w:marLeft w:val="0"/>
      <w:marRight w:val="0"/>
      <w:marTop w:val="0"/>
      <w:marBottom w:val="0"/>
      <w:divBdr>
        <w:top w:val="none" w:sz="0" w:space="0" w:color="auto"/>
        <w:left w:val="none" w:sz="0" w:space="0" w:color="auto"/>
        <w:bottom w:val="none" w:sz="0" w:space="0" w:color="auto"/>
        <w:right w:val="none" w:sz="0" w:space="0" w:color="auto"/>
      </w:divBdr>
    </w:div>
    <w:div w:id="196445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llawler@coba.asn.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am.com/company/royal-bank-of-scotland-grou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ta@treasury.gov.a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help.xero.com/au/DirectFeeds-AU" TargetMode="External"/><Relationship Id="rId3" Type="http://schemas.openxmlformats.org/officeDocument/2006/relationships/hyperlink" Target="http://www.cityam.com/277814/five-uk-banks-given-open-banking-deadline-extension-cma" TargetMode="External"/><Relationship Id="rId7" Type="http://schemas.openxmlformats.org/officeDocument/2006/relationships/hyperlink" Target="http://www.samsung.com/au/apps/samsungpay/banking-partners/" TargetMode="External"/><Relationship Id="rId12" Type="http://schemas.openxmlformats.org/officeDocument/2006/relationships/hyperlink" Target="https://newsroom.accenture.com/news/accenture-research-finds-lack-of-trust-in-third-party-providers-creates-major-opportunity-for-banks-as-open-banking-set-to-roll-out-across-europe.htm" TargetMode="External"/><Relationship Id="rId2" Type="http://schemas.openxmlformats.org/officeDocument/2006/relationships/hyperlink" Target="https://static.treasury.gov.au/uploads/sites/1/2018/02/Exposure-Draft-EM.pdf" TargetMode="External"/><Relationship Id="rId1" Type="http://schemas.openxmlformats.org/officeDocument/2006/relationships/hyperlink" Target="https://treasury.gov.au/consultation/c2018-t256276/" TargetMode="External"/><Relationship Id="rId6" Type="http://schemas.openxmlformats.org/officeDocument/2006/relationships/hyperlink" Target="https://support.google.com/pay/answer/7351634" TargetMode="External"/><Relationship Id="rId11" Type="http://schemas.openxmlformats.org/officeDocument/2006/relationships/hyperlink" Target="http://www.computerworlduk.com/applications/is-2017-year-that-open-banking-becomes-reality-in-uk-3653824/" TargetMode="External"/><Relationship Id="rId5" Type="http://schemas.openxmlformats.org/officeDocument/2006/relationships/hyperlink" Target="https://www.ausbanking.org.au/images/uploads/Submissions/ABA-Submission__PC__Inquiry_into_Competition_in_the_Australian_Financial_System_-_15.09.17.PDF" TargetMode="External"/><Relationship Id="rId10" Type="http://schemas.openxmlformats.org/officeDocument/2006/relationships/hyperlink" Target="https://home.kpmg.com/au/en/home/industries/financial-services/mutuals-fintech-accelerator/mutuals.html" TargetMode="External"/><Relationship Id="rId4" Type="http://schemas.openxmlformats.org/officeDocument/2006/relationships/hyperlink" Target="http://www.bbc.com/news/business-42691661" TargetMode="External"/><Relationship Id="rId9" Type="http://schemas.openxmlformats.org/officeDocument/2006/relationships/hyperlink" Target="https://www.myob.com/au/accounting-software/bankfeeds/feeds"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localhost/Users/Natalie/Documents/Nat's%20Work%20Folder/COB3769%20Legal%20Text%20Change/Final/Links/ABA3769%20COBA-generic-doc-temp-update_Final.jpg"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BA%20Staff%20Resources\COBA%20templates\COBA%20generic%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2018MG-133-31939</_dlc_DocId>
    <TaxCatchAll xmlns="d4dd4adf-ddb3-46a3-8d7c-fab3fb2a6bc7">
      <Value>2</Value>
    </TaxCatchAll>
    <_dlc_DocIdUrl xmlns="d4dd4adf-ddb3-46a3-8d7c-fab3fb2a6bc7">
      <Url>http://tweb/sites/mg/sbccpd/_layouts/15/DocIdRedir.aspx?ID=2018MG-133-31939</Url>
      <Description>2018MG-133-31939</Description>
    </_dlc_DocIdUrl>
    <IconOverlay xmlns="http://schemas.microsoft.com/sharepoint/v4" xsi:nil="true"/>
  </documentManagement>
</p:properties>
</file>

<file path=customXml/itemProps1.xml><?xml version="1.0" encoding="utf-8"?>
<ds:datastoreItem xmlns:ds="http://schemas.openxmlformats.org/officeDocument/2006/customXml" ds:itemID="{BDEF7711-CD51-4CDB-8E5F-73BAB5791B70}">
  <ds:schemaRefs>
    <ds:schemaRef ds:uri="http://schemas.openxmlformats.org/officeDocument/2006/bibliography"/>
  </ds:schemaRefs>
</ds:datastoreItem>
</file>

<file path=customXml/itemProps2.xml><?xml version="1.0" encoding="utf-8"?>
<ds:datastoreItem xmlns:ds="http://schemas.openxmlformats.org/officeDocument/2006/customXml" ds:itemID="{C1A64896-2DCF-45A5-9EAB-11B70925DAC9}"/>
</file>

<file path=customXml/itemProps3.xml><?xml version="1.0" encoding="utf-8"?>
<ds:datastoreItem xmlns:ds="http://schemas.openxmlformats.org/officeDocument/2006/customXml" ds:itemID="{B2C37CDE-27AA-4F4C-B426-CA126746E7B5}"/>
</file>

<file path=customXml/itemProps4.xml><?xml version="1.0" encoding="utf-8"?>
<ds:datastoreItem xmlns:ds="http://schemas.openxmlformats.org/officeDocument/2006/customXml" ds:itemID="{701B5D79-B164-4621-A304-C4304333E0F2}"/>
</file>

<file path=customXml/itemProps5.xml><?xml version="1.0" encoding="utf-8"?>
<ds:datastoreItem xmlns:ds="http://schemas.openxmlformats.org/officeDocument/2006/customXml" ds:itemID="{4E448C82-3DE5-4F83-BF99-9DACE330936C}"/>
</file>

<file path=customXml/itemProps6.xml><?xml version="1.0" encoding="utf-8"?>
<ds:datastoreItem xmlns:ds="http://schemas.openxmlformats.org/officeDocument/2006/customXml" ds:itemID="{E4E5E864-9FFB-4756-88CC-4A8942DA6C83}"/>
</file>

<file path=docProps/app.xml><?xml version="1.0" encoding="utf-8"?>
<Properties xmlns="http://schemas.openxmlformats.org/officeDocument/2006/extended-properties" xmlns:vt="http://schemas.openxmlformats.org/officeDocument/2006/docPropsVTypes">
  <Template>COBA generic word template</Template>
  <TotalTime>1</TotalTime>
  <Pages>6</Pages>
  <Words>2521</Words>
  <Characters>14371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Nguyen</dc:creator>
  <cp:lastModifiedBy>Luke Lawler</cp:lastModifiedBy>
  <cp:revision>2</cp:revision>
  <cp:lastPrinted>2018-03-23T05:14:00Z</cp:lastPrinted>
  <dcterms:created xsi:type="dcterms:W3CDTF">2018-03-23T06:09:00Z</dcterms:created>
  <dcterms:modified xsi:type="dcterms:W3CDTF">2018-03-23T06:09:00Z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68bd479c-c21c-422d-b291-65ad57636c4d</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{020b99f8-d659-456c-88bf-b1c791ab809a}</vt:lpwstr>
  </property>
  <property fmtid="{D5CDD505-2E9C-101B-9397-08002B2CF9AE}" pid="8" name="RecordPoint_ActiveItemUniqueId">
    <vt:lpwstr>{68bd479c-c21c-422d-b291-65ad57636c4d}</vt:lpwstr>
  </property>
  <property fmtid="{D5CDD505-2E9C-101B-9397-08002B2CF9AE}" pid="9" name="RecordPoint_ActiveItemWebId">
    <vt:lpwstr>{682871c2-4073-4158-957a-6d924b9ba0a6}</vt:lpwstr>
  </property>
  <property fmtid="{D5CDD505-2E9C-101B-9397-08002B2CF9AE}" pid="10" name="RecordPoint_RecordNumberSubmitted">
    <vt:lpwstr>R0001629925</vt:lpwstr>
  </property>
  <property fmtid="{D5CDD505-2E9C-101B-9397-08002B2CF9AE}" pid="11" name="RecordPoint_SubmissionCompleted">
    <vt:lpwstr>2018-03-23T17:45:56.0002621+11:00</vt:lpwstr>
  </property>
</Properties>
</file>