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65" w:rsidRPr="00620D25" w:rsidRDefault="00B81B65" w:rsidP="005E7AAA">
      <w:pPr>
        <w:pStyle w:val="Title"/>
        <w:rPr>
          <w:b/>
          <w:color w:val="auto"/>
        </w:rPr>
      </w:pPr>
      <w:bookmarkStart w:id="0" w:name="_GoBack"/>
      <w:bookmarkEnd w:id="0"/>
    </w:p>
    <w:p w:rsidR="00EF6F1B" w:rsidRPr="00620D25" w:rsidRDefault="00EF6F1B" w:rsidP="005E7AAA">
      <w:pPr>
        <w:pStyle w:val="Title"/>
        <w:rPr>
          <w:b/>
          <w:color w:val="auto"/>
        </w:rPr>
      </w:pPr>
    </w:p>
    <w:p w:rsidR="00EF6F1B" w:rsidRPr="00620D25" w:rsidRDefault="00491C99" w:rsidP="005E7AAA">
      <w:pPr>
        <w:pStyle w:val="Title"/>
        <w:rPr>
          <w:b/>
          <w:color w:val="auto"/>
        </w:rPr>
      </w:pPr>
      <w:r>
        <w:rPr>
          <w:rFonts w:ascii="Times New Roman" w:hAnsi="Times New Roman"/>
          <w:noProof/>
          <w:color w:val="auto"/>
          <w:sz w:val="24"/>
          <w:szCs w:val="24"/>
          <w:lang w:eastAsia="en-AU"/>
        </w:rPr>
        <mc:AlternateContent>
          <mc:Choice Requires="wps">
            <w:drawing>
              <wp:anchor distT="36576" distB="36576" distL="36576" distR="36576" simplePos="0" relativeHeight="251654656" behindDoc="0" locked="0" layoutInCell="1" allowOverlap="1" wp14:anchorId="004360F7" wp14:editId="33EB9196">
                <wp:simplePos x="0" y="0"/>
                <wp:positionH relativeFrom="column">
                  <wp:posOffset>411480</wp:posOffset>
                </wp:positionH>
                <wp:positionV relativeFrom="paragraph">
                  <wp:posOffset>6069330</wp:posOffset>
                </wp:positionV>
                <wp:extent cx="4485640" cy="618490"/>
                <wp:effectExtent l="0" t="4445" r="317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640" cy="618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B5D87" w:rsidRDefault="000B5D87" w:rsidP="00491C99">
                            <w:pPr>
                              <w:pStyle w:val="BodyText3"/>
                              <w:widowControl w:val="0"/>
                              <w:rPr>
                                <w:lang w:val="en-US"/>
                                <w14:ligatures w14:val="none"/>
                              </w:rPr>
                            </w:pPr>
                            <w:r>
                              <w:rPr>
                                <w:lang w:val="en-US"/>
                                <w14:ligatures w14:val="none"/>
                              </w:rPr>
                              <w:t>This report incorporates Domestic and Inter</w:t>
                            </w:r>
                            <w:r w:rsidR="00166004">
                              <w:rPr>
                                <w:lang w:val="en-US"/>
                                <w14:ligatures w14:val="none"/>
                              </w:rPr>
                              <w:t xml:space="preserve">national data </w:t>
                            </w:r>
                            <w:r w:rsidR="00166004">
                              <w:rPr>
                                <w:lang w:val="en-US"/>
                                <w14:ligatures w14:val="none"/>
                              </w:rPr>
                              <w:br/>
                              <w:t xml:space="preserve">released up to </w:t>
                            </w:r>
                            <w:r w:rsidR="004135AE">
                              <w:rPr>
                                <w:lang w:val="en-US"/>
                                <w14:ligatures w14:val="none"/>
                              </w:rPr>
                              <w:t>14</w:t>
                            </w:r>
                            <w:r>
                              <w:rPr>
                                <w:lang w:val="en-US"/>
                                <w14:ligatures w14:val="none"/>
                              </w:rPr>
                              <w:t xml:space="preserve"> September 2012.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2.4pt;margin-top:477.9pt;width:353.2pt;height:48.7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" filled="f" stroked="f" strokecolor="black [0]" strokeweight="0" insetpen="t">
                <v:textbox inset="2.88pt,2.88pt,2.88pt,2.88pt">
                  <w:txbxContent>
                    <w:p w:rsidR="000B5D87" w:rsidRDefault="000B5D87" w:rsidP="00491C99">
                      <w:pPr>
                        <w:pStyle w:val="BodyText3"/>
                        <w:widowControl w:val="0"/>
                        <w:rPr>
                          <w:lang w:val="en-US"/>
                          <w14:ligatures w14:val="none"/>
                        </w:rPr>
                      </w:pPr>
                      <w:r>
                        <w:rPr>
                          <w:lang w:val="en-US"/>
                          <w14:ligatures w14:val="none"/>
                        </w:rPr>
                        <w:t>This report incorporates Domestic and Inter</w:t>
                      </w:r>
                      <w:r w:rsidR="00166004">
                        <w:rPr>
                          <w:lang w:val="en-US"/>
                          <w14:ligatures w14:val="none"/>
                        </w:rPr>
                        <w:t xml:space="preserve">national data </w:t>
                      </w:r>
                      <w:r w:rsidR="00166004">
                        <w:rPr>
                          <w:lang w:val="en-US"/>
                          <w14:ligatures w14:val="none"/>
                        </w:rPr>
                        <w:br/>
                        <w:t xml:space="preserve">released up to </w:t>
                      </w:r>
                      <w:r w:rsidR="004135AE">
                        <w:rPr>
                          <w:lang w:val="en-US"/>
                          <w14:ligatures w14:val="none"/>
                        </w:rPr>
                        <w:t>14</w:t>
                      </w:r>
                      <w:r>
                        <w:rPr>
                          <w:lang w:val="en-US"/>
                          <w14:ligatures w14:val="none"/>
                        </w:rPr>
                        <w:t xml:space="preserve"> September 2012.</w:t>
                      </w:r>
                    </w:p>
                  </w:txbxContent>
                </v:textbox>
              </v:shape>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5680" behindDoc="0" locked="0" layoutInCell="1" allowOverlap="1" wp14:anchorId="6F3D07A0" wp14:editId="135A6F14">
                <wp:simplePos x="0" y="0"/>
                <wp:positionH relativeFrom="column">
                  <wp:posOffset>411480</wp:posOffset>
                </wp:positionH>
                <wp:positionV relativeFrom="paragraph">
                  <wp:posOffset>4464050</wp:posOffset>
                </wp:positionV>
                <wp:extent cx="5936615" cy="84582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8458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B5D87" w:rsidRPr="00491C99" w:rsidRDefault="000B5D87" w:rsidP="004D585F">
                            <w:pPr>
                              <w:pStyle w:val="Title"/>
                              <w:widowControl w:val="0"/>
                              <w:jc w:val="left"/>
                              <w:rPr>
                                <w:color w:val="548DD4" w:themeColor="text2" w:themeTint="99"/>
                                <w:sz w:val="32"/>
                                <w:szCs w:val="32"/>
                                <w:lang w:val="en-US"/>
                              </w:rPr>
                            </w:pPr>
                            <w:r w:rsidRPr="00491C99">
                              <w:rPr>
                                <w:color w:val="548DD4" w:themeColor="text2" w:themeTint="99"/>
                                <w:sz w:val="32"/>
                                <w:szCs w:val="32"/>
                                <w:lang w:val="en-US"/>
                              </w:rPr>
                              <w:t>Economic outlook for 2012-13 and 2013-14</w:t>
                            </w:r>
                          </w:p>
                          <w:p w:rsidR="000B5D87" w:rsidRPr="00491C99" w:rsidRDefault="000B5D87" w:rsidP="004D585F">
                            <w:pPr>
                              <w:pStyle w:val="Title"/>
                              <w:widowControl w:val="0"/>
                              <w:jc w:val="left"/>
                              <w:rPr>
                                <w:color w:val="548DD4" w:themeColor="text2" w:themeTint="99"/>
                                <w:sz w:val="32"/>
                                <w:szCs w:val="32"/>
                                <w:lang w:val="en-US"/>
                              </w:rPr>
                            </w:pPr>
                            <w:r>
                              <w:rPr>
                                <w:color w:val="548DD4" w:themeColor="text2" w:themeTint="99"/>
                                <w:sz w:val="32"/>
                                <w:szCs w:val="32"/>
                                <w:lang w:val="en-US"/>
                              </w:rPr>
                              <w:t xml:space="preserve">September </w:t>
                            </w:r>
                            <w:r w:rsidRPr="00491C99">
                              <w:rPr>
                                <w:color w:val="548DD4" w:themeColor="text2" w:themeTint="99"/>
                                <w:sz w:val="32"/>
                                <w:szCs w:val="32"/>
                                <w:lang w:val="en-US"/>
                              </w:rPr>
                              <w:t>2012</w:t>
                            </w:r>
                          </w:p>
                          <w:p w:rsidR="000B5D87" w:rsidRPr="00491C99" w:rsidRDefault="000B5D87" w:rsidP="004D585F">
                            <w:pPr>
                              <w:pStyle w:val="Title"/>
                              <w:widowControl w:val="0"/>
                              <w:jc w:val="left"/>
                              <w:rPr>
                                <w:color w:val="548DD4" w:themeColor="text2" w:themeTint="99"/>
                                <w:sz w:val="64"/>
                                <w:szCs w:val="64"/>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2.4pt;margin-top:351.5pt;width:467.45pt;height:66.6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" filled="f" stroked="f" strokecolor="black [0]" strokeweight="0" insetpen="t">
                <v:textbox inset="2.88pt,2.88pt,2.88pt,2.88pt">
                  <w:txbxContent>
                    <w:p w:rsidR="00B545A2" w:rsidRPr="00491C99" w:rsidRDefault="00B545A2" w:rsidP="004D585F">
                      <w:pPr>
                        <w:pStyle w:val="Title"/>
                        <w:widowControl w:val="0"/>
                        <w:jc w:val="left"/>
                        <w:rPr>
                          <w:color w:val="548DD4" w:themeColor="text2" w:themeTint="99"/>
                          <w:sz w:val="32"/>
                          <w:szCs w:val="32"/>
                          <w:lang w:val="en-US"/>
                        </w:rPr>
                      </w:pPr>
                      <w:r w:rsidRPr="00491C99">
                        <w:rPr>
                          <w:color w:val="548DD4" w:themeColor="text2" w:themeTint="99"/>
                          <w:sz w:val="32"/>
                          <w:szCs w:val="32"/>
                          <w:lang w:val="en-US"/>
                        </w:rPr>
                        <w:t>Economic outlook for 2012-13 and 2013-14</w:t>
                      </w:r>
                    </w:p>
                    <w:p w:rsidR="00B545A2" w:rsidRPr="00491C99" w:rsidRDefault="00F14635" w:rsidP="004D585F">
                      <w:pPr>
                        <w:pStyle w:val="Title"/>
                        <w:widowControl w:val="0"/>
                        <w:jc w:val="left"/>
                        <w:rPr>
                          <w:color w:val="548DD4" w:themeColor="text2" w:themeTint="99"/>
                          <w:sz w:val="32"/>
                          <w:szCs w:val="32"/>
                          <w:lang w:val="en-US"/>
                        </w:rPr>
                      </w:pPr>
                      <w:r>
                        <w:rPr>
                          <w:color w:val="548DD4" w:themeColor="text2" w:themeTint="99"/>
                          <w:sz w:val="32"/>
                          <w:szCs w:val="32"/>
                          <w:lang w:val="en-US"/>
                        </w:rPr>
                        <w:t xml:space="preserve">September </w:t>
                      </w:r>
                      <w:r w:rsidR="00B545A2" w:rsidRPr="00491C99">
                        <w:rPr>
                          <w:color w:val="548DD4" w:themeColor="text2" w:themeTint="99"/>
                          <w:sz w:val="32"/>
                          <w:szCs w:val="32"/>
                          <w:lang w:val="en-US"/>
                        </w:rPr>
                        <w:t>2012</w:t>
                      </w:r>
                    </w:p>
                    <w:p w:rsidR="00B545A2" w:rsidRPr="00491C99" w:rsidRDefault="00B545A2" w:rsidP="004D585F">
                      <w:pPr>
                        <w:pStyle w:val="Title"/>
                        <w:widowControl w:val="0"/>
                        <w:jc w:val="left"/>
                        <w:rPr>
                          <w:color w:val="548DD4" w:themeColor="text2" w:themeTint="99"/>
                          <w:sz w:val="64"/>
                          <w:szCs w:val="64"/>
                          <w:lang w:val="en-US"/>
                        </w:rPr>
                      </w:pPr>
                    </w:p>
                  </w:txbxContent>
                </v:textbox>
              </v:shape>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6704" behindDoc="0" locked="0" layoutInCell="1" allowOverlap="1" wp14:anchorId="0F63FF9A" wp14:editId="0A51664E">
                <wp:simplePos x="0" y="0"/>
                <wp:positionH relativeFrom="column">
                  <wp:posOffset>-290830</wp:posOffset>
                </wp:positionH>
                <wp:positionV relativeFrom="paragraph">
                  <wp:posOffset>-802640</wp:posOffset>
                </wp:positionV>
                <wp:extent cx="638175" cy="931672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9316720"/>
                        </a:xfrm>
                        <a:prstGeom prst="rect">
                          <a:avLst/>
                        </a:prstGeom>
                        <a:solidFill>
                          <a:srgbClr val="8AAFC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2.9pt;margin-top:-63.2pt;width:50.25pt;height:733.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" fillcolor="#8aafc1" stroked="f" strokecolor="black [0]" insetpen="t">
                <v:shadow color="#ccc"/>
                <v:textbox inset="2.88pt,2.88pt,2.88pt,2.88pt"/>
              </v:rect>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7728" behindDoc="0" locked="0" layoutInCell="1" allowOverlap="1" wp14:anchorId="6FCE6A04" wp14:editId="5CC617AF">
                <wp:simplePos x="0" y="0"/>
                <wp:positionH relativeFrom="column">
                  <wp:posOffset>-290830</wp:posOffset>
                </wp:positionH>
                <wp:positionV relativeFrom="paragraph">
                  <wp:posOffset>-1116965</wp:posOffset>
                </wp:positionV>
                <wp:extent cx="638175" cy="323215"/>
                <wp:effectExtent l="0" t="0" r="0"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23215"/>
                        </a:xfrm>
                        <a:prstGeom prst="rect">
                          <a:avLst/>
                        </a:prstGeom>
                        <a:solidFill>
                          <a:srgbClr val="00517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2.9pt;margin-top:-87.95pt;width:50.25pt;height:25.4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" fillcolor="#00517a" stroked="f" strokecolor="black [0]" insetpen="t">
                <v:shadow color="#ccc"/>
                <v:textbox inset="2.88pt,2.88pt,2.88pt,2.88pt"/>
              </v:rect>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8752" behindDoc="0" locked="0" layoutInCell="1" allowOverlap="1" wp14:anchorId="3687748F" wp14:editId="058F5F94">
                <wp:simplePos x="0" y="0"/>
                <wp:positionH relativeFrom="column">
                  <wp:posOffset>-281940</wp:posOffset>
                </wp:positionH>
                <wp:positionV relativeFrom="paragraph">
                  <wp:posOffset>-812800</wp:posOffset>
                </wp:positionV>
                <wp:extent cx="616585" cy="0"/>
                <wp:effectExtent l="18415" t="18415" r="2222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 cy="0"/>
                        </a:xfrm>
                        <a:prstGeom prst="line">
                          <a:avLst/>
                        </a:prstGeom>
                        <a:noFill/>
                        <a:ln w="28575">
                          <a:solidFill>
                            <a:srgbClr val="0066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2.2pt,-64pt" to="26.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" strokecolor="#069" strokeweight="2.25pt">
                <v:shadow color="#ccc"/>
              </v:line>
            </w:pict>
          </mc:Fallback>
        </mc:AlternateContent>
      </w:r>
      <w:r>
        <w:rPr>
          <w:rFonts w:ascii="Times New Roman" w:hAnsi="Times New Roman"/>
          <w:noProof/>
          <w:color w:val="auto"/>
          <w:sz w:val="24"/>
          <w:szCs w:val="24"/>
          <w:lang w:eastAsia="en-AU"/>
        </w:rPr>
        <w:drawing>
          <wp:anchor distT="36576" distB="36576" distL="36576" distR="36576" simplePos="0" relativeHeight="251659776" behindDoc="0" locked="0" layoutInCell="1" allowOverlap="1" wp14:anchorId="68526B22" wp14:editId="3CE4E44C">
            <wp:simplePos x="0" y="0"/>
            <wp:positionH relativeFrom="column">
              <wp:posOffset>415290</wp:posOffset>
            </wp:positionH>
            <wp:positionV relativeFrom="paragraph">
              <wp:posOffset>-1054735</wp:posOffset>
            </wp:positionV>
            <wp:extent cx="2926080" cy="67056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6080" cy="670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CC5023" w:rsidRDefault="00C5511F">
      <w:pPr>
        <w:pStyle w:val="TOC3"/>
      </w:pPr>
      <w:r>
        <w:rPr>
          <w:rFonts w:ascii="Times New Roman" w:hAnsi="Times New Roman"/>
          <w:lang w:eastAsia="en-AU"/>
        </w:rPr>
        <mc:AlternateContent>
          <mc:Choice Requires="wps">
            <w:drawing>
              <wp:anchor distT="36576" distB="36576" distL="36576" distR="36576" simplePos="0" relativeHeight="251660800" behindDoc="0" locked="0" layoutInCell="1" allowOverlap="1" wp14:anchorId="3417157F" wp14:editId="74A07376">
                <wp:simplePos x="0" y="0"/>
                <wp:positionH relativeFrom="column">
                  <wp:posOffset>418465</wp:posOffset>
                </wp:positionH>
                <wp:positionV relativeFrom="paragraph">
                  <wp:posOffset>165328</wp:posOffset>
                </wp:positionV>
                <wp:extent cx="5582920" cy="21291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920" cy="21291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B5D87" w:rsidRPr="00491C99" w:rsidRDefault="000B5D87"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JOINT ECONOMIC FORECASTING GROUP</w:t>
                            </w:r>
                          </w:p>
                          <w:p w:rsidR="000B5D87" w:rsidRPr="00491C99" w:rsidRDefault="000B5D87"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p w:rsidR="000B5D87" w:rsidRPr="00491C99" w:rsidRDefault="000B5D87"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32.95pt;margin-top:13pt;width:439.6pt;height:167.6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" filled="f" stroked="f" strokecolor="black [0]" strokeweight="0" insetpen="t">
                <v:textbox inset="2.88pt,2.88pt,2.88pt,2.88pt">
                  <w:txbxContent>
                    <w:p w:rsidR="00B545A2" w:rsidRPr="00491C99" w:rsidRDefault="00B545A2"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JOINT ECONOMIC FORECASTING GROUP</w:t>
                      </w:r>
                    </w:p>
                    <w:p w:rsidR="00B545A2" w:rsidRPr="00491C99" w:rsidRDefault="00B545A2"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p w:rsidR="00B545A2" w:rsidRPr="00491C99" w:rsidRDefault="00B545A2"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txbxContent>
                </v:textbox>
              </v:shape>
            </w:pict>
          </mc:Fallback>
        </mc:AlternateContent>
      </w:r>
      <w:r w:rsidR="00A8671C" w:rsidRPr="003344B0">
        <w:rPr>
          <w:b w:val="0"/>
          <w:highlight w:val="yellow"/>
        </w:rPr>
        <w:br w:type="page"/>
      </w:r>
      <w:r w:rsidR="004D4273" w:rsidRPr="00CA05D4">
        <w:rPr>
          <w:b w:val="0"/>
        </w:rPr>
        <w:lastRenderedPageBreak/>
        <w:fldChar w:fldCharType="begin"/>
      </w:r>
      <w:r w:rsidR="00C825B7" w:rsidRPr="00CA05D4">
        <w:rPr>
          <w:b w:val="0"/>
        </w:rPr>
        <w:instrText xml:space="preserve"> TOC \o "1-4" \h \z \u </w:instrText>
      </w:r>
      <w:r w:rsidR="004D4273" w:rsidRPr="00CA05D4">
        <w:rPr>
          <w:b w:val="0"/>
        </w:rPr>
        <w:fldChar w:fldCharType="separate"/>
      </w:r>
    </w:p>
    <w:p w:rsidR="00CC5023" w:rsidRDefault="00351324">
      <w:pPr>
        <w:pStyle w:val="TOC3"/>
        <w:rPr>
          <w:rFonts w:asciiTheme="minorHAnsi" w:eastAsiaTheme="minorEastAsia" w:hAnsiTheme="minorHAnsi" w:cstheme="minorBidi"/>
          <w:b w:val="0"/>
          <w:sz w:val="22"/>
          <w:szCs w:val="22"/>
          <w:lang w:eastAsia="en-AU"/>
        </w:rPr>
      </w:pPr>
      <w:hyperlink w:anchor="_Toc336503162" w:history="1">
        <w:r w:rsidR="00CC5023" w:rsidRPr="00DD45A2">
          <w:rPr>
            <w:rStyle w:val="Hyperlink"/>
          </w:rPr>
          <w:t>Overview</w:t>
        </w:r>
        <w:r w:rsidR="00CC5023">
          <w:rPr>
            <w:webHidden/>
          </w:rPr>
          <w:tab/>
        </w:r>
        <w:r w:rsidR="00CC5023">
          <w:rPr>
            <w:webHidden/>
          </w:rPr>
          <w:fldChar w:fldCharType="begin"/>
        </w:r>
        <w:r w:rsidR="00CC5023">
          <w:rPr>
            <w:webHidden/>
          </w:rPr>
          <w:instrText xml:space="preserve"> PAGEREF _Toc336503162 \h </w:instrText>
        </w:r>
        <w:r w:rsidR="00CC5023">
          <w:rPr>
            <w:webHidden/>
          </w:rPr>
        </w:r>
        <w:r w:rsidR="00CC5023">
          <w:rPr>
            <w:webHidden/>
          </w:rPr>
          <w:fldChar w:fldCharType="separate"/>
        </w:r>
        <w:r w:rsidR="00DC3CD8">
          <w:rPr>
            <w:webHidden/>
          </w:rPr>
          <w:t>3</w:t>
        </w:r>
        <w:r w:rsidR="00CC5023">
          <w:rPr>
            <w:webHidden/>
          </w:rPr>
          <w:fldChar w:fldCharType="end"/>
        </w:r>
      </w:hyperlink>
    </w:p>
    <w:p w:rsidR="00CC5023" w:rsidRDefault="00351324">
      <w:pPr>
        <w:pStyle w:val="TOC3"/>
        <w:rPr>
          <w:rFonts w:asciiTheme="minorHAnsi" w:eastAsiaTheme="minorEastAsia" w:hAnsiTheme="minorHAnsi" w:cstheme="minorBidi"/>
          <w:b w:val="0"/>
          <w:sz w:val="22"/>
          <w:szCs w:val="22"/>
          <w:lang w:eastAsia="en-AU"/>
        </w:rPr>
      </w:pPr>
      <w:hyperlink w:anchor="_Toc336503163" w:history="1">
        <w:r w:rsidR="00CC5023" w:rsidRPr="00DD45A2">
          <w:rPr>
            <w:rStyle w:val="Hyperlink"/>
          </w:rPr>
          <w:t>Outlook for the domestic economy</w:t>
        </w:r>
        <w:r w:rsidR="00CC5023">
          <w:rPr>
            <w:webHidden/>
          </w:rPr>
          <w:tab/>
        </w:r>
        <w:r w:rsidR="00CC5023">
          <w:rPr>
            <w:webHidden/>
          </w:rPr>
          <w:fldChar w:fldCharType="begin"/>
        </w:r>
        <w:r w:rsidR="00CC5023">
          <w:rPr>
            <w:webHidden/>
          </w:rPr>
          <w:instrText xml:space="preserve"> PAGEREF _Toc336503163 \h </w:instrText>
        </w:r>
        <w:r w:rsidR="00CC5023">
          <w:rPr>
            <w:webHidden/>
          </w:rPr>
        </w:r>
        <w:r w:rsidR="00CC5023">
          <w:rPr>
            <w:webHidden/>
          </w:rPr>
          <w:fldChar w:fldCharType="separate"/>
        </w:r>
        <w:r w:rsidR="00DC3CD8">
          <w:rPr>
            <w:webHidden/>
          </w:rPr>
          <w:t>6</w:t>
        </w:r>
        <w:r w:rsidR="00CC5023">
          <w:rPr>
            <w:webHidden/>
          </w:rPr>
          <w:fldChar w:fldCharType="end"/>
        </w:r>
      </w:hyperlink>
    </w:p>
    <w:p w:rsidR="00CC5023" w:rsidRDefault="00351324">
      <w:pPr>
        <w:pStyle w:val="TOC4"/>
        <w:rPr>
          <w:rFonts w:asciiTheme="minorHAnsi" w:eastAsiaTheme="minorEastAsia" w:hAnsiTheme="minorHAnsi" w:cstheme="minorBidi"/>
          <w:i w:val="0"/>
          <w:sz w:val="22"/>
          <w:szCs w:val="22"/>
          <w:lang w:eastAsia="en-AU"/>
        </w:rPr>
      </w:pPr>
      <w:hyperlink w:anchor="_Toc336503164" w:history="1">
        <w:r w:rsidR="00CC5023" w:rsidRPr="00DD45A2">
          <w:rPr>
            <w:rStyle w:val="Hyperlink"/>
          </w:rPr>
          <w:t>Household consumption</w:t>
        </w:r>
        <w:r w:rsidR="00CC5023">
          <w:rPr>
            <w:webHidden/>
          </w:rPr>
          <w:tab/>
        </w:r>
        <w:r w:rsidR="00CC5023">
          <w:rPr>
            <w:webHidden/>
          </w:rPr>
          <w:fldChar w:fldCharType="begin"/>
        </w:r>
        <w:r w:rsidR="00CC5023">
          <w:rPr>
            <w:webHidden/>
          </w:rPr>
          <w:instrText xml:space="preserve"> PAGEREF _Toc336503164 \h </w:instrText>
        </w:r>
        <w:r w:rsidR="00CC5023">
          <w:rPr>
            <w:webHidden/>
          </w:rPr>
        </w:r>
        <w:r w:rsidR="00CC5023">
          <w:rPr>
            <w:webHidden/>
          </w:rPr>
          <w:fldChar w:fldCharType="separate"/>
        </w:r>
        <w:r w:rsidR="00DC3CD8">
          <w:rPr>
            <w:webHidden/>
          </w:rPr>
          <w:t>6</w:t>
        </w:r>
        <w:r w:rsidR="00CC5023">
          <w:rPr>
            <w:webHidden/>
          </w:rPr>
          <w:fldChar w:fldCharType="end"/>
        </w:r>
      </w:hyperlink>
    </w:p>
    <w:p w:rsidR="00CC5023" w:rsidRDefault="00351324">
      <w:pPr>
        <w:pStyle w:val="TOC4"/>
        <w:rPr>
          <w:rFonts w:asciiTheme="minorHAnsi" w:eastAsiaTheme="minorEastAsia" w:hAnsiTheme="minorHAnsi" w:cstheme="minorBidi"/>
          <w:i w:val="0"/>
          <w:sz w:val="22"/>
          <w:szCs w:val="22"/>
          <w:lang w:eastAsia="en-AU"/>
        </w:rPr>
      </w:pPr>
      <w:hyperlink w:anchor="_Toc336503165" w:history="1">
        <w:r w:rsidR="00CC5023" w:rsidRPr="00DD45A2">
          <w:rPr>
            <w:rStyle w:val="Hyperlink"/>
          </w:rPr>
          <w:t>Dwelling investment</w:t>
        </w:r>
        <w:r w:rsidR="00CC5023">
          <w:rPr>
            <w:webHidden/>
          </w:rPr>
          <w:tab/>
        </w:r>
        <w:r w:rsidR="00CC5023">
          <w:rPr>
            <w:webHidden/>
          </w:rPr>
          <w:fldChar w:fldCharType="begin"/>
        </w:r>
        <w:r w:rsidR="00CC5023">
          <w:rPr>
            <w:webHidden/>
          </w:rPr>
          <w:instrText xml:space="preserve"> PAGEREF _Toc336503165 \h </w:instrText>
        </w:r>
        <w:r w:rsidR="00CC5023">
          <w:rPr>
            <w:webHidden/>
          </w:rPr>
        </w:r>
        <w:r w:rsidR="00CC5023">
          <w:rPr>
            <w:webHidden/>
          </w:rPr>
          <w:fldChar w:fldCharType="separate"/>
        </w:r>
        <w:r w:rsidR="00DC3CD8">
          <w:rPr>
            <w:webHidden/>
          </w:rPr>
          <w:t>6</w:t>
        </w:r>
        <w:r w:rsidR="00CC5023">
          <w:rPr>
            <w:webHidden/>
          </w:rPr>
          <w:fldChar w:fldCharType="end"/>
        </w:r>
      </w:hyperlink>
    </w:p>
    <w:p w:rsidR="00CC5023" w:rsidRDefault="00351324">
      <w:pPr>
        <w:pStyle w:val="TOC4"/>
        <w:rPr>
          <w:rFonts w:asciiTheme="minorHAnsi" w:eastAsiaTheme="minorEastAsia" w:hAnsiTheme="minorHAnsi" w:cstheme="minorBidi"/>
          <w:i w:val="0"/>
          <w:sz w:val="22"/>
          <w:szCs w:val="22"/>
          <w:lang w:eastAsia="en-AU"/>
        </w:rPr>
      </w:pPr>
      <w:hyperlink w:anchor="_Toc336503166" w:history="1">
        <w:r w:rsidR="00CC5023" w:rsidRPr="00DD45A2">
          <w:rPr>
            <w:rStyle w:val="Hyperlink"/>
          </w:rPr>
          <w:t>Business investment</w:t>
        </w:r>
        <w:r w:rsidR="00CC5023">
          <w:rPr>
            <w:webHidden/>
          </w:rPr>
          <w:tab/>
        </w:r>
        <w:r w:rsidR="00CC5023">
          <w:rPr>
            <w:webHidden/>
          </w:rPr>
          <w:fldChar w:fldCharType="begin"/>
        </w:r>
        <w:r w:rsidR="00CC5023">
          <w:rPr>
            <w:webHidden/>
          </w:rPr>
          <w:instrText xml:space="preserve"> PAGEREF _Toc336503166 \h </w:instrText>
        </w:r>
        <w:r w:rsidR="00CC5023">
          <w:rPr>
            <w:webHidden/>
          </w:rPr>
        </w:r>
        <w:r w:rsidR="00CC5023">
          <w:rPr>
            <w:webHidden/>
          </w:rPr>
          <w:fldChar w:fldCharType="separate"/>
        </w:r>
        <w:r w:rsidR="00DC3CD8">
          <w:rPr>
            <w:webHidden/>
          </w:rPr>
          <w:t>6</w:t>
        </w:r>
        <w:r w:rsidR="00CC5023">
          <w:rPr>
            <w:webHidden/>
          </w:rPr>
          <w:fldChar w:fldCharType="end"/>
        </w:r>
      </w:hyperlink>
    </w:p>
    <w:p w:rsidR="00CC5023" w:rsidRDefault="00351324">
      <w:pPr>
        <w:pStyle w:val="TOC4"/>
        <w:rPr>
          <w:rFonts w:asciiTheme="minorHAnsi" w:eastAsiaTheme="minorEastAsia" w:hAnsiTheme="minorHAnsi" w:cstheme="minorBidi"/>
          <w:i w:val="0"/>
          <w:sz w:val="22"/>
          <w:szCs w:val="22"/>
          <w:lang w:eastAsia="en-AU"/>
        </w:rPr>
      </w:pPr>
      <w:hyperlink w:anchor="_Toc336503167" w:history="1">
        <w:r w:rsidR="00CC5023" w:rsidRPr="00DD45A2">
          <w:rPr>
            <w:rStyle w:val="Hyperlink"/>
          </w:rPr>
          <w:t>Public final demand</w:t>
        </w:r>
        <w:r w:rsidR="00CC5023">
          <w:rPr>
            <w:webHidden/>
          </w:rPr>
          <w:tab/>
        </w:r>
        <w:r w:rsidR="00CC5023">
          <w:rPr>
            <w:webHidden/>
          </w:rPr>
          <w:fldChar w:fldCharType="begin"/>
        </w:r>
        <w:r w:rsidR="00CC5023">
          <w:rPr>
            <w:webHidden/>
          </w:rPr>
          <w:instrText xml:space="preserve"> PAGEREF _Toc336503167 \h </w:instrText>
        </w:r>
        <w:r w:rsidR="00CC5023">
          <w:rPr>
            <w:webHidden/>
          </w:rPr>
        </w:r>
        <w:r w:rsidR="00CC5023">
          <w:rPr>
            <w:webHidden/>
          </w:rPr>
          <w:fldChar w:fldCharType="separate"/>
        </w:r>
        <w:r w:rsidR="00DC3CD8">
          <w:rPr>
            <w:webHidden/>
          </w:rPr>
          <w:t>7</w:t>
        </w:r>
        <w:r w:rsidR="00CC5023">
          <w:rPr>
            <w:webHidden/>
          </w:rPr>
          <w:fldChar w:fldCharType="end"/>
        </w:r>
      </w:hyperlink>
    </w:p>
    <w:p w:rsidR="00CC5023" w:rsidRDefault="00351324">
      <w:pPr>
        <w:pStyle w:val="TOC4"/>
        <w:rPr>
          <w:rFonts w:asciiTheme="minorHAnsi" w:eastAsiaTheme="minorEastAsia" w:hAnsiTheme="minorHAnsi" w:cstheme="minorBidi"/>
          <w:i w:val="0"/>
          <w:sz w:val="22"/>
          <w:szCs w:val="22"/>
          <w:lang w:eastAsia="en-AU"/>
        </w:rPr>
      </w:pPr>
      <w:hyperlink w:anchor="_Toc336503168" w:history="1">
        <w:r w:rsidR="00CC5023" w:rsidRPr="00DD45A2">
          <w:rPr>
            <w:rStyle w:val="Hyperlink"/>
          </w:rPr>
          <w:t>Exports, imports and the current account deficit</w:t>
        </w:r>
        <w:r w:rsidR="00CC5023">
          <w:rPr>
            <w:webHidden/>
          </w:rPr>
          <w:tab/>
        </w:r>
        <w:r w:rsidR="00CC5023">
          <w:rPr>
            <w:webHidden/>
          </w:rPr>
          <w:fldChar w:fldCharType="begin"/>
        </w:r>
        <w:r w:rsidR="00CC5023">
          <w:rPr>
            <w:webHidden/>
          </w:rPr>
          <w:instrText xml:space="preserve"> PAGEREF _Toc336503168 \h </w:instrText>
        </w:r>
        <w:r w:rsidR="00CC5023">
          <w:rPr>
            <w:webHidden/>
          </w:rPr>
        </w:r>
        <w:r w:rsidR="00CC5023">
          <w:rPr>
            <w:webHidden/>
          </w:rPr>
          <w:fldChar w:fldCharType="separate"/>
        </w:r>
        <w:r w:rsidR="00DC3CD8">
          <w:rPr>
            <w:webHidden/>
          </w:rPr>
          <w:t>7</w:t>
        </w:r>
        <w:r w:rsidR="00CC5023">
          <w:rPr>
            <w:webHidden/>
          </w:rPr>
          <w:fldChar w:fldCharType="end"/>
        </w:r>
      </w:hyperlink>
    </w:p>
    <w:p w:rsidR="00CC5023" w:rsidRDefault="00351324">
      <w:pPr>
        <w:pStyle w:val="TOC4"/>
        <w:rPr>
          <w:rFonts w:asciiTheme="minorHAnsi" w:eastAsiaTheme="minorEastAsia" w:hAnsiTheme="minorHAnsi" w:cstheme="minorBidi"/>
          <w:i w:val="0"/>
          <w:sz w:val="22"/>
          <w:szCs w:val="22"/>
          <w:lang w:eastAsia="en-AU"/>
        </w:rPr>
      </w:pPr>
      <w:hyperlink w:anchor="_Toc336503169" w:history="1">
        <w:r w:rsidR="00CC5023" w:rsidRPr="00DD45A2">
          <w:rPr>
            <w:rStyle w:val="Hyperlink"/>
          </w:rPr>
          <w:t>Employment, wages and inflation</w:t>
        </w:r>
        <w:r w:rsidR="00CC5023">
          <w:rPr>
            <w:webHidden/>
          </w:rPr>
          <w:tab/>
        </w:r>
        <w:r w:rsidR="00CC5023">
          <w:rPr>
            <w:webHidden/>
          </w:rPr>
          <w:fldChar w:fldCharType="begin"/>
        </w:r>
        <w:r w:rsidR="00CC5023">
          <w:rPr>
            <w:webHidden/>
          </w:rPr>
          <w:instrText xml:space="preserve"> PAGEREF _Toc336503169 \h </w:instrText>
        </w:r>
        <w:r w:rsidR="00CC5023">
          <w:rPr>
            <w:webHidden/>
          </w:rPr>
        </w:r>
        <w:r w:rsidR="00CC5023">
          <w:rPr>
            <w:webHidden/>
          </w:rPr>
          <w:fldChar w:fldCharType="separate"/>
        </w:r>
        <w:r w:rsidR="00DC3CD8">
          <w:rPr>
            <w:webHidden/>
          </w:rPr>
          <w:t>8</w:t>
        </w:r>
        <w:r w:rsidR="00CC5023">
          <w:rPr>
            <w:webHidden/>
          </w:rPr>
          <w:fldChar w:fldCharType="end"/>
        </w:r>
      </w:hyperlink>
    </w:p>
    <w:p w:rsidR="00CC5023" w:rsidRDefault="00351324">
      <w:pPr>
        <w:pStyle w:val="TOC3"/>
        <w:rPr>
          <w:rFonts w:asciiTheme="minorHAnsi" w:eastAsiaTheme="minorEastAsia" w:hAnsiTheme="minorHAnsi" w:cstheme="minorBidi"/>
          <w:b w:val="0"/>
          <w:sz w:val="22"/>
          <w:szCs w:val="22"/>
          <w:lang w:eastAsia="en-AU"/>
        </w:rPr>
      </w:pPr>
      <w:hyperlink w:anchor="_Toc336503170" w:history="1">
        <w:r w:rsidR="00CC5023" w:rsidRPr="00DD45A2">
          <w:rPr>
            <w:rStyle w:val="Hyperlink"/>
          </w:rPr>
          <w:t>International economic outlook</w:t>
        </w:r>
        <w:r w:rsidR="00CC5023">
          <w:rPr>
            <w:webHidden/>
          </w:rPr>
          <w:tab/>
        </w:r>
        <w:r w:rsidR="00CC5023">
          <w:rPr>
            <w:webHidden/>
          </w:rPr>
          <w:fldChar w:fldCharType="begin"/>
        </w:r>
        <w:r w:rsidR="00CC5023">
          <w:rPr>
            <w:webHidden/>
          </w:rPr>
          <w:instrText xml:space="preserve"> PAGEREF _Toc336503170 \h </w:instrText>
        </w:r>
        <w:r w:rsidR="00CC5023">
          <w:rPr>
            <w:webHidden/>
          </w:rPr>
        </w:r>
        <w:r w:rsidR="00CC5023">
          <w:rPr>
            <w:webHidden/>
          </w:rPr>
          <w:fldChar w:fldCharType="separate"/>
        </w:r>
        <w:r w:rsidR="00DC3CD8">
          <w:rPr>
            <w:webHidden/>
          </w:rPr>
          <w:t>10</w:t>
        </w:r>
        <w:r w:rsidR="00CC5023">
          <w:rPr>
            <w:webHidden/>
          </w:rPr>
          <w:fldChar w:fldCharType="end"/>
        </w:r>
      </w:hyperlink>
    </w:p>
    <w:p w:rsidR="00CC5023" w:rsidRDefault="00351324">
      <w:pPr>
        <w:pStyle w:val="TOC4"/>
        <w:rPr>
          <w:rFonts w:asciiTheme="minorHAnsi" w:eastAsiaTheme="minorEastAsia" w:hAnsiTheme="minorHAnsi" w:cstheme="minorBidi"/>
          <w:i w:val="0"/>
          <w:sz w:val="22"/>
          <w:szCs w:val="22"/>
          <w:lang w:eastAsia="en-AU"/>
        </w:rPr>
      </w:pPr>
      <w:hyperlink w:anchor="_Toc336503171" w:history="1">
        <w:r w:rsidR="00CC5023" w:rsidRPr="00DD45A2">
          <w:rPr>
            <w:rStyle w:val="Hyperlink"/>
          </w:rPr>
          <w:t>World outlook and risks</w:t>
        </w:r>
        <w:r w:rsidR="00CC5023">
          <w:rPr>
            <w:webHidden/>
          </w:rPr>
          <w:tab/>
        </w:r>
        <w:r w:rsidR="00CC5023">
          <w:rPr>
            <w:webHidden/>
          </w:rPr>
          <w:fldChar w:fldCharType="begin"/>
        </w:r>
        <w:r w:rsidR="00CC5023">
          <w:rPr>
            <w:webHidden/>
          </w:rPr>
          <w:instrText xml:space="preserve"> PAGEREF _Toc336503171 \h </w:instrText>
        </w:r>
        <w:r w:rsidR="00CC5023">
          <w:rPr>
            <w:webHidden/>
          </w:rPr>
        </w:r>
        <w:r w:rsidR="00CC5023">
          <w:rPr>
            <w:webHidden/>
          </w:rPr>
          <w:fldChar w:fldCharType="separate"/>
        </w:r>
        <w:r w:rsidR="00DC3CD8">
          <w:rPr>
            <w:webHidden/>
          </w:rPr>
          <w:t>10</w:t>
        </w:r>
        <w:r w:rsidR="00CC5023">
          <w:rPr>
            <w:webHidden/>
          </w:rPr>
          <w:fldChar w:fldCharType="end"/>
        </w:r>
      </w:hyperlink>
    </w:p>
    <w:p w:rsidR="00CC5023" w:rsidRPr="00CC5023" w:rsidRDefault="00351324" w:rsidP="00CC5023">
      <w:pPr>
        <w:pStyle w:val="TOC3"/>
        <w:rPr>
          <w:rStyle w:val="Hyperlink"/>
        </w:rPr>
      </w:pPr>
      <w:hyperlink w:anchor="_Toc336503172" w:history="1">
        <w:r w:rsidR="00CC5023" w:rsidRPr="00DD45A2">
          <w:rPr>
            <w:rStyle w:val="Hyperlink"/>
          </w:rPr>
          <w:t>Attachment A: Forecast growth in nominal GDP</w:t>
        </w:r>
        <w:r w:rsidR="00CC5023" w:rsidRPr="00CC5023">
          <w:rPr>
            <w:rStyle w:val="Hyperlink"/>
            <w:webHidden/>
          </w:rPr>
          <w:tab/>
        </w:r>
        <w:r w:rsidR="00CC5023" w:rsidRPr="00CC5023">
          <w:rPr>
            <w:rStyle w:val="Hyperlink"/>
            <w:webHidden/>
          </w:rPr>
          <w:fldChar w:fldCharType="begin"/>
        </w:r>
        <w:r w:rsidR="00CC5023" w:rsidRPr="00CC5023">
          <w:rPr>
            <w:rStyle w:val="Hyperlink"/>
            <w:webHidden/>
          </w:rPr>
          <w:instrText xml:space="preserve"> PAGEREF _Toc336503172 \h </w:instrText>
        </w:r>
        <w:r w:rsidR="00CC5023" w:rsidRPr="00CC5023">
          <w:rPr>
            <w:rStyle w:val="Hyperlink"/>
            <w:webHidden/>
          </w:rPr>
        </w:r>
        <w:r w:rsidR="00CC5023" w:rsidRPr="00CC5023">
          <w:rPr>
            <w:rStyle w:val="Hyperlink"/>
            <w:webHidden/>
          </w:rPr>
          <w:fldChar w:fldCharType="separate"/>
        </w:r>
        <w:r w:rsidR="00DC3CD8">
          <w:rPr>
            <w:rStyle w:val="Hyperlink"/>
            <w:webHidden/>
          </w:rPr>
          <w:t>14</w:t>
        </w:r>
        <w:r w:rsidR="00CC5023" w:rsidRPr="00CC5023">
          <w:rPr>
            <w:rStyle w:val="Hyperlink"/>
            <w:webHidden/>
          </w:rPr>
          <w:fldChar w:fldCharType="end"/>
        </w:r>
      </w:hyperlink>
    </w:p>
    <w:p w:rsidR="005964C3" w:rsidRPr="003344B0" w:rsidRDefault="004D4273" w:rsidP="00A16F7F">
      <w:pPr>
        <w:pStyle w:val="Title"/>
        <w:outlineLvl w:val="0"/>
        <w:rPr>
          <w:b/>
          <w:color w:val="auto"/>
          <w:sz w:val="24"/>
          <w:szCs w:val="24"/>
          <w:highlight w:val="yellow"/>
        </w:rPr>
        <w:sectPr w:rsidR="005964C3" w:rsidRPr="003344B0" w:rsidSect="00412C66">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567" w:footer="567" w:gutter="0"/>
          <w:cols w:space="720"/>
          <w:titlePg/>
        </w:sectPr>
      </w:pPr>
      <w:r w:rsidRPr="00CA05D4">
        <w:rPr>
          <w:color w:val="auto"/>
        </w:rPr>
        <w:fldChar w:fldCharType="end"/>
      </w:r>
    </w:p>
    <w:p w:rsidR="00E573F9" w:rsidRDefault="00E573F9" w:rsidP="00E573F9">
      <w:pPr>
        <w:pStyle w:val="Heading3"/>
        <w:rPr>
          <w:bCs/>
          <w:smallCaps w:val="0"/>
        </w:rPr>
      </w:pPr>
      <w:bookmarkStart w:id="1" w:name="_Toc336420544"/>
      <w:bookmarkStart w:id="2" w:name="_Toc336503162"/>
      <w:bookmarkStart w:id="3" w:name="_Toc90977883"/>
      <w:bookmarkStart w:id="4" w:name="_Toc185498655"/>
      <w:r w:rsidRPr="00561642">
        <w:lastRenderedPageBreak/>
        <w:t>Overview</w:t>
      </w:r>
      <w:bookmarkEnd w:id="1"/>
      <w:bookmarkEnd w:id="2"/>
    </w:p>
    <w:p w:rsidR="00E573F9" w:rsidRPr="000D0CF0" w:rsidRDefault="00E573F9" w:rsidP="00E573F9">
      <w:pPr>
        <w:rPr>
          <w:szCs w:val="20"/>
        </w:rPr>
      </w:pPr>
      <w:r>
        <w:rPr>
          <w:szCs w:val="20"/>
        </w:rPr>
        <w:t>The outlook for the global economy has weakened since the June update</w:t>
      </w:r>
      <w:r w:rsidR="00CF00B1">
        <w:rPr>
          <w:szCs w:val="20"/>
        </w:rPr>
        <w:t xml:space="preserve"> and Budget.</w:t>
      </w:r>
      <w:r w:rsidRPr="000D0CF0">
        <w:rPr>
          <w:szCs w:val="20"/>
        </w:rPr>
        <w:t xml:space="preserve"> The combined effect of deteriorating growth prospects in Europe, a weak recovery in the US economy, and a slowdown in the emerging market economies of Asia is being transmitted to the Australian economy through a number of channels. Weaker external demand and lower global non-rural commodity prices have reduced export revenues, while the risks to global economic and financial stability are weighing on consumer and business confidence. </w:t>
      </w:r>
    </w:p>
    <w:p w:rsidR="00E573F9" w:rsidRPr="007371C3" w:rsidRDefault="00E573F9" w:rsidP="00E573F9">
      <w:pPr>
        <w:rPr>
          <w:szCs w:val="20"/>
        </w:rPr>
      </w:pPr>
      <w:r w:rsidRPr="007371C3">
        <w:rPr>
          <w:szCs w:val="20"/>
        </w:rPr>
        <w:t>Against this weak international outlook, Australia’s real GDP growth is expected to be around trend over the forecast period. Real GDP is forecast to grow 3 per cent in both 2012-13 and 2013</w:t>
      </w:r>
      <w:r w:rsidRPr="007371C3">
        <w:rPr>
          <w:szCs w:val="20"/>
        </w:rPr>
        <w:noBreakHyphen/>
        <w:t xml:space="preserve">14, a downgrade of ¼ of a percentage point in 2012-13 compared with Budget. </w:t>
      </w:r>
      <w:r w:rsidR="003E1175">
        <w:rPr>
          <w:szCs w:val="20"/>
        </w:rPr>
        <w:t xml:space="preserve"> The downgrade to growth in 2012-13 mainly reflects</w:t>
      </w:r>
      <w:r w:rsidR="003E1175" w:rsidRPr="00476F13">
        <w:rPr>
          <w:szCs w:val="20"/>
        </w:rPr>
        <w:t xml:space="preserve"> </w:t>
      </w:r>
      <w:r w:rsidR="003E1175">
        <w:rPr>
          <w:szCs w:val="20"/>
        </w:rPr>
        <w:t>a bring</w:t>
      </w:r>
      <w:r w:rsidR="003E1175">
        <w:rPr>
          <w:szCs w:val="20"/>
        </w:rPr>
        <w:noBreakHyphen/>
        <w:t>forward of resource-related investment activity into 2011-12, along with the announced deferral or cancellation of resource projects.</w:t>
      </w:r>
    </w:p>
    <w:p w:rsidR="00E573F9" w:rsidRPr="00EE41EE" w:rsidRDefault="00E573F9" w:rsidP="00E573F9">
      <w:pPr>
        <w:rPr>
          <w:szCs w:val="20"/>
        </w:rPr>
      </w:pPr>
      <w:r w:rsidRPr="007371C3">
        <w:rPr>
          <w:szCs w:val="20"/>
        </w:rPr>
        <w:t>The downgrade to forecast nominal GDP growth since Budget is more significant, primarily due to larger</w:t>
      </w:r>
      <w:r w:rsidRPr="007371C3">
        <w:rPr>
          <w:szCs w:val="20"/>
        </w:rPr>
        <w:noBreakHyphen/>
        <w:t>than-anticipated falls in global prices for some of Australia’s key non-rural commodity exports.</w:t>
      </w:r>
      <w:r w:rsidRPr="00EE41EE">
        <w:rPr>
          <w:szCs w:val="20"/>
        </w:rPr>
        <w:t xml:space="preserve"> Global energy and steel demand has eased as world GDP growth has moderated, reducing demand for raw materials such as coal and iron ore. The decline in iron ore and coal prices to mid</w:t>
      </w:r>
      <w:r w:rsidRPr="00EE41EE">
        <w:rPr>
          <w:szCs w:val="20"/>
        </w:rPr>
        <w:noBreakHyphen/>
        <w:t xml:space="preserve">September, while consistent with lower demand, appeared to exceed market fundamentals. Iron ore prices have since increased and it is anticipated they will regain further ground over the coming months.  </w:t>
      </w:r>
    </w:p>
    <w:p w:rsidR="00E573F9" w:rsidRPr="000D0CF0" w:rsidRDefault="00E573F9" w:rsidP="00E573F9">
      <w:pPr>
        <w:rPr>
          <w:szCs w:val="20"/>
        </w:rPr>
      </w:pPr>
      <w:r w:rsidRPr="00EE41EE">
        <w:rPr>
          <w:szCs w:val="20"/>
        </w:rPr>
        <w:t xml:space="preserve">Still, consistent with a weaker international growth outlook, global prices for these commodities are expected to remain below the levels forecast at </w:t>
      </w:r>
      <w:r>
        <w:rPr>
          <w:szCs w:val="20"/>
        </w:rPr>
        <w:t xml:space="preserve">the June update and </w:t>
      </w:r>
      <w:r w:rsidRPr="00EE41EE">
        <w:rPr>
          <w:szCs w:val="20"/>
        </w:rPr>
        <w:t xml:space="preserve">Budget. Consequently, the decline in Australia’s terms of trade over the forecast period is expected to be greater, driving a downward revision to forecast nominal GDP growth to </w:t>
      </w:r>
      <w:r w:rsidR="00CA4B93">
        <w:rPr>
          <w:szCs w:val="20"/>
        </w:rPr>
        <w:t>4</w:t>
      </w:r>
      <w:r w:rsidRPr="00EE41EE">
        <w:rPr>
          <w:szCs w:val="20"/>
        </w:rPr>
        <w:t xml:space="preserve"> per cent in 2012-13 from 5 per cent at Budget.</w:t>
      </w:r>
    </w:p>
    <w:p w:rsidR="00E573F9" w:rsidRPr="00691ADF" w:rsidRDefault="00E573F9" w:rsidP="00E573F9">
      <w:pPr>
        <w:pStyle w:val="Dash"/>
        <w:keepNext/>
        <w:spacing w:line="240" w:lineRule="auto"/>
        <w:ind w:left="0" w:firstLine="0"/>
        <w:rPr>
          <w:rFonts w:ascii="Tahoma" w:hAnsi="Tahoma" w:cs="Tahoma"/>
          <w:b/>
        </w:rPr>
      </w:pPr>
      <w:r w:rsidRPr="00691ADF">
        <w:rPr>
          <w:rFonts w:ascii="Tahoma" w:hAnsi="Tahoma" w:cs="Tahoma"/>
          <w:b/>
        </w:rPr>
        <w:t xml:space="preserve">Table 1: Key Domestic </w:t>
      </w:r>
      <w:proofErr w:type="gramStart"/>
      <w:r w:rsidRPr="00691ADF">
        <w:rPr>
          <w:rFonts w:ascii="Tahoma" w:hAnsi="Tahoma" w:cs="Tahoma"/>
          <w:b/>
        </w:rPr>
        <w:t>Forecasts</w:t>
      </w:r>
      <w:r w:rsidRPr="00673FAD">
        <w:rPr>
          <w:rFonts w:ascii="Tahoma" w:hAnsi="Tahoma" w:cs="Tahoma"/>
          <w:b/>
          <w:vertAlign w:val="superscript"/>
        </w:rPr>
        <w:t>(</w:t>
      </w:r>
      <w:proofErr w:type="gramEnd"/>
      <w:r w:rsidRPr="00673FAD">
        <w:rPr>
          <w:rFonts w:ascii="Tahoma" w:hAnsi="Tahoma" w:cs="Tahoma"/>
          <w:b/>
          <w:vertAlign w:val="superscript"/>
        </w:rPr>
        <w:t>a)</w:t>
      </w:r>
      <w:r w:rsidRPr="00691ADF">
        <w:rPr>
          <w:rFonts w:ascii="Tahoma" w:hAnsi="Tahoma" w:cs="Tahoma"/>
          <w:b/>
        </w:rPr>
        <w:t xml:space="preserve"> </w:t>
      </w:r>
    </w:p>
    <w:p w:rsidR="00E573F9" w:rsidRDefault="00241D24" w:rsidP="00E573F9">
      <w:pPr>
        <w:pStyle w:val="TableGraphic0"/>
      </w:pPr>
      <w:r>
        <w:object w:dxaOrig="9006" w:dyaOrig="2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35pt;height:144.7pt" o:ole="">
            <v:imagedata r:id="rId16" o:title=""/>
          </v:shape>
          <o:OLEObject Type="Link" ProgID="Excel.SheetMacroEnabled.12" ShapeID="_x0000_i1025" DrawAspect="Content" r:id="rId17" UpdateMode="OnCall">
            <o:LinkType>EnhancedMetaFile</o:LinkType>
            <o:LockedField>false</o:LockedField>
          </o:OLEObject>
        </w:object>
      </w:r>
    </w:p>
    <w:p w:rsidR="00E573F9" w:rsidRDefault="00E573F9" w:rsidP="00E573F9">
      <w:pPr>
        <w:pStyle w:val="ChartandTableFootnoteAlpha"/>
        <w:tabs>
          <w:tab w:val="clear" w:pos="283"/>
        </w:tabs>
        <w:spacing w:line="240" w:lineRule="auto"/>
        <w:ind w:left="0" w:firstLine="0"/>
      </w:pPr>
      <w:r w:rsidRPr="004161F2">
        <w:t>(a) Real GDP, nominal GDP and the terms of trade are year</w:t>
      </w:r>
      <w:r>
        <w:t>-</w:t>
      </w:r>
      <w:r w:rsidRPr="004161F2">
        <w:t xml:space="preserve">average growth. Employment, CPI, underlying inflation and the WPI are through-the-year growth to the June quarter. The unemployment rate is the rate </w:t>
      </w:r>
      <w:r>
        <w:t>for</w:t>
      </w:r>
      <w:r w:rsidRPr="004161F2">
        <w:t xml:space="preserve"> the June quarter.</w:t>
      </w:r>
    </w:p>
    <w:p w:rsidR="00E573F9" w:rsidRDefault="00E573F9" w:rsidP="00E573F9">
      <w:pPr>
        <w:pStyle w:val="ChartandTableFootnoteAlpha"/>
        <w:tabs>
          <w:tab w:val="clear" w:pos="283"/>
        </w:tabs>
        <w:spacing w:line="240" w:lineRule="auto"/>
        <w:ind w:left="0" w:firstLine="0"/>
      </w:pPr>
    </w:p>
    <w:p w:rsidR="00E573F9" w:rsidRDefault="00E573F9" w:rsidP="00E573F9">
      <w:pPr>
        <w:rPr>
          <w:szCs w:val="20"/>
        </w:rPr>
      </w:pPr>
      <w:r w:rsidRPr="000B5E8E">
        <w:rPr>
          <w:szCs w:val="20"/>
        </w:rPr>
        <w:t xml:space="preserve">The </w:t>
      </w:r>
      <w:r>
        <w:rPr>
          <w:szCs w:val="20"/>
        </w:rPr>
        <w:t>solid</w:t>
      </w:r>
      <w:r w:rsidRPr="000B5E8E">
        <w:rPr>
          <w:szCs w:val="20"/>
        </w:rPr>
        <w:t xml:space="preserve"> outlook for the real economy reflects the continued strong outlook for business investment, underpinned by a record pipeline of already-committed resources projects. Economic growth is also expected to be supported by strong growth in non</w:t>
      </w:r>
      <w:r w:rsidRPr="000B5E8E">
        <w:rPr>
          <w:szCs w:val="20"/>
        </w:rPr>
        <w:noBreakHyphen/>
        <w:t xml:space="preserve">rural commodity exports, as the resources boom transitions from the investment to the production phase, and solid growth in household consumption. </w:t>
      </w:r>
    </w:p>
    <w:p w:rsidR="00E573F9" w:rsidRPr="000D0CF0" w:rsidRDefault="00E573F9" w:rsidP="00E573F9">
      <w:pPr>
        <w:rPr>
          <w:szCs w:val="20"/>
          <w:highlight w:val="yellow"/>
        </w:rPr>
      </w:pPr>
      <w:r>
        <w:rPr>
          <w:szCs w:val="20"/>
        </w:rPr>
        <w:t>I</w:t>
      </w:r>
      <w:r w:rsidRPr="000D0CF0">
        <w:rPr>
          <w:szCs w:val="20"/>
        </w:rPr>
        <w:t xml:space="preserve">nvestment in the resources sector is expected to continue to drive growth in the domestic economy in 2012-13. </w:t>
      </w:r>
      <w:r w:rsidR="00CF00B1">
        <w:rPr>
          <w:szCs w:val="20"/>
        </w:rPr>
        <w:t>R</w:t>
      </w:r>
      <w:r>
        <w:rPr>
          <w:szCs w:val="20"/>
        </w:rPr>
        <w:t>ecent falls in global commodity prices have led to some scaling back of investment plans,</w:t>
      </w:r>
      <w:r w:rsidR="00CF00B1">
        <w:rPr>
          <w:szCs w:val="20"/>
        </w:rPr>
        <w:t xml:space="preserve"> largely in the coal sector where mining companies have slowed the pace of their existing expansions and have closed some of their high-cost mines earlier than anticipated.</w:t>
      </w:r>
      <w:r w:rsidRPr="000D0CF0">
        <w:rPr>
          <w:szCs w:val="20"/>
        </w:rPr>
        <w:t xml:space="preserve"> </w:t>
      </w:r>
      <w:r w:rsidR="00CF00B1">
        <w:rPr>
          <w:szCs w:val="20"/>
        </w:rPr>
        <w:t xml:space="preserve">However, the </w:t>
      </w:r>
      <w:r w:rsidRPr="000D0CF0">
        <w:rPr>
          <w:szCs w:val="20"/>
        </w:rPr>
        <w:t xml:space="preserve">resource investment </w:t>
      </w:r>
      <w:r w:rsidR="00CF00B1">
        <w:rPr>
          <w:szCs w:val="20"/>
        </w:rPr>
        <w:t xml:space="preserve">pipeline is dominated by large LNG projects where investment </w:t>
      </w:r>
      <w:r w:rsidRPr="000D0CF0">
        <w:rPr>
          <w:szCs w:val="20"/>
        </w:rPr>
        <w:t>decisions are taken over long</w:t>
      </w:r>
      <w:r w:rsidR="00CF00B1">
        <w:rPr>
          <w:szCs w:val="20"/>
        </w:rPr>
        <w:t>-</w:t>
      </w:r>
      <w:r>
        <w:rPr>
          <w:szCs w:val="20"/>
        </w:rPr>
        <w:t>time</w:t>
      </w:r>
      <w:r w:rsidRPr="000D0CF0">
        <w:rPr>
          <w:szCs w:val="20"/>
        </w:rPr>
        <w:t xml:space="preserve"> horizons and are underpinned by projections of the </w:t>
      </w:r>
      <w:r w:rsidR="00CF00B1">
        <w:rPr>
          <w:szCs w:val="20"/>
        </w:rPr>
        <w:t>energy</w:t>
      </w:r>
      <w:r w:rsidRPr="000D0CF0">
        <w:rPr>
          <w:szCs w:val="20"/>
        </w:rPr>
        <w:t xml:space="preserve"> needs of </w:t>
      </w:r>
      <w:r w:rsidR="00CF00B1">
        <w:rPr>
          <w:szCs w:val="20"/>
        </w:rPr>
        <w:t xml:space="preserve">the Asian region </w:t>
      </w:r>
      <w:r>
        <w:rPr>
          <w:szCs w:val="20"/>
        </w:rPr>
        <w:t>over a period of decades</w:t>
      </w:r>
      <w:r w:rsidRPr="000D0CF0">
        <w:rPr>
          <w:szCs w:val="20"/>
        </w:rPr>
        <w:t xml:space="preserve">. In value terms, over two-thirds of the large resources projects included in the economic forecasts have received final investment approval, with the majority already under construction. Following 75 per cent growth in 2011-12, the latest capital expenditure survey suggests a further 45 per cent increase in mining investment in 2012-13, taking new business investment as a share of the Australian economy to record </w:t>
      </w:r>
      <w:r>
        <w:rPr>
          <w:szCs w:val="20"/>
        </w:rPr>
        <w:t>levels.</w:t>
      </w:r>
    </w:p>
    <w:p w:rsidR="00E573F9" w:rsidRPr="000D0CF0" w:rsidRDefault="00E573F9" w:rsidP="00E573F9">
      <w:pPr>
        <w:rPr>
          <w:szCs w:val="20"/>
        </w:rPr>
      </w:pPr>
      <w:r w:rsidRPr="000D0CF0">
        <w:rPr>
          <w:szCs w:val="20"/>
        </w:rPr>
        <w:t xml:space="preserve">The domestic growth outlook is also expected to be supported by growing non-rural commodity export volumes. The surge in investment in the resources sector will continue to see expansions in supply capacity, which </w:t>
      </w:r>
      <w:r>
        <w:rPr>
          <w:szCs w:val="20"/>
        </w:rPr>
        <w:t>will</w:t>
      </w:r>
      <w:r w:rsidRPr="000D0CF0">
        <w:rPr>
          <w:szCs w:val="20"/>
        </w:rPr>
        <w:t xml:space="preserve"> support a ramp-up in export volumes as major resources projects increasingly move from the investment phase to the production phase. Australia’s non-rural commodity exports are expected to grow </w:t>
      </w:r>
      <w:r w:rsidR="00C07EDF">
        <w:rPr>
          <w:szCs w:val="20"/>
        </w:rPr>
        <w:t xml:space="preserve">around </w:t>
      </w:r>
      <w:r w:rsidRPr="000D0CF0">
        <w:rPr>
          <w:szCs w:val="20"/>
        </w:rPr>
        <w:t xml:space="preserve">15 per cent over the next two years, notwithstanding </w:t>
      </w:r>
      <w:r w:rsidRPr="000D0CF0">
        <w:rPr>
          <w:szCs w:val="20"/>
        </w:rPr>
        <w:lastRenderedPageBreak/>
        <w:t xml:space="preserve">a modest downgrade to forecast growth in coal exports since </w:t>
      </w:r>
      <w:r>
        <w:rPr>
          <w:szCs w:val="20"/>
        </w:rPr>
        <w:t xml:space="preserve">the June update and </w:t>
      </w:r>
      <w:r w:rsidRPr="000D0CF0">
        <w:rPr>
          <w:szCs w:val="20"/>
        </w:rPr>
        <w:t>Budget</w:t>
      </w:r>
      <w:r>
        <w:rPr>
          <w:szCs w:val="20"/>
        </w:rPr>
        <w:t>,</w:t>
      </w:r>
      <w:r w:rsidRPr="000D0CF0">
        <w:rPr>
          <w:szCs w:val="20"/>
        </w:rPr>
        <w:t xml:space="preserve"> in line with announced production cuts.</w:t>
      </w:r>
    </w:p>
    <w:p w:rsidR="00E573F9" w:rsidRPr="000D0CF0" w:rsidRDefault="00E573F9" w:rsidP="00E573F9">
      <w:pPr>
        <w:rPr>
          <w:szCs w:val="20"/>
        </w:rPr>
      </w:pPr>
      <w:r w:rsidRPr="000D0CF0">
        <w:rPr>
          <w:szCs w:val="20"/>
        </w:rPr>
        <w:t xml:space="preserve">Solid growth in household consumption is also expected to underpin economic growth across the forecast period. Over the past year, the combination of solid growth in disposable income and weak consumer price inflation enabled households to enjoy above-trend growth in real consumption, while maintaining high rates of saving. Looking ahead, the pace of household consumption growth is expected to moderate, consistent with the outlook for </w:t>
      </w:r>
      <w:r>
        <w:rPr>
          <w:szCs w:val="20"/>
        </w:rPr>
        <w:t xml:space="preserve">below-trend </w:t>
      </w:r>
      <w:r w:rsidRPr="000D0CF0">
        <w:rPr>
          <w:szCs w:val="20"/>
        </w:rPr>
        <w:t>employment and wages growth, and subdued expectations for asset price growth. Reflecting this, the household saving ratio is expected to remain elevated across the forecast period.</w:t>
      </w:r>
    </w:p>
    <w:p w:rsidR="00E573F9" w:rsidRPr="000D0CF0" w:rsidRDefault="00E573F9" w:rsidP="00E573F9">
      <w:pPr>
        <w:rPr>
          <w:szCs w:val="20"/>
        </w:rPr>
      </w:pPr>
      <w:r>
        <w:rPr>
          <w:szCs w:val="20"/>
        </w:rPr>
        <w:t>C</w:t>
      </w:r>
      <w:r w:rsidRPr="000D0CF0">
        <w:rPr>
          <w:szCs w:val="20"/>
        </w:rPr>
        <w:t xml:space="preserve">onditions in many parts of the economy remain difficult, reflecting the continued high exchange rate, shifting patterns of household demand and the more restrained approach of households and businesses towards taking on new debt. These factors have placed downward pressure on domestic </w:t>
      </w:r>
      <w:r w:rsidRPr="004216B2">
        <w:rPr>
          <w:szCs w:val="20"/>
        </w:rPr>
        <w:t>prices, meaning that some industries experienced profit declines over 2011-12 despite recording growth in sales volumes. Still, household consumption remains robust in aggregate and there are tentative signs that residential building activity may be starting to improve as resources investment passes its peak, the forecast are for low interest rates to support modest growth in dwelling construction and non-mining investment in 2013-14.</w:t>
      </w:r>
    </w:p>
    <w:p w:rsidR="00E573F9" w:rsidRPr="000D0CF0" w:rsidRDefault="00E573F9" w:rsidP="00E573F9">
      <w:pPr>
        <w:rPr>
          <w:szCs w:val="20"/>
        </w:rPr>
      </w:pPr>
      <w:r>
        <w:rPr>
          <w:szCs w:val="20"/>
        </w:rPr>
        <w:t xml:space="preserve">Reflecting the pressures on businesses in some employment-intensive parts of the economy, such as retail and </w:t>
      </w:r>
      <w:r w:rsidR="00CE02FE">
        <w:rPr>
          <w:szCs w:val="20"/>
        </w:rPr>
        <w:t>construction</w:t>
      </w:r>
      <w:r>
        <w:rPr>
          <w:szCs w:val="20"/>
        </w:rPr>
        <w:t>, the pace of employment growth has slowed in recent months and average hours worked have declined significantly. W</w:t>
      </w:r>
      <w:r w:rsidRPr="000D0CF0">
        <w:rPr>
          <w:szCs w:val="20"/>
        </w:rPr>
        <w:t xml:space="preserve">hile employment growth is expected to pick-up over the forecast period, it is forecast to remain below trend, as the uncertain </w:t>
      </w:r>
      <w:r>
        <w:rPr>
          <w:szCs w:val="20"/>
        </w:rPr>
        <w:t>operating environment</w:t>
      </w:r>
      <w:r w:rsidRPr="000D0CF0">
        <w:rPr>
          <w:szCs w:val="20"/>
        </w:rPr>
        <w:t xml:space="preserve"> continues to weigh on hiring decisions. Through</w:t>
      </w:r>
      <w:r>
        <w:rPr>
          <w:szCs w:val="20"/>
        </w:rPr>
        <w:noBreakHyphen/>
      </w:r>
      <w:r w:rsidRPr="000D0CF0">
        <w:rPr>
          <w:szCs w:val="20"/>
        </w:rPr>
        <w:t>the</w:t>
      </w:r>
      <w:r>
        <w:rPr>
          <w:szCs w:val="20"/>
        </w:rPr>
        <w:noBreakHyphen/>
      </w:r>
      <w:r w:rsidRPr="000D0CF0">
        <w:rPr>
          <w:szCs w:val="20"/>
        </w:rPr>
        <w:t>year employment growth is forecast to edge up to 1</w:t>
      </w:r>
      <w:r w:rsidR="00643036">
        <w:rPr>
          <w:szCs w:val="20"/>
        </w:rPr>
        <w:t> </w:t>
      </w:r>
      <w:r w:rsidRPr="000D0CF0">
        <w:rPr>
          <w:szCs w:val="20"/>
        </w:rPr>
        <w:t>per</w:t>
      </w:r>
      <w:r w:rsidR="00643036">
        <w:rPr>
          <w:szCs w:val="20"/>
        </w:rPr>
        <w:t> </w:t>
      </w:r>
      <w:r w:rsidRPr="000D0CF0">
        <w:rPr>
          <w:szCs w:val="20"/>
        </w:rPr>
        <w:t>cent to the June quarter 2013 and to 1¼ per cent to the June quarter 2014</w:t>
      </w:r>
      <w:r>
        <w:rPr>
          <w:szCs w:val="20"/>
        </w:rPr>
        <w:t>, weaker than anticipated at Budget</w:t>
      </w:r>
      <w:r w:rsidRPr="000D0CF0">
        <w:rPr>
          <w:szCs w:val="20"/>
        </w:rPr>
        <w:t>.</w:t>
      </w:r>
      <w:r>
        <w:rPr>
          <w:szCs w:val="20"/>
        </w:rPr>
        <w:t xml:space="preserve"> This softer employment growth outlook results in forecasts of a rising unemployment rate from 5.1 per cent currently to 5¾ per cent in the June quarter of 2014.</w:t>
      </w:r>
    </w:p>
    <w:p w:rsidR="00E573F9" w:rsidRPr="000B1DDA" w:rsidRDefault="00E573F9" w:rsidP="00E573F9">
      <w:pPr>
        <w:rPr>
          <w:szCs w:val="20"/>
        </w:rPr>
      </w:pPr>
      <w:r w:rsidRPr="000D0CF0">
        <w:rPr>
          <w:szCs w:val="20"/>
        </w:rPr>
        <w:t>Consistent with the slightly weaker outlook for the labour market, forecast wages growth and i</w:t>
      </w:r>
      <w:r>
        <w:rPr>
          <w:szCs w:val="20"/>
        </w:rPr>
        <w:t>nflation have been revised down</w:t>
      </w:r>
      <w:r w:rsidRPr="000D0CF0">
        <w:rPr>
          <w:szCs w:val="20"/>
        </w:rPr>
        <w:t>. The Wage Price Index is forecast to increase 3½</w:t>
      </w:r>
      <w:r>
        <w:rPr>
          <w:szCs w:val="20"/>
        </w:rPr>
        <w:t> </w:t>
      </w:r>
      <w:r w:rsidRPr="000D0CF0">
        <w:rPr>
          <w:szCs w:val="20"/>
        </w:rPr>
        <w:t xml:space="preserve">per cent </w:t>
      </w:r>
      <w:r>
        <w:rPr>
          <w:szCs w:val="20"/>
        </w:rPr>
        <w:t>through the year to the June quarter of both</w:t>
      </w:r>
      <w:r w:rsidRPr="000D0CF0">
        <w:rPr>
          <w:szCs w:val="20"/>
        </w:rPr>
        <w:t xml:space="preserve"> 2013 and 2014. Headline inflation is forecast to rise to 3 per cent through the year to the June quarter of 2013</w:t>
      </w:r>
      <w:r>
        <w:rPr>
          <w:szCs w:val="20"/>
        </w:rPr>
        <w:t xml:space="preserve"> (incorporating an</w:t>
      </w:r>
      <w:r w:rsidRPr="000D0CF0">
        <w:rPr>
          <w:szCs w:val="20"/>
        </w:rPr>
        <w:t xml:space="preserve"> estimated one</w:t>
      </w:r>
      <w:r w:rsidRPr="000D0CF0">
        <w:rPr>
          <w:szCs w:val="20"/>
        </w:rPr>
        <w:noBreakHyphen/>
        <w:t>off ¾ of a percentage point increase from the introduction of the carbon price</w:t>
      </w:r>
      <w:r>
        <w:rPr>
          <w:szCs w:val="20"/>
        </w:rPr>
        <w:t>)</w:t>
      </w:r>
      <w:r w:rsidRPr="000D0CF0">
        <w:rPr>
          <w:szCs w:val="20"/>
        </w:rPr>
        <w:t xml:space="preserve">, before easing to 2¼ per cent through the year to the June quarter of </w:t>
      </w:r>
      <w:r w:rsidRPr="000B1DDA">
        <w:rPr>
          <w:szCs w:val="20"/>
        </w:rPr>
        <w:t xml:space="preserve">2014. </w:t>
      </w:r>
    </w:p>
    <w:p w:rsidR="00E573F9" w:rsidRDefault="00E573F9" w:rsidP="00E573F9">
      <w:pPr>
        <w:rPr>
          <w:szCs w:val="20"/>
        </w:rPr>
      </w:pPr>
      <w:r w:rsidRPr="000B1DDA">
        <w:rPr>
          <w:szCs w:val="20"/>
        </w:rPr>
        <w:t>The main risks to the forecasts are external and remain firmly on the downside. The outlook for the</w:t>
      </w:r>
      <w:r w:rsidRPr="000D0CF0">
        <w:rPr>
          <w:szCs w:val="20"/>
        </w:rPr>
        <w:t xml:space="preserve"> euro area is particularly uncertain, with a risk that the sovereign debt crisis could escalate into a major monetary and financial crisis, with severe implications for global growth. The threat of a ‘fiscal cliff’ in the United States also remains a severe downside risk to the global economic outlook, with the possibility of a recession in the United States economy if no resolution is reached. A further escalation of the European crisis or a downturn in the Unites States economy would detract from global trade and leave a number of emerging market economies vulnerable to sudden capital outflows and a breakdown in trade finance. </w:t>
      </w:r>
      <w:r>
        <w:rPr>
          <w:szCs w:val="20"/>
        </w:rPr>
        <w:t>These uncertainties are complicating macroeconomic management in China, where there is a risk that the combination of weaker-than-anticipated external demand and the authorities’ efforts to place their economy on a more sustainable growth path could result in a sharper slowdown in economic activity than desired.  As seen in recent months, a sharper-than-anticipated slowdown in China can have significant implications for global commodities markets.</w:t>
      </w:r>
    </w:p>
    <w:p w:rsidR="00E573F9" w:rsidRPr="000D0CF0" w:rsidRDefault="00E573F9" w:rsidP="00E573F9">
      <w:pPr>
        <w:rPr>
          <w:szCs w:val="20"/>
        </w:rPr>
      </w:pPr>
      <w:r w:rsidRPr="000D0CF0">
        <w:rPr>
          <w:szCs w:val="20"/>
        </w:rPr>
        <w:t>In this context, there is a substantial risk that Australia’s terms of trade could decline further or more rapidly than currently forecast, which would further reduce forecasts for nominal GDP and weaken the currently solid outlook for real economic growth.</w:t>
      </w:r>
    </w:p>
    <w:p w:rsidR="00E573F9" w:rsidRPr="00C622D3" w:rsidRDefault="00E573F9" w:rsidP="00C622D3">
      <w:pPr>
        <w:pStyle w:val="TableGraphic"/>
        <w:widowControl w:val="0"/>
        <w:spacing w:after="0" w:line="276" w:lineRule="auto"/>
        <w:rPr>
          <w:rFonts w:eastAsiaTheme="minorHAnsi" w:cs="Tahoma"/>
          <w:sz w:val="22"/>
          <w:szCs w:val="22"/>
          <w:lang w:eastAsia="en-AU"/>
        </w:rPr>
      </w:pPr>
      <w:r w:rsidRPr="00C622D3">
        <w:rPr>
          <w:rFonts w:eastAsiaTheme="minorHAnsi" w:cs="Tahoma"/>
          <w:sz w:val="22"/>
          <w:szCs w:val="22"/>
          <w:lang w:eastAsia="en-AU"/>
        </w:rPr>
        <w:t xml:space="preserve">Table 2 – Domestic economy </w:t>
      </w:r>
      <w:proofErr w:type="gramStart"/>
      <w:r w:rsidRPr="00C622D3">
        <w:rPr>
          <w:rFonts w:eastAsiaTheme="minorHAnsi" w:cs="Tahoma"/>
          <w:sz w:val="22"/>
          <w:szCs w:val="22"/>
          <w:lang w:eastAsia="en-AU"/>
        </w:rPr>
        <w:t>forecasts</w:t>
      </w:r>
      <w:r w:rsidRPr="00CC5023">
        <w:rPr>
          <w:rFonts w:eastAsiaTheme="minorHAnsi" w:cs="Tahoma"/>
          <w:sz w:val="22"/>
          <w:szCs w:val="22"/>
          <w:vertAlign w:val="superscript"/>
          <w:lang w:eastAsia="en-AU"/>
        </w:rPr>
        <w:t>(</w:t>
      </w:r>
      <w:proofErr w:type="gramEnd"/>
      <w:r w:rsidRPr="00CC5023">
        <w:rPr>
          <w:rFonts w:eastAsiaTheme="minorHAnsi" w:cs="Tahoma"/>
          <w:sz w:val="22"/>
          <w:szCs w:val="22"/>
          <w:vertAlign w:val="superscript"/>
          <w:lang w:eastAsia="en-AU"/>
        </w:rPr>
        <w:t>a)</w:t>
      </w:r>
    </w:p>
    <w:p w:rsidR="00E573F9" w:rsidRDefault="00E5098F" w:rsidP="00E573F9">
      <w:pPr>
        <w:pStyle w:val="TableGraphic0"/>
      </w:pPr>
      <w:r>
        <w:object w:dxaOrig="7902" w:dyaOrig="9626">
          <v:shape id="_x0000_i1026" type="#_x0000_t75" style="width:395.3pt;height:481.6pt" o:ole="">
            <v:imagedata r:id="rId18" o:title=""/>
          </v:shape>
          <o:OLEObject Type="Link" ProgID="Excel.SheetMacroEnabled.12" ShapeID="_x0000_i1026" DrawAspect="Content" r:id="rId19" UpdateMode="Always">
            <o:LinkType>EnhancedMetaFile</o:LinkType>
            <o:LockedField>false</o:LockedField>
          </o:OLEObject>
        </w:object>
      </w:r>
    </w:p>
    <w:p w:rsidR="00E573F9" w:rsidRDefault="00E573F9" w:rsidP="00E573F9">
      <w:pPr>
        <w:pStyle w:val="ChartandTableFootnoteAlpha"/>
        <w:numPr>
          <w:ilvl w:val="0"/>
          <w:numId w:val="46"/>
        </w:numPr>
        <w:spacing w:line="240" w:lineRule="auto"/>
        <w:jc w:val="left"/>
      </w:pPr>
      <w:r>
        <w:t>Percentage change on preceding year unless otherwise indicated.</w:t>
      </w:r>
    </w:p>
    <w:p w:rsidR="00E573F9" w:rsidRDefault="00E573F9" w:rsidP="00E573F9">
      <w:pPr>
        <w:pStyle w:val="ChartandTableFootnoteAlpha"/>
        <w:numPr>
          <w:ilvl w:val="0"/>
          <w:numId w:val="46"/>
        </w:numPr>
        <w:spacing w:line="240" w:lineRule="auto"/>
        <w:jc w:val="left"/>
      </w:pPr>
      <w:r>
        <w:t>Calculated using original data unless otherwise indicated.</w:t>
      </w:r>
    </w:p>
    <w:p w:rsidR="00E573F9" w:rsidRDefault="00E573F9" w:rsidP="00E573F9">
      <w:pPr>
        <w:pStyle w:val="ChartandTableFootnoteAlpha"/>
        <w:numPr>
          <w:ilvl w:val="0"/>
          <w:numId w:val="46"/>
        </w:numPr>
        <w:spacing w:line="240" w:lineRule="auto"/>
        <w:jc w:val="left"/>
      </w:pPr>
      <w:r>
        <w:t>Chain volume measures except for nominal gross domestic product which is in current prices.</w:t>
      </w:r>
    </w:p>
    <w:p w:rsidR="00E573F9" w:rsidRDefault="00E573F9" w:rsidP="00E573F9">
      <w:pPr>
        <w:pStyle w:val="ChartandTableFootnoteAlpha"/>
        <w:numPr>
          <w:ilvl w:val="0"/>
          <w:numId w:val="46"/>
        </w:numPr>
        <w:spacing w:line="240" w:lineRule="auto"/>
        <w:jc w:val="left"/>
      </w:pPr>
      <w:r>
        <w:t>Excluding second</w:t>
      </w:r>
      <w:r>
        <w:noBreakHyphen/>
        <w:t>hand asset sales from the public sector to the private sector.</w:t>
      </w:r>
    </w:p>
    <w:p w:rsidR="00E573F9" w:rsidRDefault="00E573F9" w:rsidP="00E573F9">
      <w:pPr>
        <w:pStyle w:val="ChartandTableFootnoteAlpha"/>
        <w:numPr>
          <w:ilvl w:val="0"/>
          <w:numId w:val="46"/>
        </w:numPr>
        <w:spacing w:line="240" w:lineRule="auto"/>
        <w:jc w:val="left"/>
      </w:pPr>
      <w:r>
        <w:t xml:space="preserve">Percentage point contribution to growth in GDP. </w:t>
      </w:r>
    </w:p>
    <w:p w:rsidR="00E573F9" w:rsidRDefault="00E573F9" w:rsidP="00E573F9">
      <w:pPr>
        <w:pStyle w:val="ChartandTableFootnoteAlpha"/>
        <w:numPr>
          <w:ilvl w:val="0"/>
          <w:numId w:val="46"/>
        </w:numPr>
        <w:spacing w:line="240" w:lineRule="auto"/>
        <w:jc w:val="left"/>
      </w:pPr>
      <w:r>
        <w:t>Seasonally adjusted, through</w:t>
      </w:r>
      <w:r>
        <w:noBreakHyphen/>
        <w:t>the</w:t>
      </w:r>
      <w:r>
        <w:noBreakHyphen/>
        <w:t>year growth rate to the June quarter.</w:t>
      </w:r>
    </w:p>
    <w:p w:rsidR="00E573F9" w:rsidRDefault="00E573F9" w:rsidP="00E573F9">
      <w:pPr>
        <w:pStyle w:val="ChartandTableFootnoteAlpha"/>
        <w:numPr>
          <w:ilvl w:val="0"/>
          <w:numId w:val="46"/>
        </w:numPr>
        <w:spacing w:line="240" w:lineRule="auto"/>
        <w:jc w:val="left"/>
      </w:pPr>
      <w:r>
        <w:t xml:space="preserve">Seasonally adjusted rate </w:t>
      </w:r>
      <w:r w:rsidR="001072B2">
        <w:t>for</w:t>
      </w:r>
      <w:r>
        <w:t xml:space="preserve"> the June quarter.</w:t>
      </w:r>
    </w:p>
    <w:p w:rsidR="00E573F9" w:rsidRDefault="00E573F9" w:rsidP="00E573F9">
      <w:pPr>
        <w:pStyle w:val="ChartandTableFootnoteAlpha"/>
        <w:numPr>
          <w:ilvl w:val="0"/>
          <w:numId w:val="46"/>
        </w:numPr>
        <w:spacing w:line="240" w:lineRule="auto"/>
        <w:jc w:val="left"/>
      </w:pPr>
      <w:r>
        <w:t>Through</w:t>
      </w:r>
      <w:r>
        <w:noBreakHyphen/>
        <w:t>the</w:t>
      </w:r>
      <w:r>
        <w:noBreakHyphen/>
        <w:t>year growth rate to the June quarter.</w:t>
      </w:r>
    </w:p>
    <w:p w:rsidR="00E573F9" w:rsidRPr="00DA5499" w:rsidRDefault="00E573F9" w:rsidP="00E573F9">
      <w:pPr>
        <w:pStyle w:val="ChartandTableFootnoteAlpha"/>
        <w:tabs>
          <w:tab w:val="clear" w:pos="283"/>
        </w:tabs>
        <w:spacing w:line="240" w:lineRule="auto"/>
        <w:ind w:left="0" w:firstLine="0"/>
      </w:pPr>
      <w:r w:rsidRPr="00DA5499">
        <w:t>Note: The forecasts for the domestic economy are based on several technical assumptions. The exchange rate is assumed to remain around its recent average level — a trade</w:t>
      </w:r>
      <w:r w:rsidRPr="00DA5499">
        <w:noBreakHyphen/>
        <w:t xml:space="preserve">weighted index of around </w:t>
      </w:r>
      <w:r>
        <w:t>77</w:t>
      </w:r>
      <w:r w:rsidRPr="00DA5499">
        <w:t xml:space="preserve"> and a $US exchange rate of around 10</w:t>
      </w:r>
      <w:r>
        <w:t>3</w:t>
      </w:r>
      <w:r w:rsidRPr="00DA5499">
        <w:t xml:space="preserve"> US cents. Interest rates are assumed to move broadly in line with market expectations. World oil prices (Malaysian Tapis) a</w:t>
      </w:r>
      <w:r>
        <w:t>re assumed to remain around US$</w:t>
      </w:r>
      <w:r w:rsidRPr="00DA5499">
        <w:t>1</w:t>
      </w:r>
      <w:r>
        <w:t>18</w:t>
      </w:r>
      <w:r w:rsidRPr="00DA5499">
        <w:t xml:space="preserve"> per barrel. The farm sector forecasts are based on </w:t>
      </w:r>
      <w:r>
        <w:t xml:space="preserve">an assumption of </w:t>
      </w:r>
      <w:r w:rsidR="008B29D5">
        <w:t>average seasonal conditions.</w:t>
      </w:r>
    </w:p>
    <w:p w:rsidR="00E573F9" w:rsidRDefault="00E573F9" w:rsidP="00E573F9">
      <w:pPr>
        <w:pStyle w:val="Source"/>
        <w:spacing w:after="0"/>
        <w:rPr>
          <w:rFonts w:cs="Arial"/>
        </w:rPr>
      </w:pPr>
      <w:r>
        <w:rPr>
          <w:rFonts w:cs="Arial"/>
        </w:rPr>
        <w:t xml:space="preserve">Source: ABS cat. </w:t>
      </w:r>
      <w:proofErr w:type="gramStart"/>
      <w:r>
        <w:rPr>
          <w:rFonts w:cs="Arial"/>
        </w:rPr>
        <w:t>no</w:t>
      </w:r>
      <w:proofErr w:type="gramEnd"/>
      <w:r>
        <w:rPr>
          <w:rFonts w:cs="Arial"/>
        </w:rPr>
        <w:t>. 5206.0, 5302.0, 6202.0, 6345.0, 6401.0, unpublished ABS data and Treasury.</w:t>
      </w:r>
    </w:p>
    <w:p w:rsidR="00E573F9" w:rsidRDefault="00E573F9" w:rsidP="00E573F9">
      <w:pPr>
        <w:spacing w:after="200"/>
        <w:rPr>
          <w:rFonts w:ascii="Tahoma" w:hAnsi="Tahoma"/>
          <w:b/>
          <w:smallCaps/>
          <w:sz w:val="26"/>
        </w:rPr>
      </w:pPr>
      <w:r>
        <w:rPr>
          <w:rFonts w:ascii="Tahoma" w:hAnsi="Tahoma"/>
          <w:bCs/>
          <w:smallCaps/>
          <w:sz w:val="26"/>
        </w:rPr>
        <w:br w:type="page"/>
      </w:r>
    </w:p>
    <w:p w:rsidR="00E573F9" w:rsidRPr="00355653" w:rsidRDefault="00E573F9" w:rsidP="00E573F9">
      <w:pPr>
        <w:pStyle w:val="Heading3"/>
        <w:rPr>
          <w:bCs/>
          <w:smallCaps w:val="0"/>
        </w:rPr>
      </w:pPr>
      <w:bookmarkStart w:id="5" w:name="_Toc336420545"/>
      <w:bookmarkStart w:id="6" w:name="_Toc336503163"/>
      <w:r w:rsidRPr="00355653">
        <w:t>Outlook for the domestic economy</w:t>
      </w:r>
      <w:bookmarkEnd w:id="5"/>
      <w:bookmarkEnd w:id="6"/>
    </w:p>
    <w:p w:rsidR="00E573F9" w:rsidRDefault="00E573F9" w:rsidP="00E573F9">
      <w:pPr>
        <w:pStyle w:val="Source"/>
        <w:spacing w:after="0"/>
        <w:rPr>
          <w:rFonts w:cs="Arial"/>
        </w:rPr>
      </w:pPr>
    </w:p>
    <w:p w:rsidR="00E573F9" w:rsidRDefault="00E573F9" w:rsidP="00E573F9">
      <w:pPr>
        <w:pStyle w:val="Source"/>
        <w:spacing w:after="0"/>
        <w:rPr>
          <w:rFonts w:cs="Arial"/>
        </w:rPr>
        <w:sectPr w:rsidR="00E573F9" w:rsidSect="00E573F9">
          <w:headerReference w:type="default" r:id="rId20"/>
          <w:footerReference w:type="even" r:id="rId21"/>
          <w:footerReference w:type="default" r:id="rId22"/>
          <w:pgSz w:w="11907" w:h="16840" w:code="9"/>
          <w:pgMar w:top="1135" w:right="1418" w:bottom="567" w:left="1418" w:header="567" w:footer="567" w:gutter="0"/>
          <w:cols w:space="720"/>
        </w:sectPr>
      </w:pPr>
    </w:p>
    <w:p w:rsidR="00E573F9" w:rsidRPr="00140433" w:rsidRDefault="00E573F9" w:rsidP="00E573F9">
      <w:pPr>
        <w:pStyle w:val="Heading4"/>
        <w:rPr>
          <w:bCs/>
          <w:i/>
          <w:iCs/>
        </w:rPr>
      </w:pPr>
      <w:bookmarkStart w:id="7" w:name="_Toc336420546"/>
      <w:bookmarkStart w:id="8" w:name="_Toc336503164"/>
      <w:bookmarkEnd w:id="3"/>
      <w:bookmarkEnd w:id="4"/>
      <w:r w:rsidRPr="00140433">
        <w:t>Household consumption</w:t>
      </w:r>
      <w:bookmarkEnd w:id="7"/>
      <w:bookmarkEnd w:id="8"/>
    </w:p>
    <w:p w:rsidR="00E573F9" w:rsidRPr="00140433" w:rsidRDefault="00E573F9" w:rsidP="00E573F9">
      <w:pPr>
        <w:autoSpaceDE w:val="0"/>
        <w:autoSpaceDN w:val="0"/>
        <w:rPr>
          <w:szCs w:val="20"/>
        </w:rPr>
      </w:pPr>
      <w:r w:rsidRPr="00140433">
        <w:rPr>
          <w:b/>
          <w:szCs w:val="20"/>
        </w:rPr>
        <w:t>Household consumption</w:t>
      </w:r>
      <w:r w:rsidRPr="00140433">
        <w:rPr>
          <w:szCs w:val="20"/>
        </w:rPr>
        <w:t xml:space="preserve"> </w:t>
      </w:r>
      <w:r w:rsidRPr="00D761BC">
        <w:rPr>
          <w:szCs w:val="20"/>
        </w:rPr>
        <w:t>is forecast to grow 3</w:t>
      </w:r>
      <w:r>
        <w:rPr>
          <w:szCs w:val="20"/>
        </w:rPr>
        <w:t> </w:t>
      </w:r>
      <w:r w:rsidRPr="00D761BC">
        <w:rPr>
          <w:szCs w:val="20"/>
        </w:rPr>
        <w:t>per cent in both 2012</w:t>
      </w:r>
      <w:r w:rsidRPr="00D761BC">
        <w:rPr>
          <w:szCs w:val="20"/>
        </w:rPr>
        <w:noBreakHyphen/>
        <w:t>13 and 2013</w:t>
      </w:r>
      <w:r w:rsidRPr="00D761BC">
        <w:rPr>
          <w:szCs w:val="20"/>
        </w:rPr>
        <w:noBreakHyphen/>
        <w:t xml:space="preserve">14. </w:t>
      </w:r>
      <w:r>
        <w:rPr>
          <w:szCs w:val="20"/>
        </w:rPr>
        <w:t xml:space="preserve">While solid, growth in household consumption is expected to be below-trend, consistent with the outlook for </w:t>
      </w:r>
      <w:r w:rsidRPr="00D761BC">
        <w:rPr>
          <w:szCs w:val="20"/>
        </w:rPr>
        <w:t>employment and wages growth, continued subdued growth in household wealth and the impact of continued global volatility on consumer confidence. Consistent with this, the household saving ratio is expected to remain elevated over the forecast period, as households continue to rely on saving rather than capital gains to strengthen their balance sheets.</w:t>
      </w:r>
    </w:p>
    <w:p w:rsidR="00E573F9" w:rsidRPr="00FB4FDC" w:rsidRDefault="00E573F9" w:rsidP="00E573F9">
      <w:pPr>
        <w:keepNext/>
        <w:autoSpaceDE w:val="0"/>
        <w:autoSpaceDN w:val="0"/>
        <w:spacing w:after="0"/>
        <w:jc w:val="center"/>
        <w:rPr>
          <w:b/>
          <w:szCs w:val="20"/>
        </w:rPr>
      </w:pPr>
      <w:r w:rsidRPr="00E50F05">
        <w:rPr>
          <w:b/>
          <w:szCs w:val="20"/>
        </w:rPr>
        <w:t>Chart 1: Household consumption</w:t>
      </w:r>
    </w:p>
    <w:p w:rsidR="00E573F9" w:rsidRDefault="0080298A" w:rsidP="00E573F9">
      <w:pPr>
        <w:pStyle w:val="ChartGraphic0"/>
        <w:keepNext/>
        <w:autoSpaceDE w:val="0"/>
        <w:autoSpaceDN w:val="0"/>
        <w:spacing w:line="276" w:lineRule="auto"/>
      </w:pPr>
      <w:r>
        <w:object w:dxaOrig="3961" w:dyaOrig="3961">
          <v:shape id="_x0000_i1027" type="#_x0000_t75" style="width:198.35pt;height:198.35pt" o:ole="">
            <v:imagedata r:id="rId23" o:title=""/>
          </v:shape>
          <o:OLEObject Type="Link" ProgID="Excel.Sheet.12" ShapeID="_x0000_i1027" DrawAspect="Content" r:id="rId24" UpdateMode="OnCall">
            <o:LinkType>EnhancedMetaFile</o:LinkType>
            <o:LockedField>false</o:LockedField>
          </o:OLEObject>
        </w:object>
      </w:r>
    </w:p>
    <w:p w:rsidR="00E573F9" w:rsidRDefault="00E573F9" w:rsidP="00E573F9">
      <w:pPr>
        <w:pStyle w:val="Source"/>
        <w:spacing w:after="0"/>
        <w:rPr>
          <w:rFonts w:ascii="Tahoma" w:hAnsi="Tahoma" w:cs="Tahoma"/>
          <w:szCs w:val="16"/>
        </w:rPr>
      </w:pPr>
      <w:r w:rsidRPr="00987838">
        <w:rPr>
          <w:rFonts w:ascii="Tahoma" w:hAnsi="Tahoma" w:cs="Tahoma"/>
          <w:szCs w:val="16"/>
        </w:rPr>
        <w:t xml:space="preserve">Source:  ABS </w:t>
      </w:r>
      <w:r>
        <w:rPr>
          <w:rFonts w:ascii="Tahoma" w:hAnsi="Tahoma" w:cs="Tahoma"/>
          <w:szCs w:val="16"/>
        </w:rPr>
        <w:t>c</w:t>
      </w:r>
      <w:r w:rsidRPr="001B4965">
        <w:rPr>
          <w:rFonts w:ascii="Tahoma" w:hAnsi="Tahoma" w:cs="Tahoma"/>
          <w:szCs w:val="16"/>
        </w:rPr>
        <w:t>at</w:t>
      </w:r>
      <w:r>
        <w:rPr>
          <w:rFonts w:ascii="Tahoma" w:hAnsi="Tahoma" w:cs="Tahoma"/>
          <w:szCs w:val="16"/>
        </w:rPr>
        <w:t>.</w:t>
      </w:r>
      <w:r w:rsidRPr="00987838">
        <w:rPr>
          <w:rFonts w:ascii="Tahoma" w:hAnsi="Tahoma" w:cs="Tahoma"/>
          <w:szCs w:val="16"/>
        </w:rPr>
        <w:t xml:space="preserve"> </w:t>
      </w:r>
      <w:proofErr w:type="gramStart"/>
      <w:r>
        <w:rPr>
          <w:rFonts w:ascii="Tahoma" w:hAnsi="Tahoma" w:cs="Tahoma"/>
          <w:szCs w:val="16"/>
        </w:rPr>
        <w:t>no</w:t>
      </w:r>
      <w:proofErr w:type="gramEnd"/>
      <w:r>
        <w:rPr>
          <w:rFonts w:ascii="Tahoma" w:hAnsi="Tahoma" w:cs="Tahoma"/>
          <w:szCs w:val="16"/>
        </w:rPr>
        <w:t>.</w:t>
      </w:r>
      <w:r w:rsidRPr="00987838">
        <w:rPr>
          <w:rFonts w:ascii="Tahoma" w:hAnsi="Tahoma" w:cs="Tahoma"/>
          <w:szCs w:val="16"/>
        </w:rPr>
        <w:t xml:space="preserve"> 5206.0 and Treasury.</w:t>
      </w:r>
    </w:p>
    <w:p w:rsidR="00E573F9" w:rsidRPr="00FB4FDC" w:rsidRDefault="00E573F9" w:rsidP="00E573F9">
      <w:pPr>
        <w:pStyle w:val="Source"/>
        <w:spacing w:after="0"/>
        <w:rPr>
          <w:rFonts w:ascii="Tahoma" w:hAnsi="Tahoma" w:cs="Tahoma"/>
          <w:szCs w:val="16"/>
        </w:rPr>
      </w:pPr>
    </w:p>
    <w:p w:rsidR="00E573F9" w:rsidRDefault="00E573F9" w:rsidP="00E573F9">
      <w:pPr>
        <w:pStyle w:val="Heading4"/>
        <w:rPr>
          <w:bCs/>
          <w:i/>
          <w:iCs/>
        </w:rPr>
      </w:pPr>
      <w:bookmarkStart w:id="9" w:name="_Toc336420547"/>
      <w:bookmarkStart w:id="10" w:name="_Toc336503165"/>
      <w:r w:rsidRPr="00140433">
        <w:t>Dwelling investment</w:t>
      </w:r>
      <w:bookmarkEnd w:id="9"/>
      <w:bookmarkEnd w:id="10"/>
    </w:p>
    <w:p w:rsidR="00E573F9" w:rsidRDefault="00E573F9" w:rsidP="00E573F9">
      <w:pPr>
        <w:rPr>
          <w:szCs w:val="20"/>
        </w:rPr>
      </w:pPr>
      <w:r w:rsidRPr="00140433">
        <w:rPr>
          <w:b/>
          <w:szCs w:val="20"/>
        </w:rPr>
        <w:t>Dwelling investment</w:t>
      </w:r>
      <w:r w:rsidRPr="00140433">
        <w:rPr>
          <w:szCs w:val="20"/>
        </w:rPr>
        <w:t xml:space="preserve"> </w:t>
      </w:r>
      <w:r w:rsidRPr="00D761BC">
        <w:rPr>
          <w:szCs w:val="20"/>
        </w:rPr>
        <w:t xml:space="preserve">is forecast to be flat in 2012-13, before growing 4 per cent in 2013-14. Dwelling investment declined 3.3 per cent in 2011-12 – the </w:t>
      </w:r>
      <w:r>
        <w:rPr>
          <w:szCs w:val="20"/>
        </w:rPr>
        <w:t>largest annual decline</w:t>
      </w:r>
      <w:r w:rsidRPr="00D761BC">
        <w:rPr>
          <w:szCs w:val="20"/>
        </w:rPr>
        <w:t xml:space="preserve"> since 2000</w:t>
      </w:r>
      <w:r>
        <w:rPr>
          <w:szCs w:val="20"/>
        </w:rPr>
        <w:noBreakHyphen/>
      </w:r>
      <w:r w:rsidRPr="00D761BC">
        <w:rPr>
          <w:szCs w:val="20"/>
        </w:rPr>
        <w:t>01 – on the back of continued weakness in the detached housing market. Conditions across the sector are expected to gradually improve over the remainder of 2012, consistent with the solid growth in dwelling approvals and commencements seen in the June quarter 2012. The recovery is expect</w:t>
      </w:r>
      <w:r>
        <w:rPr>
          <w:szCs w:val="20"/>
        </w:rPr>
        <w:t>ed to gather momentum into 2013-</w:t>
      </w:r>
      <w:r w:rsidRPr="00D761BC">
        <w:rPr>
          <w:szCs w:val="20"/>
        </w:rPr>
        <w:t>14, driven b</w:t>
      </w:r>
      <w:r w:rsidR="003E1175">
        <w:rPr>
          <w:szCs w:val="20"/>
        </w:rPr>
        <w:t>y a pickup in homebuyer demand in line with</w:t>
      </w:r>
      <w:r w:rsidRPr="00D761BC">
        <w:rPr>
          <w:szCs w:val="20"/>
        </w:rPr>
        <w:t xml:space="preserve"> the assumption that interest rates will remain below average across the forecast period.</w:t>
      </w:r>
    </w:p>
    <w:p w:rsidR="00E573F9" w:rsidRDefault="00E573F9" w:rsidP="00E573F9">
      <w:pPr>
        <w:keepNext/>
        <w:autoSpaceDE w:val="0"/>
        <w:autoSpaceDN w:val="0"/>
        <w:spacing w:after="0"/>
        <w:jc w:val="center"/>
        <w:rPr>
          <w:b/>
          <w:szCs w:val="20"/>
        </w:rPr>
      </w:pPr>
      <w:r w:rsidRPr="00E50F05">
        <w:rPr>
          <w:b/>
          <w:szCs w:val="20"/>
        </w:rPr>
        <w:t xml:space="preserve">Chart </w:t>
      </w:r>
      <w:r>
        <w:rPr>
          <w:b/>
          <w:szCs w:val="20"/>
        </w:rPr>
        <w:t>2</w:t>
      </w:r>
      <w:r w:rsidRPr="00E50F05">
        <w:rPr>
          <w:b/>
          <w:szCs w:val="20"/>
        </w:rPr>
        <w:t xml:space="preserve">: </w:t>
      </w:r>
      <w:r>
        <w:rPr>
          <w:b/>
          <w:szCs w:val="20"/>
        </w:rPr>
        <w:t>Dwelling investment</w:t>
      </w:r>
    </w:p>
    <w:p w:rsidR="00E573F9" w:rsidRPr="0021594E" w:rsidRDefault="00E573F9" w:rsidP="00E573F9">
      <w:pPr>
        <w:pStyle w:val="ChartGraphic0"/>
      </w:pPr>
      <w:r>
        <w:object w:dxaOrig="3961" w:dyaOrig="3961">
          <v:shape id="_x0000_i1028" type="#_x0000_t75" style="width:198.35pt;height:198.35pt" o:ole="">
            <v:imagedata r:id="rId25" o:title=""/>
          </v:shape>
          <o:OLEObject Type="Link" ProgID="Excel.Sheet.12" ShapeID="_x0000_i1028" DrawAspect="Content" r:id="rId26" UpdateMode="OnCall">
            <o:LinkType>EnhancedMetaFile</o:LinkType>
            <o:LockedField>false</o:LockedField>
          </o:OLEObject>
        </w:object>
      </w:r>
    </w:p>
    <w:p w:rsidR="00E573F9" w:rsidRDefault="00E573F9" w:rsidP="00E573F9">
      <w:pPr>
        <w:pStyle w:val="Source"/>
        <w:spacing w:after="0"/>
        <w:rPr>
          <w:rFonts w:ascii="Tahoma" w:hAnsi="Tahoma" w:cs="Tahoma"/>
          <w:szCs w:val="16"/>
        </w:rPr>
      </w:pPr>
      <w:bookmarkStart w:id="11" w:name="_Toc187553173"/>
      <w:r w:rsidRPr="00987838">
        <w:rPr>
          <w:rFonts w:ascii="Tahoma" w:hAnsi="Tahoma" w:cs="Tahoma"/>
          <w:szCs w:val="16"/>
        </w:rPr>
        <w:t xml:space="preserve">Source:  ABS </w:t>
      </w:r>
      <w:r>
        <w:rPr>
          <w:rFonts w:ascii="Tahoma" w:hAnsi="Tahoma" w:cs="Tahoma"/>
          <w:szCs w:val="16"/>
        </w:rPr>
        <w:t>c</w:t>
      </w:r>
      <w:r w:rsidRPr="001B4965">
        <w:rPr>
          <w:rFonts w:ascii="Tahoma" w:hAnsi="Tahoma" w:cs="Tahoma"/>
          <w:szCs w:val="16"/>
        </w:rPr>
        <w:t>at</w:t>
      </w:r>
      <w:r>
        <w:rPr>
          <w:rFonts w:ascii="Tahoma" w:hAnsi="Tahoma" w:cs="Tahoma"/>
          <w:szCs w:val="16"/>
        </w:rPr>
        <w:t>.</w:t>
      </w:r>
      <w:r w:rsidRPr="00987838">
        <w:rPr>
          <w:rFonts w:ascii="Tahoma" w:hAnsi="Tahoma" w:cs="Tahoma"/>
          <w:szCs w:val="16"/>
        </w:rPr>
        <w:t xml:space="preserve"> </w:t>
      </w:r>
      <w:proofErr w:type="gramStart"/>
      <w:r>
        <w:rPr>
          <w:rFonts w:ascii="Tahoma" w:hAnsi="Tahoma" w:cs="Tahoma"/>
          <w:szCs w:val="16"/>
        </w:rPr>
        <w:t>no</w:t>
      </w:r>
      <w:proofErr w:type="gramEnd"/>
      <w:r>
        <w:rPr>
          <w:rFonts w:ascii="Tahoma" w:hAnsi="Tahoma" w:cs="Tahoma"/>
          <w:szCs w:val="16"/>
        </w:rPr>
        <w:t>.</w:t>
      </w:r>
      <w:r w:rsidRPr="00987838">
        <w:rPr>
          <w:rFonts w:ascii="Tahoma" w:hAnsi="Tahoma" w:cs="Tahoma"/>
          <w:szCs w:val="16"/>
        </w:rPr>
        <w:t xml:space="preserve"> 5206.0 and Treasury.</w:t>
      </w:r>
    </w:p>
    <w:p w:rsidR="00E573F9" w:rsidRDefault="00E573F9" w:rsidP="00E573F9">
      <w:pPr>
        <w:pStyle w:val="Source"/>
        <w:spacing w:after="0"/>
        <w:rPr>
          <w:rFonts w:ascii="Tahoma" w:hAnsi="Tahoma" w:cs="Tahoma"/>
          <w:szCs w:val="16"/>
        </w:rPr>
      </w:pPr>
    </w:p>
    <w:p w:rsidR="00E573F9" w:rsidRPr="00140433" w:rsidRDefault="00E573F9" w:rsidP="00E573F9">
      <w:pPr>
        <w:pStyle w:val="Heading4"/>
        <w:rPr>
          <w:bCs/>
          <w:i/>
          <w:iCs/>
        </w:rPr>
      </w:pPr>
      <w:bookmarkStart w:id="12" w:name="_Toc336420548"/>
      <w:bookmarkStart w:id="13" w:name="_Toc336503166"/>
      <w:r w:rsidRPr="00140433">
        <w:t>Business investment</w:t>
      </w:r>
      <w:bookmarkEnd w:id="11"/>
      <w:bookmarkEnd w:id="12"/>
      <w:bookmarkEnd w:id="13"/>
    </w:p>
    <w:p w:rsidR="00E573F9" w:rsidRDefault="00E573F9" w:rsidP="00E573F9">
      <w:pPr>
        <w:rPr>
          <w:b/>
          <w:bCs/>
          <w:szCs w:val="20"/>
        </w:rPr>
      </w:pPr>
      <w:r w:rsidRPr="00140433">
        <w:rPr>
          <w:b/>
          <w:bCs/>
          <w:szCs w:val="20"/>
        </w:rPr>
        <w:t>New business investment</w:t>
      </w:r>
      <w:r w:rsidRPr="00140433">
        <w:rPr>
          <w:bCs/>
          <w:szCs w:val="20"/>
        </w:rPr>
        <w:t xml:space="preserve"> is expected to grow 1</w:t>
      </w:r>
      <w:r w:rsidR="00241D24">
        <w:rPr>
          <w:bCs/>
          <w:szCs w:val="20"/>
        </w:rPr>
        <w:t>1</w:t>
      </w:r>
      <w:r w:rsidRPr="00140433">
        <w:rPr>
          <w:bCs/>
          <w:szCs w:val="20"/>
        </w:rPr>
        <w:t xml:space="preserve"> per cent in 2012</w:t>
      </w:r>
      <w:r w:rsidRPr="00140433">
        <w:rPr>
          <w:bCs/>
          <w:szCs w:val="20"/>
        </w:rPr>
        <w:noBreakHyphen/>
        <w:t>13 and 6½ per cent in 2013</w:t>
      </w:r>
      <w:r w:rsidRPr="00140433">
        <w:rPr>
          <w:bCs/>
          <w:szCs w:val="20"/>
        </w:rPr>
        <w:noBreakHyphen/>
        <w:t>14, reflecting strong forecast growth in resources investment but a weak outlook for investment in other sectors of the economy.</w:t>
      </w:r>
      <w:r w:rsidRPr="00140433">
        <w:rPr>
          <w:b/>
          <w:bCs/>
          <w:szCs w:val="20"/>
        </w:rPr>
        <w:t xml:space="preserve"> </w:t>
      </w:r>
    </w:p>
    <w:p w:rsidR="00E573F9" w:rsidRPr="0021594E" w:rsidRDefault="00E573F9" w:rsidP="00E573F9">
      <w:pPr>
        <w:keepNext/>
        <w:autoSpaceDE w:val="0"/>
        <w:autoSpaceDN w:val="0"/>
        <w:spacing w:after="0"/>
        <w:jc w:val="center"/>
        <w:rPr>
          <w:b/>
          <w:szCs w:val="20"/>
        </w:rPr>
      </w:pPr>
      <w:r w:rsidRPr="00E50F05">
        <w:rPr>
          <w:b/>
          <w:szCs w:val="20"/>
        </w:rPr>
        <w:t xml:space="preserve">Chart </w:t>
      </w:r>
      <w:r>
        <w:rPr>
          <w:b/>
          <w:szCs w:val="20"/>
        </w:rPr>
        <w:t>3</w:t>
      </w:r>
      <w:r w:rsidRPr="00E50F05">
        <w:rPr>
          <w:b/>
          <w:szCs w:val="20"/>
        </w:rPr>
        <w:t xml:space="preserve">: </w:t>
      </w:r>
      <w:r w:rsidRPr="00C02A89">
        <w:rPr>
          <w:b/>
        </w:rPr>
        <w:t xml:space="preserve">Mining and non-mining </w:t>
      </w:r>
      <w:r>
        <w:rPr>
          <w:b/>
        </w:rPr>
        <w:t>CAPEX</w:t>
      </w:r>
    </w:p>
    <w:p w:rsidR="00E573F9" w:rsidRDefault="00A20290" w:rsidP="00E573F9">
      <w:pPr>
        <w:pStyle w:val="ChartGraphic0"/>
      </w:pPr>
      <w:r>
        <w:object w:dxaOrig="3945" w:dyaOrig="4035">
          <v:shape id="_x0000_i1029" type="#_x0000_t75" style="width:197pt;height:201.75pt" o:ole="">
            <v:imagedata r:id="rId27" o:title=""/>
          </v:shape>
          <o:OLEObject Type="Link" ProgID="Excel.Sheet.12" ShapeID="_x0000_i1029" DrawAspect="Content" r:id="rId28" UpdateMode="OnCall">
            <o:LinkType>EnhancedMetaFile</o:LinkType>
            <o:LockedField>false</o:LockedField>
          </o:OLEObject>
        </w:object>
      </w:r>
    </w:p>
    <w:p w:rsidR="00E573F9" w:rsidRPr="00A73D0C" w:rsidRDefault="00E573F9" w:rsidP="00124CAF">
      <w:pPr>
        <w:pStyle w:val="ChartGraphic0"/>
        <w:spacing w:after="120"/>
        <w:jc w:val="left"/>
        <w:rPr>
          <w:rFonts w:ascii="Tahoma" w:eastAsia="Times New Roman" w:hAnsi="Tahoma" w:cs="Tahoma"/>
          <w:color w:val="auto"/>
          <w:sz w:val="16"/>
          <w:szCs w:val="16"/>
        </w:rPr>
      </w:pPr>
      <w:r w:rsidRPr="00A73D0C">
        <w:rPr>
          <w:rFonts w:ascii="Tahoma" w:eastAsia="Times New Roman" w:hAnsi="Tahoma" w:cs="Tahoma"/>
          <w:color w:val="auto"/>
          <w:sz w:val="16"/>
          <w:szCs w:val="16"/>
        </w:rPr>
        <w:t xml:space="preserve">Source:  ABS cat. </w:t>
      </w:r>
      <w:proofErr w:type="gramStart"/>
      <w:r w:rsidRPr="00A73D0C">
        <w:rPr>
          <w:rFonts w:ascii="Tahoma" w:eastAsia="Times New Roman" w:hAnsi="Tahoma" w:cs="Tahoma"/>
          <w:color w:val="auto"/>
          <w:sz w:val="16"/>
          <w:szCs w:val="16"/>
        </w:rPr>
        <w:t>no</w:t>
      </w:r>
      <w:proofErr w:type="gramEnd"/>
      <w:r w:rsidRPr="00A73D0C">
        <w:rPr>
          <w:rFonts w:ascii="Tahoma" w:eastAsia="Times New Roman" w:hAnsi="Tahoma" w:cs="Tahoma"/>
          <w:color w:val="auto"/>
          <w:sz w:val="16"/>
          <w:szCs w:val="16"/>
        </w:rPr>
        <w:t>. 5625.0, 5206.0 and Treasury.</w:t>
      </w:r>
    </w:p>
    <w:p w:rsidR="00E573F9" w:rsidRDefault="00E573F9" w:rsidP="00E573F9">
      <w:pPr>
        <w:rPr>
          <w:szCs w:val="20"/>
        </w:rPr>
      </w:pPr>
      <w:r w:rsidRPr="00140433">
        <w:rPr>
          <w:b/>
          <w:szCs w:val="20"/>
        </w:rPr>
        <w:t>New engineering construction</w:t>
      </w:r>
      <w:r w:rsidRPr="00140433">
        <w:rPr>
          <w:szCs w:val="20"/>
        </w:rPr>
        <w:t xml:space="preserve"> </w:t>
      </w:r>
      <w:r w:rsidRPr="00D761BC">
        <w:rPr>
          <w:szCs w:val="20"/>
        </w:rPr>
        <w:t>is expected to grow 19 per cent in</w:t>
      </w:r>
      <w:r>
        <w:rPr>
          <w:szCs w:val="20"/>
        </w:rPr>
        <w:t xml:space="preserve"> 2012-13 and 7 per cent in 2013</w:t>
      </w:r>
      <w:r>
        <w:rPr>
          <w:szCs w:val="20"/>
        </w:rPr>
        <w:noBreakHyphen/>
      </w:r>
      <w:r w:rsidRPr="00D761BC">
        <w:rPr>
          <w:szCs w:val="20"/>
        </w:rPr>
        <w:t xml:space="preserve">14, underpinned by liquefied natural gas and iron ore projects. The resources sector is also expected to drive higher levels of investment in </w:t>
      </w:r>
      <w:r w:rsidRPr="00D761BC">
        <w:rPr>
          <w:b/>
          <w:szCs w:val="20"/>
        </w:rPr>
        <w:t>new machinery and equipment</w:t>
      </w:r>
      <w:r w:rsidRPr="00D761BC">
        <w:rPr>
          <w:szCs w:val="20"/>
        </w:rPr>
        <w:t xml:space="preserve">, with growth forecast to be </w:t>
      </w:r>
      <w:r w:rsidR="001B0CCF">
        <w:rPr>
          <w:szCs w:val="20"/>
        </w:rPr>
        <w:t>9</w:t>
      </w:r>
      <w:r w:rsidRPr="00D761BC">
        <w:rPr>
          <w:szCs w:val="20"/>
        </w:rPr>
        <w:t xml:space="preserve"> per cent in 2012</w:t>
      </w:r>
      <w:r>
        <w:rPr>
          <w:szCs w:val="20"/>
        </w:rPr>
        <w:noBreakHyphen/>
      </w:r>
      <w:r w:rsidRPr="00D761BC">
        <w:rPr>
          <w:szCs w:val="20"/>
        </w:rPr>
        <w:t>13 and 7</w:t>
      </w:r>
      <w:r w:rsidR="001B0CCF">
        <w:rPr>
          <w:szCs w:val="20"/>
        </w:rPr>
        <w:t xml:space="preserve">½ </w:t>
      </w:r>
      <w:r w:rsidRPr="00D761BC">
        <w:rPr>
          <w:szCs w:val="20"/>
        </w:rPr>
        <w:t>per cent in 2013</w:t>
      </w:r>
      <w:r>
        <w:rPr>
          <w:szCs w:val="20"/>
        </w:rPr>
        <w:noBreakHyphen/>
      </w:r>
      <w:r w:rsidRPr="00D761BC">
        <w:rPr>
          <w:szCs w:val="20"/>
        </w:rPr>
        <w:t>14. Weakness in the retail sector and the expectation of below</w:t>
      </w:r>
      <w:r>
        <w:rPr>
          <w:szCs w:val="20"/>
        </w:rPr>
        <w:noBreakHyphen/>
      </w:r>
      <w:r w:rsidRPr="00D761BC">
        <w:rPr>
          <w:szCs w:val="20"/>
        </w:rPr>
        <w:t xml:space="preserve">trend employment growth </w:t>
      </w:r>
      <w:r>
        <w:rPr>
          <w:szCs w:val="20"/>
        </w:rPr>
        <w:t xml:space="preserve">and therefore subdued demand for new office space </w:t>
      </w:r>
      <w:r w:rsidRPr="00D761BC">
        <w:rPr>
          <w:szCs w:val="20"/>
        </w:rPr>
        <w:t xml:space="preserve">is expected to be reflected in weak growth in new </w:t>
      </w:r>
      <w:r w:rsidRPr="00D761BC">
        <w:rPr>
          <w:b/>
          <w:szCs w:val="20"/>
        </w:rPr>
        <w:t>non</w:t>
      </w:r>
      <w:r>
        <w:rPr>
          <w:b/>
          <w:szCs w:val="20"/>
        </w:rPr>
        <w:noBreakHyphen/>
      </w:r>
      <w:r w:rsidRPr="00D761BC">
        <w:rPr>
          <w:b/>
          <w:szCs w:val="20"/>
        </w:rPr>
        <w:t>residential building</w:t>
      </w:r>
      <w:r w:rsidRPr="00D761BC">
        <w:rPr>
          <w:szCs w:val="20"/>
        </w:rPr>
        <w:t xml:space="preserve"> activity, with growth</w:t>
      </w:r>
      <w:r>
        <w:rPr>
          <w:szCs w:val="20"/>
        </w:rPr>
        <w:t xml:space="preserve"> </w:t>
      </w:r>
      <w:r w:rsidRPr="00D761BC">
        <w:rPr>
          <w:szCs w:val="20"/>
        </w:rPr>
        <w:t>forecast of just 1 per cent in 2012</w:t>
      </w:r>
      <w:r>
        <w:rPr>
          <w:szCs w:val="20"/>
        </w:rPr>
        <w:noBreakHyphen/>
      </w:r>
      <w:r w:rsidRPr="00D761BC">
        <w:rPr>
          <w:szCs w:val="20"/>
        </w:rPr>
        <w:t>13</w:t>
      </w:r>
      <w:r>
        <w:rPr>
          <w:szCs w:val="20"/>
        </w:rPr>
        <w:t xml:space="preserve"> and 1½ per cent in</w:t>
      </w:r>
      <w:r w:rsidRPr="00D761BC">
        <w:rPr>
          <w:szCs w:val="20"/>
        </w:rPr>
        <w:t xml:space="preserve"> 2013</w:t>
      </w:r>
      <w:r>
        <w:rPr>
          <w:szCs w:val="20"/>
        </w:rPr>
        <w:noBreakHyphen/>
      </w:r>
      <w:r w:rsidRPr="00D761BC">
        <w:rPr>
          <w:szCs w:val="20"/>
        </w:rPr>
        <w:t>14.</w:t>
      </w:r>
    </w:p>
    <w:p w:rsidR="00E573F9" w:rsidRDefault="00E573F9" w:rsidP="00E573F9">
      <w:pPr>
        <w:pStyle w:val="Heading4"/>
        <w:rPr>
          <w:bCs/>
          <w:i/>
          <w:iCs/>
        </w:rPr>
      </w:pPr>
      <w:bookmarkStart w:id="14" w:name="_Toc336420549"/>
      <w:bookmarkStart w:id="15" w:name="_Toc336503167"/>
      <w:r>
        <w:t>Public final demand</w:t>
      </w:r>
      <w:bookmarkEnd w:id="14"/>
      <w:bookmarkEnd w:id="15"/>
    </w:p>
    <w:p w:rsidR="00E573F9" w:rsidRDefault="00E573F9" w:rsidP="00E573F9">
      <w:pPr>
        <w:rPr>
          <w:szCs w:val="20"/>
        </w:rPr>
      </w:pPr>
      <w:r w:rsidRPr="009B1A16">
        <w:rPr>
          <w:b/>
          <w:szCs w:val="20"/>
        </w:rPr>
        <w:t>Public final demand</w:t>
      </w:r>
      <w:r w:rsidRPr="009B1A16">
        <w:rPr>
          <w:szCs w:val="20"/>
        </w:rPr>
        <w:t xml:space="preserve"> is forecast to fall ½</w:t>
      </w:r>
      <w:r>
        <w:rPr>
          <w:szCs w:val="20"/>
        </w:rPr>
        <w:t> </w:t>
      </w:r>
      <w:r w:rsidRPr="009B1A16">
        <w:rPr>
          <w:szCs w:val="20"/>
        </w:rPr>
        <w:t>of</w:t>
      </w:r>
      <w:r>
        <w:rPr>
          <w:szCs w:val="20"/>
        </w:rPr>
        <w:t> </w:t>
      </w:r>
      <w:r w:rsidRPr="009B1A16">
        <w:rPr>
          <w:szCs w:val="20"/>
        </w:rPr>
        <w:t>a</w:t>
      </w:r>
      <w:r>
        <w:rPr>
          <w:szCs w:val="20"/>
        </w:rPr>
        <w:t> </w:t>
      </w:r>
      <w:r w:rsidRPr="009B1A16">
        <w:rPr>
          <w:szCs w:val="20"/>
        </w:rPr>
        <w:t>per cent in 2012-13 and ¼ of a per cent in 2013</w:t>
      </w:r>
      <w:r>
        <w:rPr>
          <w:szCs w:val="20"/>
        </w:rPr>
        <w:noBreakHyphen/>
      </w:r>
      <w:r w:rsidRPr="009B1A16">
        <w:rPr>
          <w:szCs w:val="20"/>
        </w:rPr>
        <w:t xml:space="preserve">14, consistent with the planned fiscal consolidations of the Commonwealth and State governments.  Compared with Budget, the forecast </w:t>
      </w:r>
      <w:r>
        <w:rPr>
          <w:szCs w:val="20"/>
        </w:rPr>
        <w:t xml:space="preserve">decline in </w:t>
      </w:r>
      <w:r w:rsidRPr="009B1A16">
        <w:rPr>
          <w:szCs w:val="20"/>
        </w:rPr>
        <w:t xml:space="preserve">public final demand </w:t>
      </w:r>
      <w:r>
        <w:rPr>
          <w:szCs w:val="20"/>
        </w:rPr>
        <w:t>has increased</w:t>
      </w:r>
      <w:r w:rsidRPr="009B1A16">
        <w:rPr>
          <w:szCs w:val="20"/>
        </w:rPr>
        <w:t>, reflecting reductions in spending by the Commonwealth and State Governments.</w:t>
      </w:r>
    </w:p>
    <w:p w:rsidR="00E573F9" w:rsidRDefault="00E573F9" w:rsidP="00E573F9">
      <w:pPr>
        <w:pStyle w:val="Heading4"/>
        <w:rPr>
          <w:bCs/>
          <w:i/>
          <w:iCs/>
        </w:rPr>
      </w:pPr>
      <w:bookmarkStart w:id="16" w:name="_Toc336420550"/>
      <w:bookmarkStart w:id="17" w:name="_Toc336503168"/>
      <w:r w:rsidRPr="00170BD5">
        <w:t>Exports, imports and the current account deficit</w:t>
      </w:r>
      <w:bookmarkEnd w:id="16"/>
      <w:bookmarkEnd w:id="17"/>
    </w:p>
    <w:p w:rsidR="00E573F9" w:rsidRDefault="00E573F9" w:rsidP="00E573F9">
      <w:pPr>
        <w:rPr>
          <w:szCs w:val="20"/>
        </w:rPr>
      </w:pPr>
      <w:r w:rsidRPr="00170BD5">
        <w:rPr>
          <w:b/>
          <w:szCs w:val="20"/>
        </w:rPr>
        <w:t>Export</w:t>
      </w:r>
      <w:r w:rsidRPr="00170BD5">
        <w:rPr>
          <w:szCs w:val="20"/>
        </w:rPr>
        <w:t xml:space="preserve"> </w:t>
      </w:r>
      <w:r w:rsidRPr="00D761BC">
        <w:rPr>
          <w:szCs w:val="20"/>
        </w:rPr>
        <w:t xml:space="preserve">growth forecasts are </w:t>
      </w:r>
      <w:r>
        <w:rPr>
          <w:szCs w:val="20"/>
        </w:rPr>
        <w:t>slightly weaker than the June update and B</w:t>
      </w:r>
      <w:r w:rsidRPr="00D761BC">
        <w:rPr>
          <w:szCs w:val="20"/>
        </w:rPr>
        <w:t xml:space="preserve">udget, with growth </w:t>
      </w:r>
      <w:r>
        <w:rPr>
          <w:szCs w:val="20"/>
        </w:rPr>
        <w:t>of 4½ per cent expected in 2012-13 and 4 </w:t>
      </w:r>
      <w:r w:rsidRPr="00D761BC">
        <w:rPr>
          <w:szCs w:val="20"/>
        </w:rPr>
        <w:t>per</w:t>
      </w:r>
      <w:r>
        <w:rPr>
          <w:szCs w:val="20"/>
        </w:rPr>
        <w:t> cent in 2013-</w:t>
      </w:r>
      <w:r w:rsidRPr="00D761BC">
        <w:rPr>
          <w:szCs w:val="20"/>
        </w:rPr>
        <w:t>14. While the growth outlook remains strong, weaker-than</w:t>
      </w:r>
      <w:r>
        <w:rPr>
          <w:szCs w:val="20"/>
        </w:rPr>
        <w:t>-</w:t>
      </w:r>
      <w:r w:rsidRPr="00D761BC">
        <w:rPr>
          <w:szCs w:val="20"/>
        </w:rPr>
        <w:t>expected outcomes in 2011-12, coupled with recent coal</w:t>
      </w:r>
      <w:r>
        <w:rPr>
          <w:szCs w:val="20"/>
        </w:rPr>
        <w:t xml:space="preserve"> </w:t>
      </w:r>
      <w:r w:rsidRPr="00D761BC">
        <w:rPr>
          <w:szCs w:val="20"/>
        </w:rPr>
        <w:t>mine closures and announcements to not proceed with planned expansion</w:t>
      </w:r>
      <w:r>
        <w:rPr>
          <w:szCs w:val="20"/>
        </w:rPr>
        <w:t>s</w:t>
      </w:r>
      <w:r w:rsidRPr="00D761BC">
        <w:rPr>
          <w:szCs w:val="20"/>
        </w:rPr>
        <w:t xml:space="preserve">, mean that the volume of non-rural commodities exports is lower over the forecast period than </w:t>
      </w:r>
      <w:r>
        <w:rPr>
          <w:szCs w:val="20"/>
        </w:rPr>
        <w:t xml:space="preserve">previously </w:t>
      </w:r>
      <w:r w:rsidRPr="00D761BC">
        <w:rPr>
          <w:szCs w:val="20"/>
        </w:rPr>
        <w:t>anticipated. Services</w:t>
      </w:r>
      <w:r>
        <w:rPr>
          <w:szCs w:val="20"/>
        </w:rPr>
        <w:t xml:space="preserve"> exports are expected to remain flat and</w:t>
      </w:r>
      <w:r w:rsidRPr="00D761BC">
        <w:rPr>
          <w:szCs w:val="20"/>
        </w:rPr>
        <w:t xml:space="preserve"> manufactured exports are </w:t>
      </w:r>
      <w:r>
        <w:rPr>
          <w:szCs w:val="20"/>
        </w:rPr>
        <w:t>forecast</w:t>
      </w:r>
      <w:r w:rsidRPr="00D761BC">
        <w:rPr>
          <w:szCs w:val="20"/>
        </w:rPr>
        <w:t xml:space="preserve"> to rise only modestly over the next two years, reflecting the high Australian dollar and forecasts for continued weak external demand. Farm production and rural exports surged to record levels in 2011</w:t>
      </w:r>
      <w:r>
        <w:rPr>
          <w:szCs w:val="20"/>
        </w:rPr>
        <w:noBreakHyphen/>
      </w:r>
      <w:r w:rsidRPr="00D761BC">
        <w:rPr>
          <w:szCs w:val="20"/>
        </w:rPr>
        <w:t>12, reflecting favoura</w:t>
      </w:r>
      <w:r>
        <w:rPr>
          <w:szCs w:val="20"/>
        </w:rPr>
        <w:t>ble weather conditions. In 2012-</w:t>
      </w:r>
      <w:r w:rsidRPr="00D761BC">
        <w:rPr>
          <w:szCs w:val="20"/>
        </w:rPr>
        <w:t>13, rural output and exports are expected to decline moderately, in line with an assumed return to average weather conditions.</w:t>
      </w:r>
    </w:p>
    <w:p w:rsidR="00E573F9" w:rsidRPr="00486FBD" w:rsidRDefault="00E573F9" w:rsidP="00C622D3">
      <w:pPr>
        <w:keepNext/>
        <w:spacing w:after="0"/>
        <w:jc w:val="center"/>
        <w:rPr>
          <w:b/>
        </w:rPr>
      </w:pPr>
      <w:r w:rsidRPr="00486FBD">
        <w:rPr>
          <w:b/>
        </w:rPr>
        <w:t xml:space="preserve">Chart </w:t>
      </w:r>
      <w:r>
        <w:rPr>
          <w:b/>
        </w:rPr>
        <w:t>4</w:t>
      </w:r>
      <w:r w:rsidRPr="00486FBD">
        <w:rPr>
          <w:b/>
        </w:rPr>
        <w:t xml:space="preserve">: </w:t>
      </w:r>
      <w:r>
        <w:rPr>
          <w:b/>
        </w:rPr>
        <w:t>Export volumes</w:t>
      </w:r>
    </w:p>
    <w:p w:rsidR="00E573F9" w:rsidRDefault="00A20290" w:rsidP="00C622D3">
      <w:pPr>
        <w:pStyle w:val="ChartGraphic0"/>
        <w:keepNext/>
      </w:pPr>
      <w:r>
        <w:object w:dxaOrig="3961" w:dyaOrig="3961">
          <v:shape id="_x0000_i1030" type="#_x0000_t75" style="width:198.35pt;height:198.35pt" o:ole="">
            <v:imagedata r:id="rId29" o:title=""/>
          </v:shape>
          <o:OLEObject Type="Link" ProgID="Excel.Sheet.12" ShapeID="_x0000_i1030" DrawAspect="Content" r:id="rId30" UpdateMode="OnCall">
            <o:LinkType>EnhancedMetaFile</o:LinkType>
            <o:LockedField>false</o:LockedField>
          </o:OLEObject>
        </w:object>
      </w:r>
    </w:p>
    <w:p w:rsidR="00E573F9" w:rsidRPr="00E17293" w:rsidRDefault="00E573F9" w:rsidP="00C622D3">
      <w:pPr>
        <w:keepNext/>
        <w:spacing w:after="120"/>
        <w:rPr>
          <w:rFonts w:ascii="Tahoma" w:eastAsia="Times New Roman" w:hAnsi="Tahoma" w:cs="Tahoma"/>
          <w:sz w:val="16"/>
          <w:szCs w:val="16"/>
        </w:rPr>
      </w:pPr>
      <w:r>
        <w:rPr>
          <w:rFonts w:ascii="Tahoma" w:eastAsia="Times New Roman" w:hAnsi="Tahoma" w:cs="Tahoma"/>
          <w:sz w:val="16"/>
          <w:szCs w:val="16"/>
        </w:rPr>
        <w:t xml:space="preserve">Source:  ABS cat. </w:t>
      </w:r>
      <w:proofErr w:type="gramStart"/>
      <w:r>
        <w:rPr>
          <w:rFonts w:ascii="Tahoma" w:eastAsia="Times New Roman" w:hAnsi="Tahoma" w:cs="Tahoma"/>
          <w:sz w:val="16"/>
          <w:szCs w:val="16"/>
        </w:rPr>
        <w:t>no</w:t>
      </w:r>
      <w:proofErr w:type="gramEnd"/>
      <w:r>
        <w:rPr>
          <w:rFonts w:ascii="Tahoma" w:eastAsia="Times New Roman" w:hAnsi="Tahoma" w:cs="Tahoma"/>
          <w:sz w:val="16"/>
          <w:szCs w:val="16"/>
        </w:rPr>
        <w:t>. 5302.0</w:t>
      </w:r>
      <w:r w:rsidRPr="00E17293">
        <w:rPr>
          <w:rFonts w:ascii="Tahoma" w:eastAsia="Times New Roman" w:hAnsi="Tahoma" w:cs="Tahoma"/>
          <w:sz w:val="16"/>
          <w:szCs w:val="16"/>
        </w:rPr>
        <w:t xml:space="preserve"> and Treasury.</w:t>
      </w:r>
    </w:p>
    <w:p w:rsidR="00E573F9" w:rsidRDefault="00E573F9" w:rsidP="00E573F9">
      <w:pPr>
        <w:rPr>
          <w:szCs w:val="20"/>
        </w:rPr>
      </w:pPr>
      <w:r w:rsidRPr="00170BD5">
        <w:rPr>
          <w:b/>
          <w:szCs w:val="20"/>
        </w:rPr>
        <w:t>Import</w:t>
      </w:r>
      <w:r w:rsidRPr="00170BD5">
        <w:rPr>
          <w:szCs w:val="20"/>
        </w:rPr>
        <w:t xml:space="preserve"> </w:t>
      </w:r>
      <w:r w:rsidRPr="00D761BC">
        <w:rPr>
          <w:szCs w:val="20"/>
        </w:rPr>
        <w:t xml:space="preserve">growth forecasts have been downgraded slightly </w:t>
      </w:r>
      <w:r>
        <w:rPr>
          <w:szCs w:val="20"/>
        </w:rPr>
        <w:t>over the forecast period</w:t>
      </w:r>
      <w:r w:rsidRPr="00D761BC">
        <w:rPr>
          <w:szCs w:val="20"/>
        </w:rPr>
        <w:t>, consistent with lower forecast growth in business investment. Import volumes are forecast to grow 7 per cent in 2012</w:t>
      </w:r>
      <w:r>
        <w:rPr>
          <w:szCs w:val="20"/>
        </w:rPr>
        <w:t>-</w:t>
      </w:r>
      <w:r w:rsidRPr="00D761BC">
        <w:rPr>
          <w:szCs w:val="20"/>
        </w:rPr>
        <w:t>13 and 5</w:t>
      </w:r>
      <w:r>
        <w:rPr>
          <w:szCs w:val="20"/>
        </w:rPr>
        <w:t> </w:t>
      </w:r>
      <w:r w:rsidRPr="00D761BC">
        <w:rPr>
          <w:szCs w:val="20"/>
        </w:rPr>
        <w:t>per</w:t>
      </w:r>
      <w:r>
        <w:rPr>
          <w:szCs w:val="20"/>
        </w:rPr>
        <w:t> </w:t>
      </w:r>
      <w:r w:rsidRPr="00D761BC">
        <w:rPr>
          <w:szCs w:val="20"/>
        </w:rPr>
        <w:t>cent in 2013</w:t>
      </w:r>
      <w:r>
        <w:rPr>
          <w:szCs w:val="20"/>
        </w:rPr>
        <w:t>-</w:t>
      </w:r>
      <w:r w:rsidRPr="00D761BC">
        <w:rPr>
          <w:szCs w:val="20"/>
        </w:rPr>
        <w:t>14. Net exports are expected to detract ¾ of a percentage point from real GDP growth in 2012</w:t>
      </w:r>
      <w:r>
        <w:rPr>
          <w:szCs w:val="20"/>
        </w:rPr>
        <w:t>-</w:t>
      </w:r>
      <w:r w:rsidRPr="00D761BC">
        <w:rPr>
          <w:szCs w:val="20"/>
        </w:rPr>
        <w:t>13 and ¼ of a percentage point in 2013-14.</w:t>
      </w:r>
    </w:p>
    <w:p w:rsidR="00E573F9" w:rsidRDefault="00E573F9" w:rsidP="00E573F9">
      <w:pPr>
        <w:rPr>
          <w:szCs w:val="20"/>
        </w:rPr>
      </w:pPr>
      <w:r w:rsidRPr="00170BD5">
        <w:rPr>
          <w:szCs w:val="20"/>
        </w:rPr>
        <w:t xml:space="preserve">The </w:t>
      </w:r>
      <w:r w:rsidRPr="00170BD5">
        <w:rPr>
          <w:b/>
          <w:szCs w:val="20"/>
        </w:rPr>
        <w:t>terms of trade</w:t>
      </w:r>
      <w:r w:rsidRPr="00170BD5">
        <w:rPr>
          <w:szCs w:val="20"/>
        </w:rPr>
        <w:t xml:space="preserve"> </w:t>
      </w:r>
      <w:r w:rsidRPr="00D761BC">
        <w:rPr>
          <w:szCs w:val="20"/>
        </w:rPr>
        <w:t xml:space="preserve">have declined more sharply than was </w:t>
      </w:r>
      <w:r>
        <w:rPr>
          <w:szCs w:val="20"/>
        </w:rPr>
        <w:t xml:space="preserve">previously </w:t>
      </w:r>
      <w:r w:rsidRPr="00D761BC">
        <w:rPr>
          <w:szCs w:val="20"/>
        </w:rPr>
        <w:t>anticipated. Following growth of 90 per cent over the past decade, the terms of trade</w:t>
      </w:r>
      <w:r>
        <w:rPr>
          <w:szCs w:val="20"/>
        </w:rPr>
        <w:t xml:space="preserve"> are now expected to decrease </w:t>
      </w:r>
      <w:r w:rsidR="00643036">
        <w:rPr>
          <w:szCs w:val="20"/>
        </w:rPr>
        <w:t xml:space="preserve">8¼ </w:t>
      </w:r>
      <w:r w:rsidRPr="00D761BC">
        <w:rPr>
          <w:szCs w:val="20"/>
        </w:rPr>
        <w:t>per cent in 2012</w:t>
      </w:r>
      <w:r>
        <w:rPr>
          <w:szCs w:val="20"/>
        </w:rPr>
        <w:t xml:space="preserve">-13 and 2¾ </w:t>
      </w:r>
      <w:r w:rsidRPr="00D761BC">
        <w:rPr>
          <w:szCs w:val="20"/>
        </w:rPr>
        <w:t>per cent in 2013</w:t>
      </w:r>
      <w:r>
        <w:rPr>
          <w:szCs w:val="20"/>
        </w:rPr>
        <w:noBreakHyphen/>
      </w:r>
      <w:r w:rsidRPr="00D761BC">
        <w:rPr>
          <w:szCs w:val="20"/>
        </w:rPr>
        <w:t>14. The near-term downgrade reflects the declines in global</w:t>
      </w:r>
      <w:r>
        <w:rPr>
          <w:szCs w:val="20"/>
        </w:rPr>
        <w:t xml:space="preserve"> prices for Australia’s key non-</w:t>
      </w:r>
      <w:r w:rsidRPr="00D761BC">
        <w:rPr>
          <w:szCs w:val="20"/>
        </w:rPr>
        <w:t xml:space="preserve">rural commodity exports since June. For iron ore and metallurgical coal, which are key </w:t>
      </w:r>
      <w:r>
        <w:rPr>
          <w:szCs w:val="20"/>
        </w:rPr>
        <w:t xml:space="preserve">inputs </w:t>
      </w:r>
      <w:r w:rsidRPr="00D761BC">
        <w:rPr>
          <w:szCs w:val="20"/>
        </w:rPr>
        <w:t xml:space="preserve">to the steel-making process, recent declines in price reflect weaker global steel demand, a destocking of raw materials at Chinese steel mills, and ongoing growth in the global supply of </w:t>
      </w:r>
      <w:r>
        <w:rPr>
          <w:szCs w:val="20"/>
        </w:rPr>
        <w:t>these</w:t>
      </w:r>
      <w:r w:rsidRPr="00D761BC">
        <w:rPr>
          <w:szCs w:val="20"/>
        </w:rPr>
        <w:t xml:space="preserve"> materials. Falls in the price of thermal coal have been influenced by subdued global demand for thermally generated electricity, weighed down by a continuation of ongoing weakness in Europe, electricity demand in China and lower natural gas prices in the US</w:t>
      </w:r>
      <w:r>
        <w:rPr>
          <w:szCs w:val="20"/>
        </w:rPr>
        <w:t>,</w:t>
      </w:r>
      <w:r w:rsidRPr="00D761BC">
        <w:rPr>
          <w:szCs w:val="20"/>
        </w:rPr>
        <w:t xml:space="preserve"> which has promoted exports from the Americas into the Asian market. While modest increases in non-rural commodity prices are anticipated in the near-term – particularly for iron ore – prices are expected to remain lower than </w:t>
      </w:r>
      <w:r>
        <w:rPr>
          <w:szCs w:val="20"/>
        </w:rPr>
        <w:t>previously expected</w:t>
      </w:r>
      <w:r w:rsidRPr="00D761BC">
        <w:rPr>
          <w:szCs w:val="20"/>
        </w:rPr>
        <w:t xml:space="preserve">, in line with lower forecast growth in </w:t>
      </w:r>
      <w:r>
        <w:rPr>
          <w:szCs w:val="20"/>
        </w:rPr>
        <w:t>global GDP</w:t>
      </w:r>
      <w:r w:rsidRPr="00D761BC">
        <w:rPr>
          <w:szCs w:val="20"/>
        </w:rPr>
        <w:t>.</w:t>
      </w:r>
    </w:p>
    <w:p w:rsidR="00E573F9" w:rsidRPr="00A35202" w:rsidRDefault="00E573F9" w:rsidP="00E573F9">
      <w:pPr>
        <w:keepNext/>
        <w:autoSpaceDE w:val="0"/>
        <w:autoSpaceDN w:val="0"/>
        <w:spacing w:after="0"/>
        <w:jc w:val="center"/>
        <w:rPr>
          <w:b/>
        </w:rPr>
      </w:pPr>
      <w:r w:rsidRPr="00A35202">
        <w:rPr>
          <w:b/>
        </w:rPr>
        <w:t xml:space="preserve">Chart </w:t>
      </w:r>
      <w:r>
        <w:rPr>
          <w:b/>
        </w:rPr>
        <w:t>5</w:t>
      </w:r>
      <w:r w:rsidRPr="00A35202">
        <w:rPr>
          <w:b/>
        </w:rPr>
        <w:t>: The terms of trade</w:t>
      </w:r>
    </w:p>
    <w:p w:rsidR="00E573F9" w:rsidRDefault="006B21C3" w:rsidP="00E573F9">
      <w:pPr>
        <w:pStyle w:val="ChartGraphic0"/>
      </w:pPr>
      <w:r>
        <w:object w:dxaOrig="3961" w:dyaOrig="3961">
          <v:shape id="_x0000_i1031" type="#_x0000_t75" style="width:198.35pt;height:198.35pt" o:ole="">
            <v:imagedata r:id="rId31" o:title=""/>
          </v:shape>
          <o:OLEObject Type="Link" ProgID="Excel.Sheet.12" ShapeID="_x0000_i1031" DrawAspect="Content" r:id="rId32" UpdateMode="OnCall">
            <o:LinkType>EnhancedMetaFile</o:LinkType>
            <o:LockedField>false</o:LockedField>
          </o:OLEObject>
        </w:object>
      </w:r>
    </w:p>
    <w:p w:rsidR="00E573F9" w:rsidRDefault="00E573F9" w:rsidP="00E573F9">
      <w:pPr>
        <w:spacing w:after="0"/>
        <w:rPr>
          <w:rFonts w:ascii="Tahoma" w:hAnsi="Tahoma" w:cs="Tahoma"/>
          <w:color w:val="000000"/>
          <w:sz w:val="16"/>
          <w:szCs w:val="16"/>
        </w:rPr>
      </w:pPr>
      <w:r w:rsidRPr="00170BD5">
        <w:rPr>
          <w:rFonts w:ascii="Tahoma" w:hAnsi="Tahoma" w:cs="Tahoma"/>
          <w:color w:val="000000"/>
          <w:sz w:val="16"/>
          <w:szCs w:val="16"/>
        </w:rPr>
        <w:t xml:space="preserve">Source: ABS cat. </w:t>
      </w:r>
      <w:proofErr w:type="gramStart"/>
      <w:r w:rsidRPr="00170BD5">
        <w:rPr>
          <w:rFonts w:ascii="Tahoma" w:hAnsi="Tahoma" w:cs="Tahoma"/>
          <w:color w:val="000000"/>
          <w:sz w:val="16"/>
          <w:szCs w:val="16"/>
        </w:rPr>
        <w:t>no</w:t>
      </w:r>
      <w:proofErr w:type="gramEnd"/>
      <w:r w:rsidRPr="00170BD5">
        <w:rPr>
          <w:rFonts w:ascii="Tahoma" w:hAnsi="Tahoma" w:cs="Tahoma"/>
          <w:color w:val="000000"/>
          <w:sz w:val="16"/>
          <w:szCs w:val="16"/>
        </w:rPr>
        <w:t>. 5206.0 and Treasury.</w:t>
      </w:r>
    </w:p>
    <w:p w:rsidR="00E573F9" w:rsidRPr="00170BD5" w:rsidRDefault="00E573F9" w:rsidP="00E573F9">
      <w:pPr>
        <w:spacing w:after="0"/>
        <w:rPr>
          <w:rFonts w:ascii="Tahoma" w:hAnsi="Tahoma" w:cs="Tahoma"/>
          <w:color w:val="000000"/>
          <w:sz w:val="16"/>
          <w:szCs w:val="16"/>
        </w:rPr>
      </w:pPr>
    </w:p>
    <w:p w:rsidR="00E573F9" w:rsidRPr="00170BD5" w:rsidRDefault="00E573F9" w:rsidP="00E573F9">
      <w:pPr>
        <w:rPr>
          <w:szCs w:val="20"/>
        </w:rPr>
      </w:pPr>
      <w:r w:rsidRPr="00170BD5">
        <w:rPr>
          <w:szCs w:val="20"/>
        </w:rPr>
        <w:t xml:space="preserve">The </w:t>
      </w:r>
      <w:r w:rsidRPr="00170BD5">
        <w:rPr>
          <w:b/>
          <w:szCs w:val="20"/>
        </w:rPr>
        <w:t>current account deficit</w:t>
      </w:r>
      <w:r w:rsidRPr="00170BD5">
        <w:rPr>
          <w:szCs w:val="20"/>
        </w:rPr>
        <w:t xml:space="preserve"> </w:t>
      </w:r>
      <w:r w:rsidRPr="00D761BC">
        <w:rPr>
          <w:szCs w:val="20"/>
        </w:rPr>
        <w:t>is forecast to widen over the next two years.  This reflects an expected turnaround in the trade balance f</w:t>
      </w:r>
      <w:r>
        <w:rPr>
          <w:szCs w:val="20"/>
        </w:rPr>
        <w:t>r</w:t>
      </w:r>
      <w:r w:rsidRPr="00D761BC">
        <w:rPr>
          <w:szCs w:val="20"/>
        </w:rPr>
        <w:t>om a surplus to a deficit, driven by the expected deterioration in the terms of trade. The current acco</w:t>
      </w:r>
      <w:r>
        <w:rPr>
          <w:szCs w:val="20"/>
        </w:rPr>
        <w:t xml:space="preserve">unt deficit is expected to be 5¼ </w:t>
      </w:r>
      <w:r w:rsidRPr="00D761BC">
        <w:rPr>
          <w:szCs w:val="20"/>
        </w:rPr>
        <w:t>per cent of GDP in 2012</w:t>
      </w:r>
      <w:r>
        <w:rPr>
          <w:szCs w:val="20"/>
        </w:rPr>
        <w:t>-</w:t>
      </w:r>
      <w:r w:rsidRPr="00D761BC">
        <w:rPr>
          <w:szCs w:val="20"/>
        </w:rPr>
        <w:t>13 and 6</w:t>
      </w:r>
      <w:r>
        <w:rPr>
          <w:szCs w:val="20"/>
        </w:rPr>
        <w:t> </w:t>
      </w:r>
      <w:r w:rsidRPr="00D761BC">
        <w:rPr>
          <w:szCs w:val="20"/>
        </w:rPr>
        <w:t>per</w:t>
      </w:r>
      <w:r>
        <w:rPr>
          <w:szCs w:val="20"/>
        </w:rPr>
        <w:t> </w:t>
      </w:r>
      <w:r w:rsidRPr="00D761BC">
        <w:rPr>
          <w:szCs w:val="20"/>
        </w:rPr>
        <w:t>cent of GDP in 2013</w:t>
      </w:r>
      <w:r>
        <w:rPr>
          <w:szCs w:val="20"/>
        </w:rPr>
        <w:noBreakHyphen/>
      </w:r>
      <w:r w:rsidRPr="00D761BC">
        <w:rPr>
          <w:szCs w:val="20"/>
        </w:rPr>
        <w:t xml:space="preserve">14. Considered from a net lending perspective, the key driver of the rising current account deficit is the inflow of capital needed to finance the mining investment boom, with the </w:t>
      </w:r>
      <w:r>
        <w:rPr>
          <w:szCs w:val="20"/>
        </w:rPr>
        <w:t>household sector</w:t>
      </w:r>
      <w:r w:rsidRPr="00D761BC">
        <w:rPr>
          <w:szCs w:val="20"/>
        </w:rPr>
        <w:t xml:space="preserve"> expected to be </w:t>
      </w:r>
      <w:r>
        <w:rPr>
          <w:szCs w:val="20"/>
        </w:rPr>
        <w:t>a net saver</w:t>
      </w:r>
      <w:r w:rsidRPr="00D761BC">
        <w:rPr>
          <w:szCs w:val="20"/>
        </w:rPr>
        <w:t xml:space="preserve"> over the forecast period.</w:t>
      </w:r>
    </w:p>
    <w:p w:rsidR="00E573F9" w:rsidRPr="00AD764A" w:rsidRDefault="00E573F9" w:rsidP="00E573F9">
      <w:pPr>
        <w:pStyle w:val="Heading4"/>
        <w:rPr>
          <w:bCs/>
          <w:i/>
          <w:iCs/>
        </w:rPr>
      </w:pPr>
      <w:bookmarkStart w:id="18" w:name="_Toc336420551"/>
      <w:bookmarkStart w:id="19" w:name="_Toc336503169"/>
      <w:r w:rsidRPr="00AD764A">
        <w:t>Employment, wages and inflation</w:t>
      </w:r>
      <w:bookmarkEnd w:id="18"/>
      <w:bookmarkEnd w:id="19"/>
    </w:p>
    <w:p w:rsidR="00E573F9" w:rsidRDefault="00E573F9" w:rsidP="00E573F9">
      <w:pPr>
        <w:rPr>
          <w:szCs w:val="20"/>
        </w:rPr>
      </w:pPr>
      <w:r w:rsidRPr="00D761BC">
        <w:rPr>
          <w:szCs w:val="20"/>
        </w:rPr>
        <w:t xml:space="preserve">Following strong growth in the first half of 2012, </w:t>
      </w:r>
      <w:r w:rsidRPr="00D761BC">
        <w:rPr>
          <w:b/>
          <w:szCs w:val="20"/>
        </w:rPr>
        <w:t xml:space="preserve">employment </w:t>
      </w:r>
      <w:r w:rsidRPr="00D761BC">
        <w:rPr>
          <w:szCs w:val="20"/>
        </w:rPr>
        <w:t xml:space="preserve">growth has moderated in recent months, with the high Australian dollar, uneven patterns of demand and continued deleveraging by the household and corporate sectors weighing on employment </w:t>
      </w:r>
      <w:r>
        <w:rPr>
          <w:szCs w:val="20"/>
        </w:rPr>
        <w:t xml:space="preserve">conditions in many industries. </w:t>
      </w:r>
      <w:r w:rsidRPr="00D761BC">
        <w:rPr>
          <w:szCs w:val="20"/>
        </w:rPr>
        <w:t xml:space="preserve">Employment is expected to increase 1 per cent through the year to the June quarter 2013 and 1¼ per cent through the </w:t>
      </w:r>
      <w:r>
        <w:rPr>
          <w:szCs w:val="20"/>
        </w:rPr>
        <w:t xml:space="preserve">year to the June quarter 2014. </w:t>
      </w:r>
      <w:r w:rsidRPr="00D761BC">
        <w:rPr>
          <w:szCs w:val="20"/>
        </w:rPr>
        <w:t xml:space="preserve">The </w:t>
      </w:r>
      <w:r w:rsidRPr="00D761BC">
        <w:rPr>
          <w:b/>
          <w:szCs w:val="20"/>
        </w:rPr>
        <w:t>unemployment rate</w:t>
      </w:r>
      <w:r w:rsidRPr="00D761BC">
        <w:rPr>
          <w:szCs w:val="20"/>
        </w:rPr>
        <w:t xml:space="preserve"> is forecast to increase to 5½ per cent by the June quarter 2013 and to 5¾ per cent by the June quarter 2014.</w:t>
      </w:r>
    </w:p>
    <w:p w:rsidR="00E573F9" w:rsidRDefault="00E573F9" w:rsidP="00E573F9">
      <w:pPr>
        <w:keepNext/>
        <w:autoSpaceDE w:val="0"/>
        <w:autoSpaceDN w:val="0"/>
        <w:spacing w:after="0"/>
        <w:jc w:val="center"/>
        <w:rPr>
          <w:b/>
        </w:rPr>
      </w:pPr>
      <w:r w:rsidRPr="00A35202">
        <w:rPr>
          <w:b/>
        </w:rPr>
        <w:t xml:space="preserve">Chart </w:t>
      </w:r>
      <w:r>
        <w:rPr>
          <w:b/>
        </w:rPr>
        <w:t>6</w:t>
      </w:r>
      <w:r w:rsidRPr="00A35202">
        <w:rPr>
          <w:b/>
        </w:rPr>
        <w:t xml:space="preserve">: </w:t>
      </w:r>
      <w:r>
        <w:rPr>
          <w:b/>
        </w:rPr>
        <w:t>Employment growth</w:t>
      </w:r>
    </w:p>
    <w:p w:rsidR="00E573F9" w:rsidRPr="00A35202" w:rsidRDefault="00D66744" w:rsidP="00E573F9">
      <w:pPr>
        <w:pStyle w:val="ChartGraphic0"/>
      </w:pPr>
      <w:r>
        <w:object w:dxaOrig="3961" w:dyaOrig="3961">
          <v:shape id="_x0000_i1032" type="#_x0000_t75" style="width:198.35pt;height:198.35pt" o:ole="">
            <v:imagedata r:id="rId33" o:title=""/>
          </v:shape>
          <o:OLEObject Type="Link" ProgID="Excel.Sheet.12" ShapeID="_x0000_i1032" DrawAspect="Content" r:id="rId34" UpdateMode="OnCall">
            <o:LinkType>EnhancedMetaFile</o:LinkType>
            <o:LockedField>false</o:LockedField>
          </o:OLEObject>
        </w:object>
      </w:r>
    </w:p>
    <w:p w:rsidR="00E573F9" w:rsidRDefault="00E573F9" w:rsidP="00E573F9">
      <w:pPr>
        <w:spacing w:after="120"/>
        <w:rPr>
          <w:rFonts w:ascii="Tahoma" w:hAnsi="Tahoma" w:cs="Tahoma"/>
          <w:color w:val="000000"/>
          <w:sz w:val="16"/>
          <w:szCs w:val="16"/>
        </w:rPr>
      </w:pPr>
      <w:r w:rsidRPr="00170BD5">
        <w:rPr>
          <w:rFonts w:ascii="Tahoma" w:hAnsi="Tahoma" w:cs="Tahoma"/>
          <w:color w:val="000000"/>
          <w:sz w:val="16"/>
          <w:szCs w:val="16"/>
        </w:rPr>
        <w:t xml:space="preserve">Source: ABS cat. </w:t>
      </w:r>
      <w:proofErr w:type="gramStart"/>
      <w:r w:rsidRPr="00170BD5">
        <w:rPr>
          <w:rFonts w:ascii="Tahoma" w:hAnsi="Tahoma" w:cs="Tahoma"/>
          <w:color w:val="000000"/>
          <w:sz w:val="16"/>
          <w:szCs w:val="16"/>
        </w:rPr>
        <w:t>no</w:t>
      </w:r>
      <w:proofErr w:type="gramEnd"/>
      <w:r w:rsidRPr="00170BD5">
        <w:rPr>
          <w:rFonts w:ascii="Tahoma" w:hAnsi="Tahoma" w:cs="Tahoma"/>
          <w:color w:val="000000"/>
          <w:sz w:val="16"/>
          <w:szCs w:val="16"/>
        </w:rPr>
        <w:t xml:space="preserve">. </w:t>
      </w:r>
      <w:r>
        <w:rPr>
          <w:rFonts w:ascii="Tahoma" w:hAnsi="Tahoma" w:cs="Tahoma"/>
          <w:color w:val="000000"/>
          <w:sz w:val="16"/>
          <w:szCs w:val="16"/>
        </w:rPr>
        <w:t>6202.</w:t>
      </w:r>
      <w:r w:rsidRPr="00170BD5">
        <w:rPr>
          <w:rFonts w:ascii="Tahoma" w:hAnsi="Tahoma" w:cs="Tahoma"/>
          <w:color w:val="000000"/>
          <w:sz w:val="16"/>
          <w:szCs w:val="16"/>
        </w:rPr>
        <w:t>0 and Treasury.</w:t>
      </w:r>
    </w:p>
    <w:p w:rsidR="00E573F9" w:rsidRDefault="00E573F9" w:rsidP="00E573F9">
      <w:pPr>
        <w:rPr>
          <w:szCs w:val="20"/>
        </w:rPr>
      </w:pPr>
      <w:r w:rsidRPr="00AD764A">
        <w:rPr>
          <w:b/>
          <w:szCs w:val="20"/>
        </w:rPr>
        <w:t xml:space="preserve">Wages </w:t>
      </w:r>
      <w:r w:rsidRPr="00D761BC">
        <w:rPr>
          <w:szCs w:val="20"/>
        </w:rPr>
        <w:t>growth is expected to slow, consistent with the forecast softening in labour market conditions. Aggregate wages have grown solidly over the past year, with the low unemployment rate supporting slightly above</w:t>
      </w:r>
      <w:r>
        <w:rPr>
          <w:szCs w:val="20"/>
        </w:rPr>
        <w:noBreakHyphen/>
      </w:r>
      <w:r w:rsidRPr="00D761BC">
        <w:rPr>
          <w:szCs w:val="20"/>
        </w:rPr>
        <w:t>trend growth in private sector wages. This has been balanced by weakness in public sector w</w:t>
      </w:r>
      <w:r w:rsidR="00B44B36">
        <w:rPr>
          <w:szCs w:val="20"/>
        </w:rPr>
        <w:t xml:space="preserve">ages growth, which has eased </w:t>
      </w:r>
      <w:r w:rsidRPr="00D761BC">
        <w:rPr>
          <w:szCs w:val="20"/>
        </w:rPr>
        <w:t xml:space="preserve">in line with ongoing fiscal consolidation at the state and federal levels of government. Looking ahead, the Wage Price Index is forecast to grow 3½ per cent through the year to the June quarters of both 2013 and 2014, slightly weaker than </w:t>
      </w:r>
      <w:r>
        <w:rPr>
          <w:szCs w:val="20"/>
        </w:rPr>
        <w:t>previously expected</w:t>
      </w:r>
      <w:r w:rsidRPr="00D761BC">
        <w:rPr>
          <w:szCs w:val="20"/>
        </w:rPr>
        <w:t>.</w:t>
      </w:r>
    </w:p>
    <w:p w:rsidR="00E573F9" w:rsidRPr="0085320E" w:rsidRDefault="00E573F9" w:rsidP="00E573F9">
      <w:pPr>
        <w:rPr>
          <w:szCs w:val="20"/>
        </w:rPr>
      </w:pPr>
      <w:r w:rsidRPr="0085320E">
        <w:rPr>
          <w:b/>
          <w:szCs w:val="20"/>
        </w:rPr>
        <w:t>Inflation</w:t>
      </w:r>
      <w:r w:rsidRPr="0085320E">
        <w:rPr>
          <w:szCs w:val="20"/>
        </w:rPr>
        <w:t xml:space="preserve"> is expected to pick up slightly in 2012-13 due to </w:t>
      </w:r>
      <w:r>
        <w:rPr>
          <w:szCs w:val="20"/>
        </w:rPr>
        <w:t>the</w:t>
      </w:r>
      <w:r w:rsidRPr="0085320E">
        <w:rPr>
          <w:szCs w:val="20"/>
        </w:rPr>
        <w:t xml:space="preserve"> one-off effect of introducing the carbon price, but remain within the target band.  While the high exchange rate is expected to exert less downward pressure on domestic prices over the forecast period, it is expected that solid productivity </w:t>
      </w:r>
      <w:r>
        <w:rPr>
          <w:szCs w:val="20"/>
        </w:rPr>
        <w:t xml:space="preserve">growth </w:t>
      </w:r>
      <w:r w:rsidRPr="0085320E">
        <w:rPr>
          <w:szCs w:val="20"/>
        </w:rPr>
        <w:t>and subdued wages growth will dampen domestic price pressures.  Headline inflation (including the carbon price impact) is expected to be 3</w:t>
      </w:r>
      <w:r>
        <w:rPr>
          <w:szCs w:val="20"/>
        </w:rPr>
        <w:t> </w:t>
      </w:r>
      <w:r w:rsidRPr="0085320E">
        <w:rPr>
          <w:szCs w:val="20"/>
        </w:rPr>
        <w:t>per</w:t>
      </w:r>
      <w:r>
        <w:rPr>
          <w:szCs w:val="20"/>
        </w:rPr>
        <w:t> </w:t>
      </w:r>
      <w:r w:rsidRPr="0085320E">
        <w:rPr>
          <w:szCs w:val="20"/>
        </w:rPr>
        <w:t>cent through the year to</w:t>
      </w:r>
      <w:r w:rsidRPr="002C6541">
        <w:rPr>
          <w:szCs w:val="20"/>
        </w:rPr>
        <w:t xml:space="preserve"> the June quarter</w:t>
      </w:r>
      <w:r>
        <w:rPr>
          <w:szCs w:val="20"/>
        </w:rPr>
        <w:t xml:space="preserve"> of </w:t>
      </w:r>
      <w:r w:rsidRPr="0085320E">
        <w:rPr>
          <w:szCs w:val="20"/>
        </w:rPr>
        <w:t>2013 and 2¼ per cent through the year to the June quarter of 2014.  Underlying inflation (including the carbon price impact) is expected to be 2½ per cent through the year to t</w:t>
      </w:r>
      <w:r>
        <w:rPr>
          <w:szCs w:val="20"/>
        </w:rPr>
        <w:t xml:space="preserve">he June quarter of 2013, and </w:t>
      </w:r>
      <w:r w:rsidRPr="0085320E">
        <w:rPr>
          <w:szCs w:val="20"/>
        </w:rPr>
        <w:t>2¼ per cent through the year to the June quarter of 2014.</w:t>
      </w:r>
    </w:p>
    <w:p w:rsidR="00E573F9" w:rsidRPr="003A3FD7" w:rsidRDefault="00E573F9" w:rsidP="00E573F9">
      <w:pPr>
        <w:keepNext/>
        <w:spacing w:after="0"/>
        <w:jc w:val="center"/>
        <w:rPr>
          <w:b/>
        </w:rPr>
      </w:pPr>
      <w:r w:rsidRPr="003A3FD7">
        <w:rPr>
          <w:b/>
        </w:rPr>
        <w:t xml:space="preserve">Chart </w:t>
      </w:r>
      <w:r>
        <w:rPr>
          <w:b/>
        </w:rPr>
        <w:t>7</w:t>
      </w:r>
      <w:r w:rsidRPr="003A3FD7">
        <w:rPr>
          <w:b/>
        </w:rPr>
        <w:t>: Inflation</w:t>
      </w:r>
    </w:p>
    <w:p w:rsidR="00E573F9" w:rsidRDefault="00734498" w:rsidP="00E573F9">
      <w:pPr>
        <w:pStyle w:val="ChartGraphic0"/>
      </w:pPr>
      <w:r>
        <w:object w:dxaOrig="3961" w:dyaOrig="3961">
          <v:shape id="_x0000_i1033" type="#_x0000_t75" style="width:198.35pt;height:198.35pt" o:ole="">
            <v:imagedata r:id="rId35" o:title=""/>
          </v:shape>
          <o:OLEObject Type="Link" ProgID="Excel.Sheet.12" ShapeID="_x0000_i1033" DrawAspect="Content" r:id="rId36" UpdateMode="OnCall">
            <o:LinkType>EnhancedMetaFile</o:LinkType>
            <o:LockedField>false</o:LockedField>
          </o:OLEObject>
        </w:object>
      </w:r>
    </w:p>
    <w:p w:rsidR="00E573F9" w:rsidRDefault="00E573F9" w:rsidP="00E573F9">
      <w:pPr>
        <w:spacing w:after="0"/>
        <w:rPr>
          <w:rFonts w:ascii="Tahoma" w:hAnsi="Tahoma" w:cs="Tahoma"/>
          <w:sz w:val="16"/>
          <w:szCs w:val="16"/>
        </w:rPr>
      </w:pPr>
      <w:r w:rsidRPr="0014581D">
        <w:rPr>
          <w:rFonts w:ascii="Tahoma" w:hAnsi="Tahoma" w:cs="Tahoma"/>
          <w:sz w:val="16"/>
          <w:szCs w:val="16"/>
        </w:rPr>
        <w:t xml:space="preserve">Source:  ABS cat. </w:t>
      </w:r>
      <w:proofErr w:type="gramStart"/>
      <w:r w:rsidRPr="0014581D">
        <w:rPr>
          <w:rFonts w:ascii="Tahoma" w:hAnsi="Tahoma" w:cs="Tahoma"/>
          <w:sz w:val="16"/>
          <w:szCs w:val="16"/>
        </w:rPr>
        <w:t>no</w:t>
      </w:r>
      <w:proofErr w:type="gramEnd"/>
      <w:r w:rsidRPr="0014581D">
        <w:rPr>
          <w:rFonts w:ascii="Tahoma" w:hAnsi="Tahoma" w:cs="Tahoma"/>
          <w:sz w:val="16"/>
          <w:szCs w:val="16"/>
        </w:rPr>
        <w:t>. 6401.0 and Treasury.</w:t>
      </w:r>
    </w:p>
    <w:p w:rsidR="00E573F9" w:rsidRDefault="00E573F9" w:rsidP="00E573F9">
      <w:pPr>
        <w:spacing w:after="200"/>
        <w:rPr>
          <w:szCs w:val="20"/>
        </w:rPr>
      </w:pPr>
      <w:r>
        <w:rPr>
          <w:szCs w:val="20"/>
        </w:rPr>
        <w:br w:type="page"/>
      </w:r>
    </w:p>
    <w:p w:rsidR="00E573F9" w:rsidRDefault="00E573F9" w:rsidP="00E573F9">
      <w:pPr>
        <w:rPr>
          <w:szCs w:val="20"/>
        </w:rPr>
      </w:pPr>
    </w:p>
    <w:p w:rsidR="00E573F9" w:rsidRDefault="00E573F9" w:rsidP="00E573F9">
      <w:pPr>
        <w:spacing w:after="0"/>
        <w:sectPr w:rsidR="00E573F9" w:rsidSect="00CA4B93">
          <w:type w:val="continuous"/>
          <w:pgSz w:w="11907" w:h="16840" w:code="9"/>
          <w:pgMar w:top="1418" w:right="1418" w:bottom="1418" w:left="1418" w:header="567" w:footer="567" w:gutter="0"/>
          <w:cols w:num="2" w:space="709"/>
        </w:sectPr>
      </w:pPr>
    </w:p>
    <w:p w:rsidR="00E573F9" w:rsidRDefault="00E573F9" w:rsidP="00E573F9">
      <w:pPr>
        <w:pStyle w:val="Heading3"/>
        <w:spacing w:before="0"/>
        <w:rPr>
          <w:bCs/>
          <w:smallCaps w:val="0"/>
        </w:rPr>
      </w:pPr>
      <w:bookmarkStart w:id="20" w:name="_Toc336420552"/>
      <w:bookmarkStart w:id="21" w:name="_Toc336503170"/>
      <w:r w:rsidRPr="007C14B6">
        <w:t>International economic outlook</w:t>
      </w:r>
      <w:bookmarkEnd w:id="20"/>
      <w:bookmarkEnd w:id="21"/>
    </w:p>
    <w:p w:rsidR="00E573F9" w:rsidRDefault="00E573F9" w:rsidP="00E573F9">
      <w:pPr>
        <w:pStyle w:val="TableHeadingCharChar"/>
        <w:rPr>
          <w:rFonts w:cs="Tahoma"/>
          <w:bCs/>
          <w:vertAlign w:val="superscript"/>
        </w:rPr>
      </w:pPr>
      <w:r w:rsidRPr="005D232E">
        <w:t xml:space="preserve">Table </w:t>
      </w:r>
      <w:r>
        <w:t>3</w:t>
      </w:r>
      <w:r w:rsidRPr="005D232E">
        <w:t xml:space="preserve">: International GDP growth </w:t>
      </w:r>
      <w:proofErr w:type="gramStart"/>
      <w:r w:rsidRPr="005D232E">
        <w:t>forecasts</w:t>
      </w:r>
      <w:r w:rsidRPr="005D232E">
        <w:rPr>
          <w:rFonts w:cs="Tahoma"/>
          <w:bCs/>
          <w:vertAlign w:val="superscript"/>
        </w:rPr>
        <w:t>(</w:t>
      </w:r>
      <w:proofErr w:type="gramEnd"/>
      <w:r w:rsidRPr="005D232E">
        <w:rPr>
          <w:rFonts w:cs="Tahoma"/>
          <w:bCs/>
          <w:vertAlign w:val="superscript"/>
        </w:rPr>
        <w:t>a)</w:t>
      </w:r>
    </w:p>
    <w:p w:rsidR="00E573F9" w:rsidRDefault="00C622D3" w:rsidP="00E573F9">
      <w:pPr>
        <w:pStyle w:val="ChartGraphic0"/>
      </w:pPr>
      <w:r>
        <w:rPr>
          <w:noProof/>
        </w:rPr>
        <w:object w:dxaOrig="9607" w:dyaOrig="5331">
          <v:shape id="_x0000_i1034" type="#_x0000_t75" style="width:479.55pt;height:266.25pt" o:ole="">
            <v:imagedata r:id="rId37" o:title=""/>
          </v:shape>
          <o:OLEObject Type="Link" ProgID="Excel.Sheet.12" ShapeID="_x0000_i1034" DrawAspect="Content" r:id="rId38" UpdateMode="OnCall">
            <o:LinkType>EnhancedMetaFile</o:LinkType>
            <o:LockedField>false</o:LockedField>
          </o:OLEObject>
        </w:object>
      </w:r>
    </w:p>
    <w:p w:rsidR="00E573F9" w:rsidRPr="00D319FE" w:rsidRDefault="00E573F9" w:rsidP="00E573F9">
      <w:pPr>
        <w:pStyle w:val="Heading4"/>
        <w:spacing w:after="120"/>
        <w:rPr>
          <w:bCs/>
          <w:i/>
          <w:iCs/>
        </w:rPr>
      </w:pPr>
      <w:bookmarkStart w:id="22" w:name="_Toc336420553"/>
      <w:bookmarkStart w:id="23" w:name="_Toc336503171"/>
      <w:r w:rsidRPr="00D319FE">
        <w:t>World outlook and risks</w:t>
      </w:r>
      <w:bookmarkEnd w:id="22"/>
      <w:bookmarkEnd w:id="23"/>
    </w:p>
    <w:p w:rsidR="00E573F9" w:rsidRDefault="00E573F9" w:rsidP="00E573F9">
      <w:pPr>
        <w:sectPr w:rsidR="00E573F9" w:rsidSect="00CA4B93">
          <w:type w:val="continuous"/>
          <w:pgSz w:w="11907" w:h="16840" w:code="9"/>
          <w:pgMar w:top="1418" w:right="1418" w:bottom="1418" w:left="1418" w:header="567" w:footer="567" w:gutter="0"/>
          <w:cols w:space="709"/>
        </w:sectPr>
      </w:pPr>
    </w:p>
    <w:p w:rsidR="0028544B" w:rsidRDefault="0028544B" w:rsidP="0028544B">
      <w:r>
        <w:t>Prospects for global growth have softened further since Budget. Recent growth outcomes in a number of East Asian economies, most notably China and India, have been weaker than anticipated. The European crisis also continues to weigh on global confidence. While the European Central Bank’s (ECB) announcement that it will intervene in the bond markets of troubled euro area sovereigns as long as they commit to undertake fiscal and structural reforms, coupled with Germany’s recent ratification of the region’s bailout fund eased concerns somewhat, the issues underlying the crisis remain unresolved. In addition, the recent slowing in growth in a number of major emerging market economies has added to concerns about the durability of the global recovery.</w:t>
      </w:r>
    </w:p>
    <w:p w:rsidR="0028544B" w:rsidRDefault="0028544B" w:rsidP="0028544B">
      <w:r>
        <w:t xml:space="preserve">Conditions in the major advanced economies have weakened further.  The euro area is in recession as financial stress, ongoing fiscal consolidation, and bank deleveraging drag on growth. Growth in the United States has eased as weak labour market outcomes and rising concern over the so-called ‘fiscal cliff’ (the sudden fiscal tightening that will occur at the end of 2012 unless new legislation is passed) have impacted on activity, while the boost to Japanese growth from earthquake reconstruction likely peaked in the first half of 2012 with growth expected to moderate going forward. </w:t>
      </w:r>
    </w:p>
    <w:p w:rsidR="0028544B" w:rsidRDefault="0028544B" w:rsidP="0028544B">
      <w:r>
        <w:t xml:space="preserve">Since the end of the global </w:t>
      </w:r>
      <w:r w:rsidR="00DD22CC">
        <w:t>recession</w:t>
      </w:r>
      <w:r>
        <w:t xml:space="preserve">, growth across the emerging market economies, particularly in Asia, has been relatively robust on the back of strong domestic demand, and these economies have been the driving force of the global recovery to date. However, more recently a number of major emerging economies have seen a slowing in their growth rate, including China. This reflects a reduction in export demand as growth in advanced economies has weakened and the dampening effect of previous policy tightening in some economies, particularly in China. </w:t>
      </w:r>
    </w:p>
    <w:p w:rsidR="0028544B" w:rsidRDefault="0028544B" w:rsidP="0028544B">
      <w:r>
        <w:t xml:space="preserve">The further weakening in the global economic outlook means that world GDP is now expected to grow 3¼ per cent in 2012 and 3¾ per cent in 2013, compared with Budget forecasts of 3½ per cent and 4 per cent. The global recovery remains vulnerable to shocks, most notably stemming from Europe, but also the threat of a sharp fiscal tightening occurring in the US at the end of 2012. Growth in emerging market economies, while slowing, has the potential to be boosted by policy action, although policy support in China has been less forthcoming than expected. However, </w:t>
      </w:r>
      <w:proofErr w:type="gramStart"/>
      <w:r>
        <w:t>a sharper</w:t>
      </w:r>
      <w:proofErr w:type="gramEnd"/>
      <w:r>
        <w:noBreakHyphen/>
        <w:t>than</w:t>
      </w:r>
      <w:r>
        <w:noBreakHyphen/>
        <w:t>expected deterioration in the situation in Europe or the US would inevitably have spill</w:t>
      </w:r>
      <w:r>
        <w:noBreakHyphen/>
        <w:t>over effects on the growth performance of emerging market economies, including through the risks of sharp outflows of capital, a deterioration of trade finance, and lower confidence.</w:t>
      </w:r>
    </w:p>
    <w:p w:rsidR="00E573F9" w:rsidRPr="003E460B" w:rsidRDefault="00E573F9" w:rsidP="00E573F9">
      <w:pPr>
        <w:keepNext/>
        <w:spacing w:after="0"/>
        <w:jc w:val="center"/>
        <w:rPr>
          <w:b/>
        </w:rPr>
      </w:pPr>
      <w:r>
        <w:rPr>
          <w:b/>
        </w:rPr>
        <w:t>Chart 8</w:t>
      </w:r>
      <w:r w:rsidRPr="00E230A0">
        <w:rPr>
          <w:b/>
        </w:rPr>
        <w:t xml:space="preserve">: </w:t>
      </w:r>
      <w:r>
        <w:rPr>
          <w:b/>
        </w:rPr>
        <w:t>World GDP growth</w:t>
      </w:r>
    </w:p>
    <w:p w:rsidR="00E573F9" w:rsidRDefault="00C622D3" w:rsidP="00D61A22">
      <w:pPr>
        <w:pStyle w:val="ChartGraphic0"/>
        <w:rPr>
          <w:noProof/>
        </w:rPr>
      </w:pPr>
      <w:r>
        <w:rPr>
          <w:noProof/>
        </w:rPr>
        <w:object w:dxaOrig="3961" w:dyaOrig="3961">
          <v:shape id="_x0000_i1035" type="#_x0000_t75" style="width:198.35pt;height:198.35pt" o:ole="">
            <v:imagedata r:id="rId39" o:title=""/>
          </v:shape>
          <o:OLEObject Type="Link" ProgID="Excel.Sheet.12" ShapeID="_x0000_i1035" DrawAspect="Content" r:id="rId40" UpdateMode="OnCall">
            <o:LinkType>EnhancedMetaFile</o:LinkType>
            <o:LockedField>false</o:LockedField>
          </o:OLEObject>
        </w:object>
      </w:r>
    </w:p>
    <w:p w:rsidR="00E573F9" w:rsidRDefault="00E573F9" w:rsidP="00E573F9">
      <w:pPr>
        <w:spacing w:after="0"/>
        <w:rPr>
          <w:rFonts w:ascii="Tahoma" w:hAnsi="Tahoma" w:cs="Tahoma"/>
          <w:sz w:val="16"/>
          <w:szCs w:val="16"/>
        </w:rPr>
      </w:pPr>
      <w:r w:rsidRPr="0014581D">
        <w:rPr>
          <w:rFonts w:ascii="Tahoma" w:hAnsi="Tahoma" w:cs="Tahoma"/>
          <w:sz w:val="16"/>
          <w:szCs w:val="16"/>
        </w:rPr>
        <w:t xml:space="preserve">Source:  </w:t>
      </w:r>
      <w:r>
        <w:rPr>
          <w:rFonts w:ascii="Tahoma" w:hAnsi="Tahoma" w:cs="Tahoma"/>
          <w:sz w:val="16"/>
          <w:szCs w:val="16"/>
        </w:rPr>
        <w:t>IMF and Treasury.</w:t>
      </w:r>
    </w:p>
    <w:p w:rsidR="0028544B" w:rsidRDefault="0028544B" w:rsidP="00E573F9">
      <w:pPr>
        <w:spacing w:after="0"/>
        <w:rPr>
          <w:rFonts w:ascii="Tahoma" w:hAnsi="Tahoma" w:cs="Tahoma"/>
          <w:sz w:val="16"/>
          <w:szCs w:val="16"/>
        </w:rPr>
      </w:pPr>
    </w:p>
    <w:p w:rsidR="0028544B" w:rsidRDefault="0028544B" w:rsidP="0028544B">
      <w:r>
        <w:t>Although growth in Australia’s major trading partners (MTPs) is forecast to be lower than at Budget, it is nonetheless expected to remain solid. After MTP growth of 4.3 per cent in 2011, growth is expected to be 4¼ per cent in 2012. Growth is then forecast to be 4¾ per cent in both 2013 and 2014, as conditions in Europe and the US continue to improve, with the anticipated increase in external demand flowing through to China’s growth, and to the global economy more broadly. The more robust growth prospects for Australia’s MTPs compared with the global economy overall reflects the composition of our MTPs, which is increasingly weighted towards the fast</w:t>
      </w:r>
      <w:r>
        <w:noBreakHyphen/>
        <w:t>growing emerging Asian economies.</w:t>
      </w:r>
    </w:p>
    <w:p w:rsidR="0028544B" w:rsidRDefault="0028544B" w:rsidP="0028544B">
      <w:r>
        <w:t xml:space="preserve">Conditions in the euro area have continued to deteriorate, with output declining in the June quarter, credit markets remaining impaired, business and consumer confidence continuing to weaken, and the unemployment rate rising to new euro-era highs. Leading indicators suggest this weakness is likely to continue, with the euro area expected to contract in 2012. The euro area is assumed to make incremental progress towards resolving the crisis and gradually recover over the forecast horizon. However, growth over this period is expected to be anaemic, with remaining fiscal consolidation requirements and bank deleveraging expected to drag on growth. </w:t>
      </w:r>
    </w:p>
    <w:p w:rsidR="0028544B" w:rsidRDefault="0028544B" w:rsidP="0028544B">
      <w:r>
        <w:t>Throughout the year, the focus of the sovereign debt crisis has increasingly turned to Spain. Spain has come under increasing pressure as a result of the troubles arising from its banking sector and more recently from the fiscal difficulties of both its central and regional governments. However, fears are that markets would then focus on Italy, the third</w:t>
      </w:r>
      <w:r>
        <w:noBreakHyphen/>
        <w:t xml:space="preserve">largest economy in the euro area, given its significantly larger sovereign debt and poor growth prospects. </w:t>
      </w:r>
    </w:p>
    <w:p w:rsidR="0028544B" w:rsidRDefault="0028544B" w:rsidP="0028544B">
      <w:r>
        <w:t xml:space="preserve">The recent ECB announcement that it is prepared to purchase short-term sovereign debt of troubled euro area economies through Outright Monetary Transactions as long as they commit to fiscal and structural reforms has, at least for now, stabilised financial markets and appears to have bought the region much needed time. However, the ECB can only relieve the immediate funding pressures facing the troubled euro area sovereigns. A lasting resolution to the European sovereign debt crisis will only be achieved through a firm political commitment to achieving a closer political, fiscal and banking union in the euro area. It will also require the euro area’s troubled economies to continue to implement structural reforms in order to boost their competitiveness and growth potential. </w:t>
      </w:r>
    </w:p>
    <w:p w:rsidR="0028544B" w:rsidRDefault="0028544B" w:rsidP="0028544B">
      <w:r>
        <w:t>Unlike Europe, the US economy continues to grow, albeit at a subdued rate by historical standards, with persistent underlying weaknesses in its labour and housing markets constraining growth. The US continues to be dependent on very accommodative monetary policy, and is still yet to achieve a self</w:t>
      </w:r>
      <w:r>
        <w:noBreakHyphen/>
        <w:t xml:space="preserve">sustaining recovery. Consequently, it remains vulnerable to any further negative shocks. </w:t>
      </w:r>
    </w:p>
    <w:p w:rsidR="0028544B" w:rsidRDefault="0028544B" w:rsidP="0028544B">
      <w:r>
        <w:t>While the US is assumed to avoid the so called ‘fiscal cliff’, it remains a key risk to the outlook.  A variety of tax provisions, including the ‘Bush’ tax cuts, expire at the end of 2012, while discretionary spending cuts are currently legislated to commence at the end of 2012. If Congress is unable to come to an agreement to avoid the fiscal cliff, this would have a severely detrimental impact on the US economy in 2013. The US’ independent non</w:t>
      </w:r>
      <w:r>
        <w:noBreakHyphen/>
        <w:t>partisan Congressional Budget Office has estimated that, under current legislation, the US economy would experience a mild recession in 2013. Even if the fiscal cliff is avoided, the longer it takes for Congress to come to any agreement, the more likely businesses and households will defer investment and consumption decisions. A complicating factor is that even if the fiscal cliff is avoided, it remains crucial that the US craft a credible medium</w:t>
      </w:r>
      <w:r>
        <w:noBreakHyphen/>
        <w:t>term fiscal consolidation plan.</w:t>
      </w:r>
    </w:p>
    <w:p w:rsidR="0028544B" w:rsidRDefault="0028544B" w:rsidP="0028544B">
      <w:r>
        <w:t>Growth in economic activity in China has eased in recent months due to a weakening external sector and the effects of previous policy tightening measures. The larger</w:t>
      </w:r>
      <w:r>
        <w:noBreakHyphen/>
        <w:t>than</w:t>
      </w:r>
      <w:r>
        <w:noBreakHyphen/>
        <w:t>expected moderation in growth has seen a cautious shift in Government policy towards supporting growth. Chinese authorities have eased monetary policy, accelerated the approval of infrastructure projects, provided consumption incentives to households, and lowered taxes for small and medium</w:t>
      </w:r>
      <w:r>
        <w:noBreakHyphen/>
        <w:t xml:space="preserve">sized enterprises. </w:t>
      </w:r>
    </w:p>
    <w:p w:rsidR="0028544B" w:rsidRDefault="0028544B" w:rsidP="0028544B">
      <w:r>
        <w:t>The magnitude of any policy stimulus is likely to be smaller than that undertaken in 2008-09, with Chinese officials mindful of avoiding the asset quality issues and substantial inflationary pressures that resulted from the previous round of stimulus. The more supportive policy settings being implemented this year are expected to see growth pick up later in the year and in early 2013. Over the forecast horizon, China’s growth is expected to remain relatively solid, albeit lower compared with Budget. While the projected growth rates are more moderate compared with those recorded over the past 30 years, this more moderate outlook is more consistent with a maturing economy on a sustainable and balanced growth path and with the growth target under the 12</w:t>
      </w:r>
      <w:r>
        <w:rPr>
          <w:vertAlign w:val="superscript"/>
        </w:rPr>
        <w:t>th</w:t>
      </w:r>
      <w:r>
        <w:t xml:space="preserve"> Five</w:t>
      </w:r>
      <w:r>
        <w:noBreakHyphen/>
        <w:t xml:space="preserve">Year Plan. A further deterioration in economic conditions in Europe or a more significant slowing in US growth poses the main risk to China’s growth outlook. </w:t>
      </w:r>
    </w:p>
    <w:p w:rsidR="0028544B" w:rsidRDefault="0028544B" w:rsidP="0028544B">
      <w:r>
        <w:t>Elsewhere in the region, the outlook is becoming increasingly linked to developments in external demand from the world’s major economies. The boost to Japan’s growth from earthquake reconstruction activity peaked in the first half of 2012, with Japan’s growth in the medium</w:t>
      </w:r>
      <w:r>
        <w:noBreakHyphen/>
        <w:t xml:space="preserve">term likely to return to very subdued rates and a reliance on exports to drive growth. </w:t>
      </w:r>
    </w:p>
    <w:p w:rsidR="0028544B" w:rsidRDefault="0028544B" w:rsidP="0028544B">
      <w:r>
        <w:t>The weakening in external demand has impacted on the highly trade</w:t>
      </w:r>
      <w:r>
        <w:noBreakHyphen/>
        <w:t xml:space="preserve">exposed Newly Industrialised Economies, particularly Taiwan and Hong Kong. In contrast, the economies in the ASEAN-5 such as Indonesia, Thailand and the Philippines have generally continued to record more robust growth rates due to healthy domestic demand. However, a key risk across a number of </w:t>
      </w:r>
      <w:proofErr w:type="gramStart"/>
      <w:r>
        <w:t>east</w:t>
      </w:r>
      <w:proofErr w:type="gramEnd"/>
      <w:r>
        <w:t xml:space="preserve"> Asian economies is their vulnerability to the threat of a sharp outflow of capital if global conditions deteriorate. </w:t>
      </w:r>
    </w:p>
    <w:p w:rsidR="0028544B" w:rsidRDefault="0028544B" w:rsidP="0028544B">
      <w:pPr>
        <w:rPr>
          <w:highlight w:val="yellow"/>
        </w:rPr>
      </w:pPr>
      <w:r>
        <w:t>In India, economic growth is forecast to be lower overall than expected at Budget, particularly for 2012, reflecting a slowing in investment, a delay in monsoon conditions, and the uncertainty in Europe impacting export growth. Over the remainder of the forecast horizon, India’s growth is expected to improve, reflecting a gradual recovery in private investment and a return to normal seasonal conditions.</w:t>
      </w:r>
    </w:p>
    <w:p w:rsidR="0028544B" w:rsidRDefault="0028544B" w:rsidP="0028544B">
      <w:pPr>
        <w:rPr>
          <w:highlight w:val="yellow"/>
        </w:rPr>
      </w:pPr>
      <w:r>
        <w:t>A lingering additional risk to the global outlook is the potential for a spike in global oil prices as political tensions in the Middle East remain unresolved. While global oil prices fell in the three months to June, they have since risen noticeably despite the softening in global economic conditions, suggesting that market concerns over geopolitical risks are a major factor. While the possibility of an oil price spike persists, if conditions in the euro area were to deteriorate and global growth was to slow sharply, then conversely oil prices could decline substantially.</w:t>
      </w:r>
      <w:r>
        <w:rPr>
          <w:highlight w:val="yellow"/>
        </w:rPr>
        <w:t xml:space="preserve">  </w:t>
      </w:r>
    </w:p>
    <w:p w:rsidR="00E573F9" w:rsidRDefault="0028544B" w:rsidP="0028544B">
      <w:pPr>
        <w:spacing w:after="0"/>
        <w:rPr>
          <w:rFonts w:ascii="Tahoma" w:hAnsi="Tahoma" w:cs="Tahoma"/>
          <w:sz w:val="16"/>
          <w:szCs w:val="16"/>
        </w:rPr>
      </w:pPr>
      <w:r>
        <w:t>While a sharp rise in oil prices remains the key risk in commodity markets at present, prices for agricultural commodities are also historically high, albeit below their most recent peaks, recorded during the Arab Spring of early 2011. Were agricultural prices to rise sharply this would contribute to inflationary pressures in a number of emerging markets, complicating policy responses to any deterioration in global economic conditions.</w:t>
      </w:r>
    </w:p>
    <w:p w:rsidR="0028544B" w:rsidRDefault="0028544B" w:rsidP="00E573F9">
      <w:pPr>
        <w:rPr>
          <w:szCs w:val="20"/>
        </w:rPr>
      </w:pPr>
    </w:p>
    <w:p w:rsidR="00E573F9" w:rsidRDefault="00E573F9" w:rsidP="00E573F9">
      <w:pPr>
        <w:rPr>
          <w:szCs w:val="20"/>
        </w:rPr>
        <w:sectPr w:rsidR="00E573F9" w:rsidSect="00CA4B93">
          <w:type w:val="continuous"/>
          <w:pgSz w:w="11907" w:h="16840" w:code="9"/>
          <w:pgMar w:top="1418" w:right="1418" w:bottom="1418" w:left="1418" w:header="567" w:footer="567" w:gutter="0"/>
          <w:cols w:num="2" w:space="709"/>
        </w:sectPr>
      </w:pPr>
    </w:p>
    <w:p w:rsidR="00E573F9" w:rsidRDefault="00E573F9" w:rsidP="00E573F9">
      <w:pPr>
        <w:rPr>
          <w:szCs w:val="20"/>
        </w:rPr>
      </w:pPr>
    </w:p>
    <w:p w:rsidR="00E573F9" w:rsidRPr="0093044E" w:rsidRDefault="0093044E" w:rsidP="00254D75">
      <w:pPr>
        <w:pStyle w:val="Heading2"/>
        <w:jc w:val="left"/>
        <w:rPr>
          <w:rFonts w:ascii="Book Antiqua" w:hAnsi="Book Antiqua"/>
          <w:sz w:val="24"/>
        </w:rPr>
      </w:pPr>
      <w:bookmarkStart w:id="24" w:name="_Toc336503172"/>
      <w:r w:rsidRPr="0093044E">
        <w:rPr>
          <w:rFonts w:ascii="Book Antiqua" w:hAnsi="Book Antiqua"/>
          <w:sz w:val="24"/>
        </w:rPr>
        <w:t>Attachment A: Forecast growth in nominal GDP</w:t>
      </w:r>
      <w:bookmarkEnd w:id="24"/>
    </w:p>
    <w:p w:rsidR="00E573F9" w:rsidRPr="00AF7424" w:rsidRDefault="00E573F9" w:rsidP="00E573F9">
      <w:pPr>
        <w:rPr>
          <w:szCs w:val="20"/>
        </w:rPr>
      </w:pPr>
      <w:r w:rsidRPr="00AF7424">
        <w:rPr>
          <w:szCs w:val="20"/>
        </w:rPr>
        <w:t xml:space="preserve">Nominal GDP is forecast to grow </w:t>
      </w:r>
      <w:r w:rsidR="003A3C9C">
        <w:rPr>
          <w:szCs w:val="20"/>
        </w:rPr>
        <w:t>4</w:t>
      </w:r>
      <w:r w:rsidRPr="00AF7424">
        <w:rPr>
          <w:szCs w:val="20"/>
        </w:rPr>
        <w:t xml:space="preserve"> per cent in 2012-13 and 5½ per cent in 2013-14. The lower forecast for 2012-13 reflects the ¼ of a percentage point downward revision to real GDP growth, softer</w:t>
      </w:r>
      <w:r w:rsidR="00E82F7B">
        <w:rPr>
          <w:szCs w:val="20"/>
        </w:rPr>
        <w:noBreakHyphen/>
      </w:r>
      <w:r w:rsidRPr="00AF7424">
        <w:rPr>
          <w:szCs w:val="20"/>
        </w:rPr>
        <w:t>than</w:t>
      </w:r>
      <w:r w:rsidR="00E82F7B">
        <w:rPr>
          <w:szCs w:val="20"/>
        </w:rPr>
        <w:noBreakHyphen/>
      </w:r>
      <w:r w:rsidRPr="00AF7424">
        <w:rPr>
          <w:szCs w:val="20"/>
        </w:rPr>
        <w:t xml:space="preserve">expected growth in domestic prices and a sharper forecast decline in the terms of trade. Forecast growth in 2013-14 is ¼ of a percentage point higher than </w:t>
      </w:r>
      <w:r>
        <w:rPr>
          <w:szCs w:val="20"/>
        </w:rPr>
        <w:t xml:space="preserve">at </w:t>
      </w:r>
      <w:r w:rsidRPr="00AF7424">
        <w:rPr>
          <w:szCs w:val="20"/>
        </w:rPr>
        <w:t>Budget.</w:t>
      </w:r>
    </w:p>
    <w:p w:rsidR="00E573F9" w:rsidRPr="002B6E1B" w:rsidRDefault="00E573F9" w:rsidP="00E573F9">
      <w:pPr>
        <w:keepNext/>
        <w:spacing w:after="0"/>
        <w:jc w:val="center"/>
        <w:rPr>
          <w:b/>
        </w:rPr>
      </w:pPr>
      <w:r>
        <w:rPr>
          <w:b/>
        </w:rPr>
        <w:t>Chart 9</w:t>
      </w:r>
      <w:r w:rsidRPr="002B6E1B">
        <w:rPr>
          <w:b/>
        </w:rPr>
        <w:t xml:space="preserve">: </w:t>
      </w:r>
      <w:r>
        <w:rPr>
          <w:b/>
        </w:rPr>
        <w:t>Decomposition of nominal GDP growth</w:t>
      </w:r>
    </w:p>
    <w:p w:rsidR="00E573F9" w:rsidRDefault="00301DC7" w:rsidP="00E573F9">
      <w:pPr>
        <w:pStyle w:val="ChartGraphic0"/>
      </w:pPr>
      <w:r>
        <w:object w:dxaOrig="8775" w:dyaOrig="4515">
          <v:shape id="_x0000_i1036" type="#_x0000_t75" style="width:438.8pt;height:225.5pt" o:ole="">
            <v:imagedata r:id="rId41" o:title=""/>
          </v:shape>
          <o:OLEObject Type="Link" ProgID="Excel.Sheet.12" ShapeID="_x0000_i1036" DrawAspect="Content" r:id="rId42" UpdateMode="OnCall">
            <o:LinkType>EnhancedMetaFile</o:LinkType>
            <o:LockedField>false</o:LockedField>
          </o:OLEObject>
        </w:object>
      </w:r>
    </w:p>
    <w:p w:rsidR="00E573F9" w:rsidRDefault="00E573F9" w:rsidP="00E573F9">
      <w:pPr>
        <w:spacing w:after="0"/>
        <w:rPr>
          <w:rFonts w:ascii="Tahoma" w:hAnsi="Tahoma" w:cs="Tahoma"/>
          <w:sz w:val="16"/>
          <w:szCs w:val="16"/>
        </w:rPr>
      </w:pPr>
      <w:r w:rsidRPr="00CB48EA">
        <w:rPr>
          <w:rFonts w:ascii="Tahoma" w:hAnsi="Tahoma" w:cs="Tahoma"/>
          <w:sz w:val="16"/>
          <w:szCs w:val="16"/>
        </w:rPr>
        <w:t>Source:</w:t>
      </w:r>
      <w:r w:rsidRPr="00C0092F">
        <w:rPr>
          <w:rFonts w:ascii="Tahoma" w:hAnsi="Tahoma" w:cs="Tahoma"/>
          <w:sz w:val="16"/>
          <w:szCs w:val="16"/>
        </w:rPr>
        <w:t xml:space="preserve">  </w:t>
      </w:r>
      <w:smartTag w:uri="urn:schemas-microsoft-com:office:smarttags" w:element="stockticker">
        <w:r w:rsidRPr="00CB48EA">
          <w:rPr>
            <w:rFonts w:ascii="Tahoma" w:hAnsi="Tahoma" w:cs="Tahoma"/>
            <w:sz w:val="16"/>
            <w:szCs w:val="16"/>
          </w:rPr>
          <w:t>ABS</w:t>
        </w:r>
      </w:smartTag>
      <w:r w:rsidRPr="00CB48EA">
        <w:rPr>
          <w:rFonts w:ascii="Tahoma" w:hAnsi="Tahoma" w:cs="Tahoma"/>
          <w:sz w:val="16"/>
          <w:szCs w:val="16"/>
        </w:rPr>
        <w:t xml:space="preserve"> Catalogue Number </w:t>
      </w:r>
      <w:r>
        <w:rPr>
          <w:rFonts w:ascii="Tahoma" w:hAnsi="Tahoma" w:cs="Tahoma"/>
          <w:sz w:val="16"/>
          <w:szCs w:val="16"/>
        </w:rPr>
        <w:t>5206</w:t>
      </w:r>
      <w:r w:rsidRPr="00CB48EA">
        <w:rPr>
          <w:rFonts w:ascii="Tahoma" w:hAnsi="Tahoma" w:cs="Tahoma"/>
          <w:sz w:val="16"/>
          <w:szCs w:val="16"/>
        </w:rPr>
        <w:t>.0 and Treasury.</w:t>
      </w:r>
    </w:p>
    <w:p w:rsidR="00E573F9" w:rsidRPr="00C0092F" w:rsidRDefault="00E573F9" w:rsidP="00E573F9">
      <w:pPr>
        <w:spacing w:after="0"/>
        <w:rPr>
          <w:rFonts w:ascii="Tahoma" w:hAnsi="Tahoma" w:cs="Tahoma"/>
          <w:sz w:val="16"/>
          <w:szCs w:val="16"/>
        </w:rPr>
      </w:pPr>
    </w:p>
    <w:p w:rsidR="00E573F9" w:rsidRPr="00AF7424" w:rsidRDefault="00E573F9" w:rsidP="00E573F9">
      <w:pPr>
        <w:rPr>
          <w:szCs w:val="20"/>
        </w:rPr>
      </w:pPr>
      <w:r w:rsidRPr="00AF7424">
        <w:rPr>
          <w:szCs w:val="20"/>
        </w:rPr>
        <w:t xml:space="preserve">Total corporate gross operating surplus (GOS) is expected to grow </w:t>
      </w:r>
      <w:r w:rsidR="0002477A">
        <w:rPr>
          <w:szCs w:val="20"/>
        </w:rPr>
        <w:t>1</w:t>
      </w:r>
      <w:r w:rsidRPr="00AF7424">
        <w:rPr>
          <w:szCs w:val="20"/>
        </w:rPr>
        <w:t xml:space="preserve"> per cent in 2012-13 and </w:t>
      </w:r>
      <w:r w:rsidR="0002477A">
        <w:rPr>
          <w:szCs w:val="20"/>
        </w:rPr>
        <w:t>7</w:t>
      </w:r>
      <w:r w:rsidRPr="00AF7424">
        <w:rPr>
          <w:szCs w:val="20"/>
        </w:rPr>
        <w:t xml:space="preserve"> per cent in 2013-14. Forecast growth in </w:t>
      </w:r>
      <w:r w:rsidR="00D7028D">
        <w:rPr>
          <w:szCs w:val="20"/>
        </w:rPr>
        <w:t xml:space="preserve">total </w:t>
      </w:r>
      <w:r w:rsidRPr="00AF7424">
        <w:rPr>
          <w:szCs w:val="20"/>
        </w:rPr>
        <w:t>GOS for 2012-13 has been revised down since Budget</w:t>
      </w:r>
      <w:r>
        <w:rPr>
          <w:szCs w:val="20"/>
        </w:rPr>
        <w:t xml:space="preserve">, largely reflecting </w:t>
      </w:r>
      <w:r w:rsidRPr="00AF7424">
        <w:rPr>
          <w:szCs w:val="20"/>
        </w:rPr>
        <w:t>weaker</w:t>
      </w:r>
      <w:r>
        <w:rPr>
          <w:szCs w:val="20"/>
        </w:rPr>
        <w:t xml:space="preserve"> forecast</w:t>
      </w:r>
      <w:r w:rsidRPr="00AF7424">
        <w:rPr>
          <w:szCs w:val="20"/>
        </w:rPr>
        <w:t xml:space="preserve"> growth in mining sector profits due to lower non-rural commodity prices. For</w:t>
      </w:r>
      <w:r>
        <w:rPr>
          <w:szCs w:val="20"/>
        </w:rPr>
        <w:t xml:space="preserve">ecast GOS growth in 2012-13 is </w:t>
      </w:r>
      <w:r w:rsidR="00D7028D">
        <w:rPr>
          <w:szCs w:val="20"/>
        </w:rPr>
        <w:t xml:space="preserve">2¼ </w:t>
      </w:r>
      <w:r w:rsidRPr="00AF7424">
        <w:rPr>
          <w:szCs w:val="20"/>
        </w:rPr>
        <w:t>percentage points weaker than Budget forecasts while growth in 2013-14 has been revised upwards by 1¼ percentage points. However, in levels terms</w:t>
      </w:r>
      <w:r>
        <w:rPr>
          <w:szCs w:val="20"/>
        </w:rPr>
        <w:t>,</w:t>
      </w:r>
      <w:r w:rsidR="00D7028D">
        <w:rPr>
          <w:szCs w:val="20"/>
        </w:rPr>
        <w:t xml:space="preserve"> GOS remains around $21</w:t>
      </w:r>
      <w:r w:rsidRPr="00AF7424">
        <w:rPr>
          <w:szCs w:val="20"/>
        </w:rPr>
        <w:t> billion lower than expected at Budget in 2013-14.</w:t>
      </w:r>
    </w:p>
    <w:p w:rsidR="00E573F9" w:rsidRPr="00AF7424" w:rsidRDefault="00E573F9" w:rsidP="00E573F9">
      <w:pPr>
        <w:rPr>
          <w:szCs w:val="20"/>
        </w:rPr>
      </w:pPr>
      <w:r w:rsidRPr="00AF7424">
        <w:rPr>
          <w:szCs w:val="20"/>
        </w:rPr>
        <w:t>Compensation of employees (COE) is forecast to grow 5¼ per cent in 2012-13 and 5 per cent in 2013</w:t>
      </w:r>
      <w:r w:rsidRPr="00AF7424">
        <w:rPr>
          <w:szCs w:val="20"/>
        </w:rPr>
        <w:noBreakHyphen/>
        <w:t xml:space="preserve">14. This growth is ¼ of a percentage point higher </w:t>
      </w:r>
      <w:r w:rsidR="002B00A3">
        <w:rPr>
          <w:szCs w:val="20"/>
        </w:rPr>
        <w:t xml:space="preserve">than at Budget </w:t>
      </w:r>
      <w:r w:rsidRPr="00AF7424">
        <w:rPr>
          <w:szCs w:val="20"/>
        </w:rPr>
        <w:t>in 2012-13</w:t>
      </w:r>
      <w:r>
        <w:rPr>
          <w:szCs w:val="20"/>
        </w:rPr>
        <w:t>,</w:t>
      </w:r>
      <w:r w:rsidRPr="00AF7424">
        <w:rPr>
          <w:szCs w:val="20"/>
        </w:rPr>
        <w:t xml:space="preserve"> reflecting the solid June quarter National Accounts outcome. Forecast growth in 2013-14 has been revised down ½ of a percentage point reflecting </w:t>
      </w:r>
      <w:r>
        <w:rPr>
          <w:szCs w:val="20"/>
        </w:rPr>
        <w:t xml:space="preserve">expectations of </w:t>
      </w:r>
      <w:r w:rsidRPr="00AF7424">
        <w:rPr>
          <w:szCs w:val="20"/>
        </w:rPr>
        <w:t>softer wage growth combined with slower employment growth</w:t>
      </w:r>
      <w:r>
        <w:rPr>
          <w:szCs w:val="20"/>
        </w:rPr>
        <w:t xml:space="preserve"> compared with Budget</w:t>
      </w:r>
      <w:r w:rsidRPr="00AF7424">
        <w:rPr>
          <w:szCs w:val="20"/>
        </w:rPr>
        <w:t>.</w:t>
      </w:r>
    </w:p>
    <w:p w:rsidR="00E573F9" w:rsidRPr="00AF7424" w:rsidRDefault="00E573F9" w:rsidP="00E573F9">
      <w:pPr>
        <w:rPr>
          <w:szCs w:val="20"/>
        </w:rPr>
      </w:pPr>
      <w:r w:rsidRPr="00AF7424">
        <w:rPr>
          <w:szCs w:val="20"/>
        </w:rPr>
        <w:t xml:space="preserve">Gross mixed income (GMI), which includes the wages and profits of farm and other unincorporated enterprises, is forecast to increase 3½ per cent in 2012-13 before growing 4 per cent in 2013-14. </w:t>
      </w:r>
    </w:p>
    <w:p w:rsidR="00E573F9" w:rsidRPr="00D319FE" w:rsidRDefault="00E573F9" w:rsidP="00E573F9">
      <w:pPr>
        <w:rPr>
          <w:szCs w:val="20"/>
        </w:rPr>
      </w:pPr>
    </w:p>
    <w:p w:rsidR="00F355E8" w:rsidRPr="005D232E" w:rsidRDefault="00F355E8" w:rsidP="00E573F9">
      <w:pPr>
        <w:pStyle w:val="Heading3"/>
      </w:pPr>
    </w:p>
    <w:sectPr w:rsidR="00F355E8" w:rsidRPr="005D232E" w:rsidSect="00CA4B93">
      <w:pgSz w:w="11907" w:h="16840" w:code="9"/>
      <w:pgMar w:top="1418" w:right="1418" w:bottom="1418" w:left="1418" w:header="567" w:footer="56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D87" w:rsidRDefault="000B5D87">
      <w:r>
        <w:separator/>
      </w:r>
    </w:p>
  </w:endnote>
  <w:endnote w:type="continuationSeparator" w:id="0">
    <w:p w:rsidR="000B5D87" w:rsidRDefault="000B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87" w:rsidRDefault="000B5D87" w:rsidP="00A37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B5D87" w:rsidRDefault="000B5D87" w:rsidP="0060744E">
    <w:pPr>
      <w:pStyle w:val="Footer"/>
      <w:ind w:right="360" w:firstLine="360"/>
      <w:jc w:val="center"/>
    </w:pPr>
    <w:r>
      <w:t>PROTECTED</w:t>
    </w:r>
    <w:r>
      <w:fldChar w:fldCharType="begin"/>
    </w:r>
    <w:r>
      <w:instrText xml:space="preserve"> COMMENTS  \* MERGEFORMAT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87" w:rsidRDefault="000B5D87" w:rsidP="00BC4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1324">
      <w:rPr>
        <w:rStyle w:val="PageNumber"/>
        <w:noProof/>
      </w:rPr>
      <w:t>2</w:t>
    </w:r>
    <w:r>
      <w:rPr>
        <w:rStyle w:val="PageNumber"/>
      </w:rPr>
      <w:fldChar w:fldCharType="end"/>
    </w:r>
  </w:p>
  <w:p w:rsidR="000B5D87" w:rsidRPr="00704E0D" w:rsidRDefault="000B5D87" w:rsidP="00704E0D">
    <w:pPr>
      <w:pStyle w:val="Classification"/>
    </w:pPr>
    <w:r w:rsidRPr="00704E0D">
      <w:t>PROTECTED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324" w:rsidRDefault="003513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87" w:rsidRDefault="000B5D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B5D87" w:rsidRDefault="000B5D87">
    <w:pPr>
      <w:pStyle w:val="Footer"/>
      <w:ind w:right="360"/>
      <w:jc w:val="right"/>
    </w:pPr>
    <w:r>
      <w:fldChar w:fldCharType="begin"/>
    </w:r>
    <w:r>
      <w:instrText xml:space="preserve"> COMMENTS  \* MERGEFORMAT </w:instrTex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87" w:rsidRDefault="000B5D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1324">
      <w:rPr>
        <w:rStyle w:val="PageNumber"/>
        <w:noProof/>
      </w:rPr>
      <w:t>3</w:t>
    </w:r>
    <w:r>
      <w:rPr>
        <w:rStyle w:val="PageNumber"/>
      </w:rPr>
      <w:fldChar w:fldCharType="end"/>
    </w:r>
  </w:p>
  <w:p w:rsidR="000B5D87" w:rsidRDefault="000B5D87">
    <w:pPr>
      <w:pStyle w:val="Footer"/>
      <w:ind w:right="360"/>
      <w:jc w:val="right"/>
    </w:pPr>
    <w:r>
      <w:fldChar w:fldCharType="begin"/>
    </w:r>
    <w:r>
      <w:instrText xml:space="preserve"> COMMENTS  \* MERGEFORMAT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D87" w:rsidRDefault="000B5D87">
      <w:pPr>
        <w:pStyle w:val="TableBodyText"/>
        <w:spacing w:before="120" w:after="120"/>
      </w:pPr>
      <w:r>
        <w:separator/>
      </w:r>
    </w:p>
  </w:footnote>
  <w:footnote w:type="continuationSeparator" w:id="0">
    <w:p w:rsidR="000B5D87" w:rsidRDefault="000B5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324" w:rsidRDefault="003513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87" w:rsidRPr="00704E0D" w:rsidRDefault="000B5D87" w:rsidP="00704E0D">
    <w:pPr>
      <w:pStyle w:val="StatementContentsHeading"/>
      <w:rPr>
        <w:sz w:val="20"/>
        <w:szCs w:val="20"/>
      </w:rPr>
    </w:pPr>
    <w:r w:rsidRPr="00704E0D">
      <w:rPr>
        <w:sz w:val="20"/>
        <w:szCs w:val="20"/>
      </w:rPr>
      <w:t xml:space="preserve">PROTECTED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324" w:rsidRDefault="0035132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87" w:rsidRDefault="00351324">
    <w:pPr>
      <w:framePr w:wrap="around" w:vAnchor="page" w:hAnchor="margin" w:x="14460" w:y="7939" w:anchorLock="1"/>
      <w:rPr>
        <w:rStyle w:val="FramedHeader"/>
      </w:rPr>
    </w:pPr>
    <w:r>
      <w:fldChar w:fldCharType="begin"/>
    </w:r>
    <w:r>
      <w:instrText xml:space="preserve"> TITLE  \* MERGEFORMAT </w:instrText>
    </w:r>
    <w:r>
      <w:fldChar w:fldCharType="separate"/>
    </w:r>
    <w:r w:rsidR="00DC3CD8" w:rsidRPr="00DC3CD8">
      <w:rPr>
        <w:rStyle w:val="FramedHeader"/>
      </w:rPr>
      <w:t>March 06 Forecasting Report</w:t>
    </w:r>
    <w:r>
      <w:rPr>
        <w:rStyle w:val="FramedHeader"/>
      </w:rPr>
      <w:fldChar w:fldCharType="end"/>
    </w:r>
  </w:p>
  <w:p w:rsidR="000B5D87" w:rsidRPr="00841CE6" w:rsidRDefault="000B5D87">
    <w:pPr>
      <w:pStyle w:val="Header"/>
      <w:jc w:val="center"/>
      <w:rPr>
        <w:rFonts w:asciiTheme="majorHAnsi" w:hAnsiTheme="majorHAnsi"/>
        <w:b/>
        <w:sz w:val="24"/>
      </w:rPr>
    </w:pPr>
    <w:r w:rsidRPr="00841CE6">
      <w:rPr>
        <w:rStyle w:val="FramedHeader"/>
        <w:rFonts w:asciiTheme="majorHAnsi" w:hAnsiTheme="majorHAnsi"/>
        <w:b/>
      </w:rPr>
      <w:t>PROTECTED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A85"/>
    <w:multiLevelType w:val="singleLevel"/>
    <w:tmpl w:val="DCE4D020"/>
    <w:lvl w:ilvl="0">
      <w:start w:val="1"/>
      <w:numFmt w:val="bullet"/>
      <w:lvlText w:val=""/>
      <w:lvlJc w:val="left"/>
      <w:pPr>
        <w:tabs>
          <w:tab w:val="num" w:pos="646"/>
        </w:tabs>
        <w:ind w:left="283" w:firstLine="0"/>
      </w:pPr>
      <w:rPr>
        <w:rFonts w:ascii="Symbol" w:hAnsi="Symbol"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6AE7C12"/>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2">
    <w:nsid w:val="08A9749B"/>
    <w:multiLevelType w:val="singleLevel"/>
    <w:tmpl w:val="1AFCA92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EDA661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F223A74"/>
    <w:multiLevelType w:val="singleLevel"/>
    <w:tmpl w:val="6DDCFA48"/>
    <w:lvl w:ilvl="0">
      <w:start w:val="1"/>
      <w:numFmt w:val="bullet"/>
      <w:lvlText w:val=""/>
      <w:lvlJc w:val="left"/>
      <w:pPr>
        <w:tabs>
          <w:tab w:val="num" w:pos="646"/>
        </w:tabs>
        <w:ind w:left="283" w:firstLine="0"/>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76D5FE2"/>
    <w:multiLevelType w:val="singleLevel"/>
    <w:tmpl w:val="34E6B6C8"/>
    <w:lvl w:ilvl="0">
      <w:start w:val="1"/>
      <w:numFmt w:val="bullet"/>
      <w:lvlText w:val=""/>
      <w:lvlJc w:val="left"/>
      <w:pPr>
        <w:tabs>
          <w:tab w:val="num" w:pos="357"/>
        </w:tabs>
        <w:ind w:left="283" w:hanging="283"/>
      </w:pPr>
      <w:rPr>
        <w:rFonts w:ascii="Symbol" w:hAnsi="Symbol" w:hint="default"/>
        <w:b w:val="0"/>
        <w:i w:val="0"/>
        <w:caps w:val="0"/>
        <w:small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8437A7E"/>
    <w:multiLevelType w:val="singleLevel"/>
    <w:tmpl w:val="5C7ECCA4"/>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D544A88"/>
    <w:multiLevelType w:val="singleLevel"/>
    <w:tmpl w:val="82520A5E"/>
    <w:lvl w:ilvl="0">
      <w:start w:val="1"/>
      <w:numFmt w:val="bullet"/>
      <w:lvlText w:val=":"/>
      <w:lvlJc w:val="left"/>
      <w:pPr>
        <w:tabs>
          <w:tab w:val="num" w:pos="357"/>
        </w:tabs>
        <w:ind w:left="283" w:hanging="283"/>
      </w:pPr>
      <w:rPr>
        <w:rFonts w:ascii="Times New Roman" w:hAnsi="Times New Roman" w:hint="default"/>
      </w:rPr>
    </w:lvl>
  </w:abstractNum>
  <w:abstractNum w:abstractNumId="8">
    <w:nsid w:val="1DDC458A"/>
    <w:multiLevelType w:val="singleLevel"/>
    <w:tmpl w:val="CEE49C2E"/>
    <w:lvl w:ilvl="0">
      <w:start w:val="1"/>
      <w:numFmt w:val="bullet"/>
      <w:lvlText w:val=""/>
      <w:lvlJc w:val="left"/>
      <w:pPr>
        <w:tabs>
          <w:tab w:val="num" w:pos="646"/>
        </w:tabs>
        <w:ind w:left="283" w:firstLine="0"/>
      </w:pPr>
      <w:rPr>
        <w:rFonts w:ascii="Symbol" w:hAnsi="Symbol" w:hint="default"/>
      </w:rPr>
    </w:lvl>
  </w:abstractNum>
  <w:abstractNum w:abstractNumId="9">
    <w:nsid w:val="1FE37260"/>
    <w:multiLevelType w:val="singleLevel"/>
    <w:tmpl w:val="67BCF81E"/>
    <w:lvl w:ilvl="0">
      <w:start w:val="1"/>
      <w:numFmt w:val="bullet"/>
      <w:lvlText w:val=":"/>
      <w:lvlJc w:val="left"/>
      <w:pPr>
        <w:tabs>
          <w:tab w:val="num" w:pos="357"/>
        </w:tabs>
        <w:ind w:left="283" w:hanging="283"/>
      </w:pPr>
      <w:rPr>
        <w:rFonts w:ascii="Times New Roman" w:hAnsi="Times New Roman" w:hint="default"/>
        <w:b/>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2A1312D"/>
    <w:multiLevelType w:val="singleLevel"/>
    <w:tmpl w:val="8A7C2128"/>
    <w:lvl w:ilvl="0">
      <w:start w:val="1"/>
      <w:numFmt w:val="bullet"/>
      <w:lvlText w:val=""/>
      <w:lvlJc w:val="left"/>
      <w:pPr>
        <w:tabs>
          <w:tab w:val="num" w:pos="357"/>
        </w:tabs>
        <w:ind w:left="283" w:hanging="283"/>
      </w:pPr>
      <w:rPr>
        <w:rFonts w:ascii="Symbol" w:hAnsi="Symbol" w:hint="default"/>
        <w:b/>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4B57EF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4CF4120"/>
    <w:multiLevelType w:val="singleLevel"/>
    <w:tmpl w:val="5492F112"/>
    <w:lvl w:ilvl="0">
      <w:start w:val="1"/>
      <w:numFmt w:val="bullet"/>
      <w:lvlText w:val=":"/>
      <w:lvlJc w:val="left"/>
      <w:pPr>
        <w:tabs>
          <w:tab w:val="num" w:pos="357"/>
        </w:tabs>
        <w:ind w:left="283" w:hanging="283"/>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5C11C65"/>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82E3003"/>
    <w:multiLevelType w:val="multilevel"/>
    <w:tmpl w:val="6C9CFC8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D0E35FC"/>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2D7063CC"/>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17">
    <w:nsid w:val="2E5C45A1"/>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2F562DFF"/>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42115B6"/>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4821DA8"/>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21">
    <w:nsid w:val="35107270"/>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22">
    <w:nsid w:val="370A3197"/>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3A564359"/>
    <w:multiLevelType w:val="singleLevel"/>
    <w:tmpl w:val="89B44092"/>
    <w:lvl w:ilvl="0">
      <w:start w:val="1"/>
      <w:numFmt w:val="bullet"/>
      <w:lvlText w:val=":"/>
      <w:lvlJc w:val="left"/>
      <w:pPr>
        <w:tabs>
          <w:tab w:val="num" w:pos="357"/>
        </w:tabs>
        <w:ind w:left="283" w:hanging="283"/>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3B2E19AC"/>
    <w:multiLevelType w:val="singleLevel"/>
    <w:tmpl w:val="C4EE5A3C"/>
    <w:lvl w:ilvl="0">
      <w:start w:val="1"/>
      <w:numFmt w:val="lowerLetter"/>
      <w:lvlText w:val="(%1)"/>
      <w:lvlJc w:val="left"/>
      <w:pPr>
        <w:tabs>
          <w:tab w:val="num" w:pos="284"/>
        </w:tabs>
        <w:ind w:left="284" w:hanging="284"/>
      </w:pPr>
      <w:rPr>
        <w:rFonts w:ascii="Arial" w:hAnsi="Arial" w:cs="Arial"/>
        <w:b w:val="0"/>
        <w:i w:val="0"/>
        <w:color w:val="000000"/>
        <w:sz w:val="16"/>
      </w:rPr>
    </w:lvl>
  </w:abstractNum>
  <w:abstractNum w:abstractNumId="25">
    <w:nsid w:val="3B8B757B"/>
    <w:multiLevelType w:val="singleLevel"/>
    <w:tmpl w:val="3D8230E8"/>
    <w:lvl w:ilvl="0">
      <w:start w:val="2"/>
      <w:numFmt w:val="decimal"/>
      <w:lvlText w:val="%1."/>
      <w:lvlJc w:val="left"/>
      <w:pPr>
        <w:tabs>
          <w:tab w:val="num" w:pos="567"/>
        </w:tabs>
        <w:ind w:left="0" w:firstLine="0"/>
      </w:pPr>
    </w:lvl>
  </w:abstractNum>
  <w:abstractNum w:abstractNumId="26">
    <w:nsid w:val="3CF65E56"/>
    <w:multiLevelType w:val="multilevel"/>
    <w:tmpl w:val="736EC11E"/>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D14750E"/>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45BD1CE8"/>
    <w:multiLevelType w:val="singleLevel"/>
    <w:tmpl w:val="3A66CC42"/>
    <w:lvl w:ilvl="0">
      <w:start w:val="1"/>
      <w:numFmt w:val="bullet"/>
      <w:lvlText w:val=":"/>
      <w:lvlJc w:val="left"/>
      <w:pPr>
        <w:tabs>
          <w:tab w:val="num" w:pos="357"/>
        </w:tabs>
        <w:ind w:left="283" w:hanging="283"/>
      </w:pPr>
      <w:rPr>
        <w:rFonts w:ascii="Times New Roman" w:hAnsi="Times New Roman"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4891232E"/>
    <w:multiLevelType w:val="singleLevel"/>
    <w:tmpl w:val="C4EE5A3C"/>
    <w:lvl w:ilvl="0">
      <w:start w:val="1"/>
      <w:numFmt w:val="lowerLetter"/>
      <w:lvlText w:val="(%1)"/>
      <w:lvlJc w:val="left"/>
      <w:pPr>
        <w:tabs>
          <w:tab w:val="num" w:pos="284"/>
        </w:tabs>
        <w:ind w:left="284" w:hanging="284"/>
      </w:pPr>
      <w:rPr>
        <w:rFonts w:ascii="Arial" w:hAnsi="Arial" w:cs="Arial"/>
        <w:b w:val="0"/>
        <w:i w:val="0"/>
        <w:color w:val="000000"/>
        <w:sz w:val="16"/>
      </w:rPr>
    </w:lvl>
  </w:abstractNum>
  <w:abstractNum w:abstractNumId="30">
    <w:nsid w:val="4EC400C9"/>
    <w:multiLevelType w:val="singleLevel"/>
    <w:tmpl w:val="98F43534"/>
    <w:lvl w:ilvl="0">
      <w:start w:val="1"/>
      <w:numFmt w:val="bullet"/>
      <w:lvlText w:val=""/>
      <w:lvlJc w:val="left"/>
      <w:pPr>
        <w:tabs>
          <w:tab w:val="num" w:pos="644"/>
        </w:tabs>
        <w:ind w:left="284" w:firstLine="0"/>
      </w:pPr>
      <w:rPr>
        <w:rFonts w:ascii="Symbol" w:hAnsi="Symbol" w:hint="default"/>
      </w:rPr>
    </w:lvl>
  </w:abstractNum>
  <w:abstractNum w:abstractNumId="31">
    <w:nsid w:val="5193406B"/>
    <w:multiLevelType w:val="singleLevel"/>
    <w:tmpl w:val="F1CA772E"/>
    <w:lvl w:ilvl="0">
      <w:start w:val="1"/>
      <w:numFmt w:val="decimal"/>
      <w:lvlText w:val="(%1)"/>
      <w:lvlJc w:val="left"/>
      <w:pPr>
        <w:tabs>
          <w:tab w:val="num" w:pos="360"/>
        </w:tabs>
        <w:ind w:left="360" w:hanging="360"/>
      </w:pPr>
      <w:rPr>
        <w:rFonts w:hint="default"/>
      </w:rPr>
    </w:lvl>
  </w:abstractNum>
  <w:abstractNum w:abstractNumId="32">
    <w:nsid w:val="547E38A7"/>
    <w:multiLevelType w:val="singleLevel"/>
    <w:tmpl w:val="84F6721A"/>
    <w:lvl w:ilvl="0">
      <w:start w:val="1"/>
      <w:numFmt w:val="bullet"/>
      <w:lvlText w:val=""/>
      <w:lvlJc w:val="left"/>
      <w:pPr>
        <w:tabs>
          <w:tab w:val="num" w:pos="646"/>
        </w:tabs>
        <w:ind w:left="283" w:firstLine="0"/>
      </w:pPr>
      <w:rPr>
        <w:rFonts w:ascii="Symbol" w:hAnsi="Symbol" w:hint="default"/>
        <w:sz w:val="16"/>
      </w:rPr>
    </w:lvl>
  </w:abstractNum>
  <w:abstractNum w:abstractNumId="33">
    <w:nsid w:val="5B33048F"/>
    <w:multiLevelType w:val="singleLevel"/>
    <w:tmpl w:val="C9986A86"/>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nsid w:val="5E8E299C"/>
    <w:multiLevelType w:val="multilevel"/>
    <w:tmpl w:val="9FCE466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0A30A93"/>
    <w:multiLevelType w:val="singleLevel"/>
    <w:tmpl w:val="5A7493FC"/>
    <w:lvl w:ilvl="0">
      <w:start w:val="1"/>
      <w:numFmt w:val="bullet"/>
      <w:lvlText w:val=""/>
      <w:lvlJc w:val="left"/>
      <w:pPr>
        <w:tabs>
          <w:tab w:val="num" w:pos="360"/>
        </w:tabs>
        <w:ind w:left="284" w:hanging="284"/>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61AA731F"/>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621C1811"/>
    <w:multiLevelType w:val="singleLevel"/>
    <w:tmpl w:val="3E603EAC"/>
    <w:lvl w:ilvl="0">
      <w:start w:val="1"/>
      <w:numFmt w:val="bullet"/>
      <w:lvlText w:val=""/>
      <w:lvlJc w:val="left"/>
      <w:pPr>
        <w:tabs>
          <w:tab w:val="num" w:pos="644"/>
        </w:tabs>
        <w:ind w:left="284" w:firstLine="0"/>
      </w:pPr>
      <w:rPr>
        <w:rFonts w:ascii="Symbol" w:hAnsi="Symbol" w:hint="default"/>
      </w:rPr>
    </w:lvl>
  </w:abstractNum>
  <w:abstractNum w:abstractNumId="38">
    <w:nsid w:val="66022277"/>
    <w:multiLevelType w:val="singleLevel"/>
    <w:tmpl w:val="644063B8"/>
    <w:name w:val="StandardNumberedParagraphList"/>
    <w:lvl w:ilvl="0">
      <w:start w:val="1"/>
      <w:numFmt w:val="lowerLetter"/>
      <w:lvlRestart w:val="0"/>
      <w:lvlText w:val="(%1)"/>
      <w:lvlJc w:val="left"/>
      <w:pPr>
        <w:tabs>
          <w:tab w:val="num" w:pos="283"/>
        </w:tabs>
        <w:ind w:left="283" w:hanging="283"/>
      </w:pPr>
      <w:rPr>
        <w:rFonts w:ascii="Arial" w:hAnsi="Arial" w:hint="default"/>
      </w:rPr>
    </w:lvl>
  </w:abstractNum>
  <w:abstractNum w:abstractNumId="39">
    <w:nsid w:val="688B65E3"/>
    <w:multiLevelType w:val="singleLevel"/>
    <w:tmpl w:val="17D6EA24"/>
    <w:lvl w:ilvl="0">
      <w:start w:val="1"/>
      <w:numFmt w:val="bullet"/>
      <w:lvlText w:val=""/>
      <w:lvlJc w:val="left"/>
      <w:pPr>
        <w:tabs>
          <w:tab w:val="num" w:pos="357"/>
        </w:tabs>
        <w:ind w:left="283" w:hanging="283"/>
      </w:pPr>
      <w:rPr>
        <w:rFonts w:ascii="Symbol" w:hAnsi="Symbol" w:hint="default"/>
        <w:b w:val="0"/>
        <w:i w:val="0"/>
        <w:caps w:val="0"/>
        <w:small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nsid w:val="70A0748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nsid w:val="73E439CC"/>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7401214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nsid w:val="7B9B3620"/>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44">
    <w:nsid w:val="7F2501AC"/>
    <w:multiLevelType w:val="singleLevel"/>
    <w:tmpl w:val="E11C7A36"/>
    <w:lvl w:ilvl="0">
      <w:start w:val="1"/>
      <w:numFmt w:val="bullet"/>
      <w:lvlText w:val=""/>
      <w:lvlJc w:val="left"/>
      <w:pPr>
        <w:tabs>
          <w:tab w:val="num" w:pos="360"/>
        </w:tabs>
        <w:ind w:left="284" w:hanging="284"/>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7F9E35A3"/>
    <w:multiLevelType w:val="singleLevel"/>
    <w:tmpl w:val="04090019"/>
    <w:lvl w:ilvl="0">
      <w:start w:val="1"/>
      <w:numFmt w:val="lowerLetter"/>
      <w:lvlText w:val="(%1)"/>
      <w:lvlJc w:val="left"/>
      <w:pPr>
        <w:tabs>
          <w:tab w:val="num" w:pos="360"/>
        </w:tabs>
        <w:ind w:left="360" w:hanging="360"/>
      </w:pPr>
      <w:rPr>
        <w:rFonts w:hint="default"/>
      </w:rPr>
    </w:lvl>
  </w:abstractNum>
  <w:num w:numId="1">
    <w:abstractNumId w:val="35"/>
  </w:num>
  <w:num w:numId="2">
    <w:abstractNumId w:val="30"/>
  </w:num>
  <w:num w:numId="3">
    <w:abstractNumId w:val="20"/>
  </w:num>
  <w:num w:numId="4">
    <w:abstractNumId w:val="44"/>
  </w:num>
  <w:num w:numId="5">
    <w:abstractNumId w:val="11"/>
  </w:num>
  <w:num w:numId="6">
    <w:abstractNumId w:val="15"/>
  </w:num>
  <w:num w:numId="7">
    <w:abstractNumId w:val="19"/>
  </w:num>
  <w:num w:numId="8">
    <w:abstractNumId w:val="37"/>
  </w:num>
  <w:num w:numId="9">
    <w:abstractNumId w:val="40"/>
  </w:num>
  <w:num w:numId="10">
    <w:abstractNumId w:val="16"/>
  </w:num>
  <w:num w:numId="11">
    <w:abstractNumId w:val="36"/>
  </w:num>
  <w:num w:numId="12">
    <w:abstractNumId w:val="21"/>
  </w:num>
  <w:num w:numId="13">
    <w:abstractNumId w:val="43"/>
  </w:num>
  <w:num w:numId="14">
    <w:abstractNumId w:val="13"/>
  </w:num>
  <w:num w:numId="15">
    <w:abstractNumId w:val="1"/>
  </w:num>
  <w:num w:numId="16">
    <w:abstractNumId w:val="7"/>
  </w:num>
  <w:num w:numId="17">
    <w:abstractNumId w:val="33"/>
  </w:num>
  <w:num w:numId="18">
    <w:abstractNumId w:val="4"/>
  </w:num>
  <w:num w:numId="19">
    <w:abstractNumId w:val="28"/>
  </w:num>
  <w:num w:numId="20">
    <w:abstractNumId w:val="2"/>
  </w:num>
  <w:num w:numId="21">
    <w:abstractNumId w:val="6"/>
  </w:num>
  <w:num w:numId="22">
    <w:abstractNumId w:val="8"/>
  </w:num>
  <w:num w:numId="23">
    <w:abstractNumId w:val="23"/>
  </w:num>
  <w:num w:numId="24">
    <w:abstractNumId w:val="45"/>
  </w:num>
  <w:num w:numId="25">
    <w:abstractNumId w:val="17"/>
  </w:num>
  <w:num w:numId="26">
    <w:abstractNumId w:val="41"/>
  </w:num>
  <w:num w:numId="27">
    <w:abstractNumId w:val="3"/>
  </w:num>
  <w:num w:numId="28">
    <w:abstractNumId w:val="22"/>
  </w:num>
  <w:num w:numId="29">
    <w:abstractNumId w:val="18"/>
  </w:num>
  <w:num w:numId="30">
    <w:abstractNumId w:val="27"/>
  </w:num>
  <w:num w:numId="31">
    <w:abstractNumId w:val="42"/>
  </w:num>
  <w:num w:numId="32">
    <w:abstractNumId w:val="10"/>
  </w:num>
  <w:num w:numId="33">
    <w:abstractNumId w:val="32"/>
  </w:num>
  <w:num w:numId="34">
    <w:abstractNumId w:val="9"/>
  </w:num>
  <w:num w:numId="35">
    <w:abstractNumId w:val="5"/>
  </w:num>
  <w:num w:numId="36">
    <w:abstractNumId w:val="0"/>
  </w:num>
  <w:num w:numId="37">
    <w:abstractNumId w:val="12"/>
  </w:num>
  <w:num w:numId="38">
    <w:abstractNumId w:val="39"/>
  </w:num>
  <w:num w:numId="39">
    <w:abstractNumId w:val="38"/>
  </w:num>
  <w:num w:numId="40">
    <w:abstractNumId w:val="31"/>
  </w:num>
  <w:num w:numId="41">
    <w:abstractNumId w:val="25"/>
  </w:num>
  <w:num w:numId="42">
    <w:abstractNumId w:val="14"/>
  </w:num>
  <w:num w:numId="43">
    <w:abstractNumId w:val="26"/>
  </w:num>
  <w:num w:numId="44">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594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EE6"/>
    <w:rsid w:val="000007E9"/>
    <w:rsid w:val="00000E3B"/>
    <w:rsid w:val="00000F89"/>
    <w:rsid w:val="0000168C"/>
    <w:rsid w:val="00001847"/>
    <w:rsid w:val="00001ECA"/>
    <w:rsid w:val="00001ED7"/>
    <w:rsid w:val="00001F20"/>
    <w:rsid w:val="000024DE"/>
    <w:rsid w:val="00002B6E"/>
    <w:rsid w:val="000032D9"/>
    <w:rsid w:val="0000336A"/>
    <w:rsid w:val="00003654"/>
    <w:rsid w:val="0000396B"/>
    <w:rsid w:val="00003AB4"/>
    <w:rsid w:val="00003D87"/>
    <w:rsid w:val="0000421E"/>
    <w:rsid w:val="000044D9"/>
    <w:rsid w:val="000048F1"/>
    <w:rsid w:val="00004D90"/>
    <w:rsid w:val="00004F72"/>
    <w:rsid w:val="000051F3"/>
    <w:rsid w:val="0000520C"/>
    <w:rsid w:val="00005608"/>
    <w:rsid w:val="000058E4"/>
    <w:rsid w:val="00005A9F"/>
    <w:rsid w:val="00005D3C"/>
    <w:rsid w:val="00006587"/>
    <w:rsid w:val="00006910"/>
    <w:rsid w:val="00006A6A"/>
    <w:rsid w:val="00006E4D"/>
    <w:rsid w:val="00007037"/>
    <w:rsid w:val="00007138"/>
    <w:rsid w:val="0000744F"/>
    <w:rsid w:val="00007475"/>
    <w:rsid w:val="0000776A"/>
    <w:rsid w:val="00007813"/>
    <w:rsid w:val="0000785F"/>
    <w:rsid w:val="00007DA9"/>
    <w:rsid w:val="0001006B"/>
    <w:rsid w:val="00010FD8"/>
    <w:rsid w:val="00011C71"/>
    <w:rsid w:val="00012704"/>
    <w:rsid w:val="00012A49"/>
    <w:rsid w:val="00012B6C"/>
    <w:rsid w:val="00012B77"/>
    <w:rsid w:val="00012D40"/>
    <w:rsid w:val="00013369"/>
    <w:rsid w:val="000133E2"/>
    <w:rsid w:val="000144FD"/>
    <w:rsid w:val="0001469E"/>
    <w:rsid w:val="00014D9D"/>
    <w:rsid w:val="00014F14"/>
    <w:rsid w:val="00015306"/>
    <w:rsid w:val="000154D0"/>
    <w:rsid w:val="0001590F"/>
    <w:rsid w:val="00015E50"/>
    <w:rsid w:val="000164DE"/>
    <w:rsid w:val="00016578"/>
    <w:rsid w:val="0001662D"/>
    <w:rsid w:val="00016694"/>
    <w:rsid w:val="00016799"/>
    <w:rsid w:val="000168A0"/>
    <w:rsid w:val="00017156"/>
    <w:rsid w:val="0001742B"/>
    <w:rsid w:val="000179D9"/>
    <w:rsid w:val="00017A31"/>
    <w:rsid w:val="00017BF6"/>
    <w:rsid w:val="00017C34"/>
    <w:rsid w:val="00017F7B"/>
    <w:rsid w:val="00020529"/>
    <w:rsid w:val="000209D4"/>
    <w:rsid w:val="00020A12"/>
    <w:rsid w:val="00020BE0"/>
    <w:rsid w:val="00020C26"/>
    <w:rsid w:val="00020EF0"/>
    <w:rsid w:val="000215D4"/>
    <w:rsid w:val="00021D40"/>
    <w:rsid w:val="00021FD2"/>
    <w:rsid w:val="00022821"/>
    <w:rsid w:val="00022ABD"/>
    <w:rsid w:val="00022BBD"/>
    <w:rsid w:val="00022DE1"/>
    <w:rsid w:val="00023203"/>
    <w:rsid w:val="00023403"/>
    <w:rsid w:val="0002345B"/>
    <w:rsid w:val="000237FC"/>
    <w:rsid w:val="0002477A"/>
    <w:rsid w:val="000250E5"/>
    <w:rsid w:val="00025281"/>
    <w:rsid w:val="000258BF"/>
    <w:rsid w:val="000258CC"/>
    <w:rsid w:val="00025946"/>
    <w:rsid w:val="00025AF2"/>
    <w:rsid w:val="00026305"/>
    <w:rsid w:val="0002670C"/>
    <w:rsid w:val="000268F1"/>
    <w:rsid w:val="00026F4A"/>
    <w:rsid w:val="00027E91"/>
    <w:rsid w:val="0003024F"/>
    <w:rsid w:val="00030895"/>
    <w:rsid w:val="00030A75"/>
    <w:rsid w:val="00030FEC"/>
    <w:rsid w:val="000312DD"/>
    <w:rsid w:val="000313E0"/>
    <w:rsid w:val="00031628"/>
    <w:rsid w:val="00031965"/>
    <w:rsid w:val="00031BB7"/>
    <w:rsid w:val="00031BF9"/>
    <w:rsid w:val="00032191"/>
    <w:rsid w:val="00032A80"/>
    <w:rsid w:val="00032DA2"/>
    <w:rsid w:val="000339CA"/>
    <w:rsid w:val="00033B05"/>
    <w:rsid w:val="00033D2A"/>
    <w:rsid w:val="00033DDD"/>
    <w:rsid w:val="0003423D"/>
    <w:rsid w:val="00034450"/>
    <w:rsid w:val="00034755"/>
    <w:rsid w:val="00034B13"/>
    <w:rsid w:val="00034D5E"/>
    <w:rsid w:val="000353BA"/>
    <w:rsid w:val="00035C48"/>
    <w:rsid w:val="00035D8E"/>
    <w:rsid w:val="00035EA0"/>
    <w:rsid w:val="00035F2D"/>
    <w:rsid w:val="00035F8B"/>
    <w:rsid w:val="00035FCB"/>
    <w:rsid w:val="000360C1"/>
    <w:rsid w:val="000364AD"/>
    <w:rsid w:val="0003672D"/>
    <w:rsid w:val="00036879"/>
    <w:rsid w:val="00036EEC"/>
    <w:rsid w:val="000373FA"/>
    <w:rsid w:val="0003768F"/>
    <w:rsid w:val="0003784F"/>
    <w:rsid w:val="00037DDD"/>
    <w:rsid w:val="000401BC"/>
    <w:rsid w:val="000401DE"/>
    <w:rsid w:val="000403CD"/>
    <w:rsid w:val="000405C7"/>
    <w:rsid w:val="0004081C"/>
    <w:rsid w:val="0004100A"/>
    <w:rsid w:val="000410EF"/>
    <w:rsid w:val="000419A9"/>
    <w:rsid w:val="00041AA5"/>
    <w:rsid w:val="000426EA"/>
    <w:rsid w:val="00042D41"/>
    <w:rsid w:val="00042E8C"/>
    <w:rsid w:val="000430A2"/>
    <w:rsid w:val="00043EBF"/>
    <w:rsid w:val="00044569"/>
    <w:rsid w:val="00044A73"/>
    <w:rsid w:val="0004510F"/>
    <w:rsid w:val="00045533"/>
    <w:rsid w:val="0004566C"/>
    <w:rsid w:val="000458F6"/>
    <w:rsid w:val="00045976"/>
    <w:rsid w:val="000459F5"/>
    <w:rsid w:val="00046D2C"/>
    <w:rsid w:val="00047449"/>
    <w:rsid w:val="00047F8E"/>
    <w:rsid w:val="0005012C"/>
    <w:rsid w:val="000501BB"/>
    <w:rsid w:val="000501DE"/>
    <w:rsid w:val="00050FB5"/>
    <w:rsid w:val="0005100D"/>
    <w:rsid w:val="000510A0"/>
    <w:rsid w:val="00051203"/>
    <w:rsid w:val="000516B9"/>
    <w:rsid w:val="00051A70"/>
    <w:rsid w:val="00052210"/>
    <w:rsid w:val="000523D3"/>
    <w:rsid w:val="00052D8C"/>
    <w:rsid w:val="00052EAF"/>
    <w:rsid w:val="0005334E"/>
    <w:rsid w:val="000534CA"/>
    <w:rsid w:val="000537A7"/>
    <w:rsid w:val="000537E4"/>
    <w:rsid w:val="0005389A"/>
    <w:rsid w:val="00053DC6"/>
    <w:rsid w:val="00053E4E"/>
    <w:rsid w:val="000544A2"/>
    <w:rsid w:val="00054888"/>
    <w:rsid w:val="000549BC"/>
    <w:rsid w:val="00054D0B"/>
    <w:rsid w:val="00055305"/>
    <w:rsid w:val="00055377"/>
    <w:rsid w:val="00055F8E"/>
    <w:rsid w:val="000561D9"/>
    <w:rsid w:val="0005639B"/>
    <w:rsid w:val="000566BD"/>
    <w:rsid w:val="000569C4"/>
    <w:rsid w:val="00056D2B"/>
    <w:rsid w:val="00056DD5"/>
    <w:rsid w:val="00056ECD"/>
    <w:rsid w:val="00056FA0"/>
    <w:rsid w:val="000570B8"/>
    <w:rsid w:val="00057219"/>
    <w:rsid w:val="00057619"/>
    <w:rsid w:val="00057FEB"/>
    <w:rsid w:val="00061239"/>
    <w:rsid w:val="000617F6"/>
    <w:rsid w:val="000618C5"/>
    <w:rsid w:val="000619FA"/>
    <w:rsid w:val="00061E7E"/>
    <w:rsid w:val="00061F06"/>
    <w:rsid w:val="00062179"/>
    <w:rsid w:val="00062296"/>
    <w:rsid w:val="0006236F"/>
    <w:rsid w:val="0006295A"/>
    <w:rsid w:val="00062C40"/>
    <w:rsid w:val="00063A9F"/>
    <w:rsid w:val="00063E62"/>
    <w:rsid w:val="00063FE2"/>
    <w:rsid w:val="00064071"/>
    <w:rsid w:val="00064179"/>
    <w:rsid w:val="00064748"/>
    <w:rsid w:val="00064AB4"/>
    <w:rsid w:val="00065168"/>
    <w:rsid w:val="000656FF"/>
    <w:rsid w:val="000657E9"/>
    <w:rsid w:val="00065811"/>
    <w:rsid w:val="00065CCB"/>
    <w:rsid w:val="00065D28"/>
    <w:rsid w:val="000660EC"/>
    <w:rsid w:val="000664B6"/>
    <w:rsid w:val="00066565"/>
    <w:rsid w:val="00066F39"/>
    <w:rsid w:val="00066F40"/>
    <w:rsid w:val="00067383"/>
    <w:rsid w:val="000679BF"/>
    <w:rsid w:val="00067CA6"/>
    <w:rsid w:val="00070767"/>
    <w:rsid w:val="000707BB"/>
    <w:rsid w:val="00070B41"/>
    <w:rsid w:val="00070E1C"/>
    <w:rsid w:val="00071129"/>
    <w:rsid w:val="00071AF8"/>
    <w:rsid w:val="00071D8C"/>
    <w:rsid w:val="00073003"/>
    <w:rsid w:val="000736F9"/>
    <w:rsid w:val="00073E40"/>
    <w:rsid w:val="00074186"/>
    <w:rsid w:val="00074216"/>
    <w:rsid w:val="0007428B"/>
    <w:rsid w:val="000742DD"/>
    <w:rsid w:val="0007438D"/>
    <w:rsid w:val="0007444C"/>
    <w:rsid w:val="0007453A"/>
    <w:rsid w:val="0007456F"/>
    <w:rsid w:val="000747B3"/>
    <w:rsid w:val="000753F5"/>
    <w:rsid w:val="00075889"/>
    <w:rsid w:val="000763A2"/>
    <w:rsid w:val="00076B12"/>
    <w:rsid w:val="00076B2B"/>
    <w:rsid w:val="00076EF4"/>
    <w:rsid w:val="0007712B"/>
    <w:rsid w:val="000773F4"/>
    <w:rsid w:val="000779E7"/>
    <w:rsid w:val="0008026B"/>
    <w:rsid w:val="00080673"/>
    <w:rsid w:val="0008103D"/>
    <w:rsid w:val="00081333"/>
    <w:rsid w:val="0008183C"/>
    <w:rsid w:val="00081C5A"/>
    <w:rsid w:val="00082638"/>
    <w:rsid w:val="00082A9F"/>
    <w:rsid w:val="00082E6A"/>
    <w:rsid w:val="00083320"/>
    <w:rsid w:val="000839C7"/>
    <w:rsid w:val="00083DC9"/>
    <w:rsid w:val="00083EB5"/>
    <w:rsid w:val="00083EC2"/>
    <w:rsid w:val="00084887"/>
    <w:rsid w:val="00084AA3"/>
    <w:rsid w:val="00085741"/>
    <w:rsid w:val="00085D16"/>
    <w:rsid w:val="00085FEA"/>
    <w:rsid w:val="00086191"/>
    <w:rsid w:val="0008641A"/>
    <w:rsid w:val="000868D7"/>
    <w:rsid w:val="00086BDC"/>
    <w:rsid w:val="00086D25"/>
    <w:rsid w:val="00086D69"/>
    <w:rsid w:val="00087675"/>
    <w:rsid w:val="00090E63"/>
    <w:rsid w:val="00090F1C"/>
    <w:rsid w:val="0009108E"/>
    <w:rsid w:val="000911BE"/>
    <w:rsid w:val="000912DF"/>
    <w:rsid w:val="0009171F"/>
    <w:rsid w:val="000919AA"/>
    <w:rsid w:val="00091E39"/>
    <w:rsid w:val="00092818"/>
    <w:rsid w:val="00092E11"/>
    <w:rsid w:val="00092EFD"/>
    <w:rsid w:val="00093064"/>
    <w:rsid w:val="0009345A"/>
    <w:rsid w:val="000935EE"/>
    <w:rsid w:val="00093778"/>
    <w:rsid w:val="00093BC7"/>
    <w:rsid w:val="00094375"/>
    <w:rsid w:val="00094ABB"/>
    <w:rsid w:val="00094F7A"/>
    <w:rsid w:val="000956B3"/>
    <w:rsid w:val="00095781"/>
    <w:rsid w:val="00095839"/>
    <w:rsid w:val="00095F2B"/>
    <w:rsid w:val="000962B5"/>
    <w:rsid w:val="000967A8"/>
    <w:rsid w:val="00096846"/>
    <w:rsid w:val="00096D8E"/>
    <w:rsid w:val="0009720F"/>
    <w:rsid w:val="00097478"/>
    <w:rsid w:val="0009771A"/>
    <w:rsid w:val="00097B8F"/>
    <w:rsid w:val="00097EE8"/>
    <w:rsid w:val="000A00EB"/>
    <w:rsid w:val="000A0B46"/>
    <w:rsid w:val="000A1CA8"/>
    <w:rsid w:val="000A1E38"/>
    <w:rsid w:val="000A2F3B"/>
    <w:rsid w:val="000A3014"/>
    <w:rsid w:val="000A341E"/>
    <w:rsid w:val="000A351A"/>
    <w:rsid w:val="000A35C5"/>
    <w:rsid w:val="000A3E05"/>
    <w:rsid w:val="000A4079"/>
    <w:rsid w:val="000A4C88"/>
    <w:rsid w:val="000A52FF"/>
    <w:rsid w:val="000A53A4"/>
    <w:rsid w:val="000A541C"/>
    <w:rsid w:val="000A5514"/>
    <w:rsid w:val="000A5E00"/>
    <w:rsid w:val="000A5F56"/>
    <w:rsid w:val="000A620D"/>
    <w:rsid w:val="000A6C7C"/>
    <w:rsid w:val="000A6E3C"/>
    <w:rsid w:val="000A74D4"/>
    <w:rsid w:val="000A7696"/>
    <w:rsid w:val="000A77F9"/>
    <w:rsid w:val="000A79FB"/>
    <w:rsid w:val="000B00A1"/>
    <w:rsid w:val="000B1226"/>
    <w:rsid w:val="000B1CCF"/>
    <w:rsid w:val="000B1DBB"/>
    <w:rsid w:val="000B1DEF"/>
    <w:rsid w:val="000B1FEF"/>
    <w:rsid w:val="000B2079"/>
    <w:rsid w:val="000B2636"/>
    <w:rsid w:val="000B2788"/>
    <w:rsid w:val="000B286A"/>
    <w:rsid w:val="000B2CCF"/>
    <w:rsid w:val="000B3011"/>
    <w:rsid w:val="000B3C04"/>
    <w:rsid w:val="000B3ED5"/>
    <w:rsid w:val="000B413C"/>
    <w:rsid w:val="000B4418"/>
    <w:rsid w:val="000B4B20"/>
    <w:rsid w:val="000B5084"/>
    <w:rsid w:val="000B5C5B"/>
    <w:rsid w:val="000B5D87"/>
    <w:rsid w:val="000B5ED5"/>
    <w:rsid w:val="000B62E0"/>
    <w:rsid w:val="000B65B3"/>
    <w:rsid w:val="000B679B"/>
    <w:rsid w:val="000B67AB"/>
    <w:rsid w:val="000B6D16"/>
    <w:rsid w:val="000B6E9D"/>
    <w:rsid w:val="000B74B0"/>
    <w:rsid w:val="000C05BC"/>
    <w:rsid w:val="000C0C48"/>
    <w:rsid w:val="000C13C7"/>
    <w:rsid w:val="000C191E"/>
    <w:rsid w:val="000C1AF1"/>
    <w:rsid w:val="000C1EE1"/>
    <w:rsid w:val="000C212D"/>
    <w:rsid w:val="000C2181"/>
    <w:rsid w:val="000C218E"/>
    <w:rsid w:val="000C29AB"/>
    <w:rsid w:val="000C2E96"/>
    <w:rsid w:val="000C3083"/>
    <w:rsid w:val="000C30AE"/>
    <w:rsid w:val="000C3B3D"/>
    <w:rsid w:val="000C3CCF"/>
    <w:rsid w:val="000C3E1D"/>
    <w:rsid w:val="000C3F0A"/>
    <w:rsid w:val="000C487A"/>
    <w:rsid w:val="000C4B88"/>
    <w:rsid w:val="000C4E37"/>
    <w:rsid w:val="000C4FF9"/>
    <w:rsid w:val="000C5211"/>
    <w:rsid w:val="000C54DC"/>
    <w:rsid w:val="000C596E"/>
    <w:rsid w:val="000C5A7B"/>
    <w:rsid w:val="000C61DD"/>
    <w:rsid w:val="000C6596"/>
    <w:rsid w:val="000C6D74"/>
    <w:rsid w:val="000C740B"/>
    <w:rsid w:val="000C78F1"/>
    <w:rsid w:val="000C7B2E"/>
    <w:rsid w:val="000C7B94"/>
    <w:rsid w:val="000C7E81"/>
    <w:rsid w:val="000C7FCE"/>
    <w:rsid w:val="000D01E9"/>
    <w:rsid w:val="000D12E7"/>
    <w:rsid w:val="000D2038"/>
    <w:rsid w:val="000D21D4"/>
    <w:rsid w:val="000D27F6"/>
    <w:rsid w:val="000D2A4B"/>
    <w:rsid w:val="000D335F"/>
    <w:rsid w:val="000D3F3F"/>
    <w:rsid w:val="000D48F2"/>
    <w:rsid w:val="000D4A23"/>
    <w:rsid w:val="000D59D3"/>
    <w:rsid w:val="000D5CA0"/>
    <w:rsid w:val="000D5F9F"/>
    <w:rsid w:val="000D63AD"/>
    <w:rsid w:val="000D63DA"/>
    <w:rsid w:val="000D6430"/>
    <w:rsid w:val="000D66DB"/>
    <w:rsid w:val="000D6AA5"/>
    <w:rsid w:val="000D6D5A"/>
    <w:rsid w:val="000D6F29"/>
    <w:rsid w:val="000D6F30"/>
    <w:rsid w:val="000D73E5"/>
    <w:rsid w:val="000D79EB"/>
    <w:rsid w:val="000D7D91"/>
    <w:rsid w:val="000E01E2"/>
    <w:rsid w:val="000E0420"/>
    <w:rsid w:val="000E06FF"/>
    <w:rsid w:val="000E08F9"/>
    <w:rsid w:val="000E1586"/>
    <w:rsid w:val="000E1758"/>
    <w:rsid w:val="000E1BEF"/>
    <w:rsid w:val="000E20D7"/>
    <w:rsid w:val="000E23B5"/>
    <w:rsid w:val="000E24C2"/>
    <w:rsid w:val="000E2D9C"/>
    <w:rsid w:val="000E3149"/>
    <w:rsid w:val="000E32E7"/>
    <w:rsid w:val="000E39CB"/>
    <w:rsid w:val="000E3F46"/>
    <w:rsid w:val="000E446B"/>
    <w:rsid w:val="000E4560"/>
    <w:rsid w:val="000E457E"/>
    <w:rsid w:val="000E4649"/>
    <w:rsid w:val="000E4655"/>
    <w:rsid w:val="000E4ECF"/>
    <w:rsid w:val="000E531D"/>
    <w:rsid w:val="000E5DD8"/>
    <w:rsid w:val="000E60BD"/>
    <w:rsid w:val="000E6802"/>
    <w:rsid w:val="000E6E1A"/>
    <w:rsid w:val="000E6EE6"/>
    <w:rsid w:val="000E7334"/>
    <w:rsid w:val="000E7D54"/>
    <w:rsid w:val="000F024D"/>
    <w:rsid w:val="000F0522"/>
    <w:rsid w:val="000F139B"/>
    <w:rsid w:val="000F18A2"/>
    <w:rsid w:val="000F1C6E"/>
    <w:rsid w:val="000F212F"/>
    <w:rsid w:val="000F2232"/>
    <w:rsid w:val="000F246A"/>
    <w:rsid w:val="000F2749"/>
    <w:rsid w:val="000F2994"/>
    <w:rsid w:val="000F303D"/>
    <w:rsid w:val="000F30C2"/>
    <w:rsid w:val="000F3549"/>
    <w:rsid w:val="000F369B"/>
    <w:rsid w:val="000F3B9E"/>
    <w:rsid w:val="000F3DE4"/>
    <w:rsid w:val="000F40BE"/>
    <w:rsid w:val="000F4480"/>
    <w:rsid w:val="000F4AC6"/>
    <w:rsid w:val="000F4C12"/>
    <w:rsid w:val="000F5299"/>
    <w:rsid w:val="000F5600"/>
    <w:rsid w:val="000F59C1"/>
    <w:rsid w:val="000F59DC"/>
    <w:rsid w:val="000F5C54"/>
    <w:rsid w:val="000F5CD5"/>
    <w:rsid w:val="000F5DFE"/>
    <w:rsid w:val="000F608E"/>
    <w:rsid w:val="000F7767"/>
    <w:rsid w:val="000F7B6B"/>
    <w:rsid w:val="001002BA"/>
    <w:rsid w:val="00100C13"/>
    <w:rsid w:val="00100C44"/>
    <w:rsid w:val="00100CC8"/>
    <w:rsid w:val="0010113D"/>
    <w:rsid w:val="00101870"/>
    <w:rsid w:val="00101A29"/>
    <w:rsid w:val="00101C87"/>
    <w:rsid w:val="00101DE7"/>
    <w:rsid w:val="00101FBE"/>
    <w:rsid w:val="001020BD"/>
    <w:rsid w:val="001022EC"/>
    <w:rsid w:val="001028D9"/>
    <w:rsid w:val="00102AC8"/>
    <w:rsid w:val="00102F40"/>
    <w:rsid w:val="0010366A"/>
    <w:rsid w:val="00103CE5"/>
    <w:rsid w:val="001040A3"/>
    <w:rsid w:val="001043FB"/>
    <w:rsid w:val="0010446B"/>
    <w:rsid w:val="0010447D"/>
    <w:rsid w:val="0010466C"/>
    <w:rsid w:val="0010476D"/>
    <w:rsid w:val="001047B5"/>
    <w:rsid w:val="00104C74"/>
    <w:rsid w:val="00104F45"/>
    <w:rsid w:val="00104FD0"/>
    <w:rsid w:val="00105300"/>
    <w:rsid w:val="00105306"/>
    <w:rsid w:val="001058A9"/>
    <w:rsid w:val="001068FA"/>
    <w:rsid w:val="00106AE7"/>
    <w:rsid w:val="00107297"/>
    <w:rsid w:val="001072B2"/>
    <w:rsid w:val="00107593"/>
    <w:rsid w:val="00107901"/>
    <w:rsid w:val="00107C65"/>
    <w:rsid w:val="00110B97"/>
    <w:rsid w:val="00110E11"/>
    <w:rsid w:val="00110E60"/>
    <w:rsid w:val="00110F33"/>
    <w:rsid w:val="00111018"/>
    <w:rsid w:val="00111227"/>
    <w:rsid w:val="0011147D"/>
    <w:rsid w:val="001116C7"/>
    <w:rsid w:val="00111721"/>
    <w:rsid w:val="00111C85"/>
    <w:rsid w:val="00111EBC"/>
    <w:rsid w:val="0011200D"/>
    <w:rsid w:val="001121DD"/>
    <w:rsid w:val="001121E2"/>
    <w:rsid w:val="00112274"/>
    <w:rsid w:val="00112576"/>
    <w:rsid w:val="00112D4D"/>
    <w:rsid w:val="00113390"/>
    <w:rsid w:val="00113519"/>
    <w:rsid w:val="00113590"/>
    <w:rsid w:val="001138AE"/>
    <w:rsid w:val="00114BBB"/>
    <w:rsid w:val="00115129"/>
    <w:rsid w:val="0011517C"/>
    <w:rsid w:val="001156FC"/>
    <w:rsid w:val="001157E3"/>
    <w:rsid w:val="00115AD5"/>
    <w:rsid w:val="00115F68"/>
    <w:rsid w:val="00116561"/>
    <w:rsid w:val="00116D4D"/>
    <w:rsid w:val="00116F5A"/>
    <w:rsid w:val="00116F8E"/>
    <w:rsid w:val="00117382"/>
    <w:rsid w:val="00117D6D"/>
    <w:rsid w:val="00117EFB"/>
    <w:rsid w:val="00120E68"/>
    <w:rsid w:val="001216D7"/>
    <w:rsid w:val="00121AC6"/>
    <w:rsid w:val="00122236"/>
    <w:rsid w:val="00122747"/>
    <w:rsid w:val="00122CFE"/>
    <w:rsid w:val="00122EFA"/>
    <w:rsid w:val="00123AF5"/>
    <w:rsid w:val="00123C56"/>
    <w:rsid w:val="00123F25"/>
    <w:rsid w:val="00124243"/>
    <w:rsid w:val="00124CAF"/>
    <w:rsid w:val="001255A6"/>
    <w:rsid w:val="0012560B"/>
    <w:rsid w:val="00125CC7"/>
    <w:rsid w:val="00125E26"/>
    <w:rsid w:val="001260CC"/>
    <w:rsid w:val="00126623"/>
    <w:rsid w:val="0012674A"/>
    <w:rsid w:val="00126C9C"/>
    <w:rsid w:val="00126EEE"/>
    <w:rsid w:val="001270BC"/>
    <w:rsid w:val="0012767B"/>
    <w:rsid w:val="00130221"/>
    <w:rsid w:val="0013065D"/>
    <w:rsid w:val="00131171"/>
    <w:rsid w:val="001311BF"/>
    <w:rsid w:val="001314FE"/>
    <w:rsid w:val="00131818"/>
    <w:rsid w:val="00132233"/>
    <w:rsid w:val="0013229B"/>
    <w:rsid w:val="00132619"/>
    <w:rsid w:val="00132C59"/>
    <w:rsid w:val="001334AE"/>
    <w:rsid w:val="0013377E"/>
    <w:rsid w:val="001338A1"/>
    <w:rsid w:val="00133985"/>
    <w:rsid w:val="001339AC"/>
    <w:rsid w:val="00133E4A"/>
    <w:rsid w:val="00133FE3"/>
    <w:rsid w:val="00134230"/>
    <w:rsid w:val="00134299"/>
    <w:rsid w:val="00134486"/>
    <w:rsid w:val="0013465B"/>
    <w:rsid w:val="00134663"/>
    <w:rsid w:val="001348EC"/>
    <w:rsid w:val="00134AEA"/>
    <w:rsid w:val="00135047"/>
    <w:rsid w:val="0013558E"/>
    <w:rsid w:val="001355E1"/>
    <w:rsid w:val="00135FBC"/>
    <w:rsid w:val="0013654B"/>
    <w:rsid w:val="001368E2"/>
    <w:rsid w:val="00136BFF"/>
    <w:rsid w:val="001370DE"/>
    <w:rsid w:val="001373BC"/>
    <w:rsid w:val="001376F7"/>
    <w:rsid w:val="00137B03"/>
    <w:rsid w:val="00137DB7"/>
    <w:rsid w:val="00137E4E"/>
    <w:rsid w:val="00137FBF"/>
    <w:rsid w:val="00140023"/>
    <w:rsid w:val="001404B4"/>
    <w:rsid w:val="00140C94"/>
    <w:rsid w:val="00141DEC"/>
    <w:rsid w:val="00142CB5"/>
    <w:rsid w:val="00142CCD"/>
    <w:rsid w:val="00142CE6"/>
    <w:rsid w:val="001440B4"/>
    <w:rsid w:val="00144455"/>
    <w:rsid w:val="00144866"/>
    <w:rsid w:val="0014491F"/>
    <w:rsid w:val="00145115"/>
    <w:rsid w:val="0014581D"/>
    <w:rsid w:val="001459BF"/>
    <w:rsid w:val="00145ACD"/>
    <w:rsid w:val="00145F56"/>
    <w:rsid w:val="00146192"/>
    <w:rsid w:val="001469B0"/>
    <w:rsid w:val="00146B6B"/>
    <w:rsid w:val="00147314"/>
    <w:rsid w:val="00147841"/>
    <w:rsid w:val="00147AF3"/>
    <w:rsid w:val="00147E10"/>
    <w:rsid w:val="00147EEC"/>
    <w:rsid w:val="00150650"/>
    <w:rsid w:val="00150B9F"/>
    <w:rsid w:val="00151150"/>
    <w:rsid w:val="001515AC"/>
    <w:rsid w:val="00151833"/>
    <w:rsid w:val="001518AF"/>
    <w:rsid w:val="00151958"/>
    <w:rsid w:val="00152144"/>
    <w:rsid w:val="00152592"/>
    <w:rsid w:val="001527DC"/>
    <w:rsid w:val="0015290B"/>
    <w:rsid w:val="00153069"/>
    <w:rsid w:val="00153940"/>
    <w:rsid w:val="00154110"/>
    <w:rsid w:val="001543A4"/>
    <w:rsid w:val="00154807"/>
    <w:rsid w:val="0015540F"/>
    <w:rsid w:val="001561EB"/>
    <w:rsid w:val="001571E2"/>
    <w:rsid w:val="001577EB"/>
    <w:rsid w:val="001578A8"/>
    <w:rsid w:val="00157F35"/>
    <w:rsid w:val="00160830"/>
    <w:rsid w:val="00160A54"/>
    <w:rsid w:val="00160EFE"/>
    <w:rsid w:val="00161069"/>
    <w:rsid w:val="00161A99"/>
    <w:rsid w:val="00162046"/>
    <w:rsid w:val="001625F1"/>
    <w:rsid w:val="00162649"/>
    <w:rsid w:val="0016298D"/>
    <w:rsid w:val="00162B76"/>
    <w:rsid w:val="0016342F"/>
    <w:rsid w:val="00163ABD"/>
    <w:rsid w:val="00163E47"/>
    <w:rsid w:val="00164316"/>
    <w:rsid w:val="001647A1"/>
    <w:rsid w:val="001648FE"/>
    <w:rsid w:val="00164AE8"/>
    <w:rsid w:val="00164C98"/>
    <w:rsid w:val="001652F2"/>
    <w:rsid w:val="001654A9"/>
    <w:rsid w:val="00165860"/>
    <w:rsid w:val="00165CDE"/>
    <w:rsid w:val="00166004"/>
    <w:rsid w:val="00166576"/>
    <w:rsid w:val="001669BB"/>
    <w:rsid w:val="001672F6"/>
    <w:rsid w:val="00167EA5"/>
    <w:rsid w:val="0017044D"/>
    <w:rsid w:val="00170868"/>
    <w:rsid w:val="0017192A"/>
    <w:rsid w:val="00171930"/>
    <w:rsid w:val="00171A03"/>
    <w:rsid w:val="001720C8"/>
    <w:rsid w:val="001724FC"/>
    <w:rsid w:val="00172A53"/>
    <w:rsid w:val="00172A57"/>
    <w:rsid w:val="001734AE"/>
    <w:rsid w:val="00173AFD"/>
    <w:rsid w:val="001740DF"/>
    <w:rsid w:val="00174314"/>
    <w:rsid w:val="00174351"/>
    <w:rsid w:val="001743CB"/>
    <w:rsid w:val="00174563"/>
    <w:rsid w:val="001747C0"/>
    <w:rsid w:val="00174BCA"/>
    <w:rsid w:val="00174D62"/>
    <w:rsid w:val="00175934"/>
    <w:rsid w:val="00175C6B"/>
    <w:rsid w:val="0017614D"/>
    <w:rsid w:val="001763B9"/>
    <w:rsid w:val="00176700"/>
    <w:rsid w:val="001769D4"/>
    <w:rsid w:val="00176D21"/>
    <w:rsid w:val="001771F7"/>
    <w:rsid w:val="00177899"/>
    <w:rsid w:val="00177A89"/>
    <w:rsid w:val="00180213"/>
    <w:rsid w:val="00180BC5"/>
    <w:rsid w:val="001814C4"/>
    <w:rsid w:val="0018175C"/>
    <w:rsid w:val="0018269D"/>
    <w:rsid w:val="00182BE5"/>
    <w:rsid w:val="00182FEC"/>
    <w:rsid w:val="00183791"/>
    <w:rsid w:val="001839A5"/>
    <w:rsid w:val="00183BE1"/>
    <w:rsid w:val="00183CCA"/>
    <w:rsid w:val="00184161"/>
    <w:rsid w:val="0018431A"/>
    <w:rsid w:val="001844AA"/>
    <w:rsid w:val="00184C5F"/>
    <w:rsid w:val="00184E3D"/>
    <w:rsid w:val="00184FBD"/>
    <w:rsid w:val="00184FF7"/>
    <w:rsid w:val="001850CB"/>
    <w:rsid w:val="001850FF"/>
    <w:rsid w:val="00185794"/>
    <w:rsid w:val="00185BEE"/>
    <w:rsid w:val="00185DA7"/>
    <w:rsid w:val="00185FEA"/>
    <w:rsid w:val="00186A5A"/>
    <w:rsid w:val="00186B21"/>
    <w:rsid w:val="00186D1D"/>
    <w:rsid w:val="001902A1"/>
    <w:rsid w:val="00190428"/>
    <w:rsid w:val="0019086F"/>
    <w:rsid w:val="001908CC"/>
    <w:rsid w:val="00190BEC"/>
    <w:rsid w:val="00190C8D"/>
    <w:rsid w:val="00190D6F"/>
    <w:rsid w:val="0019163C"/>
    <w:rsid w:val="00191D10"/>
    <w:rsid w:val="00191E76"/>
    <w:rsid w:val="001928FD"/>
    <w:rsid w:val="00192B96"/>
    <w:rsid w:val="00192EC8"/>
    <w:rsid w:val="00192F45"/>
    <w:rsid w:val="001937D4"/>
    <w:rsid w:val="001937F9"/>
    <w:rsid w:val="00193846"/>
    <w:rsid w:val="00193BA0"/>
    <w:rsid w:val="00194364"/>
    <w:rsid w:val="0019479D"/>
    <w:rsid w:val="0019482D"/>
    <w:rsid w:val="00194A9B"/>
    <w:rsid w:val="00194B60"/>
    <w:rsid w:val="00195060"/>
    <w:rsid w:val="00195218"/>
    <w:rsid w:val="001954D2"/>
    <w:rsid w:val="00195643"/>
    <w:rsid w:val="0019582D"/>
    <w:rsid w:val="00195D78"/>
    <w:rsid w:val="001963AD"/>
    <w:rsid w:val="00196498"/>
    <w:rsid w:val="001966BE"/>
    <w:rsid w:val="00197163"/>
    <w:rsid w:val="001971D5"/>
    <w:rsid w:val="00197342"/>
    <w:rsid w:val="00197F16"/>
    <w:rsid w:val="001A08AA"/>
    <w:rsid w:val="001A0DC9"/>
    <w:rsid w:val="001A0F83"/>
    <w:rsid w:val="001A1408"/>
    <w:rsid w:val="001A14A8"/>
    <w:rsid w:val="001A1678"/>
    <w:rsid w:val="001A1B95"/>
    <w:rsid w:val="001A1C88"/>
    <w:rsid w:val="001A1E6F"/>
    <w:rsid w:val="001A2128"/>
    <w:rsid w:val="001A2430"/>
    <w:rsid w:val="001A246E"/>
    <w:rsid w:val="001A2488"/>
    <w:rsid w:val="001A2F84"/>
    <w:rsid w:val="001A3014"/>
    <w:rsid w:val="001A32A6"/>
    <w:rsid w:val="001A3532"/>
    <w:rsid w:val="001A3755"/>
    <w:rsid w:val="001A3AAA"/>
    <w:rsid w:val="001A40C2"/>
    <w:rsid w:val="001A4307"/>
    <w:rsid w:val="001A43BF"/>
    <w:rsid w:val="001A474C"/>
    <w:rsid w:val="001A4774"/>
    <w:rsid w:val="001A4888"/>
    <w:rsid w:val="001A4B9F"/>
    <w:rsid w:val="001A6537"/>
    <w:rsid w:val="001A6734"/>
    <w:rsid w:val="001A68C2"/>
    <w:rsid w:val="001A6DA3"/>
    <w:rsid w:val="001A71B5"/>
    <w:rsid w:val="001A7540"/>
    <w:rsid w:val="001A7754"/>
    <w:rsid w:val="001A7EE0"/>
    <w:rsid w:val="001B0055"/>
    <w:rsid w:val="001B0169"/>
    <w:rsid w:val="001B046D"/>
    <w:rsid w:val="001B08FF"/>
    <w:rsid w:val="001B0CCF"/>
    <w:rsid w:val="001B0E64"/>
    <w:rsid w:val="001B0FCC"/>
    <w:rsid w:val="001B127E"/>
    <w:rsid w:val="001B175E"/>
    <w:rsid w:val="001B22DE"/>
    <w:rsid w:val="001B29DC"/>
    <w:rsid w:val="001B2C06"/>
    <w:rsid w:val="001B2D0A"/>
    <w:rsid w:val="001B353B"/>
    <w:rsid w:val="001B372F"/>
    <w:rsid w:val="001B3FE1"/>
    <w:rsid w:val="001B4965"/>
    <w:rsid w:val="001B4CAC"/>
    <w:rsid w:val="001B4E1C"/>
    <w:rsid w:val="001B4E89"/>
    <w:rsid w:val="001B4F4D"/>
    <w:rsid w:val="001B55F4"/>
    <w:rsid w:val="001B55FE"/>
    <w:rsid w:val="001B573B"/>
    <w:rsid w:val="001B5C13"/>
    <w:rsid w:val="001B5F39"/>
    <w:rsid w:val="001B604C"/>
    <w:rsid w:val="001B61EC"/>
    <w:rsid w:val="001B6400"/>
    <w:rsid w:val="001B6598"/>
    <w:rsid w:val="001B6765"/>
    <w:rsid w:val="001B6DBD"/>
    <w:rsid w:val="001B70D9"/>
    <w:rsid w:val="001B7970"/>
    <w:rsid w:val="001B7B5E"/>
    <w:rsid w:val="001C0049"/>
    <w:rsid w:val="001C0875"/>
    <w:rsid w:val="001C0A89"/>
    <w:rsid w:val="001C0C34"/>
    <w:rsid w:val="001C0EEA"/>
    <w:rsid w:val="001C13C2"/>
    <w:rsid w:val="001C16A0"/>
    <w:rsid w:val="001C1AF3"/>
    <w:rsid w:val="001C1B89"/>
    <w:rsid w:val="001C1CC6"/>
    <w:rsid w:val="001C1DD8"/>
    <w:rsid w:val="001C2299"/>
    <w:rsid w:val="001C2373"/>
    <w:rsid w:val="001C2A96"/>
    <w:rsid w:val="001C3896"/>
    <w:rsid w:val="001C3D6E"/>
    <w:rsid w:val="001C3E87"/>
    <w:rsid w:val="001C4277"/>
    <w:rsid w:val="001C43DD"/>
    <w:rsid w:val="001C4BB4"/>
    <w:rsid w:val="001C4CF6"/>
    <w:rsid w:val="001C4D67"/>
    <w:rsid w:val="001C4F40"/>
    <w:rsid w:val="001C520E"/>
    <w:rsid w:val="001C5CC5"/>
    <w:rsid w:val="001C64DA"/>
    <w:rsid w:val="001C6DA8"/>
    <w:rsid w:val="001C726F"/>
    <w:rsid w:val="001C7606"/>
    <w:rsid w:val="001C79F3"/>
    <w:rsid w:val="001D034C"/>
    <w:rsid w:val="001D0350"/>
    <w:rsid w:val="001D052C"/>
    <w:rsid w:val="001D06F2"/>
    <w:rsid w:val="001D0BC0"/>
    <w:rsid w:val="001D1223"/>
    <w:rsid w:val="001D122E"/>
    <w:rsid w:val="001D15C4"/>
    <w:rsid w:val="001D170A"/>
    <w:rsid w:val="001D1D4F"/>
    <w:rsid w:val="001D1DAA"/>
    <w:rsid w:val="001D1EC1"/>
    <w:rsid w:val="001D3124"/>
    <w:rsid w:val="001D318D"/>
    <w:rsid w:val="001D35AA"/>
    <w:rsid w:val="001D372E"/>
    <w:rsid w:val="001D3749"/>
    <w:rsid w:val="001D3CC0"/>
    <w:rsid w:val="001D4E61"/>
    <w:rsid w:val="001D4E67"/>
    <w:rsid w:val="001D505A"/>
    <w:rsid w:val="001D56BF"/>
    <w:rsid w:val="001D5775"/>
    <w:rsid w:val="001D5A2A"/>
    <w:rsid w:val="001D5ADC"/>
    <w:rsid w:val="001D5C7B"/>
    <w:rsid w:val="001D5EA6"/>
    <w:rsid w:val="001D6453"/>
    <w:rsid w:val="001D749E"/>
    <w:rsid w:val="001D7A21"/>
    <w:rsid w:val="001E0180"/>
    <w:rsid w:val="001E01BD"/>
    <w:rsid w:val="001E02C4"/>
    <w:rsid w:val="001E02EC"/>
    <w:rsid w:val="001E06F7"/>
    <w:rsid w:val="001E098E"/>
    <w:rsid w:val="001E1202"/>
    <w:rsid w:val="001E12A8"/>
    <w:rsid w:val="001E16CF"/>
    <w:rsid w:val="001E1860"/>
    <w:rsid w:val="001E1A5B"/>
    <w:rsid w:val="001E1D32"/>
    <w:rsid w:val="001E21DB"/>
    <w:rsid w:val="001E234F"/>
    <w:rsid w:val="001E2971"/>
    <w:rsid w:val="001E2DFD"/>
    <w:rsid w:val="001E31BA"/>
    <w:rsid w:val="001E3D6E"/>
    <w:rsid w:val="001E41D6"/>
    <w:rsid w:val="001E47F3"/>
    <w:rsid w:val="001E4C74"/>
    <w:rsid w:val="001E4D11"/>
    <w:rsid w:val="001E4EF3"/>
    <w:rsid w:val="001E5878"/>
    <w:rsid w:val="001E5917"/>
    <w:rsid w:val="001E6493"/>
    <w:rsid w:val="001E68AE"/>
    <w:rsid w:val="001E6967"/>
    <w:rsid w:val="001E6E6B"/>
    <w:rsid w:val="001E6FAD"/>
    <w:rsid w:val="001E723F"/>
    <w:rsid w:val="001E79AA"/>
    <w:rsid w:val="001E7E88"/>
    <w:rsid w:val="001F0384"/>
    <w:rsid w:val="001F099D"/>
    <w:rsid w:val="001F0AF0"/>
    <w:rsid w:val="001F0B75"/>
    <w:rsid w:val="001F100E"/>
    <w:rsid w:val="001F1298"/>
    <w:rsid w:val="001F133A"/>
    <w:rsid w:val="001F1719"/>
    <w:rsid w:val="001F18CE"/>
    <w:rsid w:val="001F1C53"/>
    <w:rsid w:val="001F23AE"/>
    <w:rsid w:val="001F4E9F"/>
    <w:rsid w:val="001F5F51"/>
    <w:rsid w:val="001F64A6"/>
    <w:rsid w:val="001F6A86"/>
    <w:rsid w:val="001F6B2C"/>
    <w:rsid w:val="001F6BC4"/>
    <w:rsid w:val="001F7193"/>
    <w:rsid w:val="001F72DE"/>
    <w:rsid w:val="001F783E"/>
    <w:rsid w:val="001F79AC"/>
    <w:rsid w:val="001F79DF"/>
    <w:rsid w:val="00201146"/>
    <w:rsid w:val="00201224"/>
    <w:rsid w:val="00201370"/>
    <w:rsid w:val="002019E6"/>
    <w:rsid w:val="00201C28"/>
    <w:rsid w:val="00201C89"/>
    <w:rsid w:val="00201ED5"/>
    <w:rsid w:val="002020D5"/>
    <w:rsid w:val="0020347C"/>
    <w:rsid w:val="002035E5"/>
    <w:rsid w:val="00203901"/>
    <w:rsid w:val="00203AF4"/>
    <w:rsid w:val="00203B13"/>
    <w:rsid w:val="0020425D"/>
    <w:rsid w:val="00204936"/>
    <w:rsid w:val="00204DD1"/>
    <w:rsid w:val="00205469"/>
    <w:rsid w:val="002057EB"/>
    <w:rsid w:val="00205831"/>
    <w:rsid w:val="002059DC"/>
    <w:rsid w:val="00206663"/>
    <w:rsid w:val="00206876"/>
    <w:rsid w:val="00206D9B"/>
    <w:rsid w:val="00207323"/>
    <w:rsid w:val="00207765"/>
    <w:rsid w:val="00207AE5"/>
    <w:rsid w:val="00207D99"/>
    <w:rsid w:val="00210019"/>
    <w:rsid w:val="00210627"/>
    <w:rsid w:val="00210C3C"/>
    <w:rsid w:val="0021228C"/>
    <w:rsid w:val="0021244C"/>
    <w:rsid w:val="002124A9"/>
    <w:rsid w:val="002125DE"/>
    <w:rsid w:val="002128D6"/>
    <w:rsid w:val="00212CA9"/>
    <w:rsid w:val="00212F0F"/>
    <w:rsid w:val="002134BC"/>
    <w:rsid w:val="00213B70"/>
    <w:rsid w:val="00213C29"/>
    <w:rsid w:val="00213C62"/>
    <w:rsid w:val="00214453"/>
    <w:rsid w:val="0021508E"/>
    <w:rsid w:val="002155F4"/>
    <w:rsid w:val="0021594E"/>
    <w:rsid w:val="0021603A"/>
    <w:rsid w:val="002161EE"/>
    <w:rsid w:val="00216767"/>
    <w:rsid w:val="002169C5"/>
    <w:rsid w:val="00216C30"/>
    <w:rsid w:val="00217722"/>
    <w:rsid w:val="002179EA"/>
    <w:rsid w:val="00217B46"/>
    <w:rsid w:val="00220229"/>
    <w:rsid w:val="002203F0"/>
    <w:rsid w:val="00220690"/>
    <w:rsid w:val="0022086A"/>
    <w:rsid w:val="00220DA7"/>
    <w:rsid w:val="0022108D"/>
    <w:rsid w:val="00221519"/>
    <w:rsid w:val="0022163F"/>
    <w:rsid w:val="00221CA0"/>
    <w:rsid w:val="00221CCD"/>
    <w:rsid w:val="00221DD8"/>
    <w:rsid w:val="00221EFB"/>
    <w:rsid w:val="00222746"/>
    <w:rsid w:val="0022289A"/>
    <w:rsid w:val="002234D3"/>
    <w:rsid w:val="002237FE"/>
    <w:rsid w:val="002238A2"/>
    <w:rsid w:val="0022412C"/>
    <w:rsid w:val="002241D9"/>
    <w:rsid w:val="00224407"/>
    <w:rsid w:val="0022440C"/>
    <w:rsid w:val="00224D22"/>
    <w:rsid w:val="00225149"/>
    <w:rsid w:val="002256E7"/>
    <w:rsid w:val="002259EA"/>
    <w:rsid w:val="00226397"/>
    <w:rsid w:val="0022679D"/>
    <w:rsid w:val="002267E4"/>
    <w:rsid w:val="00226951"/>
    <w:rsid w:val="00226CB5"/>
    <w:rsid w:val="00226EBA"/>
    <w:rsid w:val="002271E7"/>
    <w:rsid w:val="00227ABC"/>
    <w:rsid w:val="0023006E"/>
    <w:rsid w:val="002308F0"/>
    <w:rsid w:val="00230ED9"/>
    <w:rsid w:val="00231228"/>
    <w:rsid w:val="0023150F"/>
    <w:rsid w:val="00231C43"/>
    <w:rsid w:val="00231CAF"/>
    <w:rsid w:val="00231DAB"/>
    <w:rsid w:val="002320EF"/>
    <w:rsid w:val="00232184"/>
    <w:rsid w:val="00232A93"/>
    <w:rsid w:val="00233109"/>
    <w:rsid w:val="00233267"/>
    <w:rsid w:val="00233350"/>
    <w:rsid w:val="00233784"/>
    <w:rsid w:val="0023378D"/>
    <w:rsid w:val="002344D1"/>
    <w:rsid w:val="00234998"/>
    <w:rsid w:val="00234C45"/>
    <w:rsid w:val="00234D4B"/>
    <w:rsid w:val="00235237"/>
    <w:rsid w:val="00235280"/>
    <w:rsid w:val="0023557E"/>
    <w:rsid w:val="00235759"/>
    <w:rsid w:val="00235DC0"/>
    <w:rsid w:val="002366BD"/>
    <w:rsid w:val="00236852"/>
    <w:rsid w:val="002369A3"/>
    <w:rsid w:val="00236B0C"/>
    <w:rsid w:val="00237635"/>
    <w:rsid w:val="00237A1E"/>
    <w:rsid w:val="00237B5E"/>
    <w:rsid w:val="00237BA9"/>
    <w:rsid w:val="00240A1D"/>
    <w:rsid w:val="00240AF9"/>
    <w:rsid w:val="002418F9"/>
    <w:rsid w:val="00241B19"/>
    <w:rsid w:val="00241BB5"/>
    <w:rsid w:val="00241D24"/>
    <w:rsid w:val="00242470"/>
    <w:rsid w:val="002425BE"/>
    <w:rsid w:val="002426CB"/>
    <w:rsid w:val="0024287D"/>
    <w:rsid w:val="00242CEE"/>
    <w:rsid w:val="00243506"/>
    <w:rsid w:val="00243964"/>
    <w:rsid w:val="00243B7C"/>
    <w:rsid w:val="00243C9D"/>
    <w:rsid w:val="00243EC4"/>
    <w:rsid w:val="002446F9"/>
    <w:rsid w:val="00244FF9"/>
    <w:rsid w:val="00245046"/>
    <w:rsid w:val="002451FA"/>
    <w:rsid w:val="00245339"/>
    <w:rsid w:val="00245C33"/>
    <w:rsid w:val="002460DD"/>
    <w:rsid w:val="002462F1"/>
    <w:rsid w:val="00246F35"/>
    <w:rsid w:val="002471EC"/>
    <w:rsid w:val="0024743D"/>
    <w:rsid w:val="002478FF"/>
    <w:rsid w:val="002501F1"/>
    <w:rsid w:val="002502F9"/>
    <w:rsid w:val="00250634"/>
    <w:rsid w:val="0025082F"/>
    <w:rsid w:val="00250ADF"/>
    <w:rsid w:val="0025101E"/>
    <w:rsid w:val="002516B1"/>
    <w:rsid w:val="00251CAC"/>
    <w:rsid w:val="00251E31"/>
    <w:rsid w:val="00252704"/>
    <w:rsid w:val="00252DCD"/>
    <w:rsid w:val="00252E8E"/>
    <w:rsid w:val="00253393"/>
    <w:rsid w:val="00253655"/>
    <w:rsid w:val="00253E0D"/>
    <w:rsid w:val="00253F78"/>
    <w:rsid w:val="00254068"/>
    <w:rsid w:val="00254337"/>
    <w:rsid w:val="002543DA"/>
    <w:rsid w:val="0025454A"/>
    <w:rsid w:val="002546A6"/>
    <w:rsid w:val="0025492C"/>
    <w:rsid w:val="00254ADC"/>
    <w:rsid w:val="00254CFE"/>
    <w:rsid w:val="00254D75"/>
    <w:rsid w:val="00254E89"/>
    <w:rsid w:val="002550A9"/>
    <w:rsid w:val="002556B2"/>
    <w:rsid w:val="00255A0A"/>
    <w:rsid w:val="00256279"/>
    <w:rsid w:val="00256983"/>
    <w:rsid w:val="002571F3"/>
    <w:rsid w:val="002578C0"/>
    <w:rsid w:val="0025799B"/>
    <w:rsid w:val="00257A2D"/>
    <w:rsid w:val="00257B0C"/>
    <w:rsid w:val="00257C51"/>
    <w:rsid w:val="00257E74"/>
    <w:rsid w:val="002602DC"/>
    <w:rsid w:val="00260371"/>
    <w:rsid w:val="00260428"/>
    <w:rsid w:val="002608C9"/>
    <w:rsid w:val="00260AFE"/>
    <w:rsid w:val="00261200"/>
    <w:rsid w:val="00261478"/>
    <w:rsid w:val="0026167C"/>
    <w:rsid w:val="00261CC1"/>
    <w:rsid w:val="0026247A"/>
    <w:rsid w:val="0026297E"/>
    <w:rsid w:val="00263767"/>
    <w:rsid w:val="00263B3E"/>
    <w:rsid w:val="00263DF0"/>
    <w:rsid w:val="002643BE"/>
    <w:rsid w:val="00264992"/>
    <w:rsid w:val="00264BF5"/>
    <w:rsid w:val="00264F69"/>
    <w:rsid w:val="00265379"/>
    <w:rsid w:val="00265494"/>
    <w:rsid w:val="00265C5F"/>
    <w:rsid w:val="0026606D"/>
    <w:rsid w:val="002660ED"/>
    <w:rsid w:val="0026620E"/>
    <w:rsid w:val="00266315"/>
    <w:rsid w:val="0026661D"/>
    <w:rsid w:val="00266C59"/>
    <w:rsid w:val="002670A4"/>
    <w:rsid w:val="00267168"/>
    <w:rsid w:val="00267A48"/>
    <w:rsid w:val="00267BD5"/>
    <w:rsid w:val="00267E41"/>
    <w:rsid w:val="0027087A"/>
    <w:rsid w:val="00270CEF"/>
    <w:rsid w:val="00270F5E"/>
    <w:rsid w:val="00271494"/>
    <w:rsid w:val="002714BA"/>
    <w:rsid w:val="0027160A"/>
    <w:rsid w:val="00271C65"/>
    <w:rsid w:val="00272246"/>
    <w:rsid w:val="00272443"/>
    <w:rsid w:val="002726FA"/>
    <w:rsid w:val="002728E7"/>
    <w:rsid w:val="00272A1D"/>
    <w:rsid w:val="00272A51"/>
    <w:rsid w:val="00272F28"/>
    <w:rsid w:val="0027352A"/>
    <w:rsid w:val="00273759"/>
    <w:rsid w:val="002739C4"/>
    <w:rsid w:val="00273A21"/>
    <w:rsid w:val="002741C2"/>
    <w:rsid w:val="0027461D"/>
    <w:rsid w:val="0027465D"/>
    <w:rsid w:val="00274997"/>
    <w:rsid w:val="002749BA"/>
    <w:rsid w:val="00274A9B"/>
    <w:rsid w:val="00274BA3"/>
    <w:rsid w:val="002750F9"/>
    <w:rsid w:val="00275399"/>
    <w:rsid w:val="00275740"/>
    <w:rsid w:val="002766ED"/>
    <w:rsid w:val="00276BD4"/>
    <w:rsid w:val="00276D87"/>
    <w:rsid w:val="002775DA"/>
    <w:rsid w:val="002779E9"/>
    <w:rsid w:val="00280408"/>
    <w:rsid w:val="002807E3"/>
    <w:rsid w:val="00280EEC"/>
    <w:rsid w:val="0028117F"/>
    <w:rsid w:val="00281343"/>
    <w:rsid w:val="00281466"/>
    <w:rsid w:val="00281543"/>
    <w:rsid w:val="00281BDD"/>
    <w:rsid w:val="00281D69"/>
    <w:rsid w:val="0028263C"/>
    <w:rsid w:val="002827A1"/>
    <w:rsid w:val="00282DF2"/>
    <w:rsid w:val="00282F6A"/>
    <w:rsid w:val="002831FB"/>
    <w:rsid w:val="00283701"/>
    <w:rsid w:val="00283C45"/>
    <w:rsid w:val="00284338"/>
    <w:rsid w:val="00284409"/>
    <w:rsid w:val="00284707"/>
    <w:rsid w:val="00284724"/>
    <w:rsid w:val="00284812"/>
    <w:rsid w:val="00284FA5"/>
    <w:rsid w:val="0028544B"/>
    <w:rsid w:val="00285FDE"/>
    <w:rsid w:val="00286222"/>
    <w:rsid w:val="002863A7"/>
    <w:rsid w:val="0028648D"/>
    <w:rsid w:val="002868BF"/>
    <w:rsid w:val="0028724A"/>
    <w:rsid w:val="00287508"/>
    <w:rsid w:val="00287CA7"/>
    <w:rsid w:val="00287F52"/>
    <w:rsid w:val="0029042A"/>
    <w:rsid w:val="002906E6"/>
    <w:rsid w:val="00290C60"/>
    <w:rsid w:val="00290CBB"/>
    <w:rsid w:val="00290D7A"/>
    <w:rsid w:val="002918D5"/>
    <w:rsid w:val="00291A4B"/>
    <w:rsid w:val="00291E8B"/>
    <w:rsid w:val="00291EDD"/>
    <w:rsid w:val="00291F39"/>
    <w:rsid w:val="00292048"/>
    <w:rsid w:val="0029279F"/>
    <w:rsid w:val="00293562"/>
    <w:rsid w:val="002936DE"/>
    <w:rsid w:val="002939F0"/>
    <w:rsid w:val="002940D6"/>
    <w:rsid w:val="00294545"/>
    <w:rsid w:val="00294889"/>
    <w:rsid w:val="00294BBD"/>
    <w:rsid w:val="00295181"/>
    <w:rsid w:val="0029529A"/>
    <w:rsid w:val="00295641"/>
    <w:rsid w:val="00295A99"/>
    <w:rsid w:val="002964B0"/>
    <w:rsid w:val="002965DF"/>
    <w:rsid w:val="00296DCF"/>
    <w:rsid w:val="002975BA"/>
    <w:rsid w:val="002978F0"/>
    <w:rsid w:val="00297A54"/>
    <w:rsid w:val="00297ED0"/>
    <w:rsid w:val="002A01CB"/>
    <w:rsid w:val="002A04A4"/>
    <w:rsid w:val="002A07FB"/>
    <w:rsid w:val="002A0B33"/>
    <w:rsid w:val="002A158B"/>
    <w:rsid w:val="002A1687"/>
    <w:rsid w:val="002A18A0"/>
    <w:rsid w:val="002A18E4"/>
    <w:rsid w:val="002A1C98"/>
    <w:rsid w:val="002A264C"/>
    <w:rsid w:val="002A2950"/>
    <w:rsid w:val="002A30C2"/>
    <w:rsid w:val="002A3483"/>
    <w:rsid w:val="002A3AF2"/>
    <w:rsid w:val="002A45F6"/>
    <w:rsid w:val="002A4E24"/>
    <w:rsid w:val="002A5297"/>
    <w:rsid w:val="002A5A73"/>
    <w:rsid w:val="002A6204"/>
    <w:rsid w:val="002A629C"/>
    <w:rsid w:val="002A649C"/>
    <w:rsid w:val="002A6AAC"/>
    <w:rsid w:val="002A6B09"/>
    <w:rsid w:val="002A6DC4"/>
    <w:rsid w:val="002A6EC6"/>
    <w:rsid w:val="002A7173"/>
    <w:rsid w:val="002A71FE"/>
    <w:rsid w:val="002A7345"/>
    <w:rsid w:val="002B00A3"/>
    <w:rsid w:val="002B0236"/>
    <w:rsid w:val="002B025E"/>
    <w:rsid w:val="002B0374"/>
    <w:rsid w:val="002B06F6"/>
    <w:rsid w:val="002B0946"/>
    <w:rsid w:val="002B0D0E"/>
    <w:rsid w:val="002B0D75"/>
    <w:rsid w:val="002B0E50"/>
    <w:rsid w:val="002B12C4"/>
    <w:rsid w:val="002B12F4"/>
    <w:rsid w:val="002B1FBB"/>
    <w:rsid w:val="002B21B1"/>
    <w:rsid w:val="002B22C7"/>
    <w:rsid w:val="002B2422"/>
    <w:rsid w:val="002B24D2"/>
    <w:rsid w:val="002B270C"/>
    <w:rsid w:val="002B28E2"/>
    <w:rsid w:val="002B2951"/>
    <w:rsid w:val="002B2A67"/>
    <w:rsid w:val="002B2CC6"/>
    <w:rsid w:val="002B2D9B"/>
    <w:rsid w:val="002B2E82"/>
    <w:rsid w:val="002B3249"/>
    <w:rsid w:val="002B336A"/>
    <w:rsid w:val="002B3882"/>
    <w:rsid w:val="002B4975"/>
    <w:rsid w:val="002B50D3"/>
    <w:rsid w:val="002B5111"/>
    <w:rsid w:val="002B512A"/>
    <w:rsid w:val="002B521A"/>
    <w:rsid w:val="002B56D5"/>
    <w:rsid w:val="002B5888"/>
    <w:rsid w:val="002B5AAE"/>
    <w:rsid w:val="002B6C55"/>
    <w:rsid w:val="002B79DF"/>
    <w:rsid w:val="002C001B"/>
    <w:rsid w:val="002C065E"/>
    <w:rsid w:val="002C0705"/>
    <w:rsid w:val="002C0B45"/>
    <w:rsid w:val="002C1997"/>
    <w:rsid w:val="002C1B0D"/>
    <w:rsid w:val="002C207D"/>
    <w:rsid w:val="002C24C8"/>
    <w:rsid w:val="002C3123"/>
    <w:rsid w:val="002C3A5A"/>
    <w:rsid w:val="002C4092"/>
    <w:rsid w:val="002C4620"/>
    <w:rsid w:val="002C4771"/>
    <w:rsid w:val="002C4ACB"/>
    <w:rsid w:val="002C4E32"/>
    <w:rsid w:val="002C51A6"/>
    <w:rsid w:val="002C56B0"/>
    <w:rsid w:val="002C5989"/>
    <w:rsid w:val="002C5A92"/>
    <w:rsid w:val="002C6015"/>
    <w:rsid w:val="002C716D"/>
    <w:rsid w:val="002C792E"/>
    <w:rsid w:val="002C7FBC"/>
    <w:rsid w:val="002D0039"/>
    <w:rsid w:val="002D028A"/>
    <w:rsid w:val="002D0359"/>
    <w:rsid w:val="002D03C3"/>
    <w:rsid w:val="002D0465"/>
    <w:rsid w:val="002D05BE"/>
    <w:rsid w:val="002D07A2"/>
    <w:rsid w:val="002D0D8F"/>
    <w:rsid w:val="002D129C"/>
    <w:rsid w:val="002D164F"/>
    <w:rsid w:val="002D2788"/>
    <w:rsid w:val="002D283B"/>
    <w:rsid w:val="002D2A0A"/>
    <w:rsid w:val="002D3066"/>
    <w:rsid w:val="002D3BED"/>
    <w:rsid w:val="002D3D0F"/>
    <w:rsid w:val="002D4433"/>
    <w:rsid w:val="002D4CB3"/>
    <w:rsid w:val="002D4E04"/>
    <w:rsid w:val="002D4F40"/>
    <w:rsid w:val="002D5269"/>
    <w:rsid w:val="002D54A5"/>
    <w:rsid w:val="002D5EBC"/>
    <w:rsid w:val="002D5ED8"/>
    <w:rsid w:val="002D666E"/>
    <w:rsid w:val="002D6C2C"/>
    <w:rsid w:val="002D718C"/>
    <w:rsid w:val="002D71D0"/>
    <w:rsid w:val="002D7962"/>
    <w:rsid w:val="002D7DA0"/>
    <w:rsid w:val="002E010C"/>
    <w:rsid w:val="002E051F"/>
    <w:rsid w:val="002E060D"/>
    <w:rsid w:val="002E0718"/>
    <w:rsid w:val="002E077C"/>
    <w:rsid w:val="002E0B3C"/>
    <w:rsid w:val="002E1285"/>
    <w:rsid w:val="002E1883"/>
    <w:rsid w:val="002E199E"/>
    <w:rsid w:val="002E1C88"/>
    <w:rsid w:val="002E20E6"/>
    <w:rsid w:val="002E2444"/>
    <w:rsid w:val="002E2DE1"/>
    <w:rsid w:val="002E2E14"/>
    <w:rsid w:val="002E315F"/>
    <w:rsid w:val="002E31A0"/>
    <w:rsid w:val="002E39F6"/>
    <w:rsid w:val="002E4119"/>
    <w:rsid w:val="002E446C"/>
    <w:rsid w:val="002E465C"/>
    <w:rsid w:val="002E4735"/>
    <w:rsid w:val="002E4D36"/>
    <w:rsid w:val="002E4D3D"/>
    <w:rsid w:val="002E4E77"/>
    <w:rsid w:val="002E5132"/>
    <w:rsid w:val="002E5576"/>
    <w:rsid w:val="002E5742"/>
    <w:rsid w:val="002E5A20"/>
    <w:rsid w:val="002E5AC5"/>
    <w:rsid w:val="002E6D48"/>
    <w:rsid w:val="002E6E9B"/>
    <w:rsid w:val="002E6FB8"/>
    <w:rsid w:val="002E73FB"/>
    <w:rsid w:val="002E757D"/>
    <w:rsid w:val="002E77F4"/>
    <w:rsid w:val="002E7D04"/>
    <w:rsid w:val="002E7D46"/>
    <w:rsid w:val="002F004C"/>
    <w:rsid w:val="002F0A49"/>
    <w:rsid w:val="002F0AC7"/>
    <w:rsid w:val="002F1275"/>
    <w:rsid w:val="002F1396"/>
    <w:rsid w:val="002F1602"/>
    <w:rsid w:val="002F1742"/>
    <w:rsid w:val="002F1D6E"/>
    <w:rsid w:val="002F271E"/>
    <w:rsid w:val="002F27FE"/>
    <w:rsid w:val="002F2837"/>
    <w:rsid w:val="002F28A7"/>
    <w:rsid w:val="002F3952"/>
    <w:rsid w:val="002F406A"/>
    <w:rsid w:val="002F4544"/>
    <w:rsid w:val="002F49DE"/>
    <w:rsid w:val="002F5249"/>
    <w:rsid w:val="002F5A20"/>
    <w:rsid w:val="002F629B"/>
    <w:rsid w:val="002F6550"/>
    <w:rsid w:val="002F65C6"/>
    <w:rsid w:val="002F6658"/>
    <w:rsid w:val="002F66E9"/>
    <w:rsid w:val="002F67DC"/>
    <w:rsid w:val="002F6AD9"/>
    <w:rsid w:val="002F6C56"/>
    <w:rsid w:val="002F70A3"/>
    <w:rsid w:val="002F77A3"/>
    <w:rsid w:val="002F7DE5"/>
    <w:rsid w:val="002F7F30"/>
    <w:rsid w:val="002F7F34"/>
    <w:rsid w:val="002F7F4A"/>
    <w:rsid w:val="003001E5"/>
    <w:rsid w:val="00300B2B"/>
    <w:rsid w:val="00300EA9"/>
    <w:rsid w:val="00301020"/>
    <w:rsid w:val="00301274"/>
    <w:rsid w:val="00301560"/>
    <w:rsid w:val="00301670"/>
    <w:rsid w:val="00301DC7"/>
    <w:rsid w:val="00301EE2"/>
    <w:rsid w:val="003022B5"/>
    <w:rsid w:val="00302435"/>
    <w:rsid w:val="00302446"/>
    <w:rsid w:val="00302831"/>
    <w:rsid w:val="0030297A"/>
    <w:rsid w:val="0030305C"/>
    <w:rsid w:val="00303B2D"/>
    <w:rsid w:val="00304B0A"/>
    <w:rsid w:val="00304FBB"/>
    <w:rsid w:val="0030573E"/>
    <w:rsid w:val="003059FF"/>
    <w:rsid w:val="00305E5E"/>
    <w:rsid w:val="0030604E"/>
    <w:rsid w:val="00306292"/>
    <w:rsid w:val="00306357"/>
    <w:rsid w:val="003069D5"/>
    <w:rsid w:val="00306D87"/>
    <w:rsid w:val="003075E9"/>
    <w:rsid w:val="003103E6"/>
    <w:rsid w:val="003107CF"/>
    <w:rsid w:val="003108EE"/>
    <w:rsid w:val="0031113A"/>
    <w:rsid w:val="00311556"/>
    <w:rsid w:val="0031167F"/>
    <w:rsid w:val="00311880"/>
    <w:rsid w:val="00311A8F"/>
    <w:rsid w:val="00311F6A"/>
    <w:rsid w:val="003121F6"/>
    <w:rsid w:val="00312203"/>
    <w:rsid w:val="0031229F"/>
    <w:rsid w:val="00312873"/>
    <w:rsid w:val="00312925"/>
    <w:rsid w:val="003129C1"/>
    <w:rsid w:val="00312DF6"/>
    <w:rsid w:val="00313172"/>
    <w:rsid w:val="0031339E"/>
    <w:rsid w:val="003133B8"/>
    <w:rsid w:val="0031364D"/>
    <w:rsid w:val="00314453"/>
    <w:rsid w:val="003144ED"/>
    <w:rsid w:val="00314A22"/>
    <w:rsid w:val="00314C61"/>
    <w:rsid w:val="003150C0"/>
    <w:rsid w:val="0031510F"/>
    <w:rsid w:val="00315490"/>
    <w:rsid w:val="003156B1"/>
    <w:rsid w:val="00315B07"/>
    <w:rsid w:val="00315D18"/>
    <w:rsid w:val="00315D88"/>
    <w:rsid w:val="00316A38"/>
    <w:rsid w:val="00316BCA"/>
    <w:rsid w:val="00316CFC"/>
    <w:rsid w:val="00316EEF"/>
    <w:rsid w:val="00316FB5"/>
    <w:rsid w:val="00317596"/>
    <w:rsid w:val="003175C3"/>
    <w:rsid w:val="0031793F"/>
    <w:rsid w:val="0031794F"/>
    <w:rsid w:val="00317CB1"/>
    <w:rsid w:val="00317D8F"/>
    <w:rsid w:val="0032069A"/>
    <w:rsid w:val="003208D8"/>
    <w:rsid w:val="00320C0F"/>
    <w:rsid w:val="0032157D"/>
    <w:rsid w:val="003219D3"/>
    <w:rsid w:val="00321A1C"/>
    <w:rsid w:val="00321B44"/>
    <w:rsid w:val="00321DD4"/>
    <w:rsid w:val="00322523"/>
    <w:rsid w:val="0032271A"/>
    <w:rsid w:val="00322BB5"/>
    <w:rsid w:val="0032410C"/>
    <w:rsid w:val="00324679"/>
    <w:rsid w:val="00324795"/>
    <w:rsid w:val="00324923"/>
    <w:rsid w:val="00324B7A"/>
    <w:rsid w:val="003252CD"/>
    <w:rsid w:val="00325B0C"/>
    <w:rsid w:val="003265A8"/>
    <w:rsid w:val="00326804"/>
    <w:rsid w:val="003268B8"/>
    <w:rsid w:val="00327789"/>
    <w:rsid w:val="00327F79"/>
    <w:rsid w:val="003301C2"/>
    <w:rsid w:val="003304CE"/>
    <w:rsid w:val="00330763"/>
    <w:rsid w:val="00330A71"/>
    <w:rsid w:val="00330BA2"/>
    <w:rsid w:val="00330D37"/>
    <w:rsid w:val="00330F6D"/>
    <w:rsid w:val="00331197"/>
    <w:rsid w:val="003312EF"/>
    <w:rsid w:val="00331336"/>
    <w:rsid w:val="0033148A"/>
    <w:rsid w:val="0033153C"/>
    <w:rsid w:val="003319C1"/>
    <w:rsid w:val="0033205D"/>
    <w:rsid w:val="00332066"/>
    <w:rsid w:val="0033223F"/>
    <w:rsid w:val="003326A1"/>
    <w:rsid w:val="00332921"/>
    <w:rsid w:val="00333097"/>
    <w:rsid w:val="003335F0"/>
    <w:rsid w:val="00333926"/>
    <w:rsid w:val="00333DE4"/>
    <w:rsid w:val="00334401"/>
    <w:rsid w:val="003344B0"/>
    <w:rsid w:val="00335539"/>
    <w:rsid w:val="00336AF3"/>
    <w:rsid w:val="00336E1C"/>
    <w:rsid w:val="00336F88"/>
    <w:rsid w:val="003378E6"/>
    <w:rsid w:val="00337CCA"/>
    <w:rsid w:val="00337E31"/>
    <w:rsid w:val="00340150"/>
    <w:rsid w:val="0034065A"/>
    <w:rsid w:val="00340C74"/>
    <w:rsid w:val="00340D88"/>
    <w:rsid w:val="00340DC9"/>
    <w:rsid w:val="00341215"/>
    <w:rsid w:val="003413E9"/>
    <w:rsid w:val="003418E5"/>
    <w:rsid w:val="00342640"/>
    <w:rsid w:val="00342ED0"/>
    <w:rsid w:val="00343481"/>
    <w:rsid w:val="003434B3"/>
    <w:rsid w:val="0034357B"/>
    <w:rsid w:val="003436BE"/>
    <w:rsid w:val="00343B11"/>
    <w:rsid w:val="00343BF8"/>
    <w:rsid w:val="00343DD3"/>
    <w:rsid w:val="00343DFE"/>
    <w:rsid w:val="00344306"/>
    <w:rsid w:val="00344617"/>
    <w:rsid w:val="00344EF7"/>
    <w:rsid w:val="0034513D"/>
    <w:rsid w:val="003468EB"/>
    <w:rsid w:val="003469B5"/>
    <w:rsid w:val="00346B70"/>
    <w:rsid w:val="00347078"/>
    <w:rsid w:val="003472B7"/>
    <w:rsid w:val="00347564"/>
    <w:rsid w:val="003477B2"/>
    <w:rsid w:val="003477EB"/>
    <w:rsid w:val="003478C2"/>
    <w:rsid w:val="0035048A"/>
    <w:rsid w:val="00350764"/>
    <w:rsid w:val="00350802"/>
    <w:rsid w:val="00350955"/>
    <w:rsid w:val="003510F3"/>
    <w:rsid w:val="0035112A"/>
    <w:rsid w:val="00351324"/>
    <w:rsid w:val="00351458"/>
    <w:rsid w:val="00351AEA"/>
    <w:rsid w:val="00351BDA"/>
    <w:rsid w:val="00351DC8"/>
    <w:rsid w:val="00352389"/>
    <w:rsid w:val="003525BD"/>
    <w:rsid w:val="003527E2"/>
    <w:rsid w:val="00352999"/>
    <w:rsid w:val="00352AAF"/>
    <w:rsid w:val="00352D25"/>
    <w:rsid w:val="00352E49"/>
    <w:rsid w:val="00352EE0"/>
    <w:rsid w:val="00352F36"/>
    <w:rsid w:val="00352F3C"/>
    <w:rsid w:val="0035354C"/>
    <w:rsid w:val="00353835"/>
    <w:rsid w:val="003543A1"/>
    <w:rsid w:val="00354A09"/>
    <w:rsid w:val="00354C03"/>
    <w:rsid w:val="00355740"/>
    <w:rsid w:val="00355CC0"/>
    <w:rsid w:val="00355DA5"/>
    <w:rsid w:val="003563C2"/>
    <w:rsid w:val="003565DD"/>
    <w:rsid w:val="00356850"/>
    <w:rsid w:val="00356CFF"/>
    <w:rsid w:val="00356DAE"/>
    <w:rsid w:val="003573C9"/>
    <w:rsid w:val="00357630"/>
    <w:rsid w:val="00357D5B"/>
    <w:rsid w:val="00360468"/>
    <w:rsid w:val="003604B1"/>
    <w:rsid w:val="00360B06"/>
    <w:rsid w:val="003611E0"/>
    <w:rsid w:val="003614B0"/>
    <w:rsid w:val="0036156F"/>
    <w:rsid w:val="003628AD"/>
    <w:rsid w:val="00362988"/>
    <w:rsid w:val="003629D7"/>
    <w:rsid w:val="00362B16"/>
    <w:rsid w:val="00362D9D"/>
    <w:rsid w:val="00362F86"/>
    <w:rsid w:val="0036388B"/>
    <w:rsid w:val="00363A4F"/>
    <w:rsid w:val="00364425"/>
    <w:rsid w:val="00364472"/>
    <w:rsid w:val="0036449F"/>
    <w:rsid w:val="0036504F"/>
    <w:rsid w:val="0036522A"/>
    <w:rsid w:val="0036528D"/>
    <w:rsid w:val="00365836"/>
    <w:rsid w:val="00365A93"/>
    <w:rsid w:val="00365C11"/>
    <w:rsid w:val="0036620C"/>
    <w:rsid w:val="0036635A"/>
    <w:rsid w:val="00366661"/>
    <w:rsid w:val="00366A80"/>
    <w:rsid w:val="00366C32"/>
    <w:rsid w:val="00366C38"/>
    <w:rsid w:val="00366DA0"/>
    <w:rsid w:val="00367621"/>
    <w:rsid w:val="00367A7C"/>
    <w:rsid w:val="00367E97"/>
    <w:rsid w:val="00370116"/>
    <w:rsid w:val="003707EF"/>
    <w:rsid w:val="00370BBB"/>
    <w:rsid w:val="00370C02"/>
    <w:rsid w:val="00370C21"/>
    <w:rsid w:val="00370C7E"/>
    <w:rsid w:val="003714BF"/>
    <w:rsid w:val="00371518"/>
    <w:rsid w:val="00371549"/>
    <w:rsid w:val="0037162D"/>
    <w:rsid w:val="00371770"/>
    <w:rsid w:val="00371EB5"/>
    <w:rsid w:val="00372189"/>
    <w:rsid w:val="003722A0"/>
    <w:rsid w:val="00372BFA"/>
    <w:rsid w:val="00372D4A"/>
    <w:rsid w:val="00372DB4"/>
    <w:rsid w:val="00372F8E"/>
    <w:rsid w:val="00373087"/>
    <w:rsid w:val="0037375A"/>
    <w:rsid w:val="003738C8"/>
    <w:rsid w:val="00373DCE"/>
    <w:rsid w:val="00374548"/>
    <w:rsid w:val="00374903"/>
    <w:rsid w:val="00375108"/>
    <w:rsid w:val="00375201"/>
    <w:rsid w:val="00375D85"/>
    <w:rsid w:val="00375E2A"/>
    <w:rsid w:val="0037665A"/>
    <w:rsid w:val="00376665"/>
    <w:rsid w:val="0037669C"/>
    <w:rsid w:val="003768DC"/>
    <w:rsid w:val="0037700A"/>
    <w:rsid w:val="00377BB7"/>
    <w:rsid w:val="00377F0B"/>
    <w:rsid w:val="00377F1E"/>
    <w:rsid w:val="003803A1"/>
    <w:rsid w:val="003806BA"/>
    <w:rsid w:val="00380DD5"/>
    <w:rsid w:val="003810FE"/>
    <w:rsid w:val="0038125C"/>
    <w:rsid w:val="003818CA"/>
    <w:rsid w:val="00382174"/>
    <w:rsid w:val="0038252A"/>
    <w:rsid w:val="003826D3"/>
    <w:rsid w:val="003829A8"/>
    <w:rsid w:val="00382CEE"/>
    <w:rsid w:val="0038366F"/>
    <w:rsid w:val="00383989"/>
    <w:rsid w:val="00383BF7"/>
    <w:rsid w:val="0038449A"/>
    <w:rsid w:val="00384808"/>
    <w:rsid w:val="003848FB"/>
    <w:rsid w:val="00384A79"/>
    <w:rsid w:val="00384A87"/>
    <w:rsid w:val="00385048"/>
    <w:rsid w:val="00385FB7"/>
    <w:rsid w:val="00386615"/>
    <w:rsid w:val="0038758E"/>
    <w:rsid w:val="003876AF"/>
    <w:rsid w:val="00387D5A"/>
    <w:rsid w:val="003907CE"/>
    <w:rsid w:val="0039093B"/>
    <w:rsid w:val="00390AE8"/>
    <w:rsid w:val="003914DC"/>
    <w:rsid w:val="00391792"/>
    <w:rsid w:val="00391ADB"/>
    <w:rsid w:val="00391E08"/>
    <w:rsid w:val="00391FBF"/>
    <w:rsid w:val="0039211C"/>
    <w:rsid w:val="003921C7"/>
    <w:rsid w:val="003923F4"/>
    <w:rsid w:val="003927A5"/>
    <w:rsid w:val="003927EA"/>
    <w:rsid w:val="00392891"/>
    <w:rsid w:val="00393618"/>
    <w:rsid w:val="00393992"/>
    <w:rsid w:val="00393C5F"/>
    <w:rsid w:val="003940DF"/>
    <w:rsid w:val="0039486B"/>
    <w:rsid w:val="003948F1"/>
    <w:rsid w:val="00394A52"/>
    <w:rsid w:val="00394E9A"/>
    <w:rsid w:val="00395164"/>
    <w:rsid w:val="00395AAA"/>
    <w:rsid w:val="0039627A"/>
    <w:rsid w:val="003963B6"/>
    <w:rsid w:val="003963E9"/>
    <w:rsid w:val="003965D3"/>
    <w:rsid w:val="00397423"/>
    <w:rsid w:val="00397653"/>
    <w:rsid w:val="0039780D"/>
    <w:rsid w:val="003979E8"/>
    <w:rsid w:val="00397AEC"/>
    <w:rsid w:val="003A08E5"/>
    <w:rsid w:val="003A1956"/>
    <w:rsid w:val="003A1F2E"/>
    <w:rsid w:val="003A1F4D"/>
    <w:rsid w:val="003A1FAE"/>
    <w:rsid w:val="003A2A86"/>
    <w:rsid w:val="003A341D"/>
    <w:rsid w:val="003A3887"/>
    <w:rsid w:val="003A3AFB"/>
    <w:rsid w:val="003A3C9C"/>
    <w:rsid w:val="003A3FD7"/>
    <w:rsid w:val="003A4C6E"/>
    <w:rsid w:val="003A5505"/>
    <w:rsid w:val="003A5B80"/>
    <w:rsid w:val="003A5D91"/>
    <w:rsid w:val="003A6C18"/>
    <w:rsid w:val="003A7C56"/>
    <w:rsid w:val="003A7DBE"/>
    <w:rsid w:val="003B03C9"/>
    <w:rsid w:val="003B04DE"/>
    <w:rsid w:val="003B0A76"/>
    <w:rsid w:val="003B0BB8"/>
    <w:rsid w:val="003B0C33"/>
    <w:rsid w:val="003B0D8F"/>
    <w:rsid w:val="003B0EA4"/>
    <w:rsid w:val="003B0FC8"/>
    <w:rsid w:val="003B1284"/>
    <w:rsid w:val="003B1759"/>
    <w:rsid w:val="003B178E"/>
    <w:rsid w:val="003B1B69"/>
    <w:rsid w:val="003B1EB3"/>
    <w:rsid w:val="003B22FE"/>
    <w:rsid w:val="003B2480"/>
    <w:rsid w:val="003B2AA1"/>
    <w:rsid w:val="003B2DDE"/>
    <w:rsid w:val="003B2F1F"/>
    <w:rsid w:val="003B34AF"/>
    <w:rsid w:val="003B4052"/>
    <w:rsid w:val="003B437B"/>
    <w:rsid w:val="003B4AD0"/>
    <w:rsid w:val="003B5183"/>
    <w:rsid w:val="003B535D"/>
    <w:rsid w:val="003B536B"/>
    <w:rsid w:val="003B5489"/>
    <w:rsid w:val="003B550E"/>
    <w:rsid w:val="003B5867"/>
    <w:rsid w:val="003B5B3C"/>
    <w:rsid w:val="003B645E"/>
    <w:rsid w:val="003B6E79"/>
    <w:rsid w:val="003B6F0F"/>
    <w:rsid w:val="003B6FC1"/>
    <w:rsid w:val="003B76F3"/>
    <w:rsid w:val="003B7AD1"/>
    <w:rsid w:val="003B7F63"/>
    <w:rsid w:val="003B7FA6"/>
    <w:rsid w:val="003C094D"/>
    <w:rsid w:val="003C09B6"/>
    <w:rsid w:val="003C1157"/>
    <w:rsid w:val="003C1864"/>
    <w:rsid w:val="003C1E88"/>
    <w:rsid w:val="003C2376"/>
    <w:rsid w:val="003C2378"/>
    <w:rsid w:val="003C280F"/>
    <w:rsid w:val="003C293C"/>
    <w:rsid w:val="003C2E18"/>
    <w:rsid w:val="003C2E93"/>
    <w:rsid w:val="003C38D4"/>
    <w:rsid w:val="003C3930"/>
    <w:rsid w:val="003C3BE7"/>
    <w:rsid w:val="003C4110"/>
    <w:rsid w:val="003C4408"/>
    <w:rsid w:val="003C4D13"/>
    <w:rsid w:val="003C519E"/>
    <w:rsid w:val="003C5528"/>
    <w:rsid w:val="003C55E4"/>
    <w:rsid w:val="003C57C0"/>
    <w:rsid w:val="003C588C"/>
    <w:rsid w:val="003C6A94"/>
    <w:rsid w:val="003C6E0B"/>
    <w:rsid w:val="003C7224"/>
    <w:rsid w:val="003C73B6"/>
    <w:rsid w:val="003D0585"/>
    <w:rsid w:val="003D0970"/>
    <w:rsid w:val="003D0A09"/>
    <w:rsid w:val="003D0B0A"/>
    <w:rsid w:val="003D16F6"/>
    <w:rsid w:val="003D188D"/>
    <w:rsid w:val="003D18BA"/>
    <w:rsid w:val="003D1A27"/>
    <w:rsid w:val="003D1C26"/>
    <w:rsid w:val="003D2633"/>
    <w:rsid w:val="003D26D2"/>
    <w:rsid w:val="003D2E26"/>
    <w:rsid w:val="003D34C0"/>
    <w:rsid w:val="003D3648"/>
    <w:rsid w:val="003D397E"/>
    <w:rsid w:val="003D5200"/>
    <w:rsid w:val="003D579B"/>
    <w:rsid w:val="003D5868"/>
    <w:rsid w:val="003D59D1"/>
    <w:rsid w:val="003D5A65"/>
    <w:rsid w:val="003D5B58"/>
    <w:rsid w:val="003D5BA0"/>
    <w:rsid w:val="003D622E"/>
    <w:rsid w:val="003D69BE"/>
    <w:rsid w:val="003D7409"/>
    <w:rsid w:val="003D7CAA"/>
    <w:rsid w:val="003D7E44"/>
    <w:rsid w:val="003E02A0"/>
    <w:rsid w:val="003E0308"/>
    <w:rsid w:val="003E0833"/>
    <w:rsid w:val="003E0C86"/>
    <w:rsid w:val="003E10EE"/>
    <w:rsid w:val="003E1175"/>
    <w:rsid w:val="003E1459"/>
    <w:rsid w:val="003E176F"/>
    <w:rsid w:val="003E1E5F"/>
    <w:rsid w:val="003E1F3A"/>
    <w:rsid w:val="003E20D0"/>
    <w:rsid w:val="003E21CE"/>
    <w:rsid w:val="003E2554"/>
    <w:rsid w:val="003E297C"/>
    <w:rsid w:val="003E3686"/>
    <w:rsid w:val="003E3EDE"/>
    <w:rsid w:val="003E46AF"/>
    <w:rsid w:val="003E4AC5"/>
    <w:rsid w:val="003E528C"/>
    <w:rsid w:val="003E5766"/>
    <w:rsid w:val="003E57A6"/>
    <w:rsid w:val="003E6258"/>
    <w:rsid w:val="003E663C"/>
    <w:rsid w:val="003E6B2F"/>
    <w:rsid w:val="003E6C4F"/>
    <w:rsid w:val="003E785E"/>
    <w:rsid w:val="003F00CC"/>
    <w:rsid w:val="003F0187"/>
    <w:rsid w:val="003F069D"/>
    <w:rsid w:val="003F07AE"/>
    <w:rsid w:val="003F129A"/>
    <w:rsid w:val="003F1470"/>
    <w:rsid w:val="003F168F"/>
    <w:rsid w:val="003F18A5"/>
    <w:rsid w:val="003F18A9"/>
    <w:rsid w:val="003F31C9"/>
    <w:rsid w:val="003F3315"/>
    <w:rsid w:val="003F33A5"/>
    <w:rsid w:val="003F3446"/>
    <w:rsid w:val="003F35ED"/>
    <w:rsid w:val="003F36D3"/>
    <w:rsid w:val="003F37D5"/>
    <w:rsid w:val="003F3B46"/>
    <w:rsid w:val="003F3C5E"/>
    <w:rsid w:val="003F40AC"/>
    <w:rsid w:val="003F44F2"/>
    <w:rsid w:val="003F45E1"/>
    <w:rsid w:val="003F45F3"/>
    <w:rsid w:val="003F473B"/>
    <w:rsid w:val="003F4F81"/>
    <w:rsid w:val="003F4FA1"/>
    <w:rsid w:val="003F59D4"/>
    <w:rsid w:val="003F6407"/>
    <w:rsid w:val="003F70B4"/>
    <w:rsid w:val="003F7143"/>
    <w:rsid w:val="003F76AF"/>
    <w:rsid w:val="003F7AB1"/>
    <w:rsid w:val="0040020E"/>
    <w:rsid w:val="004003F0"/>
    <w:rsid w:val="0040085F"/>
    <w:rsid w:val="00400984"/>
    <w:rsid w:val="004012A4"/>
    <w:rsid w:val="0040136A"/>
    <w:rsid w:val="0040156C"/>
    <w:rsid w:val="00401602"/>
    <w:rsid w:val="004017FB"/>
    <w:rsid w:val="0040199C"/>
    <w:rsid w:val="00401F86"/>
    <w:rsid w:val="0040267F"/>
    <w:rsid w:val="00402C7B"/>
    <w:rsid w:val="004036D1"/>
    <w:rsid w:val="00404D4F"/>
    <w:rsid w:val="00404F12"/>
    <w:rsid w:val="004050AA"/>
    <w:rsid w:val="004052B3"/>
    <w:rsid w:val="00405AAA"/>
    <w:rsid w:val="00405DE2"/>
    <w:rsid w:val="004070DA"/>
    <w:rsid w:val="004073B6"/>
    <w:rsid w:val="00407C5C"/>
    <w:rsid w:val="00407E3D"/>
    <w:rsid w:val="00407ECB"/>
    <w:rsid w:val="00410070"/>
    <w:rsid w:val="0041062E"/>
    <w:rsid w:val="0041076E"/>
    <w:rsid w:val="0041089F"/>
    <w:rsid w:val="00410A22"/>
    <w:rsid w:val="00410B5D"/>
    <w:rsid w:val="0041121B"/>
    <w:rsid w:val="004112CA"/>
    <w:rsid w:val="0041159C"/>
    <w:rsid w:val="004115AE"/>
    <w:rsid w:val="00411B10"/>
    <w:rsid w:val="00412563"/>
    <w:rsid w:val="00412877"/>
    <w:rsid w:val="00412A18"/>
    <w:rsid w:val="00412C66"/>
    <w:rsid w:val="00413524"/>
    <w:rsid w:val="004135AE"/>
    <w:rsid w:val="004135D0"/>
    <w:rsid w:val="00413668"/>
    <w:rsid w:val="00413E01"/>
    <w:rsid w:val="00414D56"/>
    <w:rsid w:val="00414E38"/>
    <w:rsid w:val="00415DB9"/>
    <w:rsid w:val="00415F7C"/>
    <w:rsid w:val="00416762"/>
    <w:rsid w:val="00416A70"/>
    <w:rsid w:val="00416E67"/>
    <w:rsid w:val="0041715A"/>
    <w:rsid w:val="004202E7"/>
    <w:rsid w:val="0042030F"/>
    <w:rsid w:val="004205AC"/>
    <w:rsid w:val="004214C0"/>
    <w:rsid w:val="004216FE"/>
    <w:rsid w:val="00421D33"/>
    <w:rsid w:val="0042264F"/>
    <w:rsid w:val="004235B8"/>
    <w:rsid w:val="00423837"/>
    <w:rsid w:val="004239E1"/>
    <w:rsid w:val="00423A2A"/>
    <w:rsid w:val="00423ADE"/>
    <w:rsid w:val="0042408A"/>
    <w:rsid w:val="00424E37"/>
    <w:rsid w:val="00425A64"/>
    <w:rsid w:val="00425BCC"/>
    <w:rsid w:val="00425F0B"/>
    <w:rsid w:val="004262C0"/>
    <w:rsid w:val="004268EB"/>
    <w:rsid w:val="00426D77"/>
    <w:rsid w:val="0042763F"/>
    <w:rsid w:val="00427697"/>
    <w:rsid w:val="004278A8"/>
    <w:rsid w:val="00427A33"/>
    <w:rsid w:val="00427AB7"/>
    <w:rsid w:val="00427B6A"/>
    <w:rsid w:val="0043045A"/>
    <w:rsid w:val="00430A26"/>
    <w:rsid w:val="00431C4B"/>
    <w:rsid w:val="00432179"/>
    <w:rsid w:val="0043324D"/>
    <w:rsid w:val="00433A60"/>
    <w:rsid w:val="00433AB9"/>
    <w:rsid w:val="00433D06"/>
    <w:rsid w:val="00433F81"/>
    <w:rsid w:val="00434249"/>
    <w:rsid w:val="00434628"/>
    <w:rsid w:val="00434638"/>
    <w:rsid w:val="00434A76"/>
    <w:rsid w:val="0043529A"/>
    <w:rsid w:val="00435307"/>
    <w:rsid w:val="004362B5"/>
    <w:rsid w:val="004363CD"/>
    <w:rsid w:val="00436534"/>
    <w:rsid w:val="004365FD"/>
    <w:rsid w:val="00436AC8"/>
    <w:rsid w:val="00436DF4"/>
    <w:rsid w:val="00437518"/>
    <w:rsid w:val="004376CA"/>
    <w:rsid w:val="004378D9"/>
    <w:rsid w:val="00440B6C"/>
    <w:rsid w:val="00440B9E"/>
    <w:rsid w:val="00440E10"/>
    <w:rsid w:val="00440E81"/>
    <w:rsid w:val="00440EDC"/>
    <w:rsid w:val="00441337"/>
    <w:rsid w:val="00441812"/>
    <w:rsid w:val="004421A7"/>
    <w:rsid w:val="0044237F"/>
    <w:rsid w:val="00442483"/>
    <w:rsid w:val="00442C6E"/>
    <w:rsid w:val="00442CDB"/>
    <w:rsid w:val="0044312A"/>
    <w:rsid w:val="004432ED"/>
    <w:rsid w:val="00443443"/>
    <w:rsid w:val="004440EE"/>
    <w:rsid w:val="004444E7"/>
    <w:rsid w:val="004445C7"/>
    <w:rsid w:val="004445CF"/>
    <w:rsid w:val="004445D3"/>
    <w:rsid w:val="00444631"/>
    <w:rsid w:val="00445033"/>
    <w:rsid w:val="00445531"/>
    <w:rsid w:val="00445681"/>
    <w:rsid w:val="00445856"/>
    <w:rsid w:val="00445B80"/>
    <w:rsid w:val="00445C47"/>
    <w:rsid w:val="00445FE7"/>
    <w:rsid w:val="00446174"/>
    <w:rsid w:val="0044622D"/>
    <w:rsid w:val="0044652B"/>
    <w:rsid w:val="004466C5"/>
    <w:rsid w:val="00446C1B"/>
    <w:rsid w:val="00446C77"/>
    <w:rsid w:val="00446F0D"/>
    <w:rsid w:val="0044702E"/>
    <w:rsid w:val="0044722B"/>
    <w:rsid w:val="00447D5B"/>
    <w:rsid w:val="00447F2D"/>
    <w:rsid w:val="00450099"/>
    <w:rsid w:val="004504D4"/>
    <w:rsid w:val="004505F1"/>
    <w:rsid w:val="00450714"/>
    <w:rsid w:val="00450877"/>
    <w:rsid w:val="00450D66"/>
    <w:rsid w:val="0045113B"/>
    <w:rsid w:val="004517D3"/>
    <w:rsid w:val="00451C82"/>
    <w:rsid w:val="00452510"/>
    <w:rsid w:val="0045274A"/>
    <w:rsid w:val="00453A46"/>
    <w:rsid w:val="0045438E"/>
    <w:rsid w:val="00454685"/>
    <w:rsid w:val="00454788"/>
    <w:rsid w:val="00455280"/>
    <w:rsid w:val="004554D6"/>
    <w:rsid w:val="00455C1C"/>
    <w:rsid w:val="00455C6C"/>
    <w:rsid w:val="00455CB8"/>
    <w:rsid w:val="004562DB"/>
    <w:rsid w:val="00456C0F"/>
    <w:rsid w:val="00457167"/>
    <w:rsid w:val="004573FB"/>
    <w:rsid w:val="00457654"/>
    <w:rsid w:val="00460EF3"/>
    <w:rsid w:val="00460F96"/>
    <w:rsid w:val="00461095"/>
    <w:rsid w:val="004618A5"/>
    <w:rsid w:val="00462729"/>
    <w:rsid w:val="00462FB7"/>
    <w:rsid w:val="00463219"/>
    <w:rsid w:val="0046322E"/>
    <w:rsid w:val="0046333F"/>
    <w:rsid w:val="00463EF9"/>
    <w:rsid w:val="004642C0"/>
    <w:rsid w:val="00464400"/>
    <w:rsid w:val="004646EB"/>
    <w:rsid w:val="00464833"/>
    <w:rsid w:val="00464B24"/>
    <w:rsid w:val="00465098"/>
    <w:rsid w:val="00465134"/>
    <w:rsid w:val="00465DD7"/>
    <w:rsid w:val="00465E01"/>
    <w:rsid w:val="00465FDE"/>
    <w:rsid w:val="004660F8"/>
    <w:rsid w:val="004662DC"/>
    <w:rsid w:val="004664F1"/>
    <w:rsid w:val="00466741"/>
    <w:rsid w:val="00466956"/>
    <w:rsid w:val="00466DAD"/>
    <w:rsid w:val="00466EC0"/>
    <w:rsid w:val="0046707B"/>
    <w:rsid w:val="004671AB"/>
    <w:rsid w:val="00467C6B"/>
    <w:rsid w:val="00467FCF"/>
    <w:rsid w:val="004700D7"/>
    <w:rsid w:val="0047026A"/>
    <w:rsid w:val="004706A5"/>
    <w:rsid w:val="00471471"/>
    <w:rsid w:val="00471750"/>
    <w:rsid w:val="00471B0A"/>
    <w:rsid w:val="00471CF3"/>
    <w:rsid w:val="0047218A"/>
    <w:rsid w:val="004722D4"/>
    <w:rsid w:val="0047255E"/>
    <w:rsid w:val="004726BB"/>
    <w:rsid w:val="0047271B"/>
    <w:rsid w:val="00472D97"/>
    <w:rsid w:val="00472FA0"/>
    <w:rsid w:val="00472FAA"/>
    <w:rsid w:val="004739BF"/>
    <w:rsid w:val="004740D8"/>
    <w:rsid w:val="004746B5"/>
    <w:rsid w:val="004748BE"/>
    <w:rsid w:val="004748DA"/>
    <w:rsid w:val="00474BCF"/>
    <w:rsid w:val="00474C3B"/>
    <w:rsid w:val="00474D83"/>
    <w:rsid w:val="004755A7"/>
    <w:rsid w:val="004755DC"/>
    <w:rsid w:val="00475A90"/>
    <w:rsid w:val="0047686B"/>
    <w:rsid w:val="00476903"/>
    <w:rsid w:val="00476983"/>
    <w:rsid w:val="00477D09"/>
    <w:rsid w:val="00477D6E"/>
    <w:rsid w:val="00477F08"/>
    <w:rsid w:val="004801B1"/>
    <w:rsid w:val="00480AF7"/>
    <w:rsid w:val="00480D56"/>
    <w:rsid w:val="0048121F"/>
    <w:rsid w:val="00481452"/>
    <w:rsid w:val="0048178D"/>
    <w:rsid w:val="00481947"/>
    <w:rsid w:val="00481B00"/>
    <w:rsid w:val="00481E7A"/>
    <w:rsid w:val="00481F3B"/>
    <w:rsid w:val="004827AE"/>
    <w:rsid w:val="004828C9"/>
    <w:rsid w:val="004832C5"/>
    <w:rsid w:val="004832E5"/>
    <w:rsid w:val="004838EC"/>
    <w:rsid w:val="00483D71"/>
    <w:rsid w:val="004840E9"/>
    <w:rsid w:val="004842C8"/>
    <w:rsid w:val="00484377"/>
    <w:rsid w:val="0048443B"/>
    <w:rsid w:val="00484CAF"/>
    <w:rsid w:val="00484FA7"/>
    <w:rsid w:val="00485970"/>
    <w:rsid w:val="00485B66"/>
    <w:rsid w:val="00485BE6"/>
    <w:rsid w:val="004864EF"/>
    <w:rsid w:val="00486FBD"/>
    <w:rsid w:val="00487131"/>
    <w:rsid w:val="0048743C"/>
    <w:rsid w:val="0048755A"/>
    <w:rsid w:val="00487C12"/>
    <w:rsid w:val="00487CA0"/>
    <w:rsid w:val="00487EBA"/>
    <w:rsid w:val="004902A5"/>
    <w:rsid w:val="00490304"/>
    <w:rsid w:val="00490E20"/>
    <w:rsid w:val="0049110A"/>
    <w:rsid w:val="00491189"/>
    <w:rsid w:val="0049140D"/>
    <w:rsid w:val="004917AA"/>
    <w:rsid w:val="00491C99"/>
    <w:rsid w:val="00491D57"/>
    <w:rsid w:val="004922CC"/>
    <w:rsid w:val="004923D6"/>
    <w:rsid w:val="00492A91"/>
    <w:rsid w:val="00492C22"/>
    <w:rsid w:val="00493D49"/>
    <w:rsid w:val="00493E85"/>
    <w:rsid w:val="00493FAF"/>
    <w:rsid w:val="004947C5"/>
    <w:rsid w:val="004956B4"/>
    <w:rsid w:val="004956FB"/>
    <w:rsid w:val="00495B8D"/>
    <w:rsid w:val="00495C13"/>
    <w:rsid w:val="00495C42"/>
    <w:rsid w:val="00496377"/>
    <w:rsid w:val="00496AA1"/>
    <w:rsid w:val="00496BCA"/>
    <w:rsid w:val="00496FEF"/>
    <w:rsid w:val="00497693"/>
    <w:rsid w:val="0049774F"/>
    <w:rsid w:val="00497786"/>
    <w:rsid w:val="004978A0"/>
    <w:rsid w:val="00497A7E"/>
    <w:rsid w:val="00497D67"/>
    <w:rsid w:val="00497D68"/>
    <w:rsid w:val="004A03F3"/>
    <w:rsid w:val="004A0513"/>
    <w:rsid w:val="004A0E5D"/>
    <w:rsid w:val="004A1047"/>
    <w:rsid w:val="004A11E2"/>
    <w:rsid w:val="004A16E1"/>
    <w:rsid w:val="004A1DC2"/>
    <w:rsid w:val="004A1F17"/>
    <w:rsid w:val="004A1FCF"/>
    <w:rsid w:val="004A247B"/>
    <w:rsid w:val="004A2B47"/>
    <w:rsid w:val="004A2C74"/>
    <w:rsid w:val="004A2D24"/>
    <w:rsid w:val="004A3211"/>
    <w:rsid w:val="004A3B0E"/>
    <w:rsid w:val="004A3E9A"/>
    <w:rsid w:val="004A3F90"/>
    <w:rsid w:val="004A3FB6"/>
    <w:rsid w:val="004A4276"/>
    <w:rsid w:val="004A42C0"/>
    <w:rsid w:val="004A447F"/>
    <w:rsid w:val="004A4608"/>
    <w:rsid w:val="004A57A9"/>
    <w:rsid w:val="004A5E8A"/>
    <w:rsid w:val="004A6246"/>
    <w:rsid w:val="004A6885"/>
    <w:rsid w:val="004A6A27"/>
    <w:rsid w:val="004A6DED"/>
    <w:rsid w:val="004A6E71"/>
    <w:rsid w:val="004A71BC"/>
    <w:rsid w:val="004A72CC"/>
    <w:rsid w:val="004A739C"/>
    <w:rsid w:val="004A73ED"/>
    <w:rsid w:val="004A758A"/>
    <w:rsid w:val="004A76A0"/>
    <w:rsid w:val="004A76E4"/>
    <w:rsid w:val="004A77DB"/>
    <w:rsid w:val="004A7946"/>
    <w:rsid w:val="004B0755"/>
    <w:rsid w:val="004B0896"/>
    <w:rsid w:val="004B1686"/>
    <w:rsid w:val="004B1BB0"/>
    <w:rsid w:val="004B1E25"/>
    <w:rsid w:val="004B1F38"/>
    <w:rsid w:val="004B2217"/>
    <w:rsid w:val="004B2A54"/>
    <w:rsid w:val="004B2C4B"/>
    <w:rsid w:val="004B2D20"/>
    <w:rsid w:val="004B2EBD"/>
    <w:rsid w:val="004B30BC"/>
    <w:rsid w:val="004B3132"/>
    <w:rsid w:val="004B3835"/>
    <w:rsid w:val="004B3B35"/>
    <w:rsid w:val="004B3E6A"/>
    <w:rsid w:val="004B42B7"/>
    <w:rsid w:val="004B4464"/>
    <w:rsid w:val="004B44DC"/>
    <w:rsid w:val="004B485C"/>
    <w:rsid w:val="004B4A0A"/>
    <w:rsid w:val="004B4D2F"/>
    <w:rsid w:val="004B4E21"/>
    <w:rsid w:val="004B4FE1"/>
    <w:rsid w:val="004B530F"/>
    <w:rsid w:val="004B5B04"/>
    <w:rsid w:val="004B607D"/>
    <w:rsid w:val="004B662F"/>
    <w:rsid w:val="004B6712"/>
    <w:rsid w:val="004B7149"/>
    <w:rsid w:val="004B76F0"/>
    <w:rsid w:val="004B779F"/>
    <w:rsid w:val="004B78DC"/>
    <w:rsid w:val="004B797E"/>
    <w:rsid w:val="004B7A52"/>
    <w:rsid w:val="004C03E7"/>
    <w:rsid w:val="004C0813"/>
    <w:rsid w:val="004C0C0B"/>
    <w:rsid w:val="004C10C5"/>
    <w:rsid w:val="004C1335"/>
    <w:rsid w:val="004C1430"/>
    <w:rsid w:val="004C17DF"/>
    <w:rsid w:val="004C1BFA"/>
    <w:rsid w:val="004C238D"/>
    <w:rsid w:val="004C308B"/>
    <w:rsid w:val="004C30A9"/>
    <w:rsid w:val="004C351F"/>
    <w:rsid w:val="004C353D"/>
    <w:rsid w:val="004C354D"/>
    <w:rsid w:val="004C38D7"/>
    <w:rsid w:val="004C39EA"/>
    <w:rsid w:val="004C3A81"/>
    <w:rsid w:val="004C3EEC"/>
    <w:rsid w:val="004C3F1E"/>
    <w:rsid w:val="004C43D4"/>
    <w:rsid w:val="004C457E"/>
    <w:rsid w:val="004C4AE1"/>
    <w:rsid w:val="004C537F"/>
    <w:rsid w:val="004C5875"/>
    <w:rsid w:val="004C5CA3"/>
    <w:rsid w:val="004C5DFD"/>
    <w:rsid w:val="004C6155"/>
    <w:rsid w:val="004C644C"/>
    <w:rsid w:val="004C6E83"/>
    <w:rsid w:val="004C7A05"/>
    <w:rsid w:val="004C7A39"/>
    <w:rsid w:val="004C7E07"/>
    <w:rsid w:val="004C7E8D"/>
    <w:rsid w:val="004C7F01"/>
    <w:rsid w:val="004C7F6D"/>
    <w:rsid w:val="004D0F00"/>
    <w:rsid w:val="004D101E"/>
    <w:rsid w:val="004D115F"/>
    <w:rsid w:val="004D1283"/>
    <w:rsid w:val="004D1463"/>
    <w:rsid w:val="004D1CB3"/>
    <w:rsid w:val="004D1DE2"/>
    <w:rsid w:val="004D1DF2"/>
    <w:rsid w:val="004D1E24"/>
    <w:rsid w:val="004D20D9"/>
    <w:rsid w:val="004D2159"/>
    <w:rsid w:val="004D21FE"/>
    <w:rsid w:val="004D2950"/>
    <w:rsid w:val="004D2D1D"/>
    <w:rsid w:val="004D2D76"/>
    <w:rsid w:val="004D3379"/>
    <w:rsid w:val="004D3612"/>
    <w:rsid w:val="004D3864"/>
    <w:rsid w:val="004D3A87"/>
    <w:rsid w:val="004D3D53"/>
    <w:rsid w:val="004D4246"/>
    <w:rsid w:val="004D4273"/>
    <w:rsid w:val="004D44A8"/>
    <w:rsid w:val="004D45F6"/>
    <w:rsid w:val="004D47F2"/>
    <w:rsid w:val="004D5414"/>
    <w:rsid w:val="004D5757"/>
    <w:rsid w:val="004D5819"/>
    <w:rsid w:val="004D585F"/>
    <w:rsid w:val="004D5A97"/>
    <w:rsid w:val="004D6046"/>
    <w:rsid w:val="004D61FA"/>
    <w:rsid w:val="004D6EC1"/>
    <w:rsid w:val="004D6F04"/>
    <w:rsid w:val="004D739B"/>
    <w:rsid w:val="004D7910"/>
    <w:rsid w:val="004E094D"/>
    <w:rsid w:val="004E0BA0"/>
    <w:rsid w:val="004E0CA7"/>
    <w:rsid w:val="004E1021"/>
    <w:rsid w:val="004E112B"/>
    <w:rsid w:val="004E14B0"/>
    <w:rsid w:val="004E1562"/>
    <w:rsid w:val="004E15C9"/>
    <w:rsid w:val="004E1829"/>
    <w:rsid w:val="004E19C9"/>
    <w:rsid w:val="004E1C22"/>
    <w:rsid w:val="004E1DFA"/>
    <w:rsid w:val="004E1F3A"/>
    <w:rsid w:val="004E2153"/>
    <w:rsid w:val="004E43A0"/>
    <w:rsid w:val="004E4558"/>
    <w:rsid w:val="004E4846"/>
    <w:rsid w:val="004E4C4F"/>
    <w:rsid w:val="004E5002"/>
    <w:rsid w:val="004E51C8"/>
    <w:rsid w:val="004E5830"/>
    <w:rsid w:val="004E5C50"/>
    <w:rsid w:val="004E5D60"/>
    <w:rsid w:val="004E5E7A"/>
    <w:rsid w:val="004E66ED"/>
    <w:rsid w:val="004E67ED"/>
    <w:rsid w:val="004E6815"/>
    <w:rsid w:val="004E6B4D"/>
    <w:rsid w:val="004E7007"/>
    <w:rsid w:val="004E70AA"/>
    <w:rsid w:val="004E7386"/>
    <w:rsid w:val="004E7516"/>
    <w:rsid w:val="004E7EB0"/>
    <w:rsid w:val="004F07D9"/>
    <w:rsid w:val="004F0AC5"/>
    <w:rsid w:val="004F0D23"/>
    <w:rsid w:val="004F103C"/>
    <w:rsid w:val="004F10E7"/>
    <w:rsid w:val="004F1525"/>
    <w:rsid w:val="004F1843"/>
    <w:rsid w:val="004F1CE0"/>
    <w:rsid w:val="004F2206"/>
    <w:rsid w:val="004F2C6E"/>
    <w:rsid w:val="004F2F86"/>
    <w:rsid w:val="004F3EC5"/>
    <w:rsid w:val="004F3F60"/>
    <w:rsid w:val="004F41FE"/>
    <w:rsid w:val="004F506E"/>
    <w:rsid w:val="004F52BB"/>
    <w:rsid w:val="004F54DC"/>
    <w:rsid w:val="004F5649"/>
    <w:rsid w:val="004F59B0"/>
    <w:rsid w:val="004F60F5"/>
    <w:rsid w:val="004F63A2"/>
    <w:rsid w:val="004F6466"/>
    <w:rsid w:val="004F6AC8"/>
    <w:rsid w:val="004F6EE4"/>
    <w:rsid w:val="004F713A"/>
    <w:rsid w:val="004F79CB"/>
    <w:rsid w:val="004F7A2F"/>
    <w:rsid w:val="004F7E84"/>
    <w:rsid w:val="00500002"/>
    <w:rsid w:val="00500463"/>
    <w:rsid w:val="00500817"/>
    <w:rsid w:val="00500A0E"/>
    <w:rsid w:val="0050197A"/>
    <w:rsid w:val="00501DBB"/>
    <w:rsid w:val="00501F6F"/>
    <w:rsid w:val="005023B0"/>
    <w:rsid w:val="005023E8"/>
    <w:rsid w:val="0050250C"/>
    <w:rsid w:val="00502686"/>
    <w:rsid w:val="00502F45"/>
    <w:rsid w:val="005030CF"/>
    <w:rsid w:val="005033C2"/>
    <w:rsid w:val="0050344B"/>
    <w:rsid w:val="005038F6"/>
    <w:rsid w:val="00503B5F"/>
    <w:rsid w:val="00504156"/>
    <w:rsid w:val="0050460A"/>
    <w:rsid w:val="005047E1"/>
    <w:rsid w:val="00504882"/>
    <w:rsid w:val="00505551"/>
    <w:rsid w:val="0050566D"/>
    <w:rsid w:val="00505A53"/>
    <w:rsid w:val="00505F4C"/>
    <w:rsid w:val="0050609C"/>
    <w:rsid w:val="005060CB"/>
    <w:rsid w:val="00506307"/>
    <w:rsid w:val="005063B9"/>
    <w:rsid w:val="00506AC0"/>
    <w:rsid w:val="00506D31"/>
    <w:rsid w:val="00506E9C"/>
    <w:rsid w:val="0050711A"/>
    <w:rsid w:val="005072C9"/>
    <w:rsid w:val="00507D19"/>
    <w:rsid w:val="00510395"/>
    <w:rsid w:val="00510C1E"/>
    <w:rsid w:val="00510CEB"/>
    <w:rsid w:val="00510D01"/>
    <w:rsid w:val="00510DF0"/>
    <w:rsid w:val="00511321"/>
    <w:rsid w:val="00511600"/>
    <w:rsid w:val="0051167B"/>
    <w:rsid w:val="005116EB"/>
    <w:rsid w:val="00511787"/>
    <w:rsid w:val="005119AD"/>
    <w:rsid w:val="00511BA0"/>
    <w:rsid w:val="00511D11"/>
    <w:rsid w:val="00511D31"/>
    <w:rsid w:val="00511E7E"/>
    <w:rsid w:val="00512224"/>
    <w:rsid w:val="00512484"/>
    <w:rsid w:val="00512653"/>
    <w:rsid w:val="005129AB"/>
    <w:rsid w:val="00512BD9"/>
    <w:rsid w:val="00512E29"/>
    <w:rsid w:val="0051322E"/>
    <w:rsid w:val="005134D6"/>
    <w:rsid w:val="005137A4"/>
    <w:rsid w:val="00513822"/>
    <w:rsid w:val="00513E16"/>
    <w:rsid w:val="00513F68"/>
    <w:rsid w:val="005142DD"/>
    <w:rsid w:val="00515AA5"/>
    <w:rsid w:val="00517820"/>
    <w:rsid w:val="005179E2"/>
    <w:rsid w:val="00517CFC"/>
    <w:rsid w:val="005202E6"/>
    <w:rsid w:val="00520991"/>
    <w:rsid w:val="00520BB5"/>
    <w:rsid w:val="00521231"/>
    <w:rsid w:val="0052126C"/>
    <w:rsid w:val="00521E2E"/>
    <w:rsid w:val="00521F32"/>
    <w:rsid w:val="005224FD"/>
    <w:rsid w:val="005225F4"/>
    <w:rsid w:val="005226A5"/>
    <w:rsid w:val="005228C2"/>
    <w:rsid w:val="00523374"/>
    <w:rsid w:val="0052390F"/>
    <w:rsid w:val="0052398D"/>
    <w:rsid w:val="0052463C"/>
    <w:rsid w:val="00524DE0"/>
    <w:rsid w:val="00524EE5"/>
    <w:rsid w:val="00524F2B"/>
    <w:rsid w:val="0052501C"/>
    <w:rsid w:val="00525718"/>
    <w:rsid w:val="005257C1"/>
    <w:rsid w:val="00525808"/>
    <w:rsid w:val="00525E77"/>
    <w:rsid w:val="00525F10"/>
    <w:rsid w:val="005263BC"/>
    <w:rsid w:val="0052658B"/>
    <w:rsid w:val="005265EA"/>
    <w:rsid w:val="005266AE"/>
    <w:rsid w:val="00526791"/>
    <w:rsid w:val="00526CEA"/>
    <w:rsid w:val="00527048"/>
    <w:rsid w:val="0052762C"/>
    <w:rsid w:val="00527D14"/>
    <w:rsid w:val="00527DCF"/>
    <w:rsid w:val="00527EB8"/>
    <w:rsid w:val="005303A3"/>
    <w:rsid w:val="0053091D"/>
    <w:rsid w:val="00530E7C"/>
    <w:rsid w:val="00531176"/>
    <w:rsid w:val="00531311"/>
    <w:rsid w:val="00531533"/>
    <w:rsid w:val="00531694"/>
    <w:rsid w:val="00531CD8"/>
    <w:rsid w:val="00531E0C"/>
    <w:rsid w:val="00532043"/>
    <w:rsid w:val="0053251E"/>
    <w:rsid w:val="0053293F"/>
    <w:rsid w:val="00532952"/>
    <w:rsid w:val="00532D4A"/>
    <w:rsid w:val="00532E3F"/>
    <w:rsid w:val="00532E69"/>
    <w:rsid w:val="00533A87"/>
    <w:rsid w:val="005343AC"/>
    <w:rsid w:val="00534B65"/>
    <w:rsid w:val="00534D9A"/>
    <w:rsid w:val="00534DA0"/>
    <w:rsid w:val="00534E42"/>
    <w:rsid w:val="00534E63"/>
    <w:rsid w:val="00535588"/>
    <w:rsid w:val="00535CED"/>
    <w:rsid w:val="00535D79"/>
    <w:rsid w:val="0053617A"/>
    <w:rsid w:val="005364CB"/>
    <w:rsid w:val="00536916"/>
    <w:rsid w:val="00537566"/>
    <w:rsid w:val="00537AF3"/>
    <w:rsid w:val="00537D58"/>
    <w:rsid w:val="00540013"/>
    <w:rsid w:val="005408A2"/>
    <w:rsid w:val="00540D48"/>
    <w:rsid w:val="00540FE4"/>
    <w:rsid w:val="0054165D"/>
    <w:rsid w:val="005420BC"/>
    <w:rsid w:val="0054262E"/>
    <w:rsid w:val="0054289F"/>
    <w:rsid w:val="00542912"/>
    <w:rsid w:val="0054293C"/>
    <w:rsid w:val="00542C20"/>
    <w:rsid w:val="00543267"/>
    <w:rsid w:val="0054345C"/>
    <w:rsid w:val="0054364A"/>
    <w:rsid w:val="005438A2"/>
    <w:rsid w:val="005441D8"/>
    <w:rsid w:val="0054427E"/>
    <w:rsid w:val="00544BE5"/>
    <w:rsid w:val="00545045"/>
    <w:rsid w:val="0054523E"/>
    <w:rsid w:val="00545EA4"/>
    <w:rsid w:val="00546EDE"/>
    <w:rsid w:val="005474C7"/>
    <w:rsid w:val="00547703"/>
    <w:rsid w:val="00547782"/>
    <w:rsid w:val="005479CA"/>
    <w:rsid w:val="00547A76"/>
    <w:rsid w:val="00547B58"/>
    <w:rsid w:val="00547B8B"/>
    <w:rsid w:val="00547E4A"/>
    <w:rsid w:val="00547F9D"/>
    <w:rsid w:val="005504DA"/>
    <w:rsid w:val="0055068A"/>
    <w:rsid w:val="0055079F"/>
    <w:rsid w:val="00551813"/>
    <w:rsid w:val="00551945"/>
    <w:rsid w:val="005522E4"/>
    <w:rsid w:val="00552407"/>
    <w:rsid w:val="00552827"/>
    <w:rsid w:val="00552CBF"/>
    <w:rsid w:val="00553773"/>
    <w:rsid w:val="005539BF"/>
    <w:rsid w:val="00553A2F"/>
    <w:rsid w:val="005543CC"/>
    <w:rsid w:val="00554541"/>
    <w:rsid w:val="00554CA0"/>
    <w:rsid w:val="00554D9E"/>
    <w:rsid w:val="00554F69"/>
    <w:rsid w:val="00555471"/>
    <w:rsid w:val="00556835"/>
    <w:rsid w:val="005568EC"/>
    <w:rsid w:val="00556C93"/>
    <w:rsid w:val="005571CA"/>
    <w:rsid w:val="005571F3"/>
    <w:rsid w:val="0055723B"/>
    <w:rsid w:val="0055771B"/>
    <w:rsid w:val="00557A13"/>
    <w:rsid w:val="00557A8B"/>
    <w:rsid w:val="00557F2F"/>
    <w:rsid w:val="00557FE0"/>
    <w:rsid w:val="005601EF"/>
    <w:rsid w:val="0056036E"/>
    <w:rsid w:val="005605FE"/>
    <w:rsid w:val="00560866"/>
    <w:rsid w:val="00560A05"/>
    <w:rsid w:val="00561599"/>
    <w:rsid w:val="0056194B"/>
    <w:rsid w:val="00561A73"/>
    <w:rsid w:val="005628FA"/>
    <w:rsid w:val="0056297B"/>
    <w:rsid w:val="00562A3F"/>
    <w:rsid w:val="005633A7"/>
    <w:rsid w:val="00563825"/>
    <w:rsid w:val="00563DC0"/>
    <w:rsid w:val="00563FEC"/>
    <w:rsid w:val="00564419"/>
    <w:rsid w:val="00564A71"/>
    <w:rsid w:val="00564E8E"/>
    <w:rsid w:val="00565027"/>
    <w:rsid w:val="005650C9"/>
    <w:rsid w:val="00565336"/>
    <w:rsid w:val="005658D4"/>
    <w:rsid w:val="005662B2"/>
    <w:rsid w:val="005664AD"/>
    <w:rsid w:val="005668E0"/>
    <w:rsid w:val="00566A8E"/>
    <w:rsid w:val="00566D89"/>
    <w:rsid w:val="00566EDA"/>
    <w:rsid w:val="005674C3"/>
    <w:rsid w:val="00567C72"/>
    <w:rsid w:val="00567DA3"/>
    <w:rsid w:val="005706BA"/>
    <w:rsid w:val="0057083F"/>
    <w:rsid w:val="005709A3"/>
    <w:rsid w:val="00570F1F"/>
    <w:rsid w:val="00571772"/>
    <w:rsid w:val="005719AE"/>
    <w:rsid w:val="00571A68"/>
    <w:rsid w:val="00572362"/>
    <w:rsid w:val="005726F8"/>
    <w:rsid w:val="00573493"/>
    <w:rsid w:val="0057368F"/>
    <w:rsid w:val="0057393F"/>
    <w:rsid w:val="00573AC2"/>
    <w:rsid w:val="00573BA3"/>
    <w:rsid w:val="00574246"/>
    <w:rsid w:val="005745F1"/>
    <w:rsid w:val="0057469C"/>
    <w:rsid w:val="005748A0"/>
    <w:rsid w:val="00574AF2"/>
    <w:rsid w:val="00574BF1"/>
    <w:rsid w:val="00575164"/>
    <w:rsid w:val="005756C7"/>
    <w:rsid w:val="00576310"/>
    <w:rsid w:val="005768C1"/>
    <w:rsid w:val="0057732F"/>
    <w:rsid w:val="00577F9F"/>
    <w:rsid w:val="005801BF"/>
    <w:rsid w:val="0058028B"/>
    <w:rsid w:val="005803F7"/>
    <w:rsid w:val="00580E78"/>
    <w:rsid w:val="00581002"/>
    <w:rsid w:val="00581081"/>
    <w:rsid w:val="00581084"/>
    <w:rsid w:val="00581295"/>
    <w:rsid w:val="00581BEB"/>
    <w:rsid w:val="00582373"/>
    <w:rsid w:val="00582B4B"/>
    <w:rsid w:val="005836E4"/>
    <w:rsid w:val="00583EFE"/>
    <w:rsid w:val="00584084"/>
    <w:rsid w:val="005843AD"/>
    <w:rsid w:val="0058486B"/>
    <w:rsid w:val="00584997"/>
    <w:rsid w:val="00584BE7"/>
    <w:rsid w:val="00584CC2"/>
    <w:rsid w:val="00584DEA"/>
    <w:rsid w:val="00585195"/>
    <w:rsid w:val="0058526A"/>
    <w:rsid w:val="00585865"/>
    <w:rsid w:val="00585F10"/>
    <w:rsid w:val="00586097"/>
    <w:rsid w:val="005866D1"/>
    <w:rsid w:val="005868C6"/>
    <w:rsid w:val="00586A3D"/>
    <w:rsid w:val="00586D76"/>
    <w:rsid w:val="005875B2"/>
    <w:rsid w:val="00587EC3"/>
    <w:rsid w:val="00587FEB"/>
    <w:rsid w:val="005903D6"/>
    <w:rsid w:val="005909A9"/>
    <w:rsid w:val="00590AF4"/>
    <w:rsid w:val="00590E7E"/>
    <w:rsid w:val="005914E3"/>
    <w:rsid w:val="00591CDB"/>
    <w:rsid w:val="00591D26"/>
    <w:rsid w:val="00591D8F"/>
    <w:rsid w:val="005924B9"/>
    <w:rsid w:val="005924CF"/>
    <w:rsid w:val="00592BE3"/>
    <w:rsid w:val="00592C4F"/>
    <w:rsid w:val="0059309A"/>
    <w:rsid w:val="00593C31"/>
    <w:rsid w:val="00593D49"/>
    <w:rsid w:val="00594077"/>
    <w:rsid w:val="005944C9"/>
    <w:rsid w:val="0059455A"/>
    <w:rsid w:val="00594727"/>
    <w:rsid w:val="00594937"/>
    <w:rsid w:val="00594BAD"/>
    <w:rsid w:val="00594C8A"/>
    <w:rsid w:val="00594E64"/>
    <w:rsid w:val="00594FF6"/>
    <w:rsid w:val="005952AB"/>
    <w:rsid w:val="0059533B"/>
    <w:rsid w:val="005953FC"/>
    <w:rsid w:val="00595402"/>
    <w:rsid w:val="005955AB"/>
    <w:rsid w:val="00595613"/>
    <w:rsid w:val="00595D66"/>
    <w:rsid w:val="00596063"/>
    <w:rsid w:val="005964C3"/>
    <w:rsid w:val="00596551"/>
    <w:rsid w:val="00596948"/>
    <w:rsid w:val="00596C41"/>
    <w:rsid w:val="00597060"/>
    <w:rsid w:val="005972D0"/>
    <w:rsid w:val="00597309"/>
    <w:rsid w:val="00597516"/>
    <w:rsid w:val="00597915"/>
    <w:rsid w:val="00597D52"/>
    <w:rsid w:val="00597DC0"/>
    <w:rsid w:val="005A024A"/>
    <w:rsid w:val="005A08DF"/>
    <w:rsid w:val="005A1086"/>
    <w:rsid w:val="005A1E0F"/>
    <w:rsid w:val="005A2168"/>
    <w:rsid w:val="005A2798"/>
    <w:rsid w:val="005A2D06"/>
    <w:rsid w:val="005A2D42"/>
    <w:rsid w:val="005A2D4A"/>
    <w:rsid w:val="005A2D9F"/>
    <w:rsid w:val="005A3F69"/>
    <w:rsid w:val="005A4467"/>
    <w:rsid w:val="005A44FB"/>
    <w:rsid w:val="005A4725"/>
    <w:rsid w:val="005A56F0"/>
    <w:rsid w:val="005A5713"/>
    <w:rsid w:val="005A5747"/>
    <w:rsid w:val="005A5977"/>
    <w:rsid w:val="005A643D"/>
    <w:rsid w:val="005A6538"/>
    <w:rsid w:val="005A68F9"/>
    <w:rsid w:val="005A6B65"/>
    <w:rsid w:val="005A6D61"/>
    <w:rsid w:val="005A7019"/>
    <w:rsid w:val="005A7134"/>
    <w:rsid w:val="005A71D0"/>
    <w:rsid w:val="005A7276"/>
    <w:rsid w:val="005A76BA"/>
    <w:rsid w:val="005A7EAA"/>
    <w:rsid w:val="005B0603"/>
    <w:rsid w:val="005B103B"/>
    <w:rsid w:val="005B10F6"/>
    <w:rsid w:val="005B130B"/>
    <w:rsid w:val="005B1562"/>
    <w:rsid w:val="005B18EA"/>
    <w:rsid w:val="005B1BB7"/>
    <w:rsid w:val="005B26D6"/>
    <w:rsid w:val="005B29B5"/>
    <w:rsid w:val="005B2A90"/>
    <w:rsid w:val="005B2E64"/>
    <w:rsid w:val="005B354C"/>
    <w:rsid w:val="005B376B"/>
    <w:rsid w:val="005B389D"/>
    <w:rsid w:val="005B3C03"/>
    <w:rsid w:val="005B3CD5"/>
    <w:rsid w:val="005B442B"/>
    <w:rsid w:val="005B4DE2"/>
    <w:rsid w:val="005B4F59"/>
    <w:rsid w:val="005B5027"/>
    <w:rsid w:val="005B5440"/>
    <w:rsid w:val="005B54C0"/>
    <w:rsid w:val="005B5522"/>
    <w:rsid w:val="005B5B49"/>
    <w:rsid w:val="005B5F38"/>
    <w:rsid w:val="005B64EE"/>
    <w:rsid w:val="005B6B9C"/>
    <w:rsid w:val="005B6FC4"/>
    <w:rsid w:val="005B757A"/>
    <w:rsid w:val="005B7625"/>
    <w:rsid w:val="005B79E3"/>
    <w:rsid w:val="005C0013"/>
    <w:rsid w:val="005C01EF"/>
    <w:rsid w:val="005C06B5"/>
    <w:rsid w:val="005C089D"/>
    <w:rsid w:val="005C11B4"/>
    <w:rsid w:val="005C143D"/>
    <w:rsid w:val="005C1756"/>
    <w:rsid w:val="005C1BCF"/>
    <w:rsid w:val="005C2127"/>
    <w:rsid w:val="005C2309"/>
    <w:rsid w:val="005C23CF"/>
    <w:rsid w:val="005C257E"/>
    <w:rsid w:val="005C2F7E"/>
    <w:rsid w:val="005C3B77"/>
    <w:rsid w:val="005C4306"/>
    <w:rsid w:val="005C46B1"/>
    <w:rsid w:val="005C5586"/>
    <w:rsid w:val="005C56DE"/>
    <w:rsid w:val="005C5761"/>
    <w:rsid w:val="005C667B"/>
    <w:rsid w:val="005C6885"/>
    <w:rsid w:val="005C6C33"/>
    <w:rsid w:val="005C708F"/>
    <w:rsid w:val="005C766D"/>
    <w:rsid w:val="005C7750"/>
    <w:rsid w:val="005D007D"/>
    <w:rsid w:val="005D0198"/>
    <w:rsid w:val="005D0CEC"/>
    <w:rsid w:val="005D0CFF"/>
    <w:rsid w:val="005D148D"/>
    <w:rsid w:val="005D1828"/>
    <w:rsid w:val="005D206F"/>
    <w:rsid w:val="005D2233"/>
    <w:rsid w:val="005D225C"/>
    <w:rsid w:val="005D2266"/>
    <w:rsid w:val="005D232E"/>
    <w:rsid w:val="005D24E7"/>
    <w:rsid w:val="005D2D11"/>
    <w:rsid w:val="005D2DDE"/>
    <w:rsid w:val="005D323A"/>
    <w:rsid w:val="005D32CB"/>
    <w:rsid w:val="005D34E7"/>
    <w:rsid w:val="005D3EAB"/>
    <w:rsid w:val="005D452F"/>
    <w:rsid w:val="005D47E7"/>
    <w:rsid w:val="005D4CB8"/>
    <w:rsid w:val="005D4D47"/>
    <w:rsid w:val="005D52B3"/>
    <w:rsid w:val="005D5A8D"/>
    <w:rsid w:val="005D5D7D"/>
    <w:rsid w:val="005D6798"/>
    <w:rsid w:val="005D6990"/>
    <w:rsid w:val="005D6CD1"/>
    <w:rsid w:val="005D7849"/>
    <w:rsid w:val="005E045B"/>
    <w:rsid w:val="005E0FBD"/>
    <w:rsid w:val="005E1672"/>
    <w:rsid w:val="005E2079"/>
    <w:rsid w:val="005E2957"/>
    <w:rsid w:val="005E2CA6"/>
    <w:rsid w:val="005E2D6F"/>
    <w:rsid w:val="005E2D77"/>
    <w:rsid w:val="005E3137"/>
    <w:rsid w:val="005E316F"/>
    <w:rsid w:val="005E3181"/>
    <w:rsid w:val="005E346F"/>
    <w:rsid w:val="005E355F"/>
    <w:rsid w:val="005E3724"/>
    <w:rsid w:val="005E37D8"/>
    <w:rsid w:val="005E4518"/>
    <w:rsid w:val="005E4871"/>
    <w:rsid w:val="005E4A87"/>
    <w:rsid w:val="005E4ABB"/>
    <w:rsid w:val="005E4F69"/>
    <w:rsid w:val="005E4FFB"/>
    <w:rsid w:val="005E520B"/>
    <w:rsid w:val="005E53E1"/>
    <w:rsid w:val="005E6551"/>
    <w:rsid w:val="005E7AAA"/>
    <w:rsid w:val="005F0650"/>
    <w:rsid w:val="005F0982"/>
    <w:rsid w:val="005F0A18"/>
    <w:rsid w:val="005F0A88"/>
    <w:rsid w:val="005F0F33"/>
    <w:rsid w:val="005F15B6"/>
    <w:rsid w:val="005F2026"/>
    <w:rsid w:val="005F2729"/>
    <w:rsid w:val="005F2937"/>
    <w:rsid w:val="005F2D7D"/>
    <w:rsid w:val="005F2DCE"/>
    <w:rsid w:val="005F3364"/>
    <w:rsid w:val="005F371B"/>
    <w:rsid w:val="005F3AB5"/>
    <w:rsid w:val="005F3D56"/>
    <w:rsid w:val="005F3F59"/>
    <w:rsid w:val="005F4450"/>
    <w:rsid w:val="005F467C"/>
    <w:rsid w:val="005F471E"/>
    <w:rsid w:val="005F48F3"/>
    <w:rsid w:val="005F4CA7"/>
    <w:rsid w:val="005F503B"/>
    <w:rsid w:val="005F5688"/>
    <w:rsid w:val="005F591B"/>
    <w:rsid w:val="005F59AE"/>
    <w:rsid w:val="005F60DC"/>
    <w:rsid w:val="005F669E"/>
    <w:rsid w:val="005F66A1"/>
    <w:rsid w:val="005F700D"/>
    <w:rsid w:val="005F7AA0"/>
    <w:rsid w:val="005F7BC0"/>
    <w:rsid w:val="005F7DAE"/>
    <w:rsid w:val="0060045C"/>
    <w:rsid w:val="00600570"/>
    <w:rsid w:val="006005BC"/>
    <w:rsid w:val="006008E4"/>
    <w:rsid w:val="00600CD3"/>
    <w:rsid w:val="006013C6"/>
    <w:rsid w:val="006013E9"/>
    <w:rsid w:val="00601FC5"/>
    <w:rsid w:val="00602445"/>
    <w:rsid w:val="006028EF"/>
    <w:rsid w:val="00602BA3"/>
    <w:rsid w:val="00603003"/>
    <w:rsid w:val="0060341F"/>
    <w:rsid w:val="006039C5"/>
    <w:rsid w:val="00603AC0"/>
    <w:rsid w:val="00603D84"/>
    <w:rsid w:val="00603ECB"/>
    <w:rsid w:val="0060438F"/>
    <w:rsid w:val="00604C18"/>
    <w:rsid w:val="00604FE3"/>
    <w:rsid w:val="006053C2"/>
    <w:rsid w:val="0060569C"/>
    <w:rsid w:val="00605ABA"/>
    <w:rsid w:val="00605BEB"/>
    <w:rsid w:val="00605DFA"/>
    <w:rsid w:val="00605F25"/>
    <w:rsid w:val="00605FFE"/>
    <w:rsid w:val="006065D8"/>
    <w:rsid w:val="00606A15"/>
    <w:rsid w:val="00606CBD"/>
    <w:rsid w:val="0060744E"/>
    <w:rsid w:val="00607466"/>
    <w:rsid w:val="00607D7F"/>
    <w:rsid w:val="006100D1"/>
    <w:rsid w:val="006101FD"/>
    <w:rsid w:val="006104E4"/>
    <w:rsid w:val="00610580"/>
    <w:rsid w:val="00610E0C"/>
    <w:rsid w:val="00611300"/>
    <w:rsid w:val="006118E9"/>
    <w:rsid w:val="00611971"/>
    <w:rsid w:val="006119D4"/>
    <w:rsid w:val="00611AEA"/>
    <w:rsid w:val="00611D49"/>
    <w:rsid w:val="00611DD7"/>
    <w:rsid w:val="0061214C"/>
    <w:rsid w:val="00612DED"/>
    <w:rsid w:val="00613622"/>
    <w:rsid w:val="00613827"/>
    <w:rsid w:val="00614081"/>
    <w:rsid w:val="00614863"/>
    <w:rsid w:val="00614BD9"/>
    <w:rsid w:val="00614D36"/>
    <w:rsid w:val="00614D6C"/>
    <w:rsid w:val="0061517A"/>
    <w:rsid w:val="00615344"/>
    <w:rsid w:val="00615527"/>
    <w:rsid w:val="006157BF"/>
    <w:rsid w:val="00615CFE"/>
    <w:rsid w:val="00615DB2"/>
    <w:rsid w:val="00616838"/>
    <w:rsid w:val="00616864"/>
    <w:rsid w:val="0061719F"/>
    <w:rsid w:val="006171D1"/>
    <w:rsid w:val="006175B3"/>
    <w:rsid w:val="00617869"/>
    <w:rsid w:val="0061789D"/>
    <w:rsid w:val="006179AC"/>
    <w:rsid w:val="006179D7"/>
    <w:rsid w:val="006204B7"/>
    <w:rsid w:val="0062084A"/>
    <w:rsid w:val="00620D25"/>
    <w:rsid w:val="0062116B"/>
    <w:rsid w:val="0062124A"/>
    <w:rsid w:val="006213E6"/>
    <w:rsid w:val="006218B8"/>
    <w:rsid w:val="00621A66"/>
    <w:rsid w:val="00621E9F"/>
    <w:rsid w:val="006225CF"/>
    <w:rsid w:val="006226D2"/>
    <w:rsid w:val="00622908"/>
    <w:rsid w:val="00622FF3"/>
    <w:rsid w:val="00623133"/>
    <w:rsid w:val="00623456"/>
    <w:rsid w:val="00623B3A"/>
    <w:rsid w:val="00623BB0"/>
    <w:rsid w:val="00623CBD"/>
    <w:rsid w:val="00623E53"/>
    <w:rsid w:val="00623F5F"/>
    <w:rsid w:val="0062404D"/>
    <w:rsid w:val="00624180"/>
    <w:rsid w:val="0062432D"/>
    <w:rsid w:val="006246D5"/>
    <w:rsid w:val="00624827"/>
    <w:rsid w:val="00625123"/>
    <w:rsid w:val="00625553"/>
    <w:rsid w:val="00625953"/>
    <w:rsid w:val="00625A27"/>
    <w:rsid w:val="00625DE8"/>
    <w:rsid w:val="00625E4D"/>
    <w:rsid w:val="00625EC8"/>
    <w:rsid w:val="00625F55"/>
    <w:rsid w:val="00626031"/>
    <w:rsid w:val="00626681"/>
    <w:rsid w:val="0062704E"/>
    <w:rsid w:val="0062774D"/>
    <w:rsid w:val="00627DE2"/>
    <w:rsid w:val="00630839"/>
    <w:rsid w:val="00630BCC"/>
    <w:rsid w:val="00630E44"/>
    <w:rsid w:val="0063102B"/>
    <w:rsid w:val="0063165E"/>
    <w:rsid w:val="00631766"/>
    <w:rsid w:val="00631E91"/>
    <w:rsid w:val="006322DA"/>
    <w:rsid w:val="0063266B"/>
    <w:rsid w:val="00632A99"/>
    <w:rsid w:val="00633169"/>
    <w:rsid w:val="006331D7"/>
    <w:rsid w:val="00633B09"/>
    <w:rsid w:val="00633CB0"/>
    <w:rsid w:val="0063452D"/>
    <w:rsid w:val="00634856"/>
    <w:rsid w:val="006348F0"/>
    <w:rsid w:val="00634917"/>
    <w:rsid w:val="006349BD"/>
    <w:rsid w:val="00634B44"/>
    <w:rsid w:val="00634C20"/>
    <w:rsid w:val="00635435"/>
    <w:rsid w:val="0063548E"/>
    <w:rsid w:val="00635FCD"/>
    <w:rsid w:val="00636159"/>
    <w:rsid w:val="0063622F"/>
    <w:rsid w:val="0063656A"/>
    <w:rsid w:val="0063661C"/>
    <w:rsid w:val="00636AA2"/>
    <w:rsid w:val="00637638"/>
    <w:rsid w:val="00637801"/>
    <w:rsid w:val="0063784B"/>
    <w:rsid w:val="006378CC"/>
    <w:rsid w:val="00637CBE"/>
    <w:rsid w:val="00637E2D"/>
    <w:rsid w:val="006404AC"/>
    <w:rsid w:val="006406CE"/>
    <w:rsid w:val="00640D70"/>
    <w:rsid w:val="00640E6B"/>
    <w:rsid w:val="006414B8"/>
    <w:rsid w:val="0064163F"/>
    <w:rsid w:val="00641705"/>
    <w:rsid w:val="006419FE"/>
    <w:rsid w:val="00641A39"/>
    <w:rsid w:val="00641FD7"/>
    <w:rsid w:val="0064248A"/>
    <w:rsid w:val="00642B65"/>
    <w:rsid w:val="00643036"/>
    <w:rsid w:val="006436AA"/>
    <w:rsid w:val="00643889"/>
    <w:rsid w:val="00643DB1"/>
    <w:rsid w:val="00643F65"/>
    <w:rsid w:val="00644083"/>
    <w:rsid w:val="00644138"/>
    <w:rsid w:val="00644708"/>
    <w:rsid w:val="00644EE6"/>
    <w:rsid w:val="0064528D"/>
    <w:rsid w:val="0064580D"/>
    <w:rsid w:val="006458CB"/>
    <w:rsid w:val="00645983"/>
    <w:rsid w:val="00645A33"/>
    <w:rsid w:val="00645BC1"/>
    <w:rsid w:val="00646367"/>
    <w:rsid w:val="00646383"/>
    <w:rsid w:val="00646487"/>
    <w:rsid w:val="00646545"/>
    <w:rsid w:val="00646851"/>
    <w:rsid w:val="00646E33"/>
    <w:rsid w:val="00646E69"/>
    <w:rsid w:val="00647574"/>
    <w:rsid w:val="00647BDC"/>
    <w:rsid w:val="00647CD7"/>
    <w:rsid w:val="00647F60"/>
    <w:rsid w:val="00650112"/>
    <w:rsid w:val="0065012A"/>
    <w:rsid w:val="006506F8"/>
    <w:rsid w:val="006509F2"/>
    <w:rsid w:val="00650B2D"/>
    <w:rsid w:val="00650EFC"/>
    <w:rsid w:val="00651256"/>
    <w:rsid w:val="006519EA"/>
    <w:rsid w:val="00651C88"/>
    <w:rsid w:val="00651D3C"/>
    <w:rsid w:val="00651DF1"/>
    <w:rsid w:val="00652082"/>
    <w:rsid w:val="0065243D"/>
    <w:rsid w:val="0065279F"/>
    <w:rsid w:val="00652CF3"/>
    <w:rsid w:val="00653424"/>
    <w:rsid w:val="006535F8"/>
    <w:rsid w:val="00653748"/>
    <w:rsid w:val="00653762"/>
    <w:rsid w:val="006538C5"/>
    <w:rsid w:val="00653AF8"/>
    <w:rsid w:val="00653E9E"/>
    <w:rsid w:val="0065410E"/>
    <w:rsid w:val="00654463"/>
    <w:rsid w:val="00654523"/>
    <w:rsid w:val="0065480B"/>
    <w:rsid w:val="0065483C"/>
    <w:rsid w:val="00654D47"/>
    <w:rsid w:val="006552E8"/>
    <w:rsid w:val="0065572F"/>
    <w:rsid w:val="006557ED"/>
    <w:rsid w:val="00655B05"/>
    <w:rsid w:val="006568F4"/>
    <w:rsid w:val="006569E0"/>
    <w:rsid w:val="00656B1D"/>
    <w:rsid w:val="00656EA7"/>
    <w:rsid w:val="0065715B"/>
    <w:rsid w:val="00657A4A"/>
    <w:rsid w:val="00660084"/>
    <w:rsid w:val="00660166"/>
    <w:rsid w:val="00660B84"/>
    <w:rsid w:val="006615DF"/>
    <w:rsid w:val="00661CC7"/>
    <w:rsid w:val="00661F1E"/>
    <w:rsid w:val="00662458"/>
    <w:rsid w:val="006624E3"/>
    <w:rsid w:val="00662DC3"/>
    <w:rsid w:val="00663457"/>
    <w:rsid w:val="006636A4"/>
    <w:rsid w:val="00663A6F"/>
    <w:rsid w:val="00663C54"/>
    <w:rsid w:val="00663F8B"/>
    <w:rsid w:val="006640CF"/>
    <w:rsid w:val="006640EA"/>
    <w:rsid w:val="0066423F"/>
    <w:rsid w:val="00664545"/>
    <w:rsid w:val="00664AB1"/>
    <w:rsid w:val="00664ADF"/>
    <w:rsid w:val="00664C44"/>
    <w:rsid w:val="00664D95"/>
    <w:rsid w:val="006650E5"/>
    <w:rsid w:val="006653DD"/>
    <w:rsid w:val="00665730"/>
    <w:rsid w:val="00666C2A"/>
    <w:rsid w:val="00666D89"/>
    <w:rsid w:val="00667614"/>
    <w:rsid w:val="0066769C"/>
    <w:rsid w:val="006679B2"/>
    <w:rsid w:val="006704B4"/>
    <w:rsid w:val="006710AC"/>
    <w:rsid w:val="006710CC"/>
    <w:rsid w:val="00671334"/>
    <w:rsid w:val="0067148E"/>
    <w:rsid w:val="0067193F"/>
    <w:rsid w:val="00671977"/>
    <w:rsid w:val="00671B86"/>
    <w:rsid w:val="00671CB2"/>
    <w:rsid w:val="00671ED7"/>
    <w:rsid w:val="006723D7"/>
    <w:rsid w:val="00672479"/>
    <w:rsid w:val="006726B6"/>
    <w:rsid w:val="00672B14"/>
    <w:rsid w:val="00672D4C"/>
    <w:rsid w:val="00672FBB"/>
    <w:rsid w:val="006732C2"/>
    <w:rsid w:val="006734B0"/>
    <w:rsid w:val="006734B3"/>
    <w:rsid w:val="00673C3C"/>
    <w:rsid w:val="00673FAD"/>
    <w:rsid w:val="006740BF"/>
    <w:rsid w:val="006742EE"/>
    <w:rsid w:val="00674F90"/>
    <w:rsid w:val="006756F1"/>
    <w:rsid w:val="00675B28"/>
    <w:rsid w:val="006761A5"/>
    <w:rsid w:val="006766EA"/>
    <w:rsid w:val="006775AB"/>
    <w:rsid w:val="006777F6"/>
    <w:rsid w:val="00677B1C"/>
    <w:rsid w:val="00680205"/>
    <w:rsid w:val="00680273"/>
    <w:rsid w:val="00680747"/>
    <w:rsid w:val="00680DA1"/>
    <w:rsid w:val="00680E41"/>
    <w:rsid w:val="00681653"/>
    <w:rsid w:val="0068166A"/>
    <w:rsid w:val="00681751"/>
    <w:rsid w:val="00681EE3"/>
    <w:rsid w:val="0068202D"/>
    <w:rsid w:val="006831C1"/>
    <w:rsid w:val="0068368A"/>
    <w:rsid w:val="00684022"/>
    <w:rsid w:val="00684167"/>
    <w:rsid w:val="006842E5"/>
    <w:rsid w:val="00684734"/>
    <w:rsid w:val="0068481F"/>
    <w:rsid w:val="0068494F"/>
    <w:rsid w:val="00684D55"/>
    <w:rsid w:val="00685973"/>
    <w:rsid w:val="00685A4B"/>
    <w:rsid w:val="00685C43"/>
    <w:rsid w:val="00685D7D"/>
    <w:rsid w:val="0068635D"/>
    <w:rsid w:val="00686E57"/>
    <w:rsid w:val="00686F13"/>
    <w:rsid w:val="0068755D"/>
    <w:rsid w:val="00687596"/>
    <w:rsid w:val="00687947"/>
    <w:rsid w:val="006879C4"/>
    <w:rsid w:val="0069048A"/>
    <w:rsid w:val="00690DF0"/>
    <w:rsid w:val="00690F8C"/>
    <w:rsid w:val="006915CB"/>
    <w:rsid w:val="00691ADF"/>
    <w:rsid w:val="00691B50"/>
    <w:rsid w:val="0069227D"/>
    <w:rsid w:val="00692333"/>
    <w:rsid w:val="0069243E"/>
    <w:rsid w:val="00692A82"/>
    <w:rsid w:val="00692B16"/>
    <w:rsid w:val="00692F4B"/>
    <w:rsid w:val="00693047"/>
    <w:rsid w:val="006932BD"/>
    <w:rsid w:val="00693467"/>
    <w:rsid w:val="0069391B"/>
    <w:rsid w:val="00693AAB"/>
    <w:rsid w:val="0069424D"/>
    <w:rsid w:val="0069454C"/>
    <w:rsid w:val="00695200"/>
    <w:rsid w:val="00695219"/>
    <w:rsid w:val="006955FB"/>
    <w:rsid w:val="006956D5"/>
    <w:rsid w:val="006957D5"/>
    <w:rsid w:val="006958C2"/>
    <w:rsid w:val="00695EFF"/>
    <w:rsid w:val="00695F3B"/>
    <w:rsid w:val="00696298"/>
    <w:rsid w:val="006965BA"/>
    <w:rsid w:val="0069694D"/>
    <w:rsid w:val="00697082"/>
    <w:rsid w:val="00697273"/>
    <w:rsid w:val="00697483"/>
    <w:rsid w:val="006978ED"/>
    <w:rsid w:val="006979D2"/>
    <w:rsid w:val="00697B8D"/>
    <w:rsid w:val="00697C21"/>
    <w:rsid w:val="00697FE0"/>
    <w:rsid w:val="006A0055"/>
    <w:rsid w:val="006A0B7F"/>
    <w:rsid w:val="006A1C19"/>
    <w:rsid w:val="006A22FA"/>
    <w:rsid w:val="006A230B"/>
    <w:rsid w:val="006A2DB8"/>
    <w:rsid w:val="006A34E1"/>
    <w:rsid w:val="006A3D49"/>
    <w:rsid w:val="006A3D51"/>
    <w:rsid w:val="006A41DB"/>
    <w:rsid w:val="006A429C"/>
    <w:rsid w:val="006A4377"/>
    <w:rsid w:val="006A4626"/>
    <w:rsid w:val="006A46E0"/>
    <w:rsid w:val="006A5252"/>
    <w:rsid w:val="006A53D4"/>
    <w:rsid w:val="006A5631"/>
    <w:rsid w:val="006A610A"/>
    <w:rsid w:val="006A611E"/>
    <w:rsid w:val="006A6467"/>
    <w:rsid w:val="006A69F8"/>
    <w:rsid w:val="006A6C5C"/>
    <w:rsid w:val="006A6F7B"/>
    <w:rsid w:val="006A7BA1"/>
    <w:rsid w:val="006A7E8D"/>
    <w:rsid w:val="006B0116"/>
    <w:rsid w:val="006B0689"/>
    <w:rsid w:val="006B0FB4"/>
    <w:rsid w:val="006B1665"/>
    <w:rsid w:val="006B19B5"/>
    <w:rsid w:val="006B1C72"/>
    <w:rsid w:val="006B21C3"/>
    <w:rsid w:val="006B22E8"/>
    <w:rsid w:val="006B2B19"/>
    <w:rsid w:val="006B30FE"/>
    <w:rsid w:val="006B3178"/>
    <w:rsid w:val="006B31E6"/>
    <w:rsid w:val="006B321F"/>
    <w:rsid w:val="006B3A74"/>
    <w:rsid w:val="006B3FDC"/>
    <w:rsid w:val="006B4231"/>
    <w:rsid w:val="006B4699"/>
    <w:rsid w:val="006B4D6C"/>
    <w:rsid w:val="006B4DF6"/>
    <w:rsid w:val="006B4E4E"/>
    <w:rsid w:val="006B4FDC"/>
    <w:rsid w:val="006B57E0"/>
    <w:rsid w:val="006B5818"/>
    <w:rsid w:val="006B5977"/>
    <w:rsid w:val="006B5B1C"/>
    <w:rsid w:val="006B60B1"/>
    <w:rsid w:val="006B63C6"/>
    <w:rsid w:val="006B7351"/>
    <w:rsid w:val="006B75E4"/>
    <w:rsid w:val="006C0075"/>
    <w:rsid w:val="006C061C"/>
    <w:rsid w:val="006C0AF8"/>
    <w:rsid w:val="006C1303"/>
    <w:rsid w:val="006C1B20"/>
    <w:rsid w:val="006C1CDF"/>
    <w:rsid w:val="006C1E52"/>
    <w:rsid w:val="006C1EB3"/>
    <w:rsid w:val="006C2561"/>
    <w:rsid w:val="006C257B"/>
    <w:rsid w:val="006C29CC"/>
    <w:rsid w:val="006C2BD6"/>
    <w:rsid w:val="006C2C3D"/>
    <w:rsid w:val="006C39DA"/>
    <w:rsid w:val="006C4089"/>
    <w:rsid w:val="006C4813"/>
    <w:rsid w:val="006C4B0B"/>
    <w:rsid w:val="006C4EE4"/>
    <w:rsid w:val="006C4F23"/>
    <w:rsid w:val="006C5332"/>
    <w:rsid w:val="006C56F7"/>
    <w:rsid w:val="006C597C"/>
    <w:rsid w:val="006C6597"/>
    <w:rsid w:val="006C6DE2"/>
    <w:rsid w:val="006C702F"/>
    <w:rsid w:val="006C7B48"/>
    <w:rsid w:val="006C7CB9"/>
    <w:rsid w:val="006C7CE7"/>
    <w:rsid w:val="006C7F42"/>
    <w:rsid w:val="006C7FF7"/>
    <w:rsid w:val="006D01E0"/>
    <w:rsid w:val="006D0297"/>
    <w:rsid w:val="006D04A6"/>
    <w:rsid w:val="006D04F5"/>
    <w:rsid w:val="006D088A"/>
    <w:rsid w:val="006D09DF"/>
    <w:rsid w:val="006D09E2"/>
    <w:rsid w:val="006D0ADD"/>
    <w:rsid w:val="006D0F8A"/>
    <w:rsid w:val="006D1159"/>
    <w:rsid w:val="006D1384"/>
    <w:rsid w:val="006D19DC"/>
    <w:rsid w:val="006D1A02"/>
    <w:rsid w:val="006D1A7F"/>
    <w:rsid w:val="006D1C07"/>
    <w:rsid w:val="006D1CCC"/>
    <w:rsid w:val="006D1E88"/>
    <w:rsid w:val="006D321F"/>
    <w:rsid w:val="006D38F1"/>
    <w:rsid w:val="006D420C"/>
    <w:rsid w:val="006D4A06"/>
    <w:rsid w:val="006D4E22"/>
    <w:rsid w:val="006D5041"/>
    <w:rsid w:val="006D50F8"/>
    <w:rsid w:val="006D5323"/>
    <w:rsid w:val="006D5944"/>
    <w:rsid w:val="006D5A6E"/>
    <w:rsid w:val="006D5C44"/>
    <w:rsid w:val="006D5E1F"/>
    <w:rsid w:val="006D5E44"/>
    <w:rsid w:val="006D6145"/>
    <w:rsid w:val="006D696A"/>
    <w:rsid w:val="006D6AE3"/>
    <w:rsid w:val="006D6BF8"/>
    <w:rsid w:val="006D6D83"/>
    <w:rsid w:val="006D7295"/>
    <w:rsid w:val="006D7A3D"/>
    <w:rsid w:val="006D7BD8"/>
    <w:rsid w:val="006E0252"/>
    <w:rsid w:val="006E0B5E"/>
    <w:rsid w:val="006E1007"/>
    <w:rsid w:val="006E12F7"/>
    <w:rsid w:val="006E1862"/>
    <w:rsid w:val="006E1ECF"/>
    <w:rsid w:val="006E1FF6"/>
    <w:rsid w:val="006E2260"/>
    <w:rsid w:val="006E2B7D"/>
    <w:rsid w:val="006E3ACE"/>
    <w:rsid w:val="006E3B0B"/>
    <w:rsid w:val="006E4296"/>
    <w:rsid w:val="006E530F"/>
    <w:rsid w:val="006E544E"/>
    <w:rsid w:val="006E57CB"/>
    <w:rsid w:val="006E5A32"/>
    <w:rsid w:val="006E5A96"/>
    <w:rsid w:val="006E5D53"/>
    <w:rsid w:val="006E5EF9"/>
    <w:rsid w:val="006E6019"/>
    <w:rsid w:val="006E6152"/>
    <w:rsid w:val="006E6242"/>
    <w:rsid w:val="006E63C4"/>
    <w:rsid w:val="006E6CF2"/>
    <w:rsid w:val="006E70AF"/>
    <w:rsid w:val="006E72E7"/>
    <w:rsid w:val="006E7640"/>
    <w:rsid w:val="006E7D53"/>
    <w:rsid w:val="006F020B"/>
    <w:rsid w:val="006F09D0"/>
    <w:rsid w:val="006F09E5"/>
    <w:rsid w:val="006F0CD2"/>
    <w:rsid w:val="006F0FAA"/>
    <w:rsid w:val="006F1649"/>
    <w:rsid w:val="006F1982"/>
    <w:rsid w:val="006F1FB9"/>
    <w:rsid w:val="006F2002"/>
    <w:rsid w:val="006F2237"/>
    <w:rsid w:val="006F2292"/>
    <w:rsid w:val="006F23A2"/>
    <w:rsid w:val="006F23AC"/>
    <w:rsid w:val="006F2870"/>
    <w:rsid w:val="006F2A4F"/>
    <w:rsid w:val="006F3770"/>
    <w:rsid w:val="006F3849"/>
    <w:rsid w:val="006F3A57"/>
    <w:rsid w:val="006F3ADF"/>
    <w:rsid w:val="006F3D9B"/>
    <w:rsid w:val="006F40B2"/>
    <w:rsid w:val="006F42A3"/>
    <w:rsid w:val="006F4CD9"/>
    <w:rsid w:val="006F51F9"/>
    <w:rsid w:val="006F53F1"/>
    <w:rsid w:val="006F5903"/>
    <w:rsid w:val="006F5A6E"/>
    <w:rsid w:val="006F5AB5"/>
    <w:rsid w:val="006F5B56"/>
    <w:rsid w:val="006F5BA7"/>
    <w:rsid w:val="006F5D82"/>
    <w:rsid w:val="006F612E"/>
    <w:rsid w:val="006F6727"/>
    <w:rsid w:val="006F6F78"/>
    <w:rsid w:val="006F752C"/>
    <w:rsid w:val="006F7DE7"/>
    <w:rsid w:val="006F7E2B"/>
    <w:rsid w:val="0070033A"/>
    <w:rsid w:val="0070045E"/>
    <w:rsid w:val="007008C8"/>
    <w:rsid w:val="00700D19"/>
    <w:rsid w:val="00700FB0"/>
    <w:rsid w:val="00701309"/>
    <w:rsid w:val="007019D3"/>
    <w:rsid w:val="00701C64"/>
    <w:rsid w:val="00701E44"/>
    <w:rsid w:val="007021E8"/>
    <w:rsid w:val="00703043"/>
    <w:rsid w:val="00703B5C"/>
    <w:rsid w:val="00703D43"/>
    <w:rsid w:val="007040D1"/>
    <w:rsid w:val="0070418D"/>
    <w:rsid w:val="0070497B"/>
    <w:rsid w:val="00704E0D"/>
    <w:rsid w:val="0070529C"/>
    <w:rsid w:val="00705400"/>
    <w:rsid w:val="00705A22"/>
    <w:rsid w:val="00705F1D"/>
    <w:rsid w:val="007060B5"/>
    <w:rsid w:val="0070611B"/>
    <w:rsid w:val="00706203"/>
    <w:rsid w:val="007066CB"/>
    <w:rsid w:val="00707129"/>
    <w:rsid w:val="00707591"/>
    <w:rsid w:val="00707D7B"/>
    <w:rsid w:val="00707FED"/>
    <w:rsid w:val="00710033"/>
    <w:rsid w:val="00710095"/>
    <w:rsid w:val="00710201"/>
    <w:rsid w:val="00710D34"/>
    <w:rsid w:val="00711548"/>
    <w:rsid w:val="007116A7"/>
    <w:rsid w:val="00711F96"/>
    <w:rsid w:val="00712524"/>
    <w:rsid w:val="007127F4"/>
    <w:rsid w:val="00712D7A"/>
    <w:rsid w:val="007131AB"/>
    <w:rsid w:val="00713328"/>
    <w:rsid w:val="00713578"/>
    <w:rsid w:val="0071371E"/>
    <w:rsid w:val="007137B3"/>
    <w:rsid w:val="007139FF"/>
    <w:rsid w:val="00713B01"/>
    <w:rsid w:val="00713E7C"/>
    <w:rsid w:val="00714AB3"/>
    <w:rsid w:val="00714C81"/>
    <w:rsid w:val="00714D0C"/>
    <w:rsid w:val="00715628"/>
    <w:rsid w:val="00715BB5"/>
    <w:rsid w:val="00715F8C"/>
    <w:rsid w:val="007163BB"/>
    <w:rsid w:val="00716BA0"/>
    <w:rsid w:val="00716C92"/>
    <w:rsid w:val="007170E0"/>
    <w:rsid w:val="00717710"/>
    <w:rsid w:val="00717F58"/>
    <w:rsid w:val="00720A9A"/>
    <w:rsid w:val="00720AD9"/>
    <w:rsid w:val="00720D39"/>
    <w:rsid w:val="00720D6E"/>
    <w:rsid w:val="00721085"/>
    <w:rsid w:val="0072111B"/>
    <w:rsid w:val="0072121B"/>
    <w:rsid w:val="00721988"/>
    <w:rsid w:val="00722142"/>
    <w:rsid w:val="0072289D"/>
    <w:rsid w:val="00722D31"/>
    <w:rsid w:val="00722E09"/>
    <w:rsid w:val="0072338D"/>
    <w:rsid w:val="007235DD"/>
    <w:rsid w:val="00724109"/>
    <w:rsid w:val="00724112"/>
    <w:rsid w:val="00724409"/>
    <w:rsid w:val="00724440"/>
    <w:rsid w:val="0072453A"/>
    <w:rsid w:val="00724672"/>
    <w:rsid w:val="0072485A"/>
    <w:rsid w:val="00724A08"/>
    <w:rsid w:val="0072540A"/>
    <w:rsid w:val="00725423"/>
    <w:rsid w:val="0072590B"/>
    <w:rsid w:val="00725A3D"/>
    <w:rsid w:val="00725D34"/>
    <w:rsid w:val="0072625C"/>
    <w:rsid w:val="00726682"/>
    <w:rsid w:val="007267C5"/>
    <w:rsid w:val="00726B4C"/>
    <w:rsid w:val="00727767"/>
    <w:rsid w:val="007300EA"/>
    <w:rsid w:val="0073046A"/>
    <w:rsid w:val="00730546"/>
    <w:rsid w:val="007308CA"/>
    <w:rsid w:val="00730E45"/>
    <w:rsid w:val="007310C3"/>
    <w:rsid w:val="00731111"/>
    <w:rsid w:val="007313C9"/>
    <w:rsid w:val="00731B84"/>
    <w:rsid w:val="00731D7F"/>
    <w:rsid w:val="00731F48"/>
    <w:rsid w:val="0073246D"/>
    <w:rsid w:val="007324A9"/>
    <w:rsid w:val="00732716"/>
    <w:rsid w:val="0073293E"/>
    <w:rsid w:val="007331A9"/>
    <w:rsid w:val="00733423"/>
    <w:rsid w:val="00733810"/>
    <w:rsid w:val="00733D67"/>
    <w:rsid w:val="007340C7"/>
    <w:rsid w:val="00734238"/>
    <w:rsid w:val="00734498"/>
    <w:rsid w:val="007346F6"/>
    <w:rsid w:val="00734A59"/>
    <w:rsid w:val="0073584B"/>
    <w:rsid w:val="007358DC"/>
    <w:rsid w:val="007359BF"/>
    <w:rsid w:val="00735DED"/>
    <w:rsid w:val="00735F82"/>
    <w:rsid w:val="007363DD"/>
    <w:rsid w:val="00736A29"/>
    <w:rsid w:val="00736BAC"/>
    <w:rsid w:val="00736EB3"/>
    <w:rsid w:val="00737151"/>
    <w:rsid w:val="00737238"/>
    <w:rsid w:val="007372D9"/>
    <w:rsid w:val="00737704"/>
    <w:rsid w:val="00740894"/>
    <w:rsid w:val="00740A49"/>
    <w:rsid w:val="00741122"/>
    <w:rsid w:val="0074132B"/>
    <w:rsid w:val="007419AC"/>
    <w:rsid w:val="007419EC"/>
    <w:rsid w:val="00741E40"/>
    <w:rsid w:val="00742B57"/>
    <w:rsid w:val="00742C0C"/>
    <w:rsid w:val="0074305D"/>
    <w:rsid w:val="0074307F"/>
    <w:rsid w:val="0074328D"/>
    <w:rsid w:val="0074363F"/>
    <w:rsid w:val="00743C42"/>
    <w:rsid w:val="00743D32"/>
    <w:rsid w:val="00744537"/>
    <w:rsid w:val="00744F45"/>
    <w:rsid w:val="00745280"/>
    <w:rsid w:val="00745583"/>
    <w:rsid w:val="007456E8"/>
    <w:rsid w:val="00745939"/>
    <w:rsid w:val="007459B2"/>
    <w:rsid w:val="00745F71"/>
    <w:rsid w:val="00745FB1"/>
    <w:rsid w:val="00746B91"/>
    <w:rsid w:val="00746D8B"/>
    <w:rsid w:val="0074740E"/>
    <w:rsid w:val="00747CDD"/>
    <w:rsid w:val="00747FC8"/>
    <w:rsid w:val="00750A72"/>
    <w:rsid w:val="00750F54"/>
    <w:rsid w:val="00751528"/>
    <w:rsid w:val="00751618"/>
    <w:rsid w:val="007518CB"/>
    <w:rsid w:val="007519CB"/>
    <w:rsid w:val="00752394"/>
    <w:rsid w:val="00752499"/>
    <w:rsid w:val="007525CC"/>
    <w:rsid w:val="00752EA4"/>
    <w:rsid w:val="0075342F"/>
    <w:rsid w:val="00754689"/>
    <w:rsid w:val="00754983"/>
    <w:rsid w:val="00754A69"/>
    <w:rsid w:val="00754D6C"/>
    <w:rsid w:val="00754E5E"/>
    <w:rsid w:val="00755198"/>
    <w:rsid w:val="007552A7"/>
    <w:rsid w:val="007559C2"/>
    <w:rsid w:val="00755A00"/>
    <w:rsid w:val="00756ABB"/>
    <w:rsid w:val="00756C0A"/>
    <w:rsid w:val="00757112"/>
    <w:rsid w:val="00757399"/>
    <w:rsid w:val="00757833"/>
    <w:rsid w:val="007578AF"/>
    <w:rsid w:val="00757CAE"/>
    <w:rsid w:val="00757F0A"/>
    <w:rsid w:val="00760371"/>
    <w:rsid w:val="007607A5"/>
    <w:rsid w:val="0076085D"/>
    <w:rsid w:val="00760B26"/>
    <w:rsid w:val="00760BEE"/>
    <w:rsid w:val="0076145C"/>
    <w:rsid w:val="00761B1D"/>
    <w:rsid w:val="00761D1D"/>
    <w:rsid w:val="007622AE"/>
    <w:rsid w:val="007629F2"/>
    <w:rsid w:val="007632B2"/>
    <w:rsid w:val="007634B2"/>
    <w:rsid w:val="007637DF"/>
    <w:rsid w:val="00763EB1"/>
    <w:rsid w:val="00763F66"/>
    <w:rsid w:val="00764154"/>
    <w:rsid w:val="0076448E"/>
    <w:rsid w:val="00764907"/>
    <w:rsid w:val="00764CB7"/>
    <w:rsid w:val="00764F43"/>
    <w:rsid w:val="0076515E"/>
    <w:rsid w:val="00765181"/>
    <w:rsid w:val="007652E9"/>
    <w:rsid w:val="007653FA"/>
    <w:rsid w:val="00765437"/>
    <w:rsid w:val="0076565E"/>
    <w:rsid w:val="00765909"/>
    <w:rsid w:val="00765E2C"/>
    <w:rsid w:val="007663C8"/>
    <w:rsid w:val="00766762"/>
    <w:rsid w:val="00766B7A"/>
    <w:rsid w:val="00766F6D"/>
    <w:rsid w:val="00767494"/>
    <w:rsid w:val="007675D5"/>
    <w:rsid w:val="00767B52"/>
    <w:rsid w:val="00767C30"/>
    <w:rsid w:val="00770B5F"/>
    <w:rsid w:val="007710EE"/>
    <w:rsid w:val="0077119D"/>
    <w:rsid w:val="007711BC"/>
    <w:rsid w:val="007712E3"/>
    <w:rsid w:val="00771375"/>
    <w:rsid w:val="007717B1"/>
    <w:rsid w:val="00771E01"/>
    <w:rsid w:val="00771F47"/>
    <w:rsid w:val="00772759"/>
    <w:rsid w:val="007728F1"/>
    <w:rsid w:val="0077297F"/>
    <w:rsid w:val="00772B18"/>
    <w:rsid w:val="00773413"/>
    <w:rsid w:val="00773537"/>
    <w:rsid w:val="007736B4"/>
    <w:rsid w:val="007737E8"/>
    <w:rsid w:val="0077458C"/>
    <w:rsid w:val="0077487C"/>
    <w:rsid w:val="0077488B"/>
    <w:rsid w:val="00774A16"/>
    <w:rsid w:val="00775014"/>
    <w:rsid w:val="007755BF"/>
    <w:rsid w:val="007757C8"/>
    <w:rsid w:val="007759D9"/>
    <w:rsid w:val="007759E5"/>
    <w:rsid w:val="00775F35"/>
    <w:rsid w:val="007760EF"/>
    <w:rsid w:val="00776264"/>
    <w:rsid w:val="0077633C"/>
    <w:rsid w:val="007764FF"/>
    <w:rsid w:val="007766EB"/>
    <w:rsid w:val="007768BC"/>
    <w:rsid w:val="007772AC"/>
    <w:rsid w:val="007776F0"/>
    <w:rsid w:val="00777A28"/>
    <w:rsid w:val="00777E59"/>
    <w:rsid w:val="00777F11"/>
    <w:rsid w:val="00780223"/>
    <w:rsid w:val="0078028D"/>
    <w:rsid w:val="007802AC"/>
    <w:rsid w:val="007811D0"/>
    <w:rsid w:val="007815CE"/>
    <w:rsid w:val="00781F92"/>
    <w:rsid w:val="00782680"/>
    <w:rsid w:val="007830E5"/>
    <w:rsid w:val="0078387D"/>
    <w:rsid w:val="007839AD"/>
    <w:rsid w:val="00783C6C"/>
    <w:rsid w:val="00784493"/>
    <w:rsid w:val="0078450A"/>
    <w:rsid w:val="007846E7"/>
    <w:rsid w:val="00784712"/>
    <w:rsid w:val="00784E88"/>
    <w:rsid w:val="007850AD"/>
    <w:rsid w:val="00785633"/>
    <w:rsid w:val="0078564D"/>
    <w:rsid w:val="007858FF"/>
    <w:rsid w:val="00785955"/>
    <w:rsid w:val="00785C4A"/>
    <w:rsid w:val="0078676A"/>
    <w:rsid w:val="00786867"/>
    <w:rsid w:val="00786FA9"/>
    <w:rsid w:val="0078722A"/>
    <w:rsid w:val="00787246"/>
    <w:rsid w:val="007877AF"/>
    <w:rsid w:val="007879DC"/>
    <w:rsid w:val="00787A78"/>
    <w:rsid w:val="0079057E"/>
    <w:rsid w:val="007905BF"/>
    <w:rsid w:val="00791727"/>
    <w:rsid w:val="0079173A"/>
    <w:rsid w:val="0079197F"/>
    <w:rsid w:val="00791F1C"/>
    <w:rsid w:val="00792505"/>
    <w:rsid w:val="00792527"/>
    <w:rsid w:val="007926F9"/>
    <w:rsid w:val="00792A26"/>
    <w:rsid w:val="00792B1A"/>
    <w:rsid w:val="00792C0A"/>
    <w:rsid w:val="0079304A"/>
    <w:rsid w:val="0079375A"/>
    <w:rsid w:val="00793953"/>
    <w:rsid w:val="007939C9"/>
    <w:rsid w:val="00793A3C"/>
    <w:rsid w:val="00793EB3"/>
    <w:rsid w:val="00793EF7"/>
    <w:rsid w:val="00793FD4"/>
    <w:rsid w:val="007945AF"/>
    <w:rsid w:val="00794EDA"/>
    <w:rsid w:val="00795310"/>
    <w:rsid w:val="00795586"/>
    <w:rsid w:val="00795660"/>
    <w:rsid w:val="00795770"/>
    <w:rsid w:val="0079594B"/>
    <w:rsid w:val="00795C5D"/>
    <w:rsid w:val="007965DA"/>
    <w:rsid w:val="00796708"/>
    <w:rsid w:val="007970E4"/>
    <w:rsid w:val="00797D4B"/>
    <w:rsid w:val="007A0A4D"/>
    <w:rsid w:val="007A0CFD"/>
    <w:rsid w:val="007A0D65"/>
    <w:rsid w:val="007A0EC1"/>
    <w:rsid w:val="007A1ACC"/>
    <w:rsid w:val="007A1E35"/>
    <w:rsid w:val="007A1E96"/>
    <w:rsid w:val="007A2225"/>
    <w:rsid w:val="007A2354"/>
    <w:rsid w:val="007A26AC"/>
    <w:rsid w:val="007A26BA"/>
    <w:rsid w:val="007A2B2A"/>
    <w:rsid w:val="007A2D52"/>
    <w:rsid w:val="007A2F3D"/>
    <w:rsid w:val="007A3714"/>
    <w:rsid w:val="007A3D29"/>
    <w:rsid w:val="007A40AD"/>
    <w:rsid w:val="007A40E3"/>
    <w:rsid w:val="007A4456"/>
    <w:rsid w:val="007A45A3"/>
    <w:rsid w:val="007A4EF1"/>
    <w:rsid w:val="007A5017"/>
    <w:rsid w:val="007A507A"/>
    <w:rsid w:val="007A513F"/>
    <w:rsid w:val="007A5548"/>
    <w:rsid w:val="007A5C5E"/>
    <w:rsid w:val="007A5D63"/>
    <w:rsid w:val="007A6553"/>
    <w:rsid w:val="007A6C8A"/>
    <w:rsid w:val="007A6D9A"/>
    <w:rsid w:val="007A6E35"/>
    <w:rsid w:val="007A729E"/>
    <w:rsid w:val="007A79F1"/>
    <w:rsid w:val="007A7A7B"/>
    <w:rsid w:val="007A7CD8"/>
    <w:rsid w:val="007B00CD"/>
    <w:rsid w:val="007B0439"/>
    <w:rsid w:val="007B0881"/>
    <w:rsid w:val="007B08B5"/>
    <w:rsid w:val="007B13E7"/>
    <w:rsid w:val="007B15B0"/>
    <w:rsid w:val="007B15C9"/>
    <w:rsid w:val="007B1647"/>
    <w:rsid w:val="007B1E26"/>
    <w:rsid w:val="007B1E93"/>
    <w:rsid w:val="007B2134"/>
    <w:rsid w:val="007B3074"/>
    <w:rsid w:val="007B3B76"/>
    <w:rsid w:val="007B3DB4"/>
    <w:rsid w:val="007B41DD"/>
    <w:rsid w:val="007B47D5"/>
    <w:rsid w:val="007B4CDA"/>
    <w:rsid w:val="007B4F8F"/>
    <w:rsid w:val="007B52C3"/>
    <w:rsid w:val="007B57B7"/>
    <w:rsid w:val="007B5A5F"/>
    <w:rsid w:val="007B62AE"/>
    <w:rsid w:val="007B68CB"/>
    <w:rsid w:val="007B6ACA"/>
    <w:rsid w:val="007B6DF8"/>
    <w:rsid w:val="007B6E0D"/>
    <w:rsid w:val="007B7096"/>
    <w:rsid w:val="007B710E"/>
    <w:rsid w:val="007B7DC8"/>
    <w:rsid w:val="007C01C2"/>
    <w:rsid w:val="007C0655"/>
    <w:rsid w:val="007C0784"/>
    <w:rsid w:val="007C09B4"/>
    <w:rsid w:val="007C0D8D"/>
    <w:rsid w:val="007C0E3C"/>
    <w:rsid w:val="007C0E9A"/>
    <w:rsid w:val="007C1042"/>
    <w:rsid w:val="007C1562"/>
    <w:rsid w:val="007C1B81"/>
    <w:rsid w:val="007C1DA8"/>
    <w:rsid w:val="007C230B"/>
    <w:rsid w:val="007C25C9"/>
    <w:rsid w:val="007C3220"/>
    <w:rsid w:val="007C322F"/>
    <w:rsid w:val="007C3298"/>
    <w:rsid w:val="007C33A9"/>
    <w:rsid w:val="007C3517"/>
    <w:rsid w:val="007C3D9A"/>
    <w:rsid w:val="007C3E8A"/>
    <w:rsid w:val="007C412E"/>
    <w:rsid w:val="007C47C7"/>
    <w:rsid w:val="007C49C3"/>
    <w:rsid w:val="007C4FDD"/>
    <w:rsid w:val="007C55E2"/>
    <w:rsid w:val="007C5781"/>
    <w:rsid w:val="007C579D"/>
    <w:rsid w:val="007C5B34"/>
    <w:rsid w:val="007C5D3D"/>
    <w:rsid w:val="007C5F5B"/>
    <w:rsid w:val="007C6010"/>
    <w:rsid w:val="007C65A0"/>
    <w:rsid w:val="007C6EA0"/>
    <w:rsid w:val="007C6EA5"/>
    <w:rsid w:val="007C7058"/>
    <w:rsid w:val="007C77E8"/>
    <w:rsid w:val="007C7830"/>
    <w:rsid w:val="007C7F3F"/>
    <w:rsid w:val="007D0590"/>
    <w:rsid w:val="007D05E3"/>
    <w:rsid w:val="007D0AA7"/>
    <w:rsid w:val="007D1255"/>
    <w:rsid w:val="007D1A9F"/>
    <w:rsid w:val="007D2A1D"/>
    <w:rsid w:val="007D2A53"/>
    <w:rsid w:val="007D3697"/>
    <w:rsid w:val="007D443E"/>
    <w:rsid w:val="007D44FA"/>
    <w:rsid w:val="007D48CA"/>
    <w:rsid w:val="007D4ABB"/>
    <w:rsid w:val="007D4B10"/>
    <w:rsid w:val="007D4D0B"/>
    <w:rsid w:val="007D5AC1"/>
    <w:rsid w:val="007D5DE9"/>
    <w:rsid w:val="007D6192"/>
    <w:rsid w:val="007D68D1"/>
    <w:rsid w:val="007D6B49"/>
    <w:rsid w:val="007D7561"/>
    <w:rsid w:val="007D75BA"/>
    <w:rsid w:val="007D789B"/>
    <w:rsid w:val="007D7B43"/>
    <w:rsid w:val="007D7B53"/>
    <w:rsid w:val="007D7BFD"/>
    <w:rsid w:val="007D7E0B"/>
    <w:rsid w:val="007E00B4"/>
    <w:rsid w:val="007E02F6"/>
    <w:rsid w:val="007E08BA"/>
    <w:rsid w:val="007E08DE"/>
    <w:rsid w:val="007E168A"/>
    <w:rsid w:val="007E1A9A"/>
    <w:rsid w:val="007E1D51"/>
    <w:rsid w:val="007E1F32"/>
    <w:rsid w:val="007E25C7"/>
    <w:rsid w:val="007E2719"/>
    <w:rsid w:val="007E2724"/>
    <w:rsid w:val="007E2AA2"/>
    <w:rsid w:val="007E3599"/>
    <w:rsid w:val="007E382D"/>
    <w:rsid w:val="007E3C76"/>
    <w:rsid w:val="007E3CAB"/>
    <w:rsid w:val="007E4053"/>
    <w:rsid w:val="007E4954"/>
    <w:rsid w:val="007E4A5D"/>
    <w:rsid w:val="007E4BEE"/>
    <w:rsid w:val="007E4E69"/>
    <w:rsid w:val="007E56DF"/>
    <w:rsid w:val="007E5865"/>
    <w:rsid w:val="007E59B2"/>
    <w:rsid w:val="007E5B25"/>
    <w:rsid w:val="007E6CE6"/>
    <w:rsid w:val="007E6F97"/>
    <w:rsid w:val="007E74F8"/>
    <w:rsid w:val="007E7AE5"/>
    <w:rsid w:val="007E7D9E"/>
    <w:rsid w:val="007F055B"/>
    <w:rsid w:val="007F10D6"/>
    <w:rsid w:val="007F10EC"/>
    <w:rsid w:val="007F1275"/>
    <w:rsid w:val="007F1E59"/>
    <w:rsid w:val="007F1FF2"/>
    <w:rsid w:val="007F2197"/>
    <w:rsid w:val="007F288B"/>
    <w:rsid w:val="007F2D99"/>
    <w:rsid w:val="007F379B"/>
    <w:rsid w:val="007F3EC4"/>
    <w:rsid w:val="007F3F7E"/>
    <w:rsid w:val="007F4456"/>
    <w:rsid w:val="007F4B36"/>
    <w:rsid w:val="007F4C05"/>
    <w:rsid w:val="007F4C2E"/>
    <w:rsid w:val="007F4F9B"/>
    <w:rsid w:val="007F531A"/>
    <w:rsid w:val="007F53EE"/>
    <w:rsid w:val="007F548A"/>
    <w:rsid w:val="007F588D"/>
    <w:rsid w:val="007F58AA"/>
    <w:rsid w:val="007F5A4C"/>
    <w:rsid w:val="007F5B11"/>
    <w:rsid w:val="007F5C32"/>
    <w:rsid w:val="007F63A6"/>
    <w:rsid w:val="007F67A6"/>
    <w:rsid w:val="007F6D2C"/>
    <w:rsid w:val="007F6E29"/>
    <w:rsid w:val="007F7324"/>
    <w:rsid w:val="007F7B19"/>
    <w:rsid w:val="007F7BC2"/>
    <w:rsid w:val="00800627"/>
    <w:rsid w:val="00800AB0"/>
    <w:rsid w:val="008011B9"/>
    <w:rsid w:val="008011E0"/>
    <w:rsid w:val="008012FF"/>
    <w:rsid w:val="008014A4"/>
    <w:rsid w:val="00801601"/>
    <w:rsid w:val="00801A02"/>
    <w:rsid w:val="00801D67"/>
    <w:rsid w:val="00801D89"/>
    <w:rsid w:val="0080252F"/>
    <w:rsid w:val="008028B6"/>
    <w:rsid w:val="0080298A"/>
    <w:rsid w:val="00802DCE"/>
    <w:rsid w:val="00803464"/>
    <w:rsid w:val="0080367F"/>
    <w:rsid w:val="008043A8"/>
    <w:rsid w:val="00804A3E"/>
    <w:rsid w:val="00804C8B"/>
    <w:rsid w:val="0080524E"/>
    <w:rsid w:val="00805492"/>
    <w:rsid w:val="00805788"/>
    <w:rsid w:val="00805EE7"/>
    <w:rsid w:val="00806414"/>
    <w:rsid w:val="008064E4"/>
    <w:rsid w:val="00806BA9"/>
    <w:rsid w:val="008072A1"/>
    <w:rsid w:val="00807AEA"/>
    <w:rsid w:val="00810EB3"/>
    <w:rsid w:val="00810FE7"/>
    <w:rsid w:val="008110D9"/>
    <w:rsid w:val="0081119C"/>
    <w:rsid w:val="008120DF"/>
    <w:rsid w:val="008124CA"/>
    <w:rsid w:val="00812C0B"/>
    <w:rsid w:val="00812E15"/>
    <w:rsid w:val="00812E7B"/>
    <w:rsid w:val="00813083"/>
    <w:rsid w:val="00813288"/>
    <w:rsid w:val="008132D0"/>
    <w:rsid w:val="0081366E"/>
    <w:rsid w:val="008138B6"/>
    <w:rsid w:val="00813DF8"/>
    <w:rsid w:val="0081446E"/>
    <w:rsid w:val="00814983"/>
    <w:rsid w:val="00815018"/>
    <w:rsid w:val="008155F2"/>
    <w:rsid w:val="0081576E"/>
    <w:rsid w:val="00816124"/>
    <w:rsid w:val="008162B3"/>
    <w:rsid w:val="008165D5"/>
    <w:rsid w:val="00816710"/>
    <w:rsid w:val="008169C0"/>
    <w:rsid w:val="00816B1A"/>
    <w:rsid w:val="0081739D"/>
    <w:rsid w:val="008176F4"/>
    <w:rsid w:val="008177D1"/>
    <w:rsid w:val="00817940"/>
    <w:rsid w:val="00817F63"/>
    <w:rsid w:val="008207ED"/>
    <w:rsid w:val="00821313"/>
    <w:rsid w:val="00821326"/>
    <w:rsid w:val="00821560"/>
    <w:rsid w:val="00821BC3"/>
    <w:rsid w:val="00822B06"/>
    <w:rsid w:val="00823198"/>
    <w:rsid w:val="00823868"/>
    <w:rsid w:val="00823F1E"/>
    <w:rsid w:val="0082426E"/>
    <w:rsid w:val="00824412"/>
    <w:rsid w:val="0082443B"/>
    <w:rsid w:val="0082456C"/>
    <w:rsid w:val="0082480C"/>
    <w:rsid w:val="00825476"/>
    <w:rsid w:val="008257D2"/>
    <w:rsid w:val="0082592D"/>
    <w:rsid w:val="00825B08"/>
    <w:rsid w:val="00826650"/>
    <w:rsid w:val="00826DE5"/>
    <w:rsid w:val="008272BB"/>
    <w:rsid w:val="00827742"/>
    <w:rsid w:val="008279A9"/>
    <w:rsid w:val="00827EC1"/>
    <w:rsid w:val="00830600"/>
    <w:rsid w:val="00830638"/>
    <w:rsid w:val="008311C4"/>
    <w:rsid w:val="00831A49"/>
    <w:rsid w:val="00831D5C"/>
    <w:rsid w:val="00831DF0"/>
    <w:rsid w:val="00831E7A"/>
    <w:rsid w:val="008337B5"/>
    <w:rsid w:val="008339F3"/>
    <w:rsid w:val="00833A5D"/>
    <w:rsid w:val="00834236"/>
    <w:rsid w:val="008359F2"/>
    <w:rsid w:val="00835BC5"/>
    <w:rsid w:val="00835C0E"/>
    <w:rsid w:val="008364C3"/>
    <w:rsid w:val="0083657F"/>
    <w:rsid w:val="00836C79"/>
    <w:rsid w:val="00837204"/>
    <w:rsid w:val="00837930"/>
    <w:rsid w:val="00837AE6"/>
    <w:rsid w:val="00837AF8"/>
    <w:rsid w:val="00837B8D"/>
    <w:rsid w:val="00840805"/>
    <w:rsid w:val="00840908"/>
    <w:rsid w:val="008409C0"/>
    <w:rsid w:val="008409E5"/>
    <w:rsid w:val="00840D65"/>
    <w:rsid w:val="00840D76"/>
    <w:rsid w:val="00841198"/>
    <w:rsid w:val="0084125B"/>
    <w:rsid w:val="00841780"/>
    <w:rsid w:val="0084243D"/>
    <w:rsid w:val="00842500"/>
    <w:rsid w:val="00842DE7"/>
    <w:rsid w:val="00842DF2"/>
    <w:rsid w:val="00842E14"/>
    <w:rsid w:val="008436BA"/>
    <w:rsid w:val="00843993"/>
    <w:rsid w:val="008439C9"/>
    <w:rsid w:val="00843AF8"/>
    <w:rsid w:val="0084405D"/>
    <w:rsid w:val="008441C7"/>
    <w:rsid w:val="008450A8"/>
    <w:rsid w:val="008454C4"/>
    <w:rsid w:val="00845F1E"/>
    <w:rsid w:val="008461CF"/>
    <w:rsid w:val="00846481"/>
    <w:rsid w:val="00846862"/>
    <w:rsid w:val="00846C16"/>
    <w:rsid w:val="0084741D"/>
    <w:rsid w:val="00847467"/>
    <w:rsid w:val="00847AC0"/>
    <w:rsid w:val="00847EB8"/>
    <w:rsid w:val="00850138"/>
    <w:rsid w:val="00850B25"/>
    <w:rsid w:val="00850C98"/>
    <w:rsid w:val="00850D65"/>
    <w:rsid w:val="00850F2D"/>
    <w:rsid w:val="00851132"/>
    <w:rsid w:val="00851C2E"/>
    <w:rsid w:val="00851D4D"/>
    <w:rsid w:val="00852137"/>
    <w:rsid w:val="0085214D"/>
    <w:rsid w:val="008528CD"/>
    <w:rsid w:val="00852904"/>
    <w:rsid w:val="008533B7"/>
    <w:rsid w:val="00853485"/>
    <w:rsid w:val="00853666"/>
    <w:rsid w:val="00853CFB"/>
    <w:rsid w:val="008540E2"/>
    <w:rsid w:val="008547A1"/>
    <w:rsid w:val="0085534B"/>
    <w:rsid w:val="0085537A"/>
    <w:rsid w:val="008555A9"/>
    <w:rsid w:val="00855DBC"/>
    <w:rsid w:val="00855F82"/>
    <w:rsid w:val="0085605A"/>
    <w:rsid w:val="008565BC"/>
    <w:rsid w:val="00856909"/>
    <w:rsid w:val="00856BF5"/>
    <w:rsid w:val="00856EF6"/>
    <w:rsid w:val="008570BC"/>
    <w:rsid w:val="008570E1"/>
    <w:rsid w:val="00857813"/>
    <w:rsid w:val="00857873"/>
    <w:rsid w:val="00857980"/>
    <w:rsid w:val="00860568"/>
    <w:rsid w:val="0086089A"/>
    <w:rsid w:val="00860CD2"/>
    <w:rsid w:val="00860E30"/>
    <w:rsid w:val="008616B1"/>
    <w:rsid w:val="008617CE"/>
    <w:rsid w:val="008619F0"/>
    <w:rsid w:val="0086264D"/>
    <w:rsid w:val="00862784"/>
    <w:rsid w:val="00862D87"/>
    <w:rsid w:val="00862F48"/>
    <w:rsid w:val="0086331D"/>
    <w:rsid w:val="008638BD"/>
    <w:rsid w:val="00863AC1"/>
    <w:rsid w:val="00863CB8"/>
    <w:rsid w:val="00864A42"/>
    <w:rsid w:val="00865007"/>
    <w:rsid w:val="0086506E"/>
    <w:rsid w:val="0086526F"/>
    <w:rsid w:val="008653BB"/>
    <w:rsid w:val="00865B6E"/>
    <w:rsid w:val="00865C92"/>
    <w:rsid w:val="008662BA"/>
    <w:rsid w:val="008665D6"/>
    <w:rsid w:val="00866667"/>
    <w:rsid w:val="00866981"/>
    <w:rsid w:val="00866A7D"/>
    <w:rsid w:val="00866FB2"/>
    <w:rsid w:val="00867010"/>
    <w:rsid w:val="00867369"/>
    <w:rsid w:val="008676CD"/>
    <w:rsid w:val="00867889"/>
    <w:rsid w:val="00867B5F"/>
    <w:rsid w:val="00867E3F"/>
    <w:rsid w:val="00867F5F"/>
    <w:rsid w:val="00870A8B"/>
    <w:rsid w:val="00871073"/>
    <w:rsid w:val="008717C0"/>
    <w:rsid w:val="00871ED9"/>
    <w:rsid w:val="00872443"/>
    <w:rsid w:val="008724F8"/>
    <w:rsid w:val="00872811"/>
    <w:rsid w:val="008728F2"/>
    <w:rsid w:val="00872BB3"/>
    <w:rsid w:val="00872D5A"/>
    <w:rsid w:val="0087345A"/>
    <w:rsid w:val="0087351F"/>
    <w:rsid w:val="0087363C"/>
    <w:rsid w:val="008738E4"/>
    <w:rsid w:val="00873EF2"/>
    <w:rsid w:val="00874096"/>
    <w:rsid w:val="008746E8"/>
    <w:rsid w:val="008748DD"/>
    <w:rsid w:val="00874C95"/>
    <w:rsid w:val="00874DFD"/>
    <w:rsid w:val="00875210"/>
    <w:rsid w:val="0087592C"/>
    <w:rsid w:val="00875991"/>
    <w:rsid w:val="00876030"/>
    <w:rsid w:val="0087639C"/>
    <w:rsid w:val="008763EE"/>
    <w:rsid w:val="00876A1F"/>
    <w:rsid w:val="00876BC1"/>
    <w:rsid w:val="00877090"/>
    <w:rsid w:val="008775AD"/>
    <w:rsid w:val="00877784"/>
    <w:rsid w:val="008778AE"/>
    <w:rsid w:val="00877948"/>
    <w:rsid w:val="00877A05"/>
    <w:rsid w:val="008805DB"/>
    <w:rsid w:val="008807FE"/>
    <w:rsid w:val="00880D51"/>
    <w:rsid w:val="00880D71"/>
    <w:rsid w:val="0088125A"/>
    <w:rsid w:val="00881418"/>
    <w:rsid w:val="008814EC"/>
    <w:rsid w:val="0088177D"/>
    <w:rsid w:val="008821CC"/>
    <w:rsid w:val="008825D3"/>
    <w:rsid w:val="00882BF0"/>
    <w:rsid w:val="008833DF"/>
    <w:rsid w:val="00883A05"/>
    <w:rsid w:val="0088426B"/>
    <w:rsid w:val="00885129"/>
    <w:rsid w:val="00885161"/>
    <w:rsid w:val="00885305"/>
    <w:rsid w:val="008853EA"/>
    <w:rsid w:val="00885589"/>
    <w:rsid w:val="00885764"/>
    <w:rsid w:val="00885784"/>
    <w:rsid w:val="008857CF"/>
    <w:rsid w:val="00885807"/>
    <w:rsid w:val="00885987"/>
    <w:rsid w:val="00885A8D"/>
    <w:rsid w:val="00885DAA"/>
    <w:rsid w:val="00885DE9"/>
    <w:rsid w:val="00886002"/>
    <w:rsid w:val="008860CF"/>
    <w:rsid w:val="0088611C"/>
    <w:rsid w:val="008864C4"/>
    <w:rsid w:val="008864ED"/>
    <w:rsid w:val="0088653D"/>
    <w:rsid w:val="00886971"/>
    <w:rsid w:val="00886A4E"/>
    <w:rsid w:val="00886C57"/>
    <w:rsid w:val="008871E3"/>
    <w:rsid w:val="00887223"/>
    <w:rsid w:val="008873A7"/>
    <w:rsid w:val="008879AB"/>
    <w:rsid w:val="00887A37"/>
    <w:rsid w:val="00887CCD"/>
    <w:rsid w:val="00887EEB"/>
    <w:rsid w:val="0089003C"/>
    <w:rsid w:val="00890681"/>
    <w:rsid w:val="008909E4"/>
    <w:rsid w:val="00891215"/>
    <w:rsid w:val="00891360"/>
    <w:rsid w:val="00891807"/>
    <w:rsid w:val="00891992"/>
    <w:rsid w:val="00892D54"/>
    <w:rsid w:val="008930B9"/>
    <w:rsid w:val="00893AC9"/>
    <w:rsid w:val="008941DE"/>
    <w:rsid w:val="00894524"/>
    <w:rsid w:val="0089481C"/>
    <w:rsid w:val="00894C98"/>
    <w:rsid w:val="00894D2F"/>
    <w:rsid w:val="00895691"/>
    <w:rsid w:val="00895807"/>
    <w:rsid w:val="00895DF3"/>
    <w:rsid w:val="008964EA"/>
    <w:rsid w:val="008967D1"/>
    <w:rsid w:val="00896907"/>
    <w:rsid w:val="00896E2D"/>
    <w:rsid w:val="008971F8"/>
    <w:rsid w:val="00897852"/>
    <w:rsid w:val="00897E6E"/>
    <w:rsid w:val="008A03BC"/>
    <w:rsid w:val="008A08F5"/>
    <w:rsid w:val="008A1761"/>
    <w:rsid w:val="008A1964"/>
    <w:rsid w:val="008A1CB0"/>
    <w:rsid w:val="008A1D76"/>
    <w:rsid w:val="008A23D6"/>
    <w:rsid w:val="008A2780"/>
    <w:rsid w:val="008A2917"/>
    <w:rsid w:val="008A2C46"/>
    <w:rsid w:val="008A39F8"/>
    <w:rsid w:val="008A4533"/>
    <w:rsid w:val="008A4A43"/>
    <w:rsid w:val="008A4B01"/>
    <w:rsid w:val="008A4CB9"/>
    <w:rsid w:val="008A534D"/>
    <w:rsid w:val="008A69FA"/>
    <w:rsid w:val="008A6C7B"/>
    <w:rsid w:val="008A6D25"/>
    <w:rsid w:val="008A6DC6"/>
    <w:rsid w:val="008A70C6"/>
    <w:rsid w:val="008A71CC"/>
    <w:rsid w:val="008A7371"/>
    <w:rsid w:val="008A7848"/>
    <w:rsid w:val="008B0C13"/>
    <w:rsid w:val="008B123E"/>
    <w:rsid w:val="008B14F2"/>
    <w:rsid w:val="008B218E"/>
    <w:rsid w:val="008B27AF"/>
    <w:rsid w:val="008B29D5"/>
    <w:rsid w:val="008B35E0"/>
    <w:rsid w:val="008B364E"/>
    <w:rsid w:val="008B369A"/>
    <w:rsid w:val="008B36E5"/>
    <w:rsid w:val="008B3993"/>
    <w:rsid w:val="008B3B2B"/>
    <w:rsid w:val="008B4BD2"/>
    <w:rsid w:val="008B4CD9"/>
    <w:rsid w:val="008B51FA"/>
    <w:rsid w:val="008B542E"/>
    <w:rsid w:val="008B5792"/>
    <w:rsid w:val="008B58D3"/>
    <w:rsid w:val="008B58F6"/>
    <w:rsid w:val="008B5C63"/>
    <w:rsid w:val="008B5D90"/>
    <w:rsid w:val="008B68AF"/>
    <w:rsid w:val="008B7729"/>
    <w:rsid w:val="008B78B7"/>
    <w:rsid w:val="008B7D99"/>
    <w:rsid w:val="008C06EF"/>
    <w:rsid w:val="008C09DD"/>
    <w:rsid w:val="008C1229"/>
    <w:rsid w:val="008C1B16"/>
    <w:rsid w:val="008C1BE5"/>
    <w:rsid w:val="008C1C40"/>
    <w:rsid w:val="008C1F34"/>
    <w:rsid w:val="008C252F"/>
    <w:rsid w:val="008C2981"/>
    <w:rsid w:val="008C3A94"/>
    <w:rsid w:val="008C3C1C"/>
    <w:rsid w:val="008C3D09"/>
    <w:rsid w:val="008C3F37"/>
    <w:rsid w:val="008C47AE"/>
    <w:rsid w:val="008C497F"/>
    <w:rsid w:val="008C49EB"/>
    <w:rsid w:val="008C4BC8"/>
    <w:rsid w:val="008C4E98"/>
    <w:rsid w:val="008C5251"/>
    <w:rsid w:val="008C56BD"/>
    <w:rsid w:val="008C58DA"/>
    <w:rsid w:val="008C5E13"/>
    <w:rsid w:val="008C5E68"/>
    <w:rsid w:val="008C6146"/>
    <w:rsid w:val="008C6251"/>
    <w:rsid w:val="008C637A"/>
    <w:rsid w:val="008C6601"/>
    <w:rsid w:val="008C6D8F"/>
    <w:rsid w:val="008C74AA"/>
    <w:rsid w:val="008C7533"/>
    <w:rsid w:val="008C7731"/>
    <w:rsid w:val="008C7DBC"/>
    <w:rsid w:val="008C7E21"/>
    <w:rsid w:val="008C7FE2"/>
    <w:rsid w:val="008D03EB"/>
    <w:rsid w:val="008D12D5"/>
    <w:rsid w:val="008D196A"/>
    <w:rsid w:val="008D1970"/>
    <w:rsid w:val="008D1D09"/>
    <w:rsid w:val="008D1F6F"/>
    <w:rsid w:val="008D27DE"/>
    <w:rsid w:val="008D3179"/>
    <w:rsid w:val="008D3D2C"/>
    <w:rsid w:val="008D3D4B"/>
    <w:rsid w:val="008D3DF2"/>
    <w:rsid w:val="008D40F6"/>
    <w:rsid w:val="008D4B8E"/>
    <w:rsid w:val="008D55A3"/>
    <w:rsid w:val="008D5B11"/>
    <w:rsid w:val="008D5DEC"/>
    <w:rsid w:val="008D5FD4"/>
    <w:rsid w:val="008D61B6"/>
    <w:rsid w:val="008D61EB"/>
    <w:rsid w:val="008D64FA"/>
    <w:rsid w:val="008D6501"/>
    <w:rsid w:val="008D6788"/>
    <w:rsid w:val="008D6BBA"/>
    <w:rsid w:val="008D7386"/>
    <w:rsid w:val="008D76C0"/>
    <w:rsid w:val="008D7784"/>
    <w:rsid w:val="008E0000"/>
    <w:rsid w:val="008E063A"/>
    <w:rsid w:val="008E1385"/>
    <w:rsid w:val="008E15E4"/>
    <w:rsid w:val="008E1744"/>
    <w:rsid w:val="008E183D"/>
    <w:rsid w:val="008E1AFA"/>
    <w:rsid w:val="008E1C53"/>
    <w:rsid w:val="008E23C7"/>
    <w:rsid w:val="008E264E"/>
    <w:rsid w:val="008E28DB"/>
    <w:rsid w:val="008E2947"/>
    <w:rsid w:val="008E2A47"/>
    <w:rsid w:val="008E3A8E"/>
    <w:rsid w:val="008E3C3F"/>
    <w:rsid w:val="008E4210"/>
    <w:rsid w:val="008E441F"/>
    <w:rsid w:val="008E4646"/>
    <w:rsid w:val="008E4870"/>
    <w:rsid w:val="008E4BBA"/>
    <w:rsid w:val="008E4D7E"/>
    <w:rsid w:val="008E519E"/>
    <w:rsid w:val="008E58F1"/>
    <w:rsid w:val="008E5ADF"/>
    <w:rsid w:val="008E5DFF"/>
    <w:rsid w:val="008E65A1"/>
    <w:rsid w:val="008E6A40"/>
    <w:rsid w:val="008E6FBD"/>
    <w:rsid w:val="008E7284"/>
    <w:rsid w:val="008E7348"/>
    <w:rsid w:val="008E74BF"/>
    <w:rsid w:val="008E7948"/>
    <w:rsid w:val="008E7FD6"/>
    <w:rsid w:val="008F0229"/>
    <w:rsid w:val="008F025D"/>
    <w:rsid w:val="008F02A1"/>
    <w:rsid w:val="008F043B"/>
    <w:rsid w:val="008F07C0"/>
    <w:rsid w:val="008F1225"/>
    <w:rsid w:val="008F13CC"/>
    <w:rsid w:val="008F1425"/>
    <w:rsid w:val="008F14E1"/>
    <w:rsid w:val="008F16B2"/>
    <w:rsid w:val="008F1A28"/>
    <w:rsid w:val="008F1D9C"/>
    <w:rsid w:val="008F20F1"/>
    <w:rsid w:val="008F280C"/>
    <w:rsid w:val="008F2B23"/>
    <w:rsid w:val="008F2DE8"/>
    <w:rsid w:val="008F307F"/>
    <w:rsid w:val="008F3B21"/>
    <w:rsid w:val="008F3F92"/>
    <w:rsid w:val="008F424A"/>
    <w:rsid w:val="008F4947"/>
    <w:rsid w:val="008F4BC6"/>
    <w:rsid w:val="008F526E"/>
    <w:rsid w:val="008F52AD"/>
    <w:rsid w:val="008F5D23"/>
    <w:rsid w:val="008F6555"/>
    <w:rsid w:val="008F6656"/>
    <w:rsid w:val="008F686F"/>
    <w:rsid w:val="008F6973"/>
    <w:rsid w:val="008F72BF"/>
    <w:rsid w:val="008F77AD"/>
    <w:rsid w:val="008F7C5A"/>
    <w:rsid w:val="009001C6"/>
    <w:rsid w:val="009001DE"/>
    <w:rsid w:val="009005BC"/>
    <w:rsid w:val="0090076E"/>
    <w:rsid w:val="009008DD"/>
    <w:rsid w:val="00900E60"/>
    <w:rsid w:val="00900FA9"/>
    <w:rsid w:val="0090101C"/>
    <w:rsid w:val="009016AE"/>
    <w:rsid w:val="0090175B"/>
    <w:rsid w:val="00901803"/>
    <w:rsid w:val="00901EDD"/>
    <w:rsid w:val="00902509"/>
    <w:rsid w:val="009026B8"/>
    <w:rsid w:val="0090274D"/>
    <w:rsid w:val="00902805"/>
    <w:rsid w:val="00902FD7"/>
    <w:rsid w:val="00903157"/>
    <w:rsid w:val="009034BF"/>
    <w:rsid w:val="00903692"/>
    <w:rsid w:val="00903A01"/>
    <w:rsid w:val="00903B2F"/>
    <w:rsid w:val="00903BBA"/>
    <w:rsid w:val="00903E1D"/>
    <w:rsid w:val="00904888"/>
    <w:rsid w:val="009048F7"/>
    <w:rsid w:val="00904A91"/>
    <w:rsid w:val="00904AB7"/>
    <w:rsid w:val="00904FDD"/>
    <w:rsid w:val="009059C3"/>
    <w:rsid w:val="009060EB"/>
    <w:rsid w:val="009065B5"/>
    <w:rsid w:val="00906779"/>
    <w:rsid w:val="009068F0"/>
    <w:rsid w:val="00906B85"/>
    <w:rsid w:val="0090764B"/>
    <w:rsid w:val="0090769A"/>
    <w:rsid w:val="009079D9"/>
    <w:rsid w:val="009079F8"/>
    <w:rsid w:val="00907CF3"/>
    <w:rsid w:val="00907CFA"/>
    <w:rsid w:val="0091023F"/>
    <w:rsid w:val="0091081E"/>
    <w:rsid w:val="009116C4"/>
    <w:rsid w:val="0091223F"/>
    <w:rsid w:val="00912EF6"/>
    <w:rsid w:val="00912F2F"/>
    <w:rsid w:val="009130CD"/>
    <w:rsid w:val="009137A4"/>
    <w:rsid w:val="009137EE"/>
    <w:rsid w:val="00913C45"/>
    <w:rsid w:val="009146FE"/>
    <w:rsid w:val="00914853"/>
    <w:rsid w:val="00914D5F"/>
    <w:rsid w:val="00915036"/>
    <w:rsid w:val="00915064"/>
    <w:rsid w:val="009150BD"/>
    <w:rsid w:val="009150F0"/>
    <w:rsid w:val="00915DCF"/>
    <w:rsid w:val="00916B39"/>
    <w:rsid w:val="00920588"/>
    <w:rsid w:val="009206EA"/>
    <w:rsid w:val="00920A18"/>
    <w:rsid w:val="00920DC4"/>
    <w:rsid w:val="00920E50"/>
    <w:rsid w:val="009211FB"/>
    <w:rsid w:val="009213B9"/>
    <w:rsid w:val="00921430"/>
    <w:rsid w:val="00921445"/>
    <w:rsid w:val="00921CA1"/>
    <w:rsid w:val="00921FBE"/>
    <w:rsid w:val="00922022"/>
    <w:rsid w:val="00922ECF"/>
    <w:rsid w:val="00923519"/>
    <w:rsid w:val="009241E5"/>
    <w:rsid w:val="009242E9"/>
    <w:rsid w:val="0092433C"/>
    <w:rsid w:val="009245B4"/>
    <w:rsid w:val="009245EB"/>
    <w:rsid w:val="00924981"/>
    <w:rsid w:val="00924A32"/>
    <w:rsid w:val="00924F92"/>
    <w:rsid w:val="00925222"/>
    <w:rsid w:val="00925619"/>
    <w:rsid w:val="00926132"/>
    <w:rsid w:val="0092613B"/>
    <w:rsid w:val="00927110"/>
    <w:rsid w:val="009273C7"/>
    <w:rsid w:val="00927749"/>
    <w:rsid w:val="00927C01"/>
    <w:rsid w:val="00927DE2"/>
    <w:rsid w:val="00930260"/>
    <w:rsid w:val="0093044E"/>
    <w:rsid w:val="0093074A"/>
    <w:rsid w:val="00930A1F"/>
    <w:rsid w:val="00930CF7"/>
    <w:rsid w:val="009313A9"/>
    <w:rsid w:val="009313D7"/>
    <w:rsid w:val="00931653"/>
    <w:rsid w:val="00931F50"/>
    <w:rsid w:val="00932098"/>
    <w:rsid w:val="009325FB"/>
    <w:rsid w:val="00932662"/>
    <w:rsid w:val="00932767"/>
    <w:rsid w:val="00932818"/>
    <w:rsid w:val="009328D0"/>
    <w:rsid w:val="00932985"/>
    <w:rsid w:val="00932E57"/>
    <w:rsid w:val="0093351D"/>
    <w:rsid w:val="00933B5A"/>
    <w:rsid w:val="00933CAD"/>
    <w:rsid w:val="0093479D"/>
    <w:rsid w:val="00934829"/>
    <w:rsid w:val="00934A2E"/>
    <w:rsid w:val="00935520"/>
    <w:rsid w:val="00935840"/>
    <w:rsid w:val="00935896"/>
    <w:rsid w:val="00935897"/>
    <w:rsid w:val="00936095"/>
    <w:rsid w:val="00936461"/>
    <w:rsid w:val="00936B35"/>
    <w:rsid w:val="0093709D"/>
    <w:rsid w:val="009371BB"/>
    <w:rsid w:val="00937399"/>
    <w:rsid w:val="00937935"/>
    <w:rsid w:val="009379AF"/>
    <w:rsid w:val="009379F4"/>
    <w:rsid w:val="009401DE"/>
    <w:rsid w:val="009401ED"/>
    <w:rsid w:val="00940453"/>
    <w:rsid w:val="009404DA"/>
    <w:rsid w:val="00940523"/>
    <w:rsid w:val="009407F9"/>
    <w:rsid w:val="00940DB9"/>
    <w:rsid w:val="00942543"/>
    <w:rsid w:val="00942730"/>
    <w:rsid w:val="0094291F"/>
    <w:rsid w:val="00942BB9"/>
    <w:rsid w:val="00942BBE"/>
    <w:rsid w:val="00942D2B"/>
    <w:rsid w:val="0094363D"/>
    <w:rsid w:val="00943A2E"/>
    <w:rsid w:val="00944110"/>
    <w:rsid w:val="009442CC"/>
    <w:rsid w:val="009442D0"/>
    <w:rsid w:val="009447A6"/>
    <w:rsid w:val="00944FC2"/>
    <w:rsid w:val="0094529B"/>
    <w:rsid w:val="009452DF"/>
    <w:rsid w:val="00945330"/>
    <w:rsid w:val="00945365"/>
    <w:rsid w:val="0094580E"/>
    <w:rsid w:val="00946027"/>
    <w:rsid w:val="009462D4"/>
    <w:rsid w:val="00946A41"/>
    <w:rsid w:val="00946B9D"/>
    <w:rsid w:val="0094725A"/>
    <w:rsid w:val="00950096"/>
    <w:rsid w:val="00950433"/>
    <w:rsid w:val="009508B3"/>
    <w:rsid w:val="00950A26"/>
    <w:rsid w:val="00950C97"/>
    <w:rsid w:val="00950E17"/>
    <w:rsid w:val="00950FDD"/>
    <w:rsid w:val="009513B7"/>
    <w:rsid w:val="009514F5"/>
    <w:rsid w:val="0095154B"/>
    <w:rsid w:val="00951BD0"/>
    <w:rsid w:val="00951D3D"/>
    <w:rsid w:val="009522F5"/>
    <w:rsid w:val="00952B16"/>
    <w:rsid w:val="009531B9"/>
    <w:rsid w:val="00953840"/>
    <w:rsid w:val="00953B74"/>
    <w:rsid w:val="009549CC"/>
    <w:rsid w:val="00954D0A"/>
    <w:rsid w:val="00955465"/>
    <w:rsid w:val="009557F2"/>
    <w:rsid w:val="00955E59"/>
    <w:rsid w:val="00956577"/>
    <w:rsid w:val="0095677B"/>
    <w:rsid w:val="009567CF"/>
    <w:rsid w:val="00956E7A"/>
    <w:rsid w:val="0095727F"/>
    <w:rsid w:val="00960064"/>
    <w:rsid w:val="009606C6"/>
    <w:rsid w:val="00960AC0"/>
    <w:rsid w:val="009617BD"/>
    <w:rsid w:val="00961831"/>
    <w:rsid w:val="0096202B"/>
    <w:rsid w:val="009626DB"/>
    <w:rsid w:val="009627EF"/>
    <w:rsid w:val="0096294B"/>
    <w:rsid w:val="00963177"/>
    <w:rsid w:val="0096351E"/>
    <w:rsid w:val="0096420C"/>
    <w:rsid w:val="00964A51"/>
    <w:rsid w:val="00964EF8"/>
    <w:rsid w:val="0096530D"/>
    <w:rsid w:val="009654B1"/>
    <w:rsid w:val="009655E8"/>
    <w:rsid w:val="00965735"/>
    <w:rsid w:val="00965FAD"/>
    <w:rsid w:val="009662BE"/>
    <w:rsid w:val="009665D6"/>
    <w:rsid w:val="00966630"/>
    <w:rsid w:val="0096665C"/>
    <w:rsid w:val="009666BD"/>
    <w:rsid w:val="00966700"/>
    <w:rsid w:val="00966776"/>
    <w:rsid w:val="00966944"/>
    <w:rsid w:val="00966CFB"/>
    <w:rsid w:val="00966D63"/>
    <w:rsid w:val="0096776D"/>
    <w:rsid w:val="00967DD4"/>
    <w:rsid w:val="00967FB4"/>
    <w:rsid w:val="00970D37"/>
    <w:rsid w:val="00970FC0"/>
    <w:rsid w:val="00970FED"/>
    <w:rsid w:val="009711AD"/>
    <w:rsid w:val="00971350"/>
    <w:rsid w:val="009717C0"/>
    <w:rsid w:val="00971B20"/>
    <w:rsid w:val="00971EC9"/>
    <w:rsid w:val="00971F61"/>
    <w:rsid w:val="0097202B"/>
    <w:rsid w:val="0097216D"/>
    <w:rsid w:val="00972467"/>
    <w:rsid w:val="0097292A"/>
    <w:rsid w:val="00972BF5"/>
    <w:rsid w:val="00972E3F"/>
    <w:rsid w:val="00973D63"/>
    <w:rsid w:val="009743A7"/>
    <w:rsid w:val="00974531"/>
    <w:rsid w:val="00974623"/>
    <w:rsid w:val="009747AA"/>
    <w:rsid w:val="00974E04"/>
    <w:rsid w:val="009752BD"/>
    <w:rsid w:val="00975560"/>
    <w:rsid w:val="0097558A"/>
    <w:rsid w:val="009759FF"/>
    <w:rsid w:val="00975A03"/>
    <w:rsid w:val="00975A8C"/>
    <w:rsid w:val="00975AAD"/>
    <w:rsid w:val="00976272"/>
    <w:rsid w:val="009769B3"/>
    <w:rsid w:val="00976C29"/>
    <w:rsid w:val="009806A3"/>
    <w:rsid w:val="00980DD9"/>
    <w:rsid w:val="00981253"/>
    <w:rsid w:val="009816FD"/>
    <w:rsid w:val="00981EE6"/>
    <w:rsid w:val="009828EA"/>
    <w:rsid w:val="00982950"/>
    <w:rsid w:val="00982C6B"/>
    <w:rsid w:val="00982EF8"/>
    <w:rsid w:val="0098300A"/>
    <w:rsid w:val="00983354"/>
    <w:rsid w:val="00983B3E"/>
    <w:rsid w:val="00983B5A"/>
    <w:rsid w:val="00983E2C"/>
    <w:rsid w:val="00984065"/>
    <w:rsid w:val="00984256"/>
    <w:rsid w:val="00984D4C"/>
    <w:rsid w:val="00986019"/>
    <w:rsid w:val="00986514"/>
    <w:rsid w:val="00986953"/>
    <w:rsid w:val="00986F5A"/>
    <w:rsid w:val="00987172"/>
    <w:rsid w:val="0098734C"/>
    <w:rsid w:val="00987543"/>
    <w:rsid w:val="00987838"/>
    <w:rsid w:val="00987A06"/>
    <w:rsid w:val="00990C1B"/>
    <w:rsid w:val="00990F4F"/>
    <w:rsid w:val="00991A15"/>
    <w:rsid w:val="00991D21"/>
    <w:rsid w:val="00991E93"/>
    <w:rsid w:val="00992158"/>
    <w:rsid w:val="00992499"/>
    <w:rsid w:val="009924E5"/>
    <w:rsid w:val="00992CA8"/>
    <w:rsid w:val="00992F50"/>
    <w:rsid w:val="009935AB"/>
    <w:rsid w:val="00993A64"/>
    <w:rsid w:val="00993ADA"/>
    <w:rsid w:val="00994547"/>
    <w:rsid w:val="00994654"/>
    <w:rsid w:val="009949A7"/>
    <w:rsid w:val="0099500B"/>
    <w:rsid w:val="00995893"/>
    <w:rsid w:val="00995CE3"/>
    <w:rsid w:val="009961E4"/>
    <w:rsid w:val="00996304"/>
    <w:rsid w:val="0099716C"/>
    <w:rsid w:val="00997561"/>
    <w:rsid w:val="009975DC"/>
    <w:rsid w:val="00997D2B"/>
    <w:rsid w:val="00997DD1"/>
    <w:rsid w:val="009A05A3"/>
    <w:rsid w:val="009A0AC1"/>
    <w:rsid w:val="009A0DAB"/>
    <w:rsid w:val="009A210D"/>
    <w:rsid w:val="009A2385"/>
    <w:rsid w:val="009A23CD"/>
    <w:rsid w:val="009A28FA"/>
    <w:rsid w:val="009A2BA4"/>
    <w:rsid w:val="009A2E43"/>
    <w:rsid w:val="009A38A4"/>
    <w:rsid w:val="009A394C"/>
    <w:rsid w:val="009A3B1E"/>
    <w:rsid w:val="009A3D37"/>
    <w:rsid w:val="009A3D4E"/>
    <w:rsid w:val="009A42C5"/>
    <w:rsid w:val="009A4470"/>
    <w:rsid w:val="009A44D2"/>
    <w:rsid w:val="009A4A9A"/>
    <w:rsid w:val="009A4AAD"/>
    <w:rsid w:val="009A4B3A"/>
    <w:rsid w:val="009A50FF"/>
    <w:rsid w:val="009A6110"/>
    <w:rsid w:val="009A657E"/>
    <w:rsid w:val="009A6676"/>
    <w:rsid w:val="009A6DB4"/>
    <w:rsid w:val="009A79E9"/>
    <w:rsid w:val="009B0933"/>
    <w:rsid w:val="009B0B08"/>
    <w:rsid w:val="009B0C53"/>
    <w:rsid w:val="009B0E66"/>
    <w:rsid w:val="009B0F02"/>
    <w:rsid w:val="009B10AA"/>
    <w:rsid w:val="009B12EB"/>
    <w:rsid w:val="009B173F"/>
    <w:rsid w:val="009B26CA"/>
    <w:rsid w:val="009B29B5"/>
    <w:rsid w:val="009B2D98"/>
    <w:rsid w:val="009B2E69"/>
    <w:rsid w:val="009B2FF4"/>
    <w:rsid w:val="009B3306"/>
    <w:rsid w:val="009B39D1"/>
    <w:rsid w:val="009B3AA1"/>
    <w:rsid w:val="009B43D0"/>
    <w:rsid w:val="009B4B61"/>
    <w:rsid w:val="009B5ADE"/>
    <w:rsid w:val="009B5B3F"/>
    <w:rsid w:val="009B63D1"/>
    <w:rsid w:val="009B6736"/>
    <w:rsid w:val="009B695C"/>
    <w:rsid w:val="009B6BD3"/>
    <w:rsid w:val="009B714D"/>
    <w:rsid w:val="009B756A"/>
    <w:rsid w:val="009B7591"/>
    <w:rsid w:val="009B77F2"/>
    <w:rsid w:val="009B7ABF"/>
    <w:rsid w:val="009B7BA7"/>
    <w:rsid w:val="009C08BD"/>
    <w:rsid w:val="009C0BAB"/>
    <w:rsid w:val="009C0BBE"/>
    <w:rsid w:val="009C0F2C"/>
    <w:rsid w:val="009C0F43"/>
    <w:rsid w:val="009C1D69"/>
    <w:rsid w:val="009C1EAD"/>
    <w:rsid w:val="009C223D"/>
    <w:rsid w:val="009C246A"/>
    <w:rsid w:val="009C2625"/>
    <w:rsid w:val="009C281D"/>
    <w:rsid w:val="009C2837"/>
    <w:rsid w:val="009C2FF5"/>
    <w:rsid w:val="009C30E9"/>
    <w:rsid w:val="009C34DD"/>
    <w:rsid w:val="009C3590"/>
    <w:rsid w:val="009C399F"/>
    <w:rsid w:val="009C3B3D"/>
    <w:rsid w:val="009C3CD5"/>
    <w:rsid w:val="009C3DF9"/>
    <w:rsid w:val="009C49BA"/>
    <w:rsid w:val="009C4B28"/>
    <w:rsid w:val="009C514D"/>
    <w:rsid w:val="009C5C87"/>
    <w:rsid w:val="009C5ED3"/>
    <w:rsid w:val="009C692C"/>
    <w:rsid w:val="009C71E4"/>
    <w:rsid w:val="009C7500"/>
    <w:rsid w:val="009C7650"/>
    <w:rsid w:val="009C76C8"/>
    <w:rsid w:val="009C7809"/>
    <w:rsid w:val="009C7C5C"/>
    <w:rsid w:val="009C7C9A"/>
    <w:rsid w:val="009D0732"/>
    <w:rsid w:val="009D0D33"/>
    <w:rsid w:val="009D1366"/>
    <w:rsid w:val="009D1912"/>
    <w:rsid w:val="009D19ED"/>
    <w:rsid w:val="009D1B2F"/>
    <w:rsid w:val="009D21E6"/>
    <w:rsid w:val="009D2BE8"/>
    <w:rsid w:val="009D2EC9"/>
    <w:rsid w:val="009D321F"/>
    <w:rsid w:val="009D35BC"/>
    <w:rsid w:val="009D3669"/>
    <w:rsid w:val="009D378C"/>
    <w:rsid w:val="009D3926"/>
    <w:rsid w:val="009D4D7B"/>
    <w:rsid w:val="009D5719"/>
    <w:rsid w:val="009D64B3"/>
    <w:rsid w:val="009D6610"/>
    <w:rsid w:val="009D6A07"/>
    <w:rsid w:val="009D6A3A"/>
    <w:rsid w:val="009D6AA8"/>
    <w:rsid w:val="009D6B0E"/>
    <w:rsid w:val="009D6BB3"/>
    <w:rsid w:val="009D7552"/>
    <w:rsid w:val="009D75AE"/>
    <w:rsid w:val="009D7882"/>
    <w:rsid w:val="009D78C7"/>
    <w:rsid w:val="009D78FA"/>
    <w:rsid w:val="009D7C02"/>
    <w:rsid w:val="009D7DF9"/>
    <w:rsid w:val="009D7E94"/>
    <w:rsid w:val="009E03C0"/>
    <w:rsid w:val="009E0963"/>
    <w:rsid w:val="009E0C31"/>
    <w:rsid w:val="009E0D19"/>
    <w:rsid w:val="009E0D2B"/>
    <w:rsid w:val="009E0EC3"/>
    <w:rsid w:val="009E0F24"/>
    <w:rsid w:val="009E118C"/>
    <w:rsid w:val="009E1263"/>
    <w:rsid w:val="009E1B89"/>
    <w:rsid w:val="009E24BB"/>
    <w:rsid w:val="009E2B57"/>
    <w:rsid w:val="009E31A2"/>
    <w:rsid w:val="009E32BE"/>
    <w:rsid w:val="009E3373"/>
    <w:rsid w:val="009E348B"/>
    <w:rsid w:val="009E3943"/>
    <w:rsid w:val="009E39B7"/>
    <w:rsid w:val="009E3A74"/>
    <w:rsid w:val="009E4476"/>
    <w:rsid w:val="009E47AF"/>
    <w:rsid w:val="009E4957"/>
    <w:rsid w:val="009E49C4"/>
    <w:rsid w:val="009E5056"/>
    <w:rsid w:val="009E51FF"/>
    <w:rsid w:val="009E5464"/>
    <w:rsid w:val="009E546D"/>
    <w:rsid w:val="009E5634"/>
    <w:rsid w:val="009E5DA6"/>
    <w:rsid w:val="009E5DB2"/>
    <w:rsid w:val="009E60CF"/>
    <w:rsid w:val="009E60D5"/>
    <w:rsid w:val="009E6315"/>
    <w:rsid w:val="009E6787"/>
    <w:rsid w:val="009E6E4D"/>
    <w:rsid w:val="009E7271"/>
    <w:rsid w:val="009E72ED"/>
    <w:rsid w:val="009E77E1"/>
    <w:rsid w:val="009E7F55"/>
    <w:rsid w:val="009F011A"/>
    <w:rsid w:val="009F0286"/>
    <w:rsid w:val="009F036F"/>
    <w:rsid w:val="009F040F"/>
    <w:rsid w:val="009F12CC"/>
    <w:rsid w:val="009F1931"/>
    <w:rsid w:val="009F1BE6"/>
    <w:rsid w:val="009F1CE1"/>
    <w:rsid w:val="009F2A72"/>
    <w:rsid w:val="009F2A84"/>
    <w:rsid w:val="009F2DE4"/>
    <w:rsid w:val="009F30FB"/>
    <w:rsid w:val="009F312E"/>
    <w:rsid w:val="009F33C3"/>
    <w:rsid w:val="009F366F"/>
    <w:rsid w:val="009F3AE5"/>
    <w:rsid w:val="009F455B"/>
    <w:rsid w:val="009F4BB0"/>
    <w:rsid w:val="009F4E0D"/>
    <w:rsid w:val="009F4E89"/>
    <w:rsid w:val="009F53E8"/>
    <w:rsid w:val="009F55AD"/>
    <w:rsid w:val="009F5D43"/>
    <w:rsid w:val="009F705E"/>
    <w:rsid w:val="009F70A8"/>
    <w:rsid w:val="009F7390"/>
    <w:rsid w:val="009F749F"/>
    <w:rsid w:val="009F75D5"/>
    <w:rsid w:val="009F7676"/>
    <w:rsid w:val="009F7CAC"/>
    <w:rsid w:val="00A00C3F"/>
    <w:rsid w:val="00A00DC8"/>
    <w:rsid w:val="00A00F4C"/>
    <w:rsid w:val="00A0128F"/>
    <w:rsid w:val="00A012F4"/>
    <w:rsid w:val="00A01B7B"/>
    <w:rsid w:val="00A02038"/>
    <w:rsid w:val="00A023DE"/>
    <w:rsid w:val="00A02996"/>
    <w:rsid w:val="00A02C1A"/>
    <w:rsid w:val="00A031C0"/>
    <w:rsid w:val="00A033D4"/>
    <w:rsid w:val="00A034F9"/>
    <w:rsid w:val="00A03CF2"/>
    <w:rsid w:val="00A03D61"/>
    <w:rsid w:val="00A043AB"/>
    <w:rsid w:val="00A043FD"/>
    <w:rsid w:val="00A04402"/>
    <w:rsid w:val="00A049AE"/>
    <w:rsid w:val="00A04AB5"/>
    <w:rsid w:val="00A05A87"/>
    <w:rsid w:val="00A06086"/>
    <w:rsid w:val="00A060ED"/>
    <w:rsid w:val="00A064D8"/>
    <w:rsid w:val="00A064D9"/>
    <w:rsid w:val="00A06546"/>
    <w:rsid w:val="00A06AA5"/>
    <w:rsid w:val="00A06EA7"/>
    <w:rsid w:val="00A06F58"/>
    <w:rsid w:val="00A075BA"/>
    <w:rsid w:val="00A07715"/>
    <w:rsid w:val="00A079AA"/>
    <w:rsid w:val="00A07ABC"/>
    <w:rsid w:val="00A07CD2"/>
    <w:rsid w:val="00A10445"/>
    <w:rsid w:val="00A10847"/>
    <w:rsid w:val="00A1193E"/>
    <w:rsid w:val="00A11A8C"/>
    <w:rsid w:val="00A11F96"/>
    <w:rsid w:val="00A123DC"/>
    <w:rsid w:val="00A1246A"/>
    <w:rsid w:val="00A12637"/>
    <w:rsid w:val="00A12CAC"/>
    <w:rsid w:val="00A12EA4"/>
    <w:rsid w:val="00A138CF"/>
    <w:rsid w:val="00A139AE"/>
    <w:rsid w:val="00A14166"/>
    <w:rsid w:val="00A1421B"/>
    <w:rsid w:val="00A144C0"/>
    <w:rsid w:val="00A14660"/>
    <w:rsid w:val="00A14797"/>
    <w:rsid w:val="00A14C9C"/>
    <w:rsid w:val="00A15942"/>
    <w:rsid w:val="00A165A3"/>
    <w:rsid w:val="00A16CF7"/>
    <w:rsid w:val="00A16D2B"/>
    <w:rsid w:val="00A16F7F"/>
    <w:rsid w:val="00A17241"/>
    <w:rsid w:val="00A17378"/>
    <w:rsid w:val="00A178D4"/>
    <w:rsid w:val="00A17908"/>
    <w:rsid w:val="00A17919"/>
    <w:rsid w:val="00A17AA8"/>
    <w:rsid w:val="00A20204"/>
    <w:rsid w:val="00A20290"/>
    <w:rsid w:val="00A2040F"/>
    <w:rsid w:val="00A20F9A"/>
    <w:rsid w:val="00A21102"/>
    <w:rsid w:val="00A216F0"/>
    <w:rsid w:val="00A219EB"/>
    <w:rsid w:val="00A22190"/>
    <w:rsid w:val="00A22430"/>
    <w:rsid w:val="00A231C6"/>
    <w:rsid w:val="00A2358E"/>
    <w:rsid w:val="00A2471F"/>
    <w:rsid w:val="00A247ED"/>
    <w:rsid w:val="00A2490D"/>
    <w:rsid w:val="00A24931"/>
    <w:rsid w:val="00A24FC3"/>
    <w:rsid w:val="00A25300"/>
    <w:rsid w:val="00A2543E"/>
    <w:rsid w:val="00A25BD9"/>
    <w:rsid w:val="00A262F2"/>
    <w:rsid w:val="00A263DF"/>
    <w:rsid w:val="00A26793"/>
    <w:rsid w:val="00A267F3"/>
    <w:rsid w:val="00A26A5B"/>
    <w:rsid w:val="00A26B95"/>
    <w:rsid w:val="00A274F7"/>
    <w:rsid w:val="00A2770B"/>
    <w:rsid w:val="00A27F33"/>
    <w:rsid w:val="00A30063"/>
    <w:rsid w:val="00A301FE"/>
    <w:rsid w:val="00A310A7"/>
    <w:rsid w:val="00A310F0"/>
    <w:rsid w:val="00A31704"/>
    <w:rsid w:val="00A31718"/>
    <w:rsid w:val="00A32042"/>
    <w:rsid w:val="00A32173"/>
    <w:rsid w:val="00A323E3"/>
    <w:rsid w:val="00A324E2"/>
    <w:rsid w:val="00A32672"/>
    <w:rsid w:val="00A33AE0"/>
    <w:rsid w:val="00A33DD4"/>
    <w:rsid w:val="00A347FA"/>
    <w:rsid w:val="00A34D96"/>
    <w:rsid w:val="00A34F40"/>
    <w:rsid w:val="00A35202"/>
    <w:rsid w:val="00A35963"/>
    <w:rsid w:val="00A35FC0"/>
    <w:rsid w:val="00A36315"/>
    <w:rsid w:val="00A363B0"/>
    <w:rsid w:val="00A363C6"/>
    <w:rsid w:val="00A36572"/>
    <w:rsid w:val="00A365D9"/>
    <w:rsid w:val="00A36DC1"/>
    <w:rsid w:val="00A370C5"/>
    <w:rsid w:val="00A372E8"/>
    <w:rsid w:val="00A37539"/>
    <w:rsid w:val="00A37748"/>
    <w:rsid w:val="00A37CCD"/>
    <w:rsid w:val="00A40C4F"/>
    <w:rsid w:val="00A4143E"/>
    <w:rsid w:val="00A4187E"/>
    <w:rsid w:val="00A41A89"/>
    <w:rsid w:val="00A428D1"/>
    <w:rsid w:val="00A42956"/>
    <w:rsid w:val="00A42B48"/>
    <w:rsid w:val="00A42FEC"/>
    <w:rsid w:val="00A4368F"/>
    <w:rsid w:val="00A4391A"/>
    <w:rsid w:val="00A43CB7"/>
    <w:rsid w:val="00A43DCA"/>
    <w:rsid w:val="00A440BE"/>
    <w:rsid w:val="00A448E1"/>
    <w:rsid w:val="00A44E7B"/>
    <w:rsid w:val="00A452B3"/>
    <w:rsid w:val="00A45DD8"/>
    <w:rsid w:val="00A46223"/>
    <w:rsid w:val="00A463DF"/>
    <w:rsid w:val="00A4643E"/>
    <w:rsid w:val="00A46683"/>
    <w:rsid w:val="00A46CC6"/>
    <w:rsid w:val="00A46EC5"/>
    <w:rsid w:val="00A4721E"/>
    <w:rsid w:val="00A472A1"/>
    <w:rsid w:val="00A473F8"/>
    <w:rsid w:val="00A475F5"/>
    <w:rsid w:val="00A478E8"/>
    <w:rsid w:val="00A500C0"/>
    <w:rsid w:val="00A5076D"/>
    <w:rsid w:val="00A507C2"/>
    <w:rsid w:val="00A5082C"/>
    <w:rsid w:val="00A50B2D"/>
    <w:rsid w:val="00A50C94"/>
    <w:rsid w:val="00A5146B"/>
    <w:rsid w:val="00A514F4"/>
    <w:rsid w:val="00A518CF"/>
    <w:rsid w:val="00A51C1E"/>
    <w:rsid w:val="00A51CFB"/>
    <w:rsid w:val="00A51E3C"/>
    <w:rsid w:val="00A52155"/>
    <w:rsid w:val="00A52401"/>
    <w:rsid w:val="00A52A7B"/>
    <w:rsid w:val="00A52EB3"/>
    <w:rsid w:val="00A53012"/>
    <w:rsid w:val="00A530DF"/>
    <w:rsid w:val="00A5313B"/>
    <w:rsid w:val="00A533A3"/>
    <w:rsid w:val="00A5396B"/>
    <w:rsid w:val="00A53993"/>
    <w:rsid w:val="00A5411F"/>
    <w:rsid w:val="00A542A2"/>
    <w:rsid w:val="00A544FD"/>
    <w:rsid w:val="00A54663"/>
    <w:rsid w:val="00A54766"/>
    <w:rsid w:val="00A5492D"/>
    <w:rsid w:val="00A54C3A"/>
    <w:rsid w:val="00A55216"/>
    <w:rsid w:val="00A56210"/>
    <w:rsid w:val="00A56225"/>
    <w:rsid w:val="00A56688"/>
    <w:rsid w:val="00A56A22"/>
    <w:rsid w:val="00A56D88"/>
    <w:rsid w:val="00A572B4"/>
    <w:rsid w:val="00A57314"/>
    <w:rsid w:val="00A57411"/>
    <w:rsid w:val="00A57812"/>
    <w:rsid w:val="00A605E4"/>
    <w:rsid w:val="00A605F4"/>
    <w:rsid w:val="00A60B01"/>
    <w:rsid w:val="00A60E1A"/>
    <w:rsid w:val="00A618DC"/>
    <w:rsid w:val="00A61BEA"/>
    <w:rsid w:val="00A62637"/>
    <w:rsid w:val="00A627DA"/>
    <w:rsid w:val="00A62D46"/>
    <w:rsid w:val="00A63156"/>
    <w:rsid w:val="00A63178"/>
    <w:rsid w:val="00A63840"/>
    <w:rsid w:val="00A63B36"/>
    <w:rsid w:val="00A63E68"/>
    <w:rsid w:val="00A640F1"/>
    <w:rsid w:val="00A642DA"/>
    <w:rsid w:val="00A64748"/>
    <w:rsid w:val="00A647D5"/>
    <w:rsid w:val="00A65160"/>
    <w:rsid w:val="00A652C0"/>
    <w:rsid w:val="00A65490"/>
    <w:rsid w:val="00A65F2E"/>
    <w:rsid w:val="00A66857"/>
    <w:rsid w:val="00A66C5E"/>
    <w:rsid w:val="00A670E2"/>
    <w:rsid w:val="00A674A2"/>
    <w:rsid w:val="00A67838"/>
    <w:rsid w:val="00A678D2"/>
    <w:rsid w:val="00A67D31"/>
    <w:rsid w:val="00A70276"/>
    <w:rsid w:val="00A704A0"/>
    <w:rsid w:val="00A70860"/>
    <w:rsid w:val="00A70992"/>
    <w:rsid w:val="00A70CF3"/>
    <w:rsid w:val="00A70E0A"/>
    <w:rsid w:val="00A716C0"/>
    <w:rsid w:val="00A71736"/>
    <w:rsid w:val="00A718B6"/>
    <w:rsid w:val="00A7215C"/>
    <w:rsid w:val="00A72807"/>
    <w:rsid w:val="00A72B0D"/>
    <w:rsid w:val="00A730F7"/>
    <w:rsid w:val="00A731FC"/>
    <w:rsid w:val="00A740B8"/>
    <w:rsid w:val="00A74256"/>
    <w:rsid w:val="00A74974"/>
    <w:rsid w:val="00A74B2F"/>
    <w:rsid w:val="00A74FDF"/>
    <w:rsid w:val="00A75396"/>
    <w:rsid w:val="00A7539B"/>
    <w:rsid w:val="00A755C1"/>
    <w:rsid w:val="00A75DE8"/>
    <w:rsid w:val="00A75EF3"/>
    <w:rsid w:val="00A7629F"/>
    <w:rsid w:val="00A7646D"/>
    <w:rsid w:val="00A76851"/>
    <w:rsid w:val="00A76CDF"/>
    <w:rsid w:val="00A775E9"/>
    <w:rsid w:val="00A776BC"/>
    <w:rsid w:val="00A77A1E"/>
    <w:rsid w:val="00A77EB2"/>
    <w:rsid w:val="00A8031F"/>
    <w:rsid w:val="00A804DA"/>
    <w:rsid w:val="00A804FE"/>
    <w:rsid w:val="00A819C2"/>
    <w:rsid w:val="00A81CA0"/>
    <w:rsid w:val="00A81DF5"/>
    <w:rsid w:val="00A82404"/>
    <w:rsid w:val="00A827BB"/>
    <w:rsid w:val="00A829C4"/>
    <w:rsid w:val="00A8311A"/>
    <w:rsid w:val="00A832B0"/>
    <w:rsid w:val="00A8334E"/>
    <w:rsid w:val="00A8359A"/>
    <w:rsid w:val="00A83DAF"/>
    <w:rsid w:val="00A83E41"/>
    <w:rsid w:val="00A83EF4"/>
    <w:rsid w:val="00A8403D"/>
    <w:rsid w:val="00A84205"/>
    <w:rsid w:val="00A842C6"/>
    <w:rsid w:val="00A8436F"/>
    <w:rsid w:val="00A84FCC"/>
    <w:rsid w:val="00A85C13"/>
    <w:rsid w:val="00A85C63"/>
    <w:rsid w:val="00A85FD5"/>
    <w:rsid w:val="00A86221"/>
    <w:rsid w:val="00A864CE"/>
    <w:rsid w:val="00A8671C"/>
    <w:rsid w:val="00A86EC7"/>
    <w:rsid w:val="00A87003"/>
    <w:rsid w:val="00A87105"/>
    <w:rsid w:val="00A87EDA"/>
    <w:rsid w:val="00A90753"/>
    <w:rsid w:val="00A90A45"/>
    <w:rsid w:val="00A90F36"/>
    <w:rsid w:val="00A91507"/>
    <w:rsid w:val="00A91C99"/>
    <w:rsid w:val="00A921C8"/>
    <w:rsid w:val="00A92885"/>
    <w:rsid w:val="00A92AE2"/>
    <w:rsid w:val="00A92F66"/>
    <w:rsid w:val="00A932CE"/>
    <w:rsid w:val="00A937B9"/>
    <w:rsid w:val="00A93CFA"/>
    <w:rsid w:val="00A93FF2"/>
    <w:rsid w:val="00A9438C"/>
    <w:rsid w:val="00A94C6C"/>
    <w:rsid w:val="00A94DFB"/>
    <w:rsid w:val="00A94FF6"/>
    <w:rsid w:val="00A951DB"/>
    <w:rsid w:val="00A95B4D"/>
    <w:rsid w:val="00A96474"/>
    <w:rsid w:val="00A964ED"/>
    <w:rsid w:val="00A969D1"/>
    <w:rsid w:val="00A9729B"/>
    <w:rsid w:val="00A9792F"/>
    <w:rsid w:val="00A97AB6"/>
    <w:rsid w:val="00A97BE3"/>
    <w:rsid w:val="00A97F8E"/>
    <w:rsid w:val="00AA03BC"/>
    <w:rsid w:val="00AA0905"/>
    <w:rsid w:val="00AA28E8"/>
    <w:rsid w:val="00AA2958"/>
    <w:rsid w:val="00AA393E"/>
    <w:rsid w:val="00AA39B5"/>
    <w:rsid w:val="00AA430F"/>
    <w:rsid w:val="00AA4571"/>
    <w:rsid w:val="00AA462B"/>
    <w:rsid w:val="00AA4B8D"/>
    <w:rsid w:val="00AA4CBA"/>
    <w:rsid w:val="00AA4DD2"/>
    <w:rsid w:val="00AA5053"/>
    <w:rsid w:val="00AA506F"/>
    <w:rsid w:val="00AA6C60"/>
    <w:rsid w:val="00AA6EF2"/>
    <w:rsid w:val="00AA6F15"/>
    <w:rsid w:val="00AA78B9"/>
    <w:rsid w:val="00AA7A07"/>
    <w:rsid w:val="00AA7C6D"/>
    <w:rsid w:val="00AB0583"/>
    <w:rsid w:val="00AB0E2B"/>
    <w:rsid w:val="00AB0EA3"/>
    <w:rsid w:val="00AB104A"/>
    <w:rsid w:val="00AB18D9"/>
    <w:rsid w:val="00AB1BA8"/>
    <w:rsid w:val="00AB1C6B"/>
    <w:rsid w:val="00AB1E50"/>
    <w:rsid w:val="00AB20DE"/>
    <w:rsid w:val="00AB2666"/>
    <w:rsid w:val="00AB2D5F"/>
    <w:rsid w:val="00AB316A"/>
    <w:rsid w:val="00AB31E8"/>
    <w:rsid w:val="00AB344F"/>
    <w:rsid w:val="00AB3527"/>
    <w:rsid w:val="00AB35AB"/>
    <w:rsid w:val="00AB38F0"/>
    <w:rsid w:val="00AB38FB"/>
    <w:rsid w:val="00AB3966"/>
    <w:rsid w:val="00AB3C22"/>
    <w:rsid w:val="00AB3DA2"/>
    <w:rsid w:val="00AB3F3B"/>
    <w:rsid w:val="00AB41EC"/>
    <w:rsid w:val="00AB4A4B"/>
    <w:rsid w:val="00AB4B55"/>
    <w:rsid w:val="00AB50CF"/>
    <w:rsid w:val="00AB5193"/>
    <w:rsid w:val="00AB5FB8"/>
    <w:rsid w:val="00AB60E5"/>
    <w:rsid w:val="00AB617F"/>
    <w:rsid w:val="00AB64FC"/>
    <w:rsid w:val="00AB6592"/>
    <w:rsid w:val="00AB67CA"/>
    <w:rsid w:val="00AB6918"/>
    <w:rsid w:val="00AB6D92"/>
    <w:rsid w:val="00AB75CA"/>
    <w:rsid w:val="00AB767F"/>
    <w:rsid w:val="00AB76CC"/>
    <w:rsid w:val="00AB79A2"/>
    <w:rsid w:val="00AC02EA"/>
    <w:rsid w:val="00AC047B"/>
    <w:rsid w:val="00AC09F0"/>
    <w:rsid w:val="00AC0EAB"/>
    <w:rsid w:val="00AC1616"/>
    <w:rsid w:val="00AC19B3"/>
    <w:rsid w:val="00AC26A6"/>
    <w:rsid w:val="00AC2AD6"/>
    <w:rsid w:val="00AC2E0A"/>
    <w:rsid w:val="00AC2F3B"/>
    <w:rsid w:val="00AC3241"/>
    <w:rsid w:val="00AC36C4"/>
    <w:rsid w:val="00AC38C1"/>
    <w:rsid w:val="00AC461C"/>
    <w:rsid w:val="00AC49E3"/>
    <w:rsid w:val="00AC4B2A"/>
    <w:rsid w:val="00AC50B4"/>
    <w:rsid w:val="00AC512C"/>
    <w:rsid w:val="00AC5D6C"/>
    <w:rsid w:val="00AC5F66"/>
    <w:rsid w:val="00AC62C4"/>
    <w:rsid w:val="00AC72AF"/>
    <w:rsid w:val="00AC7550"/>
    <w:rsid w:val="00AC78BB"/>
    <w:rsid w:val="00AC7C30"/>
    <w:rsid w:val="00AD0501"/>
    <w:rsid w:val="00AD0BC2"/>
    <w:rsid w:val="00AD0CDE"/>
    <w:rsid w:val="00AD0CED"/>
    <w:rsid w:val="00AD0DD4"/>
    <w:rsid w:val="00AD1595"/>
    <w:rsid w:val="00AD1CF7"/>
    <w:rsid w:val="00AD2D11"/>
    <w:rsid w:val="00AD2FB7"/>
    <w:rsid w:val="00AD2FED"/>
    <w:rsid w:val="00AD380A"/>
    <w:rsid w:val="00AD3D7E"/>
    <w:rsid w:val="00AD3FA2"/>
    <w:rsid w:val="00AD4780"/>
    <w:rsid w:val="00AD4877"/>
    <w:rsid w:val="00AD4C81"/>
    <w:rsid w:val="00AD5190"/>
    <w:rsid w:val="00AD52E7"/>
    <w:rsid w:val="00AD5439"/>
    <w:rsid w:val="00AD54A1"/>
    <w:rsid w:val="00AD55D2"/>
    <w:rsid w:val="00AD5959"/>
    <w:rsid w:val="00AD5AD9"/>
    <w:rsid w:val="00AD5BE4"/>
    <w:rsid w:val="00AD6001"/>
    <w:rsid w:val="00AD6D50"/>
    <w:rsid w:val="00AD6E06"/>
    <w:rsid w:val="00AD6F71"/>
    <w:rsid w:val="00AD72E8"/>
    <w:rsid w:val="00AD747B"/>
    <w:rsid w:val="00AD74F4"/>
    <w:rsid w:val="00AD7549"/>
    <w:rsid w:val="00AD7703"/>
    <w:rsid w:val="00AD773F"/>
    <w:rsid w:val="00AD7762"/>
    <w:rsid w:val="00AD7961"/>
    <w:rsid w:val="00AD7A24"/>
    <w:rsid w:val="00AE0691"/>
    <w:rsid w:val="00AE0C5B"/>
    <w:rsid w:val="00AE11E0"/>
    <w:rsid w:val="00AE1991"/>
    <w:rsid w:val="00AE1F71"/>
    <w:rsid w:val="00AE20D3"/>
    <w:rsid w:val="00AE22FF"/>
    <w:rsid w:val="00AE2B41"/>
    <w:rsid w:val="00AE2F26"/>
    <w:rsid w:val="00AE309A"/>
    <w:rsid w:val="00AE334F"/>
    <w:rsid w:val="00AE354E"/>
    <w:rsid w:val="00AE3745"/>
    <w:rsid w:val="00AE3859"/>
    <w:rsid w:val="00AE3C29"/>
    <w:rsid w:val="00AE4122"/>
    <w:rsid w:val="00AE43E5"/>
    <w:rsid w:val="00AE45E3"/>
    <w:rsid w:val="00AE4970"/>
    <w:rsid w:val="00AE4C0A"/>
    <w:rsid w:val="00AE55D2"/>
    <w:rsid w:val="00AE59C8"/>
    <w:rsid w:val="00AE5A70"/>
    <w:rsid w:val="00AE5B12"/>
    <w:rsid w:val="00AE5B4E"/>
    <w:rsid w:val="00AE5FB4"/>
    <w:rsid w:val="00AE608B"/>
    <w:rsid w:val="00AE6152"/>
    <w:rsid w:val="00AE651F"/>
    <w:rsid w:val="00AE653F"/>
    <w:rsid w:val="00AE6543"/>
    <w:rsid w:val="00AE72CF"/>
    <w:rsid w:val="00AE73F4"/>
    <w:rsid w:val="00AE7419"/>
    <w:rsid w:val="00AE7704"/>
    <w:rsid w:val="00AE78F4"/>
    <w:rsid w:val="00AE7957"/>
    <w:rsid w:val="00AE7C3A"/>
    <w:rsid w:val="00AE7E12"/>
    <w:rsid w:val="00AE7E1F"/>
    <w:rsid w:val="00AE7EC5"/>
    <w:rsid w:val="00AF0172"/>
    <w:rsid w:val="00AF038D"/>
    <w:rsid w:val="00AF0A5A"/>
    <w:rsid w:val="00AF0B5C"/>
    <w:rsid w:val="00AF101F"/>
    <w:rsid w:val="00AF15D2"/>
    <w:rsid w:val="00AF19B7"/>
    <w:rsid w:val="00AF1D19"/>
    <w:rsid w:val="00AF1E0B"/>
    <w:rsid w:val="00AF24A3"/>
    <w:rsid w:val="00AF33E2"/>
    <w:rsid w:val="00AF3413"/>
    <w:rsid w:val="00AF3475"/>
    <w:rsid w:val="00AF3628"/>
    <w:rsid w:val="00AF3E3A"/>
    <w:rsid w:val="00AF4084"/>
    <w:rsid w:val="00AF48D7"/>
    <w:rsid w:val="00AF48F5"/>
    <w:rsid w:val="00AF4C4E"/>
    <w:rsid w:val="00AF55BC"/>
    <w:rsid w:val="00AF57FF"/>
    <w:rsid w:val="00AF7193"/>
    <w:rsid w:val="00AF7497"/>
    <w:rsid w:val="00AF7DED"/>
    <w:rsid w:val="00AF7FC9"/>
    <w:rsid w:val="00B000CD"/>
    <w:rsid w:val="00B001D9"/>
    <w:rsid w:val="00B007E9"/>
    <w:rsid w:val="00B00998"/>
    <w:rsid w:val="00B01707"/>
    <w:rsid w:val="00B01C0A"/>
    <w:rsid w:val="00B01FB2"/>
    <w:rsid w:val="00B027F0"/>
    <w:rsid w:val="00B02A99"/>
    <w:rsid w:val="00B02B00"/>
    <w:rsid w:val="00B02E36"/>
    <w:rsid w:val="00B03079"/>
    <w:rsid w:val="00B031BB"/>
    <w:rsid w:val="00B031E9"/>
    <w:rsid w:val="00B032B7"/>
    <w:rsid w:val="00B03A76"/>
    <w:rsid w:val="00B03B24"/>
    <w:rsid w:val="00B04570"/>
    <w:rsid w:val="00B0461A"/>
    <w:rsid w:val="00B05EDF"/>
    <w:rsid w:val="00B06B38"/>
    <w:rsid w:val="00B06BD5"/>
    <w:rsid w:val="00B06F6A"/>
    <w:rsid w:val="00B10500"/>
    <w:rsid w:val="00B106D9"/>
    <w:rsid w:val="00B10ED8"/>
    <w:rsid w:val="00B11651"/>
    <w:rsid w:val="00B11933"/>
    <w:rsid w:val="00B11C22"/>
    <w:rsid w:val="00B11E54"/>
    <w:rsid w:val="00B11E9F"/>
    <w:rsid w:val="00B12933"/>
    <w:rsid w:val="00B12D84"/>
    <w:rsid w:val="00B12FF7"/>
    <w:rsid w:val="00B12FFA"/>
    <w:rsid w:val="00B13EB6"/>
    <w:rsid w:val="00B13F3D"/>
    <w:rsid w:val="00B149F3"/>
    <w:rsid w:val="00B149F8"/>
    <w:rsid w:val="00B15289"/>
    <w:rsid w:val="00B1549B"/>
    <w:rsid w:val="00B1577B"/>
    <w:rsid w:val="00B15D39"/>
    <w:rsid w:val="00B15D73"/>
    <w:rsid w:val="00B160EA"/>
    <w:rsid w:val="00B162C1"/>
    <w:rsid w:val="00B16CB7"/>
    <w:rsid w:val="00B1710C"/>
    <w:rsid w:val="00B171A6"/>
    <w:rsid w:val="00B17382"/>
    <w:rsid w:val="00B17CBD"/>
    <w:rsid w:val="00B17DC6"/>
    <w:rsid w:val="00B17E12"/>
    <w:rsid w:val="00B20790"/>
    <w:rsid w:val="00B208D8"/>
    <w:rsid w:val="00B20B9F"/>
    <w:rsid w:val="00B20D78"/>
    <w:rsid w:val="00B20F2E"/>
    <w:rsid w:val="00B2136D"/>
    <w:rsid w:val="00B2194D"/>
    <w:rsid w:val="00B21DF9"/>
    <w:rsid w:val="00B21F02"/>
    <w:rsid w:val="00B2283A"/>
    <w:rsid w:val="00B229CC"/>
    <w:rsid w:val="00B234C4"/>
    <w:rsid w:val="00B23540"/>
    <w:rsid w:val="00B237EE"/>
    <w:rsid w:val="00B23BE8"/>
    <w:rsid w:val="00B24559"/>
    <w:rsid w:val="00B24A16"/>
    <w:rsid w:val="00B24C6D"/>
    <w:rsid w:val="00B24DD8"/>
    <w:rsid w:val="00B25416"/>
    <w:rsid w:val="00B2551A"/>
    <w:rsid w:val="00B25B2B"/>
    <w:rsid w:val="00B25B4F"/>
    <w:rsid w:val="00B260AE"/>
    <w:rsid w:val="00B27030"/>
    <w:rsid w:val="00B27A68"/>
    <w:rsid w:val="00B3078E"/>
    <w:rsid w:val="00B30AAD"/>
    <w:rsid w:val="00B310D4"/>
    <w:rsid w:val="00B31276"/>
    <w:rsid w:val="00B31885"/>
    <w:rsid w:val="00B323F7"/>
    <w:rsid w:val="00B326AD"/>
    <w:rsid w:val="00B32D6B"/>
    <w:rsid w:val="00B33273"/>
    <w:rsid w:val="00B33700"/>
    <w:rsid w:val="00B33C88"/>
    <w:rsid w:val="00B33EC4"/>
    <w:rsid w:val="00B34444"/>
    <w:rsid w:val="00B34AAC"/>
    <w:rsid w:val="00B34E13"/>
    <w:rsid w:val="00B3506C"/>
    <w:rsid w:val="00B35588"/>
    <w:rsid w:val="00B363D8"/>
    <w:rsid w:val="00B365E4"/>
    <w:rsid w:val="00B36A7B"/>
    <w:rsid w:val="00B36B86"/>
    <w:rsid w:val="00B370E8"/>
    <w:rsid w:val="00B37904"/>
    <w:rsid w:val="00B37BCF"/>
    <w:rsid w:val="00B37C34"/>
    <w:rsid w:val="00B40204"/>
    <w:rsid w:val="00B4064E"/>
    <w:rsid w:val="00B407CD"/>
    <w:rsid w:val="00B40A36"/>
    <w:rsid w:val="00B40AA4"/>
    <w:rsid w:val="00B40EEA"/>
    <w:rsid w:val="00B41347"/>
    <w:rsid w:val="00B41475"/>
    <w:rsid w:val="00B42036"/>
    <w:rsid w:val="00B424D3"/>
    <w:rsid w:val="00B429A3"/>
    <w:rsid w:val="00B42DB1"/>
    <w:rsid w:val="00B430E0"/>
    <w:rsid w:val="00B442B0"/>
    <w:rsid w:val="00B443D0"/>
    <w:rsid w:val="00B4465B"/>
    <w:rsid w:val="00B4467D"/>
    <w:rsid w:val="00B446BD"/>
    <w:rsid w:val="00B449AD"/>
    <w:rsid w:val="00B44B36"/>
    <w:rsid w:val="00B451D3"/>
    <w:rsid w:val="00B453A2"/>
    <w:rsid w:val="00B456A3"/>
    <w:rsid w:val="00B45A54"/>
    <w:rsid w:val="00B45BF6"/>
    <w:rsid w:val="00B45F03"/>
    <w:rsid w:val="00B46086"/>
    <w:rsid w:val="00B460DF"/>
    <w:rsid w:val="00B4650A"/>
    <w:rsid w:val="00B46523"/>
    <w:rsid w:val="00B46759"/>
    <w:rsid w:val="00B467D1"/>
    <w:rsid w:val="00B468B0"/>
    <w:rsid w:val="00B46D2C"/>
    <w:rsid w:val="00B47395"/>
    <w:rsid w:val="00B47B98"/>
    <w:rsid w:val="00B47E13"/>
    <w:rsid w:val="00B500D0"/>
    <w:rsid w:val="00B5019A"/>
    <w:rsid w:val="00B5052D"/>
    <w:rsid w:val="00B5073C"/>
    <w:rsid w:val="00B5080B"/>
    <w:rsid w:val="00B51022"/>
    <w:rsid w:val="00B51129"/>
    <w:rsid w:val="00B51840"/>
    <w:rsid w:val="00B51AF0"/>
    <w:rsid w:val="00B51D59"/>
    <w:rsid w:val="00B51E29"/>
    <w:rsid w:val="00B52294"/>
    <w:rsid w:val="00B52D5C"/>
    <w:rsid w:val="00B52FE9"/>
    <w:rsid w:val="00B5344E"/>
    <w:rsid w:val="00B5358E"/>
    <w:rsid w:val="00B536B7"/>
    <w:rsid w:val="00B53730"/>
    <w:rsid w:val="00B53AE5"/>
    <w:rsid w:val="00B53B21"/>
    <w:rsid w:val="00B53BB2"/>
    <w:rsid w:val="00B53BE3"/>
    <w:rsid w:val="00B53D89"/>
    <w:rsid w:val="00B545A2"/>
    <w:rsid w:val="00B54EF7"/>
    <w:rsid w:val="00B55069"/>
    <w:rsid w:val="00B5556F"/>
    <w:rsid w:val="00B5562C"/>
    <w:rsid w:val="00B5584A"/>
    <w:rsid w:val="00B55CCC"/>
    <w:rsid w:val="00B56C44"/>
    <w:rsid w:val="00B571EB"/>
    <w:rsid w:val="00B57277"/>
    <w:rsid w:val="00B579BD"/>
    <w:rsid w:val="00B57E19"/>
    <w:rsid w:val="00B57F51"/>
    <w:rsid w:val="00B6000E"/>
    <w:rsid w:val="00B6031F"/>
    <w:rsid w:val="00B60863"/>
    <w:rsid w:val="00B6151A"/>
    <w:rsid w:val="00B6186E"/>
    <w:rsid w:val="00B6307B"/>
    <w:rsid w:val="00B63639"/>
    <w:rsid w:val="00B63DE3"/>
    <w:rsid w:val="00B640E4"/>
    <w:rsid w:val="00B647F5"/>
    <w:rsid w:val="00B649C8"/>
    <w:rsid w:val="00B64AAD"/>
    <w:rsid w:val="00B64BFA"/>
    <w:rsid w:val="00B64CAA"/>
    <w:rsid w:val="00B6506E"/>
    <w:rsid w:val="00B65764"/>
    <w:rsid w:val="00B65A6B"/>
    <w:rsid w:val="00B65D9E"/>
    <w:rsid w:val="00B65DDD"/>
    <w:rsid w:val="00B660C9"/>
    <w:rsid w:val="00B66396"/>
    <w:rsid w:val="00B66B90"/>
    <w:rsid w:val="00B67183"/>
    <w:rsid w:val="00B6764C"/>
    <w:rsid w:val="00B6791D"/>
    <w:rsid w:val="00B67A67"/>
    <w:rsid w:val="00B7047D"/>
    <w:rsid w:val="00B706C8"/>
    <w:rsid w:val="00B70886"/>
    <w:rsid w:val="00B7091D"/>
    <w:rsid w:val="00B70B1A"/>
    <w:rsid w:val="00B71112"/>
    <w:rsid w:val="00B7210F"/>
    <w:rsid w:val="00B72520"/>
    <w:rsid w:val="00B72ABA"/>
    <w:rsid w:val="00B72EA7"/>
    <w:rsid w:val="00B72FAF"/>
    <w:rsid w:val="00B73974"/>
    <w:rsid w:val="00B74987"/>
    <w:rsid w:val="00B74DD4"/>
    <w:rsid w:val="00B753E0"/>
    <w:rsid w:val="00B75A5D"/>
    <w:rsid w:val="00B75FB9"/>
    <w:rsid w:val="00B7613C"/>
    <w:rsid w:val="00B766B9"/>
    <w:rsid w:val="00B768DA"/>
    <w:rsid w:val="00B772C4"/>
    <w:rsid w:val="00B7764E"/>
    <w:rsid w:val="00B77CBB"/>
    <w:rsid w:val="00B77F2F"/>
    <w:rsid w:val="00B8091A"/>
    <w:rsid w:val="00B80AA5"/>
    <w:rsid w:val="00B80E1F"/>
    <w:rsid w:val="00B81937"/>
    <w:rsid w:val="00B81B65"/>
    <w:rsid w:val="00B81C67"/>
    <w:rsid w:val="00B81ED1"/>
    <w:rsid w:val="00B81FA8"/>
    <w:rsid w:val="00B81FD5"/>
    <w:rsid w:val="00B82086"/>
    <w:rsid w:val="00B82350"/>
    <w:rsid w:val="00B82D50"/>
    <w:rsid w:val="00B83369"/>
    <w:rsid w:val="00B834D5"/>
    <w:rsid w:val="00B83AAC"/>
    <w:rsid w:val="00B8412B"/>
    <w:rsid w:val="00B8421F"/>
    <w:rsid w:val="00B845F5"/>
    <w:rsid w:val="00B8519A"/>
    <w:rsid w:val="00B85354"/>
    <w:rsid w:val="00B85359"/>
    <w:rsid w:val="00B860FF"/>
    <w:rsid w:val="00B86547"/>
    <w:rsid w:val="00B867CF"/>
    <w:rsid w:val="00B86885"/>
    <w:rsid w:val="00B86B07"/>
    <w:rsid w:val="00B86E63"/>
    <w:rsid w:val="00B8717B"/>
    <w:rsid w:val="00B87A2B"/>
    <w:rsid w:val="00B87E38"/>
    <w:rsid w:val="00B90393"/>
    <w:rsid w:val="00B9119C"/>
    <w:rsid w:val="00B912B8"/>
    <w:rsid w:val="00B919E5"/>
    <w:rsid w:val="00B91D51"/>
    <w:rsid w:val="00B91E3E"/>
    <w:rsid w:val="00B9252F"/>
    <w:rsid w:val="00B9256A"/>
    <w:rsid w:val="00B93ABA"/>
    <w:rsid w:val="00B93B03"/>
    <w:rsid w:val="00B93B9D"/>
    <w:rsid w:val="00B93C54"/>
    <w:rsid w:val="00B94015"/>
    <w:rsid w:val="00B941CB"/>
    <w:rsid w:val="00B9434F"/>
    <w:rsid w:val="00B94389"/>
    <w:rsid w:val="00B948D2"/>
    <w:rsid w:val="00B94B78"/>
    <w:rsid w:val="00B94F23"/>
    <w:rsid w:val="00B956E2"/>
    <w:rsid w:val="00B95C93"/>
    <w:rsid w:val="00B95CFE"/>
    <w:rsid w:val="00B95EB9"/>
    <w:rsid w:val="00B95F13"/>
    <w:rsid w:val="00B95F88"/>
    <w:rsid w:val="00B96732"/>
    <w:rsid w:val="00B9695D"/>
    <w:rsid w:val="00B96C41"/>
    <w:rsid w:val="00B9712D"/>
    <w:rsid w:val="00B9797F"/>
    <w:rsid w:val="00B97D07"/>
    <w:rsid w:val="00B97D9A"/>
    <w:rsid w:val="00BA08C9"/>
    <w:rsid w:val="00BA0BFB"/>
    <w:rsid w:val="00BA11F2"/>
    <w:rsid w:val="00BA12E8"/>
    <w:rsid w:val="00BA152B"/>
    <w:rsid w:val="00BA1678"/>
    <w:rsid w:val="00BA1EF2"/>
    <w:rsid w:val="00BA23E1"/>
    <w:rsid w:val="00BA246A"/>
    <w:rsid w:val="00BA340C"/>
    <w:rsid w:val="00BA376F"/>
    <w:rsid w:val="00BA3ABD"/>
    <w:rsid w:val="00BA3B80"/>
    <w:rsid w:val="00BA3FAA"/>
    <w:rsid w:val="00BA423C"/>
    <w:rsid w:val="00BA45C7"/>
    <w:rsid w:val="00BA45EB"/>
    <w:rsid w:val="00BA46A9"/>
    <w:rsid w:val="00BA48C5"/>
    <w:rsid w:val="00BA4E06"/>
    <w:rsid w:val="00BA50EA"/>
    <w:rsid w:val="00BA52BC"/>
    <w:rsid w:val="00BA539D"/>
    <w:rsid w:val="00BA53F3"/>
    <w:rsid w:val="00BA54CB"/>
    <w:rsid w:val="00BA5A1C"/>
    <w:rsid w:val="00BA5B9E"/>
    <w:rsid w:val="00BA60D1"/>
    <w:rsid w:val="00BA6308"/>
    <w:rsid w:val="00BA651B"/>
    <w:rsid w:val="00BA667B"/>
    <w:rsid w:val="00BA72BC"/>
    <w:rsid w:val="00BA7B99"/>
    <w:rsid w:val="00BA7CC6"/>
    <w:rsid w:val="00BB0029"/>
    <w:rsid w:val="00BB09AA"/>
    <w:rsid w:val="00BB0A68"/>
    <w:rsid w:val="00BB0C4F"/>
    <w:rsid w:val="00BB0FEB"/>
    <w:rsid w:val="00BB1209"/>
    <w:rsid w:val="00BB1301"/>
    <w:rsid w:val="00BB1479"/>
    <w:rsid w:val="00BB15C1"/>
    <w:rsid w:val="00BB192A"/>
    <w:rsid w:val="00BB1CC8"/>
    <w:rsid w:val="00BB2616"/>
    <w:rsid w:val="00BB2CE9"/>
    <w:rsid w:val="00BB2D45"/>
    <w:rsid w:val="00BB2F6A"/>
    <w:rsid w:val="00BB305D"/>
    <w:rsid w:val="00BB3961"/>
    <w:rsid w:val="00BB3E97"/>
    <w:rsid w:val="00BB4DC4"/>
    <w:rsid w:val="00BB4E3E"/>
    <w:rsid w:val="00BB4FFA"/>
    <w:rsid w:val="00BB53D9"/>
    <w:rsid w:val="00BB55F2"/>
    <w:rsid w:val="00BB5C0B"/>
    <w:rsid w:val="00BB6B84"/>
    <w:rsid w:val="00BB6D1A"/>
    <w:rsid w:val="00BB6EF9"/>
    <w:rsid w:val="00BB766E"/>
    <w:rsid w:val="00BB773C"/>
    <w:rsid w:val="00BB77E8"/>
    <w:rsid w:val="00BB79C6"/>
    <w:rsid w:val="00BB7DCA"/>
    <w:rsid w:val="00BC0043"/>
    <w:rsid w:val="00BC1283"/>
    <w:rsid w:val="00BC1894"/>
    <w:rsid w:val="00BC1943"/>
    <w:rsid w:val="00BC1A15"/>
    <w:rsid w:val="00BC1B6D"/>
    <w:rsid w:val="00BC1F06"/>
    <w:rsid w:val="00BC1FF8"/>
    <w:rsid w:val="00BC2405"/>
    <w:rsid w:val="00BC2868"/>
    <w:rsid w:val="00BC2D22"/>
    <w:rsid w:val="00BC2FD9"/>
    <w:rsid w:val="00BC310E"/>
    <w:rsid w:val="00BC3327"/>
    <w:rsid w:val="00BC41F2"/>
    <w:rsid w:val="00BC450E"/>
    <w:rsid w:val="00BC47A6"/>
    <w:rsid w:val="00BC4AE8"/>
    <w:rsid w:val="00BC4B41"/>
    <w:rsid w:val="00BC4C8D"/>
    <w:rsid w:val="00BC55E5"/>
    <w:rsid w:val="00BC58B6"/>
    <w:rsid w:val="00BC59B9"/>
    <w:rsid w:val="00BC5ABE"/>
    <w:rsid w:val="00BC5C7E"/>
    <w:rsid w:val="00BC5E3E"/>
    <w:rsid w:val="00BC64A5"/>
    <w:rsid w:val="00BC6640"/>
    <w:rsid w:val="00BC68FB"/>
    <w:rsid w:val="00BC76D7"/>
    <w:rsid w:val="00BC7923"/>
    <w:rsid w:val="00BD08E5"/>
    <w:rsid w:val="00BD11FA"/>
    <w:rsid w:val="00BD1380"/>
    <w:rsid w:val="00BD14F5"/>
    <w:rsid w:val="00BD1DFE"/>
    <w:rsid w:val="00BD257E"/>
    <w:rsid w:val="00BD2833"/>
    <w:rsid w:val="00BD295A"/>
    <w:rsid w:val="00BD2BE6"/>
    <w:rsid w:val="00BD2E27"/>
    <w:rsid w:val="00BD2FC5"/>
    <w:rsid w:val="00BD3483"/>
    <w:rsid w:val="00BD3BCF"/>
    <w:rsid w:val="00BD3D97"/>
    <w:rsid w:val="00BD4341"/>
    <w:rsid w:val="00BD43F5"/>
    <w:rsid w:val="00BD46CF"/>
    <w:rsid w:val="00BD4924"/>
    <w:rsid w:val="00BD52EE"/>
    <w:rsid w:val="00BD536A"/>
    <w:rsid w:val="00BD5701"/>
    <w:rsid w:val="00BD63DE"/>
    <w:rsid w:val="00BD65DA"/>
    <w:rsid w:val="00BD6C2F"/>
    <w:rsid w:val="00BD6C8C"/>
    <w:rsid w:val="00BD6D77"/>
    <w:rsid w:val="00BD6E45"/>
    <w:rsid w:val="00BD70DE"/>
    <w:rsid w:val="00BD7F86"/>
    <w:rsid w:val="00BE0465"/>
    <w:rsid w:val="00BE05DD"/>
    <w:rsid w:val="00BE1007"/>
    <w:rsid w:val="00BE1482"/>
    <w:rsid w:val="00BE154C"/>
    <w:rsid w:val="00BE2C46"/>
    <w:rsid w:val="00BE3BFC"/>
    <w:rsid w:val="00BE40AB"/>
    <w:rsid w:val="00BE4809"/>
    <w:rsid w:val="00BE48B9"/>
    <w:rsid w:val="00BE4BE9"/>
    <w:rsid w:val="00BE5148"/>
    <w:rsid w:val="00BE5E67"/>
    <w:rsid w:val="00BE6061"/>
    <w:rsid w:val="00BE6B3B"/>
    <w:rsid w:val="00BE787D"/>
    <w:rsid w:val="00BE7935"/>
    <w:rsid w:val="00BE7B50"/>
    <w:rsid w:val="00BE7C72"/>
    <w:rsid w:val="00BE7E7F"/>
    <w:rsid w:val="00BF1AF4"/>
    <w:rsid w:val="00BF1BBA"/>
    <w:rsid w:val="00BF21CA"/>
    <w:rsid w:val="00BF224A"/>
    <w:rsid w:val="00BF2262"/>
    <w:rsid w:val="00BF34C0"/>
    <w:rsid w:val="00BF4ADF"/>
    <w:rsid w:val="00BF4F7A"/>
    <w:rsid w:val="00BF4FF6"/>
    <w:rsid w:val="00BF5315"/>
    <w:rsid w:val="00BF5BD4"/>
    <w:rsid w:val="00BF5BFC"/>
    <w:rsid w:val="00BF607A"/>
    <w:rsid w:val="00BF607D"/>
    <w:rsid w:val="00BF6142"/>
    <w:rsid w:val="00BF6148"/>
    <w:rsid w:val="00BF64D4"/>
    <w:rsid w:val="00BF667B"/>
    <w:rsid w:val="00BF677F"/>
    <w:rsid w:val="00BF6F55"/>
    <w:rsid w:val="00BF7429"/>
    <w:rsid w:val="00BF752F"/>
    <w:rsid w:val="00C000D4"/>
    <w:rsid w:val="00C00220"/>
    <w:rsid w:val="00C00AB9"/>
    <w:rsid w:val="00C00BFB"/>
    <w:rsid w:val="00C01486"/>
    <w:rsid w:val="00C01BF1"/>
    <w:rsid w:val="00C01E4A"/>
    <w:rsid w:val="00C021B0"/>
    <w:rsid w:val="00C02301"/>
    <w:rsid w:val="00C02A89"/>
    <w:rsid w:val="00C035BF"/>
    <w:rsid w:val="00C041B8"/>
    <w:rsid w:val="00C0425B"/>
    <w:rsid w:val="00C04261"/>
    <w:rsid w:val="00C04319"/>
    <w:rsid w:val="00C05066"/>
    <w:rsid w:val="00C05258"/>
    <w:rsid w:val="00C05369"/>
    <w:rsid w:val="00C057C4"/>
    <w:rsid w:val="00C059FB"/>
    <w:rsid w:val="00C05ED2"/>
    <w:rsid w:val="00C060DA"/>
    <w:rsid w:val="00C06860"/>
    <w:rsid w:val="00C068B2"/>
    <w:rsid w:val="00C06939"/>
    <w:rsid w:val="00C06B8B"/>
    <w:rsid w:val="00C06FEC"/>
    <w:rsid w:val="00C07206"/>
    <w:rsid w:val="00C07566"/>
    <w:rsid w:val="00C07717"/>
    <w:rsid w:val="00C077C5"/>
    <w:rsid w:val="00C07A94"/>
    <w:rsid w:val="00C07E4C"/>
    <w:rsid w:val="00C07EDF"/>
    <w:rsid w:val="00C1023F"/>
    <w:rsid w:val="00C1042E"/>
    <w:rsid w:val="00C106CC"/>
    <w:rsid w:val="00C1166A"/>
    <w:rsid w:val="00C118D7"/>
    <w:rsid w:val="00C11BBC"/>
    <w:rsid w:val="00C124F7"/>
    <w:rsid w:val="00C127CC"/>
    <w:rsid w:val="00C12C6C"/>
    <w:rsid w:val="00C12E79"/>
    <w:rsid w:val="00C1329F"/>
    <w:rsid w:val="00C132AB"/>
    <w:rsid w:val="00C136DE"/>
    <w:rsid w:val="00C13A3C"/>
    <w:rsid w:val="00C13E58"/>
    <w:rsid w:val="00C13E68"/>
    <w:rsid w:val="00C1411E"/>
    <w:rsid w:val="00C14207"/>
    <w:rsid w:val="00C143AC"/>
    <w:rsid w:val="00C143E2"/>
    <w:rsid w:val="00C14479"/>
    <w:rsid w:val="00C146F0"/>
    <w:rsid w:val="00C1535E"/>
    <w:rsid w:val="00C15ABB"/>
    <w:rsid w:val="00C15FC0"/>
    <w:rsid w:val="00C161FD"/>
    <w:rsid w:val="00C162A0"/>
    <w:rsid w:val="00C16720"/>
    <w:rsid w:val="00C16ADD"/>
    <w:rsid w:val="00C16BF0"/>
    <w:rsid w:val="00C16E79"/>
    <w:rsid w:val="00C171BA"/>
    <w:rsid w:val="00C1796F"/>
    <w:rsid w:val="00C17C56"/>
    <w:rsid w:val="00C20253"/>
    <w:rsid w:val="00C2034B"/>
    <w:rsid w:val="00C20371"/>
    <w:rsid w:val="00C2045D"/>
    <w:rsid w:val="00C20732"/>
    <w:rsid w:val="00C20CD9"/>
    <w:rsid w:val="00C210FA"/>
    <w:rsid w:val="00C21550"/>
    <w:rsid w:val="00C21789"/>
    <w:rsid w:val="00C217B8"/>
    <w:rsid w:val="00C218E4"/>
    <w:rsid w:val="00C21E95"/>
    <w:rsid w:val="00C227EE"/>
    <w:rsid w:val="00C2311E"/>
    <w:rsid w:val="00C235AD"/>
    <w:rsid w:val="00C238C3"/>
    <w:rsid w:val="00C23ABF"/>
    <w:rsid w:val="00C23B71"/>
    <w:rsid w:val="00C24063"/>
    <w:rsid w:val="00C24B39"/>
    <w:rsid w:val="00C24D90"/>
    <w:rsid w:val="00C24FBC"/>
    <w:rsid w:val="00C25260"/>
    <w:rsid w:val="00C253E6"/>
    <w:rsid w:val="00C25475"/>
    <w:rsid w:val="00C2586D"/>
    <w:rsid w:val="00C26980"/>
    <w:rsid w:val="00C26FB5"/>
    <w:rsid w:val="00C278D0"/>
    <w:rsid w:val="00C2799E"/>
    <w:rsid w:val="00C27F01"/>
    <w:rsid w:val="00C30604"/>
    <w:rsid w:val="00C3067B"/>
    <w:rsid w:val="00C3081C"/>
    <w:rsid w:val="00C3092B"/>
    <w:rsid w:val="00C30993"/>
    <w:rsid w:val="00C30C3F"/>
    <w:rsid w:val="00C30D15"/>
    <w:rsid w:val="00C30D36"/>
    <w:rsid w:val="00C30E7D"/>
    <w:rsid w:val="00C310A7"/>
    <w:rsid w:val="00C312FB"/>
    <w:rsid w:val="00C3153E"/>
    <w:rsid w:val="00C315CA"/>
    <w:rsid w:val="00C3185F"/>
    <w:rsid w:val="00C3186B"/>
    <w:rsid w:val="00C31B83"/>
    <w:rsid w:val="00C31D37"/>
    <w:rsid w:val="00C3206C"/>
    <w:rsid w:val="00C32224"/>
    <w:rsid w:val="00C324B1"/>
    <w:rsid w:val="00C32B3A"/>
    <w:rsid w:val="00C3395D"/>
    <w:rsid w:val="00C33F6B"/>
    <w:rsid w:val="00C33FBE"/>
    <w:rsid w:val="00C34435"/>
    <w:rsid w:val="00C34607"/>
    <w:rsid w:val="00C346D2"/>
    <w:rsid w:val="00C3485A"/>
    <w:rsid w:val="00C34DB1"/>
    <w:rsid w:val="00C34DEE"/>
    <w:rsid w:val="00C35905"/>
    <w:rsid w:val="00C35D05"/>
    <w:rsid w:val="00C35E4C"/>
    <w:rsid w:val="00C36479"/>
    <w:rsid w:val="00C36574"/>
    <w:rsid w:val="00C36796"/>
    <w:rsid w:val="00C40384"/>
    <w:rsid w:val="00C40675"/>
    <w:rsid w:val="00C4074D"/>
    <w:rsid w:val="00C40CDB"/>
    <w:rsid w:val="00C41161"/>
    <w:rsid w:val="00C4126F"/>
    <w:rsid w:val="00C412A3"/>
    <w:rsid w:val="00C412D1"/>
    <w:rsid w:val="00C417FB"/>
    <w:rsid w:val="00C41CA9"/>
    <w:rsid w:val="00C41FA0"/>
    <w:rsid w:val="00C41FC4"/>
    <w:rsid w:val="00C426E2"/>
    <w:rsid w:val="00C42966"/>
    <w:rsid w:val="00C42A8A"/>
    <w:rsid w:val="00C42DAF"/>
    <w:rsid w:val="00C433C2"/>
    <w:rsid w:val="00C4402A"/>
    <w:rsid w:val="00C444E3"/>
    <w:rsid w:val="00C446E3"/>
    <w:rsid w:val="00C447A6"/>
    <w:rsid w:val="00C44D5F"/>
    <w:rsid w:val="00C44F33"/>
    <w:rsid w:val="00C4583A"/>
    <w:rsid w:val="00C46055"/>
    <w:rsid w:val="00C462A2"/>
    <w:rsid w:val="00C469EB"/>
    <w:rsid w:val="00C46D85"/>
    <w:rsid w:val="00C46F39"/>
    <w:rsid w:val="00C471D9"/>
    <w:rsid w:val="00C472FB"/>
    <w:rsid w:val="00C474A3"/>
    <w:rsid w:val="00C474C7"/>
    <w:rsid w:val="00C47572"/>
    <w:rsid w:val="00C47782"/>
    <w:rsid w:val="00C47DEC"/>
    <w:rsid w:val="00C502E1"/>
    <w:rsid w:val="00C5076C"/>
    <w:rsid w:val="00C50874"/>
    <w:rsid w:val="00C50BD9"/>
    <w:rsid w:val="00C50F5E"/>
    <w:rsid w:val="00C50FB3"/>
    <w:rsid w:val="00C51530"/>
    <w:rsid w:val="00C517E4"/>
    <w:rsid w:val="00C518A4"/>
    <w:rsid w:val="00C51D21"/>
    <w:rsid w:val="00C52BC1"/>
    <w:rsid w:val="00C52C5A"/>
    <w:rsid w:val="00C533EA"/>
    <w:rsid w:val="00C53420"/>
    <w:rsid w:val="00C5388D"/>
    <w:rsid w:val="00C53E34"/>
    <w:rsid w:val="00C5424B"/>
    <w:rsid w:val="00C542D0"/>
    <w:rsid w:val="00C5469A"/>
    <w:rsid w:val="00C54BCC"/>
    <w:rsid w:val="00C54C6F"/>
    <w:rsid w:val="00C5506D"/>
    <w:rsid w:val="00C5511F"/>
    <w:rsid w:val="00C55179"/>
    <w:rsid w:val="00C554D3"/>
    <w:rsid w:val="00C5573C"/>
    <w:rsid w:val="00C5586F"/>
    <w:rsid w:val="00C56322"/>
    <w:rsid w:val="00C5666E"/>
    <w:rsid w:val="00C56705"/>
    <w:rsid w:val="00C577C8"/>
    <w:rsid w:val="00C5786D"/>
    <w:rsid w:val="00C578AA"/>
    <w:rsid w:val="00C57C2C"/>
    <w:rsid w:val="00C60143"/>
    <w:rsid w:val="00C608B3"/>
    <w:rsid w:val="00C60A2E"/>
    <w:rsid w:val="00C60C82"/>
    <w:rsid w:val="00C60FD9"/>
    <w:rsid w:val="00C6105E"/>
    <w:rsid w:val="00C61AB8"/>
    <w:rsid w:val="00C61FA2"/>
    <w:rsid w:val="00C6222D"/>
    <w:rsid w:val="00C622D3"/>
    <w:rsid w:val="00C623C2"/>
    <w:rsid w:val="00C62787"/>
    <w:rsid w:val="00C630F8"/>
    <w:rsid w:val="00C63B8A"/>
    <w:rsid w:val="00C63C44"/>
    <w:rsid w:val="00C6410E"/>
    <w:rsid w:val="00C641A1"/>
    <w:rsid w:val="00C64FD5"/>
    <w:rsid w:val="00C653B2"/>
    <w:rsid w:val="00C655B9"/>
    <w:rsid w:val="00C65769"/>
    <w:rsid w:val="00C657F0"/>
    <w:rsid w:val="00C65AB3"/>
    <w:rsid w:val="00C65AE5"/>
    <w:rsid w:val="00C66116"/>
    <w:rsid w:val="00C664C9"/>
    <w:rsid w:val="00C66670"/>
    <w:rsid w:val="00C667D9"/>
    <w:rsid w:val="00C701D6"/>
    <w:rsid w:val="00C71419"/>
    <w:rsid w:val="00C717CD"/>
    <w:rsid w:val="00C718A1"/>
    <w:rsid w:val="00C71BDA"/>
    <w:rsid w:val="00C71DAC"/>
    <w:rsid w:val="00C7206E"/>
    <w:rsid w:val="00C720CF"/>
    <w:rsid w:val="00C722B2"/>
    <w:rsid w:val="00C73836"/>
    <w:rsid w:val="00C738A1"/>
    <w:rsid w:val="00C738F2"/>
    <w:rsid w:val="00C73D1F"/>
    <w:rsid w:val="00C74148"/>
    <w:rsid w:val="00C74ED6"/>
    <w:rsid w:val="00C750D3"/>
    <w:rsid w:val="00C75D25"/>
    <w:rsid w:val="00C76409"/>
    <w:rsid w:val="00C7650E"/>
    <w:rsid w:val="00C7680E"/>
    <w:rsid w:val="00C76A1A"/>
    <w:rsid w:val="00C77232"/>
    <w:rsid w:val="00C77BE9"/>
    <w:rsid w:val="00C80029"/>
    <w:rsid w:val="00C801FC"/>
    <w:rsid w:val="00C803D5"/>
    <w:rsid w:val="00C808A1"/>
    <w:rsid w:val="00C80B89"/>
    <w:rsid w:val="00C81115"/>
    <w:rsid w:val="00C81228"/>
    <w:rsid w:val="00C818C4"/>
    <w:rsid w:val="00C81A02"/>
    <w:rsid w:val="00C81EA7"/>
    <w:rsid w:val="00C822B2"/>
    <w:rsid w:val="00C825B7"/>
    <w:rsid w:val="00C82C01"/>
    <w:rsid w:val="00C82EEF"/>
    <w:rsid w:val="00C82F1F"/>
    <w:rsid w:val="00C8300C"/>
    <w:rsid w:val="00C83018"/>
    <w:rsid w:val="00C833CA"/>
    <w:rsid w:val="00C83450"/>
    <w:rsid w:val="00C836B8"/>
    <w:rsid w:val="00C84430"/>
    <w:rsid w:val="00C84856"/>
    <w:rsid w:val="00C84882"/>
    <w:rsid w:val="00C8488F"/>
    <w:rsid w:val="00C84C2D"/>
    <w:rsid w:val="00C84CF7"/>
    <w:rsid w:val="00C8521E"/>
    <w:rsid w:val="00C85397"/>
    <w:rsid w:val="00C85596"/>
    <w:rsid w:val="00C855A6"/>
    <w:rsid w:val="00C85C6A"/>
    <w:rsid w:val="00C85CDC"/>
    <w:rsid w:val="00C86C34"/>
    <w:rsid w:val="00C870C0"/>
    <w:rsid w:val="00C870E8"/>
    <w:rsid w:val="00C8728B"/>
    <w:rsid w:val="00C873D7"/>
    <w:rsid w:val="00C876AA"/>
    <w:rsid w:val="00C87946"/>
    <w:rsid w:val="00C87B77"/>
    <w:rsid w:val="00C9024D"/>
    <w:rsid w:val="00C904FD"/>
    <w:rsid w:val="00C9050F"/>
    <w:rsid w:val="00C9076B"/>
    <w:rsid w:val="00C907D6"/>
    <w:rsid w:val="00C90857"/>
    <w:rsid w:val="00C90BAA"/>
    <w:rsid w:val="00C910D2"/>
    <w:rsid w:val="00C91128"/>
    <w:rsid w:val="00C913A5"/>
    <w:rsid w:val="00C9178F"/>
    <w:rsid w:val="00C920B1"/>
    <w:rsid w:val="00C92262"/>
    <w:rsid w:val="00C9289F"/>
    <w:rsid w:val="00C9406D"/>
    <w:rsid w:val="00C94135"/>
    <w:rsid w:val="00C942A9"/>
    <w:rsid w:val="00C945DA"/>
    <w:rsid w:val="00C95715"/>
    <w:rsid w:val="00C960DD"/>
    <w:rsid w:val="00C960E5"/>
    <w:rsid w:val="00C960F2"/>
    <w:rsid w:val="00C96211"/>
    <w:rsid w:val="00C963E5"/>
    <w:rsid w:val="00C9645A"/>
    <w:rsid w:val="00C96936"/>
    <w:rsid w:val="00C96F22"/>
    <w:rsid w:val="00C973E3"/>
    <w:rsid w:val="00C97A46"/>
    <w:rsid w:val="00C97DBC"/>
    <w:rsid w:val="00CA05D4"/>
    <w:rsid w:val="00CA11B9"/>
    <w:rsid w:val="00CA1401"/>
    <w:rsid w:val="00CA310D"/>
    <w:rsid w:val="00CA343D"/>
    <w:rsid w:val="00CA38F0"/>
    <w:rsid w:val="00CA3919"/>
    <w:rsid w:val="00CA3FB1"/>
    <w:rsid w:val="00CA40A3"/>
    <w:rsid w:val="00CA4244"/>
    <w:rsid w:val="00CA4B93"/>
    <w:rsid w:val="00CA4D3B"/>
    <w:rsid w:val="00CA5B55"/>
    <w:rsid w:val="00CA6032"/>
    <w:rsid w:val="00CA6A2E"/>
    <w:rsid w:val="00CA6F89"/>
    <w:rsid w:val="00CA7430"/>
    <w:rsid w:val="00CA7ACD"/>
    <w:rsid w:val="00CA7C5C"/>
    <w:rsid w:val="00CB01AB"/>
    <w:rsid w:val="00CB01BD"/>
    <w:rsid w:val="00CB0474"/>
    <w:rsid w:val="00CB090E"/>
    <w:rsid w:val="00CB10C1"/>
    <w:rsid w:val="00CB11B3"/>
    <w:rsid w:val="00CB12ED"/>
    <w:rsid w:val="00CB1797"/>
    <w:rsid w:val="00CB19E4"/>
    <w:rsid w:val="00CB2022"/>
    <w:rsid w:val="00CB2497"/>
    <w:rsid w:val="00CB2C39"/>
    <w:rsid w:val="00CB3081"/>
    <w:rsid w:val="00CB34B5"/>
    <w:rsid w:val="00CB3D99"/>
    <w:rsid w:val="00CB414D"/>
    <w:rsid w:val="00CB416D"/>
    <w:rsid w:val="00CB4193"/>
    <w:rsid w:val="00CB438A"/>
    <w:rsid w:val="00CB495F"/>
    <w:rsid w:val="00CB49CF"/>
    <w:rsid w:val="00CB4DA3"/>
    <w:rsid w:val="00CB536D"/>
    <w:rsid w:val="00CB541E"/>
    <w:rsid w:val="00CB5743"/>
    <w:rsid w:val="00CB5F40"/>
    <w:rsid w:val="00CB5F73"/>
    <w:rsid w:val="00CB6102"/>
    <w:rsid w:val="00CB6775"/>
    <w:rsid w:val="00CB6C49"/>
    <w:rsid w:val="00CB6F56"/>
    <w:rsid w:val="00CB7B7F"/>
    <w:rsid w:val="00CB7F18"/>
    <w:rsid w:val="00CC0059"/>
    <w:rsid w:val="00CC05A0"/>
    <w:rsid w:val="00CC0AD3"/>
    <w:rsid w:val="00CC0E59"/>
    <w:rsid w:val="00CC1135"/>
    <w:rsid w:val="00CC14F9"/>
    <w:rsid w:val="00CC171B"/>
    <w:rsid w:val="00CC25FD"/>
    <w:rsid w:val="00CC2CE5"/>
    <w:rsid w:val="00CC2FFB"/>
    <w:rsid w:val="00CC34E0"/>
    <w:rsid w:val="00CC36E4"/>
    <w:rsid w:val="00CC38C8"/>
    <w:rsid w:val="00CC3967"/>
    <w:rsid w:val="00CC3CE9"/>
    <w:rsid w:val="00CC3D3B"/>
    <w:rsid w:val="00CC417D"/>
    <w:rsid w:val="00CC42CA"/>
    <w:rsid w:val="00CC42DA"/>
    <w:rsid w:val="00CC5023"/>
    <w:rsid w:val="00CC5379"/>
    <w:rsid w:val="00CC53CC"/>
    <w:rsid w:val="00CC58BA"/>
    <w:rsid w:val="00CC5DA6"/>
    <w:rsid w:val="00CC5DC9"/>
    <w:rsid w:val="00CC638E"/>
    <w:rsid w:val="00CC6564"/>
    <w:rsid w:val="00CC6F49"/>
    <w:rsid w:val="00CC7915"/>
    <w:rsid w:val="00CC79FB"/>
    <w:rsid w:val="00CC7C10"/>
    <w:rsid w:val="00CD00E9"/>
    <w:rsid w:val="00CD017D"/>
    <w:rsid w:val="00CD0287"/>
    <w:rsid w:val="00CD030B"/>
    <w:rsid w:val="00CD0641"/>
    <w:rsid w:val="00CD07C1"/>
    <w:rsid w:val="00CD09F8"/>
    <w:rsid w:val="00CD134F"/>
    <w:rsid w:val="00CD14C3"/>
    <w:rsid w:val="00CD1653"/>
    <w:rsid w:val="00CD1696"/>
    <w:rsid w:val="00CD1909"/>
    <w:rsid w:val="00CD199C"/>
    <w:rsid w:val="00CD1E75"/>
    <w:rsid w:val="00CD1EA2"/>
    <w:rsid w:val="00CD2DF7"/>
    <w:rsid w:val="00CD30F6"/>
    <w:rsid w:val="00CD3211"/>
    <w:rsid w:val="00CD3C37"/>
    <w:rsid w:val="00CD3DBA"/>
    <w:rsid w:val="00CD3F8B"/>
    <w:rsid w:val="00CD4023"/>
    <w:rsid w:val="00CD435D"/>
    <w:rsid w:val="00CD4BB2"/>
    <w:rsid w:val="00CD4C49"/>
    <w:rsid w:val="00CD4D36"/>
    <w:rsid w:val="00CD52D5"/>
    <w:rsid w:val="00CD5467"/>
    <w:rsid w:val="00CD5633"/>
    <w:rsid w:val="00CD5684"/>
    <w:rsid w:val="00CD56CB"/>
    <w:rsid w:val="00CD5881"/>
    <w:rsid w:val="00CD6378"/>
    <w:rsid w:val="00CD7009"/>
    <w:rsid w:val="00CD7223"/>
    <w:rsid w:val="00CD7999"/>
    <w:rsid w:val="00CD7D71"/>
    <w:rsid w:val="00CD7FDD"/>
    <w:rsid w:val="00CE02FE"/>
    <w:rsid w:val="00CE0A68"/>
    <w:rsid w:val="00CE0B07"/>
    <w:rsid w:val="00CE0C1B"/>
    <w:rsid w:val="00CE150D"/>
    <w:rsid w:val="00CE1669"/>
    <w:rsid w:val="00CE1823"/>
    <w:rsid w:val="00CE193F"/>
    <w:rsid w:val="00CE1BE3"/>
    <w:rsid w:val="00CE1FDA"/>
    <w:rsid w:val="00CE2DCE"/>
    <w:rsid w:val="00CE2F3B"/>
    <w:rsid w:val="00CE2F58"/>
    <w:rsid w:val="00CE3CB9"/>
    <w:rsid w:val="00CE3E0F"/>
    <w:rsid w:val="00CE4447"/>
    <w:rsid w:val="00CE4BAF"/>
    <w:rsid w:val="00CE4CB1"/>
    <w:rsid w:val="00CE5479"/>
    <w:rsid w:val="00CE5636"/>
    <w:rsid w:val="00CE5C00"/>
    <w:rsid w:val="00CE606B"/>
    <w:rsid w:val="00CE60D2"/>
    <w:rsid w:val="00CE62CA"/>
    <w:rsid w:val="00CE6E3F"/>
    <w:rsid w:val="00CE734B"/>
    <w:rsid w:val="00CE7AE6"/>
    <w:rsid w:val="00CF00B1"/>
    <w:rsid w:val="00CF05B4"/>
    <w:rsid w:val="00CF0B69"/>
    <w:rsid w:val="00CF0D20"/>
    <w:rsid w:val="00CF0D8A"/>
    <w:rsid w:val="00CF0DC9"/>
    <w:rsid w:val="00CF121C"/>
    <w:rsid w:val="00CF1250"/>
    <w:rsid w:val="00CF1409"/>
    <w:rsid w:val="00CF1446"/>
    <w:rsid w:val="00CF160C"/>
    <w:rsid w:val="00CF289F"/>
    <w:rsid w:val="00CF2B74"/>
    <w:rsid w:val="00CF3451"/>
    <w:rsid w:val="00CF3506"/>
    <w:rsid w:val="00CF3ACC"/>
    <w:rsid w:val="00CF3B0B"/>
    <w:rsid w:val="00CF3DDF"/>
    <w:rsid w:val="00CF3E29"/>
    <w:rsid w:val="00CF3EE6"/>
    <w:rsid w:val="00CF45ED"/>
    <w:rsid w:val="00CF4D12"/>
    <w:rsid w:val="00CF4F58"/>
    <w:rsid w:val="00CF5562"/>
    <w:rsid w:val="00CF5C6A"/>
    <w:rsid w:val="00CF6AF0"/>
    <w:rsid w:val="00CF71A3"/>
    <w:rsid w:val="00CF72F1"/>
    <w:rsid w:val="00CF7B77"/>
    <w:rsid w:val="00CF7C07"/>
    <w:rsid w:val="00D00090"/>
    <w:rsid w:val="00D00473"/>
    <w:rsid w:val="00D006F9"/>
    <w:rsid w:val="00D007AB"/>
    <w:rsid w:val="00D009DC"/>
    <w:rsid w:val="00D00C8B"/>
    <w:rsid w:val="00D0166C"/>
    <w:rsid w:val="00D01783"/>
    <w:rsid w:val="00D01881"/>
    <w:rsid w:val="00D01E2E"/>
    <w:rsid w:val="00D02059"/>
    <w:rsid w:val="00D02172"/>
    <w:rsid w:val="00D030E8"/>
    <w:rsid w:val="00D0317C"/>
    <w:rsid w:val="00D0332E"/>
    <w:rsid w:val="00D037CE"/>
    <w:rsid w:val="00D03C69"/>
    <w:rsid w:val="00D03DF1"/>
    <w:rsid w:val="00D04475"/>
    <w:rsid w:val="00D04486"/>
    <w:rsid w:val="00D048D2"/>
    <w:rsid w:val="00D04B1A"/>
    <w:rsid w:val="00D0508A"/>
    <w:rsid w:val="00D051E3"/>
    <w:rsid w:val="00D05AEC"/>
    <w:rsid w:val="00D05FCF"/>
    <w:rsid w:val="00D06456"/>
    <w:rsid w:val="00D064C0"/>
    <w:rsid w:val="00D068E0"/>
    <w:rsid w:val="00D06945"/>
    <w:rsid w:val="00D071B5"/>
    <w:rsid w:val="00D07423"/>
    <w:rsid w:val="00D07494"/>
    <w:rsid w:val="00D0749E"/>
    <w:rsid w:val="00D07794"/>
    <w:rsid w:val="00D079C2"/>
    <w:rsid w:val="00D07A2A"/>
    <w:rsid w:val="00D07DE1"/>
    <w:rsid w:val="00D07EC6"/>
    <w:rsid w:val="00D10262"/>
    <w:rsid w:val="00D108CF"/>
    <w:rsid w:val="00D10EC8"/>
    <w:rsid w:val="00D110A9"/>
    <w:rsid w:val="00D11122"/>
    <w:rsid w:val="00D111A5"/>
    <w:rsid w:val="00D1191C"/>
    <w:rsid w:val="00D11D57"/>
    <w:rsid w:val="00D11DEF"/>
    <w:rsid w:val="00D120DF"/>
    <w:rsid w:val="00D122E1"/>
    <w:rsid w:val="00D1261A"/>
    <w:rsid w:val="00D1277A"/>
    <w:rsid w:val="00D127FE"/>
    <w:rsid w:val="00D12A43"/>
    <w:rsid w:val="00D12E40"/>
    <w:rsid w:val="00D12EA9"/>
    <w:rsid w:val="00D134B4"/>
    <w:rsid w:val="00D13659"/>
    <w:rsid w:val="00D13BAD"/>
    <w:rsid w:val="00D1406B"/>
    <w:rsid w:val="00D1426E"/>
    <w:rsid w:val="00D1498E"/>
    <w:rsid w:val="00D14E0B"/>
    <w:rsid w:val="00D15151"/>
    <w:rsid w:val="00D15710"/>
    <w:rsid w:val="00D15914"/>
    <w:rsid w:val="00D16137"/>
    <w:rsid w:val="00D163FC"/>
    <w:rsid w:val="00D1665C"/>
    <w:rsid w:val="00D16B07"/>
    <w:rsid w:val="00D16F25"/>
    <w:rsid w:val="00D16F74"/>
    <w:rsid w:val="00D1731B"/>
    <w:rsid w:val="00D17404"/>
    <w:rsid w:val="00D1783B"/>
    <w:rsid w:val="00D20180"/>
    <w:rsid w:val="00D202CC"/>
    <w:rsid w:val="00D20932"/>
    <w:rsid w:val="00D209B3"/>
    <w:rsid w:val="00D20B78"/>
    <w:rsid w:val="00D20BF5"/>
    <w:rsid w:val="00D20C8B"/>
    <w:rsid w:val="00D21065"/>
    <w:rsid w:val="00D213AB"/>
    <w:rsid w:val="00D21424"/>
    <w:rsid w:val="00D21739"/>
    <w:rsid w:val="00D21745"/>
    <w:rsid w:val="00D21CA8"/>
    <w:rsid w:val="00D21F84"/>
    <w:rsid w:val="00D220EB"/>
    <w:rsid w:val="00D22B3C"/>
    <w:rsid w:val="00D22FB0"/>
    <w:rsid w:val="00D23131"/>
    <w:rsid w:val="00D232B8"/>
    <w:rsid w:val="00D23300"/>
    <w:rsid w:val="00D23610"/>
    <w:rsid w:val="00D23871"/>
    <w:rsid w:val="00D24236"/>
    <w:rsid w:val="00D2451A"/>
    <w:rsid w:val="00D24924"/>
    <w:rsid w:val="00D24979"/>
    <w:rsid w:val="00D24A33"/>
    <w:rsid w:val="00D24AC5"/>
    <w:rsid w:val="00D24E0C"/>
    <w:rsid w:val="00D25646"/>
    <w:rsid w:val="00D256C1"/>
    <w:rsid w:val="00D256F0"/>
    <w:rsid w:val="00D25822"/>
    <w:rsid w:val="00D2608C"/>
    <w:rsid w:val="00D26FE3"/>
    <w:rsid w:val="00D27B52"/>
    <w:rsid w:val="00D3000D"/>
    <w:rsid w:val="00D30703"/>
    <w:rsid w:val="00D30755"/>
    <w:rsid w:val="00D31A56"/>
    <w:rsid w:val="00D32163"/>
    <w:rsid w:val="00D322AB"/>
    <w:rsid w:val="00D32315"/>
    <w:rsid w:val="00D32775"/>
    <w:rsid w:val="00D328A5"/>
    <w:rsid w:val="00D32FE0"/>
    <w:rsid w:val="00D33840"/>
    <w:rsid w:val="00D3399D"/>
    <w:rsid w:val="00D33DDE"/>
    <w:rsid w:val="00D340B7"/>
    <w:rsid w:val="00D347DE"/>
    <w:rsid w:val="00D349D5"/>
    <w:rsid w:val="00D34A59"/>
    <w:rsid w:val="00D34E03"/>
    <w:rsid w:val="00D34F5A"/>
    <w:rsid w:val="00D359F3"/>
    <w:rsid w:val="00D36D1A"/>
    <w:rsid w:val="00D36D25"/>
    <w:rsid w:val="00D371E0"/>
    <w:rsid w:val="00D37278"/>
    <w:rsid w:val="00D375F9"/>
    <w:rsid w:val="00D37E8A"/>
    <w:rsid w:val="00D4080D"/>
    <w:rsid w:val="00D409F6"/>
    <w:rsid w:val="00D40E29"/>
    <w:rsid w:val="00D4118C"/>
    <w:rsid w:val="00D41771"/>
    <w:rsid w:val="00D4208C"/>
    <w:rsid w:val="00D4234C"/>
    <w:rsid w:val="00D4249B"/>
    <w:rsid w:val="00D42B03"/>
    <w:rsid w:val="00D434C8"/>
    <w:rsid w:val="00D4374F"/>
    <w:rsid w:val="00D441F7"/>
    <w:rsid w:val="00D44276"/>
    <w:rsid w:val="00D444C7"/>
    <w:rsid w:val="00D44E24"/>
    <w:rsid w:val="00D45209"/>
    <w:rsid w:val="00D454ED"/>
    <w:rsid w:val="00D45C1D"/>
    <w:rsid w:val="00D45C6E"/>
    <w:rsid w:val="00D45CAB"/>
    <w:rsid w:val="00D4604A"/>
    <w:rsid w:val="00D465A2"/>
    <w:rsid w:val="00D466C4"/>
    <w:rsid w:val="00D467DD"/>
    <w:rsid w:val="00D46C9D"/>
    <w:rsid w:val="00D46FF8"/>
    <w:rsid w:val="00D4796D"/>
    <w:rsid w:val="00D50021"/>
    <w:rsid w:val="00D503B1"/>
    <w:rsid w:val="00D50DFC"/>
    <w:rsid w:val="00D50F8F"/>
    <w:rsid w:val="00D51012"/>
    <w:rsid w:val="00D51179"/>
    <w:rsid w:val="00D51DAB"/>
    <w:rsid w:val="00D52E91"/>
    <w:rsid w:val="00D52F43"/>
    <w:rsid w:val="00D53201"/>
    <w:rsid w:val="00D538F9"/>
    <w:rsid w:val="00D53983"/>
    <w:rsid w:val="00D53F25"/>
    <w:rsid w:val="00D54208"/>
    <w:rsid w:val="00D5438A"/>
    <w:rsid w:val="00D54925"/>
    <w:rsid w:val="00D54FE9"/>
    <w:rsid w:val="00D55797"/>
    <w:rsid w:val="00D55924"/>
    <w:rsid w:val="00D55CCE"/>
    <w:rsid w:val="00D56042"/>
    <w:rsid w:val="00D5604E"/>
    <w:rsid w:val="00D560B6"/>
    <w:rsid w:val="00D56256"/>
    <w:rsid w:val="00D5653F"/>
    <w:rsid w:val="00D56F89"/>
    <w:rsid w:val="00D5788F"/>
    <w:rsid w:val="00D579BA"/>
    <w:rsid w:val="00D57CC9"/>
    <w:rsid w:val="00D57E26"/>
    <w:rsid w:val="00D57FD6"/>
    <w:rsid w:val="00D6012F"/>
    <w:rsid w:val="00D60A04"/>
    <w:rsid w:val="00D6126E"/>
    <w:rsid w:val="00D61346"/>
    <w:rsid w:val="00D61400"/>
    <w:rsid w:val="00D615EA"/>
    <w:rsid w:val="00D617C2"/>
    <w:rsid w:val="00D61A22"/>
    <w:rsid w:val="00D61CDD"/>
    <w:rsid w:val="00D61D01"/>
    <w:rsid w:val="00D620A1"/>
    <w:rsid w:val="00D6235A"/>
    <w:rsid w:val="00D62467"/>
    <w:rsid w:val="00D62674"/>
    <w:rsid w:val="00D62788"/>
    <w:rsid w:val="00D629E0"/>
    <w:rsid w:val="00D62CF9"/>
    <w:rsid w:val="00D63675"/>
    <w:rsid w:val="00D64419"/>
    <w:rsid w:val="00D64A78"/>
    <w:rsid w:val="00D654C2"/>
    <w:rsid w:val="00D659F8"/>
    <w:rsid w:val="00D65A3F"/>
    <w:rsid w:val="00D65C7B"/>
    <w:rsid w:val="00D660C4"/>
    <w:rsid w:val="00D664C7"/>
    <w:rsid w:val="00D66744"/>
    <w:rsid w:val="00D66ADE"/>
    <w:rsid w:val="00D66C6B"/>
    <w:rsid w:val="00D66F7E"/>
    <w:rsid w:val="00D67B90"/>
    <w:rsid w:val="00D67CDB"/>
    <w:rsid w:val="00D67D25"/>
    <w:rsid w:val="00D67F40"/>
    <w:rsid w:val="00D7007F"/>
    <w:rsid w:val="00D70142"/>
    <w:rsid w:val="00D7028D"/>
    <w:rsid w:val="00D704DE"/>
    <w:rsid w:val="00D70506"/>
    <w:rsid w:val="00D70623"/>
    <w:rsid w:val="00D70939"/>
    <w:rsid w:val="00D70D0C"/>
    <w:rsid w:val="00D7149A"/>
    <w:rsid w:val="00D71B39"/>
    <w:rsid w:val="00D71D21"/>
    <w:rsid w:val="00D71F0E"/>
    <w:rsid w:val="00D71F48"/>
    <w:rsid w:val="00D72027"/>
    <w:rsid w:val="00D7236C"/>
    <w:rsid w:val="00D725EA"/>
    <w:rsid w:val="00D72804"/>
    <w:rsid w:val="00D72AF9"/>
    <w:rsid w:val="00D72C2A"/>
    <w:rsid w:val="00D72E60"/>
    <w:rsid w:val="00D7339C"/>
    <w:rsid w:val="00D73563"/>
    <w:rsid w:val="00D73AE0"/>
    <w:rsid w:val="00D73E26"/>
    <w:rsid w:val="00D73FA3"/>
    <w:rsid w:val="00D742BC"/>
    <w:rsid w:val="00D74BA0"/>
    <w:rsid w:val="00D74D03"/>
    <w:rsid w:val="00D759F2"/>
    <w:rsid w:val="00D75C77"/>
    <w:rsid w:val="00D75EDB"/>
    <w:rsid w:val="00D75F97"/>
    <w:rsid w:val="00D76D50"/>
    <w:rsid w:val="00D77278"/>
    <w:rsid w:val="00D77887"/>
    <w:rsid w:val="00D804E8"/>
    <w:rsid w:val="00D80799"/>
    <w:rsid w:val="00D808FF"/>
    <w:rsid w:val="00D809CD"/>
    <w:rsid w:val="00D80A99"/>
    <w:rsid w:val="00D80F04"/>
    <w:rsid w:val="00D8123C"/>
    <w:rsid w:val="00D8165A"/>
    <w:rsid w:val="00D81675"/>
    <w:rsid w:val="00D81C1E"/>
    <w:rsid w:val="00D8215F"/>
    <w:rsid w:val="00D826E1"/>
    <w:rsid w:val="00D82C98"/>
    <w:rsid w:val="00D82D7B"/>
    <w:rsid w:val="00D82E89"/>
    <w:rsid w:val="00D83314"/>
    <w:rsid w:val="00D839C1"/>
    <w:rsid w:val="00D83AA6"/>
    <w:rsid w:val="00D83CF9"/>
    <w:rsid w:val="00D83DAE"/>
    <w:rsid w:val="00D8409B"/>
    <w:rsid w:val="00D841EA"/>
    <w:rsid w:val="00D843A4"/>
    <w:rsid w:val="00D845B5"/>
    <w:rsid w:val="00D84991"/>
    <w:rsid w:val="00D84A01"/>
    <w:rsid w:val="00D84D63"/>
    <w:rsid w:val="00D84F30"/>
    <w:rsid w:val="00D851BA"/>
    <w:rsid w:val="00D8521F"/>
    <w:rsid w:val="00D857B5"/>
    <w:rsid w:val="00D85CFB"/>
    <w:rsid w:val="00D86180"/>
    <w:rsid w:val="00D864B6"/>
    <w:rsid w:val="00D8681F"/>
    <w:rsid w:val="00D869B2"/>
    <w:rsid w:val="00D86AEF"/>
    <w:rsid w:val="00D86B93"/>
    <w:rsid w:val="00D86F6B"/>
    <w:rsid w:val="00D87866"/>
    <w:rsid w:val="00D87AB4"/>
    <w:rsid w:val="00D906BE"/>
    <w:rsid w:val="00D90941"/>
    <w:rsid w:val="00D91A3C"/>
    <w:rsid w:val="00D9201A"/>
    <w:rsid w:val="00D92093"/>
    <w:rsid w:val="00D92233"/>
    <w:rsid w:val="00D92981"/>
    <w:rsid w:val="00D93234"/>
    <w:rsid w:val="00D93493"/>
    <w:rsid w:val="00D93832"/>
    <w:rsid w:val="00D938F0"/>
    <w:rsid w:val="00D93A1D"/>
    <w:rsid w:val="00D93BA0"/>
    <w:rsid w:val="00D9420E"/>
    <w:rsid w:val="00D9445F"/>
    <w:rsid w:val="00D946B8"/>
    <w:rsid w:val="00D946F7"/>
    <w:rsid w:val="00D947B0"/>
    <w:rsid w:val="00D948A2"/>
    <w:rsid w:val="00D948FF"/>
    <w:rsid w:val="00D9490C"/>
    <w:rsid w:val="00D949B3"/>
    <w:rsid w:val="00D94CCC"/>
    <w:rsid w:val="00D9547F"/>
    <w:rsid w:val="00D95573"/>
    <w:rsid w:val="00D955A8"/>
    <w:rsid w:val="00D95691"/>
    <w:rsid w:val="00D95A52"/>
    <w:rsid w:val="00D9606A"/>
    <w:rsid w:val="00D9619E"/>
    <w:rsid w:val="00D961A7"/>
    <w:rsid w:val="00D96E9B"/>
    <w:rsid w:val="00D97066"/>
    <w:rsid w:val="00D972ED"/>
    <w:rsid w:val="00D97514"/>
    <w:rsid w:val="00D977B9"/>
    <w:rsid w:val="00D97949"/>
    <w:rsid w:val="00D97CE8"/>
    <w:rsid w:val="00D97DC5"/>
    <w:rsid w:val="00D97EBC"/>
    <w:rsid w:val="00D97F7D"/>
    <w:rsid w:val="00D97F93"/>
    <w:rsid w:val="00DA15B7"/>
    <w:rsid w:val="00DA1AB8"/>
    <w:rsid w:val="00DA2146"/>
    <w:rsid w:val="00DA2E7F"/>
    <w:rsid w:val="00DA3054"/>
    <w:rsid w:val="00DA3525"/>
    <w:rsid w:val="00DA3767"/>
    <w:rsid w:val="00DA3CA4"/>
    <w:rsid w:val="00DA4156"/>
    <w:rsid w:val="00DA447F"/>
    <w:rsid w:val="00DA45E2"/>
    <w:rsid w:val="00DA4706"/>
    <w:rsid w:val="00DA4800"/>
    <w:rsid w:val="00DA4ECE"/>
    <w:rsid w:val="00DA51E9"/>
    <w:rsid w:val="00DA5350"/>
    <w:rsid w:val="00DA5499"/>
    <w:rsid w:val="00DA5702"/>
    <w:rsid w:val="00DA6308"/>
    <w:rsid w:val="00DA6FCA"/>
    <w:rsid w:val="00DA7195"/>
    <w:rsid w:val="00DA7380"/>
    <w:rsid w:val="00DA768F"/>
    <w:rsid w:val="00DA7784"/>
    <w:rsid w:val="00DB0009"/>
    <w:rsid w:val="00DB00A2"/>
    <w:rsid w:val="00DB01B4"/>
    <w:rsid w:val="00DB031E"/>
    <w:rsid w:val="00DB0811"/>
    <w:rsid w:val="00DB0EDB"/>
    <w:rsid w:val="00DB1370"/>
    <w:rsid w:val="00DB13A7"/>
    <w:rsid w:val="00DB152E"/>
    <w:rsid w:val="00DB1B8E"/>
    <w:rsid w:val="00DB1E1C"/>
    <w:rsid w:val="00DB240A"/>
    <w:rsid w:val="00DB2481"/>
    <w:rsid w:val="00DB2687"/>
    <w:rsid w:val="00DB2695"/>
    <w:rsid w:val="00DB37FA"/>
    <w:rsid w:val="00DB3A9E"/>
    <w:rsid w:val="00DB3BF0"/>
    <w:rsid w:val="00DB3E41"/>
    <w:rsid w:val="00DB3FCF"/>
    <w:rsid w:val="00DB423A"/>
    <w:rsid w:val="00DB43E1"/>
    <w:rsid w:val="00DB448A"/>
    <w:rsid w:val="00DB4636"/>
    <w:rsid w:val="00DB493E"/>
    <w:rsid w:val="00DB4C40"/>
    <w:rsid w:val="00DB4CDA"/>
    <w:rsid w:val="00DB4CED"/>
    <w:rsid w:val="00DB4D21"/>
    <w:rsid w:val="00DB53C5"/>
    <w:rsid w:val="00DB595F"/>
    <w:rsid w:val="00DB5B2F"/>
    <w:rsid w:val="00DB5EC6"/>
    <w:rsid w:val="00DB5F08"/>
    <w:rsid w:val="00DB6843"/>
    <w:rsid w:val="00DB6DE3"/>
    <w:rsid w:val="00DB73AB"/>
    <w:rsid w:val="00DB789B"/>
    <w:rsid w:val="00DB7D20"/>
    <w:rsid w:val="00DB7E66"/>
    <w:rsid w:val="00DB7FBD"/>
    <w:rsid w:val="00DC00DF"/>
    <w:rsid w:val="00DC0155"/>
    <w:rsid w:val="00DC0456"/>
    <w:rsid w:val="00DC0745"/>
    <w:rsid w:val="00DC081B"/>
    <w:rsid w:val="00DC0D4E"/>
    <w:rsid w:val="00DC1553"/>
    <w:rsid w:val="00DC15B9"/>
    <w:rsid w:val="00DC1758"/>
    <w:rsid w:val="00DC18E6"/>
    <w:rsid w:val="00DC20F1"/>
    <w:rsid w:val="00DC21E0"/>
    <w:rsid w:val="00DC226C"/>
    <w:rsid w:val="00DC22C0"/>
    <w:rsid w:val="00DC249A"/>
    <w:rsid w:val="00DC2634"/>
    <w:rsid w:val="00DC2B89"/>
    <w:rsid w:val="00DC2BB6"/>
    <w:rsid w:val="00DC2CE3"/>
    <w:rsid w:val="00DC33E0"/>
    <w:rsid w:val="00DC3CD8"/>
    <w:rsid w:val="00DC3E44"/>
    <w:rsid w:val="00DC4521"/>
    <w:rsid w:val="00DC458A"/>
    <w:rsid w:val="00DC46FA"/>
    <w:rsid w:val="00DC4B2F"/>
    <w:rsid w:val="00DC4E24"/>
    <w:rsid w:val="00DC4F70"/>
    <w:rsid w:val="00DC517E"/>
    <w:rsid w:val="00DC5187"/>
    <w:rsid w:val="00DC54D5"/>
    <w:rsid w:val="00DC5532"/>
    <w:rsid w:val="00DC5B09"/>
    <w:rsid w:val="00DC6B05"/>
    <w:rsid w:val="00DC7079"/>
    <w:rsid w:val="00DC7906"/>
    <w:rsid w:val="00DC792E"/>
    <w:rsid w:val="00DC7948"/>
    <w:rsid w:val="00DC7AA4"/>
    <w:rsid w:val="00DC7C5B"/>
    <w:rsid w:val="00DC7C88"/>
    <w:rsid w:val="00DC7E43"/>
    <w:rsid w:val="00DD0918"/>
    <w:rsid w:val="00DD0EEF"/>
    <w:rsid w:val="00DD10CD"/>
    <w:rsid w:val="00DD1EE3"/>
    <w:rsid w:val="00DD2235"/>
    <w:rsid w:val="00DD22CC"/>
    <w:rsid w:val="00DD255E"/>
    <w:rsid w:val="00DD2C0F"/>
    <w:rsid w:val="00DD3007"/>
    <w:rsid w:val="00DD3039"/>
    <w:rsid w:val="00DD316B"/>
    <w:rsid w:val="00DD35AF"/>
    <w:rsid w:val="00DD3A4D"/>
    <w:rsid w:val="00DD3CFE"/>
    <w:rsid w:val="00DD3FEE"/>
    <w:rsid w:val="00DD4911"/>
    <w:rsid w:val="00DD4BA9"/>
    <w:rsid w:val="00DD4FD8"/>
    <w:rsid w:val="00DD5592"/>
    <w:rsid w:val="00DD5714"/>
    <w:rsid w:val="00DD5C5B"/>
    <w:rsid w:val="00DD5CB6"/>
    <w:rsid w:val="00DD6056"/>
    <w:rsid w:val="00DD6301"/>
    <w:rsid w:val="00DD647C"/>
    <w:rsid w:val="00DD67EC"/>
    <w:rsid w:val="00DD69A6"/>
    <w:rsid w:val="00DD6B9B"/>
    <w:rsid w:val="00DD6D4F"/>
    <w:rsid w:val="00DD6F35"/>
    <w:rsid w:val="00DD70F3"/>
    <w:rsid w:val="00DE0045"/>
    <w:rsid w:val="00DE008C"/>
    <w:rsid w:val="00DE0248"/>
    <w:rsid w:val="00DE03AD"/>
    <w:rsid w:val="00DE0558"/>
    <w:rsid w:val="00DE13FA"/>
    <w:rsid w:val="00DE16E0"/>
    <w:rsid w:val="00DE1A91"/>
    <w:rsid w:val="00DE1A95"/>
    <w:rsid w:val="00DE1CAC"/>
    <w:rsid w:val="00DE1D23"/>
    <w:rsid w:val="00DE2197"/>
    <w:rsid w:val="00DE2DED"/>
    <w:rsid w:val="00DE2EF3"/>
    <w:rsid w:val="00DE3231"/>
    <w:rsid w:val="00DE376F"/>
    <w:rsid w:val="00DE3A5D"/>
    <w:rsid w:val="00DE3C42"/>
    <w:rsid w:val="00DE3D19"/>
    <w:rsid w:val="00DE4678"/>
    <w:rsid w:val="00DE4791"/>
    <w:rsid w:val="00DE49DE"/>
    <w:rsid w:val="00DE4C3F"/>
    <w:rsid w:val="00DE4DEB"/>
    <w:rsid w:val="00DE4E51"/>
    <w:rsid w:val="00DE52C2"/>
    <w:rsid w:val="00DE5856"/>
    <w:rsid w:val="00DE58DC"/>
    <w:rsid w:val="00DE5E33"/>
    <w:rsid w:val="00DE5FC9"/>
    <w:rsid w:val="00DE6B12"/>
    <w:rsid w:val="00DE6D8A"/>
    <w:rsid w:val="00DE7483"/>
    <w:rsid w:val="00DE7486"/>
    <w:rsid w:val="00DE756E"/>
    <w:rsid w:val="00DE7765"/>
    <w:rsid w:val="00DE77E6"/>
    <w:rsid w:val="00DE798A"/>
    <w:rsid w:val="00DE7E17"/>
    <w:rsid w:val="00DE7EA9"/>
    <w:rsid w:val="00DE7F21"/>
    <w:rsid w:val="00DE7FC6"/>
    <w:rsid w:val="00DF006A"/>
    <w:rsid w:val="00DF06BE"/>
    <w:rsid w:val="00DF074B"/>
    <w:rsid w:val="00DF07EB"/>
    <w:rsid w:val="00DF08DB"/>
    <w:rsid w:val="00DF09D0"/>
    <w:rsid w:val="00DF0D21"/>
    <w:rsid w:val="00DF0F15"/>
    <w:rsid w:val="00DF1D51"/>
    <w:rsid w:val="00DF205E"/>
    <w:rsid w:val="00DF206B"/>
    <w:rsid w:val="00DF2523"/>
    <w:rsid w:val="00DF2A81"/>
    <w:rsid w:val="00DF2BAE"/>
    <w:rsid w:val="00DF2D97"/>
    <w:rsid w:val="00DF3461"/>
    <w:rsid w:val="00DF37A2"/>
    <w:rsid w:val="00DF3C47"/>
    <w:rsid w:val="00DF43FF"/>
    <w:rsid w:val="00DF480E"/>
    <w:rsid w:val="00DF49AE"/>
    <w:rsid w:val="00DF4A3D"/>
    <w:rsid w:val="00DF4A51"/>
    <w:rsid w:val="00DF4E1B"/>
    <w:rsid w:val="00DF4E3D"/>
    <w:rsid w:val="00DF4EEC"/>
    <w:rsid w:val="00DF4F4D"/>
    <w:rsid w:val="00DF563E"/>
    <w:rsid w:val="00DF5AF0"/>
    <w:rsid w:val="00DF5F7E"/>
    <w:rsid w:val="00DF6263"/>
    <w:rsid w:val="00DF6C49"/>
    <w:rsid w:val="00DF6C9C"/>
    <w:rsid w:val="00DF72A5"/>
    <w:rsid w:val="00DF7301"/>
    <w:rsid w:val="00DF79B1"/>
    <w:rsid w:val="00E00078"/>
    <w:rsid w:val="00E003BE"/>
    <w:rsid w:val="00E00A15"/>
    <w:rsid w:val="00E01271"/>
    <w:rsid w:val="00E0167B"/>
    <w:rsid w:val="00E0174C"/>
    <w:rsid w:val="00E018FC"/>
    <w:rsid w:val="00E01C12"/>
    <w:rsid w:val="00E01D87"/>
    <w:rsid w:val="00E01E9F"/>
    <w:rsid w:val="00E01F86"/>
    <w:rsid w:val="00E02058"/>
    <w:rsid w:val="00E020A8"/>
    <w:rsid w:val="00E0247A"/>
    <w:rsid w:val="00E024F4"/>
    <w:rsid w:val="00E029B8"/>
    <w:rsid w:val="00E02CB4"/>
    <w:rsid w:val="00E02D57"/>
    <w:rsid w:val="00E02E51"/>
    <w:rsid w:val="00E03470"/>
    <w:rsid w:val="00E0349E"/>
    <w:rsid w:val="00E0389C"/>
    <w:rsid w:val="00E03BE2"/>
    <w:rsid w:val="00E03EE0"/>
    <w:rsid w:val="00E0428D"/>
    <w:rsid w:val="00E042C5"/>
    <w:rsid w:val="00E044EC"/>
    <w:rsid w:val="00E045E2"/>
    <w:rsid w:val="00E046F6"/>
    <w:rsid w:val="00E04D15"/>
    <w:rsid w:val="00E058B1"/>
    <w:rsid w:val="00E05995"/>
    <w:rsid w:val="00E05E1A"/>
    <w:rsid w:val="00E061CE"/>
    <w:rsid w:val="00E063B8"/>
    <w:rsid w:val="00E065BC"/>
    <w:rsid w:val="00E068BE"/>
    <w:rsid w:val="00E06A8C"/>
    <w:rsid w:val="00E06DB9"/>
    <w:rsid w:val="00E06EFB"/>
    <w:rsid w:val="00E070AD"/>
    <w:rsid w:val="00E070E6"/>
    <w:rsid w:val="00E07144"/>
    <w:rsid w:val="00E0739A"/>
    <w:rsid w:val="00E07AE5"/>
    <w:rsid w:val="00E07D46"/>
    <w:rsid w:val="00E10649"/>
    <w:rsid w:val="00E116E8"/>
    <w:rsid w:val="00E119A8"/>
    <w:rsid w:val="00E11D41"/>
    <w:rsid w:val="00E11D63"/>
    <w:rsid w:val="00E13A26"/>
    <w:rsid w:val="00E13C81"/>
    <w:rsid w:val="00E14407"/>
    <w:rsid w:val="00E144BF"/>
    <w:rsid w:val="00E1484F"/>
    <w:rsid w:val="00E14D1D"/>
    <w:rsid w:val="00E153E2"/>
    <w:rsid w:val="00E153ED"/>
    <w:rsid w:val="00E153F0"/>
    <w:rsid w:val="00E1562D"/>
    <w:rsid w:val="00E15D19"/>
    <w:rsid w:val="00E160C7"/>
    <w:rsid w:val="00E162BE"/>
    <w:rsid w:val="00E163D6"/>
    <w:rsid w:val="00E16A1B"/>
    <w:rsid w:val="00E16D6E"/>
    <w:rsid w:val="00E16DDA"/>
    <w:rsid w:val="00E16F57"/>
    <w:rsid w:val="00E17016"/>
    <w:rsid w:val="00E1722B"/>
    <w:rsid w:val="00E17294"/>
    <w:rsid w:val="00E17783"/>
    <w:rsid w:val="00E17919"/>
    <w:rsid w:val="00E17ADC"/>
    <w:rsid w:val="00E17BF7"/>
    <w:rsid w:val="00E205AA"/>
    <w:rsid w:val="00E20AAB"/>
    <w:rsid w:val="00E20AB6"/>
    <w:rsid w:val="00E20B8E"/>
    <w:rsid w:val="00E20E79"/>
    <w:rsid w:val="00E20EAB"/>
    <w:rsid w:val="00E21079"/>
    <w:rsid w:val="00E21759"/>
    <w:rsid w:val="00E21B5F"/>
    <w:rsid w:val="00E22373"/>
    <w:rsid w:val="00E22FC8"/>
    <w:rsid w:val="00E230A0"/>
    <w:rsid w:val="00E232D7"/>
    <w:rsid w:val="00E2345D"/>
    <w:rsid w:val="00E235B7"/>
    <w:rsid w:val="00E23DD4"/>
    <w:rsid w:val="00E23E1D"/>
    <w:rsid w:val="00E241F5"/>
    <w:rsid w:val="00E24A05"/>
    <w:rsid w:val="00E2518B"/>
    <w:rsid w:val="00E25CC4"/>
    <w:rsid w:val="00E25D2B"/>
    <w:rsid w:val="00E25D40"/>
    <w:rsid w:val="00E26010"/>
    <w:rsid w:val="00E2603F"/>
    <w:rsid w:val="00E26116"/>
    <w:rsid w:val="00E26307"/>
    <w:rsid w:val="00E2683D"/>
    <w:rsid w:val="00E2689B"/>
    <w:rsid w:val="00E269AF"/>
    <w:rsid w:val="00E2726E"/>
    <w:rsid w:val="00E2782B"/>
    <w:rsid w:val="00E27AE1"/>
    <w:rsid w:val="00E27D16"/>
    <w:rsid w:val="00E27D8C"/>
    <w:rsid w:val="00E30644"/>
    <w:rsid w:val="00E308CB"/>
    <w:rsid w:val="00E31143"/>
    <w:rsid w:val="00E31658"/>
    <w:rsid w:val="00E3192C"/>
    <w:rsid w:val="00E31A95"/>
    <w:rsid w:val="00E32227"/>
    <w:rsid w:val="00E3264D"/>
    <w:rsid w:val="00E327F2"/>
    <w:rsid w:val="00E32D8D"/>
    <w:rsid w:val="00E336B6"/>
    <w:rsid w:val="00E33775"/>
    <w:rsid w:val="00E33A23"/>
    <w:rsid w:val="00E344C7"/>
    <w:rsid w:val="00E345F8"/>
    <w:rsid w:val="00E346FA"/>
    <w:rsid w:val="00E34ABC"/>
    <w:rsid w:val="00E34C7F"/>
    <w:rsid w:val="00E34D08"/>
    <w:rsid w:val="00E3508B"/>
    <w:rsid w:val="00E3552F"/>
    <w:rsid w:val="00E3566A"/>
    <w:rsid w:val="00E35A52"/>
    <w:rsid w:val="00E35BB2"/>
    <w:rsid w:val="00E3662F"/>
    <w:rsid w:val="00E36798"/>
    <w:rsid w:val="00E3701A"/>
    <w:rsid w:val="00E372F3"/>
    <w:rsid w:val="00E372FD"/>
    <w:rsid w:val="00E37A5E"/>
    <w:rsid w:val="00E37A72"/>
    <w:rsid w:val="00E37EB3"/>
    <w:rsid w:val="00E40070"/>
    <w:rsid w:val="00E4013A"/>
    <w:rsid w:val="00E4029B"/>
    <w:rsid w:val="00E4086A"/>
    <w:rsid w:val="00E41547"/>
    <w:rsid w:val="00E41A35"/>
    <w:rsid w:val="00E41B0E"/>
    <w:rsid w:val="00E41B7B"/>
    <w:rsid w:val="00E41DFB"/>
    <w:rsid w:val="00E42280"/>
    <w:rsid w:val="00E428BA"/>
    <w:rsid w:val="00E429FB"/>
    <w:rsid w:val="00E42B15"/>
    <w:rsid w:val="00E433E9"/>
    <w:rsid w:val="00E435BB"/>
    <w:rsid w:val="00E436D9"/>
    <w:rsid w:val="00E438B2"/>
    <w:rsid w:val="00E44045"/>
    <w:rsid w:val="00E443CC"/>
    <w:rsid w:val="00E446D2"/>
    <w:rsid w:val="00E449D1"/>
    <w:rsid w:val="00E44B05"/>
    <w:rsid w:val="00E44E40"/>
    <w:rsid w:val="00E44E99"/>
    <w:rsid w:val="00E457BA"/>
    <w:rsid w:val="00E45955"/>
    <w:rsid w:val="00E45E09"/>
    <w:rsid w:val="00E45E68"/>
    <w:rsid w:val="00E46229"/>
    <w:rsid w:val="00E4635B"/>
    <w:rsid w:val="00E4651E"/>
    <w:rsid w:val="00E465A7"/>
    <w:rsid w:val="00E466BF"/>
    <w:rsid w:val="00E467DA"/>
    <w:rsid w:val="00E46CAB"/>
    <w:rsid w:val="00E471B0"/>
    <w:rsid w:val="00E4756F"/>
    <w:rsid w:val="00E47DAA"/>
    <w:rsid w:val="00E50745"/>
    <w:rsid w:val="00E50747"/>
    <w:rsid w:val="00E5098F"/>
    <w:rsid w:val="00E50F05"/>
    <w:rsid w:val="00E51711"/>
    <w:rsid w:val="00E518DB"/>
    <w:rsid w:val="00E527B7"/>
    <w:rsid w:val="00E527C9"/>
    <w:rsid w:val="00E52A9E"/>
    <w:rsid w:val="00E52E13"/>
    <w:rsid w:val="00E52F4E"/>
    <w:rsid w:val="00E53097"/>
    <w:rsid w:val="00E5409C"/>
    <w:rsid w:val="00E54445"/>
    <w:rsid w:val="00E54838"/>
    <w:rsid w:val="00E54A47"/>
    <w:rsid w:val="00E553AA"/>
    <w:rsid w:val="00E55B96"/>
    <w:rsid w:val="00E55E7F"/>
    <w:rsid w:val="00E56EDC"/>
    <w:rsid w:val="00E573F9"/>
    <w:rsid w:val="00E57714"/>
    <w:rsid w:val="00E57AC7"/>
    <w:rsid w:val="00E57B25"/>
    <w:rsid w:val="00E57EEE"/>
    <w:rsid w:val="00E60843"/>
    <w:rsid w:val="00E60979"/>
    <w:rsid w:val="00E60998"/>
    <w:rsid w:val="00E60ACF"/>
    <w:rsid w:val="00E60B1E"/>
    <w:rsid w:val="00E60CBA"/>
    <w:rsid w:val="00E6149F"/>
    <w:rsid w:val="00E61A31"/>
    <w:rsid w:val="00E61A83"/>
    <w:rsid w:val="00E61CD7"/>
    <w:rsid w:val="00E62063"/>
    <w:rsid w:val="00E621C3"/>
    <w:rsid w:val="00E62873"/>
    <w:rsid w:val="00E62D29"/>
    <w:rsid w:val="00E62D6A"/>
    <w:rsid w:val="00E63495"/>
    <w:rsid w:val="00E637C0"/>
    <w:rsid w:val="00E63D60"/>
    <w:rsid w:val="00E63E2E"/>
    <w:rsid w:val="00E645E0"/>
    <w:rsid w:val="00E64C33"/>
    <w:rsid w:val="00E64F73"/>
    <w:rsid w:val="00E657AB"/>
    <w:rsid w:val="00E660DE"/>
    <w:rsid w:val="00E66839"/>
    <w:rsid w:val="00E6685C"/>
    <w:rsid w:val="00E6732A"/>
    <w:rsid w:val="00E67ABE"/>
    <w:rsid w:val="00E67B9A"/>
    <w:rsid w:val="00E707F5"/>
    <w:rsid w:val="00E7128F"/>
    <w:rsid w:val="00E71D15"/>
    <w:rsid w:val="00E72270"/>
    <w:rsid w:val="00E7245F"/>
    <w:rsid w:val="00E725A5"/>
    <w:rsid w:val="00E727B5"/>
    <w:rsid w:val="00E729B1"/>
    <w:rsid w:val="00E72B47"/>
    <w:rsid w:val="00E72E0D"/>
    <w:rsid w:val="00E737EF"/>
    <w:rsid w:val="00E73D4F"/>
    <w:rsid w:val="00E73D60"/>
    <w:rsid w:val="00E74097"/>
    <w:rsid w:val="00E74C3B"/>
    <w:rsid w:val="00E74DFC"/>
    <w:rsid w:val="00E74E47"/>
    <w:rsid w:val="00E758A5"/>
    <w:rsid w:val="00E758B1"/>
    <w:rsid w:val="00E75DED"/>
    <w:rsid w:val="00E75E36"/>
    <w:rsid w:val="00E75F22"/>
    <w:rsid w:val="00E75F71"/>
    <w:rsid w:val="00E75FE3"/>
    <w:rsid w:val="00E76467"/>
    <w:rsid w:val="00E76759"/>
    <w:rsid w:val="00E7680E"/>
    <w:rsid w:val="00E76ACF"/>
    <w:rsid w:val="00E76C23"/>
    <w:rsid w:val="00E76E85"/>
    <w:rsid w:val="00E77048"/>
    <w:rsid w:val="00E7705F"/>
    <w:rsid w:val="00E77102"/>
    <w:rsid w:val="00E772FD"/>
    <w:rsid w:val="00E7783C"/>
    <w:rsid w:val="00E77963"/>
    <w:rsid w:val="00E77B9D"/>
    <w:rsid w:val="00E77F51"/>
    <w:rsid w:val="00E77FC7"/>
    <w:rsid w:val="00E80191"/>
    <w:rsid w:val="00E80998"/>
    <w:rsid w:val="00E80DEE"/>
    <w:rsid w:val="00E818A2"/>
    <w:rsid w:val="00E81B0C"/>
    <w:rsid w:val="00E8202E"/>
    <w:rsid w:val="00E82043"/>
    <w:rsid w:val="00E82BA7"/>
    <w:rsid w:val="00E82E1F"/>
    <w:rsid w:val="00E82F35"/>
    <w:rsid w:val="00E82F7B"/>
    <w:rsid w:val="00E83192"/>
    <w:rsid w:val="00E8328F"/>
    <w:rsid w:val="00E83720"/>
    <w:rsid w:val="00E839F3"/>
    <w:rsid w:val="00E845A0"/>
    <w:rsid w:val="00E84DA0"/>
    <w:rsid w:val="00E84DC8"/>
    <w:rsid w:val="00E84FAD"/>
    <w:rsid w:val="00E853B9"/>
    <w:rsid w:val="00E8570A"/>
    <w:rsid w:val="00E85839"/>
    <w:rsid w:val="00E85CC2"/>
    <w:rsid w:val="00E85F10"/>
    <w:rsid w:val="00E86007"/>
    <w:rsid w:val="00E86CB7"/>
    <w:rsid w:val="00E86E7A"/>
    <w:rsid w:val="00E86F8C"/>
    <w:rsid w:val="00E87324"/>
    <w:rsid w:val="00E87497"/>
    <w:rsid w:val="00E87987"/>
    <w:rsid w:val="00E87F8A"/>
    <w:rsid w:val="00E87FCD"/>
    <w:rsid w:val="00E903A8"/>
    <w:rsid w:val="00E90B6F"/>
    <w:rsid w:val="00E911C0"/>
    <w:rsid w:val="00E9122F"/>
    <w:rsid w:val="00E918E6"/>
    <w:rsid w:val="00E91C58"/>
    <w:rsid w:val="00E9250C"/>
    <w:rsid w:val="00E9297C"/>
    <w:rsid w:val="00E92994"/>
    <w:rsid w:val="00E92C77"/>
    <w:rsid w:val="00E92C99"/>
    <w:rsid w:val="00E9301C"/>
    <w:rsid w:val="00E93D36"/>
    <w:rsid w:val="00E940DB"/>
    <w:rsid w:val="00E94310"/>
    <w:rsid w:val="00E94A6A"/>
    <w:rsid w:val="00E9529C"/>
    <w:rsid w:val="00E957F8"/>
    <w:rsid w:val="00E95B5A"/>
    <w:rsid w:val="00E96231"/>
    <w:rsid w:val="00E968E3"/>
    <w:rsid w:val="00E96997"/>
    <w:rsid w:val="00E96B5F"/>
    <w:rsid w:val="00E97660"/>
    <w:rsid w:val="00E977CB"/>
    <w:rsid w:val="00E97B57"/>
    <w:rsid w:val="00E97D3C"/>
    <w:rsid w:val="00EA03CF"/>
    <w:rsid w:val="00EA0505"/>
    <w:rsid w:val="00EA08C9"/>
    <w:rsid w:val="00EA1051"/>
    <w:rsid w:val="00EA1872"/>
    <w:rsid w:val="00EA1BA0"/>
    <w:rsid w:val="00EA1BCF"/>
    <w:rsid w:val="00EA2375"/>
    <w:rsid w:val="00EA251B"/>
    <w:rsid w:val="00EA270D"/>
    <w:rsid w:val="00EA2871"/>
    <w:rsid w:val="00EA2A22"/>
    <w:rsid w:val="00EA2B3B"/>
    <w:rsid w:val="00EA2C9B"/>
    <w:rsid w:val="00EA2FD5"/>
    <w:rsid w:val="00EA300A"/>
    <w:rsid w:val="00EA310E"/>
    <w:rsid w:val="00EA34C0"/>
    <w:rsid w:val="00EA3F07"/>
    <w:rsid w:val="00EA47FA"/>
    <w:rsid w:val="00EA4D58"/>
    <w:rsid w:val="00EA5512"/>
    <w:rsid w:val="00EA5834"/>
    <w:rsid w:val="00EA5972"/>
    <w:rsid w:val="00EA5DCA"/>
    <w:rsid w:val="00EA6427"/>
    <w:rsid w:val="00EA6565"/>
    <w:rsid w:val="00EA658B"/>
    <w:rsid w:val="00EA68C9"/>
    <w:rsid w:val="00EA7112"/>
    <w:rsid w:val="00EA74E8"/>
    <w:rsid w:val="00EA760B"/>
    <w:rsid w:val="00EA77E8"/>
    <w:rsid w:val="00EA7912"/>
    <w:rsid w:val="00EB003F"/>
    <w:rsid w:val="00EB011D"/>
    <w:rsid w:val="00EB088F"/>
    <w:rsid w:val="00EB0A3C"/>
    <w:rsid w:val="00EB0F69"/>
    <w:rsid w:val="00EB1067"/>
    <w:rsid w:val="00EB176E"/>
    <w:rsid w:val="00EB1BB4"/>
    <w:rsid w:val="00EB202D"/>
    <w:rsid w:val="00EB2C4E"/>
    <w:rsid w:val="00EB2C70"/>
    <w:rsid w:val="00EB2F70"/>
    <w:rsid w:val="00EB30BF"/>
    <w:rsid w:val="00EB32C0"/>
    <w:rsid w:val="00EB47A7"/>
    <w:rsid w:val="00EB47E3"/>
    <w:rsid w:val="00EB47F0"/>
    <w:rsid w:val="00EB5080"/>
    <w:rsid w:val="00EB5850"/>
    <w:rsid w:val="00EB599B"/>
    <w:rsid w:val="00EB6474"/>
    <w:rsid w:val="00EB6747"/>
    <w:rsid w:val="00EB721B"/>
    <w:rsid w:val="00EB73A7"/>
    <w:rsid w:val="00EB7516"/>
    <w:rsid w:val="00EB753F"/>
    <w:rsid w:val="00EB7966"/>
    <w:rsid w:val="00EB79F8"/>
    <w:rsid w:val="00EC0038"/>
    <w:rsid w:val="00EC06EB"/>
    <w:rsid w:val="00EC0BC9"/>
    <w:rsid w:val="00EC0D48"/>
    <w:rsid w:val="00EC0E0A"/>
    <w:rsid w:val="00EC1110"/>
    <w:rsid w:val="00EC1575"/>
    <w:rsid w:val="00EC1948"/>
    <w:rsid w:val="00EC1AAA"/>
    <w:rsid w:val="00EC1BDB"/>
    <w:rsid w:val="00EC26D0"/>
    <w:rsid w:val="00EC2729"/>
    <w:rsid w:val="00EC2846"/>
    <w:rsid w:val="00EC2888"/>
    <w:rsid w:val="00EC29A2"/>
    <w:rsid w:val="00EC2EB5"/>
    <w:rsid w:val="00EC3861"/>
    <w:rsid w:val="00EC3D93"/>
    <w:rsid w:val="00EC4079"/>
    <w:rsid w:val="00EC422F"/>
    <w:rsid w:val="00EC4242"/>
    <w:rsid w:val="00EC424D"/>
    <w:rsid w:val="00EC432F"/>
    <w:rsid w:val="00EC4C0F"/>
    <w:rsid w:val="00EC51A6"/>
    <w:rsid w:val="00EC5358"/>
    <w:rsid w:val="00EC5F54"/>
    <w:rsid w:val="00EC6542"/>
    <w:rsid w:val="00EC6C08"/>
    <w:rsid w:val="00EC714A"/>
    <w:rsid w:val="00EC7750"/>
    <w:rsid w:val="00EC79EA"/>
    <w:rsid w:val="00ED04B3"/>
    <w:rsid w:val="00ED0AD2"/>
    <w:rsid w:val="00ED0E48"/>
    <w:rsid w:val="00ED16DD"/>
    <w:rsid w:val="00ED20D3"/>
    <w:rsid w:val="00ED20E2"/>
    <w:rsid w:val="00ED21E1"/>
    <w:rsid w:val="00ED22A3"/>
    <w:rsid w:val="00ED2F02"/>
    <w:rsid w:val="00ED3D1A"/>
    <w:rsid w:val="00ED4858"/>
    <w:rsid w:val="00ED57DC"/>
    <w:rsid w:val="00ED5B66"/>
    <w:rsid w:val="00ED5FEA"/>
    <w:rsid w:val="00ED6664"/>
    <w:rsid w:val="00ED6843"/>
    <w:rsid w:val="00ED6A6D"/>
    <w:rsid w:val="00ED6AD0"/>
    <w:rsid w:val="00ED7140"/>
    <w:rsid w:val="00ED7334"/>
    <w:rsid w:val="00ED7478"/>
    <w:rsid w:val="00EE001B"/>
    <w:rsid w:val="00EE0242"/>
    <w:rsid w:val="00EE05E5"/>
    <w:rsid w:val="00EE05E9"/>
    <w:rsid w:val="00EE0892"/>
    <w:rsid w:val="00EE0B35"/>
    <w:rsid w:val="00EE1D5F"/>
    <w:rsid w:val="00EE1DC3"/>
    <w:rsid w:val="00EE21F2"/>
    <w:rsid w:val="00EE35C6"/>
    <w:rsid w:val="00EE3632"/>
    <w:rsid w:val="00EE368C"/>
    <w:rsid w:val="00EE3C25"/>
    <w:rsid w:val="00EE41D9"/>
    <w:rsid w:val="00EE4673"/>
    <w:rsid w:val="00EE5755"/>
    <w:rsid w:val="00EE5A39"/>
    <w:rsid w:val="00EE614D"/>
    <w:rsid w:val="00EE6710"/>
    <w:rsid w:val="00EE75DB"/>
    <w:rsid w:val="00EE7A74"/>
    <w:rsid w:val="00EE7C1C"/>
    <w:rsid w:val="00EF0187"/>
    <w:rsid w:val="00EF0456"/>
    <w:rsid w:val="00EF06D1"/>
    <w:rsid w:val="00EF07B1"/>
    <w:rsid w:val="00EF0BB6"/>
    <w:rsid w:val="00EF0DA4"/>
    <w:rsid w:val="00EF10E9"/>
    <w:rsid w:val="00EF1816"/>
    <w:rsid w:val="00EF22D8"/>
    <w:rsid w:val="00EF2320"/>
    <w:rsid w:val="00EF2480"/>
    <w:rsid w:val="00EF253D"/>
    <w:rsid w:val="00EF26D7"/>
    <w:rsid w:val="00EF26EC"/>
    <w:rsid w:val="00EF2A49"/>
    <w:rsid w:val="00EF2DBE"/>
    <w:rsid w:val="00EF3D04"/>
    <w:rsid w:val="00EF3D80"/>
    <w:rsid w:val="00EF3F3C"/>
    <w:rsid w:val="00EF410B"/>
    <w:rsid w:val="00EF41DA"/>
    <w:rsid w:val="00EF45CA"/>
    <w:rsid w:val="00EF4A60"/>
    <w:rsid w:val="00EF551D"/>
    <w:rsid w:val="00EF5AA8"/>
    <w:rsid w:val="00EF5EED"/>
    <w:rsid w:val="00EF6357"/>
    <w:rsid w:val="00EF658E"/>
    <w:rsid w:val="00EF6811"/>
    <w:rsid w:val="00EF6E1A"/>
    <w:rsid w:val="00EF6E6C"/>
    <w:rsid w:val="00EF6F1B"/>
    <w:rsid w:val="00EF6F42"/>
    <w:rsid w:val="00EF78DC"/>
    <w:rsid w:val="00EF79FA"/>
    <w:rsid w:val="00EF7EA6"/>
    <w:rsid w:val="00F0028B"/>
    <w:rsid w:val="00F0068A"/>
    <w:rsid w:val="00F00752"/>
    <w:rsid w:val="00F008E3"/>
    <w:rsid w:val="00F00998"/>
    <w:rsid w:val="00F009E6"/>
    <w:rsid w:val="00F00B50"/>
    <w:rsid w:val="00F00CA7"/>
    <w:rsid w:val="00F013F8"/>
    <w:rsid w:val="00F015EA"/>
    <w:rsid w:val="00F01823"/>
    <w:rsid w:val="00F01951"/>
    <w:rsid w:val="00F01B44"/>
    <w:rsid w:val="00F01FE8"/>
    <w:rsid w:val="00F0221E"/>
    <w:rsid w:val="00F0233A"/>
    <w:rsid w:val="00F02712"/>
    <w:rsid w:val="00F02869"/>
    <w:rsid w:val="00F02E74"/>
    <w:rsid w:val="00F04032"/>
    <w:rsid w:val="00F042F3"/>
    <w:rsid w:val="00F0438C"/>
    <w:rsid w:val="00F04703"/>
    <w:rsid w:val="00F04BA9"/>
    <w:rsid w:val="00F04E82"/>
    <w:rsid w:val="00F0537E"/>
    <w:rsid w:val="00F05543"/>
    <w:rsid w:val="00F057E1"/>
    <w:rsid w:val="00F05831"/>
    <w:rsid w:val="00F05A99"/>
    <w:rsid w:val="00F05CCD"/>
    <w:rsid w:val="00F062B3"/>
    <w:rsid w:val="00F064A2"/>
    <w:rsid w:val="00F06744"/>
    <w:rsid w:val="00F06D7D"/>
    <w:rsid w:val="00F072E0"/>
    <w:rsid w:val="00F07433"/>
    <w:rsid w:val="00F0769E"/>
    <w:rsid w:val="00F10F9E"/>
    <w:rsid w:val="00F11011"/>
    <w:rsid w:val="00F11081"/>
    <w:rsid w:val="00F1112F"/>
    <w:rsid w:val="00F111E2"/>
    <w:rsid w:val="00F11392"/>
    <w:rsid w:val="00F117B0"/>
    <w:rsid w:val="00F11D3B"/>
    <w:rsid w:val="00F11ECE"/>
    <w:rsid w:val="00F1200B"/>
    <w:rsid w:val="00F123C8"/>
    <w:rsid w:val="00F12C97"/>
    <w:rsid w:val="00F12E78"/>
    <w:rsid w:val="00F14603"/>
    <w:rsid w:val="00F14635"/>
    <w:rsid w:val="00F149D8"/>
    <w:rsid w:val="00F15330"/>
    <w:rsid w:val="00F154C8"/>
    <w:rsid w:val="00F1574D"/>
    <w:rsid w:val="00F1587F"/>
    <w:rsid w:val="00F15F98"/>
    <w:rsid w:val="00F160CF"/>
    <w:rsid w:val="00F163B1"/>
    <w:rsid w:val="00F16407"/>
    <w:rsid w:val="00F17312"/>
    <w:rsid w:val="00F1739E"/>
    <w:rsid w:val="00F1775E"/>
    <w:rsid w:val="00F17869"/>
    <w:rsid w:val="00F17876"/>
    <w:rsid w:val="00F17B64"/>
    <w:rsid w:val="00F17C61"/>
    <w:rsid w:val="00F20433"/>
    <w:rsid w:val="00F208BF"/>
    <w:rsid w:val="00F20960"/>
    <w:rsid w:val="00F21024"/>
    <w:rsid w:val="00F21808"/>
    <w:rsid w:val="00F2192A"/>
    <w:rsid w:val="00F21C1D"/>
    <w:rsid w:val="00F21FD6"/>
    <w:rsid w:val="00F2243C"/>
    <w:rsid w:val="00F229FA"/>
    <w:rsid w:val="00F22A82"/>
    <w:rsid w:val="00F22F8A"/>
    <w:rsid w:val="00F233BD"/>
    <w:rsid w:val="00F24111"/>
    <w:rsid w:val="00F24186"/>
    <w:rsid w:val="00F24309"/>
    <w:rsid w:val="00F24374"/>
    <w:rsid w:val="00F24A47"/>
    <w:rsid w:val="00F251CD"/>
    <w:rsid w:val="00F2541D"/>
    <w:rsid w:val="00F25428"/>
    <w:rsid w:val="00F255D2"/>
    <w:rsid w:val="00F260C9"/>
    <w:rsid w:val="00F26CCB"/>
    <w:rsid w:val="00F26CED"/>
    <w:rsid w:val="00F26EB6"/>
    <w:rsid w:val="00F27814"/>
    <w:rsid w:val="00F301C3"/>
    <w:rsid w:val="00F306C2"/>
    <w:rsid w:val="00F307FD"/>
    <w:rsid w:val="00F30DA5"/>
    <w:rsid w:val="00F31350"/>
    <w:rsid w:val="00F3178D"/>
    <w:rsid w:val="00F317E7"/>
    <w:rsid w:val="00F31973"/>
    <w:rsid w:val="00F32075"/>
    <w:rsid w:val="00F320C3"/>
    <w:rsid w:val="00F32219"/>
    <w:rsid w:val="00F3260D"/>
    <w:rsid w:val="00F3279F"/>
    <w:rsid w:val="00F328C4"/>
    <w:rsid w:val="00F3297B"/>
    <w:rsid w:val="00F32C94"/>
    <w:rsid w:val="00F32E74"/>
    <w:rsid w:val="00F3364C"/>
    <w:rsid w:val="00F33EFE"/>
    <w:rsid w:val="00F3461A"/>
    <w:rsid w:val="00F34CE7"/>
    <w:rsid w:val="00F35093"/>
    <w:rsid w:val="00F355E8"/>
    <w:rsid w:val="00F3585E"/>
    <w:rsid w:val="00F35A90"/>
    <w:rsid w:val="00F35FD3"/>
    <w:rsid w:val="00F3615C"/>
    <w:rsid w:val="00F366E9"/>
    <w:rsid w:val="00F367FA"/>
    <w:rsid w:val="00F36C75"/>
    <w:rsid w:val="00F370DD"/>
    <w:rsid w:val="00F37735"/>
    <w:rsid w:val="00F4088B"/>
    <w:rsid w:val="00F409D3"/>
    <w:rsid w:val="00F40C4A"/>
    <w:rsid w:val="00F418FC"/>
    <w:rsid w:val="00F419EC"/>
    <w:rsid w:val="00F41E14"/>
    <w:rsid w:val="00F41E65"/>
    <w:rsid w:val="00F423D6"/>
    <w:rsid w:val="00F425AD"/>
    <w:rsid w:val="00F42AC3"/>
    <w:rsid w:val="00F42FAE"/>
    <w:rsid w:val="00F42FEB"/>
    <w:rsid w:val="00F431D3"/>
    <w:rsid w:val="00F44009"/>
    <w:rsid w:val="00F44110"/>
    <w:rsid w:val="00F44636"/>
    <w:rsid w:val="00F44B4B"/>
    <w:rsid w:val="00F44B76"/>
    <w:rsid w:val="00F44B83"/>
    <w:rsid w:val="00F44BF4"/>
    <w:rsid w:val="00F44E52"/>
    <w:rsid w:val="00F44F05"/>
    <w:rsid w:val="00F4501D"/>
    <w:rsid w:val="00F45622"/>
    <w:rsid w:val="00F45A5B"/>
    <w:rsid w:val="00F45AD4"/>
    <w:rsid w:val="00F45E4E"/>
    <w:rsid w:val="00F45F37"/>
    <w:rsid w:val="00F4683F"/>
    <w:rsid w:val="00F46D44"/>
    <w:rsid w:val="00F46DD8"/>
    <w:rsid w:val="00F47BA0"/>
    <w:rsid w:val="00F47C4B"/>
    <w:rsid w:val="00F50368"/>
    <w:rsid w:val="00F50371"/>
    <w:rsid w:val="00F509DC"/>
    <w:rsid w:val="00F51188"/>
    <w:rsid w:val="00F51B70"/>
    <w:rsid w:val="00F51DAE"/>
    <w:rsid w:val="00F51E78"/>
    <w:rsid w:val="00F5272D"/>
    <w:rsid w:val="00F53321"/>
    <w:rsid w:val="00F53403"/>
    <w:rsid w:val="00F5340A"/>
    <w:rsid w:val="00F536C7"/>
    <w:rsid w:val="00F5396A"/>
    <w:rsid w:val="00F53DA3"/>
    <w:rsid w:val="00F53DCC"/>
    <w:rsid w:val="00F53EDB"/>
    <w:rsid w:val="00F54016"/>
    <w:rsid w:val="00F5490C"/>
    <w:rsid w:val="00F54CAB"/>
    <w:rsid w:val="00F54DC1"/>
    <w:rsid w:val="00F5525B"/>
    <w:rsid w:val="00F55322"/>
    <w:rsid w:val="00F55361"/>
    <w:rsid w:val="00F55412"/>
    <w:rsid w:val="00F5549F"/>
    <w:rsid w:val="00F55A5C"/>
    <w:rsid w:val="00F55AE6"/>
    <w:rsid w:val="00F55B9E"/>
    <w:rsid w:val="00F560F7"/>
    <w:rsid w:val="00F56862"/>
    <w:rsid w:val="00F56A5C"/>
    <w:rsid w:val="00F56C72"/>
    <w:rsid w:val="00F57BE6"/>
    <w:rsid w:val="00F60335"/>
    <w:rsid w:val="00F60480"/>
    <w:rsid w:val="00F60989"/>
    <w:rsid w:val="00F609C4"/>
    <w:rsid w:val="00F6188C"/>
    <w:rsid w:val="00F61A2D"/>
    <w:rsid w:val="00F61B17"/>
    <w:rsid w:val="00F62374"/>
    <w:rsid w:val="00F627E4"/>
    <w:rsid w:val="00F62906"/>
    <w:rsid w:val="00F62A7A"/>
    <w:rsid w:val="00F63250"/>
    <w:rsid w:val="00F632E7"/>
    <w:rsid w:val="00F6371E"/>
    <w:rsid w:val="00F637A0"/>
    <w:rsid w:val="00F63B54"/>
    <w:rsid w:val="00F63BF0"/>
    <w:rsid w:val="00F64222"/>
    <w:rsid w:val="00F642C8"/>
    <w:rsid w:val="00F64B5B"/>
    <w:rsid w:val="00F64E25"/>
    <w:rsid w:val="00F652D5"/>
    <w:rsid w:val="00F653CC"/>
    <w:rsid w:val="00F655D0"/>
    <w:rsid w:val="00F65691"/>
    <w:rsid w:val="00F6622A"/>
    <w:rsid w:val="00F66251"/>
    <w:rsid w:val="00F66590"/>
    <w:rsid w:val="00F6687B"/>
    <w:rsid w:val="00F66FE3"/>
    <w:rsid w:val="00F67827"/>
    <w:rsid w:val="00F67A2D"/>
    <w:rsid w:val="00F67BF1"/>
    <w:rsid w:val="00F67C54"/>
    <w:rsid w:val="00F70095"/>
    <w:rsid w:val="00F70A23"/>
    <w:rsid w:val="00F71661"/>
    <w:rsid w:val="00F72031"/>
    <w:rsid w:val="00F7215D"/>
    <w:rsid w:val="00F72261"/>
    <w:rsid w:val="00F72288"/>
    <w:rsid w:val="00F72E13"/>
    <w:rsid w:val="00F733FE"/>
    <w:rsid w:val="00F73731"/>
    <w:rsid w:val="00F73CAB"/>
    <w:rsid w:val="00F74099"/>
    <w:rsid w:val="00F7453E"/>
    <w:rsid w:val="00F74CA4"/>
    <w:rsid w:val="00F754FA"/>
    <w:rsid w:val="00F75672"/>
    <w:rsid w:val="00F757D9"/>
    <w:rsid w:val="00F75DF4"/>
    <w:rsid w:val="00F7605B"/>
    <w:rsid w:val="00F76104"/>
    <w:rsid w:val="00F76668"/>
    <w:rsid w:val="00F76974"/>
    <w:rsid w:val="00F76FDD"/>
    <w:rsid w:val="00F7733B"/>
    <w:rsid w:val="00F77654"/>
    <w:rsid w:val="00F77746"/>
    <w:rsid w:val="00F77B23"/>
    <w:rsid w:val="00F80C37"/>
    <w:rsid w:val="00F81256"/>
    <w:rsid w:val="00F81462"/>
    <w:rsid w:val="00F8147B"/>
    <w:rsid w:val="00F81563"/>
    <w:rsid w:val="00F81ADC"/>
    <w:rsid w:val="00F81D85"/>
    <w:rsid w:val="00F8201E"/>
    <w:rsid w:val="00F82430"/>
    <w:rsid w:val="00F82506"/>
    <w:rsid w:val="00F82763"/>
    <w:rsid w:val="00F827E5"/>
    <w:rsid w:val="00F82E4A"/>
    <w:rsid w:val="00F8385D"/>
    <w:rsid w:val="00F8426F"/>
    <w:rsid w:val="00F84412"/>
    <w:rsid w:val="00F849F7"/>
    <w:rsid w:val="00F84F4F"/>
    <w:rsid w:val="00F851AF"/>
    <w:rsid w:val="00F8534F"/>
    <w:rsid w:val="00F8553E"/>
    <w:rsid w:val="00F85F20"/>
    <w:rsid w:val="00F862B7"/>
    <w:rsid w:val="00F86AA6"/>
    <w:rsid w:val="00F86BD2"/>
    <w:rsid w:val="00F870FD"/>
    <w:rsid w:val="00F872A3"/>
    <w:rsid w:val="00F8753E"/>
    <w:rsid w:val="00F87960"/>
    <w:rsid w:val="00F87CE2"/>
    <w:rsid w:val="00F90162"/>
    <w:rsid w:val="00F90D93"/>
    <w:rsid w:val="00F91842"/>
    <w:rsid w:val="00F91B11"/>
    <w:rsid w:val="00F91D50"/>
    <w:rsid w:val="00F92573"/>
    <w:rsid w:val="00F926B6"/>
    <w:rsid w:val="00F932A9"/>
    <w:rsid w:val="00F937FA"/>
    <w:rsid w:val="00F93A1C"/>
    <w:rsid w:val="00F93FFC"/>
    <w:rsid w:val="00F94127"/>
    <w:rsid w:val="00F9445B"/>
    <w:rsid w:val="00F94EF2"/>
    <w:rsid w:val="00F95216"/>
    <w:rsid w:val="00F953BD"/>
    <w:rsid w:val="00F95609"/>
    <w:rsid w:val="00F95A1F"/>
    <w:rsid w:val="00F95D16"/>
    <w:rsid w:val="00F95DFF"/>
    <w:rsid w:val="00F95F37"/>
    <w:rsid w:val="00F96308"/>
    <w:rsid w:val="00F9690D"/>
    <w:rsid w:val="00F96984"/>
    <w:rsid w:val="00F96D9C"/>
    <w:rsid w:val="00F973AF"/>
    <w:rsid w:val="00F978E1"/>
    <w:rsid w:val="00F97B76"/>
    <w:rsid w:val="00F97BB7"/>
    <w:rsid w:val="00F97CD2"/>
    <w:rsid w:val="00F97E15"/>
    <w:rsid w:val="00FA0496"/>
    <w:rsid w:val="00FA0780"/>
    <w:rsid w:val="00FA0B5E"/>
    <w:rsid w:val="00FA1CAA"/>
    <w:rsid w:val="00FA1CED"/>
    <w:rsid w:val="00FA3120"/>
    <w:rsid w:val="00FA3578"/>
    <w:rsid w:val="00FA372B"/>
    <w:rsid w:val="00FA37E5"/>
    <w:rsid w:val="00FA3B22"/>
    <w:rsid w:val="00FA44F4"/>
    <w:rsid w:val="00FA45B2"/>
    <w:rsid w:val="00FA5762"/>
    <w:rsid w:val="00FA5BCB"/>
    <w:rsid w:val="00FA62E1"/>
    <w:rsid w:val="00FA6AC6"/>
    <w:rsid w:val="00FA6D4B"/>
    <w:rsid w:val="00FA6EE7"/>
    <w:rsid w:val="00FA6EF2"/>
    <w:rsid w:val="00FA72D0"/>
    <w:rsid w:val="00FA7451"/>
    <w:rsid w:val="00FA796D"/>
    <w:rsid w:val="00FB0457"/>
    <w:rsid w:val="00FB09F4"/>
    <w:rsid w:val="00FB0C59"/>
    <w:rsid w:val="00FB0DAF"/>
    <w:rsid w:val="00FB12FA"/>
    <w:rsid w:val="00FB135C"/>
    <w:rsid w:val="00FB1F66"/>
    <w:rsid w:val="00FB22E2"/>
    <w:rsid w:val="00FB2A92"/>
    <w:rsid w:val="00FB2C42"/>
    <w:rsid w:val="00FB2F77"/>
    <w:rsid w:val="00FB329B"/>
    <w:rsid w:val="00FB42D0"/>
    <w:rsid w:val="00FB448E"/>
    <w:rsid w:val="00FB4575"/>
    <w:rsid w:val="00FB45A9"/>
    <w:rsid w:val="00FB4753"/>
    <w:rsid w:val="00FB4CF3"/>
    <w:rsid w:val="00FB4EFF"/>
    <w:rsid w:val="00FB55F6"/>
    <w:rsid w:val="00FB5937"/>
    <w:rsid w:val="00FB5BD9"/>
    <w:rsid w:val="00FB6E91"/>
    <w:rsid w:val="00FB71A0"/>
    <w:rsid w:val="00FB7388"/>
    <w:rsid w:val="00FB7646"/>
    <w:rsid w:val="00FB7BFF"/>
    <w:rsid w:val="00FB7C32"/>
    <w:rsid w:val="00FB7E8D"/>
    <w:rsid w:val="00FC01FB"/>
    <w:rsid w:val="00FC025D"/>
    <w:rsid w:val="00FC0513"/>
    <w:rsid w:val="00FC078E"/>
    <w:rsid w:val="00FC114C"/>
    <w:rsid w:val="00FC15FD"/>
    <w:rsid w:val="00FC1BEB"/>
    <w:rsid w:val="00FC2013"/>
    <w:rsid w:val="00FC2529"/>
    <w:rsid w:val="00FC2693"/>
    <w:rsid w:val="00FC2FC5"/>
    <w:rsid w:val="00FC356D"/>
    <w:rsid w:val="00FC36A9"/>
    <w:rsid w:val="00FC38ED"/>
    <w:rsid w:val="00FC3D0B"/>
    <w:rsid w:val="00FC3FAB"/>
    <w:rsid w:val="00FC4C6B"/>
    <w:rsid w:val="00FC4EEF"/>
    <w:rsid w:val="00FC585C"/>
    <w:rsid w:val="00FC5A1D"/>
    <w:rsid w:val="00FC5EEA"/>
    <w:rsid w:val="00FC5FC3"/>
    <w:rsid w:val="00FC6175"/>
    <w:rsid w:val="00FC62C7"/>
    <w:rsid w:val="00FC6851"/>
    <w:rsid w:val="00FC6896"/>
    <w:rsid w:val="00FC6C23"/>
    <w:rsid w:val="00FC6D10"/>
    <w:rsid w:val="00FC71FA"/>
    <w:rsid w:val="00FC7243"/>
    <w:rsid w:val="00FC743C"/>
    <w:rsid w:val="00FC7682"/>
    <w:rsid w:val="00FD0405"/>
    <w:rsid w:val="00FD0600"/>
    <w:rsid w:val="00FD089A"/>
    <w:rsid w:val="00FD0A9C"/>
    <w:rsid w:val="00FD0D74"/>
    <w:rsid w:val="00FD1287"/>
    <w:rsid w:val="00FD16D5"/>
    <w:rsid w:val="00FD1BA7"/>
    <w:rsid w:val="00FD23E7"/>
    <w:rsid w:val="00FD2EC0"/>
    <w:rsid w:val="00FD2FFE"/>
    <w:rsid w:val="00FD3510"/>
    <w:rsid w:val="00FD3C23"/>
    <w:rsid w:val="00FD40CB"/>
    <w:rsid w:val="00FD456A"/>
    <w:rsid w:val="00FD4D5B"/>
    <w:rsid w:val="00FD4D86"/>
    <w:rsid w:val="00FD4F94"/>
    <w:rsid w:val="00FD5229"/>
    <w:rsid w:val="00FD531C"/>
    <w:rsid w:val="00FD54FD"/>
    <w:rsid w:val="00FD56CB"/>
    <w:rsid w:val="00FD5760"/>
    <w:rsid w:val="00FD589D"/>
    <w:rsid w:val="00FD5C97"/>
    <w:rsid w:val="00FD6285"/>
    <w:rsid w:val="00FD6952"/>
    <w:rsid w:val="00FD6C16"/>
    <w:rsid w:val="00FD6EBB"/>
    <w:rsid w:val="00FD7633"/>
    <w:rsid w:val="00FE02A1"/>
    <w:rsid w:val="00FE0321"/>
    <w:rsid w:val="00FE0849"/>
    <w:rsid w:val="00FE0C7B"/>
    <w:rsid w:val="00FE0C9F"/>
    <w:rsid w:val="00FE108B"/>
    <w:rsid w:val="00FE1183"/>
    <w:rsid w:val="00FE1502"/>
    <w:rsid w:val="00FE1643"/>
    <w:rsid w:val="00FE1665"/>
    <w:rsid w:val="00FE1D1C"/>
    <w:rsid w:val="00FE1EA1"/>
    <w:rsid w:val="00FE200B"/>
    <w:rsid w:val="00FE20D5"/>
    <w:rsid w:val="00FE243B"/>
    <w:rsid w:val="00FE2A9D"/>
    <w:rsid w:val="00FE2B06"/>
    <w:rsid w:val="00FE33B6"/>
    <w:rsid w:val="00FE377B"/>
    <w:rsid w:val="00FE388A"/>
    <w:rsid w:val="00FE3A8B"/>
    <w:rsid w:val="00FE3D82"/>
    <w:rsid w:val="00FE4661"/>
    <w:rsid w:val="00FE47BA"/>
    <w:rsid w:val="00FE48F6"/>
    <w:rsid w:val="00FE4DC8"/>
    <w:rsid w:val="00FE4E1F"/>
    <w:rsid w:val="00FE59CD"/>
    <w:rsid w:val="00FE5E8B"/>
    <w:rsid w:val="00FE5F31"/>
    <w:rsid w:val="00FE661A"/>
    <w:rsid w:val="00FE6E5B"/>
    <w:rsid w:val="00FE728C"/>
    <w:rsid w:val="00FE72C8"/>
    <w:rsid w:val="00FE72E8"/>
    <w:rsid w:val="00FF00B3"/>
    <w:rsid w:val="00FF0550"/>
    <w:rsid w:val="00FF0984"/>
    <w:rsid w:val="00FF0A5B"/>
    <w:rsid w:val="00FF0D43"/>
    <w:rsid w:val="00FF0EEA"/>
    <w:rsid w:val="00FF1447"/>
    <w:rsid w:val="00FF19AE"/>
    <w:rsid w:val="00FF1CC7"/>
    <w:rsid w:val="00FF23CC"/>
    <w:rsid w:val="00FF3283"/>
    <w:rsid w:val="00FF357F"/>
    <w:rsid w:val="00FF36F7"/>
    <w:rsid w:val="00FF3741"/>
    <w:rsid w:val="00FF4093"/>
    <w:rsid w:val="00FF40F3"/>
    <w:rsid w:val="00FF4904"/>
    <w:rsid w:val="00FF4EE8"/>
    <w:rsid w:val="00FF517C"/>
    <w:rsid w:val="00FF53C3"/>
    <w:rsid w:val="00FF5A92"/>
    <w:rsid w:val="00FF6044"/>
    <w:rsid w:val="00FF6706"/>
    <w:rsid w:val="00FF68F6"/>
    <w:rsid w:val="00FF69C5"/>
    <w:rsid w:val="00FF6AC7"/>
    <w:rsid w:val="00FF6B60"/>
    <w:rsid w:val="00FF6B6F"/>
    <w:rsid w:val="00FF72EE"/>
    <w:rsid w:val="00FF73B6"/>
    <w:rsid w:val="00FF7449"/>
    <w:rsid w:val="00FF770E"/>
    <w:rsid w:val="00FF7AFF"/>
    <w:rsid w:val="00FF7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594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caption" w:qFormat="1"/>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
    <w:basedOn w:val="Normal"/>
    <w:link w:val="BulletChar"/>
    <w:qFormat/>
    <w:rsid w:val="004D4273"/>
    <w:pPr>
      <w:ind w:left="283" w:hanging="283"/>
    </w:pPr>
  </w:style>
  <w:style w:type="character" w:customStyle="1" w:styleId="BulletChar">
    <w:name w:val="Bullet Char"/>
    <w:aliases w:val="b Char,b + line Char Char,b Char Char"/>
    <w:basedOn w:val="DefaultParagraphFont"/>
    <w:link w:val="Bullet"/>
    <w:rsid w:val="004D4273"/>
    <w:rPr>
      <w:rFonts w:ascii="Book Antiqua" w:hAnsi="Book Antiqua"/>
      <w:szCs w:val="24"/>
      <w:lang w:val="en-AU" w:eastAsia="en-US" w:bidi="ar-SA"/>
    </w:rPr>
  </w:style>
  <w:style w:type="paragraph" w:customStyle="1" w:styleId="Dash">
    <w:name w:val="Dash"/>
    <w:basedOn w:val="Normal"/>
    <w:rsid w:val="004D4273"/>
    <w:pPr>
      <w:ind w:left="567" w:hanging="283"/>
    </w:pPr>
  </w:style>
  <w:style w:type="paragraph" w:customStyle="1" w:styleId="DoubleDot">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uiPriority w:val="99"/>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0">
    <w:name w:val="Double Dot"/>
    <w:basedOn w:val="Normal"/>
    <w:rsid w:val="004D4273"/>
    <w:pPr>
      <w:tabs>
        <w:tab w:val="num" w:pos="1416"/>
      </w:tabs>
      <w:ind w:left="1416" w:hanging="472"/>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caption" w:qFormat="1"/>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
    <w:basedOn w:val="Normal"/>
    <w:link w:val="BulletChar"/>
    <w:qFormat/>
    <w:rsid w:val="004D4273"/>
    <w:pPr>
      <w:ind w:left="283" w:hanging="283"/>
    </w:pPr>
  </w:style>
  <w:style w:type="character" w:customStyle="1" w:styleId="BulletChar">
    <w:name w:val="Bullet Char"/>
    <w:aliases w:val="b Char,b + line Char Char,b Char Char"/>
    <w:basedOn w:val="DefaultParagraphFont"/>
    <w:link w:val="Bullet"/>
    <w:rsid w:val="004D4273"/>
    <w:rPr>
      <w:rFonts w:ascii="Book Antiqua" w:hAnsi="Book Antiqua"/>
      <w:szCs w:val="24"/>
      <w:lang w:val="en-AU" w:eastAsia="en-US" w:bidi="ar-SA"/>
    </w:rPr>
  </w:style>
  <w:style w:type="paragraph" w:customStyle="1" w:styleId="Dash">
    <w:name w:val="Dash"/>
    <w:basedOn w:val="Normal"/>
    <w:rsid w:val="004D4273"/>
    <w:pPr>
      <w:ind w:left="567" w:hanging="283"/>
    </w:pPr>
  </w:style>
  <w:style w:type="paragraph" w:customStyle="1" w:styleId="DoubleDot">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uiPriority w:val="99"/>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0">
    <w:name w:val="Double Dot"/>
    <w:basedOn w:val="Normal"/>
    <w:rsid w:val="004D4273"/>
    <w:pPr>
      <w:tabs>
        <w:tab w:val="num" w:pos="1416"/>
      </w:tabs>
      <w:ind w:left="1416" w:hanging="472"/>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45">
      <w:bodyDiv w:val="1"/>
      <w:marLeft w:val="0"/>
      <w:marRight w:val="0"/>
      <w:marTop w:val="0"/>
      <w:marBottom w:val="0"/>
      <w:divBdr>
        <w:top w:val="none" w:sz="0" w:space="0" w:color="auto"/>
        <w:left w:val="none" w:sz="0" w:space="0" w:color="auto"/>
        <w:bottom w:val="none" w:sz="0" w:space="0" w:color="auto"/>
        <w:right w:val="none" w:sz="0" w:space="0" w:color="auto"/>
      </w:divBdr>
    </w:div>
    <w:div w:id="45572165">
      <w:bodyDiv w:val="1"/>
      <w:marLeft w:val="0"/>
      <w:marRight w:val="0"/>
      <w:marTop w:val="0"/>
      <w:marBottom w:val="0"/>
      <w:divBdr>
        <w:top w:val="none" w:sz="0" w:space="0" w:color="auto"/>
        <w:left w:val="none" w:sz="0" w:space="0" w:color="auto"/>
        <w:bottom w:val="none" w:sz="0" w:space="0" w:color="auto"/>
        <w:right w:val="none" w:sz="0" w:space="0" w:color="auto"/>
      </w:divBdr>
    </w:div>
    <w:div w:id="71439013">
      <w:bodyDiv w:val="1"/>
      <w:marLeft w:val="0"/>
      <w:marRight w:val="0"/>
      <w:marTop w:val="0"/>
      <w:marBottom w:val="0"/>
      <w:divBdr>
        <w:top w:val="none" w:sz="0" w:space="0" w:color="auto"/>
        <w:left w:val="none" w:sz="0" w:space="0" w:color="auto"/>
        <w:bottom w:val="none" w:sz="0" w:space="0" w:color="auto"/>
        <w:right w:val="none" w:sz="0" w:space="0" w:color="auto"/>
      </w:divBdr>
    </w:div>
    <w:div w:id="82801437">
      <w:bodyDiv w:val="1"/>
      <w:marLeft w:val="0"/>
      <w:marRight w:val="0"/>
      <w:marTop w:val="0"/>
      <w:marBottom w:val="0"/>
      <w:divBdr>
        <w:top w:val="none" w:sz="0" w:space="0" w:color="auto"/>
        <w:left w:val="none" w:sz="0" w:space="0" w:color="auto"/>
        <w:bottom w:val="none" w:sz="0" w:space="0" w:color="auto"/>
        <w:right w:val="none" w:sz="0" w:space="0" w:color="auto"/>
      </w:divBdr>
    </w:div>
    <w:div w:id="95253877">
      <w:bodyDiv w:val="1"/>
      <w:marLeft w:val="0"/>
      <w:marRight w:val="0"/>
      <w:marTop w:val="0"/>
      <w:marBottom w:val="0"/>
      <w:divBdr>
        <w:top w:val="none" w:sz="0" w:space="0" w:color="auto"/>
        <w:left w:val="none" w:sz="0" w:space="0" w:color="auto"/>
        <w:bottom w:val="none" w:sz="0" w:space="0" w:color="auto"/>
        <w:right w:val="none" w:sz="0" w:space="0" w:color="auto"/>
      </w:divBdr>
    </w:div>
    <w:div w:id="134569407">
      <w:bodyDiv w:val="1"/>
      <w:marLeft w:val="0"/>
      <w:marRight w:val="0"/>
      <w:marTop w:val="0"/>
      <w:marBottom w:val="0"/>
      <w:divBdr>
        <w:top w:val="none" w:sz="0" w:space="0" w:color="auto"/>
        <w:left w:val="none" w:sz="0" w:space="0" w:color="auto"/>
        <w:bottom w:val="none" w:sz="0" w:space="0" w:color="auto"/>
        <w:right w:val="none" w:sz="0" w:space="0" w:color="auto"/>
      </w:divBdr>
    </w:div>
    <w:div w:id="136073614">
      <w:bodyDiv w:val="1"/>
      <w:marLeft w:val="0"/>
      <w:marRight w:val="0"/>
      <w:marTop w:val="0"/>
      <w:marBottom w:val="0"/>
      <w:divBdr>
        <w:top w:val="none" w:sz="0" w:space="0" w:color="auto"/>
        <w:left w:val="none" w:sz="0" w:space="0" w:color="auto"/>
        <w:bottom w:val="none" w:sz="0" w:space="0" w:color="auto"/>
        <w:right w:val="none" w:sz="0" w:space="0" w:color="auto"/>
      </w:divBdr>
    </w:div>
    <w:div w:id="226459535">
      <w:bodyDiv w:val="1"/>
      <w:marLeft w:val="0"/>
      <w:marRight w:val="0"/>
      <w:marTop w:val="0"/>
      <w:marBottom w:val="0"/>
      <w:divBdr>
        <w:top w:val="none" w:sz="0" w:space="0" w:color="auto"/>
        <w:left w:val="none" w:sz="0" w:space="0" w:color="auto"/>
        <w:bottom w:val="none" w:sz="0" w:space="0" w:color="auto"/>
        <w:right w:val="none" w:sz="0" w:space="0" w:color="auto"/>
      </w:divBdr>
    </w:div>
    <w:div w:id="241767038">
      <w:bodyDiv w:val="1"/>
      <w:marLeft w:val="0"/>
      <w:marRight w:val="0"/>
      <w:marTop w:val="0"/>
      <w:marBottom w:val="0"/>
      <w:divBdr>
        <w:top w:val="none" w:sz="0" w:space="0" w:color="auto"/>
        <w:left w:val="none" w:sz="0" w:space="0" w:color="auto"/>
        <w:bottom w:val="none" w:sz="0" w:space="0" w:color="auto"/>
        <w:right w:val="none" w:sz="0" w:space="0" w:color="auto"/>
      </w:divBdr>
    </w:div>
    <w:div w:id="244918012">
      <w:bodyDiv w:val="1"/>
      <w:marLeft w:val="0"/>
      <w:marRight w:val="0"/>
      <w:marTop w:val="0"/>
      <w:marBottom w:val="0"/>
      <w:divBdr>
        <w:top w:val="none" w:sz="0" w:space="0" w:color="auto"/>
        <w:left w:val="none" w:sz="0" w:space="0" w:color="auto"/>
        <w:bottom w:val="none" w:sz="0" w:space="0" w:color="auto"/>
        <w:right w:val="none" w:sz="0" w:space="0" w:color="auto"/>
      </w:divBdr>
    </w:div>
    <w:div w:id="335034351">
      <w:bodyDiv w:val="1"/>
      <w:marLeft w:val="0"/>
      <w:marRight w:val="0"/>
      <w:marTop w:val="0"/>
      <w:marBottom w:val="0"/>
      <w:divBdr>
        <w:top w:val="none" w:sz="0" w:space="0" w:color="auto"/>
        <w:left w:val="none" w:sz="0" w:space="0" w:color="auto"/>
        <w:bottom w:val="none" w:sz="0" w:space="0" w:color="auto"/>
        <w:right w:val="none" w:sz="0" w:space="0" w:color="auto"/>
      </w:divBdr>
    </w:div>
    <w:div w:id="386297414">
      <w:bodyDiv w:val="1"/>
      <w:marLeft w:val="30"/>
      <w:marRight w:val="30"/>
      <w:marTop w:val="0"/>
      <w:marBottom w:val="0"/>
      <w:divBdr>
        <w:top w:val="none" w:sz="0" w:space="0" w:color="auto"/>
        <w:left w:val="none" w:sz="0" w:space="0" w:color="auto"/>
        <w:bottom w:val="none" w:sz="0" w:space="0" w:color="auto"/>
        <w:right w:val="none" w:sz="0" w:space="0" w:color="auto"/>
      </w:divBdr>
      <w:divsChild>
        <w:div w:id="1259753094">
          <w:marLeft w:val="0"/>
          <w:marRight w:val="0"/>
          <w:marTop w:val="0"/>
          <w:marBottom w:val="0"/>
          <w:divBdr>
            <w:top w:val="none" w:sz="0" w:space="0" w:color="auto"/>
            <w:left w:val="none" w:sz="0" w:space="0" w:color="auto"/>
            <w:bottom w:val="none" w:sz="0" w:space="0" w:color="auto"/>
            <w:right w:val="none" w:sz="0" w:space="0" w:color="auto"/>
          </w:divBdr>
          <w:divsChild>
            <w:div w:id="2092505121">
              <w:marLeft w:val="0"/>
              <w:marRight w:val="0"/>
              <w:marTop w:val="0"/>
              <w:marBottom w:val="0"/>
              <w:divBdr>
                <w:top w:val="none" w:sz="0" w:space="0" w:color="auto"/>
                <w:left w:val="none" w:sz="0" w:space="0" w:color="auto"/>
                <w:bottom w:val="none" w:sz="0" w:space="0" w:color="auto"/>
                <w:right w:val="none" w:sz="0" w:space="0" w:color="auto"/>
              </w:divBdr>
              <w:divsChild>
                <w:div w:id="1786458409">
                  <w:marLeft w:val="180"/>
                  <w:marRight w:val="0"/>
                  <w:marTop w:val="0"/>
                  <w:marBottom w:val="0"/>
                  <w:divBdr>
                    <w:top w:val="none" w:sz="0" w:space="0" w:color="auto"/>
                    <w:left w:val="none" w:sz="0" w:space="0" w:color="auto"/>
                    <w:bottom w:val="none" w:sz="0" w:space="0" w:color="auto"/>
                    <w:right w:val="none" w:sz="0" w:space="0" w:color="auto"/>
                  </w:divBdr>
                  <w:divsChild>
                    <w:div w:id="1242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6199">
      <w:bodyDiv w:val="1"/>
      <w:marLeft w:val="0"/>
      <w:marRight w:val="0"/>
      <w:marTop w:val="0"/>
      <w:marBottom w:val="0"/>
      <w:divBdr>
        <w:top w:val="none" w:sz="0" w:space="0" w:color="auto"/>
        <w:left w:val="none" w:sz="0" w:space="0" w:color="auto"/>
        <w:bottom w:val="none" w:sz="0" w:space="0" w:color="auto"/>
        <w:right w:val="none" w:sz="0" w:space="0" w:color="auto"/>
      </w:divBdr>
    </w:div>
    <w:div w:id="450981573">
      <w:bodyDiv w:val="1"/>
      <w:marLeft w:val="0"/>
      <w:marRight w:val="0"/>
      <w:marTop w:val="0"/>
      <w:marBottom w:val="0"/>
      <w:divBdr>
        <w:top w:val="none" w:sz="0" w:space="0" w:color="auto"/>
        <w:left w:val="none" w:sz="0" w:space="0" w:color="auto"/>
        <w:bottom w:val="none" w:sz="0" w:space="0" w:color="auto"/>
        <w:right w:val="none" w:sz="0" w:space="0" w:color="auto"/>
      </w:divBdr>
    </w:div>
    <w:div w:id="456487533">
      <w:bodyDiv w:val="1"/>
      <w:marLeft w:val="0"/>
      <w:marRight w:val="0"/>
      <w:marTop w:val="0"/>
      <w:marBottom w:val="0"/>
      <w:divBdr>
        <w:top w:val="none" w:sz="0" w:space="0" w:color="auto"/>
        <w:left w:val="none" w:sz="0" w:space="0" w:color="auto"/>
        <w:bottom w:val="none" w:sz="0" w:space="0" w:color="auto"/>
        <w:right w:val="none" w:sz="0" w:space="0" w:color="auto"/>
      </w:divBdr>
    </w:div>
    <w:div w:id="474563406">
      <w:bodyDiv w:val="1"/>
      <w:marLeft w:val="0"/>
      <w:marRight w:val="0"/>
      <w:marTop w:val="0"/>
      <w:marBottom w:val="0"/>
      <w:divBdr>
        <w:top w:val="none" w:sz="0" w:space="0" w:color="auto"/>
        <w:left w:val="none" w:sz="0" w:space="0" w:color="auto"/>
        <w:bottom w:val="none" w:sz="0" w:space="0" w:color="auto"/>
        <w:right w:val="none" w:sz="0" w:space="0" w:color="auto"/>
      </w:divBdr>
    </w:div>
    <w:div w:id="505631887">
      <w:bodyDiv w:val="1"/>
      <w:marLeft w:val="0"/>
      <w:marRight w:val="0"/>
      <w:marTop w:val="0"/>
      <w:marBottom w:val="0"/>
      <w:divBdr>
        <w:top w:val="none" w:sz="0" w:space="0" w:color="auto"/>
        <w:left w:val="none" w:sz="0" w:space="0" w:color="auto"/>
        <w:bottom w:val="none" w:sz="0" w:space="0" w:color="auto"/>
        <w:right w:val="none" w:sz="0" w:space="0" w:color="auto"/>
      </w:divBdr>
    </w:div>
    <w:div w:id="524900413">
      <w:bodyDiv w:val="1"/>
      <w:marLeft w:val="0"/>
      <w:marRight w:val="0"/>
      <w:marTop w:val="0"/>
      <w:marBottom w:val="0"/>
      <w:divBdr>
        <w:top w:val="none" w:sz="0" w:space="0" w:color="auto"/>
        <w:left w:val="none" w:sz="0" w:space="0" w:color="auto"/>
        <w:bottom w:val="none" w:sz="0" w:space="0" w:color="auto"/>
        <w:right w:val="none" w:sz="0" w:space="0" w:color="auto"/>
      </w:divBdr>
    </w:div>
    <w:div w:id="527766693">
      <w:bodyDiv w:val="1"/>
      <w:marLeft w:val="0"/>
      <w:marRight w:val="0"/>
      <w:marTop w:val="0"/>
      <w:marBottom w:val="0"/>
      <w:divBdr>
        <w:top w:val="none" w:sz="0" w:space="0" w:color="auto"/>
        <w:left w:val="none" w:sz="0" w:space="0" w:color="auto"/>
        <w:bottom w:val="none" w:sz="0" w:space="0" w:color="auto"/>
        <w:right w:val="none" w:sz="0" w:space="0" w:color="auto"/>
      </w:divBdr>
    </w:div>
    <w:div w:id="616257216">
      <w:bodyDiv w:val="1"/>
      <w:marLeft w:val="0"/>
      <w:marRight w:val="0"/>
      <w:marTop w:val="0"/>
      <w:marBottom w:val="0"/>
      <w:divBdr>
        <w:top w:val="none" w:sz="0" w:space="0" w:color="auto"/>
        <w:left w:val="none" w:sz="0" w:space="0" w:color="auto"/>
        <w:bottom w:val="none" w:sz="0" w:space="0" w:color="auto"/>
        <w:right w:val="none" w:sz="0" w:space="0" w:color="auto"/>
      </w:divBdr>
    </w:div>
    <w:div w:id="639185883">
      <w:bodyDiv w:val="1"/>
      <w:marLeft w:val="0"/>
      <w:marRight w:val="0"/>
      <w:marTop w:val="0"/>
      <w:marBottom w:val="0"/>
      <w:divBdr>
        <w:top w:val="none" w:sz="0" w:space="0" w:color="auto"/>
        <w:left w:val="none" w:sz="0" w:space="0" w:color="auto"/>
        <w:bottom w:val="none" w:sz="0" w:space="0" w:color="auto"/>
        <w:right w:val="none" w:sz="0" w:space="0" w:color="auto"/>
      </w:divBdr>
    </w:div>
    <w:div w:id="667489967">
      <w:bodyDiv w:val="1"/>
      <w:marLeft w:val="0"/>
      <w:marRight w:val="0"/>
      <w:marTop w:val="0"/>
      <w:marBottom w:val="0"/>
      <w:divBdr>
        <w:top w:val="none" w:sz="0" w:space="0" w:color="auto"/>
        <w:left w:val="none" w:sz="0" w:space="0" w:color="auto"/>
        <w:bottom w:val="none" w:sz="0" w:space="0" w:color="auto"/>
        <w:right w:val="none" w:sz="0" w:space="0" w:color="auto"/>
      </w:divBdr>
    </w:div>
    <w:div w:id="750739089">
      <w:bodyDiv w:val="1"/>
      <w:marLeft w:val="0"/>
      <w:marRight w:val="0"/>
      <w:marTop w:val="0"/>
      <w:marBottom w:val="0"/>
      <w:divBdr>
        <w:top w:val="none" w:sz="0" w:space="0" w:color="auto"/>
        <w:left w:val="none" w:sz="0" w:space="0" w:color="auto"/>
        <w:bottom w:val="none" w:sz="0" w:space="0" w:color="auto"/>
        <w:right w:val="none" w:sz="0" w:space="0" w:color="auto"/>
      </w:divBdr>
      <w:divsChild>
        <w:div w:id="462385198">
          <w:marLeft w:val="0"/>
          <w:marRight w:val="0"/>
          <w:marTop w:val="0"/>
          <w:marBottom w:val="0"/>
          <w:divBdr>
            <w:top w:val="none" w:sz="0" w:space="0" w:color="auto"/>
            <w:left w:val="none" w:sz="0" w:space="0" w:color="auto"/>
            <w:bottom w:val="none" w:sz="0" w:space="0" w:color="auto"/>
            <w:right w:val="none" w:sz="0" w:space="0" w:color="auto"/>
          </w:divBdr>
        </w:div>
        <w:div w:id="829443472">
          <w:marLeft w:val="0"/>
          <w:marRight w:val="0"/>
          <w:marTop w:val="0"/>
          <w:marBottom w:val="0"/>
          <w:divBdr>
            <w:top w:val="none" w:sz="0" w:space="0" w:color="auto"/>
            <w:left w:val="none" w:sz="0" w:space="0" w:color="auto"/>
            <w:bottom w:val="none" w:sz="0" w:space="0" w:color="auto"/>
            <w:right w:val="none" w:sz="0" w:space="0" w:color="auto"/>
          </w:divBdr>
        </w:div>
        <w:div w:id="1280062580">
          <w:marLeft w:val="0"/>
          <w:marRight w:val="0"/>
          <w:marTop w:val="0"/>
          <w:marBottom w:val="0"/>
          <w:divBdr>
            <w:top w:val="none" w:sz="0" w:space="0" w:color="auto"/>
            <w:left w:val="none" w:sz="0" w:space="0" w:color="auto"/>
            <w:bottom w:val="none" w:sz="0" w:space="0" w:color="auto"/>
            <w:right w:val="none" w:sz="0" w:space="0" w:color="auto"/>
          </w:divBdr>
        </w:div>
        <w:div w:id="1676033566">
          <w:marLeft w:val="0"/>
          <w:marRight w:val="0"/>
          <w:marTop w:val="0"/>
          <w:marBottom w:val="0"/>
          <w:divBdr>
            <w:top w:val="none" w:sz="0" w:space="0" w:color="auto"/>
            <w:left w:val="none" w:sz="0" w:space="0" w:color="auto"/>
            <w:bottom w:val="none" w:sz="0" w:space="0" w:color="auto"/>
            <w:right w:val="none" w:sz="0" w:space="0" w:color="auto"/>
          </w:divBdr>
        </w:div>
        <w:div w:id="1688406028">
          <w:marLeft w:val="0"/>
          <w:marRight w:val="0"/>
          <w:marTop w:val="0"/>
          <w:marBottom w:val="0"/>
          <w:divBdr>
            <w:top w:val="none" w:sz="0" w:space="0" w:color="auto"/>
            <w:left w:val="none" w:sz="0" w:space="0" w:color="auto"/>
            <w:bottom w:val="none" w:sz="0" w:space="0" w:color="auto"/>
            <w:right w:val="none" w:sz="0" w:space="0" w:color="auto"/>
          </w:divBdr>
        </w:div>
      </w:divsChild>
    </w:div>
    <w:div w:id="784276412">
      <w:bodyDiv w:val="1"/>
      <w:marLeft w:val="30"/>
      <w:marRight w:val="30"/>
      <w:marTop w:val="0"/>
      <w:marBottom w:val="0"/>
      <w:divBdr>
        <w:top w:val="none" w:sz="0" w:space="0" w:color="auto"/>
        <w:left w:val="none" w:sz="0" w:space="0" w:color="auto"/>
        <w:bottom w:val="none" w:sz="0" w:space="0" w:color="auto"/>
        <w:right w:val="none" w:sz="0" w:space="0" w:color="auto"/>
      </w:divBdr>
      <w:divsChild>
        <w:div w:id="1559826564">
          <w:marLeft w:val="0"/>
          <w:marRight w:val="0"/>
          <w:marTop w:val="0"/>
          <w:marBottom w:val="0"/>
          <w:divBdr>
            <w:top w:val="none" w:sz="0" w:space="0" w:color="auto"/>
            <w:left w:val="none" w:sz="0" w:space="0" w:color="auto"/>
            <w:bottom w:val="none" w:sz="0" w:space="0" w:color="auto"/>
            <w:right w:val="none" w:sz="0" w:space="0" w:color="auto"/>
          </w:divBdr>
          <w:divsChild>
            <w:div w:id="1704477303">
              <w:marLeft w:val="0"/>
              <w:marRight w:val="0"/>
              <w:marTop w:val="0"/>
              <w:marBottom w:val="0"/>
              <w:divBdr>
                <w:top w:val="none" w:sz="0" w:space="0" w:color="auto"/>
                <w:left w:val="none" w:sz="0" w:space="0" w:color="auto"/>
                <w:bottom w:val="none" w:sz="0" w:space="0" w:color="auto"/>
                <w:right w:val="none" w:sz="0" w:space="0" w:color="auto"/>
              </w:divBdr>
              <w:divsChild>
                <w:div w:id="536892995">
                  <w:marLeft w:val="180"/>
                  <w:marRight w:val="0"/>
                  <w:marTop w:val="0"/>
                  <w:marBottom w:val="0"/>
                  <w:divBdr>
                    <w:top w:val="none" w:sz="0" w:space="0" w:color="auto"/>
                    <w:left w:val="none" w:sz="0" w:space="0" w:color="auto"/>
                    <w:bottom w:val="none" w:sz="0" w:space="0" w:color="auto"/>
                    <w:right w:val="none" w:sz="0" w:space="0" w:color="auto"/>
                  </w:divBdr>
                  <w:divsChild>
                    <w:div w:id="11230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18555">
      <w:bodyDiv w:val="1"/>
      <w:marLeft w:val="0"/>
      <w:marRight w:val="0"/>
      <w:marTop w:val="0"/>
      <w:marBottom w:val="0"/>
      <w:divBdr>
        <w:top w:val="none" w:sz="0" w:space="0" w:color="auto"/>
        <w:left w:val="none" w:sz="0" w:space="0" w:color="auto"/>
        <w:bottom w:val="none" w:sz="0" w:space="0" w:color="auto"/>
        <w:right w:val="none" w:sz="0" w:space="0" w:color="auto"/>
      </w:divBdr>
    </w:div>
    <w:div w:id="814250820">
      <w:bodyDiv w:val="1"/>
      <w:marLeft w:val="0"/>
      <w:marRight w:val="0"/>
      <w:marTop w:val="0"/>
      <w:marBottom w:val="0"/>
      <w:divBdr>
        <w:top w:val="none" w:sz="0" w:space="0" w:color="auto"/>
        <w:left w:val="none" w:sz="0" w:space="0" w:color="auto"/>
        <w:bottom w:val="none" w:sz="0" w:space="0" w:color="auto"/>
        <w:right w:val="none" w:sz="0" w:space="0" w:color="auto"/>
      </w:divBdr>
    </w:div>
    <w:div w:id="820999527">
      <w:bodyDiv w:val="1"/>
      <w:marLeft w:val="0"/>
      <w:marRight w:val="0"/>
      <w:marTop w:val="0"/>
      <w:marBottom w:val="0"/>
      <w:divBdr>
        <w:top w:val="none" w:sz="0" w:space="0" w:color="auto"/>
        <w:left w:val="none" w:sz="0" w:space="0" w:color="auto"/>
        <w:bottom w:val="none" w:sz="0" w:space="0" w:color="auto"/>
        <w:right w:val="none" w:sz="0" w:space="0" w:color="auto"/>
      </w:divBdr>
    </w:div>
    <w:div w:id="830025485">
      <w:bodyDiv w:val="1"/>
      <w:marLeft w:val="0"/>
      <w:marRight w:val="0"/>
      <w:marTop w:val="0"/>
      <w:marBottom w:val="0"/>
      <w:divBdr>
        <w:top w:val="none" w:sz="0" w:space="0" w:color="auto"/>
        <w:left w:val="none" w:sz="0" w:space="0" w:color="auto"/>
        <w:bottom w:val="none" w:sz="0" w:space="0" w:color="auto"/>
        <w:right w:val="none" w:sz="0" w:space="0" w:color="auto"/>
      </w:divBdr>
    </w:div>
    <w:div w:id="831335988">
      <w:bodyDiv w:val="1"/>
      <w:marLeft w:val="0"/>
      <w:marRight w:val="0"/>
      <w:marTop w:val="0"/>
      <w:marBottom w:val="0"/>
      <w:divBdr>
        <w:top w:val="none" w:sz="0" w:space="0" w:color="auto"/>
        <w:left w:val="none" w:sz="0" w:space="0" w:color="auto"/>
        <w:bottom w:val="none" w:sz="0" w:space="0" w:color="auto"/>
        <w:right w:val="none" w:sz="0" w:space="0" w:color="auto"/>
      </w:divBdr>
    </w:div>
    <w:div w:id="832335391">
      <w:bodyDiv w:val="1"/>
      <w:marLeft w:val="0"/>
      <w:marRight w:val="0"/>
      <w:marTop w:val="0"/>
      <w:marBottom w:val="0"/>
      <w:divBdr>
        <w:top w:val="none" w:sz="0" w:space="0" w:color="auto"/>
        <w:left w:val="none" w:sz="0" w:space="0" w:color="auto"/>
        <w:bottom w:val="none" w:sz="0" w:space="0" w:color="auto"/>
        <w:right w:val="none" w:sz="0" w:space="0" w:color="auto"/>
      </w:divBdr>
    </w:div>
    <w:div w:id="871917251">
      <w:bodyDiv w:val="1"/>
      <w:marLeft w:val="0"/>
      <w:marRight w:val="0"/>
      <w:marTop w:val="0"/>
      <w:marBottom w:val="0"/>
      <w:divBdr>
        <w:top w:val="none" w:sz="0" w:space="0" w:color="auto"/>
        <w:left w:val="none" w:sz="0" w:space="0" w:color="auto"/>
        <w:bottom w:val="none" w:sz="0" w:space="0" w:color="auto"/>
        <w:right w:val="none" w:sz="0" w:space="0" w:color="auto"/>
      </w:divBdr>
    </w:div>
    <w:div w:id="929236452">
      <w:bodyDiv w:val="1"/>
      <w:marLeft w:val="0"/>
      <w:marRight w:val="0"/>
      <w:marTop w:val="0"/>
      <w:marBottom w:val="0"/>
      <w:divBdr>
        <w:top w:val="none" w:sz="0" w:space="0" w:color="auto"/>
        <w:left w:val="none" w:sz="0" w:space="0" w:color="auto"/>
        <w:bottom w:val="none" w:sz="0" w:space="0" w:color="auto"/>
        <w:right w:val="none" w:sz="0" w:space="0" w:color="auto"/>
      </w:divBdr>
    </w:div>
    <w:div w:id="988171256">
      <w:bodyDiv w:val="1"/>
      <w:marLeft w:val="0"/>
      <w:marRight w:val="0"/>
      <w:marTop w:val="0"/>
      <w:marBottom w:val="0"/>
      <w:divBdr>
        <w:top w:val="none" w:sz="0" w:space="0" w:color="auto"/>
        <w:left w:val="none" w:sz="0" w:space="0" w:color="auto"/>
        <w:bottom w:val="none" w:sz="0" w:space="0" w:color="auto"/>
        <w:right w:val="none" w:sz="0" w:space="0" w:color="auto"/>
      </w:divBdr>
    </w:div>
    <w:div w:id="999121518">
      <w:bodyDiv w:val="1"/>
      <w:marLeft w:val="0"/>
      <w:marRight w:val="0"/>
      <w:marTop w:val="0"/>
      <w:marBottom w:val="0"/>
      <w:divBdr>
        <w:top w:val="none" w:sz="0" w:space="0" w:color="auto"/>
        <w:left w:val="none" w:sz="0" w:space="0" w:color="auto"/>
        <w:bottom w:val="none" w:sz="0" w:space="0" w:color="auto"/>
        <w:right w:val="none" w:sz="0" w:space="0" w:color="auto"/>
      </w:divBdr>
    </w:div>
    <w:div w:id="1035273250">
      <w:bodyDiv w:val="1"/>
      <w:marLeft w:val="0"/>
      <w:marRight w:val="0"/>
      <w:marTop w:val="0"/>
      <w:marBottom w:val="0"/>
      <w:divBdr>
        <w:top w:val="none" w:sz="0" w:space="0" w:color="auto"/>
        <w:left w:val="none" w:sz="0" w:space="0" w:color="auto"/>
        <w:bottom w:val="none" w:sz="0" w:space="0" w:color="auto"/>
        <w:right w:val="none" w:sz="0" w:space="0" w:color="auto"/>
      </w:divBdr>
      <w:divsChild>
        <w:div w:id="1663311328">
          <w:marLeft w:val="0"/>
          <w:marRight w:val="0"/>
          <w:marTop w:val="0"/>
          <w:marBottom w:val="0"/>
          <w:divBdr>
            <w:top w:val="none" w:sz="0" w:space="0" w:color="auto"/>
            <w:left w:val="none" w:sz="0" w:space="0" w:color="auto"/>
            <w:bottom w:val="none" w:sz="0" w:space="0" w:color="auto"/>
            <w:right w:val="none" w:sz="0" w:space="0" w:color="auto"/>
          </w:divBdr>
          <w:divsChild>
            <w:div w:id="10439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79">
      <w:bodyDiv w:val="1"/>
      <w:marLeft w:val="0"/>
      <w:marRight w:val="0"/>
      <w:marTop w:val="0"/>
      <w:marBottom w:val="0"/>
      <w:divBdr>
        <w:top w:val="none" w:sz="0" w:space="0" w:color="auto"/>
        <w:left w:val="none" w:sz="0" w:space="0" w:color="auto"/>
        <w:bottom w:val="none" w:sz="0" w:space="0" w:color="auto"/>
        <w:right w:val="none" w:sz="0" w:space="0" w:color="auto"/>
      </w:divBdr>
    </w:div>
    <w:div w:id="1206331885">
      <w:bodyDiv w:val="1"/>
      <w:marLeft w:val="0"/>
      <w:marRight w:val="0"/>
      <w:marTop w:val="0"/>
      <w:marBottom w:val="0"/>
      <w:divBdr>
        <w:top w:val="none" w:sz="0" w:space="0" w:color="auto"/>
        <w:left w:val="none" w:sz="0" w:space="0" w:color="auto"/>
        <w:bottom w:val="none" w:sz="0" w:space="0" w:color="auto"/>
        <w:right w:val="none" w:sz="0" w:space="0" w:color="auto"/>
      </w:divBdr>
    </w:div>
    <w:div w:id="1226333010">
      <w:bodyDiv w:val="1"/>
      <w:marLeft w:val="0"/>
      <w:marRight w:val="0"/>
      <w:marTop w:val="0"/>
      <w:marBottom w:val="0"/>
      <w:divBdr>
        <w:top w:val="none" w:sz="0" w:space="0" w:color="auto"/>
        <w:left w:val="none" w:sz="0" w:space="0" w:color="auto"/>
        <w:bottom w:val="none" w:sz="0" w:space="0" w:color="auto"/>
        <w:right w:val="none" w:sz="0" w:space="0" w:color="auto"/>
      </w:divBdr>
    </w:div>
    <w:div w:id="1257906615">
      <w:bodyDiv w:val="1"/>
      <w:marLeft w:val="0"/>
      <w:marRight w:val="0"/>
      <w:marTop w:val="0"/>
      <w:marBottom w:val="0"/>
      <w:divBdr>
        <w:top w:val="none" w:sz="0" w:space="0" w:color="auto"/>
        <w:left w:val="none" w:sz="0" w:space="0" w:color="auto"/>
        <w:bottom w:val="none" w:sz="0" w:space="0" w:color="auto"/>
        <w:right w:val="none" w:sz="0" w:space="0" w:color="auto"/>
      </w:divBdr>
    </w:div>
    <w:div w:id="1261182091">
      <w:bodyDiv w:val="1"/>
      <w:marLeft w:val="0"/>
      <w:marRight w:val="0"/>
      <w:marTop w:val="0"/>
      <w:marBottom w:val="0"/>
      <w:divBdr>
        <w:top w:val="none" w:sz="0" w:space="0" w:color="auto"/>
        <w:left w:val="none" w:sz="0" w:space="0" w:color="auto"/>
        <w:bottom w:val="none" w:sz="0" w:space="0" w:color="auto"/>
        <w:right w:val="none" w:sz="0" w:space="0" w:color="auto"/>
      </w:divBdr>
    </w:div>
    <w:div w:id="1281961415">
      <w:bodyDiv w:val="1"/>
      <w:marLeft w:val="0"/>
      <w:marRight w:val="0"/>
      <w:marTop w:val="0"/>
      <w:marBottom w:val="0"/>
      <w:divBdr>
        <w:top w:val="none" w:sz="0" w:space="0" w:color="auto"/>
        <w:left w:val="none" w:sz="0" w:space="0" w:color="auto"/>
        <w:bottom w:val="none" w:sz="0" w:space="0" w:color="auto"/>
        <w:right w:val="none" w:sz="0" w:space="0" w:color="auto"/>
      </w:divBdr>
    </w:div>
    <w:div w:id="1406337999">
      <w:bodyDiv w:val="1"/>
      <w:marLeft w:val="0"/>
      <w:marRight w:val="0"/>
      <w:marTop w:val="0"/>
      <w:marBottom w:val="0"/>
      <w:divBdr>
        <w:top w:val="none" w:sz="0" w:space="0" w:color="auto"/>
        <w:left w:val="none" w:sz="0" w:space="0" w:color="auto"/>
        <w:bottom w:val="none" w:sz="0" w:space="0" w:color="auto"/>
        <w:right w:val="none" w:sz="0" w:space="0" w:color="auto"/>
      </w:divBdr>
    </w:div>
    <w:div w:id="1423137705">
      <w:bodyDiv w:val="1"/>
      <w:marLeft w:val="0"/>
      <w:marRight w:val="0"/>
      <w:marTop w:val="0"/>
      <w:marBottom w:val="0"/>
      <w:divBdr>
        <w:top w:val="none" w:sz="0" w:space="0" w:color="auto"/>
        <w:left w:val="none" w:sz="0" w:space="0" w:color="auto"/>
        <w:bottom w:val="none" w:sz="0" w:space="0" w:color="auto"/>
        <w:right w:val="none" w:sz="0" w:space="0" w:color="auto"/>
      </w:divBdr>
    </w:div>
    <w:div w:id="1444376119">
      <w:bodyDiv w:val="1"/>
      <w:marLeft w:val="0"/>
      <w:marRight w:val="0"/>
      <w:marTop w:val="0"/>
      <w:marBottom w:val="0"/>
      <w:divBdr>
        <w:top w:val="none" w:sz="0" w:space="0" w:color="auto"/>
        <w:left w:val="none" w:sz="0" w:space="0" w:color="auto"/>
        <w:bottom w:val="none" w:sz="0" w:space="0" w:color="auto"/>
        <w:right w:val="none" w:sz="0" w:space="0" w:color="auto"/>
      </w:divBdr>
    </w:div>
    <w:div w:id="1445728110">
      <w:bodyDiv w:val="1"/>
      <w:marLeft w:val="0"/>
      <w:marRight w:val="0"/>
      <w:marTop w:val="0"/>
      <w:marBottom w:val="0"/>
      <w:divBdr>
        <w:top w:val="none" w:sz="0" w:space="0" w:color="auto"/>
        <w:left w:val="none" w:sz="0" w:space="0" w:color="auto"/>
        <w:bottom w:val="none" w:sz="0" w:space="0" w:color="auto"/>
        <w:right w:val="none" w:sz="0" w:space="0" w:color="auto"/>
      </w:divBdr>
    </w:div>
    <w:div w:id="1447965249">
      <w:bodyDiv w:val="1"/>
      <w:marLeft w:val="0"/>
      <w:marRight w:val="0"/>
      <w:marTop w:val="0"/>
      <w:marBottom w:val="0"/>
      <w:divBdr>
        <w:top w:val="none" w:sz="0" w:space="0" w:color="auto"/>
        <w:left w:val="none" w:sz="0" w:space="0" w:color="auto"/>
        <w:bottom w:val="none" w:sz="0" w:space="0" w:color="auto"/>
        <w:right w:val="none" w:sz="0" w:space="0" w:color="auto"/>
      </w:divBdr>
    </w:div>
    <w:div w:id="1469398833">
      <w:bodyDiv w:val="1"/>
      <w:marLeft w:val="0"/>
      <w:marRight w:val="0"/>
      <w:marTop w:val="0"/>
      <w:marBottom w:val="0"/>
      <w:divBdr>
        <w:top w:val="none" w:sz="0" w:space="0" w:color="auto"/>
        <w:left w:val="none" w:sz="0" w:space="0" w:color="auto"/>
        <w:bottom w:val="none" w:sz="0" w:space="0" w:color="auto"/>
        <w:right w:val="none" w:sz="0" w:space="0" w:color="auto"/>
      </w:divBdr>
    </w:div>
    <w:div w:id="1481994644">
      <w:bodyDiv w:val="1"/>
      <w:marLeft w:val="0"/>
      <w:marRight w:val="0"/>
      <w:marTop w:val="0"/>
      <w:marBottom w:val="0"/>
      <w:divBdr>
        <w:top w:val="none" w:sz="0" w:space="0" w:color="auto"/>
        <w:left w:val="none" w:sz="0" w:space="0" w:color="auto"/>
        <w:bottom w:val="none" w:sz="0" w:space="0" w:color="auto"/>
        <w:right w:val="none" w:sz="0" w:space="0" w:color="auto"/>
      </w:divBdr>
    </w:div>
    <w:div w:id="1488787866">
      <w:bodyDiv w:val="1"/>
      <w:marLeft w:val="0"/>
      <w:marRight w:val="0"/>
      <w:marTop w:val="0"/>
      <w:marBottom w:val="0"/>
      <w:divBdr>
        <w:top w:val="none" w:sz="0" w:space="0" w:color="auto"/>
        <w:left w:val="none" w:sz="0" w:space="0" w:color="auto"/>
        <w:bottom w:val="none" w:sz="0" w:space="0" w:color="auto"/>
        <w:right w:val="none" w:sz="0" w:space="0" w:color="auto"/>
      </w:divBdr>
    </w:div>
    <w:div w:id="1505514409">
      <w:bodyDiv w:val="1"/>
      <w:marLeft w:val="0"/>
      <w:marRight w:val="0"/>
      <w:marTop w:val="0"/>
      <w:marBottom w:val="0"/>
      <w:divBdr>
        <w:top w:val="none" w:sz="0" w:space="0" w:color="auto"/>
        <w:left w:val="none" w:sz="0" w:space="0" w:color="auto"/>
        <w:bottom w:val="none" w:sz="0" w:space="0" w:color="auto"/>
        <w:right w:val="none" w:sz="0" w:space="0" w:color="auto"/>
      </w:divBdr>
    </w:div>
    <w:div w:id="1551841787">
      <w:bodyDiv w:val="1"/>
      <w:marLeft w:val="0"/>
      <w:marRight w:val="0"/>
      <w:marTop w:val="0"/>
      <w:marBottom w:val="0"/>
      <w:divBdr>
        <w:top w:val="none" w:sz="0" w:space="0" w:color="auto"/>
        <w:left w:val="none" w:sz="0" w:space="0" w:color="auto"/>
        <w:bottom w:val="none" w:sz="0" w:space="0" w:color="auto"/>
        <w:right w:val="none" w:sz="0" w:space="0" w:color="auto"/>
      </w:divBdr>
    </w:div>
    <w:div w:id="1666978221">
      <w:bodyDiv w:val="1"/>
      <w:marLeft w:val="0"/>
      <w:marRight w:val="0"/>
      <w:marTop w:val="0"/>
      <w:marBottom w:val="0"/>
      <w:divBdr>
        <w:top w:val="none" w:sz="0" w:space="0" w:color="auto"/>
        <w:left w:val="none" w:sz="0" w:space="0" w:color="auto"/>
        <w:bottom w:val="none" w:sz="0" w:space="0" w:color="auto"/>
        <w:right w:val="none" w:sz="0" w:space="0" w:color="auto"/>
      </w:divBdr>
    </w:div>
    <w:div w:id="1738436864">
      <w:bodyDiv w:val="1"/>
      <w:marLeft w:val="0"/>
      <w:marRight w:val="0"/>
      <w:marTop w:val="0"/>
      <w:marBottom w:val="0"/>
      <w:divBdr>
        <w:top w:val="none" w:sz="0" w:space="0" w:color="auto"/>
        <w:left w:val="none" w:sz="0" w:space="0" w:color="auto"/>
        <w:bottom w:val="none" w:sz="0" w:space="0" w:color="auto"/>
        <w:right w:val="none" w:sz="0" w:space="0" w:color="auto"/>
      </w:divBdr>
    </w:div>
    <w:div w:id="1744326870">
      <w:bodyDiv w:val="1"/>
      <w:marLeft w:val="0"/>
      <w:marRight w:val="0"/>
      <w:marTop w:val="0"/>
      <w:marBottom w:val="0"/>
      <w:divBdr>
        <w:top w:val="none" w:sz="0" w:space="0" w:color="auto"/>
        <w:left w:val="none" w:sz="0" w:space="0" w:color="auto"/>
        <w:bottom w:val="none" w:sz="0" w:space="0" w:color="auto"/>
        <w:right w:val="none" w:sz="0" w:space="0" w:color="auto"/>
      </w:divBdr>
    </w:div>
    <w:div w:id="1754426475">
      <w:bodyDiv w:val="1"/>
      <w:marLeft w:val="0"/>
      <w:marRight w:val="0"/>
      <w:marTop w:val="0"/>
      <w:marBottom w:val="0"/>
      <w:divBdr>
        <w:top w:val="none" w:sz="0" w:space="0" w:color="auto"/>
        <w:left w:val="none" w:sz="0" w:space="0" w:color="auto"/>
        <w:bottom w:val="none" w:sz="0" w:space="0" w:color="auto"/>
        <w:right w:val="none" w:sz="0" w:space="0" w:color="auto"/>
      </w:divBdr>
    </w:div>
    <w:div w:id="1848324089">
      <w:bodyDiv w:val="1"/>
      <w:marLeft w:val="0"/>
      <w:marRight w:val="0"/>
      <w:marTop w:val="0"/>
      <w:marBottom w:val="0"/>
      <w:divBdr>
        <w:top w:val="none" w:sz="0" w:space="0" w:color="auto"/>
        <w:left w:val="none" w:sz="0" w:space="0" w:color="auto"/>
        <w:bottom w:val="none" w:sz="0" w:space="0" w:color="auto"/>
        <w:right w:val="none" w:sz="0" w:space="0" w:color="auto"/>
      </w:divBdr>
    </w:div>
    <w:div w:id="1928538861">
      <w:bodyDiv w:val="1"/>
      <w:marLeft w:val="0"/>
      <w:marRight w:val="0"/>
      <w:marTop w:val="0"/>
      <w:marBottom w:val="0"/>
      <w:divBdr>
        <w:top w:val="none" w:sz="0" w:space="0" w:color="auto"/>
        <w:left w:val="none" w:sz="0" w:space="0" w:color="auto"/>
        <w:bottom w:val="none" w:sz="0" w:space="0" w:color="auto"/>
        <w:right w:val="none" w:sz="0" w:space="0" w:color="auto"/>
      </w:divBdr>
    </w:div>
    <w:div w:id="1931507204">
      <w:bodyDiv w:val="1"/>
      <w:marLeft w:val="0"/>
      <w:marRight w:val="0"/>
      <w:marTop w:val="0"/>
      <w:marBottom w:val="0"/>
      <w:divBdr>
        <w:top w:val="none" w:sz="0" w:space="0" w:color="auto"/>
        <w:left w:val="none" w:sz="0" w:space="0" w:color="auto"/>
        <w:bottom w:val="none" w:sz="0" w:space="0" w:color="auto"/>
        <w:right w:val="none" w:sz="0" w:space="0" w:color="auto"/>
      </w:divBdr>
    </w:div>
    <w:div w:id="2000234479">
      <w:bodyDiv w:val="1"/>
      <w:marLeft w:val="0"/>
      <w:marRight w:val="0"/>
      <w:marTop w:val="0"/>
      <w:marBottom w:val="0"/>
      <w:divBdr>
        <w:top w:val="none" w:sz="0" w:space="0" w:color="auto"/>
        <w:left w:val="none" w:sz="0" w:space="0" w:color="auto"/>
        <w:bottom w:val="none" w:sz="0" w:space="0" w:color="auto"/>
        <w:right w:val="none" w:sz="0" w:space="0" w:color="auto"/>
      </w:divBdr>
    </w:div>
    <w:div w:id="2008363460">
      <w:bodyDiv w:val="1"/>
      <w:marLeft w:val="0"/>
      <w:marRight w:val="0"/>
      <w:marTop w:val="0"/>
      <w:marBottom w:val="0"/>
      <w:divBdr>
        <w:top w:val="none" w:sz="0" w:space="0" w:color="auto"/>
        <w:left w:val="none" w:sz="0" w:space="0" w:color="auto"/>
        <w:bottom w:val="none" w:sz="0" w:space="0" w:color="auto"/>
        <w:right w:val="none" w:sz="0" w:space="0" w:color="auto"/>
      </w:divBdr>
    </w:div>
    <w:div w:id="2026861041">
      <w:bodyDiv w:val="1"/>
      <w:marLeft w:val="0"/>
      <w:marRight w:val="0"/>
      <w:marTop w:val="0"/>
      <w:marBottom w:val="0"/>
      <w:divBdr>
        <w:top w:val="none" w:sz="0" w:space="0" w:color="auto"/>
        <w:left w:val="none" w:sz="0" w:space="0" w:color="auto"/>
        <w:bottom w:val="none" w:sz="0" w:space="0" w:color="auto"/>
        <w:right w:val="none" w:sz="0" w:space="0" w:color="auto"/>
      </w:divBdr>
    </w:div>
    <w:div w:id="2096390105">
      <w:bodyDiv w:val="1"/>
      <w:marLeft w:val="0"/>
      <w:marRight w:val="0"/>
      <w:marTop w:val="0"/>
      <w:marBottom w:val="0"/>
      <w:divBdr>
        <w:top w:val="none" w:sz="0" w:space="0" w:color="auto"/>
        <w:left w:val="none" w:sz="0" w:space="0" w:color="auto"/>
        <w:bottom w:val="none" w:sz="0" w:space="0" w:color="auto"/>
        <w:right w:val="none" w:sz="0" w:space="0" w:color="auto"/>
      </w:divBdr>
    </w:div>
    <w:div w:id="21323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emf"/><Relationship Id="rId26" Type="http://schemas.openxmlformats.org/officeDocument/2006/relationships/oleObject" Target="file:///\\romulus\ECD_PRO$\JEFG\2012\September\NAFF\JEFG%20report\Charts\DAT%20-%20HDU%20-%20Dwelling%20investment.xlsx!Chart!%5bDAT%20-%20HDU%20-%20Dwelling%20investment.xlsx%5dChart%20Chart%202" TargetMode="External"/><Relationship Id="rId39"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oleObject" Target="file:///\\romulus\ECD_PRO$\JEFG\2012\September\NAFF\JEFG%20report\Charts\Employment%20growth%20tty.xlsx!Sheet1!%5bEmployment%20growth%20tty.xlsx%5dSheet1%20Chart%204" TargetMode="External"/><Relationship Id="rId42" Type="http://schemas.openxmlformats.org/officeDocument/2006/relationships/oleObject" Target="file:///\\romulus\ECD_PRO$\JEFG\2012\September\NAFF\JEFG%20report\Charts\NAFF%20-%20Decomposition%20of%20Nominal%20GDP.xlsx!Chart!%5bNAFF%20-%20Decomposition%20of%20Nominal%20GDP.xlsx%5dChart%20Chart%202"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oleObject" Target="file:///\\romulus\ECD_PRO$\JEFG\2012\September\NAFF\JEFG%20report\Main%20Summary%20Tables.xlsm!JEFG%20(small)!R8C2:R27C19" TargetMode="External"/><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file:///\\romulus\ECD_PRO$\JEFG\2012\September\NAFF\JEFG%20report\Charts\DAT%20-%20World%20-%20IG20D%20-%20September%202012%20JEFG%20Table%20-%20JO%20-%20120903%20(2).xlsx!Table!R20C2:R36C13"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4.xml"/><Relationship Id="rId29" Type="http://schemas.openxmlformats.org/officeDocument/2006/relationships/image" Target="media/image7.emf"/><Relationship Id="rId41"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file:///\\romulus\ECD_PRO$\JEFG\2012\September\NAFF\JEFG%20report\Charts\DAT%20-%20Cons%20chart%20Sep%20JEFG.xlsx!Sheet1!%5bDAT%20-%20Cons%20chart%20Sep%20JEFG.xlsx%5dSheet1%20Chart%201" TargetMode="External"/><Relationship Id="rId32" Type="http://schemas.openxmlformats.org/officeDocument/2006/relationships/oleObject" Target="file:///\\romulus\ECD_PRO$\JEFG\2012\September\NAFF\JEFG%20report\Charts\DAT%20-%20BOP%20-%20TOTchart.xlsx!Sheet1!%5bDAT%20-%20BOP%20-%20TOTchart.xlsx%5dSheet1%20Chart%201" TargetMode="External"/><Relationship Id="rId37" Type="http://schemas.openxmlformats.org/officeDocument/2006/relationships/image" Target="media/image11.emf"/><Relationship Id="rId40" Type="http://schemas.openxmlformats.org/officeDocument/2006/relationships/oleObject" Target="file:///\\romulus\ECD_PRO$\JEFG\2012\September\NAFF\JEFG%20report\Charts\DAT%20-%20IED%20-%20JEFG%20-%20World%20GDP%20and%20MTP%20GDP%20chart%20-%20JO%20-%20120801.xlsx!JEFG%20report%20chart!%5bDAT%20-%20IED%20-%20JEFG%20-%20World%20GDP%20and%20MTP%20GDP%20chart%20-%20JO%20-%20120801.xlsx%5dJEFG%20report%20chart%20JEFG%20report"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oleObject" Target="file:///\\romulus\ECD_PRO$\JEFG\2012\September\NAFF\JEFG%20report\Charts\DAT%20-%20BI%20-%20mining%20and%20non-mining%20capex%20per%20nominal%20gdp.xlsx!Estimate3!%5bDAT%20-%20BI%20-%20mining%20and%20non-mining%20capex%20per%20nominal%20gdp.xlsx%5dEstimate3%20Chart%202" TargetMode="External"/><Relationship Id="rId36" Type="http://schemas.openxmlformats.org/officeDocument/2006/relationships/oleObject" Target="file:///\\romulus\ECD_PRO$\JEFG\2012\September\NAFF\JEFG%20report\Charts\DAT%20-%20LM%20-%20inflation%20charts.xlsx!Headline%20&amp;%20underlying!%5bDAT%20-%20LM%20-%20inflation%20charts.xlsx%5dHeadline%20&amp;%20underlying%20Chart%205" TargetMode="External"/><Relationship Id="rId10" Type="http://schemas.openxmlformats.org/officeDocument/2006/relationships/header" Target="header1.xml"/><Relationship Id="rId19" Type="http://schemas.openxmlformats.org/officeDocument/2006/relationships/oleObject" Target="file:///\\romulus\ECD_PRO$\JEFG\2012\September\NAFF\JEFG%20report\Main%20Summary%20Tables.xlsm!JEFG!R10C2:R56C9" TargetMode="External"/><Relationship Id="rId31" Type="http://schemas.openxmlformats.org/officeDocument/2006/relationships/image" Target="media/image8.e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image" Target="media/image6.emf"/><Relationship Id="rId30" Type="http://schemas.openxmlformats.org/officeDocument/2006/relationships/oleObject" Target="file:///\\romulus\ECD_PRO$\JEFG\2012\September\NAFF\JEFG%20report\Charts\DAT%20-%20NAFF%20-%20Export%20volumes.xlsx!Sheet1!%5bDAT%20-%20NAFF%20-%20Export%20volumes.xlsx%5dSheet1%20Chart%201" TargetMode="External"/><Relationship Id="rId35" Type="http://schemas.openxmlformats.org/officeDocument/2006/relationships/image" Target="media/image10.e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C139628-AF17-4ED9-BF56-9DADEBD8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4745</Words>
  <Characters>28519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Joint Economic Forecasting Group Report - September 2012</vt:lpstr>
    </vt:vector>
  </TitlesOfParts>
  <Manager/>
  <Company/>
  <LinksUpToDate>false</LinksUpToDate>
  <CharactersWithSpaces>33198</CharactersWithSpaces>
  <SharedDoc>false</SharedDoc>
  <HLinks>
    <vt:vector size="78" baseType="variant">
      <vt:variant>
        <vt:i4>131155</vt:i4>
      </vt:variant>
      <vt:variant>
        <vt:i4>114</vt:i4>
      </vt:variant>
      <vt:variant>
        <vt:i4>0</vt:i4>
      </vt:variant>
      <vt:variant>
        <vt:i4>5</vt:i4>
      </vt:variant>
      <vt:variant>
        <vt:lpwstr>\\remus\indiv$\JEO\TRIM5\Offline Records (PO)\INTERNATIONAL ECONOMIC AFFAIRS - FORECASTING - JOINT ECONOMIC FORECASTING GROUP (JEFG) &amp; ~ 2010\DAT - World - GDP - IED - Forecasts - MYEFO Oct 09 final - RS - 091026.xls</vt:lpwstr>
      </vt:variant>
      <vt:variant>
        <vt:lpwstr/>
      </vt:variant>
      <vt:variant>
        <vt:i4>1507377</vt:i4>
      </vt:variant>
      <vt:variant>
        <vt:i4>68</vt:i4>
      </vt:variant>
      <vt:variant>
        <vt:i4>0</vt:i4>
      </vt:variant>
      <vt:variant>
        <vt:i4>5</vt:i4>
      </vt:variant>
      <vt:variant>
        <vt:lpwstr/>
      </vt:variant>
      <vt:variant>
        <vt:lpwstr>_Toc280363583</vt:lpwstr>
      </vt:variant>
      <vt:variant>
        <vt:i4>1507377</vt:i4>
      </vt:variant>
      <vt:variant>
        <vt:i4>62</vt:i4>
      </vt:variant>
      <vt:variant>
        <vt:i4>0</vt:i4>
      </vt:variant>
      <vt:variant>
        <vt:i4>5</vt:i4>
      </vt:variant>
      <vt:variant>
        <vt:lpwstr/>
      </vt:variant>
      <vt:variant>
        <vt:lpwstr>_Toc280363582</vt:lpwstr>
      </vt:variant>
      <vt:variant>
        <vt:i4>1507377</vt:i4>
      </vt:variant>
      <vt:variant>
        <vt:i4>56</vt:i4>
      </vt:variant>
      <vt:variant>
        <vt:i4>0</vt:i4>
      </vt:variant>
      <vt:variant>
        <vt:i4>5</vt:i4>
      </vt:variant>
      <vt:variant>
        <vt:lpwstr/>
      </vt:variant>
      <vt:variant>
        <vt:lpwstr>_Toc280363581</vt:lpwstr>
      </vt:variant>
      <vt:variant>
        <vt:i4>1507377</vt:i4>
      </vt:variant>
      <vt:variant>
        <vt:i4>50</vt:i4>
      </vt:variant>
      <vt:variant>
        <vt:i4>0</vt:i4>
      </vt:variant>
      <vt:variant>
        <vt:i4>5</vt:i4>
      </vt:variant>
      <vt:variant>
        <vt:lpwstr/>
      </vt:variant>
      <vt:variant>
        <vt:lpwstr>_Toc280363580</vt:lpwstr>
      </vt:variant>
      <vt:variant>
        <vt:i4>1572913</vt:i4>
      </vt:variant>
      <vt:variant>
        <vt:i4>44</vt:i4>
      </vt:variant>
      <vt:variant>
        <vt:i4>0</vt:i4>
      </vt:variant>
      <vt:variant>
        <vt:i4>5</vt:i4>
      </vt:variant>
      <vt:variant>
        <vt:lpwstr/>
      </vt:variant>
      <vt:variant>
        <vt:lpwstr>_Toc280363579</vt:lpwstr>
      </vt:variant>
      <vt:variant>
        <vt:i4>1572913</vt:i4>
      </vt:variant>
      <vt:variant>
        <vt:i4>38</vt:i4>
      </vt:variant>
      <vt:variant>
        <vt:i4>0</vt:i4>
      </vt:variant>
      <vt:variant>
        <vt:i4>5</vt:i4>
      </vt:variant>
      <vt:variant>
        <vt:lpwstr/>
      </vt:variant>
      <vt:variant>
        <vt:lpwstr>_Toc280363578</vt:lpwstr>
      </vt:variant>
      <vt:variant>
        <vt:i4>1572913</vt:i4>
      </vt:variant>
      <vt:variant>
        <vt:i4>32</vt:i4>
      </vt:variant>
      <vt:variant>
        <vt:i4>0</vt:i4>
      </vt:variant>
      <vt:variant>
        <vt:i4>5</vt:i4>
      </vt:variant>
      <vt:variant>
        <vt:lpwstr/>
      </vt:variant>
      <vt:variant>
        <vt:lpwstr>_Toc280363577</vt:lpwstr>
      </vt:variant>
      <vt:variant>
        <vt:i4>1572913</vt:i4>
      </vt:variant>
      <vt:variant>
        <vt:i4>26</vt:i4>
      </vt:variant>
      <vt:variant>
        <vt:i4>0</vt:i4>
      </vt:variant>
      <vt:variant>
        <vt:i4>5</vt:i4>
      </vt:variant>
      <vt:variant>
        <vt:lpwstr/>
      </vt:variant>
      <vt:variant>
        <vt:lpwstr>_Toc280363576</vt:lpwstr>
      </vt:variant>
      <vt:variant>
        <vt:i4>1572913</vt:i4>
      </vt:variant>
      <vt:variant>
        <vt:i4>20</vt:i4>
      </vt:variant>
      <vt:variant>
        <vt:i4>0</vt:i4>
      </vt:variant>
      <vt:variant>
        <vt:i4>5</vt:i4>
      </vt:variant>
      <vt:variant>
        <vt:lpwstr/>
      </vt:variant>
      <vt:variant>
        <vt:lpwstr>_Toc280363575</vt:lpwstr>
      </vt:variant>
      <vt:variant>
        <vt:i4>1572913</vt:i4>
      </vt:variant>
      <vt:variant>
        <vt:i4>14</vt:i4>
      </vt:variant>
      <vt:variant>
        <vt:i4>0</vt:i4>
      </vt:variant>
      <vt:variant>
        <vt:i4>5</vt:i4>
      </vt:variant>
      <vt:variant>
        <vt:lpwstr/>
      </vt:variant>
      <vt:variant>
        <vt:lpwstr>_Toc280363574</vt:lpwstr>
      </vt:variant>
      <vt:variant>
        <vt:i4>1572913</vt:i4>
      </vt:variant>
      <vt:variant>
        <vt:i4>8</vt:i4>
      </vt:variant>
      <vt:variant>
        <vt:i4>0</vt:i4>
      </vt:variant>
      <vt:variant>
        <vt:i4>5</vt:i4>
      </vt:variant>
      <vt:variant>
        <vt:lpwstr/>
      </vt:variant>
      <vt:variant>
        <vt:lpwstr>_Toc280363573</vt:lpwstr>
      </vt:variant>
      <vt:variant>
        <vt:i4>1572913</vt:i4>
      </vt:variant>
      <vt:variant>
        <vt:i4>2</vt:i4>
      </vt:variant>
      <vt:variant>
        <vt:i4>0</vt:i4>
      </vt:variant>
      <vt:variant>
        <vt:i4>5</vt:i4>
      </vt:variant>
      <vt:variant>
        <vt:lpwstr/>
      </vt:variant>
      <vt:variant>
        <vt:lpwstr>_Toc280363572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Economic Forecasting Group Report - September 2012</dc:title>
  <dc:subject/>
  <dc:creator/>
  <cp:keywords/>
  <cp:lastModifiedBy/>
  <cp:revision>1</cp:revision>
  <dcterms:created xsi:type="dcterms:W3CDTF">2015-05-28T04:16:00Z</dcterms:created>
  <dcterms:modified xsi:type="dcterms:W3CDTF">2015-05-28T04:17:00Z</dcterms:modified>
</cp:coreProperties>
</file>