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E0B03" w14:textId="05A2BE9D" w:rsidR="00E551D2" w:rsidRDefault="00D133C4" w:rsidP="00EC3231">
      <w:pPr>
        <w:pStyle w:val="Title"/>
      </w:pPr>
      <w:bookmarkStart w:id="0" w:name="_GoBack"/>
      <w:bookmarkEnd w:id="0"/>
      <w:r>
        <w:t>ASIC Enforcement Review</w:t>
      </w:r>
    </w:p>
    <w:p w14:paraId="16ACE071" w14:textId="77777777" w:rsidR="009F469A" w:rsidRDefault="009F469A" w:rsidP="009F469A">
      <w:pPr>
        <w:pStyle w:val="Subtitle"/>
      </w:pPr>
      <w:r w:rsidRPr="00256572">
        <w:t>Positions and Consultation Paper 2</w:t>
      </w:r>
    </w:p>
    <w:p w14:paraId="279919AD" w14:textId="77777777" w:rsidR="00256572" w:rsidRPr="00256572" w:rsidRDefault="00256572" w:rsidP="009F469A">
      <w:pPr>
        <w:pStyle w:val="Subtitle"/>
      </w:pPr>
      <w:r w:rsidRPr="00256572">
        <w:t>Harmonisation and Enhancement of</w:t>
      </w:r>
      <w:r w:rsidRPr="00256572">
        <w:br/>
        <w:t>Search Warrant Powers</w:t>
      </w:r>
    </w:p>
    <w:p w14:paraId="55F82F5E" w14:textId="5B6F0797" w:rsidR="00256572" w:rsidRDefault="00C36DBB" w:rsidP="009F469A">
      <w:pPr>
        <w:pStyle w:val="Subtitle"/>
        <w:sectPr w:rsidR="00256572" w:rsidSect="000756A4">
          <w:headerReference w:type="even" r:id="rId8"/>
          <w:headerReference w:type="default" r:id="rId9"/>
          <w:footerReference w:type="even" r:id="rId10"/>
          <w:footerReference w:type="default" r:id="rId11"/>
          <w:headerReference w:type="first" r:id="rId12"/>
          <w:footerReference w:type="first" r:id="rId13"/>
          <w:type w:val="oddPage"/>
          <w:pgSz w:w="11906" w:h="16838" w:code="277"/>
          <w:pgMar w:top="1440" w:right="1440" w:bottom="1440" w:left="1440" w:header="709" w:footer="709" w:gutter="0"/>
          <w:cols w:space="708"/>
          <w:vAlign w:val="center"/>
          <w:titlePg/>
          <w:docGrid w:linePitch="360"/>
        </w:sectPr>
      </w:pPr>
      <w:r>
        <w:t>28</w:t>
      </w:r>
      <w:r w:rsidR="00256572">
        <w:t xml:space="preserve"> June 2017</w:t>
      </w:r>
    </w:p>
    <w:p w14:paraId="52072A10" w14:textId="77777777" w:rsidR="00256572" w:rsidRDefault="00256572" w:rsidP="00ED2B3F">
      <w:pPr>
        <w:spacing w:after="180" w:line="240" w:lineRule="auto"/>
        <w:rPr>
          <w:rFonts w:ascii="Calibri" w:hAnsi="Calibri"/>
        </w:rPr>
      </w:pPr>
      <w:r w:rsidRPr="00C41F0D">
        <w:rPr>
          <w:rFonts w:ascii="Calibri" w:hAnsi="Calibri"/>
        </w:rPr>
        <w:lastRenderedPageBreak/>
        <w:t>© Commonwealth of Australia 201</w:t>
      </w:r>
      <w:r>
        <w:rPr>
          <w:rFonts w:ascii="Calibri" w:hAnsi="Calibri"/>
        </w:rPr>
        <w:t>7</w:t>
      </w:r>
    </w:p>
    <w:p w14:paraId="77E59282" w14:textId="265B3000" w:rsidR="00256572" w:rsidRPr="00757A73" w:rsidRDefault="00256572" w:rsidP="00ED2B3F">
      <w:pPr>
        <w:spacing w:after="180" w:line="240" w:lineRule="auto"/>
        <w:rPr>
          <w:rFonts w:ascii="Calibri" w:hAnsi="Calibri"/>
        </w:rPr>
      </w:pPr>
      <w:r w:rsidRPr="00757A73">
        <w:rPr>
          <w:rFonts w:ascii="Calibri" w:hAnsi="Calibri"/>
        </w:rPr>
        <w:t xml:space="preserve">ISBN </w:t>
      </w:r>
      <w:r w:rsidR="00757A73" w:rsidRPr="00757A73">
        <w:rPr>
          <w:rFonts w:ascii="Calibri" w:hAnsi="Calibri"/>
        </w:rPr>
        <w:t>978-1-925504-54-5</w:t>
      </w:r>
    </w:p>
    <w:p w14:paraId="3D32783E" w14:textId="77777777" w:rsidR="00256572" w:rsidRPr="00BA42B3" w:rsidRDefault="00256572" w:rsidP="00ED2B3F">
      <w:pPr>
        <w:tabs>
          <w:tab w:val="left" w:pos="1650"/>
        </w:tabs>
        <w:spacing w:before="120" w:after="180" w:line="240" w:lineRule="auto"/>
        <w:rPr>
          <w:rFonts w:ascii="Calibri" w:hAnsi="Calibri"/>
          <w:sz w:val="24"/>
          <w:szCs w:val="24"/>
        </w:rPr>
      </w:pPr>
      <w:r w:rsidRPr="00BA42B3">
        <w:rPr>
          <w:rFonts w:ascii="Calibri" w:hAnsi="Calibri"/>
        </w:rPr>
        <w:t>This publication is available for your use under a</w:t>
      </w:r>
      <w:r w:rsidRPr="00BA42B3">
        <w:rPr>
          <w:rFonts w:ascii="Calibri" w:hAnsi="Calibri" w:cs="Calibri"/>
          <w:sz w:val="24"/>
          <w:szCs w:val="24"/>
        </w:rPr>
        <w:t xml:space="preserve"> </w:t>
      </w:r>
      <w:hyperlink r:id="rId14" w:history="1">
        <w:r w:rsidRPr="00BA42B3">
          <w:rPr>
            <w:rFonts w:ascii="Calibri" w:hAnsi="Calibri"/>
            <w:color w:val="auto"/>
          </w:rPr>
          <w:t>Creative Commons Attribution 3.0 Australia</w:t>
        </w:r>
      </w:hyperlink>
      <w:r w:rsidRPr="00BA42B3">
        <w:rPr>
          <w:rFonts w:ascii="Calibri" w:hAnsi="Calibri" w:cs="Calibri"/>
          <w:sz w:val="24"/>
          <w:szCs w:val="24"/>
        </w:rPr>
        <w:t xml:space="preserve"> </w:t>
      </w:r>
      <w:r w:rsidRPr="00BA42B3">
        <w:rPr>
          <w:rFonts w:ascii="Calibri" w:hAnsi="Calibri"/>
        </w:rPr>
        <w:t>licence, with the exception of the Commonwealth Coat of Arms, the Treasury logo, photographs, images, signatures and where otherwise stated. The full licence terms are available from</w:t>
      </w:r>
      <w:r w:rsidRPr="00BA42B3">
        <w:rPr>
          <w:rFonts w:ascii="Calibri" w:hAnsi="Calibri" w:cs="Calibri"/>
          <w:sz w:val="24"/>
          <w:szCs w:val="24"/>
        </w:rPr>
        <w:t xml:space="preserve"> </w:t>
      </w:r>
      <w:hyperlink r:id="rId15" w:history="1">
        <w:r w:rsidRPr="00BA42B3">
          <w:rPr>
            <w:rStyle w:val="Hyperlink"/>
            <w:rFonts w:ascii="Calibri" w:hAnsi="Calibri"/>
          </w:rPr>
          <w:t>http://creativecommons.org/licenses/by/3.0/au/legalcode</w:t>
        </w:r>
      </w:hyperlink>
      <w:r w:rsidRPr="00BA42B3">
        <w:rPr>
          <w:rFonts w:ascii="Calibri" w:hAnsi="Calibri"/>
          <w:color w:val="auto"/>
        </w:rPr>
        <w:t>.</w:t>
      </w:r>
    </w:p>
    <w:p w14:paraId="543BB578" w14:textId="77777777" w:rsidR="00256572" w:rsidRPr="00C41F0D" w:rsidRDefault="00256572" w:rsidP="00ED2B3F">
      <w:pPr>
        <w:pStyle w:val="TableGraphic"/>
        <w:spacing w:after="180"/>
      </w:pPr>
      <w:r w:rsidRPr="00C41F0D">
        <w:rPr>
          <w:noProof/>
        </w:rPr>
        <w:drawing>
          <wp:inline distT="0" distB="0" distL="0" distR="0" wp14:anchorId="3379CCA7" wp14:editId="709310B5">
            <wp:extent cx="810000" cy="284400"/>
            <wp:effectExtent l="0" t="0" r="0" b="1905"/>
            <wp:docPr id="4" name="Picture 4"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srcRect/>
                    <a:stretch>
                      <a:fillRect/>
                    </a:stretch>
                  </pic:blipFill>
                  <pic:spPr bwMode="auto">
                    <a:xfrm>
                      <a:off x="0" y="0"/>
                      <a:ext cx="810000" cy="284400"/>
                    </a:xfrm>
                    <a:prstGeom prst="rect">
                      <a:avLst/>
                    </a:prstGeom>
                    <a:noFill/>
                    <a:ln w="9525">
                      <a:noFill/>
                      <a:miter lim="800000"/>
                      <a:headEnd/>
                      <a:tailEnd/>
                    </a:ln>
                  </pic:spPr>
                </pic:pic>
              </a:graphicData>
            </a:graphic>
          </wp:inline>
        </w:drawing>
      </w:r>
    </w:p>
    <w:p w14:paraId="11AD995C" w14:textId="77777777" w:rsidR="00256572" w:rsidRPr="00BA42B3" w:rsidRDefault="00256572" w:rsidP="00ED2B3F">
      <w:pPr>
        <w:spacing w:after="180" w:line="240" w:lineRule="auto"/>
        <w:rPr>
          <w:rFonts w:ascii="Calibri" w:hAnsi="Calibri"/>
        </w:rPr>
      </w:pPr>
      <w:r w:rsidRPr="00BA42B3">
        <w:rPr>
          <w:rFonts w:ascii="Calibri" w:hAnsi="Calibri"/>
        </w:rPr>
        <w:t xml:space="preserve">Use of Treasury material under a </w:t>
      </w:r>
      <w:hyperlink r:id="rId17" w:history="1">
        <w:r w:rsidRPr="00BA42B3">
          <w:rPr>
            <w:rStyle w:val="Hyperlink"/>
            <w:rFonts w:ascii="Calibri" w:hAnsi="Calibri"/>
          </w:rPr>
          <w:t>Creative Commons Attribution 3.0 Australia</w:t>
        </w:r>
      </w:hyperlink>
      <w:r w:rsidRPr="00BA42B3">
        <w:rPr>
          <w:rFonts w:ascii="Calibri" w:hAnsi="Calibri"/>
        </w:rPr>
        <w:t xml:space="preserve"> licence requires you to attribute the work (but not in any way that suggests that the Treasury endorses you or your use of the work).</w:t>
      </w:r>
    </w:p>
    <w:p w14:paraId="4BE10CF4" w14:textId="77777777" w:rsidR="00256572" w:rsidRPr="00BA42B3" w:rsidRDefault="00256572" w:rsidP="00ED2B3F">
      <w:pPr>
        <w:spacing w:after="180" w:line="240" w:lineRule="auto"/>
        <w:rPr>
          <w:rFonts w:ascii="Calibri" w:hAnsi="Calibri"/>
          <w:b/>
        </w:rPr>
      </w:pPr>
      <w:r w:rsidRPr="00BA42B3">
        <w:rPr>
          <w:rFonts w:ascii="Calibri" w:hAnsi="Calibri"/>
          <w:b/>
        </w:rPr>
        <w:t>Treasury material used 'as supplied'</w:t>
      </w:r>
    </w:p>
    <w:p w14:paraId="13BABEC4" w14:textId="77777777" w:rsidR="00256572" w:rsidRPr="00BA42B3" w:rsidRDefault="00256572" w:rsidP="00ED2B3F">
      <w:pPr>
        <w:spacing w:after="180" w:line="240" w:lineRule="auto"/>
        <w:rPr>
          <w:rFonts w:ascii="Calibri" w:hAnsi="Calibri"/>
        </w:rPr>
      </w:pPr>
      <w:r w:rsidRPr="00BA42B3">
        <w:rPr>
          <w:rFonts w:ascii="Calibri" w:hAnsi="Calibri"/>
        </w:rPr>
        <w:t>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w:t>
      </w:r>
    </w:p>
    <w:p w14:paraId="7E351BAC" w14:textId="77777777" w:rsidR="00256572" w:rsidRPr="00BA42B3" w:rsidRDefault="00256572" w:rsidP="00ED2B3F">
      <w:pPr>
        <w:spacing w:after="180" w:line="240" w:lineRule="auto"/>
        <w:ind w:firstLine="720"/>
        <w:rPr>
          <w:rFonts w:ascii="Calibri" w:hAnsi="Calibri"/>
        </w:rPr>
      </w:pPr>
      <w:r w:rsidRPr="00BA42B3">
        <w:rPr>
          <w:rFonts w:ascii="Calibri" w:hAnsi="Calibri"/>
          <w:i/>
        </w:rPr>
        <w:t xml:space="preserve">Source: The </w:t>
      </w:r>
      <w:r w:rsidRPr="00BA42B3">
        <w:rPr>
          <w:rFonts w:ascii="Calibri" w:hAnsi="Calibri"/>
          <w:i/>
          <w:iCs/>
        </w:rPr>
        <w:t>Australian Government the Treasury.</w:t>
      </w:r>
    </w:p>
    <w:p w14:paraId="567397B5" w14:textId="77777777" w:rsidR="00256572" w:rsidRPr="00BA42B3" w:rsidRDefault="00256572" w:rsidP="00ED2B3F">
      <w:pPr>
        <w:spacing w:after="180" w:line="240" w:lineRule="auto"/>
        <w:rPr>
          <w:rFonts w:ascii="Calibri" w:hAnsi="Calibri"/>
          <w:b/>
        </w:rPr>
      </w:pPr>
      <w:r w:rsidRPr="00BA42B3">
        <w:rPr>
          <w:rFonts w:ascii="Calibri" w:hAnsi="Calibri"/>
          <w:b/>
        </w:rPr>
        <w:t>Derivative material</w:t>
      </w:r>
    </w:p>
    <w:p w14:paraId="2B8FEF1E" w14:textId="77777777" w:rsidR="00256572" w:rsidRPr="00BA42B3" w:rsidRDefault="00256572" w:rsidP="00ED2B3F">
      <w:pPr>
        <w:spacing w:after="180" w:line="240" w:lineRule="auto"/>
        <w:rPr>
          <w:rFonts w:ascii="Calibri" w:hAnsi="Calibri"/>
        </w:rPr>
      </w:pPr>
      <w:r w:rsidRPr="00BA42B3">
        <w:rPr>
          <w:rFonts w:ascii="Calibri" w:hAnsi="Calibri"/>
        </w:rPr>
        <w:t>If you have modified or transformed Treasury material, or derived new material from those of the Treasury in any way, then Treasury prefers the following attribution:</w:t>
      </w:r>
    </w:p>
    <w:p w14:paraId="4BD52F1C" w14:textId="77777777" w:rsidR="00256572" w:rsidRPr="00BA42B3" w:rsidRDefault="00256572" w:rsidP="00ED2B3F">
      <w:pPr>
        <w:spacing w:after="180" w:line="240" w:lineRule="auto"/>
        <w:ind w:firstLine="720"/>
        <w:rPr>
          <w:rFonts w:ascii="Calibri" w:hAnsi="Calibri"/>
        </w:rPr>
      </w:pPr>
      <w:r w:rsidRPr="00BA42B3">
        <w:rPr>
          <w:rFonts w:ascii="Calibri" w:hAnsi="Calibri"/>
          <w:i/>
        </w:rPr>
        <w:t>Based on The Australian Government the Treasury data</w:t>
      </w:r>
      <w:r w:rsidRPr="00BA42B3">
        <w:rPr>
          <w:rFonts w:ascii="Calibri" w:hAnsi="Calibri"/>
        </w:rPr>
        <w:t>.</w:t>
      </w:r>
    </w:p>
    <w:p w14:paraId="4C7D1D83" w14:textId="77777777" w:rsidR="00256572" w:rsidRPr="00BA42B3" w:rsidRDefault="00256572" w:rsidP="00ED2B3F">
      <w:pPr>
        <w:spacing w:after="180" w:line="240" w:lineRule="auto"/>
        <w:rPr>
          <w:rFonts w:ascii="Calibri" w:hAnsi="Calibri"/>
          <w:b/>
        </w:rPr>
      </w:pPr>
      <w:r w:rsidRPr="00BA42B3">
        <w:rPr>
          <w:rFonts w:ascii="Calibri" w:hAnsi="Calibri"/>
          <w:b/>
        </w:rPr>
        <w:t>Use of the Coat of Arms</w:t>
      </w:r>
    </w:p>
    <w:p w14:paraId="76E20A58" w14:textId="77777777" w:rsidR="00256572" w:rsidRPr="00BA42B3" w:rsidRDefault="00256572" w:rsidP="00ED2B3F">
      <w:pPr>
        <w:spacing w:after="180" w:line="240" w:lineRule="auto"/>
        <w:rPr>
          <w:rFonts w:ascii="Calibri" w:hAnsi="Calibri"/>
        </w:rPr>
      </w:pPr>
      <w:r w:rsidRPr="00BA42B3">
        <w:rPr>
          <w:rFonts w:ascii="Calibri" w:hAnsi="Calibri"/>
        </w:rPr>
        <w:t>The terms under which the Coat of Arms can be used are set out on the It’s an Honour website (see </w:t>
      </w:r>
      <w:hyperlink r:id="rId18" w:history="1">
        <w:r w:rsidRPr="00BA42B3">
          <w:rPr>
            <w:rStyle w:val="Hyperlink"/>
            <w:rFonts w:ascii="Calibri" w:hAnsi="Calibri"/>
          </w:rPr>
          <w:t>www.itsanhonour.gov.au</w:t>
        </w:r>
      </w:hyperlink>
      <w:r w:rsidRPr="00BA42B3">
        <w:rPr>
          <w:rFonts w:ascii="Calibri" w:hAnsi="Calibri"/>
        </w:rPr>
        <w:t>)</w:t>
      </w:r>
    </w:p>
    <w:p w14:paraId="58B3D76A" w14:textId="77777777" w:rsidR="00256572" w:rsidRPr="00BA42B3" w:rsidRDefault="00256572" w:rsidP="00ED2B3F">
      <w:pPr>
        <w:spacing w:after="180" w:line="240" w:lineRule="auto"/>
        <w:rPr>
          <w:rFonts w:ascii="Calibri" w:hAnsi="Calibri"/>
          <w:b/>
        </w:rPr>
      </w:pPr>
      <w:r w:rsidRPr="00BA42B3">
        <w:rPr>
          <w:rFonts w:ascii="Calibri" w:hAnsi="Calibri"/>
          <w:b/>
        </w:rPr>
        <w:t>Other uses</w:t>
      </w:r>
    </w:p>
    <w:p w14:paraId="065BEAAF" w14:textId="77777777" w:rsidR="00256572" w:rsidRPr="00BA42B3" w:rsidRDefault="00256572" w:rsidP="00ED2B3F">
      <w:pPr>
        <w:spacing w:after="180" w:line="240" w:lineRule="auto"/>
        <w:rPr>
          <w:rFonts w:ascii="Calibri" w:hAnsi="Calibri"/>
        </w:rPr>
      </w:pPr>
      <w:r w:rsidRPr="00BA42B3">
        <w:rPr>
          <w:rFonts w:ascii="Calibri" w:hAnsi="Calibri"/>
        </w:rPr>
        <w:t>Enquiries regarding this licence and any other use of this document are welcome at:</w:t>
      </w:r>
    </w:p>
    <w:p w14:paraId="0F46E1A4" w14:textId="4FC62FFC" w:rsidR="00256572" w:rsidRPr="00BA42B3" w:rsidRDefault="00DD10DE" w:rsidP="00ED2B3F">
      <w:pPr>
        <w:spacing w:after="180" w:line="240" w:lineRule="auto"/>
        <w:ind w:left="720"/>
        <w:jc w:val="left"/>
        <w:rPr>
          <w:rFonts w:ascii="Calibri" w:hAnsi="Calibri"/>
        </w:rPr>
      </w:pPr>
      <w:r>
        <w:rPr>
          <w:rFonts w:ascii="Calibri" w:hAnsi="Calibri"/>
        </w:rPr>
        <w:t>Manager</w:t>
      </w:r>
      <w:r>
        <w:rPr>
          <w:rFonts w:ascii="Calibri" w:hAnsi="Calibri"/>
        </w:rPr>
        <w:br/>
        <w:t>Communications</w:t>
      </w:r>
      <w:r>
        <w:rPr>
          <w:rFonts w:ascii="Calibri" w:hAnsi="Calibri"/>
        </w:rPr>
        <w:br/>
        <w:t>The Treasury</w:t>
      </w:r>
      <w:r>
        <w:rPr>
          <w:rFonts w:ascii="Calibri" w:hAnsi="Calibri"/>
        </w:rPr>
        <w:br/>
        <w:t>Langton Crescent</w:t>
      </w:r>
      <w:r w:rsidR="00256572" w:rsidRPr="00BA42B3">
        <w:rPr>
          <w:rFonts w:ascii="Calibri" w:hAnsi="Calibri"/>
        </w:rPr>
        <w:br/>
        <w:t>Parkes ACT 2600</w:t>
      </w:r>
    </w:p>
    <w:p w14:paraId="2D3E18A5" w14:textId="2D4B0E8C" w:rsidR="00256572" w:rsidRPr="00256572" w:rsidRDefault="00256572" w:rsidP="00ED2B3F">
      <w:pPr>
        <w:spacing w:after="180"/>
      </w:pPr>
      <w:r w:rsidRPr="00BA42B3">
        <w:rPr>
          <w:rFonts w:ascii="Calibri" w:hAnsi="Calibri"/>
        </w:rPr>
        <w:t xml:space="preserve">Email: </w:t>
      </w:r>
      <w:hyperlink r:id="rId19" w:history="1">
        <w:r w:rsidRPr="00BA42B3">
          <w:rPr>
            <w:rStyle w:val="Hyperlink"/>
            <w:rFonts w:ascii="Calibri" w:hAnsi="Calibri"/>
          </w:rPr>
          <w:t>medialiaison@treasury.gov.au</w:t>
        </w:r>
      </w:hyperlink>
    </w:p>
    <w:p w14:paraId="1E7DDE1C" w14:textId="27E9F8BD" w:rsidR="0087639D" w:rsidRPr="00256572" w:rsidRDefault="0087639D" w:rsidP="00256572">
      <w:r w:rsidRPr="00256572">
        <w:br w:type="page"/>
      </w:r>
    </w:p>
    <w:p w14:paraId="1706EC6D" w14:textId="09B23BA3" w:rsidR="00E551D2" w:rsidRDefault="002D26F6" w:rsidP="002D26F6">
      <w:pPr>
        <w:pStyle w:val="Heading1-NoTOC"/>
      </w:pPr>
      <w:r w:rsidRPr="002D26F6">
        <w:lastRenderedPageBreak/>
        <w:t>Contents</w:t>
      </w:r>
    </w:p>
    <w:p w14:paraId="674D7592" w14:textId="77777777" w:rsidR="00E24655" w:rsidRDefault="002D26F6">
      <w:pPr>
        <w:pStyle w:val="TOC1"/>
        <w:rPr>
          <w:rFonts w:asciiTheme="minorHAnsi" w:eastAsiaTheme="minorEastAsia" w:hAnsiTheme="minorHAnsi" w:cstheme="minorBidi"/>
          <w:b w:val="0"/>
          <w:noProof/>
          <w:color w:val="auto"/>
        </w:rPr>
      </w:pPr>
      <w:r>
        <w:rPr>
          <w:b w:val="0"/>
          <w:sz w:val="24"/>
        </w:rPr>
        <w:fldChar w:fldCharType="begin"/>
      </w:r>
      <w:r>
        <w:rPr>
          <w:b w:val="0"/>
          <w:sz w:val="24"/>
        </w:rPr>
        <w:instrText xml:space="preserve"> TOC \o "1-2" \h \z \u </w:instrText>
      </w:r>
      <w:r>
        <w:rPr>
          <w:b w:val="0"/>
          <w:sz w:val="24"/>
        </w:rPr>
        <w:fldChar w:fldCharType="separate"/>
      </w:r>
      <w:hyperlink w:anchor="_Toc486231358" w:history="1">
        <w:r w:rsidR="00E24655" w:rsidRPr="00060D1D">
          <w:rPr>
            <w:rStyle w:val="Hyperlink"/>
            <w:noProof/>
          </w:rPr>
          <w:t>Executive summary</w:t>
        </w:r>
        <w:r w:rsidR="00E24655">
          <w:rPr>
            <w:noProof/>
            <w:webHidden/>
          </w:rPr>
          <w:tab/>
        </w:r>
        <w:r w:rsidR="00E24655">
          <w:rPr>
            <w:noProof/>
            <w:webHidden/>
          </w:rPr>
          <w:fldChar w:fldCharType="begin"/>
        </w:r>
        <w:r w:rsidR="00E24655">
          <w:rPr>
            <w:noProof/>
            <w:webHidden/>
          </w:rPr>
          <w:instrText xml:space="preserve"> PAGEREF _Toc486231358 \h </w:instrText>
        </w:r>
        <w:r w:rsidR="00E24655">
          <w:rPr>
            <w:noProof/>
            <w:webHidden/>
          </w:rPr>
        </w:r>
        <w:r w:rsidR="00E24655">
          <w:rPr>
            <w:noProof/>
            <w:webHidden/>
          </w:rPr>
          <w:fldChar w:fldCharType="separate"/>
        </w:r>
        <w:r w:rsidR="000F2269">
          <w:rPr>
            <w:noProof/>
            <w:webHidden/>
          </w:rPr>
          <w:t>1</w:t>
        </w:r>
        <w:r w:rsidR="00E24655">
          <w:rPr>
            <w:noProof/>
            <w:webHidden/>
          </w:rPr>
          <w:fldChar w:fldCharType="end"/>
        </w:r>
      </w:hyperlink>
    </w:p>
    <w:p w14:paraId="21A441E0" w14:textId="77777777" w:rsidR="00E24655" w:rsidRDefault="00A810C4">
      <w:pPr>
        <w:pStyle w:val="TOC1"/>
        <w:rPr>
          <w:rFonts w:asciiTheme="minorHAnsi" w:eastAsiaTheme="minorEastAsia" w:hAnsiTheme="minorHAnsi" w:cstheme="minorBidi"/>
          <w:b w:val="0"/>
          <w:noProof/>
          <w:color w:val="auto"/>
        </w:rPr>
      </w:pPr>
      <w:hyperlink w:anchor="_Toc486231359" w:history="1">
        <w:r w:rsidR="00E24655" w:rsidRPr="00060D1D">
          <w:rPr>
            <w:rStyle w:val="Hyperlink"/>
            <w:noProof/>
          </w:rPr>
          <w:t>1</w:t>
        </w:r>
        <w:r w:rsidR="00E24655">
          <w:rPr>
            <w:rFonts w:asciiTheme="minorHAnsi" w:eastAsiaTheme="minorEastAsia" w:hAnsiTheme="minorHAnsi" w:cstheme="minorBidi"/>
            <w:b w:val="0"/>
            <w:noProof/>
            <w:color w:val="auto"/>
          </w:rPr>
          <w:tab/>
        </w:r>
        <w:r w:rsidR="00E24655" w:rsidRPr="00060D1D">
          <w:rPr>
            <w:rStyle w:val="Hyperlink"/>
            <w:noProof/>
          </w:rPr>
          <w:t>Introduction</w:t>
        </w:r>
        <w:r w:rsidR="00E24655">
          <w:rPr>
            <w:noProof/>
            <w:webHidden/>
          </w:rPr>
          <w:tab/>
        </w:r>
        <w:r w:rsidR="00E24655">
          <w:rPr>
            <w:noProof/>
            <w:webHidden/>
          </w:rPr>
          <w:fldChar w:fldCharType="begin"/>
        </w:r>
        <w:r w:rsidR="00E24655">
          <w:rPr>
            <w:noProof/>
            <w:webHidden/>
          </w:rPr>
          <w:instrText xml:space="preserve"> PAGEREF _Toc486231359 \h </w:instrText>
        </w:r>
        <w:r w:rsidR="00E24655">
          <w:rPr>
            <w:noProof/>
            <w:webHidden/>
          </w:rPr>
        </w:r>
        <w:r w:rsidR="00E24655">
          <w:rPr>
            <w:noProof/>
            <w:webHidden/>
          </w:rPr>
          <w:fldChar w:fldCharType="separate"/>
        </w:r>
        <w:r w:rsidR="000F2269">
          <w:rPr>
            <w:noProof/>
            <w:webHidden/>
          </w:rPr>
          <w:t>3</w:t>
        </w:r>
        <w:r w:rsidR="00E24655">
          <w:rPr>
            <w:noProof/>
            <w:webHidden/>
          </w:rPr>
          <w:fldChar w:fldCharType="end"/>
        </w:r>
      </w:hyperlink>
    </w:p>
    <w:p w14:paraId="357FEE11" w14:textId="77777777" w:rsidR="00E24655" w:rsidRDefault="00A810C4">
      <w:pPr>
        <w:pStyle w:val="TOC2"/>
        <w:rPr>
          <w:rFonts w:asciiTheme="minorHAnsi" w:eastAsiaTheme="minorEastAsia" w:hAnsiTheme="minorHAnsi" w:cstheme="minorBidi"/>
          <w:color w:val="auto"/>
          <w:szCs w:val="22"/>
        </w:rPr>
      </w:pPr>
      <w:hyperlink w:anchor="_Toc486231360" w:history="1">
        <w:r w:rsidR="00E24655" w:rsidRPr="00060D1D">
          <w:rPr>
            <w:rStyle w:val="Hyperlink"/>
          </w:rPr>
          <w:t>1.1</w:t>
        </w:r>
        <w:r w:rsidR="00E24655">
          <w:rPr>
            <w:rFonts w:asciiTheme="minorHAnsi" w:eastAsiaTheme="minorEastAsia" w:hAnsiTheme="minorHAnsi" w:cstheme="minorBidi"/>
            <w:color w:val="auto"/>
            <w:szCs w:val="22"/>
          </w:rPr>
          <w:tab/>
        </w:r>
        <w:r w:rsidR="00E24655" w:rsidRPr="00060D1D">
          <w:rPr>
            <w:rStyle w:val="Hyperlink"/>
          </w:rPr>
          <w:t>ASIC's enforcement function and responsibilities</w:t>
        </w:r>
        <w:r w:rsidR="00E24655">
          <w:rPr>
            <w:webHidden/>
          </w:rPr>
          <w:tab/>
        </w:r>
        <w:r w:rsidR="00E24655">
          <w:rPr>
            <w:webHidden/>
          </w:rPr>
          <w:fldChar w:fldCharType="begin"/>
        </w:r>
        <w:r w:rsidR="00E24655">
          <w:rPr>
            <w:webHidden/>
          </w:rPr>
          <w:instrText xml:space="preserve"> PAGEREF _Toc486231360 \h </w:instrText>
        </w:r>
        <w:r w:rsidR="00E24655">
          <w:rPr>
            <w:webHidden/>
          </w:rPr>
        </w:r>
        <w:r w:rsidR="00E24655">
          <w:rPr>
            <w:webHidden/>
          </w:rPr>
          <w:fldChar w:fldCharType="separate"/>
        </w:r>
        <w:r w:rsidR="000F2269">
          <w:rPr>
            <w:webHidden/>
          </w:rPr>
          <w:t>3</w:t>
        </w:r>
        <w:r w:rsidR="00E24655">
          <w:rPr>
            <w:webHidden/>
          </w:rPr>
          <w:fldChar w:fldCharType="end"/>
        </w:r>
      </w:hyperlink>
    </w:p>
    <w:p w14:paraId="07DCC4CA" w14:textId="77777777" w:rsidR="00E24655" w:rsidRDefault="00A810C4">
      <w:pPr>
        <w:pStyle w:val="TOC1"/>
        <w:rPr>
          <w:rFonts w:asciiTheme="minorHAnsi" w:eastAsiaTheme="minorEastAsia" w:hAnsiTheme="minorHAnsi" w:cstheme="minorBidi"/>
          <w:b w:val="0"/>
          <w:noProof/>
          <w:color w:val="auto"/>
        </w:rPr>
      </w:pPr>
      <w:hyperlink w:anchor="_Toc486231361" w:history="1">
        <w:r w:rsidR="00E24655" w:rsidRPr="00060D1D">
          <w:rPr>
            <w:rStyle w:val="Hyperlink"/>
            <w:noProof/>
          </w:rPr>
          <w:t>2</w:t>
        </w:r>
        <w:r w:rsidR="00E24655">
          <w:rPr>
            <w:rFonts w:asciiTheme="minorHAnsi" w:eastAsiaTheme="minorEastAsia" w:hAnsiTheme="minorHAnsi" w:cstheme="minorBidi"/>
            <w:b w:val="0"/>
            <w:noProof/>
            <w:color w:val="auto"/>
          </w:rPr>
          <w:tab/>
        </w:r>
        <w:r w:rsidR="00E24655" w:rsidRPr="00060D1D">
          <w:rPr>
            <w:rStyle w:val="Hyperlink"/>
            <w:noProof/>
          </w:rPr>
          <w:t>Search warrant powers available to ASIC</w:t>
        </w:r>
        <w:r w:rsidR="00E24655">
          <w:rPr>
            <w:noProof/>
            <w:webHidden/>
          </w:rPr>
          <w:tab/>
        </w:r>
        <w:r w:rsidR="00E24655">
          <w:rPr>
            <w:noProof/>
            <w:webHidden/>
          </w:rPr>
          <w:fldChar w:fldCharType="begin"/>
        </w:r>
        <w:r w:rsidR="00E24655">
          <w:rPr>
            <w:noProof/>
            <w:webHidden/>
          </w:rPr>
          <w:instrText xml:space="preserve"> PAGEREF _Toc486231361 \h </w:instrText>
        </w:r>
        <w:r w:rsidR="00E24655">
          <w:rPr>
            <w:noProof/>
            <w:webHidden/>
          </w:rPr>
        </w:r>
        <w:r w:rsidR="00E24655">
          <w:rPr>
            <w:noProof/>
            <w:webHidden/>
          </w:rPr>
          <w:fldChar w:fldCharType="separate"/>
        </w:r>
        <w:r w:rsidR="000F2269">
          <w:rPr>
            <w:noProof/>
            <w:webHidden/>
          </w:rPr>
          <w:t>4</w:t>
        </w:r>
        <w:r w:rsidR="00E24655">
          <w:rPr>
            <w:noProof/>
            <w:webHidden/>
          </w:rPr>
          <w:fldChar w:fldCharType="end"/>
        </w:r>
      </w:hyperlink>
    </w:p>
    <w:p w14:paraId="3B763F37" w14:textId="77777777" w:rsidR="00E24655" w:rsidRDefault="00A810C4">
      <w:pPr>
        <w:pStyle w:val="TOC2"/>
        <w:rPr>
          <w:rFonts w:asciiTheme="minorHAnsi" w:eastAsiaTheme="minorEastAsia" w:hAnsiTheme="minorHAnsi" w:cstheme="minorBidi"/>
          <w:color w:val="auto"/>
          <w:szCs w:val="22"/>
        </w:rPr>
      </w:pPr>
      <w:hyperlink w:anchor="_Toc486231362" w:history="1">
        <w:r w:rsidR="00E24655" w:rsidRPr="00060D1D">
          <w:rPr>
            <w:rStyle w:val="Hyperlink"/>
          </w:rPr>
          <w:t>2.1</w:t>
        </w:r>
        <w:r w:rsidR="00E24655">
          <w:rPr>
            <w:rFonts w:asciiTheme="minorHAnsi" w:eastAsiaTheme="minorEastAsia" w:hAnsiTheme="minorHAnsi" w:cstheme="minorBidi"/>
            <w:color w:val="auto"/>
            <w:szCs w:val="22"/>
          </w:rPr>
          <w:tab/>
        </w:r>
        <w:r w:rsidR="00E24655" w:rsidRPr="00060D1D">
          <w:rPr>
            <w:rStyle w:val="Hyperlink"/>
          </w:rPr>
          <w:t>Search warrant powers in the ASIC, NCCP, SIS &amp; RSA Acts</w:t>
        </w:r>
        <w:r w:rsidR="00E24655">
          <w:rPr>
            <w:webHidden/>
          </w:rPr>
          <w:tab/>
        </w:r>
        <w:r w:rsidR="00E24655">
          <w:rPr>
            <w:webHidden/>
          </w:rPr>
          <w:fldChar w:fldCharType="begin"/>
        </w:r>
        <w:r w:rsidR="00E24655">
          <w:rPr>
            <w:webHidden/>
          </w:rPr>
          <w:instrText xml:space="preserve"> PAGEREF _Toc486231362 \h </w:instrText>
        </w:r>
        <w:r w:rsidR="00E24655">
          <w:rPr>
            <w:webHidden/>
          </w:rPr>
        </w:r>
        <w:r w:rsidR="00E24655">
          <w:rPr>
            <w:webHidden/>
          </w:rPr>
          <w:fldChar w:fldCharType="separate"/>
        </w:r>
        <w:r w:rsidR="000F2269">
          <w:rPr>
            <w:webHidden/>
          </w:rPr>
          <w:t>4</w:t>
        </w:r>
        <w:r w:rsidR="00E24655">
          <w:rPr>
            <w:webHidden/>
          </w:rPr>
          <w:fldChar w:fldCharType="end"/>
        </w:r>
      </w:hyperlink>
    </w:p>
    <w:p w14:paraId="426405E9" w14:textId="77777777" w:rsidR="00E24655" w:rsidRDefault="00A810C4">
      <w:pPr>
        <w:pStyle w:val="TOC2"/>
        <w:rPr>
          <w:rFonts w:asciiTheme="minorHAnsi" w:eastAsiaTheme="minorEastAsia" w:hAnsiTheme="minorHAnsi" w:cstheme="minorBidi"/>
          <w:color w:val="auto"/>
          <w:szCs w:val="22"/>
        </w:rPr>
      </w:pPr>
      <w:hyperlink w:anchor="_Toc486231363" w:history="1">
        <w:r w:rsidR="00E24655" w:rsidRPr="00060D1D">
          <w:rPr>
            <w:rStyle w:val="Hyperlink"/>
          </w:rPr>
          <w:t>2.2</w:t>
        </w:r>
        <w:r w:rsidR="00E24655">
          <w:rPr>
            <w:rFonts w:asciiTheme="minorHAnsi" w:eastAsiaTheme="minorEastAsia" w:hAnsiTheme="minorHAnsi" w:cstheme="minorBidi"/>
            <w:color w:val="auto"/>
            <w:szCs w:val="22"/>
          </w:rPr>
          <w:tab/>
        </w:r>
        <w:r w:rsidR="00E24655" w:rsidRPr="00060D1D">
          <w:rPr>
            <w:rStyle w:val="Hyperlink"/>
          </w:rPr>
          <w:t>Crimes Act search warrants</w:t>
        </w:r>
        <w:r w:rsidR="00E24655">
          <w:rPr>
            <w:webHidden/>
          </w:rPr>
          <w:tab/>
        </w:r>
        <w:r w:rsidR="00E24655">
          <w:rPr>
            <w:webHidden/>
          </w:rPr>
          <w:fldChar w:fldCharType="begin"/>
        </w:r>
        <w:r w:rsidR="00E24655">
          <w:rPr>
            <w:webHidden/>
          </w:rPr>
          <w:instrText xml:space="preserve"> PAGEREF _Toc486231363 \h </w:instrText>
        </w:r>
        <w:r w:rsidR="00E24655">
          <w:rPr>
            <w:webHidden/>
          </w:rPr>
        </w:r>
        <w:r w:rsidR="00E24655">
          <w:rPr>
            <w:webHidden/>
          </w:rPr>
          <w:fldChar w:fldCharType="separate"/>
        </w:r>
        <w:r w:rsidR="000F2269">
          <w:rPr>
            <w:webHidden/>
          </w:rPr>
          <w:t>5</w:t>
        </w:r>
        <w:r w:rsidR="00E24655">
          <w:rPr>
            <w:webHidden/>
          </w:rPr>
          <w:fldChar w:fldCharType="end"/>
        </w:r>
      </w:hyperlink>
    </w:p>
    <w:p w14:paraId="124388D3" w14:textId="77777777" w:rsidR="00E24655" w:rsidRDefault="00A810C4">
      <w:pPr>
        <w:pStyle w:val="TOC1"/>
        <w:rPr>
          <w:rFonts w:asciiTheme="minorHAnsi" w:eastAsiaTheme="minorEastAsia" w:hAnsiTheme="minorHAnsi" w:cstheme="minorBidi"/>
          <w:b w:val="0"/>
          <w:noProof/>
          <w:color w:val="auto"/>
        </w:rPr>
      </w:pPr>
      <w:hyperlink w:anchor="_Toc486231364" w:history="1">
        <w:r w:rsidR="00E24655" w:rsidRPr="00060D1D">
          <w:rPr>
            <w:rStyle w:val="Hyperlink"/>
            <w:noProof/>
          </w:rPr>
          <w:t>3</w:t>
        </w:r>
        <w:r w:rsidR="00E24655">
          <w:rPr>
            <w:rFonts w:asciiTheme="minorHAnsi" w:eastAsiaTheme="minorEastAsia" w:hAnsiTheme="minorHAnsi" w:cstheme="minorBidi"/>
            <w:b w:val="0"/>
            <w:noProof/>
            <w:color w:val="auto"/>
          </w:rPr>
          <w:tab/>
        </w:r>
        <w:r w:rsidR="00E24655" w:rsidRPr="00060D1D">
          <w:rPr>
            <w:rStyle w:val="Hyperlink"/>
            <w:noProof/>
          </w:rPr>
          <w:t>Search warrant powers in the Competition and Consumer Act</w:t>
        </w:r>
        <w:r w:rsidR="00E24655">
          <w:rPr>
            <w:noProof/>
            <w:webHidden/>
          </w:rPr>
          <w:tab/>
        </w:r>
        <w:r w:rsidR="00E24655">
          <w:rPr>
            <w:noProof/>
            <w:webHidden/>
          </w:rPr>
          <w:fldChar w:fldCharType="begin"/>
        </w:r>
        <w:r w:rsidR="00E24655">
          <w:rPr>
            <w:noProof/>
            <w:webHidden/>
          </w:rPr>
          <w:instrText xml:space="preserve"> PAGEREF _Toc486231364 \h </w:instrText>
        </w:r>
        <w:r w:rsidR="00E24655">
          <w:rPr>
            <w:noProof/>
            <w:webHidden/>
          </w:rPr>
        </w:r>
        <w:r w:rsidR="00E24655">
          <w:rPr>
            <w:noProof/>
            <w:webHidden/>
          </w:rPr>
          <w:fldChar w:fldCharType="separate"/>
        </w:r>
        <w:r w:rsidR="000F2269">
          <w:rPr>
            <w:noProof/>
            <w:webHidden/>
          </w:rPr>
          <w:t>8</w:t>
        </w:r>
        <w:r w:rsidR="00E24655">
          <w:rPr>
            <w:noProof/>
            <w:webHidden/>
          </w:rPr>
          <w:fldChar w:fldCharType="end"/>
        </w:r>
      </w:hyperlink>
    </w:p>
    <w:p w14:paraId="43E4BD93" w14:textId="77777777" w:rsidR="00E24655" w:rsidRDefault="00A810C4">
      <w:pPr>
        <w:pStyle w:val="TOC1"/>
        <w:rPr>
          <w:rFonts w:asciiTheme="minorHAnsi" w:eastAsiaTheme="minorEastAsia" w:hAnsiTheme="minorHAnsi" w:cstheme="minorBidi"/>
          <w:b w:val="0"/>
          <w:noProof/>
          <w:color w:val="auto"/>
        </w:rPr>
      </w:pPr>
      <w:hyperlink w:anchor="_Toc486231365" w:history="1">
        <w:r w:rsidR="00E24655" w:rsidRPr="00060D1D">
          <w:rPr>
            <w:rStyle w:val="Hyperlink"/>
            <w:noProof/>
          </w:rPr>
          <w:t>4</w:t>
        </w:r>
        <w:r w:rsidR="00E24655">
          <w:rPr>
            <w:rFonts w:asciiTheme="minorHAnsi" w:eastAsiaTheme="minorEastAsia" w:hAnsiTheme="minorHAnsi" w:cstheme="minorBidi"/>
            <w:b w:val="0"/>
            <w:noProof/>
            <w:color w:val="auto"/>
          </w:rPr>
          <w:tab/>
        </w:r>
        <w:r w:rsidR="00E24655" w:rsidRPr="00060D1D">
          <w:rPr>
            <w:rStyle w:val="Hyperlink"/>
            <w:noProof/>
          </w:rPr>
          <w:t>Issues with ASIC’s existing powers</w:t>
        </w:r>
        <w:r w:rsidR="00E24655">
          <w:rPr>
            <w:noProof/>
            <w:webHidden/>
          </w:rPr>
          <w:tab/>
        </w:r>
        <w:r w:rsidR="00E24655">
          <w:rPr>
            <w:noProof/>
            <w:webHidden/>
          </w:rPr>
          <w:fldChar w:fldCharType="begin"/>
        </w:r>
        <w:r w:rsidR="00E24655">
          <w:rPr>
            <w:noProof/>
            <w:webHidden/>
          </w:rPr>
          <w:instrText xml:space="preserve"> PAGEREF _Toc486231365 \h </w:instrText>
        </w:r>
        <w:r w:rsidR="00E24655">
          <w:rPr>
            <w:noProof/>
            <w:webHidden/>
          </w:rPr>
        </w:r>
        <w:r w:rsidR="00E24655">
          <w:rPr>
            <w:noProof/>
            <w:webHidden/>
          </w:rPr>
          <w:fldChar w:fldCharType="separate"/>
        </w:r>
        <w:r w:rsidR="000F2269">
          <w:rPr>
            <w:noProof/>
            <w:webHidden/>
          </w:rPr>
          <w:t>10</w:t>
        </w:r>
        <w:r w:rsidR="00E24655">
          <w:rPr>
            <w:noProof/>
            <w:webHidden/>
          </w:rPr>
          <w:fldChar w:fldCharType="end"/>
        </w:r>
      </w:hyperlink>
    </w:p>
    <w:p w14:paraId="39498FB6" w14:textId="77777777" w:rsidR="00E24655" w:rsidRDefault="00A810C4">
      <w:pPr>
        <w:pStyle w:val="TOC1"/>
        <w:rPr>
          <w:rFonts w:asciiTheme="minorHAnsi" w:eastAsiaTheme="minorEastAsia" w:hAnsiTheme="minorHAnsi" w:cstheme="minorBidi"/>
          <w:b w:val="0"/>
          <w:noProof/>
          <w:color w:val="auto"/>
        </w:rPr>
      </w:pPr>
      <w:hyperlink w:anchor="_Toc486231366" w:history="1">
        <w:r w:rsidR="00E24655" w:rsidRPr="00060D1D">
          <w:rPr>
            <w:rStyle w:val="Hyperlink"/>
            <w:noProof/>
          </w:rPr>
          <w:t>5</w:t>
        </w:r>
        <w:r w:rsidR="00E24655">
          <w:rPr>
            <w:rFonts w:asciiTheme="minorHAnsi" w:eastAsiaTheme="minorEastAsia" w:hAnsiTheme="minorHAnsi" w:cstheme="minorBidi"/>
            <w:b w:val="0"/>
            <w:noProof/>
            <w:color w:val="auto"/>
          </w:rPr>
          <w:tab/>
        </w:r>
        <w:r w:rsidR="00E24655" w:rsidRPr="00060D1D">
          <w:rPr>
            <w:rStyle w:val="Hyperlink"/>
            <w:noProof/>
          </w:rPr>
          <w:t>The ‘forewarning’ requirements</w:t>
        </w:r>
        <w:r w:rsidR="00E24655">
          <w:rPr>
            <w:noProof/>
            <w:webHidden/>
          </w:rPr>
          <w:tab/>
        </w:r>
        <w:r w:rsidR="00E24655">
          <w:rPr>
            <w:noProof/>
            <w:webHidden/>
          </w:rPr>
          <w:fldChar w:fldCharType="begin"/>
        </w:r>
        <w:r w:rsidR="00E24655">
          <w:rPr>
            <w:noProof/>
            <w:webHidden/>
          </w:rPr>
          <w:instrText xml:space="preserve"> PAGEREF _Toc486231366 \h </w:instrText>
        </w:r>
        <w:r w:rsidR="00E24655">
          <w:rPr>
            <w:noProof/>
            <w:webHidden/>
          </w:rPr>
        </w:r>
        <w:r w:rsidR="00E24655">
          <w:rPr>
            <w:noProof/>
            <w:webHidden/>
          </w:rPr>
          <w:fldChar w:fldCharType="separate"/>
        </w:r>
        <w:r w:rsidR="000F2269">
          <w:rPr>
            <w:noProof/>
            <w:webHidden/>
          </w:rPr>
          <w:t>11</w:t>
        </w:r>
        <w:r w:rsidR="00E24655">
          <w:rPr>
            <w:noProof/>
            <w:webHidden/>
          </w:rPr>
          <w:fldChar w:fldCharType="end"/>
        </w:r>
      </w:hyperlink>
    </w:p>
    <w:p w14:paraId="561B14C1" w14:textId="77777777" w:rsidR="00E24655" w:rsidRDefault="00A810C4">
      <w:pPr>
        <w:pStyle w:val="TOC1"/>
        <w:rPr>
          <w:rFonts w:asciiTheme="minorHAnsi" w:eastAsiaTheme="minorEastAsia" w:hAnsiTheme="minorHAnsi" w:cstheme="minorBidi"/>
          <w:b w:val="0"/>
          <w:noProof/>
          <w:color w:val="auto"/>
        </w:rPr>
      </w:pPr>
      <w:hyperlink w:anchor="_Toc486231367" w:history="1">
        <w:r w:rsidR="00E24655" w:rsidRPr="00060D1D">
          <w:rPr>
            <w:rStyle w:val="Hyperlink"/>
            <w:noProof/>
          </w:rPr>
          <w:t>6</w:t>
        </w:r>
        <w:r w:rsidR="00E24655">
          <w:rPr>
            <w:rFonts w:asciiTheme="minorHAnsi" w:eastAsiaTheme="minorEastAsia" w:hAnsiTheme="minorHAnsi" w:cstheme="minorBidi"/>
            <w:b w:val="0"/>
            <w:noProof/>
            <w:color w:val="auto"/>
          </w:rPr>
          <w:tab/>
        </w:r>
        <w:r w:rsidR="00E24655" w:rsidRPr="00060D1D">
          <w:rPr>
            <w:rStyle w:val="Hyperlink"/>
            <w:noProof/>
          </w:rPr>
          <w:t>Applying for a warrant and the ‘particular books’ requirements</w:t>
        </w:r>
        <w:r w:rsidR="00E24655">
          <w:rPr>
            <w:noProof/>
            <w:webHidden/>
          </w:rPr>
          <w:tab/>
        </w:r>
        <w:r w:rsidR="00E24655">
          <w:rPr>
            <w:noProof/>
            <w:webHidden/>
          </w:rPr>
          <w:fldChar w:fldCharType="begin"/>
        </w:r>
        <w:r w:rsidR="00E24655">
          <w:rPr>
            <w:noProof/>
            <w:webHidden/>
          </w:rPr>
          <w:instrText xml:space="preserve"> PAGEREF _Toc486231367 \h </w:instrText>
        </w:r>
        <w:r w:rsidR="00E24655">
          <w:rPr>
            <w:noProof/>
            <w:webHidden/>
          </w:rPr>
        </w:r>
        <w:r w:rsidR="00E24655">
          <w:rPr>
            <w:noProof/>
            <w:webHidden/>
          </w:rPr>
          <w:fldChar w:fldCharType="separate"/>
        </w:r>
        <w:r w:rsidR="000F2269">
          <w:rPr>
            <w:noProof/>
            <w:webHidden/>
          </w:rPr>
          <w:t>13</w:t>
        </w:r>
        <w:r w:rsidR="00E24655">
          <w:rPr>
            <w:noProof/>
            <w:webHidden/>
          </w:rPr>
          <w:fldChar w:fldCharType="end"/>
        </w:r>
      </w:hyperlink>
    </w:p>
    <w:p w14:paraId="67F80F92" w14:textId="77777777" w:rsidR="00E24655" w:rsidRDefault="00A810C4">
      <w:pPr>
        <w:pStyle w:val="TOC1"/>
        <w:rPr>
          <w:rFonts w:asciiTheme="minorHAnsi" w:eastAsiaTheme="minorEastAsia" w:hAnsiTheme="minorHAnsi" w:cstheme="minorBidi"/>
          <w:b w:val="0"/>
          <w:noProof/>
          <w:color w:val="auto"/>
        </w:rPr>
      </w:pPr>
      <w:hyperlink w:anchor="_Toc486231368" w:history="1">
        <w:r w:rsidR="00E24655" w:rsidRPr="00060D1D">
          <w:rPr>
            <w:rStyle w:val="Hyperlink"/>
            <w:noProof/>
          </w:rPr>
          <w:t>7</w:t>
        </w:r>
        <w:r w:rsidR="00E24655">
          <w:rPr>
            <w:rFonts w:asciiTheme="minorHAnsi" w:eastAsiaTheme="minorEastAsia" w:hAnsiTheme="minorHAnsi" w:cstheme="minorBidi"/>
            <w:b w:val="0"/>
            <w:noProof/>
            <w:color w:val="auto"/>
          </w:rPr>
          <w:tab/>
        </w:r>
        <w:r w:rsidR="00E24655" w:rsidRPr="00060D1D">
          <w:rPr>
            <w:rStyle w:val="Hyperlink"/>
            <w:noProof/>
          </w:rPr>
          <w:t>The lack of ancillary powers</w:t>
        </w:r>
        <w:r w:rsidR="00E24655">
          <w:rPr>
            <w:noProof/>
            <w:webHidden/>
          </w:rPr>
          <w:tab/>
        </w:r>
        <w:r w:rsidR="00E24655">
          <w:rPr>
            <w:noProof/>
            <w:webHidden/>
          </w:rPr>
          <w:fldChar w:fldCharType="begin"/>
        </w:r>
        <w:r w:rsidR="00E24655">
          <w:rPr>
            <w:noProof/>
            <w:webHidden/>
          </w:rPr>
          <w:instrText xml:space="preserve"> PAGEREF _Toc486231368 \h </w:instrText>
        </w:r>
        <w:r w:rsidR="00E24655">
          <w:rPr>
            <w:noProof/>
            <w:webHidden/>
          </w:rPr>
        </w:r>
        <w:r w:rsidR="00E24655">
          <w:rPr>
            <w:noProof/>
            <w:webHidden/>
          </w:rPr>
          <w:fldChar w:fldCharType="separate"/>
        </w:r>
        <w:r w:rsidR="000F2269">
          <w:rPr>
            <w:noProof/>
            <w:webHidden/>
          </w:rPr>
          <w:t>17</w:t>
        </w:r>
        <w:r w:rsidR="00E24655">
          <w:rPr>
            <w:noProof/>
            <w:webHidden/>
          </w:rPr>
          <w:fldChar w:fldCharType="end"/>
        </w:r>
      </w:hyperlink>
    </w:p>
    <w:p w14:paraId="327A3D9D" w14:textId="77777777" w:rsidR="00E24655" w:rsidRDefault="00A810C4">
      <w:pPr>
        <w:pStyle w:val="TOC1"/>
        <w:rPr>
          <w:rFonts w:asciiTheme="minorHAnsi" w:eastAsiaTheme="minorEastAsia" w:hAnsiTheme="minorHAnsi" w:cstheme="minorBidi"/>
          <w:b w:val="0"/>
          <w:noProof/>
          <w:color w:val="auto"/>
        </w:rPr>
      </w:pPr>
      <w:hyperlink w:anchor="_Toc486231369" w:history="1">
        <w:r w:rsidR="00E24655" w:rsidRPr="00060D1D">
          <w:rPr>
            <w:rStyle w:val="Hyperlink"/>
            <w:noProof/>
          </w:rPr>
          <w:t>8</w:t>
        </w:r>
        <w:r w:rsidR="00E24655">
          <w:rPr>
            <w:rFonts w:asciiTheme="minorHAnsi" w:eastAsiaTheme="minorEastAsia" w:hAnsiTheme="minorHAnsi" w:cstheme="minorBidi"/>
            <w:b w:val="0"/>
            <w:noProof/>
            <w:color w:val="auto"/>
          </w:rPr>
          <w:tab/>
        </w:r>
        <w:r w:rsidR="00E24655" w:rsidRPr="00060D1D">
          <w:rPr>
            <w:rStyle w:val="Hyperlink"/>
            <w:noProof/>
          </w:rPr>
          <w:t>Use of seized material by ASIC and access by third parties</w:t>
        </w:r>
        <w:r w:rsidR="00E24655">
          <w:rPr>
            <w:noProof/>
            <w:webHidden/>
          </w:rPr>
          <w:tab/>
        </w:r>
        <w:r w:rsidR="00E24655">
          <w:rPr>
            <w:noProof/>
            <w:webHidden/>
          </w:rPr>
          <w:fldChar w:fldCharType="begin"/>
        </w:r>
        <w:r w:rsidR="00E24655">
          <w:rPr>
            <w:noProof/>
            <w:webHidden/>
          </w:rPr>
          <w:instrText xml:space="preserve"> PAGEREF _Toc486231369 \h </w:instrText>
        </w:r>
        <w:r w:rsidR="00E24655">
          <w:rPr>
            <w:noProof/>
            <w:webHidden/>
          </w:rPr>
        </w:r>
        <w:r w:rsidR="00E24655">
          <w:rPr>
            <w:noProof/>
            <w:webHidden/>
          </w:rPr>
          <w:fldChar w:fldCharType="separate"/>
        </w:r>
        <w:r w:rsidR="000F2269">
          <w:rPr>
            <w:noProof/>
            <w:webHidden/>
          </w:rPr>
          <w:t>19</w:t>
        </w:r>
        <w:r w:rsidR="00E24655">
          <w:rPr>
            <w:noProof/>
            <w:webHidden/>
          </w:rPr>
          <w:fldChar w:fldCharType="end"/>
        </w:r>
      </w:hyperlink>
    </w:p>
    <w:p w14:paraId="169A8741" w14:textId="77777777" w:rsidR="00E24655" w:rsidRDefault="00A810C4">
      <w:pPr>
        <w:pStyle w:val="TOC2"/>
        <w:rPr>
          <w:rFonts w:asciiTheme="minorHAnsi" w:eastAsiaTheme="minorEastAsia" w:hAnsiTheme="minorHAnsi" w:cstheme="minorBidi"/>
          <w:color w:val="auto"/>
          <w:szCs w:val="22"/>
        </w:rPr>
      </w:pPr>
      <w:hyperlink w:anchor="_Toc486231370" w:history="1">
        <w:r w:rsidR="00E24655" w:rsidRPr="00060D1D">
          <w:rPr>
            <w:rStyle w:val="Hyperlink"/>
          </w:rPr>
          <w:t>8.1</w:t>
        </w:r>
        <w:r w:rsidR="00E24655">
          <w:rPr>
            <w:rFonts w:asciiTheme="minorHAnsi" w:eastAsiaTheme="minorEastAsia" w:hAnsiTheme="minorHAnsi" w:cstheme="minorBidi"/>
            <w:color w:val="auto"/>
            <w:szCs w:val="22"/>
          </w:rPr>
          <w:tab/>
        </w:r>
        <w:r w:rsidR="00E24655" w:rsidRPr="00060D1D">
          <w:rPr>
            <w:rStyle w:val="Hyperlink"/>
          </w:rPr>
          <w:t>ASIC’s use of seized material</w:t>
        </w:r>
        <w:r w:rsidR="00E24655">
          <w:rPr>
            <w:webHidden/>
          </w:rPr>
          <w:tab/>
        </w:r>
        <w:r w:rsidR="00E24655">
          <w:rPr>
            <w:webHidden/>
          </w:rPr>
          <w:fldChar w:fldCharType="begin"/>
        </w:r>
        <w:r w:rsidR="00E24655">
          <w:rPr>
            <w:webHidden/>
          </w:rPr>
          <w:instrText xml:space="preserve"> PAGEREF _Toc486231370 \h </w:instrText>
        </w:r>
        <w:r w:rsidR="00E24655">
          <w:rPr>
            <w:webHidden/>
          </w:rPr>
        </w:r>
        <w:r w:rsidR="00E24655">
          <w:rPr>
            <w:webHidden/>
          </w:rPr>
          <w:fldChar w:fldCharType="separate"/>
        </w:r>
        <w:r w:rsidR="000F2269">
          <w:rPr>
            <w:webHidden/>
          </w:rPr>
          <w:t>19</w:t>
        </w:r>
        <w:r w:rsidR="00E24655">
          <w:rPr>
            <w:webHidden/>
          </w:rPr>
          <w:fldChar w:fldCharType="end"/>
        </w:r>
      </w:hyperlink>
    </w:p>
    <w:p w14:paraId="41438C93" w14:textId="77777777" w:rsidR="00E24655" w:rsidRDefault="00A810C4">
      <w:pPr>
        <w:pStyle w:val="TOC2"/>
        <w:rPr>
          <w:rFonts w:asciiTheme="minorHAnsi" w:eastAsiaTheme="minorEastAsia" w:hAnsiTheme="minorHAnsi" w:cstheme="minorBidi"/>
          <w:color w:val="auto"/>
          <w:szCs w:val="22"/>
        </w:rPr>
      </w:pPr>
      <w:hyperlink w:anchor="_Toc486231371" w:history="1">
        <w:r w:rsidR="00E24655" w:rsidRPr="00060D1D">
          <w:rPr>
            <w:rStyle w:val="Hyperlink"/>
          </w:rPr>
          <w:t>8.2</w:t>
        </w:r>
        <w:r w:rsidR="00E24655">
          <w:rPr>
            <w:rFonts w:asciiTheme="minorHAnsi" w:eastAsiaTheme="minorEastAsia" w:hAnsiTheme="minorHAnsi" w:cstheme="minorBidi"/>
            <w:color w:val="auto"/>
            <w:szCs w:val="22"/>
          </w:rPr>
          <w:tab/>
        </w:r>
        <w:r w:rsidR="00E24655" w:rsidRPr="00060D1D">
          <w:rPr>
            <w:rStyle w:val="Hyperlink"/>
          </w:rPr>
          <w:t>Third party access to seized material</w:t>
        </w:r>
        <w:r w:rsidR="00E24655">
          <w:rPr>
            <w:webHidden/>
          </w:rPr>
          <w:tab/>
        </w:r>
        <w:r w:rsidR="00E24655">
          <w:rPr>
            <w:webHidden/>
          </w:rPr>
          <w:fldChar w:fldCharType="begin"/>
        </w:r>
        <w:r w:rsidR="00E24655">
          <w:rPr>
            <w:webHidden/>
          </w:rPr>
          <w:instrText xml:space="preserve"> PAGEREF _Toc486231371 \h </w:instrText>
        </w:r>
        <w:r w:rsidR="00E24655">
          <w:rPr>
            <w:webHidden/>
          </w:rPr>
        </w:r>
        <w:r w:rsidR="00E24655">
          <w:rPr>
            <w:webHidden/>
          </w:rPr>
          <w:fldChar w:fldCharType="separate"/>
        </w:r>
        <w:r w:rsidR="000F2269">
          <w:rPr>
            <w:webHidden/>
          </w:rPr>
          <w:t>24</w:t>
        </w:r>
        <w:r w:rsidR="00E24655">
          <w:rPr>
            <w:webHidden/>
          </w:rPr>
          <w:fldChar w:fldCharType="end"/>
        </w:r>
      </w:hyperlink>
    </w:p>
    <w:p w14:paraId="5774B393" w14:textId="77777777" w:rsidR="00E24655" w:rsidRDefault="00A810C4">
      <w:pPr>
        <w:pStyle w:val="TOC1"/>
        <w:rPr>
          <w:rFonts w:asciiTheme="minorHAnsi" w:eastAsiaTheme="minorEastAsia" w:hAnsiTheme="minorHAnsi" w:cstheme="minorBidi"/>
          <w:b w:val="0"/>
          <w:noProof/>
          <w:color w:val="auto"/>
        </w:rPr>
      </w:pPr>
      <w:hyperlink w:anchor="_Toc486231372" w:history="1">
        <w:r w:rsidR="00E24655" w:rsidRPr="00060D1D">
          <w:rPr>
            <w:rStyle w:val="Hyperlink"/>
            <w:noProof/>
          </w:rPr>
          <w:t>Annexure A</w:t>
        </w:r>
        <w:r w:rsidR="00E24655">
          <w:rPr>
            <w:noProof/>
            <w:webHidden/>
          </w:rPr>
          <w:tab/>
        </w:r>
        <w:r w:rsidR="00E24655">
          <w:rPr>
            <w:noProof/>
            <w:webHidden/>
          </w:rPr>
          <w:fldChar w:fldCharType="begin"/>
        </w:r>
        <w:r w:rsidR="00E24655">
          <w:rPr>
            <w:noProof/>
            <w:webHidden/>
          </w:rPr>
          <w:instrText xml:space="preserve"> PAGEREF _Toc486231372 \h </w:instrText>
        </w:r>
        <w:r w:rsidR="00E24655">
          <w:rPr>
            <w:noProof/>
            <w:webHidden/>
          </w:rPr>
        </w:r>
        <w:r w:rsidR="00E24655">
          <w:rPr>
            <w:noProof/>
            <w:webHidden/>
          </w:rPr>
          <w:fldChar w:fldCharType="separate"/>
        </w:r>
        <w:r w:rsidR="000F2269">
          <w:rPr>
            <w:noProof/>
            <w:webHidden/>
          </w:rPr>
          <w:t>26</w:t>
        </w:r>
        <w:r w:rsidR="00E24655">
          <w:rPr>
            <w:noProof/>
            <w:webHidden/>
          </w:rPr>
          <w:fldChar w:fldCharType="end"/>
        </w:r>
      </w:hyperlink>
    </w:p>
    <w:p w14:paraId="3319F5E1" w14:textId="77777777" w:rsidR="00E24655" w:rsidRDefault="00A810C4">
      <w:pPr>
        <w:pStyle w:val="TOC2"/>
        <w:rPr>
          <w:rFonts w:asciiTheme="minorHAnsi" w:eastAsiaTheme="minorEastAsia" w:hAnsiTheme="minorHAnsi" w:cstheme="minorBidi"/>
          <w:color w:val="auto"/>
          <w:szCs w:val="22"/>
        </w:rPr>
      </w:pPr>
      <w:hyperlink w:anchor="_Toc486231373" w:history="1">
        <w:r w:rsidR="00E24655" w:rsidRPr="00060D1D">
          <w:rPr>
            <w:rStyle w:val="Hyperlink"/>
          </w:rPr>
          <w:t>Effect of preliminary positions</w:t>
        </w:r>
        <w:r w:rsidR="00E24655">
          <w:rPr>
            <w:webHidden/>
          </w:rPr>
          <w:tab/>
        </w:r>
        <w:r w:rsidR="00E24655">
          <w:rPr>
            <w:webHidden/>
          </w:rPr>
          <w:fldChar w:fldCharType="begin"/>
        </w:r>
        <w:r w:rsidR="00E24655">
          <w:rPr>
            <w:webHidden/>
          </w:rPr>
          <w:instrText xml:space="preserve"> PAGEREF _Toc486231373 \h </w:instrText>
        </w:r>
        <w:r w:rsidR="00E24655">
          <w:rPr>
            <w:webHidden/>
          </w:rPr>
        </w:r>
        <w:r w:rsidR="00E24655">
          <w:rPr>
            <w:webHidden/>
          </w:rPr>
          <w:fldChar w:fldCharType="separate"/>
        </w:r>
        <w:r w:rsidR="000F2269">
          <w:rPr>
            <w:webHidden/>
          </w:rPr>
          <w:t>26</w:t>
        </w:r>
        <w:r w:rsidR="00E24655">
          <w:rPr>
            <w:webHidden/>
          </w:rPr>
          <w:fldChar w:fldCharType="end"/>
        </w:r>
      </w:hyperlink>
    </w:p>
    <w:p w14:paraId="05FA8CA9" w14:textId="77777777" w:rsidR="00E24655" w:rsidRDefault="00A810C4">
      <w:pPr>
        <w:pStyle w:val="TOC1"/>
        <w:rPr>
          <w:rFonts w:asciiTheme="minorHAnsi" w:eastAsiaTheme="minorEastAsia" w:hAnsiTheme="minorHAnsi" w:cstheme="minorBidi"/>
          <w:b w:val="0"/>
          <w:noProof/>
          <w:color w:val="auto"/>
        </w:rPr>
      </w:pPr>
      <w:hyperlink w:anchor="_Toc486231374" w:history="1">
        <w:r w:rsidR="00E24655" w:rsidRPr="00060D1D">
          <w:rPr>
            <w:rStyle w:val="Hyperlink"/>
            <w:noProof/>
          </w:rPr>
          <w:t>Annexure B – ASIC enforcement review taskforce terms of reference</w:t>
        </w:r>
        <w:r w:rsidR="00E24655">
          <w:rPr>
            <w:noProof/>
            <w:webHidden/>
          </w:rPr>
          <w:tab/>
        </w:r>
        <w:r w:rsidR="00E24655">
          <w:rPr>
            <w:noProof/>
            <w:webHidden/>
          </w:rPr>
          <w:fldChar w:fldCharType="begin"/>
        </w:r>
        <w:r w:rsidR="00E24655">
          <w:rPr>
            <w:noProof/>
            <w:webHidden/>
          </w:rPr>
          <w:instrText xml:space="preserve"> PAGEREF _Toc486231374 \h </w:instrText>
        </w:r>
        <w:r w:rsidR="00E24655">
          <w:rPr>
            <w:noProof/>
            <w:webHidden/>
          </w:rPr>
        </w:r>
        <w:r w:rsidR="00E24655">
          <w:rPr>
            <w:noProof/>
            <w:webHidden/>
          </w:rPr>
          <w:fldChar w:fldCharType="separate"/>
        </w:r>
        <w:r w:rsidR="000F2269">
          <w:rPr>
            <w:noProof/>
            <w:webHidden/>
          </w:rPr>
          <w:t>28</w:t>
        </w:r>
        <w:r w:rsidR="00E24655">
          <w:rPr>
            <w:noProof/>
            <w:webHidden/>
          </w:rPr>
          <w:fldChar w:fldCharType="end"/>
        </w:r>
      </w:hyperlink>
    </w:p>
    <w:p w14:paraId="13E66B62" w14:textId="1DBDFA9C" w:rsidR="002D26F6" w:rsidRDefault="002D26F6" w:rsidP="002D26F6">
      <w:r>
        <w:rPr>
          <w:rFonts w:ascii="Century Gothic" w:hAnsi="Century Gothic"/>
          <w:b/>
          <w:color w:val="1F497D" w:themeColor="text2"/>
          <w:sz w:val="24"/>
          <w:szCs w:val="22"/>
        </w:rPr>
        <w:fldChar w:fldCharType="end"/>
      </w:r>
    </w:p>
    <w:p w14:paraId="35E9F34B" w14:textId="77777777" w:rsidR="002D26F6" w:rsidRDefault="002D26F6" w:rsidP="002D26F6"/>
    <w:p w14:paraId="7DB03171" w14:textId="77777777" w:rsidR="002D26F6" w:rsidRPr="002D26F6" w:rsidRDefault="002D26F6" w:rsidP="002D26F6"/>
    <w:p w14:paraId="14AD573A" w14:textId="0BCC0CB3" w:rsidR="004F074D" w:rsidRPr="002D26F6" w:rsidRDefault="004F074D" w:rsidP="002D26F6">
      <w:pPr>
        <w:sectPr w:rsidR="004F074D" w:rsidRPr="002D26F6" w:rsidSect="00256572">
          <w:headerReference w:type="default"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pPr>
    </w:p>
    <w:p w14:paraId="526565D5" w14:textId="3BEE0204" w:rsidR="0063647E" w:rsidRPr="00C462C8" w:rsidRDefault="001E4B84" w:rsidP="003C7640">
      <w:pPr>
        <w:pStyle w:val="Heading1"/>
      </w:pPr>
      <w:bookmarkStart w:id="1" w:name="_Toc484695689"/>
      <w:bookmarkStart w:id="2" w:name="_Toc486231358"/>
      <w:r w:rsidRPr="00C462C8">
        <w:lastRenderedPageBreak/>
        <w:t>Executive s</w:t>
      </w:r>
      <w:r w:rsidR="00E95FC3" w:rsidRPr="00C462C8">
        <w:t>ummary</w:t>
      </w:r>
      <w:bookmarkEnd w:id="1"/>
      <w:bookmarkEnd w:id="2"/>
    </w:p>
    <w:p w14:paraId="140B2453" w14:textId="43964578" w:rsidR="00075C84" w:rsidRPr="00075C84" w:rsidRDefault="00740687" w:rsidP="003C7640">
      <w:pPr>
        <w:pStyle w:val="Alphanumbered"/>
      </w:pPr>
      <w:r w:rsidRPr="0063647E">
        <w:t xml:space="preserve">For the </w:t>
      </w:r>
      <w:r w:rsidRPr="003C7640">
        <w:t>purpose</w:t>
      </w:r>
      <w:r w:rsidRPr="0063647E">
        <w:t xml:space="preserve"> of carrying out </w:t>
      </w:r>
      <w:r w:rsidR="0063647E">
        <w:t>its</w:t>
      </w:r>
      <w:r w:rsidRPr="0063647E">
        <w:t xml:space="preserve"> </w:t>
      </w:r>
      <w:r w:rsidR="00137D4B">
        <w:t>investigation</w:t>
      </w:r>
      <w:r w:rsidRPr="0063647E">
        <w:t xml:space="preserve"> functions </w:t>
      </w:r>
      <w:r w:rsidR="00367278">
        <w:t xml:space="preserve">under </w:t>
      </w:r>
      <w:r w:rsidR="00367278" w:rsidRPr="00DD1118">
        <w:t xml:space="preserve">the </w:t>
      </w:r>
      <w:r w:rsidR="00367278" w:rsidRPr="003C7640">
        <w:rPr>
          <w:i/>
        </w:rPr>
        <w:t>Corporations Act 2001</w:t>
      </w:r>
      <w:r w:rsidR="00367278" w:rsidRPr="00DD1118">
        <w:t xml:space="preserve"> (</w:t>
      </w:r>
      <w:r w:rsidR="00367278" w:rsidRPr="0084705E">
        <w:t>Corporations Act</w:t>
      </w:r>
      <w:r w:rsidR="00367278" w:rsidRPr="00DD1118">
        <w:t xml:space="preserve">), </w:t>
      </w:r>
      <w:r w:rsidR="00367278" w:rsidRPr="003C7640">
        <w:rPr>
          <w:i/>
        </w:rPr>
        <w:t xml:space="preserve">Australian Securities and Investments Commission Act 2001 </w:t>
      </w:r>
      <w:r w:rsidR="00367278" w:rsidRPr="00DD1118">
        <w:t>(</w:t>
      </w:r>
      <w:r w:rsidR="00367278" w:rsidRPr="0084705E">
        <w:t>ASIC Act</w:t>
      </w:r>
      <w:r w:rsidR="00367278" w:rsidRPr="00DD1118">
        <w:t xml:space="preserve">), </w:t>
      </w:r>
      <w:r w:rsidR="00367278" w:rsidRPr="003C7640">
        <w:rPr>
          <w:i/>
        </w:rPr>
        <w:t xml:space="preserve">National Consumer Credit Protection Act 2009 </w:t>
      </w:r>
      <w:r w:rsidR="00367278" w:rsidRPr="00DD1118">
        <w:t>(</w:t>
      </w:r>
      <w:r w:rsidR="00367278" w:rsidRPr="0084705E">
        <w:t>NCCP Act</w:t>
      </w:r>
      <w:r w:rsidR="00367278" w:rsidRPr="00DD1118">
        <w:t>), Superannuation Industry (Supervision) Act 1993 (</w:t>
      </w:r>
      <w:r w:rsidR="00367278" w:rsidRPr="0084705E">
        <w:t>SIS Act</w:t>
      </w:r>
      <w:r w:rsidR="00367278" w:rsidRPr="00DD1118">
        <w:t xml:space="preserve">), </w:t>
      </w:r>
      <w:r w:rsidR="00367278" w:rsidRPr="003C7640">
        <w:rPr>
          <w:i/>
        </w:rPr>
        <w:t xml:space="preserve">Retirement Savings Accounts Act 1997 </w:t>
      </w:r>
      <w:r w:rsidR="00367278" w:rsidRPr="00DD1118">
        <w:t>(</w:t>
      </w:r>
      <w:r w:rsidR="00367278" w:rsidRPr="0084705E">
        <w:t>RSA</w:t>
      </w:r>
      <w:r w:rsidR="00C462C8">
        <w:t> </w:t>
      </w:r>
      <w:r w:rsidR="00367278" w:rsidRPr="0084705E">
        <w:t>Act)</w:t>
      </w:r>
      <w:r w:rsidR="00367278">
        <w:t xml:space="preserve"> </w:t>
      </w:r>
      <w:r w:rsidR="00367278" w:rsidRPr="0063647E">
        <w:t>and various other laws</w:t>
      </w:r>
      <w:r w:rsidR="00367278">
        <w:t xml:space="preserve">, </w:t>
      </w:r>
      <w:r w:rsidRPr="0063647E">
        <w:t xml:space="preserve">ASIC is currently able to utilise specific search warrant powers contained in the ASIC Act, NCCP Act, SIS Act and RSA Act, as well as the more general search warrant powers contained in the </w:t>
      </w:r>
      <w:r w:rsidRPr="003C7640">
        <w:rPr>
          <w:i/>
        </w:rPr>
        <w:t>Crimes Act 1914</w:t>
      </w:r>
      <w:r w:rsidRPr="0063647E">
        <w:t xml:space="preserve"> (</w:t>
      </w:r>
      <w:r w:rsidRPr="0084705E">
        <w:t>Crimes</w:t>
      </w:r>
      <w:r w:rsidR="00C462C8">
        <w:t> </w:t>
      </w:r>
      <w:r w:rsidRPr="0084705E">
        <w:t>Act</w:t>
      </w:r>
      <w:r w:rsidRPr="0063647E">
        <w:t>).</w:t>
      </w:r>
    </w:p>
    <w:p w14:paraId="2760B154" w14:textId="76F3E36F" w:rsidR="00842019" w:rsidRPr="00722B4E" w:rsidRDefault="00CE7FEC" w:rsidP="003C7640">
      <w:pPr>
        <w:pStyle w:val="Alphanumbered"/>
        <w:rPr>
          <w:rFonts w:eastAsiaTheme="minorHAnsi"/>
        </w:rPr>
      </w:pPr>
      <w:r w:rsidRPr="00722B4E">
        <w:rPr>
          <w:rFonts w:eastAsiaTheme="minorHAnsi"/>
        </w:rPr>
        <w:t>ASIC argues that there are p</w:t>
      </w:r>
      <w:r w:rsidR="00075C84" w:rsidRPr="00722B4E">
        <w:rPr>
          <w:rFonts w:eastAsiaTheme="minorHAnsi"/>
        </w:rPr>
        <w:t xml:space="preserve">roblems with the search warrant powers available to </w:t>
      </w:r>
      <w:r w:rsidRPr="00722B4E">
        <w:rPr>
          <w:rFonts w:eastAsiaTheme="minorHAnsi"/>
        </w:rPr>
        <w:t>it</w:t>
      </w:r>
      <w:r w:rsidR="00075C84" w:rsidRPr="00722B4E">
        <w:rPr>
          <w:rFonts w:eastAsiaTheme="minorHAnsi"/>
        </w:rPr>
        <w:t xml:space="preserve"> which limit their utility as an </w:t>
      </w:r>
      <w:r w:rsidR="00137D4B" w:rsidRPr="00722B4E">
        <w:rPr>
          <w:rFonts w:eastAsiaTheme="minorHAnsi"/>
        </w:rPr>
        <w:t>investigative</w:t>
      </w:r>
      <w:r w:rsidR="00075C84" w:rsidRPr="00722B4E">
        <w:rPr>
          <w:rFonts w:eastAsiaTheme="minorHAnsi"/>
        </w:rPr>
        <w:t xml:space="preserve"> t</w:t>
      </w:r>
      <w:r w:rsidR="00934463" w:rsidRPr="00722B4E">
        <w:rPr>
          <w:rFonts w:eastAsiaTheme="minorHAnsi"/>
        </w:rPr>
        <w:t>ool</w:t>
      </w:r>
      <w:r w:rsidR="00075C84" w:rsidRPr="00722B4E">
        <w:rPr>
          <w:rFonts w:eastAsiaTheme="minorHAnsi"/>
        </w:rPr>
        <w:t>. There are also a number of differences between the</w:t>
      </w:r>
      <w:r w:rsidR="00934463" w:rsidRPr="00722B4E">
        <w:rPr>
          <w:rFonts w:eastAsiaTheme="minorHAnsi"/>
        </w:rPr>
        <w:t xml:space="preserve"> powers </w:t>
      </w:r>
      <w:r w:rsidR="00075C84" w:rsidRPr="00722B4E">
        <w:rPr>
          <w:rFonts w:eastAsiaTheme="minorHAnsi"/>
        </w:rPr>
        <w:t xml:space="preserve">that lead to inconsistencies in the way that </w:t>
      </w:r>
      <w:r w:rsidR="00934463" w:rsidRPr="00722B4E">
        <w:rPr>
          <w:rFonts w:eastAsiaTheme="minorHAnsi"/>
        </w:rPr>
        <w:t xml:space="preserve">the </w:t>
      </w:r>
      <w:r w:rsidR="00075C84" w:rsidRPr="00722B4E">
        <w:rPr>
          <w:rFonts w:eastAsiaTheme="minorHAnsi"/>
        </w:rPr>
        <w:t xml:space="preserve">search warrant powers </w:t>
      </w:r>
      <w:r w:rsidR="00934463" w:rsidRPr="00722B4E">
        <w:rPr>
          <w:rFonts w:eastAsiaTheme="minorHAnsi"/>
        </w:rPr>
        <w:t xml:space="preserve">available to ASIC </w:t>
      </w:r>
      <w:r w:rsidR="00075C84" w:rsidRPr="00722B4E">
        <w:rPr>
          <w:rFonts w:eastAsiaTheme="minorHAnsi"/>
        </w:rPr>
        <w:t>operate.</w:t>
      </w:r>
    </w:p>
    <w:p w14:paraId="11ADDBB6" w14:textId="77777777" w:rsidR="00722B4E" w:rsidRPr="00722B4E" w:rsidRDefault="00B500DC" w:rsidP="003C7640">
      <w:pPr>
        <w:pStyle w:val="Alphanumbered"/>
        <w:rPr>
          <w:rStyle w:val="OutlineNumbered1Char"/>
          <w:kern w:val="0"/>
          <w:sz w:val="22"/>
        </w:rPr>
      </w:pPr>
      <w:r w:rsidRPr="00722B4E">
        <w:rPr>
          <w:rStyle w:val="OutlineNumbered1Char"/>
          <w:kern w:val="0"/>
          <w:sz w:val="22"/>
        </w:rPr>
        <w:t>The ASIC Enforcement Review Taskforce has been established by the Government to assess the suitability of the regulatory tools available to ASIC and whether there is a need to strengthen ASIC’s toolkit.</w:t>
      </w:r>
      <w:r w:rsidRPr="00C462C8">
        <w:rPr>
          <w:rStyle w:val="FootnoteReference"/>
        </w:rPr>
        <w:footnoteReference w:id="2"/>
      </w:r>
      <w:r w:rsidRPr="00722B4E">
        <w:rPr>
          <w:rStyle w:val="OutlineNumbered1Char"/>
          <w:kern w:val="0"/>
          <w:sz w:val="22"/>
        </w:rPr>
        <w:t xml:space="preserve"> T</w:t>
      </w:r>
      <w:r w:rsidR="00681D08" w:rsidRPr="00722B4E">
        <w:rPr>
          <w:rStyle w:val="OutlineNumbered1Char"/>
          <w:kern w:val="0"/>
          <w:sz w:val="22"/>
        </w:rPr>
        <w:t xml:space="preserve">he </w:t>
      </w:r>
      <w:r w:rsidRPr="00722B4E">
        <w:rPr>
          <w:rStyle w:val="OutlineNumbered1Char"/>
          <w:kern w:val="0"/>
          <w:sz w:val="22"/>
        </w:rPr>
        <w:t>Taskforce’s Terms of Reference include</w:t>
      </w:r>
      <w:r w:rsidR="00681D08" w:rsidRPr="00722B4E">
        <w:rPr>
          <w:rStyle w:val="OutlineNumbered1Char"/>
          <w:kern w:val="0"/>
          <w:sz w:val="22"/>
        </w:rPr>
        <w:t xml:space="preserve"> the following:</w:t>
      </w:r>
    </w:p>
    <w:p w14:paraId="54311484" w14:textId="69E224F7" w:rsidR="00681D08" w:rsidRPr="00C462C8" w:rsidRDefault="00681D08" w:rsidP="00C462C8">
      <w:pPr>
        <w:pStyle w:val="NormalIndent"/>
        <w:ind w:left="993" w:right="379"/>
        <w:rPr>
          <w:i/>
        </w:rPr>
      </w:pPr>
      <w:r w:rsidRPr="00C462C8">
        <w:rPr>
          <w:i/>
        </w:rPr>
        <w:t>“The adequacy of ASIC’s information gathering powers and whether there is a</w:t>
      </w:r>
      <w:r w:rsidR="0008136E">
        <w:rPr>
          <w:i/>
        </w:rPr>
        <w:br/>
      </w:r>
      <w:r w:rsidRPr="00C462C8">
        <w:rPr>
          <w:i/>
        </w:rPr>
        <w:t>need …. to grant the equivalent of Federal Crimes Act search warrant powers under ASIC’s enabling legislation for market misconduct or other serious offences.”</w:t>
      </w:r>
    </w:p>
    <w:p w14:paraId="55E359C2" w14:textId="20BBAE02" w:rsidR="00740687" w:rsidRPr="00740687" w:rsidRDefault="00740687" w:rsidP="003C7640">
      <w:pPr>
        <w:pStyle w:val="Alphanumbered"/>
      </w:pPr>
      <w:r w:rsidRPr="00740687">
        <w:t>The Taskforce has conducted preliminary analysis of the issues</w:t>
      </w:r>
      <w:r w:rsidR="00075C84">
        <w:t xml:space="preserve"> </w:t>
      </w:r>
      <w:r w:rsidR="00B500DC">
        <w:t xml:space="preserve">relating to ASIC’s search warrant powers </w:t>
      </w:r>
      <w:r w:rsidR="00075C84">
        <w:t xml:space="preserve">and </w:t>
      </w:r>
      <w:r w:rsidRPr="00740687">
        <w:t>develop</w:t>
      </w:r>
      <w:r w:rsidR="00075C84">
        <w:t>ed</w:t>
      </w:r>
      <w:r w:rsidRPr="00740687">
        <w:t xml:space="preserve"> preliminary positions on a set of reforms aimed at </w:t>
      </w:r>
      <w:r w:rsidR="00075C84">
        <w:t xml:space="preserve">harmonising the various powers and </w:t>
      </w:r>
      <w:r w:rsidRPr="00740687">
        <w:t xml:space="preserve">making </w:t>
      </w:r>
      <w:r w:rsidR="00075C84">
        <w:t>them</w:t>
      </w:r>
      <w:r w:rsidRPr="00740687">
        <w:t xml:space="preserve"> more effective. These positions are:</w:t>
      </w:r>
    </w:p>
    <w:p w14:paraId="0DF74ECE" w14:textId="0240E4A7" w:rsidR="00740687" w:rsidRPr="00740687" w:rsidRDefault="00740687" w:rsidP="00722B4E">
      <w:pPr>
        <w:pStyle w:val="NormalIndent"/>
        <w:tabs>
          <w:tab w:val="left" w:pos="1843"/>
        </w:tabs>
        <w:ind w:left="1843" w:hanging="1276"/>
        <w:rPr>
          <w:rFonts w:cs="Arial"/>
        </w:rPr>
      </w:pPr>
      <w:r w:rsidRPr="00ED2B3F">
        <w:rPr>
          <w:rFonts w:cs="Arial"/>
          <w:b/>
        </w:rPr>
        <w:t>Position 1</w:t>
      </w:r>
      <w:r w:rsidRPr="00740687">
        <w:rPr>
          <w:rFonts w:cs="Arial"/>
        </w:rPr>
        <w:t>:</w:t>
      </w:r>
      <w:r w:rsidR="00722B4E">
        <w:rPr>
          <w:rFonts w:cs="Arial"/>
        </w:rPr>
        <w:tab/>
      </w:r>
      <w:r w:rsidR="00CD7128" w:rsidRPr="00CD7128">
        <w:t>ASIC-specific search warrant powers in various Acts should be consolidated into the ASIC Act</w:t>
      </w:r>
      <w:r w:rsidR="00075C84">
        <w:t>.</w:t>
      </w:r>
    </w:p>
    <w:p w14:paraId="6396FAD1" w14:textId="5C9B3CBE" w:rsidR="00740687" w:rsidRDefault="00075C84" w:rsidP="00722B4E">
      <w:pPr>
        <w:pStyle w:val="NormalIndent"/>
        <w:tabs>
          <w:tab w:val="left" w:pos="1843"/>
        </w:tabs>
        <w:ind w:left="1843" w:hanging="1276"/>
        <w:rPr>
          <w:rFonts w:cs="Arial"/>
        </w:rPr>
      </w:pPr>
      <w:r w:rsidRPr="00ED2B3F">
        <w:rPr>
          <w:rFonts w:cs="Arial"/>
          <w:b/>
        </w:rPr>
        <w:t>Position 2</w:t>
      </w:r>
      <w:r>
        <w:rPr>
          <w:rFonts w:cs="Arial"/>
        </w:rPr>
        <w:t>:</w:t>
      </w:r>
      <w:r w:rsidR="00722B4E">
        <w:rPr>
          <w:rFonts w:cs="Arial"/>
        </w:rPr>
        <w:tab/>
      </w:r>
      <w:r>
        <w:t>ASIC Act search warrants to provide for search and seizure of ‘evidential material’</w:t>
      </w:r>
      <w:r w:rsidR="00740687" w:rsidRPr="00740687">
        <w:rPr>
          <w:rFonts w:cs="Arial"/>
        </w:rPr>
        <w:t>.</w:t>
      </w:r>
    </w:p>
    <w:p w14:paraId="3BABEBF6" w14:textId="309095B3" w:rsidR="00FF1866" w:rsidRPr="00740687" w:rsidRDefault="00FF1866" w:rsidP="00722B4E">
      <w:pPr>
        <w:pStyle w:val="NormalIndent"/>
        <w:tabs>
          <w:tab w:val="left" w:pos="1843"/>
        </w:tabs>
        <w:ind w:left="1843" w:hanging="1276"/>
        <w:rPr>
          <w:rFonts w:cs="Arial"/>
        </w:rPr>
      </w:pPr>
      <w:r w:rsidRPr="00ED2B3F">
        <w:rPr>
          <w:rFonts w:cs="Arial"/>
          <w:b/>
        </w:rPr>
        <w:t>Position 3</w:t>
      </w:r>
      <w:r>
        <w:rPr>
          <w:rFonts w:cs="Arial"/>
        </w:rPr>
        <w:t>:</w:t>
      </w:r>
      <w:r w:rsidR="00722B4E">
        <w:rPr>
          <w:rFonts w:cs="Arial"/>
        </w:rPr>
        <w:tab/>
      </w:r>
      <w:r>
        <w:t>ASIC</w:t>
      </w:r>
      <w:r w:rsidR="00742F08">
        <w:t xml:space="preserve"> Act search warrants to</w:t>
      </w:r>
      <w:r>
        <w:t xml:space="preserve"> be issued when there is a reasonable suspicion of </w:t>
      </w:r>
      <w:r w:rsidR="001D1655">
        <w:t xml:space="preserve">a </w:t>
      </w:r>
      <w:r>
        <w:t>contravention of an indictable offence</w:t>
      </w:r>
      <w:r w:rsidR="001D1655">
        <w:t>.</w:t>
      </w:r>
    </w:p>
    <w:p w14:paraId="322116CB" w14:textId="65581E52" w:rsidR="00740687" w:rsidRPr="00740687" w:rsidRDefault="00740687" w:rsidP="00722B4E">
      <w:pPr>
        <w:pStyle w:val="NormalIndent"/>
        <w:tabs>
          <w:tab w:val="left" w:pos="1843"/>
        </w:tabs>
        <w:ind w:left="1843" w:hanging="1276"/>
        <w:rPr>
          <w:rFonts w:cs="Arial"/>
        </w:rPr>
      </w:pPr>
      <w:r w:rsidRPr="00ED2B3F">
        <w:rPr>
          <w:rFonts w:cs="Arial"/>
          <w:b/>
        </w:rPr>
        <w:t xml:space="preserve">Position </w:t>
      </w:r>
      <w:r w:rsidR="001D1655" w:rsidRPr="00ED2B3F">
        <w:rPr>
          <w:rFonts w:cs="Arial"/>
          <w:b/>
        </w:rPr>
        <w:t>4</w:t>
      </w:r>
      <w:r w:rsidR="00075C84">
        <w:t>:</w:t>
      </w:r>
      <w:r w:rsidR="00722B4E">
        <w:tab/>
      </w:r>
      <w:r w:rsidR="00075C84">
        <w:t xml:space="preserve">ASIC Act search warrant powers to include </w:t>
      </w:r>
      <w:r w:rsidR="00075C84" w:rsidRPr="00871694">
        <w:t xml:space="preserve">ancillary powers </w:t>
      </w:r>
      <w:r w:rsidR="00075C84">
        <w:t>that</w:t>
      </w:r>
      <w:r w:rsidR="00075C84" w:rsidRPr="00871694">
        <w:t xml:space="preserve"> mirror the </w:t>
      </w:r>
      <w:r w:rsidR="00075C84" w:rsidRPr="009D516D">
        <w:t>Crimes Act</w:t>
      </w:r>
      <w:r w:rsidR="00075C84">
        <w:t xml:space="preserve"> provisions</w:t>
      </w:r>
      <w:r w:rsidRPr="00740687">
        <w:rPr>
          <w:rFonts w:cs="Arial"/>
        </w:rPr>
        <w:t>.</w:t>
      </w:r>
    </w:p>
    <w:p w14:paraId="3A742EAE" w14:textId="3363596B" w:rsidR="00740687" w:rsidRDefault="00740687" w:rsidP="00722B4E">
      <w:pPr>
        <w:pStyle w:val="NormalIndent"/>
        <w:tabs>
          <w:tab w:val="left" w:pos="1843"/>
        </w:tabs>
        <w:ind w:left="1843" w:hanging="1276"/>
        <w:rPr>
          <w:rFonts w:cs="Arial"/>
        </w:rPr>
      </w:pPr>
      <w:r w:rsidRPr="00ED2B3F">
        <w:rPr>
          <w:rFonts w:cs="Arial"/>
          <w:b/>
        </w:rPr>
        <w:t xml:space="preserve">Position </w:t>
      </w:r>
      <w:r w:rsidR="001D1655" w:rsidRPr="00ED2B3F">
        <w:rPr>
          <w:rFonts w:cs="Arial"/>
          <w:b/>
        </w:rPr>
        <w:t>5</w:t>
      </w:r>
      <w:r w:rsidRPr="00740687">
        <w:rPr>
          <w:rFonts w:cs="Arial"/>
        </w:rPr>
        <w:t>:</w:t>
      </w:r>
      <w:r w:rsidR="00722B4E">
        <w:rPr>
          <w:rFonts w:cs="Arial"/>
        </w:rPr>
        <w:tab/>
      </w:r>
      <w:r w:rsidR="00B111B3">
        <w:t>M</w:t>
      </w:r>
      <w:r w:rsidR="00822C4F">
        <w:t xml:space="preserve">aterial seized under ASIC Act search warrants </w:t>
      </w:r>
      <w:r w:rsidR="00B111B3">
        <w:t xml:space="preserve">should be available </w:t>
      </w:r>
      <w:r w:rsidR="00CE7FEC">
        <w:t xml:space="preserve">for </w:t>
      </w:r>
      <w:r w:rsidR="00B111B3">
        <w:t xml:space="preserve">use </w:t>
      </w:r>
      <w:r w:rsidR="00211A58">
        <w:t xml:space="preserve">in criminal, civil </w:t>
      </w:r>
      <w:r w:rsidR="00C21B1D">
        <w:t>and</w:t>
      </w:r>
      <w:r w:rsidR="00211A58">
        <w:t xml:space="preserve"> administrative proceedings</w:t>
      </w:r>
      <w:r w:rsidRPr="00740687">
        <w:rPr>
          <w:rFonts w:cs="Arial"/>
        </w:rPr>
        <w:t>.</w:t>
      </w:r>
    </w:p>
    <w:p w14:paraId="16DD2024" w14:textId="5B0F3A2C" w:rsidR="00C462C8" w:rsidRDefault="00211A58" w:rsidP="00C462C8">
      <w:pPr>
        <w:pStyle w:val="NormalIndent"/>
        <w:tabs>
          <w:tab w:val="left" w:pos="1843"/>
        </w:tabs>
        <w:ind w:left="1843" w:hanging="1276"/>
      </w:pPr>
      <w:r w:rsidRPr="00ED2B3F">
        <w:rPr>
          <w:rFonts w:cs="Arial"/>
          <w:b/>
        </w:rPr>
        <w:t xml:space="preserve">Position </w:t>
      </w:r>
      <w:r w:rsidR="001D1655" w:rsidRPr="00ED2B3F">
        <w:rPr>
          <w:rFonts w:cs="Arial"/>
          <w:b/>
        </w:rPr>
        <w:t>6</w:t>
      </w:r>
      <w:r>
        <w:rPr>
          <w:rFonts w:cs="Arial"/>
        </w:rPr>
        <w:t>:</w:t>
      </w:r>
      <w:r w:rsidR="00722B4E">
        <w:rPr>
          <w:rFonts w:cs="Arial"/>
        </w:rPr>
        <w:tab/>
      </w:r>
      <w:r>
        <w:rPr>
          <w:rFonts w:cs="Arial"/>
        </w:rPr>
        <w:t xml:space="preserve">Use of material seized under search warrants by </w:t>
      </w:r>
      <w:r w:rsidR="00872BDE">
        <w:rPr>
          <w:rFonts w:cs="Arial"/>
        </w:rPr>
        <w:t>private litigants</w:t>
      </w:r>
      <w:r>
        <w:rPr>
          <w:rFonts w:cs="Arial"/>
        </w:rPr>
        <w:t xml:space="preserve"> should be subject to appropriate limits.</w:t>
      </w:r>
      <w:r w:rsidR="00C462C8">
        <w:br w:type="page"/>
      </w:r>
    </w:p>
    <w:p w14:paraId="1C999CF8" w14:textId="61112FF5" w:rsidR="001F3638" w:rsidRDefault="001F3638" w:rsidP="003C7640">
      <w:pPr>
        <w:pStyle w:val="Alphanumbered"/>
      </w:pPr>
      <w:r>
        <w:lastRenderedPageBreak/>
        <w:t>The proposed effect of these position</w:t>
      </w:r>
      <w:r w:rsidR="00DD10DE">
        <w:t>s are summarised in Annexure A.</w:t>
      </w:r>
    </w:p>
    <w:p w14:paraId="14EF507C" w14:textId="54BF035A" w:rsidR="00842019" w:rsidRDefault="00842019" w:rsidP="003C7640">
      <w:pPr>
        <w:pStyle w:val="Alphanumbered"/>
      </w:pPr>
      <w:r>
        <w:t xml:space="preserve">In developing these positions the Taskforce has recognised the need to achieve an appropriate balance between the regulator’s need to have access to effective investigative tools, the relevant harm or risk </w:t>
      </w:r>
      <w:r w:rsidR="003A3475">
        <w:t>being addressed</w:t>
      </w:r>
      <w:r>
        <w:t xml:space="preserve"> and the rights of individuals.</w:t>
      </w:r>
    </w:p>
    <w:p w14:paraId="6617642A" w14:textId="77777777" w:rsidR="00740687" w:rsidRPr="00740687" w:rsidRDefault="00740687" w:rsidP="003C7640">
      <w:pPr>
        <w:pStyle w:val="Alphanumbered"/>
      </w:pPr>
      <w:r w:rsidRPr="00740687">
        <w:t>The Taskforce has prepared these positions on a preliminary basis, and now seeks industry and community feedback prior to reaching its final conclusions and preparing recommendations to Government.</w:t>
      </w:r>
    </w:p>
    <w:p w14:paraId="1CA6AD29" w14:textId="77777777" w:rsidR="00722B4E" w:rsidRDefault="00740687" w:rsidP="003C7640">
      <w:pPr>
        <w:pStyle w:val="Alphanumbered"/>
      </w:pPr>
      <w:r w:rsidRPr="00740687">
        <w:t>The background and reasons for the Taskforce’s adoption of the positions set out above are described below.</w:t>
      </w:r>
    </w:p>
    <w:p w14:paraId="5D43F38D" w14:textId="77777777" w:rsidR="00722B4E" w:rsidRPr="00722B4E" w:rsidRDefault="00722B4E" w:rsidP="00722B4E"/>
    <w:p w14:paraId="3727666B" w14:textId="77777777" w:rsidR="00722B4E" w:rsidRDefault="00722B4E" w:rsidP="00722B4E">
      <w:pPr>
        <w:rPr>
          <w:highlight w:val="yellow"/>
        </w:rPr>
      </w:pPr>
    </w:p>
    <w:p w14:paraId="7D90F906" w14:textId="77777777" w:rsidR="00722B4E" w:rsidRDefault="00722B4E" w:rsidP="00722B4E">
      <w:pPr>
        <w:rPr>
          <w:highlight w:val="yellow"/>
        </w:rPr>
        <w:sectPr w:rsidR="00722B4E" w:rsidSect="000756A4">
          <w:headerReference w:type="even" r:id="rId24"/>
          <w:footerReference w:type="even" r:id="rId25"/>
          <w:headerReference w:type="first" r:id="rId26"/>
          <w:footerReference w:type="first" r:id="rId27"/>
          <w:type w:val="oddPage"/>
          <w:pgSz w:w="11906" w:h="16838"/>
          <w:pgMar w:top="1440" w:right="1440" w:bottom="1440" w:left="1440" w:header="708" w:footer="708" w:gutter="0"/>
          <w:pgNumType w:start="1"/>
          <w:cols w:space="708"/>
          <w:titlePg/>
          <w:docGrid w:linePitch="360"/>
        </w:sectPr>
      </w:pPr>
    </w:p>
    <w:p w14:paraId="3A3E06DD" w14:textId="52862EFA" w:rsidR="00821FDF" w:rsidRPr="00B93C03" w:rsidRDefault="00871694" w:rsidP="00C462C8">
      <w:pPr>
        <w:pStyle w:val="Heading1-Numbered"/>
      </w:pPr>
      <w:bookmarkStart w:id="3" w:name="_Toc484695690"/>
      <w:bookmarkStart w:id="4" w:name="_Toc486231359"/>
      <w:r w:rsidRPr="00B93C03">
        <w:lastRenderedPageBreak/>
        <w:t>Introduction</w:t>
      </w:r>
      <w:bookmarkEnd w:id="3"/>
      <w:bookmarkEnd w:id="4"/>
    </w:p>
    <w:p w14:paraId="68E8937B" w14:textId="647FE91C" w:rsidR="00983DD8" w:rsidRPr="00C462C8" w:rsidRDefault="00983DD8" w:rsidP="00ED2B3F">
      <w:pPr>
        <w:pStyle w:val="Heading2"/>
        <w:spacing w:after="240"/>
      </w:pPr>
      <w:bookmarkStart w:id="5" w:name="_Toc484695691"/>
      <w:bookmarkStart w:id="6" w:name="_Toc486231360"/>
      <w:r w:rsidRPr="00C462C8">
        <w:t>ASIC's enforcement function and responsibilities</w:t>
      </w:r>
      <w:bookmarkEnd w:id="5"/>
      <w:bookmarkEnd w:id="6"/>
    </w:p>
    <w:p w14:paraId="3D6EB7FD" w14:textId="26C999B2" w:rsidR="00983DD8" w:rsidRPr="00B93C03" w:rsidRDefault="00983DD8" w:rsidP="00B748F1">
      <w:pPr>
        <w:pStyle w:val="OutlineNumbered1"/>
        <w:numPr>
          <w:ilvl w:val="0"/>
          <w:numId w:val="30"/>
        </w:numPr>
        <w:rPr>
          <w:rFonts w:eastAsiaTheme="minorHAnsi"/>
        </w:rPr>
      </w:pPr>
      <w:bookmarkStart w:id="7" w:name="_Ref466479240"/>
      <w:r w:rsidRPr="00B93C03">
        <w:rPr>
          <w:rFonts w:eastAsiaTheme="minorHAnsi"/>
        </w:rPr>
        <w:t xml:space="preserve">ASIC has legislative responsibility for enforcement of </w:t>
      </w:r>
      <w:r w:rsidR="00570CDC" w:rsidRPr="00B93C03">
        <w:rPr>
          <w:rFonts w:eastAsiaTheme="minorHAnsi"/>
        </w:rPr>
        <w:t xml:space="preserve">the </w:t>
      </w:r>
      <w:r w:rsidR="009F2936" w:rsidRPr="00B93C03">
        <w:t>Corporations Act</w:t>
      </w:r>
      <w:r w:rsidR="009F2936" w:rsidRPr="00B93C03">
        <w:rPr>
          <w:rFonts w:eastAsiaTheme="minorHAnsi"/>
        </w:rPr>
        <w:t xml:space="preserve">, </w:t>
      </w:r>
      <w:r w:rsidR="00C966F5" w:rsidRPr="00B93C03">
        <w:t>the</w:t>
      </w:r>
      <w:r w:rsidR="00C966F5" w:rsidRPr="00B93C03">
        <w:rPr>
          <w:rFonts w:eastAsiaTheme="minorHAnsi"/>
        </w:rPr>
        <w:t xml:space="preserve"> </w:t>
      </w:r>
      <w:r w:rsidR="009F2936" w:rsidRPr="00B93C03">
        <w:rPr>
          <w:rFonts w:eastAsiaTheme="minorHAnsi"/>
        </w:rPr>
        <w:t xml:space="preserve">ASIC Act, </w:t>
      </w:r>
      <w:r w:rsidR="00C966F5" w:rsidRPr="00B93C03">
        <w:rPr>
          <w:rFonts w:eastAsiaTheme="minorHAnsi"/>
        </w:rPr>
        <w:t xml:space="preserve">the </w:t>
      </w:r>
      <w:r w:rsidR="009F2936" w:rsidRPr="00B93C03">
        <w:rPr>
          <w:rFonts w:eastAsiaTheme="minorHAnsi"/>
        </w:rPr>
        <w:t>NCCP Act,</w:t>
      </w:r>
      <w:r w:rsidR="00C966F5" w:rsidRPr="00B93C03">
        <w:rPr>
          <w:rFonts w:eastAsiaTheme="minorHAnsi"/>
        </w:rPr>
        <w:t xml:space="preserve"> the </w:t>
      </w:r>
      <w:r w:rsidR="009F2936" w:rsidRPr="00B93C03">
        <w:rPr>
          <w:rFonts w:eastAsiaTheme="minorHAnsi"/>
        </w:rPr>
        <w:t xml:space="preserve">SIS Act, </w:t>
      </w:r>
      <w:r w:rsidR="00C966F5" w:rsidRPr="00B93C03">
        <w:rPr>
          <w:rFonts w:eastAsiaTheme="minorHAnsi"/>
        </w:rPr>
        <w:t xml:space="preserve">the </w:t>
      </w:r>
      <w:r w:rsidR="009F2936" w:rsidRPr="00B93C03">
        <w:rPr>
          <w:rFonts w:eastAsiaTheme="minorHAnsi"/>
        </w:rPr>
        <w:t>RSA Act and various other laws</w:t>
      </w:r>
      <w:bookmarkEnd w:id="7"/>
      <w:r w:rsidR="000D0917" w:rsidRPr="00B93C03">
        <w:rPr>
          <w:rFonts w:eastAsiaTheme="minorHAnsi"/>
        </w:rPr>
        <w:t>.</w:t>
      </w:r>
    </w:p>
    <w:p w14:paraId="0D06B410" w14:textId="7EDEC27B" w:rsidR="00570CDC" w:rsidRDefault="00983DD8" w:rsidP="00B93C03">
      <w:pPr>
        <w:pStyle w:val="OutlineNumbered1"/>
        <w:rPr>
          <w:rFonts w:eastAsiaTheme="minorHAnsi"/>
        </w:rPr>
      </w:pPr>
      <w:r w:rsidRPr="00B93C03">
        <w:rPr>
          <w:rFonts w:eastAsiaTheme="minorHAnsi"/>
        </w:rPr>
        <w:t>Section 1(</w:t>
      </w:r>
      <w:r w:rsidR="00B93C03">
        <w:rPr>
          <w:rFonts w:eastAsiaTheme="minorHAnsi"/>
        </w:rPr>
        <w:t>2)(g) of the ASIC Act provides:</w:t>
      </w:r>
    </w:p>
    <w:p w14:paraId="6E45B4C8" w14:textId="09C7FDE4" w:rsidR="00B93C03" w:rsidRPr="00B93C03" w:rsidRDefault="00B93C03" w:rsidP="00B93C03">
      <w:pPr>
        <w:pStyle w:val="Quote"/>
        <w:ind w:left="993" w:right="373"/>
      </w:pPr>
      <w:r w:rsidRPr="00B93C03">
        <w:t>"In performing its functions and exercising its powers, ASIC must strive to:</w:t>
      </w:r>
      <w:r w:rsidR="0008136E">
        <w:br/>
      </w:r>
      <w:r w:rsidRPr="00B93C03">
        <w:t>… take whatever action it can take, and is necessary, in order to enforce and give effect to the laws of the Commonwealth that conf</w:t>
      </w:r>
      <w:r w:rsidR="00DD10DE">
        <w:t>er functions and powers on it."</w:t>
      </w:r>
    </w:p>
    <w:p w14:paraId="096108BC" w14:textId="0F8EE6D0" w:rsidR="00983DD8" w:rsidRPr="00B93C03" w:rsidRDefault="00983DD8" w:rsidP="00B93C03">
      <w:pPr>
        <w:pStyle w:val="OutlineNumbered1"/>
        <w:rPr>
          <w:rFonts w:eastAsiaTheme="minorHAnsi"/>
        </w:rPr>
      </w:pPr>
      <w:bookmarkStart w:id="8" w:name="_Ref466479242"/>
      <w:r w:rsidRPr="00B93C03">
        <w:rPr>
          <w:rFonts w:eastAsiaTheme="minorHAnsi"/>
        </w:rPr>
        <w:t>ASIC's core enforcement functions include (but are not limited to) the following:</w:t>
      </w:r>
      <w:bookmarkEnd w:id="8"/>
    </w:p>
    <w:p w14:paraId="6A98C021" w14:textId="6822929B" w:rsidR="00983DD8" w:rsidRPr="005E3D7B" w:rsidRDefault="00983DD8" w:rsidP="00B93C03">
      <w:pPr>
        <w:pStyle w:val="OutlineNumbered2"/>
      </w:pPr>
      <w:r w:rsidRPr="005E3D7B">
        <w:t>conducting investigations</w:t>
      </w:r>
      <w:r w:rsidRPr="00B166F0">
        <w:rPr>
          <w:vertAlign w:val="superscript"/>
        </w:rPr>
        <w:footnoteReference w:id="3"/>
      </w:r>
      <w:r w:rsidRPr="005E3D7B">
        <w:t xml:space="preserve"> into suspected </w:t>
      </w:r>
      <w:r w:rsidR="00570CDC" w:rsidRPr="005E3D7B">
        <w:t xml:space="preserve">relevant </w:t>
      </w:r>
      <w:r w:rsidRPr="005E3D7B">
        <w:t>contraventions of the law</w:t>
      </w:r>
      <w:r w:rsidR="00336BB6">
        <w:t>,</w:t>
      </w:r>
      <w:r w:rsidRPr="00B166F0">
        <w:rPr>
          <w:vertAlign w:val="superscript"/>
        </w:rPr>
        <w:footnoteReference w:id="4"/>
      </w:r>
      <w:r w:rsidRPr="005E3D7B">
        <w:t xml:space="preserve"> which are variously enforceable by criminal prosecution, civil proceedings </w:t>
      </w:r>
      <w:r w:rsidR="00B10563" w:rsidRPr="005E3D7B">
        <w:t xml:space="preserve">(including civil penalty proceedings) </w:t>
      </w:r>
      <w:r w:rsidRPr="005E3D7B">
        <w:t>and/or administrative action;</w:t>
      </w:r>
    </w:p>
    <w:p w14:paraId="010F95CC" w14:textId="515A8178" w:rsidR="00983DD8" w:rsidRPr="005E3D7B" w:rsidRDefault="00983DD8" w:rsidP="00B93C03">
      <w:pPr>
        <w:pStyle w:val="OutlineNumbered2"/>
      </w:pPr>
      <w:r w:rsidRPr="005E3D7B">
        <w:t xml:space="preserve">commencing, and conducting or supporting the </w:t>
      </w:r>
      <w:r w:rsidR="00957BC4" w:rsidRPr="005E3D7B">
        <w:t xml:space="preserve">Commonwealth </w:t>
      </w:r>
      <w:r w:rsidRPr="005E3D7B">
        <w:t>Director of Public Prosecutions (CDPP) to conduct, criminal prosecutions</w:t>
      </w:r>
      <w:r w:rsidRPr="00B166F0">
        <w:rPr>
          <w:vertAlign w:val="superscript"/>
        </w:rPr>
        <w:footnoteReference w:id="5"/>
      </w:r>
      <w:r w:rsidRPr="005E3D7B">
        <w:t xml:space="preserve"> in respect of such contraventions;</w:t>
      </w:r>
    </w:p>
    <w:p w14:paraId="4DF2647D" w14:textId="7D23EF17" w:rsidR="00983DD8" w:rsidRPr="005E3D7B" w:rsidRDefault="00983DD8" w:rsidP="00B93C03">
      <w:pPr>
        <w:pStyle w:val="OutlineNumbered2"/>
      </w:pPr>
      <w:r w:rsidRPr="005E3D7B">
        <w:t>commencing and conducting various types of civil proceedings</w:t>
      </w:r>
      <w:r w:rsidRPr="00B166F0">
        <w:rPr>
          <w:vertAlign w:val="superscript"/>
        </w:rPr>
        <w:footnoteReference w:id="6"/>
      </w:r>
      <w:r w:rsidRPr="005E3D7B">
        <w:t xml:space="preserve"> in respect of such contraventions, such as proceedings for the imposition of </w:t>
      </w:r>
      <w:r w:rsidR="003A7355" w:rsidRPr="005E3D7B">
        <w:t xml:space="preserve">civil </w:t>
      </w:r>
      <w:r w:rsidRPr="005E3D7B">
        <w:t>penalties, proceedings to seek compensation for victims and interlocutory proceedings for injunctions in connection with investigations or proceedings being pursued by ASIC (</w:t>
      </w:r>
      <w:r w:rsidR="00B93C03">
        <w:t>for example,</w:t>
      </w:r>
      <w:r w:rsidRPr="005E3D7B">
        <w:t xml:space="preserve"> to freeze assets or prohibit persons from travelling overseas); and</w:t>
      </w:r>
    </w:p>
    <w:p w14:paraId="6705DDC9" w14:textId="487D13BD" w:rsidR="00983DD8" w:rsidRPr="005E3D7B" w:rsidRDefault="00983DD8" w:rsidP="00B93C03">
      <w:pPr>
        <w:pStyle w:val="OutlineNumbered2"/>
      </w:pPr>
      <w:r w:rsidRPr="005E3D7B">
        <w:t>taking various forms of administrative action</w:t>
      </w:r>
      <w:r w:rsidRPr="00B166F0">
        <w:rPr>
          <w:vertAlign w:val="superscript"/>
        </w:rPr>
        <w:footnoteReference w:id="7"/>
      </w:r>
      <w:r w:rsidRPr="005E3D7B">
        <w:t xml:space="preserve"> in respect of such contraventions, (</w:t>
      </w:r>
      <w:r w:rsidR="00B93C03">
        <w:t xml:space="preserve">for example, </w:t>
      </w:r>
      <w:r w:rsidRPr="005E3D7B">
        <w:t>proceedings to ban persons from managing corporations, providing financial services or engaging in credit activities).</w:t>
      </w:r>
    </w:p>
    <w:p w14:paraId="681DC3BF" w14:textId="52D3E4E6" w:rsidR="00F453B4" w:rsidRDefault="00F453B4" w:rsidP="00F453B4"/>
    <w:p w14:paraId="3047F021" w14:textId="77777777" w:rsidR="00F453B4" w:rsidRPr="00F453B4" w:rsidRDefault="00F453B4" w:rsidP="00F453B4">
      <w:pPr>
        <w:sectPr w:rsidR="00F453B4" w:rsidRPr="00F453B4" w:rsidSect="000756A4">
          <w:footerReference w:type="first" r:id="rId28"/>
          <w:pgSz w:w="11906" w:h="16838"/>
          <w:pgMar w:top="1440" w:right="1440" w:bottom="1440" w:left="1440" w:header="708" w:footer="708" w:gutter="0"/>
          <w:cols w:space="708"/>
          <w:titlePg/>
          <w:docGrid w:linePitch="360"/>
        </w:sectPr>
      </w:pPr>
    </w:p>
    <w:p w14:paraId="6D764B49" w14:textId="2D426B5E" w:rsidR="00C66261" w:rsidRPr="00F453B4" w:rsidRDefault="00C66261" w:rsidP="00C462C8">
      <w:pPr>
        <w:pStyle w:val="Heading1-Numbered"/>
      </w:pPr>
      <w:bookmarkStart w:id="9" w:name="_Toc484695692"/>
      <w:bookmarkStart w:id="10" w:name="_Toc486231361"/>
      <w:r w:rsidRPr="00F453B4">
        <w:lastRenderedPageBreak/>
        <w:t>Search warrant powers available to ASIC</w:t>
      </w:r>
      <w:bookmarkEnd w:id="9"/>
      <w:bookmarkEnd w:id="10"/>
    </w:p>
    <w:p w14:paraId="2B841B0B" w14:textId="09A16AD7" w:rsidR="00983DD8" w:rsidRPr="00F453B4" w:rsidRDefault="00570CDC" w:rsidP="00ED2B3F">
      <w:pPr>
        <w:pStyle w:val="Heading2"/>
        <w:spacing w:after="240"/>
      </w:pPr>
      <w:bookmarkStart w:id="11" w:name="_Toc484695693"/>
      <w:bookmarkStart w:id="12" w:name="_Toc486231362"/>
      <w:r w:rsidRPr="00F453B4">
        <w:t>S</w:t>
      </w:r>
      <w:r w:rsidR="008F1F64" w:rsidRPr="00F453B4">
        <w:t xml:space="preserve">earch </w:t>
      </w:r>
      <w:r w:rsidR="00983DD8" w:rsidRPr="00F453B4">
        <w:t>warrant</w:t>
      </w:r>
      <w:r w:rsidRPr="00F453B4">
        <w:t xml:space="preserve"> powers in the ASIC, NCCP, SIS &amp; RSA Act</w:t>
      </w:r>
      <w:r w:rsidR="0021322F" w:rsidRPr="00F453B4">
        <w:t>s</w:t>
      </w:r>
      <w:bookmarkEnd w:id="11"/>
      <w:bookmarkEnd w:id="12"/>
    </w:p>
    <w:p w14:paraId="1D639D43" w14:textId="68C90300" w:rsidR="000F618E" w:rsidRPr="00B93C03" w:rsidRDefault="000F618E" w:rsidP="00B748F1">
      <w:pPr>
        <w:pStyle w:val="OutlineNumbered1"/>
        <w:numPr>
          <w:ilvl w:val="0"/>
          <w:numId w:val="31"/>
        </w:numPr>
        <w:rPr>
          <w:rFonts w:eastAsiaTheme="minorHAnsi"/>
        </w:rPr>
      </w:pPr>
      <w:r w:rsidRPr="00B93C03">
        <w:rPr>
          <w:rFonts w:eastAsiaTheme="minorHAnsi"/>
        </w:rPr>
        <w:t xml:space="preserve">Search warrants are one of the most effective investigative tools available to investigators to obtain and secure evidential material and prevent the destruction </w:t>
      </w:r>
      <w:r w:rsidR="00BB3FF6" w:rsidRPr="00B93C03">
        <w:rPr>
          <w:rFonts w:eastAsiaTheme="minorHAnsi"/>
        </w:rPr>
        <w:t xml:space="preserve">and concealment </w:t>
      </w:r>
      <w:r w:rsidRPr="00B93C03">
        <w:rPr>
          <w:rFonts w:eastAsiaTheme="minorHAnsi"/>
        </w:rPr>
        <w:t>of evidence. They are widely used by a range of law enforcement agencies and regulatory authorities at both the</w:t>
      </w:r>
      <w:r w:rsidR="003D65B6">
        <w:rPr>
          <w:rFonts w:eastAsiaTheme="minorHAnsi"/>
        </w:rPr>
        <w:t xml:space="preserve"> Commonwealth and state levels.</w:t>
      </w:r>
    </w:p>
    <w:p w14:paraId="24272E85" w14:textId="20D50009" w:rsidR="002E4AD0" w:rsidRPr="00B93C03" w:rsidRDefault="000C24C1" w:rsidP="00B93C03">
      <w:pPr>
        <w:pStyle w:val="OutlineNumbered1"/>
        <w:rPr>
          <w:rFonts w:eastAsiaTheme="minorHAnsi"/>
        </w:rPr>
      </w:pPr>
      <w:r w:rsidRPr="00B93C03">
        <w:rPr>
          <w:rFonts w:eastAsiaTheme="minorHAnsi"/>
        </w:rPr>
        <w:t>S</w:t>
      </w:r>
      <w:r w:rsidR="00B44E06" w:rsidRPr="00B93C03">
        <w:rPr>
          <w:rFonts w:eastAsiaTheme="minorHAnsi"/>
        </w:rPr>
        <w:t xml:space="preserve">earch warrants are executed without </w:t>
      </w:r>
      <w:r w:rsidR="00FE1F68">
        <w:rPr>
          <w:rFonts w:eastAsiaTheme="minorHAnsi"/>
        </w:rPr>
        <w:t xml:space="preserve">prior </w:t>
      </w:r>
      <w:r w:rsidR="00B44E06" w:rsidRPr="00B93C03">
        <w:rPr>
          <w:rFonts w:eastAsiaTheme="minorHAnsi"/>
        </w:rPr>
        <w:t xml:space="preserve">notice. This limits the opportunity for individuals the subject of an investigation to destroy, alter or conceal evidence, which is a </w:t>
      </w:r>
      <w:r w:rsidR="00732CBC" w:rsidRPr="00B93C03">
        <w:rPr>
          <w:rFonts w:eastAsiaTheme="minorHAnsi"/>
        </w:rPr>
        <w:t>real</w:t>
      </w:r>
      <w:r w:rsidR="00B44E06" w:rsidRPr="00B93C03">
        <w:rPr>
          <w:rFonts w:eastAsiaTheme="minorHAnsi"/>
        </w:rPr>
        <w:t xml:space="preserve"> risk in </w:t>
      </w:r>
      <w:r w:rsidR="00756D13" w:rsidRPr="00B93C03">
        <w:rPr>
          <w:rFonts w:eastAsiaTheme="minorHAnsi"/>
        </w:rPr>
        <w:t>m</w:t>
      </w:r>
      <w:r w:rsidR="00B44E06" w:rsidRPr="00B93C03">
        <w:rPr>
          <w:rFonts w:eastAsiaTheme="minorHAnsi"/>
        </w:rPr>
        <w:t>any investigation</w:t>
      </w:r>
      <w:r w:rsidR="00756D13" w:rsidRPr="00B93C03">
        <w:rPr>
          <w:rFonts w:eastAsiaTheme="minorHAnsi"/>
        </w:rPr>
        <w:t>s</w:t>
      </w:r>
      <w:r w:rsidR="00B44E06" w:rsidRPr="00B93C03">
        <w:rPr>
          <w:rFonts w:eastAsiaTheme="minorHAnsi"/>
        </w:rPr>
        <w:t>.</w:t>
      </w:r>
      <w:r w:rsidRPr="00B93C03">
        <w:rPr>
          <w:rFonts w:eastAsiaTheme="minorHAnsi"/>
        </w:rPr>
        <w:t xml:space="preserve"> By contrast, under some of the relevant Acts (but</w:t>
      </w:r>
      <w:r w:rsidR="0035290D">
        <w:rPr>
          <w:rFonts w:eastAsiaTheme="minorHAnsi"/>
        </w:rPr>
        <w:t> </w:t>
      </w:r>
      <w:r w:rsidRPr="00B93C03">
        <w:rPr>
          <w:rFonts w:eastAsiaTheme="minorHAnsi"/>
        </w:rPr>
        <w:t>not the ASIC Act), ASIC is required, before applying for a search warrant, to first</w:t>
      </w:r>
      <w:r w:rsidR="0035290D">
        <w:rPr>
          <w:rFonts w:eastAsiaTheme="minorHAnsi"/>
        </w:rPr>
        <w:t> </w:t>
      </w:r>
      <w:r w:rsidRPr="00B93C03">
        <w:rPr>
          <w:rFonts w:eastAsiaTheme="minorHAnsi"/>
        </w:rPr>
        <w:t>give the person concerned a notice to produce the book, effectively giving the investigated party notice of ASIC’s interest in the books.</w:t>
      </w:r>
      <w:r w:rsidR="009B3B12" w:rsidRPr="00B93C03">
        <w:rPr>
          <w:rStyle w:val="FootnoteReference"/>
        </w:rPr>
        <w:footnoteReference w:id="8"/>
      </w:r>
    </w:p>
    <w:p w14:paraId="494FCF5F" w14:textId="723793B5" w:rsidR="007475AD" w:rsidRPr="00B93C03" w:rsidRDefault="00570CDC" w:rsidP="00B93C03">
      <w:pPr>
        <w:pStyle w:val="OutlineNumbered1"/>
        <w:rPr>
          <w:rFonts w:eastAsiaTheme="minorHAnsi"/>
        </w:rPr>
      </w:pPr>
      <w:r w:rsidRPr="00B93C03">
        <w:rPr>
          <w:rFonts w:eastAsiaTheme="minorHAnsi"/>
        </w:rPr>
        <w:t xml:space="preserve">For the purpose of carrying out its </w:t>
      </w:r>
      <w:r w:rsidR="00137D4B" w:rsidRPr="00B93C03">
        <w:rPr>
          <w:rFonts w:eastAsiaTheme="minorHAnsi"/>
        </w:rPr>
        <w:t>investigative</w:t>
      </w:r>
      <w:r w:rsidRPr="00B93C03">
        <w:rPr>
          <w:rFonts w:eastAsiaTheme="minorHAnsi"/>
        </w:rPr>
        <w:t xml:space="preserve"> functions ASIC is currently able to utilise specific search warrant powers contained in</w:t>
      </w:r>
      <w:r w:rsidR="007475AD" w:rsidRPr="00B93C03">
        <w:rPr>
          <w:rFonts w:eastAsiaTheme="minorHAnsi"/>
        </w:rPr>
        <w:t>:</w:t>
      </w:r>
    </w:p>
    <w:p w14:paraId="656156FC" w14:textId="523BD08B" w:rsidR="007475AD" w:rsidRPr="005E3D7B" w:rsidRDefault="0035290D" w:rsidP="00B93C03">
      <w:pPr>
        <w:pStyle w:val="OutlineNumbered2"/>
      </w:pPr>
      <w:r>
        <w:t>S</w:t>
      </w:r>
      <w:r w:rsidR="00607AD1">
        <w:t xml:space="preserve">ections </w:t>
      </w:r>
      <w:r w:rsidR="000F618E" w:rsidRPr="005E3D7B">
        <w:t>35</w:t>
      </w:r>
      <w:r w:rsidR="00FC7089" w:rsidRPr="00DD1118">
        <w:t>—</w:t>
      </w:r>
      <w:r w:rsidR="00555243" w:rsidRPr="005E3D7B">
        <w:t>37</w:t>
      </w:r>
      <w:r w:rsidR="000F618E" w:rsidRPr="005E3D7B">
        <w:t xml:space="preserve"> of</w:t>
      </w:r>
      <w:r w:rsidR="00570CDC" w:rsidRPr="005E3D7B">
        <w:t xml:space="preserve"> the ASIC Act</w:t>
      </w:r>
      <w:r w:rsidR="007475AD" w:rsidRPr="005E3D7B">
        <w:t>;</w:t>
      </w:r>
    </w:p>
    <w:p w14:paraId="05D1A3F3" w14:textId="7808D8C5" w:rsidR="007475AD" w:rsidRPr="005E3D7B" w:rsidRDefault="0035290D" w:rsidP="00B93C03">
      <w:pPr>
        <w:pStyle w:val="OutlineNumbered2"/>
      </w:pPr>
      <w:r>
        <w:t>S</w:t>
      </w:r>
      <w:r w:rsidR="00607AD1">
        <w:t xml:space="preserve">ections </w:t>
      </w:r>
      <w:r w:rsidR="000F618E" w:rsidRPr="005E3D7B">
        <w:t>2</w:t>
      </w:r>
      <w:r w:rsidR="00555243" w:rsidRPr="005E3D7B">
        <w:t>69</w:t>
      </w:r>
      <w:r w:rsidR="00FC7089" w:rsidRPr="00DD1118">
        <w:t>—</w:t>
      </w:r>
      <w:r w:rsidR="000F618E" w:rsidRPr="005E3D7B">
        <w:t>27</w:t>
      </w:r>
      <w:r w:rsidR="00555243" w:rsidRPr="005E3D7B">
        <w:t>1</w:t>
      </w:r>
      <w:r w:rsidR="000F618E" w:rsidRPr="005E3D7B">
        <w:t xml:space="preserve"> of the </w:t>
      </w:r>
      <w:r w:rsidR="00570CDC" w:rsidRPr="005E3D7B">
        <w:t>NCCP Act</w:t>
      </w:r>
      <w:r w:rsidR="007475AD" w:rsidRPr="005E3D7B">
        <w:t>;</w:t>
      </w:r>
    </w:p>
    <w:p w14:paraId="706147F5" w14:textId="09BF6088" w:rsidR="007475AD" w:rsidRPr="005E3D7B" w:rsidRDefault="0035290D" w:rsidP="00B93C03">
      <w:pPr>
        <w:pStyle w:val="OutlineNumbered2"/>
      </w:pPr>
      <w:r>
        <w:t>S</w:t>
      </w:r>
      <w:r w:rsidR="00607AD1">
        <w:t xml:space="preserve">ections </w:t>
      </w:r>
      <w:r w:rsidR="00555243" w:rsidRPr="005E3D7B">
        <w:t>271</w:t>
      </w:r>
      <w:r w:rsidR="00FC7089" w:rsidRPr="00DD1118">
        <w:t>—</w:t>
      </w:r>
      <w:r w:rsidR="00555243" w:rsidRPr="005E3D7B">
        <w:t>273 of the SIS</w:t>
      </w:r>
      <w:r w:rsidR="00570CDC" w:rsidRPr="005E3D7B">
        <w:t xml:space="preserve"> Act</w:t>
      </w:r>
      <w:r w:rsidR="007475AD" w:rsidRPr="005E3D7B">
        <w:t>;</w:t>
      </w:r>
      <w:r w:rsidR="003D65B6">
        <w:t xml:space="preserve"> and</w:t>
      </w:r>
    </w:p>
    <w:p w14:paraId="4C89AE07" w14:textId="729C7DA8" w:rsidR="00570CDC" w:rsidRPr="005E3D7B" w:rsidRDefault="0035290D" w:rsidP="00B93C03">
      <w:pPr>
        <w:pStyle w:val="OutlineNumbered2"/>
      </w:pPr>
      <w:r>
        <w:t>S</w:t>
      </w:r>
      <w:r w:rsidR="00607AD1">
        <w:t xml:space="preserve">ections </w:t>
      </w:r>
      <w:r w:rsidR="00555243" w:rsidRPr="005E3D7B">
        <w:t>102</w:t>
      </w:r>
      <w:r w:rsidR="00FC7089" w:rsidRPr="00DD1118">
        <w:t>—</w:t>
      </w:r>
      <w:r w:rsidR="00555243" w:rsidRPr="005E3D7B">
        <w:t xml:space="preserve">104 of the </w:t>
      </w:r>
      <w:r w:rsidR="00570CDC" w:rsidRPr="005E3D7B">
        <w:t>RSA Act</w:t>
      </w:r>
      <w:r w:rsidR="00555243" w:rsidRPr="005E3D7B">
        <w:t>.</w:t>
      </w:r>
    </w:p>
    <w:p w14:paraId="3B32CCAD" w14:textId="76914A1B" w:rsidR="00555243" w:rsidRPr="00B93C03" w:rsidRDefault="00555243" w:rsidP="00B93C03">
      <w:pPr>
        <w:pStyle w:val="OutlineNumbered1"/>
        <w:rPr>
          <w:rFonts w:eastAsiaTheme="minorHAnsi"/>
        </w:rPr>
      </w:pPr>
      <w:r w:rsidRPr="00B93C03">
        <w:rPr>
          <w:rFonts w:eastAsiaTheme="minorHAnsi"/>
        </w:rPr>
        <w:t>Common features of all of these search warrant powers include</w:t>
      </w:r>
      <w:r w:rsidR="00B10563" w:rsidRPr="00B93C03">
        <w:rPr>
          <w:rFonts w:eastAsiaTheme="minorHAnsi"/>
        </w:rPr>
        <w:t xml:space="preserve"> the following</w:t>
      </w:r>
      <w:r w:rsidRPr="00B93C03">
        <w:rPr>
          <w:rFonts w:eastAsiaTheme="minorHAnsi"/>
        </w:rPr>
        <w:t>:</w:t>
      </w:r>
    </w:p>
    <w:p w14:paraId="350BD0B9" w14:textId="71EBCC10" w:rsidR="00555243" w:rsidRPr="00B166F0" w:rsidRDefault="00555243" w:rsidP="00B93C03">
      <w:pPr>
        <w:pStyle w:val="OutlineNumbered2"/>
      </w:pPr>
      <w:r w:rsidRPr="00B166F0">
        <w:t>ASIC is empowered</w:t>
      </w:r>
      <w:r w:rsidR="002203BB" w:rsidRPr="00B166F0">
        <w:t>, for the purpose of exercising its investigative or compliance functions,</w:t>
      </w:r>
      <w:r w:rsidRPr="00B166F0">
        <w:t xml:space="preserve"> to apply to a </w:t>
      </w:r>
      <w:r w:rsidR="00637FF8" w:rsidRPr="00B166F0">
        <w:t>m</w:t>
      </w:r>
      <w:r w:rsidRPr="00B166F0">
        <w:t xml:space="preserve">agistrate for a search warrant in respect of </w:t>
      </w:r>
      <w:r w:rsidR="00DC65C4" w:rsidRPr="00B166F0">
        <w:t xml:space="preserve">specific premises </w:t>
      </w:r>
      <w:r w:rsidR="002203BB" w:rsidRPr="00B166F0">
        <w:t>to s</w:t>
      </w:r>
      <w:r w:rsidR="00DC65C4" w:rsidRPr="00B166F0">
        <w:t>earch for and seiz</w:t>
      </w:r>
      <w:r w:rsidR="002203BB" w:rsidRPr="00B166F0">
        <w:t>e</w:t>
      </w:r>
      <w:r w:rsidR="00DC65C4" w:rsidRPr="00B166F0">
        <w:t xml:space="preserve"> </w:t>
      </w:r>
      <w:r w:rsidR="00D3708E" w:rsidRPr="00B166F0">
        <w:t xml:space="preserve">relevant </w:t>
      </w:r>
      <w:r w:rsidR="00757A73">
        <w:t>‘</w:t>
      </w:r>
      <w:r w:rsidRPr="00B166F0">
        <w:t>books</w:t>
      </w:r>
      <w:r w:rsidR="00757A73">
        <w:t>’</w:t>
      </w:r>
      <w:r w:rsidRPr="00B166F0">
        <w:t>, a term which is widely defined and encompasses computer devices;</w:t>
      </w:r>
      <w:r w:rsidR="00637FF8" w:rsidRPr="00B166F0">
        <w:rPr>
          <w:vertAlign w:val="superscript"/>
        </w:rPr>
        <w:footnoteReference w:id="9"/>
      </w:r>
    </w:p>
    <w:p w14:paraId="39A34D1C" w14:textId="6DBDCFD8" w:rsidR="00555243" w:rsidRPr="00B166F0" w:rsidRDefault="00DC65C4" w:rsidP="00B93C03">
      <w:pPr>
        <w:pStyle w:val="OutlineNumbered2"/>
      </w:pPr>
      <w:r w:rsidRPr="00B166F0">
        <w:t xml:space="preserve">a magistrate may issue </w:t>
      </w:r>
      <w:r w:rsidR="00434ADB" w:rsidRPr="00B166F0">
        <w:t>a</w:t>
      </w:r>
      <w:r w:rsidRPr="00B166F0">
        <w:t xml:space="preserve"> warrant </w:t>
      </w:r>
      <w:r w:rsidR="00434ADB" w:rsidRPr="00B166F0">
        <w:t xml:space="preserve">authorising seizure of </w:t>
      </w:r>
      <w:r w:rsidR="002203BB" w:rsidRPr="00B166F0">
        <w:t xml:space="preserve">specified </w:t>
      </w:r>
      <w:r w:rsidR="00757A73">
        <w:t>‘</w:t>
      </w:r>
      <w:r w:rsidR="00434ADB" w:rsidRPr="00B166F0">
        <w:t>particular</w:t>
      </w:r>
      <w:r w:rsidR="00DA67E0" w:rsidRPr="00B166F0">
        <w:t xml:space="preserve"> </w:t>
      </w:r>
      <w:r w:rsidR="00434ADB" w:rsidRPr="00B166F0">
        <w:t>books</w:t>
      </w:r>
      <w:r w:rsidR="00757A73">
        <w:t>’</w:t>
      </w:r>
      <w:r w:rsidR="00DA67E0" w:rsidRPr="00B166F0">
        <w:t xml:space="preserve"> </w:t>
      </w:r>
      <w:r w:rsidRPr="00B166F0">
        <w:t>if satisfied that there are reasonable grounds for suspecting that such books are, or may be within the next 72 hours, on those premises;</w:t>
      </w:r>
      <w:r w:rsidR="00BB3FF6" w:rsidRPr="00B166F0">
        <w:rPr>
          <w:vertAlign w:val="superscript"/>
        </w:rPr>
        <w:footnoteReference w:id="10"/>
      </w:r>
    </w:p>
    <w:p w14:paraId="5450638A" w14:textId="77777777" w:rsidR="00757A73" w:rsidRPr="00757A73" w:rsidRDefault="00757A73" w:rsidP="00757A73">
      <w:r w:rsidRPr="00757A73">
        <w:br w:type="page"/>
      </w:r>
    </w:p>
    <w:p w14:paraId="38927D19" w14:textId="5BEAA888" w:rsidR="00DC65C4" w:rsidRPr="00B166F0" w:rsidRDefault="00DC65C4" w:rsidP="00B93C03">
      <w:pPr>
        <w:pStyle w:val="OutlineNumbered2"/>
      </w:pPr>
      <w:r w:rsidRPr="00B166F0">
        <w:lastRenderedPageBreak/>
        <w:t xml:space="preserve">the warrant </w:t>
      </w:r>
      <w:r w:rsidR="00756D13" w:rsidRPr="00B166F0">
        <w:t>is</w:t>
      </w:r>
      <w:r w:rsidRPr="00B166F0">
        <w:t xml:space="preserve"> issued to, and executed by, a member of the Australian Federal Police (AFP)</w:t>
      </w:r>
      <w:r w:rsidR="00336BB6">
        <w:t>,</w:t>
      </w:r>
      <w:r w:rsidR="00BB3FF6" w:rsidRPr="00B166F0">
        <w:rPr>
          <w:vertAlign w:val="superscript"/>
        </w:rPr>
        <w:footnoteReference w:id="11"/>
      </w:r>
      <w:r w:rsidRPr="00B166F0">
        <w:t xml:space="preserve"> </w:t>
      </w:r>
      <w:r w:rsidR="001E3C6E" w:rsidRPr="00B166F0">
        <w:t>or an AFP member together with an ASIC officer (but never an ASIC officer alone)</w:t>
      </w:r>
      <w:r w:rsidRPr="00B166F0">
        <w:t>; and</w:t>
      </w:r>
    </w:p>
    <w:p w14:paraId="3C20885E" w14:textId="20D383F4" w:rsidR="00555243" w:rsidRPr="00B166F0" w:rsidRDefault="00DC65C4" w:rsidP="00B93C03">
      <w:pPr>
        <w:pStyle w:val="OutlineNumbered2"/>
      </w:pPr>
      <w:r w:rsidRPr="00B166F0">
        <w:t xml:space="preserve">books seized pursuant to the execution of the warrant can be used for the purpose of </w:t>
      </w:r>
      <w:r w:rsidR="008D40B6" w:rsidRPr="00B166F0">
        <w:t xml:space="preserve">relevant investigations and </w:t>
      </w:r>
      <w:r w:rsidRPr="00B166F0">
        <w:t>any criminal, civil or administrative proceeding.</w:t>
      </w:r>
      <w:r w:rsidRPr="00B166F0">
        <w:rPr>
          <w:vertAlign w:val="superscript"/>
        </w:rPr>
        <w:footnoteReference w:id="12"/>
      </w:r>
    </w:p>
    <w:p w14:paraId="50ACE928" w14:textId="79386643" w:rsidR="00C27024" w:rsidRPr="00B93C03" w:rsidRDefault="008D40B6" w:rsidP="00B93C03">
      <w:pPr>
        <w:pStyle w:val="OutlineNumbered1"/>
        <w:rPr>
          <w:rFonts w:eastAsiaTheme="minorHAnsi"/>
        </w:rPr>
      </w:pPr>
      <w:r w:rsidRPr="00B93C03">
        <w:rPr>
          <w:rFonts w:eastAsiaTheme="minorHAnsi"/>
        </w:rPr>
        <w:t>Accordingly, books seized pursuant to any of these search warrant powers can be used for the full range of law enforcement functions carried out by ASIC.</w:t>
      </w:r>
    </w:p>
    <w:p w14:paraId="5A6D27E2" w14:textId="288E8E68" w:rsidR="00C27024" w:rsidRPr="00B93C03" w:rsidRDefault="00ED05A1" w:rsidP="00B93C03">
      <w:pPr>
        <w:pStyle w:val="OutlineNumbered1"/>
        <w:rPr>
          <w:rFonts w:eastAsiaTheme="minorHAnsi"/>
        </w:rPr>
      </w:pPr>
      <w:r w:rsidRPr="00B93C03">
        <w:rPr>
          <w:rFonts w:eastAsiaTheme="minorHAnsi"/>
        </w:rPr>
        <w:t>The</w:t>
      </w:r>
      <w:r w:rsidR="00C27024" w:rsidRPr="00B93C03">
        <w:rPr>
          <w:rFonts w:eastAsiaTheme="minorHAnsi"/>
        </w:rPr>
        <w:t xml:space="preserve"> </w:t>
      </w:r>
      <w:r w:rsidR="00396BD5" w:rsidRPr="00B93C03">
        <w:rPr>
          <w:rFonts w:eastAsiaTheme="minorHAnsi"/>
        </w:rPr>
        <w:t>main</w:t>
      </w:r>
      <w:r w:rsidR="00C27024" w:rsidRPr="00B93C03">
        <w:rPr>
          <w:rFonts w:eastAsiaTheme="minorHAnsi"/>
        </w:rPr>
        <w:t xml:space="preserve"> difference between these search warrant powers is that ASIC can only apply for search warrants under the NCCP Act, SIS Act and RSA Act if it has </w:t>
      </w:r>
      <w:r w:rsidR="00B10563" w:rsidRPr="00B93C03">
        <w:rPr>
          <w:rFonts w:eastAsiaTheme="minorHAnsi"/>
        </w:rPr>
        <w:t xml:space="preserve">previously </w:t>
      </w:r>
      <w:r w:rsidR="00C27024" w:rsidRPr="00B93C03">
        <w:rPr>
          <w:rFonts w:eastAsiaTheme="minorHAnsi"/>
        </w:rPr>
        <w:t>issued a notice requiring the relevant person to produce the relevant books and the person has failed to do so</w:t>
      </w:r>
      <w:r w:rsidR="00A21796" w:rsidRPr="00B93C03">
        <w:rPr>
          <w:rFonts w:eastAsiaTheme="minorHAnsi"/>
        </w:rPr>
        <w:t>,</w:t>
      </w:r>
      <w:r w:rsidR="00C27024" w:rsidRPr="00B93C03">
        <w:rPr>
          <w:rStyle w:val="FootnoteReference"/>
          <w:rFonts w:eastAsiaTheme="minorHAnsi"/>
        </w:rPr>
        <w:footnoteReference w:id="13"/>
      </w:r>
      <w:r w:rsidR="00C27024" w:rsidRPr="00B93C03">
        <w:rPr>
          <w:rFonts w:eastAsiaTheme="minorHAnsi"/>
        </w:rPr>
        <w:t xml:space="preserve"> whereas this </w:t>
      </w:r>
      <w:r w:rsidR="00757A73">
        <w:rPr>
          <w:rFonts w:eastAsiaTheme="minorHAnsi"/>
        </w:rPr>
        <w:t>‘</w:t>
      </w:r>
      <w:r w:rsidR="009D1E87" w:rsidRPr="00B93C03">
        <w:rPr>
          <w:rFonts w:eastAsiaTheme="minorHAnsi"/>
        </w:rPr>
        <w:t>forewarning</w:t>
      </w:r>
      <w:r w:rsidR="00757A73">
        <w:rPr>
          <w:rFonts w:eastAsiaTheme="minorHAnsi"/>
        </w:rPr>
        <w:t>’</w:t>
      </w:r>
      <w:r w:rsidR="009D1E87" w:rsidRPr="00B93C03">
        <w:rPr>
          <w:rFonts w:eastAsiaTheme="minorHAnsi"/>
        </w:rPr>
        <w:t xml:space="preserve"> </w:t>
      </w:r>
      <w:r w:rsidR="00C27024" w:rsidRPr="00B93C03">
        <w:rPr>
          <w:rFonts w:eastAsiaTheme="minorHAnsi"/>
        </w:rPr>
        <w:t>requirement was removed from the ASIC Act search warrant provisions in 2010.</w:t>
      </w:r>
      <w:r w:rsidR="00C27024" w:rsidRPr="00B93C03">
        <w:rPr>
          <w:rStyle w:val="FootnoteReference"/>
          <w:rFonts w:eastAsiaTheme="minorHAnsi"/>
        </w:rPr>
        <w:footnoteReference w:id="14"/>
      </w:r>
    </w:p>
    <w:p w14:paraId="127E0630" w14:textId="20E72136" w:rsidR="00C27024" w:rsidRPr="00B93C03" w:rsidRDefault="00BB3F01" w:rsidP="00B93C03">
      <w:pPr>
        <w:pStyle w:val="OutlineNumbered1"/>
        <w:rPr>
          <w:rFonts w:eastAsiaTheme="minorHAnsi"/>
        </w:rPr>
      </w:pPr>
      <w:r w:rsidRPr="00B93C03">
        <w:rPr>
          <w:rFonts w:eastAsiaTheme="minorHAnsi"/>
        </w:rPr>
        <w:t>A</w:t>
      </w:r>
      <w:r w:rsidR="00DF09F3" w:rsidRPr="00B93C03">
        <w:rPr>
          <w:rFonts w:eastAsiaTheme="minorHAnsi"/>
        </w:rPr>
        <w:t xml:space="preserve">s discussed further below, the search warrant powers in the ASIC Act, NCCP Act, SIS Act and RSA Act do not contain the </w:t>
      </w:r>
      <w:r w:rsidR="00A76D6F" w:rsidRPr="00B93C03">
        <w:rPr>
          <w:rFonts w:eastAsiaTheme="minorHAnsi"/>
        </w:rPr>
        <w:t xml:space="preserve">type of </w:t>
      </w:r>
      <w:r w:rsidR="00DF09F3" w:rsidRPr="00B93C03">
        <w:rPr>
          <w:rFonts w:eastAsiaTheme="minorHAnsi"/>
        </w:rPr>
        <w:t xml:space="preserve">ancillary provisions applicable to the search warrant powers in both the </w:t>
      </w:r>
      <w:r w:rsidR="00DF09F3" w:rsidRPr="00B93C03">
        <w:t>Crimes Act</w:t>
      </w:r>
      <w:r w:rsidR="00DF09F3" w:rsidRPr="00B93C03">
        <w:rPr>
          <w:rFonts w:eastAsiaTheme="minorHAnsi"/>
        </w:rPr>
        <w:t xml:space="preserve"> and the Competition and Consumer Act 2010 (Competition and Consumer Act).</w:t>
      </w:r>
    </w:p>
    <w:p w14:paraId="3525511D" w14:textId="1BD90F5A" w:rsidR="00B73514" w:rsidRPr="006266DC" w:rsidRDefault="00B73514" w:rsidP="00ED2B3F">
      <w:pPr>
        <w:pStyle w:val="Heading2"/>
        <w:spacing w:after="240"/>
      </w:pPr>
      <w:bookmarkStart w:id="13" w:name="_Toc484695694"/>
      <w:bookmarkStart w:id="14" w:name="_Toc486231363"/>
      <w:r w:rsidRPr="006266DC">
        <w:t xml:space="preserve">Crimes Act </w:t>
      </w:r>
      <w:r w:rsidR="008F1F64">
        <w:t xml:space="preserve">search </w:t>
      </w:r>
      <w:r w:rsidRPr="006266DC">
        <w:t>warrants</w:t>
      </w:r>
      <w:bookmarkEnd w:id="13"/>
      <w:bookmarkEnd w:id="14"/>
    </w:p>
    <w:p w14:paraId="0ACE0ACC" w14:textId="77AAC488" w:rsidR="00AD7B57" w:rsidRPr="00B93C03" w:rsidRDefault="002E7090" w:rsidP="00B93C03">
      <w:pPr>
        <w:pStyle w:val="OutlineNumbered1"/>
        <w:rPr>
          <w:rFonts w:eastAsiaTheme="minorHAnsi"/>
        </w:rPr>
      </w:pPr>
      <w:r w:rsidRPr="00B93C03">
        <w:rPr>
          <w:rFonts w:eastAsiaTheme="minorHAnsi"/>
        </w:rPr>
        <w:t xml:space="preserve">ASIC can </w:t>
      </w:r>
      <w:r w:rsidR="00F221F8" w:rsidRPr="00B93C03">
        <w:rPr>
          <w:rFonts w:eastAsiaTheme="minorHAnsi"/>
        </w:rPr>
        <w:t xml:space="preserve">apply </w:t>
      </w:r>
      <w:r w:rsidR="00DF09F3" w:rsidRPr="00B93C03">
        <w:rPr>
          <w:rFonts w:eastAsiaTheme="minorHAnsi"/>
        </w:rPr>
        <w:t xml:space="preserve">to </w:t>
      </w:r>
      <w:r w:rsidR="00A46E78" w:rsidRPr="00B93C03">
        <w:rPr>
          <w:rFonts w:eastAsiaTheme="minorHAnsi"/>
        </w:rPr>
        <w:t xml:space="preserve">a </w:t>
      </w:r>
      <w:r w:rsidR="00DF09F3" w:rsidRPr="00B93C03">
        <w:rPr>
          <w:rFonts w:eastAsiaTheme="minorHAnsi"/>
        </w:rPr>
        <w:t xml:space="preserve">magistrate </w:t>
      </w:r>
      <w:r w:rsidR="00F221F8" w:rsidRPr="00B93C03">
        <w:rPr>
          <w:rFonts w:eastAsiaTheme="minorHAnsi"/>
        </w:rPr>
        <w:t xml:space="preserve">for </w:t>
      </w:r>
      <w:r w:rsidR="00B23E6C" w:rsidRPr="00B93C03">
        <w:rPr>
          <w:rFonts w:eastAsiaTheme="minorHAnsi"/>
        </w:rPr>
        <w:t>a</w:t>
      </w:r>
      <w:r w:rsidRPr="00B93C03">
        <w:rPr>
          <w:rFonts w:eastAsiaTheme="minorHAnsi"/>
        </w:rPr>
        <w:t xml:space="preserve"> search warrant</w:t>
      </w:r>
      <w:r w:rsidR="00B23E6C" w:rsidRPr="00B93C03">
        <w:rPr>
          <w:rFonts w:eastAsiaTheme="minorHAnsi"/>
        </w:rPr>
        <w:t xml:space="preserve"> to be issued</w:t>
      </w:r>
      <w:r w:rsidRPr="00B93C03">
        <w:rPr>
          <w:rFonts w:eastAsiaTheme="minorHAnsi"/>
        </w:rPr>
        <w:t xml:space="preserve"> under s3E of </w:t>
      </w:r>
      <w:r w:rsidR="0033425D" w:rsidRPr="00B93C03">
        <w:rPr>
          <w:rFonts w:eastAsiaTheme="minorHAnsi"/>
        </w:rPr>
        <w:t xml:space="preserve">the </w:t>
      </w:r>
      <w:r w:rsidR="002D2E2B" w:rsidRPr="00B93C03">
        <w:rPr>
          <w:rFonts w:eastAsiaTheme="minorHAnsi"/>
        </w:rPr>
        <w:t>Crimes Act</w:t>
      </w:r>
      <w:r w:rsidR="00DF09F3" w:rsidRPr="00B93C03">
        <w:rPr>
          <w:rFonts w:eastAsiaTheme="minorHAnsi"/>
        </w:rPr>
        <w:t xml:space="preserve"> </w:t>
      </w:r>
      <w:r w:rsidRPr="00B93C03">
        <w:rPr>
          <w:rFonts w:eastAsiaTheme="minorHAnsi"/>
        </w:rPr>
        <w:t>for execution by the AFP</w:t>
      </w:r>
      <w:r w:rsidR="00F221F8" w:rsidRPr="00B93C03">
        <w:rPr>
          <w:rFonts w:eastAsiaTheme="minorHAnsi"/>
        </w:rPr>
        <w:t xml:space="preserve"> </w:t>
      </w:r>
      <w:r w:rsidR="0084147A" w:rsidRPr="00B93C03">
        <w:rPr>
          <w:rFonts w:eastAsiaTheme="minorHAnsi"/>
        </w:rPr>
        <w:t xml:space="preserve">which </w:t>
      </w:r>
      <w:r w:rsidRPr="00B93C03">
        <w:rPr>
          <w:rFonts w:eastAsiaTheme="minorHAnsi"/>
        </w:rPr>
        <w:t xml:space="preserve">can then make seized material available to ASIC under s3ZQU of the Crimes Act. </w:t>
      </w:r>
      <w:r w:rsidR="00AD7B57" w:rsidRPr="00B93C03">
        <w:rPr>
          <w:rFonts w:eastAsiaTheme="minorHAnsi"/>
        </w:rPr>
        <w:t xml:space="preserve">In practice, ASIC officers are designated </w:t>
      </w:r>
      <w:r w:rsidR="00891007" w:rsidRPr="00B93C03">
        <w:rPr>
          <w:rFonts w:eastAsiaTheme="minorHAnsi"/>
        </w:rPr>
        <w:t xml:space="preserve">by the executing AFP officer </w:t>
      </w:r>
      <w:r w:rsidR="00AD7B57" w:rsidRPr="00B93C03">
        <w:rPr>
          <w:rFonts w:eastAsiaTheme="minorHAnsi"/>
        </w:rPr>
        <w:t xml:space="preserve">as </w:t>
      </w:r>
      <w:r w:rsidR="00757A73">
        <w:rPr>
          <w:rFonts w:eastAsiaTheme="minorHAnsi"/>
        </w:rPr>
        <w:t>‘</w:t>
      </w:r>
      <w:r w:rsidR="00AD7B57" w:rsidRPr="00B93C03">
        <w:rPr>
          <w:rFonts w:eastAsiaTheme="minorHAnsi"/>
        </w:rPr>
        <w:t>constables assisting</w:t>
      </w:r>
      <w:r w:rsidR="00757A73">
        <w:rPr>
          <w:rFonts w:eastAsiaTheme="minorHAnsi"/>
        </w:rPr>
        <w:t>’</w:t>
      </w:r>
      <w:r w:rsidR="00AD7B57" w:rsidRPr="00B93C03">
        <w:rPr>
          <w:rFonts w:eastAsiaTheme="minorHAnsi"/>
        </w:rPr>
        <w:t xml:space="preserve"> and may assist </w:t>
      </w:r>
      <w:r w:rsidR="00F221F8" w:rsidRPr="00B93C03">
        <w:rPr>
          <w:rFonts w:eastAsiaTheme="minorHAnsi"/>
        </w:rPr>
        <w:t xml:space="preserve">the AFP </w:t>
      </w:r>
      <w:r w:rsidR="00AD7B57" w:rsidRPr="00B93C03">
        <w:rPr>
          <w:rFonts w:eastAsiaTheme="minorHAnsi"/>
        </w:rPr>
        <w:t>in the execution of the search warrant.</w:t>
      </w:r>
    </w:p>
    <w:p w14:paraId="364A74A8" w14:textId="5D68389E" w:rsidR="003D0BA2" w:rsidRPr="00B93C03" w:rsidRDefault="002E7090" w:rsidP="00B93C03">
      <w:pPr>
        <w:pStyle w:val="OutlineNumbered1"/>
        <w:rPr>
          <w:rFonts w:eastAsiaTheme="minorHAnsi"/>
        </w:rPr>
      </w:pPr>
      <w:bookmarkStart w:id="15" w:name="_Ref466472233"/>
      <w:r w:rsidRPr="00B93C03">
        <w:rPr>
          <w:rFonts w:eastAsiaTheme="minorHAnsi"/>
        </w:rPr>
        <w:t xml:space="preserve">Section 3E(1) </w:t>
      </w:r>
      <w:r w:rsidR="00AD7B57" w:rsidRPr="00B93C03">
        <w:rPr>
          <w:rFonts w:eastAsiaTheme="minorHAnsi"/>
        </w:rPr>
        <w:t xml:space="preserve">of the Crimes </w:t>
      </w:r>
      <w:r w:rsidR="00B4494B" w:rsidRPr="00B93C03">
        <w:rPr>
          <w:rFonts w:eastAsiaTheme="minorHAnsi"/>
        </w:rPr>
        <w:t xml:space="preserve">Act </w:t>
      </w:r>
      <w:r w:rsidRPr="00B93C03">
        <w:rPr>
          <w:rFonts w:eastAsiaTheme="minorHAnsi"/>
        </w:rPr>
        <w:t xml:space="preserve">authorises </w:t>
      </w:r>
      <w:r w:rsidR="00AD7B57" w:rsidRPr="00B93C03">
        <w:rPr>
          <w:rFonts w:eastAsiaTheme="minorHAnsi"/>
        </w:rPr>
        <w:t xml:space="preserve">a magistrate </w:t>
      </w:r>
      <w:r w:rsidRPr="00B93C03">
        <w:rPr>
          <w:rFonts w:eastAsiaTheme="minorHAnsi"/>
        </w:rPr>
        <w:t xml:space="preserve">to issue a warrant to search premises if the officer is satisfied that there are reasonable grounds for suspecting that there is, or there will be within the next 72 hours, any </w:t>
      </w:r>
      <w:r w:rsidR="00757A73">
        <w:rPr>
          <w:rFonts w:eastAsiaTheme="minorHAnsi"/>
        </w:rPr>
        <w:t>‘</w:t>
      </w:r>
      <w:r w:rsidRPr="00B93C03">
        <w:rPr>
          <w:rFonts w:eastAsiaTheme="minorHAnsi"/>
        </w:rPr>
        <w:t>evidential material</w:t>
      </w:r>
      <w:r w:rsidR="00757A73">
        <w:rPr>
          <w:rFonts w:eastAsiaTheme="minorHAnsi"/>
        </w:rPr>
        <w:t>’</w:t>
      </w:r>
      <w:r w:rsidRPr="00B93C03">
        <w:rPr>
          <w:rFonts w:eastAsiaTheme="minorHAnsi"/>
        </w:rPr>
        <w:t xml:space="preserve"> at the premises. </w:t>
      </w:r>
      <w:r w:rsidR="00757A73">
        <w:rPr>
          <w:rFonts w:eastAsiaTheme="minorHAnsi"/>
        </w:rPr>
        <w:t>‘</w:t>
      </w:r>
      <w:r w:rsidRPr="00B93C03">
        <w:rPr>
          <w:rFonts w:eastAsiaTheme="minorHAnsi"/>
        </w:rPr>
        <w:t>Evidential material</w:t>
      </w:r>
      <w:r w:rsidR="00757A73">
        <w:rPr>
          <w:rFonts w:eastAsiaTheme="minorHAnsi"/>
        </w:rPr>
        <w:t>’</w:t>
      </w:r>
      <w:r w:rsidRPr="00B93C03">
        <w:rPr>
          <w:rFonts w:eastAsiaTheme="minorHAnsi"/>
        </w:rPr>
        <w:t xml:space="preserve"> is </w:t>
      </w:r>
      <w:r w:rsidR="00DF09F3" w:rsidRPr="00B93C03">
        <w:rPr>
          <w:rFonts w:eastAsiaTheme="minorHAnsi"/>
        </w:rPr>
        <w:t xml:space="preserve">widely </w:t>
      </w:r>
      <w:r w:rsidRPr="00B93C03">
        <w:rPr>
          <w:rFonts w:eastAsiaTheme="minorHAnsi"/>
        </w:rPr>
        <w:t xml:space="preserve">defined in s3C </w:t>
      </w:r>
      <w:r w:rsidR="00BB3F01" w:rsidRPr="00B93C03">
        <w:rPr>
          <w:rFonts w:eastAsiaTheme="minorHAnsi"/>
        </w:rPr>
        <w:t xml:space="preserve">of the Act </w:t>
      </w:r>
      <w:r w:rsidRPr="00B93C03">
        <w:rPr>
          <w:rFonts w:eastAsiaTheme="minorHAnsi"/>
        </w:rPr>
        <w:t>to include a thing relevant to an indictable or a summary offence.</w:t>
      </w:r>
    </w:p>
    <w:p w14:paraId="4EF6C23D" w14:textId="77777777" w:rsidR="00B93C03" w:rsidRDefault="00B93C03">
      <w:pPr>
        <w:spacing w:after="200" w:line="276" w:lineRule="auto"/>
        <w:jc w:val="left"/>
        <w:rPr>
          <w:rFonts w:eastAsiaTheme="minorHAnsi"/>
        </w:rPr>
      </w:pPr>
      <w:bookmarkStart w:id="16" w:name="_Ref478128691"/>
      <w:bookmarkStart w:id="17" w:name="_Ref478127480"/>
      <w:r>
        <w:rPr>
          <w:rFonts w:eastAsiaTheme="minorHAnsi"/>
        </w:rPr>
        <w:br w:type="page"/>
      </w:r>
    </w:p>
    <w:p w14:paraId="1C357A09" w14:textId="033E3723" w:rsidR="00617AB6" w:rsidRPr="00B93C03" w:rsidRDefault="00617AB6" w:rsidP="00B93C03">
      <w:pPr>
        <w:pStyle w:val="OutlineNumbered1"/>
        <w:rPr>
          <w:rFonts w:eastAsiaTheme="minorHAnsi"/>
        </w:rPr>
      </w:pPr>
      <w:r w:rsidRPr="00B93C03">
        <w:rPr>
          <w:rFonts w:eastAsiaTheme="minorHAnsi"/>
        </w:rPr>
        <w:lastRenderedPageBreak/>
        <w:t xml:space="preserve">A </w:t>
      </w:r>
      <w:r w:rsidR="003B021F" w:rsidRPr="00B93C03">
        <w:rPr>
          <w:rFonts w:eastAsiaTheme="minorHAnsi"/>
        </w:rPr>
        <w:t>‘</w:t>
      </w:r>
      <w:r w:rsidRPr="00B93C03">
        <w:rPr>
          <w:rFonts w:eastAsiaTheme="minorHAnsi"/>
        </w:rPr>
        <w:t>thing relevant to</w:t>
      </w:r>
      <w:r w:rsidR="003B021F" w:rsidRPr="00B93C03">
        <w:rPr>
          <w:rFonts w:eastAsiaTheme="minorHAnsi"/>
        </w:rPr>
        <w:t xml:space="preserve"> </w:t>
      </w:r>
      <w:r w:rsidRPr="00B93C03">
        <w:rPr>
          <w:rFonts w:eastAsiaTheme="minorHAnsi"/>
        </w:rPr>
        <w:t>an indictable offence</w:t>
      </w:r>
      <w:r w:rsidR="003B021F" w:rsidRPr="00B93C03">
        <w:rPr>
          <w:rFonts w:eastAsiaTheme="minorHAnsi"/>
        </w:rPr>
        <w:t>’</w:t>
      </w:r>
      <w:r w:rsidRPr="00B93C03">
        <w:rPr>
          <w:rFonts w:eastAsiaTheme="minorHAnsi"/>
        </w:rPr>
        <w:t xml:space="preserve"> and a </w:t>
      </w:r>
      <w:r w:rsidR="003B021F" w:rsidRPr="00B93C03">
        <w:rPr>
          <w:rFonts w:eastAsiaTheme="minorHAnsi"/>
        </w:rPr>
        <w:t xml:space="preserve">‘thing relevant to a </w:t>
      </w:r>
      <w:r w:rsidR="00B959FE" w:rsidRPr="00B93C03">
        <w:rPr>
          <w:rFonts w:eastAsiaTheme="minorHAnsi"/>
        </w:rPr>
        <w:t xml:space="preserve">summary </w:t>
      </w:r>
      <w:r w:rsidR="003B021F" w:rsidRPr="00B93C03">
        <w:rPr>
          <w:rFonts w:eastAsiaTheme="minorHAnsi"/>
        </w:rPr>
        <w:t>offence’</w:t>
      </w:r>
      <w:r w:rsidRPr="00B93C03">
        <w:rPr>
          <w:rFonts w:eastAsiaTheme="minorHAnsi"/>
        </w:rPr>
        <w:t xml:space="preserve"> </w:t>
      </w:r>
      <w:r w:rsidR="003B021F" w:rsidRPr="00B93C03">
        <w:rPr>
          <w:rFonts w:eastAsiaTheme="minorHAnsi"/>
        </w:rPr>
        <w:t>are</w:t>
      </w:r>
      <w:r w:rsidRPr="00B93C03">
        <w:rPr>
          <w:rFonts w:eastAsiaTheme="minorHAnsi"/>
        </w:rPr>
        <w:t xml:space="preserve"> </w:t>
      </w:r>
      <w:r w:rsidR="003B021F" w:rsidRPr="00B93C03">
        <w:rPr>
          <w:rFonts w:eastAsiaTheme="minorHAnsi"/>
        </w:rPr>
        <w:t>defined in s3 as follows</w:t>
      </w:r>
      <w:r w:rsidRPr="00B93C03">
        <w:rPr>
          <w:rFonts w:eastAsiaTheme="minorHAnsi"/>
        </w:rPr>
        <w:t>:</w:t>
      </w:r>
      <w:bookmarkEnd w:id="16"/>
    </w:p>
    <w:p w14:paraId="4A9777EC" w14:textId="77EB3CE6" w:rsidR="00617AB6" w:rsidRDefault="00617AB6" w:rsidP="00B93C03">
      <w:pPr>
        <w:pStyle w:val="OutlineNumbered2"/>
        <w:rPr>
          <w:rFonts w:eastAsiaTheme="minorHAnsi"/>
        </w:rPr>
      </w:pPr>
      <w:r w:rsidRPr="00EC60EE">
        <w:rPr>
          <w:rFonts w:eastAsiaTheme="minorHAnsi"/>
        </w:rPr>
        <w:t xml:space="preserve">anything with respect to which an indictable offence </w:t>
      </w:r>
      <w:r>
        <w:rPr>
          <w:rFonts w:eastAsiaTheme="minorHAnsi"/>
        </w:rPr>
        <w:t xml:space="preserve">or summary offence </w:t>
      </w:r>
      <w:r w:rsidRPr="00EC60EE">
        <w:rPr>
          <w:rFonts w:eastAsiaTheme="minorHAnsi"/>
        </w:rPr>
        <w:t>against any law of the Commonwealth or of a Territory has been committed or is suspected, on reasonable g</w:t>
      </w:r>
      <w:r w:rsidR="003D65B6">
        <w:rPr>
          <w:rFonts w:eastAsiaTheme="minorHAnsi"/>
        </w:rPr>
        <w:t>rounds, to have been committed;</w:t>
      </w:r>
    </w:p>
    <w:p w14:paraId="2FE06B9B" w14:textId="4EEE64A5" w:rsidR="00617AB6" w:rsidRDefault="00617AB6" w:rsidP="00B93C03">
      <w:pPr>
        <w:pStyle w:val="OutlineNumbered2"/>
        <w:rPr>
          <w:rFonts w:eastAsiaTheme="minorHAnsi"/>
        </w:rPr>
      </w:pPr>
      <w:r w:rsidRPr="00EC60EE">
        <w:rPr>
          <w:rFonts w:eastAsiaTheme="minorHAnsi"/>
        </w:rPr>
        <w:t>anything with respect to which a State offence that has a federal aspect, and that is an ind</w:t>
      </w:r>
      <w:r>
        <w:rPr>
          <w:rFonts w:eastAsiaTheme="minorHAnsi"/>
        </w:rPr>
        <w:t xml:space="preserve">ictable offence, summary or simple offence </w:t>
      </w:r>
      <w:r w:rsidRPr="00EC60EE">
        <w:rPr>
          <w:rFonts w:eastAsiaTheme="minorHAnsi"/>
        </w:rPr>
        <w:t>against the law of that State, has been committed or is suspected, on reasonable grou</w:t>
      </w:r>
      <w:r w:rsidR="003D65B6">
        <w:rPr>
          <w:rFonts w:eastAsiaTheme="minorHAnsi"/>
        </w:rPr>
        <w:t>nds, to have been committed; or</w:t>
      </w:r>
    </w:p>
    <w:p w14:paraId="4F8CEF1A" w14:textId="63042C9A" w:rsidR="00617AB6" w:rsidRPr="003571F3" w:rsidRDefault="00617AB6" w:rsidP="00B93C03">
      <w:pPr>
        <w:pStyle w:val="OutlineNumbered2"/>
        <w:rPr>
          <w:rFonts w:eastAsiaTheme="minorHAnsi"/>
        </w:rPr>
      </w:pPr>
      <w:r w:rsidRPr="003571F3">
        <w:rPr>
          <w:rFonts w:eastAsiaTheme="minorHAnsi"/>
        </w:rPr>
        <w:t>anything as to which there are reasonable grounds for suspecting that it will afford evidence as to the commission of any such offence</w:t>
      </w:r>
      <w:r w:rsidR="002D2E2B">
        <w:rPr>
          <w:rFonts w:eastAsiaTheme="minorHAnsi"/>
        </w:rPr>
        <w:t>;</w:t>
      </w:r>
    </w:p>
    <w:p w14:paraId="6CBD9175" w14:textId="6C6A9DAB" w:rsidR="00617AB6" w:rsidRPr="003571F3" w:rsidRDefault="00617AB6" w:rsidP="00B93C03">
      <w:pPr>
        <w:pStyle w:val="OutlineNumbered2"/>
        <w:rPr>
          <w:rFonts w:eastAsiaTheme="minorHAnsi"/>
        </w:rPr>
      </w:pPr>
      <w:r w:rsidRPr="003571F3">
        <w:rPr>
          <w:rFonts w:eastAsiaTheme="minorHAnsi"/>
        </w:rPr>
        <w:t>anything as to which there are reasonable grounds for suspecting that is intended to be used for the purpose of committing any such offence.</w:t>
      </w:r>
    </w:p>
    <w:p w14:paraId="3F822D9D" w14:textId="4151C85D" w:rsidR="00617AB6" w:rsidRPr="00B93C03" w:rsidRDefault="00617AB6" w:rsidP="00B93C03">
      <w:pPr>
        <w:pStyle w:val="OutlineNumbered1"/>
      </w:pPr>
      <w:bookmarkStart w:id="18" w:name="_Ref478128694"/>
      <w:r w:rsidRPr="00B93C03">
        <w:t xml:space="preserve">These </w:t>
      </w:r>
      <w:r w:rsidR="00233EE9" w:rsidRPr="00B93C03">
        <w:t>definitions</w:t>
      </w:r>
      <w:r w:rsidRPr="00B93C03">
        <w:t xml:space="preserve"> mean that material relating to the commission of Commonwealth offences and State offences that have a federal aspect or connection can be seized under a Crimes Act warrant.</w:t>
      </w:r>
      <w:bookmarkEnd w:id="18"/>
    </w:p>
    <w:p w14:paraId="3227B8AC" w14:textId="2FC735BE" w:rsidR="00B4494B" w:rsidRPr="00B93C03" w:rsidRDefault="003D0BA2" w:rsidP="00B93C03">
      <w:pPr>
        <w:pStyle w:val="OutlineNumbered1"/>
        <w:rPr>
          <w:rFonts w:eastAsiaTheme="minorHAnsi"/>
        </w:rPr>
      </w:pPr>
      <w:bookmarkStart w:id="19" w:name="_Ref478127483"/>
      <w:bookmarkEnd w:id="17"/>
      <w:r w:rsidRPr="00B93C03">
        <w:rPr>
          <w:rFonts w:eastAsiaTheme="minorHAnsi"/>
        </w:rPr>
        <w:t xml:space="preserve">Warrants issued under s3E(1) of the Crimes Act authorise, among other things, the search for </w:t>
      </w:r>
      <w:r w:rsidR="00757A73">
        <w:rPr>
          <w:rFonts w:eastAsiaTheme="minorHAnsi"/>
        </w:rPr>
        <w:t>‘</w:t>
      </w:r>
      <w:r w:rsidRPr="00B93C03">
        <w:rPr>
          <w:rFonts w:eastAsiaTheme="minorHAnsi"/>
        </w:rPr>
        <w:t>the kinds of evidential</w:t>
      </w:r>
      <w:r w:rsidR="00AD7B57" w:rsidRPr="00B93C03">
        <w:rPr>
          <w:rFonts w:eastAsiaTheme="minorHAnsi"/>
        </w:rPr>
        <w:t xml:space="preserve"> </w:t>
      </w:r>
      <w:r w:rsidRPr="00B93C03">
        <w:rPr>
          <w:rFonts w:eastAsiaTheme="minorHAnsi"/>
        </w:rPr>
        <w:t>material specified in the warrant</w:t>
      </w:r>
      <w:r w:rsidR="00757A73">
        <w:rPr>
          <w:rFonts w:eastAsiaTheme="minorHAnsi"/>
        </w:rPr>
        <w:t>’</w:t>
      </w:r>
      <w:r w:rsidRPr="00B93C03">
        <w:rPr>
          <w:rStyle w:val="FootnoteReference"/>
          <w:rFonts w:eastAsiaTheme="minorHAnsi"/>
        </w:rPr>
        <w:footnoteReference w:id="15"/>
      </w:r>
      <w:r w:rsidRPr="00B93C03">
        <w:rPr>
          <w:rFonts w:eastAsiaTheme="minorHAnsi"/>
        </w:rPr>
        <w:t xml:space="preserve"> and the seizure of such material if the executing officer or constable assisting believes on reasonable grounds that it is evidential material in relation to an offence to which the warrant relates</w:t>
      </w:r>
      <w:r w:rsidR="00A21796" w:rsidRPr="00B93C03">
        <w:rPr>
          <w:rFonts w:eastAsiaTheme="minorHAnsi"/>
        </w:rPr>
        <w:t>.</w:t>
      </w:r>
      <w:r w:rsidRPr="00B93C03">
        <w:rPr>
          <w:rStyle w:val="FootnoteReference"/>
          <w:rFonts w:eastAsiaTheme="minorHAnsi"/>
        </w:rPr>
        <w:footnoteReference w:id="16"/>
      </w:r>
      <w:bookmarkEnd w:id="19"/>
    </w:p>
    <w:p w14:paraId="5AB28A17" w14:textId="376576AD" w:rsidR="00B2359F" w:rsidRPr="00B93C03" w:rsidRDefault="003D0BA2" w:rsidP="00B93C03">
      <w:pPr>
        <w:pStyle w:val="OutlineNumbered1"/>
        <w:rPr>
          <w:rFonts w:eastAsiaTheme="minorHAnsi"/>
        </w:rPr>
      </w:pPr>
      <w:bookmarkStart w:id="20" w:name="_Ref467685743"/>
      <w:bookmarkStart w:id="21" w:name="_Ref466473664"/>
      <w:r w:rsidRPr="00B93C03">
        <w:rPr>
          <w:rFonts w:eastAsiaTheme="minorHAnsi"/>
        </w:rPr>
        <w:t>The search warrant power</w:t>
      </w:r>
      <w:r w:rsidR="00ED05A1" w:rsidRPr="00B93C03">
        <w:rPr>
          <w:rFonts w:eastAsiaTheme="minorHAnsi"/>
        </w:rPr>
        <w:t>s</w:t>
      </w:r>
      <w:r w:rsidR="00B2359F" w:rsidRPr="00B93C03">
        <w:rPr>
          <w:rFonts w:eastAsiaTheme="minorHAnsi"/>
        </w:rPr>
        <w:t xml:space="preserve"> in the Crimes Act </w:t>
      </w:r>
      <w:r w:rsidR="00ED05A1" w:rsidRPr="00B93C03">
        <w:rPr>
          <w:rFonts w:eastAsiaTheme="minorHAnsi"/>
        </w:rPr>
        <w:t>are</w:t>
      </w:r>
      <w:r w:rsidR="00B2359F" w:rsidRPr="00B93C03">
        <w:rPr>
          <w:rFonts w:eastAsiaTheme="minorHAnsi"/>
        </w:rPr>
        <w:t xml:space="preserve"> supported by a range of </w:t>
      </w:r>
      <w:r w:rsidR="00936EE9" w:rsidRPr="00B93C03">
        <w:rPr>
          <w:rFonts w:eastAsiaTheme="minorHAnsi"/>
        </w:rPr>
        <w:t xml:space="preserve">regularly reviewed and updated </w:t>
      </w:r>
      <w:r w:rsidR="00B2359F" w:rsidRPr="00B93C03">
        <w:rPr>
          <w:rFonts w:eastAsiaTheme="minorHAnsi"/>
        </w:rPr>
        <w:t xml:space="preserve">ancillary provisions designed to </w:t>
      </w:r>
      <w:r w:rsidR="00B94E1F" w:rsidRPr="00B93C03">
        <w:rPr>
          <w:rFonts w:eastAsiaTheme="minorHAnsi"/>
        </w:rPr>
        <w:t>ensure that they retain their</w:t>
      </w:r>
      <w:r w:rsidR="00936EE9" w:rsidRPr="00B93C03">
        <w:rPr>
          <w:rFonts w:eastAsiaTheme="minorHAnsi"/>
        </w:rPr>
        <w:t xml:space="preserve"> </w:t>
      </w:r>
      <w:r w:rsidR="00B2359F" w:rsidRPr="00B93C03">
        <w:rPr>
          <w:rFonts w:eastAsiaTheme="minorHAnsi"/>
        </w:rPr>
        <w:t>effectiveness</w:t>
      </w:r>
      <w:r w:rsidR="00936EE9" w:rsidRPr="00B93C03">
        <w:rPr>
          <w:rFonts w:eastAsiaTheme="minorHAnsi"/>
        </w:rPr>
        <w:t xml:space="preserve"> in the modern era</w:t>
      </w:r>
      <w:r w:rsidR="00B2359F" w:rsidRPr="00B93C03">
        <w:rPr>
          <w:rFonts w:eastAsiaTheme="minorHAnsi"/>
        </w:rPr>
        <w:t>, including</w:t>
      </w:r>
      <w:r w:rsidR="00936EE9" w:rsidRPr="00B93C03">
        <w:rPr>
          <w:rFonts w:eastAsiaTheme="minorHAnsi"/>
        </w:rPr>
        <w:t xml:space="preserve"> (but not limited to) </w:t>
      </w:r>
      <w:r w:rsidR="00B94E1F" w:rsidRPr="00B93C03">
        <w:rPr>
          <w:rFonts w:eastAsiaTheme="minorHAnsi"/>
        </w:rPr>
        <w:t>provisions</w:t>
      </w:r>
      <w:r w:rsidR="00C82412" w:rsidRPr="00B93C03">
        <w:rPr>
          <w:rFonts w:eastAsiaTheme="minorHAnsi"/>
        </w:rPr>
        <w:t xml:space="preserve"> authorising</w:t>
      </w:r>
      <w:r w:rsidR="00B2359F" w:rsidRPr="00B93C03">
        <w:rPr>
          <w:rFonts w:eastAsiaTheme="minorHAnsi"/>
        </w:rPr>
        <w:t>:</w:t>
      </w:r>
      <w:bookmarkEnd w:id="20"/>
    </w:p>
    <w:p w14:paraId="23072BC2" w14:textId="4446A337" w:rsidR="00B2359F" w:rsidRPr="00B166F0" w:rsidRDefault="00B94E1F" w:rsidP="00B93C03">
      <w:pPr>
        <w:pStyle w:val="OutlineNumbered2"/>
      </w:pPr>
      <w:bookmarkStart w:id="22" w:name="_Ref467685398"/>
      <w:r w:rsidRPr="00B166F0">
        <w:t>seizure of evidential material identified during execution of a search warrant that relates to an indictable offence other than an offence to which the warrant relates (</w:t>
      </w:r>
      <w:r w:rsidR="00B93C03">
        <w:t>for example,</w:t>
      </w:r>
      <w:r w:rsidRPr="00B166F0">
        <w:t xml:space="preserve"> authorising the seizure of illicit drugs or weapons that are located when exercising a search warrant for suspected fraud offences);</w:t>
      </w:r>
      <w:r w:rsidRPr="00B166F0">
        <w:rPr>
          <w:vertAlign w:val="superscript"/>
        </w:rPr>
        <w:footnoteReference w:id="17"/>
      </w:r>
      <w:bookmarkEnd w:id="22"/>
    </w:p>
    <w:p w14:paraId="5A4E2FEF" w14:textId="22F7A4EA" w:rsidR="00B94E1F" w:rsidRPr="00B166F0" w:rsidRDefault="00B94E1F" w:rsidP="00B93C03">
      <w:pPr>
        <w:pStyle w:val="OutlineNumbered2"/>
      </w:pPr>
      <w:r w:rsidRPr="00B166F0">
        <w:t>taking photographs and making video recordings of the search;</w:t>
      </w:r>
      <w:r w:rsidRPr="00B166F0">
        <w:rPr>
          <w:vertAlign w:val="superscript"/>
        </w:rPr>
        <w:footnoteReference w:id="18"/>
      </w:r>
    </w:p>
    <w:p w14:paraId="5D53A9FB" w14:textId="43FD7A89" w:rsidR="00C35B32" w:rsidRPr="00B166F0" w:rsidRDefault="00C35B32" w:rsidP="00B93C03">
      <w:pPr>
        <w:pStyle w:val="OutlineNumbered2"/>
      </w:pPr>
      <w:r w:rsidRPr="00B166F0">
        <w:t xml:space="preserve">executing officers and persons assisting them </w:t>
      </w:r>
      <w:r w:rsidR="00A771AD" w:rsidRPr="00B166F0">
        <w:t xml:space="preserve">to </w:t>
      </w:r>
      <w:r w:rsidRPr="00B166F0">
        <w:t>temporarily cease execution of a warrant and leave the premises for a short period;</w:t>
      </w:r>
      <w:r w:rsidRPr="00B166F0">
        <w:rPr>
          <w:vertAlign w:val="superscript"/>
        </w:rPr>
        <w:footnoteReference w:id="19"/>
      </w:r>
    </w:p>
    <w:p w14:paraId="768AEE0C" w14:textId="03B66A9E" w:rsidR="00B94E1F" w:rsidRPr="00B166F0" w:rsidRDefault="00C82412" w:rsidP="00B93C03">
      <w:pPr>
        <w:pStyle w:val="OutlineNumbered2"/>
      </w:pPr>
      <w:r w:rsidRPr="00B166F0">
        <w:t xml:space="preserve">using </w:t>
      </w:r>
      <w:r w:rsidR="00E34158" w:rsidRPr="00B166F0">
        <w:t>equi</w:t>
      </w:r>
      <w:r w:rsidRPr="00B166F0">
        <w:t>pment on the premises, or brought on</w:t>
      </w:r>
      <w:r w:rsidR="00A46E78" w:rsidRPr="00B166F0">
        <w:t>to</w:t>
      </w:r>
      <w:r w:rsidRPr="00B166F0">
        <w:t xml:space="preserve"> the premises by investigators</w:t>
      </w:r>
      <w:r w:rsidR="00E34158" w:rsidRPr="00B166F0">
        <w:t xml:space="preserve">, </w:t>
      </w:r>
      <w:r w:rsidR="00E9358F" w:rsidRPr="00B166F0">
        <w:t xml:space="preserve">for </w:t>
      </w:r>
      <w:r w:rsidR="00E34158" w:rsidRPr="00B166F0">
        <w:t xml:space="preserve">the purpose of </w:t>
      </w:r>
      <w:r w:rsidR="00E9358F" w:rsidRPr="00B166F0">
        <w:t xml:space="preserve">examining or processing things found </w:t>
      </w:r>
      <w:r w:rsidR="00396BD5" w:rsidRPr="00B166F0">
        <w:t xml:space="preserve">(such as computers and other electronic devices) </w:t>
      </w:r>
      <w:r w:rsidR="00E34158" w:rsidRPr="00B166F0">
        <w:t>in order to determine whether they may be seized</w:t>
      </w:r>
      <w:r w:rsidR="00E9358F" w:rsidRPr="00B166F0">
        <w:t>;</w:t>
      </w:r>
      <w:r w:rsidR="00E9358F" w:rsidRPr="00B166F0">
        <w:rPr>
          <w:vertAlign w:val="superscript"/>
        </w:rPr>
        <w:footnoteReference w:id="20"/>
      </w:r>
    </w:p>
    <w:p w14:paraId="30041DCD" w14:textId="6915DC95" w:rsidR="00E9358F" w:rsidRDefault="00E34158" w:rsidP="00B93C03">
      <w:pPr>
        <w:pStyle w:val="OutlineNumbered2"/>
      </w:pPr>
      <w:r w:rsidRPr="00B166F0">
        <w:lastRenderedPageBreak/>
        <w:t>moving things found on the premises to another place for examining or processing in order to determine whether they may be seized;</w:t>
      </w:r>
      <w:r w:rsidRPr="00B166F0">
        <w:rPr>
          <w:vertAlign w:val="superscript"/>
        </w:rPr>
        <w:footnoteReference w:id="21"/>
      </w:r>
    </w:p>
    <w:p w14:paraId="0545FD5F" w14:textId="5993B043" w:rsidR="00016D24" w:rsidRPr="00B166F0" w:rsidRDefault="00016D24" w:rsidP="00B93C03">
      <w:pPr>
        <w:pStyle w:val="OutlineNumbered2"/>
      </w:pPr>
      <w:r>
        <w:t>operating electronic equipment that has been removed from the warrant premises to access data from that equipment, including data held in another place;</w:t>
      </w:r>
      <w:r w:rsidR="00DB4779">
        <w:rPr>
          <w:rStyle w:val="FootnoteReference"/>
        </w:rPr>
        <w:footnoteReference w:id="22"/>
      </w:r>
    </w:p>
    <w:p w14:paraId="6B96EE1A" w14:textId="27288C1B" w:rsidR="00016D24" w:rsidRPr="00B166F0" w:rsidRDefault="00C82412" w:rsidP="00B93C03">
      <w:pPr>
        <w:pStyle w:val="OutlineNumbered2"/>
      </w:pPr>
      <w:r w:rsidRPr="00B166F0">
        <w:t xml:space="preserve">operating or securing computers </w:t>
      </w:r>
      <w:r w:rsidR="00396BD5" w:rsidRPr="00B166F0">
        <w:t xml:space="preserve">and other electronic devices </w:t>
      </w:r>
      <w:r w:rsidRPr="00B166F0">
        <w:t xml:space="preserve">on the premises and copying or printing </w:t>
      </w:r>
      <w:r w:rsidR="00A771AD" w:rsidRPr="00B166F0">
        <w:t>data</w:t>
      </w:r>
      <w:r w:rsidRPr="00B166F0">
        <w:t xml:space="preserve"> contained on </w:t>
      </w:r>
      <w:r w:rsidR="00396BD5" w:rsidRPr="00B166F0">
        <w:t>such devices</w:t>
      </w:r>
      <w:r w:rsidRPr="00B166F0">
        <w:t>;</w:t>
      </w:r>
      <w:r w:rsidRPr="00B166F0">
        <w:rPr>
          <w:vertAlign w:val="superscript"/>
        </w:rPr>
        <w:footnoteReference w:id="23"/>
      </w:r>
    </w:p>
    <w:p w14:paraId="1364ADE4" w14:textId="38EDB8F9" w:rsidR="00C82412" w:rsidRPr="00B166F0" w:rsidRDefault="005F4D60" w:rsidP="00B93C03">
      <w:pPr>
        <w:pStyle w:val="OutlineNumbered2"/>
      </w:pPr>
      <w:r w:rsidRPr="00B166F0">
        <w:t xml:space="preserve">an officer to apply for, and a magistrate to make, </w:t>
      </w:r>
      <w:r w:rsidR="00A46E78" w:rsidRPr="00B166F0">
        <w:t>an order requiring a specified person with knowledge of a computer or electronic device on the premises to provide information (such as passwords) and/or other assistance necessary to enable data on that device to be accessed;</w:t>
      </w:r>
      <w:r w:rsidR="00A46E78" w:rsidRPr="00B166F0">
        <w:rPr>
          <w:vertAlign w:val="superscript"/>
        </w:rPr>
        <w:footnoteReference w:id="24"/>
      </w:r>
      <w:r w:rsidR="00A46E78" w:rsidRPr="00B166F0">
        <w:t xml:space="preserve"> and</w:t>
      </w:r>
    </w:p>
    <w:p w14:paraId="3DC2B0DB" w14:textId="552E20DC" w:rsidR="00A46E78" w:rsidRPr="00B166F0" w:rsidRDefault="00A771AD" w:rsidP="00B93C03">
      <w:pPr>
        <w:pStyle w:val="OutlineNumbered2"/>
      </w:pPr>
      <w:r w:rsidRPr="00B166F0">
        <w:t xml:space="preserve">an officer to apply for, and a </w:t>
      </w:r>
      <w:r w:rsidR="00A46E78" w:rsidRPr="00B166F0">
        <w:t>magistrate to issue</w:t>
      </w:r>
      <w:r w:rsidRPr="00B166F0">
        <w:t>,</w:t>
      </w:r>
      <w:r w:rsidR="00A46E78" w:rsidRPr="00B166F0">
        <w:t xml:space="preserve"> a search warrant by telephone, telex, fax or other electronic means in urgent cases.</w:t>
      </w:r>
      <w:r w:rsidR="00FF26CF" w:rsidRPr="00B166F0">
        <w:rPr>
          <w:vertAlign w:val="superscript"/>
        </w:rPr>
        <w:footnoteReference w:id="25"/>
      </w:r>
    </w:p>
    <w:p w14:paraId="147E8865" w14:textId="757D74C3" w:rsidR="00FF26CF" w:rsidRPr="00B93C03" w:rsidRDefault="00A46E78" w:rsidP="00B93C03">
      <w:pPr>
        <w:pStyle w:val="OutlineNumbered1"/>
        <w:rPr>
          <w:rFonts w:eastAsiaTheme="minorHAnsi"/>
        </w:rPr>
      </w:pPr>
      <w:r w:rsidRPr="00B93C03">
        <w:rPr>
          <w:rFonts w:eastAsiaTheme="minorHAnsi"/>
        </w:rPr>
        <w:t>Evidential m</w:t>
      </w:r>
      <w:bookmarkEnd w:id="15"/>
      <w:bookmarkEnd w:id="21"/>
      <w:r w:rsidR="005845F8" w:rsidRPr="00B93C03">
        <w:rPr>
          <w:rFonts w:eastAsiaTheme="minorHAnsi"/>
        </w:rPr>
        <w:t xml:space="preserve">aterial </w:t>
      </w:r>
      <w:r w:rsidR="00A405EE" w:rsidRPr="00B93C03">
        <w:rPr>
          <w:rFonts w:eastAsiaTheme="minorHAnsi"/>
        </w:rPr>
        <w:t xml:space="preserve">obtained </w:t>
      </w:r>
      <w:r w:rsidRPr="00B93C03">
        <w:rPr>
          <w:rFonts w:eastAsiaTheme="minorHAnsi"/>
        </w:rPr>
        <w:t xml:space="preserve">pursuant to </w:t>
      </w:r>
      <w:r w:rsidR="00D24528" w:rsidRPr="00B93C03">
        <w:rPr>
          <w:rFonts w:eastAsiaTheme="minorHAnsi"/>
        </w:rPr>
        <w:t>Crimes Act search</w:t>
      </w:r>
      <w:r w:rsidR="005845F8" w:rsidRPr="00B93C03">
        <w:rPr>
          <w:rFonts w:eastAsiaTheme="minorHAnsi"/>
        </w:rPr>
        <w:t xml:space="preserve"> warrants </w:t>
      </w:r>
      <w:r w:rsidRPr="00B93C03">
        <w:rPr>
          <w:rFonts w:eastAsiaTheme="minorHAnsi"/>
        </w:rPr>
        <w:t xml:space="preserve">may generally only be used </w:t>
      </w:r>
      <w:r w:rsidR="00FF26CF" w:rsidRPr="00B93C03">
        <w:rPr>
          <w:rFonts w:eastAsiaTheme="minorHAnsi"/>
        </w:rPr>
        <w:t>for the purposes specified in s3ZQU, which (among other things) include:</w:t>
      </w:r>
    </w:p>
    <w:p w14:paraId="6612193D" w14:textId="4AA54662" w:rsidR="00FF26CF" w:rsidRPr="00B166F0" w:rsidRDefault="00FF26CF" w:rsidP="00B93C03">
      <w:pPr>
        <w:pStyle w:val="OutlineNumbered2"/>
      </w:pPr>
      <w:r w:rsidRPr="00B166F0">
        <w:t>investigating or prosecuting criminal offences;</w:t>
      </w:r>
      <w:r w:rsidR="00A405EE" w:rsidRPr="00B166F0">
        <w:rPr>
          <w:vertAlign w:val="superscript"/>
        </w:rPr>
        <w:footnoteReference w:id="26"/>
      </w:r>
    </w:p>
    <w:p w14:paraId="54934424" w14:textId="505792BD" w:rsidR="00FF26CF" w:rsidRPr="00B166F0" w:rsidRDefault="00FF26CF" w:rsidP="00B93C03">
      <w:pPr>
        <w:pStyle w:val="OutlineNumbered2"/>
      </w:pPr>
      <w:r w:rsidRPr="00B166F0">
        <w:t>civil proceedings to restrain, confiscate or disgorge proceeds or instruments of crime;</w:t>
      </w:r>
      <w:r w:rsidR="00A405EE" w:rsidRPr="00B166F0">
        <w:rPr>
          <w:vertAlign w:val="superscript"/>
        </w:rPr>
        <w:footnoteReference w:id="27"/>
      </w:r>
    </w:p>
    <w:p w14:paraId="1C9FF6B1" w14:textId="2DDE9DC6" w:rsidR="00FF26CF" w:rsidRPr="00B166F0" w:rsidRDefault="00FF26CF" w:rsidP="00B93C03">
      <w:pPr>
        <w:pStyle w:val="OutlineNumbered2"/>
      </w:pPr>
      <w:r w:rsidRPr="00B166F0">
        <w:t>administrative action in relation to alleged or suspected misconduct by Commonwealth officials;</w:t>
      </w:r>
      <w:r w:rsidR="00A405EE" w:rsidRPr="00B166F0">
        <w:rPr>
          <w:vertAlign w:val="superscript"/>
        </w:rPr>
        <w:footnoteReference w:id="28"/>
      </w:r>
      <w:r w:rsidRPr="00B166F0">
        <w:t xml:space="preserve"> and</w:t>
      </w:r>
    </w:p>
    <w:p w14:paraId="033A3F00" w14:textId="001FD2E0" w:rsidR="00FF26CF" w:rsidRPr="00B166F0" w:rsidRDefault="00FF26CF" w:rsidP="00B93C03">
      <w:pPr>
        <w:pStyle w:val="OutlineNumbered2"/>
      </w:pPr>
      <w:r w:rsidRPr="00B166F0">
        <w:t xml:space="preserve">the performance of any functions by the AFP under s8 of the </w:t>
      </w:r>
      <w:r w:rsidRPr="0091721D">
        <w:rPr>
          <w:i/>
        </w:rPr>
        <w:t>Australian Federal Police Act 1979</w:t>
      </w:r>
      <w:r w:rsidRPr="00B166F0">
        <w:t xml:space="preserve"> (AFP Act).</w:t>
      </w:r>
      <w:r w:rsidR="00A405EE" w:rsidRPr="00B166F0">
        <w:rPr>
          <w:vertAlign w:val="superscript"/>
        </w:rPr>
        <w:footnoteReference w:id="29"/>
      </w:r>
    </w:p>
    <w:p w14:paraId="12D3E558" w14:textId="1F1A0E65" w:rsidR="00FF26CF" w:rsidRPr="00B93C03" w:rsidRDefault="00A405EE" w:rsidP="00B93C03">
      <w:pPr>
        <w:pStyle w:val="OutlineNumbered1"/>
        <w:rPr>
          <w:rFonts w:eastAsiaTheme="minorHAnsi"/>
        </w:rPr>
      </w:pPr>
      <w:r w:rsidRPr="00B93C03">
        <w:rPr>
          <w:rFonts w:eastAsiaTheme="minorHAnsi"/>
        </w:rPr>
        <w:t xml:space="preserve">Accordingly, evidential material obtained pursuant to Crimes Act search warrants can </w:t>
      </w:r>
      <w:r w:rsidR="009C685A" w:rsidRPr="00B93C03">
        <w:rPr>
          <w:rFonts w:eastAsiaTheme="minorHAnsi"/>
        </w:rPr>
        <w:t xml:space="preserve">only </w:t>
      </w:r>
      <w:r w:rsidRPr="00B93C03">
        <w:rPr>
          <w:rFonts w:eastAsiaTheme="minorHAnsi"/>
        </w:rPr>
        <w:t>be used by ASIC for the purpose of investigating and prosecuting criminal offences</w:t>
      </w:r>
      <w:r w:rsidR="009C685A" w:rsidRPr="00B93C03">
        <w:rPr>
          <w:rFonts w:eastAsiaTheme="minorHAnsi"/>
        </w:rPr>
        <w:t>.</w:t>
      </w:r>
      <w:r w:rsidRPr="00B93C03">
        <w:rPr>
          <w:rFonts w:eastAsiaTheme="minorHAnsi"/>
        </w:rPr>
        <w:t xml:space="preserve"> </w:t>
      </w:r>
      <w:r w:rsidR="009C685A" w:rsidRPr="00B93C03">
        <w:rPr>
          <w:rFonts w:eastAsiaTheme="minorHAnsi"/>
        </w:rPr>
        <w:t>I</w:t>
      </w:r>
      <w:r w:rsidRPr="00B93C03">
        <w:rPr>
          <w:rFonts w:eastAsiaTheme="minorHAnsi"/>
        </w:rPr>
        <w:t xml:space="preserve">t cannot be used for the purpose of investigating contraventions that are actionable by only civil or administrative proceedings and </w:t>
      </w:r>
      <w:r w:rsidR="00E11097" w:rsidRPr="00B93C03">
        <w:rPr>
          <w:rFonts w:eastAsiaTheme="minorHAnsi"/>
        </w:rPr>
        <w:t xml:space="preserve">it </w:t>
      </w:r>
      <w:r w:rsidR="007D0F0F" w:rsidRPr="00B93C03">
        <w:rPr>
          <w:rFonts w:eastAsiaTheme="minorHAnsi"/>
        </w:rPr>
        <w:t xml:space="preserve">is not admissible in any </w:t>
      </w:r>
      <w:r w:rsidR="00E11097" w:rsidRPr="00B93C03">
        <w:rPr>
          <w:rFonts w:eastAsiaTheme="minorHAnsi"/>
        </w:rPr>
        <w:t xml:space="preserve">kinds of </w:t>
      </w:r>
      <w:r w:rsidR="007D0F0F" w:rsidRPr="00B93C03">
        <w:rPr>
          <w:rFonts w:eastAsiaTheme="minorHAnsi"/>
        </w:rPr>
        <w:t>civil or administrative</w:t>
      </w:r>
      <w:r w:rsidRPr="00B93C03">
        <w:rPr>
          <w:rFonts w:eastAsiaTheme="minorHAnsi"/>
        </w:rPr>
        <w:t xml:space="preserve"> proceedings</w:t>
      </w:r>
      <w:r w:rsidR="00E11097" w:rsidRPr="00B93C03">
        <w:rPr>
          <w:rFonts w:eastAsiaTheme="minorHAnsi"/>
        </w:rPr>
        <w:t xml:space="preserve"> undertaken by ASIC</w:t>
      </w:r>
      <w:r w:rsidR="00DD1118" w:rsidRPr="00B93C03">
        <w:rPr>
          <w:rFonts w:eastAsiaTheme="minorHAnsi"/>
        </w:rPr>
        <w:t>.</w:t>
      </w:r>
      <w:r w:rsidRPr="000822E1">
        <w:rPr>
          <w:rStyle w:val="FootnoteReference"/>
          <w:rFonts w:eastAsiaTheme="minorHAnsi"/>
        </w:rPr>
        <w:footnoteReference w:id="30"/>
      </w:r>
      <w:r w:rsidR="00DD1118" w:rsidRPr="00B93C03">
        <w:rPr>
          <w:rFonts w:eastAsiaTheme="minorHAnsi"/>
        </w:rPr>
        <w:t xml:space="preserve"> </w:t>
      </w:r>
      <w:r w:rsidR="00A03E87" w:rsidRPr="00B93C03">
        <w:rPr>
          <w:rFonts w:eastAsiaTheme="minorHAnsi"/>
        </w:rPr>
        <w:t>ASIC may also work with the CDPP or the AFP to take action to prevent dealings in or confiscate proceeds of crime under the Proceeds of Crime Act (Cth) 2002.</w:t>
      </w:r>
    </w:p>
    <w:p w14:paraId="6F29E132" w14:textId="77777777" w:rsidR="00B93C03" w:rsidRPr="00B93C03" w:rsidRDefault="00B93C03" w:rsidP="00B93C03"/>
    <w:p w14:paraId="76BD1126" w14:textId="77777777" w:rsidR="00B93C03" w:rsidRPr="00B93C03" w:rsidRDefault="00B93C03" w:rsidP="00B93C03">
      <w:pPr>
        <w:sectPr w:rsidR="00B93C03" w:rsidRPr="00B93C03" w:rsidSect="000756A4">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titlePg/>
          <w:docGrid w:linePitch="360"/>
        </w:sectPr>
      </w:pPr>
    </w:p>
    <w:p w14:paraId="0CF91343" w14:textId="64F03B90" w:rsidR="008F1F64" w:rsidRDefault="008F1F64" w:rsidP="00C462C8">
      <w:pPr>
        <w:pStyle w:val="Heading1-Numbered"/>
      </w:pPr>
      <w:bookmarkStart w:id="23" w:name="_Toc484695695"/>
      <w:bookmarkStart w:id="24" w:name="_Toc486231364"/>
      <w:r>
        <w:lastRenderedPageBreak/>
        <w:t xml:space="preserve">Search warrant powers in </w:t>
      </w:r>
      <w:r w:rsidR="00F80588">
        <w:t>the Competition and Consumer Act</w:t>
      </w:r>
      <w:bookmarkEnd w:id="23"/>
      <w:bookmarkEnd w:id="24"/>
    </w:p>
    <w:p w14:paraId="3D27ECC0" w14:textId="3FE08DDE" w:rsidR="006E5C85" w:rsidRPr="0080758B" w:rsidRDefault="00F83221" w:rsidP="00B748F1">
      <w:pPr>
        <w:pStyle w:val="OutlineNumbered1"/>
        <w:numPr>
          <w:ilvl w:val="0"/>
          <w:numId w:val="32"/>
        </w:numPr>
        <w:rPr>
          <w:rFonts w:eastAsiaTheme="minorHAnsi"/>
        </w:rPr>
      </w:pPr>
      <w:r w:rsidRPr="0080758B">
        <w:rPr>
          <w:rFonts w:eastAsiaTheme="minorHAnsi"/>
        </w:rPr>
        <w:t>The Australian Competition and Consumer Commission (ACCC) is a Commonwealth regulatory agency with enforcement functions analogous to those of ASIC. The range of enforcement actions open to the ACCC following an investigation includes criminal proceedings</w:t>
      </w:r>
      <w:r w:rsidR="003B2FAD" w:rsidRPr="0080758B">
        <w:rPr>
          <w:rFonts w:eastAsiaTheme="minorHAnsi"/>
        </w:rPr>
        <w:t>,</w:t>
      </w:r>
      <w:r w:rsidRPr="0080758B">
        <w:rPr>
          <w:rStyle w:val="FootnoteReference"/>
          <w:rFonts w:eastAsiaTheme="minorHAnsi"/>
        </w:rPr>
        <w:footnoteReference w:id="31"/>
      </w:r>
      <w:r w:rsidRPr="0080758B">
        <w:rPr>
          <w:rFonts w:eastAsiaTheme="minorHAnsi"/>
        </w:rPr>
        <w:t xml:space="preserve"> civil penalty proceedings</w:t>
      </w:r>
      <w:r w:rsidRPr="0080758B">
        <w:rPr>
          <w:rStyle w:val="FootnoteReference"/>
          <w:rFonts w:eastAsiaTheme="minorHAnsi"/>
        </w:rPr>
        <w:footnoteReference w:id="32"/>
      </w:r>
      <w:r w:rsidRPr="0080758B">
        <w:rPr>
          <w:rFonts w:eastAsiaTheme="minorHAnsi"/>
        </w:rPr>
        <w:t xml:space="preserve"> and civil proceedings seeking injunctions and non-punitive orders</w:t>
      </w:r>
      <w:r w:rsidR="003B2FAD" w:rsidRPr="0080758B">
        <w:rPr>
          <w:rFonts w:eastAsiaTheme="minorHAnsi"/>
        </w:rPr>
        <w:t>.</w:t>
      </w:r>
      <w:r w:rsidRPr="0080758B">
        <w:rPr>
          <w:rStyle w:val="FootnoteReference"/>
          <w:rFonts w:eastAsiaTheme="minorHAnsi"/>
        </w:rPr>
        <w:footnoteReference w:id="33"/>
      </w:r>
    </w:p>
    <w:p w14:paraId="63951E7F" w14:textId="592A6BE8" w:rsidR="003D72A0" w:rsidRPr="0080758B" w:rsidRDefault="006E5C85" w:rsidP="0080758B">
      <w:pPr>
        <w:pStyle w:val="OutlineNumbered1"/>
        <w:rPr>
          <w:rFonts w:eastAsiaTheme="minorHAnsi"/>
        </w:rPr>
      </w:pPr>
      <w:r w:rsidRPr="0080758B">
        <w:rPr>
          <w:rFonts w:eastAsiaTheme="minorHAnsi"/>
        </w:rPr>
        <w:t xml:space="preserve">For the purpose of carrying out its </w:t>
      </w:r>
      <w:r w:rsidR="00137D4B" w:rsidRPr="0080758B">
        <w:rPr>
          <w:rFonts w:eastAsiaTheme="minorHAnsi"/>
        </w:rPr>
        <w:t>investigative</w:t>
      </w:r>
      <w:r w:rsidRPr="0080758B">
        <w:rPr>
          <w:rFonts w:eastAsiaTheme="minorHAnsi"/>
        </w:rPr>
        <w:t xml:space="preserve"> functions</w:t>
      </w:r>
      <w:r w:rsidR="00396BD5" w:rsidRPr="0080758B">
        <w:rPr>
          <w:rFonts w:eastAsiaTheme="minorHAnsi"/>
        </w:rPr>
        <w:t>,</w:t>
      </w:r>
      <w:r w:rsidRPr="0080758B">
        <w:rPr>
          <w:rFonts w:eastAsiaTheme="minorHAnsi"/>
        </w:rPr>
        <w:t xml:space="preserve"> </w:t>
      </w:r>
      <w:r w:rsidR="00227E66" w:rsidRPr="0080758B">
        <w:rPr>
          <w:rFonts w:eastAsiaTheme="minorHAnsi"/>
        </w:rPr>
        <w:t xml:space="preserve">the ACCC can </w:t>
      </w:r>
      <w:r w:rsidRPr="0080758B">
        <w:rPr>
          <w:rFonts w:eastAsiaTheme="minorHAnsi"/>
        </w:rPr>
        <w:t xml:space="preserve">utilise </w:t>
      </w:r>
      <w:r w:rsidR="00E12C5A" w:rsidRPr="0080758B">
        <w:rPr>
          <w:rFonts w:eastAsiaTheme="minorHAnsi"/>
        </w:rPr>
        <w:t xml:space="preserve">the </w:t>
      </w:r>
      <w:r w:rsidRPr="0080758B">
        <w:rPr>
          <w:rFonts w:eastAsiaTheme="minorHAnsi"/>
        </w:rPr>
        <w:t>specific search warrant power</w:t>
      </w:r>
      <w:r w:rsidR="0013356F" w:rsidRPr="0080758B">
        <w:rPr>
          <w:rFonts w:eastAsiaTheme="minorHAnsi"/>
        </w:rPr>
        <w:t>s</w:t>
      </w:r>
      <w:r w:rsidRPr="0080758B">
        <w:rPr>
          <w:rFonts w:eastAsiaTheme="minorHAnsi"/>
        </w:rPr>
        <w:t xml:space="preserve"> contained in</w:t>
      </w:r>
      <w:r w:rsidR="00227E66" w:rsidRPr="0080758B">
        <w:rPr>
          <w:rFonts w:eastAsiaTheme="minorHAnsi"/>
        </w:rPr>
        <w:t xml:space="preserve"> Div 4 of Pt XID of the Competition and Consumer Act</w:t>
      </w:r>
      <w:r w:rsidR="00202D3D" w:rsidRPr="0080758B">
        <w:rPr>
          <w:rFonts w:eastAsiaTheme="minorHAnsi"/>
        </w:rPr>
        <w:t>, which were introduced in 2006.</w:t>
      </w:r>
      <w:r w:rsidR="00202D3D" w:rsidRPr="0080758B">
        <w:rPr>
          <w:rStyle w:val="FootnoteReference"/>
          <w:rFonts w:eastAsiaTheme="minorHAnsi"/>
        </w:rPr>
        <w:footnoteReference w:id="34"/>
      </w:r>
      <w:r w:rsidR="00202D3D" w:rsidRPr="0080758B">
        <w:rPr>
          <w:rFonts w:eastAsiaTheme="minorHAnsi"/>
        </w:rPr>
        <w:t xml:space="preserve"> </w:t>
      </w:r>
      <w:r w:rsidR="000F2D88" w:rsidRPr="0080758B">
        <w:rPr>
          <w:rFonts w:eastAsiaTheme="minorHAnsi"/>
        </w:rPr>
        <w:t>In contrast to the case for ASIC in respect of warrants issued under the Crimes Act, m</w:t>
      </w:r>
      <w:r w:rsidR="003D72A0" w:rsidRPr="0080758B">
        <w:rPr>
          <w:rFonts w:eastAsiaTheme="minorHAnsi"/>
        </w:rPr>
        <w:t xml:space="preserve">aterial seized pursuant to search warrants issued under Div 4 of Pt XID of the </w:t>
      </w:r>
      <w:r w:rsidR="002050CA" w:rsidRPr="0080758B">
        <w:rPr>
          <w:rFonts w:eastAsiaTheme="minorHAnsi"/>
        </w:rPr>
        <w:t xml:space="preserve">Competition and Consumer </w:t>
      </w:r>
      <w:r w:rsidR="003D72A0" w:rsidRPr="0080758B">
        <w:rPr>
          <w:rFonts w:eastAsiaTheme="minorHAnsi"/>
        </w:rPr>
        <w:t xml:space="preserve">Act can be used for the purposes of, and is admissible in, </w:t>
      </w:r>
      <w:r w:rsidR="00396BD5" w:rsidRPr="0080758B">
        <w:rPr>
          <w:rFonts w:eastAsiaTheme="minorHAnsi"/>
        </w:rPr>
        <w:t>the</w:t>
      </w:r>
      <w:r w:rsidR="003D72A0" w:rsidRPr="0080758B">
        <w:rPr>
          <w:rFonts w:eastAsiaTheme="minorHAnsi"/>
        </w:rPr>
        <w:t xml:space="preserve"> </w:t>
      </w:r>
      <w:r w:rsidR="0043200D" w:rsidRPr="0080758B">
        <w:rPr>
          <w:rFonts w:eastAsiaTheme="minorHAnsi"/>
        </w:rPr>
        <w:t xml:space="preserve">full </w:t>
      </w:r>
      <w:r w:rsidR="003D72A0" w:rsidRPr="0080758B">
        <w:rPr>
          <w:rFonts w:eastAsiaTheme="minorHAnsi"/>
        </w:rPr>
        <w:t xml:space="preserve">range of </w:t>
      </w:r>
      <w:r w:rsidR="00396BD5" w:rsidRPr="0080758B">
        <w:rPr>
          <w:rFonts w:eastAsiaTheme="minorHAnsi"/>
        </w:rPr>
        <w:t xml:space="preserve">ACCC </w:t>
      </w:r>
      <w:r w:rsidR="003D72A0" w:rsidRPr="0080758B">
        <w:rPr>
          <w:rFonts w:eastAsiaTheme="minorHAnsi"/>
        </w:rPr>
        <w:t>enforcement actions</w:t>
      </w:r>
      <w:r w:rsidR="00396BD5" w:rsidRPr="0080758B">
        <w:rPr>
          <w:rFonts w:eastAsiaTheme="minorHAnsi"/>
        </w:rPr>
        <w:t xml:space="preserve"> (criminal</w:t>
      </w:r>
      <w:r w:rsidR="0043200D" w:rsidRPr="0080758B">
        <w:rPr>
          <w:rFonts w:eastAsiaTheme="minorHAnsi"/>
        </w:rPr>
        <w:t xml:space="preserve"> and</w:t>
      </w:r>
      <w:r w:rsidR="00396BD5" w:rsidRPr="0080758B">
        <w:rPr>
          <w:rFonts w:eastAsiaTheme="minorHAnsi"/>
        </w:rPr>
        <w:t xml:space="preserve"> civil)</w:t>
      </w:r>
      <w:r w:rsidR="003D72A0" w:rsidRPr="0080758B">
        <w:rPr>
          <w:rFonts w:eastAsiaTheme="minorHAnsi"/>
        </w:rPr>
        <w:t>.</w:t>
      </w:r>
    </w:p>
    <w:p w14:paraId="67145601" w14:textId="46627071" w:rsidR="00202D3D" w:rsidRPr="0080758B" w:rsidRDefault="00227E66" w:rsidP="0080758B">
      <w:pPr>
        <w:pStyle w:val="OutlineNumbered1"/>
        <w:rPr>
          <w:rFonts w:eastAsiaTheme="minorHAnsi"/>
        </w:rPr>
      </w:pPr>
      <w:r w:rsidRPr="0080758B">
        <w:rPr>
          <w:rFonts w:eastAsiaTheme="minorHAnsi"/>
        </w:rPr>
        <w:t>Th</w:t>
      </w:r>
      <w:r w:rsidR="00E12C5A" w:rsidRPr="0080758B">
        <w:rPr>
          <w:rFonts w:eastAsiaTheme="minorHAnsi"/>
        </w:rPr>
        <w:t>e search warrant</w:t>
      </w:r>
      <w:r w:rsidRPr="0080758B">
        <w:rPr>
          <w:rFonts w:eastAsiaTheme="minorHAnsi"/>
        </w:rPr>
        <w:t xml:space="preserve"> power</w:t>
      </w:r>
      <w:r w:rsidR="0013356F" w:rsidRPr="0080758B">
        <w:rPr>
          <w:rFonts w:eastAsiaTheme="minorHAnsi"/>
        </w:rPr>
        <w:t>s</w:t>
      </w:r>
      <w:r w:rsidR="003D72A0" w:rsidRPr="0080758B">
        <w:rPr>
          <w:rFonts w:eastAsiaTheme="minorHAnsi"/>
        </w:rPr>
        <w:t xml:space="preserve"> in Div 4 of Pt XID of the Competition and Consumer Act</w:t>
      </w:r>
      <w:r w:rsidRPr="0080758B">
        <w:rPr>
          <w:rFonts w:eastAsiaTheme="minorHAnsi"/>
        </w:rPr>
        <w:t xml:space="preserve"> generally mirror the search warrant power</w:t>
      </w:r>
      <w:r w:rsidR="0013356F" w:rsidRPr="0080758B">
        <w:rPr>
          <w:rFonts w:eastAsiaTheme="minorHAnsi"/>
        </w:rPr>
        <w:t>s</w:t>
      </w:r>
      <w:r w:rsidRPr="0080758B">
        <w:rPr>
          <w:rFonts w:eastAsiaTheme="minorHAnsi"/>
        </w:rPr>
        <w:t xml:space="preserve"> in the Crimes Act. For example, </w:t>
      </w:r>
      <w:r w:rsidR="0043200D" w:rsidRPr="0080758B">
        <w:rPr>
          <w:rFonts w:eastAsiaTheme="minorHAnsi"/>
        </w:rPr>
        <w:t>they</w:t>
      </w:r>
      <w:r w:rsidRPr="0080758B">
        <w:rPr>
          <w:rFonts w:eastAsiaTheme="minorHAnsi"/>
        </w:rPr>
        <w:t xml:space="preserve"> authorise </w:t>
      </w:r>
      <w:r w:rsidR="00E12C5A" w:rsidRPr="0080758B">
        <w:rPr>
          <w:rFonts w:eastAsiaTheme="minorHAnsi"/>
        </w:rPr>
        <w:t>search</w:t>
      </w:r>
      <w:r w:rsidR="0043200D" w:rsidRPr="0080758B">
        <w:rPr>
          <w:rFonts w:eastAsiaTheme="minorHAnsi"/>
        </w:rPr>
        <w:t>es</w:t>
      </w:r>
      <w:r w:rsidR="00E12C5A" w:rsidRPr="0080758B">
        <w:rPr>
          <w:rFonts w:eastAsiaTheme="minorHAnsi"/>
        </w:rPr>
        <w:t xml:space="preserve"> for </w:t>
      </w:r>
      <w:r w:rsidR="00757A73">
        <w:rPr>
          <w:rFonts w:eastAsiaTheme="minorHAnsi"/>
        </w:rPr>
        <w:t>‘</w:t>
      </w:r>
      <w:r w:rsidR="00E12C5A" w:rsidRPr="0080758B">
        <w:rPr>
          <w:rFonts w:eastAsiaTheme="minorHAnsi"/>
        </w:rPr>
        <w:t xml:space="preserve">the kind of </w:t>
      </w:r>
      <w:r w:rsidRPr="0080758B">
        <w:rPr>
          <w:rFonts w:eastAsiaTheme="minorHAnsi"/>
        </w:rPr>
        <w:t>evidential material</w:t>
      </w:r>
      <w:r w:rsidR="00E12C5A" w:rsidRPr="0080758B">
        <w:rPr>
          <w:rFonts w:eastAsiaTheme="minorHAnsi"/>
        </w:rPr>
        <w:t xml:space="preserve"> specified in the warrant</w:t>
      </w:r>
      <w:r w:rsidR="00757A73">
        <w:rPr>
          <w:rFonts w:eastAsiaTheme="minorHAnsi"/>
        </w:rPr>
        <w:t>’</w:t>
      </w:r>
      <w:r w:rsidR="00E12C5A" w:rsidRPr="0080758B">
        <w:rPr>
          <w:rFonts w:eastAsiaTheme="minorHAnsi"/>
        </w:rPr>
        <w:t xml:space="preserve"> and the seizure </w:t>
      </w:r>
      <w:r w:rsidR="00ED05A1" w:rsidRPr="0080758B">
        <w:rPr>
          <w:rFonts w:eastAsiaTheme="minorHAnsi"/>
        </w:rPr>
        <w:t xml:space="preserve">or copying </w:t>
      </w:r>
      <w:r w:rsidR="00E12C5A" w:rsidRPr="0080758B">
        <w:rPr>
          <w:rFonts w:eastAsiaTheme="minorHAnsi"/>
        </w:rPr>
        <w:t>of that material</w:t>
      </w:r>
      <w:r w:rsidR="0078406A" w:rsidRPr="0080758B">
        <w:rPr>
          <w:rFonts w:eastAsiaTheme="minorHAnsi"/>
        </w:rPr>
        <w:t>.</w:t>
      </w:r>
      <w:r w:rsidR="00E12C5A" w:rsidRPr="0080758B">
        <w:rPr>
          <w:rStyle w:val="FootnoteReference"/>
          <w:rFonts w:eastAsiaTheme="minorHAnsi"/>
        </w:rPr>
        <w:footnoteReference w:id="35"/>
      </w:r>
      <w:r w:rsidR="00E12C5A" w:rsidRPr="0080758B">
        <w:rPr>
          <w:rFonts w:eastAsiaTheme="minorHAnsi"/>
        </w:rPr>
        <w:t xml:space="preserve"> </w:t>
      </w:r>
      <w:r w:rsidR="00757A73">
        <w:rPr>
          <w:rFonts w:eastAsiaTheme="minorHAnsi"/>
        </w:rPr>
        <w:t>‘</w:t>
      </w:r>
      <w:r w:rsidR="00E12C5A" w:rsidRPr="0080758B">
        <w:rPr>
          <w:rFonts w:eastAsiaTheme="minorHAnsi"/>
        </w:rPr>
        <w:t>Evidential material</w:t>
      </w:r>
      <w:r w:rsidR="00757A73">
        <w:rPr>
          <w:rFonts w:eastAsiaTheme="minorHAnsi"/>
        </w:rPr>
        <w:t>’</w:t>
      </w:r>
      <w:r w:rsidR="00E12C5A" w:rsidRPr="0080758B">
        <w:rPr>
          <w:rFonts w:eastAsiaTheme="minorHAnsi"/>
        </w:rPr>
        <w:t xml:space="preserve"> </w:t>
      </w:r>
      <w:r w:rsidRPr="0080758B">
        <w:rPr>
          <w:rFonts w:eastAsiaTheme="minorHAnsi"/>
        </w:rPr>
        <w:t>is widely defined to mean a document or other thing that may afford evidence relating to a contravention of the Competition and Consumer Act</w:t>
      </w:r>
      <w:r w:rsidR="00396BD5" w:rsidRPr="0080758B">
        <w:rPr>
          <w:rFonts w:eastAsiaTheme="minorHAnsi"/>
        </w:rPr>
        <w:t>.</w:t>
      </w:r>
      <w:r w:rsidRPr="0080758B">
        <w:rPr>
          <w:rStyle w:val="FootnoteReference"/>
          <w:rFonts w:eastAsiaTheme="minorHAnsi"/>
        </w:rPr>
        <w:footnoteReference w:id="36"/>
      </w:r>
      <w:r w:rsidR="00C35B32" w:rsidRPr="0080758B">
        <w:rPr>
          <w:rFonts w:eastAsiaTheme="minorHAnsi"/>
        </w:rPr>
        <w:t xml:space="preserve"> </w:t>
      </w:r>
      <w:r w:rsidR="00396BD5" w:rsidRPr="0080758B">
        <w:rPr>
          <w:rFonts w:eastAsiaTheme="minorHAnsi"/>
        </w:rPr>
        <w:t>T</w:t>
      </w:r>
      <w:r w:rsidR="009D1E87" w:rsidRPr="0080758B">
        <w:rPr>
          <w:rFonts w:eastAsiaTheme="minorHAnsi"/>
        </w:rPr>
        <w:t xml:space="preserve">here is no </w:t>
      </w:r>
      <w:r w:rsidR="00757A73">
        <w:rPr>
          <w:rFonts w:eastAsiaTheme="minorHAnsi"/>
        </w:rPr>
        <w:t>‘</w:t>
      </w:r>
      <w:r w:rsidR="009D1E87" w:rsidRPr="0080758B">
        <w:rPr>
          <w:rFonts w:eastAsiaTheme="minorHAnsi"/>
        </w:rPr>
        <w:t>forewarning</w:t>
      </w:r>
      <w:r w:rsidR="00757A73">
        <w:rPr>
          <w:rFonts w:eastAsiaTheme="minorHAnsi"/>
        </w:rPr>
        <w:t>’</w:t>
      </w:r>
      <w:r w:rsidR="009D1E87" w:rsidRPr="0080758B">
        <w:rPr>
          <w:rFonts w:eastAsiaTheme="minorHAnsi"/>
        </w:rPr>
        <w:t xml:space="preserve"> requirement.</w:t>
      </w:r>
      <w:r w:rsidR="00C35B32" w:rsidRPr="0080758B">
        <w:rPr>
          <w:rFonts w:eastAsiaTheme="minorHAnsi"/>
        </w:rPr>
        <w:t xml:space="preserve"> </w:t>
      </w:r>
      <w:bookmarkStart w:id="25" w:name="_Ref467685754"/>
      <w:r w:rsidR="00202D3D" w:rsidRPr="0080758B">
        <w:rPr>
          <w:rFonts w:eastAsiaTheme="minorHAnsi"/>
        </w:rPr>
        <w:t>T</w:t>
      </w:r>
      <w:r w:rsidR="00C35B32" w:rsidRPr="0080758B">
        <w:rPr>
          <w:rFonts w:eastAsiaTheme="minorHAnsi"/>
        </w:rPr>
        <w:t>he search warrant power</w:t>
      </w:r>
      <w:r w:rsidR="0013356F" w:rsidRPr="0080758B">
        <w:rPr>
          <w:rFonts w:eastAsiaTheme="minorHAnsi"/>
        </w:rPr>
        <w:t>s</w:t>
      </w:r>
      <w:r w:rsidR="00C35B32" w:rsidRPr="0080758B">
        <w:rPr>
          <w:rFonts w:eastAsiaTheme="minorHAnsi"/>
        </w:rPr>
        <w:t xml:space="preserve"> in the Competition and Consumer Act </w:t>
      </w:r>
      <w:r w:rsidR="0013356F" w:rsidRPr="0080758B">
        <w:rPr>
          <w:rFonts w:eastAsiaTheme="minorHAnsi"/>
        </w:rPr>
        <w:t>are</w:t>
      </w:r>
      <w:r w:rsidR="00C35B32" w:rsidRPr="0080758B">
        <w:rPr>
          <w:rFonts w:eastAsiaTheme="minorHAnsi"/>
        </w:rPr>
        <w:t xml:space="preserve"> </w:t>
      </w:r>
      <w:r w:rsidR="00296BC2" w:rsidRPr="0080758B">
        <w:rPr>
          <w:rFonts w:eastAsiaTheme="minorHAnsi"/>
        </w:rPr>
        <w:t xml:space="preserve">also </w:t>
      </w:r>
      <w:r w:rsidR="00C35B32" w:rsidRPr="0080758B">
        <w:rPr>
          <w:rFonts w:eastAsiaTheme="minorHAnsi"/>
        </w:rPr>
        <w:t xml:space="preserve">supported by </w:t>
      </w:r>
      <w:r w:rsidR="00202D3D" w:rsidRPr="0080758B">
        <w:rPr>
          <w:rFonts w:eastAsiaTheme="minorHAnsi"/>
        </w:rPr>
        <w:t>a</w:t>
      </w:r>
      <w:r w:rsidR="00C35B32" w:rsidRPr="0080758B">
        <w:rPr>
          <w:rFonts w:eastAsiaTheme="minorHAnsi"/>
        </w:rPr>
        <w:t xml:space="preserve"> </w:t>
      </w:r>
      <w:r w:rsidR="002B3D06" w:rsidRPr="0080758B">
        <w:rPr>
          <w:rFonts w:eastAsiaTheme="minorHAnsi"/>
        </w:rPr>
        <w:t>range</w:t>
      </w:r>
      <w:r w:rsidR="00C35B32" w:rsidRPr="0080758B">
        <w:rPr>
          <w:rFonts w:eastAsiaTheme="minorHAnsi"/>
        </w:rPr>
        <w:t xml:space="preserve"> of ancillary provisions </w:t>
      </w:r>
      <w:r w:rsidR="00202D3D" w:rsidRPr="0080758B">
        <w:rPr>
          <w:rFonts w:eastAsiaTheme="minorHAnsi"/>
        </w:rPr>
        <w:t xml:space="preserve">similar to those </w:t>
      </w:r>
      <w:r w:rsidR="00C35B32" w:rsidRPr="0080758B">
        <w:rPr>
          <w:rFonts w:eastAsiaTheme="minorHAnsi"/>
        </w:rPr>
        <w:t>in the Crimes Act</w:t>
      </w:r>
      <w:r w:rsidR="0078406A" w:rsidRPr="0080758B">
        <w:rPr>
          <w:rFonts w:eastAsiaTheme="minorHAnsi"/>
        </w:rPr>
        <w:t>.</w:t>
      </w:r>
      <w:r w:rsidR="00202D3D" w:rsidRPr="0080758B">
        <w:rPr>
          <w:rStyle w:val="FootnoteReference"/>
          <w:rFonts w:eastAsiaTheme="minorHAnsi"/>
        </w:rPr>
        <w:footnoteReference w:id="37"/>
      </w:r>
    </w:p>
    <w:bookmarkEnd w:id="25"/>
    <w:p w14:paraId="2462D1C4" w14:textId="6B3146B6" w:rsidR="00296BC2" w:rsidRPr="0080758B" w:rsidRDefault="007A13F3" w:rsidP="0080758B">
      <w:pPr>
        <w:pStyle w:val="OutlineNumbered1"/>
        <w:rPr>
          <w:rFonts w:eastAsiaTheme="minorHAnsi"/>
        </w:rPr>
      </w:pPr>
      <w:r w:rsidRPr="0080758B">
        <w:rPr>
          <w:rFonts w:eastAsiaTheme="minorHAnsi"/>
        </w:rPr>
        <w:t xml:space="preserve">Following their introduction in 2006, amendments were made to the Competition and Consumer Act </w:t>
      </w:r>
      <w:r w:rsidR="00296BC2" w:rsidRPr="0080758B">
        <w:rPr>
          <w:rFonts w:eastAsiaTheme="minorHAnsi"/>
        </w:rPr>
        <w:t xml:space="preserve">(then called the Trade Practices Act) </w:t>
      </w:r>
      <w:r w:rsidRPr="0080758B">
        <w:rPr>
          <w:rFonts w:eastAsiaTheme="minorHAnsi"/>
        </w:rPr>
        <w:t>search warrant provisions</w:t>
      </w:r>
      <w:r w:rsidRPr="0080758B">
        <w:rPr>
          <w:rStyle w:val="FootnoteReference"/>
          <w:rFonts w:eastAsiaTheme="minorHAnsi"/>
        </w:rPr>
        <w:footnoteReference w:id="38"/>
      </w:r>
      <w:r w:rsidRPr="0080758B">
        <w:rPr>
          <w:rFonts w:eastAsiaTheme="minorHAnsi"/>
        </w:rPr>
        <w:t xml:space="preserve"> in 2009 to better align the Act with the search and seizure p</w:t>
      </w:r>
      <w:bookmarkStart w:id="26" w:name="_Ref468275439"/>
      <w:r w:rsidR="00296BC2" w:rsidRPr="0080758B">
        <w:rPr>
          <w:rFonts w:eastAsiaTheme="minorHAnsi"/>
        </w:rPr>
        <w:t>rovisions under the Crimes Act.</w:t>
      </w:r>
      <w:r w:rsidR="00296BC2" w:rsidRPr="0080758B">
        <w:rPr>
          <w:rStyle w:val="FootnoteReference"/>
          <w:rFonts w:eastAsiaTheme="minorHAnsi"/>
        </w:rPr>
        <w:footnoteReference w:id="39"/>
      </w:r>
      <w:bookmarkEnd w:id="26"/>
    </w:p>
    <w:p w14:paraId="7B80569D" w14:textId="77777777" w:rsidR="00F453B4" w:rsidRDefault="00F453B4">
      <w:pPr>
        <w:spacing w:after="200" w:line="276" w:lineRule="auto"/>
        <w:jc w:val="left"/>
        <w:rPr>
          <w:rFonts w:eastAsiaTheme="minorHAnsi"/>
        </w:rPr>
      </w:pPr>
      <w:r>
        <w:rPr>
          <w:rFonts w:eastAsiaTheme="minorHAnsi"/>
        </w:rPr>
        <w:br w:type="page"/>
      </w:r>
    </w:p>
    <w:p w14:paraId="61B60408" w14:textId="4712F03A" w:rsidR="00FE1F68" w:rsidRPr="000F2269" w:rsidRDefault="00FE1F68" w:rsidP="00FE1F68">
      <w:pPr>
        <w:pStyle w:val="OutlineNumbered1"/>
        <w:numPr>
          <w:ilvl w:val="0"/>
          <w:numId w:val="30"/>
        </w:numPr>
        <w:rPr>
          <w:rFonts w:eastAsiaTheme="minorHAnsi"/>
        </w:rPr>
      </w:pPr>
      <w:bookmarkStart w:id="27" w:name="_Toc476567369"/>
      <w:bookmarkStart w:id="28" w:name="_Toc477531785"/>
      <w:bookmarkStart w:id="29" w:name="_Toc477531933"/>
      <w:r w:rsidRPr="000F2269">
        <w:rPr>
          <w:rFonts w:eastAsiaTheme="minorHAnsi"/>
        </w:rPr>
        <w:lastRenderedPageBreak/>
        <w:t>The Crimes Act provisions were updated in 2010 to address known problems and limitations associated with searching for and seizing electronic material (for a detailed discussion of those issues, see Schedule 2 of the Explanatory Memorandum to the Crimes Legislation Amendment (Serious and Organised Crime) Bill (No.2) 2010). Similar amendments have not been made to the Competition and Consumer Act provisions. This means the deficiencies which prompted amendments to the Crimes Act have not been addressed in the search warrant provisions of the Competition and Consumer Act. As a result there are differences between the search warrant powers in the legislation administered by ASIC, the Competition and Consumer Act and the Crimes Act.</w:t>
      </w:r>
    </w:p>
    <w:p w14:paraId="46AC3F98" w14:textId="33F47AEB" w:rsidR="0080758B" w:rsidRDefault="0080758B" w:rsidP="0080758B"/>
    <w:p w14:paraId="35E1D6A6" w14:textId="77777777" w:rsidR="0080758B" w:rsidRPr="0080758B" w:rsidRDefault="0080758B" w:rsidP="0080758B">
      <w:pPr>
        <w:sectPr w:rsidR="0080758B" w:rsidRPr="0080758B" w:rsidSect="000756A4">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titlePg/>
          <w:docGrid w:linePitch="360"/>
        </w:sectPr>
      </w:pPr>
    </w:p>
    <w:p w14:paraId="3E93D4C5" w14:textId="0A6458B8" w:rsidR="00871694" w:rsidRDefault="00871694" w:rsidP="00C462C8">
      <w:pPr>
        <w:pStyle w:val="Heading1-Numbered"/>
      </w:pPr>
      <w:bookmarkStart w:id="30" w:name="_Toc484695699"/>
      <w:bookmarkStart w:id="31" w:name="_Toc486231365"/>
      <w:r>
        <w:lastRenderedPageBreak/>
        <w:t xml:space="preserve">Issues with </w:t>
      </w:r>
      <w:r w:rsidR="00C66261">
        <w:t>ASIC’s</w:t>
      </w:r>
      <w:r>
        <w:t xml:space="preserve"> existing </w:t>
      </w:r>
      <w:bookmarkEnd w:id="27"/>
      <w:bookmarkEnd w:id="28"/>
      <w:bookmarkEnd w:id="29"/>
      <w:r w:rsidR="00C66261">
        <w:t>powers</w:t>
      </w:r>
      <w:bookmarkEnd w:id="30"/>
      <w:bookmarkEnd w:id="31"/>
    </w:p>
    <w:p w14:paraId="5EE76545" w14:textId="4B7A855D" w:rsidR="005E3D7B" w:rsidRPr="0080758B" w:rsidRDefault="00E13521" w:rsidP="00B748F1">
      <w:pPr>
        <w:pStyle w:val="OutlineNumbered1"/>
        <w:numPr>
          <w:ilvl w:val="0"/>
          <w:numId w:val="33"/>
        </w:numPr>
        <w:rPr>
          <w:rFonts w:eastAsiaTheme="minorHAnsi"/>
        </w:rPr>
      </w:pPr>
      <w:bookmarkStart w:id="32" w:name="_Ref467826259"/>
      <w:r w:rsidRPr="0080758B">
        <w:rPr>
          <w:rFonts w:eastAsiaTheme="minorHAnsi"/>
        </w:rPr>
        <w:t>ASIC has</w:t>
      </w:r>
      <w:r w:rsidR="007A13F3" w:rsidRPr="0080758B">
        <w:rPr>
          <w:rFonts w:eastAsiaTheme="minorHAnsi"/>
        </w:rPr>
        <w:t xml:space="preserve"> identified </w:t>
      </w:r>
      <w:r w:rsidRPr="0080758B">
        <w:rPr>
          <w:rFonts w:eastAsiaTheme="minorHAnsi"/>
        </w:rPr>
        <w:t xml:space="preserve">problems </w:t>
      </w:r>
      <w:r w:rsidR="00871694" w:rsidRPr="0080758B">
        <w:rPr>
          <w:rFonts w:eastAsiaTheme="minorHAnsi"/>
        </w:rPr>
        <w:t xml:space="preserve">with the search warrant powers available to </w:t>
      </w:r>
      <w:r w:rsidRPr="0080758B">
        <w:rPr>
          <w:rFonts w:eastAsiaTheme="minorHAnsi"/>
        </w:rPr>
        <w:t>it</w:t>
      </w:r>
      <w:r w:rsidR="00871694" w:rsidRPr="0080758B">
        <w:rPr>
          <w:rFonts w:eastAsiaTheme="minorHAnsi"/>
        </w:rPr>
        <w:t xml:space="preserve"> which limit their utility as an </w:t>
      </w:r>
      <w:r w:rsidR="00137D4B" w:rsidRPr="0080758B">
        <w:rPr>
          <w:rFonts w:eastAsiaTheme="minorHAnsi"/>
        </w:rPr>
        <w:t>investigative</w:t>
      </w:r>
      <w:r w:rsidR="00871694" w:rsidRPr="0080758B">
        <w:rPr>
          <w:rFonts w:eastAsiaTheme="minorHAnsi"/>
        </w:rPr>
        <w:t xml:space="preserve"> tool in a number of circumstances. </w:t>
      </w:r>
      <w:r w:rsidR="005E3D7B" w:rsidRPr="0080758B">
        <w:rPr>
          <w:rFonts w:eastAsiaTheme="minorHAnsi"/>
        </w:rPr>
        <w:t>Those problems relate to:</w:t>
      </w:r>
    </w:p>
    <w:p w14:paraId="2C626BC0" w14:textId="565C746F" w:rsidR="00DF2196" w:rsidRDefault="00A03E87" w:rsidP="0080758B">
      <w:pPr>
        <w:pStyle w:val="OutlineNumbered2"/>
        <w:rPr>
          <w:rFonts w:eastAsiaTheme="minorHAnsi"/>
        </w:rPr>
      </w:pPr>
      <w:bookmarkStart w:id="33" w:name="_Ref478118666"/>
      <w:bookmarkEnd w:id="32"/>
      <w:r>
        <w:rPr>
          <w:rFonts w:eastAsiaTheme="minorHAnsi"/>
        </w:rPr>
        <w:t>t</w:t>
      </w:r>
      <w:r w:rsidR="00DF2196">
        <w:rPr>
          <w:rFonts w:eastAsiaTheme="minorHAnsi"/>
        </w:rPr>
        <w:t>he i</w:t>
      </w:r>
      <w:r w:rsidR="00871694" w:rsidRPr="00DF2196">
        <w:rPr>
          <w:rFonts w:eastAsiaTheme="minorHAnsi"/>
        </w:rPr>
        <w:t xml:space="preserve">nconsistencies between the specific search warrant powers contained in the ASIC Act, NCCP Act, SIS Act and RSA Act, especially in relation to the continued </w:t>
      </w:r>
      <w:r w:rsidR="00757A73">
        <w:rPr>
          <w:rFonts w:eastAsiaTheme="minorHAnsi"/>
        </w:rPr>
        <w:t>‘</w:t>
      </w:r>
      <w:r w:rsidR="00871694" w:rsidRPr="00DF2196">
        <w:rPr>
          <w:rFonts w:eastAsiaTheme="minorHAnsi"/>
        </w:rPr>
        <w:t>forewarning</w:t>
      </w:r>
      <w:r w:rsidR="00757A73">
        <w:rPr>
          <w:rFonts w:eastAsiaTheme="minorHAnsi"/>
        </w:rPr>
        <w:t>’</w:t>
      </w:r>
      <w:r w:rsidR="00871694" w:rsidRPr="00DF2196">
        <w:rPr>
          <w:rFonts w:eastAsiaTheme="minorHAnsi"/>
        </w:rPr>
        <w:t xml:space="preserve"> requirement in the latter three Acts (but no longer </w:t>
      </w:r>
      <w:r w:rsidR="00DF2196">
        <w:rPr>
          <w:rFonts w:eastAsiaTheme="minorHAnsi"/>
        </w:rPr>
        <w:t xml:space="preserve">in </w:t>
      </w:r>
      <w:r w:rsidR="00871694" w:rsidRPr="00DF2196">
        <w:rPr>
          <w:rFonts w:eastAsiaTheme="minorHAnsi"/>
        </w:rPr>
        <w:t>the ASIC Act)</w:t>
      </w:r>
      <w:r w:rsidR="00DF2196">
        <w:rPr>
          <w:rFonts w:eastAsiaTheme="minorHAnsi"/>
        </w:rPr>
        <w:t>;</w:t>
      </w:r>
      <w:bookmarkEnd w:id="33"/>
    </w:p>
    <w:p w14:paraId="62A7E645" w14:textId="756E8E42" w:rsidR="00871694" w:rsidRDefault="00871694" w:rsidP="0080758B">
      <w:pPr>
        <w:pStyle w:val="OutlineNumbered2"/>
        <w:rPr>
          <w:rFonts w:eastAsiaTheme="minorHAnsi"/>
        </w:rPr>
      </w:pPr>
      <w:r w:rsidRPr="00DF2196">
        <w:rPr>
          <w:rFonts w:eastAsiaTheme="minorHAnsi"/>
        </w:rPr>
        <w:t xml:space="preserve">warrants issued under </w:t>
      </w:r>
      <w:r w:rsidR="00DF2196">
        <w:rPr>
          <w:rFonts w:eastAsiaTheme="minorHAnsi"/>
        </w:rPr>
        <w:t xml:space="preserve">the </w:t>
      </w:r>
      <w:r w:rsidR="00DF2196" w:rsidRPr="00DF2196">
        <w:rPr>
          <w:rFonts w:eastAsiaTheme="minorHAnsi"/>
        </w:rPr>
        <w:t xml:space="preserve">ASIC Act, NCCP Act, SIS Act and RSA Act </w:t>
      </w:r>
      <w:r w:rsidRPr="00DF2196">
        <w:rPr>
          <w:rFonts w:eastAsiaTheme="minorHAnsi"/>
        </w:rPr>
        <w:t xml:space="preserve">authorise the search for and seizure of </w:t>
      </w:r>
      <w:r w:rsidR="009B5875">
        <w:rPr>
          <w:rFonts w:eastAsiaTheme="minorHAnsi"/>
        </w:rPr>
        <w:t xml:space="preserve">only </w:t>
      </w:r>
      <w:r w:rsidRPr="00DF2196">
        <w:rPr>
          <w:rFonts w:eastAsiaTheme="minorHAnsi"/>
        </w:rPr>
        <w:t xml:space="preserve">specified </w:t>
      </w:r>
      <w:r w:rsidR="00757A73">
        <w:rPr>
          <w:rFonts w:eastAsiaTheme="minorHAnsi"/>
        </w:rPr>
        <w:t>‘</w:t>
      </w:r>
      <w:r w:rsidRPr="00DF2196">
        <w:rPr>
          <w:rFonts w:eastAsiaTheme="minorHAnsi"/>
        </w:rPr>
        <w:t>particular books</w:t>
      </w:r>
      <w:r w:rsidR="00757A73">
        <w:rPr>
          <w:rFonts w:eastAsiaTheme="minorHAnsi"/>
        </w:rPr>
        <w:t>’</w:t>
      </w:r>
      <w:r w:rsidRPr="00DF2196">
        <w:rPr>
          <w:rFonts w:eastAsiaTheme="minorHAnsi"/>
        </w:rPr>
        <w:t>,</w:t>
      </w:r>
      <w:r w:rsidRPr="00B166F0">
        <w:rPr>
          <w:rFonts w:eastAsiaTheme="minorHAnsi"/>
          <w:vertAlign w:val="superscript"/>
        </w:rPr>
        <w:footnoteReference w:id="40"/>
      </w:r>
      <w:r w:rsidRPr="00DF2196">
        <w:rPr>
          <w:rFonts w:eastAsiaTheme="minorHAnsi"/>
        </w:rPr>
        <w:t xml:space="preserve"> rather than </w:t>
      </w:r>
      <w:r w:rsidR="00DF2196">
        <w:rPr>
          <w:rFonts w:eastAsiaTheme="minorHAnsi"/>
        </w:rPr>
        <w:t xml:space="preserve">the </w:t>
      </w:r>
      <w:r w:rsidRPr="00DF2196">
        <w:rPr>
          <w:rFonts w:eastAsiaTheme="minorHAnsi"/>
        </w:rPr>
        <w:t xml:space="preserve">more generally described </w:t>
      </w:r>
      <w:r w:rsidR="00757A73">
        <w:rPr>
          <w:rFonts w:eastAsiaTheme="minorHAnsi"/>
        </w:rPr>
        <w:t>‘</w:t>
      </w:r>
      <w:r w:rsidRPr="00DF2196">
        <w:rPr>
          <w:rFonts w:eastAsiaTheme="minorHAnsi"/>
        </w:rPr>
        <w:t>evidential material</w:t>
      </w:r>
      <w:r w:rsidR="00757A73">
        <w:rPr>
          <w:rFonts w:eastAsiaTheme="minorHAnsi"/>
        </w:rPr>
        <w:t>’</w:t>
      </w:r>
      <w:r w:rsidRPr="00DF2196">
        <w:rPr>
          <w:rFonts w:eastAsiaTheme="minorHAnsi"/>
        </w:rPr>
        <w:t xml:space="preserve"> that can be seized pursuant to search warrants issued under the Crimes Act and Competition and Consumer Act</w:t>
      </w:r>
      <w:r w:rsidR="00DF2196">
        <w:rPr>
          <w:rFonts w:eastAsiaTheme="minorHAnsi"/>
        </w:rPr>
        <w:t>;</w:t>
      </w:r>
    </w:p>
    <w:p w14:paraId="5E919031" w14:textId="0BAB179A" w:rsidR="00DF2196" w:rsidRDefault="00DF2196" w:rsidP="0080758B">
      <w:pPr>
        <w:pStyle w:val="OutlineNumbered2"/>
        <w:rPr>
          <w:rFonts w:eastAsiaTheme="minorHAnsi"/>
        </w:rPr>
      </w:pPr>
      <w:bookmarkStart w:id="34" w:name="_Ref478118671"/>
      <w:r>
        <w:rPr>
          <w:rFonts w:eastAsiaTheme="minorHAnsi"/>
        </w:rPr>
        <w:t xml:space="preserve">the lack of a </w:t>
      </w:r>
      <w:r w:rsidRPr="00DF2196">
        <w:rPr>
          <w:rFonts w:eastAsiaTheme="minorHAnsi"/>
        </w:rPr>
        <w:t>range of ancillary provisions</w:t>
      </w:r>
      <w:r>
        <w:rPr>
          <w:rFonts w:eastAsiaTheme="minorHAnsi"/>
        </w:rPr>
        <w:t xml:space="preserve"> (including </w:t>
      </w:r>
      <w:r w:rsidRPr="00DF2196">
        <w:rPr>
          <w:rFonts w:eastAsiaTheme="minorHAnsi"/>
        </w:rPr>
        <w:t>provisions relating to the search, seizure and copying of electronic material)</w:t>
      </w:r>
      <w:r w:rsidR="00EA7E33">
        <w:rPr>
          <w:rFonts w:eastAsiaTheme="minorHAnsi"/>
        </w:rPr>
        <w:t>, such as those now contained in the Crimes Act,</w:t>
      </w:r>
      <w:r w:rsidRPr="00DF2196">
        <w:rPr>
          <w:rFonts w:eastAsiaTheme="minorHAnsi"/>
        </w:rPr>
        <w:t xml:space="preserve"> </w:t>
      </w:r>
      <w:r>
        <w:rPr>
          <w:rFonts w:eastAsiaTheme="minorHAnsi"/>
        </w:rPr>
        <w:t xml:space="preserve">in the </w:t>
      </w:r>
      <w:r w:rsidR="00871694" w:rsidRPr="00DF2196">
        <w:rPr>
          <w:rFonts w:eastAsiaTheme="minorHAnsi"/>
        </w:rPr>
        <w:t>search warrant powers contained in the ASIC Act, NCCP Act, SIS Act and RSA Act</w:t>
      </w:r>
      <w:r w:rsidR="006530DA">
        <w:rPr>
          <w:rFonts w:eastAsiaTheme="minorHAnsi"/>
        </w:rPr>
        <w:t>;</w:t>
      </w:r>
      <w:bookmarkEnd w:id="34"/>
      <w:r w:rsidR="006530DA">
        <w:rPr>
          <w:rFonts w:eastAsiaTheme="minorHAnsi"/>
        </w:rPr>
        <w:t xml:space="preserve"> and</w:t>
      </w:r>
    </w:p>
    <w:p w14:paraId="1AB162D9" w14:textId="0C02D1F0" w:rsidR="00EA7E33" w:rsidRDefault="00A03E87" w:rsidP="0080758B">
      <w:pPr>
        <w:pStyle w:val="OutlineNumbered2"/>
        <w:rPr>
          <w:rFonts w:eastAsiaTheme="minorHAnsi"/>
        </w:rPr>
      </w:pPr>
      <w:r>
        <w:rPr>
          <w:rFonts w:eastAsiaTheme="minorHAnsi"/>
        </w:rPr>
        <w:t>ASIC’s</w:t>
      </w:r>
      <w:r w:rsidRPr="00A03E87">
        <w:rPr>
          <w:rFonts w:eastAsiaTheme="minorHAnsi"/>
        </w:rPr>
        <w:t xml:space="preserve"> inability to use </w:t>
      </w:r>
      <w:r>
        <w:rPr>
          <w:rFonts w:eastAsiaTheme="minorHAnsi"/>
        </w:rPr>
        <w:t xml:space="preserve">material </w:t>
      </w:r>
      <w:r w:rsidRPr="00A03E87">
        <w:rPr>
          <w:rFonts w:eastAsiaTheme="minorHAnsi"/>
        </w:rPr>
        <w:t xml:space="preserve">lawfully obtained pursuant to Crimes Act search warrants for the purpose of investigating contraventions that are actionable by only civil or administrative proceedings or conducting any such proceedings creates practical difficulties for ASIC and </w:t>
      </w:r>
      <w:r>
        <w:rPr>
          <w:rFonts w:eastAsiaTheme="minorHAnsi"/>
        </w:rPr>
        <w:t xml:space="preserve">impacts on </w:t>
      </w:r>
      <w:r w:rsidRPr="00A03E87">
        <w:rPr>
          <w:rFonts w:eastAsiaTheme="minorHAnsi"/>
        </w:rPr>
        <w:t>its ability to effectively collaborate with the AFP and other criminal law enforcement agencies.</w:t>
      </w:r>
    </w:p>
    <w:p w14:paraId="5F83E1A2" w14:textId="730A9D83" w:rsidR="00D9001A" w:rsidRPr="0080758B" w:rsidRDefault="003E6BF0" w:rsidP="0080758B">
      <w:pPr>
        <w:pStyle w:val="OutlineNumbered1"/>
        <w:rPr>
          <w:rFonts w:eastAsiaTheme="minorHAnsi"/>
        </w:rPr>
      </w:pPr>
      <w:r w:rsidRPr="0080758B">
        <w:rPr>
          <w:rFonts w:eastAsiaTheme="minorHAnsi"/>
        </w:rPr>
        <w:t>As a consequence of the problems</w:t>
      </w:r>
      <w:r w:rsidR="00A03E87" w:rsidRPr="0080758B">
        <w:rPr>
          <w:rFonts w:eastAsiaTheme="minorHAnsi"/>
        </w:rPr>
        <w:t xml:space="preserve"> outlined in sub-paragraphs </w:t>
      </w:r>
      <w:r w:rsidR="00A03E87" w:rsidRPr="0080758B">
        <w:rPr>
          <w:rFonts w:eastAsiaTheme="minorHAnsi"/>
        </w:rPr>
        <w:fldChar w:fldCharType="begin"/>
      </w:r>
      <w:r w:rsidR="00A03E87" w:rsidRPr="0080758B">
        <w:rPr>
          <w:rFonts w:eastAsiaTheme="minorHAnsi"/>
        </w:rPr>
        <w:instrText xml:space="preserve"> REF _Ref478118666 \r \h </w:instrText>
      </w:r>
      <w:r w:rsidR="0080758B">
        <w:rPr>
          <w:rFonts w:eastAsiaTheme="minorHAnsi"/>
        </w:rPr>
        <w:instrText xml:space="preserve"> \* MERGEFORMAT </w:instrText>
      </w:r>
      <w:r w:rsidR="00A03E87" w:rsidRPr="0080758B">
        <w:rPr>
          <w:rFonts w:eastAsiaTheme="minorHAnsi"/>
        </w:rPr>
      </w:r>
      <w:r w:rsidR="00A03E87" w:rsidRPr="0080758B">
        <w:rPr>
          <w:rFonts w:eastAsiaTheme="minorHAnsi"/>
        </w:rPr>
        <w:fldChar w:fldCharType="separate"/>
      </w:r>
      <w:r w:rsidR="000F2269">
        <w:rPr>
          <w:rFonts w:eastAsiaTheme="minorHAnsi"/>
        </w:rPr>
        <w:t>1.1</w:t>
      </w:r>
      <w:r w:rsidR="00A03E87" w:rsidRPr="0080758B">
        <w:rPr>
          <w:rFonts w:eastAsiaTheme="minorHAnsi"/>
        </w:rPr>
        <w:fldChar w:fldCharType="end"/>
      </w:r>
      <w:r w:rsidR="00A03E87" w:rsidRPr="0080758B">
        <w:rPr>
          <w:rFonts w:eastAsiaTheme="minorHAnsi"/>
        </w:rPr>
        <w:t xml:space="preserve"> to </w:t>
      </w:r>
      <w:r w:rsidR="00A03E87" w:rsidRPr="0080758B">
        <w:rPr>
          <w:rFonts w:eastAsiaTheme="minorHAnsi"/>
        </w:rPr>
        <w:fldChar w:fldCharType="begin"/>
      </w:r>
      <w:r w:rsidR="00A03E87" w:rsidRPr="0080758B">
        <w:rPr>
          <w:rFonts w:eastAsiaTheme="minorHAnsi"/>
        </w:rPr>
        <w:instrText xml:space="preserve"> REF _Ref478118671 \r \h </w:instrText>
      </w:r>
      <w:r w:rsidR="0080758B">
        <w:rPr>
          <w:rFonts w:eastAsiaTheme="minorHAnsi"/>
        </w:rPr>
        <w:instrText xml:space="preserve"> \* MERGEFORMAT </w:instrText>
      </w:r>
      <w:r w:rsidR="00A03E87" w:rsidRPr="0080758B">
        <w:rPr>
          <w:rFonts w:eastAsiaTheme="minorHAnsi"/>
        </w:rPr>
      </w:r>
      <w:r w:rsidR="00A03E87" w:rsidRPr="0080758B">
        <w:rPr>
          <w:rFonts w:eastAsiaTheme="minorHAnsi"/>
        </w:rPr>
        <w:fldChar w:fldCharType="separate"/>
      </w:r>
      <w:r w:rsidR="000F2269">
        <w:rPr>
          <w:rFonts w:eastAsiaTheme="minorHAnsi"/>
        </w:rPr>
        <w:t>1.3</w:t>
      </w:r>
      <w:r w:rsidR="00A03E87" w:rsidRPr="0080758B">
        <w:rPr>
          <w:rFonts w:eastAsiaTheme="minorHAnsi"/>
        </w:rPr>
        <w:fldChar w:fldCharType="end"/>
      </w:r>
      <w:r w:rsidR="00A03E87" w:rsidRPr="0080758B">
        <w:rPr>
          <w:rFonts w:eastAsiaTheme="minorHAnsi"/>
        </w:rPr>
        <w:t xml:space="preserve"> above</w:t>
      </w:r>
      <w:r w:rsidRPr="0080758B">
        <w:rPr>
          <w:rFonts w:eastAsiaTheme="minorHAnsi"/>
        </w:rPr>
        <w:t>, ASIC rarely exercises the search warrant powers in the ASIC Act, NCCP Act, SIS Act and RSA Act and generally favours Crimes Act search warrants</w:t>
      </w:r>
      <w:r w:rsidR="00D9001A" w:rsidRPr="0080758B">
        <w:rPr>
          <w:rFonts w:eastAsiaTheme="minorHAnsi"/>
        </w:rPr>
        <w:t>, despite the limitations of the latter</w:t>
      </w:r>
      <w:r w:rsidR="004C1712" w:rsidRPr="0080758B">
        <w:rPr>
          <w:rFonts w:eastAsiaTheme="minorHAnsi"/>
        </w:rPr>
        <w:t>.</w:t>
      </w:r>
    </w:p>
    <w:p w14:paraId="50C630D8" w14:textId="490623CA" w:rsidR="003E6BF0" w:rsidRPr="0080758B" w:rsidRDefault="003E6BF0" w:rsidP="0080758B">
      <w:pPr>
        <w:pStyle w:val="OutlineNumbered1"/>
        <w:rPr>
          <w:rFonts w:eastAsiaTheme="minorHAnsi"/>
        </w:rPr>
      </w:pPr>
      <w:bookmarkStart w:id="35" w:name="_Ref483572832"/>
      <w:r w:rsidRPr="0080758B">
        <w:rPr>
          <w:rFonts w:eastAsiaTheme="minorHAnsi"/>
        </w:rPr>
        <w:t>Since January 2011, ASIC has obtained just over 200 warrants to search premises.</w:t>
      </w:r>
      <w:r w:rsidRPr="000D7571">
        <w:rPr>
          <w:rStyle w:val="FootnoteReference"/>
          <w:rFonts w:eastAsiaTheme="minorHAnsi"/>
        </w:rPr>
        <w:footnoteReference w:id="41"/>
      </w:r>
      <w:r w:rsidRPr="0080758B">
        <w:rPr>
          <w:rFonts w:eastAsiaTheme="minorHAnsi"/>
        </w:rPr>
        <w:t xml:space="preserve"> Of those search warrants, two were obtained under the ASIC Act, and none were obtained under the NCCP Act, SIS Act or RSA Act.</w:t>
      </w:r>
      <w:bookmarkEnd w:id="35"/>
    </w:p>
    <w:p w14:paraId="0900BEC7" w14:textId="144FEA01" w:rsidR="003E6BF0" w:rsidRPr="0080758B" w:rsidRDefault="003E6BF0" w:rsidP="0080758B">
      <w:pPr>
        <w:pStyle w:val="OutlineNumbered1"/>
        <w:rPr>
          <w:rFonts w:eastAsiaTheme="minorHAnsi"/>
        </w:rPr>
      </w:pPr>
      <w:r w:rsidRPr="0080758B">
        <w:rPr>
          <w:rFonts w:eastAsiaTheme="minorHAnsi"/>
        </w:rPr>
        <w:t xml:space="preserve">These issues are </w:t>
      </w:r>
      <w:r w:rsidR="003D65B6">
        <w:rPr>
          <w:rFonts w:eastAsiaTheme="minorHAnsi"/>
        </w:rPr>
        <w:t>discussed in more detail below.</w:t>
      </w:r>
    </w:p>
    <w:p w14:paraId="17B3070C" w14:textId="0AD8D284" w:rsidR="0080758B" w:rsidRPr="000D7571" w:rsidRDefault="005B6A95" w:rsidP="000D7571">
      <w:pPr>
        <w:pStyle w:val="OutlineNumbered1"/>
      </w:pPr>
      <w:r w:rsidRPr="000D7571">
        <w:rPr>
          <w:rFonts w:eastAsiaTheme="minorHAnsi"/>
        </w:rPr>
        <w:t xml:space="preserve">In addition, this paper considers issues associated with the </w:t>
      </w:r>
      <w:r w:rsidR="00D9001A" w:rsidRPr="000D7571">
        <w:rPr>
          <w:rFonts w:eastAsiaTheme="minorHAnsi"/>
        </w:rPr>
        <w:t xml:space="preserve">broader </w:t>
      </w:r>
      <w:r w:rsidRPr="000D7571">
        <w:rPr>
          <w:rFonts w:eastAsiaTheme="minorHAnsi"/>
        </w:rPr>
        <w:t>use of material that is seized under search warrants by ASIC</w:t>
      </w:r>
      <w:r w:rsidR="000D7571" w:rsidRPr="000D7571">
        <w:rPr>
          <w:rFonts w:eastAsiaTheme="minorHAnsi"/>
        </w:rPr>
        <w:t xml:space="preserve"> and potentially third parties</w:t>
      </w:r>
      <w:r w:rsidR="000D7571">
        <w:rPr>
          <w:rFonts w:eastAsiaTheme="minorHAnsi"/>
        </w:rPr>
        <w:t>.</w:t>
      </w:r>
    </w:p>
    <w:p w14:paraId="3CBF1D6E" w14:textId="77777777" w:rsidR="000D7571" w:rsidRDefault="000D7571" w:rsidP="000D7571">
      <w:pPr>
        <w:pStyle w:val="OutlineNumbered1"/>
        <w:sectPr w:rsidR="000D7571" w:rsidSect="000756A4">
          <w:headerReference w:type="first" r:id="rId41"/>
          <w:footerReference w:type="first" r:id="rId42"/>
          <w:pgSz w:w="11906" w:h="16838"/>
          <w:pgMar w:top="1440" w:right="1440" w:bottom="1440" w:left="1440" w:header="708" w:footer="708" w:gutter="0"/>
          <w:cols w:space="708"/>
          <w:titlePg/>
          <w:docGrid w:linePitch="360"/>
        </w:sectPr>
      </w:pPr>
    </w:p>
    <w:p w14:paraId="48999438" w14:textId="257F1771" w:rsidR="00871694" w:rsidRDefault="00381C3F" w:rsidP="00C462C8">
      <w:pPr>
        <w:pStyle w:val="Heading1-Numbered"/>
      </w:pPr>
      <w:bookmarkStart w:id="36" w:name="_Toc484695700"/>
      <w:bookmarkStart w:id="37" w:name="_Toc486231366"/>
      <w:r>
        <w:lastRenderedPageBreak/>
        <w:t xml:space="preserve">The </w:t>
      </w:r>
      <w:r w:rsidR="00CB7FBA">
        <w:t>‘</w:t>
      </w:r>
      <w:r>
        <w:t>forewarning</w:t>
      </w:r>
      <w:r w:rsidR="00CB7FBA">
        <w:t>’</w:t>
      </w:r>
      <w:r>
        <w:t xml:space="preserve"> </w:t>
      </w:r>
      <w:r w:rsidR="00D244FC">
        <w:t>requirements</w:t>
      </w:r>
      <w:bookmarkEnd w:id="36"/>
      <w:bookmarkEnd w:id="37"/>
    </w:p>
    <w:p w14:paraId="7A773182" w14:textId="18E9872F" w:rsidR="00800AA0" w:rsidRPr="000D7571" w:rsidRDefault="007D6352" w:rsidP="00B748F1">
      <w:pPr>
        <w:pStyle w:val="OutlineNumbered1"/>
        <w:numPr>
          <w:ilvl w:val="0"/>
          <w:numId w:val="34"/>
        </w:numPr>
        <w:rPr>
          <w:rFonts w:eastAsiaTheme="minorHAnsi"/>
        </w:rPr>
      </w:pPr>
      <w:r w:rsidRPr="000D7571">
        <w:rPr>
          <w:rFonts w:eastAsiaTheme="minorHAnsi"/>
        </w:rPr>
        <w:t xml:space="preserve">The </w:t>
      </w:r>
      <w:r w:rsidR="00757A73">
        <w:rPr>
          <w:rFonts w:eastAsiaTheme="minorHAnsi"/>
        </w:rPr>
        <w:t>‘</w:t>
      </w:r>
      <w:r w:rsidRPr="000D7571">
        <w:rPr>
          <w:rFonts w:eastAsiaTheme="minorHAnsi"/>
        </w:rPr>
        <w:t>forewarning</w:t>
      </w:r>
      <w:r w:rsidR="00757A73">
        <w:rPr>
          <w:rFonts w:eastAsiaTheme="minorHAnsi"/>
        </w:rPr>
        <w:t>’</w:t>
      </w:r>
      <w:r w:rsidR="004734F3" w:rsidRPr="000D7571">
        <w:rPr>
          <w:rFonts w:eastAsiaTheme="minorHAnsi"/>
        </w:rPr>
        <w:t xml:space="preserve"> </w:t>
      </w:r>
      <w:r w:rsidRPr="000D7571">
        <w:rPr>
          <w:rFonts w:eastAsiaTheme="minorHAnsi"/>
        </w:rPr>
        <w:t>requirement</w:t>
      </w:r>
      <w:r w:rsidR="004734F3" w:rsidRPr="000D7571">
        <w:rPr>
          <w:rFonts w:eastAsiaTheme="minorHAnsi"/>
        </w:rPr>
        <w:t>s</w:t>
      </w:r>
      <w:r w:rsidRPr="000D7571">
        <w:rPr>
          <w:rFonts w:eastAsiaTheme="minorHAnsi"/>
        </w:rPr>
        <w:t xml:space="preserve"> </w:t>
      </w:r>
      <w:r w:rsidR="00A378B9" w:rsidRPr="000D7571">
        <w:rPr>
          <w:rFonts w:eastAsiaTheme="minorHAnsi"/>
        </w:rPr>
        <w:t>in the NCCP Act, SIS Act and RSA Act require ASIC, when seeking a search warrant, to demonstrate that it has previously issued a notice to a relevant person requiring the production of books and the person has failed to produce those books</w:t>
      </w:r>
      <w:r w:rsidR="004734F3" w:rsidRPr="000D7571">
        <w:rPr>
          <w:rFonts w:eastAsiaTheme="minorHAnsi"/>
        </w:rPr>
        <w:t>.</w:t>
      </w:r>
      <w:r w:rsidRPr="000D7571">
        <w:rPr>
          <w:rStyle w:val="FootnoteReference"/>
          <w:rFonts w:eastAsiaTheme="minorHAnsi"/>
        </w:rPr>
        <w:footnoteReference w:id="42"/>
      </w:r>
      <w:r w:rsidR="004734F3" w:rsidRPr="000D7571">
        <w:rPr>
          <w:rFonts w:eastAsiaTheme="minorHAnsi"/>
        </w:rPr>
        <w:t xml:space="preserve"> In effect this provides a warning to individuals under investigation that ASIC is seeking to obtain particular evidential material, thereby affording them the opportunity to destroy, alter or conceal evidence prior to t</w:t>
      </w:r>
      <w:r w:rsidR="00800AA0" w:rsidRPr="000D7571">
        <w:rPr>
          <w:rFonts w:eastAsiaTheme="minorHAnsi"/>
        </w:rPr>
        <w:t>he execution of search warrants.</w:t>
      </w:r>
    </w:p>
    <w:p w14:paraId="0C1858ED" w14:textId="7FD6C41D" w:rsidR="00A378B9" w:rsidRPr="000D7571" w:rsidRDefault="004734F3" w:rsidP="000D7571">
      <w:pPr>
        <w:pStyle w:val="OutlineNumbered1"/>
        <w:rPr>
          <w:rFonts w:eastAsiaTheme="minorHAnsi"/>
        </w:rPr>
      </w:pPr>
      <w:r w:rsidRPr="000D7571">
        <w:rPr>
          <w:rFonts w:eastAsiaTheme="minorHAnsi"/>
        </w:rPr>
        <w:t xml:space="preserve">As stated above </w:t>
      </w:r>
      <w:r w:rsidR="00A378B9" w:rsidRPr="000D7571">
        <w:rPr>
          <w:rFonts w:eastAsiaTheme="minorHAnsi"/>
        </w:rPr>
        <w:t>the</w:t>
      </w:r>
      <w:r w:rsidR="007D6352" w:rsidRPr="000D7571">
        <w:rPr>
          <w:rFonts w:eastAsiaTheme="minorHAnsi"/>
        </w:rPr>
        <w:t xml:space="preserve"> </w:t>
      </w:r>
      <w:r w:rsidR="00757A73">
        <w:rPr>
          <w:rFonts w:eastAsiaTheme="minorHAnsi"/>
        </w:rPr>
        <w:t>‘</w:t>
      </w:r>
      <w:r w:rsidR="007D6352" w:rsidRPr="000D7571">
        <w:rPr>
          <w:rFonts w:eastAsiaTheme="minorHAnsi"/>
        </w:rPr>
        <w:t>forewarning</w:t>
      </w:r>
      <w:r w:rsidR="00757A73">
        <w:rPr>
          <w:rFonts w:eastAsiaTheme="minorHAnsi"/>
        </w:rPr>
        <w:t>’</w:t>
      </w:r>
      <w:r w:rsidR="007D6352" w:rsidRPr="000D7571">
        <w:rPr>
          <w:rFonts w:eastAsiaTheme="minorHAnsi"/>
        </w:rPr>
        <w:t xml:space="preserve"> requirement was removed from the ASIC Act search warrant provisions in 2010.</w:t>
      </w:r>
      <w:r w:rsidR="007D6352" w:rsidRPr="000D7571">
        <w:rPr>
          <w:rStyle w:val="FootnoteReference"/>
          <w:rFonts w:eastAsiaTheme="minorHAnsi"/>
        </w:rPr>
        <w:footnoteReference w:id="43"/>
      </w:r>
      <w:r w:rsidR="00800AA0" w:rsidRPr="000D7571">
        <w:rPr>
          <w:rFonts w:eastAsiaTheme="minorHAnsi"/>
        </w:rPr>
        <w:t xml:space="preserve"> However, </w:t>
      </w:r>
      <w:r w:rsidR="00871694" w:rsidRPr="000D7571">
        <w:rPr>
          <w:rFonts w:eastAsiaTheme="minorHAnsi"/>
        </w:rPr>
        <w:t>the 2010 reforms did not remove the identical requirements in the search warrant provisions in the</w:t>
      </w:r>
      <w:r w:rsidR="00A378B9" w:rsidRPr="000D7571">
        <w:rPr>
          <w:rFonts w:eastAsiaTheme="minorHAnsi"/>
        </w:rPr>
        <w:t xml:space="preserve"> NCCP Act, SIS Act or RSA Act, with the consequence that the problems identified persist with respect to the specific search w</w:t>
      </w:r>
      <w:r w:rsidR="003D65B6">
        <w:rPr>
          <w:rFonts w:eastAsiaTheme="minorHAnsi"/>
        </w:rPr>
        <w:t>arrant powers under those Acts.</w:t>
      </w:r>
    </w:p>
    <w:p w14:paraId="3EF0697D" w14:textId="3B6915BE" w:rsidR="003A3475" w:rsidRPr="0035290D" w:rsidRDefault="00A378B9" w:rsidP="00ED2B3F">
      <w:pPr>
        <w:pStyle w:val="Heading2-NoTOC"/>
      </w:pPr>
      <w:bookmarkStart w:id="38" w:name="_Toc476567371"/>
      <w:bookmarkStart w:id="39" w:name="_Toc477531787"/>
      <w:bookmarkStart w:id="40" w:name="_Toc477531935"/>
      <w:bookmarkStart w:id="41" w:name="_Toc484695701"/>
      <w:r w:rsidRPr="0035290D">
        <w:t>Position 1:</w:t>
      </w:r>
      <w:bookmarkEnd w:id="38"/>
      <w:bookmarkEnd w:id="39"/>
      <w:bookmarkEnd w:id="40"/>
      <w:r w:rsidR="002D26F6" w:rsidRPr="0035290D">
        <w:tab/>
      </w:r>
      <w:r w:rsidR="00EE0D78" w:rsidRPr="0035290D">
        <w:t>ASIC-specific s</w:t>
      </w:r>
      <w:r w:rsidRPr="0035290D">
        <w:t>earch warrant power</w:t>
      </w:r>
      <w:r w:rsidR="00CC57C8" w:rsidRPr="0035290D">
        <w:t xml:space="preserve">s </w:t>
      </w:r>
      <w:r w:rsidR="00EE0D78" w:rsidRPr="0035290D">
        <w:t>in various Acts</w:t>
      </w:r>
      <w:r w:rsidR="00693D5D" w:rsidRPr="0035290D">
        <w:t xml:space="preserve"> </w:t>
      </w:r>
      <w:r w:rsidR="00FD6639" w:rsidRPr="0035290D">
        <w:t>should be consolidated into the ASIC Act</w:t>
      </w:r>
      <w:bookmarkEnd w:id="41"/>
    </w:p>
    <w:p w14:paraId="7BF689E8" w14:textId="1705A390" w:rsidR="00A378B9" w:rsidRPr="000D7571" w:rsidRDefault="00A378B9" w:rsidP="000D7571">
      <w:pPr>
        <w:pStyle w:val="OutlineNumbered1"/>
        <w:rPr>
          <w:rFonts w:eastAsiaTheme="minorHAnsi"/>
        </w:rPr>
      </w:pPr>
      <w:r w:rsidRPr="000D7571">
        <w:rPr>
          <w:rFonts w:eastAsiaTheme="minorHAnsi"/>
        </w:rPr>
        <w:t xml:space="preserve">The Taskforce adopts as its preliminary position that </w:t>
      </w:r>
      <w:r w:rsidR="00EE0D78" w:rsidRPr="000D7571">
        <w:rPr>
          <w:rFonts w:eastAsiaTheme="minorHAnsi"/>
        </w:rPr>
        <w:t>ASIC-specific search warrant powers in various Acts should be consolidated into the ASIC Act</w:t>
      </w:r>
      <w:r w:rsidR="00FD6639" w:rsidRPr="000D7571">
        <w:rPr>
          <w:rFonts w:eastAsiaTheme="minorHAnsi"/>
        </w:rPr>
        <w:t>. This would mean that search warrants obtained in investigations</w:t>
      </w:r>
      <w:r w:rsidR="00AE2E03" w:rsidRPr="000D7571">
        <w:rPr>
          <w:rFonts w:eastAsiaTheme="minorHAnsi"/>
        </w:rPr>
        <w:t xml:space="preserve"> of contraventions of all legislation administered by ASIC</w:t>
      </w:r>
      <w:r w:rsidR="006E708E" w:rsidRPr="000D7571">
        <w:rPr>
          <w:rFonts w:eastAsiaTheme="minorHAnsi"/>
        </w:rPr>
        <w:t>, including investiga</w:t>
      </w:r>
      <w:r w:rsidR="00691FF6" w:rsidRPr="000D7571">
        <w:rPr>
          <w:rFonts w:eastAsiaTheme="minorHAnsi"/>
        </w:rPr>
        <w:t xml:space="preserve">tions of suspected contraventions </w:t>
      </w:r>
      <w:r w:rsidR="006E708E" w:rsidRPr="000D7571">
        <w:rPr>
          <w:rFonts w:eastAsiaTheme="minorHAnsi"/>
        </w:rPr>
        <w:t>of the Corporations Act, ASIC Act, NCCP Act, SIS Act and RSA Act</w:t>
      </w:r>
      <w:r w:rsidR="00FD6639" w:rsidRPr="000D7571">
        <w:rPr>
          <w:rFonts w:eastAsiaTheme="minorHAnsi"/>
        </w:rPr>
        <w:t>, would be centralised in the ASIC Act</w:t>
      </w:r>
      <w:r w:rsidR="006E708E" w:rsidRPr="000D7571">
        <w:rPr>
          <w:rFonts w:eastAsiaTheme="minorHAnsi"/>
        </w:rPr>
        <w:t xml:space="preserve">. </w:t>
      </w:r>
      <w:r w:rsidR="00FE1F68">
        <w:rPr>
          <w:rStyle w:val="FootnoteReference"/>
          <w:rFonts w:eastAsiaTheme="minorHAnsi"/>
        </w:rPr>
        <w:footnoteReference w:id="44"/>
      </w:r>
      <w:r w:rsidR="00FE1F68">
        <w:rPr>
          <w:rFonts w:eastAsiaTheme="minorHAnsi"/>
        </w:rPr>
        <w:t xml:space="preserve"> </w:t>
      </w:r>
      <w:r w:rsidR="00EE0D78" w:rsidRPr="000D7571">
        <w:rPr>
          <w:rFonts w:eastAsiaTheme="minorHAnsi"/>
        </w:rPr>
        <w:t>General search warrant powers such as those in th</w:t>
      </w:r>
      <w:r w:rsidR="00FE1F68">
        <w:rPr>
          <w:rFonts w:eastAsiaTheme="minorHAnsi"/>
        </w:rPr>
        <w:t>e Crimes Act would not be affec</w:t>
      </w:r>
      <w:r w:rsidR="00EE0D78" w:rsidRPr="000D7571">
        <w:rPr>
          <w:rFonts w:eastAsiaTheme="minorHAnsi"/>
        </w:rPr>
        <w:t>ted by this measure and could still be used by ASIC in appropriate circumstances.</w:t>
      </w:r>
    </w:p>
    <w:p w14:paraId="6C5A830B" w14:textId="464298BC" w:rsidR="00034892" w:rsidRPr="000D7571" w:rsidRDefault="006E708E" w:rsidP="000D7571">
      <w:pPr>
        <w:pStyle w:val="OutlineNumbered1"/>
        <w:rPr>
          <w:rFonts w:eastAsiaTheme="minorHAnsi"/>
        </w:rPr>
      </w:pPr>
      <w:bookmarkStart w:id="42" w:name="_Ref467826565"/>
      <w:r w:rsidRPr="000D7571">
        <w:rPr>
          <w:rFonts w:eastAsiaTheme="minorHAnsi"/>
        </w:rPr>
        <w:t>This will in effect remove the forewarning requirement from the NCCP Act, SIS Act and RSA Act</w:t>
      </w:r>
      <w:r w:rsidR="00034892" w:rsidRPr="000D7571">
        <w:rPr>
          <w:rFonts w:eastAsiaTheme="minorHAnsi"/>
        </w:rPr>
        <w:t>, reducing the risk of the destruction, concealment and alteration of evidence by individuals under investigation by ASIC in relation to contraventions of those</w:t>
      </w:r>
      <w:r w:rsidR="00691FF6" w:rsidRPr="000D7571">
        <w:rPr>
          <w:rFonts w:eastAsiaTheme="minorHAnsi"/>
        </w:rPr>
        <w:t xml:space="preserve"> a</w:t>
      </w:r>
      <w:r w:rsidR="00034892" w:rsidRPr="000D7571">
        <w:rPr>
          <w:rFonts w:eastAsiaTheme="minorHAnsi"/>
        </w:rPr>
        <w:t>cts.</w:t>
      </w:r>
    </w:p>
    <w:p w14:paraId="2447939D" w14:textId="15F74CFB" w:rsidR="006E708E" w:rsidRPr="000D7571" w:rsidRDefault="006E708E" w:rsidP="000D7571">
      <w:pPr>
        <w:pStyle w:val="OutlineNumbered1"/>
        <w:rPr>
          <w:rFonts w:eastAsiaTheme="minorHAnsi"/>
        </w:rPr>
      </w:pPr>
      <w:r w:rsidRPr="000D7571">
        <w:rPr>
          <w:rFonts w:eastAsiaTheme="minorHAnsi"/>
        </w:rPr>
        <w:t xml:space="preserve">In addition, </w:t>
      </w:r>
      <w:r w:rsidR="00034892" w:rsidRPr="000D7571">
        <w:rPr>
          <w:rFonts w:eastAsiaTheme="minorHAnsi"/>
        </w:rPr>
        <w:t xml:space="preserve">this will result in consistent search warrant powers across the legislation in respect of which ASIC has specific enforcement responsibility and enable </w:t>
      </w:r>
      <w:r w:rsidRPr="000D7571">
        <w:rPr>
          <w:rFonts w:eastAsiaTheme="minorHAnsi"/>
        </w:rPr>
        <w:t xml:space="preserve">consistency </w:t>
      </w:r>
      <w:r w:rsidR="00034892" w:rsidRPr="000D7571">
        <w:rPr>
          <w:rFonts w:eastAsiaTheme="minorHAnsi"/>
        </w:rPr>
        <w:t>to be</w:t>
      </w:r>
      <w:r w:rsidRPr="000D7571">
        <w:rPr>
          <w:rFonts w:eastAsiaTheme="minorHAnsi"/>
        </w:rPr>
        <w:t xml:space="preserve"> maintained. </w:t>
      </w:r>
      <w:r w:rsidR="00690FFE" w:rsidRPr="000D7571">
        <w:rPr>
          <w:rFonts w:eastAsiaTheme="minorHAnsi"/>
        </w:rPr>
        <w:t xml:space="preserve">If amendments are considered necessary in the future, only one set of provisions will need to be amended. This may be particularly relevant </w:t>
      </w:r>
      <w:r w:rsidR="00034892" w:rsidRPr="000D7571">
        <w:rPr>
          <w:rFonts w:eastAsiaTheme="minorHAnsi"/>
        </w:rPr>
        <w:t>given the</w:t>
      </w:r>
      <w:r w:rsidR="00690FFE" w:rsidRPr="000D7571">
        <w:rPr>
          <w:rFonts w:eastAsiaTheme="minorHAnsi"/>
        </w:rPr>
        <w:t xml:space="preserve"> other </w:t>
      </w:r>
      <w:r w:rsidR="00AE2E03" w:rsidRPr="000D7571">
        <w:rPr>
          <w:rFonts w:eastAsiaTheme="minorHAnsi"/>
        </w:rPr>
        <w:t>proposals</w:t>
      </w:r>
      <w:r w:rsidR="003D65B6">
        <w:rPr>
          <w:rFonts w:eastAsiaTheme="minorHAnsi"/>
        </w:rPr>
        <w:t xml:space="preserve"> suggested in this paper.</w:t>
      </w:r>
    </w:p>
    <w:p w14:paraId="790DB972" w14:textId="77777777" w:rsidR="000D7571" w:rsidRPr="000D7571" w:rsidRDefault="000D7571" w:rsidP="000D7571">
      <w:pPr>
        <w:rPr>
          <w:rFonts w:eastAsiaTheme="minorHAnsi"/>
        </w:rPr>
      </w:pPr>
    </w:p>
    <w:p w14:paraId="22180F4D" w14:textId="77777777" w:rsidR="000D7571" w:rsidRDefault="000D7571">
      <w:pPr>
        <w:spacing w:after="200" w:line="276" w:lineRule="auto"/>
        <w:jc w:val="left"/>
        <w:rPr>
          <w:rFonts w:eastAsiaTheme="minorHAnsi"/>
        </w:rPr>
      </w:pPr>
      <w:r>
        <w:rPr>
          <w:rFonts w:eastAsiaTheme="minorHAnsi"/>
        </w:rPr>
        <w:br w:type="page"/>
      </w:r>
    </w:p>
    <w:p w14:paraId="6A8365ED" w14:textId="69EDB765" w:rsidR="00E23103" w:rsidRDefault="00E23103" w:rsidP="000D7571">
      <w:pPr>
        <w:pStyle w:val="OutlineNumbered1"/>
        <w:rPr>
          <w:rFonts w:eastAsiaTheme="minorHAnsi"/>
        </w:rPr>
      </w:pPr>
      <w:r w:rsidRPr="000D7571">
        <w:rPr>
          <w:rFonts w:eastAsiaTheme="minorHAnsi"/>
        </w:rPr>
        <w:lastRenderedPageBreak/>
        <w:t xml:space="preserve">The Taskforce notes that the </w:t>
      </w:r>
      <w:r w:rsidRPr="000D7571">
        <w:rPr>
          <w:rFonts w:eastAsiaTheme="minorHAnsi"/>
          <w:i/>
        </w:rPr>
        <w:t>Regulatory Powers (Standard Provisions) Act 2014</w:t>
      </w:r>
      <w:r w:rsidRPr="000D7571">
        <w:rPr>
          <w:rFonts w:eastAsiaTheme="minorHAnsi"/>
        </w:rPr>
        <w:t xml:space="preserve"> (Regulatory Powers Act) </w:t>
      </w:r>
      <w:r w:rsidR="005C5AD9" w:rsidRPr="000D7571">
        <w:rPr>
          <w:rFonts w:eastAsiaTheme="minorHAnsi"/>
        </w:rPr>
        <w:t xml:space="preserve">creates a standard framework for </w:t>
      </w:r>
      <w:r w:rsidRPr="000D7571">
        <w:rPr>
          <w:rFonts w:eastAsiaTheme="minorHAnsi"/>
        </w:rPr>
        <w:t>monitoring and investigation</w:t>
      </w:r>
      <w:r w:rsidR="0018130F" w:rsidRPr="000D7571">
        <w:rPr>
          <w:rFonts w:eastAsiaTheme="minorHAnsi"/>
        </w:rPr>
        <w:t xml:space="preserve"> powers and includes</w:t>
      </w:r>
      <w:r w:rsidRPr="000D7571">
        <w:rPr>
          <w:rFonts w:eastAsiaTheme="minorHAnsi"/>
        </w:rPr>
        <w:t xml:space="preserve"> provisions relating to the issue and execution of search warrants</w:t>
      </w:r>
      <w:r w:rsidR="000D7571">
        <w:rPr>
          <w:rFonts w:eastAsiaTheme="minorHAnsi"/>
        </w:rPr>
        <w:t>.</w:t>
      </w:r>
      <w:r w:rsidRPr="000D7571">
        <w:rPr>
          <w:rStyle w:val="FootnoteReference"/>
          <w:rFonts w:eastAsiaTheme="minorHAnsi"/>
        </w:rPr>
        <w:footnoteReference w:id="45"/>
      </w:r>
      <w:r w:rsidRPr="000D7571">
        <w:rPr>
          <w:rFonts w:eastAsiaTheme="minorHAnsi"/>
        </w:rPr>
        <w:t xml:space="preserve"> </w:t>
      </w:r>
      <w:r w:rsidR="005C5AD9" w:rsidRPr="000D7571">
        <w:rPr>
          <w:rFonts w:eastAsiaTheme="minorHAnsi"/>
        </w:rPr>
        <w:t>The Regulatory Powers Act has effect where a Commonwealth a</w:t>
      </w:r>
      <w:r w:rsidR="0018130F" w:rsidRPr="000D7571">
        <w:rPr>
          <w:rFonts w:eastAsiaTheme="minorHAnsi"/>
        </w:rPr>
        <w:t>ct</w:t>
      </w:r>
      <w:r w:rsidR="005C5AD9" w:rsidRPr="000D7571">
        <w:rPr>
          <w:rFonts w:eastAsiaTheme="minorHAnsi"/>
        </w:rPr>
        <w:t xml:space="preserve"> specifically triggers its provisions. </w:t>
      </w:r>
      <w:r w:rsidR="0018130F" w:rsidRPr="000D7571">
        <w:rPr>
          <w:rFonts w:eastAsiaTheme="minorHAnsi"/>
        </w:rPr>
        <w:t>Amongst other things, the Regulatory Powers Act provides a means for</w:t>
      </w:r>
      <w:r w:rsidRPr="000D7571">
        <w:rPr>
          <w:rFonts w:eastAsiaTheme="minorHAnsi"/>
        </w:rPr>
        <w:t xml:space="preserve"> ensuring greater consistency </w:t>
      </w:r>
      <w:r w:rsidR="0018130F" w:rsidRPr="000D7571">
        <w:rPr>
          <w:rFonts w:eastAsiaTheme="minorHAnsi"/>
        </w:rPr>
        <w:t xml:space="preserve">in the monitoring and investigative powers exercised by regulatory agencies thereby </w:t>
      </w:r>
      <w:r w:rsidRPr="000D7571">
        <w:rPr>
          <w:rFonts w:eastAsiaTheme="minorHAnsi"/>
        </w:rPr>
        <w:t>reducing the administrative burden on agencies</w:t>
      </w:r>
      <w:r w:rsidR="0018130F" w:rsidRPr="000D7571">
        <w:rPr>
          <w:rFonts w:eastAsiaTheme="minorHAnsi"/>
        </w:rPr>
        <w:t xml:space="preserve"> and providing greater certainty for those who are the subject of investigations. The Regulatory Powers Act may provide another means by which </w:t>
      </w:r>
      <w:r w:rsidRPr="000D7571">
        <w:rPr>
          <w:rFonts w:eastAsiaTheme="minorHAnsi"/>
        </w:rPr>
        <w:t xml:space="preserve">to achieve </w:t>
      </w:r>
      <w:r w:rsidR="0018130F" w:rsidRPr="000D7571">
        <w:rPr>
          <w:rFonts w:eastAsiaTheme="minorHAnsi"/>
        </w:rPr>
        <w:t xml:space="preserve">the </w:t>
      </w:r>
      <w:r w:rsidRPr="000D7571">
        <w:rPr>
          <w:rFonts w:eastAsiaTheme="minorHAnsi"/>
        </w:rPr>
        <w:t xml:space="preserve">harmonisation of </w:t>
      </w:r>
      <w:r w:rsidR="0018130F" w:rsidRPr="000D7571">
        <w:rPr>
          <w:rFonts w:eastAsiaTheme="minorHAnsi"/>
        </w:rPr>
        <w:t xml:space="preserve">ASIC’s </w:t>
      </w:r>
      <w:r w:rsidRPr="000D7571">
        <w:rPr>
          <w:rFonts w:eastAsiaTheme="minorHAnsi"/>
        </w:rPr>
        <w:t>search warrant powers</w:t>
      </w:r>
      <w:r w:rsidR="0018130F" w:rsidRPr="000D7571">
        <w:rPr>
          <w:rFonts w:eastAsiaTheme="minorHAnsi"/>
        </w:rPr>
        <w:t>.</w:t>
      </w:r>
    </w:p>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DBE5F1" w:themeFill="accent1" w:themeFillTint="33"/>
        <w:tblCellMar>
          <w:left w:w="142" w:type="dxa"/>
          <w:right w:w="142" w:type="dxa"/>
        </w:tblCellMar>
        <w:tblLook w:val="04A0" w:firstRow="1" w:lastRow="0" w:firstColumn="1" w:lastColumn="0" w:noHBand="0" w:noVBand="1"/>
      </w:tblPr>
      <w:tblGrid>
        <w:gridCol w:w="9242"/>
      </w:tblGrid>
      <w:tr w:rsidR="000D7571" w:rsidRPr="000D7571" w14:paraId="68895491" w14:textId="77777777" w:rsidTr="000D7571">
        <w:tc>
          <w:tcPr>
            <w:tcW w:w="9242" w:type="dxa"/>
            <w:shd w:val="clear" w:color="auto" w:fill="DBE5F1" w:themeFill="accent1" w:themeFillTint="33"/>
          </w:tcPr>
          <w:p w14:paraId="3BFCFCCB" w14:textId="77777777" w:rsidR="000D7571" w:rsidRPr="000D7571" w:rsidRDefault="000D7571" w:rsidP="000D7571">
            <w:pPr>
              <w:pStyle w:val="BoxHeadingnonumber"/>
            </w:pPr>
            <w:r w:rsidRPr="000D7571">
              <w:t xml:space="preserve">Questions </w:t>
            </w:r>
          </w:p>
          <w:p w14:paraId="79BE2652" w14:textId="1A92BE84" w:rsidR="000D7571" w:rsidRPr="000D7571" w:rsidRDefault="000D7571" w:rsidP="000D7571">
            <w:pPr>
              <w:pStyle w:val="BoxNumbering"/>
            </w:pPr>
            <w:r w:rsidRPr="000D7571">
              <w:t xml:space="preserve">Should the </w:t>
            </w:r>
            <w:r w:rsidR="00757A73">
              <w:t>‘</w:t>
            </w:r>
            <w:r w:rsidRPr="000D7571">
              <w:t>forewarning</w:t>
            </w:r>
            <w:r w:rsidR="00757A73">
              <w:t>’</w:t>
            </w:r>
            <w:r w:rsidRPr="000D7571">
              <w:t xml:space="preserve"> requirements in the search warrant powers in the NCCP Act, SIS Act and RSA Act be removed?</w:t>
            </w:r>
          </w:p>
          <w:p w14:paraId="230A9881" w14:textId="3094EFEB" w:rsidR="000D7571" w:rsidRPr="000D7571" w:rsidRDefault="000D7571" w:rsidP="000D7571">
            <w:pPr>
              <w:pStyle w:val="BoxNumbering"/>
            </w:pPr>
            <w:r w:rsidRPr="000D7571">
              <w:t>Should there be one set of search warrant powers in the ASIC Act that would be available for investigations of contraventions of the Corporations Act, ASIC Act, NCCP Act, SIS Act and RSA</w:t>
            </w:r>
            <w:r>
              <w:t> </w:t>
            </w:r>
            <w:r w:rsidRPr="000D7571">
              <w:t>Act?</w:t>
            </w:r>
          </w:p>
        </w:tc>
      </w:tr>
    </w:tbl>
    <w:p w14:paraId="497D608C" w14:textId="77777777" w:rsidR="000D7571" w:rsidRPr="000D7571" w:rsidRDefault="000D7571" w:rsidP="000D7571">
      <w:pPr>
        <w:rPr>
          <w:rFonts w:eastAsiaTheme="minorHAnsi"/>
        </w:rPr>
      </w:pPr>
    </w:p>
    <w:p w14:paraId="367FD4C4" w14:textId="77777777" w:rsidR="000D7571" w:rsidRPr="000D7571" w:rsidRDefault="000D7571" w:rsidP="000D7571">
      <w:pPr>
        <w:rPr>
          <w:rFonts w:eastAsiaTheme="minorHAnsi"/>
        </w:rPr>
      </w:pPr>
    </w:p>
    <w:p w14:paraId="5321284D" w14:textId="6204A2CA" w:rsidR="000D7571" w:rsidRDefault="000D7571" w:rsidP="000D7571"/>
    <w:p w14:paraId="6DCCB9E6" w14:textId="77777777" w:rsidR="000D7571" w:rsidRPr="000D7571" w:rsidRDefault="000D7571" w:rsidP="000D7571">
      <w:pPr>
        <w:sectPr w:rsidR="000D7571" w:rsidRPr="000D7571" w:rsidSect="000756A4">
          <w:headerReference w:type="default" r:id="rId43"/>
          <w:footerReference w:type="default" r:id="rId44"/>
          <w:headerReference w:type="first" r:id="rId45"/>
          <w:footerReference w:type="first" r:id="rId46"/>
          <w:pgSz w:w="11906" w:h="16838"/>
          <w:pgMar w:top="1440" w:right="1440" w:bottom="1440" w:left="1440" w:header="708" w:footer="708" w:gutter="0"/>
          <w:cols w:space="708"/>
          <w:titlePg/>
          <w:docGrid w:linePitch="360"/>
        </w:sectPr>
      </w:pPr>
    </w:p>
    <w:p w14:paraId="0E08723B" w14:textId="385DFBB5" w:rsidR="00034892" w:rsidRDefault="00693D5D" w:rsidP="00C462C8">
      <w:pPr>
        <w:pStyle w:val="Heading1-Numbered"/>
      </w:pPr>
      <w:bookmarkStart w:id="43" w:name="_Toc484695702"/>
      <w:bookmarkStart w:id="44" w:name="_Toc486231367"/>
      <w:r>
        <w:lastRenderedPageBreak/>
        <w:t>Applying for a warrant and t</w:t>
      </w:r>
      <w:r w:rsidR="00034892">
        <w:t xml:space="preserve">he </w:t>
      </w:r>
      <w:r w:rsidR="00757A73">
        <w:t>‘</w:t>
      </w:r>
      <w:r w:rsidR="00034892">
        <w:t>particular books</w:t>
      </w:r>
      <w:r w:rsidR="00757A73">
        <w:t>’</w:t>
      </w:r>
      <w:r w:rsidR="00034892">
        <w:t xml:space="preserve"> requirements</w:t>
      </w:r>
      <w:bookmarkEnd w:id="43"/>
      <w:bookmarkEnd w:id="44"/>
    </w:p>
    <w:p w14:paraId="5CD4246D" w14:textId="0CF17C57" w:rsidR="005626A9" w:rsidRPr="000D7571" w:rsidRDefault="00124CD0" w:rsidP="00B748F1">
      <w:pPr>
        <w:pStyle w:val="OutlineNumbered1"/>
        <w:numPr>
          <w:ilvl w:val="0"/>
          <w:numId w:val="36"/>
        </w:numPr>
        <w:rPr>
          <w:rFonts w:eastAsiaTheme="minorHAnsi"/>
        </w:rPr>
      </w:pPr>
      <w:r w:rsidRPr="000D7571">
        <w:rPr>
          <w:rFonts w:eastAsiaTheme="minorHAnsi"/>
        </w:rPr>
        <w:t>Search warrants issued under the ASIC Act, NCC</w:t>
      </w:r>
      <w:r w:rsidR="0020001C" w:rsidRPr="000D7571">
        <w:rPr>
          <w:rFonts w:eastAsiaTheme="minorHAnsi"/>
        </w:rPr>
        <w:t xml:space="preserve">P Act, SIS Act and RSA Act </w:t>
      </w:r>
      <w:r w:rsidRPr="000D7571">
        <w:rPr>
          <w:rFonts w:eastAsiaTheme="minorHAnsi"/>
        </w:rPr>
        <w:t xml:space="preserve">authorise the search for and seizure of specified </w:t>
      </w:r>
      <w:r w:rsidR="00757A73">
        <w:rPr>
          <w:rFonts w:eastAsiaTheme="minorHAnsi"/>
        </w:rPr>
        <w:t>‘</w:t>
      </w:r>
      <w:r w:rsidRPr="000D7571">
        <w:rPr>
          <w:rFonts w:eastAsiaTheme="minorHAnsi"/>
        </w:rPr>
        <w:t>particular books</w:t>
      </w:r>
      <w:r w:rsidR="00757A73">
        <w:rPr>
          <w:rFonts w:eastAsiaTheme="minorHAnsi"/>
        </w:rPr>
        <w:t>’</w:t>
      </w:r>
      <w:r w:rsidRPr="000D7571">
        <w:rPr>
          <w:rFonts w:eastAsiaTheme="minorHAnsi"/>
        </w:rPr>
        <w:t>,</w:t>
      </w:r>
      <w:r w:rsidRPr="000D7571">
        <w:rPr>
          <w:rStyle w:val="FootnoteReference"/>
          <w:rFonts w:eastAsiaTheme="minorHAnsi"/>
        </w:rPr>
        <w:footnoteReference w:id="46"/>
      </w:r>
      <w:r w:rsidRPr="000D7571">
        <w:rPr>
          <w:rFonts w:eastAsiaTheme="minorHAnsi"/>
        </w:rPr>
        <w:t xml:space="preserve"> rather than </w:t>
      </w:r>
      <w:r w:rsidR="00A06FC0" w:rsidRPr="000D7571">
        <w:rPr>
          <w:rFonts w:eastAsiaTheme="minorHAnsi"/>
        </w:rPr>
        <w:t xml:space="preserve">the </w:t>
      </w:r>
      <w:r w:rsidRPr="000D7571">
        <w:rPr>
          <w:rFonts w:eastAsiaTheme="minorHAnsi"/>
        </w:rPr>
        <w:t xml:space="preserve">more generally described </w:t>
      </w:r>
      <w:r w:rsidR="00757A73">
        <w:rPr>
          <w:rFonts w:eastAsiaTheme="minorHAnsi"/>
        </w:rPr>
        <w:t>‘</w:t>
      </w:r>
      <w:r w:rsidRPr="000D7571">
        <w:rPr>
          <w:rFonts w:eastAsiaTheme="minorHAnsi"/>
        </w:rPr>
        <w:t>evidential material</w:t>
      </w:r>
      <w:r w:rsidR="00757A73">
        <w:rPr>
          <w:rFonts w:eastAsiaTheme="minorHAnsi"/>
        </w:rPr>
        <w:t>’</w:t>
      </w:r>
      <w:r w:rsidRPr="000D7571">
        <w:rPr>
          <w:rFonts w:eastAsiaTheme="minorHAnsi"/>
        </w:rPr>
        <w:t xml:space="preserve"> that can be seized pursuant to search warrants issued under the Crimes Act and Competition an</w:t>
      </w:r>
      <w:r w:rsidR="0020001C" w:rsidRPr="000D7571">
        <w:rPr>
          <w:rFonts w:eastAsiaTheme="minorHAnsi"/>
        </w:rPr>
        <w:t xml:space="preserve">d Consumer Act. This </w:t>
      </w:r>
      <w:r w:rsidRPr="000D7571">
        <w:rPr>
          <w:rFonts w:eastAsiaTheme="minorHAnsi"/>
        </w:rPr>
        <w:t xml:space="preserve">limits the utility of the search warrant powers </w:t>
      </w:r>
      <w:r w:rsidR="0053433B" w:rsidRPr="000D7571">
        <w:rPr>
          <w:rFonts w:eastAsiaTheme="minorHAnsi"/>
        </w:rPr>
        <w:t xml:space="preserve">available to ASIC </w:t>
      </w:r>
      <w:r w:rsidRPr="000D7571">
        <w:rPr>
          <w:rFonts w:eastAsiaTheme="minorHAnsi"/>
        </w:rPr>
        <w:t xml:space="preserve">in </w:t>
      </w:r>
      <w:r w:rsidR="005626A9" w:rsidRPr="000D7571">
        <w:rPr>
          <w:rFonts w:eastAsiaTheme="minorHAnsi"/>
        </w:rPr>
        <w:t>th</w:t>
      </w:r>
      <w:r w:rsidRPr="000D7571">
        <w:rPr>
          <w:rFonts w:eastAsiaTheme="minorHAnsi"/>
        </w:rPr>
        <w:t xml:space="preserve">e </w:t>
      </w:r>
      <w:r w:rsidR="005626A9" w:rsidRPr="000D7571">
        <w:rPr>
          <w:rFonts w:eastAsiaTheme="minorHAnsi"/>
        </w:rPr>
        <w:t>following ways:</w:t>
      </w:r>
    </w:p>
    <w:p w14:paraId="29F33486" w14:textId="600095EA" w:rsidR="005626A9" w:rsidRDefault="005626A9" w:rsidP="000D7571">
      <w:pPr>
        <w:pStyle w:val="OutlineNumbered2"/>
        <w:rPr>
          <w:rFonts w:eastAsiaTheme="minorHAnsi"/>
        </w:rPr>
      </w:pPr>
      <w:bookmarkStart w:id="45" w:name="_Ref467826570"/>
      <w:r w:rsidRPr="00B166F0">
        <w:rPr>
          <w:rFonts w:eastAsiaTheme="minorHAnsi"/>
        </w:rPr>
        <w:t xml:space="preserve">the </w:t>
      </w:r>
      <w:r w:rsidR="00757A73">
        <w:rPr>
          <w:rFonts w:eastAsiaTheme="minorHAnsi"/>
        </w:rPr>
        <w:t>‘</w:t>
      </w:r>
      <w:r w:rsidRPr="00B166F0">
        <w:rPr>
          <w:rFonts w:eastAsiaTheme="minorHAnsi"/>
        </w:rPr>
        <w:t>particular books</w:t>
      </w:r>
      <w:r w:rsidR="00757A73">
        <w:rPr>
          <w:rFonts w:eastAsiaTheme="minorHAnsi"/>
        </w:rPr>
        <w:t>’</w:t>
      </w:r>
      <w:r w:rsidRPr="00B166F0">
        <w:rPr>
          <w:rFonts w:eastAsiaTheme="minorHAnsi"/>
        </w:rPr>
        <w:t xml:space="preserve"> sought to be seized </w:t>
      </w:r>
      <w:r>
        <w:rPr>
          <w:rFonts w:eastAsiaTheme="minorHAnsi"/>
        </w:rPr>
        <w:t xml:space="preserve">must be specified </w:t>
      </w:r>
      <w:r w:rsidRPr="00B166F0">
        <w:rPr>
          <w:rFonts w:eastAsiaTheme="minorHAnsi"/>
        </w:rPr>
        <w:t xml:space="preserve">in advance of conducting the search </w:t>
      </w:r>
      <w:r>
        <w:rPr>
          <w:rFonts w:eastAsiaTheme="minorHAnsi"/>
        </w:rPr>
        <w:t xml:space="preserve">in order to </w:t>
      </w:r>
      <w:r w:rsidRPr="00B166F0">
        <w:rPr>
          <w:rFonts w:eastAsiaTheme="minorHAnsi"/>
        </w:rPr>
        <w:t xml:space="preserve">identify </w:t>
      </w:r>
      <w:r>
        <w:rPr>
          <w:rFonts w:eastAsiaTheme="minorHAnsi"/>
        </w:rPr>
        <w:t xml:space="preserve">the </w:t>
      </w:r>
      <w:r w:rsidRPr="00B166F0">
        <w:rPr>
          <w:rFonts w:eastAsiaTheme="minorHAnsi"/>
        </w:rPr>
        <w:t>particular documents thought to exist</w:t>
      </w:r>
      <w:r>
        <w:rPr>
          <w:rFonts w:eastAsiaTheme="minorHAnsi"/>
        </w:rPr>
        <w:t>, rather than more generally describe</w:t>
      </w:r>
      <w:r w:rsidR="0053433B">
        <w:rPr>
          <w:rFonts w:eastAsiaTheme="minorHAnsi"/>
        </w:rPr>
        <w:t xml:space="preserve"> </w:t>
      </w:r>
      <w:r>
        <w:rPr>
          <w:rFonts w:eastAsiaTheme="minorHAnsi"/>
        </w:rPr>
        <w:t>a category of relevant documents; and</w:t>
      </w:r>
    </w:p>
    <w:p w14:paraId="1AB9E572" w14:textId="2170BA09" w:rsidR="005626A9" w:rsidRPr="00D244FC" w:rsidRDefault="005626A9" w:rsidP="000D7571">
      <w:pPr>
        <w:pStyle w:val="OutlineNumbered2"/>
        <w:rPr>
          <w:rFonts w:eastAsiaTheme="minorHAnsi"/>
        </w:rPr>
      </w:pPr>
      <w:r>
        <w:rPr>
          <w:rFonts w:eastAsiaTheme="minorHAnsi"/>
        </w:rPr>
        <w:t xml:space="preserve">the subsequent </w:t>
      </w:r>
      <w:r w:rsidRPr="00B166F0">
        <w:rPr>
          <w:rFonts w:eastAsiaTheme="minorHAnsi"/>
        </w:rPr>
        <w:t xml:space="preserve">search and seizure </w:t>
      </w:r>
      <w:r>
        <w:rPr>
          <w:rFonts w:eastAsiaTheme="minorHAnsi"/>
        </w:rPr>
        <w:t>is</w:t>
      </w:r>
      <w:r w:rsidRPr="00B166F0">
        <w:rPr>
          <w:rFonts w:eastAsiaTheme="minorHAnsi"/>
        </w:rPr>
        <w:t xml:space="preserve"> limited to those books</w:t>
      </w:r>
      <w:r>
        <w:rPr>
          <w:rFonts w:eastAsiaTheme="minorHAnsi"/>
        </w:rPr>
        <w:t>.</w:t>
      </w:r>
      <w:bookmarkEnd w:id="45"/>
    </w:p>
    <w:p w14:paraId="050B8386" w14:textId="4CE269D3" w:rsidR="00124CD0" w:rsidRPr="000D7571" w:rsidRDefault="00124CD0" w:rsidP="000D7571">
      <w:pPr>
        <w:pStyle w:val="OutlineNumbered1"/>
        <w:rPr>
          <w:rFonts w:eastAsiaTheme="minorHAnsi"/>
        </w:rPr>
      </w:pPr>
      <w:r w:rsidRPr="000D7571">
        <w:rPr>
          <w:rFonts w:eastAsiaTheme="minorHAnsi"/>
        </w:rPr>
        <w:t xml:space="preserve">For example, if during the course of a search of a premises under an ASIC Act warrant for </w:t>
      </w:r>
      <w:r w:rsidR="00757A73">
        <w:rPr>
          <w:rFonts w:eastAsiaTheme="minorHAnsi"/>
        </w:rPr>
        <w:t>‘</w:t>
      </w:r>
      <w:r w:rsidRPr="000D7571">
        <w:rPr>
          <w:rFonts w:eastAsiaTheme="minorHAnsi"/>
        </w:rPr>
        <w:t>particular books</w:t>
      </w:r>
      <w:r w:rsidR="00757A73">
        <w:rPr>
          <w:rFonts w:eastAsiaTheme="minorHAnsi"/>
        </w:rPr>
        <w:t>’</w:t>
      </w:r>
      <w:r w:rsidRPr="000D7571">
        <w:rPr>
          <w:rFonts w:eastAsiaTheme="minorHAnsi"/>
        </w:rPr>
        <w:t xml:space="preserve"> specified in the warrant, an ASIC officer identifies books which constitute highly relevant evidence relating to offences to which the warrant relates but which books are not within the </w:t>
      </w:r>
      <w:r w:rsidR="00757A73">
        <w:rPr>
          <w:rFonts w:eastAsiaTheme="minorHAnsi"/>
        </w:rPr>
        <w:t>‘</w:t>
      </w:r>
      <w:r w:rsidRPr="000D7571">
        <w:rPr>
          <w:rFonts w:eastAsiaTheme="minorHAnsi"/>
        </w:rPr>
        <w:t>particular books</w:t>
      </w:r>
      <w:r w:rsidR="00757A73">
        <w:rPr>
          <w:rFonts w:eastAsiaTheme="minorHAnsi"/>
        </w:rPr>
        <w:t>’</w:t>
      </w:r>
      <w:r w:rsidRPr="000D7571">
        <w:rPr>
          <w:rFonts w:eastAsiaTheme="minorHAnsi"/>
        </w:rPr>
        <w:t xml:space="preserve"> specified in the warrant, the ASIC officer has no authority to seize those books and must leave them at the premises where they may be subsequently destroyed, altered or lost.</w:t>
      </w:r>
    </w:p>
    <w:p w14:paraId="5DC46940" w14:textId="03A52E70" w:rsidR="0053433B" w:rsidRPr="000D7571" w:rsidRDefault="005626A9" w:rsidP="000D7571">
      <w:pPr>
        <w:pStyle w:val="OutlineNumbered1"/>
        <w:rPr>
          <w:rFonts w:eastAsiaTheme="minorHAnsi"/>
        </w:rPr>
      </w:pPr>
      <w:r w:rsidRPr="000D7571">
        <w:rPr>
          <w:rFonts w:eastAsiaTheme="minorHAnsi"/>
        </w:rPr>
        <w:t>When t</w:t>
      </w:r>
      <w:r w:rsidR="00871694" w:rsidRPr="000D7571">
        <w:rPr>
          <w:rFonts w:eastAsiaTheme="minorHAnsi"/>
        </w:rPr>
        <w:t xml:space="preserve">he </w:t>
      </w:r>
      <w:r w:rsidRPr="000D7571">
        <w:rPr>
          <w:rFonts w:eastAsiaTheme="minorHAnsi"/>
        </w:rPr>
        <w:t xml:space="preserve">ASIC Act included the </w:t>
      </w:r>
      <w:r w:rsidR="00871694" w:rsidRPr="000D7571">
        <w:rPr>
          <w:rFonts w:eastAsiaTheme="minorHAnsi"/>
        </w:rPr>
        <w:t>forewarning requirement the search warrant power was</w:t>
      </w:r>
      <w:r w:rsidRPr="000D7571">
        <w:rPr>
          <w:rFonts w:eastAsiaTheme="minorHAnsi"/>
        </w:rPr>
        <w:t>, in effect,</w:t>
      </w:r>
      <w:r w:rsidR="00871694" w:rsidRPr="000D7571">
        <w:rPr>
          <w:rFonts w:eastAsiaTheme="minorHAnsi"/>
        </w:rPr>
        <w:t xml:space="preserve"> an adjunct to, or means of enforcing, the notice power</w:t>
      </w:r>
      <w:r w:rsidRPr="000D7571">
        <w:rPr>
          <w:rFonts w:eastAsiaTheme="minorHAnsi"/>
        </w:rPr>
        <w:t>. In this context</w:t>
      </w:r>
      <w:r w:rsidR="0053433B" w:rsidRPr="000D7571">
        <w:rPr>
          <w:rFonts w:eastAsiaTheme="minorHAnsi"/>
        </w:rPr>
        <w:t xml:space="preserve"> any warrant </w:t>
      </w:r>
      <w:r w:rsidR="00871694" w:rsidRPr="000D7571">
        <w:rPr>
          <w:rFonts w:eastAsiaTheme="minorHAnsi"/>
        </w:rPr>
        <w:t xml:space="preserve">issued </w:t>
      </w:r>
      <w:r w:rsidRPr="000D7571">
        <w:rPr>
          <w:rFonts w:eastAsiaTheme="minorHAnsi"/>
        </w:rPr>
        <w:t>had</w:t>
      </w:r>
      <w:r w:rsidR="00871694" w:rsidRPr="000D7571">
        <w:rPr>
          <w:rFonts w:eastAsiaTheme="minorHAnsi"/>
        </w:rPr>
        <w:t xml:space="preserve"> to specify the </w:t>
      </w:r>
      <w:r w:rsidR="00757A73">
        <w:rPr>
          <w:rFonts w:eastAsiaTheme="minorHAnsi"/>
        </w:rPr>
        <w:t>‘</w:t>
      </w:r>
      <w:r w:rsidR="00871694" w:rsidRPr="000D7571">
        <w:rPr>
          <w:rFonts w:eastAsiaTheme="minorHAnsi"/>
        </w:rPr>
        <w:t>particular books</w:t>
      </w:r>
      <w:r w:rsidR="00757A73">
        <w:rPr>
          <w:rFonts w:eastAsiaTheme="minorHAnsi"/>
        </w:rPr>
        <w:t>’</w:t>
      </w:r>
      <w:r w:rsidR="00871694" w:rsidRPr="000D7571">
        <w:rPr>
          <w:rFonts w:eastAsiaTheme="minorHAnsi"/>
        </w:rPr>
        <w:t xml:space="preserve"> that could be seized, namely the books the person had previously failed to produce under notice. </w:t>
      </w:r>
      <w:r w:rsidRPr="000D7571">
        <w:rPr>
          <w:rFonts w:eastAsiaTheme="minorHAnsi"/>
        </w:rPr>
        <w:t>O</w:t>
      </w:r>
      <w:r w:rsidR="00871694" w:rsidRPr="000D7571">
        <w:rPr>
          <w:rFonts w:eastAsiaTheme="minorHAnsi"/>
        </w:rPr>
        <w:t>nce the forewarning requi</w:t>
      </w:r>
      <w:r w:rsidR="0020001C" w:rsidRPr="000D7571">
        <w:rPr>
          <w:rFonts w:eastAsiaTheme="minorHAnsi"/>
        </w:rPr>
        <w:t xml:space="preserve">rement was removed in 2010, </w:t>
      </w:r>
      <w:r w:rsidR="00871694" w:rsidRPr="000D7571">
        <w:rPr>
          <w:rFonts w:eastAsiaTheme="minorHAnsi"/>
        </w:rPr>
        <w:t>the nexus between notice and warrant was broken</w:t>
      </w:r>
      <w:r w:rsidR="0020001C" w:rsidRPr="000D7571">
        <w:rPr>
          <w:rFonts w:eastAsiaTheme="minorHAnsi"/>
        </w:rPr>
        <w:t>. T</w:t>
      </w:r>
      <w:r w:rsidR="00A12746" w:rsidRPr="000D7571">
        <w:rPr>
          <w:rFonts w:eastAsiaTheme="minorHAnsi"/>
        </w:rPr>
        <w:t xml:space="preserve">here </w:t>
      </w:r>
      <w:r w:rsidR="0020001C" w:rsidRPr="000D7571">
        <w:rPr>
          <w:rFonts w:eastAsiaTheme="minorHAnsi"/>
        </w:rPr>
        <w:t xml:space="preserve">no longer appears to be </w:t>
      </w:r>
      <w:r w:rsidR="00A12746" w:rsidRPr="000D7571">
        <w:rPr>
          <w:rFonts w:eastAsiaTheme="minorHAnsi"/>
        </w:rPr>
        <w:t xml:space="preserve">a need for </w:t>
      </w:r>
      <w:r w:rsidR="00871694" w:rsidRPr="000D7571">
        <w:rPr>
          <w:rFonts w:eastAsiaTheme="minorHAnsi"/>
        </w:rPr>
        <w:t>the warrant to spec</w:t>
      </w:r>
      <w:r w:rsidR="00A12746" w:rsidRPr="000D7571">
        <w:rPr>
          <w:rFonts w:eastAsiaTheme="minorHAnsi"/>
        </w:rPr>
        <w:t xml:space="preserve">ify </w:t>
      </w:r>
      <w:r w:rsidR="00757A73">
        <w:rPr>
          <w:rFonts w:eastAsiaTheme="minorHAnsi"/>
        </w:rPr>
        <w:t>‘</w:t>
      </w:r>
      <w:r w:rsidR="00A12746" w:rsidRPr="000D7571">
        <w:rPr>
          <w:rFonts w:eastAsiaTheme="minorHAnsi"/>
        </w:rPr>
        <w:t>particular books</w:t>
      </w:r>
      <w:r w:rsidR="00757A73">
        <w:rPr>
          <w:rFonts w:eastAsiaTheme="minorHAnsi"/>
        </w:rPr>
        <w:t>’</w:t>
      </w:r>
      <w:r w:rsidR="0020001C" w:rsidRPr="000D7571">
        <w:rPr>
          <w:rFonts w:eastAsiaTheme="minorHAnsi"/>
        </w:rPr>
        <w:t>, particularly given the practical</w:t>
      </w:r>
      <w:r w:rsidR="003D65B6">
        <w:rPr>
          <w:rFonts w:eastAsiaTheme="minorHAnsi"/>
        </w:rPr>
        <w:t xml:space="preserve"> difficulties identified above.</w:t>
      </w:r>
    </w:p>
    <w:p w14:paraId="2A39AFDA" w14:textId="58913AD8" w:rsidR="00871694" w:rsidRDefault="00122315" w:rsidP="00ED2B3F">
      <w:pPr>
        <w:pStyle w:val="Heading2-NoTOC"/>
      </w:pPr>
      <w:bookmarkStart w:id="46" w:name="_Toc484695703"/>
      <w:bookmarkEnd w:id="42"/>
      <w:r>
        <w:t>Position 2:</w:t>
      </w:r>
      <w:r w:rsidR="002D26F6">
        <w:tab/>
      </w:r>
      <w:r>
        <w:t>ASIC Act s</w:t>
      </w:r>
      <w:r w:rsidR="00367FF2">
        <w:t>earch warrant</w:t>
      </w:r>
      <w:r>
        <w:t>s</w:t>
      </w:r>
      <w:r w:rsidR="00367FF2">
        <w:t xml:space="preserve"> to </w:t>
      </w:r>
      <w:r>
        <w:t xml:space="preserve">provide for search and seizure of </w:t>
      </w:r>
      <w:r w:rsidR="008932A0">
        <w:t>‘</w:t>
      </w:r>
      <w:r>
        <w:t>evidential material</w:t>
      </w:r>
      <w:r w:rsidR="008932A0">
        <w:t>’</w:t>
      </w:r>
      <w:bookmarkEnd w:id="46"/>
    </w:p>
    <w:p w14:paraId="6EE908AD" w14:textId="0AA87EE5" w:rsidR="00577D02" w:rsidRPr="00D7587E" w:rsidRDefault="00A12746" w:rsidP="00D7587E">
      <w:pPr>
        <w:pStyle w:val="OutlineNumbered1"/>
        <w:rPr>
          <w:rFonts w:eastAsiaTheme="minorHAnsi"/>
        </w:rPr>
      </w:pPr>
      <w:r w:rsidRPr="00D7587E">
        <w:rPr>
          <w:rFonts w:eastAsiaTheme="minorHAnsi"/>
        </w:rPr>
        <w:t xml:space="preserve">The Taskforce adopts as its preliminary position that the </w:t>
      </w:r>
      <w:r w:rsidR="00577D02" w:rsidRPr="00D7587E">
        <w:rPr>
          <w:rFonts w:eastAsiaTheme="minorHAnsi"/>
        </w:rPr>
        <w:t>requirement for search warrant</w:t>
      </w:r>
      <w:r w:rsidR="00006CCF" w:rsidRPr="00D7587E">
        <w:rPr>
          <w:rFonts w:eastAsiaTheme="minorHAnsi"/>
        </w:rPr>
        <w:t>s</w:t>
      </w:r>
      <w:r w:rsidR="00577D02" w:rsidRPr="00D7587E">
        <w:rPr>
          <w:rFonts w:eastAsiaTheme="minorHAnsi"/>
        </w:rPr>
        <w:t xml:space="preserve"> issued under the </w:t>
      </w:r>
      <w:r w:rsidRPr="00D7587E">
        <w:rPr>
          <w:rFonts w:eastAsiaTheme="minorHAnsi"/>
        </w:rPr>
        <w:t>ASIC</w:t>
      </w:r>
      <w:r w:rsidR="00577D02" w:rsidRPr="00D7587E">
        <w:rPr>
          <w:rFonts w:eastAsiaTheme="minorHAnsi"/>
        </w:rPr>
        <w:t xml:space="preserve"> Act, NCCP Act, SIS Act and RSA Act to specify particular books that can </w:t>
      </w:r>
      <w:r w:rsidR="0068226A" w:rsidRPr="00D7587E">
        <w:rPr>
          <w:rFonts w:eastAsiaTheme="minorHAnsi"/>
        </w:rPr>
        <w:t xml:space="preserve">be </w:t>
      </w:r>
      <w:r w:rsidR="00577D02" w:rsidRPr="00D7587E">
        <w:rPr>
          <w:rFonts w:eastAsiaTheme="minorHAnsi"/>
        </w:rPr>
        <w:t>searched and seized under</w:t>
      </w:r>
      <w:r w:rsidR="003D65B6">
        <w:rPr>
          <w:rFonts w:eastAsiaTheme="minorHAnsi"/>
        </w:rPr>
        <w:t xml:space="preserve"> the warrant should be removed.</w:t>
      </w:r>
    </w:p>
    <w:p w14:paraId="34E22100" w14:textId="77777777" w:rsidR="00D7587E" w:rsidRPr="00D7587E" w:rsidRDefault="00D7587E" w:rsidP="00D7587E">
      <w:pPr>
        <w:rPr>
          <w:rFonts w:eastAsiaTheme="minorHAnsi"/>
        </w:rPr>
      </w:pPr>
      <w:r w:rsidRPr="00D7587E">
        <w:rPr>
          <w:rFonts w:eastAsiaTheme="minorHAnsi"/>
        </w:rPr>
        <w:br w:type="page"/>
      </w:r>
    </w:p>
    <w:p w14:paraId="0265D1FB" w14:textId="1F6305CC" w:rsidR="0068226A" w:rsidRPr="00D7587E" w:rsidRDefault="00577D02" w:rsidP="00D7587E">
      <w:pPr>
        <w:pStyle w:val="OutlineNumbered1"/>
        <w:rPr>
          <w:rFonts w:eastAsiaTheme="minorHAnsi"/>
        </w:rPr>
      </w:pPr>
      <w:r w:rsidRPr="00D7587E">
        <w:rPr>
          <w:rFonts w:eastAsiaTheme="minorHAnsi"/>
        </w:rPr>
        <w:lastRenderedPageBreak/>
        <w:t xml:space="preserve">This could be achieved by modelling the ASIC Act search warrant power on </w:t>
      </w:r>
      <w:r w:rsidR="00122315" w:rsidRPr="00D7587E">
        <w:rPr>
          <w:rFonts w:eastAsiaTheme="minorHAnsi"/>
        </w:rPr>
        <w:t>the search warrant power</w:t>
      </w:r>
      <w:r w:rsidRPr="00D7587E">
        <w:rPr>
          <w:rFonts w:eastAsiaTheme="minorHAnsi"/>
        </w:rPr>
        <w:t>s</w:t>
      </w:r>
      <w:r w:rsidR="00122315" w:rsidRPr="00D7587E">
        <w:rPr>
          <w:rFonts w:eastAsiaTheme="minorHAnsi"/>
        </w:rPr>
        <w:t xml:space="preserve"> in the Crimes Act </w:t>
      </w:r>
      <w:r w:rsidRPr="00D7587E">
        <w:rPr>
          <w:rFonts w:eastAsiaTheme="minorHAnsi"/>
        </w:rPr>
        <w:t>and Competition and Consumer Act</w:t>
      </w:r>
      <w:r w:rsidR="0068226A" w:rsidRPr="00D7587E">
        <w:rPr>
          <w:rFonts w:eastAsiaTheme="minorHAnsi"/>
        </w:rPr>
        <w:t xml:space="preserve">, </w:t>
      </w:r>
      <w:r w:rsidRPr="00D7587E">
        <w:rPr>
          <w:rFonts w:eastAsiaTheme="minorHAnsi"/>
        </w:rPr>
        <w:t>such that</w:t>
      </w:r>
      <w:r w:rsidR="0068226A" w:rsidRPr="00D7587E">
        <w:rPr>
          <w:rFonts w:eastAsiaTheme="minorHAnsi"/>
        </w:rPr>
        <w:t>:</w:t>
      </w:r>
    </w:p>
    <w:p w14:paraId="7E65F3FE" w14:textId="6FB9A1A3" w:rsidR="0068226A" w:rsidRDefault="0068226A" w:rsidP="00D7587E">
      <w:pPr>
        <w:pStyle w:val="OutlineNumbered2"/>
        <w:rPr>
          <w:rFonts w:eastAsiaTheme="minorHAnsi"/>
        </w:rPr>
      </w:pPr>
      <w:r>
        <w:rPr>
          <w:rFonts w:eastAsiaTheme="minorHAnsi"/>
        </w:rPr>
        <w:t xml:space="preserve">a warrant could be </w:t>
      </w:r>
      <w:r w:rsidR="00577D02">
        <w:rPr>
          <w:rFonts w:eastAsiaTheme="minorHAnsi"/>
        </w:rPr>
        <w:t xml:space="preserve">issued under the ASIC Act </w:t>
      </w:r>
      <w:r>
        <w:rPr>
          <w:rFonts w:eastAsiaTheme="minorHAnsi"/>
        </w:rPr>
        <w:t>where there are reasonable grounds for suspecting that there is or will be ‘evidential material’ at premises</w:t>
      </w:r>
      <w:r w:rsidR="003D65B6">
        <w:rPr>
          <w:rFonts w:eastAsiaTheme="minorHAnsi"/>
        </w:rPr>
        <w:t xml:space="preserve"> identified in the warrant; and</w:t>
      </w:r>
    </w:p>
    <w:p w14:paraId="5DB0A5CE" w14:textId="1ED53553" w:rsidR="0068226A" w:rsidRDefault="0068226A" w:rsidP="00D7587E">
      <w:pPr>
        <w:pStyle w:val="OutlineNumbered2"/>
      </w:pPr>
      <w:r w:rsidRPr="00B166F0">
        <w:t xml:space="preserve">adopting the broader </w:t>
      </w:r>
      <w:r w:rsidR="00757A73">
        <w:t>‘</w:t>
      </w:r>
      <w:r w:rsidRPr="00B166F0">
        <w:t>kind of evidential material specified in the warrant</w:t>
      </w:r>
      <w:r w:rsidR="00757A73">
        <w:t>’</w:t>
      </w:r>
      <w:r w:rsidRPr="00B166F0">
        <w:t xml:space="preserve"> c</w:t>
      </w:r>
      <w:r>
        <w:t>riterion for search and seizure</w:t>
      </w:r>
      <w:r w:rsidR="0075779C">
        <w:t xml:space="preserve"> under the warrant</w:t>
      </w:r>
      <w:r w:rsidR="003D65B6">
        <w:t>.</w:t>
      </w:r>
    </w:p>
    <w:p w14:paraId="31188B45" w14:textId="021C269E" w:rsidR="0063647E" w:rsidRDefault="0075779C" w:rsidP="00D7587E">
      <w:pPr>
        <w:pStyle w:val="OutlineNumbered1"/>
      </w:pPr>
      <w:r w:rsidRPr="003571F3">
        <w:t>In the Crimes Act</w:t>
      </w:r>
      <w:r w:rsidR="00C51162">
        <w:t>,</w:t>
      </w:r>
      <w:r w:rsidRPr="003571F3">
        <w:t xml:space="preserve"> evidential material means a thing relevant to an indictable offence or a thing relevant to a summary offence, including such a thing in electronic form.</w:t>
      </w:r>
      <w:r w:rsidR="00917A92" w:rsidRPr="003571F3">
        <w:rPr>
          <w:vertAlign w:val="superscript"/>
        </w:rPr>
        <w:footnoteReference w:id="47"/>
      </w:r>
      <w:r w:rsidRPr="003571F3">
        <w:t xml:space="preserve"> </w:t>
      </w:r>
      <w:r w:rsidR="0063647E">
        <w:t>As stated in paragraph</w:t>
      </w:r>
      <w:r w:rsidR="000600D7">
        <w:t>s</w:t>
      </w:r>
      <w:r w:rsidR="0063647E">
        <w:t xml:space="preserve"> </w:t>
      </w:r>
      <w:r w:rsidR="0063647E">
        <w:fldChar w:fldCharType="begin"/>
      </w:r>
      <w:r w:rsidR="0063647E">
        <w:instrText xml:space="preserve"> REF _Ref478128691 \r \h </w:instrText>
      </w:r>
      <w:r w:rsidR="00D7587E">
        <w:instrText xml:space="preserve"> \* MERGEFORMAT </w:instrText>
      </w:r>
      <w:r w:rsidR="0063647E">
        <w:fldChar w:fldCharType="separate"/>
      </w:r>
      <w:r w:rsidR="000F2269">
        <w:t>0</w:t>
      </w:r>
      <w:r w:rsidR="0063647E">
        <w:fldChar w:fldCharType="end"/>
      </w:r>
      <w:r w:rsidR="0063647E">
        <w:t xml:space="preserve"> and </w:t>
      </w:r>
      <w:r w:rsidR="0063647E">
        <w:fldChar w:fldCharType="begin"/>
      </w:r>
      <w:r w:rsidR="0063647E">
        <w:instrText xml:space="preserve"> REF _Ref478128694 \r \h </w:instrText>
      </w:r>
      <w:r w:rsidR="00D7587E">
        <w:instrText xml:space="preserve"> \* MERGEFORMAT </w:instrText>
      </w:r>
      <w:r w:rsidR="0063647E">
        <w:fldChar w:fldCharType="separate"/>
      </w:r>
      <w:r w:rsidR="000F2269">
        <w:t>11</w:t>
      </w:r>
      <w:r w:rsidR="0063647E">
        <w:fldChar w:fldCharType="end"/>
      </w:r>
      <w:r w:rsidR="0063647E">
        <w:t xml:space="preserve"> above the </w:t>
      </w:r>
      <w:r w:rsidR="00233EE9">
        <w:t>definitions</w:t>
      </w:r>
      <w:r w:rsidR="0063647E">
        <w:t xml:space="preserve"> of a ‘thing relevant to’ an indictable and a summary offence mean</w:t>
      </w:r>
      <w:r w:rsidR="000600D7">
        <w:t>, amongst other things,</w:t>
      </w:r>
      <w:r w:rsidR="0063647E">
        <w:t xml:space="preserve"> that material relating to the commission of Commonwealth offences and State offences that have a federal aspect or connection can be seized under a Crimes Act warrant.</w:t>
      </w:r>
      <w:r w:rsidR="0063647E">
        <w:rPr>
          <w:rStyle w:val="FootnoteReference"/>
        </w:rPr>
        <w:footnoteReference w:id="48"/>
      </w:r>
    </w:p>
    <w:p w14:paraId="3A68D36F" w14:textId="4F06ED1D" w:rsidR="00A12746" w:rsidRDefault="0075779C" w:rsidP="00D7587E">
      <w:pPr>
        <w:pStyle w:val="OutlineNumbered1"/>
      </w:pPr>
      <w:r>
        <w:t xml:space="preserve">In the Competition and Consumer Act </w:t>
      </w:r>
      <w:r w:rsidR="00560387" w:rsidRPr="003571F3">
        <w:t>evidential material</w:t>
      </w:r>
      <w:r>
        <w:t xml:space="preserve"> means a document or thing that may afford evidence relating to a contrave</w:t>
      </w:r>
      <w:r w:rsidR="00006CCF">
        <w:t xml:space="preserve">ntion of that Act and </w:t>
      </w:r>
      <w:r w:rsidR="005B6A95">
        <w:t>contraventions</w:t>
      </w:r>
      <w:r w:rsidR="00917A92">
        <w:t xml:space="preserve"> of other acts in respect of which the ACCC performs an enforcement role.</w:t>
      </w:r>
      <w:r w:rsidR="00917A92">
        <w:rPr>
          <w:rStyle w:val="FootnoteReference"/>
        </w:rPr>
        <w:footnoteReference w:id="49"/>
      </w:r>
      <w:r w:rsidR="00917A92">
        <w:t xml:space="preserve"> </w:t>
      </w:r>
      <w:r w:rsidR="00006CCF">
        <w:t xml:space="preserve">The broad definition of evidential material in the Competition and Consumer Act means that the ACCC can theoretically seek a search warrant in any investigation where there are reasonable grounds to suspect a contravention of the Competition and Consumer Act, whether or not those contraventions would give rise to </w:t>
      </w:r>
      <w:r w:rsidR="00D7587E">
        <w:t>criminal or civil consequences.</w:t>
      </w:r>
    </w:p>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DBE5F1" w:themeFill="accent1" w:themeFillTint="33"/>
        <w:tblCellMar>
          <w:left w:w="142" w:type="dxa"/>
          <w:right w:w="142" w:type="dxa"/>
        </w:tblCellMar>
        <w:tblLook w:val="04A0" w:firstRow="1" w:lastRow="0" w:firstColumn="1" w:lastColumn="0" w:noHBand="0" w:noVBand="1"/>
      </w:tblPr>
      <w:tblGrid>
        <w:gridCol w:w="9242"/>
      </w:tblGrid>
      <w:tr w:rsidR="00D7587E" w14:paraId="589171C5" w14:textId="77777777" w:rsidTr="00D7587E">
        <w:tc>
          <w:tcPr>
            <w:tcW w:w="9242" w:type="dxa"/>
            <w:shd w:val="clear" w:color="auto" w:fill="DBE5F1" w:themeFill="accent1" w:themeFillTint="33"/>
          </w:tcPr>
          <w:p w14:paraId="59FBC088" w14:textId="77777777" w:rsidR="00D7587E" w:rsidRDefault="00D7587E" w:rsidP="00D7587E">
            <w:pPr>
              <w:pStyle w:val="BoxHeadingnonumber"/>
            </w:pPr>
            <w:r w:rsidRPr="000606B9">
              <w:t xml:space="preserve">Questions </w:t>
            </w:r>
          </w:p>
          <w:p w14:paraId="2A15F70D" w14:textId="6AA5CAA1" w:rsidR="00D7587E" w:rsidRDefault="00D7587E" w:rsidP="00D7587E">
            <w:pPr>
              <w:pStyle w:val="BoxNumbering"/>
              <w:rPr>
                <w:b/>
              </w:rPr>
            </w:pPr>
            <w:r w:rsidRPr="00691FF6">
              <w:t xml:space="preserve">Should the </w:t>
            </w:r>
            <w:r w:rsidR="00757A73">
              <w:t>‘</w:t>
            </w:r>
            <w:r>
              <w:t>particular books</w:t>
            </w:r>
            <w:r w:rsidR="00757A73">
              <w:t>’</w:t>
            </w:r>
            <w:r>
              <w:t xml:space="preserve"> requirements in the search warrant powers in the ASIC Act, NCCP</w:t>
            </w:r>
            <w:r w:rsidR="006669C2">
              <w:t> </w:t>
            </w:r>
            <w:r>
              <w:t>Act, SIS Act and RSA Act be removed?</w:t>
            </w:r>
          </w:p>
          <w:p w14:paraId="4E1D63FB" w14:textId="595B6B10" w:rsidR="00D7587E" w:rsidRDefault="00D7587E" w:rsidP="00B748F1">
            <w:pPr>
              <w:pStyle w:val="BoxNumbering"/>
            </w:pPr>
            <w:r>
              <w:t>Should search warrants issued under the ASIC Act authorise ASIC to search for</w:t>
            </w:r>
            <w:r w:rsidR="003D65B6">
              <w:t xml:space="preserve"> and seize evidential material?</w:t>
            </w:r>
          </w:p>
        </w:tc>
      </w:tr>
    </w:tbl>
    <w:p w14:paraId="6661BFC6" w14:textId="77777777" w:rsidR="00D7587E" w:rsidRPr="00D7587E" w:rsidRDefault="00D7587E" w:rsidP="00D7587E"/>
    <w:p w14:paraId="2C945DC2" w14:textId="6B45BE22" w:rsidR="00D7587E" w:rsidRPr="00D7587E" w:rsidRDefault="00D7587E" w:rsidP="00D7587E">
      <w:r w:rsidRPr="00D7587E">
        <w:br w:type="page"/>
      </w:r>
    </w:p>
    <w:p w14:paraId="6E7BFF39" w14:textId="2FB4224B" w:rsidR="00623AC1" w:rsidRDefault="00623AC1" w:rsidP="00ED2B3F">
      <w:pPr>
        <w:pStyle w:val="Heading2-NoTOC"/>
      </w:pPr>
      <w:bookmarkStart w:id="47" w:name="_Toc484695704"/>
      <w:r>
        <w:lastRenderedPageBreak/>
        <w:t>Position 3:</w:t>
      </w:r>
      <w:r w:rsidR="00D7587E">
        <w:tab/>
      </w:r>
      <w:r>
        <w:t>ASIC Act search warrants</w:t>
      </w:r>
      <w:r w:rsidR="00933BCF">
        <w:t xml:space="preserve"> </w:t>
      </w:r>
      <w:r w:rsidR="00742F08">
        <w:t>to</w:t>
      </w:r>
      <w:r w:rsidR="00FF1866">
        <w:t xml:space="preserve"> be </w:t>
      </w:r>
      <w:r>
        <w:t xml:space="preserve">issued when there is a reasonable suspicion of </w:t>
      </w:r>
      <w:r w:rsidR="001D1655">
        <w:t xml:space="preserve">a </w:t>
      </w:r>
      <w:r w:rsidR="00933BCF">
        <w:t xml:space="preserve">contravention of </w:t>
      </w:r>
      <w:r>
        <w:t>an indictable offence</w:t>
      </w:r>
      <w:bookmarkEnd w:id="47"/>
    </w:p>
    <w:p w14:paraId="1AE348EC" w14:textId="493B7F80" w:rsidR="00933BCF" w:rsidRDefault="00933BCF" w:rsidP="00D7587E">
      <w:pPr>
        <w:pStyle w:val="OutlineNumbered1"/>
      </w:pPr>
      <w:r>
        <w:t>The Taskforce adopts as its preliminary position that ASIC Act search warr</w:t>
      </w:r>
      <w:r w:rsidR="00FF1866">
        <w:t>ants should only be issued when</w:t>
      </w:r>
      <w:r>
        <w:t xml:space="preserve"> there is a reasonable suspicion of a contravention of an indictable offence. This would impose a threshold for the issue of </w:t>
      </w:r>
      <w:r w:rsidR="00872BDE">
        <w:t xml:space="preserve">an </w:t>
      </w:r>
      <w:r>
        <w:t>ASIC Act search warrant. A</w:t>
      </w:r>
      <w:r w:rsidR="00D7587E">
        <w:t> </w:t>
      </w:r>
      <w:r>
        <w:t>search warrant could only be issued under the ASIC Act where there was a reasonable suspicion of a contravention of a provision of the Corporations Act, ASIC</w:t>
      </w:r>
      <w:r w:rsidR="0035290D">
        <w:t> </w:t>
      </w:r>
      <w:r>
        <w:t xml:space="preserve">Act, NCCP Act, SIS Act and RSA Act that would be an indictable offence as defined in s4G of the Crimes Act. That is, an offence against a law of the Commonwealth punishable by imprisonment for a period exceeding 12 months, unless </w:t>
      </w:r>
      <w:r w:rsidR="003D65B6">
        <w:t>the contrary intention appears.</w:t>
      </w:r>
    </w:p>
    <w:p w14:paraId="57A0DD62" w14:textId="2AA65FEA" w:rsidR="00006CCF" w:rsidRDefault="00FF1866" w:rsidP="00D7587E">
      <w:pPr>
        <w:pStyle w:val="OutlineNumbered1"/>
      </w:pPr>
      <w:r>
        <w:t>T</w:t>
      </w:r>
      <w:r w:rsidR="00006CCF">
        <w:t xml:space="preserve">he Taskforce considers </w:t>
      </w:r>
      <w:r>
        <w:t>it may be appropriate to</w:t>
      </w:r>
      <w:r w:rsidR="00E13521" w:rsidRPr="00E13521">
        <w:t xml:space="preserve"> impose a </w:t>
      </w:r>
      <w:r w:rsidR="000370CD">
        <w:t xml:space="preserve">limit on </w:t>
      </w:r>
      <w:r w:rsidR="00006CCF">
        <w:t xml:space="preserve">the </w:t>
      </w:r>
      <w:r w:rsidR="00C16015">
        <w:t xml:space="preserve">types of investigations in which the </w:t>
      </w:r>
      <w:r w:rsidR="007C64BB">
        <w:t xml:space="preserve">ASIC Act </w:t>
      </w:r>
      <w:r w:rsidR="00C16015">
        <w:t xml:space="preserve">search warrant powers </w:t>
      </w:r>
      <w:r w:rsidR="007C64BB">
        <w:t>would</w:t>
      </w:r>
      <w:r w:rsidR="00C16015">
        <w:t xml:space="preserve"> be available given:</w:t>
      </w:r>
    </w:p>
    <w:p w14:paraId="5BF2C0ED" w14:textId="70CADBCA" w:rsidR="00C16015" w:rsidRDefault="00C16015" w:rsidP="00D7587E">
      <w:pPr>
        <w:pStyle w:val="OutlineNumbered2"/>
      </w:pPr>
      <w:r>
        <w:t xml:space="preserve">ASIC’s broad legislative responsibility and the range of conduct that may give rise to </w:t>
      </w:r>
      <w:r w:rsidR="005B6A95">
        <w:t>contraventions</w:t>
      </w:r>
      <w:r>
        <w:t xml:space="preserve"> that ASIC may investigate;</w:t>
      </w:r>
    </w:p>
    <w:p w14:paraId="3B5E2C37" w14:textId="7CFFA4D0" w:rsidR="00C16015" w:rsidRDefault="00C16015" w:rsidP="00D7587E">
      <w:pPr>
        <w:pStyle w:val="OutlineNumbered2"/>
      </w:pPr>
      <w:r>
        <w:t xml:space="preserve">If the other reforms proposed in this </w:t>
      </w:r>
      <w:r w:rsidR="005B6A95">
        <w:t>paper</w:t>
      </w:r>
      <w:r>
        <w:t xml:space="preserve"> are adopted ASIC Act search warrants will enable ASIC to search and seize a broader range of material</w:t>
      </w:r>
      <w:r w:rsidR="00A4334D">
        <w:t xml:space="preserve"> and use that material in a broad range of proceedings, including criminal, civil and administrative proceedings</w:t>
      </w:r>
      <w:r>
        <w:t>;</w:t>
      </w:r>
    </w:p>
    <w:p w14:paraId="29460C90" w14:textId="77777777" w:rsidR="00EB0BC8" w:rsidRDefault="00C16015" w:rsidP="00D7587E">
      <w:pPr>
        <w:pStyle w:val="OutlineNumbered2"/>
      </w:pPr>
      <w:r>
        <w:t>The exercise of a search warrant involves</w:t>
      </w:r>
      <w:r w:rsidR="00EB0BC8">
        <w:t xml:space="preserve"> an exercise of state power by a law enforcement agency that impacts on a person’s rights and dignity, including with respect to privacy and to avoid self-accusation;</w:t>
      </w:r>
    </w:p>
    <w:p w14:paraId="663B58E7" w14:textId="3698401A" w:rsidR="00C16015" w:rsidRDefault="00EB0BC8" w:rsidP="00D7587E">
      <w:pPr>
        <w:pStyle w:val="OutlineNumbered2"/>
      </w:pPr>
      <w:r>
        <w:t xml:space="preserve">Search </w:t>
      </w:r>
      <w:r w:rsidR="005B6A95">
        <w:t>warrants</w:t>
      </w:r>
      <w:r>
        <w:t xml:space="preserve"> are resource intensive for the regulator and those on </w:t>
      </w:r>
      <w:r w:rsidR="005B6A95">
        <w:t>whom</w:t>
      </w:r>
      <w:r>
        <w:t xml:space="preserve"> the warrant is executed.</w:t>
      </w:r>
    </w:p>
    <w:p w14:paraId="2B529273" w14:textId="5BCC98C5" w:rsidR="00AF4949" w:rsidRDefault="00780B88" w:rsidP="00D7587E">
      <w:pPr>
        <w:pStyle w:val="OutlineNumbered1"/>
      </w:pPr>
      <w:r>
        <w:t>At the same time the Taskforce recognises that</w:t>
      </w:r>
      <w:r w:rsidR="00AF4949">
        <w:t>:</w:t>
      </w:r>
    </w:p>
    <w:p w14:paraId="1C6BBDC7" w14:textId="530DA424" w:rsidR="00AF4949" w:rsidRDefault="00AF4949" w:rsidP="00D7587E">
      <w:pPr>
        <w:pStyle w:val="OutlineNumbered2"/>
      </w:pPr>
      <w:r>
        <w:t xml:space="preserve">The </w:t>
      </w:r>
      <w:r w:rsidR="00A4334D">
        <w:t xml:space="preserve">types of investigations in which the </w:t>
      </w:r>
      <w:r>
        <w:t xml:space="preserve">ACCC </w:t>
      </w:r>
      <w:r w:rsidR="00A4334D">
        <w:t xml:space="preserve">can seek a search warrant are not limited albeit that it </w:t>
      </w:r>
      <w:r>
        <w:t xml:space="preserve">also has </w:t>
      </w:r>
      <w:r w:rsidR="00A4334D">
        <w:t xml:space="preserve">a </w:t>
      </w:r>
      <w:r>
        <w:t>broad legislative responsibility, with a range of conduct giving rise to contraventions it may investigate;</w:t>
      </w:r>
    </w:p>
    <w:p w14:paraId="3EDB3CB1" w14:textId="50DCC432" w:rsidR="00AF4949" w:rsidRDefault="00AF4949" w:rsidP="00D7587E">
      <w:pPr>
        <w:pStyle w:val="OutlineNumbered2"/>
      </w:pPr>
      <w:r>
        <w:t>The fact that search warrants are resource intensive operate</w:t>
      </w:r>
      <w:r w:rsidR="00FF1866">
        <w:t>s</w:t>
      </w:r>
      <w:r>
        <w:t xml:space="preserve"> as a control on the excessive use of warrants in matters that do not </w:t>
      </w:r>
      <w:r w:rsidR="004B0FE0">
        <w:t>justify</w:t>
      </w:r>
      <w:r>
        <w:t xml:space="preserve"> </w:t>
      </w:r>
      <w:r w:rsidR="00A4334D">
        <w:t>such an invasive</w:t>
      </w:r>
      <w:r>
        <w:t xml:space="preserve"> investigative measure.</w:t>
      </w:r>
    </w:p>
    <w:p w14:paraId="101306EA" w14:textId="0BC2E52F" w:rsidR="007C64BB" w:rsidRDefault="00FF1866" w:rsidP="00D7587E">
      <w:pPr>
        <w:pStyle w:val="OutlineNumbered1"/>
      </w:pPr>
      <w:r>
        <w:t xml:space="preserve">Nevertheless the Taskforce considers that imposing a threshold </w:t>
      </w:r>
      <w:r w:rsidR="007C64BB">
        <w:t xml:space="preserve">would ensure that search warrants are only issued in investigations of serious offences and </w:t>
      </w:r>
      <w:r w:rsidR="007D2AA9">
        <w:t xml:space="preserve">potentially </w:t>
      </w:r>
      <w:r w:rsidR="007C64BB">
        <w:t xml:space="preserve">achieve an appropriate balance between the need for the regulator to have </w:t>
      </w:r>
      <w:r w:rsidR="005B6A95">
        <w:t>access</w:t>
      </w:r>
      <w:r w:rsidR="007C64BB">
        <w:t xml:space="preserve"> </w:t>
      </w:r>
      <w:r w:rsidR="007D2AA9">
        <w:t>to effective investigative tools, the relevant harm or risk</w:t>
      </w:r>
      <w:r w:rsidR="00D7587E">
        <w:t xml:space="preserve"> and the rights of individuals.</w:t>
      </w:r>
    </w:p>
    <w:p w14:paraId="03A5D401" w14:textId="6AE743A6" w:rsidR="00D7587E" w:rsidRDefault="00D7587E">
      <w:pPr>
        <w:spacing w:after="200" w:line="276" w:lineRule="auto"/>
        <w:jc w:val="left"/>
      </w:pPr>
      <w:r>
        <w:br w:type="page"/>
      </w:r>
    </w:p>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DBE5F1" w:themeFill="accent1" w:themeFillTint="33"/>
        <w:tblCellMar>
          <w:left w:w="142" w:type="dxa"/>
          <w:right w:w="142" w:type="dxa"/>
        </w:tblCellMar>
        <w:tblLook w:val="04A0" w:firstRow="1" w:lastRow="0" w:firstColumn="1" w:lastColumn="0" w:noHBand="0" w:noVBand="1"/>
      </w:tblPr>
      <w:tblGrid>
        <w:gridCol w:w="9242"/>
      </w:tblGrid>
      <w:tr w:rsidR="00D7587E" w14:paraId="1C2816C4" w14:textId="77777777" w:rsidTr="00D7587E">
        <w:tc>
          <w:tcPr>
            <w:tcW w:w="9242" w:type="dxa"/>
            <w:shd w:val="clear" w:color="auto" w:fill="DBE5F1" w:themeFill="accent1" w:themeFillTint="33"/>
          </w:tcPr>
          <w:p w14:paraId="0DA73FC4" w14:textId="3C4ADA19" w:rsidR="00D7587E" w:rsidRDefault="003D65B6" w:rsidP="00D7587E">
            <w:pPr>
              <w:pStyle w:val="BoxHeadingnonumber"/>
            </w:pPr>
            <w:r>
              <w:lastRenderedPageBreak/>
              <w:t>Questions</w:t>
            </w:r>
          </w:p>
          <w:p w14:paraId="644603EA" w14:textId="765E53DC" w:rsidR="00D7587E" w:rsidRDefault="00D7587E" w:rsidP="00D7587E">
            <w:pPr>
              <w:pStyle w:val="BoxNumbering"/>
            </w:pPr>
            <w:r>
              <w:t>Should there be a threshold for applying for an ASIC Act search warrant or should search warrants be available where there is a reasonable suspicion of any contravention of the Corporations Act, ASIC Act, NCCP Act, SIS Act and RSA Act?</w:t>
            </w:r>
          </w:p>
          <w:p w14:paraId="21E653C3" w14:textId="72E551A8" w:rsidR="00D7587E" w:rsidRDefault="00D7587E" w:rsidP="000822E1">
            <w:pPr>
              <w:pStyle w:val="BoxNumbering"/>
            </w:pPr>
            <w:r>
              <w:t xml:space="preserve">If a </w:t>
            </w:r>
            <w:r w:rsidRPr="009206C6">
              <w:t xml:space="preserve">threshold </w:t>
            </w:r>
            <w:r>
              <w:t xml:space="preserve">would be appropriate should it </w:t>
            </w:r>
            <w:r w:rsidRPr="009206C6">
              <w:t>be reasonable sus</w:t>
            </w:r>
            <w:r>
              <w:t>picion of an indictable offence or indictable and</w:t>
            </w:r>
            <w:r w:rsidR="000822E1">
              <w:t xml:space="preserve"> </w:t>
            </w:r>
            <w:r>
              <w:t>summary offence?</w:t>
            </w:r>
          </w:p>
        </w:tc>
      </w:tr>
    </w:tbl>
    <w:p w14:paraId="451B3602" w14:textId="77777777" w:rsidR="00D7587E" w:rsidRPr="00D7587E" w:rsidRDefault="00D7587E" w:rsidP="00D7587E"/>
    <w:p w14:paraId="58C0D153" w14:textId="77777777" w:rsidR="00D7587E" w:rsidRPr="00D7587E" w:rsidRDefault="00D7587E" w:rsidP="00D7587E"/>
    <w:p w14:paraId="22C47533" w14:textId="77777777" w:rsidR="00D7587E" w:rsidRPr="00D7587E" w:rsidRDefault="00D7587E" w:rsidP="00D7587E">
      <w:pPr>
        <w:sectPr w:rsidR="00D7587E" w:rsidRPr="00D7587E" w:rsidSect="000756A4">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titlePg/>
          <w:docGrid w:linePitch="360"/>
        </w:sectPr>
      </w:pPr>
    </w:p>
    <w:p w14:paraId="13B2C926" w14:textId="62F9C341" w:rsidR="00871694" w:rsidRDefault="00871694" w:rsidP="00C462C8">
      <w:pPr>
        <w:pStyle w:val="Heading1-Numbered"/>
      </w:pPr>
      <w:bookmarkStart w:id="48" w:name="_Toc484695705"/>
      <w:bookmarkStart w:id="49" w:name="_Toc486231368"/>
      <w:r>
        <w:lastRenderedPageBreak/>
        <w:t xml:space="preserve">The </w:t>
      </w:r>
      <w:r w:rsidR="00296BC2">
        <w:t>lack of</w:t>
      </w:r>
      <w:r>
        <w:t xml:space="preserve"> ancillary powers</w:t>
      </w:r>
      <w:bookmarkEnd w:id="48"/>
      <w:bookmarkEnd w:id="49"/>
    </w:p>
    <w:p w14:paraId="33928423" w14:textId="6D9C1E1A" w:rsidR="00DB4779" w:rsidRPr="00DB4779" w:rsidRDefault="00DB4779" w:rsidP="00B748F1">
      <w:pPr>
        <w:pStyle w:val="OutlineNumbered1"/>
        <w:numPr>
          <w:ilvl w:val="0"/>
          <w:numId w:val="37"/>
        </w:numPr>
      </w:pPr>
      <w:r>
        <w:t>T</w:t>
      </w:r>
      <w:r w:rsidR="00016D24" w:rsidRPr="00A92F69">
        <w:t>he specific search warrant powers contained in the ASIC Act</w:t>
      </w:r>
      <w:r>
        <w:t>, NCCP Act, SIS Act and RSA Act are not supported by</w:t>
      </w:r>
      <w:r w:rsidR="00016D24" w:rsidRPr="00A92F69">
        <w:t xml:space="preserve"> the range of ancilla</w:t>
      </w:r>
      <w:r>
        <w:t xml:space="preserve">ry provisions contained in </w:t>
      </w:r>
      <w:r w:rsidR="00016D24" w:rsidRPr="00A92F69">
        <w:t xml:space="preserve">the Crimes Act </w:t>
      </w:r>
      <w:r w:rsidR="00865224">
        <w:t>(</w:t>
      </w:r>
      <w:r>
        <w:t xml:space="preserve">described in paragraph </w:t>
      </w:r>
      <w:r>
        <w:fldChar w:fldCharType="begin"/>
      </w:r>
      <w:r>
        <w:instrText xml:space="preserve"> REF _Ref467685743 \r \h </w:instrText>
      </w:r>
      <w:r w:rsidR="00D7587E">
        <w:instrText xml:space="preserve"> \* MERGEFORMAT </w:instrText>
      </w:r>
      <w:r>
        <w:fldChar w:fldCharType="separate"/>
      </w:r>
      <w:r w:rsidR="000F2269">
        <w:t>13</w:t>
      </w:r>
      <w:r>
        <w:fldChar w:fldCharType="end"/>
      </w:r>
      <w:r w:rsidR="00865224">
        <w:t>)</w:t>
      </w:r>
      <w:r>
        <w:t xml:space="preserve"> above </w:t>
      </w:r>
      <w:r w:rsidR="00016D24" w:rsidRPr="00A92F69">
        <w:t xml:space="preserve">and </w:t>
      </w:r>
      <w:r>
        <w:t xml:space="preserve">the </w:t>
      </w:r>
      <w:r w:rsidR="00016D24" w:rsidRPr="00DB191B">
        <w:rPr>
          <w:iCs/>
          <w:lang w:val="en-US"/>
        </w:rPr>
        <w:t>Competition and Consumer Act</w:t>
      </w:r>
      <w:r w:rsidRPr="00DB191B">
        <w:rPr>
          <w:iCs/>
          <w:lang w:val="en-US"/>
        </w:rPr>
        <w:t>. As a result</w:t>
      </w:r>
      <w:r w:rsidR="00E5003B" w:rsidRPr="00DB191B">
        <w:rPr>
          <w:iCs/>
          <w:lang w:val="en-US"/>
        </w:rPr>
        <w:t>, amongst other things</w:t>
      </w:r>
      <w:r w:rsidRPr="00DB191B">
        <w:rPr>
          <w:iCs/>
          <w:lang w:val="en-US"/>
        </w:rPr>
        <w:t>:</w:t>
      </w:r>
    </w:p>
    <w:p w14:paraId="2DB19320" w14:textId="30251908" w:rsidR="00DB4779" w:rsidRPr="00DB4779" w:rsidRDefault="00E5003B" w:rsidP="00DB191B">
      <w:pPr>
        <w:pStyle w:val="OutlineNumbered2"/>
      </w:pPr>
      <w:r>
        <w:rPr>
          <w:lang w:val="en-US"/>
        </w:rPr>
        <w:t>t</w:t>
      </w:r>
      <w:r w:rsidR="00DB4779">
        <w:rPr>
          <w:lang w:val="en-US"/>
        </w:rPr>
        <w:t>here is no ability to apply for search warrants by telephone, telex, facsimile or other electronic means in urgent cases;</w:t>
      </w:r>
    </w:p>
    <w:p w14:paraId="6CE0B16B" w14:textId="18FEC748" w:rsidR="00E5003B" w:rsidRPr="00E5003B" w:rsidRDefault="00E5003B" w:rsidP="00DB191B">
      <w:pPr>
        <w:pStyle w:val="OutlineNumbered2"/>
      </w:pPr>
      <w:r>
        <w:rPr>
          <w:lang w:val="en-US"/>
        </w:rPr>
        <w:t xml:space="preserve">there are no clear powers relating to the use of electronic </w:t>
      </w:r>
      <w:r w:rsidR="009D516D">
        <w:rPr>
          <w:lang w:val="en-US"/>
        </w:rPr>
        <w:t xml:space="preserve">equipment </w:t>
      </w:r>
      <w:r>
        <w:rPr>
          <w:lang w:val="en-US"/>
        </w:rPr>
        <w:t xml:space="preserve">and copying or seizing data contained on electronic </w:t>
      </w:r>
      <w:r w:rsidR="009D516D">
        <w:rPr>
          <w:lang w:val="en-US"/>
        </w:rPr>
        <w:t>equipment</w:t>
      </w:r>
      <w:r>
        <w:rPr>
          <w:lang w:val="en-US"/>
        </w:rPr>
        <w:t>;</w:t>
      </w:r>
    </w:p>
    <w:p w14:paraId="12DB0E89" w14:textId="4046348D" w:rsidR="00E5003B" w:rsidRPr="00E5003B" w:rsidRDefault="00E5003B" w:rsidP="00DB191B">
      <w:pPr>
        <w:pStyle w:val="OutlineNumbered2"/>
      </w:pPr>
      <w:r>
        <w:rPr>
          <w:lang w:val="en-US"/>
        </w:rPr>
        <w:t xml:space="preserve">with the exception of the ASIC Act there is no clear power to require an occupier to provide reasonable assistance (such as opening locked storage cupboards, providing passwords, lighting, power, work spaces or </w:t>
      </w:r>
      <w:r w:rsidR="000068CE">
        <w:rPr>
          <w:lang w:val="en-US"/>
        </w:rPr>
        <w:t>facilities</w:t>
      </w:r>
      <w:r>
        <w:rPr>
          <w:lang w:val="en-US"/>
        </w:rPr>
        <w:t>) during the execution of the search warrant.</w:t>
      </w:r>
    </w:p>
    <w:p w14:paraId="58C715EC" w14:textId="13978B7F" w:rsidR="00871694" w:rsidRPr="00DB191B" w:rsidRDefault="00865224" w:rsidP="00DB191B">
      <w:pPr>
        <w:pStyle w:val="OutlineNumbered1"/>
        <w:rPr>
          <w:rFonts w:eastAsiaTheme="minorHAnsi"/>
        </w:rPr>
      </w:pPr>
      <w:bookmarkStart w:id="50" w:name="_Ref466478681"/>
      <w:r w:rsidRPr="00DB191B">
        <w:rPr>
          <w:rFonts w:eastAsiaTheme="minorHAnsi"/>
        </w:rPr>
        <w:t>B</w:t>
      </w:r>
      <w:r w:rsidR="00871694" w:rsidRPr="00DB191B">
        <w:rPr>
          <w:rFonts w:eastAsiaTheme="minorHAnsi"/>
        </w:rPr>
        <w:t>usiness practices have evolved in recent years to the point that core documentary evidence relevant to ASIC investigations, such as business and financial records, are now held predominantly, if not solely, in electronic form on computers and other electronic devices and not in paper form (</w:t>
      </w:r>
      <w:r w:rsidR="00757A73">
        <w:rPr>
          <w:rFonts w:eastAsiaTheme="minorHAnsi"/>
        </w:rPr>
        <w:t>for example,</w:t>
      </w:r>
      <w:r w:rsidR="00871694" w:rsidRPr="00DB191B">
        <w:rPr>
          <w:rFonts w:eastAsiaTheme="minorHAnsi"/>
        </w:rPr>
        <w:t xml:space="preserve"> </w:t>
      </w:r>
      <w:r w:rsidR="00757A73">
        <w:rPr>
          <w:rFonts w:eastAsiaTheme="minorHAnsi"/>
        </w:rPr>
        <w:t>‘</w:t>
      </w:r>
      <w:r w:rsidR="00871694" w:rsidRPr="00DB191B">
        <w:rPr>
          <w:rFonts w:eastAsiaTheme="minorHAnsi"/>
        </w:rPr>
        <w:t>paperless offices</w:t>
      </w:r>
      <w:r w:rsidR="00757A73">
        <w:rPr>
          <w:rFonts w:eastAsiaTheme="minorHAnsi"/>
        </w:rPr>
        <w:t>’</w:t>
      </w:r>
      <w:r w:rsidR="00871694" w:rsidRPr="00DB191B">
        <w:rPr>
          <w:rFonts w:eastAsiaTheme="minorHAnsi"/>
        </w:rPr>
        <w:t>).</w:t>
      </w:r>
      <w:bookmarkEnd w:id="50"/>
      <w:r w:rsidR="00871694" w:rsidRPr="00DB191B">
        <w:rPr>
          <w:rFonts w:eastAsiaTheme="minorHAnsi"/>
        </w:rPr>
        <w:t xml:space="preserve"> Additionally, as methods of business communications have evolved from paper correspondence (such</w:t>
      </w:r>
      <w:r w:rsidR="00B90AE8">
        <w:rPr>
          <w:rFonts w:eastAsiaTheme="minorHAnsi"/>
        </w:rPr>
        <w:t xml:space="preserve"> </w:t>
      </w:r>
      <w:r w:rsidR="00871694" w:rsidRPr="00DB191B">
        <w:rPr>
          <w:rFonts w:eastAsiaTheme="minorHAnsi"/>
        </w:rPr>
        <w:t xml:space="preserve">as letters and memoranda) through to electronic communications (such as emails and SMS texts) and recently to internet-based messaging and communication platforms (such as Snapchat, WeChat and WhatsApp) and social media platforms (such as Facebook), mobile phones and tablets have become key repositories of communication records that </w:t>
      </w:r>
      <w:r w:rsidRPr="00DB191B">
        <w:rPr>
          <w:rFonts w:eastAsiaTheme="minorHAnsi"/>
        </w:rPr>
        <w:t xml:space="preserve">may be important in </w:t>
      </w:r>
      <w:r w:rsidR="00871694" w:rsidRPr="00DB191B">
        <w:rPr>
          <w:rFonts w:eastAsiaTheme="minorHAnsi"/>
        </w:rPr>
        <w:t>ASIC investigations.</w:t>
      </w:r>
      <w:r w:rsidRPr="00DB191B">
        <w:rPr>
          <w:rFonts w:eastAsiaTheme="minorHAnsi"/>
        </w:rPr>
        <w:t xml:space="preserve"> Accordingly, there appears to be a need for ancillary powers expressly addressing the operation of, copying, and seizure of data from comp</w:t>
      </w:r>
      <w:r w:rsidR="003D65B6">
        <w:rPr>
          <w:rFonts w:eastAsiaTheme="minorHAnsi"/>
        </w:rPr>
        <w:t>uters and electronic equipment.</w:t>
      </w:r>
    </w:p>
    <w:p w14:paraId="7F7F1AEE" w14:textId="45B5A9F9" w:rsidR="00865224" w:rsidRPr="00DB191B" w:rsidRDefault="00296BC2" w:rsidP="00DB191B">
      <w:pPr>
        <w:pStyle w:val="OutlineNumbered1"/>
        <w:rPr>
          <w:rFonts w:eastAsiaTheme="minorHAnsi"/>
        </w:rPr>
      </w:pPr>
      <w:r w:rsidRPr="00DB191B">
        <w:rPr>
          <w:rFonts w:eastAsiaTheme="minorHAnsi"/>
        </w:rPr>
        <w:t>In addition, g</w:t>
      </w:r>
      <w:r w:rsidR="00865224" w:rsidRPr="00DB191B">
        <w:rPr>
          <w:rFonts w:eastAsiaTheme="minorHAnsi"/>
        </w:rPr>
        <w:t xml:space="preserve">iven that search warrants are </w:t>
      </w:r>
      <w:r w:rsidR="009D516D" w:rsidRPr="00DB191B">
        <w:rPr>
          <w:rFonts w:eastAsiaTheme="minorHAnsi"/>
        </w:rPr>
        <w:t xml:space="preserve">often </w:t>
      </w:r>
      <w:r w:rsidR="00865224" w:rsidRPr="00DB191B">
        <w:rPr>
          <w:rFonts w:eastAsiaTheme="minorHAnsi"/>
        </w:rPr>
        <w:t>sought and issued in circumstances where there is a concern that relevant evidence will be destroyed, tampered with or not produced under a notice, there may be situations where swift action is required to ensure that the effective execution of the warrant is not frustrated. In those urgent cases it may be appropriate to enable a warrant to be applied for in t</w:t>
      </w:r>
      <w:r w:rsidR="003D65B6">
        <w:rPr>
          <w:rFonts w:eastAsiaTheme="minorHAnsi"/>
        </w:rPr>
        <w:t>he most efficient way possible.</w:t>
      </w:r>
    </w:p>
    <w:p w14:paraId="626A8F69" w14:textId="0A5AAEFD" w:rsidR="00296BC2" w:rsidRPr="00DB191B" w:rsidRDefault="009D516D" w:rsidP="00DB191B">
      <w:pPr>
        <w:pStyle w:val="OutlineNumbered1"/>
        <w:rPr>
          <w:rFonts w:eastAsiaTheme="minorHAnsi"/>
        </w:rPr>
      </w:pPr>
      <w:r w:rsidRPr="00DB191B">
        <w:rPr>
          <w:rFonts w:eastAsiaTheme="minorHAnsi"/>
        </w:rPr>
        <w:t>A number of the other ancillary powers in the Crimes Act are practical in nature and appear intended to allow for the efficien</w:t>
      </w:r>
      <w:r w:rsidR="003D65B6">
        <w:rPr>
          <w:rFonts w:eastAsiaTheme="minorHAnsi"/>
        </w:rPr>
        <w:t>t execution of search warrants.</w:t>
      </w:r>
    </w:p>
    <w:p w14:paraId="11CF1057" w14:textId="77777777" w:rsidR="00DB191B" w:rsidRPr="00DB191B" w:rsidRDefault="00DB191B" w:rsidP="00DB191B"/>
    <w:p w14:paraId="13CABE7A" w14:textId="77777777" w:rsidR="00DB191B" w:rsidRDefault="00DB191B" w:rsidP="00DB191B">
      <w:pPr>
        <w:rPr>
          <w:rFonts w:ascii="Calibri" w:hAnsi="Calibri" w:cs="Arial"/>
          <w:color w:val="1F497D" w:themeColor="text2"/>
          <w:sz w:val="32"/>
          <w:szCs w:val="28"/>
        </w:rPr>
      </w:pPr>
      <w:r>
        <w:br w:type="page"/>
      </w:r>
    </w:p>
    <w:p w14:paraId="38924442" w14:textId="797BEF99" w:rsidR="00871694" w:rsidRPr="00871694" w:rsidRDefault="009D516D" w:rsidP="00ED2B3F">
      <w:pPr>
        <w:pStyle w:val="Heading2-NoTOC"/>
      </w:pPr>
      <w:bookmarkStart w:id="51" w:name="_Toc484695706"/>
      <w:r>
        <w:lastRenderedPageBreak/>
        <w:t xml:space="preserve">Position </w:t>
      </w:r>
      <w:r w:rsidR="001D1655">
        <w:t>4</w:t>
      </w:r>
      <w:r>
        <w:t>:</w:t>
      </w:r>
      <w:r w:rsidR="00DB191B">
        <w:tab/>
      </w:r>
      <w:r>
        <w:t xml:space="preserve">ASIC Act search warrant powers to include </w:t>
      </w:r>
      <w:r w:rsidR="00871694" w:rsidRPr="00871694">
        <w:t xml:space="preserve">ancillary powers </w:t>
      </w:r>
      <w:r>
        <w:t>that</w:t>
      </w:r>
      <w:r w:rsidR="00871694" w:rsidRPr="00871694">
        <w:t xml:space="preserve"> mirror the </w:t>
      </w:r>
      <w:r w:rsidR="00871694" w:rsidRPr="009D516D">
        <w:t>Crimes Act</w:t>
      </w:r>
      <w:r>
        <w:t xml:space="preserve"> provisions</w:t>
      </w:r>
      <w:bookmarkEnd w:id="51"/>
    </w:p>
    <w:p w14:paraId="2BCEF52D" w14:textId="715A1FBF" w:rsidR="00C66261" w:rsidRPr="00DB191B" w:rsidRDefault="00FB4790" w:rsidP="00DB191B">
      <w:pPr>
        <w:pStyle w:val="OutlineNumbered1"/>
        <w:rPr>
          <w:rFonts w:eastAsiaTheme="minorHAnsi"/>
        </w:rPr>
      </w:pPr>
      <w:r w:rsidRPr="00DB191B">
        <w:rPr>
          <w:rFonts w:eastAsiaTheme="minorHAnsi"/>
        </w:rPr>
        <w:t xml:space="preserve">The Taskforce adopts as its preliminary position that the </w:t>
      </w:r>
      <w:r w:rsidR="00C66261" w:rsidRPr="00DB191B">
        <w:rPr>
          <w:rFonts w:eastAsiaTheme="minorHAnsi"/>
        </w:rPr>
        <w:t xml:space="preserve">search warrant powers in the ASIC, NCCP, SIS and RSA Acts </w:t>
      </w:r>
      <w:r w:rsidRPr="00DB191B">
        <w:rPr>
          <w:rFonts w:eastAsiaTheme="minorHAnsi"/>
        </w:rPr>
        <w:t xml:space="preserve">should include ancillary provisions that mirror the provisions in the Crimes Act. Given that the Crimes Act provisions have been most recently amended they provide the most </w:t>
      </w:r>
      <w:r w:rsidR="00757A73">
        <w:rPr>
          <w:rFonts w:eastAsiaTheme="minorHAnsi"/>
        </w:rPr>
        <w:t>‘</w:t>
      </w:r>
      <w:r w:rsidRPr="00DB191B">
        <w:rPr>
          <w:rFonts w:eastAsiaTheme="minorHAnsi"/>
        </w:rPr>
        <w:t>up to date</w:t>
      </w:r>
      <w:r w:rsidR="00757A73">
        <w:rPr>
          <w:rFonts w:eastAsiaTheme="minorHAnsi"/>
        </w:rPr>
        <w:t>’</w:t>
      </w:r>
      <w:r w:rsidRPr="00DB191B">
        <w:rPr>
          <w:rFonts w:eastAsiaTheme="minorHAnsi"/>
        </w:rPr>
        <w:t xml:space="preserve"> provisions, which have addressed issues associated with searching and seizing electronic equipment. This</w:t>
      </w:r>
      <w:r w:rsidR="00C66261" w:rsidRPr="00DB191B">
        <w:rPr>
          <w:rFonts w:eastAsiaTheme="minorHAnsi"/>
        </w:rPr>
        <w:t xml:space="preserve"> would:</w:t>
      </w:r>
    </w:p>
    <w:p w14:paraId="53612C49" w14:textId="77777777" w:rsidR="00C66261" w:rsidRPr="00B166F0" w:rsidRDefault="00C66261" w:rsidP="00DB191B">
      <w:pPr>
        <w:pStyle w:val="OutlineNumbered2"/>
      </w:pPr>
      <w:r w:rsidRPr="00B166F0">
        <w:t>enhance the search warrant powers in relation to the search, seizure and copying of electronic evidence to reflect modern business and communication practices in which information is stored and transmitted electronically rather than in paper form;</w:t>
      </w:r>
    </w:p>
    <w:p w14:paraId="020CD9E9" w14:textId="4F8CBFA6" w:rsidR="00C66261" w:rsidRPr="00B166F0" w:rsidRDefault="00C66261" w:rsidP="00DB191B">
      <w:pPr>
        <w:pStyle w:val="OutlineNumbered2"/>
      </w:pPr>
      <w:bookmarkStart w:id="52" w:name="_Ref468269209"/>
      <w:r w:rsidRPr="00B166F0">
        <w:t xml:space="preserve">provide other </w:t>
      </w:r>
      <w:r w:rsidR="00CB5085">
        <w:t>ancillary powers of practical</w:t>
      </w:r>
      <w:r w:rsidRPr="00B166F0">
        <w:t xml:space="preserve"> utility such as the ability to obtain search warrants from a magistrate by telephone and the ability to seize evidence of other corporate crime which is identified in the course of executing the warrant;</w:t>
      </w:r>
      <w:bookmarkEnd w:id="52"/>
    </w:p>
    <w:p w14:paraId="42107152" w14:textId="3686B463" w:rsidR="00C66261" w:rsidRPr="00B166F0" w:rsidRDefault="00C66261" w:rsidP="00DB191B">
      <w:pPr>
        <w:pStyle w:val="OutlineNumbered2"/>
      </w:pPr>
      <w:r w:rsidRPr="00B166F0">
        <w:t>harmonise the ASIC Act, NCCP Act, SIS Act and RSA Act search warrant</w:t>
      </w:r>
      <w:r w:rsidR="00CB5085">
        <w:t xml:space="preserve"> powers with the search warrant</w:t>
      </w:r>
      <w:r w:rsidRPr="00B166F0">
        <w:t xml:space="preserve"> powers contained in other legislation (Crimes</w:t>
      </w:r>
      <w:r w:rsidR="00DB191B">
        <w:t> </w:t>
      </w:r>
      <w:r w:rsidRPr="00B166F0">
        <w:t>Act, Competition and Consumer Act) t</w:t>
      </w:r>
      <w:r w:rsidR="00CB5085">
        <w:t xml:space="preserve">hat are well understood by </w:t>
      </w:r>
      <w:r w:rsidRPr="00B166F0">
        <w:t>regulatory and law enforcement agencies and the Courts; and</w:t>
      </w:r>
    </w:p>
    <w:p w14:paraId="7B5CA867" w14:textId="16A85775" w:rsidR="00CB5085" w:rsidRDefault="00C66261" w:rsidP="00DB191B">
      <w:pPr>
        <w:pStyle w:val="OutlineNumbered2"/>
      </w:pPr>
      <w:r w:rsidRPr="00B166F0">
        <w:t xml:space="preserve">increase the overall effectiveness of the search warrant powers available to </w:t>
      </w:r>
      <w:r w:rsidR="000068CE" w:rsidRPr="00B166F0">
        <w:t>ASIC</w:t>
      </w:r>
      <w:r w:rsidRPr="00B166F0">
        <w:t xml:space="preserve"> and lead to consequential efficiencies in relation to ASIC's investigations and enforcement proceedings</w:t>
      </w:r>
      <w:r w:rsidR="00CB5085">
        <w:t>.</w:t>
      </w:r>
    </w:p>
    <w:p w14:paraId="0BD8410B" w14:textId="476D8CE2" w:rsidR="00C66261" w:rsidRDefault="00CB5085" w:rsidP="00DB191B">
      <w:pPr>
        <w:pStyle w:val="OutlineNumbered1"/>
      </w:pPr>
      <w:r>
        <w:t>It is not anticipated that this will lead to a substantial</w:t>
      </w:r>
      <w:r w:rsidR="00C66261" w:rsidRPr="00B166F0">
        <w:t xml:space="preserve"> increase i</w:t>
      </w:r>
      <w:r>
        <w:t xml:space="preserve">n the number of </w:t>
      </w:r>
      <w:r w:rsidR="00C66261" w:rsidRPr="00B166F0">
        <w:t>search warrants sought by ASIC. Search warra</w:t>
      </w:r>
      <w:r>
        <w:t xml:space="preserve">nt operations are a </w:t>
      </w:r>
      <w:r w:rsidR="00C66261" w:rsidRPr="00B166F0">
        <w:t>logistical exercise</w:t>
      </w:r>
      <w:r>
        <w:t>s that involve</w:t>
      </w:r>
      <w:r w:rsidR="00C66261" w:rsidRPr="00B166F0">
        <w:t xml:space="preserve"> significant cost, planning, </w:t>
      </w:r>
      <w:r w:rsidR="005B529A">
        <w:t xml:space="preserve">and coordination with the AFP. </w:t>
      </w:r>
      <w:r w:rsidR="00C66261" w:rsidRPr="00B166F0">
        <w:t>They also require considerable resources to be available, both from ASIC, the AFP and, in certain circumstances, externa</w:t>
      </w:r>
      <w:r>
        <w:t xml:space="preserve">l computer forensic providers. </w:t>
      </w:r>
      <w:r w:rsidR="00C66261" w:rsidRPr="00B166F0">
        <w:t>Consequently,</w:t>
      </w:r>
      <w:r>
        <w:t xml:space="preserve"> s</w:t>
      </w:r>
      <w:r w:rsidR="00C66261" w:rsidRPr="00B166F0">
        <w:t xml:space="preserve">earch warrants </w:t>
      </w:r>
      <w:r>
        <w:t xml:space="preserve">will only be </w:t>
      </w:r>
      <w:r w:rsidR="00C66261" w:rsidRPr="00B166F0">
        <w:t>appropriate</w:t>
      </w:r>
      <w:r>
        <w:t xml:space="preserve"> in serious cases where there </w:t>
      </w:r>
      <w:r w:rsidR="00C66261" w:rsidRPr="00B166F0">
        <w:t>is a risk of destruction or concealment of evidence</w:t>
      </w:r>
      <w:r w:rsidR="00DB191B">
        <w:t>.</w:t>
      </w:r>
    </w:p>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DBE5F1" w:themeFill="accent1" w:themeFillTint="33"/>
        <w:tblCellMar>
          <w:left w:w="142" w:type="dxa"/>
          <w:right w:w="142" w:type="dxa"/>
        </w:tblCellMar>
        <w:tblLook w:val="04A0" w:firstRow="1" w:lastRow="0" w:firstColumn="1" w:lastColumn="0" w:noHBand="0" w:noVBand="1"/>
      </w:tblPr>
      <w:tblGrid>
        <w:gridCol w:w="9242"/>
      </w:tblGrid>
      <w:tr w:rsidR="00DB191B" w14:paraId="506EB160" w14:textId="77777777" w:rsidTr="00DB191B">
        <w:tc>
          <w:tcPr>
            <w:tcW w:w="9242" w:type="dxa"/>
            <w:shd w:val="clear" w:color="auto" w:fill="DBE5F1" w:themeFill="accent1" w:themeFillTint="33"/>
          </w:tcPr>
          <w:p w14:paraId="4ADF5F8B" w14:textId="155CE7BA" w:rsidR="00DB191B" w:rsidRDefault="003D65B6" w:rsidP="00DB191B">
            <w:pPr>
              <w:pStyle w:val="BoxHeadingnonumber"/>
            </w:pPr>
            <w:r>
              <w:t>Questions</w:t>
            </w:r>
          </w:p>
          <w:p w14:paraId="76613F7E" w14:textId="2C396992" w:rsidR="00DB191B" w:rsidRDefault="00DB191B" w:rsidP="00DB191B">
            <w:pPr>
              <w:pStyle w:val="BoxNumbering"/>
            </w:pPr>
            <w:r w:rsidRPr="00691FF6">
              <w:t xml:space="preserve">Should </w:t>
            </w:r>
            <w:r>
              <w:t>ancillary provisions be included in the search warrant powers in the ASIC Act, NCCP Act, SIS Act and RSA Act?</w:t>
            </w:r>
          </w:p>
          <w:p w14:paraId="28A80258" w14:textId="115185C1" w:rsidR="00DB191B" w:rsidRDefault="00DB191B" w:rsidP="00B748F1">
            <w:pPr>
              <w:pStyle w:val="BoxNumbering"/>
            </w:pPr>
            <w:r>
              <w:t>Should those ancillary powers mirror the provisions in the Crimes Act?</w:t>
            </w:r>
          </w:p>
        </w:tc>
      </w:tr>
    </w:tbl>
    <w:p w14:paraId="44929BBD" w14:textId="77777777" w:rsidR="00DB191B" w:rsidRDefault="00DB191B" w:rsidP="00DB191B"/>
    <w:p w14:paraId="3DCC90E4" w14:textId="77777777" w:rsidR="00DB191B" w:rsidRPr="00DB191B" w:rsidRDefault="00DB191B" w:rsidP="00DB191B"/>
    <w:p w14:paraId="47986F8F" w14:textId="4ADE44D1" w:rsidR="00871694" w:rsidRDefault="00871694" w:rsidP="00C462C8">
      <w:pPr>
        <w:pStyle w:val="Heading1-Numbered"/>
      </w:pPr>
      <w:bookmarkStart w:id="53" w:name="_Toc484695707"/>
      <w:bookmarkStart w:id="54" w:name="_Toc486231369"/>
      <w:r w:rsidRPr="00871694">
        <w:lastRenderedPageBreak/>
        <w:t xml:space="preserve">Use </w:t>
      </w:r>
      <w:r w:rsidR="00CB5085">
        <w:t xml:space="preserve">of seized material </w:t>
      </w:r>
      <w:r w:rsidRPr="00871694">
        <w:t>by ASIC and access by third</w:t>
      </w:r>
      <w:r w:rsidR="006669C2">
        <w:t> </w:t>
      </w:r>
      <w:r w:rsidRPr="00871694">
        <w:t>parties</w:t>
      </w:r>
      <w:bookmarkEnd w:id="53"/>
      <w:bookmarkEnd w:id="54"/>
    </w:p>
    <w:p w14:paraId="4C292C6F" w14:textId="780413DF" w:rsidR="00B913B9" w:rsidRPr="00F453B4" w:rsidRDefault="00B913B9" w:rsidP="00C462C8">
      <w:pPr>
        <w:pStyle w:val="Heading2"/>
      </w:pPr>
      <w:bookmarkStart w:id="55" w:name="_Toc484695708"/>
      <w:bookmarkStart w:id="56" w:name="_Toc486231370"/>
      <w:r w:rsidRPr="00F453B4">
        <w:t>ASIC’s use of seized material</w:t>
      </w:r>
      <w:bookmarkEnd w:id="55"/>
      <w:bookmarkEnd w:id="56"/>
    </w:p>
    <w:p w14:paraId="2790D430" w14:textId="54321EA6" w:rsidR="00B913B9" w:rsidRPr="00DB191B" w:rsidRDefault="00B913B9" w:rsidP="00B748F1">
      <w:pPr>
        <w:pStyle w:val="OutlineNumbered1"/>
        <w:numPr>
          <w:ilvl w:val="0"/>
          <w:numId w:val="38"/>
        </w:numPr>
        <w:rPr>
          <w:rFonts w:eastAsiaTheme="minorHAnsi"/>
        </w:rPr>
      </w:pPr>
      <w:bookmarkStart w:id="57" w:name="_Ref477974709"/>
      <w:r w:rsidRPr="00DB191B">
        <w:rPr>
          <w:rFonts w:eastAsiaTheme="minorHAnsi"/>
        </w:rPr>
        <w:t>Section 37(5) of the ASIC Act permits ASIC to seize ‘particular books’ for as long as a reason exists under the Act to retain it. ASIC may use or permit the use of seized books for the purposes of a proceeding</w:t>
      </w:r>
      <w:r w:rsidR="0078406A" w:rsidRPr="00DB191B">
        <w:rPr>
          <w:rFonts w:eastAsiaTheme="minorHAnsi"/>
        </w:rPr>
        <w:t>,</w:t>
      </w:r>
      <w:r w:rsidRPr="00DB191B">
        <w:rPr>
          <w:rStyle w:val="FootnoteReference"/>
          <w:rFonts w:eastAsiaTheme="minorHAnsi"/>
        </w:rPr>
        <w:footnoteReference w:id="50"/>
      </w:r>
      <w:r w:rsidRPr="00DB191B">
        <w:rPr>
          <w:rFonts w:eastAsiaTheme="minorHAnsi"/>
        </w:rPr>
        <w:t xml:space="preserve"> which is defined broadly and includes criminal, civil and administrative proceedings.</w:t>
      </w:r>
      <w:bookmarkEnd w:id="57"/>
    </w:p>
    <w:p w14:paraId="52C93CB3" w14:textId="1AE008E5" w:rsidR="00F711DA" w:rsidRPr="00DB191B" w:rsidRDefault="00B913B9" w:rsidP="00DB191B">
      <w:pPr>
        <w:pStyle w:val="OutlineNumbered1"/>
        <w:rPr>
          <w:rFonts w:eastAsiaTheme="minorHAnsi"/>
        </w:rPr>
      </w:pPr>
      <w:r w:rsidRPr="00DB191B">
        <w:rPr>
          <w:rFonts w:eastAsiaTheme="minorHAnsi"/>
        </w:rPr>
        <w:t xml:space="preserve">In contrast, </w:t>
      </w:r>
      <w:r w:rsidR="004E094E" w:rsidRPr="00DB191B">
        <w:rPr>
          <w:rFonts w:eastAsiaTheme="minorHAnsi"/>
        </w:rPr>
        <w:t xml:space="preserve">evidential material obtained pursuant to </w:t>
      </w:r>
      <w:r w:rsidRPr="00DB191B">
        <w:rPr>
          <w:rFonts w:eastAsiaTheme="minorHAnsi"/>
        </w:rPr>
        <w:t>a Crimes Act search warrant</w:t>
      </w:r>
      <w:r w:rsidR="004E094E" w:rsidRPr="00DB191B">
        <w:rPr>
          <w:rFonts w:eastAsiaTheme="minorHAnsi"/>
        </w:rPr>
        <w:t xml:space="preserve"> can </w:t>
      </w:r>
      <w:r w:rsidRPr="00DB191B">
        <w:rPr>
          <w:rFonts w:eastAsiaTheme="minorHAnsi"/>
        </w:rPr>
        <w:t xml:space="preserve">only </w:t>
      </w:r>
      <w:r w:rsidR="004E094E" w:rsidRPr="00DB191B">
        <w:rPr>
          <w:rFonts w:eastAsiaTheme="minorHAnsi"/>
        </w:rPr>
        <w:t xml:space="preserve">be used by ASIC for the purpose of investigating and </w:t>
      </w:r>
      <w:r w:rsidRPr="00DB191B">
        <w:rPr>
          <w:rFonts w:eastAsiaTheme="minorHAnsi"/>
        </w:rPr>
        <w:t>prosecuting criminal offences. I</w:t>
      </w:r>
      <w:r w:rsidR="004E094E" w:rsidRPr="00DB191B">
        <w:rPr>
          <w:rFonts w:eastAsiaTheme="minorHAnsi"/>
        </w:rPr>
        <w:t>t cannot be used for the purpose of investigating contraventions that are actionable by only civil or administrative proceedings and it is not admissible in any kinds of civil or administrative proceedings undertaken by ASIC.</w:t>
      </w:r>
      <w:r w:rsidR="004E094E" w:rsidRPr="00DB191B">
        <w:rPr>
          <w:rStyle w:val="FootnoteReference"/>
          <w:rFonts w:eastAsiaTheme="minorHAnsi"/>
        </w:rPr>
        <w:footnoteReference w:id="51"/>
      </w:r>
    </w:p>
    <w:p w14:paraId="0B1D85A5" w14:textId="18EF126E" w:rsidR="00B913B9" w:rsidRPr="00DB191B" w:rsidRDefault="00B913B9" w:rsidP="00DB191B">
      <w:pPr>
        <w:pStyle w:val="OutlineNumbered1"/>
        <w:rPr>
          <w:rFonts w:eastAsiaTheme="minorHAnsi"/>
        </w:rPr>
      </w:pPr>
      <w:bookmarkStart w:id="58" w:name="_Ref477979946"/>
      <w:r w:rsidRPr="00DB191B">
        <w:rPr>
          <w:rFonts w:eastAsiaTheme="minorHAnsi"/>
        </w:rPr>
        <w:t>ASIC considers</w:t>
      </w:r>
      <w:r w:rsidR="00F711DA" w:rsidRPr="00DB191B">
        <w:rPr>
          <w:rFonts w:eastAsiaTheme="minorHAnsi"/>
        </w:rPr>
        <w:t xml:space="preserve"> that </w:t>
      </w:r>
      <w:r w:rsidRPr="00DB191B">
        <w:rPr>
          <w:rFonts w:eastAsiaTheme="minorHAnsi"/>
        </w:rPr>
        <w:t>restrictions on the permissible use of evidence obtained pursuant to Crimes Act search warrants creates practical difficulties because:</w:t>
      </w:r>
      <w:bookmarkEnd w:id="58"/>
    </w:p>
    <w:p w14:paraId="069CD20D" w14:textId="77777777" w:rsidR="00B913B9" w:rsidRPr="00B166F0" w:rsidRDefault="00B913B9" w:rsidP="00DB191B">
      <w:pPr>
        <w:pStyle w:val="OutlineNumbered2"/>
      </w:pPr>
      <w:r w:rsidRPr="00B166F0">
        <w:t>most ASIC investigations will have actual or potential criminal, civil and administrative enforcement components;</w:t>
      </w:r>
      <w:r w:rsidRPr="009B1A3E">
        <w:rPr>
          <w:vertAlign w:val="superscript"/>
        </w:rPr>
        <w:footnoteReference w:id="52"/>
      </w:r>
    </w:p>
    <w:p w14:paraId="4932FEA9" w14:textId="77777777" w:rsidR="00B913B9" w:rsidRPr="00B166F0" w:rsidRDefault="00B913B9" w:rsidP="00DB191B">
      <w:pPr>
        <w:pStyle w:val="OutlineNumbered2"/>
      </w:pPr>
      <w:r w:rsidRPr="00B166F0">
        <w:t>at the early stages of an investigation (which is when search warrants are typically executed) it will rarely be known which type or types of enforcement action will ultimately be available and most appropriate; and</w:t>
      </w:r>
    </w:p>
    <w:p w14:paraId="44606D3D" w14:textId="13556BEB" w:rsidR="00B913B9" w:rsidRPr="00B166F0" w:rsidRDefault="00B913B9" w:rsidP="00DB191B">
      <w:pPr>
        <w:pStyle w:val="OutlineNumbered2"/>
      </w:pPr>
      <w:r w:rsidRPr="00B166F0">
        <w:t xml:space="preserve">the receipt of evidential material obtained pursuant to Crimes Act search warrants (that can only be lawfully used for </w:t>
      </w:r>
      <w:r w:rsidR="00757A73">
        <w:t>‘</w:t>
      </w:r>
      <w:r w:rsidRPr="00B166F0">
        <w:t>criminal</w:t>
      </w:r>
      <w:r w:rsidR="00757A73">
        <w:t>’</w:t>
      </w:r>
      <w:r w:rsidRPr="00B166F0">
        <w:t xml:space="preserve"> law enforcement purposes) can potentially </w:t>
      </w:r>
      <w:r w:rsidR="00757A73">
        <w:t>‘</w:t>
      </w:r>
      <w:r w:rsidRPr="00B166F0">
        <w:t>taint</w:t>
      </w:r>
      <w:r w:rsidR="00757A73">
        <w:t>’</w:t>
      </w:r>
      <w:r w:rsidRPr="00B166F0">
        <w:t xml:space="preserve"> non-criminal aspects of an ASIC investigation and/or invite costly and time-consuming legal challenges.</w:t>
      </w:r>
      <w:r w:rsidRPr="009B1A3E">
        <w:rPr>
          <w:vertAlign w:val="superscript"/>
        </w:rPr>
        <w:footnoteReference w:id="53"/>
      </w:r>
    </w:p>
    <w:p w14:paraId="424BA0D1" w14:textId="1E6A3BC1" w:rsidR="00B913B9" w:rsidRPr="00DB191B" w:rsidRDefault="008E696D" w:rsidP="00DB191B">
      <w:pPr>
        <w:pStyle w:val="OutlineNumbered1"/>
        <w:rPr>
          <w:rFonts w:eastAsiaTheme="minorHAnsi"/>
        </w:rPr>
      </w:pPr>
      <w:bookmarkStart w:id="59" w:name="_Ref479167874"/>
      <w:r w:rsidRPr="00DB191B">
        <w:rPr>
          <w:rFonts w:eastAsiaTheme="minorHAnsi"/>
        </w:rPr>
        <w:t xml:space="preserve">The </w:t>
      </w:r>
      <w:r w:rsidR="00F711DA" w:rsidRPr="00DB191B">
        <w:rPr>
          <w:rFonts w:eastAsiaTheme="minorHAnsi"/>
        </w:rPr>
        <w:t xml:space="preserve">practical consequences </w:t>
      </w:r>
      <w:r w:rsidRPr="00DB191B">
        <w:rPr>
          <w:rFonts w:eastAsiaTheme="minorHAnsi"/>
        </w:rPr>
        <w:t xml:space="preserve">for ASIC </w:t>
      </w:r>
      <w:r w:rsidR="00F711DA" w:rsidRPr="00DB191B">
        <w:rPr>
          <w:rFonts w:eastAsiaTheme="minorHAnsi"/>
        </w:rPr>
        <w:t>can include the following</w:t>
      </w:r>
      <w:r w:rsidR="00B913B9" w:rsidRPr="00DB191B">
        <w:rPr>
          <w:rFonts w:eastAsiaTheme="minorHAnsi"/>
        </w:rPr>
        <w:t>:</w:t>
      </w:r>
      <w:bookmarkEnd w:id="59"/>
    </w:p>
    <w:p w14:paraId="6A653BBA" w14:textId="6062DE79" w:rsidR="00B913B9" w:rsidRPr="00B166F0" w:rsidRDefault="00F711DA" w:rsidP="00DB191B">
      <w:pPr>
        <w:pStyle w:val="OutlineNumbered2"/>
      </w:pPr>
      <w:r>
        <w:t>ASIC may n</w:t>
      </w:r>
      <w:r w:rsidR="00B913B9" w:rsidRPr="00B166F0">
        <w:t>ot utilise Crimes Act search warrants in cases in which it would otherwise be desirable to do so, and thereby potentially prejudice ASIC's investigation, because of concerns about the possibility of adversely affecting any future non-criminal enforcement action. In such circumstances, production notices issued under Division 3 of Part 3 of the ASIC Act are utilised as the primary evidence gathering tool. While documents produced pursuant to production notices may be used for the range of ASIC's enforcement functions, the use of such notices carries the inherent risk of the destruction of evidence and the selective or otherwise inadequate production of books by notice recipients</w:t>
      </w:r>
      <w:r>
        <w:t>;</w:t>
      </w:r>
    </w:p>
    <w:p w14:paraId="48B14B8D" w14:textId="7984A095" w:rsidR="00B913B9" w:rsidRPr="00B166F0" w:rsidRDefault="00F711DA" w:rsidP="00DB191B">
      <w:pPr>
        <w:pStyle w:val="OutlineNumbered2"/>
      </w:pPr>
      <w:r>
        <w:lastRenderedPageBreak/>
        <w:t>ASIC may p</w:t>
      </w:r>
      <w:r w:rsidR="00B913B9" w:rsidRPr="00B166F0">
        <w:t>rematurely foreclose non-criminal enforcement options, with the risk that ASIC is unable to take civil and/or administrative action that may otherwise be in the public interest (</w:t>
      </w:r>
      <w:r w:rsidR="00757A73">
        <w:rPr>
          <w:rFonts w:eastAsiaTheme="minorHAnsi"/>
        </w:rPr>
        <w:t>for example,</w:t>
      </w:r>
      <w:r w:rsidR="00757A73" w:rsidRPr="00DB191B">
        <w:rPr>
          <w:rFonts w:eastAsiaTheme="minorHAnsi"/>
        </w:rPr>
        <w:t xml:space="preserve"> </w:t>
      </w:r>
      <w:r w:rsidR="00B913B9" w:rsidRPr="00B166F0">
        <w:t>to assist/compensate victims or protect the public)</w:t>
      </w:r>
      <w:r>
        <w:t>;</w:t>
      </w:r>
    </w:p>
    <w:p w14:paraId="54AC3929" w14:textId="2483DAB3" w:rsidR="00B913B9" w:rsidRPr="00B166F0" w:rsidRDefault="00B913B9" w:rsidP="00DB191B">
      <w:pPr>
        <w:pStyle w:val="OutlineNumbered2"/>
      </w:pPr>
      <w:r w:rsidRPr="00B166F0">
        <w:t>existing investigation</w:t>
      </w:r>
      <w:r w:rsidR="00F711DA">
        <w:t>s may need to be split</w:t>
      </w:r>
      <w:r w:rsidRPr="00B166F0">
        <w:t xml:space="preserve"> into two separate parts which are conducted by separate staff divided by an information barrier, one part focussing on potential criminal outcomes (in respect of which Crimes Act search warrant material can be used) and the other focussing on potential non-criminal outcomes (in respect of which Crimes Act search warrant material cannot be used). </w:t>
      </w:r>
      <w:r w:rsidR="00F711DA">
        <w:t xml:space="preserve">Investigations conducted in this way can be </w:t>
      </w:r>
      <w:r w:rsidRPr="00B166F0">
        <w:t>inefficient, overly</w:t>
      </w:r>
      <w:r w:rsidR="00DB191B">
        <w:br/>
      </w:r>
      <w:r w:rsidRPr="00B166F0">
        <w:t>time-consuming</w:t>
      </w:r>
      <w:r w:rsidR="008E696D">
        <w:t>,</w:t>
      </w:r>
      <w:r w:rsidRPr="00B166F0">
        <w:t xml:space="preserve"> costly</w:t>
      </w:r>
      <w:r w:rsidR="008E696D">
        <w:t xml:space="preserve"> for ASIC and persons under investigation</w:t>
      </w:r>
      <w:r w:rsidRPr="00B166F0">
        <w:t>, and vulnerable to legal challenge</w:t>
      </w:r>
      <w:r w:rsidR="00F711DA">
        <w:t>;</w:t>
      </w:r>
    </w:p>
    <w:p w14:paraId="6E19CB09" w14:textId="4CD7A209" w:rsidR="00B913B9" w:rsidRPr="00B166F0" w:rsidRDefault="00F711DA" w:rsidP="00DB191B">
      <w:pPr>
        <w:pStyle w:val="OutlineNumbered2"/>
      </w:pPr>
      <w:r>
        <w:t>ASIC may s</w:t>
      </w:r>
      <w:r w:rsidR="00B913B9" w:rsidRPr="00B166F0">
        <w:t xml:space="preserve">eek to re-obtain Crimes Act search warrant material, or copies of such material, by other means which enable it to be used for </w:t>
      </w:r>
      <w:r>
        <w:t xml:space="preserve">a </w:t>
      </w:r>
      <w:r w:rsidR="00B913B9" w:rsidRPr="00B166F0">
        <w:t>broader range of law enforcement purposes (</w:t>
      </w:r>
      <w:r w:rsidR="00757A73">
        <w:rPr>
          <w:rFonts w:eastAsiaTheme="minorHAnsi"/>
        </w:rPr>
        <w:t>for example,</w:t>
      </w:r>
      <w:r w:rsidR="00757A73" w:rsidRPr="00DB191B">
        <w:rPr>
          <w:rFonts w:eastAsiaTheme="minorHAnsi"/>
        </w:rPr>
        <w:t xml:space="preserve"> </w:t>
      </w:r>
      <w:r w:rsidR="00B913B9" w:rsidRPr="00B166F0">
        <w:t>by issuing notices or executing search warrants under the ASIC Act)</w:t>
      </w:r>
      <w:r>
        <w:t xml:space="preserve">, which involves </w:t>
      </w:r>
      <w:r w:rsidR="00B913B9" w:rsidRPr="00B166F0">
        <w:t xml:space="preserve">duplication of effort and </w:t>
      </w:r>
      <w:r w:rsidR="008E696D">
        <w:t>cost</w:t>
      </w:r>
      <w:r w:rsidR="00B913B9" w:rsidRPr="00B166F0">
        <w:t xml:space="preserve"> and greater disruption of persons against whom searc</w:t>
      </w:r>
      <w:r w:rsidR="003D65B6">
        <w:t>h warrant powers are exercised.</w:t>
      </w:r>
    </w:p>
    <w:p w14:paraId="6E8EFCBF" w14:textId="35C4A9AC" w:rsidR="00B913B9" w:rsidRPr="00DB191B" w:rsidRDefault="00982036" w:rsidP="00DB191B">
      <w:pPr>
        <w:pStyle w:val="OutlineNumbered1"/>
        <w:rPr>
          <w:rFonts w:eastAsiaTheme="minorHAnsi"/>
        </w:rPr>
      </w:pPr>
      <w:r w:rsidRPr="00DB191B">
        <w:rPr>
          <w:rFonts w:eastAsiaTheme="minorHAnsi"/>
        </w:rPr>
        <w:t>Further, the re</w:t>
      </w:r>
      <w:r w:rsidR="00B913B9" w:rsidRPr="00DB191B">
        <w:rPr>
          <w:rFonts w:eastAsiaTheme="minorHAnsi"/>
        </w:rPr>
        <w:t xml:space="preserve">striction on the permissible use of Crimes Act search warrant material </w:t>
      </w:r>
      <w:r w:rsidRPr="00DB191B">
        <w:rPr>
          <w:rFonts w:eastAsiaTheme="minorHAnsi"/>
        </w:rPr>
        <w:t xml:space="preserve">can also impact </w:t>
      </w:r>
      <w:r w:rsidR="00B913B9" w:rsidRPr="00DB191B">
        <w:rPr>
          <w:rFonts w:eastAsiaTheme="minorHAnsi"/>
        </w:rPr>
        <w:t xml:space="preserve">on ASIC's </w:t>
      </w:r>
      <w:r w:rsidRPr="00DB191B">
        <w:rPr>
          <w:rFonts w:eastAsiaTheme="minorHAnsi"/>
        </w:rPr>
        <w:t>ability to</w:t>
      </w:r>
      <w:r w:rsidR="00B913B9" w:rsidRPr="00DB191B">
        <w:rPr>
          <w:rFonts w:eastAsiaTheme="minorHAnsi"/>
        </w:rPr>
        <w:t xml:space="preserve"> undertake cooperative operations with other Commonwealth agencies (such as the AFP) where the investigation is in respect of conduct that potentially involves both criminal and civil or administrative contraventions of the law. It also impacts upon ASIC's capacity to conduct investigations on the basis of referrals from other agencies, where the evidence upon which the referral is based has been obtained through Crimes Act warrants and discloses contraventions of legislation within ASIC's remit in respect of which criminal proceedings may not be open or most appropriate.</w:t>
      </w:r>
    </w:p>
    <w:p w14:paraId="7E831B8D" w14:textId="55357D84" w:rsidR="00B913B9" w:rsidRPr="00DB191B" w:rsidRDefault="00B913B9" w:rsidP="00DB191B">
      <w:pPr>
        <w:pStyle w:val="OutlineNumbered1"/>
        <w:rPr>
          <w:rFonts w:eastAsiaTheme="minorHAnsi"/>
        </w:rPr>
      </w:pPr>
      <w:bookmarkStart w:id="60" w:name="_Ref477979956"/>
      <w:r w:rsidRPr="00DB191B">
        <w:rPr>
          <w:rFonts w:eastAsiaTheme="minorHAnsi"/>
        </w:rPr>
        <w:t xml:space="preserve">A hypothetical example of this is a foreign bribery investigation where the AFP may be investigating whether bribes had been paid by company employees. In this scenario, the AFP may seek to refer to ASIC potential civil penalty contraventions of directors' duties under s180 </w:t>
      </w:r>
      <w:r w:rsidR="00982036" w:rsidRPr="00DB191B">
        <w:rPr>
          <w:rFonts w:eastAsiaTheme="minorHAnsi"/>
        </w:rPr>
        <w:t xml:space="preserve">of the </w:t>
      </w:r>
      <w:r w:rsidRPr="00DB191B">
        <w:rPr>
          <w:rFonts w:eastAsiaTheme="minorHAnsi"/>
        </w:rPr>
        <w:t xml:space="preserve">Corporations Act in respect of a failure by the board to implement appropriate measures to detect and prevent such bribery. However, any evidential material obtained by the AFP under a Crimes Act search warrant could not be used by ASIC in its civil penalty investigation. Additionally, the receipt of such material by ASIC (or communication to ASIC of information derived from such material) creates the risk of tainting any investigation that may be commenced by ASIC and leaving the investigation open to challenge. The ability for ASIC and the AFP to conduct any kind of genuine </w:t>
      </w:r>
      <w:r w:rsidR="00757A73">
        <w:rPr>
          <w:rFonts w:eastAsiaTheme="minorHAnsi"/>
        </w:rPr>
        <w:t>‘</w:t>
      </w:r>
      <w:r w:rsidRPr="00DB191B">
        <w:rPr>
          <w:rFonts w:eastAsiaTheme="minorHAnsi"/>
        </w:rPr>
        <w:t>joint</w:t>
      </w:r>
      <w:r w:rsidR="00757A73">
        <w:rPr>
          <w:rFonts w:eastAsiaTheme="minorHAnsi"/>
        </w:rPr>
        <w:t>’</w:t>
      </w:r>
      <w:r w:rsidRPr="00DB191B">
        <w:rPr>
          <w:rFonts w:eastAsiaTheme="minorHAnsi"/>
        </w:rPr>
        <w:t xml:space="preserve"> investigation would be extremely limited.</w:t>
      </w:r>
      <w:bookmarkEnd w:id="60"/>
    </w:p>
    <w:p w14:paraId="18867D0B" w14:textId="34A59A3F" w:rsidR="000E03D2" w:rsidRPr="00DB191B" w:rsidRDefault="00F2559E" w:rsidP="00DB191B">
      <w:pPr>
        <w:pStyle w:val="OutlineNumbered1"/>
        <w:rPr>
          <w:rFonts w:eastAsiaTheme="minorHAnsi"/>
        </w:rPr>
      </w:pPr>
      <w:r w:rsidRPr="00DB191B">
        <w:rPr>
          <w:rFonts w:eastAsiaTheme="minorHAnsi"/>
        </w:rPr>
        <w:t xml:space="preserve">Against the matters and issues raised in paragraphs </w:t>
      </w:r>
      <w:r w:rsidRPr="00DB191B">
        <w:rPr>
          <w:rFonts w:eastAsiaTheme="minorHAnsi"/>
        </w:rPr>
        <w:fldChar w:fldCharType="begin"/>
      </w:r>
      <w:r w:rsidRPr="00DB191B">
        <w:rPr>
          <w:rFonts w:eastAsiaTheme="minorHAnsi"/>
        </w:rPr>
        <w:instrText xml:space="preserve"> REF _Ref477974709 \r \h </w:instrText>
      </w:r>
      <w:r w:rsidR="00AD1E8E" w:rsidRPr="00DB191B">
        <w:rPr>
          <w:rFonts w:eastAsiaTheme="minorHAnsi"/>
        </w:rPr>
        <w:instrText xml:space="preserve"> \* MERGEFORMAT </w:instrText>
      </w:r>
      <w:r w:rsidRPr="00DB191B">
        <w:rPr>
          <w:rFonts w:eastAsiaTheme="minorHAnsi"/>
        </w:rPr>
      </w:r>
      <w:r w:rsidRPr="00DB191B">
        <w:rPr>
          <w:rFonts w:eastAsiaTheme="minorHAnsi"/>
        </w:rPr>
        <w:fldChar w:fldCharType="separate"/>
      </w:r>
      <w:r w:rsidR="000F2269">
        <w:rPr>
          <w:rFonts w:eastAsiaTheme="minorHAnsi"/>
        </w:rPr>
        <w:t>1</w:t>
      </w:r>
      <w:r w:rsidRPr="00DB191B">
        <w:rPr>
          <w:rFonts w:eastAsiaTheme="minorHAnsi"/>
        </w:rPr>
        <w:fldChar w:fldCharType="end"/>
      </w:r>
      <w:r w:rsidRPr="00DB191B">
        <w:rPr>
          <w:rFonts w:eastAsiaTheme="minorHAnsi"/>
        </w:rPr>
        <w:t xml:space="preserve"> to </w:t>
      </w:r>
      <w:r w:rsidR="00872BDE" w:rsidRPr="00DB191B">
        <w:rPr>
          <w:rFonts w:eastAsiaTheme="minorHAnsi"/>
        </w:rPr>
        <w:fldChar w:fldCharType="begin"/>
      </w:r>
      <w:r w:rsidR="00872BDE" w:rsidRPr="00DB191B">
        <w:rPr>
          <w:rFonts w:eastAsiaTheme="minorHAnsi"/>
        </w:rPr>
        <w:instrText xml:space="preserve"> REF _Ref477979956 \r \h </w:instrText>
      </w:r>
      <w:r w:rsidR="00DB191B">
        <w:rPr>
          <w:rFonts w:eastAsiaTheme="minorHAnsi"/>
        </w:rPr>
        <w:instrText xml:space="preserve"> \* MERGEFORMAT </w:instrText>
      </w:r>
      <w:r w:rsidR="00872BDE" w:rsidRPr="00DB191B">
        <w:rPr>
          <w:rFonts w:eastAsiaTheme="minorHAnsi"/>
        </w:rPr>
      </w:r>
      <w:r w:rsidR="00872BDE" w:rsidRPr="00DB191B">
        <w:rPr>
          <w:rFonts w:eastAsiaTheme="minorHAnsi"/>
        </w:rPr>
        <w:fldChar w:fldCharType="separate"/>
      </w:r>
      <w:r w:rsidR="000F2269">
        <w:rPr>
          <w:rFonts w:eastAsiaTheme="minorHAnsi"/>
        </w:rPr>
        <w:t>6</w:t>
      </w:r>
      <w:r w:rsidR="00872BDE" w:rsidRPr="00DB191B">
        <w:rPr>
          <w:rFonts w:eastAsiaTheme="minorHAnsi"/>
        </w:rPr>
        <w:fldChar w:fldCharType="end"/>
      </w:r>
      <w:r w:rsidR="00872BDE" w:rsidRPr="00DB191B">
        <w:rPr>
          <w:rFonts w:eastAsiaTheme="minorHAnsi"/>
        </w:rPr>
        <w:t xml:space="preserve"> </w:t>
      </w:r>
      <w:r w:rsidRPr="00DB191B">
        <w:rPr>
          <w:rFonts w:eastAsiaTheme="minorHAnsi"/>
        </w:rPr>
        <w:t>above</w:t>
      </w:r>
      <w:r w:rsidR="001B1F4B" w:rsidRPr="00DB191B">
        <w:rPr>
          <w:rFonts w:eastAsiaTheme="minorHAnsi"/>
        </w:rPr>
        <w:t>,</w:t>
      </w:r>
      <w:r w:rsidRPr="00DB191B">
        <w:rPr>
          <w:rFonts w:eastAsiaTheme="minorHAnsi"/>
        </w:rPr>
        <w:t xml:space="preserve"> </w:t>
      </w:r>
      <w:r w:rsidR="000E03D2" w:rsidRPr="00DB191B">
        <w:rPr>
          <w:rFonts w:eastAsiaTheme="minorHAnsi"/>
        </w:rPr>
        <w:t xml:space="preserve">queries </w:t>
      </w:r>
      <w:r w:rsidR="001B1F4B" w:rsidRPr="00DB191B">
        <w:rPr>
          <w:rFonts w:eastAsiaTheme="minorHAnsi"/>
        </w:rPr>
        <w:t xml:space="preserve">arise as to </w:t>
      </w:r>
      <w:r w:rsidR="000E03D2" w:rsidRPr="00DB191B">
        <w:rPr>
          <w:rFonts w:eastAsiaTheme="minorHAnsi"/>
        </w:rPr>
        <w:t>whether it is appropriate for ASIC’s use of material seized under search warrants to be unrestricted in any way given the intrusive nature of the search</w:t>
      </w:r>
      <w:r w:rsidR="00866C17" w:rsidRPr="00DB191B">
        <w:rPr>
          <w:rFonts w:eastAsiaTheme="minorHAnsi"/>
        </w:rPr>
        <w:t xml:space="preserve"> warrant power</w:t>
      </w:r>
      <w:r w:rsidR="003D65B6">
        <w:rPr>
          <w:rFonts w:eastAsiaTheme="minorHAnsi"/>
        </w:rPr>
        <w:t>.</w:t>
      </w:r>
    </w:p>
    <w:p w14:paraId="24D30D6A" w14:textId="77777777" w:rsidR="00DB191B" w:rsidRPr="00DB191B" w:rsidRDefault="00DB191B" w:rsidP="00DB191B">
      <w:pPr>
        <w:rPr>
          <w:rFonts w:eastAsiaTheme="minorHAnsi"/>
        </w:rPr>
      </w:pPr>
      <w:r w:rsidRPr="00DB191B">
        <w:rPr>
          <w:rFonts w:eastAsiaTheme="minorHAnsi"/>
        </w:rPr>
        <w:br w:type="page"/>
      </w:r>
    </w:p>
    <w:p w14:paraId="086B3AA8" w14:textId="661DEB26" w:rsidR="00DF770A" w:rsidRPr="00DB191B" w:rsidRDefault="002413A8" w:rsidP="00DB191B">
      <w:pPr>
        <w:pStyle w:val="OutlineNumbered1"/>
        <w:rPr>
          <w:rFonts w:eastAsiaTheme="minorHAnsi"/>
        </w:rPr>
      </w:pPr>
      <w:r w:rsidRPr="00DB191B">
        <w:rPr>
          <w:rFonts w:eastAsiaTheme="minorHAnsi"/>
        </w:rPr>
        <w:lastRenderedPageBreak/>
        <w:t>The fo</w:t>
      </w:r>
      <w:r w:rsidR="00E36238" w:rsidRPr="00DB191B">
        <w:rPr>
          <w:rFonts w:eastAsiaTheme="minorHAnsi"/>
        </w:rPr>
        <w:t>llowing scenarios illustrate some of the</w:t>
      </w:r>
      <w:r w:rsidRPr="00DB191B">
        <w:rPr>
          <w:rFonts w:eastAsiaTheme="minorHAnsi"/>
        </w:rPr>
        <w:t xml:space="preserve"> use</w:t>
      </w:r>
      <w:r w:rsidR="00E36238" w:rsidRPr="00DB191B">
        <w:rPr>
          <w:rFonts w:eastAsiaTheme="minorHAnsi"/>
        </w:rPr>
        <w:t>s</w:t>
      </w:r>
      <w:r w:rsidRPr="00DB191B">
        <w:rPr>
          <w:rFonts w:eastAsiaTheme="minorHAnsi"/>
        </w:rPr>
        <w:t xml:space="preserve"> </w:t>
      </w:r>
      <w:r w:rsidR="00E36238" w:rsidRPr="00DB191B">
        <w:rPr>
          <w:rFonts w:eastAsiaTheme="minorHAnsi"/>
        </w:rPr>
        <w:t>that may</w:t>
      </w:r>
      <w:r w:rsidRPr="00DB191B">
        <w:rPr>
          <w:rFonts w:eastAsiaTheme="minorHAnsi"/>
        </w:rPr>
        <w:t xml:space="preserve"> be made of search warrant </w:t>
      </w:r>
      <w:r w:rsidR="00E36238" w:rsidRPr="00DB191B">
        <w:rPr>
          <w:rFonts w:eastAsiaTheme="minorHAnsi"/>
        </w:rPr>
        <w:t xml:space="preserve">material </w:t>
      </w:r>
      <w:r w:rsidRPr="00DB191B">
        <w:rPr>
          <w:rFonts w:eastAsiaTheme="minorHAnsi"/>
        </w:rPr>
        <w:t>without any restriction:</w:t>
      </w:r>
    </w:p>
    <w:p w14:paraId="78FCA224" w14:textId="786C1992" w:rsidR="002413A8" w:rsidRDefault="002413A8" w:rsidP="00DB191B">
      <w:pPr>
        <w:pStyle w:val="OutlineNumbered2"/>
      </w:pPr>
      <w:r>
        <w:t>Material seized for the purpose of a criminal investigation into individual A, who is a director of company X, also identifies breaches of directors duties by</w:t>
      </w:r>
      <w:r w:rsidR="00DB191B">
        <w:br/>
      </w:r>
      <w:r>
        <w:t>co-director B relating to separate events and transactions</w:t>
      </w:r>
      <w:r w:rsidR="00DB191B">
        <w:t>;</w:t>
      </w:r>
      <w:r w:rsidR="001B1F4B" w:rsidRPr="00C21B1D">
        <w:rPr>
          <w:vertAlign w:val="superscript"/>
        </w:rPr>
        <w:footnoteReference w:id="54"/>
      </w:r>
    </w:p>
    <w:p w14:paraId="2FE5B6C3" w14:textId="293D62D7" w:rsidR="00804665" w:rsidRDefault="00804665" w:rsidP="00DB191B">
      <w:pPr>
        <w:pStyle w:val="OutlineNumbered2"/>
      </w:pPr>
      <w:r>
        <w:t xml:space="preserve">Material seized for the purpose of a criminal investigation into whether individual C engaged in insider trading is used in a </w:t>
      </w:r>
      <w:r w:rsidR="00233EE9">
        <w:t>prosecution</w:t>
      </w:r>
      <w:r>
        <w:t xml:space="preserve"> alleging contravention</w:t>
      </w:r>
      <w:r w:rsidR="0063647E">
        <w:t>s</w:t>
      </w:r>
      <w:r>
        <w:t xml:space="preserve"> of State </w:t>
      </w:r>
      <w:r w:rsidR="0063647E">
        <w:t>based</w:t>
      </w:r>
      <w:r>
        <w:t xml:space="preserve"> fraud offences</w:t>
      </w:r>
      <w:r w:rsidR="00DB191B">
        <w:t>;</w:t>
      </w:r>
      <w:r w:rsidR="00493F85" w:rsidRPr="00C21B1D">
        <w:rPr>
          <w:vertAlign w:val="superscript"/>
        </w:rPr>
        <w:footnoteReference w:id="55"/>
      </w:r>
    </w:p>
    <w:p w14:paraId="50A26DA7" w14:textId="348475D8" w:rsidR="002413A8" w:rsidRDefault="002413A8" w:rsidP="00DB191B">
      <w:pPr>
        <w:pStyle w:val="OutlineNumbered2"/>
      </w:pPr>
      <w:r>
        <w:t>Material seized for the purpose of a criminal investigation into whether company M provided unlicensed financial services is used to take administrative action to cancel company M’s licen</w:t>
      </w:r>
      <w:r w:rsidR="001A3A42">
        <w:t>c</w:t>
      </w:r>
      <w:r>
        <w:t>e;</w:t>
      </w:r>
    </w:p>
    <w:p w14:paraId="34574C70" w14:textId="5EEE6996" w:rsidR="002413A8" w:rsidRDefault="002413A8" w:rsidP="00DB191B">
      <w:pPr>
        <w:pStyle w:val="OutlineNumbered2"/>
      </w:pPr>
      <w:r>
        <w:t>Material seized in an investigation of company P identifies misconduct by a number of financial advisers employed by company P and is used to take administrative banning</w:t>
      </w:r>
      <w:r w:rsidR="00DB191B">
        <w:t xml:space="preserve"> action against those advisers.</w:t>
      </w:r>
    </w:p>
    <w:p w14:paraId="39A0D455" w14:textId="7853BCCC" w:rsidR="001517AF" w:rsidRPr="00DB191B" w:rsidRDefault="001517AF" w:rsidP="00DB191B">
      <w:pPr>
        <w:pStyle w:val="OutlineNumbered1"/>
        <w:rPr>
          <w:rFonts w:eastAsiaTheme="minorHAnsi"/>
        </w:rPr>
      </w:pPr>
      <w:r w:rsidRPr="00DB191B">
        <w:rPr>
          <w:rFonts w:eastAsiaTheme="minorHAnsi"/>
        </w:rPr>
        <w:t>In each of the above scenarios material seized under a search warrant is proposed to be used in a proceeding that may not have been contemplated at t</w:t>
      </w:r>
      <w:r w:rsidR="00DB191B">
        <w:rPr>
          <w:rFonts w:eastAsiaTheme="minorHAnsi"/>
        </w:rPr>
        <w:t>he time the warrant was issued.</w:t>
      </w:r>
    </w:p>
    <w:p w14:paraId="6409001D" w14:textId="26838AF0" w:rsidR="00E36238" w:rsidRPr="00DB191B" w:rsidRDefault="00E36238" w:rsidP="00DB191B">
      <w:pPr>
        <w:pStyle w:val="OutlineNumbered1"/>
        <w:rPr>
          <w:rFonts w:eastAsiaTheme="minorHAnsi"/>
        </w:rPr>
      </w:pPr>
      <w:bookmarkStart w:id="61" w:name="_Ref479163098"/>
      <w:r w:rsidRPr="00DB191B">
        <w:rPr>
          <w:rFonts w:eastAsiaTheme="minorHAnsi"/>
        </w:rPr>
        <w:t xml:space="preserve">The Taskforce considers that </w:t>
      </w:r>
      <w:r w:rsidR="009575F9" w:rsidRPr="00DB191B">
        <w:rPr>
          <w:rFonts w:eastAsiaTheme="minorHAnsi"/>
        </w:rPr>
        <w:t xml:space="preserve">there needs to be </w:t>
      </w:r>
      <w:r w:rsidRPr="00DB191B">
        <w:rPr>
          <w:rFonts w:eastAsiaTheme="minorHAnsi"/>
        </w:rPr>
        <w:t>an appropriate balance</w:t>
      </w:r>
      <w:r w:rsidR="000822E1">
        <w:rPr>
          <w:rFonts w:eastAsiaTheme="minorHAnsi"/>
        </w:rPr>
        <w:t xml:space="preserve"> </w:t>
      </w:r>
      <w:r w:rsidRPr="00DB191B">
        <w:rPr>
          <w:rFonts w:eastAsiaTheme="minorHAnsi"/>
        </w:rPr>
        <w:t>between the following considerations:</w:t>
      </w:r>
      <w:bookmarkEnd w:id="61"/>
    </w:p>
    <w:p w14:paraId="0D0B7162" w14:textId="5F939095" w:rsidR="00864DF2" w:rsidRDefault="00A82520" w:rsidP="00DB191B">
      <w:pPr>
        <w:pStyle w:val="OutlineNumbered2"/>
        <w:rPr>
          <w:rFonts w:eastAsiaTheme="minorHAnsi"/>
        </w:rPr>
      </w:pPr>
      <w:r w:rsidRPr="00E36238">
        <w:rPr>
          <w:rFonts w:eastAsiaTheme="minorHAnsi"/>
        </w:rPr>
        <w:t xml:space="preserve">the desire of the regulator to have the ability to use seized material for the full range of enforcement actions available to it </w:t>
      </w:r>
      <w:r w:rsidR="00864DF2">
        <w:rPr>
          <w:rFonts w:eastAsiaTheme="minorHAnsi"/>
        </w:rPr>
        <w:t>when it identifies contraventions of the law;</w:t>
      </w:r>
    </w:p>
    <w:p w14:paraId="4F764D52" w14:textId="46B56097" w:rsidR="00864DF2" w:rsidRDefault="00864DF2" w:rsidP="00DB191B">
      <w:pPr>
        <w:pStyle w:val="OutlineNumbered2"/>
        <w:rPr>
          <w:rFonts w:eastAsiaTheme="minorHAnsi"/>
        </w:rPr>
      </w:pPr>
      <w:r>
        <w:rPr>
          <w:rFonts w:eastAsiaTheme="minorHAnsi"/>
        </w:rPr>
        <w:t xml:space="preserve">any practical impact on the efficient conduct of investigations and/or ASIC’s ability to </w:t>
      </w:r>
      <w:r w:rsidRPr="00B166F0">
        <w:rPr>
          <w:rFonts w:eastAsiaTheme="minorHAnsi"/>
        </w:rPr>
        <w:t xml:space="preserve">undertake cooperative operations with other Commonwealth agencies </w:t>
      </w:r>
      <w:r>
        <w:rPr>
          <w:rFonts w:eastAsiaTheme="minorHAnsi"/>
        </w:rPr>
        <w:t>or rely on</w:t>
      </w:r>
      <w:r w:rsidRPr="00B166F0">
        <w:rPr>
          <w:rFonts w:eastAsiaTheme="minorHAnsi"/>
        </w:rPr>
        <w:t xml:space="preserve"> referrals from other agencies</w:t>
      </w:r>
      <w:r>
        <w:rPr>
          <w:rFonts w:eastAsiaTheme="minorHAnsi"/>
        </w:rPr>
        <w:t xml:space="preserve"> (as outlined in paragraphs </w:t>
      </w:r>
      <w:r>
        <w:rPr>
          <w:rFonts w:eastAsiaTheme="minorHAnsi"/>
        </w:rPr>
        <w:fldChar w:fldCharType="begin"/>
      </w:r>
      <w:r>
        <w:rPr>
          <w:rFonts w:eastAsiaTheme="minorHAnsi"/>
        </w:rPr>
        <w:instrText xml:space="preserve"> REF _Ref477979946 \r \h </w:instrText>
      </w:r>
      <w:r w:rsidR="00DB191B">
        <w:rPr>
          <w:rFonts w:eastAsiaTheme="minorHAnsi"/>
        </w:rPr>
        <w:instrText xml:space="preserve"> \* MERGEFORMAT </w:instrText>
      </w:r>
      <w:r>
        <w:rPr>
          <w:rFonts w:eastAsiaTheme="minorHAnsi"/>
        </w:rPr>
      </w:r>
      <w:r>
        <w:rPr>
          <w:rFonts w:eastAsiaTheme="minorHAnsi"/>
        </w:rPr>
        <w:fldChar w:fldCharType="separate"/>
      </w:r>
      <w:r w:rsidR="000F2269">
        <w:rPr>
          <w:rFonts w:eastAsiaTheme="minorHAnsi"/>
        </w:rPr>
        <w:t>3</w:t>
      </w:r>
      <w:r>
        <w:rPr>
          <w:rFonts w:eastAsiaTheme="minorHAnsi"/>
        </w:rPr>
        <w:fldChar w:fldCharType="end"/>
      </w:r>
      <w:r w:rsidR="00283C99">
        <w:rPr>
          <w:rFonts w:eastAsiaTheme="minorHAnsi"/>
        </w:rPr>
        <w:t xml:space="preserve"> </w:t>
      </w:r>
      <w:r>
        <w:rPr>
          <w:rFonts w:eastAsiaTheme="minorHAnsi"/>
        </w:rPr>
        <w:t xml:space="preserve">to </w:t>
      </w:r>
      <w:r>
        <w:rPr>
          <w:rFonts w:eastAsiaTheme="minorHAnsi"/>
        </w:rPr>
        <w:fldChar w:fldCharType="begin"/>
      </w:r>
      <w:r>
        <w:rPr>
          <w:rFonts w:eastAsiaTheme="minorHAnsi"/>
        </w:rPr>
        <w:instrText xml:space="preserve"> REF _Ref477979956 \r \h </w:instrText>
      </w:r>
      <w:r w:rsidR="00DB191B">
        <w:rPr>
          <w:rFonts w:eastAsiaTheme="minorHAnsi"/>
        </w:rPr>
        <w:instrText xml:space="preserve"> \* MERGEFORMAT </w:instrText>
      </w:r>
      <w:r>
        <w:rPr>
          <w:rFonts w:eastAsiaTheme="minorHAnsi"/>
        </w:rPr>
      </w:r>
      <w:r>
        <w:rPr>
          <w:rFonts w:eastAsiaTheme="minorHAnsi"/>
        </w:rPr>
        <w:fldChar w:fldCharType="separate"/>
      </w:r>
      <w:r w:rsidR="000F2269">
        <w:rPr>
          <w:rFonts w:eastAsiaTheme="minorHAnsi"/>
        </w:rPr>
        <w:t>6</w:t>
      </w:r>
      <w:r>
        <w:rPr>
          <w:rFonts w:eastAsiaTheme="minorHAnsi"/>
        </w:rPr>
        <w:fldChar w:fldCharType="end"/>
      </w:r>
      <w:r>
        <w:rPr>
          <w:rFonts w:eastAsiaTheme="minorHAnsi"/>
        </w:rPr>
        <w:t xml:space="preserve"> above);</w:t>
      </w:r>
    </w:p>
    <w:p w14:paraId="1C210147" w14:textId="452F19A2" w:rsidR="00864DF2" w:rsidRDefault="00A82520" w:rsidP="00DB191B">
      <w:pPr>
        <w:pStyle w:val="OutlineNumbered2"/>
        <w:rPr>
          <w:rFonts w:eastAsiaTheme="minorHAnsi"/>
        </w:rPr>
      </w:pPr>
      <w:r w:rsidRPr="00864DF2">
        <w:rPr>
          <w:rFonts w:eastAsiaTheme="minorHAnsi"/>
        </w:rPr>
        <w:t xml:space="preserve">concerns around the broad </w:t>
      </w:r>
      <w:r w:rsidR="00864DF2">
        <w:rPr>
          <w:rFonts w:eastAsiaTheme="minorHAnsi"/>
        </w:rPr>
        <w:t xml:space="preserve">use of material </w:t>
      </w:r>
      <w:r w:rsidR="00E36238" w:rsidRPr="00864DF2">
        <w:rPr>
          <w:rFonts w:eastAsiaTheme="minorHAnsi"/>
        </w:rPr>
        <w:t xml:space="preserve">obtained pursuant to </w:t>
      </w:r>
      <w:r w:rsidR="00864DF2">
        <w:rPr>
          <w:rFonts w:eastAsiaTheme="minorHAnsi"/>
        </w:rPr>
        <w:t xml:space="preserve">intrusive </w:t>
      </w:r>
      <w:r w:rsidR="00E36238" w:rsidRPr="00864DF2">
        <w:rPr>
          <w:rFonts w:eastAsiaTheme="minorHAnsi"/>
        </w:rPr>
        <w:t xml:space="preserve">powers of search and seizure </w:t>
      </w:r>
      <w:r w:rsidR="00864DF2">
        <w:rPr>
          <w:rFonts w:eastAsiaTheme="minorHAnsi"/>
        </w:rPr>
        <w:t>exercised by the State.</w:t>
      </w:r>
    </w:p>
    <w:p w14:paraId="669D30B8" w14:textId="77777777" w:rsidR="0035290D" w:rsidRPr="0035290D" w:rsidRDefault="0035290D" w:rsidP="0035290D">
      <w:bookmarkStart w:id="62" w:name="_Toc484695709"/>
      <w:r w:rsidRPr="0035290D">
        <w:br w:type="page"/>
      </w:r>
    </w:p>
    <w:p w14:paraId="76725301" w14:textId="1DAD10C3" w:rsidR="009575F9" w:rsidRPr="00871694" w:rsidRDefault="009575F9" w:rsidP="00ED2B3F">
      <w:pPr>
        <w:pStyle w:val="Heading2-NoTOC"/>
      </w:pPr>
      <w:r>
        <w:lastRenderedPageBreak/>
        <w:t xml:space="preserve">Position </w:t>
      </w:r>
      <w:r w:rsidR="001D1655">
        <w:t>5</w:t>
      </w:r>
      <w:r>
        <w:t>:</w:t>
      </w:r>
      <w:r w:rsidR="00DB191B">
        <w:tab/>
      </w:r>
      <w:r w:rsidR="00CC1C1B" w:rsidRPr="00CC1C1B">
        <w:t>Material seized under ASIC Act search warrants by ASIC should be available for use in criminal, civil and administrative proceedings</w:t>
      </w:r>
      <w:bookmarkEnd w:id="62"/>
    </w:p>
    <w:p w14:paraId="56A5D143" w14:textId="3FE8BF6A" w:rsidR="009575F9" w:rsidRPr="00DB191B" w:rsidRDefault="009575F9" w:rsidP="00DB191B">
      <w:pPr>
        <w:pStyle w:val="OutlineNumbered1"/>
        <w:rPr>
          <w:rFonts w:eastAsiaTheme="minorHAnsi"/>
        </w:rPr>
      </w:pPr>
      <w:r w:rsidRPr="00DB191B">
        <w:rPr>
          <w:rFonts w:eastAsiaTheme="minorHAnsi"/>
        </w:rPr>
        <w:t xml:space="preserve">The Taskforce adopts as its preliminary position that </w:t>
      </w:r>
      <w:r w:rsidR="004A5837" w:rsidRPr="00DB191B">
        <w:rPr>
          <w:rFonts w:eastAsiaTheme="minorHAnsi"/>
        </w:rPr>
        <w:t xml:space="preserve">ASIC should continue to be able to use and permit the use of </w:t>
      </w:r>
      <w:r w:rsidRPr="00DB191B">
        <w:rPr>
          <w:rFonts w:eastAsiaTheme="minorHAnsi"/>
        </w:rPr>
        <w:t>material seized under an ASIC Act search warrant</w:t>
      </w:r>
      <w:r w:rsidR="004A5837" w:rsidRPr="00DB191B">
        <w:rPr>
          <w:rFonts w:eastAsiaTheme="minorHAnsi"/>
        </w:rPr>
        <w:t xml:space="preserve"> for the purposes of criminal, civil and administrative proceedings. If the other reforms proposed in this paper are adopted this would apply to material seized in investigations of suspected contraventions of the Corporations Act, ASIC Act, NCCP</w:t>
      </w:r>
      <w:r w:rsidR="0035290D">
        <w:rPr>
          <w:rFonts w:eastAsiaTheme="minorHAnsi"/>
        </w:rPr>
        <w:t> </w:t>
      </w:r>
      <w:r w:rsidR="004A5837" w:rsidRPr="00DB191B">
        <w:rPr>
          <w:rFonts w:eastAsiaTheme="minorHAnsi"/>
        </w:rPr>
        <w:t>Act, SIS Act and RSA Act.</w:t>
      </w:r>
    </w:p>
    <w:p w14:paraId="4513117E" w14:textId="1AE3277F" w:rsidR="004A5837" w:rsidRPr="00DB191B" w:rsidRDefault="004A5837" w:rsidP="00DB191B">
      <w:pPr>
        <w:pStyle w:val="OutlineNumbered1"/>
        <w:rPr>
          <w:rFonts w:eastAsiaTheme="minorHAnsi"/>
        </w:rPr>
      </w:pPr>
      <w:r w:rsidRPr="00DB191B">
        <w:rPr>
          <w:rFonts w:eastAsiaTheme="minorHAnsi"/>
        </w:rPr>
        <w:t xml:space="preserve">In addition, there would be a threshold for applying for warrants </w:t>
      </w:r>
      <w:r w:rsidR="000A516B" w:rsidRPr="00DB191B">
        <w:rPr>
          <w:rFonts w:eastAsiaTheme="minorHAnsi"/>
        </w:rPr>
        <w:t>under the ASIC Act of reasonable</w:t>
      </w:r>
      <w:r w:rsidRPr="00DB191B">
        <w:rPr>
          <w:rFonts w:eastAsiaTheme="minorHAnsi"/>
        </w:rPr>
        <w:t xml:space="preserve"> suspicion of an indictable offence. This threshold in combination with the broad use that ASIC will be able to make of seized material </w:t>
      </w:r>
      <w:r w:rsidR="00C21B1D" w:rsidRPr="00DB191B">
        <w:rPr>
          <w:rFonts w:eastAsiaTheme="minorHAnsi"/>
        </w:rPr>
        <w:t>may</w:t>
      </w:r>
      <w:r w:rsidRPr="00DB191B">
        <w:rPr>
          <w:rFonts w:eastAsiaTheme="minorHAnsi"/>
        </w:rPr>
        <w:t xml:space="preserve"> achieve an appropriate balance between the factors identified in paragraph </w:t>
      </w:r>
      <w:r w:rsidRPr="00DB191B">
        <w:rPr>
          <w:rFonts w:eastAsiaTheme="minorHAnsi"/>
        </w:rPr>
        <w:fldChar w:fldCharType="begin"/>
      </w:r>
      <w:r w:rsidRPr="00DB191B">
        <w:rPr>
          <w:rFonts w:eastAsiaTheme="minorHAnsi"/>
        </w:rPr>
        <w:instrText xml:space="preserve"> REF _Ref479163098 \r \h </w:instrText>
      </w:r>
      <w:r w:rsidR="00DB191B">
        <w:rPr>
          <w:rFonts w:eastAsiaTheme="minorHAnsi"/>
        </w:rPr>
        <w:instrText xml:space="preserve"> \* MERGEFORMAT </w:instrText>
      </w:r>
      <w:r w:rsidRPr="00DB191B">
        <w:rPr>
          <w:rFonts w:eastAsiaTheme="minorHAnsi"/>
        </w:rPr>
      </w:r>
      <w:r w:rsidRPr="00DB191B">
        <w:rPr>
          <w:rFonts w:eastAsiaTheme="minorHAnsi"/>
        </w:rPr>
        <w:fldChar w:fldCharType="separate"/>
      </w:r>
      <w:r w:rsidR="000F2269">
        <w:rPr>
          <w:rFonts w:eastAsiaTheme="minorHAnsi"/>
        </w:rPr>
        <w:t>10</w:t>
      </w:r>
      <w:r w:rsidRPr="00DB191B">
        <w:rPr>
          <w:rFonts w:eastAsiaTheme="minorHAnsi"/>
        </w:rPr>
        <w:fldChar w:fldCharType="end"/>
      </w:r>
      <w:r w:rsidRPr="00DB191B">
        <w:rPr>
          <w:rFonts w:eastAsiaTheme="minorHAnsi"/>
        </w:rPr>
        <w:t xml:space="preserve"> above in the ASIC</w:t>
      </w:r>
      <w:r w:rsidR="0035290D">
        <w:rPr>
          <w:rFonts w:eastAsiaTheme="minorHAnsi"/>
        </w:rPr>
        <w:t> </w:t>
      </w:r>
      <w:r w:rsidR="003D65B6">
        <w:rPr>
          <w:rFonts w:eastAsiaTheme="minorHAnsi"/>
        </w:rPr>
        <w:t>Act context.</w:t>
      </w:r>
    </w:p>
    <w:p w14:paraId="648323F9" w14:textId="3CE8E34F" w:rsidR="00B913B9" w:rsidRPr="00DB191B" w:rsidRDefault="004A5837" w:rsidP="00DB191B">
      <w:pPr>
        <w:pStyle w:val="OutlineNumbered1"/>
        <w:rPr>
          <w:rFonts w:eastAsiaTheme="minorHAnsi"/>
        </w:rPr>
      </w:pPr>
      <w:r w:rsidRPr="00DB191B">
        <w:rPr>
          <w:rFonts w:eastAsiaTheme="minorHAnsi"/>
        </w:rPr>
        <w:t>The Taskforce also considers that</w:t>
      </w:r>
      <w:r w:rsidR="000822E1">
        <w:rPr>
          <w:rFonts w:eastAsiaTheme="minorHAnsi"/>
        </w:rPr>
        <w:t xml:space="preserve"> </w:t>
      </w:r>
      <w:r w:rsidR="002F0AE0" w:rsidRPr="00DB191B">
        <w:rPr>
          <w:rFonts w:eastAsiaTheme="minorHAnsi"/>
        </w:rPr>
        <w:t xml:space="preserve">it may be </w:t>
      </w:r>
      <w:r w:rsidR="008B0A89" w:rsidRPr="00DB191B">
        <w:rPr>
          <w:rFonts w:eastAsiaTheme="minorHAnsi"/>
        </w:rPr>
        <w:t>appropriate to impose a limit on the length of time that ASIC can hold or use seized material before it must be returned. The Competition and Consumer Act provides that i</w:t>
      </w:r>
      <w:r w:rsidR="00B913B9" w:rsidRPr="00DB191B">
        <w:rPr>
          <w:rFonts w:eastAsiaTheme="minorHAnsi"/>
        </w:rPr>
        <w:t xml:space="preserve">tems seized under a search warrant can be kept </w:t>
      </w:r>
      <w:r w:rsidR="008B0A89" w:rsidRPr="00DB191B">
        <w:rPr>
          <w:rFonts w:eastAsiaTheme="minorHAnsi"/>
        </w:rPr>
        <w:t xml:space="preserve">by the ACCC </w:t>
      </w:r>
      <w:r w:rsidR="00B913B9" w:rsidRPr="00DB191B">
        <w:rPr>
          <w:rFonts w:eastAsiaTheme="minorHAnsi"/>
        </w:rPr>
        <w:t>for up to 120 days. After this time reasonable steps must be taken to return the thing to a person unless:</w:t>
      </w:r>
    </w:p>
    <w:p w14:paraId="1607FBE6" w14:textId="77777777" w:rsidR="00B913B9" w:rsidRPr="00A06FC0" w:rsidRDefault="00B913B9" w:rsidP="00DB191B">
      <w:pPr>
        <w:pStyle w:val="OutlineNumbered2"/>
      </w:pPr>
      <w:r w:rsidRPr="00A06FC0">
        <w:t>proceedings in respect of which the thing may afford evidence have been commenced and have not been completed;</w:t>
      </w:r>
    </w:p>
    <w:p w14:paraId="4B57645F" w14:textId="77777777" w:rsidR="00B913B9" w:rsidRPr="00A06FC0" w:rsidRDefault="00B913B9" w:rsidP="00DB191B">
      <w:pPr>
        <w:pStyle w:val="OutlineNumbered2"/>
      </w:pPr>
      <w:r w:rsidRPr="00A06FC0">
        <w:t>an application has been made before the expiry of the 120 days and a magistrate has made an order that the inspector may retain the thing for a period specified in the order for the purposes of an investigation;</w:t>
      </w:r>
    </w:p>
    <w:p w14:paraId="72B264BA" w14:textId="22BC9820" w:rsidR="00B913B9" w:rsidRPr="00A06FC0" w:rsidRDefault="00B913B9" w:rsidP="00DB191B">
      <w:pPr>
        <w:pStyle w:val="OutlineNumbered2"/>
      </w:pPr>
      <w:r w:rsidRPr="00A06FC0">
        <w:t>the seizer is otherwise authorised to retain, destroy or dispose of the thing.</w:t>
      </w:r>
      <w:r w:rsidR="008B0A89">
        <w:rPr>
          <w:rStyle w:val="FootnoteReference"/>
        </w:rPr>
        <w:footnoteReference w:id="56"/>
      </w:r>
    </w:p>
    <w:p w14:paraId="1498505A" w14:textId="7B7FF3F5" w:rsidR="002E6CA0" w:rsidRPr="00DB191B" w:rsidRDefault="00D83924" w:rsidP="00DB191B">
      <w:pPr>
        <w:pStyle w:val="OutlineNumbered1"/>
        <w:rPr>
          <w:rFonts w:eastAsiaTheme="minorHAnsi"/>
        </w:rPr>
      </w:pPr>
      <w:r w:rsidRPr="00DB191B">
        <w:rPr>
          <w:rFonts w:eastAsiaTheme="minorHAnsi"/>
        </w:rPr>
        <w:t>Imposing a time limit for retention of seized material may ensure that investigations with the benefit of seized material are conducted efficiently and as a priority and potentially limit the period during which seized material is available to be rel</w:t>
      </w:r>
      <w:r w:rsidR="003D65B6">
        <w:rPr>
          <w:rFonts w:eastAsiaTheme="minorHAnsi"/>
        </w:rPr>
        <w:t>eased to third parties by ASIC.</w:t>
      </w:r>
    </w:p>
    <w:p w14:paraId="47A236EA" w14:textId="77777777" w:rsidR="00DB191B" w:rsidRPr="00DB191B" w:rsidRDefault="00DB191B" w:rsidP="00DB191B">
      <w:pPr>
        <w:rPr>
          <w:rFonts w:eastAsiaTheme="minorHAnsi"/>
        </w:rPr>
      </w:pPr>
    </w:p>
    <w:p w14:paraId="60D3F24A" w14:textId="77777777" w:rsidR="00DB191B" w:rsidRDefault="00DB191B">
      <w:pPr>
        <w:spacing w:after="200" w:line="276" w:lineRule="auto"/>
        <w:jc w:val="left"/>
        <w:rPr>
          <w:rFonts w:eastAsiaTheme="minorHAnsi"/>
        </w:rPr>
      </w:pPr>
      <w:r>
        <w:rPr>
          <w:rFonts w:eastAsiaTheme="minorHAnsi"/>
        </w:rPr>
        <w:br w:type="page"/>
      </w:r>
    </w:p>
    <w:p w14:paraId="20E00E1F" w14:textId="5D45EBD4" w:rsidR="00493F85" w:rsidRDefault="00EC476F" w:rsidP="00DB191B">
      <w:pPr>
        <w:pStyle w:val="OutlineNumbered1"/>
        <w:rPr>
          <w:rFonts w:eastAsiaTheme="minorHAnsi"/>
        </w:rPr>
      </w:pPr>
      <w:r w:rsidRPr="00DB191B">
        <w:rPr>
          <w:rFonts w:eastAsiaTheme="minorHAnsi"/>
        </w:rPr>
        <w:lastRenderedPageBreak/>
        <w:t xml:space="preserve">However, </w:t>
      </w:r>
      <w:r w:rsidR="002E6CA0" w:rsidRPr="00DB191B">
        <w:rPr>
          <w:rFonts w:eastAsiaTheme="minorHAnsi"/>
        </w:rPr>
        <w:t>120 days may not be a sufficient time frame given the complexity of</w:t>
      </w:r>
      <w:r w:rsidRPr="00DB191B">
        <w:rPr>
          <w:rFonts w:eastAsiaTheme="minorHAnsi"/>
        </w:rPr>
        <w:t xml:space="preserve"> ASIC investigations </w:t>
      </w:r>
      <w:r w:rsidR="002E6CA0" w:rsidRPr="00DB191B">
        <w:rPr>
          <w:rFonts w:eastAsiaTheme="minorHAnsi"/>
        </w:rPr>
        <w:t>and delays associated with commencing and progressing court proceedings</w:t>
      </w:r>
      <w:r w:rsidR="000A516B" w:rsidRPr="00DB191B">
        <w:rPr>
          <w:rFonts w:eastAsiaTheme="minorHAnsi"/>
        </w:rPr>
        <w:t>,</w:t>
      </w:r>
      <w:r w:rsidR="002E6CA0" w:rsidRPr="00DB191B">
        <w:rPr>
          <w:rFonts w:eastAsiaTheme="minorHAnsi"/>
        </w:rPr>
        <w:t xml:space="preserve"> and in particular criminal prosecutions</w:t>
      </w:r>
      <w:r w:rsidRPr="00DB191B">
        <w:rPr>
          <w:rFonts w:eastAsiaTheme="minorHAnsi"/>
        </w:rPr>
        <w:t>.</w:t>
      </w:r>
      <w:r w:rsidR="00142E04" w:rsidRPr="00DB191B">
        <w:rPr>
          <w:rFonts w:eastAsiaTheme="minorHAnsi"/>
        </w:rPr>
        <w:t xml:space="preserve"> </w:t>
      </w:r>
      <w:r w:rsidR="003E57A9" w:rsidRPr="00DB191B">
        <w:rPr>
          <w:rFonts w:eastAsiaTheme="minorHAnsi"/>
        </w:rPr>
        <w:t>Delay in the prosecution of white collar crime has been recog</w:t>
      </w:r>
      <w:r w:rsidR="002F0E25" w:rsidRPr="00DB191B">
        <w:rPr>
          <w:rFonts w:eastAsiaTheme="minorHAnsi"/>
        </w:rPr>
        <w:t>n</w:t>
      </w:r>
      <w:r w:rsidR="003E57A9" w:rsidRPr="00DB191B">
        <w:rPr>
          <w:rFonts w:eastAsiaTheme="minorHAnsi"/>
        </w:rPr>
        <w:t xml:space="preserve">ised by the courts as </w:t>
      </w:r>
      <w:r w:rsidR="00757A73">
        <w:rPr>
          <w:rFonts w:eastAsiaTheme="minorHAnsi"/>
        </w:rPr>
        <w:t>‘</w:t>
      </w:r>
      <w:r w:rsidR="003E57A9" w:rsidRPr="00DB191B">
        <w:rPr>
          <w:rFonts w:eastAsiaTheme="minorHAnsi"/>
        </w:rPr>
        <w:t>not unusual</w:t>
      </w:r>
      <w:r w:rsidR="00757A73">
        <w:rPr>
          <w:rFonts w:eastAsiaTheme="minorHAnsi"/>
        </w:rPr>
        <w:t>’</w:t>
      </w:r>
      <w:r w:rsidR="008763F8" w:rsidRPr="00DB191B">
        <w:rPr>
          <w:rFonts w:eastAsiaTheme="minorHAnsi"/>
        </w:rPr>
        <w:t>.</w:t>
      </w:r>
      <w:r w:rsidR="003E57A9" w:rsidRPr="00DB191B">
        <w:rPr>
          <w:rStyle w:val="FootnoteReference"/>
          <w:rFonts w:eastAsiaTheme="minorHAnsi"/>
        </w:rPr>
        <w:footnoteReference w:id="57"/>
      </w:r>
    </w:p>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F2F2F2" w:themeFill="background1" w:themeFillShade="F2"/>
        <w:tblCellMar>
          <w:left w:w="142" w:type="dxa"/>
          <w:right w:w="142" w:type="dxa"/>
        </w:tblCellMar>
        <w:tblLook w:val="04A0" w:firstRow="1" w:lastRow="0" w:firstColumn="1" w:lastColumn="0" w:noHBand="0" w:noVBand="1"/>
      </w:tblPr>
      <w:tblGrid>
        <w:gridCol w:w="9242"/>
      </w:tblGrid>
      <w:tr w:rsidR="00DB191B" w14:paraId="3CE89C9B" w14:textId="77777777" w:rsidTr="00B748F1">
        <w:tc>
          <w:tcPr>
            <w:tcW w:w="9242" w:type="dxa"/>
            <w:shd w:val="clear" w:color="auto" w:fill="F2F2F2" w:themeFill="background1" w:themeFillShade="F2"/>
          </w:tcPr>
          <w:p w14:paraId="6C75D7F8" w14:textId="77777777" w:rsidR="00DB191B" w:rsidRDefault="00DB191B" w:rsidP="00DB191B">
            <w:pPr>
              <w:pStyle w:val="BoxHeadingnonumber"/>
            </w:pPr>
            <w:r w:rsidRPr="00A23573" w:rsidDel="00430B0D">
              <w:t>Case stud</w:t>
            </w:r>
            <w:r>
              <w:t>ies</w:t>
            </w:r>
          </w:p>
          <w:p w14:paraId="7FEB3389" w14:textId="30D5038E" w:rsidR="00DB191B" w:rsidRDefault="00DB191B" w:rsidP="00DB191B">
            <w:pPr>
              <w:pStyle w:val="BoxText"/>
              <w:rPr>
                <w:rFonts w:eastAsiaTheme="minorHAnsi"/>
              </w:rPr>
            </w:pPr>
            <w:r>
              <w:rPr>
                <w:rFonts w:eastAsiaTheme="minorHAnsi"/>
              </w:rPr>
              <w:t>C</w:t>
            </w:r>
            <w:r w:rsidRPr="00CB0E91">
              <w:rPr>
                <w:rFonts w:eastAsiaTheme="minorHAnsi"/>
              </w:rPr>
              <w:t>harges were laid against Oliver Curtis 4 years after the commencement of ASIC’s investigation and the trial was 6 years aft</w:t>
            </w:r>
            <w:r w:rsidR="003D65B6">
              <w:rPr>
                <w:rFonts w:eastAsiaTheme="minorHAnsi"/>
              </w:rPr>
              <w:t>er the investigation commenced.</w:t>
            </w:r>
          </w:p>
          <w:p w14:paraId="35774D98" w14:textId="61B67757" w:rsidR="00DB191B" w:rsidRPr="00DB191B" w:rsidRDefault="00DB191B" w:rsidP="00DB191B">
            <w:pPr>
              <w:pStyle w:val="BoxText"/>
              <w:rPr>
                <w:b/>
              </w:rPr>
            </w:pPr>
            <w:r w:rsidRPr="00CB0E91">
              <w:rPr>
                <w:rFonts w:eastAsiaTheme="minorHAnsi"/>
              </w:rPr>
              <w:t>In the case of Andrew Sigalla, there was almost 4 years between commencing investi</w:t>
            </w:r>
            <w:r>
              <w:rPr>
                <w:rFonts w:eastAsiaTheme="minorHAnsi"/>
              </w:rPr>
              <w:t>gation and charges being laid and</w:t>
            </w:r>
            <w:r w:rsidRPr="00CB0E91">
              <w:rPr>
                <w:rFonts w:eastAsiaTheme="minorHAnsi"/>
              </w:rPr>
              <w:t xml:space="preserve"> 7 years between commencing investigation and trial. The investigation involved over 2,300 hours of forensic accounting analysis of more than 27 bank accounts to trace stolen funds that led to the charges</w:t>
            </w:r>
            <w:r>
              <w:rPr>
                <w:rFonts w:eastAsiaTheme="minorHAnsi"/>
              </w:rPr>
              <w:t xml:space="preserve">. </w:t>
            </w:r>
            <w:r w:rsidRPr="00CB0E91">
              <w:rPr>
                <w:rFonts w:eastAsiaTheme="minorHAnsi"/>
              </w:rPr>
              <w:t xml:space="preserve">24 charges </w:t>
            </w:r>
            <w:r>
              <w:rPr>
                <w:rFonts w:eastAsiaTheme="minorHAnsi"/>
              </w:rPr>
              <w:t>were</w:t>
            </w:r>
            <w:r w:rsidRPr="00CB0E91">
              <w:rPr>
                <w:rFonts w:eastAsiaTheme="minorHAnsi"/>
              </w:rPr>
              <w:t xml:space="preserve"> laid against Mr Sigalla involving almost $9</w:t>
            </w:r>
            <w:r>
              <w:rPr>
                <w:rFonts w:eastAsiaTheme="minorHAnsi"/>
              </w:rPr>
              <w:t> </w:t>
            </w:r>
            <w:r w:rsidRPr="00CB0E91">
              <w:rPr>
                <w:rFonts w:eastAsiaTheme="minorHAnsi"/>
              </w:rPr>
              <w:t>million of company funds. Mr Sigalla received a 10 year prison sentence</w:t>
            </w:r>
            <w:r>
              <w:rPr>
                <w:rFonts w:eastAsiaTheme="minorHAnsi"/>
              </w:rPr>
              <w:t>.</w:t>
            </w:r>
          </w:p>
        </w:tc>
      </w:tr>
    </w:tbl>
    <w:p w14:paraId="59D4F3EF" w14:textId="77777777" w:rsidR="00DB191B" w:rsidRPr="00DB191B" w:rsidRDefault="00DB191B" w:rsidP="00DB191B">
      <w:pPr>
        <w:pStyle w:val="SingleParagraph"/>
        <w:rPr>
          <w:rFonts w:eastAsiaTheme="minorHAnsi"/>
        </w:rPr>
      </w:pPr>
    </w:p>
    <w:p w14:paraId="40CC9EA1" w14:textId="3BDE93FD" w:rsidR="00B913B9" w:rsidRPr="00DB191B" w:rsidRDefault="004F4375" w:rsidP="00DB191B">
      <w:pPr>
        <w:pStyle w:val="OutlineNumbered1"/>
        <w:rPr>
          <w:rFonts w:eastAsiaTheme="minorHAnsi"/>
        </w:rPr>
      </w:pPr>
      <w:r w:rsidRPr="00DB191B">
        <w:rPr>
          <w:rFonts w:eastAsiaTheme="minorHAnsi"/>
        </w:rPr>
        <w:t xml:space="preserve">It is rare for criminal proceedings to have commenced within 120 days of a search warrant being executed by ASIC. ASIC has suggested that 12 months </w:t>
      </w:r>
      <w:r w:rsidR="00CB0E91" w:rsidRPr="00DB191B">
        <w:rPr>
          <w:rFonts w:eastAsiaTheme="minorHAnsi"/>
        </w:rPr>
        <w:t>may be</w:t>
      </w:r>
      <w:r w:rsidRPr="00DB191B">
        <w:rPr>
          <w:rFonts w:eastAsiaTheme="minorHAnsi"/>
        </w:rPr>
        <w:t xml:space="preserve"> a more realistic </w:t>
      </w:r>
      <w:r w:rsidR="00691142" w:rsidRPr="00DB191B">
        <w:rPr>
          <w:rFonts w:eastAsiaTheme="minorHAnsi"/>
        </w:rPr>
        <w:t xml:space="preserve">initial </w:t>
      </w:r>
      <w:r w:rsidRPr="00DB191B">
        <w:rPr>
          <w:rFonts w:eastAsiaTheme="minorHAnsi"/>
        </w:rPr>
        <w:t xml:space="preserve">timeframe </w:t>
      </w:r>
      <w:r w:rsidR="00691142" w:rsidRPr="00DB191B">
        <w:rPr>
          <w:rFonts w:eastAsiaTheme="minorHAnsi"/>
        </w:rPr>
        <w:t xml:space="preserve">(with </w:t>
      </w:r>
      <w:r w:rsidR="003E57A9" w:rsidRPr="00DB191B">
        <w:rPr>
          <w:rFonts w:eastAsiaTheme="minorHAnsi"/>
        </w:rPr>
        <w:t xml:space="preserve">the ability to apply for </w:t>
      </w:r>
      <w:r w:rsidR="00691142" w:rsidRPr="00DB191B">
        <w:rPr>
          <w:rFonts w:eastAsiaTheme="minorHAnsi"/>
        </w:rPr>
        <w:t>extension</w:t>
      </w:r>
      <w:r w:rsidR="003E57A9" w:rsidRPr="00DB191B">
        <w:rPr>
          <w:rFonts w:eastAsiaTheme="minorHAnsi"/>
        </w:rPr>
        <w:t xml:space="preserve">s in appropriate circumstances) </w:t>
      </w:r>
      <w:r w:rsidRPr="00DB191B">
        <w:rPr>
          <w:rFonts w:eastAsiaTheme="minorHAnsi"/>
        </w:rPr>
        <w:t>for the</w:t>
      </w:r>
      <w:r w:rsidR="000822E1">
        <w:rPr>
          <w:rFonts w:eastAsiaTheme="minorHAnsi"/>
        </w:rPr>
        <w:t xml:space="preserve"> </w:t>
      </w:r>
      <w:r w:rsidRPr="00DB191B">
        <w:rPr>
          <w:rFonts w:eastAsiaTheme="minorHAnsi"/>
        </w:rPr>
        <w:t xml:space="preserve">types of investigations that ASIC </w:t>
      </w:r>
      <w:r w:rsidR="00CB0E91" w:rsidRPr="00DB191B">
        <w:rPr>
          <w:rFonts w:eastAsiaTheme="minorHAnsi"/>
        </w:rPr>
        <w:t>undertakes</w:t>
      </w:r>
      <w:r w:rsidRPr="00DB191B">
        <w:rPr>
          <w:rFonts w:eastAsiaTheme="minorHAnsi"/>
        </w:rPr>
        <w:t>.</w:t>
      </w:r>
      <w:r w:rsidR="00CB0E91" w:rsidRPr="00DB191B">
        <w:rPr>
          <w:rFonts w:eastAsiaTheme="minorHAnsi"/>
        </w:rPr>
        <w:t xml:space="preserve"> The Taskforce draws no conclusion on what may be an appropriate time </w:t>
      </w:r>
      <w:r w:rsidR="0099106B" w:rsidRPr="00DB191B">
        <w:rPr>
          <w:rFonts w:eastAsiaTheme="minorHAnsi"/>
        </w:rPr>
        <w:t>frame at</w:t>
      </w:r>
      <w:r w:rsidR="00CB0E91" w:rsidRPr="00DB191B">
        <w:rPr>
          <w:rFonts w:eastAsiaTheme="minorHAnsi"/>
        </w:rPr>
        <w:t xml:space="preserve"> this stage and </w:t>
      </w:r>
      <w:r w:rsidR="00DB191B">
        <w:t>invites comment.</w:t>
      </w:r>
    </w:p>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DBE5F1" w:themeFill="accent1" w:themeFillTint="33"/>
        <w:tblLook w:val="04A0" w:firstRow="1" w:lastRow="0" w:firstColumn="1" w:lastColumn="0" w:noHBand="0" w:noVBand="1"/>
      </w:tblPr>
      <w:tblGrid>
        <w:gridCol w:w="9242"/>
      </w:tblGrid>
      <w:tr w:rsidR="00B748F1" w14:paraId="269AA49B" w14:textId="77777777" w:rsidTr="00B748F1">
        <w:tc>
          <w:tcPr>
            <w:tcW w:w="9242" w:type="dxa"/>
            <w:shd w:val="clear" w:color="auto" w:fill="DBE5F1" w:themeFill="accent1" w:themeFillTint="33"/>
          </w:tcPr>
          <w:p w14:paraId="5586B3E1" w14:textId="49965780" w:rsidR="00B748F1" w:rsidRDefault="003D65B6" w:rsidP="00B748F1">
            <w:pPr>
              <w:pStyle w:val="BoxHeadingnonumber"/>
            </w:pPr>
            <w:r>
              <w:t>Questions</w:t>
            </w:r>
          </w:p>
          <w:p w14:paraId="2BAFA16C" w14:textId="0E105345" w:rsidR="00B748F1" w:rsidRDefault="00B748F1" w:rsidP="00B748F1">
            <w:pPr>
              <w:pStyle w:val="BoxNumbering"/>
            </w:pPr>
            <w:r>
              <w:t>Should ASIC be entitled to use evidential material obtained under an enhanced ASIC Act search warrant power in any criminal, civil or administrative proceeding?</w:t>
            </w:r>
            <w:r w:rsidR="000822E1">
              <w:t xml:space="preserve"> </w:t>
            </w:r>
            <w:r>
              <w:t>(noting that it may currently use ‘particular books’ seized under ASIC Ac</w:t>
            </w:r>
            <w:r w:rsidR="003D65B6">
              <w:t>t warrants for these purposes).</w:t>
            </w:r>
          </w:p>
          <w:p w14:paraId="0BD0682E" w14:textId="6FC5DA21" w:rsidR="00B748F1" w:rsidRDefault="00B748F1" w:rsidP="00B748F1">
            <w:pPr>
              <w:pStyle w:val="BoxNumbering"/>
            </w:pPr>
            <w:r>
              <w:t>Should there be a time limit after which seized material must be returned unless a proceeding in which it may afford evidence has been commenced by ASIC? What woul</w:t>
            </w:r>
            <w:r w:rsidR="003D65B6">
              <w:t>d be an appropriate time frame?</w:t>
            </w:r>
          </w:p>
          <w:p w14:paraId="1D2B70FF" w14:textId="1D61330D" w:rsidR="00B748F1" w:rsidRPr="00B748F1" w:rsidRDefault="00B748F1" w:rsidP="00B748F1">
            <w:pPr>
              <w:pStyle w:val="BoxNumbering"/>
            </w:pPr>
            <w:r>
              <w:t>Should ASIC be able to apply for an extension of the time limit?</w:t>
            </w:r>
          </w:p>
        </w:tc>
      </w:tr>
    </w:tbl>
    <w:p w14:paraId="1B930C9F" w14:textId="77777777" w:rsidR="00DB191B" w:rsidRPr="00B748F1" w:rsidRDefault="00DB191B" w:rsidP="00B748F1">
      <w:pPr>
        <w:rPr>
          <w:rFonts w:eastAsiaTheme="minorHAnsi"/>
        </w:rPr>
      </w:pPr>
    </w:p>
    <w:p w14:paraId="11F229EB" w14:textId="721353D4" w:rsidR="00B748F1" w:rsidRPr="00B748F1" w:rsidRDefault="00B748F1" w:rsidP="00B748F1">
      <w:r w:rsidRPr="00B748F1">
        <w:br w:type="page"/>
      </w:r>
    </w:p>
    <w:p w14:paraId="1F05EE17" w14:textId="22F53593" w:rsidR="00891EB9" w:rsidRPr="00B913B9" w:rsidRDefault="00891EB9" w:rsidP="00C462C8">
      <w:pPr>
        <w:pStyle w:val="Heading2"/>
      </w:pPr>
      <w:bookmarkStart w:id="63" w:name="_Toc484695710"/>
      <w:bookmarkStart w:id="64" w:name="_Toc486231371"/>
      <w:r>
        <w:lastRenderedPageBreak/>
        <w:t>Third party access to seized material</w:t>
      </w:r>
      <w:bookmarkEnd w:id="63"/>
      <w:bookmarkEnd w:id="64"/>
    </w:p>
    <w:p w14:paraId="08F603F3" w14:textId="030F679F" w:rsidR="0019572B" w:rsidRPr="00B748F1" w:rsidRDefault="009575F9" w:rsidP="00B748F1">
      <w:pPr>
        <w:pStyle w:val="OutlineNumbered1"/>
        <w:rPr>
          <w:rFonts w:eastAsiaTheme="minorHAnsi"/>
        </w:rPr>
      </w:pPr>
      <w:r w:rsidRPr="00B748F1">
        <w:rPr>
          <w:rFonts w:eastAsiaTheme="minorHAnsi"/>
        </w:rPr>
        <w:t>ASIC is required to protect from unauthorised use or disclosure, information that is provided to it in confidence or that is protected information.</w:t>
      </w:r>
      <w:r w:rsidRPr="00B748F1">
        <w:rPr>
          <w:rStyle w:val="FootnoteReference"/>
        </w:rPr>
        <w:footnoteReference w:id="58"/>
      </w:r>
      <w:r w:rsidRPr="00B748F1">
        <w:rPr>
          <w:rFonts w:eastAsiaTheme="minorHAnsi"/>
        </w:rPr>
        <w:t xml:space="preserve"> However, there are a number of circumstances in which ASIC is permitted to or may be required to release information, which may include material seized under a search warrant. </w:t>
      </w:r>
      <w:r w:rsidR="0019572B" w:rsidRPr="00B748F1">
        <w:rPr>
          <w:rFonts w:eastAsiaTheme="minorHAnsi"/>
        </w:rPr>
        <w:t>ASIC can disclose information to Australian and international governments and agencies to enable or assit them to perform their functions and exercise their powers.</w:t>
      </w:r>
      <w:r w:rsidR="0019572B" w:rsidRPr="00B748F1">
        <w:rPr>
          <w:rStyle w:val="FootnoteReference"/>
          <w:rFonts w:eastAsiaTheme="minorHAnsi"/>
        </w:rPr>
        <w:footnoteReference w:id="59"/>
      </w:r>
    </w:p>
    <w:p w14:paraId="33CDDFEA" w14:textId="5EC32D2F" w:rsidR="009575F9" w:rsidRPr="00B748F1" w:rsidRDefault="0019572B" w:rsidP="00B748F1">
      <w:pPr>
        <w:pStyle w:val="OutlineNumbered1"/>
        <w:rPr>
          <w:rFonts w:eastAsiaTheme="minorHAnsi"/>
        </w:rPr>
      </w:pPr>
      <w:r w:rsidRPr="00B748F1">
        <w:rPr>
          <w:rFonts w:eastAsiaTheme="minorHAnsi"/>
        </w:rPr>
        <w:t>In addition, in the following</w:t>
      </w:r>
      <w:r w:rsidR="009575F9" w:rsidRPr="00B748F1">
        <w:rPr>
          <w:rFonts w:eastAsiaTheme="minorHAnsi"/>
        </w:rPr>
        <w:t xml:space="preserve"> circumstances </w:t>
      </w:r>
      <w:r w:rsidRPr="00B748F1">
        <w:rPr>
          <w:rFonts w:eastAsiaTheme="minorHAnsi"/>
        </w:rPr>
        <w:t>information may be provided to private litigants</w:t>
      </w:r>
      <w:r w:rsidR="009575F9" w:rsidRPr="00B748F1">
        <w:rPr>
          <w:rFonts w:eastAsiaTheme="minorHAnsi"/>
        </w:rPr>
        <w:t>:</w:t>
      </w:r>
    </w:p>
    <w:p w14:paraId="7C13EBD2" w14:textId="77777777" w:rsidR="009575F9" w:rsidRDefault="009575F9" w:rsidP="00B748F1">
      <w:pPr>
        <w:pStyle w:val="OutlineNumbered2"/>
      </w:pPr>
      <w:r>
        <w:t>ASIC may provide a transcript of an examination conducted by ASIC (which may refer to seized material) to a person’s lawyer if the person is commencing a proceeding to which the examination relates;</w:t>
      </w:r>
    </w:p>
    <w:p w14:paraId="234AD2FF" w14:textId="0982AEF1" w:rsidR="009575F9" w:rsidRDefault="009575F9" w:rsidP="00B748F1">
      <w:pPr>
        <w:pStyle w:val="OutlineNumbered2"/>
      </w:pPr>
      <w:r>
        <w:t>ASIC may release books obtained under a compulsory notice or warrant to third</w:t>
      </w:r>
      <w:r w:rsidR="0035290D">
        <w:t> </w:t>
      </w:r>
      <w:r>
        <w:t>parties for use by them in proceedings;</w:t>
      </w:r>
    </w:p>
    <w:p w14:paraId="088D5649" w14:textId="450B254B" w:rsidR="009575F9" w:rsidRDefault="009575F9" w:rsidP="00B748F1">
      <w:pPr>
        <w:pStyle w:val="OutlineNumbered2"/>
      </w:pPr>
      <w:r>
        <w:t>ASIC may be served with a subpoena or summons requir</w:t>
      </w:r>
      <w:r w:rsidR="003D65B6">
        <w:t>ing production of the material;</w:t>
      </w:r>
    </w:p>
    <w:p w14:paraId="3133D33C" w14:textId="0F900A8F" w:rsidR="009575F9" w:rsidRDefault="009575F9" w:rsidP="00B748F1">
      <w:pPr>
        <w:pStyle w:val="OutlineNumbered2"/>
      </w:pPr>
      <w:r>
        <w:t>ASIC may be required to respond to a notice for non-party discovery.</w:t>
      </w:r>
      <w:r w:rsidR="006B27AF">
        <w:rPr>
          <w:rStyle w:val="FootnoteReference"/>
        </w:rPr>
        <w:footnoteReference w:id="60"/>
      </w:r>
    </w:p>
    <w:p w14:paraId="2C3B7ECA" w14:textId="23451CAB" w:rsidR="009575F9" w:rsidRPr="00B748F1" w:rsidRDefault="009575F9" w:rsidP="00B748F1">
      <w:pPr>
        <w:pStyle w:val="OutlineNumbered1"/>
        <w:rPr>
          <w:rFonts w:eastAsiaTheme="minorHAnsi"/>
        </w:rPr>
      </w:pPr>
      <w:r w:rsidRPr="00B748F1">
        <w:rPr>
          <w:rFonts w:eastAsiaTheme="minorHAnsi"/>
        </w:rPr>
        <w:t>In each of the above situations there may be safeguards that will prevent or limit ASIC’s ability to release the information. However, the extent to which these safeguards apply will depend on the specific circumstance</w:t>
      </w:r>
      <w:r w:rsidR="003D65B6">
        <w:rPr>
          <w:rFonts w:eastAsiaTheme="minorHAnsi"/>
        </w:rPr>
        <w:t>s applying to the request.</w:t>
      </w:r>
    </w:p>
    <w:p w14:paraId="7BD296FD" w14:textId="05DBAC20" w:rsidR="0027389B" w:rsidRPr="00B748F1" w:rsidRDefault="0027389B" w:rsidP="00B748F1">
      <w:pPr>
        <w:pStyle w:val="OutlineNumbered1"/>
        <w:rPr>
          <w:rFonts w:eastAsiaTheme="minorHAnsi"/>
        </w:rPr>
      </w:pPr>
      <w:r w:rsidRPr="00B748F1">
        <w:rPr>
          <w:rFonts w:eastAsiaTheme="minorHAnsi"/>
        </w:rPr>
        <w:t xml:space="preserve">In a 12 month period ASIC may receive up to 100 requests of varying kinds for the release of information relating to enforcement matters. This is in a context where ASIC has approximately 350 enforcement matters on foot at any given time, the majority of which will not have involved the issue of a search warrant. As stated in paragraph </w:t>
      </w:r>
      <w:r w:rsidRPr="00B748F1">
        <w:rPr>
          <w:rFonts w:eastAsiaTheme="minorHAnsi"/>
        </w:rPr>
        <w:fldChar w:fldCharType="begin"/>
      </w:r>
      <w:r w:rsidRPr="00B748F1">
        <w:rPr>
          <w:rFonts w:eastAsiaTheme="minorHAnsi"/>
        </w:rPr>
        <w:instrText xml:space="preserve"> REF _Ref483572832 \r \h </w:instrText>
      </w:r>
      <w:r w:rsidR="00B748F1">
        <w:rPr>
          <w:rFonts w:eastAsiaTheme="minorHAnsi"/>
        </w:rPr>
        <w:instrText xml:space="preserve"> \* MERGEFORMAT </w:instrText>
      </w:r>
      <w:r w:rsidRPr="00B748F1">
        <w:rPr>
          <w:rFonts w:eastAsiaTheme="minorHAnsi"/>
        </w:rPr>
      </w:r>
      <w:r w:rsidRPr="00B748F1">
        <w:rPr>
          <w:rFonts w:eastAsiaTheme="minorHAnsi"/>
        </w:rPr>
        <w:fldChar w:fldCharType="separate"/>
      </w:r>
      <w:r w:rsidR="000F2269">
        <w:rPr>
          <w:rFonts w:eastAsiaTheme="minorHAnsi"/>
        </w:rPr>
        <w:t>3</w:t>
      </w:r>
      <w:r w:rsidRPr="00B748F1">
        <w:rPr>
          <w:rFonts w:eastAsiaTheme="minorHAnsi"/>
        </w:rPr>
        <w:fldChar w:fldCharType="end"/>
      </w:r>
      <w:r w:rsidRPr="00B748F1">
        <w:rPr>
          <w:rFonts w:eastAsiaTheme="minorHAnsi"/>
        </w:rPr>
        <w:t xml:space="preserve"> above since January 2011 ASIC has issued just over 200 search warrant and a single</w:t>
      </w:r>
      <w:r w:rsidR="0035290D">
        <w:rPr>
          <w:rFonts w:eastAsiaTheme="minorHAnsi"/>
        </w:rPr>
        <w:t> </w:t>
      </w:r>
      <w:r w:rsidRPr="00B748F1">
        <w:rPr>
          <w:rFonts w:eastAsiaTheme="minorHAnsi"/>
        </w:rPr>
        <w:t>search warrant operation may involve the issuing of a number of search warrants in relation to multiple premises.</w:t>
      </w:r>
    </w:p>
    <w:p w14:paraId="39FB9C3F" w14:textId="00A95B84" w:rsidR="00891EB9" w:rsidRPr="00B748F1" w:rsidRDefault="009575F9" w:rsidP="00B748F1">
      <w:pPr>
        <w:pStyle w:val="OutlineNumbered1"/>
        <w:rPr>
          <w:rFonts w:eastAsiaTheme="minorHAnsi"/>
        </w:rPr>
      </w:pPr>
      <w:r w:rsidRPr="00B748F1">
        <w:rPr>
          <w:rFonts w:eastAsiaTheme="minorHAnsi"/>
        </w:rPr>
        <w:t xml:space="preserve">Accordingly, </w:t>
      </w:r>
      <w:r w:rsidR="0027389B" w:rsidRPr="00B748F1">
        <w:rPr>
          <w:rFonts w:eastAsiaTheme="minorHAnsi"/>
        </w:rPr>
        <w:t xml:space="preserve">although not very common, </w:t>
      </w:r>
      <w:r w:rsidRPr="00B748F1">
        <w:rPr>
          <w:rFonts w:eastAsiaTheme="minorHAnsi"/>
        </w:rPr>
        <w:t xml:space="preserve">material seized under a search warrant may be, or may be required to be, released to </w:t>
      </w:r>
      <w:r w:rsidR="0019572B" w:rsidRPr="00B748F1">
        <w:rPr>
          <w:rFonts w:eastAsiaTheme="minorHAnsi"/>
        </w:rPr>
        <w:t>private litigants</w:t>
      </w:r>
      <w:r w:rsidRPr="00B748F1">
        <w:rPr>
          <w:rFonts w:eastAsiaTheme="minorHAnsi"/>
        </w:rPr>
        <w:t xml:space="preserve"> for the purposes of separate legal proceedings. </w:t>
      </w:r>
      <w:r w:rsidR="00891EB9" w:rsidRPr="00B748F1">
        <w:rPr>
          <w:rFonts w:eastAsiaTheme="minorHAnsi"/>
        </w:rPr>
        <w:t xml:space="preserve">This provides a further example of how material seized under a search warrant may come to be used in a manner or proceeding that was not contemplated at the time that </w:t>
      </w:r>
      <w:r w:rsidR="00C21B1D" w:rsidRPr="00B748F1">
        <w:rPr>
          <w:rFonts w:eastAsiaTheme="minorHAnsi"/>
        </w:rPr>
        <w:t xml:space="preserve">the </w:t>
      </w:r>
      <w:r w:rsidR="00891EB9" w:rsidRPr="00B748F1">
        <w:rPr>
          <w:rFonts w:eastAsiaTheme="minorHAnsi"/>
        </w:rPr>
        <w:t>search warrant was issued</w:t>
      </w:r>
      <w:r w:rsidR="0073061E" w:rsidRPr="00B748F1">
        <w:rPr>
          <w:rFonts w:eastAsiaTheme="minorHAnsi"/>
        </w:rPr>
        <w:t xml:space="preserve"> and executed</w:t>
      </w:r>
      <w:r w:rsidR="00891EB9" w:rsidRPr="00B748F1">
        <w:rPr>
          <w:rFonts w:eastAsiaTheme="minorHAnsi"/>
        </w:rPr>
        <w:t>.</w:t>
      </w:r>
    </w:p>
    <w:p w14:paraId="5381E4B4" w14:textId="7E0E7AD1" w:rsidR="002F0AE0" w:rsidRPr="00B748F1" w:rsidRDefault="00891EB9" w:rsidP="00B748F1">
      <w:pPr>
        <w:pStyle w:val="OutlineNumbered1"/>
        <w:rPr>
          <w:rFonts w:eastAsiaTheme="minorHAnsi"/>
        </w:rPr>
      </w:pPr>
      <w:bookmarkStart w:id="65" w:name="_Ref479170448"/>
      <w:r w:rsidRPr="00B748F1">
        <w:rPr>
          <w:rFonts w:eastAsiaTheme="minorHAnsi"/>
        </w:rPr>
        <w:t xml:space="preserve">At the same time, there are a number of considerations that </w:t>
      </w:r>
      <w:r w:rsidR="00AD1E8E" w:rsidRPr="00B748F1">
        <w:rPr>
          <w:rFonts w:eastAsiaTheme="minorHAnsi"/>
        </w:rPr>
        <w:t>provide support for</w:t>
      </w:r>
      <w:r w:rsidRPr="00B748F1">
        <w:rPr>
          <w:rFonts w:eastAsiaTheme="minorHAnsi"/>
        </w:rPr>
        <w:t xml:space="preserve"> a facilitative </w:t>
      </w:r>
      <w:r w:rsidR="00AD1E8E" w:rsidRPr="00B748F1">
        <w:rPr>
          <w:rFonts w:eastAsiaTheme="minorHAnsi"/>
        </w:rPr>
        <w:t xml:space="preserve">regime for private enforcement, </w:t>
      </w:r>
      <w:r w:rsidRPr="00B748F1">
        <w:rPr>
          <w:rFonts w:eastAsiaTheme="minorHAnsi"/>
        </w:rPr>
        <w:t xml:space="preserve">including efficiency in </w:t>
      </w:r>
      <w:r w:rsidR="00AD1E8E" w:rsidRPr="00B748F1">
        <w:rPr>
          <w:rFonts w:eastAsiaTheme="minorHAnsi"/>
        </w:rPr>
        <w:t xml:space="preserve">the </w:t>
      </w:r>
      <w:r w:rsidRPr="00B748F1">
        <w:rPr>
          <w:rFonts w:eastAsiaTheme="minorHAnsi"/>
        </w:rPr>
        <w:t xml:space="preserve">use of regulator resources, additional deterrence rather than </w:t>
      </w:r>
      <w:r w:rsidR="00AD1E8E" w:rsidRPr="00B748F1">
        <w:rPr>
          <w:rFonts w:eastAsiaTheme="minorHAnsi"/>
        </w:rPr>
        <w:t>reliance on public action only, enhancing the ability of affected parties to seek</w:t>
      </w:r>
      <w:r w:rsidRPr="00B748F1">
        <w:rPr>
          <w:rFonts w:eastAsiaTheme="minorHAnsi"/>
        </w:rPr>
        <w:t xml:space="preserve"> compensation</w:t>
      </w:r>
      <w:r w:rsidR="00AD1E8E" w:rsidRPr="00B748F1">
        <w:rPr>
          <w:rFonts w:eastAsiaTheme="minorHAnsi"/>
        </w:rPr>
        <w:t xml:space="preserve"> given that </w:t>
      </w:r>
      <w:r w:rsidRPr="00B748F1">
        <w:rPr>
          <w:rFonts w:eastAsiaTheme="minorHAnsi"/>
        </w:rPr>
        <w:t xml:space="preserve">regulators </w:t>
      </w:r>
      <w:r w:rsidR="00AD1E8E" w:rsidRPr="00B748F1">
        <w:rPr>
          <w:rFonts w:eastAsiaTheme="minorHAnsi"/>
        </w:rPr>
        <w:t>do not primarily focus on and may not have the resources to pursue compensation proceedings.</w:t>
      </w:r>
      <w:bookmarkEnd w:id="65"/>
    </w:p>
    <w:p w14:paraId="3D14A280" w14:textId="7C287898" w:rsidR="00AD1E8E" w:rsidRPr="00B748F1" w:rsidRDefault="00AD1E8E" w:rsidP="00ED2B3F">
      <w:pPr>
        <w:pStyle w:val="Heading2-NoTOC"/>
      </w:pPr>
      <w:bookmarkStart w:id="66" w:name="_Toc484695711"/>
      <w:r w:rsidRPr="00B748F1">
        <w:lastRenderedPageBreak/>
        <w:t xml:space="preserve">Position </w:t>
      </w:r>
      <w:r w:rsidR="001D1655" w:rsidRPr="00B748F1">
        <w:t>6</w:t>
      </w:r>
      <w:r w:rsidRPr="00B748F1">
        <w:t>:</w:t>
      </w:r>
      <w:r w:rsidR="00B748F1">
        <w:tab/>
      </w:r>
      <w:r w:rsidRPr="00B748F1">
        <w:t xml:space="preserve">Use of material seized under search warrants by </w:t>
      </w:r>
      <w:r w:rsidR="0019572B" w:rsidRPr="00B748F1">
        <w:t>private litigants</w:t>
      </w:r>
      <w:r w:rsidRPr="00B748F1">
        <w:t xml:space="preserve"> should be subject to appropriate limits</w:t>
      </w:r>
      <w:bookmarkEnd w:id="66"/>
    </w:p>
    <w:p w14:paraId="702A4208" w14:textId="37A74E6A" w:rsidR="007856C4" w:rsidRPr="00B748F1" w:rsidRDefault="001760C0" w:rsidP="00B748F1">
      <w:pPr>
        <w:pStyle w:val="OutlineNumbered1"/>
        <w:rPr>
          <w:rFonts w:eastAsiaTheme="minorHAnsi"/>
        </w:rPr>
      </w:pPr>
      <w:r w:rsidRPr="00B748F1">
        <w:rPr>
          <w:rFonts w:eastAsiaTheme="minorHAnsi"/>
        </w:rPr>
        <w:t xml:space="preserve">Despite the matters referred to in paragraph </w:t>
      </w:r>
      <w:r w:rsidRPr="00B748F1">
        <w:rPr>
          <w:rFonts w:eastAsiaTheme="minorHAnsi"/>
        </w:rPr>
        <w:fldChar w:fldCharType="begin"/>
      </w:r>
      <w:r w:rsidRPr="00B748F1">
        <w:rPr>
          <w:rFonts w:eastAsiaTheme="minorHAnsi"/>
        </w:rPr>
        <w:instrText xml:space="preserve"> REF _Ref479170448 \r \h </w:instrText>
      </w:r>
      <w:r w:rsidR="00B748F1">
        <w:rPr>
          <w:rFonts w:eastAsiaTheme="minorHAnsi"/>
        </w:rPr>
        <w:instrText xml:space="preserve"> \* MERGEFORMAT </w:instrText>
      </w:r>
      <w:r w:rsidRPr="00B748F1">
        <w:rPr>
          <w:rFonts w:eastAsiaTheme="minorHAnsi"/>
        </w:rPr>
      </w:r>
      <w:r w:rsidRPr="00B748F1">
        <w:rPr>
          <w:rFonts w:eastAsiaTheme="minorHAnsi"/>
        </w:rPr>
        <w:fldChar w:fldCharType="separate"/>
      </w:r>
      <w:r w:rsidR="000F2269">
        <w:rPr>
          <w:rFonts w:eastAsiaTheme="minorHAnsi"/>
        </w:rPr>
        <w:t>22</w:t>
      </w:r>
      <w:r w:rsidRPr="00B748F1">
        <w:rPr>
          <w:rFonts w:eastAsiaTheme="minorHAnsi"/>
        </w:rPr>
        <w:fldChar w:fldCharType="end"/>
      </w:r>
      <w:r w:rsidRPr="00B748F1">
        <w:rPr>
          <w:rFonts w:eastAsiaTheme="minorHAnsi"/>
        </w:rPr>
        <w:t xml:space="preserve"> above it may be appropriate to provide additional protection to material seized under a search warrant that would limit the ability of </w:t>
      </w:r>
      <w:r w:rsidR="0019572B" w:rsidRPr="00B748F1">
        <w:rPr>
          <w:rFonts w:eastAsiaTheme="minorHAnsi"/>
        </w:rPr>
        <w:t>private litigants</w:t>
      </w:r>
      <w:r w:rsidRPr="00B748F1">
        <w:rPr>
          <w:rFonts w:eastAsiaTheme="minorHAnsi"/>
        </w:rPr>
        <w:t xml:space="preserve"> to acce</w:t>
      </w:r>
      <w:r w:rsidR="007856C4" w:rsidRPr="00B748F1">
        <w:rPr>
          <w:rFonts w:eastAsiaTheme="minorHAnsi"/>
        </w:rPr>
        <w:t xml:space="preserve">ss that material. The Taskforce queries whether </w:t>
      </w:r>
      <w:r w:rsidR="0019572B" w:rsidRPr="00B748F1">
        <w:rPr>
          <w:rFonts w:eastAsiaTheme="minorHAnsi"/>
        </w:rPr>
        <w:t xml:space="preserve">private </w:t>
      </w:r>
      <w:r w:rsidR="007856C4" w:rsidRPr="00B748F1">
        <w:rPr>
          <w:rFonts w:eastAsiaTheme="minorHAnsi"/>
        </w:rPr>
        <w:t>third parties should have the benefit of access to search warrant material given:</w:t>
      </w:r>
    </w:p>
    <w:p w14:paraId="6C53310B" w14:textId="274CF6A1" w:rsidR="007856C4" w:rsidRDefault="001760C0" w:rsidP="00B748F1">
      <w:pPr>
        <w:pStyle w:val="OutlineNumbered2"/>
        <w:rPr>
          <w:rFonts w:eastAsiaTheme="minorHAnsi"/>
        </w:rPr>
      </w:pPr>
      <w:r w:rsidRPr="007856C4">
        <w:rPr>
          <w:rFonts w:eastAsiaTheme="minorHAnsi"/>
        </w:rPr>
        <w:t>the invasive nature of search warrants</w:t>
      </w:r>
      <w:r w:rsidR="003D65B6">
        <w:rPr>
          <w:rFonts w:eastAsiaTheme="minorHAnsi"/>
        </w:rPr>
        <w:t>;</w:t>
      </w:r>
    </w:p>
    <w:p w14:paraId="21CBB13F" w14:textId="77777777" w:rsidR="007856C4" w:rsidRDefault="001760C0" w:rsidP="00B748F1">
      <w:pPr>
        <w:pStyle w:val="OutlineNumbered2"/>
        <w:rPr>
          <w:rFonts w:eastAsiaTheme="minorHAnsi"/>
        </w:rPr>
      </w:pPr>
      <w:r w:rsidRPr="007856C4">
        <w:rPr>
          <w:rFonts w:eastAsiaTheme="minorHAnsi"/>
        </w:rPr>
        <w:t>that they involve an exercise of state power by a law enforcement agency</w:t>
      </w:r>
      <w:r w:rsidR="007856C4">
        <w:rPr>
          <w:rFonts w:eastAsiaTheme="minorHAnsi"/>
        </w:rPr>
        <w:t>;</w:t>
      </w:r>
    </w:p>
    <w:p w14:paraId="09A59EAF" w14:textId="56D2A271" w:rsidR="007856C4" w:rsidRDefault="007856C4" w:rsidP="00B748F1">
      <w:pPr>
        <w:pStyle w:val="OutlineNumbered2"/>
        <w:rPr>
          <w:rFonts w:eastAsiaTheme="minorHAnsi"/>
        </w:rPr>
      </w:pPr>
      <w:r>
        <w:rPr>
          <w:rFonts w:eastAsiaTheme="minorHAnsi"/>
        </w:rPr>
        <w:t>the</w:t>
      </w:r>
      <w:r w:rsidR="001760C0" w:rsidRPr="007856C4">
        <w:rPr>
          <w:rFonts w:eastAsiaTheme="minorHAnsi"/>
        </w:rPr>
        <w:t xml:space="preserve"> impacts on a person’s rights and dignity, including with respect to privacy and to avoid self-accusation</w:t>
      </w:r>
      <w:r w:rsidR="00C21B1D">
        <w:rPr>
          <w:rFonts w:eastAsiaTheme="minorHAnsi"/>
        </w:rPr>
        <w:t>; and</w:t>
      </w:r>
    </w:p>
    <w:p w14:paraId="7E7FD951" w14:textId="332F3844" w:rsidR="00AD1E8E" w:rsidRDefault="007856C4" w:rsidP="00B748F1">
      <w:pPr>
        <w:pStyle w:val="OutlineNumbered2"/>
        <w:rPr>
          <w:rFonts w:eastAsiaTheme="minorHAnsi"/>
        </w:rPr>
      </w:pPr>
      <w:r>
        <w:rPr>
          <w:rFonts w:eastAsiaTheme="minorHAnsi"/>
        </w:rPr>
        <w:t>the enhanced ASIC Act search warrant power proposed in this paper will enable ASIC to search and seize a broader range of material, including data from electronic devices.</w:t>
      </w:r>
    </w:p>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DBE5F1" w:themeFill="accent1" w:themeFillTint="33"/>
        <w:tblLook w:val="04A0" w:firstRow="1" w:lastRow="0" w:firstColumn="1" w:lastColumn="0" w:noHBand="0" w:noVBand="1"/>
      </w:tblPr>
      <w:tblGrid>
        <w:gridCol w:w="9242"/>
      </w:tblGrid>
      <w:tr w:rsidR="00B748F1" w14:paraId="7B55FCD1" w14:textId="77777777" w:rsidTr="00B748F1">
        <w:tc>
          <w:tcPr>
            <w:tcW w:w="9242" w:type="dxa"/>
            <w:shd w:val="clear" w:color="auto" w:fill="DBE5F1" w:themeFill="accent1" w:themeFillTint="33"/>
          </w:tcPr>
          <w:p w14:paraId="1C3B46DB" w14:textId="0B2B7245" w:rsidR="00B748F1" w:rsidRDefault="003D65B6" w:rsidP="00B748F1">
            <w:pPr>
              <w:pStyle w:val="BoxHeadingnonumber"/>
            </w:pPr>
            <w:r>
              <w:t>Questions</w:t>
            </w:r>
          </w:p>
          <w:p w14:paraId="291A0731" w14:textId="28780CCE" w:rsidR="00B748F1" w:rsidRDefault="00B748F1" w:rsidP="00B748F1">
            <w:pPr>
              <w:pStyle w:val="BoxNumbering"/>
            </w:pPr>
            <w:r>
              <w:t>Should there be limitations on the ability of private litigants to access material seized by ASIC under a search warrant?</w:t>
            </w:r>
          </w:p>
          <w:p w14:paraId="6692AF27" w14:textId="208FFB94" w:rsidR="00B748F1" w:rsidRDefault="00B748F1" w:rsidP="00B748F1">
            <w:pPr>
              <w:pStyle w:val="BoxNumbering"/>
            </w:pPr>
            <w:r>
              <w:t>Should material seized under a search warrant be able to be accessed and used by a private litigant in a proceeding:</w:t>
            </w:r>
          </w:p>
          <w:p w14:paraId="158E3511" w14:textId="4EB30DD8" w:rsidR="00B748F1" w:rsidRDefault="00B748F1" w:rsidP="00B748F1">
            <w:pPr>
              <w:pStyle w:val="BoxAlpha"/>
            </w:pPr>
            <w:r>
              <w:t xml:space="preserve">or relating to contraventions that were not contemplated at the time the warrant was </w:t>
            </w:r>
            <w:r w:rsidRPr="00B748F1">
              <w:t>issued</w:t>
            </w:r>
            <w:r>
              <w:t>?</w:t>
            </w:r>
          </w:p>
          <w:p w14:paraId="20085949" w14:textId="0E7A8BFF" w:rsidR="00B748F1" w:rsidRPr="00B748F1" w:rsidRDefault="00B748F1" w:rsidP="00B748F1">
            <w:pPr>
              <w:pStyle w:val="BoxAlpha"/>
            </w:pPr>
            <w:r>
              <w:t>against a person who was not the subject of ASIC’s investigation at the time the search warrant was issued?</w:t>
            </w:r>
          </w:p>
        </w:tc>
      </w:tr>
    </w:tbl>
    <w:p w14:paraId="2EB66A10" w14:textId="492E325E" w:rsidR="00B748F1" w:rsidRDefault="00B748F1" w:rsidP="00B748F1">
      <w:pPr>
        <w:rPr>
          <w:rFonts w:eastAsiaTheme="minorHAnsi"/>
        </w:rPr>
      </w:pPr>
    </w:p>
    <w:p w14:paraId="74B46FB4" w14:textId="77777777" w:rsidR="00B748F1" w:rsidRPr="00B748F1" w:rsidRDefault="00B748F1" w:rsidP="00B748F1">
      <w:pPr>
        <w:rPr>
          <w:rFonts w:eastAsiaTheme="minorHAnsi"/>
        </w:rPr>
      </w:pPr>
    </w:p>
    <w:p w14:paraId="4D517E1F" w14:textId="77777777" w:rsidR="00C462C8" w:rsidRDefault="00C462C8">
      <w:pPr>
        <w:sectPr w:rsidR="00C462C8" w:rsidSect="000756A4">
          <w:headerReference w:type="even" r:id="rId53"/>
          <w:headerReference w:type="default" r:id="rId54"/>
          <w:footerReference w:type="even" r:id="rId55"/>
          <w:footerReference w:type="default" r:id="rId56"/>
          <w:footerReference w:type="first" r:id="rId57"/>
          <w:pgSz w:w="11906" w:h="16838"/>
          <w:pgMar w:top="1440" w:right="1440" w:bottom="1440" w:left="1440" w:header="708" w:footer="708" w:gutter="0"/>
          <w:cols w:space="708"/>
          <w:titlePg/>
          <w:docGrid w:linePitch="360"/>
        </w:sectPr>
      </w:pPr>
    </w:p>
    <w:p w14:paraId="5936D113" w14:textId="446A8499" w:rsidR="007856C4" w:rsidRPr="00CB7FBA" w:rsidRDefault="001F3638" w:rsidP="002D26F6">
      <w:pPr>
        <w:pStyle w:val="Heading1"/>
      </w:pPr>
      <w:bookmarkStart w:id="67" w:name="_Toc484695712"/>
      <w:bookmarkStart w:id="68" w:name="_Toc486231372"/>
      <w:r w:rsidRPr="002D26F6">
        <w:lastRenderedPageBreak/>
        <w:t>Annexure</w:t>
      </w:r>
      <w:r w:rsidRPr="00CB7FBA">
        <w:t xml:space="preserve"> A</w:t>
      </w:r>
      <w:bookmarkEnd w:id="67"/>
      <w:bookmarkEnd w:id="68"/>
    </w:p>
    <w:p w14:paraId="06DF6D23" w14:textId="4CDF2F19" w:rsidR="001F3638" w:rsidRPr="0035290D" w:rsidRDefault="001F3638" w:rsidP="0035290D">
      <w:pPr>
        <w:pStyle w:val="Heading2NotNumbered"/>
      </w:pPr>
      <w:bookmarkStart w:id="69" w:name="_Toc484695713"/>
      <w:bookmarkStart w:id="70" w:name="_Toc486231373"/>
      <w:r w:rsidRPr="0035290D">
        <w:t>Effect of preliminary positions</w:t>
      </w:r>
      <w:bookmarkEnd w:id="69"/>
      <w:bookmarkEnd w:id="70"/>
    </w:p>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DBE5F1" w:themeFill="accent1" w:themeFillTint="33"/>
        <w:tblLook w:val="04A0" w:firstRow="1" w:lastRow="0" w:firstColumn="1" w:lastColumn="0" w:noHBand="0" w:noVBand="1"/>
      </w:tblPr>
      <w:tblGrid>
        <w:gridCol w:w="2093"/>
        <w:gridCol w:w="3685"/>
        <w:gridCol w:w="3464"/>
      </w:tblGrid>
      <w:tr w:rsidR="009F383C" w14:paraId="16E2EA50" w14:textId="77777777" w:rsidTr="0008136E">
        <w:trPr>
          <w:trHeight w:val="297"/>
        </w:trPr>
        <w:tc>
          <w:tcPr>
            <w:tcW w:w="2093" w:type="dxa"/>
            <w:shd w:val="clear" w:color="auto" w:fill="DBE5F1" w:themeFill="accent1" w:themeFillTint="33"/>
          </w:tcPr>
          <w:p w14:paraId="2D4AB886" w14:textId="0C414CB6" w:rsidR="009F383C" w:rsidRDefault="009F383C" w:rsidP="009F383C">
            <w:pPr>
              <w:pStyle w:val="BoxHeadingnonumber"/>
            </w:pPr>
            <w:r w:rsidRPr="001F3638">
              <w:t>Position</w:t>
            </w:r>
          </w:p>
        </w:tc>
        <w:tc>
          <w:tcPr>
            <w:tcW w:w="3685" w:type="dxa"/>
            <w:shd w:val="clear" w:color="auto" w:fill="DBE5F1" w:themeFill="accent1" w:themeFillTint="33"/>
          </w:tcPr>
          <w:p w14:paraId="2695B8CF" w14:textId="7DB0E31E" w:rsidR="009F383C" w:rsidRDefault="009F383C" w:rsidP="009F383C">
            <w:pPr>
              <w:pStyle w:val="BoxHeadingnonumber"/>
            </w:pPr>
            <w:r w:rsidRPr="001F3638">
              <w:t>Current requirement</w:t>
            </w:r>
          </w:p>
        </w:tc>
        <w:tc>
          <w:tcPr>
            <w:tcW w:w="3464" w:type="dxa"/>
            <w:shd w:val="clear" w:color="auto" w:fill="DBE5F1" w:themeFill="accent1" w:themeFillTint="33"/>
          </w:tcPr>
          <w:p w14:paraId="58DFA5A7" w14:textId="7ED13F89" w:rsidR="009F383C" w:rsidRDefault="009F383C" w:rsidP="009F383C">
            <w:pPr>
              <w:pStyle w:val="BoxHeadingnonumber"/>
            </w:pPr>
            <w:r w:rsidRPr="001F3638">
              <w:t>Effect of position</w:t>
            </w:r>
          </w:p>
        </w:tc>
      </w:tr>
      <w:tr w:rsidR="009F383C" w14:paraId="45031EF8" w14:textId="77777777" w:rsidTr="00B90AE8">
        <w:tc>
          <w:tcPr>
            <w:tcW w:w="2093" w:type="dxa"/>
            <w:shd w:val="clear" w:color="auto" w:fill="auto"/>
          </w:tcPr>
          <w:p w14:paraId="1A43AF18" w14:textId="32D75D58" w:rsidR="009F383C" w:rsidRPr="009F383C" w:rsidRDefault="009F383C" w:rsidP="00B90AE8">
            <w:pPr>
              <w:pStyle w:val="BoxText"/>
              <w:jc w:val="left"/>
            </w:pPr>
            <w:bookmarkStart w:id="71" w:name="_Toc479342733"/>
            <w:r w:rsidRPr="009F383C">
              <w:rPr>
                <w:b/>
              </w:rPr>
              <w:t>Position 1</w:t>
            </w:r>
            <w:r w:rsidRPr="009F383C">
              <w:t>: ASIC specific search warrant powers in various Acts should be consolidated into the ASIC</w:t>
            </w:r>
            <w:r w:rsidR="00B90AE8">
              <w:t> </w:t>
            </w:r>
            <w:r w:rsidRPr="009F383C">
              <w:t>Act</w:t>
            </w:r>
            <w:bookmarkEnd w:id="71"/>
            <w:r w:rsidRPr="009F383C">
              <w:t>.</w:t>
            </w:r>
          </w:p>
        </w:tc>
        <w:tc>
          <w:tcPr>
            <w:tcW w:w="3685" w:type="dxa"/>
            <w:shd w:val="clear" w:color="auto" w:fill="auto"/>
          </w:tcPr>
          <w:p w14:paraId="5903CCD7" w14:textId="6012D80A" w:rsidR="009F383C" w:rsidRPr="009F383C" w:rsidRDefault="009F383C" w:rsidP="00322D44">
            <w:pPr>
              <w:pStyle w:val="BoxBullet"/>
            </w:pPr>
            <w:r w:rsidRPr="009F383C">
              <w:t>ASIC is currently able to utilise specific search warrant powers contained in the ASIC Act, NCCP</w:t>
            </w:r>
            <w:r w:rsidR="00322D44">
              <w:t> </w:t>
            </w:r>
            <w:r w:rsidRPr="009F383C">
              <w:t>Act, SIS Act and RSA Act</w:t>
            </w:r>
            <w:r w:rsidRPr="00322D44">
              <w:rPr>
                <w:rStyle w:val="FootnoteReference"/>
              </w:rPr>
              <w:footnoteReference w:id="61"/>
            </w:r>
            <w:r w:rsidRPr="009F383C">
              <w:t xml:space="preserve"> (as</w:t>
            </w:r>
            <w:r w:rsidR="00B90AE8">
              <w:t> </w:t>
            </w:r>
            <w:r w:rsidRPr="009F383C">
              <w:t>well as the general search warrant powers contained in the Crimes Act</w:t>
            </w:r>
            <w:r w:rsidR="00322D44">
              <w:t>).</w:t>
            </w:r>
            <w:r w:rsidRPr="00322D44">
              <w:rPr>
                <w:rStyle w:val="FootnoteReference"/>
              </w:rPr>
              <w:footnoteReference w:id="62"/>
            </w:r>
          </w:p>
          <w:p w14:paraId="31A0EFC1" w14:textId="01D63345" w:rsidR="009F383C" w:rsidRPr="009F383C" w:rsidRDefault="009F383C" w:rsidP="00322D44">
            <w:pPr>
              <w:pStyle w:val="BoxBullet"/>
            </w:pPr>
            <w:r w:rsidRPr="009F383C">
              <w:t>When seeking a search warrant under the NCCP Act, SIS Act and RSA Act ASIC must demonstrate that it has previously issued a notice to a relevant person requiring the production of books and the person has failed to produce those books.</w:t>
            </w:r>
          </w:p>
        </w:tc>
        <w:tc>
          <w:tcPr>
            <w:tcW w:w="3464" w:type="dxa"/>
            <w:shd w:val="clear" w:color="auto" w:fill="auto"/>
          </w:tcPr>
          <w:p w14:paraId="46B1941F" w14:textId="79795D9B" w:rsidR="00322D44" w:rsidRPr="001F3638" w:rsidRDefault="00322D44" w:rsidP="00322D44">
            <w:pPr>
              <w:pStyle w:val="BoxBullet"/>
            </w:pPr>
            <w:r>
              <w:t xml:space="preserve">Search warrant powers to be centralised in the ASIC Act, for </w:t>
            </w:r>
            <w:r w:rsidRPr="001F3638">
              <w:t>investig</w:t>
            </w:r>
            <w:r>
              <w:t xml:space="preserve">ations of contraventions of </w:t>
            </w:r>
            <w:r w:rsidRPr="001F3638">
              <w:t>legislation administered by AS</w:t>
            </w:r>
            <w:r>
              <w:t xml:space="preserve">IC, including investigations of </w:t>
            </w:r>
            <w:r w:rsidRPr="001F3638">
              <w:t>suspected contraventions of the Corporations Act, ASIC Act, NCCP</w:t>
            </w:r>
            <w:r>
              <w:t xml:space="preserve"> Act, SIS Act and RSA Act</w:t>
            </w:r>
            <w:r w:rsidRPr="001F3638">
              <w:t>.</w:t>
            </w:r>
          </w:p>
          <w:p w14:paraId="061A9642" w14:textId="322C800C" w:rsidR="009F383C" w:rsidRDefault="00322D44" w:rsidP="00322D44">
            <w:pPr>
              <w:pStyle w:val="BoxBullet"/>
            </w:pPr>
            <w:r w:rsidRPr="001F3638">
              <w:t>Remove the forewarning requirement from the NCCP</w:t>
            </w:r>
            <w:r>
              <w:t> </w:t>
            </w:r>
            <w:r w:rsidRPr="001F3638">
              <w:t>Act, SIS Act and RSA Act.</w:t>
            </w:r>
          </w:p>
        </w:tc>
      </w:tr>
      <w:tr w:rsidR="00322D44" w14:paraId="47C55643" w14:textId="77777777" w:rsidTr="00B90AE8">
        <w:tc>
          <w:tcPr>
            <w:tcW w:w="2093" w:type="dxa"/>
            <w:shd w:val="clear" w:color="auto" w:fill="F2F2F2" w:themeFill="background1" w:themeFillShade="F2"/>
          </w:tcPr>
          <w:p w14:paraId="23C7E464" w14:textId="55D3FCA4" w:rsidR="00322D44" w:rsidRPr="00322D44" w:rsidRDefault="00322D44" w:rsidP="0035290D">
            <w:pPr>
              <w:pStyle w:val="BoxText"/>
              <w:jc w:val="left"/>
            </w:pPr>
            <w:r w:rsidRPr="00322D44">
              <w:rPr>
                <w:b/>
              </w:rPr>
              <w:t>Position 2</w:t>
            </w:r>
            <w:r w:rsidRPr="00322D44">
              <w:t>: ASIC Act search warrants to provide for search and se</w:t>
            </w:r>
            <w:r>
              <w:t>izure of ‘evidential material’.</w:t>
            </w:r>
          </w:p>
        </w:tc>
        <w:tc>
          <w:tcPr>
            <w:tcW w:w="3685" w:type="dxa"/>
            <w:shd w:val="clear" w:color="auto" w:fill="F2F2F2" w:themeFill="background1" w:themeFillShade="F2"/>
          </w:tcPr>
          <w:p w14:paraId="46919111" w14:textId="403F5E3F" w:rsidR="00322D44" w:rsidRPr="00322D44" w:rsidRDefault="00322D44" w:rsidP="00B90AE8">
            <w:pPr>
              <w:pStyle w:val="BoxText"/>
              <w:jc w:val="left"/>
            </w:pPr>
            <w:r w:rsidRPr="00322D44">
              <w:t>Search warrants issued under the ASIC Act, NCCP Act, SIS Act and RSA</w:t>
            </w:r>
            <w:r w:rsidR="00B90AE8">
              <w:t> </w:t>
            </w:r>
            <w:r w:rsidRPr="00322D44">
              <w:t xml:space="preserve">Act authorise the search for and seizure of specified </w:t>
            </w:r>
            <w:r w:rsidR="00757A73">
              <w:t>‘</w:t>
            </w:r>
            <w:r w:rsidRPr="00322D44">
              <w:t>particular books</w:t>
            </w:r>
            <w:r w:rsidR="00757A73">
              <w:t>’</w:t>
            </w:r>
            <w:r w:rsidRPr="00322D44">
              <w:t xml:space="preserve"> and the subsequent search and seizure is limited to those books.</w:t>
            </w:r>
          </w:p>
        </w:tc>
        <w:tc>
          <w:tcPr>
            <w:tcW w:w="3464" w:type="dxa"/>
            <w:shd w:val="clear" w:color="auto" w:fill="F2F2F2" w:themeFill="background1" w:themeFillShade="F2"/>
          </w:tcPr>
          <w:p w14:paraId="5B0659DE" w14:textId="51A63EAE" w:rsidR="00322D44" w:rsidRPr="001F3638" w:rsidRDefault="00322D44" w:rsidP="00322D44">
            <w:pPr>
              <w:pStyle w:val="BoxBullet"/>
            </w:pPr>
            <w:r w:rsidRPr="001F3638">
              <w:t>Remove the requirement for search warrants issued under the ASIC Act, NCCP Act, SIS Act and RSA Act to specify particular books t</w:t>
            </w:r>
            <w:r w:rsidR="003D65B6">
              <w:t>hat can be searched and seized.</w:t>
            </w:r>
          </w:p>
          <w:p w14:paraId="1DB282C6" w14:textId="08C7980F" w:rsidR="00322D44" w:rsidRPr="001F3638" w:rsidRDefault="00322D44" w:rsidP="00322D44">
            <w:pPr>
              <w:pStyle w:val="BoxBullet"/>
            </w:pPr>
            <w:r w:rsidRPr="001F3638">
              <w:t>Search warrant issued where there are reasonable grounds to suspect that there is or will be ‘evidential material’ at prem</w:t>
            </w:r>
            <w:r w:rsidR="003D65B6">
              <w:t>ises identified in the warrant.</w:t>
            </w:r>
          </w:p>
          <w:p w14:paraId="5977109E" w14:textId="12CFEE09" w:rsidR="00322D44" w:rsidRDefault="00322D44" w:rsidP="00322D44">
            <w:pPr>
              <w:pStyle w:val="BoxBullet"/>
            </w:pPr>
            <w:r w:rsidRPr="001F3638">
              <w:t xml:space="preserve">Search warrants provide for search and seizure of the </w:t>
            </w:r>
            <w:r w:rsidR="00757A73">
              <w:t>‘</w:t>
            </w:r>
            <w:r w:rsidRPr="001F3638">
              <w:t>kind of evidential material specified in the warrant</w:t>
            </w:r>
            <w:r w:rsidR="00757A73">
              <w:t>’</w:t>
            </w:r>
            <w:r w:rsidRPr="001F3638">
              <w:t>.</w:t>
            </w:r>
          </w:p>
        </w:tc>
      </w:tr>
    </w:tbl>
    <w:p w14:paraId="1252864F" w14:textId="77777777" w:rsidR="00322D44" w:rsidRPr="00322D44" w:rsidRDefault="00322D44" w:rsidP="00322D44">
      <w:r w:rsidRPr="00322D44">
        <w:br w:type="page"/>
      </w:r>
    </w:p>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DBE5F1" w:themeFill="accent1" w:themeFillTint="33"/>
        <w:tblLook w:val="04A0" w:firstRow="1" w:lastRow="0" w:firstColumn="1" w:lastColumn="0" w:noHBand="0" w:noVBand="1"/>
      </w:tblPr>
      <w:tblGrid>
        <w:gridCol w:w="2093"/>
        <w:gridCol w:w="3685"/>
        <w:gridCol w:w="3464"/>
      </w:tblGrid>
      <w:tr w:rsidR="00322D44" w14:paraId="17741F6E" w14:textId="77777777" w:rsidTr="00B90AE8">
        <w:tc>
          <w:tcPr>
            <w:tcW w:w="2093" w:type="dxa"/>
            <w:shd w:val="clear" w:color="auto" w:fill="DBE5F1" w:themeFill="accent1" w:themeFillTint="33"/>
          </w:tcPr>
          <w:p w14:paraId="1FD30445" w14:textId="77777777" w:rsidR="00322D44" w:rsidRDefault="00322D44" w:rsidP="00F453B4">
            <w:pPr>
              <w:pStyle w:val="BoxHeadingnonumber"/>
            </w:pPr>
            <w:r w:rsidRPr="001F3638">
              <w:lastRenderedPageBreak/>
              <w:t>Position</w:t>
            </w:r>
          </w:p>
        </w:tc>
        <w:tc>
          <w:tcPr>
            <w:tcW w:w="3685" w:type="dxa"/>
            <w:shd w:val="clear" w:color="auto" w:fill="DBE5F1" w:themeFill="accent1" w:themeFillTint="33"/>
          </w:tcPr>
          <w:p w14:paraId="7D579B16" w14:textId="77777777" w:rsidR="00322D44" w:rsidRDefault="00322D44" w:rsidP="00F453B4">
            <w:pPr>
              <w:pStyle w:val="BoxHeadingnonumber"/>
            </w:pPr>
            <w:r w:rsidRPr="001F3638">
              <w:t>Current requirement</w:t>
            </w:r>
          </w:p>
        </w:tc>
        <w:tc>
          <w:tcPr>
            <w:tcW w:w="3464" w:type="dxa"/>
            <w:shd w:val="clear" w:color="auto" w:fill="DBE5F1" w:themeFill="accent1" w:themeFillTint="33"/>
          </w:tcPr>
          <w:p w14:paraId="24E59AE6" w14:textId="77777777" w:rsidR="00322D44" w:rsidRDefault="00322D44" w:rsidP="00F453B4">
            <w:pPr>
              <w:pStyle w:val="BoxHeadingnonumber"/>
            </w:pPr>
            <w:r w:rsidRPr="001F3638">
              <w:t>Effect of position</w:t>
            </w:r>
          </w:p>
        </w:tc>
      </w:tr>
      <w:tr w:rsidR="00322D44" w:rsidRPr="00322D44" w14:paraId="067F22B5" w14:textId="77777777" w:rsidTr="00B90AE8">
        <w:tc>
          <w:tcPr>
            <w:tcW w:w="2093" w:type="dxa"/>
            <w:shd w:val="clear" w:color="auto" w:fill="auto"/>
          </w:tcPr>
          <w:p w14:paraId="788B3283" w14:textId="129FAA3C" w:rsidR="00322D44" w:rsidRPr="00322D44" w:rsidRDefault="00322D44" w:rsidP="0035290D">
            <w:pPr>
              <w:pStyle w:val="BoxText"/>
              <w:jc w:val="left"/>
            </w:pPr>
            <w:r w:rsidRPr="00322D44">
              <w:rPr>
                <w:b/>
              </w:rPr>
              <w:t>Position 3</w:t>
            </w:r>
            <w:r w:rsidRPr="00322D44">
              <w:t>: ASIC Act search warrants to be issued when there is a reasonable suspicion of a contravention of an indictable offence.</w:t>
            </w:r>
          </w:p>
        </w:tc>
        <w:tc>
          <w:tcPr>
            <w:tcW w:w="3685" w:type="dxa"/>
            <w:shd w:val="clear" w:color="auto" w:fill="auto"/>
          </w:tcPr>
          <w:p w14:paraId="0F1DB431" w14:textId="6F926EBB" w:rsidR="00322D44" w:rsidRPr="00322D44" w:rsidRDefault="00322D44" w:rsidP="0035290D">
            <w:pPr>
              <w:pStyle w:val="BoxText"/>
              <w:jc w:val="left"/>
            </w:pPr>
            <w:r w:rsidRPr="00322D44">
              <w:t xml:space="preserve">A magistrate may issue a warrant authorising seizure of specified </w:t>
            </w:r>
            <w:r w:rsidR="00757A73">
              <w:t>‘</w:t>
            </w:r>
            <w:r w:rsidRPr="00322D44">
              <w:t>particular books</w:t>
            </w:r>
            <w:r w:rsidR="00757A73">
              <w:t>’</w:t>
            </w:r>
            <w:r w:rsidRPr="00322D44">
              <w:t xml:space="preserve"> if satisfied that there are reasonable grounds for suspecting that such books are, or may be within the next 72</w:t>
            </w:r>
            <w:r>
              <w:t> </w:t>
            </w:r>
            <w:r w:rsidRPr="00322D44">
              <w:t>hours, on premises.</w:t>
            </w:r>
          </w:p>
        </w:tc>
        <w:tc>
          <w:tcPr>
            <w:tcW w:w="3464" w:type="dxa"/>
            <w:shd w:val="clear" w:color="auto" w:fill="auto"/>
          </w:tcPr>
          <w:p w14:paraId="01968529" w14:textId="55A2012B" w:rsidR="00322D44" w:rsidRPr="00322D44" w:rsidRDefault="00322D44" w:rsidP="0035290D">
            <w:pPr>
              <w:pStyle w:val="BoxText"/>
              <w:jc w:val="left"/>
            </w:pPr>
            <w:r w:rsidRPr="00322D44">
              <w:t>Search warrants to be issued under the ASIC Act where there is a reasonable suspicion of a contravention of a provision of the Corporations Act, ASIC Act, NCCP</w:t>
            </w:r>
            <w:r>
              <w:t> </w:t>
            </w:r>
            <w:r w:rsidRPr="00322D44">
              <w:t>Act, SIS Act and RSA Act that would be an indictable offence</w:t>
            </w:r>
            <w:r>
              <w:t>.</w:t>
            </w:r>
            <w:r w:rsidRPr="00322D44">
              <w:rPr>
                <w:rStyle w:val="FootnoteReference"/>
              </w:rPr>
              <w:footnoteReference w:id="63"/>
            </w:r>
          </w:p>
        </w:tc>
      </w:tr>
      <w:tr w:rsidR="00322D44" w14:paraId="2C795C92" w14:textId="77777777" w:rsidTr="00B90AE8">
        <w:tc>
          <w:tcPr>
            <w:tcW w:w="2093" w:type="dxa"/>
            <w:shd w:val="clear" w:color="auto" w:fill="F2F2F2" w:themeFill="background1" w:themeFillShade="F2"/>
          </w:tcPr>
          <w:p w14:paraId="56631EB2" w14:textId="3ED04709" w:rsidR="00322D44" w:rsidRPr="00322D44" w:rsidRDefault="00322D44" w:rsidP="0035290D">
            <w:pPr>
              <w:pStyle w:val="BoxText"/>
              <w:jc w:val="left"/>
            </w:pPr>
            <w:r w:rsidRPr="00322D44">
              <w:rPr>
                <w:b/>
              </w:rPr>
              <w:t>Position 4</w:t>
            </w:r>
            <w:r w:rsidRPr="00322D44">
              <w:t>: ASIC Act search warrant powers to include ancillary powers that mirror the Crimes Act provisions</w:t>
            </w:r>
            <w:r w:rsidR="003D65B6">
              <w:t>.</w:t>
            </w:r>
          </w:p>
        </w:tc>
        <w:tc>
          <w:tcPr>
            <w:tcW w:w="3685" w:type="dxa"/>
            <w:shd w:val="clear" w:color="auto" w:fill="F2F2F2" w:themeFill="background1" w:themeFillShade="F2"/>
          </w:tcPr>
          <w:p w14:paraId="657FD07C" w14:textId="23564A0C" w:rsidR="00322D44" w:rsidRPr="00322D44" w:rsidRDefault="00322D44" w:rsidP="0035290D">
            <w:pPr>
              <w:pStyle w:val="BoxText"/>
              <w:jc w:val="left"/>
            </w:pPr>
            <w:r w:rsidRPr="00322D44">
              <w:t>Search warrant powers in the ASIC</w:t>
            </w:r>
            <w:r w:rsidR="00B90AE8">
              <w:t> </w:t>
            </w:r>
            <w:r w:rsidRPr="00322D44">
              <w:t>Act, NCCP Act, SIS Act and RSA</w:t>
            </w:r>
            <w:r w:rsidR="00B90AE8">
              <w:t> </w:t>
            </w:r>
            <w:r w:rsidRPr="00322D44">
              <w:t>Act are not supported by the range of ancillary provisions contained in the Crimes Act and the Competition and Consumer Act, including:</w:t>
            </w:r>
          </w:p>
          <w:p w14:paraId="7B2E606C" w14:textId="77777777" w:rsidR="00322D44" w:rsidRPr="00322D44" w:rsidRDefault="00322D44" w:rsidP="00322D44">
            <w:pPr>
              <w:pStyle w:val="BoxBullet"/>
            </w:pPr>
            <w:r w:rsidRPr="00322D44">
              <w:t>the ability to apply for search warrants by telephone, telex, facsimile or other electronic means in urgent cases;</w:t>
            </w:r>
          </w:p>
          <w:p w14:paraId="3D35FBA8" w14:textId="77777777" w:rsidR="00322D44" w:rsidRPr="00322D44" w:rsidRDefault="00322D44" w:rsidP="00322D44">
            <w:pPr>
              <w:pStyle w:val="BoxBullet"/>
            </w:pPr>
            <w:r w:rsidRPr="00322D44">
              <w:t>ability to seize material that relates to other indictable offences;</w:t>
            </w:r>
          </w:p>
          <w:p w14:paraId="5B042F93" w14:textId="77777777" w:rsidR="00322D44" w:rsidRPr="00322D44" w:rsidRDefault="00322D44" w:rsidP="00322D44">
            <w:pPr>
              <w:pStyle w:val="BoxBullet"/>
            </w:pPr>
            <w:r w:rsidRPr="00322D44">
              <w:t>powers relating to the use of electronic equipment and copying or seizing data contained on electronic equipment;</w:t>
            </w:r>
          </w:p>
          <w:p w14:paraId="4AA2088C" w14:textId="77777777" w:rsidR="00322D44" w:rsidRPr="00322D44" w:rsidRDefault="00322D44" w:rsidP="00322D44">
            <w:pPr>
              <w:pStyle w:val="BoxBullet"/>
            </w:pPr>
            <w:r w:rsidRPr="00322D44">
              <w:t>photographing or recording the search;</w:t>
            </w:r>
          </w:p>
          <w:p w14:paraId="452EBD26" w14:textId="77777777" w:rsidR="00322D44" w:rsidRPr="00322D44" w:rsidRDefault="00322D44" w:rsidP="00322D44">
            <w:pPr>
              <w:pStyle w:val="BoxBullet"/>
            </w:pPr>
            <w:r w:rsidRPr="00322D44">
              <w:t>temporarily ceasing the search;</w:t>
            </w:r>
          </w:p>
          <w:p w14:paraId="339D66B2" w14:textId="2D1B2FED" w:rsidR="00322D44" w:rsidRDefault="00322D44" w:rsidP="00322D44">
            <w:pPr>
              <w:pStyle w:val="BoxBullet"/>
            </w:pPr>
            <w:r w:rsidRPr="00322D44">
              <w:t>with the exception of the ASIC Act there is no clear power to require an occupier to provide reasonable assistance.</w:t>
            </w:r>
          </w:p>
        </w:tc>
        <w:tc>
          <w:tcPr>
            <w:tcW w:w="3464" w:type="dxa"/>
            <w:shd w:val="clear" w:color="auto" w:fill="F2F2F2" w:themeFill="background1" w:themeFillShade="F2"/>
          </w:tcPr>
          <w:p w14:paraId="38799C99" w14:textId="2FB5F1F1" w:rsidR="00322D44" w:rsidRPr="00322D44" w:rsidRDefault="00322D44" w:rsidP="0035290D">
            <w:pPr>
              <w:pStyle w:val="BoxText"/>
              <w:jc w:val="left"/>
            </w:pPr>
            <w:r w:rsidRPr="00322D44">
              <w:t>The search warrant powers in the ASIC, NCCP, SIS and RSA Acts to include ancillary provisions that mirror the provisions in the Crimes</w:t>
            </w:r>
            <w:r>
              <w:t> </w:t>
            </w:r>
            <w:r w:rsidRPr="00322D44">
              <w:t>Act.</w:t>
            </w:r>
          </w:p>
        </w:tc>
      </w:tr>
    </w:tbl>
    <w:p w14:paraId="258062F9" w14:textId="77777777" w:rsidR="00322D44" w:rsidRPr="00322D44" w:rsidRDefault="00322D44" w:rsidP="00322D44">
      <w:r w:rsidRPr="00322D44">
        <w:br w:type="page"/>
      </w:r>
    </w:p>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DBE5F1" w:themeFill="accent1" w:themeFillTint="33"/>
        <w:tblLook w:val="04A0" w:firstRow="1" w:lastRow="0" w:firstColumn="1" w:lastColumn="0" w:noHBand="0" w:noVBand="1"/>
      </w:tblPr>
      <w:tblGrid>
        <w:gridCol w:w="2093"/>
        <w:gridCol w:w="3685"/>
        <w:gridCol w:w="3464"/>
      </w:tblGrid>
      <w:tr w:rsidR="00322D44" w14:paraId="36E9260A" w14:textId="77777777" w:rsidTr="00B90AE8">
        <w:tc>
          <w:tcPr>
            <w:tcW w:w="2093" w:type="dxa"/>
            <w:shd w:val="clear" w:color="auto" w:fill="DBE5F1" w:themeFill="accent1" w:themeFillTint="33"/>
          </w:tcPr>
          <w:p w14:paraId="5CE68970" w14:textId="2965126B" w:rsidR="00322D44" w:rsidRDefault="00322D44" w:rsidP="00F453B4">
            <w:pPr>
              <w:pStyle w:val="BoxHeadingnonumber"/>
            </w:pPr>
            <w:r w:rsidRPr="001F3638">
              <w:lastRenderedPageBreak/>
              <w:t>Position</w:t>
            </w:r>
          </w:p>
        </w:tc>
        <w:tc>
          <w:tcPr>
            <w:tcW w:w="3685" w:type="dxa"/>
            <w:shd w:val="clear" w:color="auto" w:fill="DBE5F1" w:themeFill="accent1" w:themeFillTint="33"/>
          </w:tcPr>
          <w:p w14:paraId="13337CA9" w14:textId="77777777" w:rsidR="00322D44" w:rsidRDefault="00322D44" w:rsidP="00F453B4">
            <w:pPr>
              <w:pStyle w:val="BoxHeadingnonumber"/>
            </w:pPr>
            <w:r w:rsidRPr="001F3638">
              <w:t>Current requirement</w:t>
            </w:r>
          </w:p>
        </w:tc>
        <w:tc>
          <w:tcPr>
            <w:tcW w:w="3464" w:type="dxa"/>
            <w:shd w:val="clear" w:color="auto" w:fill="DBE5F1" w:themeFill="accent1" w:themeFillTint="33"/>
          </w:tcPr>
          <w:p w14:paraId="3942133F" w14:textId="77777777" w:rsidR="00322D44" w:rsidRDefault="00322D44" w:rsidP="00F453B4">
            <w:pPr>
              <w:pStyle w:val="BoxHeadingnonumber"/>
            </w:pPr>
            <w:r w:rsidRPr="001F3638">
              <w:t>Effect of position</w:t>
            </w:r>
          </w:p>
        </w:tc>
      </w:tr>
      <w:tr w:rsidR="00322D44" w:rsidRPr="00322D44" w14:paraId="543FB7AB" w14:textId="77777777" w:rsidTr="00B90AE8">
        <w:tc>
          <w:tcPr>
            <w:tcW w:w="2093" w:type="dxa"/>
            <w:shd w:val="clear" w:color="auto" w:fill="auto"/>
          </w:tcPr>
          <w:p w14:paraId="7BC6EE1F" w14:textId="40AFD4C6" w:rsidR="00322D44" w:rsidRPr="00322D44" w:rsidRDefault="00322D44" w:rsidP="00B90AE8">
            <w:pPr>
              <w:pStyle w:val="BoxText"/>
              <w:jc w:val="left"/>
            </w:pPr>
            <w:r w:rsidRPr="00322D44">
              <w:rPr>
                <w:b/>
              </w:rPr>
              <w:t>Position 5</w:t>
            </w:r>
            <w:r w:rsidRPr="00322D44">
              <w:t>: Material seized under ASIC</w:t>
            </w:r>
            <w:r w:rsidR="00B90AE8">
              <w:t> </w:t>
            </w:r>
            <w:r w:rsidRPr="00322D44">
              <w:t>Act search warrants by ASIC should be available for use in criminal, civil and administrative proceedings.</w:t>
            </w:r>
          </w:p>
        </w:tc>
        <w:tc>
          <w:tcPr>
            <w:tcW w:w="3685" w:type="dxa"/>
            <w:shd w:val="clear" w:color="auto" w:fill="auto"/>
          </w:tcPr>
          <w:p w14:paraId="19AA05E3" w14:textId="3E9E35B4" w:rsidR="00322D44" w:rsidRPr="00322D44" w:rsidRDefault="00322D44" w:rsidP="00B90AE8">
            <w:pPr>
              <w:pStyle w:val="BoxText"/>
              <w:jc w:val="left"/>
            </w:pPr>
            <w:r w:rsidRPr="00322D44">
              <w:t>Books seized pursuant to the execution of ASIC Act, NCCP Act, SIS</w:t>
            </w:r>
            <w:r w:rsidR="00B90AE8">
              <w:t> </w:t>
            </w:r>
            <w:r w:rsidRPr="00322D44">
              <w:t>Act and RSA Act search warrants can be used for the purpose of relevant investigations and any criminal, civil or administrative proceeding.</w:t>
            </w:r>
          </w:p>
        </w:tc>
        <w:tc>
          <w:tcPr>
            <w:tcW w:w="3464" w:type="dxa"/>
            <w:shd w:val="clear" w:color="auto" w:fill="auto"/>
          </w:tcPr>
          <w:p w14:paraId="2AB09B3A" w14:textId="657CB050" w:rsidR="00322D44" w:rsidRPr="00322D44" w:rsidRDefault="00322D44" w:rsidP="0035290D">
            <w:pPr>
              <w:pStyle w:val="BoxText"/>
              <w:jc w:val="left"/>
            </w:pPr>
            <w:r w:rsidRPr="00322D44">
              <w:t>ASIC should continue to be able to use and permit the use of material seized under an enhanced ASIC Act search warrant for the purposes of criminal, civil and administrative proceedings.</w:t>
            </w:r>
          </w:p>
        </w:tc>
      </w:tr>
      <w:tr w:rsidR="00322D44" w:rsidRPr="00322D44" w14:paraId="7CFF49C2" w14:textId="77777777" w:rsidTr="00B90AE8">
        <w:tc>
          <w:tcPr>
            <w:tcW w:w="2093" w:type="dxa"/>
            <w:shd w:val="clear" w:color="auto" w:fill="F2F2F2" w:themeFill="background1" w:themeFillShade="F2"/>
          </w:tcPr>
          <w:p w14:paraId="352E3E5F" w14:textId="4626F055" w:rsidR="00322D44" w:rsidRPr="00322D44" w:rsidRDefault="00322D44" w:rsidP="0035290D">
            <w:pPr>
              <w:pStyle w:val="BoxText"/>
              <w:jc w:val="left"/>
            </w:pPr>
            <w:r w:rsidRPr="00322D44">
              <w:rPr>
                <w:b/>
              </w:rPr>
              <w:t>Position 6</w:t>
            </w:r>
            <w:r w:rsidRPr="00322D44">
              <w:t>: Use of material seized under search warrants by private litigants should be subject to appropriate limits</w:t>
            </w:r>
            <w:r w:rsidR="003D65B6">
              <w:t>.</w:t>
            </w:r>
          </w:p>
        </w:tc>
        <w:tc>
          <w:tcPr>
            <w:tcW w:w="3685" w:type="dxa"/>
            <w:shd w:val="clear" w:color="auto" w:fill="F2F2F2" w:themeFill="background1" w:themeFillShade="F2"/>
          </w:tcPr>
          <w:p w14:paraId="4A1B84E6" w14:textId="0E25AFD4" w:rsidR="00322D44" w:rsidRPr="00322D44" w:rsidRDefault="00322D44" w:rsidP="0035290D">
            <w:pPr>
              <w:pStyle w:val="BoxText"/>
              <w:jc w:val="left"/>
            </w:pPr>
            <w:r w:rsidRPr="00322D44">
              <w:t>In some circumstances material seized under a search warrant may be, or may be required to be, released by ASIC to third parties for the purposes of separate legal proceedings.</w:t>
            </w:r>
          </w:p>
        </w:tc>
        <w:tc>
          <w:tcPr>
            <w:tcW w:w="3464" w:type="dxa"/>
            <w:shd w:val="clear" w:color="auto" w:fill="F2F2F2" w:themeFill="background1" w:themeFillShade="F2"/>
          </w:tcPr>
          <w:p w14:paraId="1CC642D9" w14:textId="25ECF653" w:rsidR="00322D44" w:rsidRPr="00322D44" w:rsidRDefault="00322D44" w:rsidP="0035290D">
            <w:pPr>
              <w:pStyle w:val="BoxText"/>
              <w:jc w:val="left"/>
            </w:pPr>
            <w:r w:rsidRPr="00322D44">
              <w:t>It may be appropriate to provide additional protection to material seized under a search warrant that would limit the ability of private litigants to access that material.</w:t>
            </w:r>
          </w:p>
        </w:tc>
      </w:tr>
    </w:tbl>
    <w:p w14:paraId="12BBE77B" w14:textId="1B85BEE5" w:rsidR="009F383C" w:rsidRPr="009F383C" w:rsidRDefault="009F383C" w:rsidP="009F383C"/>
    <w:p w14:paraId="25B13D34" w14:textId="77777777" w:rsidR="009F383C" w:rsidRPr="009F383C" w:rsidRDefault="009F383C" w:rsidP="009F383C"/>
    <w:p w14:paraId="614C9AEE" w14:textId="566208DC" w:rsidR="00E24655" w:rsidRDefault="00E24655" w:rsidP="00E24655">
      <w:pPr>
        <w:pStyle w:val="Heading1"/>
      </w:pPr>
      <w:bookmarkStart w:id="72" w:name="_Toc485909567"/>
      <w:bookmarkStart w:id="73" w:name="_Toc486231374"/>
      <w:r>
        <w:t>Annexure B – ASIC enforcement review taskforce terms of reference</w:t>
      </w:r>
      <w:bookmarkEnd w:id="72"/>
      <w:bookmarkEnd w:id="73"/>
    </w:p>
    <w:p w14:paraId="52E0885C" w14:textId="77777777" w:rsidR="00E24655" w:rsidRPr="00BC29A2" w:rsidRDefault="00E24655" w:rsidP="00E24655">
      <w:r w:rsidRPr="00BC29A2">
        <w:t>The Taskforce will review the enforcement regime of the Australian Securities and Investments Commission (ASIC), to assess the suitability of the existing regulatory tools available to it to perform its functions adequately.</w:t>
      </w:r>
    </w:p>
    <w:p w14:paraId="0ADC117C" w14:textId="77777777" w:rsidR="00E24655" w:rsidRPr="00BC29A2" w:rsidRDefault="00E24655" w:rsidP="00E24655">
      <w:r w:rsidRPr="00BC29A2">
        <w:t>The review will include an examination of legislation dealing with corporations, financial services, credit and insurance as to:</w:t>
      </w:r>
    </w:p>
    <w:p w14:paraId="37977047" w14:textId="77777777" w:rsidR="00E24655" w:rsidRPr="003347AD" w:rsidRDefault="00E24655" w:rsidP="00E24655">
      <w:pPr>
        <w:pStyle w:val="Bullet"/>
        <w:tabs>
          <w:tab w:val="clear" w:pos="283"/>
          <w:tab w:val="num" w:pos="426"/>
        </w:tabs>
        <w:ind w:left="426" w:hanging="426"/>
      </w:pPr>
      <w:r w:rsidRPr="003347AD">
        <w:t>The adequacy of civil and criminal penalties for serious contraventions relating to the financial system (including corporate fraud);</w:t>
      </w:r>
    </w:p>
    <w:p w14:paraId="47BB3067" w14:textId="77777777" w:rsidR="00E24655" w:rsidRPr="003347AD" w:rsidRDefault="00E24655" w:rsidP="00E24655">
      <w:pPr>
        <w:pStyle w:val="Bullet"/>
        <w:tabs>
          <w:tab w:val="clear" w:pos="283"/>
          <w:tab w:val="num" w:pos="426"/>
        </w:tabs>
        <w:ind w:left="426" w:hanging="426"/>
      </w:pPr>
      <w:r w:rsidRPr="003347AD">
        <w:t>The need for alternative enforcement mechanisms, including the use of infringement notices in relation to less serious contraventions, and the possibility of utilising peer disciplinary review panels (akin to the existing Markets Disciplinary Panel) in relation to financial services and credit businesses generally;</w:t>
      </w:r>
    </w:p>
    <w:p w14:paraId="733CCCBC" w14:textId="77777777" w:rsidR="00E24655" w:rsidRPr="003347AD" w:rsidRDefault="00E24655" w:rsidP="00E24655">
      <w:pPr>
        <w:pStyle w:val="Bullet"/>
        <w:tabs>
          <w:tab w:val="clear" w:pos="283"/>
          <w:tab w:val="num" w:pos="426"/>
        </w:tabs>
        <w:ind w:left="426" w:hanging="426"/>
      </w:pPr>
      <w:r w:rsidRPr="003347AD">
        <w:t>The adequacy of existing penalties for serious contraventions, inc</w:t>
      </w:r>
      <w:r>
        <w:t>luding disgorgement of profits;</w:t>
      </w:r>
    </w:p>
    <w:p w14:paraId="7E874905" w14:textId="77777777" w:rsidR="00E24655" w:rsidRPr="003347AD" w:rsidRDefault="00E24655" w:rsidP="00E24655">
      <w:pPr>
        <w:pStyle w:val="Bullet"/>
        <w:tabs>
          <w:tab w:val="clear" w:pos="283"/>
          <w:tab w:val="num" w:pos="426"/>
        </w:tabs>
        <w:ind w:left="426" w:hanging="426"/>
      </w:pPr>
      <w:r w:rsidRPr="003347AD">
        <w:t>The adequacy of enforcement related financial services and credit licensing powers;</w:t>
      </w:r>
    </w:p>
    <w:p w14:paraId="27094745" w14:textId="77777777" w:rsidR="00E24655" w:rsidRPr="003347AD" w:rsidRDefault="00E24655" w:rsidP="00E24655">
      <w:pPr>
        <w:pStyle w:val="Bullet"/>
        <w:tabs>
          <w:tab w:val="clear" w:pos="283"/>
          <w:tab w:val="num" w:pos="426"/>
        </w:tabs>
        <w:ind w:left="426" w:hanging="426"/>
      </w:pPr>
      <w:r w:rsidRPr="003347AD">
        <w:t>The adequacy of ASIC's power to ban offenders from occupying company offices following the commission of, or involvement in, serious contraventions where appropriate;</w:t>
      </w:r>
    </w:p>
    <w:p w14:paraId="29FFDEAF" w14:textId="77777777" w:rsidR="00E24655" w:rsidRPr="003347AD" w:rsidRDefault="00E24655" w:rsidP="00E24655">
      <w:pPr>
        <w:pStyle w:val="Bullet"/>
        <w:tabs>
          <w:tab w:val="clear" w:pos="283"/>
          <w:tab w:val="num" w:pos="426"/>
        </w:tabs>
        <w:ind w:left="426" w:hanging="426"/>
      </w:pPr>
      <w:r w:rsidRPr="003347AD">
        <w:lastRenderedPageBreak/>
        <w:t>The adequacy of ASIC's information gathering powers and whether there is a need to amend legislation to enable ASIC to utilise the fruits of telephone interception warrants or to grant the equivalent of Federal Crimes Act search warrant powers under ASIC's enabling legislation for market misconduct or other serious offences;</w:t>
      </w:r>
    </w:p>
    <w:p w14:paraId="580EB764" w14:textId="77777777" w:rsidR="00E24655" w:rsidRPr="003347AD" w:rsidRDefault="00E24655" w:rsidP="00E24655">
      <w:pPr>
        <w:pStyle w:val="Bullet"/>
        <w:tabs>
          <w:tab w:val="clear" w:pos="283"/>
          <w:tab w:val="num" w:pos="426"/>
        </w:tabs>
        <w:ind w:left="426" w:hanging="426"/>
      </w:pPr>
      <w:r w:rsidRPr="003347AD">
        <w:t>The adequacy of ASIC's powers in respect of licensing of financial services and credit providers, including the threshold for granting or refusing to grant a licen</w:t>
      </w:r>
      <w:r>
        <w:t>c</w:t>
      </w:r>
      <w:r w:rsidRPr="003347AD">
        <w:t>e, the circumstances in which ASIC may vary, suspend, or cancel licenses; and its coercive powers (including whether there is a need for ASIC to have a power to direct licensees to take, or refrain from taking, particular action);</w:t>
      </w:r>
    </w:p>
    <w:p w14:paraId="479E4CAC" w14:textId="77777777" w:rsidR="00E24655" w:rsidRPr="003347AD" w:rsidRDefault="00E24655" w:rsidP="00E24655">
      <w:pPr>
        <w:pStyle w:val="Bullet"/>
        <w:tabs>
          <w:tab w:val="clear" w:pos="283"/>
          <w:tab w:val="num" w:pos="426"/>
        </w:tabs>
        <w:ind w:left="426" w:hanging="426"/>
      </w:pPr>
      <w:r w:rsidRPr="003347AD">
        <w:t>The adequacy of the frameworks for notifying ASIC of breaches of law, including the triggers for the obligation to notify; the time in which notification is required to be made; and whether the obligation to notify breaches should be expanded to a general obligation (currently confined under the Corporations Act to auditors, liquidators, and licensees, and noting that obligations to report offences exist under other Federal or State statutes); and</w:t>
      </w:r>
    </w:p>
    <w:p w14:paraId="1EF0380E" w14:textId="77777777" w:rsidR="00E24655" w:rsidRPr="003347AD" w:rsidRDefault="00E24655" w:rsidP="00E24655">
      <w:pPr>
        <w:pStyle w:val="Bullet"/>
        <w:tabs>
          <w:tab w:val="clear" w:pos="283"/>
          <w:tab w:val="num" w:pos="426"/>
        </w:tabs>
        <w:ind w:left="426" w:hanging="426"/>
      </w:pPr>
      <w:r w:rsidRPr="003347AD">
        <w:t>Any other matters, which arise during the course of the Taskforce's review of the above, which appear necessary to address any deficiencies in ASIC's regulatory toolset.</w:t>
      </w:r>
    </w:p>
    <w:p w14:paraId="103C9D47" w14:textId="3E7A39B7" w:rsidR="00E24655" w:rsidRPr="00BC29A2" w:rsidRDefault="00E24655" w:rsidP="00E24655">
      <w:pPr>
        <w:spacing w:after="200" w:line="276" w:lineRule="auto"/>
        <w:jc w:val="left"/>
      </w:pPr>
      <w:r w:rsidRPr="00BC29A2">
        <w:t>Upon completion of the Review, the Taskforce will identify any gaps in ASIC's powers and make recommendations to the Government which it considers necessary to strengthen any of ASIC's regulatory tools and as to the policy options available that:</w:t>
      </w:r>
    </w:p>
    <w:p w14:paraId="006A65AB" w14:textId="77777777" w:rsidR="00E24655" w:rsidRPr="00BC29A2" w:rsidRDefault="00E24655" w:rsidP="00E24655">
      <w:pPr>
        <w:pStyle w:val="Bullet"/>
        <w:tabs>
          <w:tab w:val="clear" w:pos="283"/>
          <w:tab w:val="num" w:pos="426"/>
        </w:tabs>
        <w:ind w:left="426" w:hanging="426"/>
      </w:pPr>
      <w:r w:rsidRPr="00BC29A2">
        <w:t>address gaps or deficiencies identified in a way that allows more effective enforcement of the regulatory regime;</w:t>
      </w:r>
    </w:p>
    <w:p w14:paraId="0CCB0AEF" w14:textId="77777777" w:rsidR="00E24655" w:rsidRPr="00E74D8B" w:rsidRDefault="00E24655" w:rsidP="00E24655">
      <w:pPr>
        <w:pStyle w:val="Bullet"/>
        <w:tabs>
          <w:tab w:val="clear" w:pos="283"/>
          <w:tab w:val="num" w:pos="426"/>
        </w:tabs>
        <w:ind w:left="426" w:hanging="426"/>
      </w:pPr>
      <w:r w:rsidRPr="00E74D8B">
        <w:t>foster consumer confidence in the financial system and enhance ASIC's ability to prevent harm effectively;</w:t>
      </w:r>
    </w:p>
    <w:p w14:paraId="646F1853" w14:textId="77777777" w:rsidR="00E24655" w:rsidRPr="00E74D8B" w:rsidRDefault="00E24655" w:rsidP="00E24655">
      <w:pPr>
        <w:pStyle w:val="Bullet"/>
        <w:tabs>
          <w:tab w:val="clear" w:pos="283"/>
          <w:tab w:val="num" w:pos="426"/>
        </w:tabs>
        <w:ind w:left="426" w:hanging="426"/>
      </w:pPr>
      <w:r w:rsidRPr="00E74D8B">
        <w:t>do not impose undue regulatory burden on business, and promote engagement and cooperation between ASIC and its regulated population;</w:t>
      </w:r>
    </w:p>
    <w:p w14:paraId="15051D45" w14:textId="77777777" w:rsidR="00E24655" w:rsidRPr="00E74D8B" w:rsidRDefault="00E24655" w:rsidP="00E24655">
      <w:pPr>
        <w:pStyle w:val="Bullet"/>
        <w:tabs>
          <w:tab w:val="clear" w:pos="283"/>
          <w:tab w:val="num" w:pos="426"/>
        </w:tabs>
        <w:ind w:left="426" w:hanging="426"/>
      </w:pPr>
      <w:r w:rsidRPr="00E74D8B">
        <w:t>promote a competitive and stable financial system that contributes to Australia's productivity growth; and</w:t>
      </w:r>
    </w:p>
    <w:p w14:paraId="00408FE0" w14:textId="77777777" w:rsidR="00E24655" w:rsidRPr="00BC29A2" w:rsidRDefault="00E24655" w:rsidP="00E24655">
      <w:pPr>
        <w:pStyle w:val="Bullet"/>
        <w:tabs>
          <w:tab w:val="clear" w:pos="283"/>
          <w:tab w:val="num" w:pos="426"/>
        </w:tabs>
        <w:ind w:left="426" w:hanging="426"/>
        <w:rPr>
          <w:rFonts w:asciiTheme="minorHAnsi" w:hAnsiTheme="minorHAnsi"/>
          <w:color w:val="auto"/>
          <w:szCs w:val="22"/>
        </w:rPr>
      </w:pPr>
      <w:r w:rsidRPr="00E74D8B">
        <w:t>relate to other matters that fall within this Terms of Reference.</w:t>
      </w:r>
    </w:p>
    <w:p w14:paraId="47DC3381" w14:textId="77777777" w:rsidR="00E24655" w:rsidRDefault="00E24655" w:rsidP="00E24655">
      <w:pPr>
        <w:rPr>
          <w:rStyle w:val="Hyperlink"/>
        </w:rPr>
      </w:pPr>
      <w:r>
        <w:t xml:space="preserve">Further information on the ASIC Enforcement Review taskforce is available at our website: </w:t>
      </w:r>
      <w:hyperlink r:id="rId58" w:history="1">
        <w:r w:rsidRPr="00BB605A">
          <w:rPr>
            <w:rStyle w:val="Hyperlink"/>
          </w:rPr>
          <w:t>http://www.treasury.gov.au/ConsultationsandReviews/Reviews/2016/ASIC-Enforcement-Review</w:t>
        </w:r>
      </w:hyperlink>
      <w:r>
        <w:rPr>
          <w:rStyle w:val="Hyperlink"/>
        </w:rPr>
        <w:t>.</w:t>
      </w:r>
    </w:p>
    <w:p w14:paraId="65B0BF5E" w14:textId="77777777" w:rsidR="00E24655" w:rsidRPr="003347AD" w:rsidRDefault="00E24655" w:rsidP="00E24655"/>
    <w:p w14:paraId="48AA69C4" w14:textId="77777777" w:rsidR="00E24655" w:rsidRPr="003347AD" w:rsidRDefault="00E24655" w:rsidP="00E24655"/>
    <w:p w14:paraId="4A72C134" w14:textId="77777777" w:rsidR="009F383C" w:rsidRPr="009F383C" w:rsidRDefault="009F383C" w:rsidP="009F383C"/>
    <w:p w14:paraId="021C7B04" w14:textId="77777777" w:rsidR="001F3638" w:rsidRPr="001F3638" w:rsidRDefault="001F3638" w:rsidP="001F3638"/>
    <w:p w14:paraId="611DBCC1" w14:textId="77777777" w:rsidR="001F3638" w:rsidRPr="001F3638" w:rsidRDefault="001F3638" w:rsidP="001F3638"/>
    <w:sectPr w:rsidR="001F3638" w:rsidRPr="001F3638" w:rsidSect="000756A4">
      <w:headerReference w:type="even" r:id="rId59"/>
      <w:headerReference w:type="default" r:id="rId60"/>
      <w:footerReference w:type="even" r:id="rId61"/>
      <w:footerReference w:type="default" r:id="rId62"/>
      <w:headerReference w:type="first" r:id="rId63"/>
      <w:footerReference w:type="first" r:id="rId6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F2FF6" w14:textId="77777777" w:rsidR="00635B28" w:rsidRDefault="00635B28" w:rsidP="00913820">
      <w:pPr>
        <w:spacing w:after="0" w:line="240" w:lineRule="auto"/>
      </w:pPr>
      <w:r>
        <w:separator/>
      </w:r>
    </w:p>
  </w:endnote>
  <w:endnote w:type="continuationSeparator" w:id="0">
    <w:p w14:paraId="2E639B49" w14:textId="77777777" w:rsidR="00635B28" w:rsidRDefault="00635B28" w:rsidP="00913820">
      <w:pPr>
        <w:spacing w:after="0" w:line="240" w:lineRule="auto"/>
      </w:pPr>
      <w:r>
        <w:continuationSeparator/>
      </w:r>
    </w:p>
  </w:endnote>
  <w:endnote w:type="continuationNotice" w:id="1">
    <w:p w14:paraId="1505941B" w14:textId="77777777" w:rsidR="00635B28" w:rsidRDefault="00635B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06B33" w14:textId="716F7812" w:rsidR="00635B28" w:rsidRPr="000756A4" w:rsidRDefault="00635B28" w:rsidP="000756A4">
    <w:pPr>
      <w:pStyle w:val="FooterEven"/>
    </w:pPr>
    <w:r>
      <w:t xml:space="preserve">Page </w:t>
    </w:r>
    <w:r>
      <w:fldChar w:fldCharType="begin"/>
    </w:r>
    <w:r>
      <w:instrText xml:space="preserve"> PAGE   \* MERGEFORMAT </w:instrText>
    </w:r>
    <w:r>
      <w:fldChar w:fldCharType="separate"/>
    </w:r>
    <w:r>
      <w:rPr>
        <w:noProof/>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22B4D" w14:textId="77777777" w:rsidR="00635B28" w:rsidRDefault="00635B28" w:rsidP="000756A4">
    <w:pPr>
      <w:pStyle w:val="FooterOdd"/>
    </w:pPr>
    <w:r>
      <w:t xml:space="preserve">Page </w:t>
    </w:r>
    <w:r>
      <w:fldChar w:fldCharType="begin"/>
    </w:r>
    <w:r>
      <w:instrText xml:space="preserve"> PAGE   \* MERGEFORMAT </w:instrText>
    </w:r>
    <w:r>
      <w:fldChar w:fldCharType="separate"/>
    </w:r>
    <w:r w:rsidR="00A810C4">
      <w:rPr>
        <w:noProof/>
      </w:rPr>
      <w:t>7</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E97A4" w14:textId="77777777" w:rsidR="00635B28" w:rsidRPr="000756A4" w:rsidRDefault="00635B28" w:rsidP="000756A4">
    <w:pPr>
      <w:pStyle w:val="FooterEven"/>
    </w:pPr>
    <w:r>
      <w:t xml:space="preserve">Page </w:t>
    </w:r>
    <w:r>
      <w:fldChar w:fldCharType="begin"/>
    </w:r>
    <w:r>
      <w:instrText xml:space="preserve"> PAGE   \* MERGEFORMAT </w:instrText>
    </w:r>
    <w:r>
      <w:fldChar w:fldCharType="separate"/>
    </w:r>
    <w:r w:rsidR="00A810C4">
      <w:rPr>
        <w:noProof/>
      </w:rPr>
      <w:t>4</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69A8D" w14:textId="77777777" w:rsidR="00635B28" w:rsidRPr="000756A4" w:rsidRDefault="00635B28" w:rsidP="000756A4">
    <w:pPr>
      <w:pStyle w:val="FooterEven"/>
    </w:pPr>
    <w:r>
      <w:t xml:space="preserve">Page </w:t>
    </w:r>
    <w:r>
      <w:fldChar w:fldCharType="begin"/>
    </w:r>
    <w:r>
      <w:instrText xml:space="preserve"> PAGE   \* MERGEFORMAT </w:instrText>
    </w:r>
    <w:r>
      <w:fldChar w:fldCharType="separate"/>
    </w:r>
    <w:r w:rsidR="00A810C4">
      <w:rPr>
        <w:noProof/>
      </w:rPr>
      <w:t>12</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CA109" w14:textId="77777777" w:rsidR="00635B28" w:rsidRDefault="00635B28" w:rsidP="000756A4">
    <w:pPr>
      <w:pStyle w:val="FooterOdd"/>
    </w:pPr>
    <w:r>
      <w:t xml:space="preserve">Page </w:t>
    </w:r>
    <w:r>
      <w:fldChar w:fldCharType="begin"/>
    </w:r>
    <w:r>
      <w:instrText xml:space="preserve"> PAGE   \* MERGEFORMAT </w:instrText>
    </w:r>
    <w:r>
      <w:fldChar w:fldCharType="separate"/>
    </w:r>
    <w:r w:rsidR="00A810C4">
      <w:rPr>
        <w:noProof/>
      </w:rPr>
      <w:t>9</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59D6C" w14:textId="77777777" w:rsidR="00635B28" w:rsidRPr="000756A4" w:rsidRDefault="00635B28" w:rsidP="000756A4">
    <w:pPr>
      <w:pStyle w:val="FooterEven"/>
    </w:pPr>
    <w:r>
      <w:t xml:space="preserve">Page </w:t>
    </w:r>
    <w:r>
      <w:fldChar w:fldCharType="begin"/>
    </w:r>
    <w:r>
      <w:instrText xml:space="preserve"> PAGE   \* MERGEFORMAT </w:instrText>
    </w:r>
    <w:r>
      <w:fldChar w:fldCharType="separate"/>
    </w:r>
    <w:r w:rsidR="00A810C4">
      <w:rPr>
        <w:noProof/>
      </w:rPr>
      <w:t>8</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4E0AC" w14:textId="77777777" w:rsidR="00635B28" w:rsidRPr="000756A4" w:rsidRDefault="00635B28" w:rsidP="000756A4">
    <w:pPr>
      <w:pStyle w:val="FooterOdd"/>
    </w:pPr>
    <w:r>
      <w:t xml:space="preserve">Page </w:t>
    </w:r>
    <w:r>
      <w:fldChar w:fldCharType="begin"/>
    </w:r>
    <w:r>
      <w:instrText xml:space="preserve"> PAGE   \* MERGEFORMAT </w:instrText>
    </w:r>
    <w:r>
      <w:fldChar w:fldCharType="separate"/>
    </w:r>
    <w:r w:rsidR="00A810C4">
      <w:rPr>
        <w:noProof/>
      </w:rPr>
      <w:t>10</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74E10" w14:textId="77777777" w:rsidR="00635B28" w:rsidRDefault="00635B28" w:rsidP="000756A4">
    <w:pPr>
      <w:pStyle w:val="FooterOdd"/>
    </w:pPr>
    <w:r>
      <w:t xml:space="preserve">Page </w:t>
    </w:r>
    <w:r>
      <w:fldChar w:fldCharType="begin"/>
    </w:r>
    <w:r>
      <w:instrText xml:space="preserve"> PAGE   \* MERGEFORMAT </w:instrText>
    </w:r>
    <w:r>
      <w:fldChar w:fldCharType="separate"/>
    </w:r>
    <w:r w:rsidR="00FE1F68">
      <w:rPr>
        <w:noProof/>
      </w:rPr>
      <w:t>13</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B6637" w14:textId="77777777" w:rsidR="00635B28" w:rsidRPr="000756A4" w:rsidRDefault="00635B28" w:rsidP="000756A4">
    <w:pPr>
      <w:pStyle w:val="FooterEven"/>
    </w:pPr>
    <w:r>
      <w:t xml:space="preserve">Page </w:t>
    </w:r>
    <w:r>
      <w:fldChar w:fldCharType="begin"/>
    </w:r>
    <w:r>
      <w:instrText xml:space="preserve"> PAGE   \* MERGEFORMAT </w:instrText>
    </w:r>
    <w:r>
      <w:fldChar w:fldCharType="separate"/>
    </w:r>
    <w:r w:rsidR="00A810C4">
      <w:rPr>
        <w:noProof/>
      </w:rPr>
      <w:t>11</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BC01D" w14:textId="77777777" w:rsidR="00635B28" w:rsidRPr="000756A4" w:rsidRDefault="00635B28" w:rsidP="000756A4">
    <w:pPr>
      <w:pStyle w:val="FooterEven"/>
    </w:pPr>
    <w:r>
      <w:t xml:space="preserve">Page </w:t>
    </w:r>
    <w:r>
      <w:fldChar w:fldCharType="begin"/>
    </w:r>
    <w:r>
      <w:instrText xml:space="preserve"> PAGE   \* MERGEFORMAT </w:instrText>
    </w:r>
    <w:r>
      <w:fldChar w:fldCharType="separate"/>
    </w:r>
    <w:r w:rsidR="00A810C4">
      <w:rPr>
        <w:noProof/>
      </w:rPr>
      <w:t>16</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9A3A5" w14:textId="77777777" w:rsidR="00635B28" w:rsidRDefault="00635B28" w:rsidP="000756A4">
    <w:pPr>
      <w:pStyle w:val="FooterOdd"/>
    </w:pPr>
    <w:r>
      <w:t xml:space="preserve">Page </w:t>
    </w:r>
    <w:r>
      <w:fldChar w:fldCharType="begin"/>
    </w:r>
    <w:r>
      <w:instrText xml:space="preserve"> PAGE   \* MERGEFORMAT </w:instrText>
    </w:r>
    <w:r>
      <w:fldChar w:fldCharType="separate"/>
    </w:r>
    <w:r w:rsidR="00A810C4">
      <w:rPr>
        <w:noProof/>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1EB42" w14:textId="2F7CCF84" w:rsidR="00635B28" w:rsidRDefault="00635B28" w:rsidP="000756A4">
    <w:pPr>
      <w:pStyle w:val="FooterOdd"/>
    </w:pPr>
    <w:r>
      <w:t xml:space="preserve">Page </w:t>
    </w:r>
    <w:r>
      <w:fldChar w:fldCharType="begin"/>
    </w:r>
    <w:r>
      <w:instrText xml:space="preserve"> PAGE   \* MERGEFORMAT </w:instrText>
    </w:r>
    <w:r>
      <w:fldChar w:fldCharType="separate"/>
    </w:r>
    <w:r>
      <w:rPr>
        <w:noProof/>
      </w:rPr>
      <w:t>3</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0F5FD" w14:textId="77777777" w:rsidR="00635B28" w:rsidRPr="000756A4" w:rsidRDefault="00635B28" w:rsidP="000756A4">
    <w:pPr>
      <w:pStyle w:val="FooterEven"/>
    </w:pPr>
    <w:r>
      <w:t xml:space="preserve">Page </w:t>
    </w:r>
    <w:r>
      <w:fldChar w:fldCharType="begin"/>
    </w:r>
    <w:r>
      <w:instrText xml:space="preserve"> PAGE   \* MERGEFORMAT </w:instrText>
    </w:r>
    <w:r>
      <w:fldChar w:fldCharType="separate"/>
    </w:r>
    <w:r w:rsidR="00A810C4">
      <w:rPr>
        <w:noProof/>
      </w:rPr>
      <w:t>13</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EFE0E" w14:textId="77777777" w:rsidR="00635B28" w:rsidRPr="000756A4" w:rsidRDefault="00635B28" w:rsidP="000756A4">
    <w:pPr>
      <w:pStyle w:val="FooterEven"/>
    </w:pPr>
    <w:r>
      <w:t xml:space="preserve">Page </w:t>
    </w:r>
    <w:r>
      <w:fldChar w:fldCharType="begin"/>
    </w:r>
    <w:r>
      <w:instrText xml:space="preserve"> PAGE   \* MERGEFORMAT </w:instrText>
    </w:r>
    <w:r>
      <w:fldChar w:fldCharType="separate"/>
    </w:r>
    <w:r w:rsidR="00A810C4">
      <w:rPr>
        <w:noProof/>
      </w:rPr>
      <w:t>24</w:t>
    </w:r>
    <w: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90E58" w14:textId="77777777" w:rsidR="00635B28" w:rsidRDefault="00635B28" w:rsidP="000756A4">
    <w:pPr>
      <w:pStyle w:val="FooterOdd"/>
    </w:pPr>
    <w:r>
      <w:t xml:space="preserve">Page </w:t>
    </w:r>
    <w:r>
      <w:fldChar w:fldCharType="begin"/>
    </w:r>
    <w:r>
      <w:instrText xml:space="preserve"> PAGE   \* MERGEFORMAT </w:instrText>
    </w:r>
    <w:r>
      <w:fldChar w:fldCharType="separate"/>
    </w:r>
    <w:r w:rsidR="00A810C4">
      <w:rPr>
        <w:noProof/>
      </w:rPr>
      <w:t>25</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0393" w14:textId="77777777" w:rsidR="00635B28" w:rsidRPr="000756A4" w:rsidRDefault="00635B28" w:rsidP="000756A4">
    <w:pPr>
      <w:pStyle w:val="FooterEven"/>
    </w:pPr>
    <w:r>
      <w:t xml:space="preserve">Page </w:t>
    </w:r>
    <w:r>
      <w:fldChar w:fldCharType="begin"/>
    </w:r>
    <w:r>
      <w:instrText xml:space="preserve"> PAGE   \* MERGEFORMAT </w:instrText>
    </w:r>
    <w:r>
      <w:fldChar w:fldCharType="separate"/>
    </w:r>
    <w:r w:rsidR="00A810C4">
      <w:rPr>
        <w:noProof/>
      </w:rPr>
      <w:t>17</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48B38" w14:textId="77777777" w:rsidR="00635B28" w:rsidRPr="000756A4" w:rsidRDefault="00635B28" w:rsidP="000756A4">
    <w:pPr>
      <w:pStyle w:val="FooterEven"/>
    </w:pPr>
    <w:r>
      <w:t xml:space="preserve">Page </w:t>
    </w:r>
    <w:r>
      <w:fldChar w:fldCharType="begin"/>
    </w:r>
    <w:r>
      <w:instrText xml:space="preserve"> PAGE   \* MERGEFORMAT </w:instrText>
    </w:r>
    <w:r>
      <w:fldChar w:fldCharType="separate"/>
    </w:r>
    <w:r w:rsidR="00A810C4">
      <w:rPr>
        <w:noProof/>
      </w:rPr>
      <w:t>28</w:t>
    </w:r>
    <w: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20446" w14:textId="77777777" w:rsidR="00635B28" w:rsidRDefault="00635B28" w:rsidP="000756A4">
    <w:pPr>
      <w:pStyle w:val="FooterOdd"/>
    </w:pPr>
    <w:r>
      <w:t xml:space="preserve">Page </w:t>
    </w:r>
    <w:r>
      <w:fldChar w:fldCharType="begin"/>
    </w:r>
    <w:r>
      <w:instrText xml:space="preserve"> PAGE   \* MERGEFORMAT </w:instrText>
    </w:r>
    <w:r>
      <w:fldChar w:fldCharType="separate"/>
    </w:r>
    <w:r w:rsidR="00A810C4">
      <w:rPr>
        <w:noProof/>
      </w:rPr>
      <w:t>29</w:t>
    </w:r>
    <w: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C2AD8" w14:textId="77777777" w:rsidR="00635B28" w:rsidRPr="000756A4" w:rsidRDefault="00635B28" w:rsidP="00C462C8">
    <w:pPr>
      <w:pStyle w:val="FooterOdd"/>
    </w:pPr>
    <w:r>
      <w:t xml:space="preserve">Page </w:t>
    </w:r>
    <w:r>
      <w:fldChar w:fldCharType="begin"/>
    </w:r>
    <w:r>
      <w:instrText xml:space="preserve"> PAGE   \* MERGEFORMAT </w:instrText>
    </w:r>
    <w:r>
      <w:fldChar w:fldCharType="separate"/>
    </w:r>
    <w:r w:rsidR="00A810C4">
      <w:rPr>
        <w:noProof/>
      </w:rPr>
      <w:t>26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8B4DD" w14:textId="77777777" w:rsidR="00A810C4" w:rsidRDefault="00A810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9D71D" w14:textId="51EAE48F" w:rsidR="00635B28" w:rsidRDefault="00635B28" w:rsidP="000756A4">
    <w:pPr>
      <w:pStyle w:val="FooterOdd"/>
    </w:pPr>
    <w:r>
      <w:t xml:space="preserve">Page </w:t>
    </w:r>
    <w:r>
      <w:fldChar w:fldCharType="begin"/>
    </w:r>
    <w:r>
      <w:instrText xml:space="preserve"> PAGE  \* roman  \* MERGEFORMAT </w:instrText>
    </w:r>
    <w:r>
      <w:fldChar w:fldCharType="separate"/>
    </w:r>
    <w:r w:rsidR="00A810C4">
      <w:rPr>
        <w:noProof/>
      </w:rPr>
      <w:t>iii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D0C1D" w14:textId="77777777" w:rsidR="00635B28" w:rsidRPr="000756A4" w:rsidRDefault="00635B28" w:rsidP="000756A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29126" w14:textId="77777777" w:rsidR="00635B28" w:rsidRPr="000756A4" w:rsidRDefault="00635B28" w:rsidP="000756A4">
    <w:pPr>
      <w:pStyle w:val="FooterEven"/>
    </w:pPr>
    <w:r>
      <w:t xml:space="preserve">Page </w:t>
    </w:r>
    <w:r>
      <w:fldChar w:fldCharType="begin"/>
    </w:r>
    <w:r>
      <w:instrText xml:space="preserve"> PAGE   \* MERGEFORMAT </w:instrText>
    </w:r>
    <w:r>
      <w:fldChar w:fldCharType="separate"/>
    </w:r>
    <w:r w:rsidR="00A810C4">
      <w:rPr>
        <w:noProof/>
      </w:rP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1EFE8" w14:textId="77777777" w:rsidR="00635B28" w:rsidRPr="000756A4" w:rsidRDefault="00635B28" w:rsidP="000756A4">
    <w:pPr>
      <w:pStyle w:val="FooterOdd"/>
    </w:pPr>
    <w:r>
      <w:t xml:space="preserve">Page </w:t>
    </w:r>
    <w:r>
      <w:fldChar w:fldCharType="begin"/>
    </w:r>
    <w:r>
      <w:instrText xml:space="preserve"> PAGE   \* MERGEFORMAT </w:instrText>
    </w:r>
    <w:r>
      <w:fldChar w:fldCharType="separate"/>
    </w:r>
    <w:r w:rsidR="00A810C4">
      <w:rPr>
        <w:noProof/>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044A3" w14:textId="77777777" w:rsidR="00635B28" w:rsidRPr="000756A4" w:rsidRDefault="00635B28" w:rsidP="000756A4">
    <w:pPr>
      <w:pStyle w:val="FooterOdd"/>
    </w:pPr>
    <w:r>
      <w:t xml:space="preserve">Page </w:t>
    </w:r>
    <w:r>
      <w:fldChar w:fldCharType="begin"/>
    </w:r>
    <w:r>
      <w:instrText xml:space="preserve"> PAGE   \* MERGEFORMAT </w:instrText>
    </w:r>
    <w:r>
      <w:fldChar w:fldCharType="separate"/>
    </w:r>
    <w:r w:rsidR="00A810C4">
      <w:rPr>
        <w:noProof/>
      </w:rPr>
      <w:t>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1DD81" w14:textId="77777777" w:rsidR="00635B28" w:rsidRPr="000756A4" w:rsidRDefault="00635B28" w:rsidP="000756A4">
    <w:pPr>
      <w:pStyle w:val="FooterEven"/>
    </w:pPr>
    <w:r>
      <w:t xml:space="preserve">Page </w:t>
    </w:r>
    <w:r>
      <w:fldChar w:fldCharType="begin"/>
    </w:r>
    <w:r>
      <w:instrText xml:space="preserve"> PAGE   \* MERGEFORMAT </w:instrText>
    </w:r>
    <w:r>
      <w:fldChar w:fldCharType="separate"/>
    </w:r>
    <w:r w:rsidR="00A810C4">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3D1C8" w14:textId="77777777" w:rsidR="00635B28" w:rsidRDefault="00635B28" w:rsidP="00913820">
      <w:pPr>
        <w:spacing w:after="0" w:line="240" w:lineRule="auto"/>
      </w:pPr>
      <w:r>
        <w:separator/>
      </w:r>
    </w:p>
  </w:footnote>
  <w:footnote w:type="continuationSeparator" w:id="0">
    <w:p w14:paraId="5462B50C" w14:textId="77777777" w:rsidR="00635B28" w:rsidRDefault="00635B28" w:rsidP="00913820">
      <w:pPr>
        <w:spacing w:after="0" w:line="240" w:lineRule="auto"/>
      </w:pPr>
      <w:r>
        <w:continuationSeparator/>
      </w:r>
    </w:p>
  </w:footnote>
  <w:footnote w:type="continuationNotice" w:id="1">
    <w:p w14:paraId="4B4AFD3F" w14:textId="77777777" w:rsidR="00635B28" w:rsidRDefault="00635B28">
      <w:pPr>
        <w:spacing w:after="0" w:line="240" w:lineRule="auto"/>
      </w:pPr>
    </w:p>
  </w:footnote>
  <w:footnote w:id="2">
    <w:p w14:paraId="60456461" w14:textId="1BB98A19" w:rsidR="00635B28" w:rsidRPr="00B70998" w:rsidRDefault="00635B28" w:rsidP="00B70998">
      <w:pPr>
        <w:pStyle w:val="FootnoteText"/>
      </w:pPr>
      <w:r w:rsidRPr="00B70998">
        <w:rPr>
          <w:rStyle w:val="FootnoteReference"/>
          <w:vertAlign w:val="baseline"/>
        </w:rPr>
        <w:footnoteRef/>
      </w:r>
      <w:r>
        <w:tab/>
      </w:r>
      <w:r w:rsidRPr="00B70998">
        <w:t>For more information about the ASIC Enforcement Review Taskforce see the Taskforce website (</w:t>
      </w:r>
      <w:hyperlink r:id="rId1" w:history="1">
        <w:r w:rsidRPr="00B70998">
          <w:rPr>
            <w:rStyle w:val="Hyperlink"/>
          </w:rPr>
          <w:t>http://www.treasury.gov.au/ConsultationsandReviews/Reviews/2016/ASIC-Enforcement-Review</w:t>
        </w:r>
      </w:hyperlink>
      <w:r w:rsidRPr="00B70998">
        <w:t>).</w:t>
      </w:r>
    </w:p>
  </w:footnote>
  <w:footnote w:id="3">
    <w:p w14:paraId="770F7310" w14:textId="3682535C" w:rsidR="00635B28" w:rsidRPr="00B70998" w:rsidRDefault="00635B28" w:rsidP="00B70998">
      <w:pPr>
        <w:pStyle w:val="FootnoteText"/>
      </w:pPr>
      <w:r w:rsidRPr="00B70998">
        <w:rPr>
          <w:rStyle w:val="FootnoteReference"/>
          <w:vertAlign w:val="baseline"/>
        </w:rPr>
        <w:footnoteRef/>
      </w:r>
      <w:r>
        <w:tab/>
      </w:r>
      <w:r w:rsidRPr="00B70998">
        <w:t xml:space="preserve">See, </w:t>
      </w:r>
      <w:r>
        <w:t>for example,</w:t>
      </w:r>
      <w:r w:rsidRPr="00B70998">
        <w:t xml:space="preserve"> ASIC Act, s13—15; NCCP Act, s247—248.</w:t>
      </w:r>
    </w:p>
  </w:footnote>
  <w:footnote w:id="4">
    <w:p w14:paraId="26BE241A" w14:textId="4A10D94E" w:rsidR="00635B28" w:rsidRPr="00B70998" w:rsidRDefault="00635B28" w:rsidP="00B70998">
      <w:pPr>
        <w:pStyle w:val="FootnoteText"/>
      </w:pPr>
      <w:r w:rsidRPr="00B70998">
        <w:rPr>
          <w:rStyle w:val="FootnoteReference"/>
          <w:vertAlign w:val="baseline"/>
        </w:rPr>
        <w:footnoteRef/>
      </w:r>
      <w:r>
        <w:tab/>
      </w:r>
      <w:r w:rsidRPr="00B70998">
        <w:t>Including (but not limited to) the Corporations Act 2001, ASIC Act, NCCP Act, SIS Act, RSA Act and (in</w:t>
      </w:r>
      <w:r>
        <w:t> </w:t>
      </w:r>
      <w:r w:rsidRPr="00B70998">
        <w:t>certain circumstances) criminal codes and legislation at both the Commonwealth and State/Territory level.</w:t>
      </w:r>
    </w:p>
  </w:footnote>
  <w:footnote w:id="5">
    <w:p w14:paraId="677BB383" w14:textId="579D210C" w:rsidR="00635B28" w:rsidRPr="00B70998" w:rsidRDefault="00635B28" w:rsidP="00B70998">
      <w:pPr>
        <w:pStyle w:val="FootnoteText"/>
      </w:pPr>
      <w:r w:rsidRPr="00B70998">
        <w:rPr>
          <w:rStyle w:val="FootnoteReference"/>
          <w:vertAlign w:val="baseline"/>
        </w:rPr>
        <w:footnoteRef/>
      </w:r>
      <w:r>
        <w:tab/>
      </w:r>
      <w:r w:rsidRPr="00B70998">
        <w:t xml:space="preserve">See, </w:t>
      </w:r>
      <w:r>
        <w:t>for example,</w:t>
      </w:r>
      <w:r w:rsidRPr="00B70998">
        <w:t xml:space="preserve"> ASIC Act, s49(2); Corporations Act, s1315; NCCP Act, s274.</w:t>
      </w:r>
    </w:p>
  </w:footnote>
  <w:footnote w:id="6">
    <w:p w14:paraId="0FA2A007" w14:textId="1960E53F" w:rsidR="00635B28" w:rsidRPr="00B70998" w:rsidRDefault="00635B28" w:rsidP="00B70998">
      <w:pPr>
        <w:pStyle w:val="FootnoteText"/>
      </w:pPr>
      <w:r w:rsidRPr="00B70998">
        <w:rPr>
          <w:rStyle w:val="FootnoteReference"/>
          <w:vertAlign w:val="baseline"/>
        </w:rPr>
        <w:footnoteRef/>
      </w:r>
      <w:r>
        <w:tab/>
      </w:r>
      <w:r w:rsidRPr="00B70998">
        <w:t xml:space="preserve">Civil penalty and civil compensation proceedings: see, </w:t>
      </w:r>
      <w:r>
        <w:rPr>
          <w:rFonts w:eastAsiaTheme="minorHAnsi"/>
        </w:rPr>
        <w:t>for example,</w:t>
      </w:r>
      <w:r w:rsidRPr="00DB191B">
        <w:rPr>
          <w:rFonts w:eastAsiaTheme="minorHAnsi"/>
        </w:rPr>
        <w:t xml:space="preserve"> </w:t>
      </w:r>
      <w:r w:rsidRPr="00B70998">
        <w:t xml:space="preserve">ASIC Act, Pt 2 &amp; s50; Corporations Act, Pts 9.4B &amp; 9.5 and Chaps 5 and 5A; and NCCP Act, Chap 6. Injunctions: see, </w:t>
      </w:r>
      <w:r>
        <w:rPr>
          <w:rFonts w:eastAsiaTheme="minorHAnsi"/>
        </w:rPr>
        <w:t>for example,</w:t>
      </w:r>
      <w:r w:rsidRPr="00DB191B">
        <w:rPr>
          <w:rFonts w:eastAsiaTheme="minorHAnsi"/>
        </w:rPr>
        <w:t xml:space="preserve"> </w:t>
      </w:r>
      <w:r w:rsidRPr="00B70998">
        <w:t>ASIC Act, s12GD and s12GN; Corporations Act, s1323 and 1324; and NCCP Act, s177.</w:t>
      </w:r>
    </w:p>
  </w:footnote>
  <w:footnote w:id="7">
    <w:p w14:paraId="6CE1F48C" w14:textId="34602D16" w:rsidR="00635B28" w:rsidRPr="00B70998" w:rsidRDefault="00635B28" w:rsidP="00B70998">
      <w:pPr>
        <w:pStyle w:val="FootnoteText"/>
      </w:pPr>
      <w:r w:rsidRPr="00B70998">
        <w:rPr>
          <w:rStyle w:val="FootnoteReference"/>
          <w:vertAlign w:val="baseline"/>
        </w:rPr>
        <w:footnoteRef/>
      </w:r>
      <w:r>
        <w:tab/>
      </w:r>
      <w:r w:rsidRPr="00B70998">
        <w:t xml:space="preserve">See, </w:t>
      </w:r>
      <w:r>
        <w:t xml:space="preserve">for example, </w:t>
      </w:r>
      <w:r w:rsidRPr="00B70998">
        <w:t>Corporations Act, Pt 2D.6 and s920A; and NCCP Act, Pt 2-4.</w:t>
      </w:r>
    </w:p>
  </w:footnote>
  <w:footnote w:id="8">
    <w:p w14:paraId="32DEB031" w14:textId="5B61C081" w:rsidR="00635B28" w:rsidRPr="00B70998" w:rsidRDefault="00635B28" w:rsidP="00B70998">
      <w:pPr>
        <w:pStyle w:val="FootnoteText"/>
      </w:pPr>
      <w:r w:rsidRPr="00B70998">
        <w:rPr>
          <w:rStyle w:val="FootnoteReference"/>
          <w:vertAlign w:val="baseline"/>
        </w:rPr>
        <w:footnoteRef/>
      </w:r>
      <w:r w:rsidRPr="00B70998">
        <w:tab/>
        <w:t>See below, note 12.</w:t>
      </w:r>
    </w:p>
  </w:footnote>
  <w:footnote w:id="9">
    <w:p w14:paraId="70DDAE57" w14:textId="6F955358" w:rsidR="00635B28" w:rsidRPr="00B70998" w:rsidRDefault="00635B28" w:rsidP="00B70998">
      <w:pPr>
        <w:pStyle w:val="FootnoteText"/>
      </w:pPr>
      <w:r w:rsidRPr="00B70998">
        <w:rPr>
          <w:rStyle w:val="FootnoteReference"/>
          <w:vertAlign w:val="baseline"/>
        </w:rPr>
        <w:footnoteRef/>
      </w:r>
      <w:r w:rsidRPr="00B70998">
        <w:t xml:space="preserve"> </w:t>
      </w:r>
      <w:r>
        <w:tab/>
      </w:r>
      <w:r w:rsidRPr="00B70998">
        <w:t xml:space="preserve">See, </w:t>
      </w:r>
      <w:r>
        <w:t xml:space="preserve">for example, </w:t>
      </w:r>
      <w:r w:rsidRPr="00B70998">
        <w:t xml:space="preserve">the definition of </w:t>
      </w:r>
      <w:r>
        <w:t>‘</w:t>
      </w:r>
      <w:r w:rsidRPr="00B70998">
        <w:t>books</w:t>
      </w:r>
      <w:r>
        <w:t>’</w:t>
      </w:r>
      <w:r w:rsidRPr="00B70998">
        <w:t xml:space="preserve"> in s5(1) of the ASIC Act, s5(1) of the NCCP Act, s10(1) of the SIS</w:t>
      </w:r>
      <w:r>
        <w:t> </w:t>
      </w:r>
      <w:r w:rsidRPr="00B70998">
        <w:t xml:space="preserve">Act, s16 of the RSA Act, each of which includes </w:t>
      </w:r>
      <w:r>
        <w:t>‘</w:t>
      </w:r>
      <w:r w:rsidRPr="00B70998">
        <w:t>document</w:t>
      </w:r>
      <w:r>
        <w:t>’</w:t>
      </w:r>
      <w:r w:rsidRPr="00B70998">
        <w:t xml:space="preserve">; the definition of </w:t>
      </w:r>
      <w:r>
        <w:t>‘</w:t>
      </w:r>
      <w:r w:rsidRPr="00B70998">
        <w:t>document</w:t>
      </w:r>
      <w:r>
        <w:t>’</w:t>
      </w:r>
      <w:r w:rsidRPr="00B70998">
        <w:t xml:space="preserve"> in s25A of the Acts Interpretation Act 1901, as in force at 1 January 2005(see s5A of the ASIC Act); and </w:t>
      </w:r>
      <w:r w:rsidRPr="00B70998">
        <w:rPr>
          <w:i/>
        </w:rPr>
        <w:t>Australian Federation of Air Pilots v Australian Airlines Ltd (1991)</w:t>
      </w:r>
      <w:r w:rsidRPr="00B70998">
        <w:t xml:space="preserve"> 28 FCR 360, 369; </w:t>
      </w:r>
      <w:r w:rsidRPr="00B70998">
        <w:rPr>
          <w:i/>
        </w:rPr>
        <w:t>Muin v Refugee Review Tribunal [2002]</w:t>
      </w:r>
      <w:r w:rsidRPr="00B70998">
        <w:t xml:space="preserve"> HCA 30 at [105]; </w:t>
      </w:r>
      <w:r w:rsidRPr="00B70998">
        <w:rPr>
          <w:i/>
        </w:rPr>
        <w:t>Paxus Services Ltd v People Bank Pty Ltd (1990)</w:t>
      </w:r>
      <w:r w:rsidRPr="00B70998">
        <w:t xml:space="preserve"> 9 ALR 728; </w:t>
      </w:r>
      <w:r w:rsidRPr="00B70998">
        <w:rPr>
          <w:i/>
        </w:rPr>
        <w:t>R v Misic [2001]</w:t>
      </w:r>
      <w:r w:rsidRPr="00B70998">
        <w:t xml:space="preserve"> NZCA 71 at [31]-[35]; </w:t>
      </w:r>
      <w:r w:rsidRPr="00B70998">
        <w:rPr>
          <w:i/>
        </w:rPr>
        <w:t>Integrated Financial Group Pty Ltd v ASIC (2004)</w:t>
      </w:r>
      <w:r w:rsidRPr="00B70998">
        <w:t xml:space="preserve"> 49 ACSR 509, 515 at [51]; </w:t>
      </w:r>
      <w:r w:rsidRPr="00B70998">
        <w:rPr>
          <w:i/>
        </w:rPr>
        <w:t>Sony Music Entertainment (Australia) Ltd v University of Tasmania (2003)</w:t>
      </w:r>
      <w:r w:rsidRPr="00B70998">
        <w:t xml:space="preserve"> 198 ALR 367.</w:t>
      </w:r>
    </w:p>
  </w:footnote>
  <w:footnote w:id="10">
    <w:p w14:paraId="6216FBB2" w14:textId="387B5F39" w:rsidR="00635B28" w:rsidRPr="00B70998" w:rsidRDefault="00635B28" w:rsidP="00B70998">
      <w:pPr>
        <w:pStyle w:val="FootnoteText"/>
      </w:pPr>
      <w:r w:rsidRPr="00B70998">
        <w:rPr>
          <w:rStyle w:val="FootnoteReference"/>
          <w:vertAlign w:val="baseline"/>
        </w:rPr>
        <w:footnoteRef/>
      </w:r>
      <w:r w:rsidRPr="00B70998">
        <w:t xml:space="preserve"> </w:t>
      </w:r>
      <w:r>
        <w:tab/>
      </w:r>
      <w:r w:rsidRPr="00B70998">
        <w:t>ASIC Act, s36(1); NCCP Act, s270(1); SIS Act, s272(1); RSA Act, s103(1).</w:t>
      </w:r>
    </w:p>
  </w:footnote>
  <w:footnote w:id="11">
    <w:p w14:paraId="735D81F9" w14:textId="1282FF33" w:rsidR="00635B28" w:rsidRPr="00B70998" w:rsidRDefault="00635B28" w:rsidP="00B70998">
      <w:pPr>
        <w:pStyle w:val="FootnoteText"/>
      </w:pPr>
      <w:r w:rsidRPr="00B70998">
        <w:rPr>
          <w:rStyle w:val="FootnoteReference"/>
          <w:vertAlign w:val="baseline"/>
        </w:rPr>
        <w:footnoteRef/>
      </w:r>
      <w:r w:rsidRPr="00B70998">
        <w:t xml:space="preserve"> </w:t>
      </w:r>
      <w:r>
        <w:tab/>
      </w:r>
      <w:r w:rsidRPr="00B70998">
        <w:t>ASIC Act, s36(2); NCCP Act, s270(2); SIS Act, s272(2); RSA Act, s103(2).</w:t>
      </w:r>
    </w:p>
  </w:footnote>
  <w:footnote w:id="12">
    <w:p w14:paraId="526D23EE" w14:textId="6135BC78" w:rsidR="00635B28" w:rsidRPr="00B70998" w:rsidRDefault="00635B28" w:rsidP="00B70998">
      <w:pPr>
        <w:pStyle w:val="FootnoteText"/>
      </w:pPr>
      <w:r w:rsidRPr="00B70998">
        <w:rPr>
          <w:rStyle w:val="FootnoteReference"/>
          <w:vertAlign w:val="baseline"/>
        </w:rPr>
        <w:footnoteRef/>
      </w:r>
      <w:r w:rsidRPr="00B70998">
        <w:t xml:space="preserve"> </w:t>
      </w:r>
      <w:r>
        <w:tab/>
      </w:r>
      <w:r w:rsidRPr="00B70998">
        <w:t xml:space="preserve">See, </w:t>
      </w:r>
      <w:r>
        <w:t>for example</w:t>
      </w:r>
      <w:r w:rsidRPr="00B70998">
        <w:t xml:space="preserve">, s37(4) &amp; (5), and the definition of </w:t>
      </w:r>
      <w:r>
        <w:t>‘</w:t>
      </w:r>
      <w:r w:rsidRPr="00B70998">
        <w:t>proceeding</w:t>
      </w:r>
      <w:r>
        <w:t>’</w:t>
      </w:r>
      <w:r w:rsidRPr="00B70998">
        <w:t xml:space="preserve"> in s5(1) and s37(10), of the ASIC Act; s271(4) and (5), and the definition of </w:t>
      </w:r>
      <w:r>
        <w:t>‘</w:t>
      </w:r>
      <w:r w:rsidRPr="00B70998">
        <w:t>proceedings</w:t>
      </w:r>
      <w:r>
        <w:t>’</w:t>
      </w:r>
      <w:r w:rsidRPr="00B70998">
        <w:t xml:space="preserve"> in s5(1), of the NCCP Act; s273(4) &amp; (5) of the SIS Act, which use the term </w:t>
      </w:r>
      <w:r>
        <w:t>‘</w:t>
      </w:r>
      <w:r w:rsidRPr="00B70998">
        <w:t>proceeding</w:t>
      </w:r>
      <w:r>
        <w:t>’</w:t>
      </w:r>
      <w:r w:rsidRPr="00B70998">
        <w:t xml:space="preserve"> without limitation; s104(4) &amp; (5) of the RSA Act, which use the term </w:t>
      </w:r>
      <w:r>
        <w:t>‘</w:t>
      </w:r>
      <w:r w:rsidRPr="00B70998">
        <w:t>proceeding</w:t>
      </w:r>
      <w:r>
        <w:t>’</w:t>
      </w:r>
      <w:r w:rsidRPr="00B70998">
        <w:t xml:space="preserve"> without limitation.</w:t>
      </w:r>
    </w:p>
  </w:footnote>
  <w:footnote w:id="13">
    <w:p w14:paraId="2FC2B48F" w14:textId="096D652D" w:rsidR="00635B28" w:rsidRPr="00B70998" w:rsidRDefault="00635B28" w:rsidP="00B70998">
      <w:pPr>
        <w:pStyle w:val="FootnoteText"/>
      </w:pPr>
      <w:r w:rsidRPr="00B70998">
        <w:rPr>
          <w:rStyle w:val="FootnoteReference"/>
          <w:vertAlign w:val="baseline"/>
        </w:rPr>
        <w:footnoteRef/>
      </w:r>
      <w:r w:rsidRPr="00B70998">
        <w:t xml:space="preserve"> </w:t>
      </w:r>
      <w:r>
        <w:tab/>
      </w:r>
      <w:r w:rsidRPr="00B70998">
        <w:t>NCCP Act, s269(1); SIS Act, s271(1); RSA Act, s102(1).</w:t>
      </w:r>
    </w:p>
  </w:footnote>
  <w:footnote w:id="14">
    <w:p w14:paraId="5A471FC2" w14:textId="02C29B36" w:rsidR="00635B28" w:rsidRPr="00B70998" w:rsidRDefault="00635B28" w:rsidP="00B70998">
      <w:pPr>
        <w:pStyle w:val="FootnoteText"/>
      </w:pPr>
      <w:r w:rsidRPr="00B70998">
        <w:rPr>
          <w:rStyle w:val="FootnoteReference"/>
          <w:vertAlign w:val="baseline"/>
        </w:rPr>
        <w:footnoteRef/>
      </w:r>
      <w:r w:rsidRPr="00B70998">
        <w:t xml:space="preserve"> </w:t>
      </w:r>
      <w:r>
        <w:tab/>
      </w:r>
      <w:r w:rsidRPr="00B70998">
        <w:t>Pursuant to the Corporations Amendment (No 1) Act 2010 (Cth), Sch 1.</w:t>
      </w:r>
    </w:p>
  </w:footnote>
  <w:footnote w:id="15">
    <w:p w14:paraId="030EDD69" w14:textId="430C1A91" w:rsidR="00635B28" w:rsidRPr="00B70998" w:rsidRDefault="00635B28" w:rsidP="00B70998">
      <w:pPr>
        <w:pStyle w:val="FootnoteText"/>
      </w:pPr>
      <w:r w:rsidRPr="00B70998">
        <w:rPr>
          <w:rStyle w:val="FootnoteReference"/>
          <w:vertAlign w:val="baseline"/>
        </w:rPr>
        <w:footnoteRef/>
      </w:r>
      <w:r>
        <w:tab/>
      </w:r>
      <w:r w:rsidRPr="00B70998">
        <w:t>Crimes Act, s3F(1)(c)</w:t>
      </w:r>
      <w:r>
        <w:t>.</w:t>
      </w:r>
    </w:p>
  </w:footnote>
  <w:footnote w:id="16">
    <w:p w14:paraId="21B5ED89" w14:textId="4655D592" w:rsidR="00635B28" w:rsidRPr="00B70998" w:rsidRDefault="00635B28" w:rsidP="00B70998">
      <w:pPr>
        <w:pStyle w:val="FootnoteText"/>
      </w:pPr>
      <w:r w:rsidRPr="00B70998">
        <w:rPr>
          <w:rStyle w:val="FootnoteReference"/>
          <w:vertAlign w:val="baseline"/>
        </w:rPr>
        <w:footnoteRef/>
      </w:r>
      <w:r>
        <w:tab/>
      </w:r>
      <w:r w:rsidRPr="00B70998">
        <w:t>Crimes Act, s3F(1)(d)(i).</w:t>
      </w:r>
    </w:p>
  </w:footnote>
  <w:footnote w:id="17">
    <w:p w14:paraId="647D8E74" w14:textId="1EE2915F" w:rsidR="00635B28" w:rsidRPr="00B70998" w:rsidRDefault="00635B28" w:rsidP="00B70998">
      <w:pPr>
        <w:pStyle w:val="FootnoteText"/>
      </w:pPr>
      <w:r w:rsidRPr="00B70998">
        <w:rPr>
          <w:rStyle w:val="FootnoteReference"/>
          <w:vertAlign w:val="baseline"/>
        </w:rPr>
        <w:footnoteRef/>
      </w:r>
      <w:r>
        <w:tab/>
      </w:r>
      <w:r w:rsidRPr="00B70998">
        <w:t>Crimes Act, s3F(1)(d)(ii).</w:t>
      </w:r>
    </w:p>
  </w:footnote>
  <w:footnote w:id="18">
    <w:p w14:paraId="589D47F8" w14:textId="530A6F3B" w:rsidR="00635B28" w:rsidRPr="00B70998" w:rsidRDefault="00635B28" w:rsidP="00B70998">
      <w:pPr>
        <w:pStyle w:val="FootnoteText"/>
      </w:pPr>
      <w:r w:rsidRPr="00B70998">
        <w:rPr>
          <w:rStyle w:val="FootnoteReference"/>
          <w:vertAlign w:val="baseline"/>
        </w:rPr>
        <w:footnoteRef/>
      </w:r>
      <w:r>
        <w:tab/>
      </w:r>
      <w:r w:rsidRPr="00B70998">
        <w:t>Crimes Act, s3J(1).</w:t>
      </w:r>
    </w:p>
  </w:footnote>
  <w:footnote w:id="19">
    <w:p w14:paraId="61E74012" w14:textId="6088A4B1" w:rsidR="00635B28" w:rsidRPr="00B70998" w:rsidRDefault="00635B28" w:rsidP="00B70998">
      <w:pPr>
        <w:pStyle w:val="FootnoteText"/>
      </w:pPr>
      <w:r w:rsidRPr="00B70998">
        <w:rPr>
          <w:rStyle w:val="FootnoteReference"/>
          <w:vertAlign w:val="baseline"/>
        </w:rPr>
        <w:footnoteRef/>
      </w:r>
      <w:r>
        <w:tab/>
      </w:r>
      <w:r w:rsidRPr="00B70998">
        <w:t>Crimes Act, s3J(2).</w:t>
      </w:r>
    </w:p>
  </w:footnote>
  <w:footnote w:id="20">
    <w:p w14:paraId="0C71A6D4" w14:textId="2A17BD77" w:rsidR="00635B28" w:rsidRPr="00B70998" w:rsidRDefault="00635B28" w:rsidP="00B70998">
      <w:pPr>
        <w:pStyle w:val="FootnoteText"/>
      </w:pPr>
      <w:r w:rsidRPr="00B70998">
        <w:rPr>
          <w:rStyle w:val="FootnoteReference"/>
          <w:vertAlign w:val="baseline"/>
        </w:rPr>
        <w:footnoteRef/>
      </w:r>
      <w:r>
        <w:tab/>
      </w:r>
      <w:r w:rsidRPr="00B70998">
        <w:t>Crimes Act, s3K(1) &amp; (4).</w:t>
      </w:r>
    </w:p>
  </w:footnote>
  <w:footnote w:id="21">
    <w:p w14:paraId="7FDBB956" w14:textId="7A49DB6F" w:rsidR="00635B28" w:rsidRPr="00B70998" w:rsidRDefault="00635B28" w:rsidP="00B70998">
      <w:pPr>
        <w:pStyle w:val="FootnoteText"/>
      </w:pPr>
      <w:r w:rsidRPr="00B70998">
        <w:rPr>
          <w:rStyle w:val="FootnoteReference"/>
          <w:vertAlign w:val="baseline"/>
        </w:rPr>
        <w:footnoteRef/>
      </w:r>
      <w:r>
        <w:tab/>
      </w:r>
      <w:r w:rsidRPr="00B70998">
        <w:t>Crimes Act, s3K(2) &amp; 3LAA.</w:t>
      </w:r>
    </w:p>
  </w:footnote>
  <w:footnote w:id="22">
    <w:p w14:paraId="11DDECFC" w14:textId="4997DFE0" w:rsidR="00635B28" w:rsidRPr="00B70998" w:rsidRDefault="00635B28" w:rsidP="00B70998">
      <w:pPr>
        <w:pStyle w:val="FootnoteText"/>
      </w:pPr>
      <w:r w:rsidRPr="00B70998">
        <w:rPr>
          <w:rStyle w:val="FootnoteReference"/>
          <w:vertAlign w:val="baseline"/>
        </w:rPr>
        <w:footnoteRef/>
      </w:r>
      <w:r>
        <w:tab/>
      </w:r>
      <w:r w:rsidRPr="00B70998">
        <w:t>Crimes Act, s3LAA.</w:t>
      </w:r>
    </w:p>
  </w:footnote>
  <w:footnote w:id="23">
    <w:p w14:paraId="24F2CE53" w14:textId="68B0EFB0" w:rsidR="00635B28" w:rsidRPr="00B70998" w:rsidRDefault="00635B28" w:rsidP="00B70998">
      <w:pPr>
        <w:pStyle w:val="FootnoteText"/>
      </w:pPr>
      <w:r w:rsidRPr="00B70998">
        <w:rPr>
          <w:rStyle w:val="FootnoteReference"/>
          <w:vertAlign w:val="baseline"/>
        </w:rPr>
        <w:footnoteRef/>
      </w:r>
      <w:r>
        <w:tab/>
      </w:r>
      <w:r w:rsidRPr="00B70998">
        <w:t>Crimes Act, s3L.</w:t>
      </w:r>
    </w:p>
  </w:footnote>
  <w:footnote w:id="24">
    <w:p w14:paraId="754D50CA" w14:textId="1D04FD4C" w:rsidR="00635B28" w:rsidRPr="00B70998" w:rsidRDefault="00635B28" w:rsidP="00B70998">
      <w:pPr>
        <w:pStyle w:val="FootnoteText"/>
      </w:pPr>
      <w:r w:rsidRPr="00B70998">
        <w:rPr>
          <w:rStyle w:val="FootnoteReference"/>
          <w:vertAlign w:val="baseline"/>
        </w:rPr>
        <w:footnoteRef/>
      </w:r>
      <w:r>
        <w:tab/>
      </w:r>
      <w:r w:rsidRPr="00B70998">
        <w:t>Crimes Act, s3LA.</w:t>
      </w:r>
    </w:p>
  </w:footnote>
  <w:footnote w:id="25">
    <w:p w14:paraId="370BE40C" w14:textId="42FBE668" w:rsidR="00635B28" w:rsidRPr="00B70998" w:rsidRDefault="00635B28" w:rsidP="00B70998">
      <w:pPr>
        <w:pStyle w:val="FootnoteText"/>
      </w:pPr>
      <w:r w:rsidRPr="00B70998">
        <w:rPr>
          <w:rStyle w:val="FootnoteReference"/>
          <w:vertAlign w:val="baseline"/>
        </w:rPr>
        <w:footnoteRef/>
      </w:r>
      <w:r>
        <w:tab/>
      </w:r>
      <w:r w:rsidRPr="00B70998">
        <w:t>Crimes Act, s3R.</w:t>
      </w:r>
    </w:p>
  </w:footnote>
  <w:footnote w:id="26">
    <w:p w14:paraId="1D5334E0" w14:textId="45712624" w:rsidR="00635B28" w:rsidRPr="00B70998" w:rsidRDefault="00635B28" w:rsidP="00B70998">
      <w:pPr>
        <w:pStyle w:val="FootnoteText"/>
      </w:pPr>
      <w:r w:rsidRPr="00B70998">
        <w:rPr>
          <w:rStyle w:val="FootnoteReference"/>
          <w:vertAlign w:val="baseline"/>
        </w:rPr>
        <w:footnoteRef/>
      </w:r>
      <w:r>
        <w:tab/>
      </w:r>
      <w:r w:rsidRPr="00B70998">
        <w:t>Crimes Act, s3ZQU(1)(a).</w:t>
      </w:r>
    </w:p>
  </w:footnote>
  <w:footnote w:id="27">
    <w:p w14:paraId="5D2FFBD2" w14:textId="65B8BBD6" w:rsidR="00635B28" w:rsidRPr="00B70998" w:rsidRDefault="00635B28" w:rsidP="00B70998">
      <w:pPr>
        <w:pStyle w:val="FootnoteText"/>
      </w:pPr>
      <w:r w:rsidRPr="00B70998">
        <w:rPr>
          <w:rStyle w:val="FootnoteReference"/>
          <w:vertAlign w:val="baseline"/>
        </w:rPr>
        <w:footnoteRef/>
      </w:r>
      <w:r>
        <w:tab/>
      </w:r>
      <w:r w:rsidRPr="00B70998">
        <w:t>Crimes Act, s3ZQU(1)(b)-(d).</w:t>
      </w:r>
    </w:p>
  </w:footnote>
  <w:footnote w:id="28">
    <w:p w14:paraId="5B772090" w14:textId="50AFA643" w:rsidR="00635B28" w:rsidRPr="00B70998" w:rsidRDefault="00635B28" w:rsidP="00B70998">
      <w:pPr>
        <w:pStyle w:val="FootnoteText"/>
      </w:pPr>
      <w:r w:rsidRPr="00B70998">
        <w:rPr>
          <w:rStyle w:val="FootnoteReference"/>
          <w:vertAlign w:val="baseline"/>
        </w:rPr>
        <w:footnoteRef/>
      </w:r>
      <w:r>
        <w:tab/>
      </w:r>
      <w:r w:rsidRPr="00B70998">
        <w:t>Crimes Act, s3ZQU(1)(f)-(j).</w:t>
      </w:r>
    </w:p>
  </w:footnote>
  <w:footnote w:id="29">
    <w:p w14:paraId="528E425E" w14:textId="72FF50AC" w:rsidR="00635B28" w:rsidRPr="00B70998" w:rsidRDefault="00635B28" w:rsidP="00B70998">
      <w:pPr>
        <w:pStyle w:val="FootnoteText"/>
      </w:pPr>
      <w:r w:rsidRPr="00B70998">
        <w:rPr>
          <w:rStyle w:val="FootnoteReference"/>
          <w:vertAlign w:val="baseline"/>
        </w:rPr>
        <w:footnoteRef/>
      </w:r>
      <w:r>
        <w:tab/>
      </w:r>
      <w:r w:rsidRPr="00B70998">
        <w:t>Crimes Act, s3ZQU(1)(l).</w:t>
      </w:r>
    </w:p>
  </w:footnote>
  <w:footnote w:id="30">
    <w:p w14:paraId="17208ACE" w14:textId="4A7779F7" w:rsidR="00635B28" w:rsidRPr="00B70998" w:rsidRDefault="00635B28" w:rsidP="00B70998">
      <w:pPr>
        <w:pStyle w:val="FootnoteText"/>
      </w:pPr>
      <w:r w:rsidRPr="00B70998">
        <w:rPr>
          <w:rStyle w:val="FootnoteReference"/>
          <w:vertAlign w:val="baseline"/>
        </w:rPr>
        <w:footnoteRef/>
      </w:r>
      <w:r w:rsidRPr="00B70998">
        <w:t xml:space="preserve"> </w:t>
      </w:r>
      <w:r>
        <w:tab/>
      </w:r>
      <w:r w:rsidRPr="00B70998">
        <w:t xml:space="preserve">See, for example, </w:t>
      </w:r>
      <w:r w:rsidRPr="00B70998">
        <w:rPr>
          <w:i/>
        </w:rPr>
        <w:t>Williams v Keelty (2001)</w:t>
      </w:r>
      <w:r w:rsidRPr="00B70998">
        <w:t xml:space="preserve"> 111 FCR 175; </w:t>
      </w:r>
      <w:r w:rsidRPr="00B70998">
        <w:rPr>
          <w:i/>
        </w:rPr>
        <w:t>ASIC v Rich (2005)</w:t>
      </w:r>
      <w:r w:rsidRPr="00B70998">
        <w:t xml:space="preserve"> 220 ALR 324.</w:t>
      </w:r>
    </w:p>
  </w:footnote>
  <w:footnote w:id="31">
    <w:p w14:paraId="047D6027" w14:textId="527B09A7" w:rsidR="00635B28" w:rsidRPr="00B70998" w:rsidRDefault="00635B28" w:rsidP="00B70998">
      <w:pPr>
        <w:pStyle w:val="FootnoteText"/>
      </w:pPr>
      <w:r w:rsidRPr="00B70998">
        <w:rPr>
          <w:rStyle w:val="FootnoteReference"/>
          <w:vertAlign w:val="baseline"/>
        </w:rPr>
        <w:footnoteRef/>
      </w:r>
      <w:r w:rsidRPr="00B70998">
        <w:t xml:space="preserve"> </w:t>
      </w:r>
      <w:r>
        <w:tab/>
      </w:r>
      <w:r w:rsidRPr="00B70998">
        <w:t>See for example offences relating to cartel conduct at ss44ZZRF and 44ZZRG of the Competition and Consumer Act and offences relating to false and misleading statements to consumers contained in Div 1 of Pt</w:t>
      </w:r>
      <w:r>
        <w:t> 4-1 of Sch 2 to the Act.</w:t>
      </w:r>
    </w:p>
  </w:footnote>
  <w:footnote w:id="32">
    <w:p w14:paraId="58DE6D5E" w14:textId="0B2F67B8" w:rsidR="00635B28" w:rsidRPr="00B70998" w:rsidRDefault="00635B28" w:rsidP="00B70998">
      <w:pPr>
        <w:pStyle w:val="FootnoteText"/>
      </w:pPr>
      <w:r w:rsidRPr="00B70998">
        <w:rPr>
          <w:rStyle w:val="FootnoteReference"/>
          <w:vertAlign w:val="baseline"/>
        </w:rPr>
        <w:footnoteRef/>
      </w:r>
      <w:r w:rsidRPr="00B70998">
        <w:t xml:space="preserve"> </w:t>
      </w:r>
      <w:r>
        <w:tab/>
      </w:r>
      <w:r w:rsidRPr="00B70998">
        <w:t>See, for example, misuse of market power in s46 of the Competition and Consumer Act which is made a civil penalty contravention by s76 of the Act</w:t>
      </w:r>
      <w:r>
        <w:t>.</w:t>
      </w:r>
    </w:p>
  </w:footnote>
  <w:footnote w:id="33">
    <w:p w14:paraId="681687A3" w14:textId="6EEC5764" w:rsidR="00635B28" w:rsidRPr="00B70998" w:rsidRDefault="00635B28" w:rsidP="00B70998">
      <w:pPr>
        <w:pStyle w:val="FootnoteText"/>
      </w:pPr>
      <w:r w:rsidRPr="00B70998">
        <w:rPr>
          <w:rStyle w:val="FootnoteReference"/>
          <w:vertAlign w:val="baseline"/>
        </w:rPr>
        <w:footnoteRef/>
      </w:r>
      <w:r w:rsidRPr="00B70998">
        <w:t xml:space="preserve"> </w:t>
      </w:r>
      <w:r>
        <w:tab/>
      </w:r>
      <w:r w:rsidRPr="00B70998">
        <w:t>See s80 of the Competition and Consumer Act which provides allows the ACCC to seek injunctions in relation to contravention various provisions of the Act; see also s86C(1) and s86C(4) of the Act which allows the ACCC to seek non-punitive order and remedial orders such as corrective advertising and compliance programs.</w:t>
      </w:r>
    </w:p>
  </w:footnote>
  <w:footnote w:id="34">
    <w:p w14:paraId="4DCBF74F" w14:textId="2105F0EC" w:rsidR="00635B28" w:rsidRPr="00B70998" w:rsidRDefault="00635B28" w:rsidP="00B70998">
      <w:pPr>
        <w:pStyle w:val="FootnoteText"/>
      </w:pPr>
      <w:r w:rsidRPr="00B70998">
        <w:rPr>
          <w:rStyle w:val="FootnoteReference"/>
          <w:vertAlign w:val="baseline"/>
        </w:rPr>
        <w:footnoteRef/>
      </w:r>
      <w:r w:rsidRPr="00B70998">
        <w:t xml:space="preserve"> </w:t>
      </w:r>
      <w:r>
        <w:tab/>
      </w:r>
      <w:r w:rsidRPr="00B70998">
        <w:rPr>
          <w:i/>
        </w:rPr>
        <w:t>Trade Practices Legislation Amendment Act (No. 1)</w:t>
      </w:r>
      <w:r w:rsidRPr="00B70998">
        <w:t xml:space="preserve"> 2005.</w:t>
      </w:r>
    </w:p>
  </w:footnote>
  <w:footnote w:id="35">
    <w:p w14:paraId="3E12B5D4" w14:textId="7BE19A00" w:rsidR="00635B28" w:rsidRPr="00B70998" w:rsidRDefault="00635B28" w:rsidP="00B70998">
      <w:pPr>
        <w:pStyle w:val="FootnoteText"/>
      </w:pPr>
      <w:r w:rsidRPr="00B70998">
        <w:rPr>
          <w:rStyle w:val="FootnoteReference"/>
          <w:vertAlign w:val="baseline"/>
        </w:rPr>
        <w:footnoteRef/>
      </w:r>
      <w:r w:rsidRPr="00B70998">
        <w:t xml:space="preserve"> </w:t>
      </w:r>
      <w:r>
        <w:tab/>
      </w:r>
      <w:r w:rsidRPr="00B70998">
        <w:t>Competition and Consumer Act, ss154G(1)(b) &amp; (c), 154X(2), 154X(4)(b).</w:t>
      </w:r>
    </w:p>
  </w:footnote>
  <w:footnote w:id="36">
    <w:p w14:paraId="010136A0" w14:textId="47C4AA7C" w:rsidR="00635B28" w:rsidRPr="00B70998" w:rsidRDefault="00635B28" w:rsidP="00B70998">
      <w:pPr>
        <w:pStyle w:val="FootnoteText"/>
      </w:pPr>
      <w:r w:rsidRPr="00B70998">
        <w:rPr>
          <w:rStyle w:val="FootnoteReference"/>
          <w:vertAlign w:val="baseline"/>
        </w:rPr>
        <w:footnoteRef/>
      </w:r>
      <w:r w:rsidRPr="00B70998">
        <w:t xml:space="preserve"> </w:t>
      </w:r>
      <w:r>
        <w:tab/>
      </w:r>
      <w:r w:rsidRPr="00B70998">
        <w:t xml:space="preserve">Competition and Consumer Act, s154A (definition of </w:t>
      </w:r>
      <w:r>
        <w:t>‘evidential material).</w:t>
      </w:r>
    </w:p>
  </w:footnote>
  <w:footnote w:id="37">
    <w:p w14:paraId="6212895C" w14:textId="266C3A51" w:rsidR="00635B28" w:rsidRPr="00B70998" w:rsidRDefault="00635B28" w:rsidP="00B70998">
      <w:pPr>
        <w:pStyle w:val="FootnoteText"/>
      </w:pPr>
      <w:r w:rsidRPr="00B70998">
        <w:rPr>
          <w:rStyle w:val="FootnoteReference"/>
          <w:vertAlign w:val="baseline"/>
        </w:rPr>
        <w:footnoteRef/>
      </w:r>
      <w:r w:rsidRPr="00B70998">
        <w:t xml:space="preserve"> </w:t>
      </w:r>
      <w:r>
        <w:tab/>
      </w:r>
      <w:r w:rsidRPr="00B70998">
        <w:t>Sections 154G,154GA, 154H and 154J of the Competition and Consumer Act.</w:t>
      </w:r>
    </w:p>
  </w:footnote>
  <w:footnote w:id="38">
    <w:p w14:paraId="18C2EF04" w14:textId="1FF73AE1" w:rsidR="00635B28" w:rsidRPr="00826309" w:rsidRDefault="00635B28" w:rsidP="00826309">
      <w:pPr>
        <w:pStyle w:val="FootnoteText"/>
      </w:pPr>
      <w:r w:rsidRPr="00826309">
        <w:rPr>
          <w:rStyle w:val="FootnoteReference"/>
          <w:vertAlign w:val="baseline"/>
        </w:rPr>
        <w:footnoteRef/>
      </w:r>
      <w:r w:rsidRPr="00826309">
        <w:t xml:space="preserve"> </w:t>
      </w:r>
      <w:r>
        <w:tab/>
      </w:r>
      <w:r w:rsidRPr="00826309">
        <w:rPr>
          <w:i/>
        </w:rPr>
        <w:t>Trade Practices Amendment (Cartel Conduct and Other Measures) Act</w:t>
      </w:r>
      <w:r>
        <w:t xml:space="preserve"> 2009.</w:t>
      </w:r>
    </w:p>
  </w:footnote>
  <w:footnote w:id="39">
    <w:p w14:paraId="4DE53625" w14:textId="2482F490" w:rsidR="00635B28" w:rsidRPr="00826309" w:rsidRDefault="00635B28" w:rsidP="00826309">
      <w:pPr>
        <w:pStyle w:val="FootnoteText"/>
      </w:pPr>
      <w:r w:rsidRPr="00826309">
        <w:rPr>
          <w:rStyle w:val="FootnoteReference"/>
          <w:vertAlign w:val="baseline"/>
        </w:rPr>
        <w:footnoteRef/>
      </w:r>
      <w:r w:rsidRPr="00826309">
        <w:t xml:space="preserve"> </w:t>
      </w:r>
      <w:r>
        <w:tab/>
      </w:r>
      <w:r w:rsidRPr="00826309">
        <w:t xml:space="preserve">See Second Reading speech: Trade Practices Amendment (Cartel Conduct and Other Measures) Bill 2008, Commonwealth, </w:t>
      </w:r>
      <w:r w:rsidRPr="00826309">
        <w:rPr>
          <w:i/>
        </w:rPr>
        <w:t>Parliamentary Debates</w:t>
      </w:r>
      <w:r w:rsidRPr="00826309">
        <w:t>, House of Representatives, 3 December 2008, p12312 (Chris Bowen, Minister for Competition Policy and Consumer Affairs and Assistant Treasurer)</w:t>
      </w:r>
      <w:r>
        <w:t>.</w:t>
      </w:r>
    </w:p>
  </w:footnote>
  <w:footnote w:id="40">
    <w:p w14:paraId="7A623EC8" w14:textId="3B8FF70D" w:rsidR="00635B28" w:rsidRPr="00826309" w:rsidRDefault="00635B28" w:rsidP="00826309">
      <w:pPr>
        <w:pStyle w:val="FootnoteText"/>
      </w:pPr>
      <w:r w:rsidRPr="00826309">
        <w:rPr>
          <w:rStyle w:val="FootnoteReference"/>
          <w:vertAlign w:val="baseline"/>
        </w:rPr>
        <w:footnoteRef/>
      </w:r>
      <w:r w:rsidRPr="00826309">
        <w:t xml:space="preserve"> </w:t>
      </w:r>
      <w:r>
        <w:tab/>
      </w:r>
      <w:r w:rsidRPr="00826309">
        <w:t xml:space="preserve">See the term </w:t>
      </w:r>
      <w:r>
        <w:t>‘</w:t>
      </w:r>
      <w:r w:rsidRPr="00826309">
        <w:t>particular books</w:t>
      </w:r>
      <w:r>
        <w:t>’</w:t>
      </w:r>
      <w:r w:rsidRPr="00826309">
        <w:t xml:space="preserve"> in s36(1) of the ASIC Act, s270(1) of the NCCP Act, s272(1) of the SIS Act, s.102(1) of the RSA Act; the term </w:t>
      </w:r>
      <w:r>
        <w:t>‘</w:t>
      </w:r>
      <w:r w:rsidRPr="00826309">
        <w:t>those books</w:t>
      </w:r>
      <w:r>
        <w:t>’</w:t>
      </w:r>
      <w:r w:rsidRPr="00826309">
        <w:t xml:space="preserve"> in s36(2)(d) of the ASIC Act, s.270(2)(d) of the NCCP Act, s272(2)(d) of the SIS Act, s102(2)(d) of the RSA Act; and the requirement for the warrant to </w:t>
      </w:r>
      <w:r>
        <w:t>‘</w:t>
      </w:r>
      <w:r w:rsidRPr="00826309">
        <w:t>specify … the books reference to in subsection (1)</w:t>
      </w:r>
      <w:r>
        <w:t>’</w:t>
      </w:r>
      <w:r w:rsidRPr="00826309">
        <w:t xml:space="preserve"> in s36(4)(a) of the ASIC Act, s.270(4)(a) of the NCCP Act, s272(5)(a) of the SIS Act, s102(5)(a) of the RSA Act.</w:t>
      </w:r>
    </w:p>
  </w:footnote>
  <w:footnote w:id="41">
    <w:p w14:paraId="5E4CA921" w14:textId="7A08BBA4" w:rsidR="00635B28" w:rsidRPr="00826309" w:rsidRDefault="00635B28" w:rsidP="00826309">
      <w:pPr>
        <w:pStyle w:val="FootnoteText"/>
      </w:pPr>
      <w:r w:rsidRPr="00826309">
        <w:rPr>
          <w:rStyle w:val="FootnoteReference"/>
          <w:vertAlign w:val="baseline"/>
        </w:rPr>
        <w:footnoteRef/>
      </w:r>
      <w:r w:rsidRPr="00826309">
        <w:t xml:space="preserve"> </w:t>
      </w:r>
      <w:r>
        <w:tab/>
      </w:r>
      <w:r w:rsidRPr="00826309">
        <w:t xml:space="preserve">A single search warrant operation may involve ASIC obtaining a number of search warrants in relation to multiple </w:t>
      </w:r>
      <w:r>
        <w:t>‘</w:t>
      </w:r>
      <w:r w:rsidRPr="00826309">
        <w:t>premises (such as business premises, and residential premises and motor vehicles) linked to individuals under investigation.</w:t>
      </w:r>
    </w:p>
  </w:footnote>
  <w:footnote w:id="42">
    <w:p w14:paraId="4989B3B8" w14:textId="2A79FA51" w:rsidR="00635B28" w:rsidRPr="00826309" w:rsidRDefault="00635B28" w:rsidP="00826309">
      <w:pPr>
        <w:pStyle w:val="FootnoteText"/>
      </w:pPr>
      <w:r w:rsidRPr="00826309">
        <w:rPr>
          <w:rStyle w:val="FootnoteReference"/>
          <w:vertAlign w:val="baseline"/>
        </w:rPr>
        <w:footnoteRef/>
      </w:r>
      <w:r w:rsidRPr="00826309">
        <w:t xml:space="preserve"> </w:t>
      </w:r>
      <w:r>
        <w:tab/>
      </w:r>
      <w:r w:rsidRPr="00826309">
        <w:t>NCCP Act, s269(1); SIS Act, s271(1); RSA Act, s102(1).</w:t>
      </w:r>
    </w:p>
  </w:footnote>
  <w:footnote w:id="43">
    <w:p w14:paraId="42C0661F" w14:textId="63A78B42" w:rsidR="00635B28" w:rsidRPr="00826309" w:rsidRDefault="00635B28" w:rsidP="00826309">
      <w:pPr>
        <w:pStyle w:val="FootnoteText"/>
      </w:pPr>
      <w:r w:rsidRPr="00826309">
        <w:rPr>
          <w:rStyle w:val="FootnoteReference"/>
          <w:vertAlign w:val="baseline"/>
        </w:rPr>
        <w:footnoteRef/>
      </w:r>
      <w:r w:rsidRPr="00826309">
        <w:t xml:space="preserve"> </w:t>
      </w:r>
      <w:r>
        <w:tab/>
      </w:r>
      <w:r w:rsidRPr="00826309">
        <w:t xml:space="preserve">Pursuant to the </w:t>
      </w:r>
      <w:r w:rsidRPr="00826309">
        <w:rPr>
          <w:i/>
        </w:rPr>
        <w:t>Corporations Amendment (No 1) Act 2010</w:t>
      </w:r>
      <w:r w:rsidRPr="00826309">
        <w:t xml:space="preserve"> (Cth), Sch 1.</w:t>
      </w:r>
    </w:p>
  </w:footnote>
  <w:footnote w:id="44">
    <w:p w14:paraId="0D1DAF00" w14:textId="32B7C017" w:rsidR="00FE1F68" w:rsidRDefault="00FE1F68">
      <w:pPr>
        <w:pStyle w:val="FootnoteText"/>
      </w:pPr>
      <w:r w:rsidRPr="00FE1F68">
        <w:footnoteRef/>
      </w:r>
      <w:r>
        <w:t xml:space="preserve">    </w:t>
      </w:r>
      <w:r w:rsidRPr="00FE1F68">
        <w:t>Search warrants under the enhanced ASIC Act provisions would continue to be issued to, and executed by, a member of the AFP or an AFP member together with an ASIC officer.</w:t>
      </w:r>
    </w:p>
  </w:footnote>
  <w:footnote w:id="45">
    <w:p w14:paraId="473922D2" w14:textId="370BF9A0" w:rsidR="00635B28" w:rsidRPr="00826309" w:rsidRDefault="00635B28" w:rsidP="00826309">
      <w:pPr>
        <w:pStyle w:val="FootnoteText"/>
      </w:pPr>
      <w:r w:rsidRPr="00826309">
        <w:rPr>
          <w:rStyle w:val="FootnoteReference"/>
          <w:vertAlign w:val="baseline"/>
        </w:rPr>
        <w:footnoteRef/>
      </w:r>
      <w:r>
        <w:tab/>
      </w:r>
      <w:r w:rsidRPr="00826309">
        <w:t>See sections 32 and 18 to 22 of the Regulatory Powers Act. The Act also includes provisions relating to the conduct of investigations and enforcement provisions relating to civil penalties, infringement notices, enforceable undertakings and injunctions.</w:t>
      </w:r>
    </w:p>
  </w:footnote>
  <w:footnote w:id="46">
    <w:p w14:paraId="25C16F91" w14:textId="739EFA71" w:rsidR="00635B28" w:rsidRPr="00826309" w:rsidRDefault="00635B28" w:rsidP="00826309">
      <w:pPr>
        <w:pStyle w:val="FootnoteText"/>
      </w:pPr>
      <w:r w:rsidRPr="00826309">
        <w:rPr>
          <w:rStyle w:val="FootnoteReference"/>
          <w:vertAlign w:val="baseline"/>
        </w:rPr>
        <w:footnoteRef/>
      </w:r>
      <w:r w:rsidRPr="00826309">
        <w:t xml:space="preserve"> </w:t>
      </w:r>
      <w:r>
        <w:tab/>
      </w:r>
      <w:r w:rsidRPr="00826309">
        <w:t xml:space="preserve">See the term </w:t>
      </w:r>
      <w:r>
        <w:t>‘</w:t>
      </w:r>
      <w:r w:rsidRPr="00826309">
        <w:t>particular books</w:t>
      </w:r>
      <w:r>
        <w:t>’</w:t>
      </w:r>
      <w:r w:rsidRPr="00826309">
        <w:t xml:space="preserve"> in s36(1) of the ASIC Act, s270(1) of the NCCP Act, s.272(1) of the SIS Act, s102(1) of the RSA Act; the term </w:t>
      </w:r>
      <w:r>
        <w:t>‘</w:t>
      </w:r>
      <w:r w:rsidRPr="00826309">
        <w:t>those books</w:t>
      </w:r>
      <w:r>
        <w:t>’</w:t>
      </w:r>
      <w:r w:rsidRPr="00826309">
        <w:t xml:space="preserve"> in s36(2)(d) of the ASIC Act, s270(2)(d) of the NCCP Act, s272(2)(d) of the SIS Act, s102(2)(d) of the RSA Act; and the requirement for the warrant to </w:t>
      </w:r>
      <w:r>
        <w:t>‘</w:t>
      </w:r>
      <w:r w:rsidRPr="00826309">
        <w:t>specify … the books reference to in subsection (1)</w:t>
      </w:r>
      <w:r>
        <w:t>’</w:t>
      </w:r>
      <w:r w:rsidRPr="00826309">
        <w:t xml:space="preserve"> in s36(4)(a) of the ASIC Act, s270(4)(a) of the NCCP Act, s272(5)(a) of the SIS Act, s102(5)(a) of the RSA Act.</w:t>
      </w:r>
    </w:p>
  </w:footnote>
  <w:footnote w:id="47">
    <w:p w14:paraId="51D3D068" w14:textId="4EB43B17" w:rsidR="00635B28" w:rsidRPr="00826309" w:rsidRDefault="00635B28" w:rsidP="00826309">
      <w:pPr>
        <w:pStyle w:val="FootnoteText"/>
      </w:pPr>
      <w:r w:rsidRPr="00826309">
        <w:rPr>
          <w:rStyle w:val="FootnoteReference"/>
          <w:vertAlign w:val="baseline"/>
        </w:rPr>
        <w:footnoteRef/>
      </w:r>
      <w:r>
        <w:tab/>
      </w:r>
      <w:r w:rsidRPr="00826309">
        <w:t>Section 3C of the Crimes Act.</w:t>
      </w:r>
    </w:p>
  </w:footnote>
  <w:footnote w:id="48">
    <w:p w14:paraId="734CAF5A" w14:textId="6BFFC84E" w:rsidR="00635B28" w:rsidRPr="00826309" w:rsidRDefault="00635B28" w:rsidP="00826309">
      <w:pPr>
        <w:pStyle w:val="FootnoteText"/>
      </w:pPr>
      <w:r w:rsidRPr="00826309">
        <w:rPr>
          <w:rStyle w:val="FootnoteReference"/>
          <w:vertAlign w:val="baseline"/>
        </w:rPr>
        <w:footnoteRef/>
      </w:r>
      <w:r w:rsidRPr="00826309">
        <w:t xml:space="preserve"> </w:t>
      </w:r>
      <w:r>
        <w:tab/>
      </w:r>
      <w:r w:rsidRPr="00826309">
        <w:t>Section 3 of the Crimes Act.</w:t>
      </w:r>
    </w:p>
  </w:footnote>
  <w:footnote w:id="49">
    <w:p w14:paraId="2C77F9BB" w14:textId="0A857D5A" w:rsidR="00635B28" w:rsidRPr="00826309" w:rsidRDefault="00635B28" w:rsidP="00826309">
      <w:pPr>
        <w:pStyle w:val="FootnoteText"/>
      </w:pPr>
      <w:r w:rsidRPr="00826309">
        <w:rPr>
          <w:rStyle w:val="FootnoteReference"/>
          <w:vertAlign w:val="baseline"/>
        </w:rPr>
        <w:footnoteRef/>
      </w:r>
      <w:r w:rsidRPr="00826309">
        <w:t xml:space="preserve"> </w:t>
      </w:r>
      <w:r>
        <w:tab/>
      </w:r>
      <w:r w:rsidRPr="00826309">
        <w:t xml:space="preserve">Including contraventions of: Part 20 of the </w:t>
      </w:r>
      <w:r w:rsidRPr="00826309">
        <w:rPr>
          <w:i/>
        </w:rPr>
        <w:t>Telecommunications Act 1997</w:t>
      </w:r>
      <w:r w:rsidRPr="00826309">
        <w:t xml:space="preserve">; Part 9 of the </w:t>
      </w:r>
      <w:r w:rsidRPr="00826309">
        <w:rPr>
          <w:i/>
        </w:rPr>
        <w:t>Telecommunications (Consumer Protection and Service Standards) Act 1999</w:t>
      </w:r>
      <w:r w:rsidRPr="00826309">
        <w:t xml:space="preserve">; and ss137.1, 137.2 or 149.1 of the Criminal Code that relate to the search and seizure provisions. See s154A of the Competition and Consumer Act. </w:t>
      </w:r>
    </w:p>
  </w:footnote>
  <w:footnote w:id="50">
    <w:p w14:paraId="7A2905FB" w14:textId="734BCAA0" w:rsidR="00635B28" w:rsidRPr="00826309" w:rsidRDefault="00635B28" w:rsidP="00826309">
      <w:pPr>
        <w:pStyle w:val="FootnoteText"/>
      </w:pPr>
      <w:r w:rsidRPr="00826309">
        <w:rPr>
          <w:rStyle w:val="FootnoteReference"/>
          <w:vertAlign w:val="baseline"/>
        </w:rPr>
        <w:footnoteRef/>
      </w:r>
      <w:r w:rsidRPr="00826309">
        <w:t xml:space="preserve"> </w:t>
      </w:r>
      <w:r>
        <w:tab/>
      </w:r>
      <w:r w:rsidRPr="00826309">
        <w:t>Subsection 37(4) of the ASIC Act.</w:t>
      </w:r>
    </w:p>
  </w:footnote>
  <w:footnote w:id="51">
    <w:p w14:paraId="31FDACC8" w14:textId="607982C8" w:rsidR="00635B28" w:rsidRPr="00826309" w:rsidRDefault="00635B28" w:rsidP="00826309">
      <w:pPr>
        <w:pStyle w:val="FootnoteText"/>
      </w:pPr>
      <w:r w:rsidRPr="00826309">
        <w:rPr>
          <w:rStyle w:val="FootnoteReference"/>
          <w:vertAlign w:val="baseline"/>
        </w:rPr>
        <w:footnoteRef/>
      </w:r>
      <w:r w:rsidRPr="00826309">
        <w:t xml:space="preserve"> </w:t>
      </w:r>
      <w:r>
        <w:tab/>
      </w:r>
      <w:r w:rsidRPr="00826309">
        <w:t xml:space="preserve">See, </w:t>
      </w:r>
      <w:r>
        <w:t>for example</w:t>
      </w:r>
      <w:r w:rsidRPr="00826309">
        <w:t xml:space="preserve">, </w:t>
      </w:r>
      <w:r w:rsidRPr="00826309">
        <w:rPr>
          <w:i/>
        </w:rPr>
        <w:t>Williams v Keelty (2001)</w:t>
      </w:r>
      <w:r w:rsidRPr="00826309">
        <w:t xml:space="preserve"> 111 FCR 175; </w:t>
      </w:r>
      <w:r w:rsidRPr="00826309">
        <w:rPr>
          <w:i/>
        </w:rPr>
        <w:t>ASIC v Rich (2005)</w:t>
      </w:r>
      <w:r w:rsidRPr="00826309">
        <w:t xml:space="preserve"> 220 ALR 324.</w:t>
      </w:r>
    </w:p>
  </w:footnote>
  <w:footnote w:id="52">
    <w:p w14:paraId="06C4ED48" w14:textId="0C4C6657" w:rsidR="00635B28" w:rsidRPr="00826309" w:rsidRDefault="00635B28" w:rsidP="00826309">
      <w:pPr>
        <w:pStyle w:val="FootnoteText"/>
      </w:pPr>
      <w:r w:rsidRPr="00826309">
        <w:rPr>
          <w:rStyle w:val="FootnoteReference"/>
          <w:vertAlign w:val="baseline"/>
        </w:rPr>
        <w:footnoteRef/>
      </w:r>
      <w:r w:rsidRPr="00826309">
        <w:t xml:space="preserve"> </w:t>
      </w:r>
      <w:r>
        <w:tab/>
      </w:r>
      <w:r w:rsidRPr="00826309">
        <w:t>A single ASIC investigation may eventually identify multiple contraventions of the law by multiple persons that are punishable/enforceable by multiple different means (</w:t>
      </w:r>
      <w:r>
        <w:rPr>
          <w:rFonts w:eastAsiaTheme="minorHAnsi"/>
        </w:rPr>
        <w:t>for example,</w:t>
      </w:r>
      <w:r w:rsidRPr="00DB191B">
        <w:rPr>
          <w:rFonts w:eastAsiaTheme="minorHAnsi"/>
        </w:rPr>
        <w:t xml:space="preserve"> </w:t>
      </w:r>
      <w:r w:rsidRPr="00826309">
        <w:t>criminal prosecution, civil proceedings and/or administration action).</w:t>
      </w:r>
    </w:p>
  </w:footnote>
  <w:footnote w:id="53">
    <w:p w14:paraId="4BCF9CC7" w14:textId="7FF1BDEC" w:rsidR="00635B28" w:rsidRPr="00826309" w:rsidRDefault="00635B28" w:rsidP="00826309">
      <w:pPr>
        <w:pStyle w:val="FootnoteText"/>
      </w:pPr>
      <w:r w:rsidRPr="00826309">
        <w:rPr>
          <w:rStyle w:val="FootnoteReference"/>
          <w:vertAlign w:val="baseline"/>
        </w:rPr>
        <w:footnoteRef/>
      </w:r>
      <w:r w:rsidRPr="00826309">
        <w:t xml:space="preserve"> </w:t>
      </w:r>
      <w:r>
        <w:tab/>
      </w:r>
      <w:r w:rsidRPr="00826309">
        <w:t xml:space="preserve">See, </w:t>
      </w:r>
      <w:r>
        <w:t xml:space="preserve">for example, </w:t>
      </w:r>
      <w:r w:rsidRPr="00826309">
        <w:rPr>
          <w:i/>
        </w:rPr>
        <w:t xml:space="preserve">ASIC v Rich [2005] </w:t>
      </w:r>
      <w:r w:rsidRPr="00826309">
        <w:t xml:space="preserve">NSWSC 62; </w:t>
      </w:r>
      <w:r w:rsidRPr="00826309">
        <w:rPr>
          <w:i/>
        </w:rPr>
        <w:t>Williams v Keelty [2001]</w:t>
      </w:r>
      <w:r w:rsidRPr="00826309">
        <w:t xml:space="preserve"> FCA 1301; (2001) 111 FCR 175.</w:t>
      </w:r>
    </w:p>
  </w:footnote>
  <w:footnote w:id="54">
    <w:p w14:paraId="5B6A2A97" w14:textId="414F3B05" w:rsidR="00635B28" w:rsidRPr="00826309" w:rsidRDefault="00635B28" w:rsidP="00826309">
      <w:pPr>
        <w:pStyle w:val="FootnoteText"/>
      </w:pPr>
      <w:r w:rsidRPr="00826309">
        <w:rPr>
          <w:rStyle w:val="FootnoteReference"/>
          <w:vertAlign w:val="baseline"/>
        </w:rPr>
        <w:footnoteRef/>
      </w:r>
      <w:r w:rsidRPr="00826309">
        <w:t xml:space="preserve"> </w:t>
      </w:r>
      <w:r>
        <w:tab/>
      </w:r>
      <w:r w:rsidRPr="00826309">
        <w:t>Currently, where ASIC obtained such material pursuant to a s3E warrant it could use it for a criminal investigation into 'co-director B'.</w:t>
      </w:r>
    </w:p>
  </w:footnote>
  <w:footnote w:id="55">
    <w:p w14:paraId="5C814D94" w14:textId="3A11C3A6" w:rsidR="00635B28" w:rsidRPr="00826309" w:rsidRDefault="00635B28" w:rsidP="00826309">
      <w:pPr>
        <w:pStyle w:val="FootnoteText"/>
      </w:pPr>
      <w:r w:rsidRPr="00826309">
        <w:rPr>
          <w:rStyle w:val="FootnoteReference"/>
          <w:vertAlign w:val="baseline"/>
        </w:rPr>
        <w:footnoteRef/>
      </w:r>
      <w:r w:rsidRPr="00826309">
        <w:t xml:space="preserve"> </w:t>
      </w:r>
      <w:r>
        <w:tab/>
      </w:r>
      <w:r w:rsidRPr="00826309">
        <w:t>ASIC's general power of investigation includes a power to commence an investigation where it has reason to suspect a contravention of a law of a State or Territory that involves fraud or dishonesty and relates to a body corporate or managed investment scheme or to financial products – see subsection 13(b)(ii) of the ASIC Act. Currently. where ASIC seized such material pursuant to a s3E warrant it could use it for a prosecution of a State based fraud offence.</w:t>
      </w:r>
    </w:p>
  </w:footnote>
  <w:footnote w:id="56">
    <w:p w14:paraId="3824D333" w14:textId="3A0EAB83" w:rsidR="00635B28" w:rsidRPr="00826309" w:rsidRDefault="00635B28" w:rsidP="00826309">
      <w:pPr>
        <w:pStyle w:val="FootnoteText"/>
        <w:rPr>
          <w:rFonts w:eastAsiaTheme="minorHAnsi"/>
        </w:rPr>
      </w:pPr>
      <w:r w:rsidRPr="00826309">
        <w:rPr>
          <w:rStyle w:val="FootnoteReference"/>
          <w:vertAlign w:val="baseline"/>
        </w:rPr>
        <w:footnoteRef/>
      </w:r>
      <w:r w:rsidRPr="00826309">
        <w:rPr>
          <w:rFonts w:eastAsiaTheme="minorHAnsi"/>
        </w:rPr>
        <w:t xml:space="preserve"> </w:t>
      </w:r>
      <w:r>
        <w:rPr>
          <w:rFonts w:eastAsiaTheme="minorHAnsi"/>
        </w:rPr>
        <w:tab/>
      </w:r>
      <w:r w:rsidRPr="00826309">
        <w:rPr>
          <w:rFonts w:eastAsiaTheme="minorHAnsi"/>
        </w:rPr>
        <w:t>These requirements create some practical problems associated with the drafting of the provisions. If</w:t>
      </w:r>
      <w:r>
        <w:rPr>
          <w:rFonts w:eastAsiaTheme="minorHAnsi"/>
        </w:rPr>
        <w:t> </w:t>
      </w:r>
      <w:r w:rsidRPr="00826309">
        <w:rPr>
          <w:rFonts w:eastAsiaTheme="minorHAnsi"/>
        </w:rPr>
        <w:t>proceedings are commenced after the initial 120 days but within a period covered by an extension order the ACCC is required to return the seized things at the conclusion of the extension period (whatever granted, up to three years), notwithstanding that proceedings may still be ongoing because:</w:t>
      </w:r>
      <w:r>
        <w:rPr>
          <w:rFonts w:eastAsiaTheme="minorHAnsi"/>
        </w:rPr>
        <w:br/>
      </w:r>
      <w:r w:rsidRPr="00826309">
        <w:rPr>
          <w:rFonts w:eastAsiaTheme="minorHAnsi"/>
        </w:rPr>
        <w:t>(1) the exemption for court proceedings in subsection 154U(2)(a) applies only to proceedings commenced within the original 120</w:t>
      </w:r>
      <w:r>
        <w:rPr>
          <w:rFonts w:eastAsiaTheme="minorHAnsi"/>
        </w:rPr>
        <w:t> </w:t>
      </w:r>
      <w:r w:rsidRPr="00826309">
        <w:rPr>
          <w:rFonts w:eastAsiaTheme="minorHAnsi"/>
        </w:rPr>
        <w:t>days, and not within any extension period granted under s154V; and</w:t>
      </w:r>
      <w:r>
        <w:rPr>
          <w:rFonts w:eastAsiaTheme="minorHAnsi"/>
        </w:rPr>
        <w:br/>
      </w:r>
      <w:r w:rsidRPr="00826309">
        <w:rPr>
          <w:rFonts w:eastAsiaTheme="minorHAnsi"/>
        </w:rPr>
        <w:t>(2) the ACCC cannot seek a further extension under s154V as an inspector can only apply for an order if proceedings have not commenced, and a magistrate can only make an order if satisfied that the thing can be used for the purposes of an investigation (which would arguably have already been completed if proceedings had commenced).</w:t>
      </w:r>
    </w:p>
  </w:footnote>
  <w:footnote w:id="57">
    <w:p w14:paraId="43C49BDB" w14:textId="4F048428" w:rsidR="00635B28" w:rsidRPr="00826309" w:rsidRDefault="00635B28" w:rsidP="00826309">
      <w:pPr>
        <w:pStyle w:val="FootnoteText"/>
      </w:pPr>
      <w:r w:rsidRPr="00826309">
        <w:rPr>
          <w:rStyle w:val="FootnoteReference"/>
          <w:vertAlign w:val="baseline"/>
        </w:rPr>
        <w:footnoteRef/>
      </w:r>
      <w:r w:rsidRPr="00826309">
        <w:t xml:space="preserve"> </w:t>
      </w:r>
      <w:r w:rsidRPr="00826309">
        <w:tab/>
        <w:t xml:space="preserve">See, for example, </w:t>
      </w:r>
      <w:r w:rsidRPr="00826309">
        <w:rPr>
          <w:i/>
        </w:rPr>
        <w:t>R v Wall [2002]</w:t>
      </w:r>
      <w:r w:rsidRPr="00826309">
        <w:t xml:space="preserve"> NSWCCA 42; (2002) 71 NSWLR 692, which involved an ASIC investigation into fraud offences and a six-year period between commission of the offence and conviction, Wood CJ at CL (with whom Meagher JA and</w:t>
      </w:r>
      <w:r>
        <w:t xml:space="preserve"> Bell J agreed) stated at [89]:</w:t>
      </w:r>
    </w:p>
    <w:p w14:paraId="2C3089DB" w14:textId="7D9D7A13" w:rsidR="00635B28" w:rsidRPr="00826309" w:rsidRDefault="00635B28" w:rsidP="00757A73">
      <w:pPr>
        <w:pStyle w:val="FootnoteText"/>
        <w:tabs>
          <w:tab w:val="clear" w:pos="397"/>
          <w:tab w:val="left" w:pos="709"/>
        </w:tabs>
        <w:ind w:left="709" w:right="379" w:hanging="709"/>
        <w:rPr>
          <w:i/>
        </w:rPr>
      </w:pPr>
      <w:r>
        <w:tab/>
      </w:r>
      <w:r w:rsidRPr="00826309">
        <w:rPr>
          <w:i/>
        </w:rPr>
        <w:t>"Delay in the prosecution of white-collar crimes is not unusual and the fact that they are so difficult to discover and successfully prosecute is one of the reasons why general deterrence is so important"</w:t>
      </w:r>
      <w:r>
        <w:rPr>
          <w:i/>
        </w:rPr>
        <w:t>.</w:t>
      </w:r>
    </w:p>
  </w:footnote>
  <w:footnote w:id="58">
    <w:p w14:paraId="043325A4" w14:textId="446A04A6" w:rsidR="00635B28" w:rsidRPr="00826309" w:rsidRDefault="00635B28" w:rsidP="00826309">
      <w:pPr>
        <w:pStyle w:val="FootnoteText"/>
      </w:pPr>
      <w:r w:rsidRPr="00826309">
        <w:rPr>
          <w:rStyle w:val="FootnoteReference"/>
          <w:vertAlign w:val="baseline"/>
        </w:rPr>
        <w:footnoteRef/>
      </w:r>
      <w:r w:rsidRPr="00826309">
        <w:t xml:space="preserve"> </w:t>
      </w:r>
      <w:r>
        <w:tab/>
      </w:r>
      <w:r w:rsidRPr="00826309">
        <w:t xml:space="preserve">Section 127 </w:t>
      </w:r>
      <w:r>
        <w:t>of the ASIC Act.</w:t>
      </w:r>
    </w:p>
  </w:footnote>
  <w:footnote w:id="59">
    <w:p w14:paraId="0106EB80" w14:textId="007A673A" w:rsidR="00635B28" w:rsidRPr="00826309" w:rsidRDefault="00635B28" w:rsidP="00826309">
      <w:pPr>
        <w:pStyle w:val="FootnoteText"/>
      </w:pPr>
      <w:r w:rsidRPr="00826309">
        <w:rPr>
          <w:rStyle w:val="FootnoteReference"/>
          <w:vertAlign w:val="baseline"/>
        </w:rPr>
        <w:footnoteRef/>
      </w:r>
      <w:r w:rsidRPr="00826309">
        <w:t xml:space="preserve"> </w:t>
      </w:r>
      <w:r>
        <w:tab/>
      </w:r>
      <w:r w:rsidRPr="00826309">
        <w:t>Section 127(4) of the ASIC Act.</w:t>
      </w:r>
    </w:p>
  </w:footnote>
  <w:footnote w:id="60">
    <w:p w14:paraId="23F1BC75" w14:textId="44939ACB" w:rsidR="00635B28" w:rsidRPr="00826309" w:rsidRDefault="00635B28" w:rsidP="00826309">
      <w:pPr>
        <w:pStyle w:val="FootnoteText"/>
      </w:pPr>
      <w:r w:rsidRPr="00826309">
        <w:rPr>
          <w:rStyle w:val="FootnoteReference"/>
          <w:vertAlign w:val="baseline"/>
        </w:rPr>
        <w:footnoteRef/>
      </w:r>
      <w:r w:rsidRPr="00826309">
        <w:t xml:space="preserve"> </w:t>
      </w:r>
      <w:r>
        <w:tab/>
      </w:r>
      <w:r w:rsidRPr="00826309">
        <w:t>See Information Sheet 181 ‘Providing information and documents to private litigants’ and Regulatory</w:t>
      </w:r>
      <w:r>
        <w:t> </w:t>
      </w:r>
      <w:r w:rsidRPr="00826309">
        <w:t>Guide</w:t>
      </w:r>
      <w:r>
        <w:t> </w:t>
      </w:r>
      <w:r w:rsidRPr="00826309">
        <w:t>103: Confiddential</w:t>
      </w:r>
      <w:r>
        <w:t>ity and release of information.</w:t>
      </w:r>
    </w:p>
  </w:footnote>
  <w:footnote w:id="61">
    <w:p w14:paraId="11798568" w14:textId="77777777" w:rsidR="00635B28" w:rsidRPr="00826309" w:rsidRDefault="00635B28" w:rsidP="009F383C">
      <w:pPr>
        <w:pStyle w:val="FootnoteText"/>
      </w:pPr>
      <w:r w:rsidRPr="00826309">
        <w:rPr>
          <w:rStyle w:val="FootnoteReference"/>
          <w:vertAlign w:val="baseline"/>
        </w:rPr>
        <w:footnoteRef/>
      </w:r>
      <w:r w:rsidRPr="00826309">
        <w:t xml:space="preserve"> </w:t>
      </w:r>
      <w:r>
        <w:tab/>
      </w:r>
      <w:r w:rsidRPr="00826309">
        <w:rPr>
          <w:i/>
        </w:rPr>
        <w:t>Australian Securities and Investments Commission Act 2001</w:t>
      </w:r>
      <w:r w:rsidRPr="00826309">
        <w:t xml:space="preserve"> (ASIC Act), </w:t>
      </w:r>
      <w:r w:rsidRPr="00826309">
        <w:rPr>
          <w:i/>
        </w:rPr>
        <w:t>National Consumer Credit Protection Act 2009</w:t>
      </w:r>
      <w:r w:rsidRPr="00826309">
        <w:t xml:space="preserve"> (NCCP Act), </w:t>
      </w:r>
      <w:r w:rsidRPr="00826309">
        <w:rPr>
          <w:i/>
        </w:rPr>
        <w:t>Superannuation Industry (Supervision) Act 1993</w:t>
      </w:r>
      <w:r w:rsidRPr="00826309">
        <w:t xml:space="preserve"> (SIS Act), </w:t>
      </w:r>
      <w:r w:rsidRPr="00826309">
        <w:rPr>
          <w:i/>
        </w:rPr>
        <w:t>Retirement Savings Accounts Act 1997</w:t>
      </w:r>
      <w:r w:rsidRPr="00826309">
        <w:t xml:space="preserve"> (RSA Act).</w:t>
      </w:r>
    </w:p>
  </w:footnote>
  <w:footnote w:id="62">
    <w:p w14:paraId="7DFFA81E" w14:textId="77777777" w:rsidR="00635B28" w:rsidRPr="00826309" w:rsidRDefault="00635B28" w:rsidP="009F383C">
      <w:pPr>
        <w:pStyle w:val="FootnoteText"/>
      </w:pPr>
      <w:r w:rsidRPr="00826309">
        <w:rPr>
          <w:rStyle w:val="FootnoteReference"/>
          <w:vertAlign w:val="baseline"/>
        </w:rPr>
        <w:footnoteRef/>
      </w:r>
      <w:r w:rsidRPr="00826309">
        <w:t xml:space="preserve"> </w:t>
      </w:r>
      <w:r>
        <w:tab/>
      </w:r>
      <w:r w:rsidRPr="00826309">
        <w:rPr>
          <w:i/>
        </w:rPr>
        <w:t>Crimes Act 1914</w:t>
      </w:r>
      <w:r w:rsidRPr="00826309">
        <w:t>.</w:t>
      </w:r>
    </w:p>
  </w:footnote>
  <w:footnote w:id="63">
    <w:p w14:paraId="448AFAB1" w14:textId="77777777" w:rsidR="00635B28" w:rsidRPr="00826309" w:rsidRDefault="00635B28" w:rsidP="00322D44">
      <w:pPr>
        <w:pStyle w:val="FootnoteText"/>
      </w:pPr>
      <w:r w:rsidRPr="00826309">
        <w:rPr>
          <w:rStyle w:val="FootnoteReference"/>
          <w:vertAlign w:val="baseline"/>
        </w:rPr>
        <w:footnoteRef/>
      </w:r>
      <w:r w:rsidRPr="00826309">
        <w:t xml:space="preserve"> </w:t>
      </w:r>
      <w:r>
        <w:tab/>
      </w:r>
      <w:r w:rsidRPr="00826309">
        <w:t>Indictable offence is defined in s4G of the Crimes Act, being an offence against a law of the Commonwealth punishable by imprisonment for a period exceeding 12 months, unless the contrary intention appears.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250B1" w14:textId="77777777" w:rsidR="00A810C4" w:rsidRDefault="00A810C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15255" w14:textId="77777777" w:rsidR="00635B28" w:rsidRDefault="00635B2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B266B" w14:textId="77777777" w:rsidR="00635B28" w:rsidRDefault="00A810C4" w:rsidP="000756A4">
    <w:pPr>
      <w:pStyle w:val="HeaderEven"/>
    </w:pPr>
    <w:r>
      <w:fldChar w:fldCharType="begin"/>
    </w:r>
    <w:r>
      <w:instrText xml:space="preserve"> TITLE   \* MERGEFORMAT </w:instrText>
    </w:r>
    <w:r>
      <w:fldChar w:fldCharType="separate"/>
    </w:r>
    <w:r w:rsidR="000F2269">
      <w:t>Harmonisation and Enhancement of Search Warrant Powers</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4DFAF" w14:textId="77777777" w:rsidR="00635B28" w:rsidRPr="00256572" w:rsidRDefault="00A810C4" w:rsidP="000756A4">
    <w:pPr>
      <w:pStyle w:val="HeaderOdd"/>
    </w:pPr>
    <w:r>
      <w:fldChar w:fldCharType="begin"/>
    </w:r>
    <w:r>
      <w:instrText xml:space="preserve"> STYLEREF  "Heading 1 - Numbered"  \* MERGEFORMAT </w:instrText>
    </w:r>
    <w:r>
      <w:fldChar w:fldCharType="separate"/>
    </w:r>
    <w:r>
      <w:rPr>
        <w:noProof/>
      </w:rPr>
      <w:t>Search warrant powers in the Competition and Consumer Act</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61AAD" w14:textId="77777777" w:rsidR="00635B28" w:rsidRDefault="00635B2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ABD39" w14:textId="77777777" w:rsidR="00635B28" w:rsidRDefault="00635B2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E6BB7" w14:textId="77777777" w:rsidR="00635B28" w:rsidRPr="00256572" w:rsidRDefault="00A810C4" w:rsidP="000756A4">
    <w:pPr>
      <w:pStyle w:val="HeaderOdd"/>
    </w:pPr>
    <w:r>
      <w:fldChar w:fldCharType="begin"/>
    </w:r>
    <w:r>
      <w:instrText xml:space="preserve"> STYLEREF  "Heading 1 - Numbered"  \* MERGEFORMAT </w:instrText>
    </w:r>
    <w:r>
      <w:fldChar w:fldCharType="separate"/>
    </w:r>
    <w:r w:rsidR="000F2269">
      <w:rPr>
        <w:noProof/>
      </w:rPr>
      <w:t>Issues with ASIC’s existing powers</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E8044" w14:textId="77777777" w:rsidR="00635B28" w:rsidRDefault="00635B2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4F3E9" w14:textId="77777777" w:rsidR="00635B28" w:rsidRDefault="00A810C4" w:rsidP="000756A4">
    <w:pPr>
      <w:pStyle w:val="HeaderEven"/>
    </w:pPr>
    <w:r>
      <w:fldChar w:fldCharType="begin"/>
    </w:r>
    <w:r>
      <w:instrText xml:space="preserve"> TITLE   \* MERGEFORMAT </w:instrText>
    </w:r>
    <w:r>
      <w:fldChar w:fldCharType="separate"/>
    </w:r>
    <w:r w:rsidR="000F2269">
      <w:t>Harmonisation and Enhancement of Search Warrant Powers</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DB883" w14:textId="77777777" w:rsidR="00635B28" w:rsidRPr="00256572" w:rsidRDefault="00A810C4" w:rsidP="000756A4">
    <w:pPr>
      <w:pStyle w:val="HeaderOdd"/>
    </w:pPr>
    <w:r>
      <w:fldChar w:fldCharType="begin"/>
    </w:r>
    <w:r>
      <w:instrText xml:space="preserve"> STYLEREF  "Heading 1 - Numbered"  \* MERGEFORMAT </w:instrText>
    </w:r>
    <w:r>
      <w:fldChar w:fldCharType="separate"/>
    </w:r>
    <w:r>
      <w:rPr>
        <w:noProof/>
      </w:rPr>
      <w:t>Applying for a warrant and the ‘particular books’ requirements</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91BD4" w14:textId="77777777" w:rsidR="00635B28" w:rsidRDefault="00635B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F5B57" w14:textId="1622EA62" w:rsidR="00635B28" w:rsidRPr="00256572" w:rsidRDefault="00635B28" w:rsidP="00256572">
    <w:pPr>
      <w:pStyle w:val="ChartGraphic"/>
    </w:pPr>
    <w:r>
      <w:rPr>
        <w:noProof/>
      </w:rPr>
      <w:drawing>
        <wp:inline distT="0" distB="0" distL="0" distR="0" wp14:anchorId="548673B0" wp14:editId="451108B8">
          <wp:extent cx="1836000" cy="921941"/>
          <wp:effectExtent l="0" t="0" r="0" b="0"/>
          <wp:docPr id="1" name="Picture 1"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6000" cy="921941"/>
                  </a:xfrm>
                  <a:prstGeom prst="rect">
                    <a:avLst/>
                  </a:prstGeom>
                </pic:spPr>
              </pic:pic>
            </a:graphicData>
          </a:graphic>
        </wp:inline>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B382A" w14:textId="77777777" w:rsidR="00635B28" w:rsidRDefault="00A810C4" w:rsidP="000756A4">
    <w:pPr>
      <w:pStyle w:val="HeaderEven"/>
    </w:pPr>
    <w:r>
      <w:fldChar w:fldCharType="begin"/>
    </w:r>
    <w:r>
      <w:instrText xml:space="preserve"> TITLE   \* MERGEFORMAT </w:instrText>
    </w:r>
    <w:r>
      <w:fldChar w:fldCharType="separate"/>
    </w:r>
    <w:r w:rsidR="000F2269">
      <w:t>Harmonisation and Enhancement of Search Warrant Powers</w:t>
    </w:r>
    <w: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85526" w14:textId="77777777" w:rsidR="00635B28" w:rsidRPr="00256572" w:rsidRDefault="00A810C4" w:rsidP="000756A4">
    <w:pPr>
      <w:pStyle w:val="HeaderOdd"/>
    </w:pPr>
    <w:r>
      <w:fldChar w:fldCharType="begin"/>
    </w:r>
    <w:r>
      <w:instrText xml:space="preserve"> STYLEREF  "Heading 1 - Numbered"  \* MERGEFORMAT </w:instrText>
    </w:r>
    <w:r>
      <w:fldChar w:fldCharType="separate"/>
    </w:r>
    <w:r>
      <w:rPr>
        <w:noProof/>
      </w:rPr>
      <w:t>Use of seized material by ASIC and access by third parties</w:t>
    </w:r>
    <w:r>
      <w:rPr>
        <w:noProof/>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083CF" w14:textId="77777777" w:rsidR="00635B28" w:rsidRDefault="00A810C4" w:rsidP="000756A4">
    <w:pPr>
      <w:pStyle w:val="HeaderEven"/>
    </w:pPr>
    <w:r>
      <w:fldChar w:fldCharType="begin"/>
    </w:r>
    <w:r>
      <w:instrText xml:space="preserve"> TITLE   \* MERGEFORMAT </w:instrText>
    </w:r>
    <w:r>
      <w:fldChar w:fldCharType="separate"/>
    </w:r>
    <w:r w:rsidR="000F2269">
      <w:t>Harmonisation and Enhancement of Search Warrant Powers</w:t>
    </w:r>
    <w: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FC526" w14:textId="2FBA5D27" w:rsidR="00635B28" w:rsidRPr="00256572" w:rsidRDefault="00A810C4" w:rsidP="000756A4">
    <w:pPr>
      <w:pStyle w:val="HeaderOdd"/>
    </w:pPr>
    <w:r>
      <w:fldChar w:fldCharType="begin"/>
    </w:r>
    <w:r>
      <w:instrText xml:space="preserve"> STYLEREF  "Heading 1"  \* MERGEFORMAT </w:instrText>
    </w:r>
    <w:r>
      <w:fldChar w:fldCharType="separate"/>
    </w:r>
    <w:r>
      <w:rPr>
        <w:noProof/>
      </w:rPr>
      <w:t>Annexure B – ASIC enforcement review taskforce terms of reference</w:t>
    </w:r>
    <w:r>
      <w:rPr>
        <w:noProof/>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69379" w14:textId="77777777" w:rsidR="00635B28" w:rsidRDefault="00635B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FF762" w14:textId="464E4822" w:rsidR="00635B28" w:rsidRDefault="00635B28" w:rsidP="000756A4">
    <w:pPr>
      <w:pStyle w:val="ChartGraphic"/>
    </w:pPr>
    <w:r>
      <w:rPr>
        <w:noProof/>
      </w:rPr>
      <w:drawing>
        <wp:inline distT="0" distB="0" distL="0" distR="0" wp14:anchorId="443207E8" wp14:editId="4E663B07">
          <wp:extent cx="1836000" cy="921941"/>
          <wp:effectExtent l="0" t="0" r="0" b="0"/>
          <wp:docPr id="3" name="Picture 3"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6000" cy="921941"/>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06B55" w14:textId="44B139EA" w:rsidR="00635B28" w:rsidRPr="00256572" w:rsidRDefault="00635B28" w:rsidP="00256572">
    <w:pPr>
      <w:pStyle w:val="ChartGraphi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01D5E" w14:textId="77777777" w:rsidR="00635B28" w:rsidRDefault="00635B2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256D5" w14:textId="33EF32C7" w:rsidR="00635B28" w:rsidRDefault="00A810C4" w:rsidP="000756A4">
    <w:pPr>
      <w:pStyle w:val="HeaderEven"/>
    </w:pPr>
    <w:r>
      <w:fldChar w:fldCharType="begin"/>
    </w:r>
    <w:r>
      <w:instrText xml:space="preserve"> TITLE   \* MERGEFORMAT </w:instrText>
    </w:r>
    <w:r>
      <w:fldChar w:fldCharType="separate"/>
    </w:r>
    <w:r w:rsidR="000F2269">
      <w:t>Harmonisation and Enhancement of Search Warrant Powers</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46511" w14:textId="77777777" w:rsidR="00635B28" w:rsidRDefault="00635B2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548FC" w14:textId="77777777" w:rsidR="00635B28" w:rsidRDefault="00A810C4" w:rsidP="000756A4">
    <w:pPr>
      <w:pStyle w:val="HeaderEven"/>
    </w:pPr>
    <w:r>
      <w:fldChar w:fldCharType="begin"/>
    </w:r>
    <w:r>
      <w:instrText xml:space="preserve"> TITLE   \* MERGEFORMAT </w:instrText>
    </w:r>
    <w:r>
      <w:fldChar w:fldCharType="separate"/>
    </w:r>
    <w:r w:rsidR="000F2269">
      <w:t>Harmonisation and Enhancement of Search Warrant Powers</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A9656" w14:textId="032318C8" w:rsidR="00635B28" w:rsidRPr="00256572" w:rsidRDefault="00A810C4" w:rsidP="000756A4">
    <w:pPr>
      <w:pStyle w:val="HeaderOdd"/>
    </w:pPr>
    <w:r>
      <w:fldChar w:fldCharType="begin"/>
    </w:r>
    <w:r>
      <w:instrText xml:space="preserve"> STYLEREF  "Heading 1 - Numbered"</w:instrText>
    </w:r>
    <w:r>
      <w:instrText xml:space="preserve">  \* MERGEFORMAT </w:instrText>
    </w:r>
    <w:r>
      <w:fldChar w:fldCharType="separate"/>
    </w:r>
    <w:r>
      <w:rPr>
        <w:noProof/>
      </w:rPr>
      <w:t>Search warrant powers available to ASIC</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
    <w:nsid w:val="07ED3FC7"/>
    <w:multiLevelType w:val="multilevel"/>
    <w:tmpl w:val="F8BE2F76"/>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CBF291C"/>
    <w:multiLevelType w:val="multilevel"/>
    <w:tmpl w:val="AB06778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0862507"/>
    <w:multiLevelType w:val="multilevel"/>
    <w:tmpl w:val="5E32F8B8"/>
    <w:lvl w:ilvl="0">
      <w:start w:val="1"/>
      <w:numFmt w:val="decimal"/>
      <w:pStyle w:val="para"/>
      <w:lvlText w:val="%1."/>
      <w:lvlJc w:val="left"/>
      <w:pPr>
        <w:ind w:left="360" w:hanging="360"/>
      </w:pPr>
    </w:lvl>
    <w:lvl w:ilvl="1">
      <w:start w:val="1"/>
      <w:numFmt w:val="decimal"/>
      <w:pStyle w:val="subpar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7">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8">
    <w:nsid w:val="1E6B29F1"/>
    <w:multiLevelType w:val="multilevel"/>
    <w:tmpl w:val="EDEE4FB6"/>
    <w:styleLink w:val="Recommendation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bullet"/>
      <w:lvlText w:val=":"/>
      <w:lvlJc w:val="left"/>
      <w:pPr>
        <w:tabs>
          <w:tab w:val="num" w:pos="567"/>
        </w:tabs>
        <w:ind w:left="567" w:hanging="283"/>
      </w:pPr>
      <w:rPr>
        <w:rFonts w:hint="default"/>
      </w:rPr>
    </w:lvl>
    <w:lvl w:ilvl="2">
      <w:start w:val="1"/>
      <w:numFmt w:val="bulle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06D1A73"/>
    <w:multiLevelType w:val="multilevel"/>
    <w:tmpl w:val="4560F3A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1">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7440C8B"/>
    <w:multiLevelType w:val="multilevel"/>
    <w:tmpl w:val="4440A37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15">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7">
    <w:nsid w:val="3238442C"/>
    <w:multiLevelType w:val="multilevel"/>
    <w:tmpl w:val="4DAA0B3E"/>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2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21">
    <w:nsid w:val="41021F54"/>
    <w:multiLevelType w:val="hybridMultilevel"/>
    <w:tmpl w:val="6B503E24"/>
    <w:lvl w:ilvl="0" w:tplc="741CE1DC">
      <w:start w:val="1"/>
      <w:numFmt w:val="upperRoman"/>
      <w:pStyle w:val="Alphanumbered"/>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41911E81"/>
    <w:multiLevelType w:val="multilevel"/>
    <w:tmpl w:val="5BAE85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483E25F6"/>
    <w:multiLevelType w:val="multilevel"/>
    <w:tmpl w:val="2D022FDA"/>
    <w:styleLink w:val="AlphaParagraphList"/>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5">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5F73129"/>
    <w:multiLevelType w:val="multilevel"/>
    <w:tmpl w:val="D9A8A212"/>
    <w:numStyleLink w:val="RomanNumeralList"/>
  </w:abstractNum>
  <w:abstractNum w:abstractNumId="27">
    <w:nsid w:val="563E523A"/>
    <w:multiLevelType w:val="hybridMultilevel"/>
    <w:tmpl w:val="26D66ADC"/>
    <w:lvl w:ilvl="0" w:tplc="12EAEC82">
      <w:start w:val="1"/>
      <w:numFmt w:val="lowerLetter"/>
      <w:pStyle w:val="Box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9">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0">
    <w:nsid w:val="634D5A5A"/>
    <w:multiLevelType w:val="multilevel"/>
    <w:tmpl w:val="12024920"/>
    <w:lvl w:ilvl="0">
      <w:start w:val="1"/>
      <w:numFmt w:val="decimal"/>
      <w:pStyle w:val="Heading1-Numbered"/>
      <w:lvlText w:val="%1"/>
      <w:lvlJc w:val="left"/>
      <w:pPr>
        <w:ind w:left="432" w:hanging="432"/>
      </w:pPr>
      <w:rPr>
        <w:rFonts w:hint="default"/>
      </w:rPr>
    </w:lvl>
    <w:lvl w:ilvl="1">
      <w:start w:val="1"/>
      <w:numFmt w:val="decimal"/>
      <w:pStyle w:val="Heading2"/>
      <w:lvlText w:val="%1.%2"/>
      <w:lvlJc w:val="left"/>
      <w:pPr>
        <w:ind w:left="1144"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nsid w:val="643105B8"/>
    <w:multiLevelType w:val="multilevel"/>
    <w:tmpl w:val="43A2FBF2"/>
    <w:name w:val="StandardNumberedList"/>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33">
    <w:nsid w:val="68472CF1"/>
    <w:multiLevelType w:val="hybridMultilevel"/>
    <w:tmpl w:val="02FA8D2C"/>
    <w:lvl w:ilvl="0" w:tplc="626402F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8B16110"/>
    <w:multiLevelType w:val="multilevel"/>
    <w:tmpl w:val="2D28E7D8"/>
    <w:name w:val="StandardBulletedList"/>
    <w:lvl w:ilvl="0">
      <w:start w:val="1"/>
      <w:numFmt w:val="bullet"/>
      <w:lvlText w:val="•"/>
      <w:lvlJc w:val="left"/>
      <w:pPr>
        <w:tabs>
          <w:tab w:val="num" w:pos="661"/>
        </w:tabs>
        <w:ind w:left="661" w:hanging="661"/>
      </w:pPr>
      <w:rPr>
        <w:rFonts w:ascii="Times New Roman" w:hAnsi="Times New Roman" w:cs="Times New Roman" w:hint="default"/>
      </w:rPr>
    </w:lvl>
    <w:lvl w:ilvl="1">
      <w:start w:val="1"/>
      <w:numFmt w:val="bullet"/>
      <w:lvlText w:val="–"/>
      <w:lvlJc w:val="left"/>
      <w:pPr>
        <w:tabs>
          <w:tab w:val="num" w:pos="1322"/>
        </w:tabs>
        <w:ind w:left="1322" w:hanging="661"/>
      </w:pPr>
      <w:rPr>
        <w:rFonts w:ascii="Times New Roman" w:hAnsi="Times New Roman" w:cs="Times New Roman"/>
      </w:rPr>
    </w:lvl>
    <w:lvl w:ilvl="2">
      <w:start w:val="1"/>
      <w:numFmt w:val="bullet"/>
      <w:lvlText w:val=":"/>
      <w:lvlJc w:val="left"/>
      <w:pPr>
        <w:tabs>
          <w:tab w:val="num" w:pos="1983"/>
        </w:tabs>
        <w:ind w:left="1983" w:hanging="661"/>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9191372"/>
    <w:multiLevelType w:val="hybridMultilevel"/>
    <w:tmpl w:val="63484A5C"/>
    <w:lvl w:ilvl="0" w:tplc="0AA2474C">
      <w:start w:val="1"/>
      <w:numFmt w:val="decimal"/>
      <w:pStyle w:val="BoxNumbering"/>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EBF275E"/>
    <w:multiLevelType w:val="multilevel"/>
    <w:tmpl w:val="A6800B9E"/>
    <w:numStyleLink w:val="Outlinenumbering"/>
  </w:abstractNum>
  <w:num w:numId="1">
    <w:abstractNumId w:val="5"/>
  </w:num>
  <w:num w:numId="2">
    <w:abstractNumId w:val="3"/>
  </w:num>
  <w:num w:numId="3">
    <w:abstractNumId w:val="14"/>
  </w:num>
  <w:num w:numId="4">
    <w:abstractNumId w:val="28"/>
  </w:num>
  <w:num w:numId="5">
    <w:abstractNumId w:val="24"/>
  </w:num>
  <w:num w:numId="6">
    <w:abstractNumId w:val="12"/>
  </w:num>
  <w:num w:numId="7">
    <w:abstractNumId w:val="6"/>
  </w:num>
  <w:num w:numId="8">
    <w:abstractNumId w:val="16"/>
  </w:num>
  <w:num w:numId="9">
    <w:abstractNumId w:val="1"/>
  </w:num>
  <w:num w:numId="10">
    <w:abstractNumId w:val="23"/>
  </w:num>
  <w:num w:numId="11">
    <w:abstractNumId w:val="18"/>
  </w:num>
  <w:num w:numId="12">
    <w:abstractNumId w:val="4"/>
  </w:num>
  <w:num w:numId="13">
    <w:abstractNumId w:val="8"/>
  </w:num>
  <w:num w:numId="14">
    <w:abstractNumId w:val="2"/>
  </w:num>
  <w:num w:numId="15">
    <w:abstractNumId w:val="26"/>
  </w:num>
  <w:num w:numId="16">
    <w:abstractNumId w:val="17"/>
  </w:num>
  <w:num w:numId="17">
    <w:abstractNumId w:val="25"/>
  </w:num>
  <w:num w:numId="18">
    <w:abstractNumId w:val="11"/>
  </w:num>
  <w:num w:numId="19">
    <w:abstractNumId w:val="21"/>
  </w:num>
  <w:num w:numId="20">
    <w:abstractNumId w:val="0"/>
  </w:num>
  <w:num w:numId="21">
    <w:abstractNumId w:val="32"/>
  </w:num>
  <w:num w:numId="22">
    <w:abstractNumId w:val="20"/>
  </w:num>
  <w:num w:numId="23">
    <w:abstractNumId w:val="35"/>
  </w:num>
  <w:num w:numId="24">
    <w:abstractNumId w:val="7"/>
  </w:num>
  <w:num w:numId="25">
    <w:abstractNumId w:val="10"/>
  </w:num>
  <w:num w:numId="26">
    <w:abstractNumId w:val="15"/>
  </w:num>
  <w:num w:numId="27">
    <w:abstractNumId w:val="38"/>
  </w:num>
  <w:num w:numId="28">
    <w:abstractNumId w:val="34"/>
  </w:num>
  <w:num w:numId="29">
    <w:abstractNumId w:val="33"/>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2"/>
  </w:num>
  <w:num w:numId="41">
    <w:abstractNumId w:val="2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2">
    <w:abstractNumId w:val="9"/>
  </w:num>
  <w:num w:numId="43">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doNotTrackFormatting/>
  <w:defaultTabStop w:val="720"/>
  <w:evenAndOddHeaders/>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697"/>
    <w:rsid w:val="0000342C"/>
    <w:rsid w:val="00005711"/>
    <w:rsid w:val="000068CE"/>
    <w:rsid w:val="00006CCF"/>
    <w:rsid w:val="00016D24"/>
    <w:rsid w:val="00020518"/>
    <w:rsid w:val="00023092"/>
    <w:rsid w:val="000276C8"/>
    <w:rsid w:val="00034518"/>
    <w:rsid w:val="00034892"/>
    <w:rsid w:val="000370CD"/>
    <w:rsid w:val="00053F2B"/>
    <w:rsid w:val="000544B2"/>
    <w:rsid w:val="00054D7E"/>
    <w:rsid w:val="000600D7"/>
    <w:rsid w:val="00061F06"/>
    <w:rsid w:val="0007289B"/>
    <w:rsid w:val="00075553"/>
    <w:rsid w:val="000756A4"/>
    <w:rsid w:val="00075C84"/>
    <w:rsid w:val="00080935"/>
    <w:rsid w:val="0008136E"/>
    <w:rsid w:val="000822E1"/>
    <w:rsid w:val="00084F62"/>
    <w:rsid w:val="000921D9"/>
    <w:rsid w:val="000929BF"/>
    <w:rsid w:val="00094137"/>
    <w:rsid w:val="000945CA"/>
    <w:rsid w:val="000A24CA"/>
    <w:rsid w:val="000A516B"/>
    <w:rsid w:val="000A5B48"/>
    <w:rsid w:val="000A6305"/>
    <w:rsid w:val="000A7A9A"/>
    <w:rsid w:val="000C102A"/>
    <w:rsid w:val="000C24C1"/>
    <w:rsid w:val="000C60EB"/>
    <w:rsid w:val="000D0917"/>
    <w:rsid w:val="000D2DD4"/>
    <w:rsid w:val="000D3BDF"/>
    <w:rsid w:val="000D557A"/>
    <w:rsid w:val="000D59C0"/>
    <w:rsid w:val="000D6252"/>
    <w:rsid w:val="000D6DC1"/>
    <w:rsid w:val="000D7571"/>
    <w:rsid w:val="000E03D2"/>
    <w:rsid w:val="000F2269"/>
    <w:rsid w:val="000F2D88"/>
    <w:rsid w:val="000F3060"/>
    <w:rsid w:val="000F47B4"/>
    <w:rsid w:val="000F618E"/>
    <w:rsid w:val="000F7C55"/>
    <w:rsid w:val="00105095"/>
    <w:rsid w:val="001062C2"/>
    <w:rsid w:val="001070B9"/>
    <w:rsid w:val="001074FA"/>
    <w:rsid w:val="001106F1"/>
    <w:rsid w:val="001139F3"/>
    <w:rsid w:val="00122315"/>
    <w:rsid w:val="00124CD0"/>
    <w:rsid w:val="001315E5"/>
    <w:rsid w:val="00131922"/>
    <w:rsid w:val="0013356F"/>
    <w:rsid w:val="00137D4B"/>
    <w:rsid w:val="00142E04"/>
    <w:rsid w:val="00145BF7"/>
    <w:rsid w:val="00145EC7"/>
    <w:rsid w:val="001463CA"/>
    <w:rsid w:val="001517AF"/>
    <w:rsid w:val="0015266D"/>
    <w:rsid w:val="00155109"/>
    <w:rsid w:val="00161EEC"/>
    <w:rsid w:val="00162548"/>
    <w:rsid w:val="0016627B"/>
    <w:rsid w:val="00166744"/>
    <w:rsid w:val="00171022"/>
    <w:rsid w:val="0017478D"/>
    <w:rsid w:val="001760C0"/>
    <w:rsid w:val="0018034D"/>
    <w:rsid w:val="0018130F"/>
    <w:rsid w:val="00183747"/>
    <w:rsid w:val="00184520"/>
    <w:rsid w:val="00187866"/>
    <w:rsid w:val="00190A52"/>
    <w:rsid w:val="00191505"/>
    <w:rsid w:val="0019226A"/>
    <w:rsid w:val="001953B0"/>
    <w:rsid w:val="0019572B"/>
    <w:rsid w:val="001A201B"/>
    <w:rsid w:val="001A3A42"/>
    <w:rsid w:val="001B0C77"/>
    <w:rsid w:val="001B1D98"/>
    <w:rsid w:val="001B1F4B"/>
    <w:rsid w:val="001B53B5"/>
    <w:rsid w:val="001B5D48"/>
    <w:rsid w:val="001B6A78"/>
    <w:rsid w:val="001C002C"/>
    <w:rsid w:val="001C228D"/>
    <w:rsid w:val="001C2643"/>
    <w:rsid w:val="001C2B73"/>
    <w:rsid w:val="001C3456"/>
    <w:rsid w:val="001D1655"/>
    <w:rsid w:val="001D4DC9"/>
    <w:rsid w:val="001E19EB"/>
    <w:rsid w:val="001E3C6E"/>
    <w:rsid w:val="001E493A"/>
    <w:rsid w:val="001E4B84"/>
    <w:rsid w:val="001E669E"/>
    <w:rsid w:val="001F3638"/>
    <w:rsid w:val="0020001C"/>
    <w:rsid w:val="00200315"/>
    <w:rsid w:val="00202D3D"/>
    <w:rsid w:val="002050CA"/>
    <w:rsid w:val="00211396"/>
    <w:rsid w:val="00211A58"/>
    <w:rsid w:val="0021261B"/>
    <w:rsid w:val="0021322F"/>
    <w:rsid w:val="002203BB"/>
    <w:rsid w:val="00220E41"/>
    <w:rsid w:val="00221AF4"/>
    <w:rsid w:val="002252A9"/>
    <w:rsid w:val="00226573"/>
    <w:rsid w:val="00227E66"/>
    <w:rsid w:val="00230A1A"/>
    <w:rsid w:val="00233EE9"/>
    <w:rsid w:val="002413A8"/>
    <w:rsid w:val="00241C39"/>
    <w:rsid w:val="00242470"/>
    <w:rsid w:val="002426EE"/>
    <w:rsid w:val="00244557"/>
    <w:rsid w:val="002445AE"/>
    <w:rsid w:val="00256572"/>
    <w:rsid w:val="00256737"/>
    <w:rsid w:val="002716D8"/>
    <w:rsid w:val="0027389B"/>
    <w:rsid w:val="002771A3"/>
    <w:rsid w:val="0027776B"/>
    <w:rsid w:val="00280E6B"/>
    <w:rsid w:val="00282076"/>
    <w:rsid w:val="00283C99"/>
    <w:rsid w:val="00286AFF"/>
    <w:rsid w:val="00296BC2"/>
    <w:rsid w:val="002A02A5"/>
    <w:rsid w:val="002A0595"/>
    <w:rsid w:val="002A5AB1"/>
    <w:rsid w:val="002B1024"/>
    <w:rsid w:val="002B237B"/>
    <w:rsid w:val="002B3D06"/>
    <w:rsid w:val="002B443E"/>
    <w:rsid w:val="002C22AE"/>
    <w:rsid w:val="002C307C"/>
    <w:rsid w:val="002D1FA5"/>
    <w:rsid w:val="002D26F6"/>
    <w:rsid w:val="002D2E2B"/>
    <w:rsid w:val="002D5B01"/>
    <w:rsid w:val="002E4AD0"/>
    <w:rsid w:val="002E6CA0"/>
    <w:rsid w:val="002E7090"/>
    <w:rsid w:val="002E7526"/>
    <w:rsid w:val="002F0AE0"/>
    <w:rsid w:val="002F0E25"/>
    <w:rsid w:val="002F40AC"/>
    <w:rsid w:val="00300115"/>
    <w:rsid w:val="003060A0"/>
    <w:rsid w:val="00307B53"/>
    <w:rsid w:val="003139CE"/>
    <w:rsid w:val="003206D2"/>
    <w:rsid w:val="00320FA6"/>
    <w:rsid w:val="00322298"/>
    <w:rsid w:val="00322D44"/>
    <w:rsid w:val="00331235"/>
    <w:rsid w:val="0033425D"/>
    <w:rsid w:val="00335BCE"/>
    <w:rsid w:val="00336BB6"/>
    <w:rsid w:val="00340B20"/>
    <w:rsid w:val="00341126"/>
    <w:rsid w:val="00345F18"/>
    <w:rsid w:val="0035290D"/>
    <w:rsid w:val="0035375A"/>
    <w:rsid w:val="00354A97"/>
    <w:rsid w:val="003571F3"/>
    <w:rsid w:val="00357B16"/>
    <w:rsid w:val="00367278"/>
    <w:rsid w:val="00367FF2"/>
    <w:rsid w:val="00373824"/>
    <w:rsid w:val="00376F52"/>
    <w:rsid w:val="00377036"/>
    <w:rsid w:val="00381C3F"/>
    <w:rsid w:val="0038780B"/>
    <w:rsid w:val="00392568"/>
    <w:rsid w:val="00396BD5"/>
    <w:rsid w:val="003A3475"/>
    <w:rsid w:val="003A7355"/>
    <w:rsid w:val="003B021F"/>
    <w:rsid w:val="003B2FAD"/>
    <w:rsid w:val="003B6749"/>
    <w:rsid w:val="003B687D"/>
    <w:rsid w:val="003C110D"/>
    <w:rsid w:val="003C4376"/>
    <w:rsid w:val="003C7640"/>
    <w:rsid w:val="003D0BA2"/>
    <w:rsid w:val="003D65B6"/>
    <w:rsid w:val="003D72A0"/>
    <w:rsid w:val="003E2303"/>
    <w:rsid w:val="003E3190"/>
    <w:rsid w:val="003E57A9"/>
    <w:rsid w:val="003E5FE2"/>
    <w:rsid w:val="003E6BF0"/>
    <w:rsid w:val="003E78C7"/>
    <w:rsid w:val="003F5019"/>
    <w:rsid w:val="003F7EFE"/>
    <w:rsid w:val="004041A6"/>
    <w:rsid w:val="004047E9"/>
    <w:rsid w:val="00410CCA"/>
    <w:rsid w:val="00411320"/>
    <w:rsid w:val="00414ED6"/>
    <w:rsid w:val="00431B00"/>
    <w:rsid w:val="00431DE0"/>
    <w:rsid w:val="0043200D"/>
    <w:rsid w:val="00432734"/>
    <w:rsid w:val="00432D1F"/>
    <w:rsid w:val="00433E7A"/>
    <w:rsid w:val="00434ADB"/>
    <w:rsid w:val="0043693E"/>
    <w:rsid w:val="00437743"/>
    <w:rsid w:val="00456F6D"/>
    <w:rsid w:val="00463C43"/>
    <w:rsid w:val="00463CDA"/>
    <w:rsid w:val="00463FD5"/>
    <w:rsid w:val="00464B23"/>
    <w:rsid w:val="00465756"/>
    <w:rsid w:val="00472780"/>
    <w:rsid w:val="004734F3"/>
    <w:rsid w:val="004754C5"/>
    <w:rsid w:val="0047744F"/>
    <w:rsid w:val="00487A71"/>
    <w:rsid w:val="0049122A"/>
    <w:rsid w:val="00493F85"/>
    <w:rsid w:val="004A4854"/>
    <w:rsid w:val="004A5837"/>
    <w:rsid w:val="004B0F51"/>
    <w:rsid w:val="004B0FE0"/>
    <w:rsid w:val="004B1997"/>
    <w:rsid w:val="004B7D6F"/>
    <w:rsid w:val="004C0141"/>
    <w:rsid w:val="004C1712"/>
    <w:rsid w:val="004C50B9"/>
    <w:rsid w:val="004D43F7"/>
    <w:rsid w:val="004E094E"/>
    <w:rsid w:val="004E0AE7"/>
    <w:rsid w:val="004E26FF"/>
    <w:rsid w:val="004E64F0"/>
    <w:rsid w:val="004F074D"/>
    <w:rsid w:val="004F377E"/>
    <w:rsid w:val="004F4375"/>
    <w:rsid w:val="00503E68"/>
    <w:rsid w:val="005136A6"/>
    <w:rsid w:val="005220CC"/>
    <w:rsid w:val="0052410B"/>
    <w:rsid w:val="005272FC"/>
    <w:rsid w:val="00527590"/>
    <w:rsid w:val="00532EBA"/>
    <w:rsid w:val="0053433B"/>
    <w:rsid w:val="005349E7"/>
    <w:rsid w:val="0053741D"/>
    <w:rsid w:val="00540A5C"/>
    <w:rsid w:val="00543463"/>
    <w:rsid w:val="0054657C"/>
    <w:rsid w:val="00546851"/>
    <w:rsid w:val="00553FBE"/>
    <w:rsid w:val="00553FCA"/>
    <w:rsid w:val="00555243"/>
    <w:rsid w:val="00556DA0"/>
    <w:rsid w:val="00560387"/>
    <w:rsid w:val="005626A9"/>
    <w:rsid w:val="005628A7"/>
    <w:rsid w:val="00570CDC"/>
    <w:rsid w:val="00577D02"/>
    <w:rsid w:val="00581234"/>
    <w:rsid w:val="005845F8"/>
    <w:rsid w:val="00585993"/>
    <w:rsid w:val="005939AF"/>
    <w:rsid w:val="00595E7D"/>
    <w:rsid w:val="00596238"/>
    <w:rsid w:val="005A19E3"/>
    <w:rsid w:val="005A2C44"/>
    <w:rsid w:val="005A541A"/>
    <w:rsid w:val="005A7B22"/>
    <w:rsid w:val="005B0497"/>
    <w:rsid w:val="005B43E5"/>
    <w:rsid w:val="005B529A"/>
    <w:rsid w:val="005B5A52"/>
    <w:rsid w:val="005B6A95"/>
    <w:rsid w:val="005C1D4B"/>
    <w:rsid w:val="005C1E28"/>
    <w:rsid w:val="005C26E7"/>
    <w:rsid w:val="005C40E3"/>
    <w:rsid w:val="005C5AD9"/>
    <w:rsid w:val="005C65F7"/>
    <w:rsid w:val="005D0A54"/>
    <w:rsid w:val="005D340A"/>
    <w:rsid w:val="005D716E"/>
    <w:rsid w:val="005E01EC"/>
    <w:rsid w:val="005E07A3"/>
    <w:rsid w:val="005E3C2E"/>
    <w:rsid w:val="005E3D7B"/>
    <w:rsid w:val="005E6510"/>
    <w:rsid w:val="005E7292"/>
    <w:rsid w:val="005E73A6"/>
    <w:rsid w:val="005F4D60"/>
    <w:rsid w:val="00607AD1"/>
    <w:rsid w:val="00611415"/>
    <w:rsid w:val="0061274A"/>
    <w:rsid w:val="00617AB6"/>
    <w:rsid w:val="00621009"/>
    <w:rsid w:val="006211FD"/>
    <w:rsid w:val="00623AC1"/>
    <w:rsid w:val="00623EF6"/>
    <w:rsid w:val="0062499F"/>
    <w:rsid w:val="006266DC"/>
    <w:rsid w:val="0063457B"/>
    <w:rsid w:val="00634D48"/>
    <w:rsid w:val="00635B28"/>
    <w:rsid w:val="0063647E"/>
    <w:rsid w:val="006372A6"/>
    <w:rsid w:val="00637FF8"/>
    <w:rsid w:val="00647BF8"/>
    <w:rsid w:val="00651654"/>
    <w:rsid w:val="006530DA"/>
    <w:rsid w:val="006669C2"/>
    <w:rsid w:val="00675BD2"/>
    <w:rsid w:val="00681D08"/>
    <w:rsid w:val="0068226A"/>
    <w:rsid w:val="00690FFE"/>
    <w:rsid w:val="00691142"/>
    <w:rsid w:val="00691FF6"/>
    <w:rsid w:val="00693D5D"/>
    <w:rsid w:val="0069531C"/>
    <w:rsid w:val="006A2C56"/>
    <w:rsid w:val="006B156F"/>
    <w:rsid w:val="006B1584"/>
    <w:rsid w:val="006B27AF"/>
    <w:rsid w:val="006D0C79"/>
    <w:rsid w:val="006D2EA9"/>
    <w:rsid w:val="006D6614"/>
    <w:rsid w:val="006D6957"/>
    <w:rsid w:val="006E12EF"/>
    <w:rsid w:val="006E5C85"/>
    <w:rsid w:val="006E708E"/>
    <w:rsid w:val="006E752B"/>
    <w:rsid w:val="006E7DAC"/>
    <w:rsid w:val="0070050F"/>
    <w:rsid w:val="00701BD2"/>
    <w:rsid w:val="007058C9"/>
    <w:rsid w:val="00706EC0"/>
    <w:rsid w:val="00715BCC"/>
    <w:rsid w:val="00722B4E"/>
    <w:rsid w:val="00725A28"/>
    <w:rsid w:val="00726FDE"/>
    <w:rsid w:val="00727CD0"/>
    <w:rsid w:val="0073061E"/>
    <w:rsid w:val="00732CBC"/>
    <w:rsid w:val="00736E2A"/>
    <w:rsid w:val="00740687"/>
    <w:rsid w:val="00740EC1"/>
    <w:rsid w:val="00742F08"/>
    <w:rsid w:val="007475AD"/>
    <w:rsid w:val="00750E0D"/>
    <w:rsid w:val="00750FCC"/>
    <w:rsid w:val="00753AA0"/>
    <w:rsid w:val="007540ED"/>
    <w:rsid w:val="007562AA"/>
    <w:rsid w:val="00756C9D"/>
    <w:rsid w:val="00756D13"/>
    <w:rsid w:val="0075779C"/>
    <w:rsid w:val="00757A73"/>
    <w:rsid w:val="00780B88"/>
    <w:rsid w:val="00781DEF"/>
    <w:rsid w:val="00781E78"/>
    <w:rsid w:val="0078406A"/>
    <w:rsid w:val="007856C4"/>
    <w:rsid w:val="00786C02"/>
    <w:rsid w:val="007929E2"/>
    <w:rsid w:val="007931D1"/>
    <w:rsid w:val="007A13F3"/>
    <w:rsid w:val="007A3E2B"/>
    <w:rsid w:val="007A6D2C"/>
    <w:rsid w:val="007B0E28"/>
    <w:rsid w:val="007B622F"/>
    <w:rsid w:val="007B6ED8"/>
    <w:rsid w:val="007C64BB"/>
    <w:rsid w:val="007D0F0F"/>
    <w:rsid w:val="007D2AA9"/>
    <w:rsid w:val="007D5C04"/>
    <w:rsid w:val="007D6352"/>
    <w:rsid w:val="007D6B06"/>
    <w:rsid w:val="007E1B30"/>
    <w:rsid w:val="007E217A"/>
    <w:rsid w:val="007E3CC7"/>
    <w:rsid w:val="007E7C11"/>
    <w:rsid w:val="007E7D1A"/>
    <w:rsid w:val="007F1A36"/>
    <w:rsid w:val="007F1ADE"/>
    <w:rsid w:val="007F2CCA"/>
    <w:rsid w:val="00800AA0"/>
    <w:rsid w:val="00802D36"/>
    <w:rsid w:val="008033E9"/>
    <w:rsid w:val="0080367E"/>
    <w:rsid w:val="00804303"/>
    <w:rsid w:val="00804665"/>
    <w:rsid w:val="00805BE2"/>
    <w:rsid w:val="0080758B"/>
    <w:rsid w:val="00821FDF"/>
    <w:rsid w:val="00822C4F"/>
    <w:rsid w:val="00826309"/>
    <w:rsid w:val="00826396"/>
    <w:rsid w:val="00840323"/>
    <w:rsid w:val="0084147A"/>
    <w:rsid w:val="00842019"/>
    <w:rsid w:val="00845BB6"/>
    <w:rsid w:val="0084705E"/>
    <w:rsid w:val="0086376B"/>
    <w:rsid w:val="00864DF2"/>
    <w:rsid w:val="00865224"/>
    <w:rsid w:val="008654BC"/>
    <w:rsid w:val="00866C17"/>
    <w:rsid w:val="00871694"/>
    <w:rsid w:val="00872BDE"/>
    <w:rsid w:val="0087639D"/>
    <w:rsid w:val="008763F8"/>
    <w:rsid w:val="0088344F"/>
    <w:rsid w:val="00886F1E"/>
    <w:rsid w:val="00891007"/>
    <w:rsid w:val="00891EB9"/>
    <w:rsid w:val="008932A0"/>
    <w:rsid w:val="008B0A89"/>
    <w:rsid w:val="008B3E59"/>
    <w:rsid w:val="008B454F"/>
    <w:rsid w:val="008B474E"/>
    <w:rsid w:val="008B4A05"/>
    <w:rsid w:val="008B772B"/>
    <w:rsid w:val="008D3D01"/>
    <w:rsid w:val="008D40B6"/>
    <w:rsid w:val="008D4781"/>
    <w:rsid w:val="008D4F4F"/>
    <w:rsid w:val="008E0EB0"/>
    <w:rsid w:val="008E5658"/>
    <w:rsid w:val="008E696D"/>
    <w:rsid w:val="008E70B5"/>
    <w:rsid w:val="008F0DF1"/>
    <w:rsid w:val="008F1F64"/>
    <w:rsid w:val="008F20B5"/>
    <w:rsid w:val="008F5578"/>
    <w:rsid w:val="008F6F47"/>
    <w:rsid w:val="00907652"/>
    <w:rsid w:val="00912CFF"/>
    <w:rsid w:val="00913820"/>
    <w:rsid w:val="0091721D"/>
    <w:rsid w:val="00917A92"/>
    <w:rsid w:val="009206C6"/>
    <w:rsid w:val="009208B6"/>
    <w:rsid w:val="00924C25"/>
    <w:rsid w:val="00927E23"/>
    <w:rsid w:val="00933BCF"/>
    <w:rsid w:val="00934463"/>
    <w:rsid w:val="00936EE9"/>
    <w:rsid w:val="00937608"/>
    <w:rsid w:val="00942F7A"/>
    <w:rsid w:val="009469F9"/>
    <w:rsid w:val="00947BE0"/>
    <w:rsid w:val="00953DED"/>
    <w:rsid w:val="00956F7B"/>
    <w:rsid w:val="009574B5"/>
    <w:rsid w:val="009575F9"/>
    <w:rsid w:val="00957BC4"/>
    <w:rsid w:val="00962F90"/>
    <w:rsid w:val="00972B11"/>
    <w:rsid w:val="00980B37"/>
    <w:rsid w:val="00982036"/>
    <w:rsid w:val="00983DD8"/>
    <w:rsid w:val="00987BBD"/>
    <w:rsid w:val="00987CFF"/>
    <w:rsid w:val="009901FD"/>
    <w:rsid w:val="0099106B"/>
    <w:rsid w:val="009945F3"/>
    <w:rsid w:val="00996870"/>
    <w:rsid w:val="009A6B51"/>
    <w:rsid w:val="009B1A3E"/>
    <w:rsid w:val="009B3B12"/>
    <w:rsid w:val="009B5875"/>
    <w:rsid w:val="009B5E7F"/>
    <w:rsid w:val="009C2744"/>
    <w:rsid w:val="009C4B17"/>
    <w:rsid w:val="009C685A"/>
    <w:rsid w:val="009D1E87"/>
    <w:rsid w:val="009D516D"/>
    <w:rsid w:val="009D7B86"/>
    <w:rsid w:val="009E1864"/>
    <w:rsid w:val="009E77AC"/>
    <w:rsid w:val="009F1A60"/>
    <w:rsid w:val="009F2936"/>
    <w:rsid w:val="009F383C"/>
    <w:rsid w:val="009F469A"/>
    <w:rsid w:val="00A00330"/>
    <w:rsid w:val="00A03E87"/>
    <w:rsid w:val="00A06FC0"/>
    <w:rsid w:val="00A12746"/>
    <w:rsid w:val="00A12930"/>
    <w:rsid w:val="00A15074"/>
    <w:rsid w:val="00A21796"/>
    <w:rsid w:val="00A33B5F"/>
    <w:rsid w:val="00A33F56"/>
    <w:rsid w:val="00A37147"/>
    <w:rsid w:val="00A378B9"/>
    <w:rsid w:val="00A37CF8"/>
    <w:rsid w:val="00A405EE"/>
    <w:rsid w:val="00A40D1A"/>
    <w:rsid w:val="00A4334D"/>
    <w:rsid w:val="00A4586D"/>
    <w:rsid w:val="00A46E78"/>
    <w:rsid w:val="00A56563"/>
    <w:rsid w:val="00A62E54"/>
    <w:rsid w:val="00A64412"/>
    <w:rsid w:val="00A67D20"/>
    <w:rsid w:val="00A71B9C"/>
    <w:rsid w:val="00A76D6F"/>
    <w:rsid w:val="00A771AD"/>
    <w:rsid w:val="00A779E7"/>
    <w:rsid w:val="00A810C4"/>
    <w:rsid w:val="00A819F1"/>
    <w:rsid w:val="00A82520"/>
    <w:rsid w:val="00A84D52"/>
    <w:rsid w:val="00A9030C"/>
    <w:rsid w:val="00A914DC"/>
    <w:rsid w:val="00A92F69"/>
    <w:rsid w:val="00AA54D9"/>
    <w:rsid w:val="00AB2557"/>
    <w:rsid w:val="00AB514A"/>
    <w:rsid w:val="00AC007C"/>
    <w:rsid w:val="00AD1E8E"/>
    <w:rsid w:val="00AD7B57"/>
    <w:rsid w:val="00AE0068"/>
    <w:rsid w:val="00AE2E03"/>
    <w:rsid w:val="00AE6E53"/>
    <w:rsid w:val="00AF4949"/>
    <w:rsid w:val="00B006A2"/>
    <w:rsid w:val="00B05B58"/>
    <w:rsid w:val="00B07649"/>
    <w:rsid w:val="00B10563"/>
    <w:rsid w:val="00B111B3"/>
    <w:rsid w:val="00B11BA0"/>
    <w:rsid w:val="00B13519"/>
    <w:rsid w:val="00B166F0"/>
    <w:rsid w:val="00B2359F"/>
    <w:rsid w:val="00B23E6C"/>
    <w:rsid w:val="00B24A38"/>
    <w:rsid w:val="00B26F89"/>
    <w:rsid w:val="00B31054"/>
    <w:rsid w:val="00B427F6"/>
    <w:rsid w:val="00B43878"/>
    <w:rsid w:val="00B43F83"/>
    <w:rsid w:val="00B4494B"/>
    <w:rsid w:val="00B44E06"/>
    <w:rsid w:val="00B500DC"/>
    <w:rsid w:val="00B61D65"/>
    <w:rsid w:val="00B6427B"/>
    <w:rsid w:val="00B70998"/>
    <w:rsid w:val="00B720BD"/>
    <w:rsid w:val="00B73514"/>
    <w:rsid w:val="00B74899"/>
    <w:rsid w:val="00B748F1"/>
    <w:rsid w:val="00B77E49"/>
    <w:rsid w:val="00B87ADE"/>
    <w:rsid w:val="00B90AE8"/>
    <w:rsid w:val="00B911C5"/>
    <w:rsid w:val="00B913B9"/>
    <w:rsid w:val="00B919B4"/>
    <w:rsid w:val="00B91DBE"/>
    <w:rsid w:val="00B93C03"/>
    <w:rsid w:val="00B94E1F"/>
    <w:rsid w:val="00B959FE"/>
    <w:rsid w:val="00BA6200"/>
    <w:rsid w:val="00BB1B13"/>
    <w:rsid w:val="00BB3AAF"/>
    <w:rsid w:val="00BB3F01"/>
    <w:rsid w:val="00BB3FF6"/>
    <w:rsid w:val="00BB5C59"/>
    <w:rsid w:val="00BC30C8"/>
    <w:rsid w:val="00BC4CC6"/>
    <w:rsid w:val="00BC6E56"/>
    <w:rsid w:val="00BC7053"/>
    <w:rsid w:val="00BE44C5"/>
    <w:rsid w:val="00BE7130"/>
    <w:rsid w:val="00BF4066"/>
    <w:rsid w:val="00BF5D81"/>
    <w:rsid w:val="00C048E9"/>
    <w:rsid w:val="00C04E32"/>
    <w:rsid w:val="00C06A60"/>
    <w:rsid w:val="00C06B3A"/>
    <w:rsid w:val="00C11C20"/>
    <w:rsid w:val="00C16015"/>
    <w:rsid w:val="00C21B1D"/>
    <w:rsid w:val="00C254DA"/>
    <w:rsid w:val="00C268C8"/>
    <w:rsid w:val="00C27024"/>
    <w:rsid w:val="00C31825"/>
    <w:rsid w:val="00C324BB"/>
    <w:rsid w:val="00C35B32"/>
    <w:rsid w:val="00C36DBB"/>
    <w:rsid w:val="00C43D2E"/>
    <w:rsid w:val="00C462C8"/>
    <w:rsid w:val="00C46542"/>
    <w:rsid w:val="00C47908"/>
    <w:rsid w:val="00C51162"/>
    <w:rsid w:val="00C52355"/>
    <w:rsid w:val="00C5713F"/>
    <w:rsid w:val="00C601B2"/>
    <w:rsid w:val="00C66261"/>
    <w:rsid w:val="00C720B3"/>
    <w:rsid w:val="00C73DB3"/>
    <w:rsid w:val="00C744B7"/>
    <w:rsid w:val="00C769B0"/>
    <w:rsid w:val="00C80767"/>
    <w:rsid w:val="00C81A2B"/>
    <w:rsid w:val="00C82412"/>
    <w:rsid w:val="00C86D72"/>
    <w:rsid w:val="00C915C4"/>
    <w:rsid w:val="00C9304F"/>
    <w:rsid w:val="00C93A9D"/>
    <w:rsid w:val="00C93EA2"/>
    <w:rsid w:val="00C966F5"/>
    <w:rsid w:val="00C97338"/>
    <w:rsid w:val="00CA3CF2"/>
    <w:rsid w:val="00CA4A07"/>
    <w:rsid w:val="00CB0D3A"/>
    <w:rsid w:val="00CB0E91"/>
    <w:rsid w:val="00CB1101"/>
    <w:rsid w:val="00CB5085"/>
    <w:rsid w:val="00CB7FBA"/>
    <w:rsid w:val="00CC0BC3"/>
    <w:rsid w:val="00CC1581"/>
    <w:rsid w:val="00CC159C"/>
    <w:rsid w:val="00CC1C1B"/>
    <w:rsid w:val="00CC2348"/>
    <w:rsid w:val="00CC57C8"/>
    <w:rsid w:val="00CD3AD9"/>
    <w:rsid w:val="00CD46FA"/>
    <w:rsid w:val="00CD7128"/>
    <w:rsid w:val="00CE061C"/>
    <w:rsid w:val="00CE70A2"/>
    <w:rsid w:val="00CE7FEC"/>
    <w:rsid w:val="00CF3738"/>
    <w:rsid w:val="00CF3F64"/>
    <w:rsid w:val="00CF5C69"/>
    <w:rsid w:val="00D001DA"/>
    <w:rsid w:val="00D05D79"/>
    <w:rsid w:val="00D133C4"/>
    <w:rsid w:val="00D244FC"/>
    <w:rsid w:val="00D24528"/>
    <w:rsid w:val="00D32FD1"/>
    <w:rsid w:val="00D332BC"/>
    <w:rsid w:val="00D33965"/>
    <w:rsid w:val="00D34721"/>
    <w:rsid w:val="00D3708E"/>
    <w:rsid w:val="00D376EE"/>
    <w:rsid w:val="00D42925"/>
    <w:rsid w:val="00D44E7C"/>
    <w:rsid w:val="00D47581"/>
    <w:rsid w:val="00D61C20"/>
    <w:rsid w:val="00D638BA"/>
    <w:rsid w:val="00D6412E"/>
    <w:rsid w:val="00D66636"/>
    <w:rsid w:val="00D7583B"/>
    <w:rsid w:val="00D7587E"/>
    <w:rsid w:val="00D816FB"/>
    <w:rsid w:val="00D83924"/>
    <w:rsid w:val="00D83E8D"/>
    <w:rsid w:val="00D86A23"/>
    <w:rsid w:val="00D9001A"/>
    <w:rsid w:val="00D94BE1"/>
    <w:rsid w:val="00D96B6E"/>
    <w:rsid w:val="00DA5671"/>
    <w:rsid w:val="00DA67E0"/>
    <w:rsid w:val="00DB191B"/>
    <w:rsid w:val="00DB2D93"/>
    <w:rsid w:val="00DB4779"/>
    <w:rsid w:val="00DC364D"/>
    <w:rsid w:val="00DC3D00"/>
    <w:rsid w:val="00DC65C4"/>
    <w:rsid w:val="00DC72E1"/>
    <w:rsid w:val="00DD10DE"/>
    <w:rsid w:val="00DD1118"/>
    <w:rsid w:val="00DD19D9"/>
    <w:rsid w:val="00DD5329"/>
    <w:rsid w:val="00DD5582"/>
    <w:rsid w:val="00DD5910"/>
    <w:rsid w:val="00DD5A47"/>
    <w:rsid w:val="00DD5F58"/>
    <w:rsid w:val="00DD63EA"/>
    <w:rsid w:val="00DD6FD5"/>
    <w:rsid w:val="00DD7E95"/>
    <w:rsid w:val="00DE2BAC"/>
    <w:rsid w:val="00DF035B"/>
    <w:rsid w:val="00DF09F3"/>
    <w:rsid w:val="00DF2196"/>
    <w:rsid w:val="00DF4063"/>
    <w:rsid w:val="00DF517A"/>
    <w:rsid w:val="00DF604F"/>
    <w:rsid w:val="00DF770A"/>
    <w:rsid w:val="00E01F09"/>
    <w:rsid w:val="00E11097"/>
    <w:rsid w:val="00E12C5A"/>
    <w:rsid w:val="00E13521"/>
    <w:rsid w:val="00E13A83"/>
    <w:rsid w:val="00E17B4B"/>
    <w:rsid w:val="00E2047F"/>
    <w:rsid w:val="00E23103"/>
    <w:rsid w:val="00E24655"/>
    <w:rsid w:val="00E27915"/>
    <w:rsid w:val="00E30AE5"/>
    <w:rsid w:val="00E34158"/>
    <w:rsid w:val="00E36238"/>
    <w:rsid w:val="00E36A4E"/>
    <w:rsid w:val="00E40B87"/>
    <w:rsid w:val="00E435F7"/>
    <w:rsid w:val="00E47C0F"/>
    <w:rsid w:val="00E5003B"/>
    <w:rsid w:val="00E50DE0"/>
    <w:rsid w:val="00E551D2"/>
    <w:rsid w:val="00E64B4E"/>
    <w:rsid w:val="00E6503C"/>
    <w:rsid w:val="00E65352"/>
    <w:rsid w:val="00E67850"/>
    <w:rsid w:val="00E90CBE"/>
    <w:rsid w:val="00E91435"/>
    <w:rsid w:val="00E92B40"/>
    <w:rsid w:val="00E931D2"/>
    <w:rsid w:val="00E9358F"/>
    <w:rsid w:val="00E93C48"/>
    <w:rsid w:val="00E946F3"/>
    <w:rsid w:val="00E95FC3"/>
    <w:rsid w:val="00EA0A46"/>
    <w:rsid w:val="00EA2833"/>
    <w:rsid w:val="00EA4677"/>
    <w:rsid w:val="00EA4AC5"/>
    <w:rsid w:val="00EA4E67"/>
    <w:rsid w:val="00EA5697"/>
    <w:rsid w:val="00EA778C"/>
    <w:rsid w:val="00EA7E33"/>
    <w:rsid w:val="00EB0BC8"/>
    <w:rsid w:val="00EB768F"/>
    <w:rsid w:val="00EC3231"/>
    <w:rsid w:val="00EC3FDC"/>
    <w:rsid w:val="00EC476F"/>
    <w:rsid w:val="00EC60EE"/>
    <w:rsid w:val="00ED05A1"/>
    <w:rsid w:val="00ED2B3F"/>
    <w:rsid w:val="00ED2C94"/>
    <w:rsid w:val="00EE0D78"/>
    <w:rsid w:val="00EE0ECC"/>
    <w:rsid w:val="00EE26D8"/>
    <w:rsid w:val="00EE38E8"/>
    <w:rsid w:val="00EE4D44"/>
    <w:rsid w:val="00EE6013"/>
    <w:rsid w:val="00EE751F"/>
    <w:rsid w:val="00EF0ACB"/>
    <w:rsid w:val="00EF1BF4"/>
    <w:rsid w:val="00F0388E"/>
    <w:rsid w:val="00F10161"/>
    <w:rsid w:val="00F11916"/>
    <w:rsid w:val="00F221F8"/>
    <w:rsid w:val="00F2559E"/>
    <w:rsid w:val="00F411E1"/>
    <w:rsid w:val="00F42EDE"/>
    <w:rsid w:val="00F453B4"/>
    <w:rsid w:val="00F6295B"/>
    <w:rsid w:val="00F711DA"/>
    <w:rsid w:val="00F73A66"/>
    <w:rsid w:val="00F74F40"/>
    <w:rsid w:val="00F77540"/>
    <w:rsid w:val="00F80588"/>
    <w:rsid w:val="00F82437"/>
    <w:rsid w:val="00F83221"/>
    <w:rsid w:val="00F876B8"/>
    <w:rsid w:val="00F94A22"/>
    <w:rsid w:val="00F977FA"/>
    <w:rsid w:val="00F97C8F"/>
    <w:rsid w:val="00FA2D9E"/>
    <w:rsid w:val="00FA6C7F"/>
    <w:rsid w:val="00FA7755"/>
    <w:rsid w:val="00FB0445"/>
    <w:rsid w:val="00FB384B"/>
    <w:rsid w:val="00FB4790"/>
    <w:rsid w:val="00FC0073"/>
    <w:rsid w:val="00FC2E31"/>
    <w:rsid w:val="00FC7089"/>
    <w:rsid w:val="00FD207E"/>
    <w:rsid w:val="00FD6639"/>
    <w:rsid w:val="00FE0A1E"/>
    <w:rsid w:val="00FE1F68"/>
    <w:rsid w:val="00FE323C"/>
    <w:rsid w:val="00FF0F1F"/>
    <w:rsid w:val="00FF1866"/>
    <w:rsid w:val="00FF26CF"/>
    <w:rsid w:val="00FF2AB6"/>
    <w:rsid w:val="00FF2F2C"/>
    <w:rsid w:val="00FF7B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B2F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72"/>
    <w:pPr>
      <w:spacing w:after="240" w:line="260" w:lineRule="exact"/>
      <w:jc w:val="both"/>
    </w:pPr>
    <w:rPr>
      <w:rFonts w:ascii="Book Antiqua" w:eastAsia="Times New Roman" w:hAnsi="Book Antiqua" w:cs="Times New Roman"/>
      <w:color w:val="000000"/>
      <w:szCs w:val="20"/>
      <w:lang w:eastAsia="en-AU"/>
    </w:rPr>
  </w:style>
  <w:style w:type="paragraph" w:styleId="Heading1">
    <w:name w:val="heading 1"/>
    <w:basedOn w:val="HeadingBase"/>
    <w:next w:val="OutlineNumbered1"/>
    <w:link w:val="Heading1Char"/>
    <w:qFormat/>
    <w:rsid w:val="002D26F6"/>
    <w:pPr>
      <w:pBdr>
        <w:bottom w:val="single" w:sz="6" w:space="14" w:color="1F497D" w:themeColor="text2"/>
      </w:pBdr>
      <w:spacing w:after="360"/>
      <w:outlineLvl w:val="0"/>
    </w:pPr>
    <w:rPr>
      <w:rFonts w:ascii="Calibri" w:eastAsiaTheme="minorHAnsi" w:hAnsi="Calibri" w:cs="Arial"/>
      <w:b/>
      <w:bCs/>
      <w:caps/>
      <w:kern w:val="32"/>
      <w:sz w:val="36"/>
      <w:szCs w:val="36"/>
    </w:rPr>
  </w:style>
  <w:style w:type="paragraph" w:styleId="Heading2">
    <w:name w:val="heading 2"/>
    <w:basedOn w:val="HeadingBase"/>
    <w:next w:val="OutlineNumbered1"/>
    <w:link w:val="Heading2Char"/>
    <w:qFormat/>
    <w:rsid w:val="00C462C8"/>
    <w:pPr>
      <w:numPr>
        <w:ilvl w:val="1"/>
        <w:numId w:val="43"/>
      </w:numPr>
      <w:tabs>
        <w:tab w:val="left" w:pos="567"/>
      </w:tabs>
      <w:spacing w:before="300" w:after="180"/>
      <w:ind w:left="567" w:hanging="567"/>
      <w:outlineLvl w:val="1"/>
    </w:pPr>
    <w:rPr>
      <w:rFonts w:ascii="Calibri" w:hAnsi="Calibri" w:cs="Arial"/>
      <w:b/>
      <w:bCs/>
      <w:iCs/>
      <w:smallCaps/>
      <w:sz w:val="32"/>
      <w:szCs w:val="28"/>
    </w:rPr>
  </w:style>
  <w:style w:type="paragraph" w:styleId="Heading3">
    <w:name w:val="heading 3"/>
    <w:basedOn w:val="HeadingBase"/>
    <w:next w:val="OutlineNumbered1"/>
    <w:link w:val="Heading3Char"/>
    <w:qFormat/>
    <w:rsid w:val="00256572"/>
    <w:pPr>
      <w:numPr>
        <w:ilvl w:val="2"/>
        <w:numId w:val="43"/>
      </w:numPr>
      <w:spacing w:before="120" w:after="240"/>
      <w:outlineLvl w:val="2"/>
    </w:pPr>
    <w:rPr>
      <w:rFonts w:cs="Arial"/>
      <w:b/>
      <w:bCs/>
      <w:sz w:val="26"/>
      <w:szCs w:val="26"/>
    </w:rPr>
  </w:style>
  <w:style w:type="paragraph" w:styleId="Heading4">
    <w:name w:val="heading 4"/>
    <w:basedOn w:val="HeadingBase"/>
    <w:next w:val="OutlineNumbered1"/>
    <w:link w:val="Heading4Char"/>
    <w:qFormat/>
    <w:rsid w:val="00256572"/>
    <w:pPr>
      <w:numPr>
        <w:ilvl w:val="3"/>
        <w:numId w:val="43"/>
      </w:numPr>
      <w:spacing w:after="240"/>
      <w:outlineLvl w:val="3"/>
    </w:pPr>
    <w:rPr>
      <w:b/>
      <w:bCs/>
      <w:sz w:val="22"/>
      <w:szCs w:val="22"/>
    </w:rPr>
  </w:style>
  <w:style w:type="paragraph" w:styleId="Heading5">
    <w:name w:val="heading 5"/>
    <w:basedOn w:val="HeadingBase"/>
    <w:next w:val="OutlineNumbered1"/>
    <w:link w:val="Heading5Char"/>
    <w:qFormat/>
    <w:rsid w:val="00256572"/>
    <w:pPr>
      <w:numPr>
        <w:ilvl w:val="4"/>
        <w:numId w:val="43"/>
      </w:numPr>
      <w:spacing w:after="120"/>
      <w:outlineLvl w:val="4"/>
    </w:pPr>
    <w:rPr>
      <w:b/>
      <w:bCs/>
      <w:iCs/>
    </w:rPr>
  </w:style>
  <w:style w:type="paragraph" w:styleId="Heading6">
    <w:name w:val="heading 6"/>
    <w:basedOn w:val="HeadingBase"/>
    <w:next w:val="OutlineNumbered1"/>
    <w:link w:val="Heading6Char"/>
    <w:qFormat/>
    <w:rsid w:val="00256572"/>
    <w:pPr>
      <w:numPr>
        <w:ilvl w:val="5"/>
        <w:numId w:val="43"/>
      </w:numPr>
      <w:spacing w:after="120"/>
      <w:outlineLvl w:val="5"/>
    </w:pPr>
    <w:rPr>
      <w:bCs/>
      <w:szCs w:val="22"/>
    </w:rPr>
  </w:style>
  <w:style w:type="paragraph" w:styleId="Heading7">
    <w:name w:val="heading 7"/>
    <w:basedOn w:val="HeadingBase"/>
    <w:next w:val="Normal"/>
    <w:link w:val="Heading7Char"/>
    <w:qFormat/>
    <w:rsid w:val="00256572"/>
    <w:pPr>
      <w:numPr>
        <w:ilvl w:val="6"/>
        <w:numId w:val="43"/>
      </w:numPr>
      <w:spacing w:after="120"/>
      <w:outlineLvl w:val="6"/>
    </w:pPr>
    <w:rPr>
      <w:szCs w:val="24"/>
    </w:rPr>
  </w:style>
  <w:style w:type="paragraph" w:styleId="Heading8">
    <w:name w:val="heading 8"/>
    <w:basedOn w:val="HeadingBase"/>
    <w:next w:val="Normal"/>
    <w:link w:val="Heading8Char"/>
    <w:qFormat/>
    <w:rsid w:val="00256572"/>
    <w:pPr>
      <w:numPr>
        <w:ilvl w:val="7"/>
        <w:numId w:val="43"/>
      </w:numPr>
      <w:spacing w:after="120"/>
      <w:outlineLvl w:val="7"/>
    </w:pPr>
    <w:rPr>
      <w:iCs/>
      <w:szCs w:val="24"/>
    </w:rPr>
  </w:style>
  <w:style w:type="paragraph" w:styleId="Heading9">
    <w:name w:val="heading 9"/>
    <w:basedOn w:val="HeadingBase"/>
    <w:next w:val="Normal"/>
    <w:link w:val="Heading9Char"/>
    <w:qFormat/>
    <w:rsid w:val="00256572"/>
    <w:pPr>
      <w:numPr>
        <w:ilvl w:val="8"/>
        <w:numId w:val="43"/>
      </w:num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2355"/>
    <w:pPr>
      <w:framePr w:w="7920" w:h="1980" w:hRule="exact" w:hSpace="180" w:wrap="auto" w:hAnchor="page" w:xAlign="center" w:yAlign="bottom"/>
      <w:spacing w:after="0" w:line="240" w:lineRule="auto"/>
      <w:ind w:left="2880"/>
    </w:pPr>
    <w:rPr>
      <w:rFonts w:ascii="Garamond" w:eastAsiaTheme="majorEastAsia" w:hAnsi="Garamond" w:cstheme="majorBidi"/>
      <w:b/>
      <w:sz w:val="24"/>
      <w:szCs w:val="24"/>
    </w:rPr>
  </w:style>
  <w:style w:type="paragraph" w:styleId="Title">
    <w:name w:val="Title"/>
    <w:basedOn w:val="HeadingBaseStyle"/>
    <w:link w:val="TitleChar"/>
    <w:autoRedefine/>
    <w:uiPriority w:val="10"/>
    <w:qFormat/>
    <w:rsid w:val="009F469A"/>
    <w:pPr>
      <w:pBdr>
        <w:bottom w:val="single" w:sz="12" w:space="18" w:color="1F497D" w:themeColor="text2"/>
      </w:pBdr>
      <w:shd w:val="clear" w:color="auto" w:fill="FFFFFF" w:themeFill="background1"/>
      <w:spacing w:after="480" w:line="240" w:lineRule="auto"/>
      <w:jc w:val="center"/>
    </w:pPr>
    <w:rPr>
      <w:rFonts w:ascii="Calibri" w:hAnsi="Calibri"/>
      <w:b/>
      <w:color w:val="1F497D" w:themeColor="text2"/>
      <w:sz w:val="60"/>
    </w:rPr>
  </w:style>
  <w:style w:type="character" w:customStyle="1" w:styleId="TitleChar">
    <w:name w:val="Title Char"/>
    <w:basedOn w:val="DefaultParagraphFont"/>
    <w:link w:val="Title"/>
    <w:uiPriority w:val="10"/>
    <w:rsid w:val="009F469A"/>
    <w:rPr>
      <w:rFonts w:ascii="Calibri" w:eastAsia="Times New Roman" w:hAnsi="Calibri" w:cs="Times New Roman"/>
      <w:b/>
      <w:color w:val="1F497D" w:themeColor="text2"/>
      <w:sz w:val="60"/>
      <w:szCs w:val="20"/>
      <w:shd w:val="clear" w:color="auto" w:fill="FFFFFF" w:themeFill="background1"/>
      <w:lang w:eastAsia="en-AU"/>
    </w:rPr>
  </w:style>
  <w:style w:type="character" w:customStyle="1" w:styleId="Heading1Char">
    <w:name w:val="Heading 1 Char"/>
    <w:basedOn w:val="DefaultParagraphFont"/>
    <w:link w:val="Heading1"/>
    <w:rsid w:val="00CB7FBA"/>
    <w:rPr>
      <w:rFonts w:ascii="Calibri" w:hAnsi="Calibri" w:cs="Arial"/>
      <w:b/>
      <w:bCs/>
      <w:caps/>
      <w:color w:val="1F497D" w:themeColor="text2"/>
      <w:kern w:val="32"/>
      <w:sz w:val="36"/>
      <w:szCs w:val="36"/>
      <w:lang w:eastAsia="en-AU"/>
    </w:rPr>
  </w:style>
  <w:style w:type="paragraph" w:styleId="TOCHeading">
    <w:name w:val="TOC Heading"/>
    <w:basedOn w:val="Heading1"/>
    <w:next w:val="Normal"/>
    <w:uiPriority w:val="39"/>
    <w:semiHidden/>
    <w:unhideWhenUsed/>
    <w:qFormat/>
    <w:rsid w:val="00E551D2"/>
    <w:pPr>
      <w:outlineLvl w:val="9"/>
    </w:pPr>
    <w:rPr>
      <w:lang w:val="en-US" w:eastAsia="ja-JP"/>
    </w:rPr>
  </w:style>
  <w:style w:type="paragraph" w:styleId="TOC1">
    <w:name w:val="toc 1"/>
    <w:basedOn w:val="HeadingBase"/>
    <w:next w:val="Normal"/>
    <w:uiPriority w:val="39"/>
    <w:rsid w:val="002D26F6"/>
    <w:pPr>
      <w:tabs>
        <w:tab w:val="left" w:pos="426"/>
        <w:tab w:val="right" w:leader="dot" w:pos="9016"/>
        <w:tab w:val="right" w:leader="dot" w:pos="9072"/>
      </w:tabs>
      <w:spacing w:before="180" w:after="80"/>
      <w:ind w:left="425" w:right="851" w:hanging="425"/>
    </w:pPr>
    <w:rPr>
      <w:b/>
      <w:sz w:val="22"/>
      <w:szCs w:val="22"/>
    </w:rPr>
  </w:style>
  <w:style w:type="character" w:styleId="Hyperlink">
    <w:name w:val="Hyperlink"/>
    <w:basedOn w:val="DefaultParagraphFont"/>
    <w:uiPriority w:val="99"/>
    <w:rsid w:val="00256572"/>
    <w:rPr>
      <w:b/>
      <w:color w:val="1F497D" w:themeColor="text2"/>
      <w:u w:val="none"/>
    </w:rPr>
  </w:style>
  <w:style w:type="paragraph" w:styleId="BalloonText">
    <w:name w:val="Balloon Text"/>
    <w:basedOn w:val="Normal"/>
    <w:link w:val="BalloonTextChar"/>
    <w:uiPriority w:val="99"/>
    <w:unhideWhenUsed/>
    <w:rsid w:val="00256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56572"/>
    <w:rPr>
      <w:rFonts w:ascii="Tahoma" w:eastAsia="Times New Roman" w:hAnsi="Tahoma" w:cs="Tahoma"/>
      <w:color w:val="000000"/>
      <w:sz w:val="16"/>
      <w:szCs w:val="16"/>
      <w:lang w:eastAsia="en-AU"/>
    </w:rPr>
  </w:style>
  <w:style w:type="paragraph" w:customStyle="1" w:styleId="Bullet">
    <w:name w:val="Bullet"/>
    <w:basedOn w:val="Normal"/>
    <w:link w:val="BulletChar"/>
    <w:rsid w:val="00256572"/>
    <w:pPr>
      <w:numPr>
        <w:numId w:val="6"/>
      </w:numPr>
    </w:pPr>
  </w:style>
  <w:style w:type="character" w:customStyle="1" w:styleId="BulletChar">
    <w:name w:val="Bullet Char"/>
    <w:basedOn w:val="Heading1Char"/>
    <w:link w:val="Bullet"/>
    <w:rsid w:val="004E0AE7"/>
    <w:rPr>
      <w:rFonts w:ascii="Book Antiqua" w:eastAsia="Times New Roman" w:hAnsi="Book Antiqua" w:cs="Times New Roman"/>
      <w:b w:val="0"/>
      <w:bCs w:val="0"/>
      <w:caps w:val="0"/>
      <w:color w:val="000000"/>
      <w:kern w:val="32"/>
      <w:sz w:val="36"/>
      <w:szCs w:val="20"/>
      <w:lang w:eastAsia="en-AU"/>
    </w:rPr>
  </w:style>
  <w:style w:type="paragraph" w:customStyle="1" w:styleId="Dash">
    <w:name w:val="Dash"/>
    <w:basedOn w:val="Normal"/>
    <w:link w:val="DashChar"/>
    <w:rsid w:val="00256572"/>
    <w:pPr>
      <w:numPr>
        <w:ilvl w:val="1"/>
        <w:numId w:val="6"/>
      </w:numPr>
    </w:pPr>
  </w:style>
  <w:style w:type="character" w:customStyle="1" w:styleId="DashChar">
    <w:name w:val="Dash Char"/>
    <w:basedOn w:val="Heading1Char"/>
    <w:link w:val="Dash"/>
    <w:rsid w:val="004E0AE7"/>
    <w:rPr>
      <w:rFonts w:ascii="Book Antiqua" w:eastAsia="Times New Roman" w:hAnsi="Book Antiqua" w:cs="Times New Roman"/>
      <w:b w:val="0"/>
      <w:bCs w:val="0"/>
      <w:caps w:val="0"/>
      <w:color w:val="000000"/>
      <w:kern w:val="32"/>
      <w:sz w:val="36"/>
      <w:szCs w:val="20"/>
      <w:lang w:eastAsia="en-AU"/>
    </w:rPr>
  </w:style>
  <w:style w:type="paragraph" w:customStyle="1" w:styleId="DoubleDot">
    <w:name w:val="Double Dot"/>
    <w:basedOn w:val="Normal"/>
    <w:link w:val="DoubleDotChar"/>
    <w:rsid w:val="00256572"/>
    <w:pPr>
      <w:numPr>
        <w:ilvl w:val="2"/>
        <w:numId w:val="6"/>
      </w:numPr>
    </w:pPr>
  </w:style>
  <w:style w:type="character" w:customStyle="1" w:styleId="DoubleDotChar">
    <w:name w:val="Double Dot Char"/>
    <w:basedOn w:val="Heading1Char"/>
    <w:link w:val="DoubleDot"/>
    <w:rsid w:val="004E0AE7"/>
    <w:rPr>
      <w:rFonts w:ascii="Book Antiqua" w:eastAsia="Times New Roman" w:hAnsi="Book Antiqua" w:cs="Times New Roman"/>
      <w:b w:val="0"/>
      <w:bCs w:val="0"/>
      <w:caps w:val="0"/>
      <w:color w:val="000000"/>
      <w:kern w:val="32"/>
      <w:sz w:val="36"/>
      <w:szCs w:val="20"/>
      <w:lang w:eastAsia="en-AU"/>
    </w:rPr>
  </w:style>
  <w:style w:type="paragraph" w:styleId="ListParagraph">
    <w:name w:val="List Paragraph"/>
    <w:basedOn w:val="Normal"/>
    <w:uiPriority w:val="34"/>
    <w:qFormat/>
    <w:rsid w:val="002771A3"/>
    <w:pPr>
      <w:ind w:left="720"/>
      <w:contextualSpacing/>
    </w:pPr>
  </w:style>
  <w:style w:type="character" w:styleId="CommentReference">
    <w:name w:val="annotation reference"/>
    <w:basedOn w:val="DefaultParagraphFont"/>
    <w:rsid w:val="00256572"/>
    <w:rPr>
      <w:sz w:val="16"/>
      <w:szCs w:val="16"/>
    </w:rPr>
  </w:style>
  <w:style w:type="paragraph" w:styleId="CommentText">
    <w:name w:val="annotation text"/>
    <w:basedOn w:val="Normal"/>
    <w:link w:val="CommentTextChar"/>
    <w:rsid w:val="00256572"/>
    <w:rPr>
      <w:sz w:val="20"/>
    </w:rPr>
  </w:style>
  <w:style w:type="character" w:customStyle="1" w:styleId="CommentTextChar">
    <w:name w:val="Comment Text Char"/>
    <w:basedOn w:val="DefaultParagraphFont"/>
    <w:link w:val="CommentText"/>
    <w:rsid w:val="00256572"/>
    <w:rPr>
      <w:rFonts w:ascii="Calibri" w:hAnsi="Calibri"/>
      <w:color w:val="000000" w:themeColor="text1"/>
      <w:sz w:val="20"/>
    </w:rPr>
  </w:style>
  <w:style w:type="paragraph" w:styleId="CommentSubject">
    <w:name w:val="annotation subject"/>
    <w:basedOn w:val="CommentText"/>
    <w:next w:val="CommentText"/>
    <w:link w:val="CommentSubjectChar"/>
    <w:rsid w:val="00256572"/>
    <w:rPr>
      <w:b/>
      <w:bCs/>
    </w:rPr>
  </w:style>
  <w:style w:type="character" w:customStyle="1" w:styleId="CommentSubjectChar">
    <w:name w:val="Comment Subject Char"/>
    <w:basedOn w:val="CommentTextChar"/>
    <w:link w:val="CommentSubject"/>
    <w:rsid w:val="00256572"/>
    <w:rPr>
      <w:rFonts w:ascii="Calibri" w:hAnsi="Calibri"/>
      <w:b/>
      <w:bCs/>
      <w:color w:val="000000" w:themeColor="text1"/>
      <w:sz w:val="20"/>
    </w:rPr>
  </w:style>
  <w:style w:type="character" w:customStyle="1" w:styleId="Heading2Char">
    <w:name w:val="Heading 2 Char"/>
    <w:basedOn w:val="DefaultParagraphFont"/>
    <w:link w:val="Heading2"/>
    <w:rsid w:val="00C462C8"/>
    <w:rPr>
      <w:rFonts w:ascii="Calibri" w:eastAsia="Times New Roman" w:hAnsi="Calibri" w:cs="Arial"/>
      <w:b/>
      <w:bCs/>
      <w:iCs/>
      <w:smallCaps/>
      <w:color w:val="1F497D" w:themeColor="text2"/>
      <w:sz w:val="32"/>
      <w:szCs w:val="28"/>
      <w:lang w:eastAsia="en-AU"/>
    </w:rPr>
  </w:style>
  <w:style w:type="character" w:customStyle="1" w:styleId="Heading3Char">
    <w:name w:val="Heading 3 Char"/>
    <w:basedOn w:val="DefaultParagraphFont"/>
    <w:link w:val="Heading3"/>
    <w:rsid w:val="00256572"/>
    <w:rPr>
      <w:rFonts w:ascii="Century Gothic" w:eastAsia="Times New Roman" w:hAnsi="Century Gothic" w:cs="Arial"/>
      <w:b/>
      <w:bCs/>
      <w:color w:val="1F497D" w:themeColor="text2"/>
      <w:sz w:val="26"/>
      <w:szCs w:val="26"/>
      <w:lang w:eastAsia="en-AU"/>
    </w:rPr>
  </w:style>
  <w:style w:type="paragraph" w:styleId="FootnoteText">
    <w:name w:val="footnote text"/>
    <w:aliases w:val="Intel-Footnote"/>
    <w:basedOn w:val="Normal"/>
    <w:link w:val="FootnoteTextChar"/>
    <w:rsid w:val="00F453B4"/>
    <w:pPr>
      <w:tabs>
        <w:tab w:val="left" w:pos="397"/>
      </w:tabs>
      <w:spacing w:after="0" w:line="240" w:lineRule="auto"/>
      <w:ind w:left="397" w:hanging="397"/>
    </w:pPr>
    <w:rPr>
      <w:sz w:val="18"/>
    </w:rPr>
  </w:style>
  <w:style w:type="character" w:customStyle="1" w:styleId="FootnoteTextChar">
    <w:name w:val="Footnote Text Char"/>
    <w:aliases w:val="Intel-Footnote Char"/>
    <w:basedOn w:val="DefaultParagraphFont"/>
    <w:link w:val="FootnoteText"/>
    <w:rsid w:val="00F453B4"/>
    <w:rPr>
      <w:rFonts w:ascii="Book Antiqua" w:eastAsia="Times New Roman" w:hAnsi="Book Antiqua" w:cs="Times New Roman"/>
      <w:color w:val="000000"/>
      <w:sz w:val="18"/>
      <w:szCs w:val="20"/>
      <w:lang w:eastAsia="en-AU"/>
    </w:rPr>
  </w:style>
  <w:style w:type="character" w:styleId="FootnoteReference">
    <w:name w:val="footnote reference"/>
    <w:basedOn w:val="DefaultParagraphFont"/>
    <w:rsid w:val="00256572"/>
    <w:rPr>
      <w:vertAlign w:val="superscript"/>
    </w:rPr>
  </w:style>
  <w:style w:type="paragraph" w:customStyle="1" w:styleId="Default">
    <w:name w:val="Default"/>
    <w:rsid w:val="00145BF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ps-normal">
    <w:name w:val="hps-normal"/>
    <w:basedOn w:val="Normal"/>
    <w:rsid w:val="00162548"/>
    <w:pPr>
      <w:spacing w:before="180" w:after="180" w:line="240" w:lineRule="auto"/>
      <w:ind w:firstLine="240"/>
    </w:pPr>
    <w:rPr>
      <w:rFonts w:ascii="Times New Roman" w:hAnsi="Times New Roman"/>
      <w:color w:val="444444"/>
      <w:sz w:val="24"/>
      <w:szCs w:val="24"/>
    </w:rPr>
  </w:style>
  <w:style w:type="character" w:customStyle="1" w:styleId="hps-normal1">
    <w:name w:val="hps-normal1"/>
    <w:basedOn w:val="DefaultParagraphFont"/>
    <w:rsid w:val="00162548"/>
  </w:style>
  <w:style w:type="paragraph" w:styleId="TOC2">
    <w:name w:val="toc 2"/>
    <w:basedOn w:val="HeadingBase"/>
    <w:next w:val="Normal"/>
    <w:uiPriority w:val="39"/>
    <w:rsid w:val="002D26F6"/>
    <w:pPr>
      <w:tabs>
        <w:tab w:val="left" w:pos="993"/>
        <w:tab w:val="left" w:pos="1701"/>
        <w:tab w:val="right" w:leader="dot" w:pos="9016"/>
        <w:tab w:val="right" w:leader="dot" w:pos="9072"/>
      </w:tabs>
      <w:spacing w:before="80" w:after="80"/>
      <w:ind w:left="1701" w:right="851" w:hanging="1276"/>
    </w:pPr>
    <w:rPr>
      <w:noProof/>
      <w:sz w:val="22"/>
    </w:rPr>
  </w:style>
  <w:style w:type="paragraph" w:styleId="TOC3">
    <w:name w:val="toc 3"/>
    <w:basedOn w:val="Normal"/>
    <w:next w:val="Normal"/>
    <w:rsid w:val="00256572"/>
    <w:pPr>
      <w:tabs>
        <w:tab w:val="right" w:leader="dot" w:pos="9072"/>
      </w:tabs>
      <w:spacing w:before="40" w:after="0" w:line="240" w:lineRule="auto"/>
      <w:ind w:right="851"/>
    </w:pPr>
    <w:rPr>
      <w:rFonts w:ascii="Century Gothic" w:hAnsi="Century Gothic"/>
    </w:rPr>
  </w:style>
  <w:style w:type="paragraph" w:styleId="Header">
    <w:name w:val="header"/>
    <w:basedOn w:val="HeadingBase"/>
    <w:link w:val="HeaderChar"/>
    <w:rsid w:val="00256572"/>
    <w:rPr>
      <w:sz w:val="18"/>
    </w:rPr>
  </w:style>
  <w:style w:type="character" w:customStyle="1" w:styleId="HeaderChar">
    <w:name w:val="Header Char"/>
    <w:basedOn w:val="DefaultParagraphFont"/>
    <w:link w:val="Header"/>
    <w:rsid w:val="00256572"/>
    <w:rPr>
      <w:rFonts w:ascii="Century Gothic" w:eastAsia="Times New Roman" w:hAnsi="Century Gothic" w:cs="Times New Roman"/>
      <w:color w:val="1F497D" w:themeColor="text2"/>
      <w:sz w:val="18"/>
      <w:szCs w:val="20"/>
      <w:lang w:eastAsia="en-AU"/>
    </w:rPr>
  </w:style>
  <w:style w:type="paragraph" w:styleId="Footer">
    <w:name w:val="footer"/>
    <w:basedOn w:val="HeadingBase"/>
    <w:link w:val="FooterChar"/>
    <w:rsid w:val="00256572"/>
    <w:rPr>
      <w:sz w:val="18"/>
    </w:rPr>
  </w:style>
  <w:style w:type="character" w:customStyle="1" w:styleId="FooterChar">
    <w:name w:val="Footer Char"/>
    <w:basedOn w:val="DefaultParagraphFont"/>
    <w:link w:val="Footer"/>
    <w:rsid w:val="00256572"/>
    <w:rPr>
      <w:rFonts w:ascii="Century Gothic" w:eastAsia="Times New Roman" w:hAnsi="Century Gothic" w:cs="Times New Roman"/>
      <w:color w:val="1F497D" w:themeColor="text2"/>
      <w:sz w:val="18"/>
      <w:szCs w:val="20"/>
      <w:lang w:eastAsia="en-AU"/>
    </w:rPr>
  </w:style>
  <w:style w:type="paragraph" w:styleId="Revision">
    <w:name w:val="Revision"/>
    <w:hidden/>
    <w:uiPriority w:val="99"/>
    <w:semiHidden/>
    <w:rsid w:val="0018034D"/>
    <w:pPr>
      <w:spacing w:after="0" w:line="240" w:lineRule="auto"/>
    </w:pPr>
  </w:style>
  <w:style w:type="character" w:customStyle="1" w:styleId="spanh32">
    <w:name w:val="spanh32"/>
    <w:basedOn w:val="DefaultParagraphFont"/>
    <w:rsid w:val="00D83E8D"/>
    <w:rPr>
      <w:rFonts w:ascii="Arial" w:hAnsi="Arial" w:cs="Arial" w:hint="default"/>
      <w:b/>
      <w:bCs/>
      <w:sz w:val="30"/>
      <w:szCs w:val="30"/>
    </w:rPr>
  </w:style>
  <w:style w:type="character" w:customStyle="1" w:styleId="mover">
    <w:name w:val="mover"/>
    <w:basedOn w:val="DefaultParagraphFont"/>
    <w:rsid w:val="00D83E8D"/>
  </w:style>
  <w:style w:type="character" w:customStyle="1" w:styleId="normal2">
    <w:name w:val="normal2"/>
    <w:basedOn w:val="DefaultParagraphFont"/>
    <w:rsid w:val="00D83E8D"/>
    <w:rPr>
      <w:b w:val="0"/>
      <w:bCs w:val="0"/>
      <w:i w:val="0"/>
      <w:iCs w:val="0"/>
    </w:rPr>
  </w:style>
  <w:style w:type="paragraph" w:styleId="NormalWeb">
    <w:name w:val="Normal (Web)"/>
    <w:basedOn w:val="Normal"/>
    <w:uiPriority w:val="99"/>
    <w:unhideWhenUsed/>
    <w:rsid w:val="00256572"/>
    <w:pPr>
      <w:spacing w:before="100" w:beforeAutospacing="1" w:after="100" w:afterAutospacing="1"/>
    </w:pPr>
    <w:rPr>
      <w:rFonts w:ascii="Times New Roman" w:hAnsi="Times New Roman"/>
      <w:szCs w:val="24"/>
    </w:rPr>
  </w:style>
  <w:style w:type="paragraph" w:customStyle="1" w:styleId="para">
    <w:name w:val="para"/>
    <w:basedOn w:val="ListParagraph"/>
    <w:link w:val="paraChar"/>
    <w:qFormat/>
    <w:rsid w:val="00BB3AAF"/>
    <w:pPr>
      <w:numPr>
        <w:numId w:val="1"/>
      </w:numPr>
      <w:contextualSpacing w:val="0"/>
    </w:pPr>
  </w:style>
  <w:style w:type="paragraph" w:customStyle="1" w:styleId="subpara">
    <w:name w:val="subpara"/>
    <w:basedOn w:val="ListParagraph"/>
    <w:qFormat/>
    <w:rsid w:val="00BB3AAF"/>
    <w:pPr>
      <w:numPr>
        <w:ilvl w:val="1"/>
        <w:numId w:val="1"/>
      </w:numPr>
      <w:ind w:left="1134" w:hanging="567"/>
    </w:pPr>
  </w:style>
  <w:style w:type="character" w:customStyle="1" w:styleId="paraChar">
    <w:name w:val="para Char"/>
    <w:basedOn w:val="DefaultParagraphFont"/>
    <w:link w:val="para"/>
    <w:rsid w:val="00BB3AAF"/>
    <w:rPr>
      <w:rFonts w:ascii="Book Antiqua" w:eastAsia="Times New Roman" w:hAnsi="Book Antiqua" w:cs="Times New Roman"/>
      <w:color w:val="000000"/>
      <w:szCs w:val="20"/>
      <w:lang w:eastAsia="en-AU"/>
    </w:rPr>
  </w:style>
  <w:style w:type="character" w:customStyle="1" w:styleId="spanh22">
    <w:name w:val="spanh22"/>
    <w:basedOn w:val="DefaultParagraphFont"/>
    <w:rsid w:val="00BB3AAF"/>
    <w:rPr>
      <w:rFonts w:ascii="Arial" w:hAnsi="Arial" w:cs="Arial" w:hint="default"/>
      <w:b/>
      <w:bCs/>
      <w:sz w:val="31"/>
      <w:szCs w:val="31"/>
    </w:rPr>
  </w:style>
  <w:style w:type="character" w:customStyle="1" w:styleId="emphasis2">
    <w:name w:val="emphasis2"/>
    <w:basedOn w:val="DefaultParagraphFont"/>
    <w:rsid w:val="00BB3AAF"/>
    <w:rPr>
      <w:i/>
      <w:iCs/>
    </w:rPr>
  </w:style>
  <w:style w:type="paragraph" w:customStyle="1" w:styleId="OutlineNumbered1">
    <w:name w:val="Outline Numbered 1"/>
    <w:basedOn w:val="Normal"/>
    <w:link w:val="OutlineNumbered1Char"/>
    <w:rsid w:val="00256572"/>
    <w:pPr>
      <w:numPr>
        <w:numId w:val="27"/>
      </w:numPr>
    </w:pPr>
  </w:style>
  <w:style w:type="character" w:customStyle="1" w:styleId="OutlineNumbered1Char">
    <w:name w:val="Outline Numbered 1 Char"/>
    <w:basedOn w:val="BulletChar"/>
    <w:link w:val="OutlineNumbered1"/>
    <w:rsid w:val="005E3D7B"/>
    <w:rPr>
      <w:rFonts w:ascii="Book Antiqua" w:eastAsia="Times New Roman" w:hAnsi="Book Antiqua" w:cs="Times New Roman"/>
      <w:b w:val="0"/>
      <w:bCs w:val="0"/>
      <w:caps w:val="0"/>
      <w:color w:val="000000"/>
      <w:kern w:val="32"/>
      <w:sz w:val="36"/>
      <w:szCs w:val="20"/>
      <w:lang w:eastAsia="en-AU"/>
    </w:rPr>
  </w:style>
  <w:style w:type="paragraph" w:customStyle="1" w:styleId="OutlineNumbered2">
    <w:name w:val="Outline Numbered 2"/>
    <w:basedOn w:val="Normal"/>
    <w:link w:val="OutlineNumbered2Char"/>
    <w:rsid w:val="00256572"/>
    <w:pPr>
      <w:numPr>
        <w:ilvl w:val="1"/>
        <w:numId w:val="27"/>
      </w:numPr>
    </w:pPr>
  </w:style>
  <w:style w:type="character" w:customStyle="1" w:styleId="OutlineNumbered2Char">
    <w:name w:val="Outline Numbered 2 Char"/>
    <w:basedOn w:val="BulletChar"/>
    <w:link w:val="OutlineNumbered2"/>
    <w:rsid w:val="005E3D7B"/>
    <w:rPr>
      <w:rFonts w:ascii="Book Antiqua" w:eastAsia="Times New Roman" w:hAnsi="Book Antiqua" w:cs="Times New Roman"/>
      <w:b w:val="0"/>
      <w:bCs w:val="0"/>
      <w:caps w:val="0"/>
      <w:color w:val="000000"/>
      <w:kern w:val="32"/>
      <w:sz w:val="36"/>
      <w:szCs w:val="20"/>
      <w:lang w:eastAsia="en-AU"/>
    </w:rPr>
  </w:style>
  <w:style w:type="paragraph" w:customStyle="1" w:styleId="OutlineNumbered3">
    <w:name w:val="Outline Numbered 3"/>
    <w:basedOn w:val="Normal"/>
    <w:rsid w:val="00256572"/>
    <w:pPr>
      <w:numPr>
        <w:ilvl w:val="2"/>
        <w:numId w:val="27"/>
      </w:numPr>
    </w:pPr>
  </w:style>
  <w:style w:type="paragraph" w:styleId="Quote">
    <w:name w:val="Quote"/>
    <w:basedOn w:val="Normal"/>
    <w:next w:val="Normal"/>
    <w:link w:val="QuoteChar"/>
    <w:uiPriority w:val="29"/>
    <w:qFormat/>
    <w:rsid w:val="00B93C03"/>
    <w:rPr>
      <w:i/>
      <w:color w:val="auto"/>
    </w:rPr>
  </w:style>
  <w:style w:type="character" w:customStyle="1" w:styleId="QuoteChar">
    <w:name w:val="Quote Char"/>
    <w:basedOn w:val="DefaultParagraphFont"/>
    <w:link w:val="Quote"/>
    <w:uiPriority w:val="29"/>
    <w:rsid w:val="00B93C03"/>
    <w:rPr>
      <w:rFonts w:ascii="Book Antiqua" w:eastAsia="Times New Roman" w:hAnsi="Book Antiqua" w:cs="Times New Roman"/>
      <w:i/>
      <w:szCs w:val="20"/>
      <w:lang w:eastAsia="en-AU"/>
    </w:rPr>
  </w:style>
  <w:style w:type="paragraph" w:customStyle="1" w:styleId="definition">
    <w:name w:val="definition"/>
    <w:basedOn w:val="Normal"/>
    <w:rsid w:val="00EC60EE"/>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EC60EE"/>
    <w:pPr>
      <w:spacing w:before="100" w:beforeAutospacing="1" w:after="100" w:afterAutospacing="1" w:line="240" w:lineRule="auto"/>
    </w:pPr>
    <w:rPr>
      <w:rFonts w:ascii="Times New Roman" w:hAnsi="Times New Roman"/>
      <w:sz w:val="24"/>
      <w:szCs w:val="24"/>
    </w:rPr>
  </w:style>
  <w:style w:type="paragraph" w:customStyle="1" w:styleId="paragraphsub">
    <w:name w:val="paragraphsub"/>
    <w:basedOn w:val="Normal"/>
    <w:rsid w:val="00EC60EE"/>
    <w:pPr>
      <w:spacing w:before="100" w:beforeAutospacing="1" w:after="100" w:afterAutospacing="1" w:line="240" w:lineRule="auto"/>
    </w:pPr>
    <w:rPr>
      <w:rFonts w:ascii="Times New Roman" w:hAnsi="Times New Roman"/>
      <w:sz w:val="24"/>
      <w:szCs w:val="24"/>
    </w:rPr>
  </w:style>
  <w:style w:type="table" w:styleId="TableGrid">
    <w:name w:val="Table Grid"/>
    <w:basedOn w:val="TableNormal"/>
    <w:rsid w:val="00256572"/>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character" w:customStyle="1" w:styleId="Heading4Char">
    <w:name w:val="Heading 4 Char"/>
    <w:basedOn w:val="DefaultParagraphFont"/>
    <w:link w:val="Heading4"/>
    <w:rsid w:val="00256572"/>
    <w:rPr>
      <w:rFonts w:ascii="Century Gothic" w:eastAsia="Times New Roman" w:hAnsi="Century Gothic" w:cs="Times New Roman"/>
      <w:b/>
      <w:bCs/>
      <w:color w:val="1F497D" w:themeColor="text2"/>
      <w:lang w:eastAsia="en-AU"/>
    </w:rPr>
  </w:style>
  <w:style w:type="character" w:customStyle="1" w:styleId="Heading5Char">
    <w:name w:val="Heading 5 Char"/>
    <w:basedOn w:val="DefaultParagraphFont"/>
    <w:link w:val="Heading5"/>
    <w:rsid w:val="00256572"/>
    <w:rPr>
      <w:rFonts w:ascii="Century Gothic" w:eastAsia="Times New Roman" w:hAnsi="Century Gothic" w:cs="Times New Roman"/>
      <w:b/>
      <w:bCs/>
      <w:iCs/>
      <w:color w:val="1F497D" w:themeColor="text2"/>
      <w:sz w:val="20"/>
      <w:szCs w:val="20"/>
      <w:lang w:eastAsia="en-AU"/>
    </w:rPr>
  </w:style>
  <w:style w:type="character" w:customStyle="1" w:styleId="Heading6Char">
    <w:name w:val="Heading 6 Char"/>
    <w:basedOn w:val="DefaultParagraphFont"/>
    <w:link w:val="Heading6"/>
    <w:rsid w:val="00256572"/>
    <w:rPr>
      <w:rFonts w:ascii="Century Gothic" w:eastAsia="Times New Roman" w:hAnsi="Century Gothic" w:cs="Times New Roman"/>
      <w:bCs/>
      <w:color w:val="1F497D" w:themeColor="text2"/>
      <w:sz w:val="20"/>
      <w:lang w:eastAsia="en-AU"/>
    </w:rPr>
  </w:style>
  <w:style w:type="character" w:customStyle="1" w:styleId="Heading7Char">
    <w:name w:val="Heading 7 Char"/>
    <w:basedOn w:val="DefaultParagraphFont"/>
    <w:link w:val="Heading7"/>
    <w:rsid w:val="00256572"/>
    <w:rPr>
      <w:rFonts w:ascii="Century Gothic" w:eastAsia="Times New Roman" w:hAnsi="Century Gothic" w:cs="Times New Roman"/>
      <w:color w:val="1F497D" w:themeColor="text2"/>
      <w:sz w:val="20"/>
      <w:szCs w:val="24"/>
      <w:lang w:eastAsia="en-AU"/>
    </w:rPr>
  </w:style>
  <w:style w:type="character" w:customStyle="1" w:styleId="Heading8Char">
    <w:name w:val="Heading 8 Char"/>
    <w:basedOn w:val="DefaultParagraphFont"/>
    <w:link w:val="Heading8"/>
    <w:rsid w:val="00256572"/>
    <w:rPr>
      <w:rFonts w:ascii="Century Gothic" w:eastAsia="Times New Roman" w:hAnsi="Century Gothic" w:cs="Times New Roman"/>
      <w:iCs/>
      <w:color w:val="1F497D" w:themeColor="text2"/>
      <w:sz w:val="20"/>
      <w:szCs w:val="24"/>
      <w:lang w:eastAsia="en-AU"/>
    </w:rPr>
  </w:style>
  <w:style w:type="character" w:customStyle="1" w:styleId="Heading9Char">
    <w:name w:val="Heading 9 Char"/>
    <w:basedOn w:val="DefaultParagraphFont"/>
    <w:link w:val="Heading9"/>
    <w:rsid w:val="00256572"/>
    <w:rPr>
      <w:rFonts w:ascii="Century Gothic" w:eastAsia="Times New Roman" w:hAnsi="Century Gothic" w:cs="Arial"/>
      <w:color w:val="1F497D" w:themeColor="text2"/>
      <w:sz w:val="20"/>
      <w:lang w:eastAsia="en-AU"/>
    </w:rPr>
  </w:style>
  <w:style w:type="paragraph" w:customStyle="1" w:styleId="HeadingBase">
    <w:name w:val="Heading Base"/>
    <w:next w:val="Normal"/>
    <w:rsid w:val="00256572"/>
    <w:pPr>
      <w:keepNext/>
      <w:spacing w:after="0" w:line="240" w:lineRule="auto"/>
    </w:pPr>
    <w:rPr>
      <w:rFonts w:ascii="Century Gothic" w:eastAsia="Times New Roman" w:hAnsi="Century Gothic" w:cs="Times New Roman"/>
      <w:color w:val="1F497D" w:themeColor="text2"/>
      <w:sz w:val="20"/>
      <w:szCs w:val="20"/>
      <w:lang w:eastAsia="en-AU"/>
    </w:rPr>
  </w:style>
  <w:style w:type="paragraph" w:customStyle="1" w:styleId="ChartGraphic">
    <w:name w:val="Chart Graphic"/>
    <w:basedOn w:val="HeadingBase"/>
    <w:rsid w:val="00256572"/>
    <w:pPr>
      <w:jc w:val="center"/>
    </w:pPr>
  </w:style>
  <w:style w:type="paragraph" w:customStyle="1" w:styleId="TableGraphic">
    <w:name w:val="Table Graphic"/>
    <w:basedOn w:val="HeadingBase"/>
    <w:next w:val="Normal"/>
    <w:rsid w:val="00256572"/>
  </w:style>
  <w:style w:type="paragraph" w:customStyle="1" w:styleId="AlphaParagraph">
    <w:name w:val="Alpha Paragraph"/>
    <w:basedOn w:val="Normal"/>
    <w:rsid w:val="00256572"/>
    <w:pPr>
      <w:numPr>
        <w:numId w:val="3"/>
      </w:numPr>
      <w:tabs>
        <w:tab w:val="clear" w:pos="567"/>
        <w:tab w:val="num" w:pos="283"/>
      </w:tabs>
      <w:ind w:left="283" w:hanging="283"/>
    </w:pPr>
  </w:style>
  <w:style w:type="paragraph" w:customStyle="1" w:styleId="AppendixHeading">
    <w:name w:val="Appendix Heading"/>
    <w:basedOn w:val="HeadingBase"/>
    <w:next w:val="Normal"/>
    <w:rsid w:val="00256572"/>
    <w:pPr>
      <w:spacing w:before="720" w:after="360"/>
    </w:pPr>
    <w:rPr>
      <w:rFonts w:ascii="Arial Bold" w:hAnsi="Arial Bold"/>
      <w:b/>
      <w:smallCaps/>
      <w:sz w:val="36"/>
      <w:szCs w:val="36"/>
    </w:rPr>
  </w:style>
  <w:style w:type="character" w:customStyle="1" w:styleId="Bold">
    <w:name w:val="Bold"/>
    <w:basedOn w:val="DefaultParagraphFont"/>
    <w:rsid w:val="00256572"/>
    <w:rPr>
      <w:b/>
    </w:rPr>
  </w:style>
  <w:style w:type="paragraph" w:customStyle="1" w:styleId="BoxTextBase">
    <w:name w:val="Box Text Base"/>
    <w:basedOn w:val="Normal"/>
    <w:rsid w:val="00256572"/>
    <w:pPr>
      <w:spacing w:line="240" w:lineRule="auto"/>
    </w:pPr>
    <w:rPr>
      <w:color w:val="000080"/>
    </w:rPr>
  </w:style>
  <w:style w:type="paragraph" w:customStyle="1" w:styleId="BoxBullet">
    <w:name w:val="Box Bullet"/>
    <w:basedOn w:val="BoxTextBase"/>
    <w:rsid w:val="00322D44"/>
    <w:pPr>
      <w:numPr>
        <w:numId w:val="4"/>
      </w:numPr>
      <w:spacing w:before="120" w:after="120"/>
      <w:ind w:left="284" w:right="57" w:hanging="284"/>
      <w:jc w:val="left"/>
    </w:pPr>
    <w:rPr>
      <w:rFonts w:ascii="Calibri" w:hAnsi="Calibri"/>
      <w:color w:val="auto"/>
    </w:rPr>
  </w:style>
  <w:style w:type="paragraph" w:customStyle="1" w:styleId="BoxDash">
    <w:name w:val="Box Dash"/>
    <w:basedOn w:val="BoxTextBase"/>
    <w:rsid w:val="00256572"/>
    <w:pPr>
      <w:numPr>
        <w:ilvl w:val="1"/>
        <w:numId w:val="4"/>
      </w:numPr>
    </w:pPr>
  </w:style>
  <w:style w:type="paragraph" w:customStyle="1" w:styleId="BoxDoubleDot">
    <w:name w:val="Box Double Dot"/>
    <w:basedOn w:val="BoxTextBase"/>
    <w:rsid w:val="00256572"/>
    <w:pPr>
      <w:numPr>
        <w:ilvl w:val="2"/>
        <w:numId w:val="4"/>
      </w:numPr>
    </w:pPr>
  </w:style>
  <w:style w:type="paragraph" w:customStyle="1" w:styleId="BoxHeading">
    <w:name w:val="Box Heading"/>
    <w:basedOn w:val="HeadingBase"/>
    <w:next w:val="BoxText"/>
    <w:rsid w:val="00256572"/>
    <w:pPr>
      <w:numPr>
        <w:numId w:val="28"/>
      </w:numPr>
      <w:spacing w:before="120" w:after="120"/>
    </w:pPr>
    <w:rPr>
      <w:b/>
      <w:sz w:val="22"/>
    </w:rPr>
  </w:style>
  <w:style w:type="paragraph" w:customStyle="1" w:styleId="BoxText">
    <w:name w:val="Box Text"/>
    <w:basedOn w:val="BoxTextBase"/>
    <w:rsid w:val="0035290D"/>
    <w:pPr>
      <w:spacing w:before="120" w:after="120"/>
      <w:ind w:right="57"/>
    </w:pPr>
    <w:rPr>
      <w:rFonts w:ascii="Calibri" w:hAnsi="Calibri"/>
      <w:color w:val="auto"/>
    </w:rPr>
  </w:style>
  <w:style w:type="paragraph" w:styleId="NormalIndent">
    <w:name w:val="Normal Indent"/>
    <w:basedOn w:val="Normal"/>
    <w:rsid w:val="00256572"/>
    <w:pPr>
      <w:ind w:left="567"/>
    </w:pPr>
  </w:style>
  <w:style w:type="paragraph" w:customStyle="1" w:styleId="ChartandTableFootnoteAlpha">
    <w:name w:val="Chart and Table Footnote Alpha"/>
    <w:rsid w:val="00256572"/>
    <w:pPr>
      <w:numPr>
        <w:numId w:val="5"/>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256572"/>
    <w:pPr>
      <w:spacing w:after="20"/>
      <w:jc w:val="center"/>
    </w:pPr>
    <w:rPr>
      <w:b/>
      <w:sz w:val="22"/>
    </w:rPr>
  </w:style>
  <w:style w:type="paragraph" w:customStyle="1" w:styleId="ChartorTableNote">
    <w:name w:val="Chart or Table Note"/>
    <w:next w:val="Normal"/>
    <w:rsid w:val="00256572"/>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256572"/>
    <w:pPr>
      <w:spacing w:after="20"/>
      <w:jc w:val="center"/>
    </w:pPr>
  </w:style>
  <w:style w:type="paragraph" w:customStyle="1" w:styleId="Classification">
    <w:name w:val="Classification"/>
    <w:basedOn w:val="HeadingBase"/>
    <w:next w:val="Footer"/>
    <w:rsid w:val="00256572"/>
    <w:pPr>
      <w:spacing w:after="120"/>
      <w:jc w:val="center"/>
    </w:pPr>
    <w:rPr>
      <w:b/>
      <w:smallCaps/>
    </w:rPr>
  </w:style>
  <w:style w:type="paragraph" w:customStyle="1" w:styleId="ContentsHeading">
    <w:name w:val="Contents Heading"/>
    <w:basedOn w:val="HeadingBase"/>
    <w:next w:val="Normal"/>
    <w:rsid w:val="00256572"/>
    <w:pPr>
      <w:spacing w:after="360"/>
      <w:jc w:val="center"/>
    </w:pPr>
    <w:rPr>
      <w:smallCaps/>
      <w:sz w:val="36"/>
      <w:szCs w:val="36"/>
    </w:rPr>
  </w:style>
  <w:style w:type="paragraph" w:customStyle="1" w:styleId="CoverTitleSub">
    <w:name w:val="Cover Title Sub"/>
    <w:basedOn w:val="HeadingBase"/>
    <w:rsid w:val="00256572"/>
    <w:pPr>
      <w:spacing w:after="360"/>
      <w:jc w:val="center"/>
    </w:pPr>
    <w:rPr>
      <w:sz w:val="36"/>
    </w:rPr>
  </w:style>
  <w:style w:type="paragraph" w:customStyle="1" w:styleId="Covertitlelevel3">
    <w:name w:val="Cover title level 3"/>
    <w:basedOn w:val="CoverTitleSub"/>
    <w:rsid w:val="00256572"/>
    <w:pPr>
      <w:spacing w:after="120"/>
    </w:pPr>
    <w:rPr>
      <w:sz w:val="28"/>
      <w:szCs w:val="28"/>
    </w:rPr>
  </w:style>
  <w:style w:type="paragraph" w:customStyle="1" w:styleId="CoverTitleMain">
    <w:name w:val="Cover Title Main"/>
    <w:basedOn w:val="HeadingBase"/>
    <w:next w:val="Normal"/>
    <w:rsid w:val="00256572"/>
    <w:pPr>
      <w:spacing w:after="480"/>
      <w:jc w:val="center"/>
    </w:pPr>
    <w:rPr>
      <w:b/>
      <w:sz w:val="48"/>
    </w:rPr>
  </w:style>
  <w:style w:type="paragraph" w:customStyle="1" w:styleId="Figuregraphic">
    <w:name w:val="Figure graphic"/>
    <w:basedOn w:val="Normal"/>
    <w:rsid w:val="00256572"/>
    <w:pPr>
      <w:jc w:val="center"/>
    </w:pPr>
  </w:style>
  <w:style w:type="paragraph" w:customStyle="1" w:styleId="FigureHeading">
    <w:name w:val="Figure Heading"/>
    <w:basedOn w:val="HeadingBase"/>
    <w:next w:val="Figuregraphic"/>
    <w:rsid w:val="00256572"/>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256572"/>
    <w:pPr>
      <w:spacing w:after="20"/>
      <w:jc w:val="center"/>
    </w:pPr>
  </w:style>
  <w:style w:type="paragraph" w:customStyle="1" w:styleId="TableMainHeading">
    <w:name w:val="Table Main Heading"/>
    <w:basedOn w:val="HeadingBase"/>
    <w:next w:val="TableGraphic"/>
    <w:rsid w:val="00256572"/>
    <w:pPr>
      <w:spacing w:after="20"/>
    </w:pPr>
    <w:rPr>
      <w:b/>
      <w:sz w:val="22"/>
    </w:rPr>
  </w:style>
  <w:style w:type="paragraph" w:customStyle="1" w:styleId="FooterCentered">
    <w:name w:val="Footer Centered"/>
    <w:basedOn w:val="Footer"/>
    <w:rsid w:val="00256572"/>
    <w:pPr>
      <w:jc w:val="center"/>
    </w:pPr>
    <w:rPr>
      <w:rFonts w:ascii="Book Antiqua" w:hAnsi="Book Antiqua"/>
      <w:sz w:val="22"/>
    </w:rPr>
  </w:style>
  <w:style w:type="paragraph" w:customStyle="1" w:styleId="FooterEven">
    <w:name w:val="Footer Even"/>
    <w:basedOn w:val="Footer"/>
    <w:rsid w:val="000756A4"/>
    <w:rPr>
      <w:rFonts w:ascii="Calibri" w:hAnsi="Calibri"/>
      <w:sz w:val="20"/>
    </w:rPr>
  </w:style>
  <w:style w:type="paragraph" w:customStyle="1" w:styleId="FooterOdd">
    <w:name w:val="Footer Odd"/>
    <w:basedOn w:val="Footer"/>
    <w:rsid w:val="000756A4"/>
    <w:pPr>
      <w:jc w:val="right"/>
    </w:pPr>
    <w:rPr>
      <w:rFonts w:ascii="Calibri" w:hAnsi="Calibri"/>
      <w:sz w:val="20"/>
    </w:rPr>
  </w:style>
  <w:style w:type="character" w:customStyle="1" w:styleId="FramedFooter">
    <w:name w:val="Framed Footer"/>
    <w:rsid w:val="00256572"/>
    <w:rPr>
      <w:rFonts w:ascii="Arial" w:hAnsi="Arial"/>
      <w:sz w:val="18"/>
    </w:rPr>
  </w:style>
  <w:style w:type="character" w:customStyle="1" w:styleId="FramedHeader">
    <w:name w:val="Framed Header"/>
    <w:basedOn w:val="DefaultParagraphFont"/>
    <w:rsid w:val="00256572"/>
    <w:rPr>
      <w:rFonts w:ascii="Arial" w:hAnsi="Arial"/>
      <w:dstrike w:val="0"/>
      <w:color w:val="auto"/>
      <w:sz w:val="18"/>
      <w:vertAlign w:val="baseline"/>
    </w:rPr>
  </w:style>
  <w:style w:type="paragraph" w:customStyle="1" w:styleId="HeaderEven">
    <w:name w:val="Header Even"/>
    <w:basedOn w:val="Header"/>
    <w:rsid w:val="000756A4"/>
    <w:rPr>
      <w:rFonts w:ascii="Calibri" w:hAnsi="Calibri"/>
      <w:sz w:val="20"/>
    </w:rPr>
  </w:style>
  <w:style w:type="paragraph" w:customStyle="1" w:styleId="HeaderOdd">
    <w:name w:val="Header Odd"/>
    <w:basedOn w:val="Header"/>
    <w:rsid w:val="000756A4"/>
    <w:pPr>
      <w:jc w:val="right"/>
    </w:pPr>
    <w:rPr>
      <w:rFonts w:ascii="Calibri" w:hAnsi="Calibri"/>
      <w:sz w:val="20"/>
    </w:rPr>
  </w:style>
  <w:style w:type="character" w:customStyle="1" w:styleId="italic">
    <w:name w:val="italic"/>
    <w:basedOn w:val="DefaultParagraphFont"/>
    <w:rsid w:val="00256572"/>
    <w:rPr>
      <w:i/>
    </w:rPr>
  </w:style>
  <w:style w:type="paragraph" w:customStyle="1" w:styleId="NormalIndentItalics">
    <w:name w:val="Normal Indent Italics"/>
    <w:basedOn w:val="NormalIndent"/>
    <w:rsid w:val="00256572"/>
    <w:rPr>
      <w:i/>
    </w:rPr>
  </w:style>
  <w:style w:type="paragraph" w:customStyle="1" w:styleId="OneLevelNumberedParagraph">
    <w:name w:val="One Level Numbered Paragraph"/>
    <w:basedOn w:val="Normal"/>
    <w:rsid w:val="00256572"/>
    <w:pPr>
      <w:numPr>
        <w:numId w:val="7"/>
      </w:numPr>
    </w:pPr>
  </w:style>
  <w:style w:type="character" w:styleId="PageNumber">
    <w:name w:val="page number"/>
    <w:basedOn w:val="DefaultParagraphFont"/>
    <w:rsid w:val="00256572"/>
    <w:rPr>
      <w:rFonts w:ascii="Book Antiqua" w:hAnsi="Book Antiqua"/>
      <w:sz w:val="18"/>
    </w:rPr>
  </w:style>
  <w:style w:type="paragraph" w:customStyle="1" w:styleId="Principle">
    <w:name w:val="Principle"/>
    <w:basedOn w:val="Normal"/>
    <w:rsid w:val="00256572"/>
    <w:pPr>
      <w:keepNext/>
      <w:spacing w:after="60"/>
      <w:ind w:left="573"/>
    </w:pPr>
    <w:rPr>
      <w:i/>
      <w:sz w:val="20"/>
    </w:rPr>
  </w:style>
  <w:style w:type="paragraph" w:customStyle="1" w:styleId="RecommendationTextBase">
    <w:name w:val="Recommendation Text Base"/>
    <w:basedOn w:val="Normal"/>
    <w:rsid w:val="00256572"/>
  </w:style>
  <w:style w:type="paragraph" w:customStyle="1" w:styleId="RecommendationBullet">
    <w:name w:val="Recommendation Bullet"/>
    <w:basedOn w:val="RecommendationTextBase"/>
    <w:rsid w:val="00256572"/>
    <w:pPr>
      <w:numPr>
        <w:numId w:val="24"/>
      </w:numPr>
    </w:pPr>
  </w:style>
  <w:style w:type="paragraph" w:customStyle="1" w:styleId="RecommendationDash">
    <w:name w:val="Recommendation Dash"/>
    <w:basedOn w:val="RecommendationTextBase"/>
    <w:rsid w:val="00256572"/>
    <w:pPr>
      <w:numPr>
        <w:ilvl w:val="1"/>
        <w:numId w:val="24"/>
      </w:numPr>
    </w:pPr>
  </w:style>
  <w:style w:type="paragraph" w:customStyle="1" w:styleId="RecommendationDoubleDot">
    <w:name w:val="Recommendation Double Dot"/>
    <w:basedOn w:val="RecommendationTextBase"/>
    <w:rsid w:val="00256572"/>
    <w:pPr>
      <w:numPr>
        <w:ilvl w:val="2"/>
        <w:numId w:val="24"/>
      </w:numPr>
    </w:pPr>
  </w:style>
  <w:style w:type="paragraph" w:customStyle="1" w:styleId="RecommendationHeading">
    <w:name w:val="Recommendation Heading"/>
    <w:basedOn w:val="HeadingBase"/>
    <w:next w:val="RecommendationText"/>
    <w:rsid w:val="00256572"/>
    <w:pPr>
      <w:numPr>
        <w:numId w:val="25"/>
      </w:numPr>
      <w:spacing w:before="120" w:after="240"/>
    </w:pPr>
    <w:rPr>
      <w:b/>
      <w:sz w:val="22"/>
    </w:rPr>
  </w:style>
  <w:style w:type="paragraph" w:customStyle="1" w:styleId="RecommendationText">
    <w:name w:val="Recommendation Text"/>
    <w:basedOn w:val="RecommendationTextBase"/>
    <w:rsid w:val="00256572"/>
  </w:style>
  <w:style w:type="paragraph" w:customStyle="1" w:styleId="Romannumeral">
    <w:name w:val="Roman numeral"/>
    <w:basedOn w:val="Normal"/>
    <w:rsid w:val="00256572"/>
    <w:pPr>
      <w:numPr>
        <w:numId w:val="15"/>
      </w:numPr>
    </w:pPr>
  </w:style>
  <w:style w:type="paragraph" w:customStyle="1" w:styleId="SingleParagraph">
    <w:name w:val="Single Paragraph"/>
    <w:basedOn w:val="Normal"/>
    <w:link w:val="SingleParagraphChar"/>
    <w:rsid w:val="00256572"/>
    <w:pPr>
      <w:spacing w:after="0"/>
    </w:pPr>
  </w:style>
  <w:style w:type="paragraph" w:customStyle="1" w:styleId="SingleParagraphIndent">
    <w:name w:val="Single Paragraph Indent"/>
    <w:basedOn w:val="SingleParagraph"/>
    <w:rsid w:val="00256572"/>
    <w:pPr>
      <w:ind w:left="567"/>
    </w:pPr>
  </w:style>
  <w:style w:type="paragraph" w:customStyle="1" w:styleId="TableSecondHeading">
    <w:name w:val="Table Second Heading"/>
    <w:basedOn w:val="HeadingBase"/>
    <w:next w:val="TableGraphic"/>
    <w:rsid w:val="00256572"/>
    <w:pPr>
      <w:spacing w:after="20"/>
    </w:pPr>
  </w:style>
  <w:style w:type="paragraph" w:customStyle="1" w:styleId="TableTextBase">
    <w:name w:val="Table Text Base"/>
    <w:rsid w:val="00256572"/>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TextBase"/>
    <w:rsid w:val="00256572"/>
    <w:pPr>
      <w:jc w:val="center"/>
    </w:pPr>
    <w:rPr>
      <w:b/>
    </w:rPr>
  </w:style>
  <w:style w:type="paragraph" w:customStyle="1" w:styleId="TableColumnHeadingBase">
    <w:name w:val="Table Column Heading Base"/>
    <w:basedOn w:val="Normal"/>
    <w:rsid w:val="00256572"/>
    <w:pPr>
      <w:spacing w:before="40" w:after="40"/>
    </w:pPr>
    <w:rPr>
      <w:rFonts w:ascii="Arial" w:hAnsi="Arial"/>
      <w:b/>
      <w:sz w:val="16"/>
    </w:rPr>
  </w:style>
  <w:style w:type="paragraph" w:customStyle="1" w:styleId="TableColumnHeadingLeft">
    <w:name w:val="Table Column Heading Left"/>
    <w:basedOn w:val="TableTextBase"/>
    <w:rsid w:val="00256572"/>
    <w:rPr>
      <w:b/>
    </w:rPr>
  </w:style>
  <w:style w:type="paragraph" w:customStyle="1" w:styleId="TableColumnHeadingRight">
    <w:name w:val="Table Column Heading Right"/>
    <w:basedOn w:val="TableTextBase"/>
    <w:rsid w:val="00256572"/>
    <w:pPr>
      <w:jc w:val="right"/>
    </w:pPr>
    <w:rPr>
      <w:b/>
    </w:rPr>
  </w:style>
  <w:style w:type="paragraph" w:customStyle="1" w:styleId="TableMainHeadingContd">
    <w:name w:val="Table Main Heading Contd"/>
    <w:basedOn w:val="HeadingBase"/>
    <w:next w:val="TableGraphic"/>
    <w:rsid w:val="00256572"/>
    <w:pPr>
      <w:spacing w:after="20"/>
    </w:pPr>
    <w:rPr>
      <w:b/>
      <w:sz w:val="22"/>
    </w:rPr>
  </w:style>
  <w:style w:type="paragraph" w:customStyle="1" w:styleId="TableTextCentered">
    <w:name w:val="Table Text Centered"/>
    <w:basedOn w:val="TableTextBase"/>
    <w:rsid w:val="00256572"/>
    <w:pPr>
      <w:jc w:val="center"/>
    </w:pPr>
  </w:style>
  <w:style w:type="paragraph" w:customStyle="1" w:styleId="TableTextIndented">
    <w:name w:val="Table Text Indented"/>
    <w:basedOn w:val="TableTextBase"/>
    <w:rsid w:val="00256572"/>
    <w:pPr>
      <w:ind w:left="284"/>
    </w:pPr>
  </w:style>
  <w:style w:type="paragraph" w:customStyle="1" w:styleId="TableTextLeft">
    <w:name w:val="Table Text Left"/>
    <w:basedOn w:val="TableTextBase"/>
    <w:rsid w:val="00256572"/>
  </w:style>
  <w:style w:type="paragraph" w:customStyle="1" w:styleId="TableTextRight">
    <w:name w:val="Table Text Right"/>
    <w:basedOn w:val="TableTextBase"/>
    <w:rsid w:val="00256572"/>
    <w:pPr>
      <w:jc w:val="right"/>
    </w:pPr>
  </w:style>
  <w:style w:type="paragraph" w:styleId="TOC4">
    <w:name w:val="toc 4"/>
    <w:basedOn w:val="Normal"/>
    <w:next w:val="Normal"/>
    <w:rsid w:val="00256572"/>
    <w:pPr>
      <w:tabs>
        <w:tab w:val="right" w:leader="dot" w:pos="9072"/>
      </w:tabs>
      <w:spacing w:after="0" w:line="240" w:lineRule="auto"/>
      <w:ind w:left="284" w:right="851"/>
    </w:pPr>
  </w:style>
  <w:style w:type="paragraph" w:styleId="BodyTextIndent2">
    <w:name w:val="Body Text Indent 2"/>
    <w:basedOn w:val="Normal"/>
    <w:link w:val="BodyTextIndent2Char"/>
    <w:rsid w:val="00256572"/>
    <w:pPr>
      <w:spacing w:after="120" w:line="480" w:lineRule="auto"/>
      <w:ind w:left="283"/>
    </w:pPr>
  </w:style>
  <w:style w:type="character" w:customStyle="1" w:styleId="BodyTextIndent2Char">
    <w:name w:val="Body Text Indent 2 Char"/>
    <w:basedOn w:val="DefaultParagraphFont"/>
    <w:link w:val="BodyTextIndent2"/>
    <w:rsid w:val="00256572"/>
    <w:rPr>
      <w:rFonts w:ascii="Calibri" w:hAnsi="Calibri"/>
      <w:color w:val="000000" w:themeColor="text1"/>
    </w:rPr>
  </w:style>
  <w:style w:type="character" w:customStyle="1" w:styleId="BoldandItalic">
    <w:name w:val="Bold and Italic"/>
    <w:basedOn w:val="DefaultParagraphFont"/>
    <w:rsid w:val="00256572"/>
    <w:rPr>
      <w:rFonts w:ascii="Arial" w:hAnsi="Arial"/>
      <w:b/>
      <w:i/>
    </w:rPr>
  </w:style>
  <w:style w:type="paragraph" w:styleId="Caption">
    <w:name w:val="caption"/>
    <w:basedOn w:val="Normal"/>
    <w:next w:val="Normal"/>
    <w:unhideWhenUsed/>
    <w:rsid w:val="00256572"/>
    <w:rPr>
      <w:b/>
      <w:bCs/>
      <w:color w:val="003157"/>
      <w:sz w:val="18"/>
      <w:szCs w:val="18"/>
    </w:rPr>
  </w:style>
  <w:style w:type="paragraph" w:styleId="DocumentMap">
    <w:name w:val="Document Map"/>
    <w:basedOn w:val="Normal"/>
    <w:link w:val="DocumentMapChar"/>
    <w:semiHidden/>
    <w:rsid w:val="00256572"/>
    <w:pPr>
      <w:shd w:val="clear" w:color="auto" w:fill="00CCFF"/>
    </w:pPr>
    <w:rPr>
      <w:rFonts w:ascii="Tahoma" w:hAnsi="Tahoma" w:cs="Tahoma"/>
    </w:rPr>
  </w:style>
  <w:style w:type="character" w:customStyle="1" w:styleId="DocumentMapChar">
    <w:name w:val="Document Map Char"/>
    <w:basedOn w:val="DefaultParagraphFont"/>
    <w:link w:val="DocumentMap"/>
    <w:semiHidden/>
    <w:rsid w:val="00256572"/>
    <w:rPr>
      <w:rFonts w:ascii="Tahoma" w:hAnsi="Tahoma" w:cs="Tahoma"/>
      <w:color w:val="000000" w:themeColor="text1"/>
      <w:shd w:val="clear" w:color="auto" w:fill="00CCFF"/>
    </w:rPr>
  </w:style>
  <w:style w:type="character" w:styleId="EndnoteReference">
    <w:name w:val="endnote reference"/>
    <w:basedOn w:val="DefaultParagraphFont"/>
    <w:rsid w:val="00256572"/>
    <w:rPr>
      <w:vertAlign w:val="superscript"/>
    </w:rPr>
  </w:style>
  <w:style w:type="paragraph" w:styleId="EndnoteText">
    <w:name w:val="endnote text"/>
    <w:basedOn w:val="Normal"/>
    <w:link w:val="EndnoteTextChar"/>
    <w:rsid w:val="00256572"/>
    <w:pPr>
      <w:spacing w:after="0"/>
    </w:pPr>
    <w:rPr>
      <w:sz w:val="20"/>
    </w:rPr>
  </w:style>
  <w:style w:type="character" w:customStyle="1" w:styleId="EndnoteTextChar">
    <w:name w:val="Endnote Text Char"/>
    <w:basedOn w:val="DefaultParagraphFont"/>
    <w:link w:val="EndnoteText"/>
    <w:rsid w:val="00256572"/>
    <w:rPr>
      <w:rFonts w:ascii="Calibri" w:hAnsi="Calibri"/>
      <w:color w:val="000000" w:themeColor="text1"/>
      <w:sz w:val="20"/>
    </w:rPr>
  </w:style>
  <w:style w:type="character" w:styleId="FollowedHyperlink">
    <w:name w:val="FollowedHyperlink"/>
    <w:basedOn w:val="DefaultParagraphFont"/>
    <w:rsid w:val="00256572"/>
    <w:rPr>
      <w:color w:val="auto"/>
      <w:u w:val="none"/>
    </w:rPr>
  </w:style>
  <w:style w:type="paragraph" w:styleId="Index1">
    <w:name w:val="index 1"/>
    <w:basedOn w:val="Normal"/>
    <w:next w:val="Normal"/>
    <w:autoRedefine/>
    <w:semiHidden/>
    <w:rsid w:val="00256572"/>
    <w:pPr>
      <w:spacing w:after="0"/>
      <w:ind w:left="238" w:hanging="238"/>
    </w:pPr>
  </w:style>
  <w:style w:type="paragraph" w:styleId="Index2">
    <w:name w:val="index 2"/>
    <w:basedOn w:val="Normal"/>
    <w:next w:val="Normal"/>
    <w:autoRedefine/>
    <w:semiHidden/>
    <w:rsid w:val="00256572"/>
    <w:pPr>
      <w:spacing w:after="0"/>
      <w:ind w:left="480" w:hanging="240"/>
    </w:pPr>
    <w:rPr>
      <w:sz w:val="20"/>
    </w:rPr>
  </w:style>
  <w:style w:type="paragraph" w:styleId="Index3">
    <w:name w:val="index 3"/>
    <w:basedOn w:val="Normal"/>
    <w:next w:val="Normal"/>
    <w:autoRedefine/>
    <w:semiHidden/>
    <w:rsid w:val="00256572"/>
    <w:pPr>
      <w:ind w:left="600" w:hanging="200"/>
    </w:pPr>
  </w:style>
  <w:style w:type="paragraph" w:styleId="Index4">
    <w:name w:val="index 4"/>
    <w:basedOn w:val="Normal"/>
    <w:next w:val="Normal"/>
    <w:autoRedefine/>
    <w:semiHidden/>
    <w:rsid w:val="00256572"/>
    <w:pPr>
      <w:ind w:left="800" w:hanging="200"/>
    </w:pPr>
  </w:style>
  <w:style w:type="paragraph" w:styleId="Index5">
    <w:name w:val="index 5"/>
    <w:basedOn w:val="Normal"/>
    <w:next w:val="Normal"/>
    <w:autoRedefine/>
    <w:semiHidden/>
    <w:rsid w:val="00256572"/>
    <w:pPr>
      <w:ind w:left="1000" w:hanging="200"/>
    </w:pPr>
  </w:style>
  <w:style w:type="paragraph" w:styleId="Index6">
    <w:name w:val="index 6"/>
    <w:basedOn w:val="Normal"/>
    <w:next w:val="Normal"/>
    <w:autoRedefine/>
    <w:semiHidden/>
    <w:rsid w:val="00256572"/>
    <w:pPr>
      <w:ind w:left="1200" w:hanging="200"/>
    </w:pPr>
  </w:style>
  <w:style w:type="paragraph" w:styleId="Index7">
    <w:name w:val="index 7"/>
    <w:basedOn w:val="Normal"/>
    <w:next w:val="Normal"/>
    <w:autoRedefine/>
    <w:semiHidden/>
    <w:rsid w:val="00256572"/>
    <w:pPr>
      <w:ind w:left="1400" w:hanging="200"/>
    </w:pPr>
  </w:style>
  <w:style w:type="paragraph" w:styleId="Index8">
    <w:name w:val="index 8"/>
    <w:basedOn w:val="Normal"/>
    <w:next w:val="Normal"/>
    <w:autoRedefine/>
    <w:semiHidden/>
    <w:rsid w:val="00256572"/>
    <w:pPr>
      <w:ind w:left="1600" w:hanging="200"/>
    </w:pPr>
  </w:style>
  <w:style w:type="paragraph" w:styleId="Index9">
    <w:name w:val="index 9"/>
    <w:basedOn w:val="Normal"/>
    <w:next w:val="Normal"/>
    <w:autoRedefine/>
    <w:semiHidden/>
    <w:rsid w:val="00256572"/>
    <w:pPr>
      <w:ind w:left="1800" w:hanging="200"/>
    </w:pPr>
  </w:style>
  <w:style w:type="paragraph" w:styleId="IndexHeading">
    <w:name w:val="index heading"/>
    <w:basedOn w:val="Normal"/>
    <w:next w:val="Index1"/>
    <w:semiHidden/>
    <w:rsid w:val="00256572"/>
    <w:pPr>
      <w:pBdr>
        <w:top w:val="single" w:sz="12" w:space="0" w:color="auto"/>
      </w:pBdr>
      <w:spacing w:before="360"/>
    </w:pPr>
    <w:rPr>
      <w:rFonts w:ascii="Times New Roman" w:hAnsi="Times New Roman"/>
      <w:b/>
      <w:i/>
    </w:rPr>
  </w:style>
  <w:style w:type="paragraph" w:styleId="MacroText">
    <w:name w:val="macro"/>
    <w:link w:val="MacroTextChar"/>
    <w:semiHidden/>
    <w:rsid w:val="00256572"/>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256572"/>
    <w:rPr>
      <w:rFonts w:ascii="Courier New" w:eastAsia="Times New Roman" w:hAnsi="Courier New" w:cs="Courier New"/>
      <w:color w:val="000000"/>
      <w:sz w:val="20"/>
      <w:szCs w:val="20"/>
      <w:lang w:eastAsia="en-AU"/>
    </w:rPr>
  </w:style>
  <w:style w:type="numbering" w:customStyle="1" w:styleId="OutlineList">
    <w:name w:val="OutlineList"/>
    <w:uiPriority w:val="99"/>
    <w:rsid w:val="00256572"/>
    <w:pPr>
      <w:numPr>
        <w:numId w:val="12"/>
      </w:numPr>
    </w:pPr>
  </w:style>
  <w:style w:type="paragraph" w:customStyle="1" w:styleId="PictureCentred">
    <w:name w:val="Picture Centred"/>
    <w:basedOn w:val="Normal"/>
    <w:rsid w:val="00256572"/>
    <w:pPr>
      <w:spacing w:before="120" w:line="240" w:lineRule="atLeast"/>
      <w:jc w:val="center"/>
    </w:pPr>
  </w:style>
  <w:style w:type="paragraph" w:customStyle="1" w:styleId="PictureLeft">
    <w:name w:val="Picture Left"/>
    <w:basedOn w:val="PictureCentred"/>
    <w:rsid w:val="00256572"/>
    <w:pPr>
      <w:jc w:val="left"/>
    </w:pPr>
  </w:style>
  <w:style w:type="paragraph" w:customStyle="1" w:styleId="PictureIndent">
    <w:name w:val="Picture Indent"/>
    <w:basedOn w:val="PictureLeft"/>
    <w:rsid w:val="00256572"/>
    <w:pPr>
      <w:ind w:left="284"/>
    </w:pPr>
  </w:style>
  <w:style w:type="paragraph" w:styleId="TableofAuthorities">
    <w:name w:val="table of authorities"/>
    <w:basedOn w:val="Normal"/>
    <w:next w:val="Normal"/>
    <w:rsid w:val="00256572"/>
    <w:pPr>
      <w:ind w:left="200" w:hanging="200"/>
    </w:pPr>
  </w:style>
  <w:style w:type="paragraph" w:styleId="TableofFigures">
    <w:name w:val="table of figures"/>
    <w:basedOn w:val="Normal"/>
    <w:next w:val="Normal"/>
    <w:rsid w:val="00256572"/>
  </w:style>
  <w:style w:type="paragraph" w:styleId="TOAHeading">
    <w:name w:val="toa heading"/>
    <w:basedOn w:val="Normal"/>
    <w:next w:val="Normal"/>
    <w:semiHidden/>
    <w:rsid w:val="00256572"/>
    <w:pPr>
      <w:spacing w:before="120"/>
    </w:pPr>
    <w:rPr>
      <w:rFonts w:ascii="Arial" w:hAnsi="Arial" w:cs="Arial"/>
      <w:b/>
      <w:bCs/>
      <w:sz w:val="24"/>
      <w:szCs w:val="24"/>
    </w:rPr>
  </w:style>
  <w:style w:type="paragraph" w:styleId="TOC5">
    <w:name w:val="toc 5"/>
    <w:basedOn w:val="Normal"/>
    <w:next w:val="Normal"/>
    <w:autoRedefine/>
    <w:semiHidden/>
    <w:rsid w:val="00256572"/>
    <w:pPr>
      <w:ind w:left="1040"/>
    </w:pPr>
  </w:style>
  <w:style w:type="paragraph" w:styleId="TOC6">
    <w:name w:val="toc 6"/>
    <w:basedOn w:val="Normal"/>
    <w:next w:val="Normal"/>
    <w:autoRedefine/>
    <w:semiHidden/>
    <w:rsid w:val="00256572"/>
    <w:pPr>
      <w:ind w:left="1300"/>
    </w:pPr>
  </w:style>
  <w:style w:type="paragraph" w:styleId="TOC7">
    <w:name w:val="toc 7"/>
    <w:basedOn w:val="Normal"/>
    <w:next w:val="Normal"/>
    <w:autoRedefine/>
    <w:semiHidden/>
    <w:rsid w:val="00256572"/>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256572"/>
    <w:pPr>
      <w:tabs>
        <w:tab w:val="right" w:leader="dot" w:pos="7711"/>
      </w:tabs>
      <w:spacing w:after="0"/>
      <w:ind w:left="1134"/>
    </w:pPr>
    <w:rPr>
      <w:noProof/>
    </w:rPr>
  </w:style>
  <w:style w:type="paragraph" w:styleId="TOC9">
    <w:name w:val="toc 9"/>
    <w:basedOn w:val="Normal"/>
    <w:next w:val="Normal"/>
    <w:autoRedefine/>
    <w:semiHidden/>
    <w:rsid w:val="00256572"/>
    <w:pPr>
      <w:ind w:left="2080"/>
    </w:pPr>
  </w:style>
  <w:style w:type="numbering" w:customStyle="1" w:styleId="BulletedList">
    <w:name w:val="Bulleted List"/>
    <w:uiPriority w:val="99"/>
    <w:rsid w:val="00256572"/>
    <w:pPr>
      <w:numPr>
        <w:numId w:val="8"/>
      </w:numPr>
    </w:pPr>
  </w:style>
  <w:style w:type="numbering" w:customStyle="1" w:styleId="BoxBulletedList">
    <w:name w:val="Box Bulleted List"/>
    <w:uiPriority w:val="99"/>
    <w:rsid w:val="00256572"/>
    <w:pPr>
      <w:numPr>
        <w:numId w:val="9"/>
      </w:numPr>
    </w:pPr>
  </w:style>
  <w:style w:type="numbering" w:customStyle="1" w:styleId="AlphaParagraphList">
    <w:name w:val="Alpha Paragraph List"/>
    <w:uiPriority w:val="99"/>
    <w:rsid w:val="00256572"/>
    <w:pPr>
      <w:numPr>
        <w:numId w:val="10"/>
      </w:numPr>
    </w:pPr>
  </w:style>
  <w:style w:type="numbering" w:customStyle="1" w:styleId="OneLevelList">
    <w:name w:val="OneLevelList"/>
    <w:uiPriority w:val="99"/>
    <w:rsid w:val="00256572"/>
    <w:pPr>
      <w:numPr>
        <w:numId w:val="11"/>
      </w:numPr>
    </w:pPr>
  </w:style>
  <w:style w:type="numbering" w:customStyle="1" w:styleId="RecommendationBulletList">
    <w:name w:val="RecommendationBulletList"/>
    <w:uiPriority w:val="99"/>
    <w:rsid w:val="00256572"/>
    <w:pPr>
      <w:numPr>
        <w:numId w:val="13"/>
      </w:numPr>
    </w:pPr>
  </w:style>
  <w:style w:type="numbering" w:customStyle="1" w:styleId="RomanNumeralList">
    <w:name w:val="RomanNumeralList"/>
    <w:uiPriority w:val="99"/>
    <w:rsid w:val="00256572"/>
    <w:pPr>
      <w:numPr>
        <w:numId w:val="14"/>
      </w:numPr>
    </w:pPr>
  </w:style>
  <w:style w:type="numbering" w:customStyle="1" w:styleId="ChartandTableFootnoteAlphaList">
    <w:name w:val="ChartandTableFootnoteAlphaList"/>
    <w:uiPriority w:val="99"/>
    <w:rsid w:val="00256572"/>
    <w:pPr>
      <w:numPr>
        <w:numId w:val="16"/>
      </w:numPr>
    </w:pPr>
  </w:style>
  <w:style w:type="paragraph" w:customStyle="1" w:styleId="TableTextBullet">
    <w:name w:val="Table Text Bullet"/>
    <w:basedOn w:val="TableTextBase"/>
    <w:rsid w:val="00256572"/>
    <w:pPr>
      <w:numPr>
        <w:numId w:val="18"/>
      </w:numPr>
    </w:pPr>
  </w:style>
  <w:style w:type="numbering" w:customStyle="1" w:styleId="TableTestBulletList">
    <w:name w:val="Table Test Bullet List"/>
    <w:uiPriority w:val="99"/>
    <w:rsid w:val="00256572"/>
    <w:pPr>
      <w:numPr>
        <w:numId w:val="17"/>
      </w:numPr>
    </w:pPr>
  </w:style>
  <w:style w:type="numbering" w:customStyle="1" w:styleId="TableTextBulletList">
    <w:name w:val="Table Text Bullet List"/>
    <w:uiPriority w:val="99"/>
    <w:rsid w:val="00256572"/>
    <w:pPr>
      <w:numPr>
        <w:numId w:val="18"/>
      </w:numPr>
    </w:pPr>
  </w:style>
  <w:style w:type="paragraph" w:customStyle="1" w:styleId="StyleTableTextBulletLinespacingExactly13pt">
    <w:name w:val="Style Table Text Bullet + Line spacing:  Exactly 13 pt"/>
    <w:basedOn w:val="TableTextBullet"/>
    <w:rsid w:val="00256572"/>
    <w:pPr>
      <w:numPr>
        <w:numId w:val="0"/>
      </w:numPr>
      <w:spacing w:after="80" w:line="260" w:lineRule="exact"/>
    </w:pPr>
  </w:style>
  <w:style w:type="paragraph" w:customStyle="1" w:styleId="SecurityClassificationHeader">
    <w:name w:val="Security Classification Header"/>
    <w:link w:val="SecurityClassificationHeaderChar"/>
    <w:rsid w:val="00256572"/>
    <w:pPr>
      <w:spacing w:after="240" w:line="240" w:lineRule="auto"/>
      <w:jc w:val="center"/>
    </w:pPr>
    <w:rPr>
      <w:rFonts w:ascii="Book Antiqua" w:eastAsia="Times New Roman" w:hAnsi="Book Antiqua" w:cs="Times New Roman"/>
      <w:b/>
      <w:caps/>
      <w:color w:val="000080"/>
      <w:szCs w:val="20"/>
      <w:lang w:eastAsia="en-AU"/>
    </w:rPr>
  </w:style>
  <w:style w:type="character" w:customStyle="1" w:styleId="SecurityClassificationHeaderChar">
    <w:name w:val="Security Classification Header Char"/>
    <w:basedOn w:val="HeaderChar"/>
    <w:link w:val="SecurityClassificationHeader"/>
    <w:rsid w:val="00256572"/>
    <w:rPr>
      <w:rFonts w:ascii="Book Antiqua" w:eastAsia="Times New Roman" w:hAnsi="Book Antiqua" w:cs="Times New Roman"/>
      <w:b/>
      <w:caps/>
      <w:color w:val="000080"/>
      <w:sz w:val="18"/>
      <w:szCs w:val="20"/>
      <w:lang w:eastAsia="en-AU"/>
    </w:rPr>
  </w:style>
  <w:style w:type="paragraph" w:customStyle="1" w:styleId="SecurityClassificationFooter">
    <w:name w:val="Security Classification Footer"/>
    <w:link w:val="SecurityClassificationFooterChar"/>
    <w:rsid w:val="00256572"/>
    <w:pPr>
      <w:spacing w:before="240" w:after="0" w:line="240" w:lineRule="auto"/>
      <w:jc w:val="center"/>
    </w:pPr>
    <w:rPr>
      <w:rFonts w:ascii="Book Antiqua" w:eastAsia="Times New Roman" w:hAnsi="Book Antiqua" w:cs="Times New Roman"/>
      <w:b/>
      <w:caps/>
      <w:color w:val="000080"/>
      <w:szCs w:val="20"/>
      <w:lang w:eastAsia="en-AU"/>
    </w:rPr>
  </w:style>
  <w:style w:type="character" w:customStyle="1" w:styleId="SecurityClassificationFooterChar">
    <w:name w:val="Security Classification Footer Char"/>
    <w:basedOn w:val="HeaderChar"/>
    <w:link w:val="SecurityClassificationFooter"/>
    <w:rsid w:val="00256572"/>
    <w:rPr>
      <w:rFonts w:ascii="Book Antiqua" w:eastAsia="Times New Roman" w:hAnsi="Book Antiqua" w:cs="Times New Roman"/>
      <w:b/>
      <w:caps/>
      <w:color w:val="000080"/>
      <w:sz w:val="18"/>
      <w:szCs w:val="20"/>
      <w:lang w:eastAsia="en-AU"/>
    </w:rPr>
  </w:style>
  <w:style w:type="paragraph" w:customStyle="1" w:styleId="DLMSecurityHeader">
    <w:name w:val="DLM Security Header"/>
    <w:link w:val="DLMSecurityHeaderChar"/>
    <w:rsid w:val="00256572"/>
    <w:pPr>
      <w:spacing w:before="60" w:after="240"/>
      <w:jc w:val="center"/>
    </w:pPr>
    <w:rPr>
      <w:rFonts w:ascii="Times New Roman" w:eastAsia="Times New Roman" w:hAnsi="Times New Roman" w:cs="Times New Roman"/>
      <w:b/>
      <w:caps/>
      <w:color w:val="4F81BD" w:themeColor="accent1"/>
      <w:sz w:val="24"/>
      <w:szCs w:val="20"/>
      <w:lang w:eastAsia="en-AU"/>
    </w:rPr>
  </w:style>
  <w:style w:type="character" w:customStyle="1" w:styleId="DLMSecurityHeaderChar">
    <w:name w:val="DLM Security Header Char"/>
    <w:basedOn w:val="HeaderChar"/>
    <w:link w:val="DLMSecurityHeader"/>
    <w:rsid w:val="00256572"/>
    <w:rPr>
      <w:rFonts w:ascii="Times New Roman" w:eastAsia="Times New Roman" w:hAnsi="Times New Roman" w:cs="Times New Roman"/>
      <w:b/>
      <w:caps/>
      <w:color w:val="4F81BD" w:themeColor="accent1"/>
      <w:sz w:val="24"/>
      <w:szCs w:val="20"/>
      <w:lang w:eastAsia="en-AU"/>
    </w:rPr>
  </w:style>
  <w:style w:type="paragraph" w:customStyle="1" w:styleId="DLMSecurityFooter">
    <w:name w:val="DLM Security Footer"/>
    <w:link w:val="DLMSecurityFooterChar"/>
    <w:rsid w:val="00256572"/>
    <w:pPr>
      <w:spacing w:before="240" w:after="60"/>
      <w:jc w:val="center"/>
    </w:pPr>
    <w:rPr>
      <w:rFonts w:ascii="Times New Roman" w:eastAsia="Times New Roman" w:hAnsi="Times New Roman" w:cs="Times New Roman"/>
      <w:b/>
      <w:caps/>
      <w:color w:val="4F81BD" w:themeColor="accent1"/>
      <w:sz w:val="24"/>
      <w:szCs w:val="20"/>
      <w:lang w:eastAsia="en-AU"/>
    </w:rPr>
  </w:style>
  <w:style w:type="character" w:customStyle="1" w:styleId="DLMSecurityFooterChar">
    <w:name w:val="DLM Security Footer Char"/>
    <w:basedOn w:val="HeaderChar"/>
    <w:link w:val="DLMSecurityFooter"/>
    <w:rsid w:val="00256572"/>
    <w:rPr>
      <w:rFonts w:ascii="Times New Roman" w:eastAsia="Times New Roman" w:hAnsi="Times New Roman" w:cs="Times New Roman"/>
      <w:b/>
      <w:caps/>
      <w:color w:val="4F81BD" w:themeColor="accent1"/>
      <w:sz w:val="24"/>
      <w:szCs w:val="20"/>
      <w:lang w:eastAsia="en-AU"/>
    </w:rPr>
  </w:style>
  <w:style w:type="paragraph" w:customStyle="1" w:styleId="AuthorName">
    <w:name w:val="Author Name"/>
    <w:basedOn w:val="Normal"/>
    <w:rsid w:val="00256572"/>
    <w:pPr>
      <w:spacing w:before="120" w:after="120"/>
      <w:jc w:val="center"/>
    </w:pPr>
    <w:rPr>
      <w:rFonts w:ascii="Arial Bold" w:hAnsi="Arial Bold"/>
      <w:b/>
      <w:sz w:val="24"/>
    </w:rPr>
  </w:style>
  <w:style w:type="paragraph" w:styleId="Subtitle">
    <w:name w:val="Subtitle"/>
    <w:basedOn w:val="HeadingBaseStyle"/>
    <w:link w:val="SubtitleChar"/>
    <w:uiPriority w:val="11"/>
    <w:qFormat/>
    <w:rsid w:val="009F469A"/>
    <w:pPr>
      <w:spacing w:before="240" w:after="240" w:line="240" w:lineRule="auto"/>
      <w:jc w:val="center"/>
    </w:pPr>
    <w:rPr>
      <w:rFonts w:ascii="Century Gothic" w:hAnsi="Century Gothic"/>
      <w:color w:val="1F497D" w:themeColor="text2"/>
      <w:sz w:val="32"/>
    </w:rPr>
  </w:style>
  <w:style w:type="character" w:customStyle="1" w:styleId="SubtitleChar">
    <w:name w:val="Subtitle Char"/>
    <w:basedOn w:val="DefaultParagraphFont"/>
    <w:link w:val="Subtitle"/>
    <w:uiPriority w:val="11"/>
    <w:rsid w:val="009F469A"/>
    <w:rPr>
      <w:rFonts w:ascii="Century Gothic" w:eastAsia="Times New Roman" w:hAnsi="Century Gothic" w:cs="Times New Roman"/>
      <w:color w:val="1F497D" w:themeColor="text2"/>
      <w:sz w:val="32"/>
      <w:szCs w:val="20"/>
      <w:lang w:eastAsia="en-AU"/>
    </w:rPr>
  </w:style>
  <w:style w:type="paragraph" w:customStyle="1" w:styleId="SeriesNumber">
    <w:name w:val="Series Number"/>
    <w:basedOn w:val="HeadingBaseStyle"/>
    <w:rsid w:val="00256572"/>
    <w:pPr>
      <w:spacing w:after="300"/>
      <w:jc w:val="center"/>
    </w:pPr>
    <w:rPr>
      <w:rFonts w:ascii="Arial Bold" w:hAnsi="Arial Bold"/>
      <w:b/>
      <w:color w:val="auto"/>
      <w:sz w:val="32"/>
    </w:rPr>
  </w:style>
  <w:style w:type="character" w:customStyle="1" w:styleId="A5">
    <w:name w:val="A5"/>
    <w:uiPriority w:val="99"/>
    <w:rsid w:val="00256572"/>
    <w:rPr>
      <w:rFonts w:cs="Swiss 721 BT"/>
      <w:color w:val="000000"/>
      <w:sz w:val="20"/>
      <w:szCs w:val="20"/>
    </w:rPr>
  </w:style>
  <w:style w:type="paragraph" w:customStyle="1" w:styleId="Abstract">
    <w:name w:val="Abstract"/>
    <w:basedOn w:val="Normal"/>
    <w:link w:val="AbstractChar"/>
    <w:qFormat/>
    <w:rsid w:val="00256572"/>
  </w:style>
  <w:style w:type="character" w:customStyle="1" w:styleId="AbstractChar">
    <w:name w:val="Abstract Char"/>
    <w:basedOn w:val="DefaultParagraphFont"/>
    <w:link w:val="Abstract"/>
    <w:rsid w:val="00256572"/>
    <w:rPr>
      <w:rFonts w:ascii="Calibri" w:hAnsi="Calibri"/>
      <w:color w:val="000000" w:themeColor="text1"/>
    </w:rPr>
  </w:style>
  <w:style w:type="paragraph" w:customStyle="1" w:styleId="AppendixHeadingLevel2NotNumbered">
    <w:name w:val="Appendix Heading Level 2 Not Numbered"/>
    <w:basedOn w:val="Normal"/>
    <w:qFormat/>
    <w:rsid w:val="00256572"/>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256572"/>
    <w:pPr>
      <w:spacing w:after="0"/>
    </w:pPr>
  </w:style>
  <w:style w:type="paragraph" w:customStyle="1" w:styleId="Alphanumbered">
    <w:name w:val="Alpha numbered"/>
    <w:basedOn w:val="Normal"/>
    <w:rsid w:val="00256572"/>
    <w:pPr>
      <w:numPr>
        <w:numId w:val="19"/>
      </w:numPr>
    </w:pPr>
  </w:style>
  <w:style w:type="paragraph" w:customStyle="1" w:styleId="HeadingBaseStyle">
    <w:name w:val="HeadingBaseStyle"/>
    <w:basedOn w:val="Normal"/>
    <w:rsid w:val="00256572"/>
    <w:pPr>
      <w:keepNext/>
      <w:spacing w:after="0"/>
    </w:pPr>
    <w:rPr>
      <w:rFonts w:ascii="Arial" w:hAnsi="Arial"/>
      <w:color w:val="003157"/>
    </w:rPr>
  </w:style>
  <w:style w:type="paragraph" w:customStyle="1" w:styleId="AppendixHeadingNotNumbered">
    <w:name w:val="Appendix Heading Not Numbered"/>
    <w:basedOn w:val="HeadingBaseStyle"/>
    <w:rsid w:val="00256572"/>
    <w:pPr>
      <w:numPr>
        <w:numId w:val="20"/>
      </w:numPr>
      <w:spacing w:before="480" w:after="320"/>
    </w:pPr>
    <w:rPr>
      <w:b/>
      <w:smallCaps/>
      <w:sz w:val="32"/>
      <w:szCs w:val="28"/>
    </w:rPr>
  </w:style>
  <w:style w:type="paragraph" w:customStyle="1" w:styleId="AppendixHeadingLevel2">
    <w:name w:val="Appendix Heading Level 2"/>
    <w:basedOn w:val="AppendixHeadingNotNumbered"/>
    <w:next w:val="Normal"/>
    <w:rsid w:val="00256572"/>
    <w:pPr>
      <w:numPr>
        <w:ilvl w:val="1"/>
      </w:numPr>
    </w:pPr>
  </w:style>
  <w:style w:type="paragraph" w:customStyle="1" w:styleId="AppendixHeadingLevel3">
    <w:name w:val="Appendix Heading Level 3"/>
    <w:basedOn w:val="Heading3"/>
    <w:next w:val="Normal"/>
    <w:rsid w:val="00256572"/>
    <w:pPr>
      <w:numPr>
        <w:numId w:val="20"/>
      </w:numPr>
    </w:pPr>
  </w:style>
  <w:style w:type="paragraph" w:customStyle="1" w:styleId="AppendixHeadingLevel4">
    <w:name w:val="Appendix Heading Level 4"/>
    <w:basedOn w:val="Heading4"/>
    <w:next w:val="Normal"/>
    <w:rsid w:val="00256572"/>
    <w:pPr>
      <w:numPr>
        <w:numId w:val="20"/>
      </w:numPr>
    </w:pPr>
  </w:style>
  <w:style w:type="paragraph" w:customStyle="1" w:styleId="Attachment">
    <w:name w:val="Attachment"/>
    <w:basedOn w:val="HeadingBaseStyle"/>
    <w:next w:val="Normal"/>
    <w:rsid w:val="00256572"/>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256572"/>
    <w:pPr>
      <w:numPr>
        <w:numId w:val="21"/>
      </w:numPr>
    </w:pPr>
    <w:rPr>
      <w:rFonts w:asciiTheme="minorHAnsi" w:hAnsiTheme="minorHAnsi"/>
      <w:color w:val="auto"/>
      <w:kern w:val="28"/>
      <w:sz w:val="20"/>
    </w:rPr>
  </w:style>
  <w:style w:type="paragraph" w:customStyle="1" w:styleId="Captiongraphic">
    <w:name w:val="Caption graphic"/>
    <w:basedOn w:val="HeadingBaseStyle"/>
    <w:next w:val="Normal"/>
    <w:rsid w:val="00256572"/>
    <w:pPr>
      <w:spacing w:after="20"/>
      <w:jc w:val="center"/>
    </w:pPr>
    <w:rPr>
      <w:color w:val="auto"/>
      <w:sz w:val="24"/>
    </w:rPr>
  </w:style>
  <w:style w:type="paragraph" w:customStyle="1" w:styleId="CaptionHeading1">
    <w:name w:val="Caption Heading 1"/>
    <w:basedOn w:val="Normal"/>
    <w:next w:val="Captiongraphic"/>
    <w:rsid w:val="00256572"/>
    <w:pPr>
      <w:keepNext/>
      <w:spacing w:before="120" w:after="0"/>
      <w:jc w:val="center"/>
    </w:pPr>
    <w:rPr>
      <w:rFonts w:ascii="Arial" w:hAnsi="Arial"/>
      <w:color w:val="003157"/>
      <w:sz w:val="24"/>
    </w:rPr>
  </w:style>
  <w:style w:type="paragraph" w:customStyle="1" w:styleId="CaptionHeading2">
    <w:name w:val="Caption Heading 2"/>
    <w:basedOn w:val="Normal"/>
    <w:rsid w:val="00256572"/>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256572"/>
    <w:rPr>
      <w:rFonts w:ascii="Arial Bold" w:hAnsi="Arial Bold"/>
      <w:b/>
      <w:color w:val="000000"/>
    </w:rPr>
  </w:style>
  <w:style w:type="paragraph" w:styleId="NoSpacing">
    <w:name w:val="No Spacing"/>
    <w:link w:val="NoSpacingChar"/>
    <w:uiPriority w:val="1"/>
    <w:rsid w:val="00256572"/>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256572"/>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256572"/>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256572"/>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256572"/>
    <w:pPr>
      <w:spacing w:after="240"/>
    </w:pPr>
    <w:rPr>
      <w:color w:val="auto"/>
      <w:sz w:val="24"/>
    </w:rPr>
  </w:style>
  <w:style w:type="character" w:styleId="Emphasis">
    <w:name w:val="Emphasis"/>
    <w:basedOn w:val="DefaultParagraphFont"/>
    <w:qFormat/>
    <w:rsid w:val="00256572"/>
    <w:rPr>
      <w:i/>
      <w:iCs/>
    </w:rPr>
  </w:style>
  <w:style w:type="paragraph" w:customStyle="1" w:styleId="Equation">
    <w:name w:val="Equation"/>
    <w:basedOn w:val="Normal"/>
    <w:next w:val="Normal"/>
    <w:rsid w:val="00256572"/>
    <w:pPr>
      <w:spacing w:before="120" w:after="120"/>
      <w:ind w:left="357"/>
    </w:pPr>
    <w:rPr>
      <w:rFonts w:ascii="Times New Roman" w:hAnsi="Times New Roman"/>
    </w:rPr>
  </w:style>
  <w:style w:type="paragraph" w:customStyle="1" w:styleId="ExampleBullet">
    <w:name w:val="Example Bullet"/>
    <w:basedOn w:val="Normal"/>
    <w:rsid w:val="00256572"/>
    <w:pPr>
      <w:numPr>
        <w:numId w:val="22"/>
      </w:numPr>
      <w:spacing w:before="40" w:after="40"/>
    </w:pPr>
    <w:rPr>
      <w:rFonts w:ascii="Arial" w:hAnsi="Arial"/>
      <w:sz w:val="18"/>
    </w:rPr>
  </w:style>
  <w:style w:type="paragraph" w:customStyle="1" w:styleId="Heading2NotNumbered">
    <w:name w:val="Heading 2 Not Numbered"/>
    <w:basedOn w:val="Heading2"/>
    <w:next w:val="Normal"/>
    <w:rsid w:val="002D26F6"/>
    <w:pPr>
      <w:numPr>
        <w:ilvl w:val="0"/>
        <w:numId w:val="0"/>
      </w:numPr>
      <w:tabs>
        <w:tab w:val="clear" w:pos="567"/>
        <w:tab w:val="left" w:pos="1560"/>
      </w:tabs>
      <w:ind w:left="1560" w:hanging="1560"/>
    </w:pPr>
  </w:style>
  <w:style w:type="paragraph" w:customStyle="1" w:styleId="Heading3NotNumbered">
    <w:name w:val="Heading 3 Not Numbered"/>
    <w:basedOn w:val="Heading4"/>
    <w:rsid w:val="00256572"/>
    <w:pPr>
      <w:numPr>
        <w:ilvl w:val="0"/>
        <w:numId w:val="0"/>
      </w:numPr>
    </w:pPr>
    <w:rPr>
      <w:b w:val="0"/>
      <w:sz w:val="28"/>
    </w:rPr>
  </w:style>
  <w:style w:type="paragraph" w:customStyle="1" w:styleId="Indented">
    <w:name w:val="Indented"/>
    <w:basedOn w:val="Normal"/>
    <w:rsid w:val="00256572"/>
    <w:pPr>
      <w:ind w:left="851"/>
    </w:pPr>
  </w:style>
  <w:style w:type="paragraph" w:styleId="IntenseQuote">
    <w:name w:val="Intense Quote"/>
    <w:basedOn w:val="Normal"/>
    <w:next w:val="Normal"/>
    <w:link w:val="IntenseQuoteChar"/>
    <w:uiPriority w:val="30"/>
    <w:rsid w:val="002565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56572"/>
    <w:rPr>
      <w:rFonts w:ascii="Calibri" w:hAnsi="Calibri"/>
      <w:b/>
      <w:bCs/>
      <w:i/>
      <w:iCs/>
      <w:color w:val="4F81BD" w:themeColor="accent1"/>
    </w:rPr>
  </w:style>
  <w:style w:type="paragraph" w:customStyle="1" w:styleId="MTDisplayEquation">
    <w:name w:val="MTDisplayEquation"/>
    <w:basedOn w:val="Normal"/>
    <w:next w:val="Normal"/>
    <w:link w:val="MTDisplayEquationChar"/>
    <w:rsid w:val="00256572"/>
    <w:pPr>
      <w:tabs>
        <w:tab w:val="center" w:pos="4640"/>
        <w:tab w:val="right" w:pos="9300"/>
      </w:tabs>
    </w:pPr>
  </w:style>
  <w:style w:type="character" w:customStyle="1" w:styleId="MTDisplayEquationChar">
    <w:name w:val="MTDisplayEquation Char"/>
    <w:basedOn w:val="DefaultParagraphFont"/>
    <w:link w:val="MTDisplayEquation"/>
    <w:rsid w:val="00256572"/>
    <w:rPr>
      <w:rFonts w:ascii="Calibri" w:hAnsi="Calibri"/>
      <w:color w:val="000000" w:themeColor="text1"/>
    </w:rPr>
  </w:style>
  <w:style w:type="character" w:customStyle="1" w:styleId="MTEquationSection">
    <w:name w:val="MTEquationSection"/>
    <w:basedOn w:val="DefaultParagraphFont"/>
    <w:rsid w:val="00256572"/>
    <w:rPr>
      <w:vanish w:val="0"/>
      <w:color w:val="FF0000"/>
    </w:rPr>
  </w:style>
  <w:style w:type="character" w:customStyle="1" w:styleId="NormalBold">
    <w:name w:val="Normal Bold"/>
    <w:basedOn w:val="DefaultParagraphFont"/>
    <w:rsid w:val="00256572"/>
    <w:rPr>
      <w:rFonts w:ascii="Calibri" w:hAnsi="Calibri"/>
      <w:b/>
      <w:sz w:val="22"/>
    </w:rPr>
  </w:style>
  <w:style w:type="character" w:customStyle="1" w:styleId="Normalitalics">
    <w:name w:val="Normal italics"/>
    <w:basedOn w:val="DefaultParagraphFont"/>
    <w:rsid w:val="00256572"/>
    <w:rPr>
      <w:i/>
    </w:rPr>
  </w:style>
  <w:style w:type="paragraph" w:customStyle="1" w:styleId="Note">
    <w:name w:val="Note"/>
    <w:basedOn w:val="HeadingBaseStyle"/>
    <w:next w:val="Normal"/>
    <w:rsid w:val="00256572"/>
    <w:pPr>
      <w:tabs>
        <w:tab w:val="left" w:pos="284"/>
      </w:tabs>
    </w:pPr>
    <w:rPr>
      <w:rFonts w:asciiTheme="minorHAnsi" w:hAnsiTheme="minorHAnsi"/>
      <w:color w:val="000000"/>
      <w:sz w:val="20"/>
    </w:rPr>
  </w:style>
  <w:style w:type="paragraph" w:customStyle="1" w:styleId="Noteitalics">
    <w:name w:val="Note italics"/>
    <w:basedOn w:val="Note"/>
    <w:rsid w:val="00256572"/>
    <w:rPr>
      <w:i/>
    </w:rPr>
  </w:style>
  <w:style w:type="paragraph" w:customStyle="1" w:styleId="NumberedParagraph">
    <w:name w:val="Numbered Paragraph"/>
    <w:basedOn w:val="Normal"/>
    <w:autoRedefine/>
    <w:rsid w:val="00256572"/>
    <w:pPr>
      <w:numPr>
        <w:numId w:val="23"/>
      </w:numPr>
    </w:pPr>
  </w:style>
  <w:style w:type="character" w:styleId="PlaceholderText">
    <w:name w:val="Placeholder Text"/>
    <w:basedOn w:val="DefaultParagraphFont"/>
    <w:uiPriority w:val="99"/>
    <w:semiHidden/>
    <w:rsid w:val="00256572"/>
    <w:rPr>
      <w:color w:val="808080"/>
    </w:rPr>
  </w:style>
  <w:style w:type="paragraph" w:customStyle="1" w:styleId="References">
    <w:name w:val="References"/>
    <w:basedOn w:val="Normal"/>
    <w:rsid w:val="00256572"/>
    <w:pPr>
      <w:widowControl w:val="0"/>
      <w:adjustRightInd w:val="0"/>
      <w:textAlignment w:val="baseline"/>
    </w:pPr>
  </w:style>
  <w:style w:type="paragraph" w:customStyle="1" w:styleId="SeriesMonth">
    <w:name w:val="Series Month"/>
    <w:basedOn w:val="HeadingBaseStyle"/>
    <w:rsid w:val="00256572"/>
    <w:pPr>
      <w:spacing w:after="240"/>
      <w:jc w:val="center"/>
    </w:pPr>
    <w:rPr>
      <w:rFonts w:ascii="Arial Bold" w:hAnsi="Arial Bold"/>
      <w:b/>
      <w:color w:val="auto"/>
      <w:sz w:val="32"/>
    </w:rPr>
  </w:style>
  <w:style w:type="paragraph" w:customStyle="1" w:styleId="Tablegraphic0">
    <w:name w:val="Table graphic"/>
    <w:basedOn w:val="HeadingBaseStyle"/>
    <w:next w:val="Normal"/>
    <w:rsid w:val="00256572"/>
    <w:pPr>
      <w:spacing w:after="20"/>
      <w:ind w:right="-113"/>
    </w:pPr>
    <w:rPr>
      <w:color w:val="auto"/>
      <w:sz w:val="24"/>
    </w:rPr>
  </w:style>
  <w:style w:type="paragraph" w:customStyle="1" w:styleId="TableHeading1">
    <w:name w:val="Table Heading 1"/>
    <w:basedOn w:val="HeadingBaseStyle"/>
    <w:next w:val="Tablegraphic0"/>
    <w:rsid w:val="00256572"/>
    <w:pPr>
      <w:spacing w:before="120" w:after="20"/>
      <w:jc w:val="center"/>
    </w:pPr>
    <w:rPr>
      <w:sz w:val="24"/>
    </w:rPr>
  </w:style>
  <w:style w:type="paragraph" w:customStyle="1" w:styleId="Tableheading2">
    <w:name w:val="Table heading 2"/>
    <w:basedOn w:val="TableHeading1"/>
    <w:next w:val="Tablegraphic0"/>
    <w:rsid w:val="00256572"/>
    <w:pPr>
      <w:spacing w:before="0"/>
    </w:pPr>
    <w:rPr>
      <w:sz w:val="22"/>
    </w:rPr>
  </w:style>
  <w:style w:type="paragraph" w:customStyle="1" w:styleId="TableHeadingcontinued">
    <w:name w:val="Table Heading continued"/>
    <w:basedOn w:val="HeadingBaseStyle"/>
    <w:next w:val="Tablegraphic0"/>
    <w:rsid w:val="00256572"/>
    <w:pPr>
      <w:jc w:val="center"/>
    </w:pPr>
  </w:style>
  <w:style w:type="paragraph" w:customStyle="1" w:styleId="Tabletextcentred">
    <w:name w:val="Table text centred"/>
    <w:basedOn w:val="TableTextBase"/>
    <w:rsid w:val="00256572"/>
    <w:pPr>
      <w:jc w:val="center"/>
    </w:pPr>
  </w:style>
  <w:style w:type="paragraph" w:customStyle="1" w:styleId="Tabletextleft0">
    <w:name w:val="Table text left"/>
    <w:basedOn w:val="TableTextBase"/>
    <w:rsid w:val="00256572"/>
  </w:style>
  <w:style w:type="paragraph" w:customStyle="1" w:styleId="Disclaimer">
    <w:name w:val="Disclaimer"/>
    <w:basedOn w:val="HeadingBase"/>
    <w:rsid w:val="00256572"/>
    <w:pPr>
      <w:spacing w:after="240"/>
    </w:pPr>
    <w:rPr>
      <w:b/>
      <w:sz w:val="22"/>
    </w:rPr>
  </w:style>
  <w:style w:type="character" w:customStyle="1" w:styleId="EmailStyle84">
    <w:name w:val="EmailStyle84"/>
    <w:basedOn w:val="DefaultParagraphFont"/>
    <w:semiHidden/>
    <w:rsid w:val="00256572"/>
    <w:rPr>
      <w:rFonts w:ascii="Arial" w:hAnsi="Arial" w:cs="Arial"/>
      <w:color w:val="auto"/>
      <w:sz w:val="20"/>
      <w:szCs w:val="20"/>
    </w:rPr>
  </w:style>
  <w:style w:type="character" w:customStyle="1" w:styleId="Italics">
    <w:name w:val="Italics"/>
    <w:basedOn w:val="DefaultParagraphFont"/>
    <w:rsid w:val="00256572"/>
    <w:rPr>
      <w:i/>
    </w:rPr>
  </w:style>
  <w:style w:type="paragraph" w:customStyle="1" w:styleId="NotesHeading">
    <w:name w:val="Notes Heading"/>
    <w:basedOn w:val="ContentsHeading"/>
    <w:rsid w:val="00256572"/>
    <w:pPr>
      <w:spacing w:before="240"/>
    </w:pPr>
  </w:style>
  <w:style w:type="paragraph" w:customStyle="1" w:styleId="BoxHeadingnonumber">
    <w:name w:val="Box Heading no number"/>
    <w:basedOn w:val="BoxHeading"/>
    <w:next w:val="BoxText"/>
    <w:qFormat/>
    <w:rsid w:val="000D7571"/>
    <w:pPr>
      <w:numPr>
        <w:numId w:val="0"/>
      </w:numPr>
    </w:pPr>
    <w:rPr>
      <w:rFonts w:ascii="Calibri" w:hAnsi="Calibri"/>
      <w:caps/>
      <w:sz w:val="24"/>
    </w:rPr>
  </w:style>
  <w:style w:type="numbering" w:customStyle="1" w:styleId="Outlinenumbering">
    <w:name w:val="Outline numbering"/>
    <w:uiPriority w:val="99"/>
    <w:rsid w:val="00256572"/>
    <w:pPr>
      <w:numPr>
        <w:numId w:val="26"/>
      </w:numPr>
    </w:pPr>
  </w:style>
  <w:style w:type="numbering" w:customStyle="1" w:styleId="Optionboxheading">
    <w:name w:val="Option box heading"/>
    <w:uiPriority w:val="99"/>
    <w:rsid w:val="00256572"/>
    <w:pPr>
      <w:numPr>
        <w:numId w:val="28"/>
      </w:numPr>
    </w:pPr>
  </w:style>
  <w:style w:type="character" w:customStyle="1" w:styleId="SingleParagraphChar">
    <w:name w:val="Single Paragraph Char"/>
    <w:basedOn w:val="DefaultParagraphFont"/>
    <w:link w:val="SingleParagraph"/>
    <w:rsid w:val="00256572"/>
    <w:rPr>
      <w:rFonts w:ascii="Book Antiqua" w:eastAsia="Times New Roman" w:hAnsi="Book Antiqua" w:cs="Times New Roman"/>
      <w:color w:val="000000"/>
      <w:szCs w:val="20"/>
      <w:lang w:eastAsia="en-AU"/>
    </w:rPr>
  </w:style>
  <w:style w:type="paragraph" w:customStyle="1" w:styleId="Heading1-NoTOC">
    <w:name w:val="Heading 1 - No TOC"/>
    <w:basedOn w:val="Heading1"/>
    <w:rsid w:val="002D26F6"/>
    <w:pPr>
      <w:outlineLvl w:val="9"/>
    </w:pPr>
  </w:style>
  <w:style w:type="paragraph" w:customStyle="1" w:styleId="Heading1-Numbered">
    <w:name w:val="Heading 1 - Numbered"/>
    <w:basedOn w:val="Heading1"/>
    <w:rsid w:val="00C462C8"/>
    <w:pPr>
      <w:numPr>
        <w:numId w:val="43"/>
      </w:numPr>
      <w:tabs>
        <w:tab w:val="left" w:pos="567"/>
      </w:tabs>
      <w:ind w:left="567" w:hanging="567"/>
    </w:pPr>
  </w:style>
  <w:style w:type="paragraph" w:customStyle="1" w:styleId="BoxNumbering">
    <w:name w:val="Box Numbering"/>
    <w:basedOn w:val="BoxText"/>
    <w:rsid w:val="0035290D"/>
    <w:pPr>
      <w:numPr>
        <w:numId w:val="35"/>
      </w:numPr>
      <w:tabs>
        <w:tab w:val="left" w:pos="425"/>
      </w:tabs>
      <w:spacing w:line="260" w:lineRule="exact"/>
      <w:ind w:left="425" w:hanging="425"/>
    </w:pPr>
  </w:style>
  <w:style w:type="paragraph" w:customStyle="1" w:styleId="BoxAlpha">
    <w:name w:val="Box Alpha"/>
    <w:basedOn w:val="BoxNumbering"/>
    <w:rsid w:val="00B748F1"/>
    <w:pPr>
      <w:numPr>
        <w:numId w:val="39"/>
      </w:numPr>
      <w:tabs>
        <w:tab w:val="clear" w:pos="425"/>
        <w:tab w:val="left" w:pos="851"/>
      </w:tabs>
      <w:ind w:left="850" w:hanging="425"/>
    </w:pPr>
  </w:style>
  <w:style w:type="paragraph" w:customStyle="1" w:styleId="Heading2-NotNumbered">
    <w:name w:val="Heading 2 - Not Numbered"/>
    <w:basedOn w:val="Heading2NotNumbered"/>
    <w:rsid w:val="00ED2B3F"/>
    <w:pPr>
      <w:tabs>
        <w:tab w:val="clear" w:pos="1560"/>
      </w:tabs>
      <w:ind w:left="567" w:firstLine="0"/>
    </w:pPr>
  </w:style>
  <w:style w:type="paragraph" w:customStyle="1" w:styleId="Heading2-NoTOC">
    <w:name w:val="Heading 2 - No TOC"/>
    <w:basedOn w:val="Heading2-NotNumbered"/>
    <w:rsid w:val="0035290D"/>
    <w:pPr>
      <w:ind w:left="1559" w:hanging="1559"/>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72"/>
    <w:pPr>
      <w:spacing w:after="240" w:line="260" w:lineRule="exact"/>
      <w:jc w:val="both"/>
    </w:pPr>
    <w:rPr>
      <w:rFonts w:ascii="Book Antiqua" w:eastAsia="Times New Roman" w:hAnsi="Book Antiqua" w:cs="Times New Roman"/>
      <w:color w:val="000000"/>
      <w:szCs w:val="20"/>
      <w:lang w:eastAsia="en-AU"/>
    </w:rPr>
  </w:style>
  <w:style w:type="paragraph" w:styleId="Heading1">
    <w:name w:val="heading 1"/>
    <w:basedOn w:val="HeadingBase"/>
    <w:next w:val="OutlineNumbered1"/>
    <w:link w:val="Heading1Char"/>
    <w:qFormat/>
    <w:rsid w:val="002D26F6"/>
    <w:pPr>
      <w:pBdr>
        <w:bottom w:val="single" w:sz="6" w:space="14" w:color="1F497D" w:themeColor="text2"/>
      </w:pBdr>
      <w:spacing w:after="360"/>
      <w:outlineLvl w:val="0"/>
    </w:pPr>
    <w:rPr>
      <w:rFonts w:ascii="Calibri" w:eastAsiaTheme="minorHAnsi" w:hAnsi="Calibri" w:cs="Arial"/>
      <w:b/>
      <w:bCs/>
      <w:caps/>
      <w:kern w:val="32"/>
      <w:sz w:val="36"/>
      <w:szCs w:val="36"/>
    </w:rPr>
  </w:style>
  <w:style w:type="paragraph" w:styleId="Heading2">
    <w:name w:val="heading 2"/>
    <w:basedOn w:val="HeadingBase"/>
    <w:next w:val="OutlineNumbered1"/>
    <w:link w:val="Heading2Char"/>
    <w:qFormat/>
    <w:rsid w:val="00C462C8"/>
    <w:pPr>
      <w:numPr>
        <w:ilvl w:val="1"/>
        <w:numId w:val="43"/>
      </w:numPr>
      <w:tabs>
        <w:tab w:val="left" w:pos="567"/>
      </w:tabs>
      <w:spacing w:before="300" w:after="180"/>
      <w:ind w:left="567" w:hanging="567"/>
      <w:outlineLvl w:val="1"/>
    </w:pPr>
    <w:rPr>
      <w:rFonts w:ascii="Calibri" w:hAnsi="Calibri" w:cs="Arial"/>
      <w:b/>
      <w:bCs/>
      <w:iCs/>
      <w:smallCaps/>
      <w:sz w:val="32"/>
      <w:szCs w:val="28"/>
    </w:rPr>
  </w:style>
  <w:style w:type="paragraph" w:styleId="Heading3">
    <w:name w:val="heading 3"/>
    <w:basedOn w:val="HeadingBase"/>
    <w:next w:val="OutlineNumbered1"/>
    <w:link w:val="Heading3Char"/>
    <w:qFormat/>
    <w:rsid w:val="00256572"/>
    <w:pPr>
      <w:numPr>
        <w:ilvl w:val="2"/>
        <w:numId w:val="43"/>
      </w:numPr>
      <w:spacing w:before="120" w:after="240"/>
      <w:outlineLvl w:val="2"/>
    </w:pPr>
    <w:rPr>
      <w:rFonts w:cs="Arial"/>
      <w:b/>
      <w:bCs/>
      <w:sz w:val="26"/>
      <w:szCs w:val="26"/>
    </w:rPr>
  </w:style>
  <w:style w:type="paragraph" w:styleId="Heading4">
    <w:name w:val="heading 4"/>
    <w:basedOn w:val="HeadingBase"/>
    <w:next w:val="OutlineNumbered1"/>
    <w:link w:val="Heading4Char"/>
    <w:qFormat/>
    <w:rsid w:val="00256572"/>
    <w:pPr>
      <w:numPr>
        <w:ilvl w:val="3"/>
        <w:numId w:val="43"/>
      </w:numPr>
      <w:spacing w:after="240"/>
      <w:outlineLvl w:val="3"/>
    </w:pPr>
    <w:rPr>
      <w:b/>
      <w:bCs/>
      <w:sz w:val="22"/>
      <w:szCs w:val="22"/>
    </w:rPr>
  </w:style>
  <w:style w:type="paragraph" w:styleId="Heading5">
    <w:name w:val="heading 5"/>
    <w:basedOn w:val="HeadingBase"/>
    <w:next w:val="OutlineNumbered1"/>
    <w:link w:val="Heading5Char"/>
    <w:qFormat/>
    <w:rsid w:val="00256572"/>
    <w:pPr>
      <w:numPr>
        <w:ilvl w:val="4"/>
        <w:numId w:val="43"/>
      </w:numPr>
      <w:spacing w:after="120"/>
      <w:outlineLvl w:val="4"/>
    </w:pPr>
    <w:rPr>
      <w:b/>
      <w:bCs/>
      <w:iCs/>
    </w:rPr>
  </w:style>
  <w:style w:type="paragraph" w:styleId="Heading6">
    <w:name w:val="heading 6"/>
    <w:basedOn w:val="HeadingBase"/>
    <w:next w:val="OutlineNumbered1"/>
    <w:link w:val="Heading6Char"/>
    <w:qFormat/>
    <w:rsid w:val="00256572"/>
    <w:pPr>
      <w:numPr>
        <w:ilvl w:val="5"/>
        <w:numId w:val="43"/>
      </w:numPr>
      <w:spacing w:after="120"/>
      <w:outlineLvl w:val="5"/>
    </w:pPr>
    <w:rPr>
      <w:bCs/>
      <w:szCs w:val="22"/>
    </w:rPr>
  </w:style>
  <w:style w:type="paragraph" w:styleId="Heading7">
    <w:name w:val="heading 7"/>
    <w:basedOn w:val="HeadingBase"/>
    <w:next w:val="Normal"/>
    <w:link w:val="Heading7Char"/>
    <w:qFormat/>
    <w:rsid w:val="00256572"/>
    <w:pPr>
      <w:numPr>
        <w:ilvl w:val="6"/>
        <w:numId w:val="43"/>
      </w:numPr>
      <w:spacing w:after="120"/>
      <w:outlineLvl w:val="6"/>
    </w:pPr>
    <w:rPr>
      <w:szCs w:val="24"/>
    </w:rPr>
  </w:style>
  <w:style w:type="paragraph" w:styleId="Heading8">
    <w:name w:val="heading 8"/>
    <w:basedOn w:val="HeadingBase"/>
    <w:next w:val="Normal"/>
    <w:link w:val="Heading8Char"/>
    <w:qFormat/>
    <w:rsid w:val="00256572"/>
    <w:pPr>
      <w:numPr>
        <w:ilvl w:val="7"/>
        <w:numId w:val="43"/>
      </w:numPr>
      <w:spacing w:after="120"/>
      <w:outlineLvl w:val="7"/>
    </w:pPr>
    <w:rPr>
      <w:iCs/>
      <w:szCs w:val="24"/>
    </w:rPr>
  </w:style>
  <w:style w:type="paragraph" w:styleId="Heading9">
    <w:name w:val="heading 9"/>
    <w:basedOn w:val="HeadingBase"/>
    <w:next w:val="Normal"/>
    <w:link w:val="Heading9Char"/>
    <w:qFormat/>
    <w:rsid w:val="00256572"/>
    <w:pPr>
      <w:numPr>
        <w:ilvl w:val="8"/>
        <w:numId w:val="43"/>
      </w:num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2355"/>
    <w:pPr>
      <w:framePr w:w="7920" w:h="1980" w:hRule="exact" w:hSpace="180" w:wrap="auto" w:hAnchor="page" w:xAlign="center" w:yAlign="bottom"/>
      <w:spacing w:after="0" w:line="240" w:lineRule="auto"/>
      <w:ind w:left="2880"/>
    </w:pPr>
    <w:rPr>
      <w:rFonts w:ascii="Garamond" w:eastAsiaTheme="majorEastAsia" w:hAnsi="Garamond" w:cstheme="majorBidi"/>
      <w:b/>
      <w:sz w:val="24"/>
      <w:szCs w:val="24"/>
    </w:rPr>
  </w:style>
  <w:style w:type="paragraph" w:styleId="Title">
    <w:name w:val="Title"/>
    <w:basedOn w:val="HeadingBaseStyle"/>
    <w:link w:val="TitleChar"/>
    <w:autoRedefine/>
    <w:uiPriority w:val="10"/>
    <w:qFormat/>
    <w:rsid w:val="009F469A"/>
    <w:pPr>
      <w:pBdr>
        <w:bottom w:val="single" w:sz="12" w:space="18" w:color="1F497D" w:themeColor="text2"/>
      </w:pBdr>
      <w:shd w:val="clear" w:color="auto" w:fill="FFFFFF" w:themeFill="background1"/>
      <w:spacing w:after="480" w:line="240" w:lineRule="auto"/>
      <w:jc w:val="center"/>
    </w:pPr>
    <w:rPr>
      <w:rFonts w:ascii="Calibri" w:hAnsi="Calibri"/>
      <w:b/>
      <w:color w:val="1F497D" w:themeColor="text2"/>
      <w:sz w:val="60"/>
    </w:rPr>
  </w:style>
  <w:style w:type="character" w:customStyle="1" w:styleId="TitleChar">
    <w:name w:val="Title Char"/>
    <w:basedOn w:val="DefaultParagraphFont"/>
    <w:link w:val="Title"/>
    <w:uiPriority w:val="10"/>
    <w:rsid w:val="009F469A"/>
    <w:rPr>
      <w:rFonts w:ascii="Calibri" w:eastAsia="Times New Roman" w:hAnsi="Calibri" w:cs="Times New Roman"/>
      <w:b/>
      <w:color w:val="1F497D" w:themeColor="text2"/>
      <w:sz w:val="60"/>
      <w:szCs w:val="20"/>
      <w:shd w:val="clear" w:color="auto" w:fill="FFFFFF" w:themeFill="background1"/>
      <w:lang w:eastAsia="en-AU"/>
    </w:rPr>
  </w:style>
  <w:style w:type="character" w:customStyle="1" w:styleId="Heading1Char">
    <w:name w:val="Heading 1 Char"/>
    <w:basedOn w:val="DefaultParagraphFont"/>
    <w:link w:val="Heading1"/>
    <w:rsid w:val="00CB7FBA"/>
    <w:rPr>
      <w:rFonts w:ascii="Calibri" w:hAnsi="Calibri" w:cs="Arial"/>
      <w:b/>
      <w:bCs/>
      <w:caps/>
      <w:color w:val="1F497D" w:themeColor="text2"/>
      <w:kern w:val="32"/>
      <w:sz w:val="36"/>
      <w:szCs w:val="36"/>
      <w:lang w:eastAsia="en-AU"/>
    </w:rPr>
  </w:style>
  <w:style w:type="paragraph" w:styleId="TOCHeading">
    <w:name w:val="TOC Heading"/>
    <w:basedOn w:val="Heading1"/>
    <w:next w:val="Normal"/>
    <w:uiPriority w:val="39"/>
    <w:semiHidden/>
    <w:unhideWhenUsed/>
    <w:qFormat/>
    <w:rsid w:val="00E551D2"/>
    <w:pPr>
      <w:outlineLvl w:val="9"/>
    </w:pPr>
    <w:rPr>
      <w:lang w:val="en-US" w:eastAsia="ja-JP"/>
    </w:rPr>
  </w:style>
  <w:style w:type="paragraph" w:styleId="TOC1">
    <w:name w:val="toc 1"/>
    <w:basedOn w:val="HeadingBase"/>
    <w:next w:val="Normal"/>
    <w:uiPriority w:val="39"/>
    <w:rsid w:val="002D26F6"/>
    <w:pPr>
      <w:tabs>
        <w:tab w:val="left" w:pos="426"/>
        <w:tab w:val="right" w:leader="dot" w:pos="9016"/>
        <w:tab w:val="right" w:leader="dot" w:pos="9072"/>
      </w:tabs>
      <w:spacing w:before="180" w:after="80"/>
      <w:ind w:left="425" w:right="851" w:hanging="425"/>
    </w:pPr>
    <w:rPr>
      <w:b/>
      <w:sz w:val="22"/>
      <w:szCs w:val="22"/>
    </w:rPr>
  </w:style>
  <w:style w:type="character" w:styleId="Hyperlink">
    <w:name w:val="Hyperlink"/>
    <w:basedOn w:val="DefaultParagraphFont"/>
    <w:uiPriority w:val="99"/>
    <w:rsid w:val="00256572"/>
    <w:rPr>
      <w:b/>
      <w:color w:val="1F497D" w:themeColor="text2"/>
      <w:u w:val="none"/>
    </w:rPr>
  </w:style>
  <w:style w:type="paragraph" w:styleId="BalloonText">
    <w:name w:val="Balloon Text"/>
    <w:basedOn w:val="Normal"/>
    <w:link w:val="BalloonTextChar"/>
    <w:uiPriority w:val="99"/>
    <w:unhideWhenUsed/>
    <w:rsid w:val="00256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56572"/>
    <w:rPr>
      <w:rFonts w:ascii="Tahoma" w:eastAsia="Times New Roman" w:hAnsi="Tahoma" w:cs="Tahoma"/>
      <w:color w:val="000000"/>
      <w:sz w:val="16"/>
      <w:szCs w:val="16"/>
      <w:lang w:eastAsia="en-AU"/>
    </w:rPr>
  </w:style>
  <w:style w:type="paragraph" w:customStyle="1" w:styleId="Bullet">
    <w:name w:val="Bullet"/>
    <w:basedOn w:val="Normal"/>
    <w:link w:val="BulletChar"/>
    <w:rsid w:val="00256572"/>
    <w:pPr>
      <w:numPr>
        <w:numId w:val="6"/>
      </w:numPr>
    </w:pPr>
  </w:style>
  <w:style w:type="character" w:customStyle="1" w:styleId="BulletChar">
    <w:name w:val="Bullet Char"/>
    <w:basedOn w:val="Heading1Char"/>
    <w:link w:val="Bullet"/>
    <w:rsid w:val="004E0AE7"/>
    <w:rPr>
      <w:rFonts w:ascii="Book Antiqua" w:eastAsia="Times New Roman" w:hAnsi="Book Antiqua" w:cs="Times New Roman"/>
      <w:b w:val="0"/>
      <w:bCs w:val="0"/>
      <w:caps w:val="0"/>
      <w:color w:val="000000"/>
      <w:kern w:val="32"/>
      <w:sz w:val="36"/>
      <w:szCs w:val="20"/>
      <w:lang w:eastAsia="en-AU"/>
    </w:rPr>
  </w:style>
  <w:style w:type="paragraph" w:customStyle="1" w:styleId="Dash">
    <w:name w:val="Dash"/>
    <w:basedOn w:val="Normal"/>
    <w:link w:val="DashChar"/>
    <w:rsid w:val="00256572"/>
    <w:pPr>
      <w:numPr>
        <w:ilvl w:val="1"/>
        <w:numId w:val="6"/>
      </w:numPr>
    </w:pPr>
  </w:style>
  <w:style w:type="character" w:customStyle="1" w:styleId="DashChar">
    <w:name w:val="Dash Char"/>
    <w:basedOn w:val="Heading1Char"/>
    <w:link w:val="Dash"/>
    <w:rsid w:val="004E0AE7"/>
    <w:rPr>
      <w:rFonts w:ascii="Book Antiqua" w:eastAsia="Times New Roman" w:hAnsi="Book Antiqua" w:cs="Times New Roman"/>
      <w:b w:val="0"/>
      <w:bCs w:val="0"/>
      <w:caps w:val="0"/>
      <w:color w:val="000000"/>
      <w:kern w:val="32"/>
      <w:sz w:val="36"/>
      <w:szCs w:val="20"/>
      <w:lang w:eastAsia="en-AU"/>
    </w:rPr>
  </w:style>
  <w:style w:type="paragraph" w:customStyle="1" w:styleId="DoubleDot">
    <w:name w:val="Double Dot"/>
    <w:basedOn w:val="Normal"/>
    <w:link w:val="DoubleDotChar"/>
    <w:rsid w:val="00256572"/>
    <w:pPr>
      <w:numPr>
        <w:ilvl w:val="2"/>
        <w:numId w:val="6"/>
      </w:numPr>
    </w:pPr>
  </w:style>
  <w:style w:type="character" w:customStyle="1" w:styleId="DoubleDotChar">
    <w:name w:val="Double Dot Char"/>
    <w:basedOn w:val="Heading1Char"/>
    <w:link w:val="DoubleDot"/>
    <w:rsid w:val="004E0AE7"/>
    <w:rPr>
      <w:rFonts w:ascii="Book Antiqua" w:eastAsia="Times New Roman" w:hAnsi="Book Antiqua" w:cs="Times New Roman"/>
      <w:b w:val="0"/>
      <w:bCs w:val="0"/>
      <w:caps w:val="0"/>
      <w:color w:val="000000"/>
      <w:kern w:val="32"/>
      <w:sz w:val="36"/>
      <w:szCs w:val="20"/>
      <w:lang w:eastAsia="en-AU"/>
    </w:rPr>
  </w:style>
  <w:style w:type="paragraph" w:styleId="ListParagraph">
    <w:name w:val="List Paragraph"/>
    <w:basedOn w:val="Normal"/>
    <w:uiPriority w:val="34"/>
    <w:qFormat/>
    <w:rsid w:val="002771A3"/>
    <w:pPr>
      <w:ind w:left="720"/>
      <w:contextualSpacing/>
    </w:pPr>
  </w:style>
  <w:style w:type="character" w:styleId="CommentReference">
    <w:name w:val="annotation reference"/>
    <w:basedOn w:val="DefaultParagraphFont"/>
    <w:rsid w:val="00256572"/>
    <w:rPr>
      <w:sz w:val="16"/>
      <w:szCs w:val="16"/>
    </w:rPr>
  </w:style>
  <w:style w:type="paragraph" w:styleId="CommentText">
    <w:name w:val="annotation text"/>
    <w:basedOn w:val="Normal"/>
    <w:link w:val="CommentTextChar"/>
    <w:rsid w:val="00256572"/>
    <w:rPr>
      <w:sz w:val="20"/>
    </w:rPr>
  </w:style>
  <w:style w:type="character" w:customStyle="1" w:styleId="CommentTextChar">
    <w:name w:val="Comment Text Char"/>
    <w:basedOn w:val="DefaultParagraphFont"/>
    <w:link w:val="CommentText"/>
    <w:rsid w:val="00256572"/>
    <w:rPr>
      <w:rFonts w:ascii="Calibri" w:hAnsi="Calibri"/>
      <w:color w:val="000000" w:themeColor="text1"/>
      <w:sz w:val="20"/>
    </w:rPr>
  </w:style>
  <w:style w:type="paragraph" w:styleId="CommentSubject">
    <w:name w:val="annotation subject"/>
    <w:basedOn w:val="CommentText"/>
    <w:next w:val="CommentText"/>
    <w:link w:val="CommentSubjectChar"/>
    <w:rsid w:val="00256572"/>
    <w:rPr>
      <w:b/>
      <w:bCs/>
    </w:rPr>
  </w:style>
  <w:style w:type="character" w:customStyle="1" w:styleId="CommentSubjectChar">
    <w:name w:val="Comment Subject Char"/>
    <w:basedOn w:val="CommentTextChar"/>
    <w:link w:val="CommentSubject"/>
    <w:rsid w:val="00256572"/>
    <w:rPr>
      <w:rFonts w:ascii="Calibri" w:hAnsi="Calibri"/>
      <w:b/>
      <w:bCs/>
      <w:color w:val="000000" w:themeColor="text1"/>
      <w:sz w:val="20"/>
    </w:rPr>
  </w:style>
  <w:style w:type="character" w:customStyle="1" w:styleId="Heading2Char">
    <w:name w:val="Heading 2 Char"/>
    <w:basedOn w:val="DefaultParagraphFont"/>
    <w:link w:val="Heading2"/>
    <w:rsid w:val="00C462C8"/>
    <w:rPr>
      <w:rFonts w:ascii="Calibri" w:eastAsia="Times New Roman" w:hAnsi="Calibri" w:cs="Arial"/>
      <w:b/>
      <w:bCs/>
      <w:iCs/>
      <w:smallCaps/>
      <w:color w:val="1F497D" w:themeColor="text2"/>
      <w:sz w:val="32"/>
      <w:szCs w:val="28"/>
      <w:lang w:eastAsia="en-AU"/>
    </w:rPr>
  </w:style>
  <w:style w:type="character" w:customStyle="1" w:styleId="Heading3Char">
    <w:name w:val="Heading 3 Char"/>
    <w:basedOn w:val="DefaultParagraphFont"/>
    <w:link w:val="Heading3"/>
    <w:rsid w:val="00256572"/>
    <w:rPr>
      <w:rFonts w:ascii="Century Gothic" w:eastAsia="Times New Roman" w:hAnsi="Century Gothic" w:cs="Arial"/>
      <w:b/>
      <w:bCs/>
      <w:color w:val="1F497D" w:themeColor="text2"/>
      <w:sz w:val="26"/>
      <w:szCs w:val="26"/>
      <w:lang w:eastAsia="en-AU"/>
    </w:rPr>
  </w:style>
  <w:style w:type="paragraph" w:styleId="FootnoteText">
    <w:name w:val="footnote text"/>
    <w:aliases w:val="Intel-Footnote"/>
    <w:basedOn w:val="Normal"/>
    <w:link w:val="FootnoteTextChar"/>
    <w:rsid w:val="00F453B4"/>
    <w:pPr>
      <w:tabs>
        <w:tab w:val="left" w:pos="397"/>
      </w:tabs>
      <w:spacing w:after="0" w:line="240" w:lineRule="auto"/>
      <w:ind w:left="397" w:hanging="397"/>
    </w:pPr>
    <w:rPr>
      <w:sz w:val="18"/>
    </w:rPr>
  </w:style>
  <w:style w:type="character" w:customStyle="1" w:styleId="FootnoteTextChar">
    <w:name w:val="Footnote Text Char"/>
    <w:aliases w:val="Intel-Footnote Char"/>
    <w:basedOn w:val="DefaultParagraphFont"/>
    <w:link w:val="FootnoteText"/>
    <w:rsid w:val="00F453B4"/>
    <w:rPr>
      <w:rFonts w:ascii="Book Antiqua" w:eastAsia="Times New Roman" w:hAnsi="Book Antiqua" w:cs="Times New Roman"/>
      <w:color w:val="000000"/>
      <w:sz w:val="18"/>
      <w:szCs w:val="20"/>
      <w:lang w:eastAsia="en-AU"/>
    </w:rPr>
  </w:style>
  <w:style w:type="character" w:styleId="FootnoteReference">
    <w:name w:val="footnote reference"/>
    <w:basedOn w:val="DefaultParagraphFont"/>
    <w:rsid w:val="00256572"/>
    <w:rPr>
      <w:vertAlign w:val="superscript"/>
    </w:rPr>
  </w:style>
  <w:style w:type="paragraph" w:customStyle="1" w:styleId="Default">
    <w:name w:val="Default"/>
    <w:rsid w:val="00145BF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ps-normal">
    <w:name w:val="hps-normal"/>
    <w:basedOn w:val="Normal"/>
    <w:rsid w:val="00162548"/>
    <w:pPr>
      <w:spacing w:before="180" w:after="180" w:line="240" w:lineRule="auto"/>
      <w:ind w:firstLine="240"/>
    </w:pPr>
    <w:rPr>
      <w:rFonts w:ascii="Times New Roman" w:hAnsi="Times New Roman"/>
      <w:color w:val="444444"/>
      <w:sz w:val="24"/>
      <w:szCs w:val="24"/>
    </w:rPr>
  </w:style>
  <w:style w:type="character" w:customStyle="1" w:styleId="hps-normal1">
    <w:name w:val="hps-normal1"/>
    <w:basedOn w:val="DefaultParagraphFont"/>
    <w:rsid w:val="00162548"/>
  </w:style>
  <w:style w:type="paragraph" w:styleId="TOC2">
    <w:name w:val="toc 2"/>
    <w:basedOn w:val="HeadingBase"/>
    <w:next w:val="Normal"/>
    <w:uiPriority w:val="39"/>
    <w:rsid w:val="002D26F6"/>
    <w:pPr>
      <w:tabs>
        <w:tab w:val="left" w:pos="993"/>
        <w:tab w:val="left" w:pos="1701"/>
        <w:tab w:val="right" w:leader="dot" w:pos="9016"/>
        <w:tab w:val="right" w:leader="dot" w:pos="9072"/>
      </w:tabs>
      <w:spacing w:before="80" w:after="80"/>
      <w:ind w:left="1701" w:right="851" w:hanging="1276"/>
    </w:pPr>
    <w:rPr>
      <w:noProof/>
      <w:sz w:val="22"/>
    </w:rPr>
  </w:style>
  <w:style w:type="paragraph" w:styleId="TOC3">
    <w:name w:val="toc 3"/>
    <w:basedOn w:val="Normal"/>
    <w:next w:val="Normal"/>
    <w:rsid w:val="00256572"/>
    <w:pPr>
      <w:tabs>
        <w:tab w:val="right" w:leader="dot" w:pos="9072"/>
      </w:tabs>
      <w:spacing w:before="40" w:after="0" w:line="240" w:lineRule="auto"/>
      <w:ind w:right="851"/>
    </w:pPr>
    <w:rPr>
      <w:rFonts w:ascii="Century Gothic" w:hAnsi="Century Gothic"/>
    </w:rPr>
  </w:style>
  <w:style w:type="paragraph" w:styleId="Header">
    <w:name w:val="header"/>
    <w:basedOn w:val="HeadingBase"/>
    <w:link w:val="HeaderChar"/>
    <w:rsid w:val="00256572"/>
    <w:rPr>
      <w:sz w:val="18"/>
    </w:rPr>
  </w:style>
  <w:style w:type="character" w:customStyle="1" w:styleId="HeaderChar">
    <w:name w:val="Header Char"/>
    <w:basedOn w:val="DefaultParagraphFont"/>
    <w:link w:val="Header"/>
    <w:rsid w:val="00256572"/>
    <w:rPr>
      <w:rFonts w:ascii="Century Gothic" w:eastAsia="Times New Roman" w:hAnsi="Century Gothic" w:cs="Times New Roman"/>
      <w:color w:val="1F497D" w:themeColor="text2"/>
      <w:sz w:val="18"/>
      <w:szCs w:val="20"/>
      <w:lang w:eastAsia="en-AU"/>
    </w:rPr>
  </w:style>
  <w:style w:type="paragraph" w:styleId="Footer">
    <w:name w:val="footer"/>
    <w:basedOn w:val="HeadingBase"/>
    <w:link w:val="FooterChar"/>
    <w:rsid w:val="00256572"/>
    <w:rPr>
      <w:sz w:val="18"/>
    </w:rPr>
  </w:style>
  <w:style w:type="character" w:customStyle="1" w:styleId="FooterChar">
    <w:name w:val="Footer Char"/>
    <w:basedOn w:val="DefaultParagraphFont"/>
    <w:link w:val="Footer"/>
    <w:rsid w:val="00256572"/>
    <w:rPr>
      <w:rFonts w:ascii="Century Gothic" w:eastAsia="Times New Roman" w:hAnsi="Century Gothic" w:cs="Times New Roman"/>
      <w:color w:val="1F497D" w:themeColor="text2"/>
      <w:sz w:val="18"/>
      <w:szCs w:val="20"/>
      <w:lang w:eastAsia="en-AU"/>
    </w:rPr>
  </w:style>
  <w:style w:type="paragraph" w:styleId="Revision">
    <w:name w:val="Revision"/>
    <w:hidden/>
    <w:uiPriority w:val="99"/>
    <w:semiHidden/>
    <w:rsid w:val="0018034D"/>
    <w:pPr>
      <w:spacing w:after="0" w:line="240" w:lineRule="auto"/>
    </w:pPr>
  </w:style>
  <w:style w:type="character" w:customStyle="1" w:styleId="spanh32">
    <w:name w:val="spanh32"/>
    <w:basedOn w:val="DefaultParagraphFont"/>
    <w:rsid w:val="00D83E8D"/>
    <w:rPr>
      <w:rFonts w:ascii="Arial" w:hAnsi="Arial" w:cs="Arial" w:hint="default"/>
      <w:b/>
      <w:bCs/>
      <w:sz w:val="30"/>
      <w:szCs w:val="30"/>
    </w:rPr>
  </w:style>
  <w:style w:type="character" w:customStyle="1" w:styleId="mover">
    <w:name w:val="mover"/>
    <w:basedOn w:val="DefaultParagraphFont"/>
    <w:rsid w:val="00D83E8D"/>
  </w:style>
  <w:style w:type="character" w:customStyle="1" w:styleId="normal2">
    <w:name w:val="normal2"/>
    <w:basedOn w:val="DefaultParagraphFont"/>
    <w:rsid w:val="00D83E8D"/>
    <w:rPr>
      <w:b w:val="0"/>
      <w:bCs w:val="0"/>
      <w:i w:val="0"/>
      <w:iCs w:val="0"/>
    </w:rPr>
  </w:style>
  <w:style w:type="paragraph" w:styleId="NormalWeb">
    <w:name w:val="Normal (Web)"/>
    <w:basedOn w:val="Normal"/>
    <w:uiPriority w:val="99"/>
    <w:unhideWhenUsed/>
    <w:rsid w:val="00256572"/>
    <w:pPr>
      <w:spacing w:before="100" w:beforeAutospacing="1" w:after="100" w:afterAutospacing="1"/>
    </w:pPr>
    <w:rPr>
      <w:rFonts w:ascii="Times New Roman" w:hAnsi="Times New Roman"/>
      <w:szCs w:val="24"/>
    </w:rPr>
  </w:style>
  <w:style w:type="paragraph" w:customStyle="1" w:styleId="para">
    <w:name w:val="para"/>
    <w:basedOn w:val="ListParagraph"/>
    <w:link w:val="paraChar"/>
    <w:qFormat/>
    <w:rsid w:val="00BB3AAF"/>
    <w:pPr>
      <w:numPr>
        <w:numId w:val="1"/>
      </w:numPr>
      <w:contextualSpacing w:val="0"/>
    </w:pPr>
  </w:style>
  <w:style w:type="paragraph" w:customStyle="1" w:styleId="subpara">
    <w:name w:val="subpara"/>
    <w:basedOn w:val="ListParagraph"/>
    <w:qFormat/>
    <w:rsid w:val="00BB3AAF"/>
    <w:pPr>
      <w:numPr>
        <w:ilvl w:val="1"/>
        <w:numId w:val="1"/>
      </w:numPr>
      <w:ind w:left="1134" w:hanging="567"/>
    </w:pPr>
  </w:style>
  <w:style w:type="character" w:customStyle="1" w:styleId="paraChar">
    <w:name w:val="para Char"/>
    <w:basedOn w:val="DefaultParagraphFont"/>
    <w:link w:val="para"/>
    <w:rsid w:val="00BB3AAF"/>
    <w:rPr>
      <w:rFonts w:ascii="Book Antiqua" w:eastAsia="Times New Roman" w:hAnsi="Book Antiqua" w:cs="Times New Roman"/>
      <w:color w:val="000000"/>
      <w:szCs w:val="20"/>
      <w:lang w:eastAsia="en-AU"/>
    </w:rPr>
  </w:style>
  <w:style w:type="character" w:customStyle="1" w:styleId="spanh22">
    <w:name w:val="spanh22"/>
    <w:basedOn w:val="DefaultParagraphFont"/>
    <w:rsid w:val="00BB3AAF"/>
    <w:rPr>
      <w:rFonts w:ascii="Arial" w:hAnsi="Arial" w:cs="Arial" w:hint="default"/>
      <w:b/>
      <w:bCs/>
      <w:sz w:val="31"/>
      <w:szCs w:val="31"/>
    </w:rPr>
  </w:style>
  <w:style w:type="character" w:customStyle="1" w:styleId="emphasis2">
    <w:name w:val="emphasis2"/>
    <w:basedOn w:val="DefaultParagraphFont"/>
    <w:rsid w:val="00BB3AAF"/>
    <w:rPr>
      <w:i/>
      <w:iCs/>
    </w:rPr>
  </w:style>
  <w:style w:type="paragraph" w:customStyle="1" w:styleId="OutlineNumbered1">
    <w:name w:val="Outline Numbered 1"/>
    <w:basedOn w:val="Normal"/>
    <w:link w:val="OutlineNumbered1Char"/>
    <w:rsid w:val="00256572"/>
    <w:pPr>
      <w:numPr>
        <w:numId w:val="27"/>
      </w:numPr>
    </w:pPr>
  </w:style>
  <w:style w:type="character" w:customStyle="1" w:styleId="OutlineNumbered1Char">
    <w:name w:val="Outline Numbered 1 Char"/>
    <w:basedOn w:val="BulletChar"/>
    <w:link w:val="OutlineNumbered1"/>
    <w:rsid w:val="005E3D7B"/>
    <w:rPr>
      <w:rFonts w:ascii="Book Antiqua" w:eastAsia="Times New Roman" w:hAnsi="Book Antiqua" w:cs="Times New Roman"/>
      <w:b w:val="0"/>
      <w:bCs w:val="0"/>
      <w:caps w:val="0"/>
      <w:color w:val="000000"/>
      <w:kern w:val="32"/>
      <w:sz w:val="36"/>
      <w:szCs w:val="20"/>
      <w:lang w:eastAsia="en-AU"/>
    </w:rPr>
  </w:style>
  <w:style w:type="paragraph" w:customStyle="1" w:styleId="OutlineNumbered2">
    <w:name w:val="Outline Numbered 2"/>
    <w:basedOn w:val="Normal"/>
    <w:link w:val="OutlineNumbered2Char"/>
    <w:rsid w:val="00256572"/>
    <w:pPr>
      <w:numPr>
        <w:ilvl w:val="1"/>
        <w:numId w:val="27"/>
      </w:numPr>
    </w:pPr>
  </w:style>
  <w:style w:type="character" w:customStyle="1" w:styleId="OutlineNumbered2Char">
    <w:name w:val="Outline Numbered 2 Char"/>
    <w:basedOn w:val="BulletChar"/>
    <w:link w:val="OutlineNumbered2"/>
    <w:rsid w:val="005E3D7B"/>
    <w:rPr>
      <w:rFonts w:ascii="Book Antiqua" w:eastAsia="Times New Roman" w:hAnsi="Book Antiqua" w:cs="Times New Roman"/>
      <w:b w:val="0"/>
      <w:bCs w:val="0"/>
      <w:caps w:val="0"/>
      <w:color w:val="000000"/>
      <w:kern w:val="32"/>
      <w:sz w:val="36"/>
      <w:szCs w:val="20"/>
      <w:lang w:eastAsia="en-AU"/>
    </w:rPr>
  </w:style>
  <w:style w:type="paragraph" w:customStyle="1" w:styleId="OutlineNumbered3">
    <w:name w:val="Outline Numbered 3"/>
    <w:basedOn w:val="Normal"/>
    <w:rsid w:val="00256572"/>
    <w:pPr>
      <w:numPr>
        <w:ilvl w:val="2"/>
        <w:numId w:val="27"/>
      </w:numPr>
    </w:pPr>
  </w:style>
  <w:style w:type="paragraph" w:styleId="Quote">
    <w:name w:val="Quote"/>
    <w:basedOn w:val="Normal"/>
    <w:next w:val="Normal"/>
    <w:link w:val="QuoteChar"/>
    <w:uiPriority w:val="29"/>
    <w:qFormat/>
    <w:rsid w:val="00B93C03"/>
    <w:rPr>
      <w:i/>
      <w:color w:val="auto"/>
    </w:rPr>
  </w:style>
  <w:style w:type="character" w:customStyle="1" w:styleId="QuoteChar">
    <w:name w:val="Quote Char"/>
    <w:basedOn w:val="DefaultParagraphFont"/>
    <w:link w:val="Quote"/>
    <w:uiPriority w:val="29"/>
    <w:rsid w:val="00B93C03"/>
    <w:rPr>
      <w:rFonts w:ascii="Book Antiqua" w:eastAsia="Times New Roman" w:hAnsi="Book Antiqua" w:cs="Times New Roman"/>
      <w:i/>
      <w:szCs w:val="20"/>
      <w:lang w:eastAsia="en-AU"/>
    </w:rPr>
  </w:style>
  <w:style w:type="paragraph" w:customStyle="1" w:styleId="definition">
    <w:name w:val="definition"/>
    <w:basedOn w:val="Normal"/>
    <w:rsid w:val="00EC60EE"/>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EC60EE"/>
    <w:pPr>
      <w:spacing w:before="100" w:beforeAutospacing="1" w:after="100" w:afterAutospacing="1" w:line="240" w:lineRule="auto"/>
    </w:pPr>
    <w:rPr>
      <w:rFonts w:ascii="Times New Roman" w:hAnsi="Times New Roman"/>
      <w:sz w:val="24"/>
      <w:szCs w:val="24"/>
    </w:rPr>
  </w:style>
  <w:style w:type="paragraph" w:customStyle="1" w:styleId="paragraphsub">
    <w:name w:val="paragraphsub"/>
    <w:basedOn w:val="Normal"/>
    <w:rsid w:val="00EC60EE"/>
    <w:pPr>
      <w:spacing w:before="100" w:beforeAutospacing="1" w:after="100" w:afterAutospacing="1" w:line="240" w:lineRule="auto"/>
    </w:pPr>
    <w:rPr>
      <w:rFonts w:ascii="Times New Roman" w:hAnsi="Times New Roman"/>
      <w:sz w:val="24"/>
      <w:szCs w:val="24"/>
    </w:rPr>
  </w:style>
  <w:style w:type="table" w:styleId="TableGrid">
    <w:name w:val="Table Grid"/>
    <w:basedOn w:val="TableNormal"/>
    <w:rsid w:val="00256572"/>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character" w:customStyle="1" w:styleId="Heading4Char">
    <w:name w:val="Heading 4 Char"/>
    <w:basedOn w:val="DefaultParagraphFont"/>
    <w:link w:val="Heading4"/>
    <w:rsid w:val="00256572"/>
    <w:rPr>
      <w:rFonts w:ascii="Century Gothic" w:eastAsia="Times New Roman" w:hAnsi="Century Gothic" w:cs="Times New Roman"/>
      <w:b/>
      <w:bCs/>
      <w:color w:val="1F497D" w:themeColor="text2"/>
      <w:lang w:eastAsia="en-AU"/>
    </w:rPr>
  </w:style>
  <w:style w:type="character" w:customStyle="1" w:styleId="Heading5Char">
    <w:name w:val="Heading 5 Char"/>
    <w:basedOn w:val="DefaultParagraphFont"/>
    <w:link w:val="Heading5"/>
    <w:rsid w:val="00256572"/>
    <w:rPr>
      <w:rFonts w:ascii="Century Gothic" w:eastAsia="Times New Roman" w:hAnsi="Century Gothic" w:cs="Times New Roman"/>
      <w:b/>
      <w:bCs/>
      <w:iCs/>
      <w:color w:val="1F497D" w:themeColor="text2"/>
      <w:sz w:val="20"/>
      <w:szCs w:val="20"/>
      <w:lang w:eastAsia="en-AU"/>
    </w:rPr>
  </w:style>
  <w:style w:type="character" w:customStyle="1" w:styleId="Heading6Char">
    <w:name w:val="Heading 6 Char"/>
    <w:basedOn w:val="DefaultParagraphFont"/>
    <w:link w:val="Heading6"/>
    <w:rsid w:val="00256572"/>
    <w:rPr>
      <w:rFonts w:ascii="Century Gothic" w:eastAsia="Times New Roman" w:hAnsi="Century Gothic" w:cs="Times New Roman"/>
      <w:bCs/>
      <w:color w:val="1F497D" w:themeColor="text2"/>
      <w:sz w:val="20"/>
      <w:lang w:eastAsia="en-AU"/>
    </w:rPr>
  </w:style>
  <w:style w:type="character" w:customStyle="1" w:styleId="Heading7Char">
    <w:name w:val="Heading 7 Char"/>
    <w:basedOn w:val="DefaultParagraphFont"/>
    <w:link w:val="Heading7"/>
    <w:rsid w:val="00256572"/>
    <w:rPr>
      <w:rFonts w:ascii="Century Gothic" w:eastAsia="Times New Roman" w:hAnsi="Century Gothic" w:cs="Times New Roman"/>
      <w:color w:val="1F497D" w:themeColor="text2"/>
      <w:sz w:val="20"/>
      <w:szCs w:val="24"/>
      <w:lang w:eastAsia="en-AU"/>
    </w:rPr>
  </w:style>
  <w:style w:type="character" w:customStyle="1" w:styleId="Heading8Char">
    <w:name w:val="Heading 8 Char"/>
    <w:basedOn w:val="DefaultParagraphFont"/>
    <w:link w:val="Heading8"/>
    <w:rsid w:val="00256572"/>
    <w:rPr>
      <w:rFonts w:ascii="Century Gothic" w:eastAsia="Times New Roman" w:hAnsi="Century Gothic" w:cs="Times New Roman"/>
      <w:iCs/>
      <w:color w:val="1F497D" w:themeColor="text2"/>
      <w:sz w:val="20"/>
      <w:szCs w:val="24"/>
      <w:lang w:eastAsia="en-AU"/>
    </w:rPr>
  </w:style>
  <w:style w:type="character" w:customStyle="1" w:styleId="Heading9Char">
    <w:name w:val="Heading 9 Char"/>
    <w:basedOn w:val="DefaultParagraphFont"/>
    <w:link w:val="Heading9"/>
    <w:rsid w:val="00256572"/>
    <w:rPr>
      <w:rFonts w:ascii="Century Gothic" w:eastAsia="Times New Roman" w:hAnsi="Century Gothic" w:cs="Arial"/>
      <w:color w:val="1F497D" w:themeColor="text2"/>
      <w:sz w:val="20"/>
      <w:lang w:eastAsia="en-AU"/>
    </w:rPr>
  </w:style>
  <w:style w:type="paragraph" w:customStyle="1" w:styleId="HeadingBase">
    <w:name w:val="Heading Base"/>
    <w:next w:val="Normal"/>
    <w:rsid w:val="00256572"/>
    <w:pPr>
      <w:keepNext/>
      <w:spacing w:after="0" w:line="240" w:lineRule="auto"/>
    </w:pPr>
    <w:rPr>
      <w:rFonts w:ascii="Century Gothic" w:eastAsia="Times New Roman" w:hAnsi="Century Gothic" w:cs="Times New Roman"/>
      <w:color w:val="1F497D" w:themeColor="text2"/>
      <w:sz w:val="20"/>
      <w:szCs w:val="20"/>
      <w:lang w:eastAsia="en-AU"/>
    </w:rPr>
  </w:style>
  <w:style w:type="paragraph" w:customStyle="1" w:styleId="ChartGraphic">
    <w:name w:val="Chart Graphic"/>
    <w:basedOn w:val="HeadingBase"/>
    <w:rsid w:val="00256572"/>
    <w:pPr>
      <w:jc w:val="center"/>
    </w:pPr>
  </w:style>
  <w:style w:type="paragraph" w:customStyle="1" w:styleId="TableGraphic">
    <w:name w:val="Table Graphic"/>
    <w:basedOn w:val="HeadingBase"/>
    <w:next w:val="Normal"/>
    <w:rsid w:val="00256572"/>
  </w:style>
  <w:style w:type="paragraph" w:customStyle="1" w:styleId="AlphaParagraph">
    <w:name w:val="Alpha Paragraph"/>
    <w:basedOn w:val="Normal"/>
    <w:rsid w:val="00256572"/>
    <w:pPr>
      <w:numPr>
        <w:numId w:val="3"/>
      </w:numPr>
      <w:tabs>
        <w:tab w:val="clear" w:pos="567"/>
        <w:tab w:val="num" w:pos="283"/>
      </w:tabs>
      <w:ind w:left="283" w:hanging="283"/>
    </w:pPr>
  </w:style>
  <w:style w:type="paragraph" w:customStyle="1" w:styleId="AppendixHeading">
    <w:name w:val="Appendix Heading"/>
    <w:basedOn w:val="HeadingBase"/>
    <w:next w:val="Normal"/>
    <w:rsid w:val="00256572"/>
    <w:pPr>
      <w:spacing w:before="720" w:after="360"/>
    </w:pPr>
    <w:rPr>
      <w:rFonts w:ascii="Arial Bold" w:hAnsi="Arial Bold"/>
      <w:b/>
      <w:smallCaps/>
      <w:sz w:val="36"/>
      <w:szCs w:val="36"/>
    </w:rPr>
  </w:style>
  <w:style w:type="character" w:customStyle="1" w:styleId="Bold">
    <w:name w:val="Bold"/>
    <w:basedOn w:val="DefaultParagraphFont"/>
    <w:rsid w:val="00256572"/>
    <w:rPr>
      <w:b/>
    </w:rPr>
  </w:style>
  <w:style w:type="paragraph" w:customStyle="1" w:styleId="BoxTextBase">
    <w:name w:val="Box Text Base"/>
    <w:basedOn w:val="Normal"/>
    <w:rsid w:val="00256572"/>
    <w:pPr>
      <w:spacing w:line="240" w:lineRule="auto"/>
    </w:pPr>
    <w:rPr>
      <w:color w:val="000080"/>
    </w:rPr>
  </w:style>
  <w:style w:type="paragraph" w:customStyle="1" w:styleId="BoxBullet">
    <w:name w:val="Box Bullet"/>
    <w:basedOn w:val="BoxTextBase"/>
    <w:rsid w:val="00322D44"/>
    <w:pPr>
      <w:numPr>
        <w:numId w:val="4"/>
      </w:numPr>
      <w:spacing w:before="120" w:after="120"/>
      <w:ind w:left="284" w:right="57" w:hanging="284"/>
      <w:jc w:val="left"/>
    </w:pPr>
    <w:rPr>
      <w:rFonts w:ascii="Calibri" w:hAnsi="Calibri"/>
      <w:color w:val="auto"/>
    </w:rPr>
  </w:style>
  <w:style w:type="paragraph" w:customStyle="1" w:styleId="BoxDash">
    <w:name w:val="Box Dash"/>
    <w:basedOn w:val="BoxTextBase"/>
    <w:rsid w:val="00256572"/>
    <w:pPr>
      <w:numPr>
        <w:ilvl w:val="1"/>
        <w:numId w:val="4"/>
      </w:numPr>
    </w:pPr>
  </w:style>
  <w:style w:type="paragraph" w:customStyle="1" w:styleId="BoxDoubleDot">
    <w:name w:val="Box Double Dot"/>
    <w:basedOn w:val="BoxTextBase"/>
    <w:rsid w:val="00256572"/>
    <w:pPr>
      <w:numPr>
        <w:ilvl w:val="2"/>
        <w:numId w:val="4"/>
      </w:numPr>
    </w:pPr>
  </w:style>
  <w:style w:type="paragraph" w:customStyle="1" w:styleId="BoxHeading">
    <w:name w:val="Box Heading"/>
    <w:basedOn w:val="HeadingBase"/>
    <w:next w:val="BoxText"/>
    <w:rsid w:val="00256572"/>
    <w:pPr>
      <w:numPr>
        <w:numId w:val="28"/>
      </w:numPr>
      <w:spacing w:before="120" w:after="120"/>
    </w:pPr>
    <w:rPr>
      <w:b/>
      <w:sz w:val="22"/>
    </w:rPr>
  </w:style>
  <w:style w:type="paragraph" w:customStyle="1" w:styleId="BoxText">
    <w:name w:val="Box Text"/>
    <w:basedOn w:val="BoxTextBase"/>
    <w:rsid w:val="0035290D"/>
    <w:pPr>
      <w:spacing w:before="120" w:after="120"/>
      <w:ind w:right="57"/>
    </w:pPr>
    <w:rPr>
      <w:rFonts w:ascii="Calibri" w:hAnsi="Calibri"/>
      <w:color w:val="auto"/>
    </w:rPr>
  </w:style>
  <w:style w:type="paragraph" w:styleId="NormalIndent">
    <w:name w:val="Normal Indent"/>
    <w:basedOn w:val="Normal"/>
    <w:rsid w:val="00256572"/>
    <w:pPr>
      <w:ind w:left="567"/>
    </w:pPr>
  </w:style>
  <w:style w:type="paragraph" w:customStyle="1" w:styleId="ChartandTableFootnoteAlpha">
    <w:name w:val="Chart and Table Footnote Alpha"/>
    <w:rsid w:val="00256572"/>
    <w:pPr>
      <w:numPr>
        <w:numId w:val="5"/>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256572"/>
    <w:pPr>
      <w:spacing w:after="20"/>
      <w:jc w:val="center"/>
    </w:pPr>
    <w:rPr>
      <w:b/>
      <w:sz w:val="22"/>
    </w:rPr>
  </w:style>
  <w:style w:type="paragraph" w:customStyle="1" w:styleId="ChartorTableNote">
    <w:name w:val="Chart or Table Note"/>
    <w:next w:val="Normal"/>
    <w:rsid w:val="00256572"/>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256572"/>
    <w:pPr>
      <w:spacing w:after="20"/>
      <w:jc w:val="center"/>
    </w:pPr>
  </w:style>
  <w:style w:type="paragraph" w:customStyle="1" w:styleId="Classification">
    <w:name w:val="Classification"/>
    <w:basedOn w:val="HeadingBase"/>
    <w:next w:val="Footer"/>
    <w:rsid w:val="00256572"/>
    <w:pPr>
      <w:spacing w:after="120"/>
      <w:jc w:val="center"/>
    </w:pPr>
    <w:rPr>
      <w:b/>
      <w:smallCaps/>
    </w:rPr>
  </w:style>
  <w:style w:type="paragraph" w:customStyle="1" w:styleId="ContentsHeading">
    <w:name w:val="Contents Heading"/>
    <w:basedOn w:val="HeadingBase"/>
    <w:next w:val="Normal"/>
    <w:rsid w:val="00256572"/>
    <w:pPr>
      <w:spacing w:after="360"/>
      <w:jc w:val="center"/>
    </w:pPr>
    <w:rPr>
      <w:smallCaps/>
      <w:sz w:val="36"/>
      <w:szCs w:val="36"/>
    </w:rPr>
  </w:style>
  <w:style w:type="paragraph" w:customStyle="1" w:styleId="CoverTitleSub">
    <w:name w:val="Cover Title Sub"/>
    <w:basedOn w:val="HeadingBase"/>
    <w:rsid w:val="00256572"/>
    <w:pPr>
      <w:spacing w:after="360"/>
      <w:jc w:val="center"/>
    </w:pPr>
    <w:rPr>
      <w:sz w:val="36"/>
    </w:rPr>
  </w:style>
  <w:style w:type="paragraph" w:customStyle="1" w:styleId="Covertitlelevel3">
    <w:name w:val="Cover title level 3"/>
    <w:basedOn w:val="CoverTitleSub"/>
    <w:rsid w:val="00256572"/>
    <w:pPr>
      <w:spacing w:after="120"/>
    </w:pPr>
    <w:rPr>
      <w:sz w:val="28"/>
      <w:szCs w:val="28"/>
    </w:rPr>
  </w:style>
  <w:style w:type="paragraph" w:customStyle="1" w:styleId="CoverTitleMain">
    <w:name w:val="Cover Title Main"/>
    <w:basedOn w:val="HeadingBase"/>
    <w:next w:val="Normal"/>
    <w:rsid w:val="00256572"/>
    <w:pPr>
      <w:spacing w:after="480"/>
      <w:jc w:val="center"/>
    </w:pPr>
    <w:rPr>
      <w:b/>
      <w:sz w:val="48"/>
    </w:rPr>
  </w:style>
  <w:style w:type="paragraph" w:customStyle="1" w:styleId="Figuregraphic">
    <w:name w:val="Figure graphic"/>
    <w:basedOn w:val="Normal"/>
    <w:rsid w:val="00256572"/>
    <w:pPr>
      <w:jc w:val="center"/>
    </w:pPr>
  </w:style>
  <w:style w:type="paragraph" w:customStyle="1" w:styleId="FigureHeading">
    <w:name w:val="Figure Heading"/>
    <w:basedOn w:val="HeadingBase"/>
    <w:next w:val="Figuregraphic"/>
    <w:rsid w:val="00256572"/>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256572"/>
    <w:pPr>
      <w:spacing w:after="20"/>
      <w:jc w:val="center"/>
    </w:pPr>
  </w:style>
  <w:style w:type="paragraph" w:customStyle="1" w:styleId="TableMainHeading">
    <w:name w:val="Table Main Heading"/>
    <w:basedOn w:val="HeadingBase"/>
    <w:next w:val="TableGraphic"/>
    <w:rsid w:val="00256572"/>
    <w:pPr>
      <w:spacing w:after="20"/>
    </w:pPr>
    <w:rPr>
      <w:b/>
      <w:sz w:val="22"/>
    </w:rPr>
  </w:style>
  <w:style w:type="paragraph" w:customStyle="1" w:styleId="FooterCentered">
    <w:name w:val="Footer Centered"/>
    <w:basedOn w:val="Footer"/>
    <w:rsid w:val="00256572"/>
    <w:pPr>
      <w:jc w:val="center"/>
    </w:pPr>
    <w:rPr>
      <w:rFonts w:ascii="Book Antiqua" w:hAnsi="Book Antiqua"/>
      <w:sz w:val="22"/>
    </w:rPr>
  </w:style>
  <w:style w:type="paragraph" w:customStyle="1" w:styleId="FooterEven">
    <w:name w:val="Footer Even"/>
    <w:basedOn w:val="Footer"/>
    <w:rsid w:val="000756A4"/>
    <w:rPr>
      <w:rFonts w:ascii="Calibri" w:hAnsi="Calibri"/>
      <w:sz w:val="20"/>
    </w:rPr>
  </w:style>
  <w:style w:type="paragraph" w:customStyle="1" w:styleId="FooterOdd">
    <w:name w:val="Footer Odd"/>
    <w:basedOn w:val="Footer"/>
    <w:rsid w:val="000756A4"/>
    <w:pPr>
      <w:jc w:val="right"/>
    </w:pPr>
    <w:rPr>
      <w:rFonts w:ascii="Calibri" w:hAnsi="Calibri"/>
      <w:sz w:val="20"/>
    </w:rPr>
  </w:style>
  <w:style w:type="character" w:customStyle="1" w:styleId="FramedFooter">
    <w:name w:val="Framed Footer"/>
    <w:rsid w:val="00256572"/>
    <w:rPr>
      <w:rFonts w:ascii="Arial" w:hAnsi="Arial"/>
      <w:sz w:val="18"/>
    </w:rPr>
  </w:style>
  <w:style w:type="character" w:customStyle="1" w:styleId="FramedHeader">
    <w:name w:val="Framed Header"/>
    <w:basedOn w:val="DefaultParagraphFont"/>
    <w:rsid w:val="00256572"/>
    <w:rPr>
      <w:rFonts w:ascii="Arial" w:hAnsi="Arial"/>
      <w:dstrike w:val="0"/>
      <w:color w:val="auto"/>
      <w:sz w:val="18"/>
      <w:vertAlign w:val="baseline"/>
    </w:rPr>
  </w:style>
  <w:style w:type="paragraph" w:customStyle="1" w:styleId="HeaderEven">
    <w:name w:val="Header Even"/>
    <w:basedOn w:val="Header"/>
    <w:rsid w:val="000756A4"/>
    <w:rPr>
      <w:rFonts w:ascii="Calibri" w:hAnsi="Calibri"/>
      <w:sz w:val="20"/>
    </w:rPr>
  </w:style>
  <w:style w:type="paragraph" w:customStyle="1" w:styleId="HeaderOdd">
    <w:name w:val="Header Odd"/>
    <w:basedOn w:val="Header"/>
    <w:rsid w:val="000756A4"/>
    <w:pPr>
      <w:jc w:val="right"/>
    </w:pPr>
    <w:rPr>
      <w:rFonts w:ascii="Calibri" w:hAnsi="Calibri"/>
      <w:sz w:val="20"/>
    </w:rPr>
  </w:style>
  <w:style w:type="character" w:customStyle="1" w:styleId="italic">
    <w:name w:val="italic"/>
    <w:basedOn w:val="DefaultParagraphFont"/>
    <w:rsid w:val="00256572"/>
    <w:rPr>
      <w:i/>
    </w:rPr>
  </w:style>
  <w:style w:type="paragraph" w:customStyle="1" w:styleId="NormalIndentItalics">
    <w:name w:val="Normal Indent Italics"/>
    <w:basedOn w:val="NormalIndent"/>
    <w:rsid w:val="00256572"/>
    <w:rPr>
      <w:i/>
    </w:rPr>
  </w:style>
  <w:style w:type="paragraph" w:customStyle="1" w:styleId="OneLevelNumberedParagraph">
    <w:name w:val="One Level Numbered Paragraph"/>
    <w:basedOn w:val="Normal"/>
    <w:rsid w:val="00256572"/>
    <w:pPr>
      <w:numPr>
        <w:numId w:val="7"/>
      </w:numPr>
    </w:pPr>
  </w:style>
  <w:style w:type="character" w:styleId="PageNumber">
    <w:name w:val="page number"/>
    <w:basedOn w:val="DefaultParagraphFont"/>
    <w:rsid w:val="00256572"/>
    <w:rPr>
      <w:rFonts w:ascii="Book Antiqua" w:hAnsi="Book Antiqua"/>
      <w:sz w:val="18"/>
    </w:rPr>
  </w:style>
  <w:style w:type="paragraph" w:customStyle="1" w:styleId="Principle">
    <w:name w:val="Principle"/>
    <w:basedOn w:val="Normal"/>
    <w:rsid w:val="00256572"/>
    <w:pPr>
      <w:keepNext/>
      <w:spacing w:after="60"/>
      <w:ind w:left="573"/>
    </w:pPr>
    <w:rPr>
      <w:i/>
      <w:sz w:val="20"/>
    </w:rPr>
  </w:style>
  <w:style w:type="paragraph" w:customStyle="1" w:styleId="RecommendationTextBase">
    <w:name w:val="Recommendation Text Base"/>
    <w:basedOn w:val="Normal"/>
    <w:rsid w:val="00256572"/>
  </w:style>
  <w:style w:type="paragraph" w:customStyle="1" w:styleId="RecommendationBullet">
    <w:name w:val="Recommendation Bullet"/>
    <w:basedOn w:val="RecommendationTextBase"/>
    <w:rsid w:val="00256572"/>
    <w:pPr>
      <w:numPr>
        <w:numId w:val="24"/>
      </w:numPr>
    </w:pPr>
  </w:style>
  <w:style w:type="paragraph" w:customStyle="1" w:styleId="RecommendationDash">
    <w:name w:val="Recommendation Dash"/>
    <w:basedOn w:val="RecommendationTextBase"/>
    <w:rsid w:val="00256572"/>
    <w:pPr>
      <w:numPr>
        <w:ilvl w:val="1"/>
        <w:numId w:val="24"/>
      </w:numPr>
    </w:pPr>
  </w:style>
  <w:style w:type="paragraph" w:customStyle="1" w:styleId="RecommendationDoubleDot">
    <w:name w:val="Recommendation Double Dot"/>
    <w:basedOn w:val="RecommendationTextBase"/>
    <w:rsid w:val="00256572"/>
    <w:pPr>
      <w:numPr>
        <w:ilvl w:val="2"/>
        <w:numId w:val="24"/>
      </w:numPr>
    </w:pPr>
  </w:style>
  <w:style w:type="paragraph" w:customStyle="1" w:styleId="RecommendationHeading">
    <w:name w:val="Recommendation Heading"/>
    <w:basedOn w:val="HeadingBase"/>
    <w:next w:val="RecommendationText"/>
    <w:rsid w:val="00256572"/>
    <w:pPr>
      <w:numPr>
        <w:numId w:val="25"/>
      </w:numPr>
      <w:spacing w:before="120" w:after="240"/>
    </w:pPr>
    <w:rPr>
      <w:b/>
      <w:sz w:val="22"/>
    </w:rPr>
  </w:style>
  <w:style w:type="paragraph" w:customStyle="1" w:styleId="RecommendationText">
    <w:name w:val="Recommendation Text"/>
    <w:basedOn w:val="RecommendationTextBase"/>
    <w:rsid w:val="00256572"/>
  </w:style>
  <w:style w:type="paragraph" w:customStyle="1" w:styleId="Romannumeral">
    <w:name w:val="Roman numeral"/>
    <w:basedOn w:val="Normal"/>
    <w:rsid w:val="00256572"/>
    <w:pPr>
      <w:numPr>
        <w:numId w:val="15"/>
      </w:numPr>
    </w:pPr>
  </w:style>
  <w:style w:type="paragraph" w:customStyle="1" w:styleId="SingleParagraph">
    <w:name w:val="Single Paragraph"/>
    <w:basedOn w:val="Normal"/>
    <w:link w:val="SingleParagraphChar"/>
    <w:rsid w:val="00256572"/>
    <w:pPr>
      <w:spacing w:after="0"/>
    </w:pPr>
  </w:style>
  <w:style w:type="paragraph" w:customStyle="1" w:styleId="SingleParagraphIndent">
    <w:name w:val="Single Paragraph Indent"/>
    <w:basedOn w:val="SingleParagraph"/>
    <w:rsid w:val="00256572"/>
    <w:pPr>
      <w:ind w:left="567"/>
    </w:pPr>
  </w:style>
  <w:style w:type="paragraph" w:customStyle="1" w:styleId="TableSecondHeading">
    <w:name w:val="Table Second Heading"/>
    <w:basedOn w:val="HeadingBase"/>
    <w:next w:val="TableGraphic"/>
    <w:rsid w:val="00256572"/>
    <w:pPr>
      <w:spacing w:after="20"/>
    </w:pPr>
  </w:style>
  <w:style w:type="paragraph" w:customStyle="1" w:styleId="TableTextBase">
    <w:name w:val="Table Text Base"/>
    <w:rsid w:val="00256572"/>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TextBase"/>
    <w:rsid w:val="00256572"/>
    <w:pPr>
      <w:jc w:val="center"/>
    </w:pPr>
    <w:rPr>
      <w:b/>
    </w:rPr>
  </w:style>
  <w:style w:type="paragraph" w:customStyle="1" w:styleId="TableColumnHeadingBase">
    <w:name w:val="Table Column Heading Base"/>
    <w:basedOn w:val="Normal"/>
    <w:rsid w:val="00256572"/>
    <w:pPr>
      <w:spacing w:before="40" w:after="40"/>
    </w:pPr>
    <w:rPr>
      <w:rFonts w:ascii="Arial" w:hAnsi="Arial"/>
      <w:b/>
      <w:sz w:val="16"/>
    </w:rPr>
  </w:style>
  <w:style w:type="paragraph" w:customStyle="1" w:styleId="TableColumnHeadingLeft">
    <w:name w:val="Table Column Heading Left"/>
    <w:basedOn w:val="TableTextBase"/>
    <w:rsid w:val="00256572"/>
    <w:rPr>
      <w:b/>
    </w:rPr>
  </w:style>
  <w:style w:type="paragraph" w:customStyle="1" w:styleId="TableColumnHeadingRight">
    <w:name w:val="Table Column Heading Right"/>
    <w:basedOn w:val="TableTextBase"/>
    <w:rsid w:val="00256572"/>
    <w:pPr>
      <w:jc w:val="right"/>
    </w:pPr>
    <w:rPr>
      <w:b/>
    </w:rPr>
  </w:style>
  <w:style w:type="paragraph" w:customStyle="1" w:styleId="TableMainHeadingContd">
    <w:name w:val="Table Main Heading Contd"/>
    <w:basedOn w:val="HeadingBase"/>
    <w:next w:val="TableGraphic"/>
    <w:rsid w:val="00256572"/>
    <w:pPr>
      <w:spacing w:after="20"/>
    </w:pPr>
    <w:rPr>
      <w:b/>
      <w:sz w:val="22"/>
    </w:rPr>
  </w:style>
  <w:style w:type="paragraph" w:customStyle="1" w:styleId="TableTextCentered">
    <w:name w:val="Table Text Centered"/>
    <w:basedOn w:val="TableTextBase"/>
    <w:rsid w:val="00256572"/>
    <w:pPr>
      <w:jc w:val="center"/>
    </w:pPr>
  </w:style>
  <w:style w:type="paragraph" w:customStyle="1" w:styleId="TableTextIndented">
    <w:name w:val="Table Text Indented"/>
    <w:basedOn w:val="TableTextBase"/>
    <w:rsid w:val="00256572"/>
    <w:pPr>
      <w:ind w:left="284"/>
    </w:pPr>
  </w:style>
  <w:style w:type="paragraph" w:customStyle="1" w:styleId="TableTextLeft">
    <w:name w:val="Table Text Left"/>
    <w:basedOn w:val="TableTextBase"/>
    <w:rsid w:val="00256572"/>
  </w:style>
  <w:style w:type="paragraph" w:customStyle="1" w:styleId="TableTextRight">
    <w:name w:val="Table Text Right"/>
    <w:basedOn w:val="TableTextBase"/>
    <w:rsid w:val="00256572"/>
    <w:pPr>
      <w:jc w:val="right"/>
    </w:pPr>
  </w:style>
  <w:style w:type="paragraph" w:styleId="TOC4">
    <w:name w:val="toc 4"/>
    <w:basedOn w:val="Normal"/>
    <w:next w:val="Normal"/>
    <w:rsid w:val="00256572"/>
    <w:pPr>
      <w:tabs>
        <w:tab w:val="right" w:leader="dot" w:pos="9072"/>
      </w:tabs>
      <w:spacing w:after="0" w:line="240" w:lineRule="auto"/>
      <w:ind w:left="284" w:right="851"/>
    </w:pPr>
  </w:style>
  <w:style w:type="paragraph" w:styleId="BodyTextIndent2">
    <w:name w:val="Body Text Indent 2"/>
    <w:basedOn w:val="Normal"/>
    <w:link w:val="BodyTextIndent2Char"/>
    <w:rsid w:val="00256572"/>
    <w:pPr>
      <w:spacing w:after="120" w:line="480" w:lineRule="auto"/>
      <w:ind w:left="283"/>
    </w:pPr>
  </w:style>
  <w:style w:type="character" w:customStyle="1" w:styleId="BodyTextIndent2Char">
    <w:name w:val="Body Text Indent 2 Char"/>
    <w:basedOn w:val="DefaultParagraphFont"/>
    <w:link w:val="BodyTextIndent2"/>
    <w:rsid w:val="00256572"/>
    <w:rPr>
      <w:rFonts w:ascii="Calibri" w:hAnsi="Calibri"/>
      <w:color w:val="000000" w:themeColor="text1"/>
    </w:rPr>
  </w:style>
  <w:style w:type="character" w:customStyle="1" w:styleId="BoldandItalic">
    <w:name w:val="Bold and Italic"/>
    <w:basedOn w:val="DefaultParagraphFont"/>
    <w:rsid w:val="00256572"/>
    <w:rPr>
      <w:rFonts w:ascii="Arial" w:hAnsi="Arial"/>
      <w:b/>
      <w:i/>
    </w:rPr>
  </w:style>
  <w:style w:type="paragraph" w:styleId="Caption">
    <w:name w:val="caption"/>
    <w:basedOn w:val="Normal"/>
    <w:next w:val="Normal"/>
    <w:unhideWhenUsed/>
    <w:rsid w:val="00256572"/>
    <w:rPr>
      <w:b/>
      <w:bCs/>
      <w:color w:val="003157"/>
      <w:sz w:val="18"/>
      <w:szCs w:val="18"/>
    </w:rPr>
  </w:style>
  <w:style w:type="paragraph" w:styleId="DocumentMap">
    <w:name w:val="Document Map"/>
    <w:basedOn w:val="Normal"/>
    <w:link w:val="DocumentMapChar"/>
    <w:semiHidden/>
    <w:rsid w:val="00256572"/>
    <w:pPr>
      <w:shd w:val="clear" w:color="auto" w:fill="00CCFF"/>
    </w:pPr>
    <w:rPr>
      <w:rFonts w:ascii="Tahoma" w:hAnsi="Tahoma" w:cs="Tahoma"/>
    </w:rPr>
  </w:style>
  <w:style w:type="character" w:customStyle="1" w:styleId="DocumentMapChar">
    <w:name w:val="Document Map Char"/>
    <w:basedOn w:val="DefaultParagraphFont"/>
    <w:link w:val="DocumentMap"/>
    <w:semiHidden/>
    <w:rsid w:val="00256572"/>
    <w:rPr>
      <w:rFonts w:ascii="Tahoma" w:hAnsi="Tahoma" w:cs="Tahoma"/>
      <w:color w:val="000000" w:themeColor="text1"/>
      <w:shd w:val="clear" w:color="auto" w:fill="00CCFF"/>
    </w:rPr>
  </w:style>
  <w:style w:type="character" w:styleId="EndnoteReference">
    <w:name w:val="endnote reference"/>
    <w:basedOn w:val="DefaultParagraphFont"/>
    <w:rsid w:val="00256572"/>
    <w:rPr>
      <w:vertAlign w:val="superscript"/>
    </w:rPr>
  </w:style>
  <w:style w:type="paragraph" w:styleId="EndnoteText">
    <w:name w:val="endnote text"/>
    <w:basedOn w:val="Normal"/>
    <w:link w:val="EndnoteTextChar"/>
    <w:rsid w:val="00256572"/>
    <w:pPr>
      <w:spacing w:after="0"/>
    </w:pPr>
    <w:rPr>
      <w:sz w:val="20"/>
    </w:rPr>
  </w:style>
  <w:style w:type="character" w:customStyle="1" w:styleId="EndnoteTextChar">
    <w:name w:val="Endnote Text Char"/>
    <w:basedOn w:val="DefaultParagraphFont"/>
    <w:link w:val="EndnoteText"/>
    <w:rsid w:val="00256572"/>
    <w:rPr>
      <w:rFonts w:ascii="Calibri" w:hAnsi="Calibri"/>
      <w:color w:val="000000" w:themeColor="text1"/>
      <w:sz w:val="20"/>
    </w:rPr>
  </w:style>
  <w:style w:type="character" w:styleId="FollowedHyperlink">
    <w:name w:val="FollowedHyperlink"/>
    <w:basedOn w:val="DefaultParagraphFont"/>
    <w:rsid w:val="00256572"/>
    <w:rPr>
      <w:color w:val="auto"/>
      <w:u w:val="none"/>
    </w:rPr>
  </w:style>
  <w:style w:type="paragraph" w:styleId="Index1">
    <w:name w:val="index 1"/>
    <w:basedOn w:val="Normal"/>
    <w:next w:val="Normal"/>
    <w:autoRedefine/>
    <w:semiHidden/>
    <w:rsid w:val="00256572"/>
    <w:pPr>
      <w:spacing w:after="0"/>
      <w:ind w:left="238" w:hanging="238"/>
    </w:pPr>
  </w:style>
  <w:style w:type="paragraph" w:styleId="Index2">
    <w:name w:val="index 2"/>
    <w:basedOn w:val="Normal"/>
    <w:next w:val="Normal"/>
    <w:autoRedefine/>
    <w:semiHidden/>
    <w:rsid w:val="00256572"/>
    <w:pPr>
      <w:spacing w:after="0"/>
      <w:ind w:left="480" w:hanging="240"/>
    </w:pPr>
    <w:rPr>
      <w:sz w:val="20"/>
    </w:rPr>
  </w:style>
  <w:style w:type="paragraph" w:styleId="Index3">
    <w:name w:val="index 3"/>
    <w:basedOn w:val="Normal"/>
    <w:next w:val="Normal"/>
    <w:autoRedefine/>
    <w:semiHidden/>
    <w:rsid w:val="00256572"/>
    <w:pPr>
      <w:ind w:left="600" w:hanging="200"/>
    </w:pPr>
  </w:style>
  <w:style w:type="paragraph" w:styleId="Index4">
    <w:name w:val="index 4"/>
    <w:basedOn w:val="Normal"/>
    <w:next w:val="Normal"/>
    <w:autoRedefine/>
    <w:semiHidden/>
    <w:rsid w:val="00256572"/>
    <w:pPr>
      <w:ind w:left="800" w:hanging="200"/>
    </w:pPr>
  </w:style>
  <w:style w:type="paragraph" w:styleId="Index5">
    <w:name w:val="index 5"/>
    <w:basedOn w:val="Normal"/>
    <w:next w:val="Normal"/>
    <w:autoRedefine/>
    <w:semiHidden/>
    <w:rsid w:val="00256572"/>
    <w:pPr>
      <w:ind w:left="1000" w:hanging="200"/>
    </w:pPr>
  </w:style>
  <w:style w:type="paragraph" w:styleId="Index6">
    <w:name w:val="index 6"/>
    <w:basedOn w:val="Normal"/>
    <w:next w:val="Normal"/>
    <w:autoRedefine/>
    <w:semiHidden/>
    <w:rsid w:val="00256572"/>
    <w:pPr>
      <w:ind w:left="1200" w:hanging="200"/>
    </w:pPr>
  </w:style>
  <w:style w:type="paragraph" w:styleId="Index7">
    <w:name w:val="index 7"/>
    <w:basedOn w:val="Normal"/>
    <w:next w:val="Normal"/>
    <w:autoRedefine/>
    <w:semiHidden/>
    <w:rsid w:val="00256572"/>
    <w:pPr>
      <w:ind w:left="1400" w:hanging="200"/>
    </w:pPr>
  </w:style>
  <w:style w:type="paragraph" w:styleId="Index8">
    <w:name w:val="index 8"/>
    <w:basedOn w:val="Normal"/>
    <w:next w:val="Normal"/>
    <w:autoRedefine/>
    <w:semiHidden/>
    <w:rsid w:val="00256572"/>
    <w:pPr>
      <w:ind w:left="1600" w:hanging="200"/>
    </w:pPr>
  </w:style>
  <w:style w:type="paragraph" w:styleId="Index9">
    <w:name w:val="index 9"/>
    <w:basedOn w:val="Normal"/>
    <w:next w:val="Normal"/>
    <w:autoRedefine/>
    <w:semiHidden/>
    <w:rsid w:val="00256572"/>
    <w:pPr>
      <w:ind w:left="1800" w:hanging="200"/>
    </w:pPr>
  </w:style>
  <w:style w:type="paragraph" w:styleId="IndexHeading">
    <w:name w:val="index heading"/>
    <w:basedOn w:val="Normal"/>
    <w:next w:val="Index1"/>
    <w:semiHidden/>
    <w:rsid w:val="00256572"/>
    <w:pPr>
      <w:pBdr>
        <w:top w:val="single" w:sz="12" w:space="0" w:color="auto"/>
      </w:pBdr>
      <w:spacing w:before="360"/>
    </w:pPr>
    <w:rPr>
      <w:rFonts w:ascii="Times New Roman" w:hAnsi="Times New Roman"/>
      <w:b/>
      <w:i/>
    </w:rPr>
  </w:style>
  <w:style w:type="paragraph" w:styleId="MacroText">
    <w:name w:val="macro"/>
    <w:link w:val="MacroTextChar"/>
    <w:semiHidden/>
    <w:rsid w:val="00256572"/>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256572"/>
    <w:rPr>
      <w:rFonts w:ascii="Courier New" w:eastAsia="Times New Roman" w:hAnsi="Courier New" w:cs="Courier New"/>
      <w:color w:val="000000"/>
      <w:sz w:val="20"/>
      <w:szCs w:val="20"/>
      <w:lang w:eastAsia="en-AU"/>
    </w:rPr>
  </w:style>
  <w:style w:type="numbering" w:customStyle="1" w:styleId="OutlineList">
    <w:name w:val="OutlineList"/>
    <w:uiPriority w:val="99"/>
    <w:rsid w:val="00256572"/>
    <w:pPr>
      <w:numPr>
        <w:numId w:val="12"/>
      </w:numPr>
    </w:pPr>
  </w:style>
  <w:style w:type="paragraph" w:customStyle="1" w:styleId="PictureCentred">
    <w:name w:val="Picture Centred"/>
    <w:basedOn w:val="Normal"/>
    <w:rsid w:val="00256572"/>
    <w:pPr>
      <w:spacing w:before="120" w:line="240" w:lineRule="atLeast"/>
      <w:jc w:val="center"/>
    </w:pPr>
  </w:style>
  <w:style w:type="paragraph" w:customStyle="1" w:styleId="PictureLeft">
    <w:name w:val="Picture Left"/>
    <w:basedOn w:val="PictureCentred"/>
    <w:rsid w:val="00256572"/>
    <w:pPr>
      <w:jc w:val="left"/>
    </w:pPr>
  </w:style>
  <w:style w:type="paragraph" w:customStyle="1" w:styleId="PictureIndent">
    <w:name w:val="Picture Indent"/>
    <w:basedOn w:val="PictureLeft"/>
    <w:rsid w:val="00256572"/>
    <w:pPr>
      <w:ind w:left="284"/>
    </w:pPr>
  </w:style>
  <w:style w:type="paragraph" w:styleId="TableofAuthorities">
    <w:name w:val="table of authorities"/>
    <w:basedOn w:val="Normal"/>
    <w:next w:val="Normal"/>
    <w:rsid w:val="00256572"/>
    <w:pPr>
      <w:ind w:left="200" w:hanging="200"/>
    </w:pPr>
  </w:style>
  <w:style w:type="paragraph" w:styleId="TableofFigures">
    <w:name w:val="table of figures"/>
    <w:basedOn w:val="Normal"/>
    <w:next w:val="Normal"/>
    <w:rsid w:val="00256572"/>
  </w:style>
  <w:style w:type="paragraph" w:styleId="TOAHeading">
    <w:name w:val="toa heading"/>
    <w:basedOn w:val="Normal"/>
    <w:next w:val="Normal"/>
    <w:semiHidden/>
    <w:rsid w:val="00256572"/>
    <w:pPr>
      <w:spacing w:before="120"/>
    </w:pPr>
    <w:rPr>
      <w:rFonts w:ascii="Arial" w:hAnsi="Arial" w:cs="Arial"/>
      <w:b/>
      <w:bCs/>
      <w:sz w:val="24"/>
      <w:szCs w:val="24"/>
    </w:rPr>
  </w:style>
  <w:style w:type="paragraph" w:styleId="TOC5">
    <w:name w:val="toc 5"/>
    <w:basedOn w:val="Normal"/>
    <w:next w:val="Normal"/>
    <w:autoRedefine/>
    <w:semiHidden/>
    <w:rsid w:val="00256572"/>
    <w:pPr>
      <w:ind w:left="1040"/>
    </w:pPr>
  </w:style>
  <w:style w:type="paragraph" w:styleId="TOC6">
    <w:name w:val="toc 6"/>
    <w:basedOn w:val="Normal"/>
    <w:next w:val="Normal"/>
    <w:autoRedefine/>
    <w:semiHidden/>
    <w:rsid w:val="00256572"/>
    <w:pPr>
      <w:ind w:left="1300"/>
    </w:pPr>
  </w:style>
  <w:style w:type="paragraph" w:styleId="TOC7">
    <w:name w:val="toc 7"/>
    <w:basedOn w:val="Normal"/>
    <w:next w:val="Normal"/>
    <w:autoRedefine/>
    <w:semiHidden/>
    <w:rsid w:val="00256572"/>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256572"/>
    <w:pPr>
      <w:tabs>
        <w:tab w:val="right" w:leader="dot" w:pos="7711"/>
      </w:tabs>
      <w:spacing w:after="0"/>
      <w:ind w:left="1134"/>
    </w:pPr>
    <w:rPr>
      <w:noProof/>
    </w:rPr>
  </w:style>
  <w:style w:type="paragraph" w:styleId="TOC9">
    <w:name w:val="toc 9"/>
    <w:basedOn w:val="Normal"/>
    <w:next w:val="Normal"/>
    <w:autoRedefine/>
    <w:semiHidden/>
    <w:rsid w:val="00256572"/>
    <w:pPr>
      <w:ind w:left="2080"/>
    </w:pPr>
  </w:style>
  <w:style w:type="numbering" w:customStyle="1" w:styleId="BulletedList">
    <w:name w:val="Bulleted List"/>
    <w:uiPriority w:val="99"/>
    <w:rsid w:val="00256572"/>
    <w:pPr>
      <w:numPr>
        <w:numId w:val="8"/>
      </w:numPr>
    </w:pPr>
  </w:style>
  <w:style w:type="numbering" w:customStyle="1" w:styleId="BoxBulletedList">
    <w:name w:val="Box Bulleted List"/>
    <w:uiPriority w:val="99"/>
    <w:rsid w:val="00256572"/>
    <w:pPr>
      <w:numPr>
        <w:numId w:val="9"/>
      </w:numPr>
    </w:pPr>
  </w:style>
  <w:style w:type="numbering" w:customStyle="1" w:styleId="AlphaParagraphList">
    <w:name w:val="Alpha Paragraph List"/>
    <w:uiPriority w:val="99"/>
    <w:rsid w:val="00256572"/>
    <w:pPr>
      <w:numPr>
        <w:numId w:val="10"/>
      </w:numPr>
    </w:pPr>
  </w:style>
  <w:style w:type="numbering" w:customStyle="1" w:styleId="OneLevelList">
    <w:name w:val="OneLevelList"/>
    <w:uiPriority w:val="99"/>
    <w:rsid w:val="00256572"/>
    <w:pPr>
      <w:numPr>
        <w:numId w:val="11"/>
      </w:numPr>
    </w:pPr>
  </w:style>
  <w:style w:type="numbering" w:customStyle="1" w:styleId="RecommendationBulletList">
    <w:name w:val="RecommendationBulletList"/>
    <w:uiPriority w:val="99"/>
    <w:rsid w:val="00256572"/>
    <w:pPr>
      <w:numPr>
        <w:numId w:val="13"/>
      </w:numPr>
    </w:pPr>
  </w:style>
  <w:style w:type="numbering" w:customStyle="1" w:styleId="RomanNumeralList">
    <w:name w:val="RomanNumeralList"/>
    <w:uiPriority w:val="99"/>
    <w:rsid w:val="00256572"/>
    <w:pPr>
      <w:numPr>
        <w:numId w:val="14"/>
      </w:numPr>
    </w:pPr>
  </w:style>
  <w:style w:type="numbering" w:customStyle="1" w:styleId="ChartandTableFootnoteAlphaList">
    <w:name w:val="ChartandTableFootnoteAlphaList"/>
    <w:uiPriority w:val="99"/>
    <w:rsid w:val="00256572"/>
    <w:pPr>
      <w:numPr>
        <w:numId w:val="16"/>
      </w:numPr>
    </w:pPr>
  </w:style>
  <w:style w:type="paragraph" w:customStyle="1" w:styleId="TableTextBullet">
    <w:name w:val="Table Text Bullet"/>
    <w:basedOn w:val="TableTextBase"/>
    <w:rsid w:val="00256572"/>
    <w:pPr>
      <w:numPr>
        <w:numId w:val="18"/>
      </w:numPr>
    </w:pPr>
  </w:style>
  <w:style w:type="numbering" w:customStyle="1" w:styleId="TableTestBulletList">
    <w:name w:val="Table Test Bullet List"/>
    <w:uiPriority w:val="99"/>
    <w:rsid w:val="00256572"/>
    <w:pPr>
      <w:numPr>
        <w:numId w:val="17"/>
      </w:numPr>
    </w:pPr>
  </w:style>
  <w:style w:type="numbering" w:customStyle="1" w:styleId="TableTextBulletList">
    <w:name w:val="Table Text Bullet List"/>
    <w:uiPriority w:val="99"/>
    <w:rsid w:val="00256572"/>
    <w:pPr>
      <w:numPr>
        <w:numId w:val="18"/>
      </w:numPr>
    </w:pPr>
  </w:style>
  <w:style w:type="paragraph" w:customStyle="1" w:styleId="StyleTableTextBulletLinespacingExactly13pt">
    <w:name w:val="Style Table Text Bullet + Line spacing:  Exactly 13 pt"/>
    <w:basedOn w:val="TableTextBullet"/>
    <w:rsid w:val="00256572"/>
    <w:pPr>
      <w:numPr>
        <w:numId w:val="0"/>
      </w:numPr>
      <w:spacing w:after="80" w:line="260" w:lineRule="exact"/>
    </w:pPr>
  </w:style>
  <w:style w:type="paragraph" w:customStyle="1" w:styleId="SecurityClassificationHeader">
    <w:name w:val="Security Classification Header"/>
    <w:link w:val="SecurityClassificationHeaderChar"/>
    <w:rsid w:val="00256572"/>
    <w:pPr>
      <w:spacing w:after="240" w:line="240" w:lineRule="auto"/>
      <w:jc w:val="center"/>
    </w:pPr>
    <w:rPr>
      <w:rFonts w:ascii="Book Antiqua" w:eastAsia="Times New Roman" w:hAnsi="Book Antiqua" w:cs="Times New Roman"/>
      <w:b/>
      <w:caps/>
      <w:color w:val="000080"/>
      <w:szCs w:val="20"/>
      <w:lang w:eastAsia="en-AU"/>
    </w:rPr>
  </w:style>
  <w:style w:type="character" w:customStyle="1" w:styleId="SecurityClassificationHeaderChar">
    <w:name w:val="Security Classification Header Char"/>
    <w:basedOn w:val="HeaderChar"/>
    <w:link w:val="SecurityClassificationHeader"/>
    <w:rsid w:val="00256572"/>
    <w:rPr>
      <w:rFonts w:ascii="Book Antiqua" w:eastAsia="Times New Roman" w:hAnsi="Book Antiqua" w:cs="Times New Roman"/>
      <w:b/>
      <w:caps/>
      <w:color w:val="000080"/>
      <w:sz w:val="18"/>
      <w:szCs w:val="20"/>
      <w:lang w:eastAsia="en-AU"/>
    </w:rPr>
  </w:style>
  <w:style w:type="paragraph" w:customStyle="1" w:styleId="SecurityClassificationFooter">
    <w:name w:val="Security Classification Footer"/>
    <w:link w:val="SecurityClassificationFooterChar"/>
    <w:rsid w:val="00256572"/>
    <w:pPr>
      <w:spacing w:before="240" w:after="0" w:line="240" w:lineRule="auto"/>
      <w:jc w:val="center"/>
    </w:pPr>
    <w:rPr>
      <w:rFonts w:ascii="Book Antiqua" w:eastAsia="Times New Roman" w:hAnsi="Book Antiqua" w:cs="Times New Roman"/>
      <w:b/>
      <w:caps/>
      <w:color w:val="000080"/>
      <w:szCs w:val="20"/>
      <w:lang w:eastAsia="en-AU"/>
    </w:rPr>
  </w:style>
  <w:style w:type="character" w:customStyle="1" w:styleId="SecurityClassificationFooterChar">
    <w:name w:val="Security Classification Footer Char"/>
    <w:basedOn w:val="HeaderChar"/>
    <w:link w:val="SecurityClassificationFooter"/>
    <w:rsid w:val="00256572"/>
    <w:rPr>
      <w:rFonts w:ascii="Book Antiqua" w:eastAsia="Times New Roman" w:hAnsi="Book Antiqua" w:cs="Times New Roman"/>
      <w:b/>
      <w:caps/>
      <w:color w:val="000080"/>
      <w:sz w:val="18"/>
      <w:szCs w:val="20"/>
      <w:lang w:eastAsia="en-AU"/>
    </w:rPr>
  </w:style>
  <w:style w:type="paragraph" w:customStyle="1" w:styleId="DLMSecurityHeader">
    <w:name w:val="DLM Security Header"/>
    <w:link w:val="DLMSecurityHeaderChar"/>
    <w:rsid w:val="00256572"/>
    <w:pPr>
      <w:spacing w:before="60" w:after="240"/>
      <w:jc w:val="center"/>
    </w:pPr>
    <w:rPr>
      <w:rFonts w:ascii="Times New Roman" w:eastAsia="Times New Roman" w:hAnsi="Times New Roman" w:cs="Times New Roman"/>
      <w:b/>
      <w:caps/>
      <w:color w:val="4F81BD" w:themeColor="accent1"/>
      <w:sz w:val="24"/>
      <w:szCs w:val="20"/>
      <w:lang w:eastAsia="en-AU"/>
    </w:rPr>
  </w:style>
  <w:style w:type="character" w:customStyle="1" w:styleId="DLMSecurityHeaderChar">
    <w:name w:val="DLM Security Header Char"/>
    <w:basedOn w:val="HeaderChar"/>
    <w:link w:val="DLMSecurityHeader"/>
    <w:rsid w:val="00256572"/>
    <w:rPr>
      <w:rFonts w:ascii="Times New Roman" w:eastAsia="Times New Roman" w:hAnsi="Times New Roman" w:cs="Times New Roman"/>
      <w:b/>
      <w:caps/>
      <w:color w:val="4F81BD" w:themeColor="accent1"/>
      <w:sz w:val="24"/>
      <w:szCs w:val="20"/>
      <w:lang w:eastAsia="en-AU"/>
    </w:rPr>
  </w:style>
  <w:style w:type="paragraph" w:customStyle="1" w:styleId="DLMSecurityFooter">
    <w:name w:val="DLM Security Footer"/>
    <w:link w:val="DLMSecurityFooterChar"/>
    <w:rsid w:val="00256572"/>
    <w:pPr>
      <w:spacing w:before="240" w:after="60"/>
      <w:jc w:val="center"/>
    </w:pPr>
    <w:rPr>
      <w:rFonts w:ascii="Times New Roman" w:eastAsia="Times New Roman" w:hAnsi="Times New Roman" w:cs="Times New Roman"/>
      <w:b/>
      <w:caps/>
      <w:color w:val="4F81BD" w:themeColor="accent1"/>
      <w:sz w:val="24"/>
      <w:szCs w:val="20"/>
      <w:lang w:eastAsia="en-AU"/>
    </w:rPr>
  </w:style>
  <w:style w:type="character" w:customStyle="1" w:styleId="DLMSecurityFooterChar">
    <w:name w:val="DLM Security Footer Char"/>
    <w:basedOn w:val="HeaderChar"/>
    <w:link w:val="DLMSecurityFooter"/>
    <w:rsid w:val="00256572"/>
    <w:rPr>
      <w:rFonts w:ascii="Times New Roman" w:eastAsia="Times New Roman" w:hAnsi="Times New Roman" w:cs="Times New Roman"/>
      <w:b/>
      <w:caps/>
      <w:color w:val="4F81BD" w:themeColor="accent1"/>
      <w:sz w:val="24"/>
      <w:szCs w:val="20"/>
      <w:lang w:eastAsia="en-AU"/>
    </w:rPr>
  </w:style>
  <w:style w:type="paragraph" w:customStyle="1" w:styleId="AuthorName">
    <w:name w:val="Author Name"/>
    <w:basedOn w:val="Normal"/>
    <w:rsid w:val="00256572"/>
    <w:pPr>
      <w:spacing w:before="120" w:after="120"/>
      <w:jc w:val="center"/>
    </w:pPr>
    <w:rPr>
      <w:rFonts w:ascii="Arial Bold" w:hAnsi="Arial Bold"/>
      <w:b/>
      <w:sz w:val="24"/>
    </w:rPr>
  </w:style>
  <w:style w:type="paragraph" w:styleId="Subtitle">
    <w:name w:val="Subtitle"/>
    <w:basedOn w:val="HeadingBaseStyle"/>
    <w:link w:val="SubtitleChar"/>
    <w:uiPriority w:val="11"/>
    <w:qFormat/>
    <w:rsid w:val="009F469A"/>
    <w:pPr>
      <w:spacing w:before="240" w:after="240" w:line="240" w:lineRule="auto"/>
      <w:jc w:val="center"/>
    </w:pPr>
    <w:rPr>
      <w:rFonts w:ascii="Century Gothic" w:hAnsi="Century Gothic"/>
      <w:color w:val="1F497D" w:themeColor="text2"/>
      <w:sz w:val="32"/>
    </w:rPr>
  </w:style>
  <w:style w:type="character" w:customStyle="1" w:styleId="SubtitleChar">
    <w:name w:val="Subtitle Char"/>
    <w:basedOn w:val="DefaultParagraphFont"/>
    <w:link w:val="Subtitle"/>
    <w:uiPriority w:val="11"/>
    <w:rsid w:val="009F469A"/>
    <w:rPr>
      <w:rFonts w:ascii="Century Gothic" w:eastAsia="Times New Roman" w:hAnsi="Century Gothic" w:cs="Times New Roman"/>
      <w:color w:val="1F497D" w:themeColor="text2"/>
      <w:sz w:val="32"/>
      <w:szCs w:val="20"/>
      <w:lang w:eastAsia="en-AU"/>
    </w:rPr>
  </w:style>
  <w:style w:type="paragraph" w:customStyle="1" w:styleId="SeriesNumber">
    <w:name w:val="Series Number"/>
    <w:basedOn w:val="HeadingBaseStyle"/>
    <w:rsid w:val="00256572"/>
    <w:pPr>
      <w:spacing w:after="300"/>
      <w:jc w:val="center"/>
    </w:pPr>
    <w:rPr>
      <w:rFonts w:ascii="Arial Bold" w:hAnsi="Arial Bold"/>
      <w:b/>
      <w:color w:val="auto"/>
      <w:sz w:val="32"/>
    </w:rPr>
  </w:style>
  <w:style w:type="character" w:customStyle="1" w:styleId="A5">
    <w:name w:val="A5"/>
    <w:uiPriority w:val="99"/>
    <w:rsid w:val="00256572"/>
    <w:rPr>
      <w:rFonts w:cs="Swiss 721 BT"/>
      <w:color w:val="000000"/>
      <w:sz w:val="20"/>
      <w:szCs w:val="20"/>
    </w:rPr>
  </w:style>
  <w:style w:type="paragraph" w:customStyle="1" w:styleId="Abstract">
    <w:name w:val="Abstract"/>
    <w:basedOn w:val="Normal"/>
    <w:link w:val="AbstractChar"/>
    <w:qFormat/>
    <w:rsid w:val="00256572"/>
  </w:style>
  <w:style w:type="character" w:customStyle="1" w:styleId="AbstractChar">
    <w:name w:val="Abstract Char"/>
    <w:basedOn w:val="DefaultParagraphFont"/>
    <w:link w:val="Abstract"/>
    <w:rsid w:val="00256572"/>
    <w:rPr>
      <w:rFonts w:ascii="Calibri" w:hAnsi="Calibri"/>
      <w:color w:val="000000" w:themeColor="text1"/>
    </w:rPr>
  </w:style>
  <w:style w:type="paragraph" w:customStyle="1" w:styleId="AppendixHeadingLevel2NotNumbered">
    <w:name w:val="Appendix Heading Level 2 Not Numbered"/>
    <w:basedOn w:val="Normal"/>
    <w:qFormat/>
    <w:rsid w:val="00256572"/>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256572"/>
    <w:pPr>
      <w:spacing w:after="0"/>
    </w:pPr>
  </w:style>
  <w:style w:type="paragraph" w:customStyle="1" w:styleId="Alphanumbered">
    <w:name w:val="Alpha numbered"/>
    <w:basedOn w:val="Normal"/>
    <w:rsid w:val="00256572"/>
    <w:pPr>
      <w:numPr>
        <w:numId w:val="19"/>
      </w:numPr>
    </w:pPr>
  </w:style>
  <w:style w:type="paragraph" w:customStyle="1" w:styleId="HeadingBaseStyle">
    <w:name w:val="HeadingBaseStyle"/>
    <w:basedOn w:val="Normal"/>
    <w:rsid w:val="00256572"/>
    <w:pPr>
      <w:keepNext/>
      <w:spacing w:after="0"/>
    </w:pPr>
    <w:rPr>
      <w:rFonts w:ascii="Arial" w:hAnsi="Arial"/>
      <w:color w:val="003157"/>
    </w:rPr>
  </w:style>
  <w:style w:type="paragraph" w:customStyle="1" w:styleId="AppendixHeadingNotNumbered">
    <w:name w:val="Appendix Heading Not Numbered"/>
    <w:basedOn w:val="HeadingBaseStyle"/>
    <w:rsid w:val="00256572"/>
    <w:pPr>
      <w:numPr>
        <w:numId w:val="20"/>
      </w:numPr>
      <w:spacing w:before="480" w:after="320"/>
    </w:pPr>
    <w:rPr>
      <w:b/>
      <w:smallCaps/>
      <w:sz w:val="32"/>
      <w:szCs w:val="28"/>
    </w:rPr>
  </w:style>
  <w:style w:type="paragraph" w:customStyle="1" w:styleId="AppendixHeadingLevel2">
    <w:name w:val="Appendix Heading Level 2"/>
    <w:basedOn w:val="AppendixHeadingNotNumbered"/>
    <w:next w:val="Normal"/>
    <w:rsid w:val="00256572"/>
    <w:pPr>
      <w:numPr>
        <w:ilvl w:val="1"/>
      </w:numPr>
    </w:pPr>
  </w:style>
  <w:style w:type="paragraph" w:customStyle="1" w:styleId="AppendixHeadingLevel3">
    <w:name w:val="Appendix Heading Level 3"/>
    <w:basedOn w:val="Heading3"/>
    <w:next w:val="Normal"/>
    <w:rsid w:val="00256572"/>
    <w:pPr>
      <w:numPr>
        <w:numId w:val="20"/>
      </w:numPr>
    </w:pPr>
  </w:style>
  <w:style w:type="paragraph" w:customStyle="1" w:styleId="AppendixHeadingLevel4">
    <w:name w:val="Appendix Heading Level 4"/>
    <w:basedOn w:val="Heading4"/>
    <w:next w:val="Normal"/>
    <w:rsid w:val="00256572"/>
    <w:pPr>
      <w:numPr>
        <w:numId w:val="20"/>
      </w:numPr>
    </w:pPr>
  </w:style>
  <w:style w:type="paragraph" w:customStyle="1" w:styleId="Attachment">
    <w:name w:val="Attachment"/>
    <w:basedOn w:val="HeadingBaseStyle"/>
    <w:next w:val="Normal"/>
    <w:rsid w:val="00256572"/>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256572"/>
    <w:pPr>
      <w:numPr>
        <w:numId w:val="21"/>
      </w:numPr>
    </w:pPr>
    <w:rPr>
      <w:rFonts w:asciiTheme="minorHAnsi" w:hAnsiTheme="minorHAnsi"/>
      <w:color w:val="auto"/>
      <w:kern w:val="28"/>
      <w:sz w:val="20"/>
    </w:rPr>
  </w:style>
  <w:style w:type="paragraph" w:customStyle="1" w:styleId="Captiongraphic">
    <w:name w:val="Caption graphic"/>
    <w:basedOn w:val="HeadingBaseStyle"/>
    <w:next w:val="Normal"/>
    <w:rsid w:val="00256572"/>
    <w:pPr>
      <w:spacing w:after="20"/>
      <w:jc w:val="center"/>
    </w:pPr>
    <w:rPr>
      <w:color w:val="auto"/>
      <w:sz w:val="24"/>
    </w:rPr>
  </w:style>
  <w:style w:type="paragraph" w:customStyle="1" w:styleId="CaptionHeading1">
    <w:name w:val="Caption Heading 1"/>
    <w:basedOn w:val="Normal"/>
    <w:next w:val="Captiongraphic"/>
    <w:rsid w:val="00256572"/>
    <w:pPr>
      <w:keepNext/>
      <w:spacing w:before="120" w:after="0"/>
      <w:jc w:val="center"/>
    </w:pPr>
    <w:rPr>
      <w:rFonts w:ascii="Arial" w:hAnsi="Arial"/>
      <w:color w:val="003157"/>
      <w:sz w:val="24"/>
    </w:rPr>
  </w:style>
  <w:style w:type="paragraph" w:customStyle="1" w:styleId="CaptionHeading2">
    <w:name w:val="Caption Heading 2"/>
    <w:basedOn w:val="Normal"/>
    <w:rsid w:val="00256572"/>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256572"/>
    <w:rPr>
      <w:rFonts w:ascii="Arial Bold" w:hAnsi="Arial Bold"/>
      <w:b/>
      <w:color w:val="000000"/>
    </w:rPr>
  </w:style>
  <w:style w:type="paragraph" w:styleId="NoSpacing">
    <w:name w:val="No Spacing"/>
    <w:link w:val="NoSpacingChar"/>
    <w:uiPriority w:val="1"/>
    <w:rsid w:val="00256572"/>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256572"/>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256572"/>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256572"/>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256572"/>
    <w:pPr>
      <w:spacing w:after="240"/>
    </w:pPr>
    <w:rPr>
      <w:color w:val="auto"/>
      <w:sz w:val="24"/>
    </w:rPr>
  </w:style>
  <w:style w:type="character" w:styleId="Emphasis">
    <w:name w:val="Emphasis"/>
    <w:basedOn w:val="DefaultParagraphFont"/>
    <w:qFormat/>
    <w:rsid w:val="00256572"/>
    <w:rPr>
      <w:i/>
      <w:iCs/>
    </w:rPr>
  </w:style>
  <w:style w:type="paragraph" w:customStyle="1" w:styleId="Equation">
    <w:name w:val="Equation"/>
    <w:basedOn w:val="Normal"/>
    <w:next w:val="Normal"/>
    <w:rsid w:val="00256572"/>
    <w:pPr>
      <w:spacing w:before="120" w:after="120"/>
      <w:ind w:left="357"/>
    </w:pPr>
    <w:rPr>
      <w:rFonts w:ascii="Times New Roman" w:hAnsi="Times New Roman"/>
    </w:rPr>
  </w:style>
  <w:style w:type="paragraph" w:customStyle="1" w:styleId="ExampleBullet">
    <w:name w:val="Example Bullet"/>
    <w:basedOn w:val="Normal"/>
    <w:rsid w:val="00256572"/>
    <w:pPr>
      <w:numPr>
        <w:numId w:val="22"/>
      </w:numPr>
      <w:spacing w:before="40" w:after="40"/>
    </w:pPr>
    <w:rPr>
      <w:rFonts w:ascii="Arial" w:hAnsi="Arial"/>
      <w:sz w:val="18"/>
    </w:rPr>
  </w:style>
  <w:style w:type="paragraph" w:customStyle="1" w:styleId="Heading2NotNumbered">
    <w:name w:val="Heading 2 Not Numbered"/>
    <w:basedOn w:val="Heading2"/>
    <w:next w:val="Normal"/>
    <w:rsid w:val="002D26F6"/>
    <w:pPr>
      <w:numPr>
        <w:ilvl w:val="0"/>
        <w:numId w:val="0"/>
      </w:numPr>
      <w:tabs>
        <w:tab w:val="clear" w:pos="567"/>
        <w:tab w:val="left" w:pos="1560"/>
      </w:tabs>
      <w:ind w:left="1560" w:hanging="1560"/>
    </w:pPr>
  </w:style>
  <w:style w:type="paragraph" w:customStyle="1" w:styleId="Heading3NotNumbered">
    <w:name w:val="Heading 3 Not Numbered"/>
    <w:basedOn w:val="Heading4"/>
    <w:rsid w:val="00256572"/>
    <w:pPr>
      <w:numPr>
        <w:ilvl w:val="0"/>
        <w:numId w:val="0"/>
      </w:numPr>
    </w:pPr>
    <w:rPr>
      <w:b w:val="0"/>
      <w:sz w:val="28"/>
    </w:rPr>
  </w:style>
  <w:style w:type="paragraph" w:customStyle="1" w:styleId="Indented">
    <w:name w:val="Indented"/>
    <w:basedOn w:val="Normal"/>
    <w:rsid w:val="00256572"/>
    <w:pPr>
      <w:ind w:left="851"/>
    </w:pPr>
  </w:style>
  <w:style w:type="paragraph" w:styleId="IntenseQuote">
    <w:name w:val="Intense Quote"/>
    <w:basedOn w:val="Normal"/>
    <w:next w:val="Normal"/>
    <w:link w:val="IntenseQuoteChar"/>
    <w:uiPriority w:val="30"/>
    <w:rsid w:val="002565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56572"/>
    <w:rPr>
      <w:rFonts w:ascii="Calibri" w:hAnsi="Calibri"/>
      <w:b/>
      <w:bCs/>
      <w:i/>
      <w:iCs/>
      <w:color w:val="4F81BD" w:themeColor="accent1"/>
    </w:rPr>
  </w:style>
  <w:style w:type="paragraph" w:customStyle="1" w:styleId="MTDisplayEquation">
    <w:name w:val="MTDisplayEquation"/>
    <w:basedOn w:val="Normal"/>
    <w:next w:val="Normal"/>
    <w:link w:val="MTDisplayEquationChar"/>
    <w:rsid w:val="00256572"/>
    <w:pPr>
      <w:tabs>
        <w:tab w:val="center" w:pos="4640"/>
        <w:tab w:val="right" w:pos="9300"/>
      </w:tabs>
    </w:pPr>
  </w:style>
  <w:style w:type="character" w:customStyle="1" w:styleId="MTDisplayEquationChar">
    <w:name w:val="MTDisplayEquation Char"/>
    <w:basedOn w:val="DefaultParagraphFont"/>
    <w:link w:val="MTDisplayEquation"/>
    <w:rsid w:val="00256572"/>
    <w:rPr>
      <w:rFonts w:ascii="Calibri" w:hAnsi="Calibri"/>
      <w:color w:val="000000" w:themeColor="text1"/>
    </w:rPr>
  </w:style>
  <w:style w:type="character" w:customStyle="1" w:styleId="MTEquationSection">
    <w:name w:val="MTEquationSection"/>
    <w:basedOn w:val="DefaultParagraphFont"/>
    <w:rsid w:val="00256572"/>
    <w:rPr>
      <w:vanish w:val="0"/>
      <w:color w:val="FF0000"/>
    </w:rPr>
  </w:style>
  <w:style w:type="character" w:customStyle="1" w:styleId="NormalBold">
    <w:name w:val="Normal Bold"/>
    <w:basedOn w:val="DefaultParagraphFont"/>
    <w:rsid w:val="00256572"/>
    <w:rPr>
      <w:rFonts w:ascii="Calibri" w:hAnsi="Calibri"/>
      <w:b/>
      <w:sz w:val="22"/>
    </w:rPr>
  </w:style>
  <w:style w:type="character" w:customStyle="1" w:styleId="Normalitalics">
    <w:name w:val="Normal italics"/>
    <w:basedOn w:val="DefaultParagraphFont"/>
    <w:rsid w:val="00256572"/>
    <w:rPr>
      <w:i/>
    </w:rPr>
  </w:style>
  <w:style w:type="paragraph" w:customStyle="1" w:styleId="Note">
    <w:name w:val="Note"/>
    <w:basedOn w:val="HeadingBaseStyle"/>
    <w:next w:val="Normal"/>
    <w:rsid w:val="00256572"/>
    <w:pPr>
      <w:tabs>
        <w:tab w:val="left" w:pos="284"/>
      </w:tabs>
    </w:pPr>
    <w:rPr>
      <w:rFonts w:asciiTheme="minorHAnsi" w:hAnsiTheme="minorHAnsi"/>
      <w:color w:val="000000"/>
      <w:sz w:val="20"/>
    </w:rPr>
  </w:style>
  <w:style w:type="paragraph" w:customStyle="1" w:styleId="Noteitalics">
    <w:name w:val="Note italics"/>
    <w:basedOn w:val="Note"/>
    <w:rsid w:val="00256572"/>
    <w:rPr>
      <w:i/>
    </w:rPr>
  </w:style>
  <w:style w:type="paragraph" w:customStyle="1" w:styleId="NumberedParagraph">
    <w:name w:val="Numbered Paragraph"/>
    <w:basedOn w:val="Normal"/>
    <w:autoRedefine/>
    <w:rsid w:val="00256572"/>
    <w:pPr>
      <w:numPr>
        <w:numId w:val="23"/>
      </w:numPr>
    </w:pPr>
  </w:style>
  <w:style w:type="character" w:styleId="PlaceholderText">
    <w:name w:val="Placeholder Text"/>
    <w:basedOn w:val="DefaultParagraphFont"/>
    <w:uiPriority w:val="99"/>
    <w:semiHidden/>
    <w:rsid w:val="00256572"/>
    <w:rPr>
      <w:color w:val="808080"/>
    </w:rPr>
  </w:style>
  <w:style w:type="paragraph" w:customStyle="1" w:styleId="References">
    <w:name w:val="References"/>
    <w:basedOn w:val="Normal"/>
    <w:rsid w:val="00256572"/>
    <w:pPr>
      <w:widowControl w:val="0"/>
      <w:adjustRightInd w:val="0"/>
      <w:textAlignment w:val="baseline"/>
    </w:pPr>
  </w:style>
  <w:style w:type="paragraph" w:customStyle="1" w:styleId="SeriesMonth">
    <w:name w:val="Series Month"/>
    <w:basedOn w:val="HeadingBaseStyle"/>
    <w:rsid w:val="00256572"/>
    <w:pPr>
      <w:spacing w:after="240"/>
      <w:jc w:val="center"/>
    </w:pPr>
    <w:rPr>
      <w:rFonts w:ascii="Arial Bold" w:hAnsi="Arial Bold"/>
      <w:b/>
      <w:color w:val="auto"/>
      <w:sz w:val="32"/>
    </w:rPr>
  </w:style>
  <w:style w:type="paragraph" w:customStyle="1" w:styleId="Tablegraphic0">
    <w:name w:val="Table graphic"/>
    <w:basedOn w:val="HeadingBaseStyle"/>
    <w:next w:val="Normal"/>
    <w:rsid w:val="00256572"/>
    <w:pPr>
      <w:spacing w:after="20"/>
      <w:ind w:right="-113"/>
    </w:pPr>
    <w:rPr>
      <w:color w:val="auto"/>
      <w:sz w:val="24"/>
    </w:rPr>
  </w:style>
  <w:style w:type="paragraph" w:customStyle="1" w:styleId="TableHeading1">
    <w:name w:val="Table Heading 1"/>
    <w:basedOn w:val="HeadingBaseStyle"/>
    <w:next w:val="Tablegraphic0"/>
    <w:rsid w:val="00256572"/>
    <w:pPr>
      <w:spacing w:before="120" w:after="20"/>
      <w:jc w:val="center"/>
    </w:pPr>
    <w:rPr>
      <w:sz w:val="24"/>
    </w:rPr>
  </w:style>
  <w:style w:type="paragraph" w:customStyle="1" w:styleId="Tableheading2">
    <w:name w:val="Table heading 2"/>
    <w:basedOn w:val="TableHeading1"/>
    <w:next w:val="Tablegraphic0"/>
    <w:rsid w:val="00256572"/>
    <w:pPr>
      <w:spacing w:before="0"/>
    </w:pPr>
    <w:rPr>
      <w:sz w:val="22"/>
    </w:rPr>
  </w:style>
  <w:style w:type="paragraph" w:customStyle="1" w:styleId="TableHeadingcontinued">
    <w:name w:val="Table Heading continued"/>
    <w:basedOn w:val="HeadingBaseStyle"/>
    <w:next w:val="Tablegraphic0"/>
    <w:rsid w:val="00256572"/>
    <w:pPr>
      <w:jc w:val="center"/>
    </w:pPr>
  </w:style>
  <w:style w:type="paragraph" w:customStyle="1" w:styleId="Tabletextcentred">
    <w:name w:val="Table text centred"/>
    <w:basedOn w:val="TableTextBase"/>
    <w:rsid w:val="00256572"/>
    <w:pPr>
      <w:jc w:val="center"/>
    </w:pPr>
  </w:style>
  <w:style w:type="paragraph" w:customStyle="1" w:styleId="Tabletextleft0">
    <w:name w:val="Table text left"/>
    <w:basedOn w:val="TableTextBase"/>
    <w:rsid w:val="00256572"/>
  </w:style>
  <w:style w:type="paragraph" w:customStyle="1" w:styleId="Disclaimer">
    <w:name w:val="Disclaimer"/>
    <w:basedOn w:val="HeadingBase"/>
    <w:rsid w:val="00256572"/>
    <w:pPr>
      <w:spacing w:after="240"/>
    </w:pPr>
    <w:rPr>
      <w:b/>
      <w:sz w:val="22"/>
    </w:rPr>
  </w:style>
  <w:style w:type="character" w:customStyle="1" w:styleId="EmailStyle84">
    <w:name w:val="EmailStyle84"/>
    <w:basedOn w:val="DefaultParagraphFont"/>
    <w:semiHidden/>
    <w:rsid w:val="00256572"/>
    <w:rPr>
      <w:rFonts w:ascii="Arial" w:hAnsi="Arial" w:cs="Arial"/>
      <w:color w:val="auto"/>
      <w:sz w:val="20"/>
      <w:szCs w:val="20"/>
    </w:rPr>
  </w:style>
  <w:style w:type="character" w:customStyle="1" w:styleId="Italics">
    <w:name w:val="Italics"/>
    <w:basedOn w:val="DefaultParagraphFont"/>
    <w:rsid w:val="00256572"/>
    <w:rPr>
      <w:i/>
    </w:rPr>
  </w:style>
  <w:style w:type="paragraph" w:customStyle="1" w:styleId="NotesHeading">
    <w:name w:val="Notes Heading"/>
    <w:basedOn w:val="ContentsHeading"/>
    <w:rsid w:val="00256572"/>
    <w:pPr>
      <w:spacing w:before="240"/>
    </w:pPr>
  </w:style>
  <w:style w:type="paragraph" w:customStyle="1" w:styleId="BoxHeadingnonumber">
    <w:name w:val="Box Heading no number"/>
    <w:basedOn w:val="BoxHeading"/>
    <w:next w:val="BoxText"/>
    <w:qFormat/>
    <w:rsid w:val="000D7571"/>
    <w:pPr>
      <w:numPr>
        <w:numId w:val="0"/>
      </w:numPr>
    </w:pPr>
    <w:rPr>
      <w:rFonts w:ascii="Calibri" w:hAnsi="Calibri"/>
      <w:caps/>
      <w:sz w:val="24"/>
    </w:rPr>
  </w:style>
  <w:style w:type="numbering" w:customStyle="1" w:styleId="Outlinenumbering">
    <w:name w:val="Outline numbering"/>
    <w:uiPriority w:val="99"/>
    <w:rsid w:val="00256572"/>
    <w:pPr>
      <w:numPr>
        <w:numId w:val="26"/>
      </w:numPr>
    </w:pPr>
  </w:style>
  <w:style w:type="numbering" w:customStyle="1" w:styleId="Optionboxheading">
    <w:name w:val="Option box heading"/>
    <w:uiPriority w:val="99"/>
    <w:rsid w:val="00256572"/>
    <w:pPr>
      <w:numPr>
        <w:numId w:val="28"/>
      </w:numPr>
    </w:pPr>
  </w:style>
  <w:style w:type="character" w:customStyle="1" w:styleId="SingleParagraphChar">
    <w:name w:val="Single Paragraph Char"/>
    <w:basedOn w:val="DefaultParagraphFont"/>
    <w:link w:val="SingleParagraph"/>
    <w:rsid w:val="00256572"/>
    <w:rPr>
      <w:rFonts w:ascii="Book Antiqua" w:eastAsia="Times New Roman" w:hAnsi="Book Antiqua" w:cs="Times New Roman"/>
      <w:color w:val="000000"/>
      <w:szCs w:val="20"/>
      <w:lang w:eastAsia="en-AU"/>
    </w:rPr>
  </w:style>
  <w:style w:type="paragraph" w:customStyle="1" w:styleId="Heading1-NoTOC">
    <w:name w:val="Heading 1 - No TOC"/>
    <w:basedOn w:val="Heading1"/>
    <w:rsid w:val="002D26F6"/>
    <w:pPr>
      <w:outlineLvl w:val="9"/>
    </w:pPr>
  </w:style>
  <w:style w:type="paragraph" w:customStyle="1" w:styleId="Heading1-Numbered">
    <w:name w:val="Heading 1 - Numbered"/>
    <w:basedOn w:val="Heading1"/>
    <w:rsid w:val="00C462C8"/>
    <w:pPr>
      <w:numPr>
        <w:numId w:val="43"/>
      </w:numPr>
      <w:tabs>
        <w:tab w:val="left" w:pos="567"/>
      </w:tabs>
      <w:ind w:left="567" w:hanging="567"/>
    </w:pPr>
  </w:style>
  <w:style w:type="paragraph" w:customStyle="1" w:styleId="BoxNumbering">
    <w:name w:val="Box Numbering"/>
    <w:basedOn w:val="BoxText"/>
    <w:rsid w:val="0035290D"/>
    <w:pPr>
      <w:numPr>
        <w:numId w:val="35"/>
      </w:numPr>
      <w:tabs>
        <w:tab w:val="left" w:pos="425"/>
      </w:tabs>
      <w:spacing w:line="260" w:lineRule="exact"/>
      <w:ind w:left="425" w:hanging="425"/>
    </w:pPr>
  </w:style>
  <w:style w:type="paragraph" w:customStyle="1" w:styleId="BoxAlpha">
    <w:name w:val="Box Alpha"/>
    <w:basedOn w:val="BoxNumbering"/>
    <w:rsid w:val="00B748F1"/>
    <w:pPr>
      <w:numPr>
        <w:numId w:val="39"/>
      </w:numPr>
      <w:tabs>
        <w:tab w:val="clear" w:pos="425"/>
        <w:tab w:val="left" w:pos="851"/>
      </w:tabs>
      <w:ind w:left="850" w:hanging="425"/>
    </w:pPr>
  </w:style>
  <w:style w:type="paragraph" w:customStyle="1" w:styleId="Heading2-NotNumbered">
    <w:name w:val="Heading 2 - Not Numbered"/>
    <w:basedOn w:val="Heading2NotNumbered"/>
    <w:rsid w:val="00ED2B3F"/>
    <w:pPr>
      <w:tabs>
        <w:tab w:val="clear" w:pos="1560"/>
      </w:tabs>
      <w:ind w:left="567" w:firstLine="0"/>
    </w:pPr>
  </w:style>
  <w:style w:type="paragraph" w:customStyle="1" w:styleId="Heading2-NoTOC">
    <w:name w:val="Heading 2 - No TOC"/>
    <w:basedOn w:val="Heading2-NotNumbered"/>
    <w:rsid w:val="0035290D"/>
    <w:pPr>
      <w:ind w:left="1559" w:hanging="1559"/>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258392">
      <w:bodyDiv w:val="1"/>
      <w:marLeft w:val="0"/>
      <w:marRight w:val="0"/>
      <w:marTop w:val="0"/>
      <w:marBottom w:val="0"/>
      <w:divBdr>
        <w:top w:val="none" w:sz="0" w:space="0" w:color="auto"/>
        <w:left w:val="none" w:sz="0" w:space="0" w:color="auto"/>
        <w:bottom w:val="none" w:sz="0" w:space="0" w:color="auto"/>
        <w:right w:val="none" w:sz="0" w:space="0" w:color="auto"/>
      </w:divBdr>
    </w:div>
    <w:div w:id="859273308">
      <w:bodyDiv w:val="1"/>
      <w:marLeft w:val="0"/>
      <w:marRight w:val="0"/>
      <w:marTop w:val="0"/>
      <w:marBottom w:val="0"/>
      <w:divBdr>
        <w:top w:val="none" w:sz="0" w:space="0" w:color="auto"/>
        <w:left w:val="none" w:sz="0" w:space="0" w:color="auto"/>
        <w:bottom w:val="none" w:sz="0" w:space="0" w:color="auto"/>
        <w:right w:val="none" w:sz="0" w:space="0" w:color="auto"/>
      </w:divBdr>
      <w:divsChild>
        <w:div w:id="1814713131">
          <w:marLeft w:val="0"/>
          <w:marRight w:val="0"/>
          <w:marTop w:val="1515"/>
          <w:marBottom w:val="0"/>
          <w:divBdr>
            <w:top w:val="none" w:sz="0" w:space="0" w:color="auto"/>
            <w:left w:val="none" w:sz="0" w:space="0" w:color="auto"/>
            <w:bottom w:val="none" w:sz="0" w:space="0" w:color="auto"/>
            <w:right w:val="none" w:sz="0" w:space="0" w:color="auto"/>
          </w:divBdr>
          <w:divsChild>
            <w:div w:id="662663172">
              <w:marLeft w:val="0"/>
              <w:marRight w:val="0"/>
              <w:marTop w:val="0"/>
              <w:marBottom w:val="0"/>
              <w:divBdr>
                <w:top w:val="none" w:sz="0" w:space="0" w:color="auto"/>
                <w:left w:val="none" w:sz="0" w:space="0" w:color="auto"/>
                <w:bottom w:val="none" w:sz="0" w:space="0" w:color="auto"/>
                <w:right w:val="none" w:sz="0" w:space="0" w:color="auto"/>
              </w:divBdr>
              <w:divsChild>
                <w:div w:id="1613904374">
                  <w:marLeft w:val="0"/>
                  <w:marRight w:val="0"/>
                  <w:marTop w:val="0"/>
                  <w:marBottom w:val="0"/>
                  <w:divBdr>
                    <w:top w:val="none" w:sz="0" w:space="0" w:color="auto"/>
                    <w:left w:val="none" w:sz="0" w:space="0" w:color="auto"/>
                    <w:bottom w:val="none" w:sz="0" w:space="0" w:color="auto"/>
                    <w:right w:val="none" w:sz="0" w:space="0" w:color="auto"/>
                  </w:divBdr>
                  <w:divsChild>
                    <w:div w:id="1984508293">
                      <w:marLeft w:val="0"/>
                      <w:marRight w:val="0"/>
                      <w:marTop w:val="0"/>
                      <w:marBottom w:val="0"/>
                      <w:divBdr>
                        <w:top w:val="none" w:sz="0" w:space="0" w:color="auto"/>
                        <w:left w:val="none" w:sz="0" w:space="0" w:color="auto"/>
                        <w:bottom w:val="none" w:sz="0" w:space="0" w:color="auto"/>
                        <w:right w:val="none" w:sz="0" w:space="0" w:color="auto"/>
                      </w:divBdr>
                      <w:divsChild>
                        <w:div w:id="1706447964">
                          <w:marLeft w:val="0"/>
                          <w:marRight w:val="0"/>
                          <w:marTop w:val="0"/>
                          <w:marBottom w:val="0"/>
                          <w:divBdr>
                            <w:top w:val="none" w:sz="0" w:space="0" w:color="auto"/>
                            <w:left w:val="none" w:sz="0" w:space="0" w:color="auto"/>
                            <w:bottom w:val="none" w:sz="0" w:space="0" w:color="auto"/>
                            <w:right w:val="none" w:sz="0" w:space="0" w:color="auto"/>
                          </w:divBdr>
                          <w:divsChild>
                            <w:div w:id="1500533898">
                              <w:marLeft w:val="0"/>
                              <w:marRight w:val="0"/>
                              <w:marTop w:val="0"/>
                              <w:marBottom w:val="0"/>
                              <w:divBdr>
                                <w:top w:val="none" w:sz="0" w:space="0" w:color="auto"/>
                                <w:left w:val="none" w:sz="0" w:space="0" w:color="auto"/>
                                <w:bottom w:val="none" w:sz="0" w:space="0" w:color="auto"/>
                                <w:right w:val="none" w:sz="0" w:space="0" w:color="auto"/>
                              </w:divBdr>
                              <w:divsChild>
                                <w:div w:id="108741035">
                                  <w:marLeft w:val="0"/>
                                  <w:marRight w:val="0"/>
                                  <w:marTop w:val="0"/>
                                  <w:marBottom w:val="0"/>
                                  <w:divBdr>
                                    <w:top w:val="none" w:sz="0" w:space="0" w:color="auto"/>
                                    <w:left w:val="none" w:sz="0" w:space="0" w:color="auto"/>
                                    <w:bottom w:val="none" w:sz="0" w:space="0" w:color="auto"/>
                                    <w:right w:val="none" w:sz="0" w:space="0" w:color="auto"/>
                                  </w:divBdr>
                                  <w:divsChild>
                                    <w:div w:id="393623503">
                                      <w:marLeft w:val="0"/>
                                      <w:marRight w:val="0"/>
                                      <w:marTop w:val="0"/>
                                      <w:marBottom w:val="0"/>
                                      <w:divBdr>
                                        <w:top w:val="none" w:sz="0" w:space="0" w:color="auto"/>
                                        <w:left w:val="none" w:sz="0" w:space="0" w:color="auto"/>
                                        <w:bottom w:val="none" w:sz="0" w:space="0" w:color="auto"/>
                                        <w:right w:val="none" w:sz="0" w:space="0" w:color="auto"/>
                                      </w:divBdr>
                                      <w:divsChild>
                                        <w:div w:id="2121409395">
                                          <w:marLeft w:val="0"/>
                                          <w:marRight w:val="0"/>
                                          <w:marTop w:val="0"/>
                                          <w:marBottom w:val="0"/>
                                          <w:divBdr>
                                            <w:top w:val="none" w:sz="0" w:space="0" w:color="auto"/>
                                            <w:left w:val="none" w:sz="0" w:space="0" w:color="auto"/>
                                            <w:bottom w:val="none" w:sz="0" w:space="0" w:color="auto"/>
                                            <w:right w:val="none" w:sz="0" w:space="0" w:color="auto"/>
                                          </w:divBdr>
                                          <w:divsChild>
                                            <w:div w:id="271397318">
                                              <w:marLeft w:val="0"/>
                                              <w:marRight w:val="0"/>
                                              <w:marTop w:val="0"/>
                                              <w:marBottom w:val="0"/>
                                              <w:divBdr>
                                                <w:top w:val="none" w:sz="0" w:space="0" w:color="auto"/>
                                                <w:left w:val="none" w:sz="0" w:space="0" w:color="auto"/>
                                                <w:bottom w:val="none" w:sz="0" w:space="0" w:color="auto"/>
                                                <w:right w:val="none" w:sz="0" w:space="0" w:color="auto"/>
                                              </w:divBdr>
                                              <w:divsChild>
                                                <w:div w:id="1347558923">
                                                  <w:marLeft w:val="0"/>
                                                  <w:marRight w:val="0"/>
                                                  <w:marTop w:val="0"/>
                                                  <w:marBottom w:val="0"/>
                                                  <w:divBdr>
                                                    <w:top w:val="none" w:sz="0" w:space="0" w:color="auto"/>
                                                    <w:left w:val="none" w:sz="0" w:space="0" w:color="auto"/>
                                                    <w:bottom w:val="none" w:sz="0" w:space="0" w:color="auto"/>
                                                    <w:right w:val="none" w:sz="0" w:space="0" w:color="auto"/>
                                                  </w:divBdr>
                                                  <w:divsChild>
                                                    <w:div w:id="1883899997">
                                                      <w:marLeft w:val="0"/>
                                                      <w:marRight w:val="0"/>
                                                      <w:marTop w:val="0"/>
                                                      <w:marBottom w:val="0"/>
                                                      <w:divBdr>
                                                        <w:top w:val="none" w:sz="0" w:space="0" w:color="auto"/>
                                                        <w:left w:val="none" w:sz="0" w:space="0" w:color="auto"/>
                                                        <w:bottom w:val="none" w:sz="0" w:space="0" w:color="auto"/>
                                                        <w:right w:val="none" w:sz="0" w:space="0" w:color="auto"/>
                                                      </w:divBdr>
                                                      <w:divsChild>
                                                        <w:div w:id="794061561">
                                                          <w:marLeft w:val="0"/>
                                                          <w:marRight w:val="0"/>
                                                          <w:marTop w:val="150"/>
                                                          <w:marBottom w:val="0"/>
                                                          <w:divBdr>
                                                            <w:top w:val="none" w:sz="0" w:space="0" w:color="auto"/>
                                                            <w:left w:val="none" w:sz="0" w:space="0" w:color="auto"/>
                                                            <w:bottom w:val="none" w:sz="0" w:space="0" w:color="auto"/>
                                                            <w:right w:val="none" w:sz="0" w:space="0" w:color="auto"/>
                                                          </w:divBdr>
                                                          <w:divsChild>
                                                            <w:div w:id="720131386">
                                                              <w:marLeft w:val="0"/>
                                                              <w:marRight w:val="0"/>
                                                              <w:marTop w:val="0"/>
                                                              <w:marBottom w:val="0"/>
                                                              <w:divBdr>
                                                                <w:top w:val="none" w:sz="0" w:space="0" w:color="auto"/>
                                                                <w:left w:val="none" w:sz="0" w:space="0" w:color="auto"/>
                                                                <w:bottom w:val="none" w:sz="0" w:space="0" w:color="auto"/>
                                                                <w:right w:val="none" w:sz="0" w:space="0" w:color="auto"/>
                                                              </w:divBdr>
                                                              <w:divsChild>
                                                                <w:div w:id="309290513">
                                                                  <w:marLeft w:val="0"/>
                                                                  <w:marRight w:val="0"/>
                                                                  <w:marTop w:val="0"/>
                                                                  <w:marBottom w:val="0"/>
                                                                  <w:divBdr>
                                                                    <w:top w:val="none" w:sz="0" w:space="0" w:color="auto"/>
                                                                    <w:left w:val="none" w:sz="0" w:space="0" w:color="auto"/>
                                                                    <w:bottom w:val="none" w:sz="0" w:space="0" w:color="auto"/>
                                                                    <w:right w:val="none" w:sz="0" w:space="0" w:color="auto"/>
                                                                  </w:divBdr>
                                                                  <w:divsChild>
                                                                    <w:div w:id="809321775">
                                                                      <w:marLeft w:val="0"/>
                                                                      <w:marRight w:val="0"/>
                                                                      <w:marTop w:val="0"/>
                                                                      <w:marBottom w:val="0"/>
                                                                      <w:divBdr>
                                                                        <w:top w:val="none" w:sz="0" w:space="0" w:color="auto"/>
                                                                        <w:left w:val="none" w:sz="0" w:space="0" w:color="auto"/>
                                                                        <w:bottom w:val="none" w:sz="0" w:space="0" w:color="auto"/>
                                                                        <w:right w:val="none" w:sz="0" w:space="0" w:color="auto"/>
                                                                      </w:divBdr>
                                                                    </w:div>
                                                                    <w:div w:id="703821829">
                                                                      <w:marLeft w:val="0"/>
                                                                      <w:marRight w:val="0"/>
                                                                      <w:marTop w:val="0"/>
                                                                      <w:marBottom w:val="0"/>
                                                                      <w:divBdr>
                                                                        <w:top w:val="none" w:sz="0" w:space="0" w:color="auto"/>
                                                                        <w:left w:val="none" w:sz="0" w:space="0" w:color="auto"/>
                                                                        <w:bottom w:val="none" w:sz="0" w:space="0" w:color="auto"/>
                                                                        <w:right w:val="none" w:sz="0" w:space="0" w:color="auto"/>
                                                                      </w:divBdr>
                                                                    </w:div>
                                                                    <w:div w:id="281033609">
                                                                      <w:marLeft w:val="0"/>
                                                                      <w:marRight w:val="0"/>
                                                                      <w:marTop w:val="0"/>
                                                                      <w:marBottom w:val="0"/>
                                                                      <w:divBdr>
                                                                        <w:top w:val="none" w:sz="0" w:space="0" w:color="auto"/>
                                                                        <w:left w:val="none" w:sz="0" w:space="0" w:color="auto"/>
                                                                        <w:bottom w:val="none" w:sz="0" w:space="0" w:color="auto"/>
                                                                        <w:right w:val="none" w:sz="0" w:space="0" w:color="auto"/>
                                                                      </w:divBdr>
                                                                    </w:div>
                                                                  </w:divsChild>
                                                                </w:div>
                                                                <w:div w:id="1054432113">
                                                                  <w:marLeft w:val="0"/>
                                                                  <w:marRight w:val="0"/>
                                                                  <w:marTop w:val="0"/>
                                                                  <w:marBottom w:val="0"/>
                                                                  <w:divBdr>
                                                                    <w:top w:val="none" w:sz="0" w:space="0" w:color="auto"/>
                                                                    <w:left w:val="none" w:sz="0" w:space="0" w:color="auto"/>
                                                                    <w:bottom w:val="none" w:sz="0" w:space="0" w:color="auto"/>
                                                                    <w:right w:val="none" w:sz="0" w:space="0" w:color="auto"/>
                                                                  </w:divBdr>
                                                                  <w:divsChild>
                                                                    <w:div w:id="1572501267">
                                                                      <w:marLeft w:val="0"/>
                                                                      <w:marRight w:val="0"/>
                                                                      <w:marTop w:val="0"/>
                                                                      <w:marBottom w:val="0"/>
                                                                      <w:divBdr>
                                                                        <w:top w:val="none" w:sz="0" w:space="0" w:color="auto"/>
                                                                        <w:left w:val="none" w:sz="0" w:space="0" w:color="auto"/>
                                                                        <w:bottom w:val="none" w:sz="0" w:space="0" w:color="auto"/>
                                                                        <w:right w:val="none" w:sz="0" w:space="0" w:color="auto"/>
                                                                      </w:divBdr>
                                                                      <w:divsChild>
                                                                        <w:div w:id="973875555">
                                                                          <w:marLeft w:val="0"/>
                                                                          <w:marRight w:val="0"/>
                                                                          <w:marTop w:val="375"/>
                                                                          <w:marBottom w:val="375"/>
                                                                          <w:divBdr>
                                                                            <w:top w:val="none" w:sz="0" w:space="0" w:color="auto"/>
                                                                            <w:left w:val="none" w:sz="0" w:space="0" w:color="auto"/>
                                                                            <w:bottom w:val="none" w:sz="0" w:space="0" w:color="auto"/>
                                                                            <w:right w:val="none" w:sz="0" w:space="0" w:color="auto"/>
                                                                          </w:divBdr>
                                                                        </w:div>
                                                                      </w:divsChild>
                                                                    </w:div>
                                                                    <w:div w:id="1146899418">
                                                                      <w:marLeft w:val="0"/>
                                                                      <w:marRight w:val="0"/>
                                                                      <w:marTop w:val="0"/>
                                                                      <w:marBottom w:val="0"/>
                                                                      <w:divBdr>
                                                                        <w:top w:val="none" w:sz="0" w:space="0" w:color="auto"/>
                                                                        <w:left w:val="none" w:sz="0" w:space="0" w:color="auto"/>
                                                                        <w:bottom w:val="none" w:sz="0" w:space="0" w:color="auto"/>
                                                                        <w:right w:val="none" w:sz="0" w:space="0" w:color="auto"/>
                                                                      </w:divBdr>
                                                                    </w:div>
                                                                    <w:div w:id="69935873">
                                                                      <w:marLeft w:val="0"/>
                                                                      <w:marRight w:val="0"/>
                                                                      <w:marTop w:val="0"/>
                                                                      <w:marBottom w:val="0"/>
                                                                      <w:divBdr>
                                                                        <w:top w:val="none" w:sz="0" w:space="0" w:color="auto"/>
                                                                        <w:left w:val="none" w:sz="0" w:space="0" w:color="auto"/>
                                                                        <w:bottom w:val="none" w:sz="0" w:space="0" w:color="auto"/>
                                                                        <w:right w:val="none" w:sz="0" w:space="0" w:color="auto"/>
                                                                      </w:divBdr>
                                                                    </w:div>
                                                                    <w:div w:id="1581285201">
                                                                      <w:marLeft w:val="0"/>
                                                                      <w:marRight w:val="0"/>
                                                                      <w:marTop w:val="0"/>
                                                                      <w:marBottom w:val="0"/>
                                                                      <w:divBdr>
                                                                        <w:top w:val="none" w:sz="0" w:space="0" w:color="auto"/>
                                                                        <w:left w:val="none" w:sz="0" w:space="0" w:color="auto"/>
                                                                        <w:bottom w:val="none" w:sz="0" w:space="0" w:color="auto"/>
                                                                        <w:right w:val="none" w:sz="0" w:space="0" w:color="auto"/>
                                                                      </w:divBdr>
                                                                    </w:div>
                                                                    <w:div w:id="1763456622">
                                                                      <w:marLeft w:val="0"/>
                                                                      <w:marRight w:val="0"/>
                                                                      <w:marTop w:val="0"/>
                                                                      <w:marBottom w:val="0"/>
                                                                      <w:divBdr>
                                                                        <w:top w:val="none" w:sz="0" w:space="0" w:color="auto"/>
                                                                        <w:left w:val="none" w:sz="0" w:space="0" w:color="auto"/>
                                                                        <w:bottom w:val="none" w:sz="0" w:space="0" w:color="auto"/>
                                                                        <w:right w:val="none" w:sz="0" w:space="0" w:color="auto"/>
                                                                      </w:divBdr>
                                                                    </w:div>
                                                                    <w:div w:id="10980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5739329">
      <w:bodyDiv w:val="1"/>
      <w:marLeft w:val="0"/>
      <w:marRight w:val="0"/>
      <w:marTop w:val="0"/>
      <w:marBottom w:val="0"/>
      <w:divBdr>
        <w:top w:val="none" w:sz="0" w:space="0" w:color="auto"/>
        <w:left w:val="none" w:sz="0" w:space="0" w:color="auto"/>
        <w:bottom w:val="none" w:sz="0" w:space="0" w:color="auto"/>
        <w:right w:val="none" w:sz="0" w:space="0" w:color="auto"/>
      </w:divBdr>
    </w:div>
    <w:div w:id="1120416808">
      <w:bodyDiv w:val="1"/>
      <w:marLeft w:val="0"/>
      <w:marRight w:val="0"/>
      <w:marTop w:val="0"/>
      <w:marBottom w:val="0"/>
      <w:divBdr>
        <w:top w:val="none" w:sz="0" w:space="0" w:color="auto"/>
        <w:left w:val="none" w:sz="0" w:space="0" w:color="auto"/>
        <w:bottom w:val="none" w:sz="0" w:space="0" w:color="auto"/>
        <w:right w:val="none" w:sz="0" w:space="0" w:color="auto"/>
      </w:divBdr>
    </w:div>
    <w:div w:id="1433629172">
      <w:bodyDiv w:val="1"/>
      <w:marLeft w:val="0"/>
      <w:marRight w:val="0"/>
      <w:marTop w:val="0"/>
      <w:marBottom w:val="0"/>
      <w:divBdr>
        <w:top w:val="none" w:sz="0" w:space="0" w:color="auto"/>
        <w:left w:val="none" w:sz="0" w:space="0" w:color="auto"/>
        <w:bottom w:val="none" w:sz="0" w:space="0" w:color="auto"/>
        <w:right w:val="none" w:sz="0" w:space="0" w:color="auto"/>
      </w:divBdr>
      <w:divsChild>
        <w:div w:id="748889660">
          <w:marLeft w:val="0"/>
          <w:marRight w:val="0"/>
          <w:marTop w:val="1515"/>
          <w:marBottom w:val="0"/>
          <w:divBdr>
            <w:top w:val="none" w:sz="0" w:space="0" w:color="auto"/>
            <w:left w:val="none" w:sz="0" w:space="0" w:color="auto"/>
            <w:bottom w:val="none" w:sz="0" w:space="0" w:color="auto"/>
            <w:right w:val="none" w:sz="0" w:space="0" w:color="auto"/>
          </w:divBdr>
          <w:divsChild>
            <w:div w:id="33313158">
              <w:marLeft w:val="0"/>
              <w:marRight w:val="0"/>
              <w:marTop w:val="0"/>
              <w:marBottom w:val="0"/>
              <w:divBdr>
                <w:top w:val="none" w:sz="0" w:space="0" w:color="auto"/>
                <w:left w:val="none" w:sz="0" w:space="0" w:color="auto"/>
                <w:bottom w:val="none" w:sz="0" w:space="0" w:color="auto"/>
                <w:right w:val="none" w:sz="0" w:space="0" w:color="auto"/>
              </w:divBdr>
              <w:divsChild>
                <w:div w:id="771780612">
                  <w:marLeft w:val="0"/>
                  <w:marRight w:val="0"/>
                  <w:marTop w:val="0"/>
                  <w:marBottom w:val="0"/>
                  <w:divBdr>
                    <w:top w:val="none" w:sz="0" w:space="0" w:color="auto"/>
                    <w:left w:val="none" w:sz="0" w:space="0" w:color="auto"/>
                    <w:bottom w:val="none" w:sz="0" w:space="0" w:color="auto"/>
                    <w:right w:val="none" w:sz="0" w:space="0" w:color="auto"/>
                  </w:divBdr>
                  <w:divsChild>
                    <w:div w:id="921528989">
                      <w:marLeft w:val="0"/>
                      <w:marRight w:val="0"/>
                      <w:marTop w:val="0"/>
                      <w:marBottom w:val="0"/>
                      <w:divBdr>
                        <w:top w:val="none" w:sz="0" w:space="0" w:color="auto"/>
                        <w:left w:val="none" w:sz="0" w:space="0" w:color="auto"/>
                        <w:bottom w:val="none" w:sz="0" w:space="0" w:color="auto"/>
                        <w:right w:val="none" w:sz="0" w:space="0" w:color="auto"/>
                      </w:divBdr>
                      <w:divsChild>
                        <w:div w:id="379208940">
                          <w:marLeft w:val="0"/>
                          <w:marRight w:val="0"/>
                          <w:marTop w:val="0"/>
                          <w:marBottom w:val="0"/>
                          <w:divBdr>
                            <w:top w:val="none" w:sz="0" w:space="0" w:color="auto"/>
                            <w:left w:val="none" w:sz="0" w:space="0" w:color="auto"/>
                            <w:bottom w:val="none" w:sz="0" w:space="0" w:color="auto"/>
                            <w:right w:val="none" w:sz="0" w:space="0" w:color="auto"/>
                          </w:divBdr>
                          <w:divsChild>
                            <w:div w:id="1138037605">
                              <w:marLeft w:val="0"/>
                              <w:marRight w:val="0"/>
                              <w:marTop w:val="0"/>
                              <w:marBottom w:val="0"/>
                              <w:divBdr>
                                <w:top w:val="none" w:sz="0" w:space="0" w:color="auto"/>
                                <w:left w:val="none" w:sz="0" w:space="0" w:color="auto"/>
                                <w:bottom w:val="none" w:sz="0" w:space="0" w:color="auto"/>
                                <w:right w:val="none" w:sz="0" w:space="0" w:color="auto"/>
                              </w:divBdr>
                              <w:divsChild>
                                <w:div w:id="1543904543">
                                  <w:marLeft w:val="0"/>
                                  <w:marRight w:val="0"/>
                                  <w:marTop w:val="0"/>
                                  <w:marBottom w:val="0"/>
                                  <w:divBdr>
                                    <w:top w:val="none" w:sz="0" w:space="0" w:color="auto"/>
                                    <w:left w:val="none" w:sz="0" w:space="0" w:color="auto"/>
                                    <w:bottom w:val="none" w:sz="0" w:space="0" w:color="auto"/>
                                    <w:right w:val="none" w:sz="0" w:space="0" w:color="auto"/>
                                  </w:divBdr>
                                  <w:divsChild>
                                    <w:div w:id="1119110488">
                                      <w:marLeft w:val="0"/>
                                      <w:marRight w:val="0"/>
                                      <w:marTop w:val="0"/>
                                      <w:marBottom w:val="0"/>
                                      <w:divBdr>
                                        <w:top w:val="none" w:sz="0" w:space="0" w:color="auto"/>
                                        <w:left w:val="none" w:sz="0" w:space="0" w:color="auto"/>
                                        <w:bottom w:val="none" w:sz="0" w:space="0" w:color="auto"/>
                                        <w:right w:val="none" w:sz="0" w:space="0" w:color="auto"/>
                                      </w:divBdr>
                                      <w:divsChild>
                                        <w:div w:id="177279509">
                                          <w:marLeft w:val="0"/>
                                          <w:marRight w:val="0"/>
                                          <w:marTop w:val="0"/>
                                          <w:marBottom w:val="0"/>
                                          <w:divBdr>
                                            <w:top w:val="none" w:sz="0" w:space="0" w:color="auto"/>
                                            <w:left w:val="none" w:sz="0" w:space="0" w:color="auto"/>
                                            <w:bottom w:val="none" w:sz="0" w:space="0" w:color="auto"/>
                                            <w:right w:val="none" w:sz="0" w:space="0" w:color="auto"/>
                                          </w:divBdr>
                                          <w:divsChild>
                                            <w:div w:id="1093283400">
                                              <w:marLeft w:val="0"/>
                                              <w:marRight w:val="0"/>
                                              <w:marTop w:val="0"/>
                                              <w:marBottom w:val="0"/>
                                              <w:divBdr>
                                                <w:top w:val="none" w:sz="0" w:space="0" w:color="auto"/>
                                                <w:left w:val="none" w:sz="0" w:space="0" w:color="auto"/>
                                                <w:bottom w:val="none" w:sz="0" w:space="0" w:color="auto"/>
                                                <w:right w:val="none" w:sz="0" w:space="0" w:color="auto"/>
                                              </w:divBdr>
                                              <w:divsChild>
                                                <w:div w:id="572813014">
                                                  <w:marLeft w:val="0"/>
                                                  <w:marRight w:val="0"/>
                                                  <w:marTop w:val="0"/>
                                                  <w:marBottom w:val="0"/>
                                                  <w:divBdr>
                                                    <w:top w:val="none" w:sz="0" w:space="0" w:color="auto"/>
                                                    <w:left w:val="none" w:sz="0" w:space="0" w:color="auto"/>
                                                    <w:bottom w:val="none" w:sz="0" w:space="0" w:color="auto"/>
                                                    <w:right w:val="none" w:sz="0" w:space="0" w:color="auto"/>
                                                  </w:divBdr>
                                                  <w:divsChild>
                                                    <w:div w:id="650257972">
                                                      <w:marLeft w:val="0"/>
                                                      <w:marRight w:val="0"/>
                                                      <w:marTop w:val="0"/>
                                                      <w:marBottom w:val="0"/>
                                                      <w:divBdr>
                                                        <w:top w:val="none" w:sz="0" w:space="0" w:color="auto"/>
                                                        <w:left w:val="none" w:sz="0" w:space="0" w:color="auto"/>
                                                        <w:bottom w:val="none" w:sz="0" w:space="0" w:color="auto"/>
                                                        <w:right w:val="none" w:sz="0" w:space="0" w:color="auto"/>
                                                      </w:divBdr>
                                                      <w:divsChild>
                                                        <w:div w:id="1319765887">
                                                          <w:marLeft w:val="0"/>
                                                          <w:marRight w:val="0"/>
                                                          <w:marTop w:val="150"/>
                                                          <w:marBottom w:val="0"/>
                                                          <w:divBdr>
                                                            <w:top w:val="none" w:sz="0" w:space="0" w:color="auto"/>
                                                            <w:left w:val="none" w:sz="0" w:space="0" w:color="auto"/>
                                                            <w:bottom w:val="none" w:sz="0" w:space="0" w:color="auto"/>
                                                            <w:right w:val="none" w:sz="0" w:space="0" w:color="auto"/>
                                                          </w:divBdr>
                                                          <w:divsChild>
                                                            <w:div w:id="1693261628">
                                                              <w:marLeft w:val="0"/>
                                                              <w:marRight w:val="0"/>
                                                              <w:marTop w:val="0"/>
                                                              <w:marBottom w:val="0"/>
                                                              <w:divBdr>
                                                                <w:top w:val="none" w:sz="0" w:space="0" w:color="auto"/>
                                                                <w:left w:val="none" w:sz="0" w:space="0" w:color="auto"/>
                                                                <w:bottom w:val="none" w:sz="0" w:space="0" w:color="auto"/>
                                                                <w:right w:val="none" w:sz="0" w:space="0" w:color="auto"/>
                                                              </w:divBdr>
                                                              <w:divsChild>
                                                                <w:div w:id="727147256">
                                                                  <w:marLeft w:val="0"/>
                                                                  <w:marRight w:val="0"/>
                                                                  <w:marTop w:val="0"/>
                                                                  <w:marBottom w:val="0"/>
                                                                  <w:divBdr>
                                                                    <w:top w:val="none" w:sz="0" w:space="0" w:color="auto"/>
                                                                    <w:left w:val="none" w:sz="0" w:space="0" w:color="auto"/>
                                                                    <w:bottom w:val="none" w:sz="0" w:space="0" w:color="auto"/>
                                                                    <w:right w:val="none" w:sz="0" w:space="0" w:color="auto"/>
                                                                  </w:divBdr>
                                                                  <w:divsChild>
                                                                    <w:div w:id="11602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9776782">
      <w:bodyDiv w:val="1"/>
      <w:marLeft w:val="0"/>
      <w:marRight w:val="0"/>
      <w:marTop w:val="0"/>
      <w:marBottom w:val="0"/>
      <w:divBdr>
        <w:top w:val="none" w:sz="0" w:space="0" w:color="auto"/>
        <w:left w:val="none" w:sz="0" w:space="0" w:color="auto"/>
        <w:bottom w:val="none" w:sz="0" w:space="0" w:color="auto"/>
        <w:right w:val="none" w:sz="0" w:space="0" w:color="auto"/>
      </w:divBdr>
      <w:divsChild>
        <w:div w:id="681128793">
          <w:marLeft w:val="216"/>
          <w:marRight w:val="216"/>
          <w:marTop w:val="336"/>
          <w:marBottom w:val="216"/>
          <w:divBdr>
            <w:top w:val="none" w:sz="0" w:space="0" w:color="auto"/>
            <w:left w:val="none" w:sz="0" w:space="0" w:color="auto"/>
            <w:bottom w:val="none" w:sz="0" w:space="0" w:color="auto"/>
            <w:right w:val="none" w:sz="0" w:space="0" w:color="auto"/>
          </w:divBdr>
          <w:divsChild>
            <w:div w:id="342129277">
              <w:marLeft w:val="2700"/>
              <w:marRight w:val="240"/>
              <w:marTop w:val="0"/>
              <w:marBottom w:val="0"/>
              <w:divBdr>
                <w:top w:val="none" w:sz="0" w:space="0" w:color="auto"/>
                <w:left w:val="none" w:sz="0" w:space="0" w:color="auto"/>
                <w:bottom w:val="none" w:sz="0" w:space="0" w:color="auto"/>
                <w:right w:val="none" w:sz="0" w:space="0" w:color="auto"/>
              </w:divBdr>
              <w:divsChild>
                <w:div w:id="865559029">
                  <w:marLeft w:val="0"/>
                  <w:marRight w:val="0"/>
                  <w:marTop w:val="0"/>
                  <w:marBottom w:val="0"/>
                  <w:divBdr>
                    <w:top w:val="none" w:sz="0" w:space="0" w:color="auto"/>
                    <w:left w:val="none" w:sz="0" w:space="0" w:color="auto"/>
                    <w:bottom w:val="none" w:sz="0" w:space="0" w:color="auto"/>
                    <w:right w:val="none" w:sz="0" w:space="0" w:color="auto"/>
                  </w:divBdr>
                  <w:divsChild>
                    <w:div w:id="5565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tsanhonour.gov.au" TargetMode="Externa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7.xml"/><Relationship Id="rId50" Type="http://schemas.openxmlformats.org/officeDocument/2006/relationships/footer" Target="footer19.xml"/><Relationship Id="rId55" Type="http://schemas.openxmlformats.org/officeDocument/2006/relationships/footer" Target="footer21.xml"/><Relationship Id="rId63" Type="http://schemas.openxmlformats.org/officeDocument/2006/relationships/header" Target="header24.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header" Target="header14.xml"/><Relationship Id="rId54" Type="http://schemas.openxmlformats.org/officeDocument/2006/relationships/header" Target="header21.xml"/><Relationship Id="rId62" Type="http://schemas.openxmlformats.org/officeDocument/2006/relationships/footer" Target="footer2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header" Target="header16.xml"/><Relationship Id="rId53" Type="http://schemas.openxmlformats.org/officeDocument/2006/relationships/header" Target="header20.xml"/><Relationship Id="rId58" Type="http://schemas.openxmlformats.org/officeDocument/2006/relationships/hyperlink" Target="http://www.treasury.gov.au/ConsultationsandReviews/Reviews/2016/ASIC-Enforcement-Review"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reativecommons.org/licenses/by/3.0/au/legalcode" TargetMode="Externa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eader" Target="header12.xml"/><Relationship Id="rId49" Type="http://schemas.openxmlformats.org/officeDocument/2006/relationships/footer" Target="footer18.xml"/><Relationship Id="rId57" Type="http://schemas.openxmlformats.org/officeDocument/2006/relationships/footer" Target="footer23.xml"/><Relationship Id="rId61"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mailto:medialiaison@treasury.gov.au" TargetMode="External"/><Relationship Id="rId31" Type="http://schemas.openxmlformats.org/officeDocument/2006/relationships/footer" Target="footer9.xm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header" Target="header23.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3.0/au/deed.en" TargetMode="Externa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8.xml"/><Relationship Id="rId56" Type="http://schemas.openxmlformats.org/officeDocument/2006/relationships/footer" Target="footer22.xml"/><Relationship Id="rId64" Type="http://schemas.openxmlformats.org/officeDocument/2006/relationships/footer" Target="footer26.xml"/><Relationship Id="rId8" Type="http://schemas.openxmlformats.org/officeDocument/2006/relationships/header" Target="header1.xml"/><Relationship Id="rId51" Type="http://schemas.openxmlformats.org/officeDocument/2006/relationships/header" Target="header19.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creativecommons.org/licenses/by/3.0/au/deed.en" TargetMode="Externa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header" Target="header22.xml"/></Relationships>
</file>

<file path=word/_rels/footnotes.xml.rels><?xml version="1.0" encoding="UTF-8" standalone="yes"?>
<Relationships xmlns="http://schemas.openxmlformats.org/package/2006/relationships"><Relationship Id="rId1" Type="http://schemas.openxmlformats.org/officeDocument/2006/relationships/hyperlink" Target="http://www.treasury.gov.au/ConsultationsandReviews/Reviews/2016/ASIC-Enforcement-Re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Consultation Discussion Paper.dotm</Template>
  <TotalTime>18</TotalTime>
  <Pages>33</Pages>
  <Words>8887</Words>
  <Characters>50657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Harmonisation and Enhancement of Search Warrant Powers</vt:lpstr>
    </vt:vector>
  </TitlesOfParts>
  <Company>Australian Government - The Treasury</Company>
  <LinksUpToDate>false</LinksUpToDate>
  <CharactersWithSpaces>59426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Harmonisation and Enhancement of Search Warrant Powers</dc:title>
  <cp:lastModifiedBy>Chia, Davin</cp:lastModifiedBy>
  <cp:revision>2</cp:revision>
  <cp:lastPrinted>2017-06-27T00:56:00Z</cp:lastPrinted>
  <dcterms:created xsi:type="dcterms:W3CDTF">2017-06-20T00:52:00Z</dcterms:created>
  <dcterms:modified xsi:type="dcterms:W3CDTF">2017-06-27T01:52:00Z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0x010100E95D40E5DFEA714B90E88DB5CE07A6B5008F705419D6AC784B849D443887C087B3</vt:lpwstr>
  </property>
  <property fmtid="{D5CDD505-2E9C-101B-9397-08002B2CF9AE}" pid="3" name="_dlc_DocIdItemGuid">
    <vt:lpwstr>a02c5af7-583e-4e57-b69d-fab09c8ebed3</vt:lpwstr>
  </property>
  <property fmtid="{D5CDD505-2E9C-101B-9397-08002B2CF9AE}" pid="4" name="AlternateThumbnailUrl">
    <vt:lpwstr/>
  </property>
  <property fmtid="{D5CDD505-2E9C-101B-9397-08002B2CF9AE}" pid="5" name="xd_ProgID">
    <vt:lpwstr/>
  </property>
  <property fmtid="{D5CDD505-2E9C-101B-9397-08002B2CF9AE}" pid="6" name="Comments">
    <vt:lpwstr/>
  </property>
  <property fmtid="{D5CDD505-2E9C-101B-9397-08002B2CF9AE}" pid="7" name="TSYRecordClass">
    <vt:lpwstr>7;#TSY RA-9072 - Retain as national archives|d71911a4-1e32-4fc6-834f-26c4fc33e217</vt:lpwstr>
  </property>
  <property fmtid="{D5CDD505-2E9C-101B-9397-08002B2CF9AE}" pid="8" name="TemplateUrl">
    <vt:lpwstr/>
  </property>
  <property fmtid="{D5CDD505-2E9C-101B-9397-08002B2CF9AE}" pid="9" name="RecordPoint_WorkflowType">
    <vt:lpwstr>ActiveSubmitStub</vt:lpwstr>
  </property>
  <property fmtid="{D5CDD505-2E9C-101B-9397-08002B2CF9AE}" pid="10" name="RecordPoint_ActiveItemUniqueId">
    <vt:lpwstr>{1481d5f2-860a-4ce3-abb8-60ffb91bbcf2}</vt:lpwstr>
  </property>
  <property fmtid="{D5CDD505-2E9C-101B-9397-08002B2CF9AE}" pid="11" name="RecordPoint_ActiveItemWebId">
    <vt:lpwstr>{e237d495-0881-4849-ae62-ddc8a8132df5}</vt:lpwstr>
  </property>
  <property fmtid="{D5CDD505-2E9C-101B-9397-08002B2CF9AE}" pid="12" name="RecordPoint_ActiveItemSiteId">
    <vt:lpwstr>{de902461-0703-410e-906b-a2e3a4f5dd57}</vt:lpwstr>
  </property>
  <property fmtid="{D5CDD505-2E9C-101B-9397-08002B2CF9AE}" pid="13" name="RecordPoint_ActiveItemListId">
    <vt:lpwstr>{ae552c44-daad-439e-a48c-f25aaf725785}</vt:lpwstr>
  </property>
  <property fmtid="{D5CDD505-2E9C-101B-9397-08002B2CF9AE}" pid="14" name="RecordPoint_RecordNumberSubmitted">
    <vt:lpwstr>R0001350084</vt:lpwstr>
  </property>
  <property fmtid="{D5CDD505-2E9C-101B-9397-08002B2CF9AE}" pid="15" name="_AdHocReviewCycleID">
    <vt:i4>-198253944</vt:i4>
  </property>
  <property fmtid="{D5CDD505-2E9C-101B-9397-08002B2CF9AE}" pid="16" name="_NewReviewCycle">
    <vt:lpwstr/>
  </property>
  <property fmtid="{D5CDD505-2E9C-101B-9397-08002B2CF9AE}" pid="17" name="_EmailSubject">
    <vt:lpwstr>Mockup Approval needed for: #T195299. [SEC=UNCLASSIFIED]</vt:lpwstr>
  </property>
  <property fmtid="{D5CDD505-2E9C-101B-9397-08002B2CF9AE}" pid="18" name="_AuthorEmail">
    <vt:lpwstr>Kevin.Zhang@TREASURY.GOV.AU</vt:lpwstr>
  </property>
  <property fmtid="{D5CDD505-2E9C-101B-9397-08002B2CF9AE}" pid="19" name="_AuthorEmailDisplayName">
    <vt:lpwstr>Zhang, Kevin</vt:lpwstr>
  </property>
  <property fmtid="{D5CDD505-2E9C-101B-9397-08002B2CF9AE}" pid="20" name="SecurityClassification">
    <vt:lpwstr>1;#Sensitive|19fd2cb8-3e97-4464-ae71-8c2c2095d028</vt:lpwstr>
  </property>
  <property fmtid="{D5CDD505-2E9C-101B-9397-08002B2CF9AE}" pid="21" name="RecordPoint_SubmissionDate">
    <vt:lpwstr/>
  </property>
  <property fmtid="{D5CDD505-2E9C-101B-9397-08002B2CF9AE}" pid="22" name="RecordPoint_ActiveItemMoved">
    <vt:lpwstr/>
  </property>
  <property fmtid="{D5CDD505-2E9C-101B-9397-08002B2CF9AE}" pid="23" name="RecordPoint_RecordFormat">
    <vt:lpwstr/>
  </property>
  <property fmtid="{D5CDD505-2E9C-101B-9397-08002B2CF9AE}" pid="24" name="Proposal_x002d_Inquiry">
    <vt:lpwstr/>
  </property>
  <property fmtid="{D5CDD505-2E9C-101B-9397-08002B2CF9AE}" pid="25" name="l800db3a73514f419cf0c3efff2c9a8e">
    <vt:lpwstr/>
  </property>
  <property fmtid="{D5CDD505-2E9C-101B-9397-08002B2CF9AE}" pid="26" name="RecordPoint_SubmissionCompleted">
    <vt:lpwstr>2017-06-20T10:56:57.1848297+10:00</vt:lpwstr>
  </property>
  <property fmtid="{D5CDD505-2E9C-101B-9397-08002B2CF9AE}" pid="27" name="Proposal-Inquiry">
    <vt:lpwstr/>
  </property>
  <property fmtid="{D5CDD505-2E9C-101B-9397-08002B2CF9AE}" pid="28" name="_PreviousAdHocReviewCycleID">
    <vt:i4>1360368291</vt:i4>
  </property>
  <property fmtid="{D5CDD505-2E9C-101B-9397-08002B2CF9AE}" pid="29" name="_ReviewingToolsShownOnce">
    <vt:lpwstr/>
  </property>
</Properties>
</file>