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10001"/>
      </w:tblGrid>
      <w:tr w:rsidR="009B5CE8" w:rsidRPr="00B10A80" w:rsidTr="004054DD">
        <w:trPr>
          <w:trHeight w:val="9073"/>
          <w:jc w:val="center"/>
        </w:trPr>
        <w:tc>
          <w:tcPr>
            <w:tcW w:w="5000" w:type="pct"/>
          </w:tcPr>
          <w:p w:rsidR="009B5CE8" w:rsidRDefault="00790594" w:rsidP="004C5D2E">
            <w:pPr>
              <w:pStyle w:val="NoSpacing"/>
              <w:jc w:val="both"/>
              <w:rPr>
                <w:rFonts w:ascii="Cambria" w:hAnsi="Cambria"/>
                <w:caps/>
              </w:rPr>
            </w:pPr>
            <w:r>
              <w:rPr>
                <w:rFonts w:ascii="Cambria" w:hAnsi="Cambria"/>
                <w: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REIA_logo_jpeg.jpg" style="width:136.5pt;height:93pt;visibility:visible">
                  <v:imagedata r:id="rId9" o:title="REIA_logo_jpeg"/>
                </v:shape>
              </w:pict>
            </w:r>
          </w:p>
          <w:p w:rsidR="009B5CE8" w:rsidRDefault="009B5CE8" w:rsidP="004C5D2E">
            <w:pPr>
              <w:pStyle w:val="NoSpacing"/>
              <w:jc w:val="both"/>
              <w:rPr>
                <w:rFonts w:ascii="Cambria" w:hAnsi="Cambria"/>
                <w:caps/>
              </w:rPr>
            </w:pPr>
          </w:p>
          <w:p w:rsidR="009B5CE8" w:rsidRDefault="009B5CE8" w:rsidP="004C5D2E">
            <w:pPr>
              <w:pStyle w:val="NoSpacing"/>
              <w:jc w:val="both"/>
              <w:rPr>
                <w:rFonts w:ascii="Cambria" w:hAnsi="Cambria"/>
                <w:caps/>
              </w:rPr>
            </w:pPr>
          </w:p>
          <w:p w:rsidR="009B5CE8" w:rsidRDefault="009B5CE8" w:rsidP="004C5D2E">
            <w:pPr>
              <w:pStyle w:val="NoSpacing"/>
              <w:jc w:val="both"/>
              <w:rPr>
                <w:rFonts w:ascii="Cambria" w:hAnsi="Cambria"/>
                <w:caps/>
              </w:rPr>
            </w:pPr>
          </w:p>
          <w:p w:rsidR="009B5CE8" w:rsidRDefault="009B5CE8" w:rsidP="004C5D2E">
            <w:pPr>
              <w:pStyle w:val="NoSpacing"/>
              <w:jc w:val="both"/>
              <w:rPr>
                <w:rFonts w:ascii="Cambria" w:hAnsi="Cambria"/>
                <w:caps/>
              </w:rPr>
            </w:pPr>
          </w:p>
          <w:p w:rsidR="004054DD" w:rsidRPr="00B10A80" w:rsidRDefault="004054DD" w:rsidP="004C5D2E">
            <w:pPr>
              <w:spacing w:line="240" w:lineRule="auto"/>
              <w:ind w:left="709"/>
              <w:jc w:val="both"/>
              <w:rPr>
                <w:rFonts w:ascii="Arial" w:hAnsi="Arial" w:cs="Arial"/>
                <w:b/>
                <w:color w:val="000000"/>
                <w:sz w:val="44"/>
                <w:szCs w:val="44"/>
              </w:rPr>
            </w:pPr>
          </w:p>
          <w:p w:rsidR="009B5CE8" w:rsidRDefault="009B5CE8" w:rsidP="004C5D2E">
            <w:pPr>
              <w:spacing w:line="240" w:lineRule="auto"/>
              <w:ind w:left="709"/>
              <w:jc w:val="both"/>
              <w:rPr>
                <w:rFonts w:ascii="Arial" w:hAnsi="Arial" w:cs="Arial"/>
                <w:color w:val="000000"/>
                <w:sz w:val="44"/>
                <w:szCs w:val="44"/>
              </w:rPr>
            </w:pPr>
            <w:r w:rsidRPr="00D83162">
              <w:rPr>
                <w:rFonts w:ascii="Arial" w:hAnsi="Arial" w:cs="Arial"/>
                <w:color w:val="000000"/>
                <w:sz w:val="44"/>
                <w:szCs w:val="44"/>
              </w:rPr>
              <w:t>The Real Estate Institute of Australia</w:t>
            </w:r>
          </w:p>
          <w:p w:rsidR="00A7573F" w:rsidRPr="00D83162" w:rsidRDefault="00A7573F" w:rsidP="004C5D2E">
            <w:pPr>
              <w:spacing w:line="240" w:lineRule="auto"/>
              <w:ind w:left="709"/>
              <w:jc w:val="both"/>
              <w:rPr>
                <w:rFonts w:ascii="Arial" w:hAnsi="Arial" w:cs="Arial"/>
                <w:color w:val="000000"/>
                <w:sz w:val="44"/>
                <w:szCs w:val="44"/>
              </w:rPr>
            </w:pPr>
          </w:p>
          <w:p w:rsidR="00003E7F" w:rsidRPr="00003E7F" w:rsidRDefault="009B5CE8" w:rsidP="001F2D27">
            <w:pPr>
              <w:ind w:left="709"/>
              <w:rPr>
                <w:rFonts w:ascii="Arial" w:hAnsi="Arial" w:cs="Arial"/>
                <w:b/>
                <w:bCs/>
                <w:color w:val="000000"/>
                <w:sz w:val="44"/>
                <w:szCs w:val="44"/>
                <w:lang w:val="en-US"/>
              </w:rPr>
            </w:pPr>
            <w:r w:rsidRPr="00B10A80">
              <w:rPr>
                <w:rFonts w:ascii="Arial" w:hAnsi="Arial" w:cs="Arial"/>
                <w:color w:val="000000"/>
                <w:sz w:val="44"/>
                <w:szCs w:val="44"/>
              </w:rPr>
              <w:t xml:space="preserve">Submission to </w:t>
            </w:r>
            <w:r w:rsidR="000C5C2B">
              <w:rPr>
                <w:rFonts w:ascii="Arial" w:hAnsi="Arial" w:cs="Arial"/>
                <w:color w:val="000000"/>
                <w:sz w:val="44"/>
                <w:szCs w:val="44"/>
              </w:rPr>
              <w:t>T</w:t>
            </w:r>
            <w:r w:rsidRPr="00B10A80">
              <w:rPr>
                <w:rFonts w:ascii="Arial" w:hAnsi="Arial" w:cs="Arial"/>
                <w:color w:val="000000"/>
                <w:sz w:val="44"/>
                <w:szCs w:val="44"/>
              </w:rPr>
              <w:t xml:space="preserve">he </w:t>
            </w:r>
            <w:r w:rsidR="000C5C2B">
              <w:rPr>
                <w:rFonts w:ascii="Arial" w:hAnsi="Arial" w:cs="Arial"/>
                <w:color w:val="000000"/>
                <w:sz w:val="44"/>
                <w:szCs w:val="44"/>
              </w:rPr>
              <w:t>Treasury</w:t>
            </w:r>
            <w:r w:rsidR="00F35639">
              <w:rPr>
                <w:rFonts w:ascii="Arial" w:hAnsi="Arial" w:cs="Arial"/>
                <w:color w:val="000000"/>
                <w:sz w:val="44"/>
                <w:szCs w:val="44"/>
              </w:rPr>
              <w:t xml:space="preserve"> </w:t>
            </w:r>
            <w:r w:rsidR="000C5C2B">
              <w:rPr>
                <w:rFonts w:ascii="Arial" w:hAnsi="Arial" w:cs="Arial"/>
                <w:color w:val="000000"/>
                <w:sz w:val="44"/>
                <w:szCs w:val="44"/>
              </w:rPr>
              <w:t xml:space="preserve">on the </w:t>
            </w:r>
            <w:r w:rsidR="00B05F02" w:rsidRPr="00B05F02">
              <w:rPr>
                <w:rFonts w:ascii="Arial" w:hAnsi="Arial" w:cs="Arial"/>
                <w:b/>
                <w:color w:val="000000"/>
                <w:sz w:val="44"/>
                <w:szCs w:val="44"/>
              </w:rPr>
              <w:t xml:space="preserve">Modernising the </w:t>
            </w:r>
            <w:r w:rsidR="00B54B31">
              <w:rPr>
                <w:rFonts w:ascii="Arial" w:hAnsi="Arial" w:cs="Arial"/>
                <w:b/>
                <w:color w:val="000000"/>
                <w:sz w:val="44"/>
                <w:szCs w:val="44"/>
              </w:rPr>
              <w:t>T</w:t>
            </w:r>
            <w:r w:rsidR="00B05F02" w:rsidRPr="00B05F02">
              <w:rPr>
                <w:rFonts w:ascii="Arial" w:hAnsi="Arial" w:cs="Arial"/>
                <w:b/>
                <w:color w:val="000000"/>
                <w:sz w:val="44"/>
                <w:szCs w:val="44"/>
              </w:rPr>
              <w:t xml:space="preserve">axation of </w:t>
            </w:r>
            <w:r w:rsidR="00B54B31">
              <w:rPr>
                <w:rFonts w:ascii="Arial" w:hAnsi="Arial" w:cs="Arial"/>
                <w:b/>
                <w:color w:val="000000"/>
                <w:sz w:val="44"/>
                <w:szCs w:val="44"/>
              </w:rPr>
              <w:t>T</w:t>
            </w:r>
            <w:r w:rsidR="00B05F02" w:rsidRPr="00B05F02">
              <w:rPr>
                <w:rFonts w:ascii="Arial" w:hAnsi="Arial" w:cs="Arial"/>
                <w:b/>
                <w:color w:val="000000"/>
                <w:sz w:val="44"/>
                <w:szCs w:val="44"/>
              </w:rPr>
              <w:t xml:space="preserve">rust </w:t>
            </w:r>
            <w:r w:rsidR="00B54B31">
              <w:rPr>
                <w:rFonts w:ascii="Arial" w:hAnsi="Arial" w:cs="Arial"/>
                <w:b/>
                <w:color w:val="000000"/>
                <w:sz w:val="44"/>
                <w:szCs w:val="44"/>
              </w:rPr>
              <w:t>I</w:t>
            </w:r>
            <w:r w:rsidR="00B05F02" w:rsidRPr="00B05F02">
              <w:rPr>
                <w:rFonts w:ascii="Arial" w:hAnsi="Arial" w:cs="Arial"/>
                <w:b/>
                <w:color w:val="000000"/>
                <w:sz w:val="44"/>
                <w:szCs w:val="44"/>
              </w:rPr>
              <w:t>ncome -</w:t>
            </w:r>
            <w:r w:rsidR="00B54B31">
              <w:rPr>
                <w:rFonts w:ascii="Arial" w:hAnsi="Arial" w:cs="Arial"/>
                <w:b/>
                <w:color w:val="000000"/>
                <w:sz w:val="44"/>
                <w:szCs w:val="44"/>
              </w:rPr>
              <w:t>O</w:t>
            </w:r>
            <w:r w:rsidR="00B05F02" w:rsidRPr="00B05F02">
              <w:rPr>
                <w:rFonts w:ascii="Arial" w:hAnsi="Arial" w:cs="Arial"/>
                <w:b/>
                <w:color w:val="000000"/>
                <w:sz w:val="44"/>
                <w:szCs w:val="44"/>
              </w:rPr>
              <w:t xml:space="preserve">ptions for </w:t>
            </w:r>
            <w:r w:rsidR="00B54B31">
              <w:rPr>
                <w:rFonts w:ascii="Arial" w:hAnsi="Arial" w:cs="Arial"/>
                <w:b/>
                <w:color w:val="000000"/>
                <w:sz w:val="44"/>
                <w:szCs w:val="44"/>
              </w:rPr>
              <w:t>R</w:t>
            </w:r>
            <w:r w:rsidR="00B05F02" w:rsidRPr="00B05F02">
              <w:rPr>
                <w:rFonts w:ascii="Arial" w:hAnsi="Arial" w:cs="Arial"/>
                <w:b/>
                <w:color w:val="000000"/>
                <w:sz w:val="44"/>
                <w:szCs w:val="44"/>
              </w:rPr>
              <w:t>eform</w:t>
            </w:r>
            <w:r w:rsidR="000C5C2B">
              <w:rPr>
                <w:rFonts w:ascii="Arial" w:hAnsi="Arial" w:cs="Arial"/>
                <w:b/>
                <w:bCs/>
                <w:color w:val="000000"/>
                <w:sz w:val="44"/>
                <w:szCs w:val="44"/>
                <w:lang w:val="en-US"/>
              </w:rPr>
              <w:t xml:space="preserve"> </w:t>
            </w:r>
            <w:r w:rsidR="00B54B31">
              <w:rPr>
                <w:rFonts w:ascii="Arial" w:hAnsi="Arial" w:cs="Arial"/>
                <w:b/>
                <w:bCs/>
                <w:color w:val="000000"/>
                <w:sz w:val="44"/>
                <w:szCs w:val="44"/>
                <w:lang w:val="en-US"/>
              </w:rPr>
              <w:t xml:space="preserve">- </w:t>
            </w:r>
            <w:r w:rsidR="000C5C2B">
              <w:rPr>
                <w:rFonts w:ascii="Arial" w:hAnsi="Arial" w:cs="Arial"/>
                <w:b/>
                <w:bCs/>
                <w:color w:val="000000"/>
                <w:sz w:val="44"/>
                <w:szCs w:val="44"/>
                <w:lang w:val="en-US"/>
              </w:rPr>
              <w:t xml:space="preserve">Consultation Paper </w:t>
            </w:r>
          </w:p>
          <w:p w:rsidR="004054DD" w:rsidRPr="00B10A80" w:rsidRDefault="004054DD" w:rsidP="004C5D2E">
            <w:pPr>
              <w:spacing w:after="100" w:line="240" w:lineRule="auto"/>
              <w:ind w:left="709"/>
              <w:jc w:val="both"/>
              <w:rPr>
                <w:rFonts w:ascii="Arial" w:hAnsi="Arial" w:cs="Arial"/>
                <w:i/>
                <w:color w:val="000000"/>
                <w:sz w:val="32"/>
                <w:szCs w:val="32"/>
              </w:rPr>
            </w:pPr>
          </w:p>
          <w:p w:rsidR="004054DD" w:rsidRPr="00B10A80" w:rsidRDefault="004054DD" w:rsidP="004C5D2E">
            <w:pPr>
              <w:spacing w:after="100" w:line="240" w:lineRule="auto"/>
              <w:jc w:val="both"/>
              <w:rPr>
                <w:rFonts w:ascii="Arial" w:hAnsi="Arial" w:cs="Arial"/>
                <w:i/>
                <w:color w:val="000000"/>
                <w:sz w:val="32"/>
                <w:szCs w:val="32"/>
              </w:rPr>
            </w:pPr>
          </w:p>
          <w:p w:rsidR="00E141E3" w:rsidRPr="00B10A80" w:rsidRDefault="00E141E3" w:rsidP="004C5D2E">
            <w:pPr>
              <w:spacing w:after="100" w:line="240" w:lineRule="auto"/>
              <w:jc w:val="both"/>
              <w:rPr>
                <w:rFonts w:ascii="Arial" w:hAnsi="Arial" w:cs="Arial"/>
                <w:i/>
                <w:color w:val="000000"/>
                <w:sz w:val="32"/>
                <w:szCs w:val="32"/>
              </w:rPr>
            </w:pPr>
          </w:p>
          <w:p w:rsidR="00E141E3" w:rsidRPr="00B10A80" w:rsidRDefault="00E141E3" w:rsidP="004C5D2E">
            <w:pPr>
              <w:spacing w:after="100" w:line="240" w:lineRule="auto"/>
              <w:jc w:val="both"/>
              <w:rPr>
                <w:rFonts w:ascii="Arial" w:hAnsi="Arial" w:cs="Arial"/>
                <w:i/>
                <w:color w:val="000000"/>
                <w:sz w:val="32"/>
                <w:szCs w:val="32"/>
              </w:rPr>
            </w:pPr>
          </w:p>
          <w:p w:rsidR="00E141E3" w:rsidRPr="00B10A80" w:rsidRDefault="00E141E3" w:rsidP="004C5D2E">
            <w:pPr>
              <w:spacing w:after="100" w:line="240" w:lineRule="auto"/>
              <w:jc w:val="both"/>
              <w:rPr>
                <w:rFonts w:ascii="Arial" w:hAnsi="Arial" w:cs="Arial"/>
                <w:i/>
                <w:color w:val="000000"/>
                <w:sz w:val="32"/>
                <w:szCs w:val="32"/>
              </w:rPr>
            </w:pPr>
          </w:p>
          <w:p w:rsidR="00E141E3" w:rsidRPr="00B10A80" w:rsidRDefault="00E141E3" w:rsidP="004C5D2E">
            <w:pPr>
              <w:spacing w:after="100" w:line="240" w:lineRule="auto"/>
              <w:jc w:val="both"/>
              <w:rPr>
                <w:rFonts w:ascii="Arial" w:hAnsi="Arial" w:cs="Arial"/>
                <w:i/>
                <w:color w:val="000000"/>
                <w:sz w:val="32"/>
                <w:szCs w:val="32"/>
              </w:rPr>
            </w:pPr>
          </w:p>
          <w:p w:rsidR="00E141E3" w:rsidRPr="00B10A80" w:rsidRDefault="00E141E3" w:rsidP="004C5D2E">
            <w:pPr>
              <w:spacing w:after="100" w:line="240" w:lineRule="auto"/>
              <w:jc w:val="both"/>
              <w:rPr>
                <w:rFonts w:ascii="Arial" w:hAnsi="Arial" w:cs="Arial"/>
                <w:i/>
                <w:color w:val="000000"/>
                <w:sz w:val="32"/>
                <w:szCs w:val="32"/>
              </w:rPr>
            </w:pPr>
          </w:p>
          <w:p w:rsidR="009B5CE8" w:rsidRPr="00B10A80" w:rsidRDefault="009B5CE8" w:rsidP="004C5D2E">
            <w:pPr>
              <w:spacing w:after="100" w:line="240" w:lineRule="auto"/>
              <w:ind w:left="709"/>
              <w:jc w:val="both"/>
              <w:rPr>
                <w:rFonts w:ascii="Arial" w:hAnsi="Arial" w:cs="Arial"/>
                <w:i/>
                <w:color w:val="000000"/>
                <w:sz w:val="32"/>
                <w:szCs w:val="32"/>
              </w:rPr>
            </w:pPr>
            <w:r w:rsidRPr="00B10A80">
              <w:rPr>
                <w:rFonts w:ascii="Arial" w:hAnsi="Arial" w:cs="Arial"/>
                <w:i/>
                <w:color w:val="000000"/>
                <w:sz w:val="32"/>
                <w:szCs w:val="32"/>
              </w:rPr>
              <w:t xml:space="preserve">Prepared by the </w:t>
            </w:r>
            <w:bookmarkStart w:id="0" w:name="_GoBack"/>
            <w:r w:rsidRPr="00B10A80">
              <w:rPr>
                <w:rFonts w:ascii="Arial" w:hAnsi="Arial" w:cs="Arial"/>
                <w:i/>
                <w:color w:val="000000"/>
                <w:sz w:val="32"/>
                <w:szCs w:val="32"/>
              </w:rPr>
              <w:t>Real Estate Institute of Australia</w:t>
            </w:r>
          </w:p>
          <w:bookmarkEnd w:id="0"/>
          <w:p w:rsidR="009B5CE8" w:rsidRPr="00B10A80" w:rsidRDefault="009B5CE8" w:rsidP="004C5D2E">
            <w:pPr>
              <w:spacing w:after="100" w:line="240" w:lineRule="auto"/>
              <w:ind w:left="709"/>
              <w:jc w:val="both"/>
              <w:rPr>
                <w:rFonts w:ascii="Arial" w:hAnsi="Arial" w:cs="Arial"/>
                <w:i/>
                <w:color w:val="000000"/>
                <w:sz w:val="32"/>
                <w:szCs w:val="32"/>
              </w:rPr>
            </w:pPr>
            <w:r w:rsidRPr="00B10A80">
              <w:rPr>
                <w:rFonts w:ascii="Arial" w:hAnsi="Arial" w:cs="Arial"/>
                <w:i/>
                <w:color w:val="000000"/>
                <w:sz w:val="32"/>
                <w:szCs w:val="32"/>
              </w:rPr>
              <w:t xml:space="preserve"> </w:t>
            </w:r>
            <w:r w:rsidR="00B05F02">
              <w:rPr>
                <w:rFonts w:ascii="Arial" w:hAnsi="Arial" w:cs="Arial"/>
                <w:i/>
                <w:color w:val="000000"/>
                <w:sz w:val="32"/>
                <w:szCs w:val="32"/>
              </w:rPr>
              <w:t xml:space="preserve">February </w:t>
            </w:r>
            <w:r w:rsidRPr="00B10A80">
              <w:rPr>
                <w:rFonts w:ascii="Arial" w:hAnsi="Arial" w:cs="Arial"/>
                <w:i/>
                <w:color w:val="000000"/>
                <w:sz w:val="32"/>
                <w:szCs w:val="32"/>
              </w:rPr>
              <w:t xml:space="preserve"> 201</w:t>
            </w:r>
            <w:r w:rsidR="00B05F02">
              <w:rPr>
                <w:rFonts w:ascii="Arial" w:hAnsi="Arial" w:cs="Arial"/>
                <w:i/>
                <w:color w:val="000000"/>
                <w:sz w:val="32"/>
                <w:szCs w:val="32"/>
              </w:rPr>
              <w:t>2</w:t>
            </w:r>
          </w:p>
        </w:tc>
      </w:tr>
    </w:tbl>
    <w:p w:rsidR="009B5CE8" w:rsidRPr="00E050AF" w:rsidRDefault="00E050AF" w:rsidP="004C5D2E">
      <w:pPr>
        <w:jc w:val="both"/>
        <w:rPr>
          <w:sz w:val="16"/>
          <w:szCs w:val="16"/>
          <w:u w:val="single"/>
        </w:rPr>
      </w:pPr>
      <w:r>
        <w:rPr>
          <w:sz w:val="16"/>
          <w:szCs w:val="16"/>
          <w:u w:val="single"/>
        </w:rPr>
        <w:tab/>
      </w:r>
      <w:r w:rsidRPr="00293E5D">
        <w:rPr>
          <w:sz w:val="16"/>
          <w:szCs w:val="16"/>
          <w:u w:val="single"/>
        </w:rPr>
        <w:tab/>
      </w:r>
      <w:r w:rsidRPr="00293E5D">
        <w:rPr>
          <w:sz w:val="16"/>
          <w:szCs w:val="16"/>
          <w:u w:val="single"/>
        </w:rPr>
        <w:tab/>
      </w:r>
      <w:r w:rsidRPr="00293E5D">
        <w:rPr>
          <w:sz w:val="16"/>
          <w:szCs w:val="16"/>
          <w:u w:val="single"/>
        </w:rPr>
        <w:tab/>
      </w:r>
      <w:r w:rsidRPr="00293E5D">
        <w:rPr>
          <w:sz w:val="16"/>
          <w:szCs w:val="16"/>
          <w:u w:val="single"/>
        </w:rPr>
        <w:tab/>
      </w:r>
      <w:r w:rsidRPr="00293E5D">
        <w:rPr>
          <w:sz w:val="16"/>
          <w:szCs w:val="16"/>
          <w:u w:val="single"/>
        </w:rPr>
        <w:tab/>
      </w:r>
      <w:r w:rsidRPr="00293E5D">
        <w:rPr>
          <w:sz w:val="16"/>
          <w:szCs w:val="16"/>
          <w:u w:val="single"/>
        </w:rPr>
        <w:tab/>
      </w:r>
      <w:r w:rsidRPr="00293E5D">
        <w:rPr>
          <w:sz w:val="16"/>
          <w:szCs w:val="16"/>
          <w:u w:val="single"/>
        </w:rPr>
        <w:tab/>
      </w:r>
      <w:r w:rsidRPr="00293E5D">
        <w:rPr>
          <w:sz w:val="16"/>
          <w:szCs w:val="16"/>
          <w:u w:val="single"/>
        </w:rPr>
        <w:tab/>
      </w:r>
      <w:r w:rsidRPr="00293E5D">
        <w:rPr>
          <w:sz w:val="16"/>
          <w:szCs w:val="16"/>
          <w:u w:val="single"/>
        </w:rPr>
        <w:tab/>
      </w:r>
      <w:r w:rsidRPr="00293E5D">
        <w:rPr>
          <w:sz w:val="16"/>
          <w:szCs w:val="16"/>
          <w:u w:val="single"/>
        </w:rPr>
        <w:tab/>
      </w:r>
      <w:r w:rsidRPr="00293E5D">
        <w:rPr>
          <w:sz w:val="16"/>
          <w:szCs w:val="16"/>
          <w:u w:val="single"/>
        </w:rPr>
        <w:tab/>
      </w:r>
      <w:r w:rsidRPr="00293E5D">
        <w:rPr>
          <w:sz w:val="16"/>
          <w:szCs w:val="16"/>
          <w:u w:val="single"/>
        </w:rPr>
        <w:tab/>
      </w:r>
    </w:p>
    <w:p w:rsidR="00E050AF" w:rsidRDefault="00790594" w:rsidP="004C5D2E">
      <w:pPr>
        <w:jc w:val="both"/>
      </w:pPr>
      <w:r>
        <w:rPr>
          <w:rFonts w:ascii="Cambria" w:eastAsia="Times New Roman" w:hAnsi="Cambria"/>
          <w:caps/>
          <w:noProof/>
        </w:rPr>
        <w:pict>
          <v:rect id="_x0000_s1029" style="position:absolute;left:0;text-align:left;margin-left:146.4pt;margin-top:.9pt;width:329.85pt;height:66pt;z-index:251658240" stroked="f">
            <v:textbox style="mso-next-textbox:#_x0000_s1029">
              <w:txbxContent>
                <w:p w:rsidR="004C5D2E" w:rsidRPr="00B23E4A" w:rsidRDefault="004C5D2E" w:rsidP="004054DD">
                  <w:pPr>
                    <w:spacing w:after="0"/>
                    <w:jc w:val="right"/>
                    <w:rPr>
                      <w:rFonts w:ascii="Arial" w:hAnsi="Arial" w:cs="Arial"/>
                    </w:rPr>
                  </w:pPr>
                  <w:r w:rsidRPr="00B23E4A">
                    <w:rPr>
                      <w:rFonts w:ascii="Arial" w:hAnsi="Arial" w:cs="Arial"/>
                    </w:rPr>
                    <w:t>The Real Estate Institute of Australia</w:t>
                  </w:r>
                </w:p>
                <w:p w:rsidR="004C5D2E" w:rsidRPr="00B23E4A" w:rsidRDefault="004C5D2E" w:rsidP="004054DD">
                  <w:pPr>
                    <w:spacing w:after="0"/>
                    <w:jc w:val="right"/>
                    <w:rPr>
                      <w:rFonts w:ascii="Arial" w:hAnsi="Arial" w:cs="Arial"/>
                    </w:rPr>
                  </w:pPr>
                  <w:r w:rsidRPr="00B23E4A">
                    <w:rPr>
                      <w:rFonts w:ascii="Arial" w:hAnsi="Arial" w:cs="Arial"/>
                    </w:rPr>
                    <w:t xml:space="preserve">16 </w:t>
                  </w:r>
                  <w:proofErr w:type="spellStart"/>
                  <w:r w:rsidRPr="00B23E4A">
                    <w:rPr>
                      <w:rFonts w:ascii="Arial" w:hAnsi="Arial" w:cs="Arial"/>
                    </w:rPr>
                    <w:t>Thesiger</w:t>
                  </w:r>
                  <w:proofErr w:type="spellEnd"/>
                  <w:r w:rsidRPr="00B23E4A">
                    <w:rPr>
                      <w:rFonts w:ascii="Arial" w:hAnsi="Arial" w:cs="Arial"/>
                    </w:rPr>
                    <w:t xml:space="preserve"> Court   </w:t>
                  </w:r>
                  <w:proofErr w:type="gramStart"/>
                  <w:r w:rsidRPr="00B23E4A">
                    <w:rPr>
                      <w:rFonts w:ascii="Arial" w:hAnsi="Arial" w:cs="Arial"/>
                    </w:rPr>
                    <w:t>I  PO</w:t>
                  </w:r>
                  <w:proofErr w:type="gramEnd"/>
                  <w:r w:rsidRPr="00B23E4A">
                    <w:rPr>
                      <w:rFonts w:ascii="Arial" w:hAnsi="Arial" w:cs="Arial"/>
                    </w:rPr>
                    <w:t xml:space="preserve"> Box 234, Deakin ACT 2600</w:t>
                  </w:r>
                </w:p>
                <w:p w:rsidR="004C5D2E" w:rsidRPr="00B23E4A" w:rsidRDefault="004C5D2E" w:rsidP="004054DD">
                  <w:pPr>
                    <w:spacing w:after="0"/>
                    <w:jc w:val="right"/>
                    <w:rPr>
                      <w:rFonts w:ascii="Arial" w:hAnsi="Arial" w:cs="Arial"/>
                    </w:rPr>
                  </w:pPr>
                  <w:proofErr w:type="gramStart"/>
                  <w:r w:rsidRPr="00B23E4A">
                    <w:rPr>
                      <w:rFonts w:ascii="Arial" w:hAnsi="Arial" w:cs="Arial"/>
                    </w:rPr>
                    <w:t>Phone  02</w:t>
                  </w:r>
                  <w:proofErr w:type="gramEnd"/>
                  <w:r w:rsidRPr="00B23E4A">
                    <w:rPr>
                      <w:rFonts w:ascii="Arial" w:hAnsi="Arial" w:cs="Arial"/>
                    </w:rPr>
                    <w:t xml:space="preserve"> 6282 4277  I  Fax  02 6285 2444</w:t>
                  </w:r>
                </w:p>
                <w:p w:rsidR="004C5D2E" w:rsidRPr="00B23E4A" w:rsidRDefault="004C5D2E" w:rsidP="004054DD">
                  <w:pPr>
                    <w:spacing w:after="0"/>
                    <w:jc w:val="right"/>
                    <w:rPr>
                      <w:rFonts w:ascii="Arial" w:hAnsi="Arial" w:cs="Arial"/>
                    </w:rPr>
                  </w:pPr>
                  <w:proofErr w:type="gramStart"/>
                  <w:r w:rsidRPr="00B23E4A">
                    <w:rPr>
                      <w:rFonts w:ascii="Arial" w:hAnsi="Arial" w:cs="Arial"/>
                    </w:rPr>
                    <w:t>www.reia.com.au  I</w:t>
                  </w:r>
                  <w:proofErr w:type="gramEnd"/>
                  <w:r w:rsidRPr="00B23E4A">
                    <w:rPr>
                      <w:rFonts w:ascii="Arial" w:hAnsi="Arial" w:cs="Arial"/>
                    </w:rPr>
                    <w:t xml:space="preserve">  reia@reia.com.au</w:t>
                  </w:r>
                </w:p>
                <w:p w:rsidR="004C5D2E" w:rsidRPr="00A6208A" w:rsidRDefault="004C5D2E" w:rsidP="004054DD">
                  <w:pPr>
                    <w:spacing w:after="0"/>
                    <w:jc w:val="right"/>
                    <w:rPr>
                      <w:rFonts w:ascii="Arial" w:hAnsi="Arial" w:cs="Arial"/>
                      <w:sz w:val="18"/>
                      <w:szCs w:val="18"/>
                    </w:rPr>
                  </w:pPr>
                  <w:r w:rsidRPr="00A6208A">
                    <w:rPr>
                      <w:rFonts w:ascii="Arial" w:hAnsi="Arial" w:cs="Arial"/>
                      <w:sz w:val="18"/>
                      <w:szCs w:val="18"/>
                    </w:rPr>
                    <w:t xml:space="preserve"> </w:t>
                  </w:r>
                </w:p>
                <w:p w:rsidR="004C5D2E" w:rsidRPr="00A6208A" w:rsidRDefault="004C5D2E" w:rsidP="004054DD">
                  <w:pPr>
                    <w:jc w:val="right"/>
                    <w:rPr>
                      <w:rFonts w:ascii="Arial" w:hAnsi="Arial" w:cs="Arial"/>
                      <w:sz w:val="20"/>
                      <w:szCs w:val="20"/>
                    </w:rPr>
                  </w:pPr>
                </w:p>
              </w:txbxContent>
            </v:textbox>
          </v:rect>
        </w:pict>
      </w:r>
    </w:p>
    <w:tbl>
      <w:tblPr>
        <w:tblpPr w:leftFromText="187" w:rightFromText="187" w:horzAnchor="margin" w:tblpXSpec="center" w:tblpYSpec="bottom"/>
        <w:tblW w:w="5000" w:type="pct"/>
        <w:tblLook w:val="04A0" w:firstRow="1" w:lastRow="0" w:firstColumn="1" w:lastColumn="0" w:noHBand="0" w:noVBand="1"/>
      </w:tblPr>
      <w:tblGrid>
        <w:gridCol w:w="10001"/>
      </w:tblGrid>
      <w:tr w:rsidR="009B5CE8" w:rsidRPr="00B10A80" w:rsidTr="004054DD">
        <w:trPr>
          <w:trHeight w:val="349"/>
        </w:trPr>
        <w:tc>
          <w:tcPr>
            <w:tcW w:w="5000" w:type="pct"/>
          </w:tcPr>
          <w:p w:rsidR="009B5CE8" w:rsidRPr="00B10A80" w:rsidRDefault="009B5CE8" w:rsidP="004C5D2E">
            <w:pPr>
              <w:pStyle w:val="NoSpacing"/>
              <w:jc w:val="both"/>
            </w:pPr>
          </w:p>
        </w:tc>
      </w:tr>
    </w:tbl>
    <w:p w:rsidR="009B5CE8" w:rsidRDefault="009B5CE8" w:rsidP="004C5D2E">
      <w:pPr>
        <w:jc w:val="both"/>
      </w:pPr>
    </w:p>
    <w:p w:rsidR="00293E5D" w:rsidRPr="009724F7" w:rsidRDefault="00790594" w:rsidP="004C5D2E">
      <w:pPr>
        <w:jc w:val="both"/>
        <w:rPr>
          <w:rFonts w:ascii="Arial" w:hAnsi="Arial" w:cs="Arial"/>
        </w:rPr>
      </w:pPr>
      <w:r>
        <w:rPr>
          <w:rFonts w:ascii="Cambria" w:hAnsi="Cambria"/>
          <w:caps/>
          <w:noProof/>
          <w:lang w:val="en-US"/>
        </w:rPr>
        <w:lastRenderedPageBreak/>
        <w:pict>
          <v:shape id="Picture 2" o:spid="_x0000_i1026" type="#_x0000_t75" alt="REIA_logo_jpeg.jpg" style="width:112.5pt;height:76.5pt;visibility:visible">
            <v:imagedata r:id="rId9" o:title="REIA_logo_jpeg"/>
          </v:shape>
        </w:pict>
      </w:r>
    </w:p>
    <w:p w:rsidR="00293E5D" w:rsidRPr="00293E5D" w:rsidRDefault="00790594" w:rsidP="004C5D2E">
      <w:pPr>
        <w:jc w:val="both"/>
        <w:rPr>
          <w:sz w:val="16"/>
          <w:szCs w:val="16"/>
          <w:u w:val="single"/>
        </w:rPr>
      </w:pPr>
      <w:r>
        <w:rPr>
          <w:noProof/>
        </w:rPr>
        <w:pict>
          <v:rect id="_x0000_s1027" style="position:absolute;left:0;text-align:left;margin-left:232.15pt;margin-top:-75.3pt;width:248.75pt;height:1in;z-index:251657216" stroked="f">
            <v:textbox style="mso-next-textbox:#_x0000_s1027">
              <w:txbxContent>
                <w:p w:rsidR="004C5D2E" w:rsidRDefault="004C5D2E" w:rsidP="00293E5D">
                  <w:pPr>
                    <w:spacing w:before="100" w:after="100"/>
                    <w:jc w:val="right"/>
                    <w:rPr>
                      <w:rFonts w:ascii="Arial" w:hAnsi="Arial" w:cs="Arial"/>
                      <w:sz w:val="16"/>
                      <w:szCs w:val="16"/>
                    </w:rPr>
                  </w:pPr>
                  <w:r>
                    <w:rPr>
                      <w:rFonts w:ascii="Arial" w:hAnsi="Arial" w:cs="Arial"/>
                      <w:sz w:val="16"/>
                      <w:szCs w:val="16"/>
                    </w:rPr>
                    <w:t>Real Estate Institute of Australia</w:t>
                  </w:r>
                </w:p>
                <w:p w:rsidR="004C5D2E" w:rsidRDefault="004C5D2E" w:rsidP="00293E5D">
                  <w:pPr>
                    <w:spacing w:before="100" w:after="100"/>
                    <w:jc w:val="right"/>
                    <w:rPr>
                      <w:rFonts w:ascii="Arial" w:hAnsi="Arial" w:cs="Arial"/>
                      <w:sz w:val="16"/>
                      <w:szCs w:val="16"/>
                    </w:rPr>
                  </w:pPr>
                  <w:r>
                    <w:rPr>
                      <w:rFonts w:ascii="Arial" w:hAnsi="Arial" w:cs="Arial"/>
                      <w:sz w:val="16"/>
                      <w:szCs w:val="16"/>
                    </w:rPr>
                    <w:t xml:space="preserve">16 </w:t>
                  </w:r>
                  <w:proofErr w:type="spellStart"/>
                  <w:r>
                    <w:rPr>
                      <w:rFonts w:ascii="Arial" w:hAnsi="Arial" w:cs="Arial"/>
                      <w:sz w:val="16"/>
                      <w:szCs w:val="16"/>
                    </w:rPr>
                    <w:t>Thesiger</w:t>
                  </w:r>
                  <w:proofErr w:type="spellEnd"/>
                  <w:r>
                    <w:rPr>
                      <w:rFonts w:ascii="Arial" w:hAnsi="Arial" w:cs="Arial"/>
                      <w:sz w:val="16"/>
                      <w:szCs w:val="16"/>
                    </w:rPr>
                    <w:t xml:space="preserve"> </w:t>
                  </w:r>
                  <w:proofErr w:type="gramStart"/>
                  <w:r>
                    <w:rPr>
                      <w:rFonts w:ascii="Arial" w:hAnsi="Arial" w:cs="Arial"/>
                      <w:sz w:val="16"/>
                      <w:szCs w:val="16"/>
                    </w:rPr>
                    <w:t>Court  I</w:t>
                  </w:r>
                  <w:proofErr w:type="gramEnd"/>
                  <w:r>
                    <w:rPr>
                      <w:rFonts w:ascii="Arial" w:hAnsi="Arial" w:cs="Arial"/>
                      <w:sz w:val="16"/>
                      <w:szCs w:val="16"/>
                    </w:rPr>
                    <w:t xml:space="preserve">  PO Box 234, Deakin ACT 2600</w:t>
                  </w:r>
                </w:p>
                <w:p w:rsidR="004C5D2E" w:rsidRDefault="004C5D2E" w:rsidP="00293E5D">
                  <w:pPr>
                    <w:spacing w:before="100" w:after="100"/>
                    <w:jc w:val="right"/>
                    <w:rPr>
                      <w:rFonts w:ascii="Arial" w:hAnsi="Arial" w:cs="Arial"/>
                      <w:sz w:val="16"/>
                      <w:szCs w:val="16"/>
                    </w:rPr>
                  </w:pPr>
                  <w:r>
                    <w:rPr>
                      <w:rFonts w:ascii="Arial" w:hAnsi="Arial" w:cs="Arial"/>
                      <w:sz w:val="16"/>
                      <w:szCs w:val="16"/>
                    </w:rPr>
                    <w:t xml:space="preserve">Phone (02) 6282 </w:t>
                  </w:r>
                  <w:proofErr w:type="gramStart"/>
                  <w:r>
                    <w:rPr>
                      <w:rFonts w:ascii="Arial" w:hAnsi="Arial" w:cs="Arial"/>
                      <w:sz w:val="16"/>
                      <w:szCs w:val="16"/>
                    </w:rPr>
                    <w:t>4277  I</w:t>
                  </w:r>
                  <w:proofErr w:type="gramEnd"/>
                  <w:r>
                    <w:rPr>
                      <w:rFonts w:ascii="Arial" w:hAnsi="Arial" w:cs="Arial"/>
                      <w:sz w:val="16"/>
                      <w:szCs w:val="16"/>
                    </w:rPr>
                    <w:t xml:space="preserve">  Fax (02) 6285 2444</w:t>
                  </w:r>
                </w:p>
                <w:p w:rsidR="004C5D2E" w:rsidRDefault="004C5D2E" w:rsidP="00293E5D">
                  <w:pPr>
                    <w:spacing w:before="100" w:after="100"/>
                    <w:jc w:val="right"/>
                    <w:rPr>
                      <w:rFonts w:ascii="Arial" w:hAnsi="Arial" w:cs="Arial"/>
                      <w:sz w:val="16"/>
                      <w:szCs w:val="16"/>
                    </w:rPr>
                  </w:pPr>
                  <w:r>
                    <w:rPr>
                      <w:rFonts w:ascii="Arial" w:hAnsi="Arial" w:cs="Arial"/>
                      <w:sz w:val="16"/>
                      <w:szCs w:val="16"/>
                    </w:rPr>
                    <w:t>ABN: 81008652597</w:t>
                  </w:r>
                </w:p>
                <w:p w:rsidR="004C5D2E" w:rsidRPr="00293E5D" w:rsidRDefault="004C5D2E" w:rsidP="00293E5D">
                  <w:pPr>
                    <w:spacing w:before="100" w:after="100"/>
                    <w:jc w:val="right"/>
                    <w:rPr>
                      <w:rFonts w:ascii="Arial" w:hAnsi="Arial" w:cs="Arial"/>
                      <w:sz w:val="16"/>
                      <w:szCs w:val="16"/>
                    </w:rPr>
                  </w:pPr>
                </w:p>
              </w:txbxContent>
            </v:textbox>
          </v:rect>
        </w:pict>
      </w:r>
      <w:r w:rsidR="00293E5D">
        <w:tab/>
      </w:r>
      <w:r w:rsidR="00293E5D" w:rsidRPr="00293E5D">
        <w:rPr>
          <w:sz w:val="16"/>
          <w:szCs w:val="16"/>
          <w:u w:val="single"/>
        </w:rPr>
        <w:tab/>
      </w:r>
      <w:r w:rsidR="00293E5D" w:rsidRPr="00293E5D">
        <w:rPr>
          <w:sz w:val="16"/>
          <w:szCs w:val="16"/>
          <w:u w:val="single"/>
        </w:rPr>
        <w:tab/>
      </w:r>
      <w:r w:rsidR="00293E5D" w:rsidRPr="00293E5D">
        <w:rPr>
          <w:sz w:val="16"/>
          <w:szCs w:val="16"/>
          <w:u w:val="single"/>
        </w:rPr>
        <w:tab/>
      </w:r>
      <w:r w:rsidR="00293E5D" w:rsidRPr="00293E5D">
        <w:rPr>
          <w:sz w:val="16"/>
          <w:szCs w:val="16"/>
          <w:u w:val="single"/>
        </w:rPr>
        <w:tab/>
      </w:r>
      <w:r w:rsidR="00293E5D" w:rsidRPr="00293E5D">
        <w:rPr>
          <w:sz w:val="16"/>
          <w:szCs w:val="16"/>
          <w:u w:val="single"/>
        </w:rPr>
        <w:tab/>
      </w:r>
      <w:r w:rsidR="00293E5D" w:rsidRPr="00293E5D">
        <w:rPr>
          <w:sz w:val="16"/>
          <w:szCs w:val="16"/>
          <w:u w:val="single"/>
        </w:rPr>
        <w:tab/>
      </w:r>
      <w:r w:rsidR="00293E5D" w:rsidRPr="00293E5D">
        <w:rPr>
          <w:sz w:val="16"/>
          <w:szCs w:val="16"/>
          <w:u w:val="single"/>
        </w:rPr>
        <w:tab/>
      </w:r>
      <w:r w:rsidR="00293E5D" w:rsidRPr="00293E5D">
        <w:rPr>
          <w:sz w:val="16"/>
          <w:szCs w:val="16"/>
          <w:u w:val="single"/>
        </w:rPr>
        <w:tab/>
      </w:r>
      <w:r w:rsidR="00293E5D" w:rsidRPr="00293E5D">
        <w:rPr>
          <w:sz w:val="16"/>
          <w:szCs w:val="16"/>
          <w:u w:val="single"/>
        </w:rPr>
        <w:tab/>
      </w:r>
      <w:r w:rsidR="00293E5D" w:rsidRPr="00293E5D">
        <w:rPr>
          <w:sz w:val="16"/>
          <w:szCs w:val="16"/>
          <w:u w:val="single"/>
        </w:rPr>
        <w:tab/>
      </w:r>
      <w:r w:rsidR="00293E5D" w:rsidRPr="00293E5D">
        <w:rPr>
          <w:sz w:val="16"/>
          <w:szCs w:val="16"/>
          <w:u w:val="single"/>
        </w:rPr>
        <w:tab/>
      </w:r>
      <w:r w:rsidR="00293E5D" w:rsidRPr="00293E5D">
        <w:rPr>
          <w:sz w:val="16"/>
          <w:szCs w:val="16"/>
          <w:u w:val="single"/>
        </w:rPr>
        <w:tab/>
      </w:r>
    </w:p>
    <w:p w:rsidR="00293E5D" w:rsidRPr="00293E5D" w:rsidRDefault="00293E5D" w:rsidP="004C5D2E">
      <w:pPr>
        <w:spacing w:after="0"/>
        <w:jc w:val="both"/>
        <w:rPr>
          <w:rFonts w:ascii="Arial" w:hAnsi="Arial" w:cs="Arial"/>
        </w:rPr>
      </w:pPr>
      <w:r>
        <w:tab/>
      </w:r>
    </w:p>
    <w:p w:rsidR="00B05F02" w:rsidRDefault="00B05F02" w:rsidP="004C5D2E">
      <w:pPr>
        <w:spacing w:after="0" w:line="240" w:lineRule="auto"/>
        <w:ind w:firstLine="720"/>
        <w:jc w:val="both"/>
        <w:rPr>
          <w:rFonts w:ascii="Arial" w:hAnsi="Arial" w:cs="Arial"/>
          <w:b/>
          <w:bCs/>
          <w:sz w:val="28"/>
          <w:szCs w:val="32"/>
        </w:rPr>
      </w:pPr>
      <w:r w:rsidRPr="00B05F02">
        <w:rPr>
          <w:rFonts w:ascii="Arial" w:hAnsi="Arial" w:cs="Arial"/>
          <w:b/>
          <w:bCs/>
          <w:sz w:val="28"/>
          <w:szCs w:val="32"/>
        </w:rPr>
        <w:t>MODERNISING THE TAXATION OF TRUST INCOME -</w:t>
      </w:r>
      <w:r w:rsidR="004C5D2E">
        <w:rPr>
          <w:rFonts w:ascii="Arial" w:hAnsi="Arial" w:cs="Arial"/>
          <w:b/>
          <w:bCs/>
          <w:sz w:val="28"/>
          <w:szCs w:val="32"/>
        </w:rPr>
        <w:t xml:space="preserve"> </w:t>
      </w:r>
      <w:r w:rsidRPr="00B05F02">
        <w:rPr>
          <w:rFonts w:ascii="Arial" w:hAnsi="Arial" w:cs="Arial"/>
          <w:b/>
          <w:bCs/>
          <w:sz w:val="28"/>
          <w:szCs w:val="32"/>
        </w:rPr>
        <w:t xml:space="preserve">OPTIONS FOR </w:t>
      </w:r>
    </w:p>
    <w:p w:rsidR="00003E7F" w:rsidRDefault="00B05F02" w:rsidP="004C5D2E">
      <w:pPr>
        <w:spacing w:after="0" w:line="240" w:lineRule="auto"/>
        <w:ind w:firstLine="720"/>
        <w:jc w:val="both"/>
        <w:rPr>
          <w:rFonts w:ascii="Arial" w:hAnsi="Arial" w:cs="Arial"/>
          <w:b/>
          <w:bCs/>
          <w:sz w:val="32"/>
          <w:szCs w:val="32"/>
          <w:lang w:val="en-US"/>
        </w:rPr>
      </w:pPr>
      <w:r w:rsidRPr="00B05F02">
        <w:rPr>
          <w:rFonts w:ascii="Arial" w:hAnsi="Arial" w:cs="Arial"/>
          <w:b/>
          <w:bCs/>
          <w:sz w:val="28"/>
          <w:szCs w:val="32"/>
        </w:rPr>
        <w:t>REFORM</w:t>
      </w:r>
      <w:r w:rsidRPr="00B05F02">
        <w:rPr>
          <w:rFonts w:ascii="Arial" w:hAnsi="Arial" w:cs="Arial"/>
          <w:b/>
          <w:bCs/>
          <w:sz w:val="28"/>
          <w:szCs w:val="32"/>
          <w:lang w:val="en-US"/>
        </w:rPr>
        <w:t xml:space="preserve"> CONSULTATION </w:t>
      </w:r>
      <w:r w:rsidR="00656833" w:rsidRPr="00656833">
        <w:rPr>
          <w:rFonts w:ascii="Arial" w:hAnsi="Arial" w:cs="Arial"/>
          <w:b/>
          <w:bCs/>
          <w:sz w:val="28"/>
          <w:szCs w:val="32"/>
          <w:lang w:val="en-US"/>
        </w:rPr>
        <w:t>PAPER</w:t>
      </w:r>
    </w:p>
    <w:p w:rsidR="00DB1F78" w:rsidRDefault="00DB1F78" w:rsidP="004C5D2E">
      <w:pPr>
        <w:spacing w:after="0"/>
        <w:ind w:firstLine="720"/>
        <w:jc w:val="both"/>
        <w:rPr>
          <w:rFonts w:ascii="Arial" w:hAnsi="Arial" w:cs="Arial"/>
          <w:b/>
        </w:rPr>
      </w:pPr>
    </w:p>
    <w:p w:rsidR="00F35639" w:rsidRDefault="00F35639" w:rsidP="004C5D2E">
      <w:pPr>
        <w:spacing w:after="0"/>
        <w:ind w:firstLine="720"/>
        <w:jc w:val="both"/>
        <w:rPr>
          <w:rFonts w:ascii="Arial" w:hAnsi="Arial" w:cs="Arial"/>
          <w:b/>
        </w:rPr>
      </w:pPr>
    </w:p>
    <w:p w:rsidR="00DB1F78" w:rsidRPr="00A155F8" w:rsidRDefault="0081509B" w:rsidP="004C5D2E">
      <w:pPr>
        <w:spacing w:after="0"/>
        <w:ind w:firstLine="720"/>
        <w:jc w:val="both"/>
        <w:rPr>
          <w:rFonts w:ascii="Arial" w:hAnsi="Arial" w:cs="Arial"/>
          <w:b/>
        </w:rPr>
      </w:pPr>
      <w:r>
        <w:rPr>
          <w:rFonts w:ascii="Arial" w:hAnsi="Arial" w:cs="Arial"/>
          <w:b/>
        </w:rPr>
        <w:t>BACKGROUND</w:t>
      </w:r>
    </w:p>
    <w:p w:rsidR="00DB1F78" w:rsidRPr="00A155F8" w:rsidRDefault="00DB1F78" w:rsidP="004C5D2E">
      <w:pPr>
        <w:spacing w:after="0"/>
        <w:jc w:val="both"/>
        <w:rPr>
          <w:rFonts w:ascii="Arial" w:hAnsi="Arial" w:cs="Arial"/>
          <w:b/>
        </w:rPr>
      </w:pPr>
    </w:p>
    <w:p w:rsidR="00F35639" w:rsidRPr="00F35639" w:rsidRDefault="009D212B" w:rsidP="004C5D2E">
      <w:pPr>
        <w:spacing w:after="0" w:line="240" w:lineRule="auto"/>
        <w:ind w:left="720"/>
        <w:jc w:val="both"/>
        <w:rPr>
          <w:rFonts w:ascii="Arial" w:hAnsi="Arial" w:cs="Arial"/>
          <w:bCs/>
          <w:lang w:val="en-US"/>
        </w:rPr>
      </w:pPr>
      <w:r w:rsidRPr="00FC0859">
        <w:rPr>
          <w:rFonts w:ascii="Arial" w:hAnsi="Arial" w:cs="Arial"/>
        </w:rPr>
        <w:t xml:space="preserve">The </w:t>
      </w:r>
      <w:r w:rsidR="007A4411">
        <w:rPr>
          <w:rFonts w:ascii="Arial" w:hAnsi="Arial" w:cs="Arial"/>
        </w:rPr>
        <w:t xml:space="preserve">Treasury is </w:t>
      </w:r>
      <w:r w:rsidR="00FC0859" w:rsidRPr="00FC0859">
        <w:rPr>
          <w:rFonts w:ascii="Arial" w:hAnsi="Arial" w:cs="Arial"/>
        </w:rPr>
        <w:t xml:space="preserve">seeking submissions </w:t>
      </w:r>
      <w:r w:rsidR="00F35639">
        <w:rPr>
          <w:rFonts w:ascii="Arial" w:hAnsi="Arial" w:cs="Arial"/>
        </w:rPr>
        <w:t xml:space="preserve">on </w:t>
      </w:r>
      <w:r w:rsidR="007A4411">
        <w:rPr>
          <w:rFonts w:ascii="Arial" w:hAnsi="Arial" w:cs="Arial"/>
        </w:rPr>
        <w:t xml:space="preserve">its Consultation Paper on </w:t>
      </w:r>
      <w:r w:rsidR="00B54B31">
        <w:rPr>
          <w:rFonts w:ascii="Arial" w:hAnsi="Arial" w:cs="Arial"/>
        </w:rPr>
        <w:t>Modernising the Taxation of Trust Incomes</w:t>
      </w:r>
      <w:r w:rsidR="00031393">
        <w:rPr>
          <w:rFonts w:ascii="Arial" w:hAnsi="Arial" w:cs="Arial"/>
        </w:rPr>
        <w:t xml:space="preserve"> – Options for Reform.</w:t>
      </w:r>
    </w:p>
    <w:p w:rsidR="00F35639" w:rsidRDefault="00F35639" w:rsidP="004C5D2E">
      <w:pPr>
        <w:spacing w:after="0" w:line="240" w:lineRule="auto"/>
        <w:ind w:left="720"/>
        <w:jc w:val="both"/>
        <w:rPr>
          <w:rFonts w:ascii="Arial" w:hAnsi="Arial" w:cs="Arial"/>
        </w:rPr>
      </w:pPr>
    </w:p>
    <w:p w:rsidR="000A6906" w:rsidRDefault="00A11351" w:rsidP="004C5D2E">
      <w:pPr>
        <w:spacing w:after="0" w:line="240" w:lineRule="auto"/>
        <w:ind w:left="720"/>
        <w:jc w:val="both"/>
        <w:rPr>
          <w:rFonts w:ascii="Arial" w:hAnsi="Arial" w:cs="Arial"/>
        </w:rPr>
      </w:pPr>
      <w:r>
        <w:rPr>
          <w:rFonts w:ascii="Arial" w:hAnsi="Arial" w:cs="Arial"/>
        </w:rPr>
        <w:t xml:space="preserve">REIA </w:t>
      </w:r>
      <w:r w:rsidR="000A6906" w:rsidRPr="00A11351">
        <w:rPr>
          <w:rFonts w:ascii="Arial" w:hAnsi="Arial" w:cs="Arial"/>
        </w:rPr>
        <w:t xml:space="preserve">represents </w:t>
      </w:r>
      <w:r w:rsidR="00EB1FE1" w:rsidRPr="00A11351">
        <w:rPr>
          <w:rFonts w:ascii="Arial" w:hAnsi="Arial" w:cs="Arial"/>
        </w:rPr>
        <w:t>around 80% of real estate agencies</w:t>
      </w:r>
      <w:r>
        <w:rPr>
          <w:rFonts w:ascii="Arial" w:hAnsi="Arial" w:cs="Arial"/>
        </w:rPr>
        <w:t xml:space="preserve"> and is </w:t>
      </w:r>
      <w:r w:rsidRPr="00A11351">
        <w:rPr>
          <w:rFonts w:ascii="Arial" w:hAnsi="Arial" w:cs="Arial"/>
        </w:rPr>
        <w:t>an important element of the broader property and construction sector</w:t>
      </w:r>
      <w:r>
        <w:rPr>
          <w:rFonts w:ascii="Arial" w:hAnsi="Arial" w:cs="Arial"/>
        </w:rPr>
        <w:t>,</w:t>
      </w:r>
      <w:r w:rsidRPr="00A11351">
        <w:rPr>
          <w:rFonts w:ascii="Arial" w:hAnsi="Arial" w:cs="Arial"/>
        </w:rPr>
        <w:t xml:space="preserve"> which makes a significant contribution to Australia’s social climate and economic development.</w:t>
      </w:r>
      <w:r w:rsidR="00EB1FE1" w:rsidRPr="00A11351">
        <w:rPr>
          <w:rFonts w:ascii="Arial" w:hAnsi="Arial" w:cs="Arial"/>
        </w:rPr>
        <w:t xml:space="preserve"> The </w:t>
      </w:r>
      <w:r w:rsidR="008437CC">
        <w:rPr>
          <w:rFonts w:ascii="Arial" w:hAnsi="Arial" w:cs="Arial"/>
        </w:rPr>
        <w:t>r</w:t>
      </w:r>
      <w:r w:rsidR="00EB1FE1" w:rsidRPr="00A11351">
        <w:rPr>
          <w:rFonts w:ascii="Arial" w:hAnsi="Arial" w:cs="Arial"/>
        </w:rPr>
        <w:t xml:space="preserve">eal estate </w:t>
      </w:r>
      <w:r w:rsidR="008437CC">
        <w:rPr>
          <w:rFonts w:ascii="Arial" w:hAnsi="Arial" w:cs="Arial"/>
        </w:rPr>
        <w:t>profession</w:t>
      </w:r>
      <w:r w:rsidR="00EB1FE1" w:rsidRPr="00A11351">
        <w:rPr>
          <w:rFonts w:ascii="Arial" w:hAnsi="Arial" w:cs="Arial"/>
        </w:rPr>
        <w:t xml:space="preserve"> employs approximately 77,000 persons </w:t>
      </w:r>
      <w:r>
        <w:rPr>
          <w:rFonts w:ascii="Arial" w:hAnsi="Arial" w:cs="Arial"/>
        </w:rPr>
        <w:t>and</w:t>
      </w:r>
      <w:r w:rsidR="00EB1FE1" w:rsidRPr="00A11351">
        <w:rPr>
          <w:rFonts w:ascii="Arial" w:hAnsi="Arial" w:cs="Arial"/>
        </w:rPr>
        <w:t xml:space="preserve"> contributes $300 billion annually in economic activity.</w:t>
      </w:r>
    </w:p>
    <w:p w:rsidR="00031393" w:rsidRDefault="00031393" w:rsidP="004C5D2E">
      <w:pPr>
        <w:spacing w:after="0" w:line="240" w:lineRule="auto"/>
        <w:ind w:left="720"/>
        <w:jc w:val="both"/>
        <w:rPr>
          <w:rFonts w:ascii="Arial" w:hAnsi="Arial" w:cs="Arial"/>
        </w:rPr>
      </w:pPr>
    </w:p>
    <w:p w:rsidR="00031393" w:rsidRDefault="00031393" w:rsidP="004C5D2E">
      <w:pPr>
        <w:pStyle w:val="ListParagraph"/>
        <w:spacing w:after="0" w:line="240" w:lineRule="auto"/>
        <w:jc w:val="both"/>
        <w:rPr>
          <w:rFonts w:ascii="Arial" w:hAnsi="Arial" w:cs="Arial"/>
        </w:rPr>
      </w:pPr>
      <w:r w:rsidRPr="00AF31C9">
        <w:rPr>
          <w:rFonts w:ascii="Arial" w:hAnsi="Arial" w:cs="Arial"/>
        </w:rPr>
        <w:t>The REIA’s members are the State and Territory Real Estate Institutes, through which around 80% of real estate agencies are collectively represented</w:t>
      </w:r>
      <w:r>
        <w:rPr>
          <w:rFonts w:ascii="Arial" w:hAnsi="Arial" w:cs="Arial"/>
        </w:rPr>
        <w:t>.</w:t>
      </w:r>
    </w:p>
    <w:p w:rsidR="00031393" w:rsidRDefault="00031393" w:rsidP="004C5D2E">
      <w:pPr>
        <w:pStyle w:val="ListParagraph"/>
        <w:spacing w:after="0" w:line="240" w:lineRule="auto"/>
        <w:jc w:val="both"/>
        <w:rPr>
          <w:rFonts w:ascii="Arial" w:hAnsi="Arial" w:cs="Arial"/>
        </w:rPr>
      </w:pPr>
    </w:p>
    <w:p w:rsidR="00031393" w:rsidRDefault="00031393" w:rsidP="004C5D2E">
      <w:pPr>
        <w:spacing w:after="0" w:line="240" w:lineRule="auto"/>
        <w:ind w:left="720"/>
        <w:jc w:val="both"/>
        <w:rPr>
          <w:rFonts w:ascii="Arial" w:hAnsi="Arial" w:cs="Arial"/>
        </w:rPr>
      </w:pPr>
      <w:r w:rsidRPr="0076439D">
        <w:rPr>
          <w:rFonts w:ascii="Arial" w:hAnsi="Arial" w:cs="Arial"/>
          <w:lang w:val="en-US"/>
        </w:rPr>
        <w:t xml:space="preserve">Importantly, </w:t>
      </w:r>
      <w:r>
        <w:rPr>
          <w:rFonts w:ascii="Arial" w:hAnsi="Arial" w:cs="Arial"/>
          <w:lang w:val="en-US"/>
        </w:rPr>
        <w:t>REIA represents an integral element of the small business sector. A</w:t>
      </w:r>
      <w:r w:rsidRPr="0076439D">
        <w:rPr>
          <w:rFonts w:ascii="Arial" w:hAnsi="Arial" w:cs="Arial"/>
          <w:lang w:val="en-US"/>
        </w:rPr>
        <w:t>ccording to the ABS statistics, 73% of real estate agency businesses employ fewer than 10 employees (over 50% of this portion employed fewer than 5 employees). Only 0.6% of businesses employ 50 or more persons</w:t>
      </w:r>
    </w:p>
    <w:p w:rsidR="00A11351" w:rsidRPr="00A11351" w:rsidRDefault="00A11351" w:rsidP="004C5D2E">
      <w:pPr>
        <w:spacing w:after="0" w:line="240" w:lineRule="auto"/>
        <w:ind w:left="720"/>
        <w:jc w:val="both"/>
        <w:rPr>
          <w:rFonts w:ascii="Arial" w:hAnsi="Arial" w:cs="Arial"/>
          <w:color w:val="FF0000"/>
        </w:rPr>
      </w:pPr>
    </w:p>
    <w:p w:rsidR="00CD0EB4" w:rsidRDefault="00CD0EB4" w:rsidP="004C5D2E">
      <w:pPr>
        <w:spacing w:after="0" w:line="240" w:lineRule="auto"/>
        <w:ind w:left="720"/>
        <w:jc w:val="both"/>
        <w:rPr>
          <w:rFonts w:ascii="Arial" w:hAnsi="Arial" w:cs="Arial"/>
        </w:rPr>
      </w:pPr>
      <w:r w:rsidRPr="00A11351">
        <w:rPr>
          <w:rFonts w:ascii="Arial" w:hAnsi="Arial" w:cs="Arial"/>
        </w:rPr>
        <w:t>REIA has the commitment of providing and assisting research and well-informed advice to the Federal Government, Opposition, professional members of the real estate sector, media and the public on a range of issues affecting the property market</w:t>
      </w:r>
      <w:r w:rsidR="00A11351">
        <w:rPr>
          <w:rFonts w:ascii="Arial" w:hAnsi="Arial" w:cs="Arial"/>
        </w:rPr>
        <w:t>.</w:t>
      </w:r>
      <w:r w:rsidRPr="00A11351">
        <w:rPr>
          <w:rFonts w:ascii="Arial" w:hAnsi="Arial" w:cs="Arial"/>
        </w:rPr>
        <w:t xml:space="preserve"> </w:t>
      </w:r>
    </w:p>
    <w:p w:rsidR="00031393" w:rsidRDefault="00031393" w:rsidP="004C5D2E">
      <w:pPr>
        <w:spacing w:after="0" w:line="240" w:lineRule="auto"/>
        <w:ind w:left="720"/>
        <w:jc w:val="both"/>
        <w:rPr>
          <w:rFonts w:ascii="Arial" w:hAnsi="Arial" w:cs="Arial"/>
        </w:rPr>
      </w:pPr>
    </w:p>
    <w:p w:rsidR="00031393" w:rsidRDefault="00031393" w:rsidP="004C5D2E">
      <w:pPr>
        <w:spacing w:after="0" w:line="240" w:lineRule="auto"/>
        <w:ind w:left="720"/>
        <w:jc w:val="both"/>
        <w:rPr>
          <w:rFonts w:ascii="Arial" w:hAnsi="Arial" w:cs="Arial"/>
          <w:lang w:bidi="en-US"/>
        </w:rPr>
      </w:pPr>
      <w:r>
        <w:rPr>
          <w:rFonts w:ascii="Arial" w:hAnsi="Arial" w:cs="Arial"/>
        </w:rPr>
        <w:t xml:space="preserve">The </w:t>
      </w:r>
      <w:r w:rsidRPr="000B40BE">
        <w:rPr>
          <w:rFonts w:ascii="Arial" w:hAnsi="Arial" w:cs="Arial"/>
        </w:rPr>
        <w:t xml:space="preserve">REIA </w:t>
      </w:r>
      <w:r w:rsidRPr="00B05F02">
        <w:rPr>
          <w:rFonts w:ascii="Arial" w:hAnsi="Arial" w:cs="Arial"/>
          <w:lang w:bidi="en-US"/>
        </w:rPr>
        <w:t xml:space="preserve">welcomes the opportunity </w:t>
      </w:r>
      <w:r>
        <w:rPr>
          <w:rFonts w:ascii="Arial" w:hAnsi="Arial" w:cs="Arial"/>
          <w:lang w:bidi="en-US"/>
        </w:rPr>
        <w:t xml:space="preserve">to </w:t>
      </w:r>
      <w:r w:rsidRPr="00B05F02">
        <w:rPr>
          <w:rFonts w:ascii="Arial" w:hAnsi="Arial" w:cs="Arial"/>
          <w:lang w:bidi="en-US"/>
        </w:rPr>
        <w:t>provid</w:t>
      </w:r>
      <w:r>
        <w:rPr>
          <w:rFonts w:ascii="Arial" w:hAnsi="Arial" w:cs="Arial"/>
          <w:lang w:bidi="en-US"/>
        </w:rPr>
        <w:t>e</w:t>
      </w:r>
      <w:r w:rsidRPr="00B05F02">
        <w:rPr>
          <w:rFonts w:ascii="Arial" w:hAnsi="Arial" w:cs="Arial"/>
          <w:lang w:bidi="en-US"/>
        </w:rPr>
        <w:t xml:space="preserve"> a submission to Treasury on the </w:t>
      </w:r>
      <w:r>
        <w:rPr>
          <w:rFonts w:ascii="Arial" w:hAnsi="Arial" w:cs="Arial"/>
          <w:lang w:bidi="en-US"/>
        </w:rPr>
        <w:t>C</w:t>
      </w:r>
      <w:r w:rsidRPr="00B05F02">
        <w:rPr>
          <w:rFonts w:ascii="Arial" w:hAnsi="Arial" w:cs="Arial"/>
          <w:lang w:bidi="en-US"/>
        </w:rPr>
        <w:t xml:space="preserve">onsultation </w:t>
      </w:r>
      <w:r>
        <w:rPr>
          <w:rFonts w:ascii="Arial" w:hAnsi="Arial" w:cs="Arial"/>
          <w:lang w:bidi="en-US"/>
        </w:rPr>
        <w:t>P</w:t>
      </w:r>
      <w:r w:rsidRPr="00B05F02">
        <w:rPr>
          <w:rFonts w:ascii="Arial" w:hAnsi="Arial" w:cs="Arial"/>
          <w:lang w:bidi="en-US"/>
        </w:rPr>
        <w:t>aper</w:t>
      </w:r>
      <w:r>
        <w:rPr>
          <w:rFonts w:ascii="Arial" w:hAnsi="Arial" w:cs="Arial"/>
          <w:lang w:bidi="en-US"/>
        </w:rPr>
        <w:t>.</w:t>
      </w:r>
    </w:p>
    <w:p w:rsidR="00031393" w:rsidRDefault="00031393" w:rsidP="004C5D2E">
      <w:pPr>
        <w:spacing w:after="0" w:line="240" w:lineRule="auto"/>
        <w:ind w:left="720"/>
        <w:jc w:val="both"/>
        <w:rPr>
          <w:rFonts w:ascii="Arial" w:hAnsi="Arial" w:cs="Arial"/>
          <w:lang w:bidi="en-US"/>
        </w:rPr>
      </w:pPr>
    </w:p>
    <w:p w:rsidR="00DB1F78" w:rsidRDefault="0081509B" w:rsidP="004C5D2E">
      <w:pPr>
        <w:spacing w:after="0"/>
        <w:ind w:firstLine="720"/>
        <w:jc w:val="both"/>
        <w:rPr>
          <w:rFonts w:ascii="Arial" w:hAnsi="Arial" w:cs="Arial"/>
          <w:b/>
          <w:sz w:val="24"/>
          <w:szCs w:val="24"/>
        </w:rPr>
      </w:pPr>
      <w:r w:rsidRPr="000B40BE">
        <w:rPr>
          <w:rFonts w:ascii="Arial" w:hAnsi="Arial" w:cs="Arial"/>
          <w:b/>
          <w:sz w:val="24"/>
          <w:szCs w:val="24"/>
        </w:rPr>
        <w:t>ISSUES</w:t>
      </w:r>
    </w:p>
    <w:p w:rsidR="002A6472" w:rsidRPr="000B40BE" w:rsidRDefault="002A6472" w:rsidP="004C5D2E">
      <w:pPr>
        <w:spacing w:after="0"/>
        <w:ind w:firstLine="720"/>
        <w:jc w:val="both"/>
        <w:rPr>
          <w:rFonts w:ascii="Arial" w:hAnsi="Arial" w:cs="Arial"/>
          <w:b/>
          <w:sz w:val="24"/>
          <w:szCs w:val="24"/>
        </w:rPr>
      </w:pPr>
    </w:p>
    <w:p w:rsidR="00031393" w:rsidRPr="00B54B31" w:rsidRDefault="0023347D" w:rsidP="004C5D2E">
      <w:pPr>
        <w:spacing w:after="0" w:line="240" w:lineRule="auto"/>
        <w:ind w:left="720"/>
        <w:jc w:val="both"/>
        <w:rPr>
          <w:rFonts w:ascii="Arial" w:hAnsi="Arial" w:cs="Arial"/>
        </w:rPr>
      </w:pPr>
      <w:r>
        <w:rPr>
          <w:rFonts w:ascii="Arial" w:hAnsi="Arial" w:cs="Arial"/>
          <w:lang w:val="en"/>
        </w:rPr>
        <w:t xml:space="preserve">Trusts </w:t>
      </w:r>
      <w:r w:rsidR="00031393" w:rsidRPr="00B54B31">
        <w:rPr>
          <w:rFonts w:ascii="Arial" w:hAnsi="Arial" w:cs="Arial"/>
          <w:lang w:val="en"/>
        </w:rPr>
        <w:t xml:space="preserve">are </w:t>
      </w:r>
      <w:r>
        <w:rPr>
          <w:rFonts w:ascii="Arial" w:hAnsi="Arial" w:cs="Arial"/>
          <w:lang w:val="en"/>
        </w:rPr>
        <w:t xml:space="preserve">a </w:t>
      </w:r>
      <w:r w:rsidR="00031393" w:rsidRPr="00B54B31">
        <w:rPr>
          <w:rFonts w:ascii="Arial" w:hAnsi="Arial" w:cs="Arial"/>
          <w:lang w:val="en"/>
        </w:rPr>
        <w:t>common</w:t>
      </w:r>
      <w:r>
        <w:rPr>
          <w:rFonts w:ascii="Arial" w:hAnsi="Arial" w:cs="Arial"/>
          <w:lang w:val="en"/>
        </w:rPr>
        <w:t xml:space="preserve"> structure </w:t>
      </w:r>
      <w:r w:rsidR="00031393" w:rsidRPr="00B54B31">
        <w:rPr>
          <w:rFonts w:ascii="Arial" w:hAnsi="Arial" w:cs="Arial"/>
          <w:lang w:val="en"/>
        </w:rPr>
        <w:t xml:space="preserve">used by small business to </w:t>
      </w:r>
      <w:r>
        <w:rPr>
          <w:rFonts w:ascii="Arial" w:hAnsi="Arial" w:cs="Arial"/>
          <w:lang w:val="en"/>
        </w:rPr>
        <w:t xml:space="preserve">conduct their normal </w:t>
      </w:r>
      <w:r w:rsidR="00031393" w:rsidRPr="00B54B31">
        <w:rPr>
          <w:rFonts w:ascii="Arial" w:hAnsi="Arial" w:cs="Arial"/>
          <w:lang w:val="en"/>
        </w:rPr>
        <w:t xml:space="preserve">business </w:t>
      </w:r>
      <w:r>
        <w:rPr>
          <w:rFonts w:ascii="Arial" w:hAnsi="Arial" w:cs="Arial"/>
          <w:lang w:val="en"/>
        </w:rPr>
        <w:t xml:space="preserve">operations </w:t>
      </w:r>
      <w:r w:rsidR="00031393" w:rsidRPr="00B54B31">
        <w:rPr>
          <w:rFonts w:ascii="Arial" w:hAnsi="Arial" w:cs="Arial"/>
          <w:lang w:val="en"/>
        </w:rPr>
        <w:t xml:space="preserve">or for investment purposes or a combination of both. Trusts </w:t>
      </w:r>
      <w:r>
        <w:rPr>
          <w:rFonts w:ascii="Arial" w:hAnsi="Arial" w:cs="Arial"/>
          <w:lang w:val="en"/>
        </w:rPr>
        <w:t xml:space="preserve">have </w:t>
      </w:r>
      <w:r w:rsidR="00031393" w:rsidRPr="00B54B31">
        <w:rPr>
          <w:rFonts w:ascii="Arial" w:hAnsi="Arial" w:cs="Arial"/>
          <w:lang w:val="en"/>
        </w:rPr>
        <w:t xml:space="preserve">become a common structure for small business to house their trading business. </w:t>
      </w:r>
      <w:r>
        <w:rPr>
          <w:rFonts w:ascii="Arial" w:hAnsi="Arial" w:cs="Arial"/>
          <w:lang w:val="en"/>
        </w:rPr>
        <w:t xml:space="preserve">Through their </w:t>
      </w:r>
      <w:r w:rsidRPr="0023347D">
        <w:rPr>
          <w:rFonts w:ascii="Arial" w:hAnsi="Arial" w:cs="Arial"/>
          <w:lang w:val="en"/>
        </w:rPr>
        <w:t xml:space="preserve">asset protection and succession planning advantages </w:t>
      </w:r>
      <w:r>
        <w:rPr>
          <w:rFonts w:ascii="Arial" w:hAnsi="Arial" w:cs="Arial"/>
          <w:lang w:val="en"/>
        </w:rPr>
        <w:t>t</w:t>
      </w:r>
      <w:r w:rsidRPr="0023347D">
        <w:rPr>
          <w:rFonts w:ascii="Arial" w:hAnsi="Arial" w:cs="Arial"/>
          <w:lang w:val="en"/>
        </w:rPr>
        <w:t>rust</w:t>
      </w:r>
      <w:r>
        <w:rPr>
          <w:rFonts w:ascii="Arial" w:hAnsi="Arial" w:cs="Arial"/>
          <w:lang w:val="en"/>
        </w:rPr>
        <w:t xml:space="preserve">s are also </w:t>
      </w:r>
      <w:r w:rsidRPr="0023347D">
        <w:rPr>
          <w:rFonts w:ascii="Arial" w:hAnsi="Arial" w:cs="Arial"/>
          <w:lang w:val="en"/>
        </w:rPr>
        <w:t xml:space="preserve">used as a </w:t>
      </w:r>
      <w:r>
        <w:rPr>
          <w:rFonts w:ascii="Arial" w:hAnsi="Arial" w:cs="Arial"/>
          <w:lang w:val="en"/>
        </w:rPr>
        <w:t xml:space="preserve">way of holding assets. </w:t>
      </w:r>
      <w:r w:rsidR="00031393" w:rsidRPr="00B54B31">
        <w:rPr>
          <w:rFonts w:ascii="Arial" w:hAnsi="Arial" w:cs="Arial"/>
          <w:lang w:val="en"/>
        </w:rPr>
        <w:t xml:space="preserve">The outcomes of the review will therefore have implications for the </w:t>
      </w:r>
      <w:r>
        <w:rPr>
          <w:rFonts w:ascii="Arial" w:hAnsi="Arial" w:cs="Arial"/>
          <w:lang w:val="en"/>
        </w:rPr>
        <w:t>nearly 700,000</w:t>
      </w:r>
      <w:r w:rsidR="00031393" w:rsidRPr="00B54B31">
        <w:rPr>
          <w:rFonts w:ascii="Arial" w:hAnsi="Arial" w:cs="Arial"/>
          <w:lang w:val="en"/>
        </w:rPr>
        <w:t xml:space="preserve"> trust</w:t>
      </w:r>
      <w:r>
        <w:rPr>
          <w:rFonts w:ascii="Arial" w:hAnsi="Arial" w:cs="Arial"/>
          <w:lang w:val="en"/>
        </w:rPr>
        <w:t>s</w:t>
      </w:r>
      <w:r w:rsidR="00031393" w:rsidRPr="00B54B31">
        <w:rPr>
          <w:rFonts w:ascii="Arial" w:hAnsi="Arial" w:cs="Arial"/>
          <w:lang w:val="en"/>
        </w:rPr>
        <w:t xml:space="preserve"> already in existence</w:t>
      </w:r>
      <w:r>
        <w:rPr>
          <w:rFonts w:ascii="Arial" w:hAnsi="Arial" w:cs="Arial"/>
          <w:lang w:val="en"/>
        </w:rPr>
        <w:t>, many of which are held by small businesses</w:t>
      </w:r>
    </w:p>
    <w:p w:rsidR="00031393" w:rsidRDefault="00031393" w:rsidP="004C5D2E">
      <w:pPr>
        <w:spacing w:after="0" w:line="240" w:lineRule="auto"/>
        <w:ind w:left="720"/>
        <w:jc w:val="both"/>
        <w:rPr>
          <w:rFonts w:ascii="Arial" w:hAnsi="Arial" w:cs="Arial"/>
          <w:lang w:bidi="en-US"/>
        </w:rPr>
      </w:pPr>
    </w:p>
    <w:p w:rsidR="00631869" w:rsidRDefault="00631869" w:rsidP="004C5D2E">
      <w:pPr>
        <w:spacing w:after="0" w:line="240" w:lineRule="auto"/>
        <w:ind w:left="720"/>
        <w:jc w:val="both"/>
        <w:rPr>
          <w:rFonts w:ascii="Arial" w:hAnsi="Arial" w:cs="Arial"/>
          <w:lang w:val="en"/>
        </w:rPr>
      </w:pPr>
      <w:r>
        <w:rPr>
          <w:rFonts w:ascii="Arial" w:hAnsi="Arial" w:cs="Arial"/>
          <w:lang w:val="en"/>
        </w:rPr>
        <w:t xml:space="preserve">The REIA notes and welcomes </w:t>
      </w:r>
      <w:r w:rsidRPr="00B54B31">
        <w:rPr>
          <w:rFonts w:ascii="Arial" w:hAnsi="Arial" w:cs="Arial"/>
          <w:lang w:val="en"/>
        </w:rPr>
        <w:t xml:space="preserve">the opening comments in the </w:t>
      </w:r>
      <w:r>
        <w:rPr>
          <w:rFonts w:ascii="Arial" w:hAnsi="Arial" w:cs="Arial"/>
          <w:lang w:val="en"/>
        </w:rPr>
        <w:t>C</w:t>
      </w:r>
      <w:r w:rsidRPr="00B54B31">
        <w:rPr>
          <w:rFonts w:ascii="Arial" w:hAnsi="Arial" w:cs="Arial"/>
          <w:lang w:val="en"/>
        </w:rPr>
        <w:t xml:space="preserve">onsultation </w:t>
      </w:r>
      <w:r>
        <w:rPr>
          <w:rFonts w:ascii="Arial" w:hAnsi="Arial" w:cs="Arial"/>
          <w:lang w:val="en"/>
        </w:rPr>
        <w:t>P</w:t>
      </w:r>
      <w:r w:rsidRPr="00B54B31">
        <w:rPr>
          <w:rFonts w:ascii="Arial" w:hAnsi="Arial" w:cs="Arial"/>
          <w:lang w:val="en"/>
        </w:rPr>
        <w:t xml:space="preserve">aper that the review is not intended to be a </w:t>
      </w:r>
      <w:proofErr w:type="spellStart"/>
      <w:r w:rsidRPr="00B54B31">
        <w:rPr>
          <w:rFonts w:ascii="Arial" w:hAnsi="Arial" w:cs="Arial"/>
          <w:lang w:val="en"/>
        </w:rPr>
        <w:t>crack down</w:t>
      </w:r>
      <w:proofErr w:type="spellEnd"/>
      <w:r w:rsidRPr="00B54B31">
        <w:rPr>
          <w:rFonts w:ascii="Arial" w:hAnsi="Arial" w:cs="Arial"/>
          <w:lang w:val="en"/>
        </w:rPr>
        <w:t xml:space="preserve"> on the use of trusts. </w:t>
      </w:r>
      <w:r>
        <w:rPr>
          <w:rFonts w:ascii="Arial" w:hAnsi="Arial" w:cs="Arial"/>
          <w:lang w:val="en"/>
        </w:rPr>
        <w:t xml:space="preserve">Similarly </w:t>
      </w:r>
      <w:r w:rsidRPr="00B54B31">
        <w:rPr>
          <w:rFonts w:ascii="Arial" w:hAnsi="Arial" w:cs="Arial"/>
          <w:lang w:val="en"/>
        </w:rPr>
        <w:t xml:space="preserve">reassuring is the </w:t>
      </w:r>
      <w:r w:rsidRPr="00B54B31">
        <w:rPr>
          <w:rFonts w:ascii="Arial" w:hAnsi="Arial" w:cs="Arial"/>
          <w:lang w:val="en"/>
        </w:rPr>
        <w:lastRenderedPageBreak/>
        <w:t xml:space="preserve">acknowledgement that trusts are a legitimate structure through which taxpayers are able to conduct their personal and business affairs. </w:t>
      </w:r>
    </w:p>
    <w:p w:rsidR="002A6472" w:rsidRDefault="002A6472" w:rsidP="004C5D2E">
      <w:pPr>
        <w:spacing w:after="0" w:line="240" w:lineRule="auto"/>
        <w:ind w:left="720"/>
        <w:jc w:val="both"/>
        <w:rPr>
          <w:rFonts w:ascii="Arial" w:hAnsi="Arial" w:cs="Arial"/>
          <w:lang w:val="en"/>
        </w:rPr>
      </w:pPr>
    </w:p>
    <w:p w:rsidR="00631869" w:rsidRDefault="00631869" w:rsidP="004C5D2E">
      <w:pPr>
        <w:spacing w:after="0" w:line="240" w:lineRule="auto"/>
        <w:ind w:left="720"/>
        <w:jc w:val="both"/>
        <w:rPr>
          <w:rFonts w:ascii="Arial" w:hAnsi="Arial" w:cs="Arial"/>
          <w:lang w:val="en"/>
        </w:rPr>
      </w:pPr>
      <w:r w:rsidRPr="00B54B31">
        <w:rPr>
          <w:rFonts w:ascii="Arial" w:hAnsi="Arial" w:cs="Arial"/>
          <w:lang w:val="en"/>
        </w:rPr>
        <w:t xml:space="preserve">The interaction of trust law and the income tax treatment of trusts has been an ongoing issue for some time </w:t>
      </w:r>
      <w:r>
        <w:rPr>
          <w:rFonts w:ascii="Arial" w:hAnsi="Arial" w:cs="Arial"/>
          <w:lang w:val="en"/>
        </w:rPr>
        <w:t>now.</w:t>
      </w:r>
      <w:r w:rsidRPr="00B54B31">
        <w:rPr>
          <w:rFonts w:ascii="Arial" w:hAnsi="Arial" w:cs="Arial"/>
          <w:lang w:val="en"/>
        </w:rPr>
        <w:t xml:space="preserve"> Whilst </w:t>
      </w:r>
      <w:r w:rsidR="00A066ED" w:rsidRPr="00B54B31">
        <w:rPr>
          <w:rFonts w:ascii="Arial" w:hAnsi="Arial" w:cs="Arial"/>
          <w:lang w:val="en"/>
        </w:rPr>
        <w:t xml:space="preserve">Division 6 of </w:t>
      </w:r>
      <w:r w:rsidR="00A066ED">
        <w:rPr>
          <w:rFonts w:ascii="Arial" w:hAnsi="Arial" w:cs="Arial"/>
          <w:lang w:val="en"/>
        </w:rPr>
        <w:t xml:space="preserve">the </w:t>
      </w:r>
      <w:r w:rsidR="00A066ED" w:rsidRPr="00B54B31">
        <w:rPr>
          <w:rFonts w:ascii="Arial" w:hAnsi="Arial" w:cs="Arial"/>
          <w:lang w:val="en"/>
        </w:rPr>
        <w:t xml:space="preserve">Income Tax Assessment Act 1936 </w:t>
      </w:r>
      <w:r w:rsidRPr="00B54B31">
        <w:rPr>
          <w:rFonts w:ascii="Arial" w:hAnsi="Arial" w:cs="Arial"/>
          <w:lang w:val="en"/>
        </w:rPr>
        <w:t xml:space="preserve">has been in place for some time, recent Court decisions have created much uncertainty in its application requiring legislative clarification. The need for reform </w:t>
      </w:r>
      <w:r w:rsidR="00A066ED">
        <w:rPr>
          <w:rFonts w:ascii="Arial" w:hAnsi="Arial" w:cs="Arial"/>
          <w:lang w:val="en"/>
        </w:rPr>
        <w:t xml:space="preserve">was also highlighted </w:t>
      </w:r>
      <w:r w:rsidRPr="00B54B31">
        <w:rPr>
          <w:rFonts w:ascii="Arial" w:hAnsi="Arial" w:cs="Arial"/>
          <w:lang w:val="en"/>
        </w:rPr>
        <w:t>by Australia’s Future Tax System Review (Henry Review)</w:t>
      </w:r>
      <w:r w:rsidR="00A066ED">
        <w:rPr>
          <w:rFonts w:ascii="Arial" w:hAnsi="Arial" w:cs="Arial"/>
          <w:lang w:val="en"/>
        </w:rPr>
        <w:t xml:space="preserve"> which </w:t>
      </w:r>
      <w:r w:rsidRPr="00B54B31">
        <w:rPr>
          <w:rFonts w:ascii="Arial" w:hAnsi="Arial" w:cs="Arial"/>
          <w:lang w:val="en"/>
        </w:rPr>
        <w:t>recommended that the trust rules be updated and rewritten to reduce complexity and uncertainty around their application</w:t>
      </w:r>
    </w:p>
    <w:p w:rsidR="00631869" w:rsidRDefault="00631869" w:rsidP="004C5D2E">
      <w:pPr>
        <w:spacing w:after="0" w:line="240" w:lineRule="auto"/>
        <w:ind w:left="720"/>
        <w:jc w:val="both"/>
        <w:rPr>
          <w:rFonts w:ascii="Arial" w:hAnsi="Arial" w:cs="Arial"/>
          <w:lang w:val="en"/>
        </w:rPr>
      </w:pPr>
    </w:p>
    <w:p w:rsidR="002A6472" w:rsidRDefault="00A066ED" w:rsidP="004C5D2E">
      <w:pPr>
        <w:spacing w:after="0" w:line="240" w:lineRule="auto"/>
        <w:ind w:left="720"/>
        <w:jc w:val="both"/>
        <w:rPr>
          <w:rFonts w:ascii="Arial" w:hAnsi="Arial" w:cs="Arial"/>
          <w:lang w:bidi="en-US"/>
        </w:rPr>
      </w:pPr>
      <w:r>
        <w:rPr>
          <w:rFonts w:ascii="Arial" w:hAnsi="Arial" w:cs="Arial"/>
          <w:lang w:val="en"/>
        </w:rPr>
        <w:t xml:space="preserve">This complexity and uncertainty has </w:t>
      </w:r>
      <w:r w:rsidR="00631869" w:rsidRPr="00B54B31">
        <w:rPr>
          <w:rFonts w:ascii="Arial" w:hAnsi="Arial" w:cs="Arial"/>
          <w:lang w:val="en"/>
        </w:rPr>
        <w:t>had a detrimental impact on compliance costs for th</w:t>
      </w:r>
      <w:r>
        <w:rPr>
          <w:rFonts w:ascii="Arial" w:hAnsi="Arial" w:cs="Arial"/>
          <w:lang w:val="en"/>
        </w:rPr>
        <w:t xml:space="preserve">ose small businesses and other </w:t>
      </w:r>
      <w:r w:rsidR="00631869" w:rsidRPr="00B54B31">
        <w:rPr>
          <w:rFonts w:ascii="Arial" w:hAnsi="Arial" w:cs="Arial"/>
          <w:lang w:val="en"/>
        </w:rPr>
        <w:t xml:space="preserve">taxpayers that use </w:t>
      </w:r>
      <w:r>
        <w:rPr>
          <w:rFonts w:ascii="Arial" w:hAnsi="Arial" w:cs="Arial"/>
          <w:lang w:val="en"/>
        </w:rPr>
        <w:t xml:space="preserve">a </w:t>
      </w:r>
      <w:r w:rsidR="00631869" w:rsidRPr="00B54B31">
        <w:rPr>
          <w:rFonts w:ascii="Arial" w:hAnsi="Arial" w:cs="Arial"/>
          <w:lang w:val="en"/>
        </w:rPr>
        <w:t xml:space="preserve">trust structure. </w:t>
      </w:r>
      <w:r w:rsidR="002A6472" w:rsidRPr="00B05F02">
        <w:rPr>
          <w:rFonts w:ascii="Arial" w:hAnsi="Arial" w:cs="Arial"/>
          <w:lang w:bidi="en-US"/>
        </w:rPr>
        <w:t>Current taxation treatment of trusts is long overdue for change.</w:t>
      </w:r>
    </w:p>
    <w:p w:rsidR="002A6472" w:rsidRPr="00B05F02" w:rsidRDefault="002A6472" w:rsidP="004C5D2E">
      <w:pPr>
        <w:spacing w:after="0" w:line="240" w:lineRule="auto"/>
        <w:ind w:left="720"/>
        <w:jc w:val="both"/>
        <w:rPr>
          <w:rFonts w:ascii="Arial" w:hAnsi="Arial" w:cs="Arial"/>
          <w:lang w:bidi="en-US"/>
        </w:rPr>
      </w:pPr>
    </w:p>
    <w:p w:rsidR="00631869" w:rsidRPr="002A6472" w:rsidRDefault="00A066ED" w:rsidP="004C5D2E">
      <w:pPr>
        <w:spacing w:after="0" w:line="240" w:lineRule="auto"/>
        <w:ind w:left="720"/>
        <w:jc w:val="both"/>
        <w:rPr>
          <w:rFonts w:ascii="Arial" w:hAnsi="Arial" w:cs="Arial"/>
          <w:i/>
          <w:lang w:bidi="en-US"/>
        </w:rPr>
      </w:pPr>
      <w:r w:rsidRPr="002A6472">
        <w:rPr>
          <w:rFonts w:ascii="Arial" w:hAnsi="Arial" w:cs="Arial"/>
          <w:i/>
          <w:lang w:val="en"/>
        </w:rPr>
        <w:t xml:space="preserve">The REIA thus urges the current review to recommend changes that </w:t>
      </w:r>
      <w:r w:rsidR="00631869" w:rsidRPr="002A6472">
        <w:rPr>
          <w:rFonts w:ascii="Arial" w:hAnsi="Arial" w:cs="Arial"/>
          <w:i/>
          <w:lang w:val="en"/>
        </w:rPr>
        <w:t>increase certainty and reduc</w:t>
      </w:r>
      <w:r w:rsidR="002A6472" w:rsidRPr="002A6472">
        <w:rPr>
          <w:rFonts w:ascii="Arial" w:hAnsi="Arial" w:cs="Arial"/>
          <w:i/>
          <w:lang w:val="en"/>
        </w:rPr>
        <w:t>e</w:t>
      </w:r>
      <w:r w:rsidR="00631869" w:rsidRPr="002A6472">
        <w:rPr>
          <w:rFonts w:ascii="Arial" w:hAnsi="Arial" w:cs="Arial"/>
          <w:i/>
          <w:lang w:val="en"/>
        </w:rPr>
        <w:t xml:space="preserve"> compliance costs</w:t>
      </w:r>
      <w:r w:rsidR="002A6472" w:rsidRPr="002A6472">
        <w:rPr>
          <w:rFonts w:ascii="Arial" w:hAnsi="Arial" w:cs="Arial"/>
          <w:i/>
          <w:lang w:val="en"/>
        </w:rPr>
        <w:t>.</w:t>
      </w:r>
      <w:r w:rsidR="00631869" w:rsidRPr="002A6472">
        <w:rPr>
          <w:rFonts w:ascii="Arial" w:hAnsi="Arial" w:cs="Arial"/>
          <w:i/>
          <w:lang w:val="en"/>
        </w:rPr>
        <w:t xml:space="preserve"> </w:t>
      </w:r>
    </w:p>
    <w:p w:rsidR="00631869" w:rsidRPr="002A6472" w:rsidRDefault="00631869" w:rsidP="004C5D2E">
      <w:pPr>
        <w:spacing w:after="0" w:line="240" w:lineRule="auto"/>
        <w:ind w:left="720"/>
        <w:jc w:val="both"/>
        <w:rPr>
          <w:rFonts w:ascii="Arial" w:hAnsi="Arial" w:cs="Arial"/>
          <w:i/>
          <w:lang w:bidi="en-US"/>
        </w:rPr>
      </w:pPr>
    </w:p>
    <w:p w:rsidR="00B54B31" w:rsidRDefault="002A6472" w:rsidP="004C5D2E">
      <w:pPr>
        <w:spacing w:after="0" w:line="240" w:lineRule="auto"/>
        <w:ind w:left="720"/>
        <w:jc w:val="both"/>
        <w:rPr>
          <w:rFonts w:ascii="Arial" w:hAnsi="Arial" w:cs="Arial"/>
          <w:lang w:val="en"/>
        </w:rPr>
      </w:pPr>
      <w:r>
        <w:rPr>
          <w:rFonts w:ascii="Arial" w:hAnsi="Arial" w:cs="Arial"/>
          <w:lang w:val="en"/>
        </w:rPr>
        <w:t xml:space="preserve">It is also </w:t>
      </w:r>
      <w:r w:rsidR="00B54B31" w:rsidRPr="00B54B31">
        <w:rPr>
          <w:rFonts w:ascii="Arial" w:hAnsi="Arial" w:cs="Arial"/>
          <w:lang w:val="en"/>
        </w:rPr>
        <w:t>importan</w:t>
      </w:r>
      <w:r>
        <w:rPr>
          <w:rFonts w:ascii="Arial" w:hAnsi="Arial" w:cs="Arial"/>
          <w:lang w:val="en"/>
        </w:rPr>
        <w:t xml:space="preserve">t </w:t>
      </w:r>
      <w:r w:rsidR="00B54B31" w:rsidRPr="00B54B31">
        <w:rPr>
          <w:rFonts w:ascii="Arial" w:hAnsi="Arial" w:cs="Arial"/>
          <w:lang w:val="en"/>
        </w:rPr>
        <w:t>to ensure that the existing attributes of trust</w:t>
      </w:r>
      <w:r>
        <w:rPr>
          <w:rFonts w:ascii="Arial" w:hAnsi="Arial" w:cs="Arial"/>
          <w:lang w:val="en"/>
        </w:rPr>
        <w:t>s</w:t>
      </w:r>
      <w:r w:rsidR="00B54B31" w:rsidRPr="00B54B31">
        <w:rPr>
          <w:rFonts w:ascii="Arial" w:hAnsi="Arial" w:cs="Arial"/>
          <w:lang w:val="en"/>
        </w:rPr>
        <w:t xml:space="preserve"> remain intact and are protected for existing trusts</w:t>
      </w:r>
      <w:r w:rsidR="00F6396D">
        <w:rPr>
          <w:rFonts w:ascii="Arial" w:hAnsi="Arial" w:cs="Arial"/>
          <w:lang w:val="en"/>
        </w:rPr>
        <w:t>.</w:t>
      </w:r>
    </w:p>
    <w:p w:rsidR="00F6396D" w:rsidRDefault="00F6396D" w:rsidP="004C5D2E">
      <w:pPr>
        <w:spacing w:after="0" w:line="240" w:lineRule="auto"/>
        <w:ind w:left="720"/>
        <w:jc w:val="both"/>
        <w:rPr>
          <w:rFonts w:ascii="Arial" w:hAnsi="Arial" w:cs="Arial"/>
          <w:lang w:val="en"/>
        </w:rPr>
      </w:pPr>
    </w:p>
    <w:p w:rsidR="00F6396D" w:rsidRPr="002A6472" w:rsidRDefault="00F6396D" w:rsidP="004C5D2E">
      <w:pPr>
        <w:spacing w:after="0" w:line="240" w:lineRule="auto"/>
        <w:ind w:left="720"/>
        <w:jc w:val="both"/>
        <w:rPr>
          <w:rFonts w:ascii="Arial" w:hAnsi="Arial" w:cs="Arial"/>
          <w:i/>
          <w:lang w:bidi="en-US"/>
        </w:rPr>
      </w:pPr>
      <w:r w:rsidRPr="002A6472">
        <w:rPr>
          <w:rFonts w:ascii="Arial" w:hAnsi="Arial" w:cs="Arial"/>
          <w:i/>
          <w:lang w:val="en"/>
        </w:rPr>
        <w:t xml:space="preserve">The REIA thus urges the current review to recommend </w:t>
      </w:r>
      <w:r>
        <w:rPr>
          <w:rFonts w:ascii="Arial" w:hAnsi="Arial" w:cs="Arial"/>
          <w:i/>
          <w:lang w:val="en"/>
        </w:rPr>
        <w:t xml:space="preserve">that any </w:t>
      </w:r>
      <w:r w:rsidRPr="002A6472">
        <w:rPr>
          <w:rFonts w:ascii="Arial" w:hAnsi="Arial" w:cs="Arial"/>
          <w:i/>
          <w:lang w:val="en"/>
        </w:rPr>
        <w:t xml:space="preserve">changes </w:t>
      </w:r>
      <w:r>
        <w:rPr>
          <w:rFonts w:ascii="Arial" w:hAnsi="Arial" w:cs="Arial"/>
          <w:i/>
          <w:lang w:val="en"/>
        </w:rPr>
        <w:t>leave existing trusts intact.</w:t>
      </w:r>
    </w:p>
    <w:p w:rsidR="00F6396D" w:rsidRPr="002A6472" w:rsidRDefault="00F6396D" w:rsidP="004C5D2E">
      <w:pPr>
        <w:spacing w:after="0" w:line="240" w:lineRule="auto"/>
        <w:ind w:left="720"/>
        <w:jc w:val="both"/>
        <w:rPr>
          <w:rFonts w:ascii="Arial" w:hAnsi="Arial" w:cs="Arial"/>
          <w:i/>
          <w:lang w:bidi="en-US"/>
        </w:rPr>
      </w:pPr>
    </w:p>
    <w:p w:rsidR="00F6396D" w:rsidRPr="00B54B31" w:rsidRDefault="00C6545C" w:rsidP="004C5D2E">
      <w:pPr>
        <w:spacing w:after="0" w:line="240" w:lineRule="auto"/>
        <w:ind w:left="720"/>
        <w:jc w:val="both"/>
        <w:rPr>
          <w:rFonts w:ascii="Arial" w:hAnsi="Arial" w:cs="Arial"/>
          <w:lang w:val="en"/>
        </w:rPr>
      </w:pPr>
      <w:r>
        <w:rPr>
          <w:rFonts w:ascii="Arial" w:hAnsi="Arial" w:cs="Arial"/>
          <w:lang w:val="en"/>
        </w:rPr>
        <w:t>Following the introduction of any changes to trust legislation t</w:t>
      </w:r>
      <w:r w:rsidRPr="00B54B31">
        <w:rPr>
          <w:rFonts w:ascii="Arial" w:hAnsi="Arial" w:cs="Arial"/>
          <w:lang w:val="en"/>
        </w:rPr>
        <w:t>axpayers who have already established trust structures may w</w:t>
      </w:r>
      <w:r>
        <w:rPr>
          <w:rFonts w:ascii="Arial" w:hAnsi="Arial" w:cs="Arial"/>
          <w:lang w:val="en"/>
        </w:rPr>
        <w:t xml:space="preserve">ish </w:t>
      </w:r>
      <w:r w:rsidRPr="00B54B31">
        <w:rPr>
          <w:rFonts w:ascii="Arial" w:hAnsi="Arial" w:cs="Arial"/>
          <w:lang w:val="en"/>
        </w:rPr>
        <w:t>to move to a different structure if the changes result in adverse outcomes.</w:t>
      </w:r>
      <w:r>
        <w:rPr>
          <w:rFonts w:ascii="Arial" w:hAnsi="Arial" w:cs="Arial"/>
          <w:lang w:val="en"/>
        </w:rPr>
        <w:t xml:space="preserve"> T</w:t>
      </w:r>
      <w:r w:rsidR="00F6396D" w:rsidRPr="00B54B31">
        <w:rPr>
          <w:rFonts w:ascii="Arial" w:hAnsi="Arial" w:cs="Arial"/>
          <w:lang w:val="en"/>
        </w:rPr>
        <w:t xml:space="preserve">here should be </w:t>
      </w:r>
      <w:r>
        <w:rPr>
          <w:rFonts w:ascii="Arial" w:hAnsi="Arial" w:cs="Arial"/>
          <w:lang w:val="en"/>
        </w:rPr>
        <w:t xml:space="preserve">provision </w:t>
      </w:r>
      <w:r w:rsidR="00F6396D" w:rsidRPr="00B54B31">
        <w:rPr>
          <w:rFonts w:ascii="Arial" w:hAnsi="Arial" w:cs="Arial"/>
          <w:lang w:val="en"/>
        </w:rPr>
        <w:t xml:space="preserve">for transitional </w:t>
      </w:r>
      <w:r>
        <w:rPr>
          <w:rFonts w:ascii="Arial" w:hAnsi="Arial" w:cs="Arial"/>
          <w:lang w:val="en"/>
        </w:rPr>
        <w:t xml:space="preserve">arrangements which </w:t>
      </w:r>
      <w:r w:rsidR="00F6396D" w:rsidRPr="00B54B31">
        <w:rPr>
          <w:rFonts w:ascii="Arial" w:hAnsi="Arial" w:cs="Arial"/>
          <w:lang w:val="en"/>
        </w:rPr>
        <w:t xml:space="preserve">allow taxpayers to move to another structure without tax implications. </w:t>
      </w:r>
    </w:p>
    <w:p w:rsidR="00F6396D" w:rsidRDefault="00F6396D" w:rsidP="004C5D2E">
      <w:pPr>
        <w:spacing w:after="0" w:line="240" w:lineRule="auto"/>
        <w:ind w:left="720"/>
        <w:jc w:val="both"/>
        <w:rPr>
          <w:rFonts w:ascii="Arial" w:hAnsi="Arial" w:cs="Arial"/>
          <w:lang w:val="en"/>
        </w:rPr>
      </w:pPr>
    </w:p>
    <w:p w:rsidR="00C6545C" w:rsidRPr="002A6472" w:rsidRDefault="00C6545C" w:rsidP="004C5D2E">
      <w:pPr>
        <w:spacing w:after="0" w:line="240" w:lineRule="auto"/>
        <w:ind w:left="720"/>
        <w:jc w:val="both"/>
        <w:rPr>
          <w:rFonts w:ascii="Arial" w:hAnsi="Arial" w:cs="Arial"/>
          <w:i/>
          <w:lang w:bidi="en-US"/>
        </w:rPr>
      </w:pPr>
      <w:r w:rsidRPr="002A6472">
        <w:rPr>
          <w:rFonts w:ascii="Arial" w:hAnsi="Arial" w:cs="Arial"/>
          <w:i/>
          <w:lang w:val="en"/>
        </w:rPr>
        <w:t xml:space="preserve">The REIA thus urges the current review to recommend </w:t>
      </w:r>
      <w:r>
        <w:rPr>
          <w:rFonts w:ascii="Arial" w:hAnsi="Arial" w:cs="Arial"/>
          <w:i/>
          <w:lang w:val="en"/>
        </w:rPr>
        <w:t>the inclusion of transitional arrangements.</w:t>
      </w:r>
    </w:p>
    <w:p w:rsidR="00C6545C" w:rsidRDefault="00C6545C" w:rsidP="004C5D2E">
      <w:pPr>
        <w:spacing w:after="0" w:line="240" w:lineRule="auto"/>
        <w:ind w:left="720"/>
        <w:jc w:val="both"/>
        <w:rPr>
          <w:rFonts w:ascii="Arial" w:hAnsi="Arial" w:cs="Arial"/>
          <w:lang w:val="en"/>
        </w:rPr>
      </w:pPr>
    </w:p>
    <w:p w:rsidR="00B54B31" w:rsidRPr="00986500" w:rsidRDefault="00B54B31" w:rsidP="004C5D2E">
      <w:pPr>
        <w:spacing w:after="0" w:line="240" w:lineRule="auto"/>
        <w:ind w:left="720"/>
        <w:jc w:val="both"/>
        <w:rPr>
          <w:rFonts w:ascii="Arial" w:hAnsi="Arial" w:cs="Arial"/>
          <w:lang w:val="en"/>
        </w:rPr>
      </w:pPr>
      <w:r w:rsidRPr="00B54B31">
        <w:rPr>
          <w:rFonts w:ascii="Arial" w:hAnsi="Arial" w:cs="Arial"/>
          <w:lang w:val="en"/>
        </w:rPr>
        <w:t xml:space="preserve">The timetable for the review proposes to introduce </w:t>
      </w:r>
      <w:r w:rsidR="00151882">
        <w:rPr>
          <w:rFonts w:ascii="Arial" w:hAnsi="Arial" w:cs="Arial"/>
          <w:lang w:val="en"/>
        </w:rPr>
        <w:t>any</w:t>
      </w:r>
      <w:r w:rsidRPr="00B54B31">
        <w:rPr>
          <w:rFonts w:ascii="Arial" w:hAnsi="Arial" w:cs="Arial"/>
          <w:lang w:val="en"/>
        </w:rPr>
        <w:t xml:space="preserve"> legislation into Parliament in November 2012, for a start date of 1st July 2013. The </w:t>
      </w:r>
      <w:r w:rsidR="00151882">
        <w:rPr>
          <w:rFonts w:ascii="Arial" w:hAnsi="Arial" w:cs="Arial"/>
          <w:lang w:val="en"/>
        </w:rPr>
        <w:t xml:space="preserve">REIA </w:t>
      </w:r>
      <w:r w:rsidRPr="00B54B31">
        <w:rPr>
          <w:rFonts w:ascii="Arial" w:hAnsi="Arial" w:cs="Arial"/>
          <w:lang w:val="en"/>
        </w:rPr>
        <w:t>is concerned that this may be an unrealistic timetable</w:t>
      </w:r>
      <w:r w:rsidR="00151882">
        <w:rPr>
          <w:rFonts w:ascii="Arial" w:hAnsi="Arial" w:cs="Arial"/>
          <w:lang w:val="en"/>
        </w:rPr>
        <w:t xml:space="preserve"> </w:t>
      </w:r>
      <w:r w:rsidRPr="00B54B31">
        <w:rPr>
          <w:rFonts w:ascii="Arial" w:hAnsi="Arial" w:cs="Arial"/>
          <w:lang w:val="en"/>
        </w:rPr>
        <w:t xml:space="preserve">given the complexity of the issues to be </w:t>
      </w:r>
      <w:r w:rsidR="00151882">
        <w:rPr>
          <w:rFonts w:ascii="Arial" w:hAnsi="Arial" w:cs="Arial"/>
          <w:lang w:val="en"/>
        </w:rPr>
        <w:t xml:space="preserve">covered. The REIA </w:t>
      </w:r>
      <w:r w:rsidRPr="00B54B31">
        <w:rPr>
          <w:rFonts w:ascii="Arial" w:hAnsi="Arial" w:cs="Arial"/>
          <w:lang w:val="en"/>
        </w:rPr>
        <w:t>believe</w:t>
      </w:r>
      <w:r w:rsidR="00151882">
        <w:rPr>
          <w:rFonts w:ascii="Arial" w:hAnsi="Arial" w:cs="Arial"/>
          <w:lang w:val="en"/>
        </w:rPr>
        <w:t>s</w:t>
      </w:r>
      <w:r w:rsidRPr="00B54B31">
        <w:rPr>
          <w:rFonts w:ascii="Arial" w:hAnsi="Arial" w:cs="Arial"/>
          <w:lang w:val="en"/>
        </w:rPr>
        <w:t xml:space="preserve"> a longer lead time for </w:t>
      </w:r>
      <w:r w:rsidR="00151882">
        <w:rPr>
          <w:rFonts w:ascii="Arial" w:hAnsi="Arial" w:cs="Arial"/>
          <w:lang w:val="en"/>
        </w:rPr>
        <w:t xml:space="preserve">the </w:t>
      </w:r>
      <w:r w:rsidRPr="00B54B31">
        <w:rPr>
          <w:rFonts w:ascii="Arial" w:hAnsi="Arial" w:cs="Arial"/>
          <w:lang w:val="en"/>
        </w:rPr>
        <w:t xml:space="preserve">introduction </w:t>
      </w:r>
      <w:r w:rsidR="00151882">
        <w:rPr>
          <w:rFonts w:ascii="Arial" w:hAnsi="Arial" w:cs="Arial"/>
          <w:lang w:val="en"/>
        </w:rPr>
        <w:t xml:space="preserve">of any changes </w:t>
      </w:r>
      <w:r w:rsidRPr="00B54B31">
        <w:rPr>
          <w:rFonts w:ascii="Arial" w:hAnsi="Arial" w:cs="Arial"/>
          <w:lang w:val="en"/>
        </w:rPr>
        <w:t xml:space="preserve">is required. </w:t>
      </w:r>
      <w:r w:rsidR="00151882">
        <w:rPr>
          <w:rFonts w:ascii="Arial" w:hAnsi="Arial" w:cs="Arial"/>
          <w:lang w:val="en"/>
        </w:rPr>
        <w:t>As the Consultation Paper recognises, t</w:t>
      </w:r>
      <w:r w:rsidRPr="00B54B31">
        <w:rPr>
          <w:rFonts w:ascii="Arial" w:hAnsi="Arial" w:cs="Arial"/>
          <w:lang w:val="en"/>
        </w:rPr>
        <w:t>here are a wide variety of trusts differing in their deeds, structure, use and size</w:t>
      </w:r>
      <w:r w:rsidR="00151882">
        <w:rPr>
          <w:rFonts w:ascii="Arial" w:hAnsi="Arial" w:cs="Arial"/>
          <w:lang w:val="en"/>
        </w:rPr>
        <w:t>.</w:t>
      </w:r>
      <w:r w:rsidRPr="00B54B31">
        <w:rPr>
          <w:rFonts w:ascii="Arial" w:hAnsi="Arial" w:cs="Arial"/>
          <w:lang w:val="en"/>
        </w:rPr>
        <w:t xml:space="preserve"> There will be a need to educate trustees ahead of the implementation timetable. Given the number and diversity of trusts in existence, an extensive education process over several months will be required</w:t>
      </w:r>
      <w:r w:rsidR="00986500">
        <w:rPr>
          <w:rFonts w:ascii="Arial" w:hAnsi="Arial" w:cs="Arial"/>
          <w:lang w:val="en"/>
        </w:rPr>
        <w:t>.</w:t>
      </w:r>
    </w:p>
    <w:p w:rsidR="00151882" w:rsidRDefault="00151882" w:rsidP="004C5D2E">
      <w:pPr>
        <w:spacing w:after="0" w:line="240" w:lineRule="auto"/>
        <w:ind w:left="720"/>
        <w:jc w:val="both"/>
        <w:rPr>
          <w:rFonts w:ascii="Arial" w:hAnsi="Arial" w:cs="Arial"/>
          <w:u w:val="single"/>
          <w:lang w:val="en"/>
        </w:rPr>
      </w:pPr>
    </w:p>
    <w:p w:rsidR="00A074D2" w:rsidRDefault="00151882" w:rsidP="004C5D2E">
      <w:pPr>
        <w:spacing w:after="0" w:line="240" w:lineRule="auto"/>
        <w:ind w:left="720"/>
        <w:jc w:val="both"/>
        <w:rPr>
          <w:rFonts w:ascii="Arial" w:hAnsi="Arial" w:cs="Arial"/>
          <w:i/>
          <w:lang w:val="en"/>
        </w:rPr>
      </w:pPr>
      <w:r w:rsidRPr="002A6472">
        <w:rPr>
          <w:rFonts w:ascii="Arial" w:hAnsi="Arial" w:cs="Arial"/>
          <w:i/>
          <w:lang w:val="en"/>
        </w:rPr>
        <w:t xml:space="preserve">The REIA thus urges the current review to recommend </w:t>
      </w:r>
      <w:r w:rsidR="00A074D2">
        <w:rPr>
          <w:rFonts w:ascii="Arial" w:hAnsi="Arial" w:cs="Arial"/>
          <w:i/>
          <w:lang w:val="en"/>
        </w:rPr>
        <w:t>that any changes be implemented only after a comprehensive education campaign.</w:t>
      </w:r>
    </w:p>
    <w:p w:rsidR="0089051D" w:rsidRDefault="0089051D" w:rsidP="004C5D2E">
      <w:pPr>
        <w:spacing w:after="0" w:line="240" w:lineRule="auto"/>
        <w:ind w:left="720"/>
        <w:jc w:val="both"/>
        <w:rPr>
          <w:rFonts w:ascii="Arial" w:hAnsi="Arial" w:cs="Arial"/>
          <w:i/>
          <w:lang w:val="en"/>
        </w:rPr>
      </w:pPr>
    </w:p>
    <w:p w:rsidR="0089051D" w:rsidRPr="0089051D" w:rsidRDefault="0089051D" w:rsidP="004C5D2E">
      <w:pPr>
        <w:spacing w:after="0" w:line="240" w:lineRule="auto"/>
        <w:ind w:left="720"/>
        <w:jc w:val="both"/>
        <w:rPr>
          <w:rFonts w:ascii="Arial" w:hAnsi="Arial" w:cs="Arial"/>
          <w:lang w:val="en" w:bidi="en-US"/>
        </w:rPr>
      </w:pPr>
      <w:r w:rsidRPr="0089051D">
        <w:rPr>
          <w:rFonts w:ascii="Arial" w:hAnsi="Arial" w:cs="Arial"/>
          <w:lang w:val="en" w:bidi="en-US"/>
        </w:rPr>
        <w:t>The consultation paper outlines three possible alternatives to taxing trust beneficiaries. They are a</w:t>
      </w:r>
      <w:r w:rsidR="0081509B">
        <w:rPr>
          <w:rFonts w:ascii="Arial" w:hAnsi="Arial" w:cs="Arial"/>
          <w:lang w:val="en" w:bidi="en-US"/>
        </w:rPr>
        <w:t>:</w:t>
      </w:r>
      <w:r w:rsidRPr="0089051D">
        <w:rPr>
          <w:rFonts w:ascii="Arial" w:hAnsi="Arial" w:cs="Arial"/>
          <w:lang w:val="en" w:bidi="en-US"/>
        </w:rPr>
        <w:t xml:space="preserve"> patch model</w:t>
      </w:r>
      <w:r w:rsidR="0081509B">
        <w:rPr>
          <w:rFonts w:ascii="Arial" w:hAnsi="Arial" w:cs="Arial"/>
          <w:lang w:val="en" w:bidi="en-US"/>
        </w:rPr>
        <w:t>;</w:t>
      </w:r>
      <w:r w:rsidRPr="0089051D">
        <w:rPr>
          <w:rFonts w:ascii="Arial" w:hAnsi="Arial" w:cs="Arial"/>
          <w:lang w:val="en" w:bidi="en-US"/>
        </w:rPr>
        <w:t xml:space="preserve"> proportionate within class, and</w:t>
      </w:r>
      <w:r w:rsidR="0081509B">
        <w:rPr>
          <w:rFonts w:ascii="Arial" w:hAnsi="Arial" w:cs="Arial"/>
          <w:lang w:val="en" w:bidi="en-US"/>
        </w:rPr>
        <w:t>;</w:t>
      </w:r>
      <w:r w:rsidRPr="0089051D">
        <w:rPr>
          <w:rFonts w:ascii="Arial" w:hAnsi="Arial" w:cs="Arial"/>
          <w:lang w:val="en" w:bidi="en-US"/>
        </w:rPr>
        <w:t xml:space="preserve"> trustee assessment and deduction model</w:t>
      </w:r>
      <w:r>
        <w:rPr>
          <w:rFonts w:ascii="Arial" w:hAnsi="Arial" w:cs="Arial"/>
          <w:lang w:val="en" w:bidi="en-US"/>
        </w:rPr>
        <w:t>.</w:t>
      </w:r>
      <w:r w:rsidR="0081509B">
        <w:rPr>
          <w:rFonts w:ascii="Arial" w:hAnsi="Arial" w:cs="Arial"/>
          <w:lang w:val="en" w:bidi="en-US"/>
        </w:rPr>
        <w:t xml:space="preserve"> REIA’s response </w:t>
      </w:r>
      <w:r w:rsidRPr="0089051D">
        <w:rPr>
          <w:rFonts w:ascii="Arial" w:hAnsi="Arial" w:cs="Arial"/>
          <w:lang w:val="en" w:bidi="en-US"/>
        </w:rPr>
        <w:t>on each model follows</w:t>
      </w:r>
      <w:r w:rsidR="0081509B">
        <w:rPr>
          <w:rFonts w:ascii="Arial" w:hAnsi="Arial" w:cs="Arial"/>
          <w:lang w:val="en" w:bidi="en-US"/>
        </w:rPr>
        <w:t>.</w:t>
      </w:r>
    </w:p>
    <w:p w:rsidR="0089051D" w:rsidRPr="0089051D" w:rsidRDefault="0089051D" w:rsidP="004C5D2E">
      <w:pPr>
        <w:spacing w:after="0" w:line="240" w:lineRule="auto"/>
        <w:ind w:left="720"/>
        <w:jc w:val="both"/>
        <w:rPr>
          <w:rFonts w:ascii="Arial" w:hAnsi="Arial" w:cs="Arial"/>
          <w:lang w:val="en" w:bidi="en-US"/>
        </w:rPr>
      </w:pPr>
    </w:p>
    <w:p w:rsidR="0089051D" w:rsidRDefault="0089051D" w:rsidP="004C5D2E">
      <w:pPr>
        <w:spacing w:after="0" w:line="240" w:lineRule="auto"/>
        <w:ind w:left="720"/>
        <w:jc w:val="both"/>
        <w:rPr>
          <w:rFonts w:ascii="Arial" w:hAnsi="Arial" w:cs="Arial"/>
          <w:b/>
          <w:lang w:val="en" w:bidi="en-US"/>
        </w:rPr>
      </w:pPr>
      <w:r w:rsidRPr="0089051D">
        <w:rPr>
          <w:rFonts w:ascii="Arial" w:hAnsi="Arial" w:cs="Arial"/>
          <w:b/>
          <w:lang w:val="en" w:bidi="en-US"/>
        </w:rPr>
        <w:t>Patch Model</w:t>
      </w:r>
    </w:p>
    <w:p w:rsidR="0081509B" w:rsidRPr="0089051D" w:rsidRDefault="0081509B" w:rsidP="004C5D2E">
      <w:pPr>
        <w:spacing w:after="0" w:line="240" w:lineRule="auto"/>
        <w:ind w:left="720"/>
        <w:jc w:val="both"/>
        <w:rPr>
          <w:rFonts w:ascii="Arial" w:hAnsi="Arial" w:cs="Arial"/>
          <w:b/>
          <w:lang w:val="en" w:bidi="en-US"/>
        </w:rPr>
      </w:pPr>
    </w:p>
    <w:p w:rsidR="00986500" w:rsidRDefault="0089051D" w:rsidP="004C5D2E">
      <w:pPr>
        <w:spacing w:after="0" w:line="240" w:lineRule="auto"/>
        <w:ind w:left="720"/>
        <w:jc w:val="both"/>
        <w:rPr>
          <w:rFonts w:ascii="Arial" w:hAnsi="Arial" w:cs="Arial"/>
          <w:lang w:val="en" w:bidi="en-US"/>
        </w:rPr>
      </w:pPr>
      <w:r w:rsidRPr="0089051D">
        <w:rPr>
          <w:rFonts w:ascii="Arial" w:hAnsi="Arial" w:cs="Arial"/>
          <w:lang w:val="en" w:bidi="en-US"/>
        </w:rPr>
        <w:t>Th</w:t>
      </w:r>
      <w:r w:rsidR="00420A67">
        <w:rPr>
          <w:rFonts w:ascii="Arial" w:hAnsi="Arial" w:cs="Arial"/>
          <w:lang w:val="en" w:bidi="en-US"/>
        </w:rPr>
        <w:t xml:space="preserve">e </w:t>
      </w:r>
      <w:r w:rsidRPr="0089051D">
        <w:rPr>
          <w:rFonts w:ascii="Arial" w:hAnsi="Arial" w:cs="Arial"/>
          <w:lang w:val="en" w:bidi="en-US"/>
        </w:rPr>
        <w:t>model involves retaining the existing structure of Division 6</w:t>
      </w:r>
      <w:r w:rsidR="00420A67">
        <w:rPr>
          <w:rFonts w:ascii="Arial" w:hAnsi="Arial" w:cs="Arial"/>
          <w:lang w:val="en" w:bidi="en-US"/>
        </w:rPr>
        <w:t xml:space="preserve"> and the Consultation Paper </w:t>
      </w:r>
      <w:r w:rsidR="00420A67" w:rsidRPr="0089051D">
        <w:rPr>
          <w:rFonts w:ascii="Arial" w:hAnsi="Arial" w:cs="Arial"/>
          <w:lang w:val="en" w:bidi="en-US"/>
        </w:rPr>
        <w:t>canvasses three options for defining</w:t>
      </w:r>
      <w:r w:rsidR="00420A67" w:rsidRPr="00420A67">
        <w:rPr>
          <w:rFonts w:ascii="Arial" w:hAnsi="Arial" w:cs="Arial"/>
          <w:lang w:val="en" w:bidi="en-US"/>
        </w:rPr>
        <w:t xml:space="preserve"> </w:t>
      </w:r>
      <w:r w:rsidR="00420A67">
        <w:rPr>
          <w:rFonts w:ascii="Arial" w:hAnsi="Arial" w:cs="Arial"/>
          <w:lang w:val="en" w:bidi="en-US"/>
        </w:rPr>
        <w:t>‘</w:t>
      </w:r>
      <w:r w:rsidR="00420A67" w:rsidRPr="0089051D">
        <w:rPr>
          <w:rFonts w:ascii="Arial" w:hAnsi="Arial" w:cs="Arial"/>
          <w:lang w:val="en" w:bidi="en-US"/>
        </w:rPr>
        <w:t>income of the trust estate”</w:t>
      </w:r>
      <w:r w:rsidR="00420A67">
        <w:rPr>
          <w:rFonts w:ascii="Arial" w:hAnsi="Arial" w:cs="Arial"/>
          <w:lang w:val="en" w:bidi="en-US"/>
        </w:rPr>
        <w:t xml:space="preserve"> </w:t>
      </w:r>
      <w:r w:rsidR="00420A67" w:rsidRPr="0089051D">
        <w:rPr>
          <w:rFonts w:ascii="Arial" w:hAnsi="Arial" w:cs="Arial"/>
          <w:lang w:val="en" w:bidi="en-US"/>
        </w:rPr>
        <w:t>to improve the operation of the proportionate approach under the existing arrangements</w:t>
      </w:r>
      <w:r w:rsidR="00420A67">
        <w:rPr>
          <w:rFonts w:ascii="Arial" w:hAnsi="Arial" w:cs="Arial"/>
          <w:lang w:val="en" w:bidi="en-US"/>
        </w:rPr>
        <w:t xml:space="preserve">. </w:t>
      </w:r>
    </w:p>
    <w:p w:rsidR="00986500" w:rsidRDefault="00420A67" w:rsidP="004C5D2E">
      <w:pPr>
        <w:spacing w:after="0" w:line="240" w:lineRule="auto"/>
        <w:ind w:left="720"/>
        <w:jc w:val="both"/>
        <w:rPr>
          <w:rFonts w:ascii="Arial" w:hAnsi="Arial" w:cs="Arial"/>
          <w:lang w:val="en" w:bidi="en-US"/>
        </w:rPr>
      </w:pPr>
      <w:r>
        <w:rPr>
          <w:rFonts w:ascii="Arial" w:hAnsi="Arial" w:cs="Arial"/>
          <w:lang w:val="en" w:bidi="en-US"/>
        </w:rPr>
        <w:t>These are:</w:t>
      </w:r>
    </w:p>
    <w:p w:rsidR="00986500" w:rsidRDefault="00986500" w:rsidP="004C5D2E">
      <w:pPr>
        <w:spacing w:after="0" w:line="240" w:lineRule="auto"/>
        <w:ind w:left="720"/>
        <w:jc w:val="both"/>
        <w:rPr>
          <w:rFonts w:ascii="Arial" w:hAnsi="Arial" w:cs="Arial"/>
          <w:lang w:val="en" w:bidi="en-US"/>
        </w:rPr>
      </w:pPr>
    </w:p>
    <w:p w:rsidR="00986500" w:rsidRDefault="00420A67" w:rsidP="00986500">
      <w:pPr>
        <w:numPr>
          <w:ilvl w:val="0"/>
          <w:numId w:val="17"/>
        </w:numPr>
        <w:spacing w:after="0" w:line="240" w:lineRule="auto"/>
        <w:jc w:val="both"/>
        <w:rPr>
          <w:rFonts w:ascii="Arial" w:hAnsi="Arial" w:cs="Arial"/>
          <w:lang w:val="en" w:bidi="en-US"/>
        </w:rPr>
      </w:pPr>
      <w:r w:rsidRPr="0089051D">
        <w:rPr>
          <w:rFonts w:ascii="Arial" w:hAnsi="Arial" w:cs="Arial"/>
          <w:lang w:val="en" w:bidi="en-US"/>
        </w:rPr>
        <w:t>tax concepts</w:t>
      </w:r>
      <w:r>
        <w:rPr>
          <w:rFonts w:ascii="Arial" w:hAnsi="Arial" w:cs="Arial"/>
          <w:lang w:val="en" w:bidi="en-US"/>
        </w:rPr>
        <w:t>;</w:t>
      </w:r>
    </w:p>
    <w:p w:rsidR="00986500" w:rsidRDefault="00420A67" w:rsidP="00986500">
      <w:pPr>
        <w:numPr>
          <w:ilvl w:val="0"/>
          <w:numId w:val="17"/>
        </w:numPr>
        <w:spacing w:after="0" w:line="240" w:lineRule="auto"/>
        <w:jc w:val="both"/>
        <w:rPr>
          <w:rFonts w:ascii="Arial" w:hAnsi="Arial" w:cs="Arial"/>
          <w:lang w:val="en" w:bidi="en-US"/>
        </w:rPr>
      </w:pPr>
      <w:r w:rsidRPr="0089051D">
        <w:rPr>
          <w:rFonts w:ascii="Arial" w:hAnsi="Arial" w:cs="Arial"/>
          <w:lang w:val="en" w:bidi="en-US"/>
        </w:rPr>
        <w:t>accounting concepts</w:t>
      </w:r>
      <w:r>
        <w:rPr>
          <w:rFonts w:ascii="Arial" w:hAnsi="Arial" w:cs="Arial"/>
          <w:lang w:val="en" w:bidi="en-US"/>
        </w:rPr>
        <w:t>, and;</w:t>
      </w:r>
    </w:p>
    <w:p w:rsidR="00986500" w:rsidRDefault="00420A67" w:rsidP="00986500">
      <w:pPr>
        <w:numPr>
          <w:ilvl w:val="0"/>
          <w:numId w:val="17"/>
        </w:numPr>
        <w:spacing w:after="0" w:line="240" w:lineRule="auto"/>
        <w:jc w:val="both"/>
        <w:rPr>
          <w:rFonts w:ascii="Arial" w:hAnsi="Arial" w:cs="Arial"/>
          <w:lang w:val="en" w:bidi="en-US"/>
        </w:rPr>
      </w:pPr>
      <w:proofErr w:type="gramStart"/>
      <w:r w:rsidRPr="0089051D">
        <w:rPr>
          <w:rFonts w:ascii="Arial" w:hAnsi="Arial" w:cs="Arial"/>
          <w:lang w:val="en" w:bidi="en-US"/>
        </w:rPr>
        <w:t>retain</w:t>
      </w:r>
      <w:proofErr w:type="gramEnd"/>
      <w:r w:rsidRPr="0089051D">
        <w:rPr>
          <w:rFonts w:ascii="Arial" w:hAnsi="Arial" w:cs="Arial"/>
          <w:lang w:val="en" w:bidi="en-US"/>
        </w:rPr>
        <w:t xml:space="preserve"> current approach relying on general trust law</w:t>
      </w:r>
      <w:r w:rsidR="00146EF6">
        <w:rPr>
          <w:rFonts w:ascii="Arial" w:hAnsi="Arial" w:cs="Arial"/>
          <w:lang w:val="en" w:bidi="en-US"/>
        </w:rPr>
        <w:t>.</w:t>
      </w:r>
    </w:p>
    <w:p w:rsidR="00986500" w:rsidRDefault="00986500" w:rsidP="00986500">
      <w:pPr>
        <w:spacing w:after="0" w:line="240" w:lineRule="auto"/>
        <w:jc w:val="both"/>
        <w:rPr>
          <w:rFonts w:ascii="Arial" w:hAnsi="Arial" w:cs="Arial"/>
          <w:lang w:val="en" w:bidi="en-US"/>
        </w:rPr>
      </w:pPr>
    </w:p>
    <w:p w:rsidR="0089051D" w:rsidRDefault="00420A67" w:rsidP="00986500">
      <w:pPr>
        <w:spacing w:after="0" w:line="240" w:lineRule="auto"/>
        <w:ind w:left="720"/>
        <w:jc w:val="both"/>
        <w:rPr>
          <w:rFonts w:ascii="Arial" w:hAnsi="Arial" w:cs="Arial"/>
          <w:lang w:val="en" w:bidi="en-US"/>
        </w:rPr>
      </w:pPr>
      <w:r>
        <w:rPr>
          <w:rFonts w:ascii="Arial" w:hAnsi="Arial" w:cs="Arial"/>
          <w:lang w:val="en" w:bidi="en-US"/>
        </w:rPr>
        <w:t>REIA believes that t</w:t>
      </w:r>
      <w:r w:rsidR="0089051D" w:rsidRPr="0089051D">
        <w:rPr>
          <w:rFonts w:ascii="Arial" w:hAnsi="Arial" w:cs="Arial"/>
          <w:lang w:val="en" w:bidi="en-US"/>
        </w:rPr>
        <w:t xml:space="preserve">he preferred option </w:t>
      </w:r>
      <w:r>
        <w:rPr>
          <w:rFonts w:ascii="Arial" w:hAnsi="Arial" w:cs="Arial"/>
          <w:lang w:val="en" w:bidi="en-US"/>
        </w:rPr>
        <w:t xml:space="preserve">should be </w:t>
      </w:r>
      <w:r w:rsidR="0089051D" w:rsidRPr="0089051D">
        <w:rPr>
          <w:rFonts w:ascii="Arial" w:hAnsi="Arial" w:cs="Arial"/>
          <w:lang w:val="en" w:bidi="en-US"/>
        </w:rPr>
        <w:t>to use tax concepts</w:t>
      </w:r>
      <w:r w:rsidR="00146EF6">
        <w:rPr>
          <w:rFonts w:ascii="Arial" w:hAnsi="Arial" w:cs="Arial"/>
          <w:lang w:val="en" w:bidi="en-US"/>
        </w:rPr>
        <w:t xml:space="preserve"> as these would be least problematic.</w:t>
      </w:r>
    </w:p>
    <w:p w:rsidR="00146EF6" w:rsidRPr="0089051D" w:rsidRDefault="00146EF6" w:rsidP="004C5D2E">
      <w:pPr>
        <w:spacing w:after="0" w:line="240" w:lineRule="auto"/>
        <w:ind w:left="720"/>
        <w:jc w:val="both"/>
        <w:rPr>
          <w:rFonts w:ascii="Arial" w:hAnsi="Arial" w:cs="Arial"/>
          <w:lang w:val="en" w:bidi="en-US"/>
        </w:rPr>
      </w:pPr>
    </w:p>
    <w:p w:rsidR="0089051D" w:rsidRDefault="00146EF6" w:rsidP="004C5D2E">
      <w:pPr>
        <w:spacing w:after="0" w:line="240" w:lineRule="auto"/>
        <w:ind w:left="720"/>
        <w:jc w:val="both"/>
        <w:rPr>
          <w:rFonts w:ascii="Arial" w:hAnsi="Arial" w:cs="Arial"/>
          <w:b/>
          <w:lang w:val="en" w:bidi="en-US"/>
        </w:rPr>
      </w:pPr>
      <w:r>
        <w:rPr>
          <w:rFonts w:ascii="Arial" w:hAnsi="Arial" w:cs="Arial"/>
          <w:b/>
          <w:lang w:val="en" w:bidi="en-US"/>
        </w:rPr>
        <w:t>P</w:t>
      </w:r>
      <w:r w:rsidR="0089051D" w:rsidRPr="0089051D">
        <w:rPr>
          <w:rFonts w:ascii="Arial" w:hAnsi="Arial" w:cs="Arial"/>
          <w:b/>
          <w:lang w:val="en" w:bidi="en-US"/>
        </w:rPr>
        <w:t>roportionate within a class</w:t>
      </w:r>
    </w:p>
    <w:p w:rsidR="00146EF6" w:rsidRPr="0089051D" w:rsidRDefault="00146EF6" w:rsidP="004C5D2E">
      <w:pPr>
        <w:spacing w:after="0" w:line="240" w:lineRule="auto"/>
        <w:ind w:left="720"/>
        <w:jc w:val="both"/>
        <w:rPr>
          <w:rFonts w:ascii="Arial" w:hAnsi="Arial" w:cs="Arial"/>
          <w:b/>
          <w:lang w:val="en" w:bidi="en-US"/>
        </w:rPr>
      </w:pPr>
    </w:p>
    <w:p w:rsidR="0089051D" w:rsidRPr="0089051D" w:rsidRDefault="0089051D" w:rsidP="004C5D2E">
      <w:pPr>
        <w:spacing w:after="0" w:line="240" w:lineRule="auto"/>
        <w:ind w:left="720"/>
        <w:jc w:val="both"/>
        <w:rPr>
          <w:rFonts w:ascii="Arial" w:hAnsi="Arial" w:cs="Arial"/>
        </w:rPr>
      </w:pPr>
      <w:r w:rsidRPr="0089051D">
        <w:rPr>
          <w:rFonts w:ascii="Arial" w:hAnsi="Arial" w:cs="Arial"/>
        </w:rPr>
        <w:t xml:space="preserve">This model operates in a similar way to the current present entitlement model with an additional step to ascertain the classes of income and the proportionate entitlement in relation to these classes. </w:t>
      </w:r>
      <w:r w:rsidR="00146EF6">
        <w:rPr>
          <w:rFonts w:ascii="Arial" w:hAnsi="Arial" w:cs="Arial"/>
        </w:rPr>
        <w:t xml:space="preserve">This approach, until recently, </w:t>
      </w:r>
      <w:r w:rsidRPr="0089051D">
        <w:rPr>
          <w:rFonts w:ascii="Arial" w:hAnsi="Arial" w:cs="Arial"/>
        </w:rPr>
        <w:t xml:space="preserve">had been in </w:t>
      </w:r>
      <w:r w:rsidR="00146EF6">
        <w:rPr>
          <w:rFonts w:ascii="Arial" w:hAnsi="Arial" w:cs="Arial"/>
        </w:rPr>
        <w:t xml:space="preserve">utilised </w:t>
      </w:r>
      <w:r w:rsidRPr="0089051D">
        <w:rPr>
          <w:rFonts w:ascii="Arial" w:hAnsi="Arial" w:cs="Arial"/>
        </w:rPr>
        <w:t xml:space="preserve">for over 18 years </w:t>
      </w:r>
      <w:r w:rsidR="00146EF6">
        <w:rPr>
          <w:rFonts w:ascii="Arial" w:hAnsi="Arial" w:cs="Arial"/>
        </w:rPr>
        <w:t xml:space="preserve">and </w:t>
      </w:r>
      <w:r w:rsidRPr="0089051D">
        <w:rPr>
          <w:rFonts w:ascii="Arial" w:hAnsi="Arial" w:cs="Arial"/>
        </w:rPr>
        <w:t xml:space="preserve">had become accepted practice and </w:t>
      </w:r>
      <w:r w:rsidR="00146EF6">
        <w:rPr>
          <w:rFonts w:ascii="Arial" w:hAnsi="Arial" w:cs="Arial"/>
        </w:rPr>
        <w:t xml:space="preserve">as such </w:t>
      </w:r>
      <w:r w:rsidRPr="0089051D">
        <w:rPr>
          <w:rFonts w:ascii="Arial" w:hAnsi="Arial" w:cs="Arial"/>
        </w:rPr>
        <w:t>was reasonably well understood. The treatment of losses under this model would need further consideration, in particular how to treat losses at a class level if a proportionate within class model was adopted.</w:t>
      </w:r>
    </w:p>
    <w:p w:rsidR="0089051D" w:rsidRPr="0089051D" w:rsidRDefault="0089051D" w:rsidP="004C5D2E">
      <w:pPr>
        <w:spacing w:after="0" w:line="240" w:lineRule="auto"/>
        <w:ind w:left="720"/>
        <w:jc w:val="both"/>
        <w:rPr>
          <w:rFonts w:ascii="Arial" w:hAnsi="Arial" w:cs="Arial"/>
        </w:rPr>
      </w:pPr>
    </w:p>
    <w:p w:rsidR="0089051D" w:rsidRPr="0089051D" w:rsidRDefault="0089051D" w:rsidP="004C5D2E">
      <w:pPr>
        <w:spacing w:after="0" w:line="240" w:lineRule="auto"/>
        <w:ind w:left="720"/>
        <w:jc w:val="both"/>
        <w:rPr>
          <w:rFonts w:ascii="Arial" w:hAnsi="Arial" w:cs="Arial"/>
          <w:b/>
          <w:lang w:val="en" w:bidi="en-US"/>
        </w:rPr>
      </w:pPr>
      <w:r w:rsidRPr="0089051D">
        <w:rPr>
          <w:rFonts w:ascii="Arial" w:hAnsi="Arial" w:cs="Arial"/>
          <w:b/>
          <w:lang w:val="en" w:bidi="en-US"/>
        </w:rPr>
        <w:t>Trustee assessment and deduction model (TAD)</w:t>
      </w:r>
    </w:p>
    <w:p w:rsidR="0089051D" w:rsidRPr="0089051D" w:rsidRDefault="0089051D" w:rsidP="004C5D2E">
      <w:pPr>
        <w:spacing w:after="0" w:line="240" w:lineRule="auto"/>
        <w:ind w:left="720"/>
        <w:jc w:val="both"/>
        <w:rPr>
          <w:rFonts w:ascii="Arial" w:hAnsi="Arial" w:cs="Arial"/>
        </w:rPr>
      </w:pPr>
    </w:p>
    <w:p w:rsidR="002C5BF5" w:rsidRDefault="0089051D" w:rsidP="004C5D2E">
      <w:pPr>
        <w:spacing w:after="0" w:line="240" w:lineRule="auto"/>
        <w:ind w:left="720"/>
        <w:jc w:val="both"/>
        <w:rPr>
          <w:rFonts w:ascii="Arial" w:hAnsi="Arial" w:cs="Arial"/>
        </w:rPr>
      </w:pPr>
      <w:r w:rsidRPr="0089051D">
        <w:rPr>
          <w:rFonts w:ascii="Arial" w:hAnsi="Arial" w:cs="Arial"/>
        </w:rPr>
        <w:t>A TAD model is one where the trustee of a trust is assessable on the income they derive but a deduction is provided to the trustee for distributions it makes to the beneficiaries of the trust. It effectively taxes the taxable income of a trust in the hands of those beneficiaries that receive the economic benefits related to that taxable income. Assessable amounts not distributed are taxed in the hands of the trustee. If the trustee distributes all of the taxable income no tax is payable by the trustee.</w:t>
      </w:r>
      <w:r w:rsidR="00146EF6">
        <w:rPr>
          <w:rFonts w:ascii="Arial" w:hAnsi="Arial" w:cs="Arial"/>
        </w:rPr>
        <w:t xml:space="preserve"> </w:t>
      </w:r>
      <w:r w:rsidRPr="0089051D">
        <w:rPr>
          <w:rFonts w:ascii="Arial" w:hAnsi="Arial" w:cs="Arial"/>
        </w:rPr>
        <w:t xml:space="preserve">The distributions made by the trustee are then taxable in the hands of the beneficiaries who receive the distributions. Under this model trustees will only be assessed on taxable amounts that are retained in the trust. </w:t>
      </w:r>
    </w:p>
    <w:p w:rsidR="002C5BF5" w:rsidRDefault="002C5BF5" w:rsidP="004C5D2E">
      <w:pPr>
        <w:spacing w:after="0" w:line="240" w:lineRule="auto"/>
        <w:ind w:left="720"/>
        <w:jc w:val="both"/>
        <w:rPr>
          <w:rFonts w:ascii="Arial" w:hAnsi="Arial" w:cs="Arial"/>
        </w:rPr>
      </w:pPr>
    </w:p>
    <w:p w:rsidR="0089051D" w:rsidRPr="0089051D" w:rsidRDefault="0089051D" w:rsidP="004C5D2E">
      <w:pPr>
        <w:spacing w:after="0" w:line="240" w:lineRule="auto"/>
        <w:ind w:left="720"/>
        <w:jc w:val="both"/>
        <w:rPr>
          <w:rFonts w:ascii="Arial" w:hAnsi="Arial" w:cs="Arial"/>
          <w:bCs/>
        </w:rPr>
      </w:pPr>
      <w:r w:rsidRPr="0089051D">
        <w:rPr>
          <w:rFonts w:ascii="Arial" w:hAnsi="Arial" w:cs="Arial"/>
        </w:rPr>
        <w:t xml:space="preserve">The definition of a distribution under this model will therefore, be critical. If actual ‘cash’ distributions are likely to be required for the trustee to obtain a deduction, this could impose financing difficulties for </w:t>
      </w:r>
      <w:r w:rsidR="002C5BF5">
        <w:rPr>
          <w:rFonts w:ascii="Arial" w:hAnsi="Arial" w:cs="Arial"/>
        </w:rPr>
        <w:t>small</w:t>
      </w:r>
      <w:r w:rsidRPr="0089051D">
        <w:rPr>
          <w:rFonts w:ascii="Arial" w:hAnsi="Arial" w:cs="Arial"/>
        </w:rPr>
        <w:t xml:space="preserve"> businesses unless unpaid distributions are also allowed</w:t>
      </w:r>
      <w:r w:rsidR="002C5BF5">
        <w:rPr>
          <w:rFonts w:ascii="Arial" w:hAnsi="Arial" w:cs="Arial"/>
        </w:rPr>
        <w:t>.</w:t>
      </w:r>
      <w:r w:rsidRPr="0089051D">
        <w:rPr>
          <w:rFonts w:ascii="Arial" w:hAnsi="Arial" w:cs="Arial"/>
        </w:rPr>
        <w:t xml:space="preserve"> </w:t>
      </w:r>
      <w:r w:rsidRPr="0089051D">
        <w:rPr>
          <w:rFonts w:ascii="Arial" w:hAnsi="Arial" w:cs="Arial"/>
          <w:lang w:val="en" w:bidi="en-US"/>
        </w:rPr>
        <w:t>The consultation paper does not address the issue of subsequent distributions by trustees of unallocated amounts which have already borne a level of trustee tax.</w:t>
      </w:r>
      <w:r w:rsidR="002C5BF5">
        <w:rPr>
          <w:rFonts w:ascii="Arial" w:hAnsi="Arial" w:cs="Arial"/>
          <w:lang w:val="en" w:bidi="en-US"/>
        </w:rPr>
        <w:t xml:space="preserve"> Despite this reservation, in REIA’s view, t</w:t>
      </w:r>
      <w:r w:rsidRPr="0089051D">
        <w:rPr>
          <w:rFonts w:ascii="Arial" w:hAnsi="Arial" w:cs="Arial"/>
          <w:lang w:val="en" w:bidi="en-US"/>
        </w:rPr>
        <w:t>he TAD model</w:t>
      </w:r>
      <w:r w:rsidR="002C5BF5">
        <w:rPr>
          <w:rFonts w:ascii="Arial" w:hAnsi="Arial" w:cs="Arial"/>
          <w:lang w:val="en" w:bidi="en-US"/>
        </w:rPr>
        <w:t xml:space="preserve"> </w:t>
      </w:r>
      <w:r w:rsidRPr="0089051D">
        <w:rPr>
          <w:rFonts w:ascii="Arial" w:hAnsi="Arial" w:cs="Arial"/>
          <w:lang w:val="en" w:bidi="en-US"/>
        </w:rPr>
        <w:t xml:space="preserve">has the potential to reduce complexity and compliance costs </w:t>
      </w:r>
      <w:r w:rsidR="00146EF6">
        <w:rPr>
          <w:rFonts w:ascii="Arial" w:hAnsi="Arial" w:cs="Arial"/>
          <w:lang w:val="en" w:bidi="en-US"/>
        </w:rPr>
        <w:t xml:space="preserve">in </w:t>
      </w:r>
      <w:r w:rsidRPr="0089051D">
        <w:rPr>
          <w:rFonts w:ascii="Arial" w:hAnsi="Arial" w:cs="Arial"/>
          <w:lang w:val="en" w:bidi="en-US"/>
        </w:rPr>
        <w:t>determin</w:t>
      </w:r>
      <w:r w:rsidR="002C5BF5">
        <w:rPr>
          <w:rFonts w:ascii="Arial" w:hAnsi="Arial" w:cs="Arial"/>
          <w:lang w:val="en" w:bidi="en-US"/>
        </w:rPr>
        <w:t>ing</w:t>
      </w:r>
      <w:r w:rsidRPr="0089051D">
        <w:rPr>
          <w:rFonts w:ascii="Arial" w:hAnsi="Arial" w:cs="Arial"/>
          <w:lang w:val="en" w:bidi="en-US"/>
        </w:rPr>
        <w:t xml:space="preserve"> the tax liabilities of the beneficiaries and trustees of the trust</w:t>
      </w:r>
      <w:r w:rsidR="002C5BF5">
        <w:rPr>
          <w:rFonts w:ascii="Arial" w:hAnsi="Arial" w:cs="Arial"/>
          <w:lang w:val="en" w:bidi="en-US"/>
        </w:rPr>
        <w:t>.</w:t>
      </w:r>
      <w:r w:rsidRPr="0089051D">
        <w:rPr>
          <w:rFonts w:ascii="Arial" w:hAnsi="Arial" w:cs="Arial"/>
          <w:lang w:val="en" w:bidi="en-US"/>
        </w:rPr>
        <w:t xml:space="preserve"> </w:t>
      </w:r>
    </w:p>
    <w:p w:rsidR="0089051D" w:rsidRPr="0089051D" w:rsidRDefault="0089051D" w:rsidP="004C5D2E">
      <w:pPr>
        <w:spacing w:after="0" w:line="240" w:lineRule="auto"/>
        <w:ind w:left="720"/>
        <w:jc w:val="both"/>
        <w:rPr>
          <w:rFonts w:ascii="Arial" w:hAnsi="Arial" w:cs="Arial"/>
          <w:lang w:val="en"/>
        </w:rPr>
      </w:pPr>
    </w:p>
    <w:p w:rsidR="00A074D2" w:rsidRDefault="00A074D2" w:rsidP="004C5D2E">
      <w:pPr>
        <w:spacing w:after="0" w:line="240" w:lineRule="auto"/>
        <w:ind w:left="720"/>
        <w:jc w:val="both"/>
        <w:rPr>
          <w:rFonts w:ascii="Arial" w:hAnsi="Arial" w:cs="Arial"/>
          <w:i/>
          <w:lang w:val="en"/>
        </w:rPr>
      </w:pPr>
    </w:p>
    <w:p w:rsidR="00DE6375" w:rsidRDefault="00DE6375" w:rsidP="004C5D2E">
      <w:pPr>
        <w:spacing w:after="0"/>
        <w:ind w:firstLine="720"/>
        <w:jc w:val="both"/>
        <w:rPr>
          <w:rFonts w:ascii="Arial" w:hAnsi="Arial" w:cs="Arial"/>
          <w:b/>
        </w:rPr>
      </w:pPr>
      <w:r>
        <w:rPr>
          <w:rFonts w:ascii="Arial" w:hAnsi="Arial" w:cs="Arial"/>
          <w:b/>
        </w:rPr>
        <w:t xml:space="preserve">REIA Recommendations </w:t>
      </w:r>
    </w:p>
    <w:p w:rsidR="00DB1F78" w:rsidRPr="0073347D" w:rsidRDefault="00DB1F78" w:rsidP="004C5D2E">
      <w:pPr>
        <w:spacing w:after="0"/>
        <w:ind w:left="720"/>
        <w:jc w:val="both"/>
        <w:rPr>
          <w:rFonts w:ascii="Arial" w:hAnsi="Arial" w:cs="Arial"/>
          <w:b/>
        </w:rPr>
      </w:pPr>
    </w:p>
    <w:p w:rsidR="0050583C" w:rsidRDefault="00BB4088" w:rsidP="004C5D2E">
      <w:pPr>
        <w:spacing w:after="0" w:line="240" w:lineRule="auto"/>
        <w:ind w:firstLine="720"/>
        <w:jc w:val="both"/>
        <w:rPr>
          <w:rFonts w:ascii="Arial" w:hAnsi="Arial" w:cs="Arial"/>
          <w:b/>
          <w:i/>
        </w:rPr>
      </w:pPr>
      <w:r w:rsidRPr="00BB4088">
        <w:rPr>
          <w:rFonts w:ascii="Arial" w:hAnsi="Arial" w:cs="Arial"/>
          <w:b/>
          <w:i/>
        </w:rPr>
        <w:t xml:space="preserve">The REIA recommends </w:t>
      </w:r>
      <w:r w:rsidR="00DE6375">
        <w:rPr>
          <w:rFonts w:ascii="Arial" w:hAnsi="Arial" w:cs="Arial"/>
          <w:b/>
          <w:i/>
        </w:rPr>
        <w:t xml:space="preserve">that </w:t>
      </w:r>
      <w:r w:rsidR="00BA3572">
        <w:rPr>
          <w:rFonts w:ascii="Arial" w:hAnsi="Arial" w:cs="Arial"/>
          <w:b/>
          <w:i/>
        </w:rPr>
        <w:t>Government</w:t>
      </w:r>
      <w:r w:rsidR="00401931">
        <w:rPr>
          <w:rFonts w:ascii="Arial" w:hAnsi="Arial" w:cs="Arial"/>
          <w:b/>
          <w:i/>
        </w:rPr>
        <w:t>:</w:t>
      </w:r>
    </w:p>
    <w:p w:rsidR="002A6472" w:rsidRPr="002A6472" w:rsidRDefault="002A6472" w:rsidP="004C5D2E">
      <w:pPr>
        <w:numPr>
          <w:ilvl w:val="0"/>
          <w:numId w:val="16"/>
        </w:numPr>
        <w:spacing w:after="0" w:line="240" w:lineRule="auto"/>
        <w:jc w:val="both"/>
        <w:rPr>
          <w:rFonts w:ascii="Arial" w:hAnsi="Arial" w:cs="Arial"/>
          <w:b/>
          <w:i/>
          <w:lang w:bidi="en-US"/>
        </w:rPr>
      </w:pPr>
      <w:r>
        <w:rPr>
          <w:rFonts w:ascii="Arial" w:hAnsi="Arial" w:cs="Arial"/>
          <w:b/>
          <w:i/>
          <w:lang w:val="en"/>
        </w:rPr>
        <w:t xml:space="preserve">Put in place </w:t>
      </w:r>
      <w:r w:rsidRPr="002A6472">
        <w:rPr>
          <w:rFonts w:ascii="Arial" w:hAnsi="Arial" w:cs="Arial"/>
          <w:b/>
          <w:i/>
          <w:lang w:val="en"/>
        </w:rPr>
        <w:t xml:space="preserve">changes </w:t>
      </w:r>
      <w:r>
        <w:rPr>
          <w:rFonts w:ascii="Arial" w:hAnsi="Arial" w:cs="Arial"/>
          <w:b/>
          <w:i/>
          <w:lang w:val="en"/>
        </w:rPr>
        <w:t xml:space="preserve">to the </w:t>
      </w:r>
      <w:r w:rsidRPr="002A6472">
        <w:rPr>
          <w:rFonts w:ascii="Arial" w:hAnsi="Arial" w:cs="Arial"/>
          <w:b/>
          <w:i/>
        </w:rPr>
        <w:t xml:space="preserve">taxation treatment of trusts </w:t>
      </w:r>
      <w:r w:rsidRPr="002A6472">
        <w:rPr>
          <w:rFonts w:ascii="Arial" w:hAnsi="Arial" w:cs="Arial"/>
          <w:b/>
          <w:i/>
          <w:lang w:val="en"/>
        </w:rPr>
        <w:t xml:space="preserve">that increase certainty and reduce compliance costs. </w:t>
      </w:r>
    </w:p>
    <w:p w:rsidR="002A6472" w:rsidRPr="002A6472" w:rsidRDefault="00F6396D" w:rsidP="004C5D2E">
      <w:pPr>
        <w:numPr>
          <w:ilvl w:val="0"/>
          <w:numId w:val="16"/>
        </w:numPr>
        <w:spacing w:after="0" w:line="240" w:lineRule="auto"/>
        <w:jc w:val="both"/>
        <w:rPr>
          <w:rFonts w:ascii="Arial" w:hAnsi="Arial" w:cs="Arial"/>
          <w:b/>
          <w:i/>
          <w:lang w:bidi="en-US"/>
        </w:rPr>
      </w:pPr>
      <w:r>
        <w:rPr>
          <w:rFonts w:ascii="Arial" w:hAnsi="Arial" w:cs="Arial"/>
          <w:b/>
          <w:i/>
          <w:lang w:val="en" w:bidi="en-US"/>
        </w:rPr>
        <w:t>L</w:t>
      </w:r>
      <w:r w:rsidRPr="00F6396D">
        <w:rPr>
          <w:rFonts w:ascii="Arial" w:hAnsi="Arial" w:cs="Arial"/>
          <w:b/>
          <w:i/>
          <w:lang w:val="en" w:bidi="en-US"/>
        </w:rPr>
        <w:t>eave existing trusts intact</w:t>
      </w:r>
    </w:p>
    <w:p w:rsidR="00BB4088" w:rsidRPr="00C6545C" w:rsidRDefault="00A074D2" w:rsidP="004C5D2E">
      <w:pPr>
        <w:numPr>
          <w:ilvl w:val="0"/>
          <w:numId w:val="16"/>
        </w:numPr>
        <w:spacing w:after="0" w:line="240" w:lineRule="auto"/>
        <w:jc w:val="both"/>
        <w:rPr>
          <w:rFonts w:ascii="Arial" w:hAnsi="Arial" w:cs="Arial"/>
          <w:b/>
          <w:i/>
        </w:rPr>
      </w:pPr>
      <w:r>
        <w:rPr>
          <w:rFonts w:ascii="Arial" w:hAnsi="Arial" w:cs="Arial"/>
          <w:b/>
          <w:i/>
          <w:lang w:val="en"/>
        </w:rPr>
        <w:t>I</w:t>
      </w:r>
      <w:r w:rsidR="00C6545C" w:rsidRPr="00C6545C">
        <w:rPr>
          <w:rFonts w:ascii="Arial" w:hAnsi="Arial" w:cs="Arial"/>
          <w:b/>
          <w:i/>
          <w:lang w:val="en"/>
        </w:rPr>
        <w:t>nclu</w:t>
      </w:r>
      <w:r>
        <w:rPr>
          <w:rFonts w:ascii="Arial" w:hAnsi="Arial" w:cs="Arial"/>
          <w:b/>
          <w:i/>
          <w:lang w:val="en"/>
        </w:rPr>
        <w:t xml:space="preserve">de the provision </w:t>
      </w:r>
      <w:r w:rsidR="00C6545C" w:rsidRPr="00C6545C">
        <w:rPr>
          <w:rFonts w:ascii="Arial" w:hAnsi="Arial" w:cs="Arial"/>
          <w:b/>
          <w:i/>
          <w:lang w:val="en"/>
        </w:rPr>
        <w:t>of transitional arrangements</w:t>
      </w:r>
    </w:p>
    <w:p w:rsidR="00A074D2" w:rsidRPr="00A074D2" w:rsidRDefault="0089051D" w:rsidP="004C5D2E">
      <w:pPr>
        <w:numPr>
          <w:ilvl w:val="0"/>
          <w:numId w:val="16"/>
        </w:numPr>
        <w:spacing w:after="0" w:line="240" w:lineRule="auto"/>
        <w:jc w:val="both"/>
        <w:rPr>
          <w:rFonts w:ascii="Arial" w:hAnsi="Arial" w:cs="Arial"/>
          <w:b/>
          <w:i/>
          <w:lang w:val="en"/>
        </w:rPr>
      </w:pPr>
      <w:r>
        <w:rPr>
          <w:rFonts w:ascii="Arial" w:hAnsi="Arial" w:cs="Arial"/>
          <w:b/>
          <w:i/>
          <w:lang w:val="en"/>
        </w:rPr>
        <w:t xml:space="preserve">Introduce any changes only after </w:t>
      </w:r>
      <w:r w:rsidR="00A074D2" w:rsidRPr="00A074D2">
        <w:rPr>
          <w:rFonts w:ascii="Arial" w:hAnsi="Arial" w:cs="Arial"/>
          <w:b/>
          <w:i/>
          <w:lang w:val="en"/>
        </w:rPr>
        <w:t>a comprehensive education campaign</w:t>
      </w:r>
    </w:p>
    <w:p w:rsidR="00A074D2" w:rsidRDefault="00A074D2" w:rsidP="004C5D2E">
      <w:pPr>
        <w:spacing w:after="0" w:line="240" w:lineRule="auto"/>
        <w:ind w:left="1080"/>
        <w:jc w:val="both"/>
        <w:rPr>
          <w:rFonts w:ascii="Arial" w:hAnsi="Arial" w:cs="Arial"/>
          <w:i/>
          <w:lang w:val="en"/>
        </w:rPr>
      </w:pPr>
    </w:p>
    <w:p w:rsidR="00865152" w:rsidRPr="0073347D" w:rsidRDefault="00865152" w:rsidP="00986500">
      <w:pPr>
        <w:spacing w:after="0"/>
        <w:ind w:firstLine="720"/>
        <w:jc w:val="both"/>
        <w:rPr>
          <w:rFonts w:ascii="Arial" w:hAnsi="Arial" w:cs="Arial"/>
        </w:rPr>
      </w:pPr>
      <w:r w:rsidRPr="0073347D">
        <w:rPr>
          <w:rFonts w:ascii="Arial" w:hAnsi="Arial" w:cs="Arial"/>
        </w:rPr>
        <w:t>Prepared by:</w:t>
      </w:r>
    </w:p>
    <w:p w:rsidR="00986500" w:rsidRDefault="00865152" w:rsidP="004C5D2E">
      <w:pPr>
        <w:spacing w:after="0"/>
        <w:ind w:firstLine="720"/>
        <w:jc w:val="both"/>
        <w:rPr>
          <w:rFonts w:ascii="Arial" w:hAnsi="Arial" w:cs="Arial"/>
        </w:rPr>
      </w:pPr>
      <w:r w:rsidRPr="0073347D">
        <w:rPr>
          <w:rFonts w:ascii="Arial" w:hAnsi="Arial" w:cs="Arial"/>
        </w:rPr>
        <w:t>Secretariat</w:t>
      </w:r>
      <w:r w:rsidR="00151882">
        <w:rPr>
          <w:rFonts w:ascii="Arial" w:hAnsi="Arial" w:cs="Arial"/>
        </w:rPr>
        <w:t>,</w:t>
      </w:r>
      <w:r w:rsidRPr="0073347D">
        <w:rPr>
          <w:rFonts w:ascii="Arial" w:hAnsi="Arial" w:cs="Arial"/>
        </w:rPr>
        <w:t xml:space="preserve"> REIA</w:t>
      </w:r>
    </w:p>
    <w:p w:rsidR="00DB1F78" w:rsidRPr="0073347D" w:rsidRDefault="00B05F02" w:rsidP="00986500">
      <w:pPr>
        <w:spacing w:after="0"/>
        <w:ind w:firstLine="720"/>
        <w:jc w:val="both"/>
        <w:rPr>
          <w:rFonts w:ascii="Arial" w:hAnsi="Arial" w:cs="Arial"/>
          <w:b/>
        </w:rPr>
      </w:pPr>
      <w:r>
        <w:rPr>
          <w:rFonts w:ascii="Arial" w:hAnsi="Arial" w:cs="Arial"/>
        </w:rPr>
        <w:t>February</w:t>
      </w:r>
      <w:r w:rsidR="002B1E8E" w:rsidRPr="0073347D">
        <w:rPr>
          <w:rFonts w:ascii="Arial" w:hAnsi="Arial" w:cs="Arial"/>
        </w:rPr>
        <w:t>, 201</w:t>
      </w:r>
      <w:r>
        <w:rPr>
          <w:rFonts w:ascii="Arial" w:hAnsi="Arial" w:cs="Arial"/>
        </w:rPr>
        <w:t>2</w:t>
      </w:r>
    </w:p>
    <w:sectPr w:rsidR="00DB1F78" w:rsidRPr="0073347D" w:rsidSect="003A5768">
      <w:headerReference w:type="default" r:id="rId10"/>
      <w:footerReference w:type="default" r:id="rId11"/>
      <w:pgSz w:w="12240" w:h="15840"/>
      <w:pgMar w:top="1134" w:right="1304" w:bottom="709" w:left="115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ACC" w:rsidRDefault="001B2ACC" w:rsidP="0026161F">
      <w:pPr>
        <w:spacing w:after="0" w:line="240" w:lineRule="auto"/>
      </w:pPr>
      <w:r>
        <w:separator/>
      </w:r>
    </w:p>
  </w:endnote>
  <w:endnote w:type="continuationSeparator" w:id="0">
    <w:p w:rsidR="001B2ACC" w:rsidRDefault="001B2ACC" w:rsidP="0026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2E" w:rsidRDefault="004C5D2E">
    <w:pPr>
      <w:pStyle w:val="Footer"/>
      <w:jc w:val="right"/>
    </w:pPr>
  </w:p>
  <w:p w:rsidR="004C5D2E" w:rsidRDefault="004C5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ACC" w:rsidRDefault="001B2ACC" w:rsidP="0026161F">
      <w:pPr>
        <w:spacing w:after="0" w:line="240" w:lineRule="auto"/>
      </w:pPr>
      <w:r>
        <w:separator/>
      </w:r>
    </w:p>
  </w:footnote>
  <w:footnote w:type="continuationSeparator" w:id="0">
    <w:p w:rsidR="001B2ACC" w:rsidRDefault="001B2ACC" w:rsidP="002616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2E" w:rsidRPr="001F2D27" w:rsidRDefault="004C5D2E">
    <w:pPr>
      <w:pStyle w:val="Header"/>
      <w:jc w:val="center"/>
      <w:rPr>
        <w:rFonts w:ascii="Arial" w:hAnsi="Arial" w:cs="Arial"/>
      </w:rPr>
    </w:pPr>
    <w:r w:rsidRPr="001F2D27">
      <w:rPr>
        <w:rFonts w:ascii="Arial" w:hAnsi="Arial" w:cs="Arial"/>
      </w:rPr>
      <w:fldChar w:fldCharType="begin"/>
    </w:r>
    <w:r w:rsidRPr="001F2D27">
      <w:rPr>
        <w:rFonts w:ascii="Arial" w:hAnsi="Arial" w:cs="Arial"/>
      </w:rPr>
      <w:instrText xml:space="preserve"> PAGE   \* MERGEFORMAT </w:instrText>
    </w:r>
    <w:r w:rsidRPr="001F2D27">
      <w:rPr>
        <w:rFonts w:ascii="Arial" w:hAnsi="Arial" w:cs="Arial"/>
      </w:rPr>
      <w:fldChar w:fldCharType="separate"/>
    </w:r>
    <w:r w:rsidR="00790594">
      <w:rPr>
        <w:rFonts w:ascii="Arial" w:hAnsi="Arial" w:cs="Arial"/>
        <w:noProof/>
      </w:rPr>
      <w:t>2</w:t>
    </w:r>
    <w:r w:rsidRPr="001F2D27">
      <w:rPr>
        <w:rFonts w:ascii="Arial" w:hAnsi="Arial" w:cs="Arial"/>
      </w:rPr>
      <w:fldChar w:fldCharType="end"/>
    </w:r>
  </w:p>
  <w:p w:rsidR="004C5D2E" w:rsidRPr="0026161F" w:rsidRDefault="004C5D2E" w:rsidP="0026161F">
    <w:pPr>
      <w:pStyle w:val="Header"/>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236B"/>
    <w:multiLevelType w:val="hybridMultilevel"/>
    <w:tmpl w:val="370AC940"/>
    <w:lvl w:ilvl="0" w:tplc="2100866A">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39A69BF"/>
    <w:multiLevelType w:val="hybridMultilevel"/>
    <w:tmpl w:val="290E851E"/>
    <w:lvl w:ilvl="0" w:tplc="67DE4E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617A9"/>
    <w:multiLevelType w:val="hybridMultilevel"/>
    <w:tmpl w:val="D1982DDC"/>
    <w:lvl w:ilvl="0" w:tplc="C77A4A90">
      <w:start w:val="1"/>
      <w:numFmt w:val="decimal"/>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7A2EB0"/>
    <w:multiLevelType w:val="hybridMultilevel"/>
    <w:tmpl w:val="C71282AA"/>
    <w:lvl w:ilvl="0" w:tplc="67DE4E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6173B"/>
    <w:multiLevelType w:val="hybridMultilevel"/>
    <w:tmpl w:val="B2E0D1DE"/>
    <w:lvl w:ilvl="0" w:tplc="67DE4EAA">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A734B3C"/>
    <w:multiLevelType w:val="hybridMultilevel"/>
    <w:tmpl w:val="D3F86A6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nsid w:val="301D7FE2"/>
    <w:multiLevelType w:val="hybridMultilevel"/>
    <w:tmpl w:val="AF62A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821F4B"/>
    <w:multiLevelType w:val="hybridMultilevel"/>
    <w:tmpl w:val="3CF4C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726F20"/>
    <w:multiLevelType w:val="hybridMultilevel"/>
    <w:tmpl w:val="C37C0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36A7ABE"/>
    <w:multiLevelType w:val="hybridMultilevel"/>
    <w:tmpl w:val="FC84D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EC23B1"/>
    <w:multiLevelType w:val="hybridMultilevel"/>
    <w:tmpl w:val="D248B5E2"/>
    <w:lvl w:ilvl="0" w:tplc="75907DDC">
      <w:start w:val="1"/>
      <w:numFmt w:val="decimal"/>
      <w:lvlText w:val="%1."/>
      <w:lvlJc w:val="left"/>
      <w:pPr>
        <w:ind w:left="1080" w:hanging="360"/>
      </w:pPr>
      <w:rPr>
        <w:rFonts w:hint="default"/>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5AFC4433"/>
    <w:multiLevelType w:val="hybridMultilevel"/>
    <w:tmpl w:val="26AA93C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nsid w:val="5D1C4C4E"/>
    <w:multiLevelType w:val="hybridMultilevel"/>
    <w:tmpl w:val="2F486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6E66170"/>
    <w:multiLevelType w:val="hybridMultilevel"/>
    <w:tmpl w:val="FD6E252E"/>
    <w:lvl w:ilvl="0" w:tplc="E5162B3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68C2252A"/>
    <w:multiLevelType w:val="multilevel"/>
    <w:tmpl w:val="DC50A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9514A1"/>
    <w:multiLevelType w:val="hybridMultilevel"/>
    <w:tmpl w:val="F4502460"/>
    <w:lvl w:ilvl="0" w:tplc="5724675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7A334E47"/>
    <w:multiLevelType w:val="hybridMultilevel"/>
    <w:tmpl w:val="77047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3"/>
  </w:num>
  <w:num w:numId="3">
    <w:abstractNumId w:val="15"/>
  </w:num>
  <w:num w:numId="4">
    <w:abstractNumId w:val="5"/>
  </w:num>
  <w:num w:numId="5">
    <w:abstractNumId w:val="1"/>
  </w:num>
  <w:num w:numId="6">
    <w:abstractNumId w:val="4"/>
  </w:num>
  <w:num w:numId="7">
    <w:abstractNumId w:val="3"/>
  </w:num>
  <w:num w:numId="8">
    <w:abstractNumId w:val="9"/>
  </w:num>
  <w:num w:numId="9">
    <w:abstractNumId w:val="7"/>
  </w:num>
  <w:num w:numId="10">
    <w:abstractNumId w:val="14"/>
  </w:num>
  <w:num w:numId="11">
    <w:abstractNumId w:val="16"/>
  </w:num>
  <w:num w:numId="12">
    <w:abstractNumId w:val="12"/>
  </w:num>
  <w:num w:numId="13">
    <w:abstractNumId w:val="6"/>
  </w:num>
  <w:num w:numId="14">
    <w:abstractNumId w:val="11"/>
  </w:num>
  <w:num w:numId="15">
    <w:abstractNumId w:val="2"/>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E5D"/>
    <w:rsid w:val="00000523"/>
    <w:rsid w:val="00003E7F"/>
    <w:rsid w:val="00004428"/>
    <w:rsid w:val="00006341"/>
    <w:rsid w:val="00013711"/>
    <w:rsid w:val="000142C2"/>
    <w:rsid w:val="00030BA7"/>
    <w:rsid w:val="00031393"/>
    <w:rsid w:val="0003330F"/>
    <w:rsid w:val="00041EF0"/>
    <w:rsid w:val="00044416"/>
    <w:rsid w:val="00045561"/>
    <w:rsid w:val="00045DC0"/>
    <w:rsid w:val="00046AF8"/>
    <w:rsid w:val="00055C73"/>
    <w:rsid w:val="0006152E"/>
    <w:rsid w:val="00093483"/>
    <w:rsid w:val="000A3FB0"/>
    <w:rsid w:val="000A5536"/>
    <w:rsid w:val="000A6906"/>
    <w:rsid w:val="000B40BE"/>
    <w:rsid w:val="000B4C82"/>
    <w:rsid w:val="000C5C2B"/>
    <w:rsid w:val="000C7AB3"/>
    <w:rsid w:val="000D1637"/>
    <w:rsid w:val="000D7515"/>
    <w:rsid w:val="000E02EF"/>
    <w:rsid w:val="000E5956"/>
    <w:rsid w:val="000F1594"/>
    <w:rsid w:val="001139B9"/>
    <w:rsid w:val="00130AAA"/>
    <w:rsid w:val="0014395B"/>
    <w:rsid w:val="00144DDF"/>
    <w:rsid w:val="00145DD2"/>
    <w:rsid w:val="00146EF6"/>
    <w:rsid w:val="00151882"/>
    <w:rsid w:val="0016024C"/>
    <w:rsid w:val="001613D7"/>
    <w:rsid w:val="00162949"/>
    <w:rsid w:val="001656F2"/>
    <w:rsid w:val="0017187A"/>
    <w:rsid w:val="00177E3E"/>
    <w:rsid w:val="00181741"/>
    <w:rsid w:val="00197089"/>
    <w:rsid w:val="001A2F1C"/>
    <w:rsid w:val="001B167D"/>
    <w:rsid w:val="001B2ACC"/>
    <w:rsid w:val="001B7550"/>
    <w:rsid w:val="001C5147"/>
    <w:rsid w:val="001E2A39"/>
    <w:rsid w:val="001E3157"/>
    <w:rsid w:val="001E58ED"/>
    <w:rsid w:val="001F0F75"/>
    <w:rsid w:val="001F2D27"/>
    <w:rsid w:val="001F7E95"/>
    <w:rsid w:val="002037A9"/>
    <w:rsid w:val="00203E34"/>
    <w:rsid w:val="00206D81"/>
    <w:rsid w:val="00226F58"/>
    <w:rsid w:val="002327CD"/>
    <w:rsid w:val="0023347D"/>
    <w:rsid w:val="002369EB"/>
    <w:rsid w:val="00243D05"/>
    <w:rsid w:val="002441BC"/>
    <w:rsid w:val="002470B0"/>
    <w:rsid w:val="0026161F"/>
    <w:rsid w:val="00266F1A"/>
    <w:rsid w:val="0026764E"/>
    <w:rsid w:val="00290A10"/>
    <w:rsid w:val="00293E5D"/>
    <w:rsid w:val="00294114"/>
    <w:rsid w:val="00296D8F"/>
    <w:rsid w:val="002A01BE"/>
    <w:rsid w:val="002A168F"/>
    <w:rsid w:val="002A6472"/>
    <w:rsid w:val="002A7FE1"/>
    <w:rsid w:val="002B1E8E"/>
    <w:rsid w:val="002B5642"/>
    <w:rsid w:val="002C1CA8"/>
    <w:rsid w:val="002C3FCF"/>
    <w:rsid w:val="002C5BF5"/>
    <w:rsid w:val="002C7529"/>
    <w:rsid w:val="002D5FD9"/>
    <w:rsid w:val="002E0BF4"/>
    <w:rsid w:val="002E7C6C"/>
    <w:rsid w:val="002F6417"/>
    <w:rsid w:val="00337D6D"/>
    <w:rsid w:val="00350732"/>
    <w:rsid w:val="003530EC"/>
    <w:rsid w:val="00365693"/>
    <w:rsid w:val="00370C70"/>
    <w:rsid w:val="00371EA7"/>
    <w:rsid w:val="003727BD"/>
    <w:rsid w:val="00373245"/>
    <w:rsid w:val="00390D35"/>
    <w:rsid w:val="003A0AAE"/>
    <w:rsid w:val="003A369A"/>
    <w:rsid w:val="003A5768"/>
    <w:rsid w:val="003B7ED4"/>
    <w:rsid w:val="003D1E28"/>
    <w:rsid w:val="003D6647"/>
    <w:rsid w:val="003E14D3"/>
    <w:rsid w:val="003F400C"/>
    <w:rsid w:val="003F6FDD"/>
    <w:rsid w:val="00401931"/>
    <w:rsid w:val="004038E2"/>
    <w:rsid w:val="004046B6"/>
    <w:rsid w:val="004054DD"/>
    <w:rsid w:val="00407A7C"/>
    <w:rsid w:val="004143EC"/>
    <w:rsid w:val="0041481A"/>
    <w:rsid w:val="00420A67"/>
    <w:rsid w:val="00421991"/>
    <w:rsid w:val="004317E5"/>
    <w:rsid w:val="0043276E"/>
    <w:rsid w:val="00436374"/>
    <w:rsid w:val="00444FD3"/>
    <w:rsid w:val="0045134E"/>
    <w:rsid w:val="0046364D"/>
    <w:rsid w:val="0047716A"/>
    <w:rsid w:val="00480477"/>
    <w:rsid w:val="00480B70"/>
    <w:rsid w:val="004912DD"/>
    <w:rsid w:val="0049490D"/>
    <w:rsid w:val="004A5E37"/>
    <w:rsid w:val="004B7C3B"/>
    <w:rsid w:val="004C5D2E"/>
    <w:rsid w:val="004D1348"/>
    <w:rsid w:val="004D3B1E"/>
    <w:rsid w:val="004F37E1"/>
    <w:rsid w:val="0050583C"/>
    <w:rsid w:val="0051182E"/>
    <w:rsid w:val="005159EA"/>
    <w:rsid w:val="005237DA"/>
    <w:rsid w:val="00534CB0"/>
    <w:rsid w:val="00540F08"/>
    <w:rsid w:val="00547326"/>
    <w:rsid w:val="00562732"/>
    <w:rsid w:val="00572EE7"/>
    <w:rsid w:val="00587C62"/>
    <w:rsid w:val="00593C4F"/>
    <w:rsid w:val="00594114"/>
    <w:rsid w:val="005955FF"/>
    <w:rsid w:val="005A3299"/>
    <w:rsid w:val="005D2340"/>
    <w:rsid w:val="005F5C04"/>
    <w:rsid w:val="00603807"/>
    <w:rsid w:val="0060387D"/>
    <w:rsid w:val="00603A7D"/>
    <w:rsid w:val="00604F3E"/>
    <w:rsid w:val="00622A0D"/>
    <w:rsid w:val="006253C2"/>
    <w:rsid w:val="00626D39"/>
    <w:rsid w:val="00631869"/>
    <w:rsid w:val="00640AC3"/>
    <w:rsid w:val="00646BF5"/>
    <w:rsid w:val="006504DF"/>
    <w:rsid w:val="0065207B"/>
    <w:rsid w:val="00656833"/>
    <w:rsid w:val="00667308"/>
    <w:rsid w:val="00670DF7"/>
    <w:rsid w:val="006841DF"/>
    <w:rsid w:val="00690E6E"/>
    <w:rsid w:val="006A3E53"/>
    <w:rsid w:val="006A4F16"/>
    <w:rsid w:val="006B67A7"/>
    <w:rsid w:val="006C2F42"/>
    <w:rsid w:val="006D75E4"/>
    <w:rsid w:val="006E213F"/>
    <w:rsid w:val="006E52FA"/>
    <w:rsid w:val="006E55F7"/>
    <w:rsid w:val="006F0703"/>
    <w:rsid w:val="006F3B79"/>
    <w:rsid w:val="007008E1"/>
    <w:rsid w:val="0072429F"/>
    <w:rsid w:val="00727BDE"/>
    <w:rsid w:val="00730500"/>
    <w:rsid w:val="0073139A"/>
    <w:rsid w:val="0073347D"/>
    <w:rsid w:val="00733F1D"/>
    <w:rsid w:val="00740103"/>
    <w:rsid w:val="00761FEB"/>
    <w:rsid w:val="00770FE0"/>
    <w:rsid w:val="00771025"/>
    <w:rsid w:val="00771623"/>
    <w:rsid w:val="00773809"/>
    <w:rsid w:val="00775DF8"/>
    <w:rsid w:val="007808B5"/>
    <w:rsid w:val="00790594"/>
    <w:rsid w:val="007918C7"/>
    <w:rsid w:val="007A2955"/>
    <w:rsid w:val="007A4411"/>
    <w:rsid w:val="007B541C"/>
    <w:rsid w:val="007C01AD"/>
    <w:rsid w:val="007C50DF"/>
    <w:rsid w:val="007E032E"/>
    <w:rsid w:val="007F1D7D"/>
    <w:rsid w:val="007F222D"/>
    <w:rsid w:val="008018ED"/>
    <w:rsid w:val="0081194E"/>
    <w:rsid w:val="00812619"/>
    <w:rsid w:val="0081509B"/>
    <w:rsid w:val="008174BB"/>
    <w:rsid w:val="00820BE6"/>
    <w:rsid w:val="008270E4"/>
    <w:rsid w:val="00831AEE"/>
    <w:rsid w:val="00832FE8"/>
    <w:rsid w:val="00834774"/>
    <w:rsid w:val="0083796C"/>
    <w:rsid w:val="008437CC"/>
    <w:rsid w:val="00844C90"/>
    <w:rsid w:val="00852C52"/>
    <w:rsid w:val="008545BA"/>
    <w:rsid w:val="00856736"/>
    <w:rsid w:val="00865152"/>
    <w:rsid w:val="00865CAD"/>
    <w:rsid w:val="008876FE"/>
    <w:rsid w:val="0089051D"/>
    <w:rsid w:val="008955AD"/>
    <w:rsid w:val="008B0DF4"/>
    <w:rsid w:val="008B26E1"/>
    <w:rsid w:val="008B4D60"/>
    <w:rsid w:val="008B596C"/>
    <w:rsid w:val="008C7A28"/>
    <w:rsid w:val="008E1A7E"/>
    <w:rsid w:val="008E4666"/>
    <w:rsid w:val="008E47AB"/>
    <w:rsid w:val="008F44D1"/>
    <w:rsid w:val="00902B02"/>
    <w:rsid w:val="00902CA5"/>
    <w:rsid w:val="00903641"/>
    <w:rsid w:val="009050DF"/>
    <w:rsid w:val="0091574F"/>
    <w:rsid w:val="009232AB"/>
    <w:rsid w:val="00930F54"/>
    <w:rsid w:val="009464C2"/>
    <w:rsid w:val="00951546"/>
    <w:rsid w:val="00963300"/>
    <w:rsid w:val="009724F7"/>
    <w:rsid w:val="00973D3C"/>
    <w:rsid w:val="009747D2"/>
    <w:rsid w:val="0097799C"/>
    <w:rsid w:val="00986500"/>
    <w:rsid w:val="00997248"/>
    <w:rsid w:val="009A3D64"/>
    <w:rsid w:val="009A671D"/>
    <w:rsid w:val="009B2DF8"/>
    <w:rsid w:val="009B3AD2"/>
    <w:rsid w:val="009B5CE8"/>
    <w:rsid w:val="009C035F"/>
    <w:rsid w:val="009C1531"/>
    <w:rsid w:val="009D212B"/>
    <w:rsid w:val="009E2A92"/>
    <w:rsid w:val="009E425F"/>
    <w:rsid w:val="009E740F"/>
    <w:rsid w:val="009F1B83"/>
    <w:rsid w:val="009F31EB"/>
    <w:rsid w:val="00A066ED"/>
    <w:rsid w:val="00A074D2"/>
    <w:rsid w:val="00A11351"/>
    <w:rsid w:val="00A57D64"/>
    <w:rsid w:val="00A67BC6"/>
    <w:rsid w:val="00A7573F"/>
    <w:rsid w:val="00A96711"/>
    <w:rsid w:val="00AA188E"/>
    <w:rsid w:val="00AA56FF"/>
    <w:rsid w:val="00AB6A3A"/>
    <w:rsid w:val="00AD051E"/>
    <w:rsid w:val="00AE515D"/>
    <w:rsid w:val="00AE7D37"/>
    <w:rsid w:val="00AF1FF2"/>
    <w:rsid w:val="00B01EE7"/>
    <w:rsid w:val="00B05F02"/>
    <w:rsid w:val="00B06EED"/>
    <w:rsid w:val="00B10A80"/>
    <w:rsid w:val="00B27DFD"/>
    <w:rsid w:val="00B317DE"/>
    <w:rsid w:val="00B40099"/>
    <w:rsid w:val="00B429EC"/>
    <w:rsid w:val="00B46BAE"/>
    <w:rsid w:val="00B51CFC"/>
    <w:rsid w:val="00B54B31"/>
    <w:rsid w:val="00B6463C"/>
    <w:rsid w:val="00B65678"/>
    <w:rsid w:val="00B7597C"/>
    <w:rsid w:val="00B847C3"/>
    <w:rsid w:val="00BA3572"/>
    <w:rsid w:val="00BA70FD"/>
    <w:rsid w:val="00BA774A"/>
    <w:rsid w:val="00BB4088"/>
    <w:rsid w:val="00BC0E41"/>
    <w:rsid w:val="00BC3221"/>
    <w:rsid w:val="00BC6356"/>
    <w:rsid w:val="00BD635D"/>
    <w:rsid w:val="00BD73C5"/>
    <w:rsid w:val="00BE1A0B"/>
    <w:rsid w:val="00C04E8B"/>
    <w:rsid w:val="00C052BE"/>
    <w:rsid w:val="00C0706A"/>
    <w:rsid w:val="00C112E0"/>
    <w:rsid w:val="00C227FD"/>
    <w:rsid w:val="00C264CA"/>
    <w:rsid w:val="00C32693"/>
    <w:rsid w:val="00C327EA"/>
    <w:rsid w:val="00C32D00"/>
    <w:rsid w:val="00C57CEB"/>
    <w:rsid w:val="00C62B63"/>
    <w:rsid w:val="00C6545C"/>
    <w:rsid w:val="00C83923"/>
    <w:rsid w:val="00C868AA"/>
    <w:rsid w:val="00C8797D"/>
    <w:rsid w:val="00CA30B1"/>
    <w:rsid w:val="00CB17AB"/>
    <w:rsid w:val="00CB651E"/>
    <w:rsid w:val="00CC575E"/>
    <w:rsid w:val="00CD0EB4"/>
    <w:rsid w:val="00CD1F0B"/>
    <w:rsid w:val="00CD2D9E"/>
    <w:rsid w:val="00CD3A0D"/>
    <w:rsid w:val="00CD5014"/>
    <w:rsid w:val="00CF3760"/>
    <w:rsid w:val="00CF5B55"/>
    <w:rsid w:val="00D04D4D"/>
    <w:rsid w:val="00D061F0"/>
    <w:rsid w:val="00D06E0F"/>
    <w:rsid w:val="00D34B21"/>
    <w:rsid w:val="00D36E81"/>
    <w:rsid w:val="00D4382A"/>
    <w:rsid w:val="00D46183"/>
    <w:rsid w:val="00D47853"/>
    <w:rsid w:val="00D54D07"/>
    <w:rsid w:val="00D562F4"/>
    <w:rsid w:val="00D5668F"/>
    <w:rsid w:val="00D56D64"/>
    <w:rsid w:val="00D74B51"/>
    <w:rsid w:val="00D76E1E"/>
    <w:rsid w:val="00D81F71"/>
    <w:rsid w:val="00D825E9"/>
    <w:rsid w:val="00D83162"/>
    <w:rsid w:val="00D949D3"/>
    <w:rsid w:val="00DA072D"/>
    <w:rsid w:val="00DA19FA"/>
    <w:rsid w:val="00DA1B22"/>
    <w:rsid w:val="00DA555B"/>
    <w:rsid w:val="00DB1F78"/>
    <w:rsid w:val="00DB7F1D"/>
    <w:rsid w:val="00DD5C8F"/>
    <w:rsid w:val="00DE6375"/>
    <w:rsid w:val="00E03199"/>
    <w:rsid w:val="00E050AF"/>
    <w:rsid w:val="00E0566A"/>
    <w:rsid w:val="00E0715B"/>
    <w:rsid w:val="00E141E3"/>
    <w:rsid w:val="00E14F68"/>
    <w:rsid w:val="00E23B0D"/>
    <w:rsid w:val="00E31874"/>
    <w:rsid w:val="00E50959"/>
    <w:rsid w:val="00E6102E"/>
    <w:rsid w:val="00E66764"/>
    <w:rsid w:val="00E85681"/>
    <w:rsid w:val="00E91D41"/>
    <w:rsid w:val="00E92A07"/>
    <w:rsid w:val="00E930CD"/>
    <w:rsid w:val="00E95BB0"/>
    <w:rsid w:val="00E96491"/>
    <w:rsid w:val="00EA2EBF"/>
    <w:rsid w:val="00EA6A01"/>
    <w:rsid w:val="00EB1FE1"/>
    <w:rsid w:val="00EC1A82"/>
    <w:rsid w:val="00ED5DF1"/>
    <w:rsid w:val="00EE214C"/>
    <w:rsid w:val="00EE449A"/>
    <w:rsid w:val="00EF6109"/>
    <w:rsid w:val="00EF6C06"/>
    <w:rsid w:val="00F060DC"/>
    <w:rsid w:val="00F06946"/>
    <w:rsid w:val="00F07078"/>
    <w:rsid w:val="00F11640"/>
    <w:rsid w:val="00F35639"/>
    <w:rsid w:val="00F408C9"/>
    <w:rsid w:val="00F452BB"/>
    <w:rsid w:val="00F47A79"/>
    <w:rsid w:val="00F54834"/>
    <w:rsid w:val="00F56F38"/>
    <w:rsid w:val="00F607BD"/>
    <w:rsid w:val="00F6396D"/>
    <w:rsid w:val="00F674FB"/>
    <w:rsid w:val="00F702D8"/>
    <w:rsid w:val="00F71A1D"/>
    <w:rsid w:val="00F71E07"/>
    <w:rsid w:val="00F84C69"/>
    <w:rsid w:val="00F85051"/>
    <w:rsid w:val="00FB5091"/>
    <w:rsid w:val="00FC0859"/>
    <w:rsid w:val="00FC2A87"/>
    <w:rsid w:val="00FC7561"/>
    <w:rsid w:val="00FC7F92"/>
    <w:rsid w:val="00FD0363"/>
    <w:rsid w:val="00FE6B08"/>
    <w:rsid w:val="00FF0E62"/>
    <w:rsid w:val="00FF2E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3">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72"/>
    <w:pPr>
      <w:spacing w:after="200" w:line="276" w:lineRule="auto"/>
    </w:pPr>
    <w:rPr>
      <w:sz w:val="22"/>
      <w:szCs w:val="22"/>
      <w:lang w:eastAsia="en-US"/>
    </w:rPr>
  </w:style>
  <w:style w:type="paragraph" w:styleId="Heading3">
    <w:name w:val="heading 3"/>
    <w:basedOn w:val="Normal"/>
    <w:next w:val="Normal"/>
    <w:link w:val="Heading3Char"/>
    <w:qFormat/>
    <w:rsid w:val="0026161F"/>
    <w:pPr>
      <w:keepNext/>
      <w:spacing w:after="0" w:line="240" w:lineRule="auto"/>
      <w:outlineLvl w:val="2"/>
    </w:pPr>
    <w:rPr>
      <w:rFonts w:ascii="Times New Roman" w:eastAsia="Times New Roman" w:hAnsi="Times New Roman"/>
      <w:b/>
      <w:bCs/>
      <w:sz w:val="24"/>
      <w:szCs w:val="20"/>
    </w:rPr>
  </w:style>
  <w:style w:type="paragraph" w:styleId="Heading6">
    <w:name w:val="heading 6"/>
    <w:basedOn w:val="Normal"/>
    <w:next w:val="Normal"/>
    <w:link w:val="Heading6Char"/>
    <w:uiPriority w:val="9"/>
    <w:semiHidden/>
    <w:unhideWhenUsed/>
    <w:qFormat/>
    <w:rsid w:val="0026161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5D"/>
    <w:rPr>
      <w:rFonts w:ascii="Tahoma" w:hAnsi="Tahoma" w:cs="Tahoma"/>
      <w:sz w:val="16"/>
      <w:szCs w:val="16"/>
    </w:rPr>
  </w:style>
  <w:style w:type="character" w:styleId="Hyperlink">
    <w:name w:val="Hyperlink"/>
    <w:basedOn w:val="DefaultParagraphFont"/>
    <w:uiPriority w:val="99"/>
    <w:unhideWhenUsed/>
    <w:rsid w:val="00293E5D"/>
    <w:rPr>
      <w:color w:val="0000FF"/>
      <w:u w:val="single"/>
    </w:rPr>
  </w:style>
  <w:style w:type="paragraph" w:styleId="Header">
    <w:name w:val="header"/>
    <w:basedOn w:val="Normal"/>
    <w:link w:val="HeaderChar"/>
    <w:uiPriority w:val="99"/>
    <w:unhideWhenUsed/>
    <w:rsid w:val="002616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61F"/>
  </w:style>
  <w:style w:type="paragraph" w:styleId="Footer">
    <w:name w:val="footer"/>
    <w:basedOn w:val="Normal"/>
    <w:link w:val="FooterChar"/>
    <w:uiPriority w:val="99"/>
    <w:unhideWhenUsed/>
    <w:rsid w:val="002616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61F"/>
  </w:style>
  <w:style w:type="table" w:styleId="TableGrid">
    <w:name w:val="Table Grid"/>
    <w:basedOn w:val="TableNormal"/>
    <w:uiPriority w:val="59"/>
    <w:rsid w:val="002616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26161F"/>
    <w:pPr>
      <w:spacing w:after="0" w:line="240" w:lineRule="auto"/>
    </w:pPr>
    <w:rPr>
      <w:rFonts w:ascii="Times New Roman" w:eastAsia="Times New Roman" w:hAnsi="Times New Roman"/>
      <w:b/>
      <w:bCs/>
      <w:sz w:val="24"/>
      <w:szCs w:val="20"/>
    </w:rPr>
  </w:style>
  <w:style w:type="character" w:customStyle="1" w:styleId="BodyTextChar">
    <w:name w:val="Body Text Char"/>
    <w:basedOn w:val="DefaultParagraphFont"/>
    <w:link w:val="BodyText"/>
    <w:rsid w:val="0026161F"/>
    <w:rPr>
      <w:rFonts w:ascii="Times New Roman" w:eastAsia="Times New Roman" w:hAnsi="Times New Roman" w:cs="Times New Roman"/>
      <w:b/>
      <w:bCs/>
      <w:sz w:val="24"/>
      <w:szCs w:val="20"/>
      <w:lang w:val="en-AU"/>
    </w:rPr>
  </w:style>
  <w:style w:type="paragraph" w:styleId="BodyText2">
    <w:name w:val="Body Text 2"/>
    <w:basedOn w:val="Normal"/>
    <w:link w:val="BodyText2Char"/>
    <w:uiPriority w:val="99"/>
    <w:unhideWhenUsed/>
    <w:rsid w:val="0026161F"/>
    <w:pPr>
      <w:spacing w:after="120" w:line="480" w:lineRule="auto"/>
    </w:pPr>
  </w:style>
  <w:style w:type="character" w:customStyle="1" w:styleId="BodyText2Char">
    <w:name w:val="Body Text 2 Char"/>
    <w:basedOn w:val="DefaultParagraphFont"/>
    <w:link w:val="BodyText2"/>
    <w:uiPriority w:val="99"/>
    <w:rsid w:val="0026161F"/>
  </w:style>
  <w:style w:type="paragraph" w:styleId="BodyText3">
    <w:name w:val="Body Text 3"/>
    <w:basedOn w:val="Normal"/>
    <w:link w:val="BodyText3Char"/>
    <w:uiPriority w:val="99"/>
    <w:semiHidden/>
    <w:unhideWhenUsed/>
    <w:rsid w:val="0026161F"/>
    <w:pPr>
      <w:spacing w:after="120"/>
    </w:pPr>
    <w:rPr>
      <w:sz w:val="16"/>
      <w:szCs w:val="16"/>
    </w:rPr>
  </w:style>
  <w:style w:type="character" w:customStyle="1" w:styleId="BodyText3Char">
    <w:name w:val="Body Text 3 Char"/>
    <w:basedOn w:val="DefaultParagraphFont"/>
    <w:link w:val="BodyText3"/>
    <w:uiPriority w:val="99"/>
    <w:semiHidden/>
    <w:rsid w:val="0026161F"/>
    <w:rPr>
      <w:sz w:val="16"/>
      <w:szCs w:val="16"/>
    </w:rPr>
  </w:style>
  <w:style w:type="character" w:customStyle="1" w:styleId="Heading3Char">
    <w:name w:val="Heading 3 Char"/>
    <w:basedOn w:val="DefaultParagraphFont"/>
    <w:link w:val="Heading3"/>
    <w:rsid w:val="0026161F"/>
    <w:rPr>
      <w:rFonts w:ascii="Times New Roman" w:eastAsia="Times New Roman" w:hAnsi="Times New Roman" w:cs="Times New Roman"/>
      <w:b/>
      <w:bCs/>
      <w:sz w:val="24"/>
      <w:szCs w:val="20"/>
      <w:lang w:val="en-AU"/>
    </w:rPr>
  </w:style>
  <w:style w:type="character" w:customStyle="1" w:styleId="Heading6Char">
    <w:name w:val="Heading 6 Char"/>
    <w:basedOn w:val="DefaultParagraphFont"/>
    <w:link w:val="Heading6"/>
    <w:uiPriority w:val="9"/>
    <w:semiHidden/>
    <w:rsid w:val="0026161F"/>
    <w:rPr>
      <w:rFonts w:ascii="Cambria" w:eastAsia="Times New Roman" w:hAnsi="Cambria" w:cs="Times New Roman"/>
      <w:i/>
      <w:iCs/>
      <w:color w:val="243F60"/>
    </w:rPr>
  </w:style>
  <w:style w:type="paragraph" w:styleId="ListParagraph">
    <w:name w:val="List Paragraph"/>
    <w:basedOn w:val="Normal"/>
    <w:uiPriority w:val="34"/>
    <w:qFormat/>
    <w:rsid w:val="00DB1F78"/>
    <w:pPr>
      <w:ind w:left="720"/>
      <w:contextualSpacing/>
    </w:pPr>
  </w:style>
  <w:style w:type="paragraph" w:styleId="NoSpacing">
    <w:name w:val="No Spacing"/>
    <w:link w:val="NoSpacingChar"/>
    <w:uiPriority w:val="1"/>
    <w:qFormat/>
    <w:rsid w:val="00EB1FE1"/>
    <w:rPr>
      <w:rFonts w:eastAsia="Times New Roman"/>
      <w:sz w:val="22"/>
      <w:szCs w:val="22"/>
      <w:lang w:val="en-US" w:eastAsia="en-US"/>
    </w:rPr>
  </w:style>
  <w:style w:type="character" w:customStyle="1" w:styleId="NoSpacingChar">
    <w:name w:val="No Spacing Char"/>
    <w:basedOn w:val="DefaultParagraphFont"/>
    <w:link w:val="NoSpacing"/>
    <w:uiPriority w:val="1"/>
    <w:rsid w:val="00EB1FE1"/>
    <w:rPr>
      <w:rFonts w:eastAsia="Times New Roman"/>
      <w:sz w:val="22"/>
      <w:szCs w:val="22"/>
      <w:lang w:val="en-US" w:eastAsia="en-US" w:bidi="ar-SA"/>
    </w:rPr>
  </w:style>
  <w:style w:type="paragraph" w:styleId="FootnoteText">
    <w:name w:val="footnote text"/>
    <w:basedOn w:val="Normal"/>
    <w:link w:val="FootnoteTextChar"/>
    <w:uiPriority w:val="99"/>
    <w:semiHidden/>
    <w:unhideWhenUsed/>
    <w:rsid w:val="00CA30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0B1"/>
    <w:rPr>
      <w:sz w:val="20"/>
      <w:szCs w:val="20"/>
      <w:lang w:val="en-AU"/>
    </w:rPr>
  </w:style>
  <w:style w:type="character" w:styleId="FootnoteReference">
    <w:name w:val="footnote reference"/>
    <w:basedOn w:val="DefaultParagraphFont"/>
    <w:uiPriority w:val="99"/>
    <w:semiHidden/>
    <w:unhideWhenUsed/>
    <w:rsid w:val="00CA30B1"/>
    <w:rPr>
      <w:vertAlign w:val="superscript"/>
    </w:rPr>
  </w:style>
  <w:style w:type="character" w:customStyle="1" w:styleId="gsa">
    <w:name w:val="gs_a"/>
    <w:basedOn w:val="DefaultParagraphFont"/>
    <w:rsid w:val="00296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6586">
      <w:bodyDiv w:val="1"/>
      <w:marLeft w:val="0"/>
      <w:marRight w:val="0"/>
      <w:marTop w:val="0"/>
      <w:marBottom w:val="0"/>
      <w:divBdr>
        <w:top w:val="none" w:sz="0" w:space="0" w:color="auto"/>
        <w:left w:val="none" w:sz="0" w:space="0" w:color="auto"/>
        <w:bottom w:val="none" w:sz="0" w:space="0" w:color="auto"/>
        <w:right w:val="none" w:sz="0" w:space="0" w:color="auto"/>
      </w:divBdr>
    </w:div>
    <w:div w:id="1399599060">
      <w:bodyDiv w:val="1"/>
      <w:marLeft w:val="0"/>
      <w:marRight w:val="0"/>
      <w:marTop w:val="330"/>
      <w:marBottom w:val="0"/>
      <w:divBdr>
        <w:top w:val="none" w:sz="0" w:space="0" w:color="auto"/>
        <w:left w:val="none" w:sz="0" w:space="0" w:color="auto"/>
        <w:bottom w:val="none" w:sz="0" w:space="0" w:color="auto"/>
        <w:right w:val="none" w:sz="0" w:space="0" w:color="auto"/>
      </w:divBdr>
      <w:divsChild>
        <w:div w:id="1190290868">
          <w:marLeft w:val="0"/>
          <w:marRight w:val="0"/>
          <w:marTop w:val="0"/>
          <w:marBottom w:val="0"/>
          <w:divBdr>
            <w:top w:val="none" w:sz="0" w:space="0" w:color="auto"/>
            <w:left w:val="none" w:sz="0" w:space="0" w:color="auto"/>
            <w:bottom w:val="none" w:sz="0" w:space="0" w:color="auto"/>
            <w:right w:val="none" w:sz="0" w:space="0" w:color="auto"/>
          </w:divBdr>
          <w:divsChild>
            <w:div w:id="1813130438">
              <w:marLeft w:val="150"/>
              <w:marRight w:val="0"/>
              <w:marTop w:val="0"/>
              <w:marBottom w:val="0"/>
              <w:divBdr>
                <w:top w:val="none" w:sz="0" w:space="0" w:color="auto"/>
                <w:left w:val="none" w:sz="0" w:space="0" w:color="auto"/>
                <w:bottom w:val="none" w:sz="0" w:space="0" w:color="auto"/>
                <w:right w:val="none" w:sz="0" w:space="0" w:color="auto"/>
              </w:divBdr>
              <w:divsChild>
                <w:div w:id="1796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B3764-5BED-4996-BE32-5839D346A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1265</Words>
  <Characters>6583</Characters>
  <Application>Microsoft Office Word</Application>
  <DocSecurity>0</DocSecurity>
  <Lines>199</Lines>
  <Paragraphs>83</Paragraphs>
  <ScaleCrop>false</ScaleCrop>
  <HeadingPairs>
    <vt:vector size="2" baseType="variant">
      <vt:variant>
        <vt:lpstr>Title</vt:lpstr>
      </vt:variant>
      <vt:variant>
        <vt:i4>1</vt:i4>
      </vt:variant>
    </vt:vector>
  </HeadingPairs>
  <TitlesOfParts>
    <vt:vector size="1" baseType="lpstr">
      <vt:lpstr>Submission: The Treasury on the Modernising the Taxation of Trust Income -Options for Reform - Consultation Paper </vt:lpstr>
    </vt:vector>
  </TitlesOfParts>
  <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The Treasury on the Modernising the Taxation of Trust Income -Options for Reform - Consultation Paper </dc:title>
  <dc:subject/>
  <dc:creator>Submitted by Real Estate Institute of Australia</dc:creator>
  <cp:keywords/>
  <dc:description/>
  <cp:lastModifiedBy>Mai, Yuanyuan</cp:lastModifiedBy>
  <cp:revision>3</cp:revision>
  <cp:lastPrinted>2010-11-24T04:00:00Z</cp:lastPrinted>
  <dcterms:created xsi:type="dcterms:W3CDTF">2012-02-17T00:13:00Z</dcterms:created>
  <dcterms:modified xsi:type="dcterms:W3CDTF">2012-07-26T07:59:00Z</dcterms:modified>
</cp:coreProperties>
</file>