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28F67" w14:textId="77777777" w:rsidR="002928E4" w:rsidRPr="009C507C" w:rsidRDefault="002928E4" w:rsidP="009C507C">
      <w:pPr>
        <w:pStyle w:val="Heading1"/>
        <w:spacing w:line="276" w:lineRule="auto"/>
        <w:rPr>
          <w:rFonts w:ascii="Arial" w:hAnsi="Arial" w:cs="Arial"/>
          <w:sz w:val="22"/>
          <w:szCs w:val="22"/>
        </w:rPr>
      </w:pPr>
      <w:bookmarkStart w:id="0" w:name="_GoBack"/>
      <w:bookmarkEnd w:id="0"/>
      <w:r w:rsidRPr="009C507C">
        <w:rPr>
          <w:rFonts w:ascii="Arial" w:hAnsi="Arial" w:cs="Arial"/>
          <w:sz w:val="22"/>
          <w:szCs w:val="22"/>
        </w:rPr>
        <w:t>Capability review of the Australian Securities and Investments Commission</w:t>
      </w:r>
    </w:p>
    <w:p w14:paraId="79245D5F" w14:textId="25E996D7" w:rsidR="002928E4" w:rsidRPr="009C507C" w:rsidRDefault="002928E4" w:rsidP="009C507C">
      <w:pPr>
        <w:spacing w:line="276" w:lineRule="auto"/>
        <w:rPr>
          <w:rFonts w:ascii="Arial" w:hAnsi="Arial" w:cs="Arial"/>
          <w:sz w:val="22"/>
          <w:szCs w:val="22"/>
        </w:rPr>
      </w:pPr>
      <w:r w:rsidRPr="009C507C">
        <w:rPr>
          <w:rFonts w:ascii="Arial" w:hAnsi="Arial" w:cs="Arial"/>
          <w:sz w:val="22"/>
          <w:szCs w:val="22"/>
        </w:rPr>
        <w:t>We comment on only</w:t>
      </w:r>
      <w:r w:rsidR="00943419" w:rsidRPr="009C507C">
        <w:rPr>
          <w:rFonts w:ascii="Arial" w:hAnsi="Arial" w:cs="Arial"/>
          <w:sz w:val="22"/>
          <w:szCs w:val="22"/>
        </w:rPr>
        <w:t xml:space="preserve"> </w:t>
      </w:r>
      <w:r w:rsidR="00B536B3" w:rsidRPr="009C507C">
        <w:rPr>
          <w:rFonts w:ascii="Arial" w:hAnsi="Arial" w:cs="Arial"/>
          <w:sz w:val="22"/>
          <w:szCs w:val="22"/>
        </w:rPr>
        <w:t>one of</w:t>
      </w:r>
      <w:r w:rsidRPr="009C507C">
        <w:rPr>
          <w:rFonts w:ascii="Arial" w:hAnsi="Arial" w:cs="Arial"/>
          <w:sz w:val="22"/>
          <w:szCs w:val="22"/>
        </w:rPr>
        <w:t xml:space="preserve"> ASIC’s operations, that is, its regulation and coverage of corporate insolvency practitioners.</w:t>
      </w:r>
    </w:p>
    <w:p w14:paraId="031F0891" w14:textId="5B03A938" w:rsidR="002928E4" w:rsidRPr="009C507C" w:rsidRDefault="002928E4" w:rsidP="009C507C">
      <w:pPr>
        <w:pStyle w:val="NormalWeb"/>
        <w:spacing w:line="276" w:lineRule="auto"/>
        <w:rPr>
          <w:rFonts w:ascii="Arial" w:hAnsi="Arial" w:cs="Arial"/>
          <w:sz w:val="22"/>
          <w:szCs w:val="22"/>
        </w:rPr>
      </w:pPr>
      <w:r w:rsidRPr="009C507C">
        <w:rPr>
          <w:rFonts w:ascii="Arial" w:hAnsi="Arial" w:cs="Arial"/>
          <w:sz w:val="22"/>
          <w:szCs w:val="22"/>
        </w:rPr>
        <w:t>In that respect, we note that the Minister says that, in assessing ASIC’s approach to its statutory objectives, the review may provide observations, but not make recommendations on ASIC’s regulatory framework or powers.</w:t>
      </w:r>
      <w:r w:rsidR="00B80CAD" w:rsidRPr="009C507C">
        <w:rPr>
          <w:rFonts w:ascii="Arial" w:hAnsi="Arial" w:cs="Arial"/>
          <w:sz w:val="22"/>
          <w:szCs w:val="22"/>
        </w:rPr>
        <w:t xml:space="preserve"> We observe</w:t>
      </w:r>
      <w:r w:rsidR="006761B1" w:rsidRPr="009C507C">
        <w:rPr>
          <w:rFonts w:ascii="Arial" w:hAnsi="Arial" w:cs="Arial"/>
          <w:sz w:val="22"/>
          <w:szCs w:val="22"/>
        </w:rPr>
        <w:t>,</w:t>
      </w:r>
      <w:r w:rsidR="00B80CAD" w:rsidRPr="009C507C">
        <w:rPr>
          <w:rFonts w:ascii="Arial" w:hAnsi="Arial" w:cs="Arial"/>
          <w:sz w:val="22"/>
          <w:szCs w:val="22"/>
        </w:rPr>
        <w:t xml:space="preserve"> as </w:t>
      </w:r>
      <w:r w:rsidR="006761B1" w:rsidRPr="009C507C">
        <w:rPr>
          <w:rFonts w:ascii="Arial" w:hAnsi="Arial" w:cs="Arial"/>
          <w:sz w:val="22"/>
          <w:szCs w:val="22"/>
        </w:rPr>
        <w:t>have others</w:t>
      </w:r>
      <w:r w:rsidR="00DD4CEF" w:rsidRPr="009C507C">
        <w:rPr>
          <w:rStyle w:val="FootnoteReference"/>
          <w:rFonts w:ascii="Arial" w:hAnsi="Arial" w:cs="Arial"/>
          <w:sz w:val="22"/>
          <w:szCs w:val="22"/>
        </w:rPr>
        <w:footnoteReference w:id="1"/>
      </w:r>
      <w:r w:rsidR="00B80CAD" w:rsidRPr="009C507C">
        <w:rPr>
          <w:rFonts w:ascii="Arial" w:hAnsi="Arial" w:cs="Arial"/>
          <w:sz w:val="22"/>
          <w:szCs w:val="22"/>
        </w:rPr>
        <w:t xml:space="preserve">, that the regulation of the insolvency profession by ASIC fails in many ways and that it represents one area where ASIC </w:t>
      </w:r>
      <w:r w:rsidR="009366B1" w:rsidRPr="009C507C">
        <w:rPr>
          <w:rFonts w:ascii="Arial" w:hAnsi="Arial" w:cs="Arial"/>
          <w:sz w:val="22"/>
          <w:szCs w:val="22"/>
        </w:rPr>
        <w:t>should be</w:t>
      </w:r>
      <w:r w:rsidR="00B80CAD" w:rsidRPr="009C507C">
        <w:rPr>
          <w:rFonts w:ascii="Arial" w:hAnsi="Arial" w:cs="Arial"/>
          <w:sz w:val="22"/>
          <w:szCs w:val="22"/>
        </w:rPr>
        <w:t xml:space="preserve"> relieved of its </w:t>
      </w:r>
      <w:r w:rsidR="002053AE" w:rsidRPr="009C507C">
        <w:rPr>
          <w:rFonts w:ascii="Arial" w:hAnsi="Arial" w:cs="Arial"/>
          <w:sz w:val="22"/>
          <w:szCs w:val="22"/>
        </w:rPr>
        <w:t xml:space="preserve">regulatory </w:t>
      </w:r>
      <w:r w:rsidR="00B80CAD" w:rsidRPr="009C507C">
        <w:rPr>
          <w:rFonts w:ascii="Arial" w:hAnsi="Arial" w:cs="Arial"/>
          <w:sz w:val="22"/>
          <w:szCs w:val="22"/>
        </w:rPr>
        <w:t>burden.</w:t>
      </w:r>
      <w:r w:rsidR="00B536B3" w:rsidRPr="009C507C">
        <w:rPr>
          <w:rFonts w:ascii="Arial" w:hAnsi="Arial" w:cs="Arial"/>
          <w:sz w:val="22"/>
          <w:szCs w:val="22"/>
        </w:rPr>
        <w:t xml:space="preserve"> The reasons for this are articulated below.</w:t>
      </w:r>
    </w:p>
    <w:p w14:paraId="58984A50" w14:textId="77777777" w:rsidR="002928E4" w:rsidRPr="009C507C" w:rsidRDefault="002928E4" w:rsidP="009C507C">
      <w:pPr>
        <w:pStyle w:val="NormalWeb"/>
        <w:spacing w:line="276" w:lineRule="auto"/>
        <w:rPr>
          <w:rFonts w:ascii="Arial" w:hAnsi="Arial" w:cs="Arial"/>
          <w:b/>
          <w:sz w:val="22"/>
          <w:szCs w:val="22"/>
        </w:rPr>
      </w:pPr>
      <w:r w:rsidRPr="009C507C">
        <w:rPr>
          <w:rFonts w:ascii="Arial" w:hAnsi="Arial" w:cs="Arial"/>
          <w:b/>
          <w:sz w:val="22"/>
          <w:szCs w:val="22"/>
        </w:rPr>
        <w:t>Insolvency</w:t>
      </w:r>
      <w:r w:rsidR="00943419" w:rsidRPr="009C507C">
        <w:rPr>
          <w:rFonts w:ascii="Arial" w:hAnsi="Arial" w:cs="Arial"/>
          <w:b/>
          <w:sz w:val="22"/>
          <w:szCs w:val="22"/>
        </w:rPr>
        <w:t xml:space="preserve"> Context</w:t>
      </w:r>
    </w:p>
    <w:p w14:paraId="57AEB8C6" w14:textId="4564E842" w:rsidR="002928E4" w:rsidRPr="009C507C" w:rsidRDefault="002928E4" w:rsidP="009C507C">
      <w:pPr>
        <w:pStyle w:val="NormalWeb"/>
        <w:spacing w:line="276" w:lineRule="auto"/>
        <w:rPr>
          <w:rFonts w:ascii="Arial" w:hAnsi="Arial" w:cs="Arial"/>
          <w:sz w:val="22"/>
          <w:szCs w:val="22"/>
        </w:rPr>
      </w:pPr>
      <w:r w:rsidRPr="009C507C">
        <w:rPr>
          <w:rFonts w:ascii="Arial" w:hAnsi="Arial" w:cs="Arial"/>
          <w:sz w:val="22"/>
          <w:szCs w:val="22"/>
        </w:rPr>
        <w:t xml:space="preserve">Insolvency is a discipline based on principles extending historically to Roman times and </w:t>
      </w:r>
      <w:r w:rsidR="00B80CAD" w:rsidRPr="009C507C">
        <w:rPr>
          <w:rFonts w:ascii="Arial" w:hAnsi="Arial" w:cs="Arial"/>
          <w:sz w:val="22"/>
          <w:szCs w:val="22"/>
        </w:rPr>
        <w:t>earlier. It</w:t>
      </w:r>
      <w:r w:rsidRPr="009C507C">
        <w:rPr>
          <w:rFonts w:ascii="Arial" w:hAnsi="Arial" w:cs="Arial"/>
          <w:sz w:val="22"/>
          <w:szCs w:val="22"/>
        </w:rPr>
        <w:t xml:space="preserve"> originally manifested, necessarily, in personal bankruptcy and then extended to companies in the 19</w:t>
      </w:r>
      <w:r w:rsidRPr="009C507C">
        <w:rPr>
          <w:rFonts w:ascii="Arial" w:hAnsi="Arial" w:cs="Arial"/>
          <w:sz w:val="22"/>
          <w:szCs w:val="22"/>
          <w:vertAlign w:val="superscript"/>
        </w:rPr>
        <w:t>th</w:t>
      </w:r>
      <w:r w:rsidRPr="009C507C">
        <w:rPr>
          <w:rFonts w:ascii="Arial" w:hAnsi="Arial" w:cs="Arial"/>
          <w:sz w:val="22"/>
          <w:szCs w:val="22"/>
        </w:rPr>
        <w:t xml:space="preserve"> century.</w:t>
      </w:r>
    </w:p>
    <w:p w14:paraId="005645AA" w14:textId="456D4474" w:rsidR="002053AE" w:rsidRPr="009C507C" w:rsidRDefault="00943419" w:rsidP="009C507C">
      <w:pPr>
        <w:pStyle w:val="NormalWeb"/>
        <w:spacing w:line="276" w:lineRule="auto"/>
        <w:rPr>
          <w:rFonts w:ascii="Arial" w:hAnsi="Arial" w:cs="Arial"/>
          <w:sz w:val="22"/>
          <w:szCs w:val="22"/>
        </w:rPr>
      </w:pPr>
      <w:r w:rsidRPr="009C507C">
        <w:rPr>
          <w:rFonts w:ascii="Arial" w:hAnsi="Arial" w:cs="Arial"/>
          <w:sz w:val="22"/>
          <w:szCs w:val="22"/>
        </w:rPr>
        <w:t>There are fundamental principles of insolvency processes that are common to both personal and corporate insolvency</w:t>
      </w:r>
      <w:r w:rsidR="00B80CAD" w:rsidRPr="009C507C">
        <w:rPr>
          <w:rFonts w:ascii="Arial" w:hAnsi="Arial" w:cs="Arial"/>
          <w:sz w:val="22"/>
          <w:szCs w:val="22"/>
        </w:rPr>
        <w:t xml:space="preserve"> notwithstanding</w:t>
      </w:r>
      <w:r w:rsidRPr="009C507C">
        <w:rPr>
          <w:rFonts w:ascii="Arial" w:hAnsi="Arial" w:cs="Arial"/>
          <w:sz w:val="22"/>
          <w:szCs w:val="22"/>
        </w:rPr>
        <w:t xml:space="preserve"> the </w:t>
      </w:r>
      <w:r w:rsidR="00B80CAD" w:rsidRPr="009C507C">
        <w:rPr>
          <w:rFonts w:ascii="Arial" w:hAnsi="Arial" w:cs="Arial"/>
          <w:sz w:val="22"/>
          <w:szCs w:val="22"/>
        </w:rPr>
        <w:t>nature of the company as an artificial body</w:t>
      </w:r>
      <w:r w:rsidRPr="009C507C">
        <w:rPr>
          <w:rFonts w:ascii="Arial" w:hAnsi="Arial" w:cs="Arial"/>
          <w:sz w:val="22"/>
          <w:szCs w:val="22"/>
        </w:rPr>
        <w:t xml:space="preserve">. </w:t>
      </w:r>
      <w:r w:rsidR="00B80CAD" w:rsidRPr="009C507C">
        <w:rPr>
          <w:rFonts w:ascii="Arial" w:hAnsi="Arial" w:cs="Arial"/>
          <w:sz w:val="22"/>
          <w:szCs w:val="22"/>
        </w:rPr>
        <w:t>In Australia too many aspects of the insolvency process are differentiated</w:t>
      </w:r>
      <w:r w:rsidR="002053AE" w:rsidRPr="009C507C">
        <w:rPr>
          <w:rFonts w:ascii="Arial" w:hAnsi="Arial" w:cs="Arial"/>
          <w:sz w:val="22"/>
          <w:szCs w:val="22"/>
        </w:rPr>
        <w:t>. S</w:t>
      </w:r>
      <w:r w:rsidR="00B80CAD" w:rsidRPr="009C507C">
        <w:rPr>
          <w:rFonts w:ascii="Arial" w:hAnsi="Arial" w:cs="Arial"/>
          <w:sz w:val="22"/>
          <w:szCs w:val="22"/>
        </w:rPr>
        <w:t>o</w:t>
      </w:r>
      <w:r w:rsidR="00A605B6" w:rsidRPr="009C507C">
        <w:rPr>
          <w:rFonts w:ascii="Arial" w:hAnsi="Arial" w:cs="Arial"/>
          <w:sz w:val="22"/>
          <w:szCs w:val="22"/>
        </w:rPr>
        <w:t xml:space="preserve"> </w:t>
      </w:r>
      <w:r w:rsidR="00B80CAD" w:rsidRPr="009C507C">
        <w:rPr>
          <w:rFonts w:ascii="Arial" w:hAnsi="Arial" w:cs="Arial"/>
          <w:sz w:val="22"/>
          <w:szCs w:val="22"/>
        </w:rPr>
        <w:t>d</w:t>
      </w:r>
      <w:r w:rsidRPr="009C507C">
        <w:rPr>
          <w:rFonts w:ascii="Arial" w:hAnsi="Arial" w:cs="Arial"/>
          <w:sz w:val="22"/>
          <w:szCs w:val="22"/>
        </w:rPr>
        <w:t xml:space="preserve">espite the similarity of the processes, </w:t>
      </w:r>
      <w:r w:rsidR="002928E4" w:rsidRPr="009C507C">
        <w:rPr>
          <w:rFonts w:ascii="Arial" w:hAnsi="Arial" w:cs="Arial"/>
          <w:sz w:val="22"/>
          <w:szCs w:val="22"/>
        </w:rPr>
        <w:t>the</w:t>
      </w:r>
      <w:r w:rsidRPr="009C507C">
        <w:rPr>
          <w:rFonts w:ascii="Arial" w:hAnsi="Arial" w:cs="Arial"/>
          <w:sz w:val="22"/>
          <w:szCs w:val="22"/>
        </w:rPr>
        <w:t xml:space="preserve">re is separate </w:t>
      </w:r>
      <w:r w:rsidR="00B80CAD" w:rsidRPr="009C507C">
        <w:rPr>
          <w:rFonts w:ascii="Arial" w:hAnsi="Arial" w:cs="Arial"/>
          <w:sz w:val="22"/>
          <w:szCs w:val="22"/>
        </w:rPr>
        <w:t>legislation, separate</w:t>
      </w:r>
      <w:r w:rsidRPr="009C507C">
        <w:rPr>
          <w:rFonts w:ascii="Arial" w:hAnsi="Arial" w:cs="Arial"/>
          <w:sz w:val="22"/>
          <w:szCs w:val="22"/>
        </w:rPr>
        <w:t xml:space="preserve"> regulators</w:t>
      </w:r>
      <w:r w:rsidR="002928E4" w:rsidRPr="009C507C">
        <w:rPr>
          <w:rFonts w:ascii="Arial" w:hAnsi="Arial" w:cs="Arial"/>
          <w:sz w:val="22"/>
          <w:szCs w:val="22"/>
        </w:rPr>
        <w:t xml:space="preserve">, </w:t>
      </w:r>
      <w:r w:rsidRPr="009C507C">
        <w:rPr>
          <w:rFonts w:ascii="Arial" w:hAnsi="Arial" w:cs="Arial"/>
          <w:sz w:val="22"/>
          <w:szCs w:val="22"/>
        </w:rPr>
        <w:t xml:space="preserve">separate </w:t>
      </w:r>
      <w:r w:rsidR="002928E4" w:rsidRPr="009C507C">
        <w:rPr>
          <w:rFonts w:ascii="Arial" w:hAnsi="Arial" w:cs="Arial"/>
          <w:sz w:val="22"/>
          <w:szCs w:val="22"/>
        </w:rPr>
        <w:t xml:space="preserve">courts and the government departments </w:t>
      </w:r>
      <w:r w:rsidR="002053AE" w:rsidRPr="009C507C">
        <w:rPr>
          <w:rFonts w:ascii="Arial" w:hAnsi="Arial" w:cs="Arial"/>
          <w:sz w:val="22"/>
          <w:szCs w:val="22"/>
        </w:rPr>
        <w:t xml:space="preserve">and Ministers </w:t>
      </w:r>
      <w:r w:rsidR="002928E4" w:rsidRPr="009C507C">
        <w:rPr>
          <w:rFonts w:ascii="Arial" w:hAnsi="Arial" w:cs="Arial"/>
          <w:sz w:val="22"/>
          <w:szCs w:val="22"/>
        </w:rPr>
        <w:t>are different</w:t>
      </w:r>
      <w:r w:rsidRPr="009C507C">
        <w:rPr>
          <w:rFonts w:ascii="Arial" w:hAnsi="Arial" w:cs="Arial"/>
          <w:sz w:val="22"/>
          <w:szCs w:val="22"/>
        </w:rPr>
        <w:t>. Differences also exist</w:t>
      </w:r>
      <w:r w:rsidR="002928E4" w:rsidRPr="009C507C">
        <w:rPr>
          <w:rFonts w:ascii="Arial" w:hAnsi="Arial" w:cs="Arial"/>
          <w:sz w:val="22"/>
          <w:szCs w:val="22"/>
        </w:rPr>
        <w:t xml:space="preserve"> </w:t>
      </w:r>
      <w:r w:rsidRPr="009C507C">
        <w:rPr>
          <w:rFonts w:ascii="Arial" w:hAnsi="Arial" w:cs="Arial"/>
          <w:sz w:val="22"/>
          <w:szCs w:val="22"/>
        </w:rPr>
        <w:t xml:space="preserve">in the </w:t>
      </w:r>
      <w:r w:rsidR="002928E4" w:rsidRPr="009C507C">
        <w:rPr>
          <w:rFonts w:ascii="Arial" w:hAnsi="Arial" w:cs="Arial"/>
          <w:sz w:val="22"/>
          <w:szCs w:val="22"/>
        </w:rPr>
        <w:t xml:space="preserve">government support and involvement. </w:t>
      </w:r>
    </w:p>
    <w:p w14:paraId="45C3169F" w14:textId="6779701A" w:rsidR="00763B1B" w:rsidRPr="009C507C" w:rsidRDefault="00763B1B" w:rsidP="009C507C">
      <w:pPr>
        <w:pStyle w:val="NormalWeb"/>
        <w:spacing w:line="276" w:lineRule="auto"/>
        <w:rPr>
          <w:rFonts w:ascii="Arial" w:hAnsi="Arial" w:cs="Arial"/>
          <w:sz w:val="22"/>
          <w:szCs w:val="22"/>
        </w:rPr>
      </w:pPr>
      <w:r w:rsidRPr="009C507C">
        <w:rPr>
          <w:rFonts w:ascii="Arial" w:hAnsi="Arial" w:cs="Arial"/>
          <w:sz w:val="22"/>
          <w:szCs w:val="22"/>
        </w:rPr>
        <w:t>We are not recommending wholesale change in this structure, for practical and legal reasons it would be too hard to achieve – but we do recommend that aspects of this division be attended to.  These are shown in this table.</w:t>
      </w:r>
    </w:p>
    <w:tbl>
      <w:tblPr>
        <w:tblStyle w:val="TableGrid"/>
        <w:tblW w:w="0" w:type="auto"/>
        <w:jc w:val="center"/>
        <w:tblLook w:val="04A0" w:firstRow="1" w:lastRow="0" w:firstColumn="1" w:lastColumn="0" w:noHBand="0" w:noVBand="1"/>
      </w:tblPr>
      <w:tblGrid>
        <w:gridCol w:w="2068"/>
        <w:gridCol w:w="1481"/>
        <w:gridCol w:w="1476"/>
        <w:gridCol w:w="3004"/>
      </w:tblGrid>
      <w:tr w:rsidR="002053AE" w:rsidRPr="009C507C" w14:paraId="3D583A63" w14:textId="77777777" w:rsidTr="002C624D">
        <w:trPr>
          <w:jc w:val="center"/>
        </w:trPr>
        <w:tc>
          <w:tcPr>
            <w:tcW w:w="2068" w:type="dxa"/>
          </w:tcPr>
          <w:p w14:paraId="12E468A9" w14:textId="77777777" w:rsidR="002053AE" w:rsidRPr="009C507C" w:rsidRDefault="002053AE" w:rsidP="009C507C">
            <w:pPr>
              <w:pStyle w:val="NormalWeb"/>
              <w:spacing w:line="276" w:lineRule="auto"/>
              <w:rPr>
                <w:rFonts w:ascii="Arial" w:hAnsi="Arial" w:cs="Arial"/>
                <w:b/>
                <w:sz w:val="22"/>
                <w:szCs w:val="22"/>
              </w:rPr>
            </w:pPr>
          </w:p>
        </w:tc>
        <w:tc>
          <w:tcPr>
            <w:tcW w:w="1481" w:type="dxa"/>
          </w:tcPr>
          <w:p w14:paraId="5F8FD5D6" w14:textId="70EC41DC" w:rsidR="002053AE" w:rsidRPr="009C507C" w:rsidRDefault="002053AE" w:rsidP="009C507C">
            <w:pPr>
              <w:pStyle w:val="NormalWeb"/>
              <w:spacing w:line="276" w:lineRule="auto"/>
              <w:rPr>
                <w:rFonts w:ascii="Arial" w:hAnsi="Arial" w:cs="Arial"/>
                <w:b/>
                <w:sz w:val="22"/>
                <w:szCs w:val="22"/>
              </w:rPr>
            </w:pPr>
            <w:r w:rsidRPr="009C507C">
              <w:rPr>
                <w:rFonts w:ascii="Arial" w:hAnsi="Arial" w:cs="Arial"/>
                <w:b/>
                <w:sz w:val="22"/>
                <w:szCs w:val="22"/>
              </w:rPr>
              <w:t>Personal insolvency</w:t>
            </w:r>
          </w:p>
        </w:tc>
        <w:tc>
          <w:tcPr>
            <w:tcW w:w="1349" w:type="dxa"/>
          </w:tcPr>
          <w:p w14:paraId="2C0B66A8" w14:textId="5FB29603" w:rsidR="002053AE" w:rsidRPr="009C507C" w:rsidRDefault="002053AE" w:rsidP="009C507C">
            <w:pPr>
              <w:pStyle w:val="NormalWeb"/>
              <w:spacing w:line="276" w:lineRule="auto"/>
              <w:rPr>
                <w:rFonts w:ascii="Arial" w:hAnsi="Arial" w:cs="Arial"/>
                <w:b/>
                <w:sz w:val="22"/>
                <w:szCs w:val="22"/>
              </w:rPr>
            </w:pPr>
            <w:r w:rsidRPr="009C507C">
              <w:rPr>
                <w:rFonts w:ascii="Arial" w:hAnsi="Arial" w:cs="Arial"/>
                <w:b/>
                <w:sz w:val="22"/>
                <w:szCs w:val="22"/>
              </w:rPr>
              <w:t>Corporate Insolvency</w:t>
            </w:r>
          </w:p>
        </w:tc>
        <w:tc>
          <w:tcPr>
            <w:tcW w:w="3004" w:type="dxa"/>
          </w:tcPr>
          <w:p w14:paraId="4C6E14CB" w14:textId="532E2648" w:rsidR="002053AE" w:rsidRPr="009C507C" w:rsidRDefault="002053AE" w:rsidP="009C507C">
            <w:pPr>
              <w:pStyle w:val="NormalWeb"/>
              <w:spacing w:line="276" w:lineRule="auto"/>
              <w:rPr>
                <w:rFonts w:ascii="Arial" w:hAnsi="Arial" w:cs="Arial"/>
                <w:b/>
                <w:sz w:val="22"/>
                <w:szCs w:val="22"/>
              </w:rPr>
            </w:pPr>
            <w:r w:rsidRPr="009C507C">
              <w:rPr>
                <w:rFonts w:ascii="Arial" w:hAnsi="Arial" w:cs="Arial"/>
                <w:b/>
                <w:sz w:val="22"/>
                <w:szCs w:val="22"/>
              </w:rPr>
              <w:t>Proposed</w:t>
            </w:r>
          </w:p>
        </w:tc>
      </w:tr>
      <w:tr w:rsidR="002053AE" w:rsidRPr="009C507C" w14:paraId="3D51501E" w14:textId="77777777" w:rsidTr="002C624D">
        <w:trPr>
          <w:jc w:val="center"/>
        </w:trPr>
        <w:tc>
          <w:tcPr>
            <w:tcW w:w="2068" w:type="dxa"/>
          </w:tcPr>
          <w:p w14:paraId="7CC4C8B2" w14:textId="5F1B42E2" w:rsidR="002053AE" w:rsidRPr="009C507C" w:rsidRDefault="002C624D" w:rsidP="009C507C">
            <w:pPr>
              <w:pStyle w:val="NormalWeb"/>
              <w:spacing w:line="276" w:lineRule="auto"/>
              <w:rPr>
                <w:rFonts w:ascii="Arial" w:hAnsi="Arial" w:cs="Arial"/>
                <w:b/>
                <w:sz w:val="22"/>
                <w:szCs w:val="22"/>
              </w:rPr>
            </w:pPr>
            <w:r w:rsidRPr="009C507C">
              <w:rPr>
                <w:rFonts w:ascii="Arial" w:hAnsi="Arial" w:cs="Arial"/>
                <w:b/>
                <w:sz w:val="22"/>
                <w:szCs w:val="22"/>
              </w:rPr>
              <w:t>R</w:t>
            </w:r>
            <w:r w:rsidR="002053AE" w:rsidRPr="009C507C">
              <w:rPr>
                <w:rFonts w:ascii="Arial" w:hAnsi="Arial" w:cs="Arial"/>
                <w:b/>
                <w:sz w:val="22"/>
                <w:szCs w:val="22"/>
              </w:rPr>
              <w:t>egulator</w:t>
            </w:r>
          </w:p>
        </w:tc>
        <w:tc>
          <w:tcPr>
            <w:tcW w:w="1481" w:type="dxa"/>
          </w:tcPr>
          <w:p w14:paraId="2454419D" w14:textId="1A347DF0" w:rsidR="002053AE" w:rsidRPr="009C507C" w:rsidRDefault="002053AE" w:rsidP="009C507C">
            <w:pPr>
              <w:pStyle w:val="NormalWeb"/>
              <w:spacing w:line="276" w:lineRule="auto"/>
              <w:rPr>
                <w:rFonts w:ascii="Arial" w:hAnsi="Arial" w:cs="Arial"/>
                <w:sz w:val="22"/>
                <w:szCs w:val="22"/>
              </w:rPr>
            </w:pPr>
            <w:r w:rsidRPr="009C507C">
              <w:rPr>
                <w:rFonts w:ascii="Arial" w:hAnsi="Arial" w:cs="Arial"/>
                <w:sz w:val="22"/>
                <w:szCs w:val="22"/>
              </w:rPr>
              <w:t>AFSA</w:t>
            </w:r>
          </w:p>
        </w:tc>
        <w:tc>
          <w:tcPr>
            <w:tcW w:w="1349" w:type="dxa"/>
          </w:tcPr>
          <w:p w14:paraId="4F65DBB5" w14:textId="6131C934" w:rsidR="002053AE" w:rsidRPr="009C507C" w:rsidRDefault="002053AE" w:rsidP="009C507C">
            <w:pPr>
              <w:pStyle w:val="NormalWeb"/>
              <w:spacing w:line="276" w:lineRule="auto"/>
              <w:rPr>
                <w:rFonts w:ascii="Arial" w:hAnsi="Arial" w:cs="Arial"/>
                <w:sz w:val="22"/>
                <w:szCs w:val="22"/>
              </w:rPr>
            </w:pPr>
            <w:r w:rsidRPr="009C507C">
              <w:rPr>
                <w:rFonts w:ascii="Arial" w:hAnsi="Arial" w:cs="Arial"/>
                <w:sz w:val="22"/>
                <w:szCs w:val="22"/>
              </w:rPr>
              <w:t>ASIC</w:t>
            </w:r>
          </w:p>
        </w:tc>
        <w:tc>
          <w:tcPr>
            <w:tcW w:w="3004" w:type="dxa"/>
          </w:tcPr>
          <w:p w14:paraId="11AA8706" w14:textId="2C7F76F1" w:rsidR="002053AE" w:rsidRPr="009C507C" w:rsidRDefault="002053AE" w:rsidP="009C507C">
            <w:pPr>
              <w:pStyle w:val="NormalWeb"/>
              <w:spacing w:line="276" w:lineRule="auto"/>
              <w:rPr>
                <w:rFonts w:ascii="Arial" w:hAnsi="Arial" w:cs="Arial"/>
                <w:sz w:val="22"/>
                <w:szCs w:val="22"/>
              </w:rPr>
            </w:pPr>
            <w:r w:rsidRPr="009C507C">
              <w:rPr>
                <w:rFonts w:ascii="Arial" w:hAnsi="Arial" w:cs="Arial"/>
                <w:sz w:val="22"/>
                <w:szCs w:val="22"/>
              </w:rPr>
              <w:t>new</w:t>
            </w:r>
          </w:p>
        </w:tc>
      </w:tr>
      <w:tr w:rsidR="002053AE" w:rsidRPr="009C507C" w14:paraId="486D8DA3" w14:textId="77777777" w:rsidTr="002C624D">
        <w:trPr>
          <w:jc w:val="center"/>
        </w:trPr>
        <w:tc>
          <w:tcPr>
            <w:tcW w:w="2068" w:type="dxa"/>
          </w:tcPr>
          <w:p w14:paraId="737B6C8E" w14:textId="741E0019" w:rsidR="002053AE" w:rsidRPr="009C507C" w:rsidRDefault="002C624D" w:rsidP="009C507C">
            <w:pPr>
              <w:pStyle w:val="NormalWeb"/>
              <w:spacing w:line="276" w:lineRule="auto"/>
              <w:rPr>
                <w:rFonts w:ascii="Arial" w:hAnsi="Arial" w:cs="Arial"/>
                <w:b/>
                <w:sz w:val="22"/>
                <w:szCs w:val="22"/>
              </w:rPr>
            </w:pPr>
            <w:r w:rsidRPr="009C507C">
              <w:rPr>
                <w:rFonts w:ascii="Arial" w:hAnsi="Arial" w:cs="Arial"/>
                <w:b/>
                <w:sz w:val="22"/>
                <w:szCs w:val="22"/>
              </w:rPr>
              <w:t>L</w:t>
            </w:r>
            <w:r w:rsidR="002053AE" w:rsidRPr="009C507C">
              <w:rPr>
                <w:rFonts w:ascii="Arial" w:hAnsi="Arial" w:cs="Arial"/>
                <w:b/>
                <w:sz w:val="22"/>
                <w:szCs w:val="22"/>
              </w:rPr>
              <w:t>aw</w:t>
            </w:r>
          </w:p>
        </w:tc>
        <w:tc>
          <w:tcPr>
            <w:tcW w:w="1481" w:type="dxa"/>
          </w:tcPr>
          <w:p w14:paraId="610085BC" w14:textId="3DF6C761" w:rsidR="002053AE" w:rsidRPr="009C507C" w:rsidRDefault="002053AE" w:rsidP="009C507C">
            <w:pPr>
              <w:pStyle w:val="NormalWeb"/>
              <w:spacing w:line="276" w:lineRule="auto"/>
              <w:rPr>
                <w:rFonts w:ascii="Arial" w:hAnsi="Arial" w:cs="Arial"/>
                <w:sz w:val="22"/>
                <w:szCs w:val="22"/>
              </w:rPr>
            </w:pPr>
            <w:r w:rsidRPr="009C507C">
              <w:rPr>
                <w:rFonts w:ascii="Arial" w:hAnsi="Arial" w:cs="Arial"/>
                <w:sz w:val="22"/>
                <w:szCs w:val="22"/>
              </w:rPr>
              <w:t>Bankruptcy Act</w:t>
            </w:r>
            <w:r w:rsidR="002C624D" w:rsidRPr="009C507C">
              <w:rPr>
                <w:rFonts w:ascii="Arial" w:hAnsi="Arial" w:cs="Arial"/>
                <w:sz w:val="22"/>
                <w:szCs w:val="22"/>
              </w:rPr>
              <w:t xml:space="preserve"> 1966</w:t>
            </w:r>
          </w:p>
        </w:tc>
        <w:tc>
          <w:tcPr>
            <w:tcW w:w="1349" w:type="dxa"/>
          </w:tcPr>
          <w:p w14:paraId="6C176AC4" w14:textId="3F4B974D" w:rsidR="002053AE" w:rsidRPr="009C507C" w:rsidRDefault="002053AE" w:rsidP="009C507C">
            <w:pPr>
              <w:pStyle w:val="NormalWeb"/>
              <w:spacing w:line="276" w:lineRule="auto"/>
              <w:rPr>
                <w:rFonts w:ascii="Arial" w:hAnsi="Arial" w:cs="Arial"/>
                <w:sz w:val="22"/>
                <w:szCs w:val="22"/>
              </w:rPr>
            </w:pPr>
            <w:r w:rsidRPr="009C507C">
              <w:rPr>
                <w:rFonts w:ascii="Arial" w:hAnsi="Arial" w:cs="Arial"/>
                <w:sz w:val="22"/>
                <w:szCs w:val="22"/>
              </w:rPr>
              <w:t>Corporations Act Ch 5</w:t>
            </w:r>
            <w:r w:rsidR="002C624D" w:rsidRPr="009C507C">
              <w:rPr>
                <w:rFonts w:ascii="Arial" w:hAnsi="Arial" w:cs="Arial"/>
                <w:sz w:val="22"/>
                <w:szCs w:val="22"/>
              </w:rPr>
              <w:t>, 2001</w:t>
            </w:r>
          </w:p>
        </w:tc>
        <w:tc>
          <w:tcPr>
            <w:tcW w:w="3004" w:type="dxa"/>
          </w:tcPr>
          <w:p w14:paraId="5967C981" w14:textId="18157F3D" w:rsidR="002053AE" w:rsidRPr="009C507C" w:rsidRDefault="002053AE" w:rsidP="009C507C">
            <w:pPr>
              <w:pStyle w:val="NormalWeb"/>
              <w:spacing w:line="276" w:lineRule="auto"/>
              <w:rPr>
                <w:rFonts w:ascii="Arial" w:hAnsi="Arial" w:cs="Arial"/>
                <w:sz w:val="22"/>
                <w:szCs w:val="22"/>
              </w:rPr>
            </w:pPr>
            <w:r w:rsidRPr="009C507C">
              <w:rPr>
                <w:rFonts w:ascii="Arial" w:hAnsi="Arial" w:cs="Arial"/>
                <w:sz w:val="22"/>
                <w:szCs w:val="22"/>
              </w:rPr>
              <w:t>As is</w:t>
            </w:r>
          </w:p>
        </w:tc>
      </w:tr>
      <w:tr w:rsidR="002053AE" w:rsidRPr="009C507C" w14:paraId="787F433C" w14:textId="77777777" w:rsidTr="002C624D">
        <w:trPr>
          <w:jc w:val="center"/>
        </w:trPr>
        <w:tc>
          <w:tcPr>
            <w:tcW w:w="2068" w:type="dxa"/>
          </w:tcPr>
          <w:p w14:paraId="2DDF76EA" w14:textId="39133FD1" w:rsidR="002053AE" w:rsidRPr="009C507C" w:rsidRDefault="002C624D" w:rsidP="009C507C">
            <w:pPr>
              <w:pStyle w:val="NormalWeb"/>
              <w:spacing w:line="276" w:lineRule="auto"/>
              <w:rPr>
                <w:rFonts w:ascii="Arial" w:hAnsi="Arial" w:cs="Arial"/>
                <w:b/>
                <w:sz w:val="22"/>
                <w:szCs w:val="22"/>
              </w:rPr>
            </w:pPr>
            <w:r w:rsidRPr="009C507C">
              <w:rPr>
                <w:rFonts w:ascii="Arial" w:hAnsi="Arial" w:cs="Arial"/>
                <w:b/>
                <w:sz w:val="22"/>
                <w:szCs w:val="22"/>
              </w:rPr>
              <w:t>D</w:t>
            </w:r>
            <w:r w:rsidR="002053AE" w:rsidRPr="009C507C">
              <w:rPr>
                <w:rFonts w:ascii="Arial" w:hAnsi="Arial" w:cs="Arial"/>
                <w:b/>
                <w:sz w:val="22"/>
                <w:szCs w:val="22"/>
              </w:rPr>
              <w:t>epartment</w:t>
            </w:r>
          </w:p>
        </w:tc>
        <w:tc>
          <w:tcPr>
            <w:tcW w:w="1481" w:type="dxa"/>
          </w:tcPr>
          <w:p w14:paraId="70E1BA88" w14:textId="1425FC02" w:rsidR="002053AE" w:rsidRPr="009C507C" w:rsidRDefault="002053AE" w:rsidP="009C507C">
            <w:pPr>
              <w:pStyle w:val="NormalWeb"/>
              <w:spacing w:line="276" w:lineRule="auto"/>
              <w:rPr>
                <w:rFonts w:ascii="Arial" w:hAnsi="Arial" w:cs="Arial"/>
                <w:sz w:val="22"/>
                <w:szCs w:val="22"/>
              </w:rPr>
            </w:pPr>
            <w:r w:rsidRPr="009C507C">
              <w:rPr>
                <w:rFonts w:ascii="Arial" w:hAnsi="Arial" w:cs="Arial"/>
                <w:sz w:val="22"/>
                <w:szCs w:val="22"/>
              </w:rPr>
              <w:t>AGD</w:t>
            </w:r>
          </w:p>
        </w:tc>
        <w:tc>
          <w:tcPr>
            <w:tcW w:w="1349" w:type="dxa"/>
          </w:tcPr>
          <w:p w14:paraId="1EBDF735" w14:textId="0DFD1442" w:rsidR="002053AE" w:rsidRPr="009C507C" w:rsidRDefault="002053AE" w:rsidP="009C507C">
            <w:pPr>
              <w:pStyle w:val="NormalWeb"/>
              <w:spacing w:line="276" w:lineRule="auto"/>
              <w:rPr>
                <w:rFonts w:ascii="Arial" w:hAnsi="Arial" w:cs="Arial"/>
                <w:sz w:val="22"/>
                <w:szCs w:val="22"/>
              </w:rPr>
            </w:pPr>
            <w:r w:rsidRPr="009C507C">
              <w:rPr>
                <w:rFonts w:ascii="Arial" w:hAnsi="Arial" w:cs="Arial"/>
                <w:sz w:val="22"/>
                <w:szCs w:val="22"/>
              </w:rPr>
              <w:t>Treasury</w:t>
            </w:r>
          </w:p>
        </w:tc>
        <w:tc>
          <w:tcPr>
            <w:tcW w:w="3004" w:type="dxa"/>
          </w:tcPr>
          <w:p w14:paraId="78C17335" w14:textId="3CFADC74" w:rsidR="002053AE" w:rsidRPr="009C507C" w:rsidRDefault="002053AE" w:rsidP="009C507C">
            <w:pPr>
              <w:pStyle w:val="NormalWeb"/>
              <w:spacing w:line="276" w:lineRule="auto"/>
              <w:rPr>
                <w:rFonts w:ascii="Arial" w:hAnsi="Arial" w:cs="Arial"/>
                <w:sz w:val="22"/>
                <w:szCs w:val="22"/>
              </w:rPr>
            </w:pPr>
            <w:r w:rsidRPr="009C507C">
              <w:rPr>
                <w:rFonts w:ascii="Arial" w:hAnsi="Arial" w:cs="Arial"/>
                <w:sz w:val="22"/>
                <w:szCs w:val="22"/>
              </w:rPr>
              <w:t>As decided</w:t>
            </w:r>
          </w:p>
        </w:tc>
      </w:tr>
      <w:tr w:rsidR="002053AE" w:rsidRPr="009C507C" w14:paraId="2732D28D" w14:textId="77777777" w:rsidTr="002C624D">
        <w:trPr>
          <w:jc w:val="center"/>
        </w:trPr>
        <w:tc>
          <w:tcPr>
            <w:tcW w:w="2068" w:type="dxa"/>
          </w:tcPr>
          <w:p w14:paraId="45433CF2" w14:textId="10418683" w:rsidR="002053AE" w:rsidRPr="009C507C" w:rsidRDefault="002053AE" w:rsidP="009C507C">
            <w:pPr>
              <w:pStyle w:val="NormalWeb"/>
              <w:spacing w:line="276" w:lineRule="auto"/>
              <w:rPr>
                <w:rFonts w:ascii="Arial" w:hAnsi="Arial" w:cs="Arial"/>
                <w:b/>
                <w:sz w:val="22"/>
                <w:szCs w:val="22"/>
              </w:rPr>
            </w:pPr>
            <w:r w:rsidRPr="009C507C">
              <w:rPr>
                <w:rFonts w:ascii="Arial" w:hAnsi="Arial" w:cs="Arial"/>
                <w:b/>
                <w:sz w:val="22"/>
                <w:szCs w:val="22"/>
              </w:rPr>
              <w:t>Minister</w:t>
            </w:r>
          </w:p>
        </w:tc>
        <w:tc>
          <w:tcPr>
            <w:tcW w:w="1481" w:type="dxa"/>
          </w:tcPr>
          <w:p w14:paraId="3F85FC56" w14:textId="3284045A" w:rsidR="002053AE" w:rsidRPr="009C507C" w:rsidRDefault="002053AE" w:rsidP="009C507C">
            <w:pPr>
              <w:pStyle w:val="NormalWeb"/>
              <w:spacing w:line="276" w:lineRule="auto"/>
              <w:rPr>
                <w:rFonts w:ascii="Arial" w:hAnsi="Arial" w:cs="Arial"/>
                <w:sz w:val="22"/>
                <w:szCs w:val="22"/>
              </w:rPr>
            </w:pPr>
            <w:r w:rsidRPr="009C507C">
              <w:rPr>
                <w:rFonts w:ascii="Arial" w:hAnsi="Arial" w:cs="Arial"/>
                <w:sz w:val="22"/>
                <w:szCs w:val="22"/>
              </w:rPr>
              <w:t>A</w:t>
            </w:r>
            <w:r w:rsidR="002C624D" w:rsidRPr="009C507C">
              <w:rPr>
                <w:rFonts w:ascii="Arial" w:hAnsi="Arial" w:cs="Arial"/>
                <w:sz w:val="22"/>
                <w:szCs w:val="22"/>
              </w:rPr>
              <w:t>-</w:t>
            </w:r>
            <w:r w:rsidRPr="009C507C">
              <w:rPr>
                <w:rFonts w:ascii="Arial" w:hAnsi="Arial" w:cs="Arial"/>
                <w:sz w:val="22"/>
                <w:szCs w:val="22"/>
              </w:rPr>
              <w:t>G</w:t>
            </w:r>
          </w:p>
        </w:tc>
        <w:tc>
          <w:tcPr>
            <w:tcW w:w="1349" w:type="dxa"/>
          </w:tcPr>
          <w:p w14:paraId="122E42B7" w14:textId="40FEED96" w:rsidR="002053AE" w:rsidRPr="009C507C" w:rsidRDefault="002053AE" w:rsidP="009C507C">
            <w:pPr>
              <w:pStyle w:val="NormalWeb"/>
              <w:spacing w:line="276" w:lineRule="auto"/>
              <w:rPr>
                <w:rFonts w:ascii="Arial" w:hAnsi="Arial" w:cs="Arial"/>
                <w:sz w:val="22"/>
                <w:szCs w:val="22"/>
              </w:rPr>
            </w:pPr>
            <w:r w:rsidRPr="009C507C">
              <w:rPr>
                <w:rFonts w:ascii="Arial" w:hAnsi="Arial" w:cs="Arial"/>
                <w:sz w:val="22"/>
                <w:szCs w:val="22"/>
              </w:rPr>
              <w:t>Assistant Treasurer</w:t>
            </w:r>
          </w:p>
        </w:tc>
        <w:tc>
          <w:tcPr>
            <w:tcW w:w="3004" w:type="dxa"/>
          </w:tcPr>
          <w:p w14:paraId="13C2274C" w14:textId="1D666F31" w:rsidR="002053AE" w:rsidRPr="009C507C" w:rsidRDefault="002053AE" w:rsidP="009C507C">
            <w:pPr>
              <w:pStyle w:val="NormalWeb"/>
              <w:spacing w:line="276" w:lineRule="auto"/>
              <w:rPr>
                <w:rFonts w:ascii="Arial" w:hAnsi="Arial" w:cs="Arial"/>
                <w:sz w:val="22"/>
                <w:szCs w:val="22"/>
              </w:rPr>
            </w:pPr>
            <w:r w:rsidRPr="009C507C">
              <w:rPr>
                <w:rFonts w:ascii="Arial" w:hAnsi="Arial" w:cs="Arial"/>
                <w:sz w:val="22"/>
                <w:szCs w:val="22"/>
              </w:rPr>
              <w:t>As decided</w:t>
            </w:r>
          </w:p>
        </w:tc>
      </w:tr>
      <w:tr w:rsidR="002053AE" w:rsidRPr="009C507C" w14:paraId="186E0E7B" w14:textId="77777777" w:rsidTr="002C624D">
        <w:trPr>
          <w:jc w:val="center"/>
        </w:trPr>
        <w:tc>
          <w:tcPr>
            <w:tcW w:w="2068" w:type="dxa"/>
          </w:tcPr>
          <w:p w14:paraId="63C42DE8" w14:textId="766B59F6" w:rsidR="002053AE" w:rsidRPr="009C507C" w:rsidRDefault="002C624D" w:rsidP="009C507C">
            <w:pPr>
              <w:pStyle w:val="NormalWeb"/>
              <w:spacing w:line="276" w:lineRule="auto"/>
              <w:rPr>
                <w:rFonts w:ascii="Arial" w:hAnsi="Arial" w:cs="Arial"/>
                <w:b/>
                <w:sz w:val="22"/>
                <w:szCs w:val="22"/>
              </w:rPr>
            </w:pPr>
            <w:r w:rsidRPr="009C507C">
              <w:rPr>
                <w:rFonts w:ascii="Arial" w:hAnsi="Arial" w:cs="Arial"/>
                <w:b/>
                <w:sz w:val="22"/>
                <w:szCs w:val="22"/>
              </w:rPr>
              <w:t>C</w:t>
            </w:r>
            <w:r w:rsidR="002053AE" w:rsidRPr="009C507C">
              <w:rPr>
                <w:rFonts w:ascii="Arial" w:hAnsi="Arial" w:cs="Arial"/>
                <w:b/>
                <w:sz w:val="22"/>
                <w:szCs w:val="22"/>
              </w:rPr>
              <w:t>ourts</w:t>
            </w:r>
          </w:p>
        </w:tc>
        <w:tc>
          <w:tcPr>
            <w:tcW w:w="1481" w:type="dxa"/>
          </w:tcPr>
          <w:p w14:paraId="78221071" w14:textId="0F67193F" w:rsidR="002053AE" w:rsidRPr="009C507C" w:rsidRDefault="002053AE" w:rsidP="009C507C">
            <w:pPr>
              <w:pStyle w:val="NormalWeb"/>
              <w:spacing w:line="276" w:lineRule="auto"/>
              <w:rPr>
                <w:rFonts w:ascii="Arial" w:hAnsi="Arial" w:cs="Arial"/>
                <w:sz w:val="22"/>
                <w:szCs w:val="22"/>
              </w:rPr>
            </w:pPr>
            <w:r w:rsidRPr="009C507C">
              <w:rPr>
                <w:rFonts w:ascii="Arial" w:hAnsi="Arial" w:cs="Arial"/>
                <w:sz w:val="22"/>
                <w:szCs w:val="22"/>
              </w:rPr>
              <w:t>Federal and Federal Circuit</w:t>
            </w:r>
            <w:r w:rsidR="002C624D" w:rsidRPr="009C507C">
              <w:rPr>
                <w:rFonts w:ascii="Arial" w:hAnsi="Arial" w:cs="Arial"/>
                <w:sz w:val="22"/>
                <w:szCs w:val="22"/>
              </w:rPr>
              <w:t xml:space="preserve"> Court</w:t>
            </w:r>
          </w:p>
        </w:tc>
        <w:tc>
          <w:tcPr>
            <w:tcW w:w="1349" w:type="dxa"/>
          </w:tcPr>
          <w:p w14:paraId="4DDDC639" w14:textId="01CE4FEC" w:rsidR="002053AE" w:rsidRPr="009C507C" w:rsidRDefault="00763B1B" w:rsidP="009C507C">
            <w:pPr>
              <w:pStyle w:val="NormalWeb"/>
              <w:spacing w:line="276" w:lineRule="auto"/>
              <w:rPr>
                <w:rFonts w:ascii="Arial" w:hAnsi="Arial" w:cs="Arial"/>
                <w:sz w:val="22"/>
                <w:szCs w:val="22"/>
              </w:rPr>
            </w:pPr>
            <w:r w:rsidRPr="009C507C">
              <w:rPr>
                <w:rFonts w:ascii="Arial" w:hAnsi="Arial" w:cs="Arial"/>
                <w:sz w:val="22"/>
                <w:szCs w:val="22"/>
              </w:rPr>
              <w:t>Federal and S</w:t>
            </w:r>
            <w:r w:rsidR="002053AE" w:rsidRPr="009C507C">
              <w:rPr>
                <w:rFonts w:ascii="Arial" w:hAnsi="Arial" w:cs="Arial"/>
                <w:sz w:val="22"/>
                <w:szCs w:val="22"/>
              </w:rPr>
              <w:t xml:space="preserve">upreme Courts </w:t>
            </w:r>
          </w:p>
        </w:tc>
        <w:tc>
          <w:tcPr>
            <w:tcW w:w="3004" w:type="dxa"/>
          </w:tcPr>
          <w:p w14:paraId="500A4642" w14:textId="1EB548AB" w:rsidR="002053AE" w:rsidRPr="009C507C" w:rsidRDefault="002053AE" w:rsidP="009C507C">
            <w:pPr>
              <w:pStyle w:val="NormalWeb"/>
              <w:spacing w:line="276" w:lineRule="auto"/>
              <w:rPr>
                <w:rFonts w:ascii="Arial" w:hAnsi="Arial" w:cs="Arial"/>
                <w:sz w:val="22"/>
                <w:szCs w:val="22"/>
              </w:rPr>
            </w:pPr>
            <w:r w:rsidRPr="009C507C">
              <w:rPr>
                <w:rFonts w:ascii="Arial" w:hAnsi="Arial" w:cs="Arial"/>
                <w:sz w:val="22"/>
                <w:szCs w:val="22"/>
              </w:rPr>
              <w:t>As is</w:t>
            </w:r>
          </w:p>
        </w:tc>
      </w:tr>
      <w:tr w:rsidR="002053AE" w:rsidRPr="009C507C" w14:paraId="04F78E89" w14:textId="77777777" w:rsidTr="002C624D">
        <w:trPr>
          <w:jc w:val="center"/>
        </w:trPr>
        <w:tc>
          <w:tcPr>
            <w:tcW w:w="2068" w:type="dxa"/>
          </w:tcPr>
          <w:p w14:paraId="512E5408" w14:textId="71F1FC41" w:rsidR="002053AE" w:rsidRPr="009C507C" w:rsidRDefault="00763B1B" w:rsidP="009C507C">
            <w:pPr>
              <w:pStyle w:val="NormalWeb"/>
              <w:spacing w:line="276" w:lineRule="auto"/>
              <w:rPr>
                <w:rFonts w:ascii="Arial" w:hAnsi="Arial" w:cs="Arial"/>
                <w:b/>
                <w:sz w:val="22"/>
                <w:szCs w:val="22"/>
              </w:rPr>
            </w:pPr>
            <w:r w:rsidRPr="009C507C">
              <w:rPr>
                <w:rFonts w:ascii="Arial" w:hAnsi="Arial" w:cs="Arial"/>
                <w:b/>
                <w:sz w:val="22"/>
                <w:szCs w:val="22"/>
              </w:rPr>
              <w:t>Government support</w:t>
            </w:r>
          </w:p>
        </w:tc>
        <w:tc>
          <w:tcPr>
            <w:tcW w:w="1481" w:type="dxa"/>
          </w:tcPr>
          <w:p w14:paraId="795A9E74" w14:textId="759B9C41" w:rsidR="002053AE" w:rsidRPr="009C507C" w:rsidRDefault="00763B1B" w:rsidP="009C507C">
            <w:pPr>
              <w:pStyle w:val="NormalWeb"/>
              <w:spacing w:line="276" w:lineRule="auto"/>
              <w:rPr>
                <w:rFonts w:ascii="Arial" w:hAnsi="Arial" w:cs="Arial"/>
                <w:sz w:val="22"/>
                <w:szCs w:val="22"/>
              </w:rPr>
            </w:pPr>
            <w:r w:rsidRPr="009C507C">
              <w:rPr>
                <w:rFonts w:ascii="Arial" w:hAnsi="Arial" w:cs="Arial"/>
                <w:sz w:val="22"/>
                <w:szCs w:val="22"/>
              </w:rPr>
              <w:t>Official Trustee in Bankruptcy</w:t>
            </w:r>
          </w:p>
        </w:tc>
        <w:tc>
          <w:tcPr>
            <w:tcW w:w="1349" w:type="dxa"/>
          </w:tcPr>
          <w:p w14:paraId="247DC965" w14:textId="6DC6646B" w:rsidR="002053AE" w:rsidRPr="009C507C" w:rsidRDefault="00763B1B" w:rsidP="009C507C">
            <w:pPr>
              <w:pStyle w:val="NormalWeb"/>
              <w:spacing w:line="276" w:lineRule="auto"/>
              <w:rPr>
                <w:rFonts w:ascii="Arial" w:hAnsi="Arial" w:cs="Arial"/>
                <w:sz w:val="22"/>
                <w:szCs w:val="22"/>
              </w:rPr>
            </w:pPr>
            <w:r w:rsidRPr="009C507C">
              <w:rPr>
                <w:rFonts w:ascii="Arial" w:hAnsi="Arial" w:cs="Arial"/>
                <w:sz w:val="22"/>
                <w:szCs w:val="22"/>
              </w:rPr>
              <w:t>No</w:t>
            </w:r>
          </w:p>
        </w:tc>
        <w:tc>
          <w:tcPr>
            <w:tcW w:w="3004" w:type="dxa"/>
          </w:tcPr>
          <w:p w14:paraId="08A3E7E9" w14:textId="6F0751FB" w:rsidR="002053AE" w:rsidRPr="009C507C" w:rsidRDefault="00763B1B" w:rsidP="009C507C">
            <w:pPr>
              <w:pStyle w:val="NormalWeb"/>
              <w:spacing w:line="276" w:lineRule="auto"/>
              <w:rPr>
                <w:rFonts w:ascii="Arial" w:hAnsi="Arial" w:cs="Arial"/>
                <w:sz w:val="22"/>
                <w:szCs w:val="22"/>
              </w:rPr>
            </w:pPr>
            <w:r w:rsidRPr="009C507C">
              <w:rPr>
                <w:rFonts w:ascii="Arial" w:hAnsi="Arial" w:cs="Arial"/>
                <w:sz w:val="22"/>
                <w:szCs w:val="22"/>
              </w:rPr>
              <w:t>As is</w:t>
            </w:r>
          </w:p>
        </w:tc>
      </w:tr>
    </w:tbl>
    <w:p w14:paraId="66E865AB" w14:textId="4AA1B0AB" w:rsidR="002928E4" w:rsidRPr="009C507C" w:rsidRDefault="002928E4" w:rsidP="009C507C">
      <w:pPr>
        <w:pStyle w:val="NormalWeb"/>
        <w:spacing w:line="276" w:lineRule="auto"/>
        <w:rPr>
          <w:rFonts w:ascii="Arial" w:hAnsi="Arial" w:cs="Arial"/>
          <w:sz w:val="22"/>
          <w:szCs w:val="22"/>
        </w:rPr>
      </w:pPr>
      <w:r w:rsidRPr="009C507C">
        <w:rPr>
          <w:rFonts w:ascii="Arial" w:hAnsi="Arial" w:cs="Arial"/>
          <w:sz w:val="22"/>
          <w:szCs w:val="22"/>
        </w:rPr>
        <w:lastRenderedPageBreak/>
        <w:t xml:space="preserve">There are some linkages allowing our recommendation to be implemented.  For example, apart from the legal and administrative structure, the insolvency profession is itself cohesive, </w:t>
      </w:r>
      <w:r w:rsidR="00B80CAD" w:rsidRPr="009C507C">
        <w:rPr>
          <w:rFonts w:ascii="Arial" w:hAnsi="Arial" w:cs="Arial"/>
          <w:sz w:val="22"/>
          <w:szCs w:val="22"/>
        </w:rPr>
        <w:t>in the sense that many</w:t>
      </w:r>
      <w:r w:rsidRPr="009C507C">
        <w:rPr>
          <w:rFonts w:ascii="Arial" w:hAnsi="Arial" w:cs="Arial"/>
          <w:sz w:val="22"/>
          <w:szCs w:val="22"/>
        </w:rPr>
        <w:t xml:space="preserve"> liquidators are also trustees, and its education and training covers both.</w:t>
      </w:r>
      <w:r w:rsidR="002053AE" w:rsidRPr="009C507C">
        <w:rPr>
          <w:rFonts w:ascii="Arial" w:hAnsi="Arial" w:cs="Arial"/>
          <w:sz w:val="22"/>
          <w:szCs w:val="22"/>
        </w:rPr>
        <w:t xml:space="preserve"> </w:t>
      </w:r>
      <w:r w:rsidR="00763B1B" w:rsidRPr="009C507C">
        <w:rPr>
          <w:rFonts w:ascii="Arial" w:hAnsi="Arial" w:cs="Arial"/>
          <w:sz w:val="22"/>
          <w:szCs w:val="22"/>
        </w:rPr>
        <w:t xml:space="preserve">There is the one professional body, ARITA. </w:t>
      </w:r>
      <w:r w:rsidR="002053AE" w:rsidRPr="009C507C">
        <w:rPr>
          <w:rFonts w:ascii="Arial" w:hAnsi="Arial" w:cs="Arial"/>
          <w:sz w:val="22"/>
          <w:szCs w:val="22"/>
        </w:rPr>
        <w:t>There are often bankruptcies of directors of companies in liquidation.  Specialist texts and publications tend to cover both</w:t>
      </w:r>
      <w:r w:rsidR="00763B1B" w:rsidRPr="009C507C">
        <w:rPr>
          <w:rFonts w:ascii="Arial" w:hAnsi="Arial" w:cs="Arial"/>
          <w:sz w:val="22"/>
          <w:szCs w:val="22"/>
        </w:rPr>
        <w:t xml:space="preserve"> personal and corporate insolvency</w:t>
      </w:r>
      <w:r w:rsidR="002053AE" w:rsidRPr="009C507C">
        <w:rPr>
          <w:rFonts w:ascii="Arial" w:hAnsi="Arial" w:cs="Arial"/>
          <w:sz w:val="22"/>
          <w:szCs w:val="22"/>
        </w:rPr>
        <w:t>.</w:t>
      </w:r>
    </w:p>
    <w:p w14:paraId="4B69C88E" w14:textId="77777777" w:rsidR="002C624D" w:rsidRPr="009C507C" w:rsidRDefault="002C624D" w:rsidP="009C507C">
      <w:pPr>
        <w:pStyle w:val="NormalWeb"/>
        <w:spacing w:line="276" w:lineRule="auto"/>
        <w:rPr>
          <w:rFonts w:ascii="Arial" w:hAnsi="Arial" w:cs="Arial"/>
          <w:b/>
          <w:sz w:val="22"/>
          <w:szCs w:val="22"/>
        </w:rPr>
      </w:pPr>
      <w:r w:rsidRPr="009C507C">
        <w:rPr>
          <w:rFonts w:ascii="Arial" w:hAnsi="Arial" w:cs="Arial"/>
          <w:b/>
          <w:sz w:val="22"/>
          <w:szCs w:val="22"/>
        </w:rPr>
        <w:t>The problem</w:t>
      </w:r>
    </w:p>
    <w:p w14:paraId="28C0179A" w14:textId="343FD7F6" w:rsidR="00763B1B" w:rsidRPr="009C507C" w:rsidRDefault="002928E4" w:rsidP="009C507C">
      <w:pPr>
        <w:pStyle w:val="NormalWeb"/>
        <w:spacing w:line="276" w:lineRule="auto"/>
        <w:rPr>
          <w:rFonts w:ascii="Arial" w:hAnsi="Arial" w:cs="Arial"/>
          <w:sz w:val="22"/>
          <w:szCs w:val="22"/>
        </w:rPr>
      </w:pPr>
      <w:r w:rsidRPr="009C507C">
        <w:rPr>
          <w:rFonts w:ascii="Arial" w:hAnsi="Arial" w:cs="Arial"/>
          <w:sz w:val="22"/>
          <w:szCs w:val="22"/>
        </w:rPr>
        <w:t>The essential problem is that ASIC regulates corporate practitioners, and a separate body, AFSA, regulates personal insolvency practitioners. The standards and practices of each discipline are largely common, but are kept divided by the separate approaches taken by the</w:t>
      </w:r>
      <w:r w:rsidR="00763B1B" w:rsidRPr="009C507C">
        <w:rPr>
          <w:rFonts w:ascii="Arial" w:hAnsi="Arial" w:cs="Arial"/>
          <w:sz w:val="22"/>
          <w:szCs w:val="22"/>
        </w:rPr>
        <w:t>se</w:t>
      </w:r>
      <w:r w:rsidRPr="009C507C">
        <w:rPr>
          <w:rFonts w:ascii="Arial" w:hAnsi="Arial" w:cs="Arial"/>
          <w:sz w:val="22"/>
          <w:szCs w:val="22"/>
        </w:rPr>
        <w:t xml:space="preserve"> regulators.</w:t>
      </w:r>
      <w:r w:rsidR="00B80CAD" w:rsidRPr="009C507C">
        <w:rPr>
          <w:rFonts w:ascii="Arial" w:hAnsi="Arial" w:cs="Arial"/>
          <w:sz w:val="22"/>
          <w:szCs w:val="22"/>
        </w:rPr>
        <w:t xml:space="preserve"> </w:t>
      </w:r>
    </w:p>
    <w:p w14:paraId="7C913E23" w14:textId="4092CDF9" w:rsidR="002928E4" w:rsidRPr="009C507C" w:rsidRDefault="00B80CAD" w:rsidP="009C507C">
      <w:pPr>
        <w:pStyle w:val="NormalWeb"/>
        <w:spacing w:line="276" w:lineRule="auto"/>
        <w:rPr>
          <w:rFonts w:ascii="Arial" w:hAnsi="Arial" w:cs="Arial"/>
          <w:sz w:val="22"/>
          <w:szCs w:val="22"/>
        </w:rPr>
      </w:pPr>
      <w:r w:rsidRPr="009C507C">
        <w:rPr>
          <w:rFonts w:ascii="Arial" w:hAnsi="Arial" w:cs="Arial"/>
          <w:sz w:val="22"/>
          <w:szCs w:val="22"/>
        </w:rPr>
        <w:t xml:space="preserve">This raises the </w:t>
      </w:r>
      <w:r w:rsidR="00763B1B" w:rsidRPr="009C507C">
        <w:rPr>
          <w:rFonts w:ascii="Arial" w:hAnsi="Arial" w:cs="Arial"/>
          <w:sz w:val="22"/>
          <w:szCs w:val="22"/>
        </w:rPr>
        <w:t xml:space="preserve">issue of the </w:t>
      </w:r>
      <w:r w:rsidRPr="009C507C">
        <w:rPr>
          <w:rFonts w:ascii="Arial" w:hAnsi="Arial" w:cs="Arial"/>
          <w:sz w:val="22"/>
          <w:szCs w:val="22"/>
        </w:rPr>
        <w:t>regulatory burden</w:t>
      </w:r>
      <w:r w:rsidR="006761B1" w:rsidRPr="009C507C">
        <w:rPr>
          <w:rFonts w:ascii="Arial" w:hAnsi="Arial" w:cs="Arial"/>
          <w:sz w:val="22"/>
          <w:szCs w:val="22"/>
        </w:rPr>
        <w:t>,</w:t>
      </w:r>
      <w:r w:rsidRPr="009C507C">
        <w:rPr>
          <w:rFonts w:ascii="Arial" w:hAnsi="Arial" w:cs="Arial"/>
          <w:sz w:val="22"/>
          <w:szCs w:val="22"/>
        </w:rPr>
        <w:t xml:space="preserve"> which </w:t>
      </w:r>
      <w:r w:rsidR="006761B1" w:rsidRPr="009C507C">
        <w:rPr>
          <w:rFonts w:ascii="Arial" w:hAnsi="Arial" w:cs="Arial"/>
          <w:sz w:val="22"/>
          <w:szCs w:val="22"/>
        </w:rPr>
        <w:t>is a cost</w:t>
      </w:r>
      <w:r w:rsidRPr="009C507C">
        <w:rPr>
          <w:rFonts w:ascii="Arial" w:hAnsi="Arial" w:cs="Arial"/>
          <w:sz w:val="22"/>
          <w:szCs w:val="22"/>
        </w:rPr>
        <w:t xml:space="preserve"> ultimately borne by all businesses and consumers. Given that the </w:t>
      </w:r>
      <w:r w:rsidR="006761B1" w:rsidRPr="009C507C">
        <w:rPr>
          <w:rFonts w:ascii="Arial" w:hAnsi="Arial" w:cs="Arial"/>
          <w:sz w:val="22"/>
          <w:szCs w:val="22"/>
        </w:rPr>
        <w:t xml:space="preserve">revenue authorities are often involved as creditors in insolvency, </w:t>
      </w:r>
      <w:r w:rsidR="002053AE" w:rsidRPr="009C507C">
        <w:rPr>
          <w:rFonts w:ascii="Arial" w:hAnsi="Arial" w:cs="Arial"/>
          <w:sz w:val="22"/>
          <w:szCs w:val="22"/>
        </w:rPr>
        <w:t xml:space="preserve">in both personal and corporate, </w:t>
      </w:r>
      <w:r w:rsidR="006761B1" w:rsidRPr="009C507C">
        <w:rPr>
          <w:rFonts w:ascii="Arial" w:hAnsi="Arial" w:cs="Arial"/>
          <w:sz w:val="22"/>
          <w:szCs w:val="22"/>
        </w:rPr>
        <w:t>the cost is borne directly by the broader society as well.</w:t>
      </w:r>
    </w:p>
    <w:p w14:paraId="4C93A2C8" w14:textId="77777777" w:rsidR="00763B1B" w:rsidRPr="009C507C" w:rsidRDefault="002928E4" w:rsidP="009C507C">
      <w:pPr>
        <w:pStyle w:val="NormalWeb"/>
        <w:spacing w:line="276" w:lineRule="auto"/>
        <w:rPr>
          <w:rFonts w:ascii="Arial" w:hAnsi="Arial" w:cs="Arial"/>
          <w:sz w:val="22"/>
          <w:szCs w:val="22"/>
        </w:rPr>
      </w:pPr>
      <w:r w:rsidRPr="009C507C">
        <w:rPr>
          <w:rFonts w:ascii="Arial" w:hAnsi="Arial" w:cs="Arial"/>
          <w:sz w:val="22"/>
          <w:szCs w:val="22"/>
        </w:rPr>
        <w:t xml:space="preserve">In so far as you are examining ASIC’s capability, we submit that while it may be ‘capable’ as an insolvency regulator, insolvency </w:t>
      </w:r>
      <w:r w:rsidR="00763B1B" w:rsidRPr="009C507C">
        <w:rPr>
          <w:rFonts w:ascii="Arial" w:hAnsi="Arial" w:cs="Arial"/>
          <w:sz w:val="22"/>
          <w:szCs w:val="22"/>
        </w:rPr>
        <w:t>regulation would benefit by its removal from ASIC’s responsibilities.  The focus should not be on ASIC, or AFSA, but the beneficial regulation and support of the insolvency profession.</w:t>
      </w:r>
    </w:p>
    <w:p w14:paraId="5EC8FE06" w14:textId="75F674AF" w:rsidR="00763B1B" w:rsidRPr="009C507C" w:rsidRDefault="00763B1B" w:rsidP="009C507C">
      <w:pPr>
        <w:pStyle w:val="NormalWeb"/>
        <w:spacing w:line="276" w:lineRule="auto"/>
        <w:rPr>
          <w:rFonts w:ascii="Arial" w:hAnsi="Arial" w:cs="Arial"/>
          <w:sz w:val="22"/>
          <w:szCs w:val="22"/>
        </w:rPr>
      </w:pPr>
      <w:r w:rsidRPr="009C507C">
        <w:rPr>
          <w:rFonts w:ascii="Arial" w:hAnsi="Arial" w:cs="Arial"/>
          <w:sz w:val="22"/>
          <w:szCs w:val="22"/>
        </w:rPr>
        <w:t xml:space="preserve">We recommend this given that insolvency </w:t>
      </w:r>
      <w:r w:rsidR="002928E4" w:rsidRPr="009C507C">
        <w:rPr>
          <w:rFonts w:ascii="Arial" w:hAnsi="Arial" w:cs="Arial"/>
          <w:sz w:val="22"/>
          <w:szCs w:val="22"/>
        </w:rPr>
        <w:t xml:space="preserve">itself is only a very minor part of </w:t>
      </w:r>
      <w:r w:rsidRPr="009C507C">
        <w:rPr>
          <w:rFonts w:ascii="Arial" w:hAnsi="Arial" w:cs="Arial"/>
          <w:sz w:val="22"/>
          <w:szCs w:val="22"/>
        </w:rPr>
        <w:t>ASIC’s</w:t>
      </w:r>
      <w:r w:rsidR="002928E4" w:rsidRPr="009C507C">
        <w:rPr>
          <w:rFonts w:ascii="Arial" w:hAnsi="Arial" w:cs="Arial"/>
          <w:sz w:val="22"/>
          <w:szCs w:val="22"/>
        </w:rPr>
        <w:t xml:space="preserve"> authority. </w:t>
      </w:r>
      <w:r w:rsidR="00FD4900" w:rsidRPr="009C507C">
        <w:rPr>
          <w:rFonts w:ascii="Arial" w:hAnsi="Arial" w:cs="Arial"/>
          <w:sz w:val="22"/>
          <w:szCs w:val="22"/>
        </w:rPr>
        <w:t xml:space="preserve"> </w:t>
      </w:r>
      <w:r w:rsidRPr="009C507C">
        <w:rPr>
          <w:rFonts w:ascii="Arial" w:hAnsi="Arial" w:cs="Arial"/>
          <w:sz w:val="22"/>
          <w:szCs w:val="22"/>
        </w:rPr>
        <w:t xml:space="preserve">The lack of policy and law reform attention to corporate insolvency has suffered as a result.  </w:t>
      </w:r>
    </w:p>
    <w:p w14:paraId="6B09CFEE" w14:textId="0AE74B93" w:rsidR="002928E4" w:rsidRPr="009C507C" w:rsidRDefault="00FD4900" w:rsidP="009C507C">
      <w:pPr>
        <w:pStyle w:val="NormalWeb"/>
        <w:spacing w:line="276" w:lineRule="auto"/>
        <w:rPr>
          <w:rFonts w:ascii="Arial" w:hAnsi="Arial" w:cs="Arial"/>
          <w:sz w:val="22"/>
          <w:szCs w:val="22"/>
        </w:rPr>
      </w:pPr>
      <w:r w:rsidRPr="009C507C">
        <w:rPr>
          <w:rFonts w:ascii="Arial" w:hAnsi="Arial" w:cs="Arial"/>
          <w:sz w:val="22"/>
          <w:szCs w:val="22"/>
        </w:rPr>
        <w:t xml:space="preserve">Further we posit that </w:t>
      </w:r>
      <w:r w:rsidR="00763B1B" w:rsidRPr="009C507C">
        <w:rPr>
          <w:rFonts w:ascii="Arial" w:hAnsi="Arial" w:cs="Arial"/>
          <w:sz w:val="22"/>
          <w:szCs w:val="22"/>
        </w:rPr>
        <w:t xml:space="preserve">ASIC </w:t>
      </w:r>
      <w:r w:rsidR="00203268" w:rsidRPr="009C507C">
        <w:rPr>
          <w:rFonts w:ascii="Arial" w:hAnsi="Arial" w:cs="Arial"/>
          <w:sz w:val="22"/>
          <w:szCs w:val="22"/>
        </w:rPr>
        <w:t xml:space="preserve">does not take an </w:t>
      </w:r>
      <w:r w:rsidR="00763B1B" w:rsidRPr="009C507C">
        <w:rPr>
          <w:rFonts w:ascii="Arial" w:hAnsi="Arial" w:cs="Arial"/>
          <w:sz w:val="22"/>
          <w:szCs w:val="22"/>
        </w:rPr>
        <w:t xml:space="preserve">effective and </w:t>
      </w:r>
      <w:r w:rsidR="00203268" w:rsidRPr="009C507C">
        <w:rPr>
          <w:rFonts w:ascii="Arial" w:hAnsi="Arial" w:cs="Arial"/>
          <w:sz w:val="22"/>
          <w:szCs w:val="22"/>
        </w:rPr>
        <w:t xml:space="preserve">appropriate approach to the regulation of </w:t>
      </w:r>
      <w:r w:rsidRPr="009C507C">
        <w:rPr>
          <w:rFonts w:ascii="Arial" w:hAnsi="Arial" w:cs="Arial"/>
          <w:sz w:val="22"/>
          <w:szCs w:val="22"/>
        </w:rPr>
        <w:t>i</w:t>
      </w:r>
      <w:r w:rsidR="002928E4" w:rsidRPr="009C507C">
        <w:rPr>
          <w:rFonts w:ascii="Arial" w:hAnsi="Arial" w:cs="Arial"/>
          <w:sz w:val="22"/>
          <w:szCs w:val="22"/>
        </w:rPr>
        <w:t xml:space="preserve">nsolvency practitioners </w:t>
      </w:r>
      <w:r w:rsidR="00203268" w:rsidRPr="009C507C">
        <w:rPr>
          <w:rFonts w:ascii="Arial" w:hAnsi="Arial" w:cs="Arial"/>
          <w:sz w:val="22"/>
          <w:szCs w:val="22"/>
        </w:rPr>
        <w:t xml:space="preserve">who </w:t>
      </w:r>
      <w:r w:rsidR="002928E4" w:rsidRPr="009C507C">
        <w:rPr>
          <w:rFonts w:ascii="Arial" w:hAnsi="Arial" w:cs="Arial"/>
          <w:sz w:val="22"/>
          <w:szCs w:val="22"/>
        </w:rPr>
        <w:t>are regulated without regard to their particular legal authority</w:t>
      </w:r>
      <w:r w:rsidRPr="009C507C">
        <w:rPr>
          <w:rFonts w:ascii="Arial" w:hAnsi="Arial" w:cs="Arial"/>
          <w:sz w:val="22"/>
          <w:szCs w:val="22"/>
        </w:rPr>
        <w:t>,</w:t>
      </w:r>
      <w:r w:rsidR="002928E4" w:rsidRPr="009C507C">
        <w:rPr>
          <w:rFonts w:ascii="Arial" w:hAnsi="Arial" w:cs="Arial"/>
          <w:sz w:val="22"/>
          <w:szCs w:val="22"/>
        </w:rPr>
        <w:t xml:space="preserve"> responsibilities and duties.</w:t>
      </w:r>
    </w:p>
    <w:p w14:paraId="6BAB3621" w14:textId="77777777" w:rsidR="002928E4" w:rsidRPr="009C507C" w:rsidRDefault="002928E4" w:rsidP="009C507C">
      <w:pPr>
        <w:pStyle w:val="NormalWeb"/>
        <w:spacing w:line="276" w:lineRule="auto"/>
        <w:rPr>
          <w:rFonts w:ascii="Arial" w:hAnsi="Arial" w:cs="Arial"/>
          <w:b/>
          <w:sz w:val="22"/>
          <w:szCs w:val="22"/>
        </w:rPr>
      </w:pPr>
      <w:r w:rsidRPr="009C507C">
        <w:rPr>
          <w:rFonts w:ascii="Arial" w:hAnsi="Arial" w:cs="Arial"/>
          <w:b/>
          <w:sz w:val="22"/>
          <w:szCs w:val="22"/>
        </w:rPr>
        <w:t>Liquidators</w:t>
      </w:r>
    </w:p>
    <w:p w14:paraId="22486DBA" w14:textId="09E2A7B7" w:rsidR="002928E4" w:rsidRPr="009C507C" w:rsidRDefault="002928E4" w:rsidP="009C507C">
      <w:pPr>
        <w:pStyle w:val="NormalWeb"/>
        <w:spacing w:line="276" w:lineRule="auto"/>
        <w:rPr>
          <w:rFonts w:ascii="Arial" w:hAnsi="Arial" w:cs="Arial"/>
          <w:sz w:val="22"/>
          <w:szCs w:val="22"/>
        </w:rPr>
      </w:pPr>
      <w:r w:rsidRPr="009C507C">
        <w:rPr>
          <w:rFonts w:ascii="Arial" w:hAnsi="Arial" w:cs="Arial"/>
          <w:sz w:val="22"/>
          <w:szCs w:val="22"/>
        </w:rPr>
        <w:t xml:space="preserve">Liquidators are unlike other regulated entities of ASIC. They are officers of the court, </w:t>
      </w:r>
      <w:r w:rsidR="00203268" w:rsidRPr="009C507C">
        <w:rPr>
          <w:rFonts w:ascii="Arial" w:hAnsi="Arial" w:cs="Arial"/>
          <w:sz w:val="22"/>
          <w:szCs w:val="22"/>
        </w:rPr>
        <w:t>to which they are</w:t>
      </w:r>
      <w:r w:rsidRPr="009C507C">
        <w:rPr>
          <w:rFonts w:ascii="Arial" w:hAnsi="Arial" w:cs="Arial"/>
          <w:sz w:val="22"/>
          <w:szCs w:val="22"/>
        </w:rPr>
        <w:t xml:space="preserve"> </w:t>
      </w:r>
      <w:r w:rsidR="00203268" w:rsidRPr="009C507C">
        <w:rPr>
          <w:rFonts w:ascii="Arial" w:hAnsi="Arial" w:cs="Arial"/>
          <w:sz w:val="22"/>
          <w:szCs w:val="22"/>
        </w:rPr>
        <w:t xml:space="preserve">answerable; liquidators </w:t>
      </w:r>
      <w:r w:rsidRPr="009C507C">
        <w:rPr>
          <w:rFonts w:ascii="Arial" w:hAnsi="Arial" w:cs="Arial"/>
          <w:sz w:val="22"/>
          <w:szCs w:val="22"/>
        </w:rPr>
        <w:t xml:space="preserve">have </w:t>
      </w:r>
      <w:r w:rsidR="00203268" w:rsidRPr="009C507C">
        <w:rPr>
          <w:rFonts w:ascii="Arial" w:hAnsi="Arial" w:cs="Arial"/>
          <w:sz w:val="22"/>
          <w:szCs w:val="22"/>
        </w:rPr>
        <w:t xml:space="preserve">significant </w:t>
      </w:r>
      <w:r w:rsidRPr="009C507C">
        <w:rPr>
          <w:rFonts w:ascii="Arial" w:hAnsi="Arial" w:cs="Arial"/>
          <w:sz w:val="22"/>
          <w:szCs w:val="22"/>
        </w:rPr>
        <w:t>responsibilities</w:t>
      </w:r>
      <w:r w:rsidR="00203268" w:rsidRPr="009C507C">
        <w:rPr>
          <w:rFonts w:ascii="Arial" w:hAnsi="Arial" w:cs="Arial"/>
          <w:sz w:val="22"/>
          <w:szCs w:val="22"/>
        </w:rPr>
        <w:t xml:space="preserve"> and </w:t>
      </w:r>
      <w:r w:rsidRPr="009C507C">
        <w:rPr>
          <w:rFonts w:ascii="Arial" w:hAnsi="Arial" w:cs="Arial"/>
          <w:sz w:val="22"/>
          <w:szCs w:val="22"/>
        </w:rPr>
        <w:t>duties under the law</w:t>
      </w:r>
      <w:r w:rsidR="00203268" w:rsidRPr="009C507C">
        <w:rPr>
          <w:rFonts w:ascii="Arial" w:hAnsi="Arial" w:cs="Arial"/>
          <w:sz w:val="22"/>
          <w:szCs w:val="22"/>
        </w:rPr>
        <w:t xml:space="preserve"> and significant powers and discretions</w:t>
      </w:r>
      <w:r w:rsidRPr="009C507C">
        <w:rPr>
          <w:rFonts w:ascii="Arial" w:hAnsi="Arial" w:cs="Arial"/>
          <w:sz w:val="22"/>
          <w:szCs w:val="22"/>
        </w:rPr>
        <w:t xml:space="preserve">. </w:t>
      </w:r>
      <w:r w:rsidR="0077265D" w:rsidRPr="009C507C">
        <w:rPr>
          <w:rFonts w:ascii="Arial" w:hAnsi="Arial" w:cs="Arial"/>
          <w:sz w:val="22"/>
          <w:szCs w:val="22"/>
        </w:rPr>
        <w:t xml:space="preserve">Liquidators can </w:t>
      </w:r>
      <w:r w:rsidRPr="009C507C">
        <w:rPr>
          <w:rFonts w:ascii="Arial" w:hAnsi="Arial" w:cs="Arial"/>
          <w:sz w:val="22"/>
          <w:szCs w:val="22"/>
        </w:rPr>
        <w:t xml:space="preserve">demand information, </w:t>
      </w:r>
      <w:r w:rsidR="0077265D" w:rsidRPr="009C507C">
        <w:rPr>
          <w:rFonts w:ascii="Arial" w:hAnsi="Arial" w:cs="Arial"/>
          <w:sz w:val="22"/>
          <w:szCs w:val="22"/>
        </w:rPr>
        <w:t xml:space="preserve">conduct compulsory examinations, </w:t>
      </w:r>
      <w:r w:rsidRPr="009C507C">
        <w:rPr>
          <w:rFonts w:ascii="Arial" w:hAnsi="Arial" w:cs="Arial"/>
          <w:sz w:val="22"/>
          <w:szCs w:val="22"/>
        </w:rPr>
        <w:t>take legal proceedings not available to other litigants</w:t>
      </w:r>
      <w:r w:rsidR="0077265D" w:rsidRPr="009C507C">
        <w:rPr>
          <w:rFonts w:ascii="Arial" w:hAnsi="Arial" w:cs="Arial"/>
          <w:sz w:val="22"/>
          <w:szCs w:val="22"/>
        </w:rPr>
        <w:t xml:space="preserve"> in the conduct of which they are </w:t>
      </w:r>
      <w:r w:rsidRPr="009C507C">
        <w:rPr>
          <w:rFonts w:ascii="Arial" w:hAnsi="Arial" w:cs="Arial"/>
          <w:sz w:val="22"/>
          <w:szCs w:val="22"/>
        </w:rPr>
        <w:t xml:space="preserve">held to high standards approaching that of a model litigant. </w:t>
      </w:r>
      <w:r w:rsidR="002C624D" w:rsidRPr="009C507C">
        <w:rPr>
          <w:rFonts w:ascii="Arial" w:hAnsi="Arial" w:cs="Arial"/>
          <w:sz w:val="22"/>
          <w:szCs w:val="22"/>
        </w:rPr>
        <w:t xml:space="preserve">They are not permitted to take advantage of strict legal rights if this would unjustly enrich the insolvent estate (‘the rule in ex parte James’). </w:t>
      </w:r>
      <w:r w:rsidRPr="009C507C">
        <w:rPr>
          <w:rFonts w:ascii="Arial" w:hAnsi="Arial" w:cs="Arial"/>
          <w:sz w:val="22"/>
          <w:szCs w:val="22"/>
        </w:rPr>
        <w:t>They act quasi-judicially in assessing creditor claims</w:t>
      </w:r>
      <w:r w:rsidR="002C624D" w:rsidRPr="009C507C">
        <w:rPr>
          <w:rFonts w:ascii="Arial" w:hAnsi="Arial" w:cs="Arial"/>
          <w:sz w:val="22"/>
          <w:szCs w:val="22"/>
        </w:rPr>
        <w:t>.</w:t>
      </w:r>
      <w:r w:rsidR="004F5D2E" w:rsidRPr="009C507C">
        <w:rPr>
          <w:rFonts w:ascii="Arial" w:hAnsi="Arial" w:cs="Arial"/>
          <w:sz w:val="22"/>
          <w:szCs w:val="22"/>
        </w:rPr>
        <w:t xml:space="preserve"> </w:t>
      </w:r>
    </w:p>
    <w:p w14:paraId="6CC1F94D" w14:textId="77777777" w:rsidR="002C624D" w:rsidRPr="009C507C" w:rsidRDefault="002C624D" w:rsidP="009C507C">
      <w:pPr>
        <w:spacing w:line="276" w:lineRule="auto"/>
        <w:ind w:left="720"/>
        <w:rPr>
          <w:rFonts w:ascii="Arial" w:hAnsi="Arial" w:cs="Arial"/>
          <w:sz w:val="22"/>
          <w:szCs w:val="22"/>
        </w:rPr>
      </w:pPr>
      <w:r w:rsidRPr="009C507C">
        <w:rPr>
          <w:rFonts w:ascii="Arial" w:hAnsi="Arial" w:cs="Arial"/>
          <w:sz w:val="22"/>
          <w:szCs w:val="22"/>
        </w:rPr>
        <w:t xml:space="preserve">“The office of a person appointed liquidator to a corporation, does not fit any precise legal category or classification, which defines the rights and liabilities, attaching to that office. It is a hybrid composite with elements of fiduciary, trustee, agent, officer of the corporation and (in some instances) "officer" of the Court. Attached to those </w:t>
      </w:r>
      <w:r w:rsidRPr="009C507C">
        <w:rPr>
          <w:rFonts w:ascii="Arial" w:hAnsi="Arial" w:cs="Arial"/>
          <w:sz w:val="22"/>
          <w:szCs w:val="22"/>
        </w:rPr>
        <w:lastRenderedPageBreak/>
        <w:t>elements are the obligations along with the powers and discretions which apply to those roles”.</w:t>
      </w:r>
      <w:r w:rsidRPr="009C507C">
        <w:rPr>
          <w:rStyle w:val="FootnoteReference"/>
          <w:rFonts w:ascii="Arial" w:hAnsi="Arial" w:cs="Arial"/>
          <w:sz w:val="22"/>
          <w:szCs w:val="22"/>
        </w:rPr>
        <w:footnoteReference w:id="2"/>
      </w:r>
      <w:r w:rsidRPr="009C507C">
        <w:rPr>
          <w:rFonts w:ascii="Arial" w:hAnsi="Arial" w:cs="Arial"/>
          <w:sz w:val="22"/>
          <w:szCs w:val="22"/>
        </w:rPr>
        <w:t xml:space="preserve"> </w:t>
      </w:r>
    </w:p>
    <w:p w14:paraId="2F845D8D" w14:textId="6E4C93D8" w:rsidR="0077265D" w:rsidRPr="009C507C" w:rsidRDefault="0077265D" w:rsidP="009C507C">
      <w:pPr>
        <w:pStyle w:val="NormalWeb"/>
        <w:spacing w:line="276" w:lineRule="auto"/>
        <w:rPr>
          <w:rFonts w:ascii="Arial" w:hAnsi="Arial" w:cs="Arial"/>
          <w:sz w:val="22"/>
          <w:szCs w:val="22"/>
        </w:rPr>
      </w:pPr>
      <w:r w:rsidRPr="009C507C">
        <w:rPr>
          <w:rFonts w:ascii="Arial" w:hAnsi="Arial" w:cs="Arial"/>
          <w:sz w:val="22"/>
          <w:szCs w:val="22"/>
        </w:rPr>
        <w:t xml:space="preserve">Importantly, they have statutory duties to investigate and report unlawful conduct to ASIC, and to assist in the pursuit of prosecutions. ASIC appoints liquidators in cases of corporate fraud. Indeed </w:t>
      </w:r>
      <w:r w:rsidR="002C624D" w:rsidRPr="009C507C">
        <w:rPr>
          <w:rFonts w:ascii="Arial" w:hAnsi="Arial" w:cs="Arial"/>
          <w:sz w:val="22"/>
          <w:szCs w:val="22"/>
        </w:rPr>
        <w:t xml:space="preserve">in its Regulatory Guide 16 for external administrators, ASIC states that external administrators ‘are the front-line investigators of insolvent corporations’. </w:t>
      </w:r>
    </w:p>
    <w:p w14:paraId="4FA63509" w14:textId="243E61CE" w:rsidR="002928E4" w:rsidRPr="009C507C" w:rsidRDefault="00203268" w:rsidP="009C507C">
      <w:pPr>
        <w:pStyle w:val="NormalWeb"/>
        <w:spacing w:line="276" w:lineRule="auto"/>
        <w:rPr>
          <w:rFonts w:ascii="Arial" w:hAnsi="Arial" w:cs="Arial"/>
          <w:sz w:val="22"/>
          <w:szCs w:val="22"/>
        </w:rPr>
      </w:pPr>
      <w:r w:rsidRPr="009C507C">
        <w:rPr>
          <w:rFonts w:ascii="Arial" w:hAnsi="Arial" w:cs="Arial"/>
          <w:sz w:val="22"/>
          <w:szCs w:val="22"/>
        </w:rPr>
        <w:t xml:space="preserve">Liquidators can be </w:t>
      </w:r>
      <w:r w:rsidR="002928E4" w:rsidRPr="009C507C">
        <w:rPr>
          <w:rFonts w:ascii="Arial" w:hAnsi="Arial" w:cs="Arial"/>
          <w:sz w:val="22"/>
          <w:szCs w:val="22"/>
        </w:rPr>
        <w:t>required to assume personal liability for debts incurred by a company</w:t>
      </w:r>
      <w:r w:rsidRPr="009C507C">
        <w:rPr>
          <w:rFonts w:ascii="Arial" w:hAnsi="Arial" w:cs="Arial"/>
          <w:sz w:val="22"/>
          <w:szCs w:val="22"/>
        </w:rPr>
        <w:t xml:space="preserve"> in administration</w:t>
      </w:r>
      <w:r w:rsidR="002928E4" w:rsidRPr="009C507C">
        <w:rPr>
          <w:rFonts w:ascii="Arial" w:hAnsi="Arial" w:cs="Arial"/>
          <w:sz w:val="22"/>
          <w:szCs w:val="22"/>
        </w:rPr>
        <w:t xml:space="preserve">; they are required to attend to work done </w:t>
      </w:r>
      <w:r w:rsidRPr="009C507C">
        <w:rPr>
          <w:rFonts w:ascii="Arial" w:hAnsi="Arial" w:cs="Arial"/>
          <w:sz w:val="22"/>
          <w:szCs w:val="22"/>
        </w:rPr>
        <w:t xml:space="preserve">even </w:t>
      </w:r>
      <w:r w:rsidR="002928E4" w:rsidRPr="009C507C">
        <w:rPr>
          <w:rFonts w:ascii="Arial" w:hAnsi="Arial" w:cs="Arial"/>
          <w:sz w:val="22"/>
          <w:szCs w:val="22"/>
        </w:rPr>
        <w:t>without remuneration;</w:t>
      </w:r>
      <w:r w:rsidRPr="009C507C">
        <w:rPr>
          <w:rFonts w:ascii="Arial" w:hAnsi="Arial" w:cs="Arial"/>
          <w:sz w:val="22"/>
          <w:szCs w:val="22"/>
        </w:rPr>
        <w:t xml:space="preserve"> and</w:t>
      </w:r>
      <w:r w:rsidR="002928E4" w:rsidRPr="009C507C">
        <w:rPr>
          <w:rFonts w:ascii="Arial" w:hAnsi="Arial" w:cs="Arial"/>
          <w:sz w:val="22"/>
          <w:szCs w:val="22"/>
        </w:rPr>
        <w:t xml:space="preserve"> they have a complex legal status beyond that </w:t>
      </w:r>
      <w:r w:rsidRPr="009C507C">
        <w:rPr>
          <w:rFonts w:ascii="Arial" w:hAnsi="Arial" w:cs="Arial"/>
          <w:sz w:val="22"/>
          <w:szCs w:val="22"/>
        </w:rPr>
        <w:t>stated</w:t>
      </w:r>
      <w:r w:rsidR="002928E4" w:rsidRPr="009C507C">
        <w:rPr>
          <w:rFonts w:ascii="Arial" w:hAnsi="Arial" w:cs="Arial"/>
          <w:sz w:val="22"/>
          <w:szCs w:val="22"/>
        </w:rPr>
        <w:t xml:space="preserve"> in the legislation.  </w:t>
      </w:r>
    </w:p>
    <w:p w14:paraId="364D8A83" w14:textId="4A892521" w:rsidR="002928E4" w:rsidRPr="009C507C" w:rsidRDefault="00203268" w:rsidP="009C507C">
      <w:pPr>
        <w:pStyle w:val="NormalWeb"/>
        <w:spacing w:line="276" w:lineRule="auto"/>
        <w:rPr>
          <w:rFonts w:ascii="Arial" w:hAnsi="Arial" w:cs="Arial"/>
          <w:sz w:val="22"/>
          <w:szCs w:val="22"/>
        </w:rPr>
      </w:pPr>
      <w:r w:rsidRPr="009C507C">
        <w:rPr>
          <w:rFonts w:ascii="Arial" w:hAnsi="Arial" w:cs="Arial"/>
          <w:sz w:val="22"/>
          <w:szCs w:val="22"/>
        </w:rPr>
        <w:t xml:space="preserve">Liquidators in Australia at least, </w:t>
      </w:r>
      <w:r w:rsidR="002928E4" w:rsidRPr="009C507C">
        <w:rPr>
          <w:rFonts w:ascii="Arial" w:hAnsi="Arial" w:cs="Arial"/>
          <w:sz w:val="22"/>
          <w:szCs w:val="22"/>
        </w:rPr>
        <w:t>operate in a unique environment</w:t>
      </w:r>
      <w:r w:rsidRPr="009C507C">
        <w:rPr>
          <w:rFonts w:ascii="Arial" w:hAnsi="Arial" w:cs="Arial"/>
          <w:sz w:val="22"/>
          <w:szCs w:val="22"/>
        </w:rPr>
        <w:t>, with no government liquidator available for the winding up of insolvent assetless companies</w:t>
      </w:r>
      <w:r w:rsidR="002928E4" w:rsidRPr="009C507C">
        <w:rPr>
          <w:rFonts w:ascii="Arial" w:hAnsi="Arial" w:cs="Arial"/>
          <w:sz w:val="22"/>
          <w:szCs w:val="22"/>
        </w:rPr>
        <w:t xml:space="preserve">. </w:t>
      </w:r>
      <w:r w:rsidRPr="009C507C">
        <w:rPr>
          <w:rFonts w:ascii="Arial" w:hAnsi="Arial" w:cs="Arial"/>
          <w:sz w:val="22"/>
          <w:szCs w:val="22"/>
        </w:rPr>
        <w:t>While liquidators are</w:t>
      </w:r>
      <w:r w:rsidR="002928E4" w:rsidRPr="009C507C">
        <w:rPr>
          <w:rFonts w:ascii="Arial" w:hAnsi="Arial" w:cs="Arial"/>
          <w:sz w:val="22"/>
          <w:szCs w:val="22"/>
        </w:rPr>
        <w:t xml:space="preserve"> entitled as trustees to be remunerated from trust assets, insolvency inherently involves limited </w:t>
      </w:r>
      <w:r w:rsidRPr="009C507C">
        <w:rPr>
          <w:rFonts w:ascii="Arial" w:hAnsi="Arial" w:cs="Arial"/>
          <w:sz w:val="22"/>
          <w:szCs w:val="22"/>
        </w:rPr>
        <w:t xml:space="preserve">or no </w:t>
      </w:r>
      <w:r w:rsidR="002928E4" w:rsidRPr="009C507C">
        <w:rPr>
          <w:rFonts w:ascii="Arial" w:hAnsi="Arial" w:cs="Arial"/>
          <w:sz w:val="22"/>
          <w:szCs w:val="22"/>
        </w:rPr>
        <w:t>assets</w:t>
      </w:r>
      <w:r w:rsidRPr="009C507C">
        <w:rPr>
          <w:rFonts w:ascii="Arial" w:hAnsi="Arial" w:cs="Arial"/>
          <w:sz w:val="22"/>
          <w:szCs w:val="22"/>
        </w:rPr>
        <w:t>.  Where assets are available</w:t>
      </w:r>
      <w:r w:rsidR="002928E4" w:rsidRPr="009C507C">
        <w:rPr>
          <w:rFonts w:ascii="Arial" w:hAnsi="Arial" w:cs="Arial"/>
          <w:sz w:val="22"/>
          <w:szCs w:val="22"/>
        </w:rPr>
        <w:t xml:space="preserve">, creditors’ returns are necessarily impacted by their remuneration. </w:t>
      </w:r>
    </w:p>
    <w:p w14:paraId="2967EB18" w14:textId="54F9E2F6" w:rsidR="0077265D" w:rsidRPr="009C507C" w:rsidRDefault="002928E4" w:rsidP="009C507C">
      <w:pPr>
        <w:pStyle w:val="NormalWeb"/>
        <w:spacing w:line="276" w:lineRule="auto"/>
        <w:rPr>
          <w:rFonts w:ascii="Arial" w:hAnsi="Arial" w:cs="Arial"/>
          <w:sz w:val="22"/>
          <w:szCs w:val="22"/>
        </w:rPr>
      </w:pPr>
      <w:r w:rsidRPr="009C507C">
        <w:rPr>
          <w:rFonts w:ascii="Arial" w:hAnsi="Arial" w:cs="Arial"/>
          <w:sz w:val="22"/>
          <w:szCs w:val="22"/>
        </w:rPr>
        <w:t>We consider ASIC’s current regulation of liquidators does not ac</w:t>
      </w:r>
      <w:r w:rsidR="002C624D" w:rsidRPr="009C507C">
        <w:rPr>
          <w:rFonts w:ascii="Arial" w:hAnsi="Arial" w:cs="Arial"/>
          <w:sz w:val="22"/>
          <w:szCs w:val="22"/>
        </w:rPr>
        <w:t xml:space="preserve">knowledge the particular legal status of </w:t>
      </w:r>
      <w:r w:rsidRPr="009C507C">
        <w:rPr>
          <w:rFonts w:ascii="Arial" w:hAnsi="Arial" w:cs="Arial"/>
          <w:sz w:val="22"/>
          <w:szCs w:val="22"/>
        </w:rPr>
        <w:t xml:space="preserve">liquidators </w:t>
      </w:r>
      <w:r w:rsidR="002C624D" w:rsidRPr="009C507C">
        <w:rPr>
          <w:rFonts w:ascii="Arial" w:hAnsi="Arial" w:cs="Arial"/>
          <w:sz w:val="22"/>
          <w:szCs w:val="22"/>
        </w:rPr>
        <w:t xml:space="preserve">or the </w:t>
      </w:r>
      <w:r w:rsidR="00203268" w:rsidRPr="009C507C">
        <w:rPr>
          <w:rFonts w:ascii="Arial" w:hAnsi="Arial" w:cs="Arial"/>
          <w:sz w:val="22"/>
          <w:szCs w:val="22"/>
        </w:rPr>
        <w:t>environment in which they work</w:t>
      </w:r>
      <w:r w:rsidR="002C624D" w:rsidRPr="009C507C">
        <w:rPr>
          <w:rFonts w:ascii="Arial" w:hAnsi="Arial" w:cs="Arial"/>
          <w:sz w:val="22"/>
          <w:szCs w:val="22"/>
        </w:rPr>
        <w:t xml:space="preserve">. </w:t>
      </w:r>
      <w:r w:rsidRPr="009C507C">
        <w:rPr>
          <w:rFonts w:ascii="Arial" w:hAnsi="Arial" w:cs="Arial"/>
          <w:sz w:val="22"/>
          <w:szCs w:val="22"/>
        </w:rPr>
        <w:t xml:space="preserve">Rather liquidators are </w:t>
      </w:r>
      <w:r w:rsidR="0077265D" w:rsidRPr="009C507C">
        <w:rPr>
          <w:rFonts w:ascii="Arial" w:hAnsi="Arial" w:cs="Arial"/>
          <w:sz w:val="22"/>
          <w:szCs w:val="22"/>
        </w:rPr>
        <w:t xml:space="preserve">subject to ASIC “surveillance” and </w:t>
      </w:r>
      <w:r w:rsidRPr="009C507C">
        <w:rPr>
          <w:rFonts w:ascii="Arial" w:hAnsi="Arial" w:cs="Arial"/>
          <w:sz w:val="22"/>
          <w:szCs w:val="22"/>
        </w:rPr>
        <w:t>regulated in ASIC’s “law enforcement” role</w:t>
      </w:r>
      <w:r w:rsidR="0077265D" w:rsidRPr="009C507C">
        <w:rPr>
          <w:rFonts w:ascii="Arial" w:hAnsi="Arial" w:cs="Arial"/>
          <w:sz w:val="22"/>
          <w:szCs w:val="22"/>
        </w:rPr>
        <w:t xml:space="preserve">, as if a liquidator were any type of market or business participant. </w:t>
      </w:r>
    </w:p>
    <w:p w14:paraId="57C7A12D" w14:textId="0A623D95" w:rsidR="002928E4" w:rsidRPr="009C507C" w:rsidRDefault="002928E4" w:rsidP="009C507C">
      <w:pPr>
        <w:pStyle w:val="NormalWeb"/>
        <w:spacing w:line="276" w:lineRule="auto"/>
        <w:rPr>
          <w:rFonts w:ascii="Arial" w:hAnsi="Arial" w:cs="Arial"/>
          <w:sz w:val="22"/>
          <w:szCs w:val="22"/>
        </w:rPr>
      </w:pPr>
      <w:r w:rsidRPr="009C507C">
        <w:rPr>
          <w:rFonts w:ascii="Arial" w:hAnsi="Arial" w:cs="Arial"/>
          <w:sz w:val="22"/>
          <w:szCs w:val="22"/>
        </w:rPr>
        <w:t>That is not a valid primary focus for the regulation of liquidators, any more than it is to speak of comparable statutory office holders – tribunal members, appointees to statutory roles - in that way.</w:t>
      </w:r>
    </w:p>
    <w:p w14:paraId="5C3F9F39" w14:textId="427F5767" w:rsidR="00541390" w:rsidRPr="009C507C" w:rsidRDefault="0077265D" w:rsidP="009C507C">
      <w:pPr>
        <w:spacing w:line="276" w:lineRule="auto"/>
        <w:rPr>
          <w:rFonts w:ascii="Arial" w:hAnsi="Arial" w:cs="Arial"/>
          <w:sz w:val="22"/>
          <w:szCs w:val="22"/>
        </w:rPr>
      </w:pPr>
      <w:r w:rsidRPr="009C507C">
        <w:rPr>
          <w:rFonts w:ascii="Arial" w:hAnsi="Arial" w:cs="Arial"/>
          <w:sz w:val="22"/>
          <w:szCs w:val="22"/>
        </w:rPr>
        <w:t xml:space="preserve">Overall, </w:t>
      </w:r>
      <w:r w:rsidR="00541390" w:rsidRPr="009C507C">
        <w:rPr>
          <w:rFonts w:ascii="Arial" w:hAnsi="Arial" w:cs="Arial"/>
          <w:sz w:val="22"/>
          <w:szCs w:val="22"/>
        </w:rPr>
        <w:t>ASIC’s focus on insolvency is necessarily limited, given the large number of its other responsibilities</w:t>
      </w:r>
      <w:r w:rsidRPr="009C507C">
        <w:rPr>
          <w:rFonts w:ascii="Arial" w:hAnsi="Arial" w:cs="Arial"/>
          <w:sz w:val="22"/>
          <w:szCs w:val="22"/>
        </w:rPr>
        <w:t xml:space="preserve">, and its approach is tainted by its rather singular approach to its “legal enforcement” role. Its annual reports </w:t>
      </w:r>
      <w:r w:rsidR="00541390" w:rsidRPr="009C507C">
        <w:rPr>
          <w:rFonts w:ascii="Arial" w:hAnsi="Arial" w:cs="Arial"/>
          <w:sz w:val="22"/>
          <w:szCs w:val="22"/>
        </w:rPr>
        <w:t>contain limited information</w:t>
      </w:r>
      <w:r w:rsidRPr="009C507C">
        <w:rPr>
          <w:rFonts w:ascii="Arial" w:hAnsi="Arial" w:cs="Arial"/>
          <w:sz w:val="22"/>
          <w:szCs w:val="22"/>
        </w:rPr>
        <w:t xml:space="preserve">, referring to liquidators as one of its “gatekeepers”, along with </w:t>
      </w:r>
      <w:r w:rsidR="002C624D" w:rsidRPr="002C624D">
        <w:rPr>
          <w:rFonts w:ascii="Arial" w:hAnsi="Arial" w:cs="Arial"/>
          <w:sz w:val="22"/>
          <w:szCs w:val="22"/>
        </w:rPr>
        <w:t>directors</w:t>
      </w:r>
      <w:r w:rsidR="002C624D" w:rsidRPr="009C507C">
        <w:rPr>
          <w:rFonts w:ascii="Arial" w:hAnsi="Arial" w:cs="Arial"/>
          <w:sz w:val="22"/>
          <w:szCs w:val="22"/>
        </w:rPr>
        <w:t xml:space="preserve"> and </w:t>
      </w:r>
      <w:r w:rsidR="002C624D" w:rsidRPr="002C624D">
        <w:rPr>
          <w:rFonts w:ascii="Arial" w:hAnsi="Arial" w:cs="Arial"/>
          <w:sz w:val="22"/>
          <w:szCs w:val="22"/>
        </w:rPr>
        <w:t>product manufacturers and distributors</w:t>
      </w:r>
      <w:r w:rsidR="002C624D" w:rsidRPr="009C507C">
        <w:rPr>
          <w:rFonts w:ascii="Arial" w:hAnsi="Arial" w:cs="Arial"/>
          <w:sz w:val="22"/>
          <w:szCs w:val="22"/>
        </w:rPr>
        <w:t xml:space="preserve">.  </w:t>
      </w:r>
      <w:r w:rsidRPr="009C507C">
        <w:rPr>
          <w:rFonts w:ascii="Arial" w:hAnsi="Arial" w:cs="Arial"/>
          <w:sz w:val="22"/>
          <w:szCs w:val="22"/>
        </w:rPr>
        <w:t xml:space="preserve">  </w:t>
      </w:r>
    </w:p>
    <w:p w14:paraId="207F102B" w14:textId="58CFB13F" w:rsidR="002928E4" w:rsidRPr="009C507C" w:rsidRDefault="002928E4" w:rsidP="009C507C">
      <w:pPr>
        <w:pStyle w:val="NormalWeb"/>
        <w:spacing w:line="276" w:lineRule="auto"/>
        <w:rPr>
          <w:rFonts w:ascii="Arial" w:hAnsi="Arial" w:cs="Arial"/>
          <w:sz w:val="22"/>
          <w:szCs w:val="22"/>
        </w:rPr>
      </w:pPr>
      <w:r w:rsidRPr="009C507C">
        <w:rPr>
          <w:rFonts w:ascii="Arial" w:hAnsi="Arial" w:cs="Arial"/>
          <w:sz w:val="22"/>
          <w:szCs w:val="22"/>
        </w:rPr>
        <w:t xml:space="preserve">Rather than proceed further by way of comment on ASIC’s approach to its insolvency role, we compare it with the regulatory approach taken </w:t>
      </w:r>
      <w:r w:rsidR="002C624D" w:rsidRPr="009C507C">
        <w:rPr>
          <w:rFonts w:ascii="Arial" w:hAnsi="Arial" w:cs="Arial"/>
          <w:sz w:val="22"/>
          <w:szCs w:val="22"/>
        </w:rPr>
        <w:t xml:space="preserve">in personal insolvency </w:t>
      </w:r>
      <w:r w:rsidRPr="009C507C">
        <w:rPr>
          <w:rFonts w:ascii="Arial" w:hAnsi="Arial" w:cs="Arial"/>
          <w:sz w:val="22"/>
          <w:szCs w:val="22"/>
        </w:rPr>
        <w:t xml:space="preserve">by </w:t>
      </w:r>
      <w:r w:rsidR="002C624D" w:rsidRPr="009C507C">
        <w:rPr>
          <w:rFonts w:ascii="Arial" w:hAnsi="Arial" w:cs="Arial"/>
          <w:sz w:val="22"/>
          <w:szCs w:val="22"/>
        </w:rPr>
        <w:t xml:space="preserve">the Australian Financial Security Authority (AFSA). </w:t>
      </w:r>
      <w:r w:rsidRPr="009C507C">
        <w:rPr>
          <w:rFonts w:ascii="Arial" w:hAnsi="Arial" w:cs="Arial"/>
          <w:sz w:val="22"/>
          <w:szCs w:val="22"/>
        </w:rPr>
        <w:t xml:space="preserve">  </w:t>
      </w:r>
    </w:p>
    <w:p w14:paraId="459C0CC6" w14:textId="1A913E4C" w:rsidR="002928E4" w:rsidRPr="009C507C" w:rsidRDefault="002928E4" w:rsidP="009C507C">
      <w:pPr>
        <w:pStyle w:val="NormalWeb"/>
        <w:spacing w:line="276" w:lineRule="auto"/>
        <w:rPr>
          <w:rFonts w:ascii="Arial" w:hAnsi="Arial" w:cs="Arial"/>
          <w:sz w:val="22"/>
          <w:szCs w:val="22"/>
        </w:rPr>
      </w:pPr>
      <w:r w:rsidRPr="009C507C">
        <w:rPr>
          <w:rFonts w:ascii="Arial" w:hAnsi="Arial" w:cs="Arial"/>
          <w:sz w:val="22"/>
          <w:szCs w:val="22"/>
        </w:rPr>
        <w:t>AFSA has come to its position as what we consider to be an effective insolvency regulator from its long history of focusing on insolvency, and its actual practice of that discipline</w:t>
      </w:r>
      <w:r w:rsidR="00E92F01" w:rsidRPr="009C507C">
        <w:rPr>
          <w:rFonts w:ascii="Arial" w:hAnsi="Arial" w:cs="Arial"/>
          <w:sz w:val="22"/>
          <w:szCs w:val="22"/>
        </w:rPr>
        <w:t>, through the Official Trustee</w:t>
      </w:r>
      <w:r w:rsidRPr="009C507C">
        <w:rPr>
          <w:rFonts w:ascii="Arial" w:hAnsi="Arial" w:cs="Arial"/>
          <w:sz w:val="22"/>
          <w:szCs w:val="22"/>
        </w:rPr>
        <w:t xml:space="preserve">. </w:t>
      </w:r>
      <w:r w:rsidR="00E92F01" w:rsidRPr="009C507C">
        <w:rPr>
          <w:rFonts w:ascii="Arial" w:hAnsi="Arial" w:cs="Arial"/>
          <w:sz w:val="22"/>
          <w:szCs w:val="22"/>
        </w:rPr>
        <w:t xml:space="preserve">What we consider is its greater </w:t>
      </w:r>
      <w:r w:rsidRPr="009C507C">
        <w:rPr>
          <w:rFonts w:ascii="Arial" w:hAnsi="Arial" w:cs="Arial"/>
          <w:sz w:val="22"/>
          <w:szCs w:val="22"/>
        </w:rPr>
        <w:t xml:space="preserve">effectiveness </w:t>
      </w:r>
      <w:r w:rsidR="00E92F01" w:rsidRPr="009C507C">
        <w:rPr>
          <w:rFonts w:ascii="Arial" w:hAnsi="Arial" w:cs="Arial"/>
          <w:sz w:val="22"/>
          <w:szCs w:val="22"/>
        </w:rPr>
        <w:t xml:space="preserve">and better approach </w:t>
      </w:r>
      <w:r w:rsidRPr="009C507C">
        <w:rPr>
          <w:rFonts w:ascii="Arial" w:hAnsi="Arial" w:cs="Arial"/>
          <w:sz w:val="22"/>
          <w:szCs w:val="22"/>
        </w:rPr>
        <w:t xml:space="preserve">is </w:t>
      </w:r>
      <w:r w:rsidR="00E92F01" w:rsidRPr="009C507C">
        <w:rPr>
          <w:rFonts w:ascii="Arial" w:hAnsi="Arial" w:cs="Arial"/>
          <w:sz w:val="22"/>
          <w:szCs w:val="22"/>
        </w:rPr>
        <w:t>now explained</w:t>
      </w:r>
      <w:r w:rsidRPr="009C507C">
        <w:rPr>
          <w:rFonts w:ascii="Arial" w:hAnsi="Arial" w:cs="Arial"/>
          <w:sz w:val="22"/>
          <w:szCs w:val="22"/>
        </w:rPr>
        <w:t xml:space="preserve">.  </w:t>
      </w:r>
    </w:p>
    <w:p w14:paraId="0EA2E8E4" w14:textId="7D552DD7" w:rsidR="002928E4" w:rsidRPr="009C507C" w:rsidRDefault="004F5D2E" w:rsidP="009C507C">
      <w:pPr>
        <w:pStyle w:val="NormalWeb"/>
        <w:spacing w:line="276" w:lineRule="auto"/>
        <w:rPr>
          <w:rFonts w:ascii="Arial" w:hAnsi="Arial" w:cs="Arial"/>
          <w:b/>
          <w:sz w:val="22"/>
          <w:szCs w:val="22"/>
        </w:rPr>
      </w:pPr>
      <w:r w:rsidRPr="009C507C">
        <w:rPr>
          <w:rFonts w:ascii="Arial" w:hAnsi="Arial" w:cs="Arial"/>
          <w:b/>
          <w:sz w:val="22"/>
          <w:szCs w:val="22"/>
        </w:rPr>
        <w:t>AFSA Comparison</w:t>
      </w:r>
    </w:p>
    <w:p w14:paraId="1ACD27F4" w14:textId="033630C7" w:rsidR="002928E4" w:rsidRPr="009C507C" w:rsidRDefault="002928E4" w:rsidP="009C507C">
      <w:pPr>
        <w:pStyle w:val="NormalWeb"/>
        <w:spacing w:line="276" w:lineRule="auto"/>
        <w:rPr>
          <w:rFonts w:ascii="Arial" w:hAnsi="Arial" w:cs="Arial"/>
          <w:sz w:val="22"/>
          <w:szCs w:val="22"/>
        </w:rPr>
      </w:pPr>
      <w:r w:rsidRPr="009C507C">
        <w:rPr>
          <w:rFonts w:ascii="Arial" w:hAnsi="Arial" w:cs="Arial"/>
          <w:sz w:val="22"/>
          <w:szCs w:val="22"/>
        </w:rPr>
        <w:lastRenderedPageBreak/>
        <w:t xml:space="preserve">AFSA </w:t>
      </w:r>
      <w:r w:rsidR="00E92F01" w:rsidRPr="009C507C">
        <w:rPr>
          <w:rFonts w:ascii="Arial" w:hAnsi="Arial" w:cs="Arial"/>
          <w:sz w:val="22"/>
          <w:szCs w:val="22"/>
        </w:rPr>
        <w:t xml:space="preserve">as an organization </w:t>
      </w:r>
      <w:r w:rsidRPr="009C507C">
        <w:rPr>
          <w:rFonts w:ascii="Arial" w:hAnsi="Arial" w:cs="Arial"/>
          <w:sz w:val="22"/>
          <w:szCs w:val="22"/>
        </w:rPr>
        <w:t>both practi</w:t>
      </w:r>
      <w:r w:rsidR="004F5D2E" w:rsidRPr="009C507C">
        <w:rPr>
          <w:rFonts w:ascii="Arial" w:hAnsi="Arial" w:cs="Arial"/>
          <w:sz w:val="22"/>
          <w:szCs w:val="22"/>
        </w:rPr>
        <w:t>s</w:t>
      </w:r>
      <w:r w:rsidRPr="009C507C">
        <w:rPr>
          <w:rFonts w:ascii="Arial" w:hAnsi="Arial" w:cs="Arial"/>
          <w:sz w:val="22"/>
          <w:szCs w:val="22"/>
        </w:rPr>
        <w:t>es as a trustee, through the Official Trustee</w:t>
      </w:r>
      <w:r w:rsidR="00541390" w:rsidRPr="009C507C">
        <w:rPr>
          <w:rFonts w:ascii="Arial" w:hAnsi="Arial" w:cs="Arial"/>
          <w:sz w:val="22"/>
          <w:szCs w:val="22"/>
        </w:rPr>
        <w:t xml:space="preserve"> in Bankruptcy</w:t>
      </w:r>
      <w:r w:rsidRPr="009C507C">
        <w:rPr>
          <w:rFonts w:ascii="Arial" w:hAnsi="Arial" w:cs="Arial"/>
          <w:sz w:val="22"/>
          <w:szCs w:val="22"/>
        </w:rPr>
        <w:t xml:space="preserve">, and regulates the </w:t>
      </w:r>
      <w:r w:rsidR="00541390" w:rsidRPr="009C507C">
        <w:rPr>
          <w:rFonts w:ascii="Arial" w:hAnsi="Arial" w:cs="Arial"/>
          <w:sz w:val="22"/>
          <w:szCs w:val="22"/>
        </w:rPr>
        <w:t xml:space="preserve">trustee </w:t>
      </w:r>
      <w:r w:rsidRPr="009C507C">
        <w:rPr>
          <w:rFonts w:ascii="Arial" w:hAnsi="Arial" w:cs="Arial"/>
          <w:sz w:val="22"/>
          <w:szCs w:val="22"/>
        </w:rPr>
        <w:t>profession</w:t>
      </w:r>
      <w:r w:rsidR="005411D6" w:rsidRPr="009C507C">
        <w:rPr>
          <w:rFonts w:ascii="Arial" w:hAnsi="Arial" w:cs="Arial"/>
          <w:sz w:val="22"/>
          <w:szCs w:val="22"/>
        </w:rPr>
        <w:t xml:space="preserve">, </w:t>
      </w:r>
      <w:r w:rsidR="00813704" w:rsidRPr="009C507C">
        <w:rPr>
          <w:rFonts w:ascii="Arial" w:hAnsi="Arial" w:cs="Arial"/>
          <w:sz w:val="22"/>
          <w:szCs w:val="22"/>
        </w:rPr>
        <w:t>through its Regulation Unit</w:t>
      </w:r>
      <w:r w:rsidRPr="009C507C">
        <w:rPr>
          <w:rFonts w:ascii="Arial" w:hAnsi="Arial" w:cs="Arial"/>
          <w:sz w:val="22"/>
          <w:szCs w:val="22"/>
        </w:rPr>
        <w:t>.  The Official Trustee itself is regulated by AFSA;</w:t>
      </w:r>
    </w:p>
    <w:p w14:paraId="03F58F4D" w14:textId="66EDC700" w:rsidR="00E92F01" w:rsidRPr="009C507C" w:rsidRDefault="002928E4" w:rsidP="009C507C">
      <w:pPr>
        <w:pStyle w:val="NormalWeb"/>
        <w:spacing w:line="276" w:lineRule="auto"/>
        <w:rPr>
          <w:rFonts w:ascii="Arial" w:hAnsi="Arial" w:cs="Arial"/>
          <w:sz w:val="22"/>
          <w:szCs w:val="22"/>
        </w:rPr>
      </w:pPr>
      <w:r w:rsidRPr="009C507C">
        <w:rPr>
          <w:rFonts w:ascii="Arial" w:hAnsi="Arial" w:cs="Arial"/>
          <w:sz w:val="22"/>
          <w:szCs w:val="22"/>
        </w:rPr>
        <w:t xml:space="preserve">AFSA adopts </w:t>
      </w:r>
      <w:r w:rsidR="00E92F01" w:rsidRPr="009C507C">
        <w:rPr>
          <w:rFonts w:ascii="Arial" w:hAnsi="Arial" w:cs="Arial"/>
          <w:sz w:val="22"/>
          <w:szCs w:val="22"/>
        </w:rPr>
        <w:t xml:space="preserve">what we consider to be </w:t>
      </w:r>
      <w:r w:rsidRPr="009C507C">
        <w:rPr>
          <w:rFonts w:ascii="Arial" w:hAnsi="Arial" w:cs="Arial"/>
          <w:sz w:val="22"/>
          <w:szCs w:val="22"/>
        </w:rPr>
        <w:t>a co-regulatory model</w:t>
      </w:r>
      <w:r w:rsidR="00541390" w:rsidRPr="009C507C">
        <w:rPr>
          <w:rFonts w:ascii="Arial" w:hAnsi="Arial" w:cs="Arial"/>
          <w:sz w:val="22"/>
          <w:szCs w:val="22"/>
        </w:rPr>
        <w:t xml:space="preserve"> with the trustee profession</w:t>
      </w:r>
      <w:r w:rsidRPr="009C507C">
        <w:rPr>
          <w:rFonts w:ascii="Arial" w:hAnsi="Arial" w:cs="Arial"/>
          <w:sz w:val="22"/>
          <w:szCs w:val="22"/>
        </w:rPr>
        <w:t xml:space="preserve">, </w:t>
      </w:r>
      <w:r w:rsidR="00E92F01" w:rsidRPr="009C507C">
        <w:rPr>
          <w:rFonts w:ascii="Arial" w:hAnsi="Arial" w:cs="Arial"/>
          <w:sz w:val="22"/>
          <w:szCs w:val="22"/>
        </w:rPr>
        <w:t>with an approach transparently explained in its various regulatory guidance</w:t>
      </w:r>
      <w:r w:rsidR="005411D6" w:rsidRPr="009C507C">
        <w:rPr>
          <w:rFonts w:ascii="Arial" w:hAnsi="Arial" w:cs="Arial"/>
          <w:sz w:val="22"/>
          <w:szCs w:val="22"/>
        </w:rPr>
        <w:t>: see its Insolvency Practitioner Compliance Program 2015-2016</w:t>
      </w:r>
      <w:r w:rsidR="00E92F01" w:rsidRPr="009C507C">
        <w:rPr>
          <w:rFonts w:ascii="Arial" w:hAnsi="Arial" w:cs="Arial"/>
          <w:sz w:val="22"/>
          <w:szCs w:val="22"/>
        </w:rPr>
        <w:t xml:space="preserve">. It refers to </w:t>
      </w:r>
      <w:r w:rsidR="005411D6" w:rsidRPr="009C507C">
        <w:rPr>
          <w:rFonts w:ascii="Arial" w:hAnsi="Arial" w:cs="Arial"/>
          <w:sz w:val="22"/>
          <w:szCs w:val="22"/>
        </w:rPr>
        <w:t xml:space="preserve">a regulatory approach which “focuses on early resolution of systemic issues by adopting a proactive and preventive approach wherever possible”, and in the </w:t>
      </w:r>
      <w:r w:rsidR="00E92F01" w:rsidRPr="009C507C">
        <w:rPr>
          <w:rFonts w:ascii="Arial" w:hAnsi="Arial" w:cs="Arial"/>
          <w:sz w:val="22"/>
          <w:szCs w:val="22"/>
        </w:rPr>
        <w:t xml:space="preserve">accepted enforcement pyramid, </w:t>
      </w:r>
      <w:r w:rsidR="005411D6" w:rsidRPr="009C507C">
        <w:rPr>
          <w:rFonts w:ascii="Arial" w:hAnsi="Arial" w:cs="Arial"/>
          <w:sz w:val="22"/>
          <w:szCs w:val="22"/>
        </w:rPr>
        <w:t xml:space="preserve">commencing “on the basis of working cooperatively with practitioners using supportive regulatory strategies”, </w:t>
      </w:r>
      <w:r w:rsidR="00E92F01" w:rsidRPr="009C507C">
        <w:rPr>
          <w:rFonts w:ascii="Arial" w:hAnsi="Arial" w:cs="Arial"/>
          <w:sz w:val="22"/>
          <w:szCs w:val="22"/>
        </w:rPr>
        <w:t>but at the same time applying focused risk management approaches to its regulation.</w:t>
      </w:r>
    </w:p>
    <w:p w14:paraId="5FA3E6EA" w14:textId="66E122A3" w:rsidR="00541390" w:rsidRPr="009C507C" w:rsidRDefault="00E92F01" w:rsidP="009C507C">
      <w:pPr>
        <w:pStyle w:val="NormalWeb"/>
        <w:spacing w:line="276" w:lineRule="auto"/>
        <w:rPr>
          <w:rFonts w:ascii="Arial" w:hAnsi="Arial" w:cs="Arial"/>
          <w:sz w:val="22"/>
          <w:szCs w:val="22"/>
        </w:rPr>
      </w:pPr>
      <w:r w:rsidRPr="009C507C">
        <w:rPr>
          <w:rFonts w:ascii="Arial" w:hAnsi="Arial" w:cs="Arial"/>
          <w:sz w:val="22"/>
          <w:szCs w:val="22"/>
        </w:rPr>
        <w:t xml:space="preserve">Given the inherent nature of insolvency, involving the balance between the public interest and the limited funds available, there is a co-resourcing approach - </w:t>
      </w:r>
      <w:r w:rsidR="002928E4" w:rsidRPr="009C507C">
        <w:rPr>
          <w:rFonts w:ascii="Arial" w:hAnsi="Arial" w:cs="Arial"/>
          <w:sz w:val="22"/>
          <w:szCs w:val="22"/>
        </w:rPr>
        <w:t xml:space="preserve">enlisting trustees to assist with </w:t>
      </w:r>
      <w:r w:rsidRPr="009C507C">
        <w:rPr>
          <w:rFonts w:ascii="Arial" w:hAnsi="Arial" w:cs="Arial"/>
          <w:sz w:val="22"/>
          <w:szCs w:val="22"/>
        </w:rPr>
        <w:t>AFSA’s</w:t>
      </w:r>
      <w:r w:rsidR="002928E4" w:rsidRPr="009C507C">
        <w:rPr>
          <w:rFonts w:ascii="Arial" w:hAnsi="Arial" w:cs="Arial"/>
          <w:sz w:val="22"/>
          <w:szCs w:val="22"/>
        </w:rPr>
        <w:t xml:space="preserve"> work overflows, </w:t>
      </w:r>
      <w:r w:rsidR="00DC3598" w:rsidRPr="009C507C">
        <w:rPr>
          <w:rFonts w:ascii="Arial" w:hAnsi="Arial" w:cs="Arial"/>
          <w:sz w:val="22"/>
          <w:szCs w:val="22"/>
        </w:rPr>
        <w:t xml:space="preserve">through AFSA’s national trustee panel; </w:t>
      </w:r>
      <w:r w:rsidR="002928E4" w:rsidRPr="009C507C">
        <w:rPr>
          <w:rFonts w:ascii="Arial" w:hAnsi="Arial" w:cs="Arial"/>
          <w:sz w:val="22"/>
          <w:szCs w:val="22"/>
        </w:rPr>
        <w:t xml:space="preserve">and under a legal regime where AFSA </w:t>
      </w:r>
      <w:r w:rsidRPr="009C507C">
        <w:rPr>
          <w:rFonts w:ascii="Arial" w:hAnsi="Arial" w:cs="Arial"/>
          <w:sz w:val="22"/>
          <w:szCs w:val="22"/>
        </w:rPr>
        <w:t xml:space="preserve">itself assists </w:t>
      </w:r>
      <w:r w:rsidR="002928E4" w:rsidRPr="009C507C">
        <w:rPr>
          <w:rFonts w:ascii="Arial" w:hAnsi="Arial" w:cs="Arial"/>
          <w:sz w:val="22"/>
          <w:szCs w:val="22"/>
        </w:rPr>
        <w:t xml:space="preserve">trustees in estate administrations – </w:t>
      </w:r>
      <w:r w:rsidRPr="009C507C">
        <w:rPr>
          <w:rFonts w:ascii="Arial" w:hAnsi="Arial" w:cs="Arial"/>
          <w:sz w:val="22"/>
          <w:szCs w:val="22"/>
        </w:rPr>
        <w:t xml:space="preserve">for example, </w:t>
      </w:r>
      <w:r w:rsidR="00541390" w:rsidRPr="009C507C">
        <w:rPr>
          <w:rFonts w:ascii="Arial" w:hAnsi="Arial" w:cs="Arial"/>
          <w:sz w:val="22"/>
          <w:szCs w:val="22"/>
        </w:rPr>
        <w:t>AFSA issues statutory demand</w:t>
      </w:r>
      <w:r w:rsidRPr="009C507C">
        <w:rPr>
          <w:rFonts w:ascii="Arial" w:hAnsi="Arial" w:cs="Arial"/>
          <w:sz w:val="22"/>
          <w:szCs w:val="22"/>
        </w:rPr>
        <w:t>s for information</w:t>
      </w:r>
      <w:r w:rsidR="00541390" w:rsidRPr="009C507C">
        <w:rPr>
          <w:rFonts w:ascii="Arial" w:hAnsi="Arial" w:cs="Arial"/>
          <w:sz w:val="22"/>
          <w:szCs w:val="22"/>
        </w:rPr>
        <w:t xml:space="preserve"> and </w:t>
      </w:r>
      <w:r w:rsidRPr="009C507C">
        <w:rPr>
          <w:rFonts w:ascii="Arial" w:hAnsi="Arial" w:cs="Arial"/>
          <w:sz w:val="22"/>
          <w:szCs w:val="22"/>
        </w:rPr>
        <w:t xml:space="preserve">conducts examinations </w:t>
      </w:r>
      <w:r w:rsidR="00541390" w:rsidRPr="009C507C">
        <w:rPr>
          <w:rFonts w:ascii="Arial" w:hAnsi="Arial" w:cs="Arial"/>
          <w:sz w:val="22"/>
          <w:szCs w:val="22"/>
        </w:rPr>
        <w:t>on behalf of trustee</w:t>
      </w:r>
      <w:r w:rsidRPr="009C507C">
        <w:rPr>
          <w:rFonts w:ascii="Arial" w:hAnsi="Arial" w:cs="Arial"/>
          <w:sz w:val="22"/>
          <w:szCs w:val="22"/>
        </w:rPr>
        <w:t>s</w:t>
      </w:r>
      <w:r w:rsidR="00541390" w:rsidRPr="009C507C">
        <w:rPr>
          <w:rFonts w:ascii="Arial" w:hAnsi="Arial" w:cs="Arial"/>
          <w:sz w:val="22"/>
          <w:szCs w:val="22"/>
        </w:rPr>
        <w:t>, under s 77</w:t>
      </w:r>
      <w:r w:rsidRPr="009C507C">
        <w:rPr>
          <w:rFonts w:ascii="Arial" w:hAnsi="Arial" w:cs="Arial"/>
          <w:sz w:val="22"/>
          <w:szCs w:val="22"/>
        </w:rPr>
        <w:t>A</w:t>
      </w:r>
      <w:r w:rsidR="00541390" w:rsidRPr="009C507C">
        <w:rPr>
          <w:rFonts w:ascii="Arial" w:hAnsi="Arial" w:cs="Arial"/>
          <w:sz w:val="22"/>
          <w:szCs w:val="22"/>
        </w:rPr>
        <w:t xml:space="preserve"> and </w:t>
      </w:r>
      <w:r w:rsidR="002928E4" w:rsidRPr="009C507C">
        <w:rPr>
          <w:rFonts w:ascii="Arial" w:hAnsi="Arial" w:cs="Arial"/>
          <w:sz w:val="22"/>
          <w:szCs w:val="22"/>
        </w:rPr>
        <w:t>139ZQ</w:t>
      </w:r>
      <w:r w:rsidRPr="009C507C">
        <w:rPr>
          <w:rFonts w:ascii="Arial" w:hAnsi="Arial" w:cs="Arial"/>
          <w:sz w:val="22"/>
          <w:szCs w:val="22"/>
        </w:rPr>
        <w:t xml:space="preserve">.  Importantly, AFSA takes on the responsibility to </w:t>
      </w:r>
      <w:r w:rsidR="00541390" w:rsidRPr="009C507C">
        <w:rPr>
          <w:rFonts w:ascii="Arial" w:hAnsi="Arial" w:cs="Arial"/>
          <w:sz w:val="22"/>
          <w:szCs w:val="22"/>
        </w:rPr>
        <w:t>enforce</w:t>
      </w:r>
      <w:r w:rsidRPr="009C507C">
        <w:rPr>
          <w:rFonts w:ascii="Arial" w:hAnsi="Arial" w:cs="Arial"/>
          <w:sz w:val="22"/>
          <w:szCs w:val="22"/>
        </w:rPr>
        <w:t xml:space="preserve"> </w:t>
      </w:r>
      <w:r w:rsidR="00DC3598" w:rsidRPr="009C507C">
        <w:rPr>
          <w:rFonts w:ascii="Arial" w:hAnsi="Arial" w:cs="Arial"/>
          <w:sz w:val="22"/>
          <w:szCs w:val="22"/>
        </w:rPr>
        <w:t xml:space="preserve">bankrupts’ obligation to provide a statement of affairs, a fundamental source document required by trustees, </w:t>
      </w:r>
      <w:r w:rsidR="00541390" w:rsidRPr="009C507C">
        <w:rPr>
          <w:rFonts w:ascii="Arial" w:hAnsi="Arial" w:cs="Arial"/>
          <w:sz w:val="22"/>
          <w:szCs w:val="22"/>
        </w:rPr>
        <w:t>under s 77C</w:t>
      </w:r>
      <w:r w:rsidR="00DC3598" w:rsidRPr="009C507C">
        <w:rPr>
          <w:rFonts w:ascii="Arial" w:hAnsi="Arial" w:cs="Arial"/>
          <w:sz w:val="22"/>
          <w:szCs w:val="22"/>
        </w:rPr>
        <w:t>.</w:t>
      </w:r>
    </w:p>
    <w:p w14:paraId="6A6E4FB5" w14:textId="2DDAD012" w:rsidR="002928E4" w:rsidRPr="009C507C" w:rsidRDefault="002928E4" w:rsidP="009C507C">
      <w:pPr>
        <w:pStyle w:val="NormalWeb"/>
        <w:spacing w:line="276" w:lineRule="auto"/>
        <w:rPr>
          <w:rFonts w:ascii="Arial" w:hAnsi="Arial" w:cs="Arial"/>
          <w:sz w:val="22"/>
          <w:szCs w:val="22"/>
        </w:rPr>
      </w:pPr>
      <w:r w:rsidRPr="009C507C">
        <w:rPr>
          <w:rFonts w:ascii="Arial" w:hAnsi="Arial" w:cs="Arial"/>
          <w:sz w:val="22"/>
          <w:szCs w:val="22"/>
        </w:rPr>
        <w:t xml:space="preserve">AFSA publishes extensive guidance, both as to principles and practice, on which it </w:t>
      </w:r>
      <w:r w:rsidR="00541390" w:rsidRPr="009C507C">
        <w:rPr>
          <w:rFonts w:ascii="Arial" w:hAnsi="Arial" w:cs="Arial"/>
          <w:sz w:val="22"/>
          <w:szCs w:val="22"/>
        </w:rPr>
        <w:t xml:space="preserve">often </w:t>
      </w:r>
      <w:r w:rsidRPr="009C507C">
        <w:rPr>
          <w:rFonts w:ascii="Arial" w:hAnsi="Arial" w:cs="Arial"/>
          <w:sz w:val="22"/>
          <w:szCs w:val="22"/>
        </w:rPr>
        <w:t>consults the profession</w:t>
      </w:r>
      <w:r w:rsidR="005411D6" w:rsidRPr="009C507C">
        <w:rPr>
          <w:rFonts w:ascii="Arial" w:hAnsi="Arial" w:cs="Arial"/>
          <w:sz w:val="22"/>
          <w:szCs w:val="22"/>
        </w:rPr>
        <w:t>.</w:t>
      </w:r>
    </w:p>
    <w:p w14:paraId="367E861C" w14:textId="63FA2454" w:rsidR="00541390" w:rsidRPr="009C507C" w:rsidRDefault="00541390" w:rsidP="009C507C">
      <w:pPr>
        <w:pStyle w:val="NormalWeb"/>
        <w:spacing w:line="276" w:lineRule="auto"/>
        <w:rPr>
          <w:rFonts w:ascii="Arial" w:hAnsi="Arial" w:cs="Arial"/>
          <w:sz w:val="22"/>
          <w:szCs w:val="22"/>
        </w:rPr>
      </w:pPr>
      <w:r w:rsidRPr="009C507C">
        <w:rPr>
          <w:rFonts w:ascii="Arial" w:hAnsi="Arial" w:cs="Arial"/>
          <w:sz w:val="22"/>
          <w:szCs w:val="22"/>
        </w:rPr>
        <w:t>Its forms and processes undergo continuous review.  As one comparison with ASIC, the statement of affairs form of AFSA has been continually refined as needs change, and AFSA contemplates its on-line filing.  The report of affairs of ASIC dates back decades, and despite a major 2011 report on its deficiencies, is yet to be reformed.</w:t>
      </w:r>
    </w:p>
    <w:p w14:paraId="449CEE25" w14:textId="3E6D0D18" w:rsidR="000D5088" w:rsidRPr="009C507C" w:rsidRDefault="000D5088" w:rsidP="009C507C">
      <w:pPr>
        <w:pStyle w:val="NormalWeb"/>
        <w:spacing w:line="276" w:lineRule="auto"/>
        <w:rPr>
          <w:rFonts w:ascii="Arial" w:hAnsi="Arial" w:cs="Arial"/>
          <w:sz w:val="22"/>
          <w:szCs w:val="22"/>
        </w:rPr>
      </w:pPr>
      <w:r w:rsidRPr="009C507C">
        <w:rPr>
          <w:rFonts w:ascii="Arial" w:hAnsi="Arial" w:cs="Arial"/>
          <w:sz w:val="22"/>
          <w:szCs w:val="22"/>
        </w:rPr>
        <w:t>AFSA provides a collaborative offence referral arrangement</w:t>
      </w:r>
      <w:r w:rsidR="005411D6" w:rsidRPr="009C507C">
        <w:rPr>
          <w:rFonts w:ascii="Arial" w:hAnsi="Arial" w:cs="Arial"/>
          <w:sz w:val="22"/>
          <w:szCs w:val="22"/>
        </w:rPr>
        <w:t>, the pre referral enquiry process, PRE, to facilitate offence referrals</w:t>
      </w:r>
      <w:r w:rsidRPr="009C507C">
        <w:rPr>
          <w:rFonts w:ascii="Arial" w:hAnsi="Arial" w:cs="Arial"/>
          <w:sz w:val="22"/>
          <w:szCs w:val="22"/>
        </w:rPr>
        <w:t>.</w:t>
      </w:r>
    </w:p>
    <w:p w14:paraId="1B9DA835" w14:textId="77777777" w:rsidR="005411D6" w:rsidRPr="009C507C" w:rsidRDefault="002928E4" w:rsidP="009C507C">
      <w:pPr>
        <w:pStyle w:val="NormalWeb"/>
        <w:spacing w:line="276" w:lineRule="auto"/>
        <w:rPr>
          <w:rFonts w:ascii="Arial" w:hAnsi="Arial" w:cs="Arial"/>
          <w:sz w:val="22"/>
          <w:szCs w:val="22"/>
        </w:rPr>
      </w:pPr>
      <w:r w:rsidRPr="009C507C">
        <w:rPr>
          <w:rFonts w:ascii="Arial" w:hAnsi="Arial" w:cs="Arial"/>
          <w:sz w:val="22"/>
          <w:szCs w:val="22"/>
        </w:rPr>
        <w:t xml:space="preserve">AFSA has </w:t>
      </w:r>
      <w:r w:rsidR="00DC3598" w:rsidRPr="009C507C">
        <w:rPr>
          <w:rFonts w:ascii="Arial" w:hAnsi="Arial" w:cs="Arial"/>
          <w:sz w:val="22"/>
          <w:szCs w:val="22"/>
        </w:rPr>
        <w:t xml:space="preserve">also </w:t>
      </w:r>
      <w:r w:rsidRPr="009C507C">
        <w:rPr>
          <w:rFonts w:ascii="Arial" w:hAnsi="Arial" w:cs="Arial"/>
          <w:sz w:val="22"/>
          <w:szCs w:val="22"/>
        </w:rPr>
        <w:t xml:space="preserve">embraced </w:t>
      </w:r>
      <w:r w:rsidR="00DC3598" w:rsidRPr="009C507C">
        <w:rPr>
          <w:rFonts w:ascii="Arial" w:hAnsi="Arial" w:cs="Arial"/>
          <w:sz w:val="22"/>
          <w:szCs w:val="22"/>
        </w:rPr>
        <w:t xml:space="preserve">the need for streamlined approaches, with virtual meetings of creditors, and online payment of statutory charges and reporting.  Its regulatory approach is increasingly </w:t>
      </w:r>
      <w:r w:rsidRPr="009C507C">
        <w:rPr>
          <w:rFonts w:ascii="Arial" w:hAnsi="Arial" w:cs="Arial"/>
          <w:sz w:val="22"/>
          <w:szCs w:val="22"/>
        </w:rPr>
        <w:t>technology</w:t>
      </w:r>
      <w:r w:rsidR="00DC3598" w:rsidRPr="009C507C">
        <w:rPr>
          <w:rFonts w:ascii="Arial" w:hAnsi="Arial" w:cs="Arial"/>
          <w:sz w:val="22"/>
          <w:szCs w:val="22"/>
        </w:rPr>
        <w:t xml:space="preserve"> based</w:t>
      </w:r>
      <w:r w:rsidRPr="009C507C">
        <w:rPr>
          <w:rFonts w:ascii="Arial" w:hAnsi="Arial" w:cs="Arial"/>
          <w:sz w:val="22"/>
          <w:szCs w:val="22"/>
        </w:rPr>
        <w:t xml:space="preserve">, </w:t>
      </w:r>
      <w:r w:rsidR="005411D6" w:rsidRPr="009C507C">
        <w:rPr>
          <w:rFonts w:ascii="Arial" w:hAnsi="Arial" w:cs="Arial"/>
          <w:sz w:val="22"/>
          <w:szCs w:val="22"/>
        </w:rPr>
        <w:t>in particular its eI</w:t>
      </w:r>
      <w:r w:rsidRPr="009C507C">
        <w:rPr>
          <w:rFonts w:ascii="Arial" w:hAnsi="Arial" w:cs="Arial"/>
          <w:sz w:val="22"/>
          <w:szCs w:val="22"/>
        </w:rPr>
        <w:t xml:space="preserve">nspections, </w:t>
      </w:r>
      <w:r w:rsidR="00DC3598" w:rsidRPr="009C507C">
        <w:rPr>
          <w:rFonts w:ascii="Arial" w:hAnsi="Arial" w:cs="Arial"/>
          <w:sz w:val="22"/>
          <w:szCs w:val="22"/>
        </w:rPr>
        <w:t>by which trustees’ files can be reviewed on line. Its new</w:t>
      </w:r>
      <w:r w:rsidRPr="009C507C">
        <w:rPr>
          <w:rFonts w:ascii="Arial" w:hAnsi="Arial" w:cs="Arial"/>
          <w:sz w:val="22"/>
          <w:szCs w:val="22"/>
        </w:rPr>
        <w:t xml:space="preserve"> AER Online</w:t>
      </w:r>
      <w:r w:rsidR="00DC3598" w:rsidRPr="009C507C">
        <w:rPr>
          <w:rFonts w:ascii="Arial" w:hAnsi="Arial" w:cs="Arial"/>
          <w:sz w:val="22"/>
          <w:szCs w:val="22"/>
        </w:rPr>
        <w:t xml:space="preserve"> provides easy access for trustees to on-going information.  </w:t>
      </w:r>
    </w:p>
    <w:p w14:paraId="5ECC787E" w14:textId="15020FB0" w:rsidR="002928E4" w:rsidRPr="009C507C" w:rsidRDefault="00DC3598" w:rsidP="009C507C">
      <w:pPr>
        <w:pStyle w:val="NormalWeb"/>
        <w:spacing w:line="276" w:lineRule="auto"/>
        <w:rPr>
          <w:rFonts w:ascii="Arial" w:hAnsi="Arial" w:cs="Arial"/>
          <w:sz w:val="22"/>
          <w:szCs w:val="22"/>
        </w:rPr>
      </w:pPr>
      <w:r w:rsidRPr="009C507C">
        <w:rPr>
          <w:rFonts w:ascii="Arial" w:hAnsi="Arial" w:cs="Arial"/>
          <w:sz w:val="22"/>
          <w:szCs w:val="22"/>
        </w:rPr>
        <w:t xml:space="preserve">AFSA’s </w:t>
      </w:r>
      <w:r w:rsidR="002928E4" w:rsidRPr="009C507C">
        <w:rPr>
          <w:rFonts w:ascii="Arial" w:hAnsi="Arial" w:cs="Arial"/>
          <w:sz w:val="22"/>
          <w:szCs w:val="22"/>
        </w:rPr>
        <w:t>regulatory efficiency is well beyond that of ASIC.</w:t>
      </w:r>
      <w:r w:rsidRPr="009C507C">
        <w:rPr>
          <w:rFonts w:ascii="Arial" w:hAnsi="Arial" w:cs="Arial"/>
          <w:sz w:val="22"/>
          <w:szCs w:val="22"/>
        </w:rPr>
        <w:t xml:space="preserve">  Indeed its </w:t>
      </w:r>
      <w:r w:rsidR="005411D6" w:rsidRPr="009C507C">
        <w:rPr>
          <w:rFonts w:ascii="Arial" w:hAnsi="Arial" w:cs="Arial"/>
          <w:sz w:val="22"/>
          <w:szCs w:val="22"/>
        </w:rPr>
        <w:t xml:space="preserve">further planned </w:t>
      </w:r>
      <w:r w:rsidR="002928E4" w:rsidRPr="009C507C">
        <w:rPr>
          <w:rFonts w:ascii="Arial" w:hAnsi="Arial" w:cs="Arial"/>
          <w:sz w:val="22"/>
          <w:szCs w:val="22"/>
        </w:rPr>
        <w:t xml:space="preserve">online </w:t>
      </w:r>
      <w:r w:rsidRPr="009C507C">
        <w:rPr>
          <w:rFonts w:ascii="Arial" w:hAnsi="Arial" w:cs="Arial"/>
          <w:sz w:val="22"/>
          <w:szCs w:val="22"/>
        </w:rPr>
        <w:t>approach i</w:t>
      </w:r>
      <w:r w:rsidR="002928E4" w:rsidRPr="009C507C">
        <w:rPr>
          <w:rFonts w:ascii="Arial" w:hAnsi="Arial" w:cs="Arial"/>
          <w:sz w:val="22"/>
          <w:szCs w:val="22"/>
        </w:rPr>
        <w:t>s consistent with the FSI</w:t>
      </w:r>
      <w:r w:rsidR="005411D6" w:rsidRPr="009C507C">
        <w:rPr>
          <w:rFonts w:ascii="Arial" w:hAnsi="Arial" w:cs="Arial"/>
          <w:sz w:val="22"/>
          <w:szCs w:val="22"/>
        </w:rPr>
        <w:t>R</w:t>
      </w:r>
      <w:r w:rsidR="002928E4" w:rsidRPr="009C507C">
        <w:rPr>
          <w:rFonts w:ascii="Arial" w:hAnsi="Arial" w:cs="Arial"/>
          <w:sz w:val="22"/>
          <w:szCs w:val="22"/>
        </w:rPr>
        <w:t xml:space="preserve"> recommendations</w:t>
      </w:r>
      <w:r w:rsidR="00541390" w:rsidRPr="009C507C">
        <w:rPr>
          <w:rFonts w:ascii="Arial" w:hAnsi="Arial" w:cs="Arial"/>
          <w:sz w:val="22"/>
          <w:szCs w:val="22"/>
        </w:rPr>
        <w:t>, that regulators adopt technology based processes</w:t>
      </w:r>
      <w:r w:rsidR="005411D6" w:rsidRPr="009C507C">
        <w:rPr>
          <w:rFonts w:ascii="Arial" w:hAnsi="Arial" w:cs="Arial"/>
          <w:sz w:val="22"/>
          <w:szCs w:val="22"/>
        </w:rPr>
        <w:t>.</w:t>
      </w:r>
    </w:p>
    <w:p w14:paraId="039C23A8" w14:textId="3ECB71A9" w:rsidR="00DC3598" w:rsidRPr="009C507C" w:rsidRDefault="002928E4" w:rsidP="009C507C">
      <w:pPr>
        <w:pStyle w:val="NormalWeb"/>
        <w:spacing w:line="276" w:lineRule="auto"/>
        <w:rPr>
          <w:rFonts w:ascii="Arial" w:hAnsi="Arial" w:cs="Arial"/>
          <w:sz w:val="22"/>
          <w:szCs w:val="22"/>
        </w:rPr>
      </w:pPr>
      <w:r w:rsidRPr="009C507C">
        <w:rPr>
          <w:rFonts w:ascii="Arial" w:hAnsi="Arial" w:cs="Arial"/>
          <w:sz w:val="22"/>
          <w:szCs w:val="22"/>
        </w:rPr>
        <w:t>AFSA has taken on responsibility for the large amount of data it accumulates, engaging a statistician to report regularly. These allow reporting on the costs and efficiency of the personal insolvency regime. This informs policy debate and change.</w:t>
      </w:r>
      <w:r w:rsidR="00DC3598" w:rsidRPr="009C507C">
        <w:rPr>
          <w:rFonts w:ascii="Arial" w:hAnsi="Arial" w:cs="Arial"/>
          <w:sz w:val="22"/>
          <w:szCs w:val="22"/>
        </w:rPr>
        <w:t xml:space="preserve"> We can assess the assets available in bankruptcies, their realization costs, the amount of creditor claims, the costs of government and other charges, and the ultimate dividend return.  Comparisons can be made with other types of </w:t>
      </w:r>
      <w:r w:rsidR="005411D6" w:rsidRPr="009C507C">
        <w:rPr>
          <w:rFonts w:ascii="Arial" w:hAnsi="Arial" w:cs="Arial"/>
          <w:sz w:val="22"/>
          <w:szCs w:val="22"/>
        </w:rPr>
        <w:t xml:space="preserve">personal insolvency </w:t>
      </w:r>
      <w:r w:rsidR="00DC3598" w:rsidRPr="009C507C">
        <w:rPr>
          <w:rFonts w:ascii="Arial" w:hAnsi="Arial" w:cs="Arial"/>
          <w:sz w:val="22"/>
          <w:szCs w:val="22"/>
        </w:rPr>
        <w:t xml:space="preserve">administration.  </w:t>
      </w:r>
    </w:p>
    <w:p w14:paraId="28EF89F4" w14:textId="5725CAB7" w:rsidR="00DC3598" w:rsidRPr="009C507C" w:rsidRDefault="009C507C" w:rsidP="009C507C">
      <w:pPr>
        <w:pStyle w:val="NormalWeb"/>
        <w:spacing w:line="276" w:lineRule="auto"/>
        <w:rPr>
          <w:rFonts w:ascii="Arial" w:hAnsi="Arial" w:cs="Arial"/>
          <w:sz w:val="22"/>
          <w:szCs w:val="22"/>
        </w:rPr>
      </w:pPr>
      <w:r w:rsidRPr="009C507C">
        <w:rPr>
          <w:rFonts w:ascii="Arial" w:hAnsi="Arial" w:cs="Arial"/>
          <w:sz w:val="22"/>
          <w:szCs w:val="22"/>
        </w:rPr>
        <w:t>Much l</w:t>
      </w:r>
      <w:r w:rsidR="005411D6" w:rsidRPr="009C507C">
        <w:rPr>
          <w:rFonts w:ascii="Arial" w:hAnsi="Arial" w:cs="Arial"/>
          <w:sz w:val="22"/>
          <w:szCs w:val="22"/>
        </w:rPr>
        <w:t xml:space="preserve">ess of this </w:t>
      </w:r>
      <w:r w:rsidRPr="009C507C">
        <w:rPr>
          <w:rFonts w:ascii="Arial" w:hAnsi="Arial" w:cs="Arial"/>
          <w:sz w:val="22"/>
          <w:szCs w:val="22"/>
        </w:rPr>
        <w:t>information</w:t>
      </w:r>
      <w:r w:rsidR="00DC3598" w:rsidRPr="009C507C">
        <w:rPr>
          <w:rFonts w:ascii="Arial" w:hAnsi="Arial" w:cs="Arial"/>
          <w:sz w:val="22"/>
          <w:szCs w:val="22"/>
        </w:rPr>
        <w:t xml:space="preserve"> is available in corporate insolvency.</w:t>
      </w:r>
    </w:p>
    <w:p w14:paraId="54A2D300" w14:textId="76950BAC" w:rsidR="00771F08" w:rsidRPr="009C507C" w:rsidRDefault="00771F08" w:rsidP="009C507C">
      <w:pPr>
        <w:pStyle w:val="NormalWeb"/>
        <w:spacing w:line="276" w:lineRule="auto"/>
        <w:rPr>
          <w:rFonts w:ascii="Arial" w:hAnsi="Arial" w:cs="Arial"/>
          <w:sz w:val="22"/>
          <w:szCs w:val="22"/>
        </w:rPr>
      </w:pPr>
      <w:r w:rsidRPr="009C507C">
        <w:rPr>
          <w:rFonts w:ascii="Arial" w:hAnsi="Arial" w:cs="Arial"/>
          <w:sz w:val="22"/>
          <w:szCs w:val="22"/>
        </w:rPr>
        <w:t xml:space="preserve">AFSA’s influence on beneficial development of the legal regime is evidenced by the extensive reforms to the Bankruptcy Act, addressing fundamental issues such as </w:t>
      </w:r>
      <w:r w:rsidR="005411D6" w:rsidRPr="009C507C">
        <w:rPr>
          <w:rFonts w:ascii="Arial" w:hAnsi="Arial" w:cs="Arial"/>
          <w:sz w:val="22"/>
          <w:szCs w:val="22"/>
        </w:rPr>
        <w:t xml:space="preserve">debt agreements (1996 and 2007), personal insolvency agreements (2004), </w:t>
      </w:r>
      <w:r w:rsidRPr="009C507C">
        <w:rPr>
          <w:rFonts w:ascii="Arial" w:hAnsi="Arial" w:cs="Arial"/>
          <w:sz w:val="22"/>
          <w:szCs w:val="22"/>
        </w:rPr>
        <w:t>family law</w:t>
      </w:r>
      <w:r w:rsidR="005411D6" w:rsidRPr="009C507C">
        <w:rPr>
          <w:rFonts w:ascii="Arial" w:hAnsi="Arial" w:cs="Arial"/>
          <w:sz w:val="22"/>
          <w:szCs w:val="22"/>
        </w:rPr>
        <w:t xml:space="preserve"> (2005)</w:t>
      </w:r>
      <w:r w:rsidRPr="009C507C">
        <w:rPr>
          <w:rFonts w:ascii="Arial" w:hAnsi="Arial" w:cs="Arial"/>
          <w:sz w:val="22"/>
          <w:szCs w:val="22"/>
        </w:rPr>
        <w:t xml:space="preserve">, superannuation </w:t>
      </w:r>
      <w:r w:rsidR="005411D6" w:rsidRPr="009C507C">
        <w:rPr>
          <w:rFonts w:ascii="Arial" w:hAnsi="Arial" w:cs="Arial"/>
          <w:sz w:val="22"/>
          <w:szCs w:val="22"/>
        </w:rPr>
        <w:t xml:space="preserve">(2006) </w:t>
      </w:r>
      <w:r w:rsidRPr="009C507C">
        <w:rPr>
          <w:rFonts w:ascii="Arial" w:hAnsi="Arial" w:cs="Arial"/>
          <w:sz w:val="22"/>
          <w:szCs w:val="22"/>
        </w:rPr>
        <w:t>and creditor petition</w:t>
      </w:r>
      <w:r w:rsidR="000D5088" w:rsidRPr="009C507C">
        <w:rPr>
          <w:rFonts w:ascii="Arial" w:hAnsi="Arial" w:cs="Arial"/>
          <w:sz w:val="22"/>
          <w:szCs w:val="22"/>
        </w:rPr>
        <w:t>s</w:t>
      </w:r>
      <w:r w:rsidR="005411D6" w:rsidRPr="009C507C">
        <w:rPr>
          <w:rFonts w:ascii="Arial" w:hAnsi="Arial" w:cs="Arial"/>
          <w:sz w:val="22"/>
          <w:szCs w:val="22"/>
        </w:rPr>
        <w:t xml:space="preserve"> (2010)</w:t>
      </w:r>
      <w:r w:rsidRPr="009C507C">
        <w:rPr>
          <w:rFonts w:ascii="Arial" w:hAnsi="Arial" w:cs="Arial"/>
          <w:sz w:val="22"/>
          <w:szCs w:val="22"/>
        </w:rPr>
        <w:t xml:space="preserve">. </w:t>
      </w:r>
      <w:r w:rsidR="000D5088" w:rsidRPr="009C507C">
        <w:rPr>
          <w:rFonts w:ascii="Arial" w:hAnsi="Arial" w:cs="Arial"/>
          <w:sz w:val="22"/>
          <w:szCs w:val="22"/>
        </w:rPr>
        <w:t xml:space="preserve">In contrast, the major </w:t>
      </w:r>
      <w:r w:rsidR="005411D6" w:rsidRPr="009C507C">
        <w:rPr>
          <w:rFonts w:ascii="Arial" w:hAnsi="Arial" w:cs="Arial"/>
          <w:sz w:val="22"/>
          <w:szCs w:val="22"/>
        </w:rPr>
        <w:t xml:space="preserve">corporate insolvency </w:t>
      </w:r>
      <w:r w:rsidR="000D5088" w:rsidRPr="009C507C">
        <w:rPr>
          <w:rFonts w:ascii="Arial" w:hAnsi="Arial" w:cs="Arial"/>
          <w:sz w:val="22"/>
          <w:szCs w:val="22"/>
        </w:rPr>
        <w:t xml:space="preserve">reforms of 1993 were next followed </w:t>
      </w:r>
      <w:r w:rsidR="005411D6" w:rsidRPr="009C507C">
        <w:rPr>
          <w:rFonts w:ascii="Arial" w:hAnsi="Arial" w:cs="Arial"/>
          <w:sz w:val="22"/>
          <w:szCs w:val="22"/>
        </w:rPr>
        <w:t xml:space="preserve">fifteen years later </w:t>
      </w:r>
      <w:r w:rsidR="000D5088" w:rsidRPr="009C507C">
        <w:rPr>
          <w:rFonts w:ascii="Arial" w:hAnsi="Arial" w:cs="Arial"/>
          <w:sz w:val="22"/>
          <w:szCs w:val="22"/>
        </w:rPr>
        <w:t>by those in 200</w:t>
      </w:r>
      <w:r w:rsidR="005411D6" w:rsidRPr="009C507C">
        <w:rPr>
          <w:rFonts w:ascii="Arial" w:hAnsi="Arial" w:cs="Arial"/>
          <w:sz w:val="22"/>
          <w:szCs w:val="22"/>
        </w:rPr>
        <w:t>8</w:t>
      </w:r>
      <w:r w:rsidR="000D5088" w:rsidRPr="009C507C">
        <w:rPr>
          <w:rFonts w:ascii="Arial" w:hAnsi="Arial" w:cs="Arial"/>
          <w:sz w:val="22"/>
          <w:szCs w:val="22"/>
        </w:rPr>
        <w:t>, which w</w:t>
      </w:r>
      <w:r w:rsidR="009C507C" w:rsidRPr="009C507C">
        <w:rPr>
          <w:rFonts w:ascii="Arial" w:hAnsi="Arial" w:cs="Arial"/>
          <w:sz w:val="22"/>
          <w:szCs w:val="22"/>
        </w:rPr>
        <w:t>hile</w:t>
      </w:r>
      <w:r w:rsidR="000D5088" w:rsidRPr="009C507C">
        <w:rPr>
          <w:rFonts w:ascii="Arial" w:hAnsi="Arial" w:cs="Arial"/>
          <w:sz w:val="22"/>
          <w:szCs w:val="22"/>
        </w:rPr>
        <w:t xml:space="preserve"> important </w:t>
      </w:r>
      <w:r w:rsidR="009C507C" w:rsidRPr="009C507C">
        <w:rPr>
          <w:rFonts w:ascii="Arial" w:hAnsi="Arial" w:cs="Arial"/>
          <w:sz w:val="22"/>
          <w:szCs w:val="22"/>
        </w:rPr>
        <w:t>were</w:t>
      </w:r>
      <w:r w:rsidR="000D5088" w:rsidRPr="009C507C">
        <w:rPr>
          <w:rFonts w:ascii="Arial" w:hAnsi="Arial" w:cs="Arial"/>
          <w:sz w:val="22"/>
          <w:szCs w:val="22"/>
        </w:rPr>
        <w:t xml:space="preserve"> not fundamental.  Nearly all reforms proposed since then have not been given attention.</w:t>
      </w:r>
      <w:r w:rsidR="009C507C" w:rsidRPr="009C507C">
        <w:rPr>
          <w:rFonts w:ascii="Arial" w:hAnsi="Arial" w:cs="Arial"/>
          <w:sz w:val="22"/>
          <w:szCs w:val="22"/>
        </w:rPr>
        <w:t xml:space="preserve"> The unduly complex Insolvency Law Reform Bill 2013, followed by the next version of 2014, has still not proceeded.  </w:t>
      </w:r>
    </w:p>
    <w:p w14:paraId="65C5EB4B" w14:textId="77777777" w:rsidR="004F5D2E" w:rsidRPr="009C507C" w:rsidRDefault="004F5D2E" w:rsidP="009C507C">
      <w:pPr>
        <w:pStyle w:val="NormalWeb"/>
        <w:spacing w:line="276" w:lineRule="auto"/>
        <w:rPr>
          <w:rFonts w:ascii="Arial" w:hAnsi="Arial" w:cs="Arial"/>
          <w:b/>
          <w:sz w:val="22"/>
          <w:szCs w:val="22"/>
        </w:rPr>
      </w:pPr>
      <w:r w:rsidRPr="009C507C">
        <w:rPr>
          <w:rFonts w:ascii="Arial" w:hAnsi="Arial" w:cs="Arial"/>
          <w:b/>
          <w:sz w:val="22"/>
          <w:szCs w:val="22"/>
        </w:rPr>
        <w:t>Conclusions</w:t>
      </w:r>
    </w:p>
    <w:p w14:paraId="74E090D5" w14:textId="708D291B" w:rsidR="002928E4" w:rsidRPr="009C507C" w:rsidRDefault="002928E4" w:rsidP="009C507C">
      <w:pPr>
        <w:pStyle w:val="NormalWeb"/>
        <w:spacing w:line="276" w:lineRule="auto"/>
        <w:rPr>
          <w:rFonts w:ascii="Arial" w:hAnsi="Arial" w:cs="Arial"/>
          <w:sz w:val="22"/>
          <w:szCs w:val="22"/>
        </w:rPr>
      </w:pPr>
      <w:r w:rsidRPr="009C507C">
        <w:rPr>
          <w:rFonts w:ascii="Arial" w:hAnsi="Arial" w:cs="Arial"/>
          <w:sz w:val="22"/>
          <w:szCs w:val="22"/>
        </w:rPr>
        <w:t xml:space="preserve">The need for harmonization of insolvency laws and practices dates from at least the Harmer Report of 1988. More recently, the Senate </w:t>
      </w:r>
      <w:r w:rsidR="00BF5269" w:rsidRPr="009C507C">
        <w:rPr>
          <w:rFonts w:ascii="Arial" w:hAnsi="Arial" w:cs="Arial"/>
          <w:sz w:val="22"/>
          <w:szCs w:val="22"/>
        </w:rPr>
        <w:t xml:space="preserve">Economic References Committee </w:t>
      </w:r>
      <w:r w:rsidRPr="009C507C">
        <w:rPr>
          <w:rFonts w:ascii="Arial" w:hAnsi="Arial" w:cs="Arial"/>
          <w:sz w:val="22"/>
          <w:szCs w:val="22"/>
        </w:rPr>
        <w:t>Report of 2010</w:t>
      </w:r>
      <w:r w:rsidR="00BF5269" w:rsidRPr="009C507C">
        <w:rPr>
          <w:rStyle w:val="FootnoteReference"/>
          <w:rFonts w:ascii="Arial" w:hAnsi="Arial" w:cs="Arial"/>
          <w:sz w:val="22"/>
          <w:szCs w:val="22"/>
        </w:rPr>
        <w:footnoteReference w:id="3"/>
      </w:r>
      <w:r w:rsidRPr="009C507C">
        <w:rPr>
          <w:rFonts w:ascii="Arial" w:hAnsi="Arial" w:cs="Arial"/>
          <w:sz w:val="22"/>
          <w:szCs w:val="22"/>
        </w:rPr>
        <w:t xml:space="preserve"> recommended the establishment of a single regulator</w:t>
      </w:r>
      <w:r w:rsidR="00771F08" w:rsidRPr="009C507C">
        <w:rPr>
          <w:rFonts w:ascii="Arial" w:hAnsi="Arial" w:cs="Arial"/>
          <w:sz w:val="22"/>
          <w:szCs w:val="22"/>
        </w:rPr>
        <w:t>, the AIPA</w:t>
      </w:r>
      <w:r w:rsidRPr="009C507C">
        <w:rPr>
          <w:rFonts w:ascii="Arial" w:hAnsi="Arial" w:cs="Arial"/>
          <w:sz w:val="22"/>
          <w:szCs w:val="22"/>
        </w:rPr>
        <w:t>. The P</w:t>
      </w:r>
      <w:r w:rsidR="00BF5269" w:rsidRPr="009C507C">
        <w:rPr>
          <w:rFonts w:ascii="Arial" w:hAnsi="Arial" w:cs="Arial"/>
          <w:sz w:val="22"/>
          <w:szCs w:val="22"/>
        </w:rPr>
        <w:t xml:space="preserve">roductivity </w:t>
      </w:r>
      <w:r w:rsidRPr="009C507C">
        <w:rPr>
          <w:rFonts w:ascii="Arial" w:hAnsi="Arial" w:cs="Arial"/>
          <w:sz w:val="22"/>
          <w:szCs w:val="22"/>
        </w:rPr>
        <w:t>C</w:t>
      </w:r>
      <w:r w:rsidR="00BF5269" w:rsidRPr="009C507C">
        <w:rPr>
          <w:rFonts w:ascii="Arial" w:hAnsi="Arial" w:cs="Arial"/>
          <w:sz w:val="22"/>
          <w:szCs w:val="22"/>
        </w:rPr>
        <w:t>ommission</w:t>
      </w:r>
      <w:r w:rsidRPr="009C507C">
        <w:rPr>
          <w:rFonts w:ascii="Arial" w:hAnsi="Arial" w:cs="Arial"/>
          <w:sz w:val="22"/>
          <w:szCs w:val="22"/>
        </w:rPr>
        <w:t xml:space="preserve"> Report of 2010</w:t>
      </w:r>
      <w:r w:rsidR="00BF5269" w:rsidRPr="009C507C">
        <w:rPr>
          <w:rStyle w:val="FootnoteReference"/>
          <w:rFonts w:ascii="Arial" w:hAnsi="Arial" w:cs="Arial"/>
          <w:sz w:val="22"/>
          <w:szCs w:val="22"/>
        </w:rPr>
        <w:footnoteReference w:id="4"/>
      </w:r>
      <w:r w:rsidRPr="009C507C">
        <w:rPr>
          <w:rFonts w:ascii="Arial" w:hAnsi="Arial" w:cs="Arial"/>
          <w:sz w:val="22"/>
          <w:szCs w:val="22"/>
        </w:rPr>
        <w:t xml:space="preserve"> further recommended harmonization as a matter of efficiency.</w:t>
      </w:r>
    </w:p>
    <w:p w14:paraId="5439841D" w14:textId="67E1A9B8" w:rsidR="009C507C" w:rsidRPr="009C507C" w:rsidRDefault="002928E4" w:rsidP="009C507C">
      <w:pPr>
        <w:pStyle w:val="NormalWeb"/>
        <w:spacing w:line="276" w:lineRule="auto"/>
        <w:rPr>
          <w:rFonts w:ascii="Arial" w:hAnsi="Arial" w:cs="Arial"/>
          <w:sz w:val="22"/>
          <w:szCs w:val="22"/>
        </w:rPr>
      </w:pPr>
      <w:r w:rsidRPr="009C507C">
        <w:rPr>
          <w:rFonts w:ascii="Arial" w:hAnsi="Arial" w:cs="Arial"/>
          <w:sz w:val="22"/>
          <w:szCs w:val="22"/>
        </w:rPr>
        <w:t xml:space="preserve">The benefit for ASIC would be that it would be relieved of a discipline that does not sit well with the </w:t>
      </w:r>
      <w:r w:rsidR="00771F08" w:rsidRPr="009C507C">
        <w:rPr>
          <w:rFonts w:ascii="Arial" w:hAnsi="Arial" w:cs="Arial"/>
          <w:sz w:val="22"/>
          <w:szCs w:val="22"/>
        </w:rPr>
        <w:t xml:space="preserve">other </w:t>
      </w:r>
      <w:r w:rsidRPr="009C507C">
        <w:rPr>
          <w:rFonts w:ascii="Arial" w:hAnsi="Arial" w:cs="Arial"/>
          <w:sz w:val="22"/>
          <w:szCs w:val="22"/>
        </w:rPr>
        <w:t xml:space="preserve">market </w:t>
      </w:r>
      <w:r w:rsidR="00771F08" w:rsidRPr="009C507C">
        <w:rPr>
          <w:rFonts w:ascii="Arial" w:hAnsi="Arial" w:cs="Arial"/>
          <w:sz w:val="22"/>
          <w:szCs w:val="22"/>
        </w:rPr>
        <w:t xml:space="preserve">participants </w:t>
      </w:r>
      <w:r w:rsidRPr="009C507C">
        <w:rPr>
          <w:rFonts w:ascii="Arial" w:hAnsi="Arial" w:cs="Arial"/>
          <w:sz w:val="22"/>
          <w:szCs w:val="22"/>
        </w:rPr>
        <w:t xml:space="preserve">it regulates. </w:t>
      </w:r>
      <w:r w:rsidR="009C507C" w:rsidRPr="009C507C">
        <w:rPr>
          <w:rFonts w:ascii="Arial" w:hAnsi="Arial" w:cs="Arial"/>
          <w:sz w:val="22"/>
          <w:szCs w:val="22"/>
        </w:rPr>
        <w:t xml:space="preserve">The need for ASIC to separately maintain expertise in insolvency </w:t>
      </w:r>
      <w:r w:rsidRPr="009C507C">
        <w:rPr>
          <w:rFonts w:ascii="Arial" w:hAnsi="Arial" w:cs="Arial"/>
          <w:sz w:val="22"/>
          <w:szCs w:val="22"/>
        </w:rPr>
        <w:t xml:space="preserve">would be removed. </w:t>
      </w:r>
      <w:r w:rsidR="009C507C" w:rsidRPr="009C507C">
        <w:rPr>
          <w:rFonts w:ascii="Arial" w:hAnsi="Arial" w:cs="Arial"/>
          <w:sz w:val="22"/>
          <w:szCs w:val="22"/>
        </w:rPr>
        <w:t>The need for ASIC and AFSA to both regulate the one practitioner would be avoided.</w:t>
      </w:r>
    </w:p>
    <w:p w14:paraId="66212D7E" w14:textId="6637AB92" w:rsidR="002928E4" w:rsidRPr="009C507C" w:rsidRDefault="009C507C" w:rsidP="009C507C">
      <w:pPr>
        <w:pStyle w:val="NormalWeb"/>
        <w:spacing w:line="276" w:lineRule="auto"/>
        <w:rPr>
          <w:rFonts w:ascii="Arial" w:hAnsi="Arial" w:cs="Arial"/>
          <w:sz w:val="22"/>
          <w:szCs w:val="22"/>
        </w:rPr>
      </w:pPr>
      <w:r w:rsidRPr="009C507C">
        <w:rPr>
          <w:rFonts w:ascii="Arial" w:hAnsi="Arial" w:cs="Arial"/>
          <w:sz w:val="22"/>
          <w:szCs w:val="22"/>
        </w:rPr>
        <w:t>And t</w:t>
      </w:r>
      <w:r w:rsidR="00771F08" w:rsidRPr="009C507C">
        <w:rPr>
          <w:rFonts w:ascii="Arial" w:hAnsi="Arial" w:cs="Arial"/>
          <w:sz w:val="22"/>
          <w:szCs w:val="22"/>
        </w:rPr>
        <w:t xml:space="preserve">he telling need for </w:t>
      </w:r>
      <w:r w:rsidRPr="009C507C">
        <w:rPr>
          <w:rFonts w:ascii="Arial" w:hAnsi="Arial" w:cs="Arial"/>
          <w:sz w:val="22"/>
          <w:szCs w:val="22"/>
        </w:rPr>
        <w:t xml:space="preserve">clauses 10-5 in </w:t>
      </w:r>
      <w:r w:rsidR="00771F08" w:rsidRPr="009C507C">
        <w:rPr>
          <w:rFonts w:ascii="Arial" w:hAnsi="Arial" w:cs="Arial"/>
          <w:sz w:val="22"/>
          <w:szCs w:val="22"/>
        </w:rPr>
        <w:t xml:space="preserve">the Insolvency Law Reform Bill 2014 to require ASIC and AFSA to </w:t>
      </w:r>
      <w:r w:rsidRPr="009C507C">
        <w:rPr>
          <w:rFonts w:ascii="Arial" w:hAnsi="Arial" w:cs="Arial"/>
          <w:sz w:val="22"/>
          <w:szCs w:val="22"/>
        </w:rPr>
        <w:t xml:space="preserve">“work </w:t>
      </w:r>
      <w:r w:rsidR="00771F08" w:rsidRPr="009C507C">
        <w:rPr>
          <w:rFonts w:ascii="Arial" w:hAnsi="Arial" w:cs="Arial"/>
          <w:sz w:val="22"/>
          <w:szCs w:val="22"/>
        </w:rPr>
        <w:t>co-operat</w:t>
      </w:r>
      <w:r w:rsidRPr="009C507C">
        <w:rPr>
          <w:rFonts w:ascii="Arial" w:hAnsi="Arial" w:cs="Arial"/>
          <w:sz w:val="22"/>
          <w:szCs w:val="22"/>
        </w:rPr>
        <w:t xml:space="preserve">ively” </w:t>
      </w:r>
      <w:r w:rsidR="00771F08" w:rsidRPr="009C507C">
        <w:rPr>
          <w:rFonts w:ascii="Arial" w:hAnsi="Arial" w:cs="Arial"/>
          <w:sz w:val="22"/>
          <w:szCs w:val="22"/>
        </w:rPr>
        <w:t xml:space="preserve">with each other would not be needed. </w:t>
      </w:r>
    </w:p>
    <w:p w14:paraId="21DB2D31" w14:textId="7079B8E4" w:rsidR="002928E4" w:rsidRPr="009C507C" w:rsidRDefault="002928E4" w:rsidP="009C507C">
      <w:pPr>
        <w:pStyle w:val="NormalWeb"/>
        <w:spacing w:line="276" w:lineRule="auto"/>
        <w:rPr>
          <w:rFonts w:ascii="Arial" w:hAnsi="Arial" w:cs="Arial"/>
          <w:sz w:val="22"/>
          <w:szCs w:val="22"/>
        </w:rPr>
      </w:pPr>
      <w:r w:rsidRPr="009C507C">
        <w:rPr>
          <w:rFonts w:ascii="Arial" w:hAnsi="Arial" w:cs="Arial"/>
          <w:sz w:val="22"/>
          <w:szCs w:val="22"/>
        </w:rPr>
        <w:t>Had the 2010 Senate report recommendation been implemented, we consider that the disparity of approach between these regulators would not exist, or to the same extent.  If ASIC were to continue to retain its insolvency role, we cannot see any real prospect of the harmonization that is needed.</w:t>
      </w:r>
      <w:r w:rsidR="000D5088" w:rsidRPr="009C507C">
        <w:rPr>
          <w:rFonts w:ascii="Arial" w:hAnsi="Arial" w:cs="Arial"/>
          <w:sz w:val="22"/>
          <w:szCs w:val="22"/>
        </w:rPr>
        <w:t xml:space="preserve"> It is not culturally capable of doing so.</w:t>
      </w:r>
    </w:p>
    <w:p w14:paraId="70617249" w14:textId="135E64BC" w:rsidR="002928E4" w:rsidRDefault="002928E4" w:rsidP="009C507C">
      <w:pPr>
        <w:pStyle w:val="NormalWeb"/>
        <w:spacing w:line="276" w:lineRule="auto"/>
        <w:rPr>
          <w:rFonts w:ascii="Arial" w:hAnsi="Arial" w:cs="Arial"/>
          <w:sz w:val="22"/>
          <w:szCs w:val="22"/>
        </w:rPr>
      </w:pPr>
      <w:r w:rsidRPr="009C507C">
        <w:rPr>
          <w:rFonts w:ascii="Arial" w:hAnsi="Arial" w:cs="Arial"/>
          <w:sz w:val="22"/>
          <w:szCs w:val="22"/>
        </w:rPr>
        <w:t>Also relevant to our submission is the r</w:t>
      </w:r>
      <w:r w:rsidR="009C507C" w:rsidRPr="009C507C">
        <w:rPr>
          <w:rFonts w:ascii="Arial" w:hAnsi="Arial" w:cs="Arial"/>
          <w:sz w:val="22"/>
          <w:szCs w:val="22"/>
        </w:rPr>
        <w:t xml:space="preserve">eview of ASIC’s funding model. </w:t>
      </w:r>
      <w:r w:rsidRPr="009C507C">
        <w:rPr>
          <w:rFonts w:ascii="Arial" w:hAnsi="Arial" w:cs="Arial"/>
          <w:sz w:val="22"/>
          <w:szCs w:val="22"/>
        </w:rPr>
        <w:t xml:space="preserve">We consider that applied by AFSA is appropriate; or in any event the two insolvency regulators should not have separate funding approaches. </w:t>
      </w:r>
    </w:p>
    <w:p w14:paraId="6D8FA970" w14:textId="3B642D84" w:rsidR="00A742BA" w:rsidRDefault="00A742BA">
      <w:pPr>
        <w:spacing w:after="160" w:line="259" w:lineRule="auto"/>
        <w:rPr>
          <w:rFonts w:ascii="Arial" w:hAnsi="Arial" w:cs="Arial"/>
          <w:sz w:val="22"/>
          <w:szCs w:val="22"/>
        </w:rPr>
      </w:pPr>
      <w:r>
        <w:rPr>
          <w:rFonts w:ascii="Arial" w:hAnsi="Arial" w:cs="Arial"/>
          <w:sz w:val="22"/>
          <w:szCs w:val="22"/>
        </w:rPr>
        <w:br w:type="page"/>
      </w:r>
    </w:p>
    <w:p w14:paraId="0D32F626" w14:textId="77777777" w:rsidR="00A742BA" w:rsidRPr="009C507C" w:rsidRDefault="00A742BA" w:rsidP="009C507C">
      <w:pPr>
        <w:pStyle w:val="NormalWeb"/>
        <w:spacing w:line="276" w:lineRule="auto"/>
        <w:rPr>
          <w:rFonts w:ascii="Arial" w:hAnsi="Arial" w:cs="Arial"/>
          <w:sz w:val="22"/>
          <w:szCs w:val="22"/>
        </w:rPr>
      </w:pPr>
    </w:p>
    <w:p w14:paraId="6A77AAE1" w14:textId="74CF51D3" w:rsidR="000D5088" w:rsidRDefault="000D5088" w:rsidP="009C507C">
      <w:pPr>
        <w:pStyle w:val="NormalWeb"/>
        <w:spacing w:line="276" w:lineRule="auto"/>
        <w:rPr>
          <w:rFonts w:ascii="Arial" w:hAnsi="Arial" w:cs="Arial"/>
          <w:sz w:val="22"/>
          <w:szCs w:val="22"/>
        </w:rPr>
      </w:pPr>
      <w:r w:rsidRPr="009C507C">
        <w:rPr>
          <w:rFonts w:ascii="Arial" w:hAnsi="Arial" w:cs="Arial"/>
          <w:sz w:val="22"/>
          <w:szCs w:val="22"/>
        </w:rPr>
        <w:t>We have only cited limited references to our statements.  We can substantiate and refer you to more detailed commentary, sections if required, for all of the issues in this submission.</w:t>
      </w:r>
    </w:p>
    <w:p w14:paraId="2A457243" w14:textId="77777777" w:rsidR="00A742BA" w:rsidRPr="00A742BA" w:rsidRDefault="00A742BA" w:rsidP="00A742BA">
      <w:pPr>
        <w:spacing w:after="160" w:line="276" w:lineRule="auto"/>
        <w:rPr>
          <w:rFonts w:ascii="Arial" w:hAnsi="Arial" w:cs="Arial"/>
          <w:b/>
          <w:sz w:val="22"/>
          <w:szCs w:val="22"/>
        </w:rPr>
      </w:pPr>
      <w:r w:rsidRPr="00A742BA">
        <w:rPr>
          <w:rFonts w:ascii="Arial" w:hAnsi="Arial" w:cs="Arial"/>
          <w:b/>
          <w:sz w:val="22"/>
          <w:szCs w:val="22"/>
        </w:rPr>
        <w:t>Professor Rosalind Mason</w:t>
      </w:r>
    </w:p>
    <w:p w14:paraId="453D4989" w14:textId="77777777" w:rsidR="00A742BA" w:rsidRPr="00A742BA" w:rsidRDefault="00A742BA" w:rsidP="00A742BA">
      <w:pPr>
        <w:spacing w:after="160" w:line="276" w:lineRule="auto"/>
        <w:rPr>
          <w:rFonts w:ascii="Arial" w:hAnsi="Arial" w:cs="Arial"/>
          <w:b/>
          <w:sz w:val="22"/>
          <w:szCs w:val="22"/>
        </w:rPr>
      </w:pPr>
      <w:r w:rsidRPr="00A742BA">
        <w:rPr>
          <w:rFonts w:ascii="Arial" w:hAnsi="Arial" w:cs="Arial"/>
          <w:b/>
          <w:sz w:val="22"/>
          <w:szCs w:val="22"/>
        </w:rPr>
        <w:t>Mr. Michael Murray</w:t>
      </w:r>
    </w:p>
    <w:p w14:paraId="5B3AD466" w14:textId="77777777" w:rsidR="00A742BA" w:rsidRPr="00A742BA" w:rsidRDefault="00A742BA" w:rsidP="00A742BA">
      <w:pPr>
        <w:keepNext/>
        <w:spacing w:after="160" w:line="276" w:lineRule="auto"/>
        <w:outlineLvl w:val="2"/>
        <w:rPr>
          <w:rFonts w:ascii="Arial" w:hAnsi="Arial" w:cs="Arial"/>
          <w:b/>
          <w:sz w:val="22"/>
          <w:szCs w:val="22"/>
        </w:rPr>
      </w:pPr>
      <w:r w:rsidRPr="00A742BA">
        <w:rPr>
          <w:rFonts w:ascii="Arial" w:hAnsi="Arial" w:cs="Arial"/>
          <w:b/>
          <w:sz w:val="22"/>
          <w:szCs w:val="22"/>
        </w:rPr>
        <w:t>Associate Professor Colin Anderson</w:t>
      </w:r>
    </w:p>
    <w:p w14:paraId="7AF33FC4" w14:textId="77777777" w:rsidR="00A742BA" w:rsidRPr="00A742BA" w:rsidRDefault="00A742BA" w:rsidP="00A742BA">
      <w:pPr>
        <w:rPr>
          <w:b/>
          <w:i/>
        </w:rPr>
      </w:pPr>
      <w:r w:rsidRPr="00A742BA">
        <w:rPr>
          <w:b/>
          <w:i/>
        </w:rPr>
        <w:t xml:space="preserve">Commercial and Property Law Research Centre </w:t>
      </w:r>
    </w:p>
    <w:p w14:paraId="63A17B5F" w14:textId="56021D4D" w:rsidR="00A742BA" w:rsidRPr="00A742BA" w:rsidRDefault="00C47665" w:rsidP="00A742BA">
      <w:pPr>
        <w:pStyle w:val="Heading5"/>
      </w:pPr>
      <w:r>
        <w:t>Faculty</w:t>
      </w:r>
      <w:r w:rsidR="00A742BA" w:rsidRPr="00A742BA">
        <w:t xml:space="preserve"> of Law, Queensland University of Technology, Brisbane </w:t>
      </w:r>
    </w:p>
    <w:p w14:paraId="4506E964" w14:textId="77777777" w:rsidR="00A742BA" w:rsidRPr="00A742BA" w:rsidRDefault="00A742BA" w:rsidP="00A742BA"/>
    <w:p w14:paraId="3534812A" w14:textId="77777777" w:rsidR="00A742BA" w:rsidRPr="00A742BA" w:rsidRDefault="00A742BA" w:rsidP="00A742BA">
      <w:pPr>
        <w:rPr>
          <w:color w:val="003192"/>
          <w:lang w:eastAsia="en-AU"/>
        </w:rPr>
      </w:pPr>
      <w:r w:rsidRPr="00A742BA">
        <w:rPr>
          <w:b/>
          <w:bCs/>
          <w:i/>
          <w:iCs/>
          <w:noProof/>
          <w:color w:val="003192"/>
          <w:lang w:val="en-AU" w:eastAsia="en-AU"/>
        </w:rPr>
        <w:drawing>
          <wp:inline distT="0" distB="0" distL="0" distR="0" wp14:anchorId="0D0E17E4" wp14:editId="70B74BA9">
            <wp:extent cx="5943600" cy="1009650"/>
            <wp:effectExtent l="0" t="0" r="0" b="0"/>
            <wp:docPr id="2" name="Picture 2" descr="000000-LAW-CPLRC-Email-Banner-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0000-LAW-CPLRC-Email-Banner-v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1009650"/>
                    </a:xfrm>
                    <a:prstGeom prst="rect">
                      <a:avLst/>
                    </a:prstGeom>
                    <a:noFill/>
                    <a:ln>
                      <a:noFill/>
                    </a:ln>
                  </pic:spPr>
                </pic:pic>
              </a:graphicData>
            </a:graphic>
          </wp:inline>
        </w:drawing>
      </w:r>
    </w:p>
    <w:p w14:paraId="3A4BE7F3" w14:textId="77777777" w:rsidR="00A742BA" w:rsidRPr="00A742BA" w:rsidRDefault="00A742BA" w:rsidP="00A742BA"/>
    <w:p w14:paraId="333FB42F" w14:textId="77777777" w:rsidR="00A742BA" w:rsidRPr="009C507C" w:rsidRDefault="00A742BA" w:rsidP="009C507C">
      <w:pPr>
        <w:pStyle w:val="NormalWeb"/>
        <w:spacing w:line="276" w:lineRule="auto"/>
        <w:rPr>
          <w:rFonts w:ascii="Arial" w:hAnsi="Arial" w:cs="Arial"/>
          <w:sz w:val="22"/>
          <w:szCs w:val="22"/>
        </w:rPr>
      </w:pPr>
    </w:p>
    <w:p w14:paraId="656A5147" w14:textId="4EEDBE31" w:rsidR="00AB19D7" w:rsidRPr="009C507C" w:rsidRDefault="00AB19D7" w:rsidP="009C507C">
      <w:pPr>
        <w:spacing w:after="160" w:line="276" w:lineRule="auto"/>
        <w:rPr>
          <w:rFonts w:ascii="Arial" w:hAnsi="Arial" w:cs="Arial"/>
          <w:sz w:val="22"/>
          <w:szCs w:val="22"/>
        </w:rPr>
      </w:pPr>
    </w:p>
    <w:sectPr w:rsidR="00AB19D7" w:rsidRPr="009C507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6FA219" w14:textId="77777777" w:rsidR="00BF5269" w:rsidRDefault="00BF5269" w:rsidP="00BF5269">
      <w:r>
        <w:separator/>
      </w:r>
    </w:p>
  </w:endnote>
  <w:endnote w:type="continuationSeparator" w:id="0">
    <w:p w14:paraId="268C55FD" w14:textId="77777777" w:rsidR="00BF5269" w:rsidRDefault="00BF5269" w:rsidP="00BF5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203105"/>
      <w:docPartObj>
        <w:docPartGallery w:val="Page Numbers (Bottom of Page)"/>
        <w:docPartUnique/>
      </w:docPartObj>
    </w:sdtPr>
    <w:sdtEndPr>
      <w:rPr>
        <w:noProof/>
      </w:rPr>
    </w:sdtEndPr>
    <w:sdtContent>
      <w:p w14:paraId="2022114E" w14:textId="260B5EF0" w:rsidR="009C507C" w:rsidRDefault="009C507C">
        <w:pPr>
          <w:pStyle w:val="Footer"/>
          <w:jc w:val="right"/>
        </w:pPr>
        <w:r>
          <w:fldChar w:fldCharType="begin"/>
        </w:r>
        <w:r>
          <w:instrText xml:space="preserve"> PAGE   \* MERGEFORMAT </w:instrText>
        </w:r>
        <w:r>
          <w:fldChar w:fldCharType="separate"/>
        </w:r>
        <w:r w:rsidR="0018579C">
          <w:rPr>
            <w:noProof/>
          </w:rPr>
          <w:t>1</w:t>
        </w:r>
        <w:r>
          <w:rPr>
            <w:noProof/>
          </w:rPr>
          <w:fldChar w:fldCharType="end"/>
        </w:r>
      </w:p>
    </w:sdtContent>
  </w:sdt>
  <w:p w14:paraId="5EEF2471" w14:textId="77777777" w:rsidR="009C507C" w:rsidRDefault="009C50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E00D1" w14:textId="77777777" w:rsidR="00BF5269" w:rsidRDefault="00BF5269" w:rsidP="00BF5269">
      <w:r>
        <w:separator/>
      </w:r>
    </w:p>
  </w:footnote>
  <w:footnote w:type="continuationSeparator" w:id="0">
    <w:p w14:paraId="49FD1B75" w14:textId="77777777" w:rsidR="00BF5269" w:rsidRDefault="00BF5269" w:rsidP="00BF5269">
      <w:r>
        <w:continuationSeparator/>
      </w:r>
    </w:p>
  </w:footnote>
  <w:footnote w:id="1">
    <w:p w14:paraId="095F28E6" w14:textId="77777777" w:rsidR="00DD4CEF" w:rsidRPr="00C50B32" w:rsidRDefault="00DD4CEF">
      <w:pPr>
        <w:pStyle w:val="FootnoteText"/>
        <w:rPr>
          <w:lang w:val="en-AU"/>
        </w:rPr>
      </w:pPr>
      <w:r>
        <w:rPr>
          <w:rStyle w:val="FootnoteReference"/>
        </w:rPr>
        <w:footnoteRef/>
      </w:r>
      <w:r>
        <w:t xml:space="preserve"> </w:t>
      </w:r>
      <w:r w:rsidRPr="00DD4CEF">
        <w:rPr>
          <w:lang w:val="en-AU"/>
        </w:rPr>
        <w:t xml:space="preserve">Economic References Committee Australian Senate, </w:t>
      </w:r>
      <w:r w:rsidRPr="00DD4CEF">
        <w:rPr>
          <w:i/>
          <w:lang w:val="en-AU"/>
        </w:rPr>
        <w:t xml:space="preserve">The regulation, registration and remuneration of insolvency practitioners in Australia: the case for a new framework, </w:t>
      </w:r>
      <w:r w:rsidRPr="00DD4CEF">
        <w:rPr>
          <w:lang w:val="en-AU"/>
        </w:rPr>
        <w:t>September 2010</w:t>
      </w:r>
      <w:r>
        <w:rPr>
          <w:lang w:val="en-AU"/>
        </w:rPr>
        <w:t>.</w:t>
      </w:r>
    </w:p>
  </w:footnote>
  <w:footnote w:id="2">
    <w:p w14:paraId="6885DE6E" w14:textId="77777777" w:rsidR="002C624D" w:rsidRPr="00C50B32" w:rsidRDefault="002C624D" w:rsidP="002C624D">
      <w:pPr>
        <w:rPr>
          <w:rFonts w:ascii="Arial" w:hAnsi="Arial" w:cs="Arial"/>
          <w:sz w:val="20"/>
          <w:szCs w:val="20"/>
        </w:rPr>
      </w:pPr>
      <w:r w:rsidRPr="00C50B32">
        <w:rPr>
          <w:rStyle w:val="FootnoteReference"/>
          <w:rFonts w:ascii="Arial" w:hAnsi="Arial" w:cs="Arial"/>
          <w:sz w:val="20"/>
          <w:szCs w:val="20"/>
        </w:rPr>
        <w:footnoteRef/>
      </w:r>
      <w:r w:rsidRPr="00C50B32">
        <w:rPr>
          <w:rFonts w:ascii="Arial" w:hAnsi="Arial" w:cs="Arial"/>
          <w:sz w:val="20"/>
          <w:szCs w:val="20"/>
        </w:rPr>
        <w:t xml:space="preserve"> </w:t>
      </w:r>
      <w:r w:rsidRPr="00C50B32">
        <w:rPr>
          <w:rFonts w:ascii="Arial" w:hAnsi="Arial" w:cs="Arial"/>
          <w:i/>
          <w:sz w:val="20"/>
          <w:szCs w:val="20"/>
        </w:rPr>
        <w:t>Sydlow Pty Ltd (In Liquidation) v T G Kotselas Pty Ltd, Theo George Kotselas and William James Hamilton</w:t>
      </w:r>
      <w:r w:rsidRPr="00C50B32">
        <w:rPr>
          <w:rFonts w:ascii="Arial" w:hAnsi="Arial" w:cs="Arial"/>
          <w:sz w:val="20"/>
          <w:szCs w:val="20"/>
        </w:rPr>
        <w:t xml:space="preserve"> [1996] FCA 1384 at [26] </w:t>
      </w:r>
    </w:p>
    <w:p w14:paraId="72B30BAF" w14:textId="77777777" w:rsidR="002C624D" w:rsidRPr="00C50B32" w:rsidRDefault="002C624D" w:rsidP="002C624D">
      <w:pPr>
        <w:pStyle w:val="FootnoteText"/>
        <w:rPr>
          <w:lang w:val="en-AU"/>
        </w:rPr>
      </w:pPr>
    </w:p>
  </w:footnote>
  <w:footnote w:id="3">
    <w:p w14:paraId="22B0C70A" w14:textId="59F55CC1" w:rsidR="00BF5269" w:rsidRPr="00C50B32" w:rsidRDefault="00BF5269">
      <w:pPr>
        <w:pStyle w:val="FootnoteText"/>
        <w:rPr>
          <w:rFonts w:ascii="Arial" w:hAnsi="Arial" w:cs="Arial"/>
          <w:i/>
          <w:sz w:val="18"/>
          <w:szCs w:val="18"/>
          <w:lang w:val="en-AU"/>
        </w:rPr>
      </w:pPr>
      <w:r w:rsidRPr="00C50B32">
        <w:rPr>
          <w:rStyle w:val="FootnoteReference"/>
          <w:rFonts w:ascii="Arial" w:hAnsi="Arial" w:cs="Arial"/>
          <w:sz w:val="18"/>
          <w:szCs w:val="18"/>
        </w:rPr>
        <w:footnoteRef/>
      </w:r>
      <w:r w:rsidRPr="00C50B32">
        <w:rPr>
          <w:rFonts w:ascii="Arial" w:hAnsi="Arial" w:cs="Arial"/>
          <w:sz w:val="18"/>
          <w:szCs w:val="18"/>
        </w:rPr>
        <w:t xml:space="preserve"> </w:t>
      </w:r>
      <w:r w:rsidR="00B80CAD" w:rsidRPr="00C50B32">
        <w:rPr>
          <w:rFonts w:ascii="Arial" w:hAnsi="Arial" w:cs="Arial"/>
          <w:sz w:val="18"/>
          <w:szCs w:val="18"/>
          <w:lang w:val="en-AU"/>
        </w:rPr>
        <w:t>Economic References Committee</w:t>
      </w:r>
      <w:r w:rsidRPr="00C50B32">
        <w:rPr>
          <w:rFonts w:ascii="Arial" w:hAnsi="Arial" w:cs="Arial"/>
          <w:sz w:val="18"/>
          <w:szCs w:val="18"/>
          <w:lang w:val="en-AU"/>
        </w:rPr>
        <w:t xml:space="preserve"> Australian Senate, </w:t>
      </w:r>
      <w:r w:rsidRPr="00C50B32">
        <w:rPr>
          <w:rFonts w:ascii="Arial" w:hAnsi="Arial" w:cs="Arial"/>
          <w:i/>
          <w:sz w:val="18"/>
          <w:szCs w:val="18"/>
          <w:lang w:val="en-AU"/>
        </w:rPr>
        <w:t xml:space="preserve">The regulation, registration and remuneration of insolvency practitioners in Australia: the case for a new framework, </w:t>
      </w:r>
      <w:r w:rsidRPr="00C50B32">
        <w:rPr>
          <w:rFonts w:ascii="Arial" w:hAnsi="Arial" w:cs="Arial"/>
          <w:sz w:val="18"/>
          <w:szCs w:val="18"/>
          <w:lang w:val="en-AU"/>
        </w:rPr>
        <w:t>September 2010</w:t>
      </w:r>
      <w:r w:rsidR="00B80CAD" w:rsidRPr="00C50B32">
        <w:rPr>
          <w:rFonts w:ascii="Arial" w:hAnsi="Arial" w:cs="Arial"/>
          <w:sz w:val="18"/>
          <w:szCs w:val="18"/>
          <w:lang w:val="en-AU"/>
        </w:rPr>
        <w:t xml:space="preserve">; </w:t>
      </w:r>
      <w:r w:rsidRPr="00C50B32">
        <w:rPr>
          <w:rFonts w:ascii="Arial" w:hAnsi="Arial" w:cs="Arial"/>
          <w:sz w:val="18"/>
          <w:szCs w:val="18"/>
          <w:lang w:val="en-AU"/>
        </w:rPr>
        <w:t>see specifically Chapter 10 and particularly [10.3] to [10.17]. The Report concluded</w:t>
      </w:r>
      <w:r w:rsidR="00B80CAD" w:rsidRPr="00C50B32">
        <w:rPr>
          <w:rFonts w:ascii="Arial" w:hAnsi="Arial" w:cs="Arial"/>
          <w:sz w:val="18"/>
          <w:szCs w:val="18"/>
          <w:lang w:val="en-AU"/>
        </w:rPr>
        <w:t xml:space="preserve"> [at [11.5] </w:t>
      </w:r>
      <w:r w:rsidRPr="00C50B32">
        <w:rPr>
          <w:rFonts w:ascii="Arial" w:hAnsi="Arial" w:cs="Arial"/>
          <w:sz w:val="18"/>
          <w:szCs w:val="18"/>
          <w:lang w:val="en-AU"/>
        </w:rPr>
        <w:t xml:space="preserve"> </w:t>
      </w:r>
      <w:r w:rsidRPr="00C50B32">
        <w:rPr>
          <w:rFonts w:ascii="Arial" w:hAnsi="Arial" w:cs="Arial"/>
          <w:i/>
          <w:sz w:val="18"/>
          <w:szCs w:val="18"/>
          <w:lang w:val="en-AU"/>
        </w:rPr>
        <w:t>that regardless of funding, ASIC is  overburdened</w:t>
      </w:r>
    </w:p>
  </w:footnote>
  <w:footnote w:id="4">
    <w:p w14:paraId="72D0890C" w14:textId="77777777" w:rsidR="00BF5269" w:rsidRPr="00C50B32" w:rsidRDefault="00BF5269">
      <w:pPr>
        <w:pStyle w:val="FootnoteText"/>
        <w:rPr>
          <w:i/>
          <w:lang w:val="en-AU"/>
        </w:rPr>
      </w:pPr>
      <w:r w:rsidRPr="00C50B32">
        <w:rPr>
          <w:rStyle w:val="FootnoteReference"/>
          <w:rFonts w:ascii="Arial" w:hAnsi="Arial" w:cs="Arial"/>
          <w:sz w:val="18"/>
          <w:szCs w:val="18"/>
        </w:rPr>
        <w:footnoteRef/>
      </w:r>
      <w:r w:rsidRPr="00C50B32">
        <w:rPr>
          <w:rFonts w:ascii="Arial" w:hAnsi="Arial" w:cs="Arial"/>
          <w:sz w:val="18"/>
          <w:szCs w:val="18"/>
        </w:rPr>
        <w:t xml:space="preserve"> </w:t>
      </w:r>
      <w:r w:rsidRPr="00C50B32">
        <w:rPr>
          <w:rFonts w:ascii="Arial" w:hAnsi="Arial" w:cs="Arial"/>
          <w:sz w:val="18"/>
          <w:szCs w:val="18"/>
          <w:lang w:val="en-AU"/>
        </w:rPr>
        <w:t xml:space="preserve">The Productivity Commission, </w:t>
      </w:r>
      <w:r w:rsidRPr="00C50B32">
        <w:rPr>
          <w:rFonts w:ascii="Arial" w:hAnsi="Arial" w:cs="Arial"/>
          <w:i/>
          <w:sz w:val="18"/>
          <w:szCs w:val="18"/>
        </w:rPr>
        <w:t>Annual Review of Regulatory Burdens on Business: Business and Consumer Services</w:t>
      </w:r>
      <w:r w:rsidRPr="00C50B32">
        <w:rPr>
          <w:rFonts w:ascii="Arial" w:hAnsi="Arial" w:cs="Arial"/>
          <w:sz w:val="18"/>
          <w:szCs w:val="18"/>
          <w:lang w:val="en-AU"/>
        </w:rPr>
        <w:t>, August 2010, stated at p175 ‘</w:t>
      </w:r>
      <w:r w:rsidRPr="00C50B32">
        <w:rPr>
          <w:rFonts w:ascii="Arial" w:hAnsi="Arial" w:cs="Arial"/>
          <w:i/>
          <w:sz w:val="18"/>
          <w:szCs w:val="18"/>
          <w:lang w:val="en-AU"/>
        </w:rPr>
        <w:t>In</w:t>
      </w:r>
      <w:r w:rsidRPr="00C50B32">
        <w:rPr>
          <w:rFonts w:ascii="Arial" w:hAnsi="Arial" w:cs="Arial"/>
          <w:i/>
          <w:sz w:val="18"/>
          <w:szCs w:val="18"/>
        </w:rPr>
        <w:t xml:space="preserve"> parallel with the deliberations of the reform taskforce that the Commission has proposed, the Government should re-examine the case for making a single regulator responsible for both areas of insolvency law, including the registration of insolvency practitioners.’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8E4"/>
    <w:rsid w:val="000D5088"/>
    <w:rsid w:val="0018579C"/>
    <w:rsid w:val="00203268"/>
    <w:rsid w:val="002053AE"/>
    <w:rsid w:val="002928E4"/>
    <w:rsid w:val="002C624D"/>
    <w:rsid w:val="00347430"/>
    <w:rsid w:val="004F5D2E"/>
    <w:rsid w:val="005411D6"/>
    <w:rsid w:val="00541390"/>
    <w:rsid w:val="006761B1"/>
    <w:rsid w:val="006960CC"/>
    <w:rsid w:val="00711512"/>
    <w:rsid w:val="007279BE"/>
    <w:rsid w:val="00763B1B"/>
    <w:rsid w:val="00771F08"/>
    <w:rsid w:val="0077265D"/>
    <w:rsid w:val="007F0E8F"/>
    <w:rsid w:val="00813704"/>
    <w:rsid w:val="009366B1"/>
    <w:rsid w:val="00943419"/>
    <w:rsid w:val="009C507C"/>
    <w:rsid w:val="00A605B6"/>
    <w:rsid w:val="00A742BA"/>
    <w:rsid w:val="00AB19D7"/>
    <w:rsid w:val="00AC45B2"/>
    <w:rsid w:val="00AD59B3"/>
    <w:rsid w:val="00B536B3"/>
    <w:rsid w:val="00B80CAD"/>
    <w:rsid w:val="00BF5269"/>
    <w:rsid w:val="00C47665"/>
    <w:rsid w:val="00C50B32"/>
    <w:rsid w:val="00DC3598"/>
    <w:rsid w:val="00DD4CEF"/>
    <w:rsid w:val="00E92F01"/>
    <w:rsid w:val="00FD4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F4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8E4"/>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928E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2053A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742BA"/>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A742BA"/>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A742BA"/>
    <w:pPr>
      <w:keepNext/>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8E4"/>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2928E4"/>
    <w:pPr>
      <w:spacing w:before="100" w:beforeAutospacing="1" w:after="100" w:afterAutospacing="1"/>
    </w:pPr>
  </w:style>
  <w:style w:type="table" w:styleId="TableGrid">
    <w:name w:val="Table Grid"/>
    <w:basedOn w:val="TableNormal"/>
    <w:uiPriority w:val="39"/>
    <w:rsid w:val="002928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F5D2E"/>
    <w:rPr>
      <w:sz w:val="16"/>
      <w:szCs w:val="16"/>
    </w:rPr>
  </w:style>
  <w:style w:type="paragraph" w:styleId="CommentText">
    <w:name w:val="annotation text"/>
    <w:basedOn w:val="Normal"/>
    <w:link w:val="CommentTextChar"/>
    <w:uiPriority w:val="99"/>
    <w:semiHidden/>
    <w:unhideWhenUsed/>
    <w:rsid w:val="004F5D2E"/>
    <w:rPr>
      <w:sz w:val="20"/>
      <w:szCs w:val="20"/>
    </w:rPr>
  </w:style>
  <w:style w:type="character" w:customStyle="1" w:styleId="CommentTextChar">
    <w:name w:val="Comment Text Char"/>
    <w:basedOn w:val="DefaultParagraphFont"/>
    <w:link w:val="CommentText"/>
    <w:uiPriority w:val="99"/>
    <w:semiHidden/>
    <w:rsid w:val="004F5D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5D2E"/>
    <w:rPr>
      <w:b/>
      <w:bCs/>
    </w:rPr>
  </w:style>
  <w:style w:type="character" w:customStyle="1" w:styleId="CommentSubjectChar">
    <w:name w:val="Comment Subject Char"/>
    <w:basedOn w:val="CommentTextChar"/>
    <w:link w:val="CommentSubject"/>
    <w:uiPriority w:val="99"/>
    <w:semiHidden/>
    <w:rsid w:val="004F5D2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F5D2E"/>
    <w:rPr>
      <w:rFonts w:ascii="Tahoma" w:hAnsi="Tahoma" w:cs="Tahoma"/>
      <w:sz w:val="16"/>
      <w:szCs w:val="16"/>
    </w:rPr>
  </w:style>
  <w:style w:type="character" w:customStyle="1" w:styleId="BalloonTextChar">
    <w:name w:val="Balloon Text Char"/>
    <w:basedOn w:val="DefaultParagraphFont"/>
    <w:link w:val="BalloonText"/>
    <w:uiPriority w:val="99"/>
    <w:semiHidden/>
    <w:rsid w:val="004F5D2E"/>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BF5269"/>
    <w:rPr>
      <w:sz w:val="20"/>
      <w:szCs w:val="20"/>
    </w:rPr>
  </w:style>
  <w:style w:type="character" w:customStyle="1" w:styleId="FootnoteTextChar">
    <w:name w:val="Footnote Text Char"/>
    <w:basedOn w:val="DefaultParagraphFont"/>
    <w:link w:val="FootnoteText"/>
    <w:uiPriority w:val="99"/>
    <w:semiHidden/>
    <w:rsid w:val="00BF526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F5269"/>
    <w:rPr>
      <w:vertAlign w:val="superscript"/>
    </w:rPr>
  </w:style>
  <w:style w:type="character" w:customStyle="1" w:styleId="Heading2Char">
    <w:name w:val="Heading 2 Char"/>
    <w:basedOn w:val="DefaultParagraphFont"/>
    <w:link w:val="Heading2"/>
    <w:uiPriority w:val="9"/>
    <w:semiHidden/>
    <w:rsid w:val="002053AE"/>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9C507C"/>
    <w:pPr>
      <w:tabs>
        <w:tab w:val="center" w:pos="4513"/>
        <w:tab w:val="right" w:pos="9026"/>
      </w:tabs>
    </w:pPr>
  </w:style>
  <w:style w:type="character" w:customStyle="1" w:styleId="HeaderChar">
    <w:name w:val="Header Char"/>
    <w:basedOn w:val="DefaultParagraphFont"/>
    <w:link w:val="Header"/>
    <w:uiPriority w:val="99"/>
    <w:rsid w:val="009C50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C507C"/>
    <w:pPr>
      <w:tabs>
        <w:tab w:val="center" w:pos="4513"/>
        <w:tab w:val="right" w:pos="9026"/>
      </w:tabs>
    </w:pPr>
  </w:style>
  <w:style w:type="character" w:customStyle="1" w:styleId="FooterChar">
    <w:name w:val="Footer Char"/>
    <w:basedOn w:val="DefaultParagraphFont"/>
    <w:link w:val="Footer"/>
    <w:uiPriority w:val="99"/>
    <w:rsid w:val="009C507C"/>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A742BA"/>
    <w:rPr>
      <w:rFonts w:asciiTheme="majorHAnsi" w:eastAsiaTheme="majorEastAsia" w:hAnsiTheme="majorHAnsi" w:cstheme="majorBidi"/>
      <w:b/>
      <w:bCs/>
      <w:color w:val="5B9BD5" w:themeColor="accent1"/>
      <w:sz w:val="24"/>
      <w:szCs w:val="24"/>
    </w:rPr>
  </w:style>
  <w:style w:type="character" w:customStyle="1" w:styleId="Heading4Char">
    <w:name w:val="Heading 4 Char"/>
    <w:basedOn w:val="DefaultParagraphFont"/>
    <w:link w:val="Heading4"/>
    <w:uiPriority w:val="9"/>
    <w:semiHidden/>
    <w:rsid w:val="00A742BA"/>
    <w:rPr>
      <w:rFonts w:asciiTheme="majorHAnsi" w:eastAsiaTheme="majorEastAsia" w:hAnsiTheme="majorHAnsi" w:cstheme="majorBidi"/>
      <w:b/>
      <w:bCs/>
      <w:i/>
      <w:iCs/>
      <w:color w:val="5B9BD5" w:themeColor="accent1"/>
      <w:sz w:val="24"/>
      <w:szCs w:val="24"/>
    </w:rPr>
  </w:style>
  <w:style w:type="character" w:customStyle="1" w:styleId="Heading5Char">
    <w:name w:val="Heading 5 Char"/>
    <w:basedOn w:val="DefaultParagraphFont"/>
    <w:link w:val="Heading5"/>
    <w:uiPriority w:val="9"/>
    <w:rsid w:val="00A742BA"/>
    <w:rPr>
      <w:rFonts w:ascii="Times New Roman" w:eastAsia="Times New Roman" w:hAnsi="Times New Roman" w:cs="Times New Roman"/>
      <w:b/>
      <w: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8E4"/>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928E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2053A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742BA"/>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A742BA"/>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A742BA"/>
    <w:pPr>
      <w:keepNext/>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8E4"/>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2928E4"/>
    <w:pPr>
      <w:spacing w:before="100" w:beforeAutospacing="1" w:after="100" w:afterAutospacing="1"/>
    </w:pPr>
  </w:style>
  <w:style w:type="table" w:styleId="TableGrid">
    <w:name w:val="Table Grid"/>
    <w:basedOn w:val="TableNormal"/>
    <w:uiPriority w:val="39"/>
    <w:rsid w:val="002928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F5D2E"/>
    <w:rPr>
      <w:sz w:val="16"/>
      <w:szCs w:val="16"/>
    </w:rPr>
  </w:style>
  <w:style w:type="paragraph" w:styleId="CommentText">
    <w:name w:val="annotation text"/>
    <w:basedOn w:val="Normal"/>
    <w:link w:val="CommentTextChar"/>
    <w:uiPriority w:val="99"/>
    <w:semiHidden/>
    <w:unhideWhenUsed/>
    <w:rsid w:val="004F5D2E"/>
    <w:rPr>
      <w:sz w:val="20"/>
      <w:szCs w:val="20"/>
    </w:rPr>
  </w:style>
  <w:style w:type="character" w:customStyle="1" w:styleId="CommentTextChar">
    <w:name w:val="Comment Text Char"/>
    <w:basedOn w:val="DefaultParagraphFont"/>
    <w:link w:val="CommentText"/>
    <w:uiPriority w:val="99"/>
    <w:semiHidden/>
    <w:rsid w:val="004F5D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5D2E"/>
    <w:rPr>
      <w:b/>
      <w:bCs/>
    </w:rPr>
  </w:style>
  <w:style w:type="character" w:customStyle="1" w:styleId="CommentSubjectChar">
    <w:name w:val="Comment Subject Char"/>
    <w:basedOn w:val="CommentTextChar"/>
    <w:link w:val="CommentSubject"/>
    <w:uiPriority w:val="99"/>
    <w:semiHidden/>
    <w:rsid w:val="004F5D2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F5D2E"/>
    <w:rPr>
      <w:rFonts w:ascii="Tahoma" w:hAnsi="Tahoma" w:cs="Tahoma"/>
      <w:sz w:val="16"/>
      <w:szCs w:val="16"/>
    </w:rPr>
  </w:style>
  <w:style w:type="character" w:customStyle="1" w:styleId="BalloonTextChar">
    <w:name w:val="Balloon Text Char"/>
    <w:basedOn w:val="DefaultParagraphFont"/>
    <w:link w:val="BalloonText"/>
    <w:uiPriority w:val="99"/>
    <w:semiHidden/>
    <w:rsid w:val="004F5D2E"/>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BF5269"/>
    <w:rPr>
      <w:sz w:val="20"/>
      <w:szCs w:val="20"/>
    </w:rPr>
  </w:style>
  <w:style w:type="character" w:customStyle="1" w:styleId="FootnoteTextChar">
    <w:name w:val="Footnote Text Char"/>
    <w:basedOn w:val="DefaultParagraphFont"/>
    <w:link w:val="FootnoteText"/>
    <w:uiPriority w:val="99"/>
    <w:semiHidden/>
    <w:rsid w:val="00BF526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F5269"/>
    <w:rPr>
      <w:vertAlign w:val="superscript"/>
    </w:rPr>
  </w:style>
  <w:style w:type="character" w:customStyle="1" w:styleId="Heading2Char">
    <w:name w:val="Heading 2 Char"/>
    <w:basedOn w:val="DefaultParagraphFont"/>
    <w:link w:val="Heading2"/>
    <w:uiPriority w:val="9"/>
    <w:semiHidden/>
    <w:rsid w:val="002053AE"/>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9C507C"/>
    <w:pPr>
      <w:tabs>
        <w:tab w:val="center" w:pos="4513"/>
        <w:tab w:val="right" w:pos="9026"/>
      </w:tabs>
    </w:pPr>
  </w:style>
  <w:style w:type="character" w:customStyle="1" w:styleId="HeaderChar">
    <w:name w:val="Header Char"/>
    <w:basedOn w:val="DefaultParagraphFont"/>
    <w:link w:val="Header"/>
    <w:uiPriority w:val="99"/>
    <w:rsid w:val="009C50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C507C"/>
    <w:pPr>
      <w:tabs>
        <w:tab w:val="center" w:pos="4513"/>
        <w:tab w:val="right" w:pos="9026"/>
      </w:tabs>
    </w:pPr>
  </w:style>
  <w:style w:type="character" w:customStyle="1" w:styleId="FooterChar">
    <w:name w:val="Footer Char"/>
    <w:basedOn w:val="DefaultParagraphFont"/>
    <w:link w:val="Footer"/>
    <w:uiPriority w:val="99"/>
    <w:rsid w:val="009C507C"/>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A742BA"/>
    <w:rPr>
      <w:rFonts w:asciiTheme="majorHAnsi" w:eastAsiaTheme="majorEastAsia" w:hAnsiTheme="majorHAnsi" w:cstheme="majorBidi"/>
      <w:b/>
      <w:bCs/>
      <w:color w:val="5B9BD5" w:themeColor="accent1"/>
      <w:sz w:val="24"/>
      <w:szCs w:val="24"/>
    </w:rPr>
  </w:style>
  <w:style w:type="character" w:customStyle="1" w:styleId="Heading4Char">
    <w:name w:val="Heading 4 Char"/>
    <w:basedOn w:val="DefaultParagraphFont"/>
    <w:link w:val="Heading4"/>
    <w:uiPriority w:val="9"/>
    <w:semiHidden/>
    <w:rsid w:val="00A742BA"/>
    <w:rPr>
      <w:rFonts w:asciiTheme="majorHAnsi" w:eastAsiaTheme="majorEastAsia" w:hAnsiTheme="majorHAnsi" w:cstheme="majorBidi"/>
      <w:b/>
      <w:bCs/>
      <w:i/>
      <w:iCs/>
      <w:color w:val="5B9BD5" w:themeColor="accent1"/>
      <w:sz w:val="24"/>
      <w:szCs w:val="24"/>
    </w:rPr>
  </w:style>
  <w:style w:type="character" w:customStyle="1" w:styleId="Heading5Char">
    <w:name w:val="Heading 5 Char"/>
    <w:basedOn w:val="DefaultParagraphFont"/>
    <w:link w:val="Heading5"/>
    <w:uiPriority w:val="9"/>
    <w:rsid w:val="00A742BA"/>
    <w:rPr>
      <w:rFonts w:ascii="Times New Roman" w:eastAsia="Times New Roman" w:hAnsi="Times New Roman" w:cs="Times New Roman"/>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75778">
      <w:bodyDiv w:val="1"/>
      <w:marLeft w:val="0"/>
      <w:marRight w:val="0"/>
      <w:marTop w:val="0"/>
      <w:marBottom w:val="0"/>
      <w:divBdr>
        <w:top w:val="none" w:sz="0" w:space="0" w:color="auto"/>
        <w:left w:val="none" w:sz="0" w:space="0" w:color="auto"/>
        <w:bottom w:val="none" w:sz="0" w:space="0" w:color="auto"/>
        <w:right w:val="none" w:sz="0" w:space="0" w:color="auto"/>
      </w:divBdr>
      <w:divsChild>
        <w:div w:id="1845782079">
          <w:marLeft w:val="0"/>
          <w:marRight w:val="0"/>
          <w:marTop w:val="0"/>
          <w:marBottom w:val="0"/>
          <w:divBdr>
            <w:top w:val="none" w:sz="0" w:space="0" w:color="auto"/>
            <w:left w:val="none" w:sz="0" w:space="0" w:color="auto"/>
            <w:bottom w:val="none" w:sz="0" w:space="0" w:color="auto"/>
            <w:right w:val="none" w:sz="0" w:space="0" w:color="auto"/>
          </w:divBdr>
        </w:div>
        <w:div w:id="861209665">
          <w:marLeft w:val="0"/>
          <w:marRight w:val="0"/>
          <w:marTop w:val="0"/>
          <w:marBottom w:val="0"/>
          <w:divBdr>
            <w:top w:val="none" w:sz="0" w:space="0" w:color="auto"/>
            <w:left w:val="none" w:sz="0" w:space="0" w:color="auto"/>
            <w:bottom w:val="none" w:sz="0" w:space="0" w:color="auto"/>
            <w:right w:val="none" w:sz="0" w:space="0" w:color="auto"/>
          </w:divBdr>
        </w:div>
        <w:div w:id="795873368">
          <w:marLeft w:val="0"/>
          <w:marRight w:val="0"/>
          <w:marTop w:val="0"/>
          <w:marBottom w:val="0"/>
          <w:divBdr>
            <w:top w:val="none" w:sz="0" w:space="0" w:color="auto"/>
            <w:left w:val="none" w:sz="0" w:space="0" w:color="auto"/>
            <w:bottom w:val="none" w:sz="0" w:space="0" w:color="auto"/>
            <w:right w:val="none" w:sz="0" w:space="0" w:color="auto"/>
          </w:divBdr>
        </w:div>
        <w:div w:id="522672343">
          <w:marLeft w:val="0"/>
          <w:marRight w:val="0"/>
          <w:marTop w:val="0"/>
          <w:marBottom w:val="0"/>
          <w:divBdr>
            <w:top w:val="none" w:sz="0" w:space="0" w:color="auto"/>
            <w:left w:val="none" w:sz="0" w:space="0" w:color="auto"/>
            <w:bottom w:val="none" w:sz="0" w:space="0" w:color="auto"/>
            <w:right w:val="none" w:sz="0" w:space="0" w:color="auto"/>
          </w:divBdr>
        </w:div>
        <w:div w:id="1551845181">
          <w:marLeft w:val="0"/>
          <w:marRight w:val="0"/>
          <w:marTop w:val="0"/>
          <w:marBottom w:val="0"/>
          <w:divBdr>
            <w:top w:val="none" w:sz="0" w:space="0" w:color="auto"/>
            <w:left w:val="none" w:sz="0" w:space="0" w:color="auto"/>
            <w:bottom w:val="none" w:sz="0" w:space="0" w:color="auto"/>
            <w:right w:val="none" w:sz="0" w:space="0" w:color="auto"/>
          </w:divBdr>
        </w:div>
        <w:div w:id="2092121779">
          <w:marLeft w:val="0"/>
          <w:marRight w:val="0"/>
          <w:marTop w:val="0"/>
          <w:marBottom w:val="0"/>
          <w:divBdr>
            <w:top w:val="none" w:sz="0" w:space="0" w:color="auto"/>
            <w:left w:val="none" w:sz="0" w:space="0" w:color="auto"/>
            <w:bottom w:val="none" w:sz="0" w:space="0" w:color="auto"/>
            <w:right w:val="none" w:sz="0" w:space="0" w:color="auto"/>
          </w:divBdr>
        </w:div>
        <w:div w:id="1782259588">
          <w:marLeft w:val="0"/>
          <w:marRight w:val="0"/>
          <w:marTop w:val="0"/>
          <w:marBottom w:val="0"/>
          <w:divBdr>
            <w:top w:val="none" w:sz="0" w:space="0" w:color="auto"/>
            <w:left w:val="none" w:sz="0" w:space="0" w:color="auto"/>
            <w:bottom w:val="none" w:sz="0" w:space="0" w:color="auto"/>
            <w:right w:val="none" w:sz="0" w:space="0" w:color="auto"/>
          </w:divBdr>
        </w:div>
        <w:div w:id="258635735">
          <w:marLeft w:val="0"/>
          <w:marRight w:val="0"/>
          <w:marTop w:val="0"/>
          <w:marBottom w:val="0"/>
          <w:divBdr>
            <w:top w:val="none" w:sz="0" w:space="0" w:color="auto"/>
            <w:left w:val="none" w:sz="0" w:space="0" w:color="auto"/>
            <w:bottom w:val="none" w:sz="0" w:space="0" w:color="auto"/>
            <w:right w:val="none" w:sz="0" w:space="0" w:color="auto"/>
          </w:divBdr>
        </w:div>
      </w:divsChild>
    </w:div>
    <w:div w:id="11020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jpg@01D0F7A8.B0A3B6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BA237-D7A5-4FBF-AFE7-C8037653D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1956</Words>
  <Characters>10994</Characters>
  <Application>Microsoft Office Word</Application>
  <DocSecurity>0</DocSecurity>
  <Lines>215</Lines>
  <Paragraphs>89</Paragraphs>
  <ScaleCrop>false</ScaleCrop>
  <Company/>
  <LinksUpToDate>false</LinksUpToDate>
  <CharactersWithSpaces>12861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Queensland University of Technology - Capability review of ASIC</dc:title>
  <dc:creator/>
  <cp:lastModifiedBy/>
  <cp:revision>1</cp:revision>
  <dcterms:created xsi:type="dcterms:W3CDTF">2015-11-25T02:55:00Z</dcterms:created>
  <dcterms:modified xsi:type="dcterms:W3CDTF">2015-11-25T02:55:00Z</dcterms:modified>
  <dc:language>English</dc:language>
</cp:coreProperties>
</file>