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B0" w:rsidRDefault="00876C98" w:rsidP="00BE26B0">
      <w:pPr>
        <w:pStyle w:val="CoverTitleSub"/>
        <w:spacing w:before="3600"/>
        <w:ind w:left="-1400" w:right="-1418"/>
      </w:pPr>
      <w:r>
        <w:pict>
          <v:shapetype id="_x0000_t202" coordsize="21600,21600" o:spt="202" path="m,l,21600r21600,l21600,xe">
            <v:stroke joinstyle="miter"/>
            <v:path gradientshapeok="t" o:connecttype="rect"/>
          </v:shapetype>
          <v:shape id="Text Box 2" o:spid="_x0000_s1028" type="#_x0000_t202" style="width:595.3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" fillcolor="#342e82" stroked="f">
            <v:fill color2="#18153c" rotate="t" focus="100%" type="gradient"/>
            <v:textbox inset=",,25mm">
              <w:txbxContent>
                <w:p w:rsidR="008108D3" w:rsidRPr="00AF6555" w:rsidRDefault="008108D3" w:rsidP="00BE26B0">
                  <w:pPr>
                    <w:pStyle w:val="CoverTitleMain"/>
                    <w:spacing w:before="600"/>
                  </w:pPr>
                  <w:r>
                    <w:t>Taxing trust income – options for reform</w:t>
                  </w:r>
                </w:p>
              </w:txbxContent>
            </v:textbox>
            <w10:wrap type="none"/>
            <w10:anchorlock/>
          </v:shape>
        </w:pict>
      </w:r>
    </w:p>
    <w:p w:rsidR="00BE26B0" w:rsidRDefault="00BE26B0" w:rsidP="00BE26B0">
      <w:pPr>
        <w:pStyle w:val="CoverTitleSub"/>
      </w:pPr>
      <w:r>
        <w:rPr>
          <w:rFonts w:cs="Calibri"/>
        </w:rPr>
        <w:t xml:space="preserve">Policy </w:t>
      </w:r>
      <w:r w:rsidR="00BC118D">
        <w:rPr>
          <w:rFonts w:cs="Calibri"/>
        </w:rPr>
        <w:t>options</w:t>
      </w:r>
      <w:r>
        <w:rPr>
          <w:rFonts w:cs="Calibri"/>
        </w:rPr>
        <w:t xml:space="preserve"> paper</w:t>
      </w:r>
      <w:r>
        <w:rPr>
          <w:rFonts w:cs="Calibri"/>
        </w:rPr>
        <w:br/>
      </w:r>
      <w:r>
        <w:rPr>
          <w:szCs w:val="28"/>
        </w:rPr>
        <w:t>October 2012</w:t>
      </w:r>
    </w:p>
    <w:p w:rsidR="00BE26B0" w:rsidRDefault="00C641A6" w:rsidP="00BE26B0">
      <w:pPr>
        <w:rPr>
          <w:rFonts w:cs="Calibri"/>
          <w:sz w:val="20"/>
        </w:rPr>
      </w:pPr>
      <w:r>
        <w:rPr>
          <w:rFonts w:cs="Calibri"/>
          <w:sz w:val="20"/>
        </w:rPr>
        <w:t>`</w:t>
      </w:r>
    </w:p>
    <w:p w:rsidR="00BE26B0" w:rsidRDefault="00BE26B0" w:rsidP="00BE26B0">
      <w:pPr>
        <w:sectPr w:rsidR="00BE26B0">
          <w:pgSz w:w="11906" w:h="16838"/>
          <w:pgMar w:top="1418" w:right="1418" w:bottom="1418" w:left="1418" w:header="709" w:footer="709" w:gutter="0"/>
          <w:cols w:space="720"/>
        </w:sectPr>
      </w:pPr>
    </w:p>
    <w:p w:rsidR="00BE26B0" w:rsidRDefault="00BE26B0" w:rsidP="00BE26B0">
      <w:r w:rsidRPr="00661BF0">
        <w:lastRenderedPageBreak/>
        <w:t>© Commonwealth of Austr</w:t>
      </w:r>
      <w:r w:rsidRPr="00E6404B">
        <w:t>alia 2012</w:t>
      </w:r>
    </w:p>
    <w:p w:rsidR="00BE26B0" w:rsidRPr="00464A16" w:rsidRDefault="00BE26B0" w:rsidP="00BE26B0">
      <w:r w:rsidRPr="00464A16">
        <w:t xml:space="preserve">ISBN </w:t>
      </w:r>
      <w:r w:rsidRPr="0088042C">
        <w:t>978-0-642-74846-1</w:t>
      </w:r>
    </w:p>
    <w:p w:rsidR="00BE26B0" w:rsidRPr="00086F82" w:rsidRDefault="00BE26B0" w:rsidP="00BE26B0">
      <w:pPr>
        <w:tabs>
          <w:tab w:val="left" w:pos="1650"/>
        </w:tabs>
        <w:spacing w:before="100" w:beforeAutospacing="1" w:after="100" w:afterAutospacing="1"/>
        <w:rPr>
          <w:rStyle w:val="A5"/>
          <w:sz w:val="24"/>
          <w:szCs w:val="24"/>
        </w:rPr>
      </w:pPr>
      <w:r w:rsidRPr="002F1BC2">
        <w:t>This publication is available for your use under a</w:t>
      </w:r>
      <w:r w:rsidRPr="00476F09">
        <w:rPr>
          <w:rStyle w:val="A5"/>
          <w:rFonts w:cs="Calibri"/>
          <w:sz w:val="24"/>
          <w:szCs w:val="24"/>
        </w:rPr>
        <w:t xml:space="preserve"> </w:t>
      </w:r>
      <w:hyperlink r:id="rId14" w:history="1">
        <w:r w:rsidRPr="006627B4">
          <w:rPr>
            <w:rStyle w:val="Hyperlink"/>
          </w:rPr>
          <w:t>Creative Commons Attribution 3.0 Australia</w:t>
        </w:r>
      </w:hyperlink>
      <w:r w:rsidRPr="00476F09">
        <w:rPr>
          <w:rStyle w:val="A5"/>
          <w:rFonts w:cs="Calibr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Style w:val="A5"/>
          <w:rFonts w:cs="Calibri"/>
          <w:sz w:val="24"/>
          <w:szCs w:val="24"/>
        </w:rPr>
        <w:t xml:space="preserve"> </w:t>
      </w:r>
      <w:hyperlink r:id="rId15" w:history="1">
        <w:r w:rsidRPr="006627B4">
          <w:rPr>
            <w:rStyle w:val="Hyperlink"/>
          </w:rPr>
          <w:t>http://creativecommons.org/licenses/by/3.0/au/legalcode</w:t>
        </w:r>
      </w:hyperlink>
      <w:r w:rsidRPr="006627B4">
        <w:rPr>
          <w:rStyle w:val="Hyperlink"/>
        </w:rPr>
        <w:t>.</w:t>
      </w:r>
    </w:p>
    <w:p w:rsidR="00BE26B0" w:rsidRDefault="00876C98" w:rsidP="00BE26B0">
      <w:pPr>
        <w:tabs>
          <w:tab w:val="left" w:pos="1650"/>
        </w:tabs>
        <w:spacing w:before="100" w:beforeAutospacing="1" w:after="100" w:afterAutospacing="1" w:line="240" w:lineRule="auto"/>
        <w:rPr>
          <w:rFonts w:cs="Calibri"/>
          <w:sz w:val="24"/>
          <w:szCs w:val="24"/>
        </w:rPr>
      </w:pPr>
      <w:r>
        <w:rPr>
          <w:rFonts w:cs="Calibr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escription: CC by_grey" style="width:63.65pt;height:22.6pt;visibility:visible;mso-wrap-style:square">
            <v:imagedata r:id="rId16" o:title="CC by_grey"/>
          </v:shape>
        </w:pict>
      </w:r>
    </w:p>
    <w:p w:rsidR="00BE26B0" w:rsidRPr="006627B4" w:rsidRDefault="00BE26B0" w:rsidP="00BE26B0">
      <w:pPr>
        <w:tabs>
          <w:tab w:val="left" w:pos="1650"/>
        </w:tabs>
        <w:spacing w:before="100" w:beforeAutospacing="1" w:after="100" w:afterAutospacing="1"/>
      </w:pPr>
      <w:r w:rsidRPr="006627B4">
        <w:t>Use of Treasury material under a</w:t>
      </w:r>
      <w:r w:rsidRPr="00476F09">
        <w:rPr>
          <w:rFonts w:cs="Calibr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the Treasury endorses you or your use of the work). </w:t>
      </w:r>
    </w:p>
    <w:p w:rsidR="00BE26B0" w:rsidRPr="002F1BC2" w:rsidRDefault="00BE26B0" w:rsidP="00BE26B0">
      <w:pPr>
        <w:rPr>
          <w:i/>
        </w:rPr>
      </w:pPr>
      <w:r>
        <w:rPr>
          <w:i/>
        </w:rPr>
        <w:t>Treasury material used ‘as supplied’.</w:t>
      </w:r>
    </w:p>
    <w:p w:rsidR="00BE26B0" w:rsidRPr="00476F09" w:rsidRDefault="00BE26B0" w:rsidP="00BE26B0">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rsidR="00BE26B0" w:rsidRPr="00A13A11" w:rsidRDefault="00BE26B0" w:rsidP="00BE26B0">
      <w:pPr>
        <w:ind w:firstLine="720"/>
      </w:pPr>
      <w:r w:rsidRPr="002F1BC2">
        <w:rPr>
          <w:i/>
        </w:rPr>
        <w:t xml:space="preserve">Source: The </w:t>
      </w:r>
      <w:r w:rsidRPr="002F1BC2">
        <w:rPr>
          <w:i/>
          <w:iCs/>
        </w:rPr>
        <w:t>Aus</w:t>
      </w:r>
      <w:r>
        <w:rPr>
          <w:i/>
          <w:iCs/>
        </w:rPr>
        <w:t>tralian Government the Treasury</w:t>
      </w:r>
    </w:p>
    <w:p w:rsidR="00BE26B0" w:rsidRPr="006627B4" w:rsidRDefault="00BE26B0" w:rsidP="00BE26B0">
      <w:r w:rsidRPr="006627B4">
        <w:t>Derivative material</w:t>
      </w:r>
    </w:p>
    <w:p w:rsidR="00BE26B0" w:rsidRPr="006627B4" w:rsidRDefault="00BE26B0" w:rsidP="00BE26B0">
      <w:r w:rsidRPr="006627B4">
        <w:t>If you have modified or transformed Treasury material, or derived new material from those of the Treasury in any way, then Treasury pre</w:t>
      </w:r>
      <w:r>
        <w:t>fers the following attribution:</w:t>
      </w:r>
    </w:p>
    <w:p w:rsidR="00BE26B0" w:rsidRPr="006627B4" w:rsidRDefault="00BE26B0" w:rsidP="00BE26B0">
      <w:pPr>
        <w:ind w:firstLine="720"/>
      </w:pPr>
      <w:r w:rsidRPr="002F1BC2">
        <w:rPr>
          <w:i/>
        </w:rPr>
        <w:t>Based on The Australian Government the Treasury data</w:t>
      </w:r>
    </w:p>
    <w:p w:rsidR="00BE26B0" w:rsidRPr="006627B4" w:rsidRDefault="00BE26B0" w:rsidP="00BE26B0">
      <w:pPr>
        <w:spacing w:after="40"/>
        <w:rPr>
          <w:b/>
        </w:rPr>
      </w:pPr>
      <w:r w:rsidRPr="006627B4">
        <w:rPr>
          <w:b/>
        </w:rPr>
        <w:t>Use of the Coat of Arms</w:t>
      </w:r>
    </w:p>
    <w:p w:rsidR="00BE26B0" w:rsidRPr="006627B4" w:rsidRDefault="00BE26B0" w:rsidP="00BE26B0">
      <w:r w:rsidRPr="006627B4">
        <w:t xml:space="preserve">The terms under which the Coat of Arms can be used are set out on the It’s an Honour website (see </w:t>
      </w:r>
      <w:hyperlink r:id="rId18" w:history="1">
        <w:r w:rsidRPr="006627B4">
          <w:t>www.itsanhonour.gov.au</w:t>
        </w:r>
      </w:hyperlink>
      <w:r w:rsidRPr="006627B4">
        <w:t>)</w:t>
      </w:r>
      <w:r>
        <w:t>.</w:t>
      </w:r>
    </w:p>
    <w:p w:rsidR="00BE26B0" w:rsidRPr="006627B4" w:rsidRDefault="00BE26B0" w:rsidP="00BE26B0">
      <w:pPr>
        <w:spacing w:after="40"/>
        <w:rPr>
          <w:b/>
        </w:rPr>
      </w:pPr>
      <w:r w:rsidRPr="006627B4">
        <w:rPr>
          <w:b/>
        </w:rPr>
        <w:t>Other Uses</w:t>
      </w:r>
    </w:p>
    <w:p w:rsidR="00BE26B0" w:rsidRPr="006627B4" w:rsidRDefault="00BE26B0" w:rsidP="00BE26B0">
      <w:r w:rsidRPr="006627B4">
        <w:t>Inquiries regarding this licence and any other use of this document are welcome at:</w:t>
      </w:r>
    </w:p>
    <w:p w:rsidR="00BE26B0" w:rsidRPr="006627B4" w:rsidRDefault="00BE26B0" w:rsidP="00BE26B0">
      <w:pPr>
        <w:spacing w:after="0"/>
        <w:ind w:left="720"/>
      </w:pPr>
      <w:r w:rsidRPr="006627B4">
        <w:t>Manager</w:t>
      </w:r>
    </w:p>
    <w:p w:rsidR="00BE26B0" w:rsidRPr="006627B4" w:rsidRDefault="00BE26B0" w:rsidP="00BE26B0">
      <w:pPr>
        <w:spacing w:after="0"/>
        <w:ind w:left="720"/>
      </w:pPr>
      <w:r w:rsidRPr="006627B4">
        <w:t xml:space="preserve">Communications </w:t>
      </w:r>
    </w:p>
    <w:p w:rsidR="00BE26B0" w:rsidRPr="006627B4" w:rsidRDefault="00BE26B0" w:rsidP="00BE26B0">
      <w:pPr>
        <w:spacing w:after="0"/>
        <w:ind w:left="720"/>
      </w:pPr>
      <w:r w:rsidRPr="006627B4">
        <w:t>The Treasury</w:t>
      </w:r>
    </w:p>
    <w:p w:rsidR="00BE26B0" w:rsidRPr="006627B4" w:rsidRDefault="00BE26B0" w:rsidP="00BE26B0">
      <w:pPr>
        <w:spacing w:after="0"/>
        <w:ind w:left="720"/>
      </w:pPr>
      <w:r w:rsidRPr="006627B4">
        <w:t>Langton Crescent Parkes</w:t>
      </w:r>
      <w:r>
        <w:t>  </w:t>
      </w:r>
      <w:r w:rsidRPr="006627B4">
        <w:t>ACT</w:t>
      </w:r>
      <w:r>
        <w:t>  </w:t>
      </w:r>
      <w:r w:rsidRPr="006627B4">
        <w:t>2600</w:t>
      </w:r>
    </w:p>
    <w:p w:rsidR="00BE26B0" w:rsidRPr="002F1BC2" w:rsidRDefault="00BE26B0" w:rsidP="00BE26B0">
      <w:pPr>
        <w:spacing w:after="0"/>
        <w:ind w:left="720"/>
        <w:rPr>
          <w:rStyle w:val="Hyperlink"/>
        </w:rPr>
      </w:pPr>
      <w:r w:rsidRPr="006627B4">
        <w:t xml:space="preserve">Email: </w:t>
      </w:r>
      <w:hyperlink r:id="rId19" w:history="1">
        <w:r w:rsidRPr="00B31CFB">
          <w:rPr>
            <w:rStyle w:val="Hyperlink"/>
          </w:rPr>
          <w:t>medialiaison@treasury.gov.au</w:t>
        </w:r>
      </w:hyperlink>
    </w:p>
    <w:p w:rsidR="00BE26B0" w:rsidRDefault="00BE26B0" w:rsidP="00BE26B0">
      <w:pPr>
        <w:rPr>
          <w:rFonts w:cs="Arial"/>
        </w:rPr>
      </w:pPr>
    </w:p>
    <w:p w:rsidR="00BE26B0" w:rsidRDefault="00BE26B0" w:rsidP="00BE26B0">
      <w:pPr>
        <w:sectPr w:rsidR="00BE26B0">
          <w:pgSz w:w="11906" w:h="16838"/>
          <w:pgMar w:top="1418" w:right="1418" w:bottom="1418" w:left="1418" w:header="709" w:footer="709" w:gutter="0"/>
          <w:cols w:space="720"/>
        </w:sectPr>
      </w:pPr>
    </w:p>
    <w:p w:rsidR="00BE26B0" w:rsidRDefault="00BE26B0" w:rsidP="00BE26B0">
      <w:pPr>
        <w:pStyle w:val="Heading2NotNumbered"/>
        <w:rPr>
          <w:rFonts w:cs="Calibri"/>
          <w:caps/>
        </w:rPr>
      </w:pPr>
      <w:r>
        <w:rPr>
          <w:rFonts w:cs="Calibri"/>
        </w:rPr>
        <w:lastRenderedPageBreak/>
        <w:t>Consultation Process</w:t>
      </w:r>
    </w:p>
    <w:p w:rsidR="00BE26B0" w:rsidRDefault="00BE26B0" w:rsidP="00BE26B0">
      <w:pPr>
        <w:pStyle w:val="Heading4"/>
      </w:pPr>
      <w:r>
        <w:rPr>
          <w:rFonts w:cs="Calibri"/>
          <w:bCs w:val="0"/>
        </w:rPr>
        <w:t>Request for feedback and comments</w:t>
      </w:r>
    </w:p>
    <w:p w:rsidR="00BE26B0" w:rsidRPr="00B10AFA" w:rsidRDefault="00BE26B0" w:rsidP="00BE26B0">
      <w:pPr>
        <w:rPr>
          <w:rFonts w:cs="Arial"/>
        </w:rPr>
      </w:pPr>
      <w:r w:rsidRPr="00B10AFA">
        <w:rPr>
          <w:rFonts w:cs="Arial"/>
        </w:rPr>
        <w:t xml:space="preserve">The Government seeks your feedback and comments on the issues outlined in this </w:t>
      </w:r>
      <w:r>
        <w:rPr>
          <w:rFonts w:cs="Arial"/>
        </w:rPr>
        <w:t xml:space="preserve">policy </w:t>
      </w:r>
      <w:r w:rsidR="0037492D">
        <w:rPr>
          <w:rFonts w:cs="Arial"/>
        </w:rPr>
        <w:t>options</w:t>
      </w:r>
      <w:r>
        <w:rPr>
          <w:rFonts w:cs="Arial"/>
        </w:rPr>
        <w:t xml:space="preserve"> </w:t>
      </w:r>
      <w:r w:rsidRPr="00B10AFA">
        <w:rPr>
          <w:rFonts w:cs="Arial"/>
        </w:rPr>
        <w:t>paper</w:t>
      </w:r>
      <w:r>
        <w:rPr>
          <w:rFonts w:cs="Arial"/>
        </w:rPr>
        <w:t xml:space="preserve">. </w:t>
      </w:r>
      <w:r w:rsidRPr="00B10AFA">
        <w:rPr>
          <w:rFonts w:cs="Arial"/>
        </w:rPr>
        <w:t>The information obtained through this process will inform the Government’s approach on the way forward and also assist in meeting the requirements of the Office of Best Practice Regulation.</w:t>
      </w:r>
    </w:p>
    <w:p w:rsidR="00BE26B0" w:rsidRPr="00B10AFA" w:rsidRDefault="00BE26B0" w:rsidP="00BE26B0">
      <w:pPr>
        <w:rPr>
          <w:rFonts w:cs="Arial"/>
        </w:rPr>
      </w:pPr>
      <w:r w:rsidRPr="00B10AFA">
        <w:rPr>
          <w:rFonts w:cs="Arial"/>
        </w:rPr>
        <w:t>While submissions may be lodged electronically or by post, electronic lodgement is preferred. For accessibility reasons, please email responses in a Word or RTF format. An additional PDF version may also be submitted.</w:t>
      </w:r>
    </w:p>
    <w:p w:rsidR="00BE26B0" w:rsidRDefault="00BE26B0" w:rsidP="00BE26B0">
      <w:pPr>
        <w:rPr>
          <w:rFonts w:cs="Arial"/>
        </w:rPr>
      </w:pPr>
      <w:r w:rsidRPr="00B10AFA">
        <w:rPr>
          <w:rFonts w:cs="Arial"/>
        </w:rPr>
        <w:t>All information (including name and address details) contained in submissions will be made available to the public on the Treasury website, unless you indicate that you would like all or part of your submission to remain in confidence</w:t>
      </w:r>
      <w:r>
        <w:rPr>
          <w:rFonts w:cs="Arial"/>
        </w:rPr>
        <w:t xml:space="preserve">. </w:t>
      </w:r>
      <w:r w:rsidRPr="00B10AFA">
        <w:rPr>
          <w:rFonts w:cs="Arial"/>
        </w:rPr>
        <w:t>Automatically generated confidentiality statements in emails do not suffice for this purpose</w:t>
      </w:r>
      <w:r>
        <w:rPr>
          <w:rFonts w:cs="Arial"/>
        </w:rPr>
        <w:t xml:space="preserve">. </w:t>
      </w:r>
      <w:r w:rsidRPr="00B10AFA">
        <w:rPr>
          <w:rFonts w:cs="Arial"/>
        </w:rPr>
        <w:t>Respondents who would like part of their submission to remain in confidence should provide this information marked as such in a separate attachment</w:t>
      </w:r>
      <w:r>
        <w:rPr>
          <w:rFonts w:cs="Arial"/>
        </w:rPr>
        <w:t xml:space="preserve">. </w:t>
      </w:r>
      <w:r w:rsidRPr="00B10AFA">
        <w:rPr>
          <w:rFonts w:cs="Arial"/>
        </w:rPr>
        <w:t xml:space="preserve">A request made under the </w:t>
      </w:r>
      <w:r w:rsidRPr="00B10AFA">
        <w:rPr>
          <w:rFonts w:cs="Arial"/>
          <w:i/>
        </w:rPr>
        <w:t>Freedom of Information Act 1982</w:t>
      </w:r>
      <w:r w:rsidRPr="00B10AFA">
        <w:rPr>
          <w:rFonts w:cs="Arial"/>
        </w:rPr>
        <w:t xml:space="preserve"> (Commonwealth) for a submission marked ‘confidential’ to be made available will be determined in accordance with that Act.</w:t>
      </w:r>
    </w:p>
    <w:p w:rsidR="00BE26B0" w:rsidRDefault="00BE26B0" w:rsidP="00BE26B0">
      <w:pPr>
        <w:pStyle w:val="Heading4"/>
      </w:pPr>
      <w:r>
        <w:rPr>
          <w:rFonts w:cs="Calibri"/>
          <w:bCs w:val="0"/>
        </w:rPr>
        <w:t>Closing date for submissions</w:t>
      </w:r>
      <w:r w:rsidR="006E754D">
        <w:rPr>
          <w:rFonts w:cs="Calibri"/>
          <w:bCs w:val="0"/>
        </w:rPr>
        <w:t xml:space="preserve">: </w:t>
      </w:r>
      <w:r w:rsidR="00876C98">
        <w:rPr>
          <w:rFonts w:cs="Calibri"/>
          <w:bCs w:val="0"/>
        </w:rPr>
        <w:t>5</w:t>
      </w:r>
      <w:bookmarkStart w:id="0" w:name="_GoBack"/>
      <w:bookmarkEnd w:id="0"/>
      <w:r w:rsidR="00607FDB">
        <w:rPr>
          <w:rFonts w:cs="Calibri"/>
          <w:bCs w:val="0"/>
        </w:rPr>
        <w:t xml:space="preserve"> Dec</w:t>
      </w:r>
      <w:r w:rsidR="006E754D">
        <w:t>ember</w:t>
      </w:r>
      <w:r>
        <w:t xml:space="preserve"> 2012</w:t>
      </w:r>
    </w:p>
    <w:tbl>
      <w:tblPr>
        <w:tblW w:w="0" w:type="auto"/>
        <w:tblLook w:val="01E0" w:firstRow="1" w:lastRow="1" w:firstColumn="1" w:lastColumn="1" w:noHBand="0" w:noVBand="0"/>
      </w:tblPr>
      <w:tblGrid>
        <w:gridCol w:w="1668"/>
        <w:gridCol w:w="7618"/>
      </w:tblGrid>
      <w:tr w:rsidR="00BE26B0" w:rsidRPr="00E03946" w:rsidTr="00BE26B0">
        <w:tc>
          <w:tcPr>
            <w:tcW w:w="1668" w:type="dxa"/>
          </w:tcPr>
          <w:p w:rsidR="00BE26B0" w:rsidRPr="00E03946" w:rsidRDefault="00BE26B0" w:rsidP="00BE26B0">
            <w:pPr>
              <w:pStyle w:val="SingleParagraph"/>
              <w:rPr>
                <w:rFonts w:cs="Arial"/>
              </w:rPr>
            </w:pPr>
            <w:bookmarkStart w:id="1" w:name="OLE_LINK5" w:colFirst="0" w:colLast="0"/>
            <w:bookmarkStart w:id="2" w:name="OLE_LINK6" w:colFirst="0" w:colLast="0"/>
            <w:r w:rsidRPr="00E03946">
              <w:rPr>
                <w:rFonts w:cs="Arial"/>
              </w:rPr>
              <w:t xml:space="preserve">Email: </w:t>
            </w:r>
          </w:p>
        </w:tc>
        <w:tc>
          <w:tcPr>
            <w:tcW w:w="7618" w:type="dxa"/>
          </w:tcPr>
          <w:p w:rsidR="00BE26B0" w:rsidRDefault="00BE26B0" w:rsidP="00BE26B0">
            <w:pPr>
              <w:rPr>
                <w:rFonts w:cs="Arial"/>
              </w:rPr>
            </w:pPr>
            <w:r w:rsidRPr="00E03946">
              <w:rPr>
                <w:rFonts w:cs="Arial"/>
              </w:rPr>
              <w:t>trust_rewrite@treasury.gov.au</w:t>
            </w:r>
          </w:p>
        </w:tc>
      </w:tr>
      <w:bookmarkEnd w:id="1"/>
      <w:bookmarkEnd w:id="2"/>
      <w:tr w:rsidR="00BE26B0" w:rsidRPr="00E03946" w:rsidTr="00BE26B0">
        <w:tc>
          <w:tcPr>
            <w:tcW w:w="1668" w:type="dxa"/>
          </w:tcPr>
          <w:p w:rsidR="00BE26B0" w:rsidRPr="00E03946" w:rsidRDefault="00BE26B0" w:rsidP="00BE26B0">
            <w:pPr>
              <w:pStyle w:val="SingleParagraph"/>
              <w:rPr>
                <w:rFonts w:cs="Arial"/>
              </w:rPr>
            </w:pPr>
            <w:r w:rsidRPr="00E03946">
              <w:rPr>
                <w:rFonts w:cs="Arial"/>
              </w:rPr>
              <w:t>Mail:</w:t>
            </w:r>
          </w:p>
        </w:tc>
        <w:tc>
          <w:tcPr>
            <w:tcW w:w="7618" w:type="dxa"/>
          </w:tcPr>
          <w:p w:rsidR="00BE26B0" w:rsidRDefault="00BE26B0" w:rsidP="00BE26B0">
            <w:pPr>
              <w:pStyle w:val="SingleParagraph"/>
              <w:rPr>
                <w:rFonts w:cs="Arial"/>
              </w:rPr>
            </w:pPr>
            <w:r w:rsidRPr="00E03946">
              <w:rPr>
                <w:rFonts w:cs="Arial"/>
              </w:rPr>
              <w:t>General Manager</w:t>
            </w:r>
          </w:p>
          <w:p w:rsidR="00BE26B0" w:rsidRPr="00E03946" w:rsidRDefault="00BE26B0" w:rsidP="00BE26B0">
            <w:pPr>
              <w:pStyle w:val="SingleParagraph"/>
              <w:rPr>
                <w:rFonts w:cs="Arial"/>
              </w:rPr>
            </w:pPr>
            <w:r>
              <w:rPr>
                <w:rFonts w:cs="Arial"/>
              </w:rPr>
              <w:t xml:space="preserve">Small </w:t>
            </w:r>
            <w:r w:rsidRPr="00E03946">
              <w:rPr>
                <w:rFonts w:cs="Arial"/>
              </w:rPr>
              <w:t>Business Tax Division</w:t>
            </w:r>
          </w:p>
          <w:p w:rsidR="00BE26B0" w:rsidRPr="00E03946" w:rsidRDefault="00BE26B0" w:rsidP="00BE26B0">
            <w:pPr>
              <w:pStyle w:val="SingleParagraph"/>
              <w:rPr>
                <w:rFonts w:cs="Arial"/>
              </w:rPr>
            </w:pPr>
            <w:r w:rsidRPr="00E03946">
              <w:rPr>
                <w:rFonts w:cs="Arial"/>
              </w:rPr>
              <w:t>The Treasury</w:t>
            </w:r>
          </w:p>
          <w:p w:rsidR="00BE26B0" w:rsidRPr="00E03946" w:rsidRDefault="00BE26B0" w:rsidP="00BE26B0">
            <w:pPr>
              <w:pStyle w:val="SingleParagraph"/>
              <w:rPr>
                <w:rFonts w:cs="Arial"/>
              </w:rPr>
            </w:pPr>
            <w:r w:rsidRPr="00E03946">
              <w:rPr>
                <w:rFonts w:cs="Arial"/>
              </w:rPr>
              <w:t>Langton Crescent</w:t>
            </w:r>
          </w:p>
          <w:p w:rsidR="00BE26B0" w:rsidRDefault="00BE26B0" w:rsidP="00BE26B0">
            <w:pPr>
              <w:rPr>
                <w:rFonts w:cs="Arial"/>
              </w:rPr>
            </w:pPr>
            <w:r w:rsidRPr="00E03946">
              <w:rPr>
                <w:rFonts w:cs="Arial"/>
              </w:rPr>
              <w:t>PARKES ACT 2600</w:t>
            </w:r>
          </w:p>
        </w:tc>
      </w:tr>
      <w:tr w:rsidR="00BE26B0" w:rsidRPr="00E03946" w:rsidTr="00BE26B0">
        <w:tc>
          <w:tcPr>
            <w:tcW w:w="1668" w:type="dxa"/>
          </w:tcPr>
          <w:p w:rsidR="00BE26B0" w:rsidRPr="00E03946" w:rsidRDefault="00BE26B0" w:rsidP="00BE26B0">
            <w:pPr>
              <w:pStyle w:val="SingleParagraph"/>
              <w:rPr>
                <w:rFonts w:cs="Arial"/>
              </w:rPr>
            </w:pPr>
            <w:r w:rsidRPr="00E03946">
              <w:rPr>
                <w:rFonts w:cs="Arial"/>
              </w:rPr>
              <w:t>Enq</w:t>
            </w:r>
            <w:r w:rsidRPr="00E03946">
              <w:rPr>
                <w:rStyle w:val="SingleParagraphChar"/>
                <w:rFonts w:cs="Arial"/>
              </w:rPr>
              <w:t>u</w:t>
            </w:r>
            <w:r w:rsidRPr="00E03946">
              <w:rPr>
                <w:rFonts w:cs="Arial"/>
              </w:rPr>
              <w:t>iries:</w:t>
            </w:r>
          </w:p>
        </w:tc>
        <w:tc>
          <w:tcPr>
            <w:tcW w:w="7618" w:type="dxa"/>
          </w:tcPr>
          <w:p w:rsidR="00BE26B0" w:rsidRDefault="00BE26B0" w:rsidP="00BE26B0">
            <w:pPr>
              <w:rPr>
                <w:rFonts w:cs="Arial"/>
              </w:rPr>
            </w:pPr>
            <w:r w:rsidRPr="00E03946">
              <w:rPr>
                <w:rFonts w:cs="Arial"/>
              </w:rPr>
              <w:t xml:space="preserve">Enquiries can be directed to Kate Preston </w:t>
            </w:r>
            <w:r>
              <w:rPr>
                <w:rFonts w:cs="Arial"/>
              </w:rPr>
              <w:t xml:space="preserve">on </w:t>
            </w:r>
            <w:r w:rsidRPr="00E03946">
              <w:rPr>
                <w:rFonts w:cs="Arial"/>
              </w:rPr>
              <w:t>02 6263 3116</w:t>
            </w:r>
            <w:r>
              <w:rPr>
                <w:rFonts w:cs="Arial"/>
              </w:rPr>
              <w:t xml:space="preserve"> or Adam Craig on 02 6263 2956</w:t>
            </w:r>
          </w:p>
        </w:tc>
      </w:tr>
    </w:tbl>
    <w:p w:rsidR="00723BAB" w:rsidRDefault="00723BAB" w:rsidP="00B94987">
      <w:pPr>
        <w:pStyle w:val="SingleParagraph"/>
        <w:rPr>
          <w:rFonts w:cs="Arial"/>
        </w:rPr>
      </w:pPr>
    </w:p>
    <w:p w:rsidR="00723BAB" w:rsidRDefault="00723BAB" w:rsidP="00B94987">
      <w:pPr>
        <w:sectPr w:rsidR="00723BAB" w:rsidSect="000759C6">
          <w:footerReference w:type="default" r:id="rId20"/>
          <w:pgSz w:w="12240" w:h="15840"/>
          <w:pgMar w:top="1440" w:right="1440" w:bottom="1440" w:left="1440" w:header="709" w:footer="709" w:gutter="0"/>
          <w:pgNumType w:fmt="lowerRoman"/>
          <w:cols w:space="720"/>
        </w:sectPr>
      </w:pPr>
    </w:p>
    <w:p w:rsidR="00723BAB" w:rsidRDefault="00723BAB" w:rsidP="00B94987">
      <w:pPr>
        <w:pStyle w:val="ContentsHeading"/>
      </w:pPr>
      <w:r>
        <w:rPr>
          <w:rFonts w:cs="Calibri"/>
        </w:rPr>
        <w:t>Contents</w:t>
      </w:r>
    </w:p>
    <w:p w:rsidR="00951B9D" w:rsidRDefault="00723BAB">
      <w:pPr>
        <w:pStyle w:val="TOC1"/>
        <w:rPr>
          <w:rFonts w:asciiTheme="minorHAnsi" w:eastAsiaTheme="minorEastAsia" w:hAnsiTheme="minorHAnsi" w:cstheme="minorBidi"/>
          <w:b w:val="0"/>
          <w:noProof/>
          <w:color w:val="auto"/>
        </w:rPr>
      </w:pPr>
      <w:r>
        <w:fldChar w:fldCharType="begin"/>
      </w:r>
      <w:r>
        <w:instrText xml:space="preserve"> TOC \o "1-2" \t "Heading 1 Not Numbered,1" </w:instrText>
      </w:r>
      <w:r>
        <w:fldChar w:fldCharType="separate"/>
      </w:r>
      <w:r w:rsidR="00951B9D" w:rsidRPr="000B6E56">
        <w:rPr>
          <w:rFonts w:cs="Calibri"/>
          <w:noProof/>
        </w:rPr>
        <w:t>Foreword</w:t>
      </w:r>
      <w:r w:rsidR="00951B9D">
        <w:rPr>
          <w:noProof/>
        </w:rPr>
        <w:tab/>
      </w:r>
      <w:r w:rsidR="00951B9D">
        <w:rPr>
          <w:noProof/>
        </w:rPr>
        <w:fldChar w:fldCharType="begin"/>
      </w:r>
      <w:r w:rsidR="00951B9D">
        <w:rPr>
          <w:noProof/>
        </w:rPr>
        <w:instrText xml:space="preserve"> PAGEREF _Toc338405390 \h </w:instrText>
      </w:r>
      <w:r w:rsidR="00951B9D">
        <w:rPr>
          <w:noProof/>
        </w:rPr>
      </w:r>
      <w:r w:rsidR="00951B9D">
        <w:rPr>
          <w:noProof/>
        </w:rPr>
        <w:fldChar w:fldCharType="separate"/>
      </w:r>
      <w:r w:rsidR="001236BB">
        <w:rPr>
          <w:noProof/>
        </w:rPr>
        <w:t>v</w:t>
      </w:r>
      <w:r w:rsidR="00951B9D">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Abbreviations</w:t>
      </w:r>
      <w:r>
        <w:rPr>
          <w:noProof/>
        </w:rPr>
        <w:tab/>
      </w:r>
      <w:r>
        <w:rPr>
          <w:noProof/>
        </w:rPr>
        <w:fldChar w:fldCharType="begin"/>
      </w:r>
      <w:r>
        <w:rPr>
          <w:noProof/>
        </w:rPr>
        <w:instrText xml:space="preserve"> PAGEREF _Toc338405391 \h </w:instrText>
      </w:r>
      <w:r>
        <w:rPr>
          <w:noProof/>
        </w:rPr>
      </w:r>
      <w:r>
        <w:rPr>
          <w:noProof/>
        </w:rPr>
        <w:fldChar w:fldCharType="separate"/>
      </w:r>
      <w:r w:rsidR="001236BB">
        <w:rPr>
          <w:noProof/>
        </w:rPr>
        <w:t>6</w:t>
      </w:r>
      <w:r>
        <w:rPr>
          <w:noProof/>
        </w:rPr>
        <w:fldChar w:fldCharType="end"/>
      </w:r>
    </w:p>
    <w:p w:rsidR="00951B9D" w:rsidRDefault="00951B9D">
      <w:pPr>
        <w:pStyle w:val="TOC1"/>
        <w:rPr>
          <w:rFonts w:asciiTheme="minorHAnsi" w:eastAsiaTheme="minorEastAsia" w:hAnsiTheme="minorHAnsi" w:cstheme="minorBidi"/>
          <w:b w:val="0"/>
          <w:noProof/>
          <w:color w:val="auto"/>
        </w:rPr>
      </w:pPr>
      <w:r w:rsidRPr="000B6E56">
        <w:rPr>
          <w:rFonts w:cs="Calibri"/>
          <w:noProof/>
        </w:rPr>
        <w:t xml:space="preserve">1.  </w:t>
      </w:r>
      <w:r>
        <w:rPr>
          <w:noProof/>
        </w:rPr>
        <w:t>Introduction</w:t>
      </w:r>
      <w:r>
        <w:rPr>
          <w:noProof/>
        </w:rPr>
        <w:tab/>
      </w:r>
      <w:r>
        <w:rPr>
          <w:noProof/>
        </w:rPr>
        <w:fldChar w:fldCharType="begin"/>
      </w:r>
      <w:r>
        <w:rPr>
          <w:noProof/>
        </w:rPr>
        <w:instrText xml:space="preserve"> PAGEREF _Toc338405392 \h </w:instrText>
      </w:r>
      <w:r>
        <w:rPr>
          <w:noProof/>
        </w:rPr>
      </w:r>
      <w:r>
        <w:rPr>
          <w:noProof/>
        </w:rPr>
        <w:fldChar w:fldCharType="separate"/>
      </w:r>
      <w:r w:rsidR="001236BB">
        <w:rPr>
          <w:noProof/>
        </w:rPr>
        <w:t>7</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Background</w:t>
      </w:r>
      <w:r>
        <w:rPr>
          <w:noProof/>
        </w:rPr>
        <w:tab/>
      </w:r>
      <w:r>
        <w:rPr>
          <w:noProof/>
        </w:rPr>
        <w:fldChar w:fldCharType="begin"/>
      </w:r>
      <w:r>
        <w:rPr>
          <w:noProof/>
        </w:rPr>
        <w:instrText xml:space="preserve"> PAGEREF _Toc338405393 \h </w:instrText>
      </w:r>
      <w:r>
        <w:rPr>
          <w:noProof/>
        </w:rPr>
      </w:r>
      <w:r>
        <w:rPr>
          <w:noProof/>
        </w:rPr>
        <w:fldChar w:fldCharType="separate"/>
      </w:r>
      <w:r w:rsidR="001236BB">
        <w:rPr>
          <w:noProof/>
        </w:rPr>
        <w:t>7</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Structure of the paper</w:t>
      </w:r>
      <w:r>
        <w:rPr>
          <w:noProof/>
        </w:rPr>
        <w:tab/>
      </w:r>
      <w:r>
        <w:rPr>
          <w:noProof/>
        </w:rPr>
        <w:fldChar w:fldCharType="begin"/>
      </w:r>
      <w:r>
        <w:rPr>
          <w:noProof/>
        </w:rPr>
        <w:instrText xml:space="preserve"> PAGEREF _Toc338405394 \h </w:instrText>
      </w:r>
      <w:r>
        <w:rPr>
          <w:noProof/>
        </w:rPr>
      </w:r>
      <w:r>
        <w:rPr>
          <w:noProof/>
        </w:rPr>
        <w:fldChar w:fldCharType="separate"/>
      </w:r>
      <w:r w:rsidR="001236BB">
        <w:rPr>
          <w:noProof/>
        </w:rPr>
        <w:t>8</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Comparison of current law and new models</w:t>
      </w:r>
      <w:r>
        <w:rPr>
          <w:noProof/>
        </w:rPr>
        <w:tab/>
      </w:r>
      <w:r>
        <w:rPr>
          <w:noProof/>
        </w:rPr>
        <w:fldChar w:fldCharType="begin"/>
      </w:r>
      <w:r>
        <w:rPr>
          <w:noProof/>
        </w:rPr>
        <w:instrText xml:space="preserve"> PAGEREF _Toc338405395 \h </w:instrText>
      </w:r>
      <w:r>
        <w:rPr>
          <w:noProof/>
        </w:rPr>
      </w:r>
      <w:r>
        <w:rPr>
          <w:noProof/>
        </w:rPr>
        <w:fldChar w:fldCharType="separate"/>
      </w:r>
      <w:r w:rsidR="001236BB">
        <w:rPr>
          <w:noProof/>
        </w:rPr>
        <w:t>9</w:t>
      </w:r>
      <w:r>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2.  Core features of a new model for taxing trust income</w:t>
      </w:r>
      <w:r>
        <w:rPr>
          <w:noProof/>
        </w:rPr>
        <w:tab/>
      </w:r>
      <w:r>
        <w:rPr>
          <w:noProof/>
        </w:rPr>
        <w:fldChar w:fldCharType="begin"/>
      </w:r>
      <w:r>
        <w:rPr>
          <w:noProof/>
        </w:rPr>
        <w:instrText xml:space="preserve"> PAGEREF _Toc338405396 \h </w:instrText>
      </w:r>
      <w:r>
        <w:rPr>
          <w:noProof/>
        </w:rPr>
      </w:r>
      <w:r>
        <w:rPr>
          <w:noProof/>
        </w:rPr>
        <w:fldChar w:fldCharType="separate"/>
      </w:r>
      <w:r w:rsidR="001236BB">
        <w:rPr>
          <w:noProof/>
        </w:rPr>
        <w:t>10</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Providing certainty about character retention and streaming</w:t>
      </w:r>
      <w:r>
        <w:rPr>
          <w:noProof/>
        </w:rPr>
        <w:tab/>
      </w:r>
      <w:r>
        <w:rPr>
          <w:noProof/>
        </w:rPr>
        <w:fldChar w:fldCharType="begin"/>
      </w:r>
      <w:r>
        <w:rPr>
          <w:noProof/>
        </w:rPr>
        <w:instrText xml:space="preserve"> PAGEREF _Toc338405397 \h </w:instrText>
      </w:r>
      <w:r>
        <w:rPr>
          <w:noProof/>
        </w:rPr>
      </w:r>
      <w:r>
        <w:rPr>
          <w:noProof/>
        </w:rPr>
        <w:fldChar w:fldCharType="separate"/>
      </w:r>
      <w:r w:rsidR="001236BB">
        <w:rPr>
          <w:noProof/>
        </w:rPr>
        <w:t>10</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Allocation of deductions</w:t>
      </w:r>
      <w:r>
        <w:rPr>
          <w:noProof/>
        </w:rPr>
        <w:tab/>
      </w:r>
      <w:r>
        <w:rPr>
          <w:noProof/>
        </w:rPr>
        <w:fldChar w:fldCharType="begin"/>
      </w:r>
      <w:r>
        <w:rPr>
          <w:noProof/>
        </w:rPr>
        <w:instrText xml:space="preserve"> PAGEREF _Toc338405398 \h </w:instrText>
      </w:r>
      <w:r>
        <w:rPr>
          <w:noProof/>
        </w:rPr>
      </w:r>
      <w:r>
        <w:rPr>
          <w:noProof/>
        </w:rPr>
        <w:fldChar w:fldCharType="separate"/>
      </w:r>
      <w:r w:rsidR="001236BB">
        <w:rPr>
          <w:noProof/>
        </w:rPr>
        <w:t>10</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Capital gains and losses</w:t>
      </w:r>
      <w:r>
        <w:rPr>
          <w:noProof/>
        </w:rPr>
        <w:tab/>
      </w:r>
      <w:r>
        <w:rPr>
          <w:noProof/>
        </w:rPr>
        <w:fldChar w:fldCharType="begin"/>
      </w:r>
      <w:r>
        <w:rPr>
          <w:noProof/>
        </w:rPr>
        <w:instrText xml:space="preserve"> PAGEREF _Toc338405399 \h </w:instrText>
      </w:r>
      <w:r>
        <w:rPr>
          <w:noProof/>
        </w:rPr>
      </w:r>
      <w:r>
        <w:rPr>
          <w:noProof/>
        </w:rPr>
        <w:fldChar w:fldCharType="separate"/>
      </w:r>
      <w:r w:rsidR="001236BB">
        <w:rPr>
          <w:noProof/>
        </w:rPr>
        <w:t>12</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Franked distributions</w:t>
      </w:r>
      <w:r>
        <w:rPr>
          <w:noProof/>
        </w:rPr>
        <w:tab/>
      </w:r>
      <w:r>
        <w:rPr>
          <w:noProof/>
        </w:rPr>
        <w:fldChar w:fldCharType="begin"/>
      </w:r>
      <w:r>
        <w:rPr>
          <w:noProof/>
        </w:rPr>
        <w:instrText xml:space="preserve"> PAGEREF _Toc338405400 \h </w:instrText>
      </w:r>
      <w:r>
        <w:rPr>
          <w:noProof/>
        </w:rPr>
      </w:r>
      <w:r>
        <w:rPr>
          <w:noProof/>
        </w:rPr>
        <w:fldChar w:fldCharType="separate"/>
      </w:r>
      <w:r w:rsidR="001236BB">
        <w:rPr>
          <w:noProof/>
        </w:rPr>
        <w:t>12</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Foreign tax paid</w:t>
      </w:r>
      <w:r>
        <w:rPr>
          <w:noProof/>
        </w:rPr>
        <w:tab/>
      </w:r>
      <w:r>
        <w:rPr>
          <w:noProof/>
        </w:rPr>
        <w:fldChar w:fldCharType="begin"/>
      </w:r>
      <w:r>
        <w:rPr>
          <w:noProof/>
        </w:rPr>
        <w:instrText xml:space="preserve"> PAGEREF _Toc338405401 \h </w:instrText>
      </w:r>
      <w:r>
        <w:rPr>
          <w:noProof/>
        </w:rPr>
      </w:r>
      <w:r>
        <w:rPr>
          <w:noProof/>
        </w:rPr>
        <w:fldChar w:fldCharType="separate"/>
      </w:r>
      <w:r w:rsidR="001236BB">
        <w:rPr>
          <w:noProof/>
        </w:rPr>
        <w:t>12</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Extending the time for determining entitlements</w:t>
      </w:r>
      <w:r>
        <w:rPr>
          <w:noProof/>
        </w:rPr>
        <w:tab/>
      </w:r>
      <w:r>
        <w:rPr>
          <w:noProof/>
        </w:rPr>
        <w:fldChar w:fldCharType="begin"/>
      </w:r>
      <w:r>
        <w:rPr>
          <w:noProof/>
        </w:rPr>
        <w:instrText xml:space="preserve"> PAGEREF _Toc338405402 \h </w:instrText>
      </w:r>
      <w:r>
        <w:rPr>
          <w:noProof/>
        </w:rPr>
      </w:r>
      <w:r>
        <w:rPr>
          <w:noProof/>
        </w:rPr>
        <w:fldChar w:fldCharType="separate"/>
      </w:r>
      <w:r w:rsidR="001236BB">
        <w:rPr>
          <w:noProof/>
        </w:rPr>
        <w:t>12</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Definite amendment periods for trustees</w:t>
      </w:r>
      <w:r>
        <w:rPr>
          <w:noProof/>
        </w:rPr>
        <w:tab/>
      </w:r>
      <w:r>
        <w:rPr>
          <w:noProof/>
        </w:rPr>
        <w:fldChar w:fldCharType="begin"/>
      </w:r>
      <w:r>
        <w:rPr>
          <w:noProof/>
        </w:rPr>
        <w:instrText xml:space="preserve"> PAGEREF _Toc338405403 \h </w:instrText>
      </w:r>
      <w:r>
        <w:rPr>
          <w:noProof/>
        </w:rPr>
      </w:r>
      <w:r>
        <w:rPr>
          <w:noProof/>
        </w:rPr>
        <w:fldChar w:fldCharType="separate"/>
      </w:r>
      <w:r w:rsidR="001236BB">
        <w:rPr>
          <w:noProof/>
        </w:rPr>
        <w:t>13</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The trustee tax rate</w:t>
      </w:r>
      <w:r>
        <w:rPr>
          <w:noProof/>
        </w:rPr>
        <w:tab/>
      </w:r>
      <w:r>
        <w:rPr>
          <w:noProof/>
        </w:rPr>
        <w:fldChar w:fldCharType="begin"/>
      </w:r>
      <w:r>
        <w:rPr>
          <w:noProof/>
        </w:rPr>
        <w:instrText xml:space="preserve"> PAGEREF _Toc338405404 \h </w:instrText>
      </w:r>
      <w:r>
        <w:rPr>
          <w:noProof/>
        </w:rPr>
      </w:r>
      <w:r>
        <w:rPr>
          <w:noProof/>
        </w:rPr>
        <w:fldChar w:fldCharType="separate"/>
      </w:r>
      <w:r w:rsidR="001236BB">
        <w:rPr>
          <w:noProof/>
        </w:rPr>
        <w:t>13</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Trust resettlements</w:t>
      </w:r>
      <w:r>
        <w:rPr>
          <w:noProof/>
        </w:rPr>
        <w:tab/>
      </w:r>
      <w:r>
        <w:rPr>
          <w:noProof/>
        </w:rPr>
        <w:fldChar w:fldCharType="begin"/>
      </w:r>
      <w:r>
        <w:rPr>
          <w:noProof/>
        </w:rPr>
        <w:instrText xml:space="preserve"> PAGEREF _Toc338405405 \h </w:instrText>
      </w:r>
      <w:r>
        <w:rPr>
          <w:noProof/>
        </w:rPr>
      </w:r>
      <w:r>
        <w:rPr>
          <w:noProof/>
        </w:rPr>
        <w:fldChar w:fldCharType="separate"/>
      </w:r>
      <w:r w:rsidR="001236BB">
        <w:rPr>
          <w:noProof/>
        </w:rPr>
        <w:t>14</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Integrity rules</w:t>
      </w:r>
      <w:r>
        <w:rPr>
          <w:noProof/>
        </w:rPr>
        <w:tab/>
      </w:r>
      <w:r>
        <w:rPr>
          <w:noProof/>
        </w:rPr>
        <w:fldChar w:fldCharType="begin"/>
      </w:r>
      <w:r>
        <w:rPr>
          <w:noProof/>
        </w:rPr>
        <w:instrText xml:space="preserve"> PAGEREF _Toc338405406 \h </w:instrText>
      </w:r>
      <w:r>
        <w:rPr>
          <w:noProof/>
        </w:rPr>
      </w:r>
      <w:r>
        <w:rPr>
          <w:noProof/>
        </w:rPr>
        <w:fldChar w:fldCharType="separate"/>
      </w:r>
      <w:r w:rsidR="001236BB">
        <w:rPr>
          <w:noProof/>
        </w:rPr>
        <w:t>15</w:t>
      </w:r>
      <w:r>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3.  Economic benefits model (EBM)</w:t>
      </w:r>
      <w:r>
        <w:rPr>
          <w:noProof/>
        </w:rPr>
        <w:tab/>
      </w:r>
      <w:r>
        <w:rPr>
          <w:noProof/>
        </w:rPr>
        <w:fldChar w:fldCharType="begin"/>
      </w:r>
      <w:r>
        <w:rPr>
          <w:noProof/>
        </w:rPr>
        <w:instrText xml:space="preserve"> PAGEREF _Toc338405407 \h </w:instrText>
      </w:r>
      <w:r>
        <w:rPr>
          <w:noProof/>
        </w:rPr>
      </w:r>
      <w:r>
        <w:rPr>
          <w:noProof/>
        </w:rPr>
        <w:fldChar w:fldCharType="separate"/>
      </w:r>
      <w:r w:rsidR="001236BB">
        <w:rPr>
          <w:noProof/>
        </w:rPr>
        <w:t>16</w:t>
      </w:r>
      <w:r>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4.  Proportionate assessment model (PAM)</w:t>
      </w:r>
      <w:r>
        <w:rPr>
          <w:noProof/>
        </w:rPr>
        <w:tab/>
      </w:r>
      <w:r>
        <w:rPr>
          <w:noProof/>
        </w:rPr>
        <w:fldChar w:fldCharType="begin"/>
      </w:r>
      <w:r>
        <w:rPr>
          <w:noProof/>
        </w:rPr>
        <w:instrText xml:space="preserve"> PAGEREF _Toc338405408 \h </w:instrText>
      </w:r>
      <w:r>
        <w:rPr>
          <w:noProof/>
        </w:rPr>
      </w:r>
      <w:r>
        <w:rPr>
          <w:noProof/>
        </w:rPr>
        <w:fldChar w:fldCharType="separate"/>
      </w:r>
      <w:r w:rsidR="001236BB">
        <w:rPr>
          <w:noProof/>
        </w:rPr>
        <w:t>22</w:t>
      </w:r>
      <w:r>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5.  Scope of a re</w:t>
      </w:r>
      <w:r>
        <w:rPr>
          <w:noProof/>
        </w:rPr>
        <w:noBreakHyphen/>
        <w:t>written Division 6</w:t>
      </w:r>
      <w:r>
        <w:rPr>
          <w:noProof/>
        </w:rPr>
        <w:tab/>
      </w:r>
      <w:r>
        <w:rPr>
          <w:noProof/>
        </w:rPr>
        <w:fldChar w:fldCharType="begin"/>
      </w:r>
      <w:r>
        <w:rPr>
          <w:noProof/>
        </w:rPr>
        <w:instrText xml:space="preserve"> PAGEREF _Toc338405409 \h </w:instrText>
      </w:r>
      <w:r>
        <w:rPr>
          <w:noProof/>
        </w:rPr>
      </w:r>
      <w:r>
        <w:rPr>
          <w:noProof/>
        </w:rPr>
        <w:fldChar w:fldCharType="separate"/>
      </w:r>
      <w:r w:rsidR="001236BB">
        <w:rPr>
          <w:noProof/>
        </w:rPr>
        <w:t>27</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Treatment of amounts not assessable under Division 6</w:t>
      </w:r>
      <w:r>
        <w:rPr>
          <w:noProof/>
        </w:rPr>
        <w:tab/>
      </w:r>
      <w:r>
        <w:rPr>
          <w:noProof/>
        </w:rPr>
        <w:fldChar w:fldCharType="begin"/>
      </w:r>
      <w:r>
        <w:rPr>
          <w:noProof/>
        </w:rPr>
        <w:instrText xml:space="preserve"> PAGEREF _Toc338405410 \h </w:instrText>
      </w:r>
      <w:r>
        <w:rPr>
          <w:noProof/>
        </w:rPr>
      </w:r>
      <w:r>
        <w:rPr>
          <w:noProof/>
        </w:rPr>
        <w:fldChar w:fldCharType="separate"/>
      </w:r>
      <w:r w:rsidR="001236BB">
        <w:rPr>
          <w:noProof/>
        </w:rPr>
        <w:t>27</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Bare trusts</w:t>
      </w:r>
      <w:r>
        <w:rPr>
          <w:noProof/>
        </w:rPr>
        <w:tab/>
      </w:r>
      <w:r>
        <w:rPr>
          <w:noProof/>
        </w:rPr>
        <w:fldChar w:fldCharType="begin"/>
      </w:r>
      <w:r>
        <w:rPr>
          <w:noProof/>
        </w:rPr>
        <w:instrText xml:space="preserve"> PAGEREF _Toc338405411 \h </w:instrText>
      </w:r>
      <w:r>
        <w:rPr>
          <w:noProof/>
        </w:rPr>
      </w:r>
      <w:r>
        <w:rPr>
          <w:noProof/>
        </w:rPr>
        <w:fldChar w:fldCharType="separate"/>
      </w:r>
      <w:r w:rsidR="001236BB">
        <w:rPr>
          <w:noProof/>
        </w:rPr>
        <w:t>27</w:t>
      </w:r>
      <w:r>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Appendix A</w:t>
      </w:r>
      <w:r>
        <w:rPr>
          <w:noProof/>
        </w:rPr>
        <w:tab/>
      </w:r>
      <w:r>
        <w:rPr>
          <w:noProof/>
        </w:rPr>
        <w:fldChar w:fldCharType="begin"/>
      </w:r>
      <w:r>
        <w:rPr>
          <w:noProof/>
        </w:rPr>
        <w:instrText xml:space="preserve"> PAGEREF _Toc338405412 \h </w:instrText>
      </w:r>
      <w:r>
        <w:rPr>
          <w:noProof/>
        </w:rPr>
      </w:r>
      <w:r>
        <w:rPr>
          <w:noProof/>
        </w:rPr>
        <w:fldChar w:fldCharType="separate"/>
      </w:r>
      <w:r w:rsidR="001236BB">
        <w:rPr>
          <w:noProof/>
        </w:rPr>
        <w:t>31</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Detailed example — discretionary trust</w:t>
      </w:r>
      <w:r>
        <w:rPr>
          <w:noProof/>
        </w:rPr>
        <w:tab/>
      </w:r>
      <w:r>
        <w:rPr>
          <w:noProof/>
        </w:rPr>
        <w:fldChar w:fldCharType="begin"/>
      </w:r>
      <w:r>
        <w:rPr>
          <w:noProof/>
        </w:rPr>
        <w:instrText xml:space="preserve"> PAGEREF _Toc338405413 \h </w:instrText>
      </w:r>
      <w:r>
        <w:rPr>
          <w:noProof/>
        </w:rPr>
      </w:r>
      <w:r>
        <w:rPr>
          <w:noProof/>
        </w:rPr>
        <w:fldChar w:fldCharType="separate"/>
      </w:r>
      <w:r w:rsidR="001236BB">
        <w:rPr>
          <w:noProof/>
        </w:rPr>
        <w:t>31</w:t>
      </w:r>
      <w:r>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Appendix B</w:t>
      </w:r>
      <w:r>
        <w:rPr>
          <w:noProof/>
        </w:rPr>
        <w:tab/>
      </w:r>
      <w:r>
        <w:rPr>
          <w:noProof/>
        </w:rPr>
        <w:fldChar w:fldCharType="begin"/>
      </w:r>
      <w:r>
        <w:rPr>
          <w:noProof/>
        </w:rPr>
        <w:instrText xml:space="preserve"> PAGEREF _Toc338405414 \h </w:instrText>
      </w:r>
      <w:r>
        <w:rPr>
          <w:noProof/>
        </w:rPr>
      </w:r>
      <w:r>
        <w:rPr>
          <w:noProof/>
        </w:rPr>
        <w:fldChar w:fldCharType="separate"/>
      </w:r>
      <w:r w:rsidR="001236BB">
        <w:rPr>
          <w:noProof/>
        </w:rPr>
        <w:t>51</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Diagrams</w:t>
      </w:r>
      <w:r>
        <w:rPr>
          <w:noProof/>
        </w:rPr>
        <w:tab/>
      </w:r>
      <w:r>
        <w:rPr>
          <w:noProof/>
        </w:rPr>
        <w:fldChar w:fldCharType="begin"/>
      </w:r>
      <w:r>
        <w:rPr>
          <w:noProof/>
        </w:rPr>
        <w:instrText xml:space="preserve"> PAGEREF _Toc338405415 \h </w:instrText>
      </w:r>
      <w:r>
        <w:rPr>
          <w:noProof/>
        </w:rPr>
      </w:r>
      <w:r>
        <w:rPr>
          <w:noProof/>
        </w:rPr>
        <w:fldChar w:fldCharType="separate"/>
      </w:r>
      <w:r w:rsidR="001236BB">
        <w:rPr>
          <w:noProof/>
        </w:rPr>
        <w:t>51</w:t>
      </w:r>
      <w:r>
        <w:rPr>
          <w:noProof/>
        </w:rPr>
        <w:fldChar w:fldCharType="end"/>
      </w:r>
    </w:p>
    <w:p w:rsidR="00951B9D" w:rsidRDefault="00951B9D">
      <w:pPr>
        <w:pStyle w:val="TOC1"/>
        <w:rPr>
          <w:rFonts w:asciiTheme="minorHAnsi" w:eastAsiaTheme="minorEastAsia" w:hAnsiTheme="minorHAnsi" w:cstheme="minorBidi"/>
          <w:b w:val="0"/>
          <w:noProof/>
          <w:color w:val="auto"/>
        </w:rPr>
      </w:pPr>
      <w:r>
        <w:rPr>
          <w:noProof/>
        </w:rPr>
        <w:t>Appendix C</w:t>
      </w:r>
      <w:r>
        <w:rPr>
          <w:noProof/>
        </w:rPr>
        <w:tab/>
      </w:r>
      <w:r>
        <w:rPr>
          <w:noProof/>
        </w:rPr>
        <w:fldChar w:fldCharType="begin"/>
      </w:r>
      <w:r>
        <w:rPr>
          <w:noProof/>
        </w:rPr>
        <w:instrText xml:space="preserve"> PAGEREF _Toc338405416 \h </w:instrText>
      </w:r>
      <w:r>
        <w:rPr>
          <w:noProof/>
        </w:rPr>
      </w:r>
      <w:r>
        <w:rPr>
          <w:noProof/>
        </w:rPr>
        <w:fldChar w:fldCharType="separate"/>
      </w:r>
      <w:r w:rsidR="001236BB">
        <w:rPr>
          <w:noProof/>
        </w:rPr>
        <w:t>53</w:t>
      </w:r>
      <w:r>
        <w:rPr>
          <w:noProof/>
        </w:rPr>
        <w:fldChar w:fldCharType="end"/>
      </w:r>
    </w:p>
    <w:p w:rsidR="00951B9D" w:rsidRDefault="00951B9D">
      <w:pPr>
        <w:pStyle w:val="TOC2"/>
        <w:rPr>
          <w:rFonts w:asciiTheme="minorHAnsi" w:eastAsiaTheme="minorEastAsia" w:hAnsiTheme="minorHAnsi" w:cstheme="minorBidi"/>
          <w:noProof/>
          <w:color w:val="auto"/>
          <w:szCs w:val="22"/>
        </w:rPr>
      </w:pPr>
      <w:r>
        <w:rPr>
          <w:noProof/>
        </w:rPr>
        <w:t>Summary of consultation questions</w:t>
      </w:r>
      <w:r>
        <w:rPr>
          <w:noProof/>
        </w:rPr>
        <w:tab/>
      </w:r>
      <w:r>
        <w:rPr>
          <w:noProof/>
        </w:rPr>
        <w:fldChar w:fldCharType="begin"/>
      </w:r>
      <w:r>
        <w:rPr>
          <w:noProof/>
        </w:rPr>
        <w:instrText xml:space="preserve"> PAGEREF _Toc338405417 \h </w:instrText>
      </w:r>
      <w:r>
        <w:rPr>
          <w:noProof/>
        </w:rPr>
      </w:r>
      <w:r>
        <w:rPr>
          <w:noProof/>
        </w:rPr>
        <w:fldChar w:fldCharType="separate"/>
      </w:r>
      <w:r w:rsidR="001236BB">
        <w:rPr>
          <w:noProof/>
        </w:rPr>
        <w:t>53</w:t>
      </w:r>
      <w:r>
        <w:rPr>
          <w:noProof/>
        </w:rPr>
        <w:fldChar w:fldCharType="end"/>
      </w:r>
    </w:p>
    <w:p w:rsidR="00723BAB" w:rsidRDefault="00723BAB" w:rsidP="00B94987">
      <w:pPr>
        <w:rPr>
          <w:rFonts w:cs="Calibri"/>
          <w:sz w:val="20"/>
        </w:rPr>
      </w:pPr>
      <w:r>
        <w:fldChar w:fldCharType="end"/>
      </w:r>
    </w:p>
    <w:p w:rsidR="00723BAB" w:rsidRDefault="00723BAB" w:rsidP="00B94987">
      <w:pPr>
        <w:sectPr w:rsidR="00723BAB" w:rsidSect="000759C6">
          <w:footerReference w:type="even" r:id="rId21"/>
          <w:pgSz w:w="12240" w:h="15840"/>
          <w:pgMar w:top="1440" w:right="1440" w:bottom="1440" w:left="1440" w:header="709" w:footer="709" w:gutter="0"/>
          <w:pgNumType w:fmt="lowerRoman"/>
          <w:cols w:space="720"/>
        </w:sectPr>
      </w:pPr>
    </w:p>
    <w:p w:rsidR="00723BAB" w:rsidRDefault="00723BAB" w:rsidP="00B94987">
      <w:pPr>
        <w:pStyle w:val="Heading1NotNumbered"/>
        <w:rPr>
          <w:rFonts w:cs="Calibri"/>
        </w:rPr>
      </w:pPr>
      <w:bookmarkStart w:id="3" w:name="_Toc331000828"/>
      <w:bookmarkStart w:id="4" w:name="_Toc334079829"/>
      <w:bookmarkStart w:id="5" w:name="_Toc338405390"/>
      <w:r>
        <w:rPr>
          <w:rFonts w:cs="Calibri"/>
        </w:rPr>
        <w:t>Foreword</w:t>
      </w:r>
      <w:bookmarkEnd w:id="3"/>
      <w:bookmarkEnd w:id="4"/>
      <w:bookmarkEnd w:id="5"/>
    </w:p>
    <w:p w:rsidR="00723BAB" w:rsidRDefault="00876C98" w:rsidP="00E25D53">
      <w:r>
        <w:rPr>
          <w:noProof/>
        </w:rPr>
        <w:pict>
          <v:shape id="Picture 3" o:spid="_x0000_s1026" type="#_x0000_t75" alt="Photograph of Assistant Treasurer David Bradbury" style="position:absolute;margin-left:.35pt;margin-top:.15pt;width:103.4pt;height:141.7pt;z-index:251658240;visibility:visible">
            <v:imagedata r:id="rId22" o:title=""/>
            <w10:wrap type="square"/>
          </v:shape>
        </w:pict>
      </w:r>
      <w:r w:rsidR="00723BAB">
        <w:t xml:space="preserve">I am pleased to release this policy </w:t>
      </w:r>
      <w:r w:rsidR="00421DB3">
        <w:t xml:space="preserve">options </w:t>
      </w:r>
      <w:r w:rsidR="00723BAB">
        <w:t>paper as the next stage in the Gillard Government’s reform of the trust tax provisions.</w:t>
      </w:r>
    </w:p>
    <w:p w:rsidR="00723BAB" w:rsidRDefault="00723BAB" w:rsidP="00E25D53">
      <w:r>
        <w:t xml:space="preserve">The need for reform was highlighted by the </w:t>
      </w:r>
      <w:r w:rsidRPr="00E0138A">
        <w:rPr>
          <w:i/>
        </w:rPr>
        <w:t>Australia’s Future Tax System Review</w:t>
      </w:r>
      <w:r>
        <w:t xml:space="preserve">, which recommended that the trust rules be updated and rewritten to reduce complexity and uncertainty around their application. </w:t>
      </w:r>
    </w:p>
    <w:p w:rsidR="00723BAB" w:rsidRDefault="00723BAB" w:rsidP="00E25D53">
      <w:r>
        <w:t xml:space="preserve">In response to that recommendation, the Government released an initial consultation paper, </w:t>
      </w:r>
      <w:r>
        <w:rPr>
          <w:i/>
        </w:rPr>
        <w:t>Modernising the taxation of trust income — options for reform</w:t>
      </w:r>
      <w:r>
        <w:t xml:space="preserve">, in November 2011 which outlined three possible models for taxing trust income. More than 30 written submissions were received and stakeholder consultation forums were well attended. The consultation highlighted, in particular, a desire for more information about two of the proposed models — the ‘trustee assessment and deduction’ model, and the ‘proportionate within class’ model. </w:t>
      </w:r>
    </w:p>
    <w:p w:rsidR="00723BAB" w:rsidRDefault="00723BAB" w:rsidP="00E25D53">
      <w:r>
        <w:t>This paper responds to that feedback and further articulates these models</w:t>
      </w:r>
      <w:r w:rsidR="00421DB3">
        <w:t>,</w:t>
      </w:r>
      <w:r>
        <w:t xml:space="preserve"> which have been re</w:t>
      </w:r>
      <w:r>
        <w:noBreakHyphen/>
        <w:t xml:space="preserve">badged as the ‘economic benefits model’ and the ‘proportionate assessment model’ to better reflect their objectives. </w:t>
      </w:r>
    </w:p>
    <w:p w:rsidR="00723BAB" w:rsidRDefault="00723BAB" w:rsidP="00E25D53">
      <w:r>
        <w:t>These reform options have been developed</w:t>
      </w:r>
      <w:r w:rsidR="00421DB3">
        <w:t xml:space="preserve"> drawing on the expertise of the private sector and</w:t>
      </w:r>
      <w:r>
        <w:t xml:space="preserve"> in consultation with the Australian Taxation Office. </w:t>
      </w:r>
    </w:p>
    <w:p w:rsidR="00421DB3" w:rsidRDefault="00421DB3" w:rsidP="00E25D53">
      <w:r>
        <w:t>The Government welcomes further input</w:t>
      </w:r>
      <w:r w:rsidR="00EB606B">
        <w:t xml:space="preserve"> on these policy options</w:t>
      </w:r>
      <w:r>
        <w:t xml:space="preserve"> and will consider the views of all stakeholders before taking any decisions on how to modernise the taxation of trust income. </w:t>
      </w:r>
    </w:p>
    <w:p w:rsidR="00723BAB" w:rsidRDefault="00723BAB" w:rsidP="00E25D53">
      <w:r>
        <w:t>As the Government takes these reforms forward, I would like to acknowledge the cooperative spirit in which stakeholders have engaged in the process so far. I look forward to continuing this constructive dialogue as the Government finalises its policy approach in the coming months.</w:t>
      </w:r>
    </w:p>
    <w:p w:rsidR="00723BAB" w:rsidRDefault="00723BAB" w:rsidP="009C387D">
      <w:pPr>
        <w:pStyle w:val="SingleParagraph"/>
        <w:spacing w:before="1200"/>
        <w:rPr>
          <w:rFonts w:cs="Arial"/>
          <w:b/>
          <w:sz w:val="24"/>
          <w:szCs w:val="24"/>
        </w:rPr>
      </w:pPr>
      <w:r w:rsidRPr="00163F01">
        <w:rPr>
          <w:rFonts w:cs="Calibri"/>
          <w:b/>
        </w:rPr>
        <w:t xml:space="preserve">The </w:t>
      </w:r>
      <w:smartTag w:uri="urn:schemas:contacts" w:element="GivenName">
        <w:smartTag w:uri="urn:schemas-microsoft-com:office:smarttags" w:element="PersonName">
          <w:r w:rsidRPr="00163F01">
            <w:rPr>
              <w:rFonts w:cs="Calibri"/>
              <w:b/>
            </w:rPr>
            <w:t>Hon</w:t>
          </w:r>
        </w:smartTag>
        <w:r w:rsidRPr="00163F01">
          <w:rPr>
            <w:rFonts w:cs="Calibri"/>
            <w:b/>
          </w:rPr>
          <w:t xml:space="preserve"> </w:t>
        </w:r>
        <w:smartTag w:uri="urn:schemas:contacts" w:element="GivenName">
          <w:smartTag w:uri="urn:schemas:contacts" w:element="middlename">
            <w:r>
              <w:rPr>
                <w:rFonts w:cs="Calibri"/>
                <w:b/>
              </w:rPr>
              <w:t>David</w:t>
            </w:r>
          </w:smartTag>
        </w:smartTag>
        <w:r>
          <w:rPr>
            <w:rFonts w:cs="Calibri"/>
            <w:b/>
          </w:rPr>
          <w:t xml:space="preserve"> </w:t>
        </w:r>
        <w:smartTag w:uri="urn:schemas:contacts" w:element="GivenName">
          <w:smartTag w:uri="urn:schemas:contacts" w:element="Sn">
            <w:r>
              <w:rPr>
                <w:rFonts w:cs="Calibri"/>
                <w:b/>
              </w:rPr>
              <w:t>Bradbury</w:t>
            </w:r>
          </w:smartTag>
        </w:smartTag>
      </w:smartTag>
      <w:r w:rsidRPr="00163F01">
        <w:rPr>
          <w:rFonts w:cs="Calibri"/>
          <w:b/>
        </w:rPr>
        <w:t xml:space="preserve"> MP</w:t>
      </w:r>
      <w:r w:rsidRPr="00737153">
        <w:rPr>
          <w:rFonts w:cs="Arial"/>
          <w:b/>
          <w:sz w:val="24"/>
          <w:szCs w:val="24"/>
        </w:rPr>
        <w:t xml:space="preserve"> </w:t>
      </w:r>
    </w:p>
    <w:p w:rsidR="00723BAB" w:rsidRPr="00737153" w:rsidRDefault="00723BAB" w:rsidP="00B94987">
      <w:pPr>
        <w:pStyle w:val="SingleParagraph"/>
        <w:rPr>
          <w:rFonts w:cs="Arial"/>
          <w:b/>
          <w:szCs w:val="24"/>
        </w:rPr>
      </w:pPr>
      <w:r w:rsidRPr="00737153">
        <w:rPr>
          <w:rFonts w:cs="Arial"/>
          <w:b/>
          <w:szCs w:val="24"/>
        </w:rPr>
        <w:t xml:space="preserve">Assistant </w:t>
      </w:r>
      <w:r>
        <w:rPr>
          <w:rFonts w:cs="Arial"/>
          <w:b/>
          <w:szCs w:val="24"/>
        </w:rPr>
        <w:t>Treasurer</w:t>
      </w:r>
    </w:p>
    <w:p w:rsidR="00723BAB" w:rsidRPr="00163F01" w:rsidRDefault="00723BAB" w:rsidP="00B94987">
      <w:pPr>
        <w:rPr>
          <w:b/>
        </w:rPr>
      </w:pPr>
    </w:p>
    <w:p w:rsidR="00723BAB" w:rsidRDefault="00723BAB" w:rsidP="00B94987">
      <w:pPr>
        <w:sectPr w:rsidR="00723BAB" w:rsidSect="000759C6">
          <w:footerReference w:type="default" r:id="rId23"/>
          <w:pgSz w:w="12240" w:h="15840"/>
          <w:pgMar w:top="1440" w:right="1440" w:bottom="1440" w:left="1440" w:header="709" w:footer="709" w:gutter="0"/>
          <w:pgNumType w:fmt="lowerRoman"/>
          <w:cols w:space="720"/>
        </w:sectPr>
      </w:pPr>
    </w:p>
    <w:p w:rsidR="00723BAB" w:rsidRPr="0044380B" w:rsidRDefault="00723BAB" w:rsidP="00045E52">
      <w:pPr>
        <w:pStyle w:val="Heading1"/>
      </w:pPr>
      <w:bookmarkStart w:id="6" w:name="_Toc328495542"/>
      <w:bookmarkStart w:id="7" w:name="_Toc334079830"/>
      <w:bookmarkStart w:id="8" w:name="_Toc338405391"/>
      <w:r>
        <w:t>A</w:t>
      </w:r>
      <w:r w:rsidRPr="009F2BCB">
        <w:t>bbreviations</w:t>
      </w:r>
      <w:bookmarkEnd w:id="6"/>
      <w:bookmarkEnd w:id="7"/>
      <w:bookmarkEnd w:id="8"/>
    </w:p>
    <w:tbl>
      <w:tblPr>
        <w:tblW w:w="0" w:type="auto"/>
        <w:tblLook w:val="00A0" w:firstRow="1" w:lastRow="0" w:firstColumn="1" w:lastColumn="0" w:noHBand="0" w:noVBand="0"/>
      </w:tblPr>
      <w:tblGrid>
        <w:gridCol w:w="2135"/>
        <w:gridCol w:w="6393"/>
      </w:tblGrid>
      <w:tr w:rsidR="00723BAB" w:rsidRPr="00D455EB" w:rsidTr="000B2EED">
        <w:trPr>
          <w:tblHeader/>
        </w:trPr>
        <w:tc>
          <w:tcPr>
            <w:tcW w:w="2135" w:type="dxa"/>
          </w:tcPr>
          <w:p w:rsidR="00723BAB" w:rsidRPr="00D455EB" w:rsidRDefault="00723BAB" w:rsidP="00AA57BC">
            <w:pPr>
              <w:tabs>
                <w:tab w:val="center" w:pos="1009"/>
              </w:tabs>
              <w:rPr>
                <w:rFonts w:cs="Calibri"/>
                <w:sz w:val="20"/>
              </w:rPr>
            </w:pPr>
            <w:r w:rsidRPr="00D455EB">
              <w:rPr>
                <w:rFonts w:cs="Calibri"/>
                <w:sz w:val="20"/>
              </w:rPr>
              <w:t>ATO</w:t>
            </w:r>
          </w:p>
        </w:tc>
        <w:tc>
          <w:tcPr>
            <w:tcW w:w="6393" w:type="dxa"/>
          </w:tcPr>
          <w:p w:rsidR="00723BAB" w:rsidRPr="00D455EB" w:rsidRDefault="00723BAB" w:rsidP="00E03946">
            <w:pPr>
              <w:rPr>
                <w:rFonts w:cs="Calibri"/>
                <w:sz w:val="20"/>
              </w:rPr>
            </w:pPr>
            <w:r w:rsidRPr="00D455EB">
              <w:rPr>
                <w:rFonts w:cs="Calibri"/>
                <w:sz w:val="20"/>
              </w:rPr>
              <w:t>Australian Taxation Office</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Board</w:t>
            </w:r>
          </w:p>
        </w:tc>
        <w:tc>
          <w:tcPr>
            <w:tcW w:w="6393" w:type="dxa"/>
          </w:tcPr>
          <w:p w:rsidR="00723BAB" w:rsidRPr="00D455EB" w:rsidRDefault="00723BAB" w:rsidP="00E03946">
            <w:pPr>
              <w:rPr>
                <w:rFonts w:cs="Calibri"/>
                <w:sz w:val="20"/>
              </w:rPr>
            </w:pPr>
            <w:r w:rsidRPr="00D455EB">
              <w:rPr>
                <w:rFonts w:cs="Calibri"/>
                <w:sz w:val="20"/>
              </w:rPr>
              <w:t>Board of Taxation</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CGT</w:t>
            </w:r>
          </w:p>
        </w:tc>
        <w:tc>
          <w:tcPr>
            <w:tcW w:w="6393" w:type="dxa"/>
          </w:tcPr>
          <w:p w:rsidR="00723BAB" w:rsidRPr="00D455EB" w:rsidRDefault="00723BAB" w:rsidP="00E0138A">
            <w:pPr>
              <w:rPr>
                <w:rFonts w:cs="Calibri"/>
                <w:sz w:val="20"/>
              </w:rPr>
            </w:pPr>
            <w:r w:rsidRPr="00D455EB">
              <w:rPr>
                <w:rFonts w:cs="Calibri"/>
                <w:sz w:val="20"/>
              </w:rPr>
              <w:t>capital gains tax</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 xml:space="preserve">GST </w:t>
            </w:r>
          </w:p>
        </w:tc>
        <w:tc>
          <w:tcPr>
            <w:tcW w:w="6393" w:type="dxa"/>
          </w:tcPr>
          <w:p w:rsidR="00723BAB" w:rsidRPr="00D455EB" w:rsidRDefault="00723BAB" w:rsidP="00E0138A">
            <w:pPr>
              <w:rPr>
                <w:rFonts w:cs="Calibri"/>
                <w:sz w:val="20"/>
              </w:rPr>
            </w:pPr>
            <w:r w:rsidRPr="00D455EB">
              <w:rPr>
                <w:rFonts w:cs="Calibri"/>
                <w:sz w:val="20"/>
              </w:rPr>
              <w:t>goods and services tax</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Commissioner</w:t>
            </w:r>
          </w:p>
        </w:tc>
        <w:tc>
          <w:tcPr>
            <w:tcW w:w="6393" w:type="dxa"/>
          </w:tcPr>
          <w:p w:rsidR="00723BAB" w:rsidRPr="00D455EB" w:rsidRDefault="00723BAB" w:rsidP="00E03946">
            <w:pPr>
              <w:rPr>
                <w:rFonts w:cs="Calibri"/>
                <w:sz w:val="20"/>
              </w:rPr>
            </w:pPr>
            <w:r w:rsidRPr="00D455EB">
              <w:rPr>
                <w:rFonts w:cs="Calibri"/>
                <w:sz w:val="20"/>
              </w:rPr>
              <w:t>Commissioner of Taxation</w:t>
            </w:r>
          </w:p>
        </w:tc>
      </w:tr>
      <w:tr w:rsidR="00723BAB" w:rsidRPr="00D455EB" w:rsidTr="000B2EED">
        <w:tc>
          <w:tcPr>
            <w:tcW w:w="2135" w:type="dxa"/>
          </w:tcPr>
          <w:p w:rsidR="00723BAB" w:rsidRPr="00D455EB" w:rsidRDefault="00723BAB" w:rsidP="003B7927">
            <w:pPr>
              <w:rPr>
                <w:rFonts w:cs="Calibri"/>
                <w:sz w:val="20"/>
              </w:rPr>
            </w:pPr>
            <w:r w:rsidRPr="00D455EB">
              <w:rPr>
                <w:rFonts w:cs="Calibri"/>
                <w:sz w:val="20"/>
              </w:rPr>
              <w:t>Income tax law</w:t>
            </w:r>
          </w:p>
        </w:tc>
        <w:tc>
          <w:tcPr>
            <w:tcW w:w="6393" w:type="dxa"/>
          </w:tcPr>
          <w:p w:rsidR="00723BAB" w:rsidRPr="00D455EB" w:rsidRDefault="00723BAB" w:rsidP="00E03946">
            <w:pPr>
              <w:rPr>
                <w:rFonts w:cs="Calibri"/>
                <w:sz w:val="20"/>
              </w:rPr>
            </w:pPr>
            <w:r w:rsidRPr="00D455EB">
              <w:rPr>
                <w:rFonts w:cs="Calibri"/>
                <w:sz w:val="20"/>
              </w:rPr>
              <w:t>the ITAA 1936, the ITAA 1997 and the TAA 1953</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ITAA</w:t>
            </w:r>
          </w:p>
          <w:p w:rsidR="00723BAB" w:rsidRPr="00D455EB" w:rsidRDefault="00723BAB" w:rsidP="00E03946">
            <w:pPr>
              <w:rPr>
                <w:rFonts w:cs="Calibri"/>
                <w:sz w:val="20"/>
              </w:rPr>
            </w:pPr>
            <w:r w:rsidRPr="00D455EB">
              <w:rPr>
                <w:rFonts w:cs="Calibri"/>
                <w:sz w:val="20"/>
              </w:rPr>
              <w:t>ITAA 1936</w:t>
            </w:r>
          </w:p>
        </w:tc>
        <w:tc>
          <w:tcPr>
            <w:tcW w:w="6393" w:type="dxa"/>
          </w:tcPr>
          <w:p w:rsidR="00723BAB" w:rsidRPr="00D455EB" w:rsidRDefault="00723BAB" w:rsidP="00E03946">
            <w:pPr>
              <w:rPr>
                <w:rFonts w:cs="Calibri"/>
                <w:sz w:val="20"/>
              </w:rPr>
            </w:pPr>
            <w:r w:rsidRPr="00D455EB">
              <w:rPr>
                <w:rFonts w:cs="Calibri"/>
                <w:sz w:val="20"/>
              </w:rPr>
              <w:t>Income Tax Assessment Acts</w:t>
            </w:r>
          </w:p>
          <w:p w:rsidR="00723BAB" w:rsidRPr="00D455EB" w:rsidRDefault="00723BAB" w:rsidP="00E03946">
            <w:pPr>
              <w:rPr>
                <w:rFonts w:cs="Calibri"/>
                <w:sz w:val="20"/>
              </w:rPr>
            </w:pPr>
            <w:r w:rsidRPr="00D455EB">
              <w:rPr>
                <w:rFonts w:cs="Calibri"/>
                <w:i/>
                <w:sz w:val="20"/>
              </w:rPr>
              <w:t>Income Tax Assessment Act 1936</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ITAA 1997</w:t>
            </w:r>
          </w:p>
        </w:tc>
        <w:tc>
          <w:tcPr>
            <w:tcW w:w="6393" w:type="dxa"/>
          </w:tcPr>
          <w:p w:rsidR="00723BAB" w:rsidRPr="00D455EB" w:rsidRDefault="00723BAB" w:rsidP="00E03946">
            <w:pPr>
              <w:rPr>
                <w:rFonts w:cs="Calibri"/>
                <w:sz w:val="20"/>
              </w:rPr>
            </w:pPr>
            <w:r w:rsidRPr="00D455EB">
              <w:rPr>
                <w:rFonts w:cs="Calibri"/>
                <w:i/>
                <w:sz w:val="20"/>
              </w:rPr>
              <w:t>Income Tax Assessment Act 1997</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MIT</w:t>
            </w:r>
          </w:p>
        </w:tc>
        <w:tc>
          <w:tcPr>
            <w:tcW w:w="6393" w:type="dxa"/>
          </w:tcPr>
          <w:p w:rsidR="00723BAB" w:rsidRPr="00D455EB" w:rsidRDefault="00723BAB" w:rsidP="00A14083">
            <w:pPr>
              <w:rPr>
                <w:rFonts w:cs="Calibri"/>
                <w:sz w:val="20"/>
              </w:rPr>
            </w:pPr>
            <w:r w:rsidRPr="00D455EB">
              <w:rPr>
                <w:rFonts w:cs="Calibri"/>
                <w:sz w:val="20"/>
              </w:rPr>
              <w:t>managed investment trust</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NANE income</w:t>
            </w:r>
          </w:p>
        </w:tc>
        <w:tc>
          <w:tcPr>
            <w:tcW w:w="6393" w:type="dxa"/>
          </w:tcPr>
          <w:p w:rsidR="00723BAB" w:rsidRPr="00D455EB" w:rsidRDefault="00723BAB" w:rsidP="00E03946">
            <w:pPr>
              <w:rPr>
                <w:rFonts w:cs="Calibri"/>
                <w:i/>
                <w:sz w:val="20"/>
              </w:rPr>
            </w:pPr>
            <w:r w:rsidRPr="00D455EB">
              <w:rPr>
                <w:rFonts w:cs="Calibri"/>
                <w:sz w:val="20"/>
              </w:rPr>
              <w:t>non</w:t>
            </w:r>
            <w:r w:rsidRPr="00D455EB">
              <w:rPr>
                <w:rFonts w:cs="Calibri"/>
                <w:sz w:val="20"/>
              </w:rPr>
              <w:noBreakHyphen/>
              <w:t>assessable non</w:t>
            </w:r>
            <w:r w:rsidRPr="00D455EB">
              <w:rPr>
                <w:rFonts w:cs="Calibri"/>
                <w:sz w:val="20"/>
              </w:rPr>
              <w:noBreakHyphen/>
              <w:t>exempt income</w:t>
            </w:r>
          </w:p>
        </w:tc>
      </w:tr>
      <w:tr w:rsidR="00723BAB" w:rsidRPr="00D455EB" w:rsidTr="000B2EED">
        <w:tc>
          <w:tcPr>
            <w:tcW w:w="2135" w:type="dxa"/>
          </w:tcPr>
          <w:p w:rsidR="00723BAB" w:rsidRPr="00D455EB" w:rsidRDefault="00723BAB" w:rsidP="00E03946">
            <w:pPr>
              <w:rPr>
                <w:rFonts w:cs="Calibri"/>
                <w:sz w:val="20"/>
              </w:rPr>
            </w:pPr>
            <w:r w:rsidRPr="00D455EB">
              <w:rPr>
                <w:rFonts w:cs="Calibri"/>
                <w:sz w:val="20"/>
              </w:rPr>
              <w:t>TAA 1953</w:t>
            </w:r>
          </w:p>
          <w:p w:rsidR="00723BAB" w:rsidRPr="00D455EB" w:rsidRDefault="00723BAB" w:rsidP="00E03946">
            <w:pPr>
              <w:rPr>
                <w:rFonts w:cs="Calibri"/>
                <w:sz w:val="20"/>
              </w:rPr>
            </w:pPr>
            <w:r w:rsidRPr="00D455EB">
              <w:rPr>
                <w:rFonts w:cs="Calibri"/>
                <w:sz w:val="20"/>
              </w:rPr>
              <w:t>2011 paper</w:t>
            </w:r>
          </w:p>
        </w:tc>
        <w:tc>
          <w:tcPr>
            <w:tcW w:w="6393" w:type="dxa"/>
          </w:tcPr>
          <w:p w:rsidR="00723BAB" w:rsidRPr="00D455EB" w:rsidRDefault="00723BAB" w:rsidP="00E03946">
            <w:pPr>
              <w:rPr>
                <w:rFonts w:cs="Calibri"/>
                <w:i/>
                <w:sz w:val="20"/>
              </w:rPr>
            </w:pPr>
            <w:r w:rsidRPr="00D455EB">
              <w:rPr>
                <w:rFonts w:cs="Calibri"/>
                <w:i/>
                <w:sz w:val="20"/>
              </w:rPr>
              <w:t>Taxation Administration Act 1953</w:t>
            </w:r>
          </w:p>
          <w:p w:rsidR="00723BAB" w:rsidRPr="00D455EB" w:rsidRDefault="00723BAB" w:rsidP="008C4FFF">
            <w:pPr>
              <w:rPr>
                <w:rFonts w:cs="Calibri"/>
                <w:i/>
                <w:sz w:val="20"/>
              </w:rPr>
            </w:pPr>
            <w:r w:rsidRPr="00D455EB">
              <w:rPr>
                <w:rFonts w:cs="Calibri"/>
                <w:i/>
                <w:sz w:val="20"/>
              </w:rPr>
              <w:t>Modernising the taxation of trust income — options for reform</w:t>
            </w:r>
            <w:r w:rsidRPr="00D455EB">
              <w:rPr>
                <w:rFonts w:cs="Calibri"/>
                <w:sz w:val="20"/>
              </w:rPr>
              <w:t>, November 2011</w:t>
            </w:r>
          </w:p>
        </w:tc>
      </w:tr>
    </w:tbl>
    <w:p w:rsidR="00723BAB" w:rsidRDefault="00723BAB" w:rsidP="008C4FFF">
      <w:pPr>
        <w:pStyle w:val="Heading1"/>
      </w:pPr>
      <w:r>
        <w:rPr>
          <w:rFonts w:cs="Calibri"/>
        </w:rPr>
        <w:br w:type="page"/>
      </w:r>
      <w:bookmarkStart w:id="9" w:name="_Toc331000829"/>
      <w:bookmarkStart w:id="10" w:name="_Toc334079831"/>
      <w:bookmarkStart w:id="11" w:name="_Toc338405392"/>
      <w:r>
        <w:rPr>
          <w:rFonts w:cs="Calibri"/>
        </w:rPr>
        <w:t xml:space="preserve">1.  </w:t>
      </w:r>
      <w:r>
        <w:t>Introduction</w:t>
      </w:r>
      <w:bookmarkEnd w:id="9"/>
      <w:bookmarkEnd w:id="10"/>
      <w:bookmarkEnd w:id="11"/>
    </w:p>
    <w:p w:rsidR="00723BAB" w:rsidRPr="005C789A" w:rsidRDefault="00723BAB" w:rsidP="005C789A">
      <w:pPr>
        <w:pStyle w:val="Heading2"/>
      </w:pPr>
      <w:bookmarkStart w:id="12" w:name="_Toc334079832"/>
      <w:bookmarkStart w:id="13" w:name="_Toc338405393"/>
      <w:r>
        <w:t>Background</w:t>
      </w:r>
      <w:bookmarkEnd w:id="12"/>
      <w:bookmarkEnd w:id="13"/>
    </w:p>
    <w:p w:rsidR="00723BAB" w:rsidRDefault="00723BAB" w:rsidP="005C789A">
      <w:r>
        <w:t xml:space="preserve">In December 2009, the </w:t>
      </w:r>
      <w:r w:rsidRPr="00A32BD0">
        <w:rPr>
          <w:i/>
        </w:rPr>
        <w:t>Australia’s Future Tax System Review</w:t>
      </w:r>
      <w:r>
        <w:t xml:space="preserve"> recommended that the rules relating to the taxation of trusts be updated and rewritten to reduce complexity and uncertainty around their application.</w:t>
      </w:r>
      <w:r>
        <w:rPr>
          <w:rStyle w:val="FootnoteReference"/>
        </w:rPr>
        <w:footnoteReference w:id="1"/>
      </w:r>
      <w:r>
        <w:t xml:space="preserve"> </w:t>
      </w:r>
    </w:p>
    <w:p w:rsidR="00723BAB" w:rsidRDefault="00723BAB" w:rsidP="005C789A">
      <w:r>
        <w:t>The Government announced it would conduct public consultation as a first step to updating and rewriting the trust income tax provisions</w:t>
      </w:r>
      <w:r w:rsidR="00A12169">
        <w:t>, drawing on the expertise of the private sector</w:t>
      </w:r>
      <w:r>
        <w:t>.</w:t>
      </w:r>
      <w:r>
        <w:rPr>
          <w:rStyle w:val="FootnoteReference"/>
        </w:rPr>
        <w:footnoteReference w:id="2"/>
      </w:r>
    </w:p>
    <w:p w:rsidR="00723BAB" w:rsidRPr="001049C4" w:rsidRDefault="00723BAB" w:rsidP="005C789A">
      <w:pPr>
        <w:rPr>
          <w:color w:val="FF0000"/>
        </w:rPr>
      </w:pPr>
      <w:r>
        <w:t xml:space="preserve">The initial consultation paper, </w:t>
      </w:r>
      <w:r>
        <w:rPr>
          <w:i/>
        </w:rPr>
        <w:t>Mod</w:t>
      </w:r>
      <w:r w:rsidR="00324E39">
        <w:rPr>
          <w:i/>
        </w:rPr>
        <w:t>ernising the taxation of trust i</w:t>
      </w:r>
      <w:r>
        <w:rPr>
          <w:i/>
        </w:rPr>
        <w:t>ncome – options for reform</w:t>
      </w:r>
      <w:r>
        <w:t xml:space="preserve"> (the 2011 paper), explained that any options for reform would be developed within the broad policy framework currently applying to the taxation of trust income. Specifically, it noted that the taxable income of a trust would continue to be assessed primarily to beneficiaries, with trustees being assessed </w:t>
      </w:r>
      <w:r w:rsidR="00324E39">
        <w:t xml:space="preserve">only </w:t>
      </w:r>
      <w:r>
        <w:t>to the extent that amounts of taxable income were not otherwise assessed to beneficiaries. The Government has also announced that the reform options would not include taxing trusts like companies</w:t>
      </w:r>
      <w:r w:rsidR="00F67FA3">
        <w:rPr>
          <w:rStyle w:val="FootnoteReference"/>
        </w:rPr>
        <w:footnoteReference w:id="3"/>
      </w:r>
      <w:r w:rsidR="00F67FA3">
        <w:t>,</w:t>
      </w:r>
      <w:r>
        <w:t xml:space="preserve"> which would be a major departure from current law.</w:t>
      </w:r>
      <w:r>
        <w:rPr>
          <w:rStyle w:val="FootnoteReference"/>
        </w:rPr>
        <w:footnoteReference w:id="4"/>
      </w:r>
      <w:r>
        <w:rPr>
          <w:color w:val="FF0000"/>
        </w:rPr>
        <w:t xml:space="preserve">  </w:t>
      </w:r>
    </w:p>
    <w:p w:rsidR="00723BAB" w:rsidRDefault="00723BAB" w:rsidP="005C789A">
      <w:r>
        <w:t>The models for taxing trust income discussed in this paper are consistent with this framework and are also consistent with the five policy principles outlined in the 2011 paper. Those principles are:</w:t>
      </w:r>
    </w:p>
    <w:p w:rsidR="00723BAB" w:rsidRDefault="00723BAB" w:rsidP="008C4FFF">
      <w:pPr>
        <w:pStyle w:val="OutlineNumbered1"/>
        <w:numPr>
          <w:ilvl w:val="0"/>
          <w:numId w:val="25"/>
        </w:numPr>
      </w:pPr>
      <w:r>
        <w:t>Tax liabilities in respect of the income and gains of a trust should ‘follow the money’ in that they should attach to the entities that receive the economic benefits from the trust.</w:t>
      </w:r>
    </w:p>
    <w:p w:rsidR="00723BAB" w:rsidRDefault="00723BAB" w:rsidP="008C4FFF">
      <w:pPr>
        <w:pStyle w:val="OutlineNumbered1"/>
        <w:numPr>
          <w:ilvl w:val="0"/>
          <w:numId w:val="25"/>
        </w:numPr>
      </w:pPr>
      <w:r>
        <w:t xml:space="preserve">The provisions governing the taxation of trust income should be conceptually robust, so as to minimise both anomalous results and opportunities to manipulate tax liabilities. </w:t>
      </w:r>
    </w:p>
    <w:p w:rsidR="00723BAB" w:rsidRDefault="00723BAB" w:rsidP="008C4FFF">
      <w:pPr>
        <w:pStyle w:val="OutlineNumbered1"/>
        <w:numPr>
          <w:ilvl w:val="0"/>
          <w:numId w:val="25"/>
        </w:numPr>
      </w:pPr>
      <w:r>
        <w:t xml:space="preserve">The provisions governing the taxation of trust income should provide certainty and minimise compliance costs and complexity. </w:t>
      </w:r>
    </w:p>
    <w:p w:rsidR="00723BAB" w:rsidRDefault="00723BAB" w:rsidP="008C4FFF">
      <w:pPr>
        <w:pStyle w:val="OutlineNumbered1"/>
        <w:numPr>
          <w:ilvl w:val="0"/>
          <w:numId w:val="25"/>
        </w:numPr>
      </w:pPr>
      <w:r>
        <w:t xml:space="preserve">It should be clear whether amounts obtained by trustees retain their character and source when they flow through, or are assessed, to beneficiaries. </w:t>
      </w:r>
    </w:p>
    <w:p w:rsidR="00723BAB" w:rsidRPr="00497418" w:rsidRDefault="00723BAB" w:rsidP="008C4FFF">
      <w:pPr>
        <w:pStyle w:val="OutlineNumbered1"/>
        <w:numPr>
          <w:ilvl w:val="0"/>
          <w:numId w:val="25"/>
        </w:numPr>
      </w:pPr>
      <w:r>
        <w:t>Trust losses should generally be trapped in trusts subject to limited special rules for their use.</w:t>
      </w:r>
    </w:p>
    <w:p w:rsidR="00723BAB" w:rsidRDefault="00723BAB" w:rsidP="005C789A">
      <w:r>
        <w:t xml:space="preserve">The models aim to provide tax treatment that is as simple as possible whilst working within the above parameters. However, trusts may be used for complex purposes, and interactions between trust and tax law present challenges for reforms which aim to reduce complexity and uncertainty. The development of both the ‘economic benefits model’ (EBM) and the ‘proportionate assessment model’ (PAM) therefore represent an effort to effectively balance the competing policy considerations, and achieve appropriate tax outcomes for users of trusts. </w:t>
      </w:r>
    </w:p>
    <w:p w:rsidR="00723BAB" w:rsidRDefault="00723BAB" w:rsidP="001460A9">
      <w:r>
        <w:t xml:space="preserve">The EBM uses tax concepts to determine how different amounts should be dealt with for tax purposes. This contrasts with the PAM, which uses general concepts of profit to determine tax outcomes. Both models presuppose compliance with the trust deed and trust law more generally, but move away from relying on the deed’s labelling of amounts as income or capital to determine tax outcomes. </w:t>
      </w:r>
    </w:p>
    <w:p w:rsidR="000F2E89" w:rsidRDefault="000F2E89" w:rsidP="001460A9">
      <w:r>
        <w:t xml:space="preserve">The models are options for reform </w:t>
      </w:r>
      <w:r w:rsidR="007950D5">
        <w:t>that the Government is considering</w:t>
      </w:r>
      <w:r w:rsidR="00C641A6">
        <w:t xml:space="preserve"> and t</w:t>
      </w:r>
      <w:r w:rsidR="00DF5526">
        <w:t>he Government welcomes stakeholder views on the</w:t>
      </w:r>
      <w:r w:rsidR="00C641A6">
        <w:t xml:space="preserve">m.  </w:t>
      </w:r>
      <w:r>
        <w:t xml:space="preserve">  </w:t>
      </w:r>
    </w:p>
    <w:p w:rsidR="00723BAB" w:rsidRDefault="00723BAB" w:rsidP="001460A9">
      <w:pPr>
        <w:pStyle w:val="Heading2"/>
      </w:pPr>
      <w:bookmarkStart w:id="14" w:name="_Toc334079833"/>
      <w:bookmarkStart w:id="15" w:name="_Toc338405394"/>
      <w:r>
        <w:t>Structure of the paper</w:t>
      </w:r>
      <w:bookmarkEnd w:id="14"/>
      <w:bookmarkEnd w:id="15"/>
    </w:p>
    <w:p w:rsidR="00723BAB" w:rsidRPr="00F67FA3" w:rsidRDefault="00723BAB" w:rsidP="005C789A">
      <w:pPr>
        <w:rPr>
          <w:szCs w:val="22"/>
        </w:rPr>
      </w:pPr>
      <w:r>
        <w:t xml:space="preserve">There are a number of features that will apply to the new arrangements for taxing trust income (Chapter 2), whichever model is eventually progressed. These features are described before the models so that readers can understand the broad framework in which the models would operate.  The models </w:t>
      </w:r>
      <w:r w:rsidRPr="00F67FA3">
        <w:rPr>
          <w:szCs w:val="22"/>
        </w:rPr>
        <w:t>articulated in this paper are the:</w:t>
      </w:r>
    </w:p>
    <w:p w:rsidR="00723BAB" w:rsidRPr="00F67FA3" w:rsidRDefault="00723BAB" w:rsidP="005E11F4">
      <w:pPr>
        <w:pStyle w:val="Bullet"/>
        <w:rPr>
          <w:sz w:val="22"/>
          <w:szCs w:val="22"/>
        </w:rPr>
      </w:pPr>
      <w:r w:rsidRPr="00F67FA3">
        <w:rPr>
          <w:sz w:val="22"/>
          <w:szCs w:val="22"/>
        </w:rPr>
        <w:t>EBM (formerly the ‘trustee</w:t>
      </w:r>
      <w:r w:rsidR="00324E39">
        <w:rPr>
          <w:sz w:val="22"/>
          <w:szCs w:val="22"/>
        </w:rPr>
        <w:t xml:space="preserve"> assessment and deduction’ model</w:t>
      </w:r>
      <w:r w:rsidRPr="00F67FA3">
        <w:rPr>
          <w:sz w:val="22"/>
          <w:szCs w:val="22"/>
        </w:rPr>
        <w:t xml:space="preserve"> (TAD)) in Chapter 3; and</w:t>
      </w:r>
    </w:p>
    <w:p w:rsidR="00723BAB" w:rsidRPr="00F67FA3" w:rsidRDefault="00723BAB" w:rsidP="005E11F4">
      <w:pPr>
        <w:pStyle w:val="Bullet"/>
        <w:rPr>
          <w:sz w:val="22"/>
          <w:szCs w:val="22"/>
        </w:rPr>
      </w:pPr>
      <w:r w:rsidRPr="00F67FA3">
        <w:rPr>
          <w:sz w:val="22"/>
          <w:szCs w:val="22"/>
        </w:rPr>
        <w:t>PAM (formerly the ‘p</w:t>
      </w:r>
      <w:r w:rsidR="00324E39">
        <w:rPr>
          <w:sz w:val="22"/>
          <w:szCs w:val="22"/>
        </w:rPr>
        <w:t>roportionate within class’ model</w:t>
      </w:r>
      <w:r w:rsidRPr="00F67FA3">
        <w:rPr>
          <w:sz w:val="22"/>
          <w:szCs w:val="22"/>
        </w:rPr>
        <w:t xml:space="preserve"> (PWC)) in Chapter 4.</w:t>
      </w:r>
    </w:p>
    <w:p w:rsidR="00723BAB" w:rsidRDefault="00723BAB" w:rsidP="005C789A">
      <w:r>
        <w:t xml:space="preserve">An example of the application of both models to a discretionary trust is provided, as well as a comparison with the application of the current law (Appendix A). Diagrammatic representations of both models are </w:t>
      </w:r>
      <w:r w:rsidR="00324E39">
        <w:t xml:space="preserve">also </w:t>
      </w:r>
      <w:r>
        <w:t>provided to assist the reader’s understanding (Appendix B).</w:t>
      </w:r>
    </w:p>
    <w:p w:rsidR="00723BAB" w:rsidRDefault="00723BAB" w:rsidP="005C789A">
      <w:r>
        <w:t>In addition, the paper also canvasses two issues that will affect the scope of new arrangements for taxing trust income (</w:t>
      </w:r>
      <w:r w:rsidRPr="00AB686B">
        <w:t>Chapter 5</w:t>
      </w:r>
      <w:r>
        <w:t xml:space="preserve">). These are the treatment of tax preferred amounts and the possible exclusion of bare trusts from the new arrangements.  </w:t>
      </w:r>
    </w:p>
    <w:p w:rsidR="00723BAB" w:rsidRPr="00E0045E" w:rsidRDefault="00723BAB" w:rsidP="005C789A">
      <w:r>
        <w:t>Some questions are provided throughout the paper (and listed at Appendix C) to focus the reader’s attention on specific policy issues, but submissions are encouraged on any aspect of the c</w:t>
      </w:r>
      <w:r w:rsidR="00F67FA3">
        <w:t>ore</w:t>
      </w:r>
      <w:r>
        <w:t xml:space="preserve"> features, scope, or models.  </w:t>
      </w:r>
    </w:p>
    <w:p w:rsidR="00723BAB" w:rsidRDefault="00723BAB">
      <w:pPr>
        <w:spacing w:after="0" w:line="240" w:lineRule="auto"/>
        <w:rPr>
          <w:rFonts w:ascii="Cambria" w:hAnsi="Cambria" w:cs="Arial"/>
          <w:bCs/>
          <w:iCs/>
          <w:color w:val="4F81BD"/>
          <w:sz w:val="28"/>
          <w:szCs w:val="28"/>
        </w:rPr>
      </w:pPr>
      <w:r>
        <w:br w:type="page"/>
      </w:r>
    </w:p>
    <w:p w:rsidR="00723BAB" w:rsidRDefault="00723BAB" w:rsidP="008C4FFF">
      <w:pPr>
        <w:pStyle w:val="Heading2"/>
        <w:spacing w:after="360"/>
        <w:ind w:left="567" w:hanging="567"/>
      </w:pPr>
      <w:bookmarkStart w:id="16" w:name="_Toc334079834"/>
      <w:bookmarkStart w:id="17" w:name="_Toc338405395"/>
      <w:r>
        <w:t>Comparison of current law and new models</w:t>
      </w:r>
      <w:bookmarkEnd w:id="16"/>
      <w:bookmarkEnd w:id="17"/>
    </w:p>
    <w:tbl>
      <w:tblPr>
        <w:tblW w:w="5000" w:type="pct"/>
        <w:tblLook w:val="01E0" w:firstRow="1" w:lastRow="1" w:firstColumn="1" w:lastColumn="1" w:noHBand="0" w:noVBand="0"/>
      </w:tblPr>
      <w:tblGrid>
        <w:gridCol w:w="3082"/>
        <w:gridCol w:w="3154"/>
        <w:gridCol w:w="3340"/>
      </w:tblGrid>
      <w:tr w:rsidR="00723BAB" w:rsidRPr="00D455EB" w:rsidTr="00045E52">
        <w:trPr>
          <w:tblHeader/>
        </w:trPr>
        <w:tc>
          <w:tcPr>
            <w:tcW w:w="1609" w:type="pct"/>
            <w:shd w:val="clear" w:color="auto" w:fill="4F81BD"/>
          </w:tcPr>
          <w:p w:rsidR="00723BAB" w:rsidRPr="00D455EB" w:rsidRDefault="00723BAB" w:rsidP="001E0B00">
            <w:pPr>
              <w:spacing w:before="120" w:after="120"/>
              <w:rPr>
                <w:b/>
              </w:rPr>
            </w:pPr>
            <w:r w:rsidRPr="00D455EB">
              <w:rPr>
                <w:b/>
              </w:rPr>
              <w:t>CURRENT LAW</w:t>
            </w:r>
          </w:p>
        </w:tc>
        <w:tc>
          <w:tcPr>
            <w:tcW w:w="1647" w:type="pct"/>
            <w:shd w:val="clear" w:color="auto" w:fill="4F81BD"/>
          </w:tcPr>
          <w:p w:rsidR="00723BAB" w:rsidRPr="00D455EB" w:rsidRDefault="00723BAB" w:rsidP="008C4FFF">
            <w:pPr>
              <w:spacing w:before="120" w:after="120"/>
              <w:rPr>
                <w:b/>
              </w:rPr>
            </w:pPr>
            <w:r w:rsidRPr="00D455EB">
              <w:rPr>
                <w:b/>
              </w:rPr>
              <w:t>EBM</w:t>
            </w:r>
          </w:p>
        </w:tc>
        <w:tc>
          <w:tcPr>
            <w:tcW w:w="1744" w:type="pct"/>
            <w:shd w:val="clear" w:color="auto" w:fill="4F81BD"/>
          </w:tcPr>
          <w:p w:rsidR="00723BAB" w:rsidRPr="00D455EB" w:rsidRDefault="00723BAB" w:rsidP="001E0B00">
            <w:pPr>
              <w:spacing w:before="120" w:after="120"/>
              <w:rPr>
                <w:b/>
              </w:rPr>
            </w:pPr>
            <w:r w:rsidRPr="00D455EB">
              <w:rPr>
                <w:b/>
              </w:rPr>
              <w:t>PAM</w:t>
            </w:r>
          </w:p>
        </w:tc>
      </w:tr>
      <w:tr w:rsidR="00723BAB" w:rsidRPr="00D455EB" w:rsidTr="00045E52">
        <w:tc>
          <w:tcPr>
            <w:tcW w:w="5000" w:type="pct"/>
            <w:gridSpan w:val="3"/>
            <w:shd w:val="clear" w:color="auto" w:fill="D2DFEE"/>
          </w:tcPr>
          <w:p w:rsidR="00723BAB" w:rsidRPr="00D455EB" w:rsidRDefault="00723BAB" w:rsidP="002E1ECB">
            <w:pPr>
              <w:numPr>
                <w:ilvl w:val="0"/>
                <w:numId w:val="8"/>
              </w:numPr>
              <w:spacing w:before="120" w:after="0" w:line="240" w:lineRule="auto"/>
              <w:rPr>
                <w:b/>
              </w:rPr>
            </w:pPr>
            <w:r w:rsidRPr="00D455EB">
              <w:rPr>
                <w:b/>
              </w:rPr>
              <w:t>Basis for assessment</w:t>
            </w:r>
          </w:p>
        </w:tc>
      </w:tr>
      <w:tr w:rsidR="00723BAB" w:rsidRPr="00D455EB" w:rsidTr="00045E52">
        <w:tc>
          <w:tcPr>
            <w:tcW w:w="1609" w:type="pct"/>
            <w:shd w:val="clear" w:color="auto" w:fill="D2DFEE"/>
          </w:tcPr>
          <w:p w:rsidR="00723BAB" w:rsidRPr="00D455EB" w:rsidRDefault="00723BAB" w:rsidP="001E0B00">
            <w:pPr>
              <w:spacing w:before="120" w:after="120"/>
            </w:pPr>
            <w:r w:rsidRPr="00D455EB">
              <w:t>Beneficiaries are assessed on a share of the trust’s net income, based on their present entitlement to a share of the income of the trust estate.</w:t>
            </w:r>
          </w:p>
          <w:p w:rsidR="00723BAB" w:rsidRPr="00D455EB" w:rsidRDefault="00723BAB" w:rsidP="001E0B00">
            <w:pPr>
              <w:spacing w:before="120" w:after="120"/>
            </w:pPr>
            <w:r w:rsidRPr="00D455EB">
              <w:t>Trustees are assessed on net income that is not assessed to beneficiaries.</w:t>
            </w:r>
          </w:p>
        </w:tc>
        <w:tc>
          <w:tcPr>
            <w:tcW w:w="1647" w:type="pct"/>
            <w:shd w:val="clear" w:color="auto" w:fill="D2DFEE"/>
          </w:tcPr>
          <w:p w:rsidR="00723BAB" w:rsidRPr="00D455EB" w:rsidRDefault="00723BAB" w:rsidP="001E0B00">
            <w:pPr>
              <w:spacing w:before="120" w:after="120"/>
            </w:pPr>
            <w:r w:rsidRPr="00D455EB">
              <w:t>Beneficiaries are assessed on amounts distributed or allocated to them that represent amounts of the trust’s taxable income.</w:t>
            </w:r>
          </w:p>
          <w:p w:rsidR="00723BAB" w:rsidRPr="00D455EB" w:rsidRDefault="00723BAB" w:rsidP="001E0B00">
            <w:pPr>
              <w:spacing w:before="120" w:after="120"/>
            </w:pPr>
            <w:r w:rsidRPr="00D455EB">
              <w:t>Trustees are assessed on amounts representing taxable income that are not distributed or allocated to beneficiaries.</w:t>
            </w:r>
          </w:p>
        </w:tc>
        <w:tc>
          <w:tcPr>
            <w:tcW w:w="1744" w:type="pct"/>
            <w:shd w:val="clear" w:color="auto" w:fill="D2DFEE"/>
          </w:tcPr>
          <w:p w:rsidR="00723BAB" w:rsidRPr="00D455EB" w:rsidRDefault="00723BAB" w:rsidP="001E0B00">
            <w:pPr>
              <w:spacing w:before="120" w:after="120"/>
            </w:pPr>
            <w:r w:rsidRPr="00D455EB">
              <w:t xml:space="preserve">Beneficiaries are assessed on a share of the trust’s taxable income based on their present entitlement to a share of the trust profit or class amounts. </w:t>
            </w:r>
          </w:p>
          <w:p w:rsidR="00723BAB" w:rsidRPr="00D455EB" w:rsidRDefault="00723BAB" w:rsidP="001E0B00">
            <w:pPr>
              <w:spacing w:before="120" w:after="120"/>
            </w:pPr>
            <w:r w:rsidRPr="00D455EB">
              <w:t xml:space="preserve">Trustees are assessed on taxable income that is not assessed to beneficiaries. </w:t>
            </w:r>
          </w:p>
        </w:tc>
      </w:tr>
      <w:tr w:rsidR="00723BAB" w:rsidRPr="00D455EB" w:rsidTr="00045E52">
        <w:tc>
          <w:tcPr>
            <w:tcW w:w="5000" w:type="pct"/>
            <w:gridSpan w:val="3"/>
            <w:shd w:val="clear" w:color="auto" w:fill="D2DFEE"/>
          </w:tcPr>
          <w:p w:rsidR="00723BAB" w:rsidRPr="00F67FA3" w:rsidRDefault="00723BAB" w:rsidP="00416428">
            <w:pPr>
              <w:keepNext/>
              <w:numPr>
                <w:ilvl w:val="0"/>
                <w:numId w:val="8"/>
              </w:numPr>
              <w:spacing w:before="120" w:after="0" w:line="240" w:lineRule="auto"/>
              <w:ind w:left="714" w:hanging="357"/>
              <w:rPr>
                <w:rFonts w:ascii="Cambria" w:hAnsi="Cambria"/>
                <w:b/>
                <w:bCs/>
              </w:rPr>
            </w:pPr>
            <w:r w:rsidRPr="00F67FA3">
              <w:rPr>
                <w:b/>
              </w:rPr>
              <w:t>Character retention and streaming</w:t>
            </w:r>
          </w:p>
        </w:tc>
      </w:tr>
      <w:tr w:rsidR="00723BAB" w:rsidRPr="00D455EB" w:rsidTr="00045E52">
        <w:tc>
          <w:tcPr>
            <w:tcW w:w="1609" w:type="pct"/>
            <w:shd w:val="clear" w:color="auto" w:fill="D2DFEE"/>
          </w:tcPr>
          <w:p w:rsidR="00723BAB" w:rsidRPr="00D455EB" w:rsidRDefault="00723BAB" w:rsidP="007B3B77">
            <w:pPr>
              <w:spacing w:before="120" w:after="120"/>
            </w:pPr>
            <w:r w:rsidRPr="00D455EB">
              <w:t>Capital gains and franked distributions can be streamed to beneficiaries.</w:t>
            </w:r>
          </w:p>
          <w:p w:rsidR="00723BAB" w:rsidRPr="00D455EB" w:rsidRDefault="00723BAB" w:rsidP="004F7F0A">
            <w:pPr>
              <w:spacing w:before="120" w:after="120"/>
            </w:pPr>
            <w:r w:rsidRPr="00D455EB">
              <w:t>These amounts retain their tax character when assessed to beneficiaries.</w:t>
            </w:r>
          </w:p>
        </w:tc>
        <w:tc>
          <w:tcPr>
            <w:tcW w:w="1647" w:type="pct"/>
            <w:shd w:val="clear" w:color="auto" w:fill="D2DFEE"/>
          </w:tcPr>
          <w:p w:rsidR="00723BAB" w:rsidRPr="00D455EB" w:rsidRDefault="00723BAB" w:rsidP="001E0B00">
            <w:pPr>
              <w:spacing w:before="120" w:after="120"/>
            </w:pPr>
            <w:r w:rsidRPr="00D455EB">
              <w:t>Amounts representing the trust’s taxable income retain their tax character when distributed or allocated to beneficiaries, except where other parts of the tax law limit character retention.</w:t>
            </w:r>
          </w:p>
          <w:p w:rsidR="00723BAB" w:rsidRPr="00D455EB" w:rsidRDefault="00723BAB" w:rsidP="001E0B00">
            <w:pPr>
              <w:spacing w:before="120" w:after="120"/>
            </w:pPr>
            <w:r w:rsidRPr="00D455EB">
              <w:t>All amounts can be streamed to beneficiaries.</w:t>
            </w:r>
          </w:p>
        </w:tc>
        <w:tc>
          <w:tcPr>
            <w:tcW w:w="1744" w:type="pct"/>
            <w:shd w:val="clear" w:color="auto" w:fill="D2DFEE"/>
          </w:tcPr>
          <w:p w:rsidR="00723BAB" w:rsidRPr="00D455EB" w:rsidRDefault="00723BAB" w:rsidP="001E0B00">
            <w:pPr>
              <w:spacing w:before="120" w:after="120"/>
            </w:pPr>
            <w:r w:rsidRPr="00D455EB">
              <w:t>Classes of taxable income assessed to beneficiaries retain their tax character, except where other parts of the tax law limit character retention.</w:t>
            </w:r>
          </w:p>
          <w:p w:rsidR="00723BAB" w:rsidRPr="00D455EB" w:rsidRDefault="00723BAB" w:rsidP="001E0B00">
            <w:pPr>
              <w:spacing w:before="120" w:after="120"/>
            </w:pPr>
            <w:r w:rsidRPr="00D455EB">
              <w:t>All amounts can be streamed to beneficiaries.</w:t>
            </w:r>
          </w:p>
        </w:tc>
      </w:tr>
      <w:tr w:rsidR="00723BAB" w:rsidRPr="00D455EB" w:rsidTr="00045E52">
        <w:tc>
          <w:tcPr>
            <w:tcW w:w="5000" w:type="pct"/>
            <w:gridSpan w:val="3"/>
            <w:shd w:val="clear" w:color="auto" w:fill="D2DFEE"/>
          </w:tcPr>
          <w:p w:rsidR="00723BAB" w:rsidRPr="00D455EB" w:rsidRDefault="00723BAB" w:rsidP="002E1ECB">
            <w:pPr>
              <w:numPr>
                <w:ilvl w:val="0"/>
                <w:numId w:val="8"/>
              </w:numPr>
              <w:spacing w:before="120" w:after="0" w:line="240" w:lineRule="auto"/>
              <w:rPr>
                <w:b/>
              </w:rPr>
            </w:pPr>
            <w:r w:rsidRPr="00D455EB">
              <w:rPr>
                <w:b/>
              </w:rPr>
              <w:t>Time for determining entitlements</w:t>
            </w:r>
          </w:p>
        </w:tc>
      </w:tr>
      <w:tr w:rsidR="00723BAB" w:rsidRPr="00D455EB" w:rsidTr="00045E52">
        <w:tc>
          <w:tcPr>
            <w:tcW w:w="1609" w:type="pct"/>
            <w:shd w:val="clear" w:color="auto" w:fill="D2DFEE"/>
          </w:tcPr>
          <w:p w:rsidR="00723BAB" w:rsidRPr="00D455EB" w:rsidRDefault="00723BAB" w:rsidP="00324E39">
            <w:pPr>
              <w:spacing w:before="120"/>
            </w:pPr>
            <w:r w:rsidRPr="00D455EB">
              <w:t>Trustees must determine beneficiary entitlements by 30</w:t>
            </w:r>
            <w:r w:rsidR="00324E39">
              <w:t> </w:t>
            </w:r>
            <w:r w:rsidRPr="00D455EB">
              <w:t>June, other than entitlements to capital gains, which may be determined up to 31 August.</w:t>
            </w:r>
          </w:p>
        </w:tc>
        <w:tc>
          <w:tcPr>
            <w:tcW w:w="1647" w:type="pct"/>
            <w:shd w:val="clear" w:color="auto" w:fill="D2DFEE"/>
          </w:tcPr>
          <w:p w:rsidR="00723BAB" w:rsidRPr="00D455EB" w:rsidRDefault="00723BAB" w:rsidP="000A117E">
            <w:pPr>
              <w:spacing w:before="120" w:after="120"/>
            </w:pPr>
            <w:r w:rsidRPr="00D455EB">
              <w:t>Trustees must declare distributions and allocations to beneficiaries by 31 August.</w:t>
            </w:r>
            <w:r w:rsidRPr="00D455EB">
              <w:rPr>
                <w:rStyle w:val="FootnoteReference"/>
              </w:rPr>
              <w:footnoteReference w:id="5"/>
            </w:r>
          </w:p>
          <w:p w:rsidR="00723BAB" w:rsidRPr="00D455EB" w:rsidRDefault="00723BAB" w:rsidP="003F08F3">
            <w:pPr>
              <w:spacing w:before="120" w:after="120"/>
            </w:pPr>
          </w:p>
        </w:tc>
        <w:tc>
          <w:tcPr>
            <w:tcW w:w="1744" w:type="pct"/>
            <w:shd w:val="clear" w:color="auto" w:fill="D2DFEE"/>
          </w:tcPr>
          <w:p w:rsidR="00723BAB" w:rsidRPr="00D455EB" w:rsidRDefault="00723BAB" w:rsidP="001E0B00">
            <w:pPr>
              <w:spacing w:before="120" w:after="120"/>
            </w:pPr>
            <w:r w:rsidRPr="00D455EB">
              <w:t>Trustees must determine beneficiary entitlements by 31 August.</w:t>
            </w:r>
          </w:p>
          <w:p w:rsidR="00723BAB" w:rsidRPr="00D455EB" w:rsidRDefault="00723BAB" w:rsidP="001E0B00">
            <w:pPr>
              <w:spacing w:before="120" w:after="120"/>
            </w:pPr>
          </w:p>
        </w:tc>
      </w:tr>
    </w:tbl>
    <w:p w:rsidR="00723BAB" w:rsidRDefault="00723BAB" w:rsidP="008C4FFF">
      <w:pPr>
        <w:pStyle w:val="Heading1"/>
      </w:pPr>
      <w:r>
        <w:br w:type="page"/>
      </w:r>
      <w:bookmarkStart w:id="18" w:name="_Toc334079835"/>
      <w:bookmarkStart w:id="19" w:name="_Toc338405396"/>
      <w:r>
        <w:t>2.  Core features of a new model for taxing trust income</w:t>
      </w:r>
      <w:bookmarkEnd w:id="18"/>
      <w:bookmarkEnd w:id="19"/>
    </w:p>
    <w:p w:rsidR="00723BAB" w:rsidRDefault="00723BAB" w:rsidP="00F67FA3">
      <w:r>
        <w:t>It is proposed that a</w:t>
      </w:r>
      <w:r w:rsidR="00C641A6">
        <w:t>ny</w:t>
      </w:r>
      <w:r>
        <w:t xml:space="preserve"> new model for taxing trust income should have the features described in this Chapter. These features recognise trusts as </w:t>
      </w:r>
      <w:r w:rsidR="003D7505">
        <w:t xml:space="preserve">primarily </w:t>
      </w:r>
      <w:r>
        <w:t>flow</w:t>
      </w:r>
      <w:r w:rsidR="003D7505">
        <w:noBreakHyphen/>
      </w:r>
      <w:r>
        <w:t xml:space="preserve">through vehicles, and attempt to balance the needs of taxpayers for certainty and flexibility within the broad policy parameters </w:t>
      </w:r>
      <w:r w:rsidR="003D7505">
        <w:t>that apply to the taxation of trust income</w:t>
      </w:r>
      <w:r>
        <w:t xml:space="preserve">. </w:t>
      </w:r>
    </w:p>
    <w:p w:rsidR="00723BAB" w:rsidRDefault="00723BAB" w:rsidP="00E844D5">
      <w:pPr>
        <w:pStyle w:val="Heading2"/>
        <w:ind w:left="567" w:hanging="567"/>
      </w:pPr>
      <w:bookmarkStart w:id="20" w:name="_Toc331000836"/>
      <w:bookmarkStart w:id="21" w:name="_Toc334079839"/>
      <w:bookmarkStart w:id="22" w:name="_Toc338405397"/>
      <w:r>
        <w:t>Providing certainty about character retention and streaming</w:t>
      </w:r>
      <w:bookmarkEnd w:id="20"/>
      <w:bookmarkEnd w:id="21"/>
      <w:bookmarkEnd w:id="22"/>
    </w:p>
    <w:p w:rsidR="00723BAB" w:rsidRDefault="00723BAB" w:rsidP="00E844D5">
      <w:pPr>
        <w:pStyle w:val="Heading3"/>
        <w:ind w:left="567" w:hanging="567"/>
      </w:pPr>
      <w:r>
        <w:t>Character retention</w:t>
      </w:r>
    </w:p>
    <w:p w:rsidR="00723BAB" w:rsidRDefault="00723BAB" w:rsidP="00115EEC">
      <w:r>
        <w:t xml:space="preserve">Under a flow-through approach, amounts derived by a trust are generally treated as retaining their character in the hands of beneficiaries. However, the High Court’s confirmation of the proportionate method of assessing trust income in the </w:t>
      </w:r>
      <w:r w:rsidRPr="00340864">
        <w:rPr>
          <w:i/>
        </w:rPr>
        <w:t>Bamford</w:t>
      </w:r>
      <w:r>
        <w:t xml:space="preserve"> case</w:t>
      </w:r>
      <w:r w:rsidRPr="00E17AA7">
        <w:rPr>
          <w:rStyle w:val="FootnoteReference"/>
        </w:rPr>
        <w:footnoteReference w:id="6"/>
      </w:r>
      <w:r>
        <w:t xml:space="preserve"> means that, in the absence of special rules, a beneficiary is assessed on a proportionate share of a blended amount of the trust’s taxable income.</w:t>
      </w:r>
    </w:p>
    <w:p w:rsidR="00723BAB" w:rsidRDefault="00723BAB" w:rsidP="00115EEC">
      <w:r>
        <w:t xml:space="preserve">In order to provide certainty, the Government introduced interim amendments in </w:t>
      </w:r>
      <w:r w:rsidRPr="00AA57BC">
        <w:t>2011</w:t>
      </w:r>
      <w:r>
        <w:t xml:space="preserve"> to ensure that capital gains and franked distributions retain their character for tax purposes.</w:t>
      </w:r>
      <w:r w:rsidRPr="001460A9">
        <w:rPr>
          <w:rStyle w:val="FootnoteReference"/>
        </w:rPr>
        <w:footnoteReference w:id="7"/>
      </w:r>
    </w:p>
    <w:p w:rsidR="00723BAB" w:rsidRDefault="00C641A6" w:rsidP="00115EEC">
      <w:r>
        <w:t xml:space="preserve">A </w:t>
      </w:r>
      <w:r w:rsidR="00723BAB">
        <w:t>new model would extend this certainty beyond capital gains and franked distributions so that all amounts that flow through a trust would retain the character that they had in the hands of the trustee when assessed to the beneficiaries</w:t>
      </w:r>
      <w:r w:rsidR="00723BAB" w:rsidRPr="000A117E">
        <w:t>, unless another part of the tax law requires that the amount be treated otherwise.</w:t>
      </w:r>
      <w:r w:rsidR="00723BAB" w:rsidRPr="004C5E56">
        <w:rPr>
          <w:rStyle w:val="FootnoteReference"/>
        </w:rPr>
        <w:t xml:space="preserve"> </w:t>
      </w:r>
    </w:p>
    <w:p w:rsidR="00723BAB" w:rsidRDefault="00723BAB" w:rsidP="00E17AA7">
      <w:pPr>
        <w:pStyle w:val="Heading3"/>
        <w:ind w:left="567" w:hanging="567"/>
      </w:pPr>
      <w:r>
        <w:t>Streaming</w:t>
      </w:r>
    </w:p>
    <w:p w:rsidR="003D7505" w:rsidRDefault="00723BAB" w:rsidP="00115EEC">
      <w:r>
        <w:t>If amounts did not retain their character, then there would be little benefit in streaming</w:t>
      </w:r>
      <w:r w:rsidR="00EA0979">
        <w:t xml:space="preserve"> </w:t>
      </w:r>
      <w:r>
        <w:t xml:space="preserve">—or directing — particular amounts to particular beneficiaries, as there would be no tax advantage to doing so. </w:t>
      </w:r>
    </w:p>
    <w:p w:rsidR="00723BAB" w:rsidRPr="00D96061" w:rsidRDefault="00723BAB" w:rsidP="00115EEC">
      <w:r>
        <w:t>The Government’s interim amendments clarify that capital gains and franked distributions can be streamed.</w:t>
      </w:r>
    </w:p>
    <w:p w:rsidR="00723BAB" w:rsidRDefault="00B55675" w:rsidP="00115EEC">
      <w:r>
        <w:t xml:space="preserve">A </w:t>
      </w:r>
      <w:r w:rsidR="00723BAB">
        <w:t>new model would extend this certainty beyond capital gains and franked distributions so that all amounts that flow through a trust can be streamed in a tax effective way to particular beneficiaries in accordance with the trust deed (subject to any other rules in the tax laws). This does not mean that there must be a separate and explicit streaming power in the trust deed; just that the trustee must comply with the trust deed</w:t>
      </w:r>
      <w:r w:rsidR="00F67FA3">
        <w:t xml:space="preserve"> and trust law more generally</w:t>
      </w:r>
      <w:r w:rsidR="00723BAB">
        <w:t>.</w:t>
      </w:r>
    </w:p>
    <w:p w:rsidR="00723BAB" w:rsidRDefault="00723BAB" w:rsidP="00E17AA7">
      <w:pPr>
        <w:pStyle w:val="Heading2"/>
        <w:ind w:left="567" w:hanging="567"/>
      </w:pPr>
      <w:bookmarkStart w:id="23" w:name="_Toc331000835"/>
      <w:bookmarkStart w:id="24" w:name="_Toc334079840"/>
      <w:bookmarkStart w:id="25" w:name="_Toc338405398"/>
      <w:bookmarkStart w:id="26" w:name="_Toc331000837"/>
      <w:r>
        <w:t>Allocation</w:t>
      </w:r>
      <w:bookmarkEnd w:id="23"/>
      <w:r>
        <w:t xml:space="preserve"> of deductions</w:t>
      </w:r>
      <w:bookmarkEnd w:id="24"/>
      <w:bookmarkEnd w:id="25"/>
    </w:p>
    <w:p w:rsidR="008205EC" w:rsidRDefault="00723BAB" w:rsidP="00115EEC">
      <w:r>
        <w:t>The way deductions are allocated against specific components of assessable income is significant because it can alter beneficiaries’ tax liabilities.</w:t>
      </w:r>
      <w:r w:rsidR="005D5381">
        <w:t xml:space="preserve"> </w:t>
      </w:r>
    </w:p>
    <w:p w:rsidR="008205EC" w:rsidRDefault="007950D5" w:rsidP="00115EEC">
      <w:r>
        <w:t xml:space="preserve">Currently, the </w:t>
      </w:r>
      <w:r w:rsidR="008205EC">
        <w:t>legislation</w:t>
      </w:r>
      <w:r>
        <w:t xml:space="preserve"> is silent on the manner in which deductions are allocated</w:t>
      </w:r>
      <w:r w:rsidR="008205EC">
        <w:t>.  However,</w:t>
      </w:r>
      <w:r w:rsidR="00F76BE2">
        <w:t xml:space="preserve"> some s</w:t>
      </w:r>
      <w:r>
        <w:t>ubmissions on the 2011 paper</w:t>
      </w:r>
      <w:r w:rsidR="00F76BE2">
        <w:t xml:space="preserve"> pointed to the principle of allocating </w:t>
      </w:r>
      <w:r w:rsidR="00324E39">
        <w:t>deduction</w:t>
      </w:r>
      <w:r w:rsidR="00F76BE2">
        <w:t xml:space="preserve">s on a ‘fair and reasonable basis’ established by the High Court in </w:t>
      </w:r>
      <w:r w:rsidR="00F76BE2" w:rsidRPr="009E6475">
        <w:rPr>
          <w:i/>
        </w:rPr>
        <w:t>Ronpibon Tin NL</w:t>
      </w:r>
      <w:r w:rsidR="0037492D" w:rsidRPr="00A35A13">
        <w:rPr>
          <w:rStyle w:val="FootnoteReference"/>
        </w:rPr>
        <w:footnoteReference w:id="8"/>
      </w:r>
      <w:r w:rsidR="00CA5CC4">
        <w:t xml:space="preserve"> and </w:t>
      </w:r>
      <w:r>
        <w:t xml:space="preserve">generally supported a continuation of this approach. </w:t>
      </w:r>
      <w:r w:rsidR="00B55675">
        <w:t xml:space="preserve"> </w:t>
      </w:r>
    </w:p>
    <w:p w:rsidR="003D7505" w:rsidRDefault="00CA5CC4" w:rsidP="00115EEC">
      <w:r>
        <w:t>However, o</w:t>
      </w:r>
      <w:r w:rsidR="008205EC">
        <w:t xml:space="preserve">ther submissions argued that there should be legislative principles for allocating deductions to provide more certainty for trustees and beneficiaries.  Any such </w:t>
      </w:r>
      <w:r w:rsidR="00F76BE2">
        <w:t>requirement</w:t>
      </w:r>
      <w:r w:rsidR="008205EC">
        <w:t xml:space="preserve"> c</w:t>
      </w:r>
      <w:r w:rsidR="00B55675">
        <w:t xml:space="preserve">ould be </w:t>
      </w:r>
      <w:r w:rsidR="00F76BE2">
        <w:t xml:space="preserve">developed using a </w:t>
      </w:r>
      <w:r w:rsidR="007950D5">
        <w:t>principles</w:t>
      </w:r>
      <w:r w:rsidR="00F76BE2">
        <w:noBreakHyphen/>
      </w:r>
      <w:r w:rsidR="007950D5">
        <w:t xml:space="preserve">based approach rather than </w:t>
      </w:r>
      <w:r w:rsidR="00B55675">
        <w:t xml:space="preserve">the </w:t>
      </w:r>
      <w:r w:rsidR="007950D5">
        <w:t>introduc</w:t>
      </w:r>
      <w:r w:rsidR="00B55675">
        <w:t xml:space="preserve">tion of </w:t>
      </w:r>
      <w:r w:rsidR="007950D5">
        <w:t xml:space="preserve">prescriptive </w:t>
      </w:r>
      <w:r w:rsidR="00F76BE2">
        <w:t>rules</w:t>
      </w:r>
      <w:r w:rsidR="007950D5">
        <w:t>.</w:t>
      </w:r>
    </w:p>
    <w:p w:rsidR="00723BAB" w:rsidRDefault="00723BAB" w:rsidP="00115EEC">
      <w:r>
        <w:t xml:space="preserve">The following example provides an illustration of </w:t>
      </w:r>
      <w:r w:rsidR="003E690D">
        <w:t>deductions being allocated on a</w:t>
      </w:r>
      <w:r>
        <w:t xml:space="preserve"> fair and reasonable</w:t>
      </w:r>
      <w:r w:rsidR="004C0E35">
        <w:t xml:space="preserve"> </w:t>
      </w:r>
      <w:r w:rsidR="00431A5E">
        <w:t>basis</w:t>
      </w:r>
      <w:r w:rsidR="00F67FA3">
        <w:t>:</w:t>
      </w:r>
    </w:p>
    <w:p w:rsidR="00723BAB" w:rsidRDefault="00723BAB" w:rsidP="00115EEC">
      <w:pPr>
        <w:ind w:left="720"/>
        <w:rPr>
          <w:sz w:val="20"/>
        </w:rPr>
      </w:pPr>
      <w:r>
        <w:rPr>
          <w:sz w:val="20"/>
        </w:rPr>
        <w:t>The taxable income of Tessa’s Trust for an income year is $19,000, which includes the following components of assessable income:</w:t>
      </w:r>
    </w:p>
    <w:p w:rsidR="00723BAB" w:rsidRDefault="00723BAB" w:rsidP="00416428">
      <w:pPr>
        <w:pStyle w:val="Bullet"/>
        <w:numPr>
          <w:ilvl w:val="0"/>
          <w:numId w:val="9"/>
        </w:numPr>
        <w:tabs>
          <w:tab w:val="num" w:pos="1417"/>
        </w:tabs>
        <w:ind w:left="1417"/>
      </w:pPr>
      <w:r>
        <w:t>rent — $5,000;</w:t>
      </w:r>
    </w:p>
    <w:p w:rsidR="00723BAB" w:rsidRDefault="00723BAB" w:rsidP="00416428">
      <w:pPr>
        <w:pStyle w:val="Bullet"/>
        <w:numPr>
          <w:ilvl w:val="0"/>
          <w:numId w:val="9"/>
        </w:numPr>
        <w:tabs>
          <w:tab w:val="num" w:pos="1417"/>
        </w:tabs>
        <w:ind w:left="1417"/>
      </w:pPr>
      <w:r>
        <w:t>franked distributions — $20,000 ($14,000 plus a gross up of $6,000 for franking credits); and</w:t>
      </w:r>
    </w:p>
    <w:p w:rsidR="00723BAB" w:rsidRDefault="00723BAB" w:rsidP="00416428">
      <w:pPr>
        <w:pStyle w:val="Bullet"/>
        <w:numPr>
          <w:ilvl w:val="0"/>
          <w:numId w:val="9"/>
        </w:numPr>
        <w:tabs>
          <w:tab w:val="num" w:pos="1417"/>
        </w:tabs>
        <w:ind w:left="1417"/>
      </w:pPr>
      <w:r>
        <w:t>gross capital gain — $8,000.</w:t>
      </w:r>
    </w:p>
    <w:p w:rsidR="00723BAB" w:rsidRDefault="00723BAB" w:rsidP="00115EEC">
      <w:pPr>
        <w:ind w:left="720"/>
        <w:rPr>
          <w:sz w:val="20"/>
        </w:rPr>
      </w:pPr>
      <w:r>
        <w:rPr>
          <w:sz w:val="20"/>
        </w:rPr>
        <w:t>Tessa’s Trust is also entitled to a $14,000 deduction for interest that is directly related to the rental income.</w:t>
      </w:r>
    </w:p>
    <w:p w:rsidR="00723BAB" w:rsidRDefault="00723BAB" w:rsidP="00115EEC">
      <w:pPr>
        <w:ind w:left="720"/>
        <w:rPr>
          <w:sz w:val="20"/>
        </w:rPr>
      </w:pPr>
      <w:r>
        <w:rPr>
          <w:sz w:val="20"/>
        </w:rPr>
        <w:t>The trustee uses the interest expense to reduce rental income to nil, leaving $9,000 of deductions to reduce the remaining income components on a fair and reasonable basis as follows:</w:t>
      </w:r>
    </w:p>
    <w:p w:rsidR="00723BAB" w:rsidRDefault="00723BAB" w:rsidP="00416428">
      <w:pPr>
        <w:pStyle w:val="Bullet"/>
        <w:numPr>
          <w:ilvl w:val="0"/>
          <w:numId w:val="9"/>
        </w:numPr>
        <w:tabs>
          <w:tab w:val="num" w:pos="1417"/>
        </w:tabs>
        <w:ind w:left="1417"/>
      </w:pPr>
      <w:r>
        <w:t xml:space="preserve">franked distributions — $9,000 x $14,000/$22,000 = $5,727 </w:t>
      </w:r>
    </w:p>
    <w:p w:rsidR="00723BAB" w:rsidRDefault="00723BAB" w:rsidP="00416428">
      <w:pPr>
        <w:pStyle w:val="Bullet"/>
        <w:numPr>
          <w:ilvl w:val="0"/>
          <w:numId w:val="9"/>
        </w:numPr>
        <w:tabs>
          <w:tab w:val="num" w:pos="1417"/>
        </w:tabs>
        <w:ind w:left="1417"/>
      </w:pPr>
      <w:r>
        <w:t xml:space="preserve">capital gain — $9,000 x $8,000/$22,000 = $3,273 </w:t>
      </w:r>
    </w:p>
    <w:p w:rsidR="00723BAB" w:rsidRDefault="00723BAB" w:rsidP="00115EEC">
      <w:pPr>
        <w:ind w:left="720"/>
        <w:rPr>
          <w:sz w:val="20"/>
        </w:rPr>
      </w:pPr>
      <w:r>
        <w:rPr>
          <w:sz w:val="20"/>
        </w:rPr>
        <w:t>As a result, the taxable income of Tessa’s Trust comprises:</w:t>
      </w:r>
    </w:p>
    <w:p w:rsidR="00723BAB" w:rsidRDefault="00723BAB" w:rsidP="00416428">
      <w:pPr>
        <w:pStyle w:val="Bullet"/>
        <w:numPr>
          <w:ilvl w:val="0"/>
          <w:numId w:val="9"/>
        </w:numPr>
        <w:tabs>
          <w:tab w:val="num" w:pos="1417"/>
        </w:tabs>
        <w:ind w:left="1417"/>
      </w:pPr>
      <w:r>
        <w:t>rent — $0;</w:t>
      </w:r>
    </w:p>
    <w:p w:rsidR="00723BAB" w:rsidRDefault="00723BAB" w:rsidP="00416428">
      <w:pPr>
        <w:pStyle w:val="Bullet"/>
        <w:numPr>
          <w:ilvl w:val="0"/>
          <w:numId w:val="9"/>
        </w:numPr>
        <w:tabs>
          <w:tab w:val="num" w:pos="1417"/>
        </w:tabs>
        <w:ind w:left="1417"/>
      </w:pPr>
      <w:r>
        <w:t xml:space="preserve">franked distributions — $14,273 ($14,000 — $5,727, plus the $6,000 gross-up); and </w:t>
      </w:r>
    </w:p>
    <w:p w:rsidR="00723BAB" w:rsidRDefault="00723BAB" w:rsidP="00416428">
      <w:pPr>
        <w:pStyle w:val="Bullet"/>
        <w:numPr>
          <w:ilvl w:val="0"/>
          <w:numId w:val="9"/>
        </w:numPr>
        <w:tabs>
          <w:tab w:val="num" w:pos="1417"/>
        </w:tabs>
        <w:ind w:left="1417"/>
      </w:pPr>
      <w:r>
        <w:t xml:space="preserve">capital gain — $4,727 ($8,000 — $3,273). </w:t>
      </w:r>
    </w:p>
    <w:p w:rsidR="00723BAB" w:rsidRPr="008400E1" w:rsidRDefault="00723BAB" w:rsidP="008400E1">
      <w:pPr>
        <w:pStyle w:val="Heading6"/>
        <w:shd w:val="clear" w:color="auto" w:fill="D2DFEE"/>
        <w:spacing w:line="260" w:lineRule="exact"/>
        <w:jc w:val="both"/>
        <w:rPr>
          <w:rFonts w:ascii="Calibri" w:hAnsi="Calibri" w:cs="Calibri"/>
          <w:sz w:val="22"/>
        </w:rPr>
      </w:pPr>
      <w:bookmarkStart w:id="27" w:name="_Toc331000838"/>
      <w:bookmarkEnd w:id="26"/>
      <w:r w:rsidRPr="008400E1">
        <w:rPr>
          <w:rFonts w:ascii="Calibri" w:hAnsi="Calibri" w:cs="Calibri"/>
          <w:sz w:val="22"/>
        </w:rPr>
        <w:t>Question 1</w:t>
      </w:r>
    </w:p>
    <w:p w:rsidR="003E690D" w:rsidRDefault="00F76BE2" w:rsidP="003E690D">
      <w:pPr>
        <w:pStyle w:val="Heading6"/>
        <w:shd w:val="clear" w:color="auto" w:fill="D2DFEE"/>
        <w:spacing w:line="260" w:lineRule="exact"/>
        <w:jc w:val="both"/>
        <w:rPr>
          <w:rFonts w:ascii="Calibri" w:hAnsi="Calibri" w:cs="Calibri"/>
          <w:color w:val="auto"/>
          <w:sz w:val="22"/>
        </w:rPr>
      </w:pPr>
      <w:r>
        <w:rPr>
          <w:rFonts w:ascii="Calibri" w:hAnsi="Calibri" w:cs="Calibri"/>
          <w:color w:val="auto"/>
          <w:sz w:val="22"/>
        </w:rPr>
        <w:t>Would introducing</w:t>
      </w:r>
      <w:r w:rsidR="003E690D">
        <w:rPr>
          <w:rFonts w:ascii="Calibri" w:hAnsi="Calibri" w:cs="Calibri"/>
          <w:color w:val="auto"/>
          <w:sz w:val="22"/>
        </w:rPr>
        <w:t xml:space="preserve"> a ‘fair and reasonable</w:t>
      </w:r>
      <w:r>
        <w:rPr>
          <w:rFonts w:ascii="Calibri" w:hAnsi="Calibri" w:cs="Calibri"/>
          <w:color w:val="auto"/>
          <w:sz w:val="22"/>
        </w:rPr>
        <w:t xml:space="preserve"> basis</w:t>
      </w:r>
      <w:r w:rsidR="003E690D">
        <w:rPr>
          <w:rFonts w:ascii="Calibri" w:hAnsi="Calibri" w:cs="Calibri"/>
          <w:color w:val="auto"/>
          <w:sz w:val="22"/>
        </w:rPr>
        <w:t xml:space="preserve">’ principle into the </w:t>
      </w:r>
      <w:r>
        <w:rPr>
          <w:rFonts w:ascii="Calibri" w:hAnsi="Calibri" w:cs="Calibri"/>
          <w:color w:val="auto"/>
          <w:sz w:val="22"/>
        </w:rPr>
        <w:t xml:space="preserve">legislation </w:t>
      </w:r>
      <w:r w:rsidR="003E690D">
        <w:rPr>
          <w:rFonts w:ascii="Calibri" w:hAnsi="Calibri" w:cs="Calibri"/>
          <w:color w:val="auto"/>
          <w:sz w:val="22"/>
        </w:rPr>
        <w:t>provid</w:t>
      </w:r>
      <w:r>
        <w:rPr>
          <w:rFonts w:ascii="Calibri" w:hAnsi="Calibri" w:cs="Calibri"/>
          <w:color w:val="auto"/>
          <w:sz w:val="22"/>
        </w:rPr>
        <w:t>e</w:t>
      </w:r>
      <w:r w:rsidR="003E690D">
        <w:rPr>
          <w:rFonts w:ascii="Calibri" w:hAnsi="Calibri" w:cs="Calibri"/>
          <w:color w:val="auto"/>
          <w:sz w:val="22"/>
        </w:rPr>
        <w:t xml:space="preserve"> additional certainty</w:t>
      </w:r>
      <w:r>
        <w:rPr>
          <w:rFonts w:ascii="Calibri" w:hAnsi="Calibri" w:cs="Calibri"/>
          <w:color w:val="auto"/>
          <w:sz w:val="22"/>
        </w:rPr>
        <w:t xml:space="preserve"> for trustees and </w:t>
      </w:r>
      <w:r w:rsidR="00DB39E6">
        <w:rPr>
          <w:rFonts w:ascii="Calibri" w:hAnsi="Calibri" w:cs="Calibri"/>
          <w:color w:val="auto"/>
          <w:sz w:val="22"/>
        </w:rPr>
        <w:t>beneficiaries</w:t>
      </w:r>
      <w:r w:rsidR="003E690D">
        <w:rPr>
          <w:rFonts w:ascii="Calibri" w:hAnsi="Calibri" w:cs="Calibri"/>
          <w:color w:val="auto"/>
          <w:sz w:val="22"/>
        </w:rPr>
        <w:t>?</w:t>
      </w:r>
      <w:r w:rsidR="00451DF7">
        <w:rPr>
          <w:rFonts w:ascii="Calibri" w:hAnsi="Calibri" w:cs="Calibri"/>
          <w:color w:val="auto"/>
          <w:sz w:val="22"/>
        </w:rPr>
        <w:t xml:space="preserve"> </w:t>
      </w:r>
      <w:r w:rsidR="00DB39E6">
        <w:rPr>
          <w:rFonts w:ascii="Calibri" w:hAnsi="Calibri" w:cs="Calibri"/>
          <w:color w:val="auto"/>
          <w:sz w:val="22"/>
        </w:rPr>
        <w:t>W</w:t>
      </w:r>
      <w:r w:rsidR="00B55675">
        <w:rPr>
          <w:rFonts w:ascii="Calibri" w:hAnsi="Calibri" w:cs="Calibri"/>
          <w:color w:val="auto"/>
          <w:sz w:val="22"/>
        </w:rPr>
        <w:t>hat rules would be required</w:t>
      </w:r>
      <w:r w:rsidR="00DB39E6">
        <w:rPr>
          <w:rFonts w:ascii="Calibri" w:hAnsi="Calibri" w:cs="Calibri"/>
          <w:color w:val="auto"/>
          <w:sz w:val="22"/>
        </w:rPr>
        <w:t xml:space="preserve"> to implement this principle</w:t>
      </w:r>
      <w:r w:rsidR="00B55675">
        <w:rPr>
          <w:rFonts w:ascii="Calibri" w:hAnsi="Calibri" w:cs="Calibri"/>
          <w:color w:val="auto"/>
          <w:sz w:val="22"/>
        </w:rPr>
        <w:t xml:space="preserve">?  </w:t>
      </w:r>
    </w:p>
    <w:p w:rsidR="003E690D" w:rsidRPr="003E690D" w:rsidRDefault="003E690D" w:rsidP="007B6594"/>
    <w:p w:rsidR="00723BAB" w:rsidRDefault="00723BAB" w:rsidP="0072672D">
      <w:pPr>
        <w:pStyle w:val="Heading2"/>
        <w:ind w:left="567" w:hanging="567"/>
      </w:pPr>
      <w:bookmarkStart w:id="28" w:name="_Toc338405399"/>
      <w:r>
        <w:t>Capital gains</w:t>
      </w:r>
      <w:r w:rsidR="003E690D">
        <w:t xml:space="preserve"> and losses</w:t>
      </w:r>
      <w:bookmarkEnd w:id="28"/>
    </w:p>
    <w:p w:rsidR="00723BAB" w:rsidRDefault="00723BAB" w:rsidP="009F00CD">
      <w:r>
        <w:t>Beneficiaries would be tax</w:t>
      </w:r>
      <w:r w:rsidR="00F67FA3">
        <w:t>ed</w:t>
      </w:r>
      <w:r>
        <w:t xml:space="preserve"> on capital gains made by the trust to the extent that they are e</w:t>
      </w:r>
      <w:r w:rsidR="00F67FA3">
        <w:t>ntitled to gross capital gains.  T</w:t>
      </w:r>
      <w:r>
        <w:t>hat is, before the application of the CGT discount and relevant concessions, but after the</w:t>
      </w:r>
      <w:r w:rsidR="00F67FA3">
        <w:t xml:space="preserve"> application of relevant losses</w:t>
      </w:r>
      <w:r>
        <w:t xml:space="preserve">.  </w:t>
      </w:r>
    </w:p>
    <w:p w:rsidR="003E690D" w:rsidRDefault="003E690D" w:rsidP="009F00CD">
      <w:pPr>
        <w:rPr>
          <w:bCs/>
          <w:iCs/>
        </w:rPr>
      </w:pPr>
      <w:r>
        <w:t xml:space="preserve">Consistent with the tax laws generally, capital losses would only be available to reduce gross capital gains.  </w:t>
      </w:r>
    </w:p>
    <w:p w:rsidR="00723BAB" w:rsidRDefault="00723BAB" w:rsidP="009F00CD">
      <w:pPr>
        <w:pStyle w:val="Heading2"/>
        <w:rPr>
          <w:iCs w:val="0"/>
        </w:rPr>
      </w:pPr>
      <w:bookmarkStart w:id="29" w:name="_Toc338405400"/>
      <w:r>
        <w:t>Franked distributions</w:t>
      </w:r>
      <w:bookmarkEnd w:id="29"/>
    </w:p>
    <w:p w:rsidR="00723BAB" w:rsidRDefault="00723BAB" w:rsidP="007A58FF">
      <w:r>
        <w:t xml:space="preserve">If a trustee makes a beneficiary entitled to, or distributes, a franked distribution </w:t>
      </w:r>
      <w:r w:rsidR="00431A5E">
        <w:t>(</w:t>
      </w:r>
      <w:r>
        <w:t xml:space="preserve">or part </w:t>
      </w:r>
      <w:r w:rsidR="00431A5E">
        <w:t>there</w:t>
      </w:r>
      <w:r>
        <w:t>of</w:t>
      </w:r>
      <w:r w:rsidR="00431A5E">
        <w:t>)</w:t>
      </w:r>
      <w:r w:rsidR="00B55675">
        <w:t xml:space="preserve"> </w:t>
      </w:r>
      <w:r>
        <w:t>to a beneficiary, the gross up for franking credits will automatically attach to that</w:t>
      </w:r>
      <w:r w:rsidR="008B447C">
        <w:t xml:space="preserve"> entitlement or</w:t>
      </w:r>
      <w:r>
        <w:t xml:space="preserve"> distribution. </w:t>
      </w:r>
    </w:p>
    <w:p w:rsidR="006E754D" w:rsidRDefault="006E754D" w:rsidP="006E754D">
      <w:pPr>
        <w:pStyle w:val="Heading2"/>
      </w:pPr>
      <w:bookmarkStart w:id="30" w:name="_Toc338405401"/>
      <w:r>
        <w:t>Foreign tax paid</w:t>
      </w:r>
      <w:bookmarkEnd w:id="30"/>
    </w:p>
    <w:p w:rsidR="006E754D" w:rsidRPr="00802B62" w:rsidRDefault="006E754D" w:rsidP="006E754D">
      <w:r>
        <w:t>If a trustee makes a beneficiary entitled to, or distributes, an amount of foreign sourced income to a beneficiary, the foreign income gross up would automatic</w:t>
      </w:r>
      <w:r w:rsidR="008B447C">
        <w:t>ally attach to that entitlement or distribution.</w:t>
      </w:r>
      <w:r>
        <w:t xml:space="preserve"> </w:t>
      </w:r>
    </w:p>
    <w:p w:rsidR="00723BAB" w:rsidRDefault="00723BAB" w:rsidP="00964A37">
      <w:pPr>
        <w:pStyle w:val="Heading2"/>
      </w:pPr>
      <w:bookmarkStart w:id="31" w:name="_Toc338405402"/>
      <w:r>
        <w:t>Extending the time for determining entitlements</w:t>
      </w:r>
      <w:bookmarkEnd w:id="31"/>
    </w:p>
    <w:p w:rsidR="00431A5E" w:rsidRDefault="00723BAB" w:rsidP="00964A37">
      <w:r>
        <w:t xml:space="preserve">Currently, trustees must make beneficiaries entitled to the income of the trust estate by 30 June each income year in order to have a share of the trust’s taxable income assessed to those beneficiaries. Where no beneficiary is presently entitled to a part of the income of the trust estate, the trustee is typically taxed at the highest marginal rate (plus the Medicare levy) on that share of the trust’s taxable income. </w:t>
      </w:r>
    </w:p>
    <w:p w:rsidR="00723BAB" w:rsidRDefault="00723BAB" w:rsidP="00964A37">
      <w:r>
        <w:t xml:space="preserve">A number of submissions to the 2011 paper called for further time to determine entitlements, with a significant number of these arguing that the time be extended until the due date for lodgement </w:t>
      </w:r>
      <w:r w:rsidR="00324E39">
        <w:t xml:space="preserve">of the trust’s tax return </w:t>
      </w:r>
      <w:r>
        <w:t xml:space="preserve">or, if a trust lodged before the due date, to the date that the return was lodged. </w:t>
      </w:r>
    </w:p>
    <w:p w:rsidR="00431A5E" w:rsidRDefault="00F55613" w:rsidP="00964A37">
      <w:r>
        <w:t>Recognising that trustees may not have the information available to finalise the trust accounts by 30 June, the time for determining beneficiary entitlements could be extended.</w:t>
      </w:r>
    </w:p>
    <w:p w:rsidR="00DC1539" w:rsidRDefault="00DC1539" w:rsidP="00DC1539">
      <w:r>
        <w:t>However, the due date for lodgement of trust tax returns is often significantly later than the due date for individual beneficiaries. This becomes particularly problematic where there are chains of trusts.</w:t>
      </w:r>
    </w:p>
    <w:p w:rsidR="00723BAB" w:rsidRDefault="00DC1539" w:rsidP="00964A37">
      <w:r>
        <w:t>Therefore</w:t>
      </w:r>
      <w:r w:rsidR="00723BAB">
        <w:t xml:space="preserve">, </w:t>
      </w:r>
      <w:r w:rsidR="00B55675">
        <w:t xml:space="preserve">one option would be to </w:t>
      </w:r>
      <w:r w:rsidR="00723BAB">
        <w:t xml:space="preserve">extend </w:t>
      </w:r>
      <w:r>
        <w:t xml:space="preserve">the time for determining entitlements </w:t>
      </w:r>
      <w:r w:rsidR="00723BAB">
        <w:t>to 31 August after the end of the relevant income year</w:t>
      </w:r>
      <w:r w:rsidRPr="00DC1539">
        <w:t xml:space="preserve"> </w:t>
      </w:r>
      <w:r>
        <w:t>(where the trust deed permits</w:t>
      </w:r>
      <w:r w:rsidR="00507F75">
        <w:rPr>
          <w:rStyle w:val="FootnoteReference"/>
        </w:rPr>
        <w:footnoteReference w:id="9"/>
      </w:r>
      <w:r>
        <w:t>)</w:t>
      </w:r>
      <w:r w:rsidR="00723BAB">
        <w:t xml:space="preserve">. This approach is consistent with the Commissioner’s former administrative practice for certain trusts that was </w:t>
      </w:r>
      <w:r>
        <w:t>withdrawn</w:t>
      </w:r>
      <w:r w:rsidR="00723BAB">
        <w:t xml:space="preserve"> from the 2011</w:t>
      </w:r>
      <w:r w:rsidR="00723BAB">
        <w:noBreakHyphen/>
        <w:t xml:space="preserve">12 income year because it was not supported by law. </w:t>
      </w:r>
    </w:p>
    <w:p w:rsidR="00723BAB" w:rsidRDefault="00723BAB" w:rsidP="00964A37">
      <w:r>
        <w:t xml:space="preserve">Allowing trustees two additional months to determine entitlements provides flexibility, while recognising that beneficiaries have their own tax obligations to comply with, and require information from the trust which will affect those obligations. </w:t>
      </w:r>
    </w:p>
    <w:p w:rsidR="00723BAB" w:rsidRDefault="00723BAB" w:rsidP="00964A37">
      <w:r>
        <w:t>It may be possible to extend the time for determining entitlements further for trusts where beneficiaries have a deferred lodgement date.  This may be the case, for example, where all beneficiaries are using a tax agent and therefore have a later due date for their returns.  Family trusts</w:t>
      </w:r>
      <w:r>
        <w:rPr>
          <w:rStyle w:val="FootnoteReference"/>
        </w:rPr>
        <w:footnoteReference w:id="10"/>
      </w:r>
      <w:r>
        <w:t xml:space="preserve"> may represent such a category of trusts, as </w:t>
      </w:r>
      <w:r w:rsidR="0034554D">
        <w:t>beneficiaries</w:t>
      </w:r>
      <w:r>
        <w:t xml:space="preserve"> may be more likely to use the same tax agent and lodge returns at the time the trust return is lodged.</w:t>
      </w:r>
    </w:p>
    <w:p w:rsidR="00244571" w:rsidRPr="008400E1" w:rsidRDefault="00244571" w:rsidP="00244571">
      <w:pPr>
        <w:pStyle w:val="Heading6"/>
        <w:shd w:val="clear" w:color="auto" w:fill="D2DFEE"/>
        <w:spacing w:line="260" w:lineRule="exact"/>
        <w:jc w:val="both"/>
        <w:rPr>
          <w:rFonts w:ascii="Calibri" w:hAnsi="Calibri" w:cs="Calibri"/>
          <w:sz w:val="22"/>
        </w:rPr>
      </w:pPr>
      <w:r>
        <w:rPr>
          <w:rFonts w:ascii="Calibri" w:hAnsi="Calibri" w:cs="Calibri"/>
          <w:sz w:val="22"/>
        </w:rPr>
        <w:t>Question 2</w:t>
      </w:r>
    </w:p>
    <w:p w:rsidR="00244571" w:rsidRPr="008400E1" w:rsidRDefault="00244571" w:rsidP="00244571">
      <w:pPr>
        <w:pStyle w:val="Heading6"/>
        <w:shd w:val="clear" w:color="auto" w:fill="D2DFEE"/>
        <w:spacing w:line="260" w:lineRule="exact"/>
        <w:jc w:val="both"/>
        <w:rPr>
          <w:rFonts w:ascii="Calibri" w:hAnsi="Calibri" w:cs="Calibri"/>
          <w:color w:val="auto"/>
          <w:sz w:val="22"/>
        </w:rPr>
      </w:pPr>
      <w:r w:rsidRPr="00244571">
        <w:rPr>
          <w:rFonts w:ascii="Calibri" w:hAnsi="Calibri" w:cs="Calibri"/>
          <w:color w:val="auto"/>
          <w:sz w:val="22"/>
        </w:rPr>
        <w:t>Would it be appropriate to extend</w:t>
      </w:r>
      <w:r w:rsidR="00F376BD">
        <w:rPr>
          <w:rFonts w:ascii="Calibri" w:hAnsi="Calibri" w:cs="Calibri"/>
          <w:color w:val="auto"/>
          <w:sz w:val="22"/>
        </w:rPr>
        <w:t xml:space="preserve"> the</w:t>
      </w:r>
      <w:r w:rsidRPr="00244571">
        <w:rPr>
          <w:rFonts w:ascii="Calibri" w:hAnsi="Calibri" w:cs="Calibri"/>
          <w:color w:val="auto"/>
          <w:sz w:val="22"/>
        </w:rPr>
        <w:t xml:space="preserve"> time for determining entitlements </w:t>
      </w:r>
      <w:r w:rsidR="00324E39">
        <w:rPr>
          <w:rFonts w:ascii="Calibri" w:hAnsi="Calibri" w:cs="Calibri"/>
          <w:color w:val="auto"/>
          <w:sz w:val="22"/>
        </w:rPr>
        <w:t xml:space="preserve">beyond 31 August </w:t>
      </w:r>
      <w:r w:rsidRPr="00244571">
        <w:rPr>
          <w:rFonts w:ascii="Calibri" w:hAnsi="Calibri" w:cs="Calibri"/>
          <w:color w:val="auto"/>
          <w:sz w:val="22"/>
        </w:rPr>
        <w:t>for certain classes of trusts</w:t>
      </w:r>
      <w:r w:rsidR="00F376BD">
        <w:rPr>
          <w:rFonts w:ascii="Calibri" w:hAnsi="Calibri" w:cs="Calibri"/>
          <w:color w:val="auto"/>
          <w:sz w:val="22"/>
        </w:rPr>
        <w:t>,</w:t>
      </w:r>
      <w:r w:rsidRPr="00244571">
        <w:rPr>
          <w:rFonts w:ascii="Calibri" w:hAnsi="Calibri" w:cs="Calibri"/>
          <w:color w:val="auto"/>
          <w:sz w:val="22"/>
        </w:rPr>
        <w:t xml:space="preserve"> where </w:t>
      </w:r>
      <w:r w:rsidR="00F376BD">
        <w:rPr>
          <w:rFonts w:ascii="Calibri" w:hAnsi="Calibri" w:cs="Calibri"/>
          <w:color w:val="auto"/>
          <w:sz w:val="22"/>
        </w:rPr>
        <w:t>it is reasonable to expect that</w:t>
      </w:r>
      <w:r w:rsidRPr="00244571">
        <w:rPr>
          <w:rFonts w:ascii="Calibri" w:hAnsi="Calibri" w:cs="Calibri"/>
          <w:color w:val="auto"/>
          <w:sz w:val="22"/>
        </w:rPr>
        <w:t xml:space="preserve"> beneficiaries have a lodgement date later than 31 </w:t>
      </w:r>
      <w:r w:rsidR="00324E39">
        <w:rPr>
          <w:rFonts w:ascii="Calibri" w:hAnsi="Calibri" w:cs="Calibri"/>
          <w:color w:val="auto"/>
          <w:sz w:val="22"/>
        </w:rPr>
        <w:t>October</w:t>
      </w:r>
      <w:r w:rsidRPr="00244571">
        <w:rPr>
          <w:rFonts w:ascii="Calibri" w:hAnsi="Calibri" w:cs="Calibri"/>
          <w:color w:val="auto"/>
          <w:sz w:val="22"/>
        </w:rPr>
        <w:t>? What features should such trusts have?</w:t>
      </w:r>
      <w:r w:rsidR="00F376BD">
        <w:rPr>
          <w:rFonts w:ascii="Calibri" w:hAnsi="Calibri" w:cs="Calibri"/>
          <w:color w:val="auto"/>
          <w:sz w:val="22"/>
        </w:rPr>
        <w:t xml:space="preserve"> </w:t>
      </w:r>
      <w:r w:rsidR="00121D13">
        <w:rPr>
          <w:rFonts w:ascii="Calibri" w:hAnsi="Calibri" w:cs="Calibri"/>
          <w:color w:val="auto"/>
          <w:sz w:val="22"/>
        </w:rPr>
        <w:t>Should the trustee be required to obtain the agreement of all beneficiaries?  If so, should this be done on and opt-in, or opt-out basis</w:t>
      </w:r>
      <w:r w:rsidR="003E690D">
        <w:rPr>
          <w:rFonts w:ascii="Calibri" w:hAnsi="Calibri" w:cs="Calibri"/>
          <w:color w:val="auto"/>
          <w:sz w:val="22"/>
        </w:rPr>
        <w:t>?</w:t>
      </w:r>
      <w:r w:rsidR="00121D13">
        <w:rPr>
          <w:rFonts w:ascii="Calibri" w:hAnsi="Calibri" w:cs="Calibri"/>
          <w:color w:val="auto"/>
          <w:sz w:val="22"/>
        </w:rPr>
        <w:t xml:space="preserve"> </w:t>
      </w:r>
    </w:p>
    <w:p w:rsidR="00723BAB" w:rsidRDefault="00723BAB" w:rsidP="00964A37">
      <w:pPr>
        <w:pStyle w:val="Heading2"/>
        <w:ind w:left="567" w:hanging="567"/>
      </w:pPr>
      <w:bookmarkStart w:id="32" w:name="_Toc338405403"/>
      <w:r>
        <w:t>Definite amendment periods for trustees</w:t>
      </w:r>
      <w:bookmarkEnd w:id="32"/>
    </w:p>
    <w:p w:rsidR="00723BAB" w:rsidRDefault="00723BAB" w:rsidP="00964A37">
      <w:r>
        <w:t xml:space="preserve">Under current law, the Commissioner has what is effectively an unlimited amendment period where a trustee returns a ‘nil’ amount of tax payable. This is because the Commissioner does not issue an original assessment in such cases. This means that unless there is a trustee assessment where an amount of tax is payable, the Commissioner could issue a trustee with an original assessment a number of years after the tax affairs of the trust would otherwise have been finalised. </w:t>
      </w:r>
    </w:p>
    <w:p w:rsidR="00723BAB" w:rsidRDefault="00723BAB" w:rsidP="00964A37">
      <w:r>
        <w:t xml:space="preserve">The Commissioner has responded to this issue by adopting an administrative practice that any original assessment for a trustee will only be issued within four years of the later of the due date for lodgement of the trust return </w:t>
      </w:r>
      <w:r w:rsidR="00324E39">
        <w:t>or</w:t>
      </w:r>
      <w:r>
        <w:t xml:space="preserve"> the actual lodgement date of the return. A number of submissions on the 2011 paper called for this practice to be codified.</w:t>
      </w:r>
    </w:p>
    <w:p w:rsidR="00723BAB" w:rsidRDefault="00403369" w:rsidP="00964A37">
      <w:r>
        <w:t xml:space="preserve">An option would </w:t>
      </w:r>
      <w:r w:rsidR="00723BAB">
        <w:t xml:space="preserve">therefore </w:t>
      </w:r>
      <w:r>
        <w:t xml:space="preserve">be that </w:t>
      </w:r>
      <w:r w:rsidR="00723BAB">
        <w:t xml:space="preserve">where a trust lodges a return indicating that the trustee is not liable to tax, it would be deemed to be a nil assessment. The Commissioner would have the power to issue an amended assessment up to two or four years from this date. </w:t>
      </w:r>
    </w:p>
    <w:p w:rsidR="00962C4B" w:rsidRPr="0098379A" w:rsidRDefault="00962C4B" w:rsidP="00962C4B">
      <w:pPr>
        <w:pStyle w:val="Heading2"/>
      </w:pPr>
      <w:bookmarkStart w:id="33" w:name="_Toc338405404"/>
      <w:bookmarkEnd w:id="27"/>
      <w:r w:rsidRPr="003F1E91">
        <w:t>The trustee tax rate</w:t>
      </w:r>
      <w:bookmarkEnd w:id="33"/>
    </w:p>
    <w:p w:rsidR="003E690D" w:rsidRDefault="003E690D" w:rsidP="003E690D">
      <w:r>
        <w:t xml:space="preserve">The 2011 paper asked for suggestions on an appropriate way to address the practical impact of trustee assessments.  A number of stakeholders suggested that a reduction in the trustee tax rate would be appropriate.  Currently amounts that are not distributed to beneficiaries but are retained in the trust are </w:t>
      </w:r>
      <w:r w:rsidR="0037492D">
        <w:t>taxed at the highest marginal rate (plus the Medicare levy)</w:t>
      </w:r>
      <w:r>
        <w:t>.</w:t>
      </w:r>
    </w:p>
    <w:p w:rsidR="003E690D" w:rsidRDefault="003E690D" w:rsidP="003E690D">
      <w:r>
        <w:t xml:space="preserve">Stakeholders point to the fact that many trusts use a corporate beneficiary to obtain the benefit of the lower corporate tax rate and believe that reducing the trustee tax rate would not result in a significant loss to revenue. It has also been argued that the reduced reliance on corporate beneficiaries could simplify administration and reduce costs for taxpayers. </w:t>
      </w:r>
    </w:p>
    <w:p w:rsidR="003E690D" w:rsidRDefault="003E690D" w:rsidP="003E690D">
      <w:r>
        <w:t xml:space="preserve">However, </w:t>
      </w:r>
      <w:r w:rsidR="0068297A">
        <w:t xml:space="preserve">such a change would need to factor in a range of other considerations.  </w:t>
      </w:r>
    </w:p>
    <w:p w:rsidR="003E690D" w:rsidRDefault="003E690D" w:rsidP="003E690D">
      <w:r>
        <w:t xml:space="preserve">The current trustee tax rate was introduced as an integrity measure to prevent people from </w:t>
      </w:r>
      <w:r w:rsidR="009A5BFC">
        <w:t xml:space="preserve">avoiding </w:t>
      </w:r>
      <w:r>
        <w:t>the progressive nature of individual tax rates, such as by claiming multiple tax-free thresholds.  It also ensures that a taxpayer on the top marginal rate cannot reduce their tax simply by interposing a trust and deferring distributions to a later year.</w:t>
      </w:r>
    </w:p>
    <w:p w:rsidR="003E690D" w:rsidRDefault="003E690D" w:rsidP="003E690D">
      <w:r>
        <w:t>Therefore, if the trustee tax rate were lowered, integrity rules</w:t>
      </w:r>
      <w:r w:rsidR="00324E39">
        <w:t xml:space="preserve"> would be required</w:t>
      </w:r>
      <w:r>
        <w:t xml:space="preserve"> to ensure that a taxpayer on the top marginal rate could not receive taxable income through a trust without paying ‘top up’ tax.  For example, this could include a mechanism where</w:t>
      </w:r>
      <w:r w:rsidR="00324E39">
        <w:t>by</w:t>
      </w:r>
      <w:r>
        <w:t xml:space="preserve"> the beneficiaries are taxed at their marginal rate with a credit for tax paid by the trustee and rules akin to the rules in Division 7A of the ITAA 1936 to prevent effective distributions in the form of an advance or loan. The</w:t>
      </w:r>
      <w:r w:rsidR="00A96A70">
        <w:t xml:space="preserve"> </w:t>
      </w:r>
      <w:r>
        <w:t xml:space="preserve">Law Council of Australia noted in its submission on the 2011 paper that such rules would be </w:t>
      </w:r>
      <w:r w:rsidR="00E42DC8">
        <w:t>“</w:t>
      </w:r>
      <w:r>
        <w:t>extremely complicated</w:t>
      </w:r>
      <w:r w:rsidR="00E42DC8">
        <w:t>”</w:t>
      </w:r>
      <w:r>
        <w:t xml:space="preserve">, and </w:t>
      </w:r>
      <w:r w:rsidR="00E42DC8">
        <w:t>“</w:t>
      </w:r>
      <w:r>
        <w:t>practically difficult to implement without effectively taxing trusts in a similar manner to companies</w:t>
      </w:r>
      <w:r w:rsidR="00E42DC8">
        <w:t>”</w:t>
      </w:r>
      <w:r>
        <w:t>.</w:t>
      </w:r>
      <w:r w:rsidR="00A96A70">
        <w:rPr>
          <w:rStyle w:val="FootnoteReference"/>
        </w:rPr>
        <w:footnoteReference w:id="11"/>
      </w:r>
    </w:p>
    <w:p w:rsidR="003E690D" w:rsidRDefault="00CD7EAE" w:rsidP="003E690D">
      <w:r>
        <w:t>As noted in chapter 1, the Government has also announced that options for reform would not include taxing trusts like companies.  A</w:t>
      </w:r>
      <w:r w:rsidR="003E690D" w:rsidRPr="009F3824">
        <w:t xml:space="preserve"> reduction in the trustee tax rate to a rate closer to the company tax rate </w:t>
      </w:r>
      <w:r w:rsidR="00F76BE2">
        <w:t xml:space="preserve">would </w:t>
      </w:r>
      <w:r w:rsidR="003E690D">
        <w:t xml:space="preserve">require careful consideration from a regulatory perspective, </w:t>
      </w:r>
      <w:r w:rsidR="00E42DC8">
        <w:t>particularly</w:t>
      </w:r>
      <w:r w:rsidR="003E690D">
        <w:t xml:space="preserve"> in light of the different rights and obligations, and advantages and disadvantages associated with different types of business structures.  </w:t>
      </w:r>
    </w:p>
    <w:p w:rsidR="003E690D" w:rsidRDefault="009A5BFC" w:rsidP="00A96A70">
      <w:r>
        <w:t>R</w:t>
      </w:r>
      <w:r w:rsidR="003E690D">
        <w:t xml:space="preserve">educing the trustee tax rate could have revenue implications, notwithstanding that many trustees </w:t>
      </w:r>
      <w:r w:rsidR="008A6943">
        <w:t xml:space="preserve">may already use a </w:t>
      </w:r>
      <w:r w:rsidR="003E690D">
        <w:t>corporate beneficiary.</w:t>
      </w:r>
      <w:r w:rsidR="008A6943">
        <w:t xml:space="preserve">  This would ne</w:t>
      </w:r>
      <w:r w:rsidR="003E690D">
        <w:t>ed to be considered in the context of the Government’s commitment that the reform of the taxation of trust income be broadly revenue neutral.</w:t>
      </w:r>
    </w:p>
    <w:p w:rsidR="003E690D" w:rsidRDefault="003E690D" w:rsidP="003E690D">
      <w:r>
        <w:t xml:space="preserve">Therefore, the Government is not inclined to reduce the trustee tax rate unless a clear case can be made that the integrity, regulatory and fiscal issues raised above can be addressed.  </w:t>
      </w:r>
    </w:p>
    <w:p w:rsidR="003E690D" w:rsidRPr="008400E1" w:rsidRDefault="003E690D" w:rsidP="003E690D">
      <w:pPr>
        <w:pStyle w:val="Heading6"/>
        <w:shd w:val="clear" w:color="auto" w:fill="D2DFEE"/>
        <w:spacing w:line="260" w:lineRule="exact"/>
        <w:jc w:val="both"/>
        <w:rPr>
          <w:rFonts w:ascii="Calibri" w:hAnsi="Calibri" w:cs="Calibri"/>
          <w:sz w:val="22"/>
        </w:rPr>
      </w:pPr>
      <w:r>
        <w:rPr>
          <w:rFonts w:ascii="Calibri" w:hAnsi="Calibri" w:cs="Calibri"/>
          <w:sz w:val="22"/>
        </w:rPr>
        <w:t>Question 3</w:t>
      </w:r>
    </w:p>
    <w:p w:rsidR="003E4186" w:rsidRDefault="00451DF7" w:rsidP="00451DF7">
      <w:pPr>
        <w:pStyle w:val="Heading6"/>
        <w:shd w:val="clear" w:color="auto" w:fill="D2DFEE"/>
        <w:spacing w:line="260" w:lineRule="exact"/>
        <w:ind w:left="426" w:hanging="426"/>
        <w:jc w:val="both"/>
        <w:rPr>
          <w:rFonts w:ascii="Calibri" w:hAnsi="Calibri" w:cs="Calibri"/>
          <w:color w:val="auto"/>
          <w:sz w:val="22"/>
        </w:rPr>
      </w:pPr>
      <w:r>
        <w:rPr>
          <w:rFonts w:ascii="Calibri" w:hAnsi="Calibri" w:cs="Calibri"/>
          <w:color w:val="auto"/>
          <w:sz w:val="22"/>
        </w:rPr>
        <w:t>a)</w:t>
      </w:r>
      <w:r>
        <w:rPr>
          <w:rFonts w:ascii="Calibri" w:hAnsi="Calibri" w:cs="Calibri"/>
          <w:color w:val="auto"/>
          <w:sz w:val="22"/>
        </w:rPr>
        <w:tab/>
      </w:r>
      <w:r w:rsidR="003E690D">
        <w:rPr>
          <w:rFonts w:ascii="Calibri" w:hAnsi="Calibri" w:cs="Calibri"/>
          <w:color w:val="auto"/>
          <w:sz w:val="22"/>
        </w:rPr>
        <w:t>How could the integrity, regulatory and fiscal issues associated with a lower rate be addressed without increasing complexity?</w:t>
      </w:r>
    </w:p>
    <w:p w:rsidR="00451DF7" w:rsidRDefault="00451DF7" w:rsidP="00451DF7">
      <w:pPr>
        <w:pStyle w:val="Heading6"/>
        <w:shd w:val="clear" w:color="auto" w:fill="D2DFEE"/>
        <w:spacing w:line="260" w:lineRule="exact"/>
        <w:ind w:left="426" w:hanging="426"/>
        <w:jc w:val="both"/>
        <w:rPr>
          <w:rFonts w:ascii="Calibri" w:hAnsi="Calibri" w:cs="Calibri"/>
          <w:color w:val="auto"/>
          <w:sz w:val="22"/>
        </w:rPr>
      </w:pPr>
      <w:r>
        <w:rPr>
          <w:rFonts w:ascii="Calibri" w:hAnsi="Calibri" w:cs="Calibri"/>
          <w:color w:val="auto"/>
          <w:sz w:val="22"/>
        </w:rPr>
        <w:t>b)</w:t>
      </w:r>
      <w:r w:rsidR="003E4186">
        <w:rPr>
          <w:rFonts w:ascii="Calibri" w:hAnsi="Calibri" w:cs="Calibri"/>
          <w:color w:val="auto"/>
          <w:sz w:val="22"/>
        </w:rPr>
        <w:t xml:space="preserve"> </w:t>
      </w:r>
      <w:r>
        <w:rPr>
          <w:rFonts w:ascii="Calibri" w:hAnsi="Calibri" w:cs="Calibri"/>
          <w:color w:val="auto"/>
          <w:sz w:val="22"/>
        </w:rPr>
        <w:tab/>
      </w:r>
      <w:r w:rsidR="003E690D">
        <w:rPr>
          <w:rFonts w:ascii="Calibri" w:hAnsi="Calibri" w:cs="Calibri"/>
          <w:color w:val="auto"/>
          <w:sz w:val="22"/>
        </w:rPr>
        <w:t>Would a ‘tax and credit system’ (akin to franking credits) increase compliance costs and be too similar to taxing trusts like companies</w:t>
      </w:r>
      <w:r w:rsidR="00CD7EAE">
        <w:rPr>
          <w:rFonts w:ascii="Calibri" w:hAnsi="Calibri" w:cs="Calibri"/>
          <w:color w:val="auto"/>
          <w:sz w:val="22"/>
        </w:rPr>
        <w:t xml:space="preserve"> on accumulations?</w:t>
      </w:r>
    </w:p>
    <w:p w:rsidR="003E690D" w:rsidRPr="008400E1" w:rsidRDefault="00451DF7" w:rsidP="00451DF7">
      <w:pPr>
        <w:pStyle w:val="Heading6"/>
        <w:shd w:val="clear" w:color="auto" w:fill="D2DFEE"/>
        <w:spacing w:line="260" w:lineRule="exact"/>
        <w:ind w:left="426" w:hanging="426"/>
        <w:jc w:val="both"/>
        <w:rPr>
          <w:rFonts w:ascii="Calibri" w:hAnsi="Calibri" w:cs="Calibri"/>
          <w:color w:val="auto"/>
          <w:sz w:val="22"/>
        </w:rPr>
      </w:pPr>
      <w:r>
        <w:rPr>
          <w:rFonts w:ascii="Calibri" w:hAnsi="Calibri" w:cs="Calibri"/>
          <w:color w:val="auto"/>
          <w:sz w:val="22"/>
        </w:rPr>
        <w:t>c)</w:t>
      </w:r>
      <w:r>
        <w:rPr>
          <w:rFonts w:ascii="Calibri" w:hAnsi="Calibri" w:cs="Calibri"/>
          <w:color w:val="auto"/>
          <w:sz w:val="22"/>
        </w:rPr>
        <w:tab/>
      </w:r>
      <w:r w:rsidR="003E690D" w:rsidRPr="009F3824">
        <w:rPr>
          <w:rFonts w:ascii="Calibri" w:hAnsi="Calibri" w:cs="Calibri"/>
          <w:color w:val="auto"/>
          <w:sz w:val="22"/>
        </w:rPr>
        <w:t>What else could be done to reduce the practical impact of trustee assessments?</w:t>
      </w:r>
    </w:p>
    <w:p w:rsidR="00723BAB" w:rsidRDefault="00723BAB" w:rsidP="007E4748">
      <w:pPr>
        <w:pStyle w:val="Heading2"/>
        <w:ind w:left="567" w:hanging="567"/>
      </w:pPr>
      <w:bookmarkStart w:id="34" w:name="_Toc334079842"/>
      <w:bookmarkStart w:id="35" w:name="_Toc338405405"/>
      <w:r>
        <w:t>Trust resettlements</w:t>
      </w:r>
      <w:bookmarkEnd w:id="34"/>
      <w:bookmarkEnd w:id="35"/>
    </w:p>
    <w:p w:rsidR="00676DA0" w:rsidRDefault="00723BAB" w:rsidP="00E0138A">
      <w:r>
        <w:t xml:space="preserve">The Government is aware that decisions taken to change the taxation of trust income may lead users of trusts to alter their trust deeds. Such changes may lead to a resettlement of the trust estate, potentially triggering tax consequences at the federal level such as CGT, and stamp duty liabilities at the state level. </w:t>
      </w:r>
    </w:p>
    <w:p w:rsidR="00723BAB" w:rsidRPr="00CA2899" w:rsidRDefault="00723BAB" w:rsidP="00E0138A">
      <w:r>
        <w:t xml:space="preserve">These issues will be considered further as part of the broader question of transitional relief when </w:t>
      </w:r>
      <w:r w:rsidR="00324E39">
        <w:t>the</w:t>
      </w:r>
      <w:r w:rsidR="00A70F4A">
        <w:t xml:space="preserve"> </w:t>
      </w:r>
      <w:r>
        <w:t>final policy is settled by the Government. A number of factors will be relevant to determining whether relief might be appropriate, including, for example, the extent of any changes to the trust income tax provisions, and also whether those changes mandate or merely provide incentives to change trust deeds.</w:t>
      </w:r>
      <w:bookmarkStart w:id="36" w:name="_Toc331000844"/>
      <w:r>
        <w:t xml:space="preserve"> In examining these issues, the Government will </w:t>
      </w:r>
      <w:r w:rsidR="00676DA0">
        <w:t xml:space="preserve">also </w:t>
      </w:r>
      <w:r>
        <w:t xml:space="preserve">consider the High Court’s decision in </w:t>
      </w:r>
      <w:r>
        <w:rPr>
          <w:i/>
        </w:rPr>
        <w:t>Clark</w:t>
      </w:r>
      <w:r>
        <w:t>, in particular the appropriate parameters for ‘continuity of the trust estate’.</w:t>
      </w:r>
      <w:r w:rsidRPr="00D44EB5">
        <w:rPr>
          <w:rStyle w:val="FootnoteReference"/>
        </w:rPr>
        <w:footnoteReference w:id="12"/>
      </w:r>
    </w:p>
    <w:p w:rsidR="00723BAB" w:rsidRDefault="00723BAB" w:rsidP="005B128B">
      <w:pPr>
        <w:pStyle w:val="Heading2"/>
        <w:ind w:left="567" w:hanging="567"/>
      </w:pPr>
      <w:bookmarkStart w:id="37" w:name="_Toc338405406"/>
      <w:r>
        <w:t>Integrity rules</w:t>
      </w:r>
      <w:bookmarkEnd w:id="37"/>
    </w:p>
    <w:p w:rsidR="00723BAB" w:rsidRDefault="00723BAB" w:rsidP="005B128B">
      <w:r>
        <w:t xml:space="preserve">The applicability and design of any integrity rules will depend on the final model. It may be that the substance of the current integrity rules would continue to have application under the new model. The following rules would apply irrespective of which model is chosen. </w:t>
      </w:r>
    </w:p>
    <w:p w:rsidR="00723BAB" w:rsidRDefault="00723BAB" w:rsidP="00416428">
      <w:pPr>
        <w:pStyle w:val="Heading3"/>
      </w:pPr>
      <w:r>
        <w:t>Deemed notional amounts giving effect to integrity rules</w:t>
      </w:r>
    </w:p>
    <w:p w:rsidR="00723BAB" w:rsidRPr="007A58FF" w:rsidRDefault="00723BAB" w:rsidP="005B128B">
      <w:r>
        <w:t xml:space="preserve">Trustees would be assessed on notional tax amounts that have been deemed to give effect to integrity rules in the broader income tax law; for example, dividends deemed under Division 7A in respect of loans and capital proceeds deemed under the market value substitution rule.  This approach is consistent with the ‘follow the money’ principle in the sense that there is no money to trace to beneficiaries.  </w:t>
      </w:r>
      <w:r w:rsidR="009E62E8">
        <w:t>Although</w:t>
      </w:r>
      <w:r>
        <w:t xml:space="preserve"> there is no money to trace to the trustee either, it is the trustee’s actions that have led to the amount being assessable, and so by taxing the trustee, prudence is encouraged.</w:t>
      </w:r>
    </w:p>
    <w:p w:rsidR="00723BAB" w:rsidRDefault="00723BAB" w:rsidP="00416428">
      <w:pPr>
        <w:pStyle w:val="Heading3"/>
      </w:pPr>
      <w:r>
        <w:t>Trust stripping</w:t>
      </w:r>
    </w:p>
    <w:p w:rsidR="00723BAB" w:rsidRDefault="00723BAB" w:rsidP="005B128B">
      <w:r>
        <w:t xml:space="preserve">The trust stripping rules would continue to apply.  That is, where </w:t>
      </w:r>
      <w:r w:rsidR="005478A4">
        <w:t>a beneficiary</w:t>
      </w:r>
      <w:r>
        <w:t xml:space="preserve"> entitlement arises in connection with a reimbursement agreement, </w:t>
      </w:r>
      <w:r w:rsidR="005478A4">
        <w:t>the</w:t>
      </w:r>
      <w:r>
        <w:t xml:space="preserve"> beneficiary will be deemed not to be </w:t>
      </w:r>
      <w:r w:rsidR="005478A4">
        <w:t>so</w:t>
      </w:r>
      <w:r>
        <w:t xml:space="preserve"> entitled.  A reimbursement agreement is an agreement that provides for the payment of money or other benefits for someone other than the beneficiary.     </w:t>
      </w:r>
    </w:p>
    <w:p w:rsidR="00723BAB" w:rsidRDefault="00723BAB" w:rsidP="005B128B">
      <w:pPr>
        <w:pStyle w:val="Heading3"/>
        <w:ind w:left="567" w:hanging="567"/>
      </w:pPr>
      <w:r>
        <w:t>Notification of entitlements</w:t>
      </w:r>
    </w:p>
    <w:p w:rsidR="00723BAB" w:rsidRDefault="00723BAB" w:rsidP="005B128B">
      <w:r>
        <w:t xml:space="preserve">Currently, trustees are required to pay or notify an exempt entity that it has been made presently entitled to income for that entitlement to be recognised for tax purposes. Trustees must do this within two months of the end of the income year. </w:t>
      </w:r>
    </w:p>
    <w:p w:rsidR="00723BAB" w:rsidRDefault="00A70F4A" w:rsidP="005B128B">
      <w:r>
        <w:t xml:space="preserve">An option would be to require </w:t>
      </w:r>
      <w:r w:rsidR="00723BAB">
        <w:t>trustees to notify all beneficiaries of entitlements in accordance with the relevant time for determining entitlements. Details of the relevant taxable components referable to their trust entitlements, including their tax characteristics, would need to be included.</w:t>
      </w:r>
    </w:p>
    <w:p w:rsidR="00723BAB" w:rsidRDefault="00723BAB" w:rsidP="005B128B">
      <w:r>
        <w:t xml:space="preserve">This change would ensure that all beneficiaries will know if a trust amount needs to be included in their tax return.  For trustees that already meet their obligations and provide distribution statements to their beneficiaries, this should not </w:t>
      </w:r>
      <w:r w:rsidR="001B780C">
        <w:t>impos</w:t>
      </w:r>
      <w:r>
        <w:t xml:space="preserve">e any additional compliance burden. </w:t>
      </w:r>
    </w:p>
    <w:p w:rsidR="00723BAB" w:rsidRDefault="00723BAB">
      <w:pPr>
        <w:spacing w:after="0" w:line="240" w:lineRule="auto"/>
      </w:pPr>
      <w:r>
        <w:br w:type="page"/>
      </w:r>
    </w:p>
    <w:p w:rsidR="00723BAB" w:rsidRDefault="00723BAB" w:rsidP="00E0138A">
      <w:pPr>
        <w:pStyle w:val="Heading1"/>
      </w:pPr>
      <w:bookmarkStart w:id="38" w:name="_Toc334079843"/>
      <w:bookmarkStart w:id="39" w:name="_Toc338405407"/>
      <w:r>
        <w:t>3.  Economic benefits model</w:t>
      </w:r>
      <w:bookmarkEnd w:id="36"/>
      <w:r>
        <w:t xml:space="preserve"> (EBM)</w:t>
      </w:r>
      <w:bookmarkEnd w:id="38"/>
      <w:bookmarkEnd w:id="39"/>
    </w:p>
    <w:p w:rsidR="00723BAB" w:rsidRDefault="00723BAB" w:rsidP="00B0678A">
      <w:pPr>
        <w:pStyle w:val="Heading3"/>
        <w:ind w:left="567" w:hanging="567"/>
      </w:pPr>
      <w:r>
        <w:t>Overview</w:t>
      </w:r>
    </w:p>
    <w:p w:rsidR="000754DA" w:rsidRDefault="006E754D" w:rsidP="00B0678A">
      <w:r>
        <w:t xml:space="preserve">The EBM further develops the </w:t>
      </w:r>
      <w:r w:rsidR="008108D3">
        <w:t>‘</w:t>
      </w:r>
      <w:r>
        <w:t>trustee assessment and deduction</w:t>
      </w:r>
      <w:r w:rsidR="008108D3">
        <w:t>’</w:t>
      </w:r>
      <w:r>
        <w:t xml:space="preserve"> model from the 2011 paper. </w:t>
      </w:r>
      <w:r w:rsidR="00452E77">
        <w:t xml:space="preserve"> </w:t>
      </w:r>
    </w:p>
    <w:p w:rsidR="006E754D" w:rsidRDefault="00452E77" w:rsidP="00B0678A">
      <w:r>
        <w:t>Broadly, the EBM would assess beneficiaries on taxable amounts distributed or allocated to them, with the trustee assessed on any remaining taxable income.</w:t>
      </w:r>
    </w:p>
    <w:p w:rsidR="00723BAB" w:rsidRDefault="00723BAB" w:rsidP="00B0678A">
      <w:r>
        <w:t xml:space="preserve">The EBM requires a trustee to calculate the trust’s taxable income as if the trust were a resident taxpayer. </w:t>
      </w:r>
    </w:p>
    <w:p w:rsidR="00723BAB" w:rsidRDefault="00723BAB" w:rsidP="00B0678A">
      <w:r>
        <w:t xml:space="preserve">The trustee would then apportion tax liabilities for an income year between beneficiaries and the trust by distributing or allocating amounts representing the trust’s taxable income to beneficiaries. </w:t>
      </w:r>
    </w:p>
    <w:p w:rsidR="00723BAB" w:rsidRDefault="00723BAB" w:rsidP="00B0678A">
      <w:r>
        <w:t xml:space="preserve">The amounts distributed or allocated to beneficiaries would have the same character and source in the hands of those beneficiaries as the components of the trust’s taxable income that they represent. If the trustee does not specify that an amount distributed or allocated to a beneficiary represents a particular component of taxable income, the amount would be taken to represent a proportionate share of each component of the trust’s taxable income not otherwise distributed or allocated. </w:t>
      </w:r>
    </w:p>
    <w:p w:rsidR="00723BAB" w:rsidRDefault="00723BAB" w:rsidP="00056238">
      <w:pPr>
        <w:pStyle w:val="Heading3"/>
        <w:ind w:left="567" w:hanging="567"/>
      </w:pPr>
      <w:bookmarkStart w:id="40" w:name="_Toc331000845"/>
      <w:r>
        <w:t>The assessment process</w:t>
      </w:r>
      <w:bookmarkEnd w:id="40"/>
      <w:r>
        <w:t xml:space="preserve"> </w:t>
      </w:r>
    </w:p>
    <w:p w:rsidR="00723BAB" w:rsidRDefault="00723BAB" w:rsidP="002E1ECB">
      <w:pPr>
        <w:pStyle w:val="OutlineNumbered1"/>
        <w:numPr>
          <w:ilvl w:val="0"/>
          <w:numId w:val="6"/>
        </w:numPr>
        <w:tabs>
          <w:tab w:val="num" w:pos="643"/>
        </w:tabs>
      </w:pPr>
      <w:r>
        <w:t>Calculate the trust’s taxable income</w:t>
      </w:r>
      <w:r w:rsidR="000F4C63" w:rsidRPr="000F4C63">
        <w:t xml:space="preserve"> </w:t>
      </w:r>
      <w:r w:rsidR="000F4C63">
        <w:t>as if the trust is a resident taxpayer</w:t>
      </w:r>
      <w:r>
        <w:t>.</w:t>
      </w:r>
    </w:p>
    <w:p w:rsidR="00723BAB" w:rsidRDefault="00723BAB" w:rsidP="002E1ECB">
      <w:pPr>
        <w:pStyle w:val="OutlineNumbered1"/>
        <w:numPr>
          <w:ilvl w:val="0"/>
          <w:numId w:val="6"/>
        </w:numPr>
        <w:tabs>
          <w:tab w:val="num" w:pos="643"/>
        </w:tabs>
      </w:pPr>
      <w:r>
        <w:t xml:space="preserve">Identify the components of the trust’s taxable income. </w:t>
      </w:r>
    </w:p>
    <w:p w:rsidR="00723BAB" w:rsidRDefault="00723BAB" w:rsidP="002E1ECB">
      <w:pPr>
        <w:pStyle w:val="OutlineNumbered1"/>
        <w:numPr>
          <w:ilvl w:val="0"/>
          <w:numId w:val="6"/>
        </w:numPr>
        <w:tabs>
          <w:tab w:val="num" w:pos="643"/>
        </w:tabs>
      </w:pPr>
      <w:r>
        <w:t>Distribute and allocate amounts representing taxable income.</w:t>
      </w:r>
    </w:p>
    <w:p w:rsidR="00723BAB" w:rsidRDefault="00723BAB" w:rsidP="002E1ECB">
      <w:pPr>
        <w:pStyle w:val="OutlineNumbered1"/>
        <w:numPr>
          <w:ilvl w:val="0"/>
          <w:numId w:val="6"/>
        </w:numPr>
        <w:tabs>
          <w:tab w:val="num" w:pos="643"/>
        </w:tabs>
      </w:pPr>
      <w:r>
        <w:t>Beneficiaries are assessed on amounts distributed and allocated to them.</w:t>
      </w:r>
    </w:p>
    <w:p w:rsidR="00723BAB" w:rsidRDefault="00723BAB" w:rsidP="002E1ECB">
      <w:pPr>
        <w:pStyle w:val="OutlineNumbered1"/>
        <w:numPr>
          <w:ilvl w:val="0"/>
          <w:numId w:val="6"/>
        </w:numPr>
        <w:tabs>
          <w:tab w:val="num" w:pos="643"/>
        </w:tabs>
      </w:pPr>
      <w:r>
        <w:t>The trustee is assessed on the remaining taxable income.</w:t>
      </w:r>
    </w:p>
    <w:p w:rsidR="00551D11" w:rsidRDefault="00723BAB" w:rsidP="00551D11">
      <w:pPr>
        <w:pStyle w:val="Heading3"/>
      </w:pPr>
      <w:bookmarkStart w:id="41" w:name="_Toc331000846"/>
      <w:r>
        <w:t>Method for distributing and allocating amounts</w:t>
      </w:r>
      <w:bookmarkEnd w:id="41"/>
      <w:r>
        <w:t xml:space="preserve"> representing taxable</w:t>
      </w:r>
      <w:r w:rsidR="008108D3">
        <w:t xml:space="preserve"> income</w:t>
      </w:r>
      <w:r>
        <w:t xml:space="preserve"> </w:t>
      </w:r>
    </w:p>
    <w:p w:rsidR="000F4C63" w:rsidRDefault="000754DA" w:rsidP="000F4C63">
      <w:r>
        <w:t>C</w:t>
      </w:r>
      <w:r w:rsidR="000F4C63">
        <w:t xml:space="preserve">oncepts of ‘distributing’ and ‘allocating’ amounts to beneficiaries are central to the EBM. </w:t>
      </w:r>
    </w:p>
    <w:p w:rsidR="00723BAB" w:rsidRDefault="00723BAB" w:rsidP="00416428">
      <w:pPr>
        <w:pStyle w:val="Heading4"/>
      </w:pPr>
      <w:bookmarkStart w:id="42" w:name="_Toc331000850"/>
      <w:r>
        <w:t>Distributions</w:t>
      </w:r>
    </w:p>
    <w:p w:rsidR="00723BAB" w:rsidRPr="001B780C" w:rsidRDefault="00723BAB" w:rsidP="00027502">
      <w:pPr>
        <w:rPr>
          <w:szCs w:val="22"/>
        </w:rPr>
      </w:pPr>
      <w:r>
        <w:t xml:space="preserve">The ‘distribution’ concept would include </w:t>
      </w:r>
      <w:r w:rsidRPr="00263B53">
        <w:t>any amount</w:t>
      </w:r>
      <w:r>
        <w:t xml:space="preserve"> (whether in money or other property)</w:t>
      </w:r>
      <w:r w:rsidRPr="00263B53">
        <w:t xml:space="preserve"> representing </w:t>
      </w:r>
      <w:r w:rsidRPr="001B780C">
        <w:rPr>
          <w:szCs w:val="22"/>
        </w:rPr>
        <w:t>the taxable income of the trust which is:</w:t>
      </w:r>
    </w:p>
    <w:p w:rsidR="00723BAB" w:rsidRPr="001B780C" w:rsidRDefault="00723BAB" w:rsidP="006A64F6">
      <w:pPr>
        <w:pStyle w:val="Bullet"/>
        <w:rPr>
          <w:sz w:val="22"/>
          <w:szCs w:val="22"/>
        </w:rPr>
      </w:pPr>
      <w:r w:rsidRPr="001B780C">
        <w:rPr>
          <w:sz w:val="22"/>
          <w:szCs w:val="22"/>
        </w:rPr>
        <w:t>paid to;</w:t>
      </w:r>
    </w:p>
    <w:p w:rsidR="00723BAB" w:rsidRPr="00D16A19" w:rsidRDefault="00723BAB" w:rsidP="00EC5D4B">
      <w:pPr>
        <w:pStyle w:val="Bullet"/>
        <w:rPr>
          <w:sz w:val="22"/>
          <w:szCs w:val="22"/>
        </w:rPr>
      </w:pPr>
      <w:r w:rsidRPr="00D16A19">
        <w:rPr>
          <w:sz w:val="22"/>
          <w:szCs w:val="22"/>
        </w:rPr>
        <w:t xml:space="preserve">applied on behalf of; </w:t>
      </w:r>
    </w:p>
    <w:p w:rsidR="00723BAB" w:rsidRPr="001B780C" w:rsidRDefault="00723BAB" w:rsidP="008A32A4">
      <w:pPr>
        <w:pStyle w:val="Bullet"/>
        <w:rPr>
          <w:sz w:val="22"/>
          <w:szCs w:val="22"/>
        </w:rPr>
      </w:pPr>
      <w:r w:rsidRPr="001B780C">
        <w:rPr>
          <w:sz w:val="22"/>
          <w:szCs w:val="22"/>
        </w:rPr>
        <w:t>credited to; or</w:t>
      </w:r>
    </w:p>
    <w:p w:rsidR="00723BAB" w:rsidRPr="001B780C" w:rsidRDefault="00723BAB" w:rsidP="006A64F6">
      <w:pPr>
        <w:pStyle w:val="Bullet"/>
        <w:rPr>
          <w:sz w:val="22"/>
          <w:szCs w:val="22"/>
        </w:rPr>
      </w:pPr>
      <w:r w:rsidRPr="001B780C">
        <w:rPr>
          <w:sz w:val="22"/>
          <w:szCs w:val="22"/>
        </w:rPr>
        <w:t xml:space="preserve">unconditionally set aside for </w:t>
      </w:r>
    </w:p>
    <w:p w:rsidR="00723BAB" w:rsidRPr="001B780C" w:rsidRDefault="00723BAB" w:rsidP="006A64F6">
      <w:pPr>
        <w:pStyle w:val="Bullet"/>
        <w:numPr>
          <w:ilvl w:val="0"/>
          <w:numId w:val="0"/>
        </w:numPr>
        <w:rPr>
          <w:sz w:val="22"/>
          <w:szCs w:val="22"/>
        </w:rPr>
      </w:pPr>
      <w:r w:rsidRPr="001B780C">
        <w:rPr>
          <w:sz w:val="22"/>
          <w:szCs w:val="22"/>
        </w:rPr>
        <w:t xml:space="preserve">any beneficiary, in their capacity as beneficiary of the trust. </w:t>
      </w:r>
    </w:p>
    <w:p w:rsidR="00452E77" w:rsidRDefault="00452E77" w:rsidP="00027502">
      <w:r>
        <w:t xml:space="preserve">The trustee would be able to distribute amounts representing taxable income that have accrued to the trust for accounting purposes, but which have not yet been received. </w:t>
      </w:r>
    </w:p>
    <w:p w:rsidR="00723BAB" w:rsidRDefault="00723BAB" w:rsidP="00027502">
      <w:r>
        <w:t xml:space="preserve">In order for a distribution to be a relevant distribution of an amount representing taxable income, the trustee must have </w:t>
      </w:r>
      <w:r w:rsidRPr="00263B53">
        <w:t>recognised</w:t>
      </w:r>
      <w:r>
        <w:t xml:space="preserve"> the distributed amount in its accounts in the income year, or alternatively, the amount must have otherwise been received or appropriately come home to the trust in that year.</w:t>
      </w:r>
    </w:p>
    <w:p w:rsidR="002A7356" w:rsidRPr="008400E1" w:rsidRDefault="008C620F" w:rsidP="002A7356">
      <w:pPr>
        <w:pStyle w:val="Heading6"/>
        <w:shd w:val="clear" w:color="auto" w:fill="D2DFEE"/>
        <w:spacing w:line="260" w:lineRule="exact"/>
        <w:jc w:val="both"/>
        <w:rPr>
          <w:rFonts w:ascii="Calibri" w:hAnsi="Calibri" w:cs="Calibri"/>
          <w:sz w:val="22"/>
        </w:rPr>
      </w:pPr>
      <w:r>
        <w:rPr>
          <w:rFonts w:ascii="Calibri" w:hAnsi="Calibri" w:cs="Calibri"/>
          <w:sz w:val="22"/>
        </w:rPr>
        <w:t xml:space="preserve">Question </w:t>
      </w:r>
      <w:r w:rsidR="003E4186">
        <w:rPr>
          <w:rFonts w:ascii="Calibri" w:hAnsi="Calibri" w:cs="Calibri"/>
          <w:sz w:val="22"/>
        </w:rPr>
        <w:t>4</w:t>
      </w:r>
    </w:p>
    <w:p w:rsidR="002A7356" w:rsidRPr="008400E1" w:rsidRDefault="002A7356" w:rsidP="002A7356">
      <w:pPr>
        <w:pStyle w:val="Heading6"/>
        <w:shd w:val="clear" w:color="auto" w:fill="D2DFEE"/>
        <w:spacing w:line="260" w:lineRule="exact"/>
        <w:jc w:val="both"/>
        <w:rPr>
          <w:rFonts w:ascii="Calibri" w:hAnsi="Calibri" w:cs="Calibri"/>
          <w:color w:val="auto"/>
          <w:sz w:val="22"/>
        </w:rPr>
      </w:pPr>
      <w:r>
        <w:rPr>
          <w:rFonts w:ascii="Calibri" w:hAnsi="Calibri" w:cs="Calibri"/>
          <w:color w:val="auto"/>
          <w:sz w:val="22"/>
        </w:rPr>
        <w:t>Should trustees be able to fund distribu</w:t>
      </w:r>
      <w:r w:rsidR="00464BC7">
        <w:rPr>
          <w:rFonts w:ascii="Calibri" w:hAnsi="Calibri" w:cs="Calibri"/>
          <w:color w:val="auto"/>
          <w:sz w:val="22"/>
        </w:rPr>
        <w:t>tions from other sources if an amount representing taxable income has not been recognised in its accounts, or otherwise been received or come home to the trust</w:t>
      </w:r>
      <w:r w:rsidR="00E42DC8">
        <w:rPr>
          <w:rFonts w:ascii="Calibri" w:hAnsi="Calibri" w:cs="Calibri"/>
          <w:color w:val="auto"/>
          <w:sz w:val="22"/>
        </w:rPr>
        <w:t xml:space="preserve"> </w:t>
      </w:r>
      <w:r w:rsidR="000F4C63">
        <w:rPr>
          <w:rFonts w:ascii="Calibri" w:hAnsi="Calibri" w:cs="Calibri"/>
          <w:color w:val="auto"/>
          <w:sz w:val="22"/>
        </w:rPr>
        <w:t xml:space="preserve"> </w:t>
      </w:r>
      <w:r w:rsidR="00B46F9E">
        <w:rPr>
          <w:rFonts w:ascii="Calibri" w:hAnsi="Calibri" w:cs="Calibri"/>
          <w:color w:val="auto"/>
          <w:sz w:val="22"/>
        </w:rPr>
        <w:t>(bearing in mind the</w:t>
      </w:r>
      <w:r w:rsidR="000F4C63">
        <w:rPr>
          <w:rFonts w:ascii="Calibri" w:hAnsi="Calibri" w:cs="Calibri"/>
          <w:color w:val="auto"/>
          <w:sz w:val="22"/>
        </w:rPr>
        <w:t xml:space="preserve"> trustee’s ability to allocate amounts as described below</w:t>
      </w:r>
      <w:r w:rsidR="00B46F9E">
        <w:rPr>
          <w:rFonts w:ascii="Calibri" w:hAnsi="Calibri" w:cs="Calibri"/>
          <w:color w:val="auto"/>
          <w:sz w:val="22"/>
        </w:rPr>
        <w:t>)</w:t>
      </w:r>
      <w:r w:rsidR="00464BC7">
        <w:rPr>
          <w:rFonts w:ascii="Calibri" w:hAnsi="Calibri" w:cs="Calibri"/>
          <w:color w:val="auto"/>
          <w:sz w:val="22"/>
        </w:rPr>
        <w:t>?</w:t>
      </w:r>
    </w:p>
    <w:p w:rsidR="002A7356" w:rsidRDefault="002A7356" w:rsidP="00027502"/>
    <w:p w:rsidR="00723BAB" w:rsidRDefault="00100E38" w:rsidP="00D25B40">
      <w:pPr>
        <w:pStyle w:val="Exampleheading"/>
      </w:pPr>
      <w:r>
        <w:t>Example 1</w:t>
      </w:r>
    </w:p>
    <w:p w:rsidR="00723BAB" w:rsidRDefault="00723BAB" w:rsidP="00D65822">
      <w:pPr>
        <w:ind w:left="720"/>
      </w:pPr>
      <w:r>
        <w:rPr>
          <w:sz w:val="20"/>
        </w:rPr>
        <w:t>Kevin’s Trust derived taxable income of $53,000. The trustee resolved to distribute $27,000 to Abed, and $26,000 to Vorenus. On July 30, the trustee transferred those amounts into their bank accounts. Therefore, $53,000 of taxable income has been distributed.</w:t>
      </w:r>
    </w:p>
    <w:p w:rsidR="00723BAB" w:rsidRPr="003C0BCB" w:rsidRDefault="00100E38" w:rsidP="00D25B40">
      <w:pPr>
        <w:pStyle w:val="Exampleheading"/>
      </w:pPr>
      <w:r>
        <w:t>Example 2</w:t>
      </w:r>
    </w:p>
    <w:p w:rsidR="00723BAB" w:rsidRPr="005D48DA" w:rsidRDefault="00723BAB" w:rsidP="005D48DA">
      <w:pPr>
        <w:ind w:left="720"/>
        <w:rPr>
          <w:sz w:val="20"/>
        </w:rPr>
      </w:pPr>
      <w:r w:rsidRPr="00E45975">
        <w:rPr>
          <w:sz w:val="20"/>
        </w:rPr>
        <w:t xml:space="preserve">The taxable income of </w:t>
      </w:r>
      <w:r>
        <w:rPr>
          <w:sz w:val="20"/>
        </w:rPr>
        <w:t>Adam’s</w:t>
      </w:r>
      <w:r w:rsidRPr="00E45975">
        <w:rPr>
          <w:sz w:val="20"/>
        </w:rPr>
        <w:t xml:space="preserve"> </w:t>
      </w:r>
      <w:r>
        <w:rPr>
          <w:sz w:val="20"/>
        </w:rPr>
        <w:t>t</w:t>
      </w:r>
      <w:r w:rsidRPr="00E45975">
        <w:rPr>
          <w:sz w:val="20"/>
        </w:rPr>
        <w:t>rust compri</w:t>
      </w:r>
      <w:r>
        <w:rPr>
          <w:sz w:val="20"/>
        </w:rPr>
        <w:t>ses $5,000 net rental income. Adam</w:t>
      </w:r>
      <w:r w:rsidRPr="00E45975">
        <w:rPr>
          <w:sz w:val="20"/>
        </w:rPr>
        <w:t xml:space="preserve"> </w:t>
      </w:r>
      <w:r>
        <w:rPr>
          <w:sz w:val="20"/>
        </w:rPr>
        <w:t>intend</w:t>
      </w:r>
      <w:r w:rsidRPr="00E45975">
        <w:rPr>
          <w:sz w:val="20"/>
        </w:rPr>
        <w:t xml:space="preserve">ed to </w:t>
      </w:r>
      <w:r>
        <w:rPr>
          <w:sz w:val="20"/>
        </w:rPr>
        <w:t>distribute the income to Alice, but failed to pay, apply, credit or set aside the amount. It has not been distributed.</w:t>
      </w:r>
    </w:p>
    <w:p w:rsidR="00723BAB" w:rsidRDefault="00100E38" w:rsidP="00D25B40">
      <w:pPr>
        <w:pStyle w:val="Exampleheading"/>
      </w:pPr>
      <w:r>
        <w:t>Example 3</w:t>
      </w:r>
    </w:p>
    <w:p w:rsidR="00723BAB" w:rsidRDefault="00723BAB" w:rsidP="00C90E00">
      <w:pPr>
        <w:ind w:left="720"/>
        <w:rPr>
          <w:sz w:val="20"/>
        </w:rPr>
      </w:pPr>
      <w:r>
        <w:rPr>
          <w:sz w:val="20"/>
        </w:rPr>
        <w:t>The only profit derived by Fatima’s Trust was a capital gain. The trustee</w:t>
      </w:r>
      <w:r w:rsidRPr="00796892">
        <w:rPr>
          <w:sz w:val="20"/>
        </w:rPr>
        <w:t xml:space="preserve"> resolve</w:t>
      </w:r>
      <w:r>
        <w:rPr>
          <w:sz w:val="20"/>
        </w:rPr>
        <w:t>d</w:t>
      </w:r>
      <w:r w:rsidRPr="00796892">
        <w:rPr>
          <w:sz w:val="20"/>
        </w:rPr>
        <w:t xml:space="preserve"> to distribute the</w:t>
      </w:r>
      <w:r>
        <w:rPr>
          <w:sz w:val="20"/>
        </w:rPr>
        <w:t xml:space="preserve"> gross</w:t>
      </w:r>
      <w:r w:rsidRPr="00796892">
        <w:rPr>
          <w:sz w:val="20"/>
        </w:rPr>
        <w:t xml:space="preserve"> capital gain to </w:t>
      </w:r>
      <w:r>
        <w:rPr>
          <w:sz w:val="20"/>
        </w:rPr>
        <w:t xml:space="preserve">Tim. The trustee notified Tim of this and, </w:t>
      </w:r>
      <w:r w:rsidRPr="00796892">
        <w:rPr>
          <w:sz w:val="20"/>
        </w:rPr>
        <w:t xml:space="preserve">with </w:t>
      </w:r>
      <w:r>
        <w:rPr>
          <w:sz w:val="20"/>
        </w:rPr>
        <w:t>Tim’s</w:t>
      </w:r>
      <w:r w:rsidRPr="00796892">
        <w:rPr>
          <w:sz w:val="20"/>
        </w:rPr>
        <w:t xml:space="preserve"> implied consent</w:t>
      </w:r>
      <w:r>
        <w:rPr>
          <w:sz w:val="20"/>
        </w:rPr>
        <w:t>,</w:t>
      </w:r>
      <w:r w:rsidRPr="00796892">
        <w:rPr>
          <w:sz w:val="20"/>
        </w:rPr>
        <w:t xml:space="preserve"> </w:t>
      </w:r>
      <w:r>
        <w:rPr>
          <w:sz w:val="20"/>
        </w:rPr>
        <w:t xml:space="preserve">credited a loan account in Tim’s name and </w:t>
      </w:r>
      <w:r w:rsidRPr="00796892">
        <w:rPr>
          <w:sz w:val="20"/>
        </w:rPr>
        <w:t>treat</w:t>
      </w:r>
      <w:r>
        <w:rPr>
          <w:sz w:val="20"/>
        </w:rPr>
        <w:t>ed</w:t>
      </w:r>
      <w:r w:rsidRPr="00796892">
        <w:rPr>
          <w:sz w:val="20"/>
        </w:rPr>
        <w:t xml:space="preserve"> </w:t>
      </w:r>
      <w:r>
        <w:rPr>
          <w:sz w:val="20"/>
        </w:rPr>
        <w:t xml:space="preserve">the amount as being loaned back to the trust </w:t>
      </w:r>
      <w:r w:rsidRPr="00796892">
        <w:rPr>
          <w:sz w:val="20"/>
        </w:rPr>
        <w:t xml:space="preserve">for use as </w:t>
      </w:r>
      <w:r>
        <w:rPr>
          <w:sz w:val="20"/>
        </w:rPr>
        <w:t xml:space="preserve">trust </w:t>
      </w:r>
      <w:r w:rsidRPr="00796892">
        <w:rPr>
          <w:sz w:val="20"/>
        </w:rPr>
        <w:t>working capital</w:t>
      </w:r>
      <w:r>
        <w:rPr>
          <w:sz w:val="20"/>
        </w:rPr>
        <w:t>. The trustee has credited the amount to Tim</w:t>
      </w:r>
      <w:r w:rsidR="001B780C">
        <w:rPr>
          <w:sz w:val="20"/>
        </w:rPr>
        <w:t>,</w:t>
      </w:r>
      <w:r>
        <w:rPr>
          <w:sz w:val="20"/>
        </w:rPr>
        <w:t xml:space="preserve"> and so it has been distributed. </w:t>
      </w:r>
    </w:p>
    <w:p w:rsidR="00723BAB" w:rsidRDefault="00723BAB" w:rsidP="00D25B40">
      <w:pPr>
        <w:pStyle w:val="Exampleheading"/>
      </w:pPr>
      <w:r w:rsidRPr="00D01CED">
        <w:t xml:space="preserve">Example </w:t>
      </w:r>
      <w:r w:rsidR="00100E38">
        <w:t>4</w:t>
      </w:r>
    </w:p>
    <w:p w:rsidR="00723BAB" w:rsidRDefault="00723BAB" w:rsidP="00263B53">
      <w:pPr>
        <w:ind w:left="720"/>
        <w:rPr>
          <w:sz w:val="20"/>
        </w:rPr>
      </w:pPr>
      <w:r>
        <w:rPr>
          <w:sz w:val="20"/>
        </w:rPr>
        <w:t>Niko</w:t>
      </w:r>
      <w:r w:rsidRPr="00796892">
        <w:rPr>
          <w:sz w:val="20"/>
        </w:rPr>
        <w:t xml:space="preserve"> holds </w:t>
      </w:r>
      <w:r>
        <w:rPr>
          <w:sz w:val="20"/>
        </w:rPr>
        <w:t>funds</w:t>
      </w:r>
      <w:r w:rsidRPr="00796892">
        <w:rPr>
          <w:sz w:val="20"/>
        </w:rPr>
        <w:t xml:space="preserve"> on trust for </w:t>
      </w:r>
      <w:r>
        <w:rPr>
          <w:sz w:val="20"/>
        </w:rPr>
        <w:t>Priya. Niko</w:t>
      </w:r>
      <w:r w:rsidRPr="00796892">
        <w:rPr>
          <w:sz w:val="20"/>
        </w:rPr>
        <w:t xml:space="preserve"> derives $10,000 interest income which is </w:t>
      </w:r>
      <w:r>
        <w:rPr>
          <w:sz w:val="20"/>
        </w:rPr>
        <w:t>applied on</w:t>
      </w:r>
      <w:r w:rsidRPr="00796892">
        <w:rPr>
          <w:sz w:val="20"/>
        </w:rPr>
        <w:t xml:space="preserve"> </w:t>
      </w:r>
      <w:r>
        <w:rPr>
          <w:sz w:val="20"/>
        </w:rPr>
        <w:t>Priya’s behalf when Niko pays Priya’s</w:t>
      </w:r>
      <w:r w:rsidRPr="00796892">
        <w:rPr>
          <w:sz w:val="20"/>
        </w:rPr>
        <w:t xml:space="preserve"> </w:t>
      </w:r>
      <w:r>
        <w:rPr>
          <w:sz w:val="20"/>
        </w:rPr>
        <w:t>university fees. The $10,000 has been distributed to Priya.</w:t>
      </w:r>
    </w:p>
    <w:p w:rsidR="00723BAB" w:rsidRDefault="00723BAB" w:rsidP="00D25B40">
      <w:pPr>
        <w:pStyle w:val="Exampleheading"/>
      </w:pPr>
      <w:r w:rsidRPr="00D01CED">
        <w:t xml:space="preserve">Example </w:t>
      </w:r>
      <w:r w:rsidR="00100E38">
        <w:t>5</w:t>
      </w:r>
    </w:p>
    <w:p w:rsidR="00723BAB" w:rsidRDefault="00723BAB" w:rsidP="00263B53">
      <w:pPr>
        <w:ind w:left="720"/>
        <w:rPr>
          <w:sz w:val="20"/>
        </w:rPr>
      </w:pPr>
      <w:r>
        <w:rPr>
          <w:sz w:val="20"/>
        </w:rPr>
        <w:t xml:space="preserve">Kyril, the trustee of a family trust, </w:t>
      </w:r>
      <w:r w:rsidRPr="00796892">
        <w:rPr>
          <w:sz w:val="20"/>
        </w:rPr>
        <w:t>resolve</w:t>
      </w:r>
      <w:r>
        <w:rPr>
          <w:sz w:val="20"/>
        </w:rPr>
        <w:t>s to distribute</w:t>
      </w:r>
      <w:r w:rsidRPr="00796892">
        <w:rPr>
          <w:sz w:val="20"/>
        </w:rPr>
        <w:t xml:space="preserve"> $5,000 net rental income for the income year </w:t>
      </w:r>
      <w:r>
        <w:rPr>
          <w:sz w:val="20"/>
        </w:rPr>
        <w:t>to Gordon. U</w:t>
      </w:r>
      <w:r w:rsidRPr="00796892">
        <w:rPr>
          <w:sz w:val="20"/>
        </w:rPr>
        <w:t xml:space="preserve">nder the terms of the trust deed, </w:t>
      </w:r>
      <w:r>
        <w:rPr>
          <w:sz w:val="20"/>
        </w:rPr>
        <w:t>Kyril must set the income aside in a separate trust for Gordon until he reaches the age of 25. The $5,000 has been distributed to Gordon because it has been applied on his behalf.</w:t>
      </w:r>
    </w:p>
    <w:p w:rsidR="00723BAB" w:rsidRDefault="00723BAB" w:rsidP="00416428">
      <w:pPr>
        <w:pStyle w:val="Heading4"/>
      </w:pPr>
      <w:r>
        <w:t>Allocations</w:t>
      </w:r>
    </w:p>
    <w:p w:rsidR="00723BAB" w:rsidRDefault="00723BAB" w:rsidP="0027051B">
      <w:r>
        <w:t xml:space="preserve">The </w:t>
      </w:r>
      <w:r w:rsidR="000F4C63">
        <w:t>‘</w:t>
      </w:r>
      <w:r>
        <w:t>allocation</w:t>
      </w:r>
      <w:r w:rsidR="000F4C63">
        <w:t>’</w:t>
      </w:r>
      <w:r>
        <w:t xml:space="preserve"> concept would deal with some amounts that cannot be distributed because they have not yet been received</w:t>
      </w:r>
      <w:r w:rsidR="00BE6F8D">
        <w:t>.</w:t>
      </w:r>
      <w:r>
        <w:t xml:space="preserve"> </w:t>
      </w:r>
    </w:p>
    <w:p w:rsidR="00723BAB" w:rsidRDefault="00723BAB" w:rsidP="00040A1C">
      <w:r>
        <w:t xml:space="preserve">A trustee may allocate </w:t>
      </w:r>
      <w:r w:rsidRPr="00040A1C">
        <w:t>an amount representing taxable income that is not yet capable of distribution because the trustee has not yet r</w:t>
      </w:r>
      <w:r>
        <w:t>ecognised it in its accounts and it has not otherwise come home to the trust. Such a</w:t>
      </w:r>
      <w:r w:rsidRPr="00040A1C">
        <w:t>n amount can</w:t>
      </w:r>
      <w:r>
        <w:t xml:space="preserve"> only</w:t>
      </w:r>
      <w:r w:rsidRPr="00040A1C">
        <w:t xml:space="preserve"> be allocated if the trustee expects to recognise it at a later time.</w:t>
      </w:r>
    </w:p>
    <w:p w:rsidR="00723BAB" w:rsidRPr="001253B8" w:rsidRDefault="00100E38" w:rsidP="00D25B40">
      <w:pPr>
        <w:pStyle w:val="Exampleheading"/>
      </w:pPr>
      <w:r>
        <w:t>Example 6</w:t>
      </w:r>
    </w:p>
    <w:p w:rsidR="00723BAB" w:rsidRDefault="00723BAB" w:rsidP="003C79E9">
      <w:pPr>
        <w:ind w:left="720"/>
        <w:rPr>
          <w:sz w:val="20"/>
        </w:rPr>
      </w:pPr>
      <w:r>
        <w:rPr>
          <w:sz w:val="20"/>
        </w:rPr>
        <w:t>Rod’s Family Trust makes a capital gain of $100,000</w:t>
      </w:r>
      <w:r w:rsidRPr="001253B8">
        <w:rPr>
          <w:sz w:val="20"/>
        </w:rPr>
        <w:t xml:space="preserve"> in the 2014 income year as a result of entering into a contract that</w:t>
      </w:r>
      <w:r>
        <w:rPr>
          <w:sz w:val="20"/>
        </w:rPr>
        <w:t xml:space="preserve"> settles in the 2015 income year. As such, the trust has not yet recognised the amount in its accounts and so it </w:t>
      </w:r>
      <w:r w:rsidRPr="001253B8">
        <w:rPr>
          <w:sz w:val="20"/>
        </w:rPr>
        <w:t>will not be possible to distribute in the 2014 year an amount representing the capital gain</w:t>
      </w:r>
      <w:r>
        <w:rPr>
          <w:sz w:val="20"/>
        </w:rPr>
        <w:t xml:space="preserve">. Instead, it is clear that the trust will receive the amount in the future, and so the trustee allocates the capital gain to Hilary. </w:t>
      </w:r>
    </w:p>
    <w:p w:rsidR="00723BAB" w:rsidRDefault="00723BAB" w:rsidP="00040A1C">
      <w:r>
        <w:t xml:space="preserve">Where such amounts are allocated to beneficiaries and not subsequently distributed by the time that the beneficiary lodges its tax return, the trustee would be assessed on behalf of the beneficiary in accordance with the </w:t>
      </w:r>
      <w:r>
        <w:rPr>
          <w:i/>
          <w:iCs/>
        </w:rPr>
        <w:t>Income Tax Rate Act 1986</w:t>
      </w:r>
      <w:r>
        <w:t>, similar to the current mechanism for taxing those beneficiaries under a legal disability. This would mean that where the beneficiary is a company, tax would be paid at the c</w:t>
      </w:r>
      <w:r w:rsidR="008108D3">
        <w:t>ompany</w:t>
      </w:r>
      <w:r>
        <w:t xml:space="preserve"> rate. Where the beneficiary is an individual, tax would be paid at marginal rates (without the tax free threshold). When the beneficiary</w:t>
      </w:r>
      <w:r w:rsidR="000F4C63">
        <w:t xml:space="preserve"> subsequently</w:t>
      </w:r>
      <w:r>
        <w:t xml:space="preserve"> receives the amount, it would be included in their assessable income and they would obtain an offset equal to the amount of tax paid by the trustee</w:t>
      </w:r>
      <w:r w:rsidRPr="00D448F6">
        <w:t>.</w:t>
      </w:r>
      <w:r w:rsidR="00D448F6" w:rsidRPr="00D448F6">
        <w:rPr>
          <w:rStyle w:val="FootnoteReference"/>
        </w:rPr>
        <w:t xml:space="preserve"> </w:t>
      </w:r>
      <w:r w:rsidR="00D448F6">
        <w:rPr>
          <w:rStyle w:val="FootnoteReference"/>
        </w:rPr>
        <w:footnoteReference w:id="13"/>
      </w:r>
      <w:r>
        <w:t xml:space="preserve">   </w:t>
      </w:r>
    </w:p>
    <w:p w:rsidR="00723BAB" w:rsidRDefault="00121FA0" w:rsidP="00183913">
      <w:r>
        <w:t>However</w:t>
      </w:r>
      <w:r w:rsidR="00723BAB">
        <w:t>, where a beneficiary has an amount allocated to them, they may not ultimately receive a distribution. That is, up until the benefit is actually distributed, the allocation is merely expected, rather than actual. Therefore, if an allocation is not distributed to the beneficiary by the</w:t>
      </w:r>
      <w:r w:rsidR="006D0B51">
        <w:t xml:space="preserve"> relevant</w:t>
      </w:r>
      <w:r w:rsidR="00723BAB">
        <w:t xml:space="preserve"> time</w:t>
      </w:r>
      <w:r w:rsidR="006D0B51">
        <w:t xml:space="preserve"> in</w:t>
      </w:r>
      <w:r w:rsidR="00723BAB">
        <w:t xml:space="preserve"> the </w:t>
      </w:r>
      <w:r w:rsidR="006D0B51">
        <w:t>year in which the amount comes home to the trust</w:t>
      </w:r>
      <w:r w:rsidR="00723BAB">
        <w:t xml:space="preserve">, the amount would instead be assessed to the trustee at the trustee tax rate (with a credit for tax paid). </w:t>
      </w:r>
    </w:p>
    <w:p w:rsidR="006E754D" w:rsidRDefault="006E754D" w:rsidP="006E754D">
      <w:r>
        <w:t>In order to allocate an amount to a beneficiary, the trustee would need to record the allocation in writing and notify the beneficiary.</w:t>
      </w:r>
    </w:p>
    <w:p w:rsidR="000F4C63" w:rsidRDefault="000F4C63" w:rsidP="000F4C63">
      <w:pPr>
        <w:pStyle w:val="Heading4"/>
      </w:pPr>
      <w:r>
        <w:t>Allocation of deductions</w:t>
      </w:r>
    </w:p>
    <w:p w:rsidR="00121FA0" w:rsidRDefault="00121FA0" w:rsidP="000F4C63">
      <w:r>
        <w:t xml:space="preserve">Reflecting the reality of </w:t>
      </w:r>
      <w:r w:rsidR="00EA5C22">
        <w:t>amounts</w:t>
      </w:r>
      <w:r>
        <w:t xml:space="preserve"> available </w:t>
      </w:r>
      <w:r w:rsidR="00EA5C22">
        <w:t xml:space="preserve">in the trust after </w:t>
      </w:r>
      <w:r w:rsidR="008108D3">
        <w:t>deductions</w:t>
      </w:r>
      <w:r w:rsidR="00EA5C22">
        <w:t>,</w:t>
      </w:r>
      <w:r>
        <w:t xml:space="preserve"> and consistent with the current law in relation to trust income, distributions and allocations would be based on </w:t>
      </w:r>
      <w:r w:rsidRPr="00D16A19">
        <w:rPr>
          <w:i/>
        </w:rPr>
        <w:t>net</w:t>
      </w:r>
      <w:r>
        <w:t xml:space="preserve"> amounts.</w:t>
      </w:r>
    </w:p>
    <w:p w:rsidR="00121FA0" w:rsidRDefault="000F4C63" w:rsidP="000F4C63">
      <w:r>
        <w:t>The</w:t>
      </w:r>
      <w:r w:rsidR="00121FA0">
        <w:t>refore, the</w:t>
      </w:r>
      <w:r>
        <w:t xml:space="preserve"> trustee would need to allocate deductions against particular components of assessable income in accordance with the </w:t>
      </w:r>
      <w:r w:rsidR="00121FA0">
        <w:t>‘fair and reasonable basis’</w:t>
      </w:r>
      <w:r>
        <w:t xml:space="preserve"> described in Chapter 2 to ascertain the character of relevant components of taxable income assessed to beneficiaries or to the trustee. </w:t>
      </w:r>
    </w:p>
    <w:p w:rsidR="000F4C63" w:rsidRDefault="000F4C63" w:rsidP="000F4C63">
      <w:r>
        <w:t>The</w:t>
      </w:r>
      <w:r w:rsidR="00121FA0">
        <w:t xml:space="preserve"> trustee</w:t>
      </w:r>
      <w:r>
        <w:t xml:space="preserve"> would need to do this regardless of whether they are seeking to stream particular taxable income components to particular beneficiaries, because in the absence of streaming, beneficiaries who receive distributions would </w:t>
      </w:r>
      <w:r w:rsidR="008108D3">
        <w:t>be assessed on a proportionate amount</w:t>
      </w:r>
      <w:r>
        <w:t xml:space="preserve"> of each component of taxable income. </w:t>
      </w:r>
    </w:p>
    <w:p w:rsidR="00723BAB" w:rsidRPr="000C049A" w:rsidRDefault="00723BAB" w:rsidP="00056238">
      <w:pPr>
        <w:pStyle w:val="Heading4"/>
      </w:pPr>
      <w:r>
        <w:t xml:space="preserve">When will a distribution or allocation reduce </w:t>
      </w:r>
      <w:r w:rsidR="00EA5C22">
        <w:t>the remaining</w:t>
      </w:r>
      <w:r>
        <w:t xml:space="preserve"> taxable income</w:t>
      </w:r>
      <w:r w:rsidR="00EA5C22">
        <w:t xml:space="preserve"> of the trust</w:t>
      </w:r>
      <w:r>
        <w:t>?</w:t>
      </w:r>
    </w:p>
    <w:p w:rsidR="00723BAB" w:rsidRDefault="00723BAB" w:rsidP="00027502">
      <w:r>
        <w:t xml:space="preserve">Whether a distribution or allocation reduces the </w:t>
      </w:r>
      <w:r w:rsidR="00EA5C22">
        <w:t xml:space="preserve">remaining </w:t>
      </w:r>
      <w:r>
        <w:t xml:space="preserve">taxable income assessed to </w:t>
      </w:r>
      <w:r w:rsidR="008C620F">
        <w:t>the trustee</w:t>
      </w:r>
      <w:r>
        <w:t xml:space="preserve"> is ascertained by considering the character of amounts in the hands of the trustee before the distribution or allocation is made. If the amount does not represent part of the trust’s taxable income during t</w:t>
      </w:r>
      <w:r w:rsidR="008B447C">
        <w:t>he income year, then the trust</w:t>
      </w:r>
      <w:r>
        <w:t xml:space="preserve">’s </w:t>
      </w:r>
      <w:r w:rsidR="008B447C">
        <w:t>taxable income</w:t>
      </w:r>
      <w:r>
        <w:t xml:space="preserve"> will not be reduced. </w:t>
      </w:r>
    </w:p>
    <w:p w:rsidR="00723BAB" w:rsidRDefault="00723BAB" w:rsidP="00056238">
      <w:pPr>
        <w:pStyle w:val="Heading5"/>
      </w:pPr>
      <w:r>
        <w:t>Timing</w:t>
      </w:r>
    </w:p>
    <w:p w:rsidR="00723BAB" w:rsidRDefault="00723BAB" w:rsidP="00027502">
      <w:r w:rsidRPr="00BD5C03">
        <w:t>In order for a trustee to reduce its</w:t>
      </w:r>
      <w:r w:rsidR="00D448F6" w:rsidRPr="00BD5C03">
        <w:t xml:space="preserve"> remaining</w:t>
      </w:r>
      <w:r w:rsidRPr="00BD5C03">
        <w:t xml:space="preserve"> taxable income, distributions and allocations must be declared by 31 August</w:t>
      </w:r>
      <w:r w:rsidR="00EA5C22" w:rsidRPr="00BD5C03">
        <w:t xml:space="preserve"> (or a later date if </w:t>
      </w:r>
      <w:r w:rsidR="004D04C7" w:rsidRPr="00BD5C03">
        <w:t>applicable for that</w:t>
      </w:r>
      <w:r w:rsidR="00EA5C22" w:rsidRPr="00BD5C03">
        <w:t xml:space="preserve"> trus</w:t>
      </w:r>
      <w:r w:rsidR="004D04C7" w:rsidRPr="00BD5C03">
        <w:t>t – see page 12)</w:t>
      </w:r>
      <w:r w:rsidRPr="00BD5C03">
        <w:t>.  Distributions must be made good by the date of the trust’s tax return</w:t>
      </w:r>
      <w:r w:rsidR="00D448F6" w:rsidRPr="00BD5C03">
        <w:t xml:space="preserve"> or, in the case of allocations made in earlier years, by the date of the trust’s tax return in the year the amount comes home to the trust</w:t>
      </w:r>
      <w:r w:rsidRPr="00BD5C03">
        <w:t>.</w:t>
      </w:r>
      <w:r w:rsidRPr="00BD5C03">
        <w:rPr>
          <w:rStyle w:val="FootnoteReference"/>
        </w:rPr>
        <w:footnoteReference w:id="14"/>
      </w:r>
      <w:r w:rsidRPr="00D448F6">
        <w:t xml:space="preserve">  </w:t>
      </w:r>
    </w:p>
    <w:p w:rsidR="00723BAB" w:rsidRPr="00A81317" w:rsidRDefault="00723BAB" w:rsidP="00056238">
      <w:pPr>
        <w:pStyle w:val="Heading5"/>
      </w:pPr>
      <w:r w:rsidRPr="00A81317">
        <w:t>Capital gains</w:t>
      </w:r>
    </w:p>
    <w:p w:rsidR="00EA5C22" w:rsidRDefault="00723BAB" w:rsidP="003714C9">
      <w:r w:rsidRPr="00A81317">
        <w:t xml:space="preserve">A </w:t>
      </w:r>
      <w:r>
        <w:t>trust’s taxable income will only be reduced in respect of a distributed net capital gain</w:t>
      </w:r>
      <w:r w:rsidRPr="00A81317">
        <w:t xml:space="preserve"> to the extent that the gross capital gain has been distributed, less any capital losses and </w:t>
      </w:r>
      <w:r w:rsidR="00EA5C22">
        <w:t xml:space="preserve">any </w:t>
      </w:r>
      <w:r w:rsidRPr="00A81317">
        <w:t xml:space="preserve">deductible expenses that have been applied against the </w:t>
      </w:r>
      <w:r>
        <w:t xml:space="preserve">net </w:t>
      </w:r>
      <w:r w:rsidRPr="00A81317">
        <w:t>capital gain.</w:t>
      </w:r>
      <w:r>
        <w:t xml:space="preserve"> </w:t>
      </w:r>
    </w:p>
    <w:p w:rsidR="00723BAB" w:rsidRPr="00A81317" w:rsidRDefault="00723BAB" w:rsidP="003714C9">
      <w:r>
        <w:t>Distributions in prior years of amounts that represent current year capital gains will also count as relevant distributions</w:t>
      </w:r>
      <w:r w:rsidR="00BF4C5B">
        <w:t xml:space="preserve"> of current year capital gains, </w:t>
      </w:r>
      <w:r>
        <w:t>reducing the trust’s taxable income assessed to the trustee in the current year, and also being assessable in the current year to the beneficiary in receipt of that prior year distribution.</w:t>
      </w:r>
      <w:r w:rsidR="009224A5">
        <w:t xml:space="preserve"> </w:t>
      </w:r>
      <w:r w:rsidR="00BF4C5B">
        <w:t>This would include, for example, distributions made out of asset realisation reserves in a prior year, in respect of an asset realised in the current year for a capital gain.</w:t>
      </w:r>
    </w:p>
    <w:p w:rsidR="00723BAB" w:rsidRPr="00A81317" w:rsidRDefault="00F348BA" w:rsidP="00D25B40">
      <w:pPr>
        <w:pStyle w:val="Exampleheading"/>
      </w:pPr>
      <w:r>
        <w:t>Example 7</w:t>
      </w:r>
    </w:p>
    <w:p w:rsidR="00723BAB" w:rsidRPr="00A81317" w:rsidRDefault="00723BAB" w:rsidP="00A81317">
      <w:pPr>
        <w:ind w:left="720"/>
        <w:rPr>
          <w:sz w:val="20"/>
        </w:rPr>
      </w:pPr>
      <w:r>
        <w:rPr>
          <w:sz w:val="20"/>
        </w:rPr>
        <w:t>Bhawani</w:t>
      </w:r>
      <w:r w:rsidRPr="00A81317">
        <w:rPr>
          <w:sz w:val="20"/>
        </w:rPr>
        <w:t>’s Family Trust made a gross capital gain of $1,000 on the disposal of one of its assets</w:t>
      </w:r>
      <w:r>
        <w:rPr>
          <w:sz w:val="20"/>
        </w:rPr>
        <w:t xml:space="preserve">. </w:t>
      </w:r>
      <w:r w:rsidRPr="00A81317">
        <w:rPr>
          <w:sz w:val="20"/>
        </w:rPr>
        <w:t>The asset had been held for longer than 12 months and was eligible for the 50</w:t>
      </w:r>
      <w:r>
        <w:rPr>
          <w:sz w:val="20"/>
        </w:rPr>
        <w:t> </w:t>
      </w:r>
      <w:r w:rsidRPr="00A81317">
        <w:rPr>
          <w:sz w:val="20"/>
        </w:rPr>
        <w:t>per</w:t>
      </w:r>
      <w:r>
        <w:rPr>
          <w:sz w:val="20"/>
        </w:rPr>
        <w:t> </w:t>
      </w:r>
      <w:r w:rsidRPr="00A81317">
        <w:rPr>
          <w:sz w:val="20"/>
        </w:rPr>
        <w:t xml:space="preserve">cent CGT discount. </w:t>
      </w:r>
    </w:p>
    <w:p w:rsidR="00723BAB" w:rsidRPr="00A81317" w:rsidRDefault="00723BAB" w:rsidP="00A81317">
      <w:pPr>
        <w:ind w:left="720"/>
        <w:rPr>
          <w:sz w:val="20"/>
        </w:rPr>
      </w:pPr>
      <w:r>
        <w:rPr>
          <w:sz w:val="20"/>
        </w:rPr>
        <w:t>The trustee</w:t>
      </w:r>
      <w:r w:rsidRPr="00A81317">
        <w:rPr>
          <w:sz w:val="20"/>
        </w:rPr>
        <w:t xml:space="preserve"> distributes $1,000 representing the</w:t>
      </w:r>
      <w:r>
        <w:rPr>
          <w:sz w:val="20"/>
        </w:rPr>
        <w:t xml:space="preserve"> gross</w:t>
      </w:r>
      <w:r w:rsidRPr="00A81317">
        <w:rPr>
          <w:sz w:val="20"/>
        </w:rPr>
        <w:t xml:space="preserve"> capital gain to</w:t>
      </w:r>
      <w:r>
        <w:rPr>
          <w:sz w:val="20"/>
        </w:rPr>
        <w:t xml:space="preserve"> Octavia,</w:t>
      </w:r>
      <w:r w:rsidRPr="00A81317">
        <w:rPr>
          <w:sz w:val="20"/>
        </w:rPr>
        <w:t xml:space="preserve"> an individual beneficiary</w:t>
      </w:r>
      <w:r>
        <w:rPr>
          <w:sz w:val="20"/>
        </w:rPr>
        <w:t xml:space="preserve">. </w:t>
      </w:r>
      <w:r w:rsidRPr="00A81317">
        <w:rPr>
          <w:sz w:val="20"/>
        </w:rPr>
        <w:t xml:space="preserve">If </w:t>
      </w:r>
      <w:r>
        <w:rPr>
          <w:sz w:val="20"/>
        </w:rPr>
        <w:t>Octavia</w:t>
      </w:r>
      <w:r w:rsidRPr="00A81317">
        <w:rPr>
          <w:sz w:val="20"/>
        </w:rPr>
        <w:t xml:space="preserve"> has no other capital gains or losses, </w:t>
      </w:r>
      <w:r>
        <w:rPr>
          <w:sz w:val="20"/>
        </w:rPr>
        <w:t>she</w:t>
      </w:r>
      <w:r w:rsidRPr="00A81317">
        <w:rPr>
          <w:sz w:val="20"/>
        </w:rPr>
        <w:t xml:space="preserve"> will be assessed on </w:t>
      </w:r>
      <w:r>
        <w:rPr>
          <w:sz w:val="20"/>
        </w:rPr>
        <w:t xml:space="preserve">a </w:t>
      </w:r>
      <w:r w:rsidRPr="00A81317">
        <w:rPr>
          <w:sz w:val="20"/>
        </w:rPr>
        <w:t xml:space="preserve">net capital gain of $500. </w:t>
      </w:r>
    </w:p>
    <w:p w:rsidR="00723BAB" w:rsidRPr="00A15651" w:rsidRDefault="00723BAB" w:rsidP="00A81317">
      <w:pPr>
        <w:ind w:left="720"/>
        <w:rPr>
          <w:sz w:val="20"/>
        </w:rPr>
      </w:pPr>
      <w:r w:rsidRPr="00A81317">
        <w:rPr>
          <w:sz w:val="20"/>
        </w:rPr>
        <w:t xml:space="preserve">If </w:t>
      </w:r>
      <w:r>
        <w:rPr>
          <w:sz w:val="20"/>
        </w:rPr>
        <w:t>the trustee</w:t>
      </w:r>
      <w:r w:rsidRPr="00A81317">
        <w:rPr>
          <w:sz w:val="20"/>
        </w:rPr>
        <w:t xml:space="preserve"> had only distributed $500 representing the net capital gain, the</w:t>
      </w:r>
      <w:r>
        <w:rPr>
          <w:sz w:val="20"/>
        </w:rPr>
        <w:t>n</w:t>
      </w:r>
      <w:r w:rsidRPr="00A81317">
        <w:rPr>
          <w:sz w:val="20"/>
        </w:rPr>
        <w:t xml:space="preserve"> </w:t>
      </w:r>
      <w:r>
        <w:rPr>
          <w:sz w:val="20"/>
        </w:rPr>
        <w:t>Octavia</w:t>
      </w:r>
      <w:r w:rsidRPr="00A81317">
        <w:rPr>
          <w:sz w:val="20"/>
        </w:rPr>
        <w:t xml:space="preserve"> w</w:t>
      </w:r>
      <w:r>
        <w:rPr>
          <w:sz w:val="20"/>
        </w:rPr>
        <w:t>ould</w:t>
      </w:r>
      <w:r w:rsidRPr="00A81317">
        <w:rPr>
          <w:sz w:val="20"/>
        </w:rPr>
        <w:t xml:space="preserve"> be taken to have only been distributed half of the gain. </w:t>
      </w:r>
      <w:r>
        <w:rPr>
          <w:sz w:val="20"/>
        </w:rPr>
        <w:t>Octavia</w:t>
      </w:r>
      <w:r w:rsidRPr="00A81317">
        <w:rPr>
          <w:sz w:val="20"/>
        </w:rPr>
        <w:t xml:space="preserve"> would therefore be assessed on a net capital gain of $250.</w:t>
      </w:r>
    </w:p>
    <w:p w:rsidR="00723BAB" w:rsidRDefault="00723BAB" w:rsidP="00056238">
      <w:pPr>
        <w:pStyle w:val="Heading5"/>
      </w:pPr>
      <w:r>
        <w:t>Distributions not representing amounts of taxable income</w:t>
      </w:r>
    </w:p>
    <w:p w:rsidR="00723BAB" w:rsidRDefault="00723BAB" w:rsidP="000360A4">
      <w:r>
        <w:t xml:space="preserve">If the trustee distributes an amount which was related to a previous year, the trustee would not be allowed to reduce its share of the trust’s taxable income because of that distribution unless the amount relates to the trust’s current year taxable income (for example, distributions in a prior year out of an asset revaluation reserve that relate to current year capital gains). </w:t>
      </w:r>
    </w:p>
    <w:p w:rsidR="00723BAB" w:rsidRDefault="00723BAB" w:rsidP="00056238">
      <w:pPr>
        <w:pStyle w:val="Heading3"/>
        <w:ind w:left="567" w:hanging="567"/>
      </w:pPr>
      <w:r>
        <w:t>Exempt income and NANE income</w:t>
      </w:r>
    </w:p>
    <w:p w:rsidR="00723BAB" w:rsidRDefault="00723BAB" w:rsidP="000360A4">
      <w:r>
        <w:t xml:space="preserve">A trustee can distribute an amount representing exempt income or NANE income in the same way that they can distribute amounts representing taxable income. However, </w:t>
      </w:r>
      <w:r w:rsidR="00AB4AC4">
        <w:t>these distributions would not reduce the trust’s taxable income</w:t>
      </w:r>
      <w:r>
        <w:t>.</w:t>
      </w:r>
      <w:r w:rsidR="00AF1B53">
        <w:t xml:space="preserve">  Such distributions would instead reduce amounts of exempt income or NANE income.</w:t>
      </w:r>
    </w:p>
    <w:p w:rsidR="00723BAB" w:rsidRDefault="00F348BA" w:rsidP="00D25B40">
      <w:pPr>
        <w:pStyle w:val="Exampleheading"/>
      </w:pPr>
      <w:r>
        <w:t>Example 8</w:t>
      </w:r>
    </w:p>
    <w:p w:rsidR="00723BAB" w:rsidRPr="006A64F6" w:rsidRDefault="00723BAB" w:rsidP="006A64F6">
      <w:pPr>
        <w:ind w:left="567"/>
        <w:rPr>
          <w:sz w:val="20"/>
        </w:rPr>
      </w:pPr>
      <w:r>
        <w:rPr>
          <w:sz w:val="20"/>
        </w:rPr>
        <w:t xml:space="preserve">Imogen’s Trust </w:t>
      </w:r>
      <w:r w:rsidRPr="006A64F6">
        <w:rPr>
          <w:sz w:val="20"/>
        </w:rPr>
        <w:t>receive</w:t>
      </w:r>
      <w:r>
        <w:rPr>
          <w:sz w:val="20"/>
        </w:rPr>
        <w:t xml:space="preserve">s a demerger dividend of $5,000, which is NANE income. The trustee distributes the dividend to Ani. The trust’s </w:t>
      </w:r>
      <w:r w:rsidR="00A21E09">
        <w:rPr>
          <w:sz w:val="20"/>
        </w:rPr>
        <w:t xml:space="preserve">remaining </w:t>
      </w:r>
      <w:r>
        <w:rPr>
          <w:sz w:val="20"/>
        </w:rPr>
        <w:t>taxable income is not reduced as a result of the distribution. Ani is taken to have NANE of $5,000.</w:t>
      </w:r>
    </w:p>
    <w:p w:rsidR="00723BAB" w:rsidRDefault="00723BAB" w:rsidP="00056238">
      <w:pPr>
        <w:pStyle w:val="Heading4"/>
      </w:pPr>
      <w:r>
        <w:t>Beneficiaries assessable on amounts distributed or allocated to them</w:t>
      </w:r>
    </w:p>
    <w:p w:rsidR="00723BAB" w:rsidRDefault="00723BAB" w:rsidP="00D8272A">
      <w:r>
        <w:t>The beneficiaries of a trust would be assessed on the amounts</w:t>
      </w:r>
      <w:r w:rsidR="00A21E09">
        <w:t xml:space="preserve"> distributed or allocated to them to the extent that</w:t>
      </w:r>
      <w:r>
        <w:t xml:space="preserve"> </w:t>
      </w:r>
      <w:r w:rsidR="00A21E09">
        <w:t>the</w:t>
      </w:r>
      <w:r>
        <w:t xml:space="preserve"> trustee has been able to reduce the trust’s </w:t>
      </w:r>
      <w:r w:rsidR="00A21E09">
        <w:t xml:space="preserve">remaining </w:t>
      </w:r>
      <w:r>
        <w:t xml:space="preserve">taxable income. </w:t>
      </w:r>
    </w:p>
    <w:p w:rsidR="00723BAB" w:rsidRDefault="00723BAB" w:rsidP="00D8272A">
      <w:r>
        <w:t>As currently occurs, the trustee would be assessed primarily as a collection mechanism in respect of amounts otherwise assessed to certain beneficiaries, such as non</w:t>
      </w:r>
      <w:r>
        <w:noBreakHyphen/>
        <w:t xml:space="preserve">residents and minors. </w:t>
      </w:r>
    </w:p>
    <w:p w:rsidR="00723BAB" w:rsidRDefault="00723BAB" w:rsidP="00B0678A">
      <w:pPr>
        <w:pStyle w:val="Heading3"/>
        <w:ind w:left="567" w:hanging="567"/>
      </w:pPr>
      <w:r>
        <w:t>Character retention and streaming</w:t>
      </w:r>
    </w:p>
    <w:p w:rsidR="00723BAB" w:rsidRDefault="00723BAB" w:rsidP="00D8272A">
      <w:r>
        <w:t>Amounts distributed or allocated by a trustee to beneficiaries would retain their character in the hands of the beneficiaries provided that they are distributed or allocated within the timeframes for declaring and making distributions and allocations.</w:t>
      </w:r>
    </w:p>
    <w:p w:rsidR="00723BAB" w:rsidRDefault="00A21E09" w:rsidP="00D8272A">
      <w:r>
        <w:t>As discussed above, t</w:t>
      </w:r>
      <w:r w:rsidR="00723BAB">
        <w:t xml:space="preserve">his requires the trustee to first identify the net components of its taxable income. The trustee may then distribute or allocate amounts representing particular components of the trust’s taxable income to particular beneficiaries. </w:t>
      </w:r>
    </w:p>
    <w:p w:rsidR="00723BAB" w:rsidRPr="0073152B" w:rsidRDefault="00F348BA" w:rsidP="00B0678A">
      <w:pPr>
        <w:pStyle w:val="Heading7"/>
      </w:pPr>
      <w:r>
        <w:t>Example 9</w:t>
      </w:r>
    </w:p>
    <w:p w:rsidR="00723BAB" w:rsidRPr="009224A5" w:rsidRDefault="00723BAB" w:rsidP="0085212B">
      <w:pPr>
        <w:ind w:left="720"/>
        <w:rPr>
          <w:sz w:val="20"/>
        </w:rPr>
      </w:pPr>
      <w:r w:rsidRPr="009224A5">
        <w:rPr>
          <w:sz w:val="20"/>
        </w:rPr>
        <w:t>The taxable income of Adam’s Trust comprises the following components:</w:t>
      </w:r>
    </w:p>
    <w:p w:rsidR="00723BAB" w:rsidRPr="009224A5" w:rsidRDefault="00723BAB" w:rsidP="002E1ECB">
      <w:pPr>
        <w:pStyle w:val="DoubleDot"/>
        <w:numPr>
          <w:ilvl w:val="2"/>
          <w:numId w:val="11"/>
        </w:numPr>
        <w:rPr>
          <w:sz w:val="20"/>
        </w:rPr>
      </w:pPr>
      <w:r w:rsidRPr="009224A5">
        <w:rPr>
          <w:sz w:val="20"/>
        </w:rPr>
        <w:t>Rental income (less apportioned deductions) — $10,000</w:t>
      </w:r>
    </w:p>
    <w:p w:rsidR="00723BAB" w:rsidRPr="009224A5" w:rsidRDefault="00723BAB" w:rsidP="002E1ECB">
      <w:pPr>
        <w:pStyle w:val="DoubleDot"/>
        <w:numPr>
          <w:ilvl w:val="2"/>
          <w:numId w:val="11"/>
        </w:numPr>
        <w:rPr>
          <w:sz w:val="20"/>
        </w:rPr>
      </w:pPr>
      <w:r w:rsidRPr="009224A5">
        <w:rPr>
          <w:sz w:val="20"/>
        </w:rPr>
        <w:t>Foreign interest income (less apportioned deductions) — $60,000 + $6,000 foreign tax offset</w:t>
      </w:r>
    </w:p>
    <w:p w:rsidR="00723BAB" w:rsidRPr="009224A5" w:rsidRDefault="00723BAB" w:rsidP="002E1ECB">
      <w:pPr>
        <w:pStyle w:val="DoubleDot"/>
        <w:numPr>
          <w:ilvl w:val="2"/>
          <w:numId w:val="11"/>
        </w:numPr>
        <w:rPr>
          <w:sz w:val="20"/>
        </w:rPr>
      </w:pPr>
      <w:r w:rsidRPr="009224A5">
        <w:rPr>
          <w:sz w:val="20"/>
        </w:rPr>
        <w:t>Franked dividend income (less apportioned deductions) — $7,000 + $3,000 franking credit</w:t>
      </w:r>
    </w:p>
    <w:p w:rsidR="00723BAB" w:rsidRPr="009224A5" w:rsidRDefault="00723BAB" w:rsidP="00DE1EEE">
      <w:pPr>
        <w:ind w:left="720"/>
        <w:rPr>
          <w:sz w:val="20"/>
        </w:rPr>
      </w:pPr>
      <w:r w:rsidRPr="009224A5">
        <w:rPr>
          <w:sz w:val="20"/>
        </w:rPr>
        <w:t xml:space="preserve">The trustee distributes $7,000 representing the franked dividend income to Lucy; the $3,000 representing the gross up for franking credits attaches to that distribution. The trustee distributes $60,000 representing the foreign interest income to Jeremy; the $6,000 gross up referable to the amount sheltered by the foreign tax paid </w:t>
      </w:r>
      <w:r w:rsidR="008B447C" w:rsidRPr="009224A5">
        <w:rPr>
          <w:sz w:val="20"/>
        </w:rPr>
        <w:t>attaches to that distribution</w:t>
      </w:r>
      <w:r w:rsidRPr="009224A5">
        <w:rPr>
          <w:sz w:val="20"/>
        </w:rPr>
        <w:t xml:space="preserve">. Finally, the trustee distributes $5,000 of rental income to Katherine, and $5,000 to Suzanna. </w:t>
      </w:r>
    </w:p>
    <w:p w:rsidR="00723BAB" w:rsidRPr="009224A5" w:rsidRDefault="00723BAB" w:rsidP="00DE1EEE">
      <w:pPr>
        <w:ind w:left="720"/>
        <w:rPr>
          <w:sz w:val="20"/>
        </w:rPr>
      </w:pPr>
      <w:r w:rsidRPr="009224A5">
        <w:rPr>
          <w:sz w:val="20"/>
        </w:rPr>
        <w:t>For tax purposes:</w:t>
      </w:r>
    </w:p>
    <w:p w:rsidR="009224A5" w:rsidRPr="009224A5" w:rsidRDefault="00723BAB" w:rsidP="009224A5">
      <w:pPr>
        <w:pStyle w:val="DoubleDot"/>
        <w:numPr>
          <w:ilvl w:val="2"/>
          <w:numId w:val="11"/>
        </w:numPr>
        <w:rPr>
          <w:sz w:val="20"/>
        </w:rPr>
      </w:pPr>
      <w:r w:rsidRPr="009224A5">
        <w:rPr>
          <w:sz w:val="20"/>
        </w:rPr>
        <w:t>Lucy will be treated as having derived a franked distribution;</w:t>
      </w:r>
    </w:p>
    <w:p w:rsidR="009224A5" w:rsidRPr="009224A5" w:rsidRDefault="00723BAB" w:rsidP="009224A5">
      <w:pPr>
        <w:pStyle w:val="DoubleDot"/>
        <w:numPr>
          <w:ilvl w:val="2"/>
          <w:numId w:val="11"/>
        </w:numPr>
        <w:rPr>
          <w:sz w:val="20"/>
        </w:rPr>
      </w:pPr>
      <w:r w:rsidRPr="009224A5">
        <w:rPr>
          <w:sz w:val="20"/>
        </w:rPr>
        <w:t>Jeremy will be treated as having derived net foreign interest income; and</w:t>
      </w:r>
    </w:p>
    <w:p w:rsidR="00723BAB" w:rsidRPr="009224A5" w:rsidRDefault="00723BAB" w:rsidP="009224A5">
      <w:pPr>
        <w:pStyle w:val="DoubleDot"/>
        <w:numPr>
          <w:ilvl w:val="2"/>
          <w:numId w:val="11"/>
        </w:numPr>
        <w:rPr>
          <w:sz w:val="20"/>
        </w:rPr>
      </w:pPr>
      <w:r w:rsidRPr="009224A5">
        <w:rPr>
          <w:sz w:val="20"/>
        </w:rPr>
        <w:t>Katherine and Suzanna will be treated as having derived ordinary income.</w:t>
      </w:r>
    </w:p>
    <w:p w:rsidR="00723BAB" w:rsidRPr="006A64F6" w:rsidRDefault="00723BAB" w:rsidP="00D8272A">
      <w:r>
        <w:t>Alternatively, the trustee may distribute amounts referable to the taxable income of the trust without specifying that particular beneficiaries are to have income with particular characteristics — in which case, each beneficiary’s distribution would be taken to comprise a proportionate share of each of the taxable income components that has not been distributed or allocated.</w:t>
      </w:r>
    </w:p>
    <w:p w:rsidR="00723BAB" w:rsidRDefault="00723BAB" w:rsidP="00D8272A">
      <w:r>
        <w:t xml:space="preserve">The trustee must notify each beneficiary to whom a distribution or allocation has been made of the amount to be included in their assessable income and of its tax character. </w:t>
      </w:r>
    </w:p>
    <w:p w:rsidR="00723BAB" w:rsidRDefault="00723BAB" w:rsidP="00B0678A">
      <w:pPr>
        <w:pStyle w:val="Heading3"/>
        <w:ind w:left="567" w:hanging="567"/>
      </w:pPr>
      <w:r>
        <w:t>Treatment of amounts not distributed or allocated</w:t>
      </w:r>
    </w:p>
    <w:p w:rsidR="00723BAB" w:rsidRDefault="00723BAB" w:rsidP="00D8272A">
      <w:r>
        <w:t xml:space="preserve">The trustee would be assessed on taxable income that is not distributed or allocated. </w:t>
      </w:r>
    </w:p>
    <w:p w:rsidR="00723BAB" w:rsidRDefault="00723BAB" w:rsidP="00D8272A">
      <w:r>
        <w:t>This would generally include amounts that were incorrectly excluded from the trustee’s calculation of taxable income. This is because, under a self</w:t>
      </w:r>
      <w:r>
        <w:noBreakHyphen/>
        <w:t xml:space="preserve">assessment system, responsibility rests with taxpayers to accurately determine and report their tax obligations. It is important that the trustee’s </w:t>
      </w:r>
      <w:r w:rsidR="00607FDB">
        <w:t>calculation of taxable income is</w:t>
      </w:r>
      <w:r>
        <w:t xml:space="preserve"> accurate, especially where beneficiaries — other taxpayers — are relying on that calculation in order to meet their own tax obligations. </w:t>
      </w:r>
    </w:p>
    <w:p w:rsidR="00723BAB" w:rsidRDefault="00F348BA" w:rsidP="00B0678A">
      <w:pPr>
        <w:pStyle w:val="Heading7"/>
      </w:pPr>
      <w:r>
        <w:t>Example 10</w:t>
      </w:r>
    </w:p>
    <w:p w:rsidR="00723BAB" w:rsidRPr="00555E7D" w:rsidRDefault="00723BAB" w:rsidP="00C90E00">
      <w:pPr>
        <w:ind w:left="720"/>
        <w:rPr>
          <w:sz w:val="20"/>
        </w:rPr>
      </w:pPr>
      <w:r>
        <w:rPr>
          <w:sz w:val="20"/>
        </w:rPr>
        <w:t xml:space="preserve">Andrew’s Trust reported taxable income of </w:t>
      </w:r>
      <w:r w:rsidRPr="00555E7D">
        <w:rPr>
          <w:sz w:val="20"/>
        </w:rPr>
        <w:t>$100,000</w:t>
      </w:r>
      <w:r>
        <w:rPr>
          <w:sz w:val="20"/>
        </w:rPr>
        <w:t>,</w:t>
      </w:r>
      <w:r w:rsidRPr="00555E7D">
        <w:rPr>
          <w:sz w:val="20"/>
        </w:rPr>
        <w:t xml:space="preserve"> consisting</w:t>
      </w:r>
      <w:r>
        <w:rPr>
          <w:sz w:val="20"/>
        </w:rPr>
        <w:t xml:space="preserve"> entirely</w:t>
      </w:r>
      <w:r w:rsidRPr="00555E7D">
        <w:rPr>
          <w:sz w:val="20"/>
        </w:rPr>
        <w:t xml:space="preserve"> of net business income</w:t>
      </w:r>
      <w:r>
        <w:rPr>
          <w:sz w:val="20"/>
        </w:rPr>
        <w:t>. The trustee distributed an amount representing all of the taxable income to Harvey</w:t>
      </w:r>
      <w:r w:rsidRPr="00555E7D">
        <w:rPr>
          <w:sz w:val="20"/>
        </w:rPr>
        <w:t>.</w:t>
      </w:r>
    </w:p>
    <w:p w:rsidR="00723BAB" w:rsidRPr="00555E7D" w:rsidRDefault="00723BAB" w:rsidP="00C90E00">
      <w:pPr>
        <w:ind w:left="720"/>
        <w:rPr>
          <w:sz w:val="20"/>
        </w:rPr>
      </w:pPr>
      <w:r>
        <w:rPr>
          <w:sz w:val="20"/>
        </w:rPr>
        <w:t>However, the trustee</w:t>
      </w:r>
      <w:r w:rsidRPr="00555E7D">
        <w:rPr>
          <w:sz w:val="20"/>
        </w:rPr>
        <w:t xml:space="preserve"> had omitted $5,000 sales income from the taxable income calculation</w:t>
      </w:r>
      <w:r>
        <w:rPr>
          <w:sz w:val="20"/>
        </w:rPr>
        <w:t>. The Commissioner subsequently amended the trust’s tax return. The trustee is assessable on this amount because it is too late to distribute or allocate it</w:t>
      </w:r>
      <w:r w:rsidRPr="00555E7D">
        <w:rPr>
          <w:sz w:val="20"/>
        </w:rPr>
        <w:t>.</w:t>
      </w:r>
    </w:p>
    <w:p w:rsidR="00723BAB" w:rsidRPr="00416428" w:rsidRDefault="00723BAB" w:rsidP="00E0138A">
      <w:pPr>
        <w:rPr>
          <w:color w:val="FF0000"/>
        </w:rPr>
      </w:pPr>
      <w:r>
        <w:t xml:space="preserve">Amounts that are subsequently distributed would not be taxable to the beneficiary if they have already been taxed to the trustee. As previously discussed, there is an exception for allocated amounts taxed to the trustee on behalf of a beneficiary — these amounts would be assessed to the relevant beneficiary once distributed to them, with a credit being allowed for the tax </w:t>
      </w:r>
      <w:r w:rsidR="00607FDB">
        <w:t>already</w:t>
      </w:r>
      <w:r>
        <w:t xml:space="preserve"> paid by the trustee.</w:t>
      </w:r>
    </w:p>
    <w:p w:rsidR="00723BAB" w:rsidRDefault="00723BAB">
      <w:pPr>
        <w:spacing w:after="0" w:line="240" w:lineRule="auto"/>
      </w:pPr>
      <w:r>
        <w:br w:type="page"/>
      </w:r>
    </w:p>
    <w:p w:rsidR="00723BAB" w:rsidRDefault="00723BAB" w:rsidP="00E0138A">
      <w:pPr>
        <w:pStyle w:val="Heading1"/>
      </w:pPr>
      <w:bookmarkStart w:id="43" w:name="_Toc334079846"/>
      <w:bookmarkStart w:id="44" w:name="_Toc338405408"/>
      <w:r>
        <w:t>4.  Proportionate assessment model</w:t>
      </w:r>
      <w:bookmarkEnd w:id="42"/>
      <w:r>
        <w:t xml:space="preserve"> (PAM)</w:t>
      </w:r>
      <w:bookmarkEnd w:id="43"/>
      <w:bookmarkEnd w:id="44"/>
    </w:p>
    <w:p w:rsidR="00723BAB" w:rsidRPr="00056238" w:rsidRDefault="00723BAB" w:rsidP="00B0678A">
      <w:pPr>
        <w:pStyle w:val="Heading3"/>
        <w:ind w:left="567" w:hanging="567"/>
      </w:pPr>
      <w:r>
        <w:t>Overview</w:t>
      </w:r>
    </w:p>
    <w:p w:rsidR="008B447C" w:rsidRPr="00802B62" w:rsidRDefault="008B447C" w:rsidP="008B447C">
      <w:r>
        <w:t xml:space="preserve">The PAM further develops the proportionate within class model from the 2011 paper. </w:t>
      </w:r>
    </w:p>
    <w:p w:rsidR="00723BAB" w:rsidRDefault="00A21E09" w:rsidP="00873305">
      <w:r>
        <w:t xml:space="preserve">Broadly, the </w:t>
      </w:r>
      <w:r w:rsidR="00723BAB">
        <w:t xml:space="preserve">PAM assesses beneficiaries on a proportionate share of the trust’s taxable income equal to their proportionate share of the </w:t>
      </w:r>
      <w:r w:rsidR="00EC5D4B">
        <w:t>‘</w:t>
      </w:r>
      <w:r w:rsidR="00723BAB">
        <w:t>trust profit</w:t>
      </w:r>
      <w:r w:rsidR="00EC5D4B">
        <w:t>’</w:t>
      </w:r>
      <w:r w:rsidR="00723BAB">
        <w:t xml:space="preserve"> </w:t>
      </w:r>
      <w:r w:rsidR="00EC5D4B">
        <w:t xml:space="preserve">of the relevant </w:t>
      </w:r>
      <w:r w:rsidR="00723BAB">
        <w:t xml:space="preserve">class. </w:t>
      </w:r>
      <w:r w:rsidR="00EC5D4B">
        <w:t xml:space="preserve"> </w:t>
      </w:r>
      <w:r w:rsidR="00723BAB">
        <w:t xml:space="preserve"> </w:t>
      </w:r>
    </w:p>
    <w:p w:rsidR="00723BAB" w:rsidRDefault="00723BAB" w:rsidP="00873305">
      <w:r>
        <w:t xml:space="preserve">In this way it seeks to improve the current approach by providing for amounts to be dealt with according to the trust profit or class amounts rather than the ‘income of the trust estate’. A class is a category into which parts of the trust profit can be allocated. </w:t>
      </w:r>
    </w:p>
    <w:p w:rsidR="00723BAB" w:rsidRDefault="00723BAB" w:rsidP="00873305">
      <w:r>
        <w:t>Where a trust streams particular types of income to particular beneficiaries, each beneficiary would be taxed only on a share of the taxable income in relation to the class amount(s) to which the beneficiary is entitled.</w:t>
      </w:r>
    </w:p>
    <w:p w:rsidR="00723BAB" w:rsidRDefault="00723BAB" w:rsidP="00B0678A">
      <w:pPr>
        <w:pStyle w:val="Heading3"/>
        <w:ind w:left="567" w:hanging="567"/>
      </w:pPr>
      <w:bookmarkStart w:id="45" w:name="_Toc331000851"/>
      <w:r>
        <w:t>The assessment process</w:t>
      </w:r>
      <w:bookmarkEnd w:id="45"/>
    </w:p>
    <w:p w:rsidR="009224A5" w:rsidRDefault="00723BAB" w:rsidP="009224A5">
      <w:pPr>
        <w:pStyle w:val="OutlineNumbered1"/>
        <w:numPr>
          <w:ilvl w:val="0"/>
          <w:numId w:val="7"/>
        </w:numPr>
      </w:pPr>
      <w:r>
        <w:t>Calculate the trust profit.</w:t>
      </w:r>
    </w:p>
    <w:p w:rsidR="00723BAB" w:rsidRPr="009224A5" w:rsidRDefault="00723BAB" w:rsidP="009224A5">
      <w:pPr>
        <w:pStyle w:val="OutlineNumbered1"/>
        <w:numPr>
          <w:ilvl w:val="0"/>
          <w:numId w:val="7"/>
        </w:numPr>
      </w:pPr>
      <w:r>
        <w:t xml:space="preserve">Determine the different classes of trust profit. </w:t>
      </w:r>
      <w:r w:rsidR="009224A5" w:rsidRPr="009224A5">
        <w:rPr>
          <w:szCs w:val="22"/>
        </w:rPr>
        <w:t>At a minimum, trustees would typically need to keep separate classes in respect of their exempt income and NANE income.  This ensures that a beneficiary that only receives exempt income or NANE will not be assessed on any part of the trust’s taxable income. Other amounts can be placed in a single class, or separated into two or more classes.</w:t>
      </w:r>
    </w:p>
    <w:p w:rsidR="00723BAB" w:rsidRDefault="00723BAB" w:rsidP="002E1ECB">
      <w:pPr>
        <w:pStyle w:val="OutlineNumbered1"/>
        <w:numPr>
          <w:ilvl w:val="0"/>
          <w:numId w:val="7"/>
        </w:numPr>
      </w:pPr>
      <w:r>
        <w:t>Allocate the trust profit to classes. That is, calculate the class amounts.</w:t>
      </w:r>
    </w:p>
    <w:p w:rsidR="00723BAB" w:rsidRDefault="00723BAB" w:rsidP="002E1ECB">
      <w:pPr>
        <w:pStyle w:val="OutlineNumbered1"/>
        <w:numPr>
          <w:ilvl w:val="0"/>
          <w:numId w:val="7"/>
        </w:numPr>
      </w:pPr>
      <w:r>
        <w:t>Determine the proportions of the class amounts to which beneficiaries are presently entitled.</w:t>
      </w:r>
    </w:p>
    <w:p w:rsidR="00723BAB" w:rsidRDefault="00723BAB" w:rsidP="002E1ECB">
      <w:pPr>
        <w:pStyle w:val="OutlineNumbered1"/>
        <w:numPr>
          <w:ilvl w:val="0"/>
          <w:numId w:val="7"/>
        </w:numPr>
      </w:pPr>
      <w:r>
        <w:t>Calculate the taxable income of the trust</w:t>
      </w:r>
      <w:r w:rsidR="00A21E09" w:rsidRPr="00A21E09">
        <w:t xml:space="preserve"> </w:t>
      </w:r>
      <w:r w:rsidR="00A21E09">
        <w:t>as if the trust were a resident taxpayer</w:t>
      </w:r>
      <w:r>
        <w:t>.</w:t>
      </w:r>
    </w:p>
    <w:p w:rsidR="00723BAB" w:rsidRDefault="00723BAB" w:rsidP="001459A7">
      <w:pPr>
        <w:pStyle w:val="OutlineNumbered1"/>
        <w:numPr>
          <w:ilvl w:val="0"/>
          <w:numId w:val="7"/>
        </w:numPr>
      </w:pPr>
      <w:r>
        <w:t xml:space="preserve">Allocate the trust’s taxable income to the classes maintained by the trustee (if applicable). </w:t>
      </w:r>
      <w:r w:rsidRPr="001459A7">
        <w:t>That is, separate the trust’s taxable income into specific assessable amounts net of relevant deductions that accord with the classes maintained for</w:t>
      </w:r>
      <w:r>
        <w:t xml:space="preserve"> trust purposes.</w:t>
      </w:r>
    </w:p>
    <w:p w:rsidR="00723BAB" w:rsidRDefault="00723BAB" w:rsidP="001459A7">
      <w:pPr>
        <w:pStyle w:val="OutlineNumbered1"/>
        <w:numPr>
          <w:ilvl w:val="0"/>
          <w:numId w:val="7"/>
        </w:numPr>
      </w:pPr>
      <w:r>
        <w:t>The b</w:t>
      </w:r>
      <w:r w:rsidRPr="001459A7">
        <w:t>eneficiaries are assessed on the trust’s taxable income</w:t>
      </w:r>
      <w:r>
        <w:t xml:space="preserve"> based on </w:t>
      </w:r>
      <w:r w:rsidRPr="001459A7">
        <w:t>the proportionate share of the class amounts they are entitled to.</w:t>
      </w:r>
    </w:p>
    <w:p w:rsidR="00723BAB" w:rsidRDefault="00723BAB" w:rsidP="002E1ECB">
      <w:pPr>
        <w:pStyle w:val="OutlineNumbered1"/>
        <w:numPr>
          <w:ilvl w:val="0"/>
          <w:numId w:val="7"/>
        </w:numPr>
      </w:pPr>
      <w:r>
        <w:t>The trustee is assessed on the remaining taxable income.</w:t>
      </w:r>
    </w:p>
    <w:p w:rsidR="00723BAB" w:rsidRDefault="00723BAB" w:rsidP="00B0678A">
      <w:pPr>
        <w:pStyle w:val="Heading3"/>
        <w:ind w:left="567" w:hanging="567"/>
      </w:pPr>
      <w:bookmarkStart w:id="46" w:name="_Toc331000852"/>
      <w:r>
        <w:t>Trust profit and class amounts</w:t>
      </w:r>
      <w:bookmarkEnd w:id="46"/>
    </w:p>
    <w:p w:rsidR="00723BAB" w:rsidRDefault="00723BAB" w:rsidP="00115EEC">
      <w:r>
        <w:t>The central concept currently used to determine a beneficiary’s liability to tax under Division 6 is the ‘income of the trust estate’, which takes its meaning from trust law and the terms of the particular trust deed. PAM would rely on two core concepts — the trust profit and the class amounts.</w:t>
      </w:r>
    </w:p>
    <w:p w:rsidR="00723BAB" w:rsidRDefault="00723BAB" w:rsidP="00B0678A">
      <w:pPr>
        <w:pStyle w:val="Heading4"/>
      </w:pPr>
      <w:r>
        <w:t>The ‘trust profit’</w:t>
      </w:r>
    </w:p>
    <w:p w:rsidR="00723BAB" w:rsidRDefault="00723BAB" w:rsidP="00347463">
      <w:r>
        <w:t xml:space="preserve">The trust profit would be a net concept representing broadly the ‘profit’ accruing to the trust over the income year. This includes capital profits. </w:t>
      </w:r>
    </w:p>
    <w:p w:rsidR="00723BAB" w:rsidRDefault="00723BAB" w:rsidP="00347463">
      <w:r>
        <w:t xml:space="preserve">Using a concept that brings in both income and capital amounts is intended to ensure a better match between a beneficiary’s entitlements to amounts from a trust and the allocation of the tax liability on the taxable income of the trust than is often achieved under the current law with its focus solely on entitlement to trust income. </w:t>
      </w:r>
    </w:p>
    <w:p w:rsidR="008B447C" w:rsidRDefault="000F4B51" w:rsidP="008B447C">
      <w:r>
        <w:t>T</w:t>
      </w:r>
      <w:r w:rsidR="008B447C">
        <w:t xml:space="preserve">he definition of trust profit could take more of a comprehensive accrual approach to take account of some of the difficulties that arise due to timing differences. Specifically, trust profit could be identified as the sum of the amounts derived or expended by the trust </w:t>
      </w:r>
      <w:r w:rsidR="008B447C" w:rsidRPr="00AF77C2">
        <w:t>over any</w:t>
      </w:r>
      <w:r w:rsidR="008B447C">
        <w:t xml:space="preserve"> period of time that make up the calculation of the trust’s taxable income for the relevant income year, regardless of when they have been or will be accounted for by the trustee. </w:t>
      </w:r>
    </w:p>
    <w:p w:rsidR="008B447C" w:rsidRDefault="008B447C" w:rsidP="008B447C">
      <w:r>
        <w:t>However, as some of these amounts may be accounted for by the trustee in a future year, a more comprehensive definition would require the PAM to look to concepts of specific entitlement (encompassing a reasonable expectation of receiving the relevant amount) as well as present entitlement to ensure each class of current year taxable income was appropriately allocated. This would add to the complexity of the model.</w:t>
      </w:r>
    </w:p>
    <w:p w:rsidR="008B447C" w:rsidRDefault="008B447C" w:rsidP="008B447C">
      <w:r>
        <w:t>On balance, it is proposed to use th</w:t>
      </w:r>
      <w:r w:rsidR="00F348BA">
        <w:t>e</w:t>
      </w:r>
      <w:r>
        <w:t xml:space="preserve"> simpler approach. It accurately reflects the amount generally available for distribution or accumulation, while also moving away from reliance on the trust deed. </w:t>
      </w:r>
    </w:p>
    <w:p w:rsidR="00723BAB" w:rsidRDefault="008B447C" w:rsidP="00115EEC">
      <w:r>
        <w:t>Therefore, t</w:t>
      </w:r>
      <w:r w:rsidR="00723BAB">
        <w:t>he ‘trust profit’ for an income year would consist of the trust’s ordinary income for that year plus gross capital gains, net of expenses, losses or outgoings properly chargeable against such amounts at general law, and less any amounts that are subject to withholding tax.</w:t>
      </w:r>
      <w:r w:rsidR="00723BAB">
        <w:rPr>
          <w:rStyle w:val="FootnoteReference"/>
        </w:rPr>
        <w:footnoteReference w:id="15"/>
      </w:r>
      <w:r w:rsidR="00723BAB">
        <w:t xml:space="preserve"> This would be the case, regardless of the treatment of the amounts under the deed. Contributions of capital to the trust would not be taken into account in calculating the trust profit. </w:t>
      </w:r>
    </w:p>
    <w:p w:rsidR="00723BAB" w:rsidRDefault="00723BAB" w:rsidP="00115EEC">
      <w:pPr>
        <w:pStyle w:val="Heading7"/>
        <w:rPr>
          <w:i/>
        </w:rPr>
      </w:pPr>
      <w:r>
        <w:t>Example 1</w:t>
      </w:r>
      <w:r w:rsidR="00F348BA">
        <w:t>1</w:t>
      </w:r>
      <w:r>
        <w:rPr>
          <w:i/>
        </w:rPr>
        <w:t xml:space="preserve"> </w:t>
      </w:r>
    </w:p>
    <w:p w:rsidR="00723BAB" w:rsidRDefault="00723BAB" w:rsidP="00115EEC">
      <w:pPr>
        <w:ind w:left="720"/>
        <w:rPr>
          <w:sz w:val="20"/>
        </w:rPr>
      </w:pPr>
      <w:r>
        <w:rPr>
          <w:sz w:val="20"/>
        </w:rPr>
        <w:t xml:space="preserve">Attia’s Trust had $250,000 of income from share trading, and Antony, one of the beneficiaries, settled $50,000 on the trust in the income year. The trust deed conferred a power upon the trustee to characterise receipts and outgoings as income or capital. The trustee re-characterises $200,000 of the share trading income as capital. Despite the fact that $200,000 was re-characterised, and total accretions to the trust estate were $300,000, the trust profit is $250,000. </w:t>
      </w:r>
    </w:p>
    <w:tbl>
      <w:tblPr>
        <w:tblW w:w="0" w:type="auto"/>
        <w:tblLook w:val="00A0" w:firstRow="1" w:lastRow="0" w:firstColumn="1" w:lastColumn="0" w:noHBand="0" w:noVBand="0"/>
      </w:tblPr>
      <w:tblGrid>
        <w:gridCol w:w="9286"/>
      </w:tblGrid>
      <w:tr w:rsidR="00723BAB" w:rsidRPr="00D455EB" w:rsidTr="00D455EB">
        <w:tc>
          <w:tcPr>
            <w:tcW w:w="9286" w:type="dxa"/>
            <w:shd w:val="clear" w:color="auto" w:fill="D2DFEE"/>
          </w:tcPr>
          <w:p w:rsidR="00723BAB" w:rsidRPr="00D455EB" w:rsidRDefault="00723BAB" w:rsidP="00D455EB">
            <w:pPr>
              <w:pStyle w:val="Heading6"/>
              <w:spacing w:line="260" w:lineRule="exact"/>
              <w:jc w:val="both"/>
              <w:rPr>
                <w:rFonts w:ascii="Calibri" w:hAnsi="Calibri" w:cs="Calibri"/>
              </w:rPr>
            </w:pPr>
            <w:r w:rsidRPr="00D455EB">
              <w:rPr>
                <w:rFonts w:ascii="Calibri" w:hAnsi="Calibri" w:cs="Calibri"/>
              </w:rPr>
              <w:t xml:space="preserve">Question </w:t>
            </w:r>
            <w:r w:rsidR="003E4186">
              <w:rPr>
                <w:rFonts w:ascii="Calibri" w:hAnsi="Calibri" w:cs="Calibri"/>
              </w:rPr>
              <w:t>5</w:t>
            </w:r>
          </w:p>
          <w:p w:rsidR="00723BAB" w:rsidRPr="00D455EB" w:rsidRDefault="00723BAB" w:rsidP="00D455EB">
            <w:pPr>
              <w:jc w:val="both"/>
              <w:rPr>
                <w:rFonts w:cs="Calibri"/>
              </w:rPr>
            </w:pPr>
            <w:r w:rsidRPr="00D455EB">
              <w:rPr>
                <w:rFonts w:cs="Calibri"/>
              </w:rPr>
              <w:t>The intent of the definition of trust profit used for the PAM is to capture all accretions to the trust estate excluding contributions of capital. Does the definition of ‘trust profit’ achieve that? If not, how can it be improved?</w:t>
            </w:r>
          </w:p>
        </w:tc>
      </w:tr>
    </w:tbl>
    <w:p w:rsidR="00723BAB" w:rsidRDefault="00723BAB" w:rsidP="00C829F4">
      <w:pPr>
        <w:pStyle w:val="Heading4"/>
        <w:spacing w:before="360"/>
      </w:pPr>
      <w:r>
        <w:t>Class amounts</w:t>
      </w:r>
    </w:p>
    <w:p w:rsidR="00723BAB" w:rsidRDefault="00723BAB" w:rsidP="00115EEC">
      <w:r>
        <w:t>The trustee can break the trust profit up into components referred to here as classes. The total of all the class amounts would always equal the trust profit.</w:t>
      </w:r>
    </w:p>
    <w:p w:rsidR="00723BAB" w:rsidRDefault="00F348BA" w:rsidP="00115EEC">
      <w:pPr>
        <w:pStyle w:val="Heading7"/>
      </w:pPr>
      <w:r>
        <w:t>Example 12</w:t>
      </w:r>
    </w:p>
    <w:p w:rsidR="00723BAB" w:rsidRDefault="00723BAB" w:rsidP="00115EEC">
      <w:pPr>
        <w:ind w:left="720"/>
        <w:rPr>
          <w:sz w:val="20"/>
        </w:rPr>
      </w:pPr>
      <w:r>
        <w:rPr>
          <w:sz w:val="20"/>
        </w:rPr>
        <w:t xml:space="preserve">Harry’s Trust has a trust profit of $90,700, comprising $90,000 net trading income and a $700 franked distribution. The trustee chooses to maintain two classes — ‘active business income’ (class one) and ‘passive investment income’ (class two). </w:t>
      </w:r>
    </w:p>
    <w:p w:rsidR="00723BAB" w:rsidRDefault="00723BAB" w:rsidP="00115EEC">
      <w:pPr>
        <w:ind w:left="720"/>
      </w:pPr>
      <w:r>
        <w:rPr>
          <w:sz w:val="20"/>
        </w:rPr>
        <w:t xml:space="preserve">The trustee allocates its $90,000 trading income to class one and $700 dividend income to class two. </w:t>
      </w:r>
    </w:p>
    <w:p w:rsidR="00E42DC8" w:rsidRDefault="00723BAB" w:rsidP="00115EEC">
      <w:r>
        <w:t>The trust profit can only be allocated into classes that correspond with the actual legal nature of the amounts allocated, regardless of any re-characterisation by the trustee. For example, an amount of rent could not be made to attract the tax treatment applicable to capital gains simply by allocating the amount to a class of income designated as capital gains.</w:t>
      </w:r>
      <w:r w:rsidR="00BF724D">
        <w:t xml:space="preserve">  </w:t>
      </w:r>
      <w:r w:rsidR="00CA5CC4">
        <w:t>This would not mean that there must be a separate and explicit power to create and record classes of income in the trust deed; just that the trustee must comply with the trust deed and trust law more generally.</w:t>
      </w:r>
    </w:p>
    <w:p w:rsidR="00723BAB" w:rsidRDefault="00BF724D" w:rsidP="00115EEC">
      <w:r>
        <w:t xml:space="preserve">One issue that arises is whether the trustee should be able to change classes from year to year. </w:t>
      </w:r>
      <w:r w:rsidR="00AF1B53">
        <w:t xml:space="preserve"> </w:t>
      </w:r>
      <w:r w:rsidR="00CA5CC4">
        <w:t>Allowing this would increase flexibility and potentially reduce compliance costs</w:t>
      </w:r>
      <w:r w:rsidR="001D5A29">
        <w:t xml:space="preserve">, but could </w:t>
      </w:r>
      <w:r w:rsidR="00CA5CC4">
        <w:t xml:space="preserve">also </w:t>
      </w:r>
      <w:r w:rsidR="001D5A29">
        <w:t>have unintended consequences that would need to be considered.</w:t>
      </w:r>
      <w:r w:rsidR="00723BAB">
        <w:t xml:space="preserve"> </w:t>
      </w:r>
    </w:p>
    <w:p w:rsidR="009224A5" w:rsidRDefault="009224A5" w:rsidP="009224A5">
      <w:pPr>
        <w:pStyle w:val="Heading6"/>
        <w:shd w:val="clear" w:color="auto" w:fill="D2DFEE"/>
        <w:spacing w:line="260" w:lineRule="exact"/>
        <w:jc w:val="both"/>
      </w:pPr>
      <w:r w:rsidRPr="009224A5">
        <w:t>Question 6</w:t>
      </w:r>
    </w:p>
    <w:p w:rsidR="009224A5" w:rsidRDefault="009224A5" w:rsidP="009224A5">
      <w:pPr>
        <w:pStyle w:val="Heading6"/>
        <w:shd w:val="clear" w:color="auto" w:fill="D2DFEE"/>
        <w:spacing w:line="260" w:lineRule="exact"/>
        <w:jc w:val="both"/>
        <w:rPr>
          <w:rFonts w:ascii="Calibri" w:hAnsi="Calibri" w:cs="Calibri"/>
          <w:color w:val="auto"/>
          <w:sz w:val="22"/>
        </w:rPr>
      </w:pPr>
      <w:r w:rsidRPr="009224A5">
        <w:rPr>
          <w:rFonts w:ascii="Calibri" w:hAnsi="Calibri" w:cs="Calibri"/>
          <w:color w:val="auto"/>
          <w:sz w:val="22"/>
        </w:rPr>
        <w:t>Should the trustee be able to change the classes from year to year?  What limits, if any, could be put in place to prevent unintended consequences?</w:t>
      </w:r>
      <w:r>
        <w:rPr>
          <w:rFonts w:ascii="Calibri" w:hAnsi="Calibri" w:cs="Calibri"/>
          <w:color w:val="auto"/>
          <w:sz w:val="22"/>
        </w:rPr>
        <w:t xml:space="preserve"> </w:t>
      </w:r>
    </w:p>
    <w:p w:rsidR="00723BAB" w:rsidRDefault="00723BAB" w:rsidP="00B0678A">
      <w:pPr>
        <w:pStyle w:val="Heading3"/>
        <w:ind w:left="567" w:hanging="567"/>
      </w:pPr>
      <w:bookmarkStart w:id="47" w:name="_Toc331000853"/>
      <w:r>
        <w:t>Beneficiary entitlements to the trust profit or class amounts</w:t>
      </w:r>
      <w:bookmarkEnd w:id="47"/>
    </w:p>
    <w:p w:rsidR="00723BAB" w:rsidRDefault="00723BAB" w:rsidP="00115EEC">
      <w:r>
        <w:t xml:space="preserve">As currently occurs, present entitlement would be used as the basis for attributing the trust profit or class amounts to beneficiaries. </w:t>
      </w:r>
    </w:p>
    <w:p w:rsidR="00723BAB" w:rsidRDefault="00723BAB" w:rsidP="00B0678A">
      <w:pPr>
        <w:pStyle w:val="Heading3"/>
        <w:ind w:left="567" w:hanging="567"/>
      </w:pPr>
      <w:bookmarkStart w:id="48" w:name="_Toc331000854"/>
      <w:r>
        <w:t>Character retention and streaming</w:t>
      </w:r>
      <w:bookmarkEnd w:id="48"/>
    </w:p>
    <w:p w:rsidR="00723BAB" w:rsidRDefault="00723BAB" w:rsidP="002B2BEF">
      <w:r>
        <w:t>An amount with specific tax characteristics cannot be streamed unless there is a corresponding class provided for, or allowed by, the trust deed. For example, a trustee cannot stream an amount of dividends for tax purposes unless the trust has derived dividends during the income year and these dividends have been allocated to a class in a manner that is not prohibited by the trust deed.</w:t>
      </w:r>
    </w:p>
    <w:p w:rsidR="00723BAB" w:rsidRDefault="00723BAB" w:rsidP="00115EEC">
      <w:r>
        <w:t xml:space="preserve">Therefore, the trustee would need to identify the classes that would be maintained for trust purposes, and allocate the trust profit to those classes if it wishes to stream relevant amounts to particular beneficiaries. The trustee would in turn need to calculate the taxable income of the trust and allocate the taxable income into assessable amounts that accord with the classes that it has identified. </w:t>
      </w:r>
    </w:p>
    <w:p w:rsidR="00723BAB" w:rsidRDefault="00723BAB" w:rsidP="00AE4921">
      <w:r>
        <w:t xml:space="preserve">Deductions must be allocated against each component of assessable income in accordance with the </w:t>
      </w:r>
      <w:r w:rsidR="000F4B51">
        <w:t xml:space="preserve">‘fair and reasonable basis’ </w:t>
      </w:r>
      <w:r>
        <w:t>described in Chapter 2.</w:t>
      </w:r>
      <w:r>
        <w:rPr>
          <w:sz w:val="20"/>
        </w:rPr>
        <w:t xml:space="preserve"> </w:t>
      </w:r>
    </w:p>
    <w:p w:rsidR="00723BAB" w:rsidRDefault="00723BAB" w:rsidP="00AE4921">
      <w:r>
        <w:t>When apportioning expenses to determine class amounts, losses and outgoings should be allocated in a way that is consistent with the way deductions would be apportioned for tax purposes.</w:t>
      </w:r>
    </w:p>
    <w:p w:rsidR="00723BAB" w:rsidRDefault="00F348BA" w:rsidP="00115EEC">
      <w:pPr>
        <w:pStyle w:val="Heading7"/>
        <w:rPr>
          <w:i/>
        </w:rPr>
      </w:pPr>
      <w:r>
        <w:t>Example 13</w:t>
      </w:r>
    </w:p>
    <w:p w:rsidR="00723BAB" w:rsidRDefault="00723BAB" w:rsidP="00115EEC">
      <w:pPr>
        <w:ind w:left="720"/>
        <w:rPr>
          <w:sz w:val="20"/>
        </w:rPr>
      </w:pPr>
      <w:r>
        <w:rPr>
          <w:sz w:val="20"/>
        </w:rPr>
        <w:t>Assum</w:t>
      </w:r>
      <w:r w:rsidR="00820FAA">
        <w:rPr>
          <w:sz w:val="20"/>
        </w:rPr>
        <w:t>e</w:t>
      </w:r>
      <w:r w:rsidR="00F348BA">
        <w:rPr>
          <w:sz w:val="20"/>
        </w:rPr>
        <w:t xml:space="preserve"> the same facts as in example 12</w:t>
      </w:r>
      <w:r>
        <w:rPr>
          <w:sz w:val="20"/>
        </w:rPr>
        <w:t>.</w:t>
      </w:r>
    </w:p>
    <w:p w:rsidR="00723BAB" w:rsidRDefault="00723BAB" w:rsidP="00115EEC">
      <w:pPr>
        <w:ind w:left="720"/>
        <w:rPr>
          <w:sz w:val="20"/>
        </w:rPr>
      </w:pPr>
      <w:r>
        <w:rPr>
          <w:sz w:val="20"/>
        </w:rPr>
        <w:t xml:space="preserve">The trustee allocates $90,000 trading income to class one and the $700 franked distribution income to class two. </w:t>
      </w:r>
    </w:p>
    <w:p w:rsidR="00723BAB" w:rsidRDefault="00723BAB" w:rsidP="00115EEC">
      <w:pPr>
        <w:ind w:left="720"/>
        <w:rPr>
          <w:sz w:val="20"/>
        </w:rPr>
      </w:pPr>
      <w:r>
        <w:rPr>
          <w:sz w:val="20"/>
        </w:rPr>
        <w:t xml:space="preserve">One of the expenses incurred by the trustee on behalf of the trust was $1,100 of accounting fees. In relation to these fees, the trustee’s accountant advised that she spent 90 per cent of her time maintaining the trading records and 10 per cent maintaining the dividend and share records. The trustee therefore allocates $990 accounting fees to class one and $110 to class two. </w:t>
      </w:r>
    </w:p>
    <w:p w:rsidR="00723BAB" w:rsidRDefault="00723BAB" w:rsidP="00B0678A">
      <w:pPr>
        <w:pStyle w:val="Heading3"/>
        <w:ind w:left="567" w:hanging="567"/>
      </w:pPr>
      <w:bookmarkStart w:id="49" w:name="_Toc331000855"/>
      <w:r>
        <w:t>Method for allocating tax amounts</w:t>
      </w:r>
      <w:bookmarkEnd w:id="49"/>
    </w:p>
    <w:p w:rsidR="00723BAB" w:rsidRDefault="00723BAB" w:rsidP="00115EEC">
      <w:r>
        <w:t>The tax liabilities of the trustees and beneficiaries of the trust are determined in accordance with reference to the beneficiaries’ present entitlement to shares of relevant class amounts.</w:t>
      </w:r>
    </w:p>
    <w:p w:rsidR="00723BAB" w:rsidRPr="000E388A" w:rsidRDefault="00723BAB" w:rsidP="00595284">
      <w:pPr>
        <w:rPr>
          <w:szCs w:val="22"/>
        </w:rPr>
      </w:pPr>
      <w:r w:rsidRPr="000E388A">
        <w:rPr>
          <w:szCs w:val="22"/>
        </w:rPr>
        <w:t>Presently entitled beneficiaries would be assessed on either:</w:t>
      </w:r>
    </w:p>
    <w:p w:rsidR="00723BAB" w:rsidRPr="00416428" w:rsidRDefault="00723BAB" w:rsidP="006A64F6">
      <w:pPr>
        <w:pStyle w:val="Bullet"/>
        <w:rPr>
          <w:sz w:val="22"/>
          <w:szCs w:val="22"/>
        </w:rPr>
      </w:pPr>
      <w:r w:rsidRPr="00416428">
        <w:rPr>
          <w:sz w:val="22"/>
          <w:szCs w:val="22"/>
        </w:rPr>
        <w:t>a share of taxable income proportionate to their share of the trust profit; or</w:t>
      </w:r>
    </w:p>
    <w:p w:rsidR="00723BAB" w:rsidRPr="00416428" w:rsidRDefault="00723BAB" w:rsidP="006A64F6">
      <w:pPr>
        <w:pStyle w:val="Bullet"/>
        <w:rPr>
          <w:sz w:val="22"/>
          <w:szCs w:val="22"/>
        </w:rPr>
      </w:pPr>
      <w:r w:rsidRPr="00416428">
        <w:rPr>
          <w:sz w:val="22"/>
          <w:szCs w:val="22"/>
        </w:rPr>
        <w:t xml:space="preserve">a share of a component (or components) of taxable income proportionate to their share of corresponding class amounts. </w:t>
      </w:r>
    </w:p>
    <w:p w:rsidR="00723BAB" w:rsidRPr="00416428" w:rsidRDefault="00723BAB" w:rsidP="006A64F6">
      <w:pPr>
        <w:pStyle w:val="Bullet"/>
        <w:numPr>
          <w:ilvl w:val="0"/>
          <w:numId w:val="0"/>
        </w:numPr>
        <w:rPr>
          <w:sz w:val="22"/>
          <w:szCs w:val="22"/>
        </w:rPr>
      </w:pPr>
      <w:r w:rsidRPr="00416428">
        <w:rPr>
          <w:sz w:val="22"/>
          <w:szCs w:val="22"/>
        </w:rPr>
        <w:t xml:space="preserve">Therefore, if a beneficiary is presently entitled to 30 per cent of the trust profit, the beneficiary would </w:t>
      </w:r>
      <w:r w:rsidR="00607FDB">
        <w:rPr>
          <w:sz w:val="22"/>
          <w:szCs w:val="22"/>
        </w:rPr>
        <w:t>be assessed on</w:t>
      </w:r>
      <w:r w:rsidRPr="00416428">
        <w:rPr>
          <w:sz w:val="22"/>
          <w:szCs w:val="22"/>
        </w:rPr>
        <w:t xml:space="preserve"> 30 per cent of each component of the taxable income. Alternatively, if a beneficiary is presently entitled to 40 per cent of a particular class or classes, the beneficiary would be assessed on 40 per cent of the </w:t>
      </w:r>
      <w:r w:rsidR="00607FDB">
        <w:rPr>
          <w:sz w:val="22"/>
          <w:szCs w:val="22"/>
        </w:rPr>
        <w:t>corresponding</w:t>
      </w:r>
      <w:r w:rsidRPr="00416428">
        <w:rPr>
          <w:sz w:val="22"/>
          <w:szCs w:val="22"/>
        </w:rPr>
        <w:t xml:space="preserve"> components of taxable income.</w:t>
      </w:r>
    </w:p>
    <w:p w:rsidR="00723BAB" w:rsidRDefault="00F348BA" w:rsidP="00115EEC">
      <w:pPr>
        <w:pStyle w:val="Heading7"/>
      </w:pPr>
      <w:r>
        <w:t>Example 14</w:t>
      </w:r>
    </w:p>
    <w:p w:rsidR="00723BAB" w:rsidRDefault="00723BAB" w:rsidP="00115EEC">
      <w:pPr>
        <w:ind w:left="720"/>
        <w:rPr>
          <w:i/>
          <w:iCs/>
          <w:sz w:val="20"/>
        </w:rPr>
      </w:pPr>
      <w:r>
        <w:rPr>
          <w:sz w:val="20"/>
        </w:rPr>
        <w:t>Arthur’s Family Trust maintains two classes of income being ‘active business’ (class one) and ‘passive investment’ (class two). On behalf of the trust, Arthur earned dividend and interest income which he allocated to class two.</w:t>
      </w:r>
    </w:p>
    <w:p w:rsidR="00723BAB" w:rsidRPr="002E1ECB" w:rsidRDefault="00723BAB" w:rsidP="00115EEC">
      <w:pPr>
        <w:ind w:left="720"/>
        <w:rPr>
          <w:sz w:val="20"/>
        </w:rPr>
      </w:pPr>
      <w:r>
        <w:rPr>
          <w:sz w:val="20"/>
        </w:rPr>
        <w:t xml:space="preserve">Arthur made Nancy presently entitled to the class one amount. </w:t>
      </w:r>
    </w:p>
    <w:p w:rsidR="00723BAB" w:rsidRPr="002E1ECB" w:rsidRDefault="00723BAB" w:rsidP="00115EEC">
      <w:pPr>
        <w:ind w:left="720"/>
        <w:rPr>
          <w:sz w:val="20"/>
        </w:rPr>
      </w:pPr>
      <w:r>
        <w:rPr>
          <w:sz w:val="20"/>
        </w:rPr>
        <w:t>Arthur then made David and Hilary presently entitled to the class two amount in equal proportions. David and Hilary will therefore be assessed on 50 per cent of the taxable income of class two, being an equal proportionate share of the interest income and the dividend income.</w:t>
      </w:r>
    </w:p>
    <w:p w:rsidR="00723BAB" w:rsidRDefault="00723BAB" w:rsidP="00B0678A">
      <w:pPr>
        <w:pStyle w:val="Heading4"/>
      </w:pPr>
      <w:r w:rsidRPr="00632D21">
        <w:t>Capital gains</w:t>
      </w:r>
    </w:p>
    <w:p w:rsidR="00723BAB" w:rsidRDefault="00820FAA" w:rsidP="00632D21">
      <w:r>
        <w:t xml:space="preserve">The </w:t>
      </w:r>
      <w:r w:rsidR="00723BAB">
        <w:t>PAM would</w:t>
      </w:r>
      <w:r w:rsidR="00723BAB" w:rsidRPr="003F08F3">
        <w:t xml:space="preserve"> assess beneficiaries presently entitled to a class </w:t>
      </w:r>
      <w:r w:rsidR="00723BAB">
        <w:t>amount</w:t>
      </w:r>
      <w:r w:rsidR="00723BAB" w:rsidRPr="003F08F3">
        <w:t xml:space="preserve"> that includes any capital gains of the trust on a proportionate share of the trust's net capital gain for the year. In some situations, the net capital gain of a trust may include a taxable capital gain that does not form part of current year trust profits. In these situations, similar to the current law, PAM could include a specific entitlement rule with respect to capital gains that are reasonably expected to form part of trust profits in the future.</w:t>
      </w:r>
    </w:p>
    <w:tbl>
      <w:tblPr>
        <w:tblW w:w="9322" w:type="dxa"/>
        <w:tblLook w:val="00A0" w:firstRow="1" w:lastRow="0" w:firstColumn="1" w:lastColumn="0" w:noHBand="0" w:noVBand="0"/>
      </w:tblPr>
      <w:tblGrid>
        <w:gridCol w:w="9322"/>
      </w:tblGrid>
      <w:tr w:rsidR="00723BAB" w:rsidRPr="00D455EB" w:rsidTr="00D455EB">
        <w:tc>
          <w:tcPr>
            <w:tcW w:w="9322" w:type="dxa"/>
            <w:shd w:val="clear" w:color="auto" w:fill="D2DFEE"/>
          </w:tcPr>
          <w:p w:rsidR="00723BAB" w:rsidRPr="00D455EB" w:rsidRDefault="00723BAB" w:rsidP="00D455EB">
            <w:pPr>
              <w:pStyle w:val="Heading6"/>
              <w:spacing w:line="260" w:lineRule="exact"/>
              <w:jc w:val="both"/>
              <w:rPr>
                <w:rFonts w:ascii="Calibri" w:hAnsi="Calibri" w:cs="Calibri"/>
              </w:rPr>
            </w:pPr>
            <w:r w:rsidRPr="00D455EB">
              <w:rPr>
                <w:rFonts w:ascii="Calibri" w:hAnsi="Calibri" w:cs="Calibri"/>
              </w:rPr>
              <w:t xml:space="preserve">Question </w:t>
            </w:r>
            <w:r w:rsidR="009224A5">
              <w:rPr>
                <w:rFonts w:ascii="Calibri" w:hAnsi="Calibri" w:cs="Calibri"/>
              </w:rPr>
              <w:t>7</w:t>
            </w:r>
          </w:p>
          <w:p w:rsidR="00723BAB" w:rsidRPr="00D455EB" w:rsidRDefault="002E30AF" w:rsidP="002E30AF">
            <w:pPr>
              <w:jc w:val="both"/>
            </w:pPr>
            <w:r>
              <w:rPr>
                <w:rFonts w:cs="Calibri"/>
              </w:rPr>
              <w:t>Should there be a specific entitlement rule to deal with capital gains?</w:t>
            </w:r>
          </w:p>
        </w:tc>
      </w:tr>
    </w:tbl>
    <w:p w:rsidR="00723BAB" w:rsidRDefault="00723BAB" w:rsidP="00C829F4">
      <w:pPr>
        <w:pStyle w:val="Heading3"/>
        <w:spacing w:before="360"/>
        <w:ind w:left="567" w:hanging="567"/>
      </w:pPr>
      <w:bookmarkStart w:id="50" w:name="_Toc331000856"/>
      <w:r>
        <w:t>Disproportionate share of taxable income</w:t>
      </w:r>
    </w:p>
    <w:p w:rsidR="00723BAB" w:rsidRPr="00875D08" w:rsidRDefault="00723BAB" w:rsidP="006A64F6">
      <w:r>
        <w:t>Depending on how the notion of trust profit is ultimately defined and in particular how closely aligned the notion is with the current definition of adjusted net income (dealing with notional tax amounts), consideration could be given to whether there is a continuing need for a provision that deals with payments to exempt entities (similar to section 100AB of the ITAA 1936).</w:t>
      </w:r>
    </w:p>
    <w:p w:rsidR="00723BAB" w:rsidRDefault="00723BAB" w:rsidP="00B0678A">
      <w:pPr>
        <w:pStyle w:val="Heading3"/>
        <w:ind w:left="567" w:hanging="567"/>
      </w:pPr>
      <w:r>
        <w:t>Treatment of accumulated amounts</w:t>
      </w:r>
      <w:bookmarkEnd w:id="50"/>
    </w:p>
    <w:p w:rsidR="00723BAB" w:rsidRDefault="00723BAB" w:rsidP="00115EEC">
      <w:r>
        <w:t xml:space="preserve">The trustee would be assessed on the trust’s taxable income for an income year to the extent it is attributable to trust profits to which no beneficiary has been made presently entitled by the relevant time discussed in Chapter 2. </w:t>
      </w:r>
    </w:p>
    <w:p w:rsidR="00723BAB" w:rsidRDefault="00723BAB" w:rsidP="00B0678A">
      <w:pPr>
        <w:pStyle w:val="Heading3"/>
        <w:ind w:left="567" w:hanging="567"/>
      </w:pPr>
      <w:bookmarkStart w:id="51" w:name="_Toc331000857"/>
      <w:r>
        <w:t>Distribution of accumulated amounts</w:t>
      </w:r>
      <w:bookmarkEnd w:id="51"/>
    </w:p>
    <w:p w:rsidR="00723BAB" w:rsidRDefault="00723BAB" w:rsidP="00115EEC">
      <w:r>
        <w:t>Amounts that are accumulated in the trust would not be taxable to the beneficiary when subsequently distributed in a later year. If they have not previously been taxed, then it is possible that another provision of the ITAA would make the amount assessable</w:t>
      </w:r>
      <w:r w:rsidR="00CB755D">
        <w:t xml:space="preserve"> or result in cost base adjustments</w:t>
      </w:r>
      <w:r>
        <w:t>.</w:t>
      </w:r>
    </w:p>
    <w:p w:rsidR="00723BAB" w:rsidRDefault="00723BAB" w:rsidP="00B46F9E">
      <w:pPr>
        <w:pStyle w:val="Heading1"/>
      </w:pPr>
      <w:bookmarkStart w:id="52" w:name="_Toc332985789"/>
      <w:bookmarkStart w:id="53" w:name="_Toc331000839"/>
      <w:r>
        <w:br w:type="page"/>
      </w:r>
      <w:bookmarkStart w:id="54" w:name="_Toc334079849"/>
      <w:bookmarkStart w:id="55" w:name="_Toc338405409"/>
      <w:r>
        <w:t>5.  Scope of a re</w:t>
      </w:r>
      <w:r>
        <w:noBreakHyphen/>
        <w:t>written Division 6</w:t>
      </w:r>
      <w:bookmarkEnd w:id="52"/>
      <w:bookmarkEnd w:id="54"/>
      <w:bookmarkEnd w:id="55"/>
    </w:p>
    <w:p w:rsidR="00723BAB" w:rsidRDefault="00723BAB" w:rsidP="005C789A">
      <w:pPr>
        <w:pStyle w:val="Heading2"/>
      </w:pPr>
      <w:bookmarkStart w:id="56" w:name="_Toc332985790"/>
      <w:bookmarkStart w:id="57" w:name="_Toc334079850"/>
      <w:bookmarkStart w:id="58" w:name="_Toc338405410"/>
      <w:r>
        <w:t>Treatment of amounts not assessable under Division 6</w:t>
      </w:r>
      <w:bookmarkEnd w:id="56"/>
      <w:bookmarkEnd w:id="57"/>
      <w:bookmarkEnd w:id="58"/>
    </w:p>
    <w:p w:rsidR="00723BAB" w:rsidRDefault="00723BAB" w:rsidP="005C789A">
      <w:r>
        <w:t xml:space="preserve">The 2011 discussion paper discussed the </w:t>
      </w:r>
      <w:r w:rsidRPr="005B4837">
        <w:t>interaction of Division 6 with other parts of the income tax laws</w:t>
      </w:r>
      <w:r>
        <w:t xml:space="preserve"> and, specifically, the treatment of tax preferred amounts. Broadly, a tax preferred amount is any receipt of the trust for trust law purposes that is not included in the trust’s taxable income (either in its own right, or as a result of being sheltered by deductions). Generally, Division 6 does not operate to include tax preferred amounts in the assessable income of the beneficiaries of a resident trust.</w:t>
      </w:r>
      <w:r>
        <w:rPr>
          <w:rStyle w:val="FootnoteReference"/>
        </w:rPr>
        <w:footnoteReference w:id="16"/>
      </w:r>
      <w:r>
        <w:t xml:space="preserve"> However, other parts of the income tax law may bring tax preferred amounts to tax.</w:t>
      </w:r>
      <w:r>
        <w:rPr>
          <w:rStyle w:val="FootnoteReference"/>
        </w:rPr>
        <w:footnoteReference w:id="17"/>
      </w:r>
    </w:p>
    <w:p w:rsidR="00723BAB" w:rsidRDefault="00723BAB" w:rsidP="005C789A">
      <w:r>
        <w:t>Some stakeholders argued in response to the 2011 paper that trust income and distributions should be taxed under one division exclusively. That is, where Division 6 does not operate to include an amount of income in the income of the beneficiaries of the trust, that amount should not be taxed by other parts of the income tax law. However, provided amounts are not subject to double taxation, it may be unfair for certain amounts to remain untaxed in the hands of beneficiaries if another part of the income tax law would otherwise bring them to tax.</w:t>
      </w:r>
    </w:p>
    <w:tbl>
      <w:tblPr>
        <w:tblW w:w="5000" w:type="pct"/>
        <w:tblLook w:val="00A0" w:firstRow="1" w:lastRow="0" w:firstColumn="1" w:lastColumn="0" w:noHBand="0" w:noVBand="0"/>
      </w:tblPr>
      <w:tblGrid>
        <w:gridCol w:w="9576"/>
      </w:tblGrid>
      <w:tr w:rsidR="00723BAB" w:rsidRPr="00D455EB" w:rsidTr="00D455EB">
        <w:tc>
          <w:tcPr>
            <w:tcW w:w="5000" w:type="pct"/>
            <w:shd w:val="clear" w:color="auto" w:fill="D2DFEE"/>
          </w:tcPr>
          <w:p w:rsidR="00723BAB" w:rsidRPr="00D455EB" w:rsidRDefault="00723BAB" w:rsidP="00D455EB">
            <w:pPr>
              <w:pStyle w:val="Heading6"/>
              <w:spacing w:line="260" w:lineRule="exact"/>
              <w:jc w:val="both"/>
              <w:rPr>
                <w:rFonts w:ascii="Calibri" w:hAnsi="Calibri" w:cs="Calibri"/>
              </w:rPr>
            </w:pPr>
            <w:r w:rsidRPr="00D455EB">
              <w:rPr>
                <w:rFonts w:ascii="Calibri" w:hAnsi="Calibri" w:cs="Calibri"/>
              </w:rPr>
              <w:t xml:space="preserve">Question </w:t>
            </w:r>
            <w:r w:rsidR="009224A5">
              <w:rPr>
                <w:rFonts w:ascii="Calibri" w:hAnsi="Calibri" w:cs="Calibri"/>
              </w:rPr>
              <w:t>8</w:t>
            </w:r>
          </w:p>
          <w:p w:rsidR="00723BAB" w:rsidRPr="00D455EB" w:rsidRDefault="00723BAB" w:rsidP="00D455EB">
            <w:pPr>
              <w:jc w:val="both"/>
              <w:rPr>
                <w:rFonts w:cs="Calibri"/>
              </w:rPr>
            </w:pPr>
            <w:r w:rsidRPr="00D455EB">
              <w:rPr>
                <w:rFonts w:cs="Calibri"/>
              </w:rPr>
              <w:t>Should any new model for taxing trust income be treated as an exclusive code? If so, why? If not, to what extent should trust distributions otherwise be taken into account for tax purposes?</w:t>
            </w:r>
          </w:p>
        </w:tc>
      </w:tr>
    </w:tbl>
    <w:p w:rsidR="00723BAB" w:rsidRPr="00753FD7" w:rsidRDefault="00723BAB" w:rsidP="00C829F4">
      <w:pPr>
        <w:pStyle w:val="Heading2"/>
        <w:ind w:left="567" w:hanging="567"/>
      </w:pPr>
      <w:bookmarkStart w:id="59" w:name="_Toc332639196"/>
      <w:bookmarkStart w:id="60" w:name="_Toc332985791"/>
      <w:bookmarkStart w:id="61" w:name="_Toc334079851"/>
      <w:bookmarkStart w:id="62" w:name="_Toc338405411"/>
      <w:bookmarkEnd w:id="53"/>
      <w:r>
        <w:t>B</w:t>
      </w:r>
      <w:r w:rsidRPr="00753FD7">
        <w:t>are trusts</w:t>
      </w:r>
      <w:bookmarkEnd w:id="59"/>
      <w:bookmarkEnd w:id="60"/>
      <w:bookmarkEnd w:id="61"/>
      <w:bookmarkEnd w:id="62"/>
    </w:p>
    <w:p w:rsidR="00723BAB" w:rsidRDefault="00723BAB" w:rsidP="005C789A">
      <w:pPr>
        <w:pStyle w:val="Heading3"/>
        <w:ind w:left="567" w:hanging="567"/>
      </w:pPr>
      <w:r>
        <w:t>Background</w:t>
      </w:r>
    </w:p>
    <w:p w:rsidR="00723BAB" w:rsidRDefault="00723BAB" w:rsidP="004D08A8">
      <w:r>
        <w:t xml:space="preserve">While Division 6 technically applies to all but a limited range of trusts (for example, those identified by the Federal Court in the </w:t>
      </w:r>
      <w:r w:rsidRPr="00797669">
        <w:rPr>
          <w:i/>
        </w:rPr>
        <w:t>Colonial</w:t>
      </w:r>
      <w:r>
        <w:t xml:space="preserve"> case),</w:t>
      </w:r>
      <w:r w:rsidRPr="0036032B">
        <w:rPr>
          <w:rStyle w:val="FootnoteReference"/>
        </w:rPr>
        <w:footnoteReference w:id="18"/>
      </w:r>
      <w:r>
        <w:t xml:space="preserve"> taxpayers generally ignore so</w:t>
      </w:r>
      <w:r>
        <w:noBreakHyphen/>
        <w:t>called bare trusts for tax purposes.</w:t>
      </w:r>
    </w:p>
    <w:p w:rsidR="00723BAB" w:rsidRDefault="00723BAB" w:rsidP="005C789A">
      <w:r>
        <w:t>The term ‘bare trust’ is not statutorily defined for tax purposes and, although the concept is used in trust law and by commentators,</w:t>
      </w:r>
      <w:r w:rsidRPr="00581C4D">
        <w:rPr>
          <w:i/>
        </w:rPr>
        <w:t xml:space="preserve"> </w:t>
      </w:r>
      <w:r>
        <w:t>the precise characteristics that distinguish bare trusts from other trusts are not settled.</w:t>
      </w:r>
    </w:p>
    <w:p w:rsidR="00B57B32" w:rsidRDefault="00723BAB" w:rsidP="005C789A">
      <w:r>
        <w:t xml:space="preserve">Generally, a bare trust arrangement occurs when a trustee takes legal title to an asset (such as a share) because this allows a more efficient way to maximise returns on that asset or it provides legal and commercial benefits to the beneficial owner of the asset. Control of the asset and the unlimited rights to deal with the asset remain with the beneficial owner. </w:t>
      </w:r>
    </w:p>
    <w:p w:rsidR="00723BAB" w:rsidRDefault="00723BAB" w:rsidP="005C789A">
      <w:r>
        <w:t xml:space="preserve">A majority of submissions made in response to the 2011 paper supported carving out bare trust arrangements from Division 6. Therefore, it is appropriate to consider how a bare trust should be defined. Any proposed definition will also need to be considered in the context of the </w:t>
      </w:r>
      <w:r w:rsidRPr="004C2C80">
        <w:t>CGT and GST</w:t>
      </w:r>
      <w:r>
        <w:t xml:space="preserve"> provisions</w:t>
      </w:r>
      <w:r w:rsidRPr="004C2C80">
        <w:t>.</w:t>
      </w:r>
    </w:p>
    <w:p w:rsidR="00723BAB" w:rsidRPr="005F74B7" w:rsidRDefault="00723BAB" w:rsidP="005C789A">
      <w:pPr>
        <w:pStyle w:val="Heading3"/>
        <w:ind w:left="567" w:hanging="567"/>
      </w:pPr>
      <w:r w:rsidRPr="005F74B7">
        <w:t>Current industry practice</w:t>
      </w:r>
    </w:p>
    <w:p w:rsidR="00723BAB" w:rsidRDefault="00723BAB" w:rsidP="005C789A">
      <w:r>
        <w:t xml:space="preserve">Currently, widespread industry practice is to disregard bare trusts for Division 6 purposes. Tax practitioners treat the beneficiaries of such trusts as holding the trust assets and as being responsible for any tax obligations in respect of them. Trust income is returned by the beneficiaries directly — this means that they also claim losses. </w:t>
      </w:r>
    </w:p>
    <w:p w:rsidR="00723BAB" w:rsidRDefault="00723BAB" w:rsidP="005C789A">
      <w:r>
        <w:t xml:space="preserve">Moreover, pursuant to </w:t>
      </w:r>
      <w:r w:rsidRPr="00B17E3D">
        <w:t>an administrative practice</w:t>
      </w:r>
      <w:r>
        <w:t>, the Commissioner has</w:t>
      </w:r>
      <w:r w:rsidRPr="008932AE">
        <w:t xml:space="preserve"> granted</w:t>
      </w:r>
      <w:r>
        <w:t xml:space="preserve"> trustees</w:t>
      </w:r>
      <w:r w:rsidRPr="008932AE">
        <w:t xml:space="preserve"> an exemption from lodging a tax return on behalf of any </w:t>
      </w:r>
      <w:r>
        <w:t>t</w:t>
      </w:r>
      <w:r w:rsidRPr="008932AE">
        <w:t xml:space="preserve">ransparent </w:t>
      </w:r>
      <w:r>
        <w:t>t</w:t>
      </w:r>
      <w:r w:rsidRPr="008932AE">
        <w:t>rust</w:t>
      </w:r>
      <w:r>
        <w:t xml:space="preserve"> or s</w:t>
      </w:r>
      <w:r w:rsidRPr="008932AE">
        <w:t xml:space="preserve">ecured </w:t>
      </w:r>
      <w:r>
        <w:t>p</w:t>
      </w:r>
      <w:r w:rsidRPr="008932AE">
        <w:t xml:space="preserve">urchase </w:t>
      </w:r>
      <w:r>
        <w:t>t</w:t>
      </w:r>
      <w:r w:rsidRPr="008932AE">
        <w:t>rust.</w:t>
      </w:r>
      <w:r>
        <w:rPr>
          <w:rStyle w:val="FootnoteReference"/>
        </w:rPr>
        <w:footnoteReference w:id="19"/>
      </w:r>
    </w:p>
    <w:p w:rsidR="00723BAB" w:rsidRDefault="00723BAB" w:rsidP="005C789A">
      <w:pPr>
        <w:pStyle w:val="Heading3"/>
        <w:ind w:left="567" w:hanging="567"/>
      </w:pPr>
      <w:r>
        <w:t>Board of Taxation consideration</w:t>
      </w:r>
    </w:p>
    <w:p w:rsidR="00723BAB" w:rsidRDefault="00723BAB" w:rsidP="005C789A">
      <w:r>
        <w:t>In its review of the tax arrangements applying to managed investment trusts (MITs), the Board recommended that investor directed portfolio services (IDPS) and similar bare trust type arrangements should generally be excluded from taxation under Division 6.</w:t>
      </w:r>
      <w:r>
        <w:rPr>
          <w:rStyle w:val="FootnoteReference"/>
        </w:rPr>
        <w:footnoteReference w:id="20"/>
      </w:r>
    </w:p>
    <w:p w:rsidR="00723BAB" w:rsidRDefault="00723BAB" w:rsidP="005C789A">
      <w:r>
        <w:t>The Board also recommended that IDPS and similar ‘bare trust’ type arrangements not qualify for the proposed new tax system for MITs because it considered these arrangements sufficiently different from modern managed funds that they should be subject to different taxation arrangements.</w:t>
      </w:r>
    </w:p>
    <w:tbl>
      <w:tblPr>
        <w:tblW w:w="5000" w:type="pct"/>
        <w:tblLook w:val="00A0" w:firstRow="1" w:lastRow="0" w:firstColumn="1" w:lastColumn="0" w:noHBand="0" w:noVBand="0"/>
      </w:tblPr>
      <w:tblGrid>
        <w:gridCol w:w="9576"/>
      </w:tblGrid>
      <w:tr w:rsidR="00723BAB" w:rsidRPr="00D455EB" w:rsidTr="00D455EB">
        <w:tc>
          <w:tcPr>
            <w:tcW w:w="5000" w:type="pct"/>
            <w:shd w:val="clear" w:color="auto" w:fill="D2DFEE"/>
          </w:tcPr>
          <w:p w:rsidR="00723BAB" w:rsidRPr="00D455EB" w:rsidRDefault="00723BAB" w:rsidP="00D455EB">
            <w:pPr>
              <w:pStyle w:val="Heading6"/>
              <w:spacing w:line="260" w:lineRule="exact"/>
              <w:jc w:val="both"/>
              <w:rPr>
                <w:rFonts w:ascii="Calibri" w:hAnsi="Calibri" w:cs="Calibri"/>
              </w:rPr>
            </w:pPr>
            <w:r w:rsidRPr="00D455EB">
              <w:rPr>
                <w:rFonts w:ascii="Calibri" w:hAnsi="Calibri" w:cs="Calibri"/>
              </w:rPr>
              <w:t xml:space="preserve">Question </w:t>
            </w:r>
            <w:r w:rsidR="009224A5">
              <w:rPr>
                <w:rFonts w:ascii="Calibri" w:hAnsi="Calibri" w:cs="Calibri"/>
              </w:rPr>
              <w:t>9</w:t>
            </w:r>
          </w:p>
          <w:p w:rsidR="00723BAB" w:rsidRPr="00D455EB" w:rsidRDefault="00723BAB" w:rsidP="00B57B32">
            <w:pPr>
              <w:jc w:val="both"/>
              <w:rPr>
                <w:rFonts w:cs="Calibri"/>
              </w:rPr>
            </w:pPr>
            <w:r w:rsidRPr="00D455EB">
              <w:rPr>
                <w:rFonts w:cs="Calibri"/>
              </w:rPr>
              <w:t>Should bare trust type arrangements be excluded from the new model for taxing trust income</w:t>
            </w:r>
            <w:r w:rsidR="00B57B32">
              <w:rPr>
                <w:rFonts w:cs="Calibri"/>
              </w:rPr>
              <w:t>?</w:t>
            </w:r>
          </w:p>
        </w:tc>
      </w:tr>
    </w:tbl>
    <w:p w:rsidR="00723BAB" w:rsidRDefault="00723BAB" w:rsidP="005C789A">
      <w:pPr>
        <w:pStyle w:val="Heading3"/>
        <w:ind w:left="567" w:hanging="567"/>
      </w:pPr>
      <w:r>
        <w:t>Characteristics of bare trusts</w:t>
      </w:r>
    </w:p>
    <w:p w:rsidR="00723BAB" w:rsidRDefault="00723BAB" w:rsidP="004D08A8">
      <w:r>
        <w:t>Consistent with the common notion of what a bare trust is, arrangements with the following characteristics could be treated as a bare trust:</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the beneficiary/ies (‘beneficiary’) holds a clearly definable fixed interest in all of the trust income and capital;</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 xml:space="preserve">the beneficiary can direct the trustee on how to deal with trust asset/s in respect of their interest and call for the ownership of those asset/s to be transferred; </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 xml:space="preserve">the beneficiary can compel the trustee to provide all information and documents relevant to the beneficiary’s income tax obligations; </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the trustee has no active duties of management imposed by the trust instrument; and</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the trustee’s general right at trust law to be relevantly indemnified out of trust assets is ignored in determining whether the trustee has active duties.</w:t>
      </w:r>
    </w:p>
    <w:p w:rsidR="00CB755D" w:rsidRDefault="00723BAB" w:rsidP="00CB755D">
      <w:r>
        <w:t xml:space="preserve">Beneficiaries of a trust with a legal disability will prevent the trust from being deemed a bare trust, except for CGT purposes. </w:t>
      </w:r>
    </w:p>
    <w:p w:rsidR="00723BAB" w:rsidRDefault="00CB755D" w:rsidP="004D08A8">
      <w:r>
        <w:t xml:space="preserve">In addition, certain types of trusts could be </w:t>
      </w:r>
      <w:r w:rsidR="004F4A53">
        <w:t>deemed to be</w:t>
      </w:r>
      <w:r>
        <w:t xml:space="preserve"> bare trusts to provide additional certainty. This could be facilitated by including a regulation making power in the law. This could include those represented by a custodian holding assets pursuant to a requirement in the </w:t>
      </w:r>
      <w:r w:rsidRPr="005F74B7">
        <w:rPr>
          <w:i/>
        </w:rPr>
        <w:t>Corporations Act</w:t>
      </w:r>
      <w:r>
        <w:rPr>
          <w:i/>
        </w:rPr>
        <w:t> </w:t>
      </w:r>
      <w:r w:rsidRPr="005F74B7">
        <w:rPr>
          <w:i/>
        </w:rPr>
        <w:t>2001</w:t>
      </w:r>
      <w:r>
        <w:t xml:space="preserve">. </w:t>
      </w:r>
    </w:p>
    <w:tbl>
      <w:tblPr>
        <w:tblW w:w="5000" w:type="pct"/>
        <w:tblLook w:val="00A0" w:firstRow="1" w:lastRow="0" w:firstColumn="1" w:lastColumn="0" w:noHBand="0" w:noVBand="0"/>
      </w:tblPr>
      <w:tblGrid>
        <w:gridCol w:w="9576"/>
      </w:tblGrid>
      <w:tr w:rsidR="00723BAB" w:rsidRPr="00D455EB" w:rsidTr="00D455EB">
        <w:tc>
          <w:tcPr>
            <w:tcW w:w="5000" w:type="pct"/>
            <w:shd w:val="clear" w:color="auto" w:fill="D2DFEE"/>
          </w:tcPr>
          <w:p w:rsidR="00723BAB" w:rsidRPr="00D455EB" w:rsidRDefault="00723BAB" w:rsidP="008400E1">
            <w:pPr>
              <w:pStyle w:val="Heading6"/>
              <w:tabs>
                <w:tab w:val="left" w:pos="1289"/>
              </w:tabs>
              <w:spacing w:line="260" w:lineRule="exact"/>
              <w:jc w:val="both"/>
              <w:rPr>
                <w:rFonts w:ascii="Calibri" w:hAnsi="Calibri" w:cs="Calibri"/>
              </w:rPr>
            </w:pPr>
            <w:r w:rsidRPr="00D455EB">
              <w:rPr>
                <w:rFonts w:ascii="Calibri" w:hAnsi="Calibri" w:cs="Calibri"/>
              </w:rPr>
              <w:t xml:space="preserve">Question </w:t>
            </w:r>
            <w:r w:rsidR="009224A5">
              <w:rPr>
                <w:rFonts w:ascii="Calibri" w:hAnsi="Calibri" w:cs="Calibri"/>
              </w:rPr>
              <w:t>10</w:t>
            </w:r>
          </w:p>
          <w:p w:rsidR="00723BAB" w:rsidRPr="00D455EB" w:rsidRDefault="00723BAB" w:rsidP="00D455EB">
            <w:pPr>
              <w:jc w:val="both"/>
              <w:rPr>
                <w:rFonts w:cs="Calibri"/>
              </w:rPr>
            </w:pPr>
            <w:r w:rsidRPr="00D455EB">
              <w:rPr>
                <w:rFonts w:cs="Calibri"/>
              </w:rPr>
              <w:t>Are the characteristics of bare trust type arrangements sufficient to describe and possibly define such arrangements?</w:t>
            </w:r>
          </w:p>
        </w:tc>
      </w:tr>
    </w:tbl>
    <w:p w:rsidR="00723BAB" w:rsidRPr="00A200A1" w:rsidRDefault="00723BAB" w:rsidP="00F348BA">
      <w:pPr>
        <w:pStyle w:val="Heading3"/>
      </w:pPr>
      <w:r w:rsidRPr="00A200A1">
        <w:t>Income tax consequences</w:t>
      </w:r>
    </w:p>
    <w:p w:rsidR="00723BAB" w:rsidRDefault="00723BAB" w:rsidP="004D08A8">
      <w:r>
        <w:t xml:space="preserve">If bare trusts were carved out from the operation of a rewritten Division 6, then these types of arrangements could be ignored or ‘looked through’ for income tax purposes (including for CGT purposes). Any losses would also be those of the beneficiary and not trapped in the trust. </w:t>
      </w:r>
    </w:p>
    <w:p w:rsidR="00723BAB" w:rsidRDefault="00723BAB" w:rsidP="004D08A8">
      <w:r>
        <w:t xml:space="preserve">Trustees and beneficiaries of a trust that demonstrate the above characteristics would be able to: </w:t>
      </w:r>
    </w:p>
    <w:p w:rsidR="00723BAB" w:rsidRPr="004D08A8" w:rsidRDefault="00723BAB" w:rsidP="005C789A">
      <w:pPr>
        <w:pStyle w:val="Bullet"/>
        <w:rPr>
          <w:sz w:val="22"/>
          <w:szCs w:val="22"/>
        </w:rPr>
      </w:pPr>
      <w:r w:rsidRPr="004D08A8">
        <w:rPr>
          <w:sz w:val="22"/>
          <w:szCs w:val="22"/>
        </w:rPr>
        <w:t>disregard a beneficiary’s interest in the trust (so that the beneficiary does not also make a gain or loss from a dealing with that interest);</w:t>
      </w:r>
    </w:p>
    <w:p w:rsidR="00723BAB" w:rsidRPr="004D08A8" w:rsidRDefault="00723BAB" w:rsidP="005C789A">
      <w:pPr>
        <w:pStyle w:val="Bullet"/>
        <w:rPr>
          <w:sz w:val="22"/>
          <w:szCs w:val="22"/>
        </w:rPr>
      </w:pPr>
      <w:r w:rsidRPr="004D08A8">
        <w:rPr>
          <w:sz w:val="22"/>
          <w:szCs w:val="22"/>
        </w:rPr>
        <w:t>treat the trustee as though it does not own the assets for tax purposes;</w:t>
      </w:r>
    </w:p>
    <w:p w:rsidR="00723BAB" w:rsidRPr="004D08A8" w:rsidRDefault="00723BAB" w:rsidP="005C789A">
      <w:pPr>
        <w:pStyle w:val="Bullet"/>
        <w:rPr>
          <w:sz w:val="22"/>
          <w:szCs w:val="22"/>
        </w:rPr>
      </w:pPr>
      <w:r w:rsidRPr="004D08A8">
        <w:rPr>
          <w:sz w:val="22"/>
          <w:szCs w:val="22"/>
        </w:rPr>
        <w:t>treat the beneficiary as the owner of the assets (including, for example, treating them as shareholders for the purposes of those provisions that apply to shareholders); and</w:t>
      </w:r>
    </w:p>
    <w:p w:rsidR="00723BAB" w:rsidRPr="004D08A8" w:rsidRDefault="00723BAB" w:rsidP="005C789A">
      <w:pPr>
        <w:pStyle w:val="Bullet"/>
        <w:rPr>
          <w:sz w:val="22"/>
          <w:szCs w:val="22"/>
        </w:rPr>
      </w:pPr>
      <w:r w:rsidRPr="004D08A8">
        <w:rPr>
          <w:sz w:val="22"/>
          <w:szCs w:val="22"/>
        </w:rPr>
        <w:t>treat anything done by or to the trustee as having been done by or to the beneficiary.</w:t>
      </w:r>
    </w:p>
    <w:p w:rsidR="00723BAB" w:rsidRDefault="00723BAB" w:rsidP="004D08A8">
      <w:r>
        <w:t>In developing a carve</w:t>
      </w:r>
      <w:r>
        <w:noBreakHyphen/>
        <w:t>out for bare trusts, consideration would also need to be given to transitional rules for existing trusts to which Division 6 currently applies, but would be excluded from the new model. For example, the beneficiaries of an existing trust that are not currently absolutely entitled to the trust assets could, as a result of the operation of these rules, be treated as the owners of the assets, resulting in potential CGT implications. To address this, the beneficiaries could be treated as having always owned the assets — so that a CGT event does not happen when they start to be treated as owning the asset.</w:t>
      </w:r>
    </w:p>
    <w:p w:rsidR="00723BAB" w:rsidRPr="00A200A1" w:rsidRDefault="00723BAB" w:rsidP="005C789A">
      <w:pPr>
        <w:pStyle w:val="Heading3"/>
        <w:ind w:left="567" w:hanging="567"/>
      </w:pPr>
      <w:r>
        <w:t>Trustee obligations and o</w:t>
      </w:r>
      <w:r w:rsidRPr="00A200A1">
        <w:t>ther tax consequences</w:t>
      </w:r>
    </w:p>
    <w:p w:rsidR="00723BAB" w:rsidRDefault="00723BAB" w:rsidP="004D08A8">
      <w:r>
        <w:t xml:space="preserve">If bare trusts are carved out from the operation of a rewritten Division 6, the trustee of a trust treated as a bare trust could still retain some Division 6 obligations because of the need to ensure that the beneficiary meets their tax obligations and direct reporting obligations to the Commissioner such as: </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 xml:space="preserve">withholding from beneficiaries’ amounts; </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providing the beneficiary with the information necessary to complete their tax return; and</w:t>
      </w:r>
    </w:p>
    <w:p w:rsidR="00723BAB" w:rsidRPr="004D08A8" w:rsidRDefault="00723BAB" w:rsidP="002E1ECB">
      <w:pPr>
        <w:pStyle w:val="Bullet"/>
        <w:numPr>
          <w:ilvl w:val="0"/>
          <w:numId w:val="12"/>
        </w:numPr>
        <w:spacing w:after="200" w:line="276" w:lineRule="auto"/>
        <w:rPr>
          <w:sz w:val="22"/>
          <w:szCs w:val="22"/>
        </w:rPr>
      </w:pPr>
      <w:r w:rsidRPr="004D08A8">
        <w:rPr>
          <w:sz w:val="22"/>
          <w:szCs w:val="22"/>
        </w:rPr>
        <w:t>providing an Annual Investment Income Report to the Commissioner.</w:t>
      </w:r>
      <w:r w:rsidRPr="004D08A8">
        <w:rPr>
          <w:rStyle w:val="FootnoteReference"/>
          <w:sz w:val="22"/>
          <w:szCs w:val="22"/>
        </w:rPr>
        <w:footnoteReference w:id="21"/>
      </w:r>
    </w:p>
    <w:p w:rsidR="00723BAB" w:rsidRPr="001E39D8" w:rsidRDefault="00723BAB" w:rsidP="005C789A">
      <w:pPr>
        <w:pStyle w:val="Heading3"/>
        <w:ind w:left="567" w:hanging="567"/>
      </w:pPr>
      <w:r w:rsidRPr="001E39D8">
        <w:t>Goods and services tax</w:t>
      </w:r>
    </w:p>
    <w:p w:rsidR="00723BAB" w:rsidRDefault="00723BAB" w:rsidP="005C789A">
      <w:pPr>
        <w:rPr>
          <w:rFonts w:cs="Calibri"/>
        </w:rPr>
      </w:pPr>
      <w:r>
        <w:t>The Government has previously announced that the GST law will be amended to remove doubt surrounding the GST liabilities and entitlements of bare trusts.</w:t>
      </w:r>
      <w:r>
        <w:rPr>
          <w:rStyle w:val="FootnoteReference"/>
        </w:rPr>
        <w:footnoteReference w:id="22"/>
      </w:r>
      <w:r>
        <w:t xml:space="preserve"> </w:t>
      </w:r>
      <w:r>
        <w:rPr>
          <w:rFonts w:cs="Calibri"/>
        </w:rPr>
        <w:t>This decision followed a recommendation by the Board where it concluded that there is ambiguity as to whether the trust or beneficiary is liable for the GST consequences of transactions and doubts about how the GST law applies to bare trusts and similar types of nominee arrangements.</w:t>
      </w:r>
      <w:r>
        <w:rPr>
          <w:rStyle w:val="FootnoteReference"/>
        </w:rPr>
        <w:footnoteReference w:id="23"/>
      </w:r>
    </w:p>
    <w:p w:rsidR="00723BAB" w:rsidRPr="00C829F4" w:rsidRDefault="00723BAB" w:rsidP="00C829F4">
      <w:pPr>
        <w:rPr>
          <w:rFonts w:cs="Calibri"/>
        </w:rPr>
      </w:pPr>
      <w:r>
        <w:t>For consistency, transactions carried out by the trustee of a trust with the abovementioned chara</w:t>
      </w:r>
      <w:r w:rsidRPr="00C829F4">
        <w:rPr>
          <w:rFonts w:cs="Calibri"/>
        </w:rPr>
        <w:t xml:space="preserve">cteristics of a bare trust will be treated as having been carried out by the beneficiary for GST purposes. </w:t>
      </w:r>
    </w:p>
    <w:p w:rsidR="00723BAB" w:rsidRPr="00292282" w:rsidRDefault="00723BAB" w:rsidP="00C829F4">
      <w:pPr>
        <w:rPr>
          <w:rFonts w:cs="Calibri"/>
        </w:rPr>
      </w:pPr>
      <w:r w:rsidRPr="00292282">
        <w:rPr>
          <w:rFonts w:cs="Calibri"/>
        </w:rPr>
        <w:t>Following th</w:t>
      </w:r>
      <w:r>
        <w:rPr>
          <w:rFonts w:cs="Calibri"/>
        </w:rPr>
        <w:t xml:space="preserve">e Board’s </w:t>
      </w:r>
      <w:r w:rsidRPr="00292282">
        <w:rPr>
          <w:rFonts w:cs="Calibri"/>
        </w:rPr>
        <w:t xml:space="preserve">report, </w:t>
      </w:r>
      <w:r>
        <w:rPr>
          <w:rFonts w:cs="Calibri"/>
        </w:rPr>
        <w:t xml:space="preserve">the Government </w:t>
      </w:r>
      <w:r w:rsidRPr="00292282">
        <w:rPr>
          <w:rFonts w:cs="Calibri"/>
        </w:rPr>
        <w:t>released a discussion paper that proposed</w:t>
      </w:r>
      <w:r>
        <w:rPr>
          <w:rFonts w:cs="Calibri"/>
        </w:rPr>
        <w:t xml:space="preserve"> that</w:t>
      </w:r>
      <w:r w:rsidRPr="00292282">
        <w:rPr>
          <w:rFonts w:cs="Calibri"/>
        </w:rPr>
        <w:t xml:space="preserve"> supplies made by a bare trust (and trusts that operate similarly to bare trusts) be treated as being made by the beneficiary</w:t>
      </w:r>
      <w:r>
        <w:rPr>
          <w:rFonts w:cs="Calibri"/>
        </w:rPr>
        <w:t>.</w:t>
      </w:r>
      <w:r w:rsidRPr="00C829F4">
        <w:rPr>
          <w:rStyle w:val="FootnoteReference"/>
        </w:rPr>
        <w:footnoteReference w:id="24"/>
      </w:r>
      <w:r>
        <w:rPr>
          <w:rFonts w:cs="Calibri"/>
        </w:rPr>
        <w:t xml:space="preserve"> </w:t>
      </w:r>
      <w:r w:rsidRPr="00292282">
        <w:rPr>
          <w:rFonts w:cs="Calibri"/>
        </w:rPr>
        <w:t>The paper discussed an alternative proposal to treat the trustee as an agent for the beneficiary, of which submissions were unsupportive</w:t>
      </w:r>
      <w:r>
        <w:rPr>
          <w:rFonts w:cs="Calibri"/>
        </w:rPr>
        <w:t xml:space="preserve">. </w:t>
      </w:r>
      <w:r w:rsidRPr="00292282">
        <w:rPr>
          <w:rFonts w:cs="Calibri"/>
        </w:rPr>
        <w:t xml:space="preserve">The paper also included focus questions in respect of the impacts of the </w:t>
      </w:r>
      <w:r>
        <w:rPr>
          <w:rFonts w:cs="Calibri"/>
        </w:rPr>
        <w:t>‘</w:t>
      </w:r>
      <w:r w:rsidRPr="00292282">
        <w:rPr>
          <w:rFonts w:cs="Calibri"/>
        </w:rPr>
        <w:t>look</w:t>
      </w:r>
      <w:r>
        <w:rPr>
          <w:rFonts w:cs="Calibri"/>
        </w:rPr>
        <w:noBreakHyphen/>
      </w:r>
      <w:r w:rsidRPr="00292282">
        <w:rPr>
          <w:rFonts w:cs="Calibri"/>
        </w:rPr>
        <w:t>through</w:t>
      </w:r>
      <w:r>
        <w:rPr>
          <w:rFonts w:cs="Calibri"/>
        </w:rPr>
        <w:t>’</w:t>
      </w:r>
      <w:r w:rsidRPr="00292282">
        <w:rPr>
          <w:rFonts w:cs="Calibri"/>
        </w:rPr>
        <w:t xml:space="preserve"> approach on instalment warrants and IDPS. </w:t>
      </w:r>
    </w:p>
    <w:p w:rsidR="00723BAB" w:rsidRPr="00C829F4" w:rsidRDefault="00723BAB" w:rsidP="00C829F4">
      <w:pPr>
        <w:rPr>
          <w:rFonts w:cs="Calibri"/>
        </w:rPr>
      </w:pPr>
      <w:r w:rsidRPr="00C829F4">
        <w:rPr>
          <w:rFonts w:cs="Calibri"/>
        </w:rPr>
        <w:t>In response to the discussion paper, submissions noted that IDPS are sets of bare trusts, and there could be practical difficulties in requiring individual investors to register and account for GST directly.</w:t>
      </w:r>
      <w:r w:rsidRPr="00C829F4">
        <w:rPr>
          <w:rStyle w:val="FootnoteReference"/>
        </w:rPr>
        <w:footnoteReference w:id="25"/>
      </w:r>
      <w:r w:rsidRPr="00C829F4">
        <w:rPr>
          <w:rFonts w:cs="Calibri"/>
        </w:rPr>
        <w:t xml:space="preserve"> Administrative and compliance savings could be achieved by excluding IDPS from the ‘look</w:t>
      </w:r>
      <w:r w:rsidRPr="00C829F4">
        <w:rPr>
          <w:rFonts w:cs="Calibri"/>
        </w:rPr>
        <w:noBreakHyphen/>
        <w:t xml:space="preserve">through’ approach and allowing the trustee to be responsible for the GST consequences of the transactions. Depending on their structure, individual instalment warrants may not be bare trusts. However, there would be compliance costs savings if the beneficiary is regarded as having carried out the transactions for GST purposes. </w:t>
      </w:r>
    </w:p>
    <w:p w:rsidR="00723BAB" w:rsidRDefault="00723BAB" w:rsidP="00431E76">
      <w:r w:rsidRPr="00C829F4">
        <w:rPr>
          <w:rFonts w:cs="Calibri"/>
        </w:rPr>
        <w:t>Based on these earlier submissions there would appear to be support for some variation to the proposed ba</w:t>
      </w:r>
      <w:r>
        <w:t>re trust definition for GST purposes.</w:t>
      </w:r>
    </w:p>
    <w:tbl>
      <w:tblPr>
        <w:tblW w:w="5000" w:type="pct"/>
        <w:tblLook w:val="00A0" w:firstRow="1" w:lastRow="0" w:firstColumn="1" w:lastColumn="0" w:noHBand="0" w:noVBand="0"/>
      </w:tblPr>
      <w:tblGrid>
        <w:gridCol w:w="9576"/>
      </w:tblGrid>
      <w:tr w:rsidR="008E1908" w:rsidRPr="00D455EB" w:rsidTr="008E1908">
        <w:tc>
          <w:tcPr>
            <w:tcW w:w="5000" w:type="pct"/>
            <w:shd w:val="clear" w:color="auto" w:fill="D2DFEE"/>
          </w:tcPr>
          <w:p w:rsidR="008E1908" w:rsidRPr="00D455EB" w:rsidRDefault="008E1908" w:rsidP="008E1908">
            <w:pPr>
              <w:pStyle w:val="Heading6"/>
              <w:tabs>
                <w:tab w:val="left" w:pos="1289"/>
              </w:tabs>
              <w:spacing w:line="260" w:lineRule="exact"/>
              <w:jc w:val="both"/>
              <w:rPr>
                <w:rFonts w:ascii="Calibri" w:hAnsi="Calibri" w:cs="Calibri"/>
              </w:rPr>
            </w:pPr>
            <w:r w:rsidRPr="00D455EB">
              <w:rPr>
                <w:rFonts w:ascii="Calibri" w:hAnsi="Calibri" w:cs="Calibri"/>
              </w:rPr>
              <w:t xml:space="preserve">Question </w:t>
            </w:r>
            <w:r w:rsidR="008C620F">
              <w:rPr>
                <w:rFonts w:ascii="Calibri" w:hAnsi="Calibri" w:cs="Calibri"/>
              </w:rPr>
              <w:t>1</w:t>
            </w:r>
            <w:r w:rsidR="009224A5">
              <w:rPr>
                <w:rFonts w:ascii="Calibri" w:hAnsi="Calibri" w:cs="Calibri"/>
              </w:rPr>
              <w:t>1</w:t>
            </w:r>
          </w:p>
          <w:p w:rsidR="008E1908" w:rsidRPr="00D455EB" w:rsidRDefault="008E1908" w:rsidP="00607FDB">
            <w:pPr>
              <w:jc w:val="both"/>
              <w:rPr>
                <w:rFonts w:cs="Calibri"/>
              </w:rPr>
            </w:pPr>
            <w:r>
              <w:t>Should bare trusts be ignored for the purposes of GST? If the extension were not to apply to all bare</w:t>
            </w:r>
            <w:r w:rsidR="00607FDB">
              <w:t xml:space="preserve"> </w:t>
            </w:r>
            <w:r>
              <w:t>trust like arrangements, how should they be distinguished?</w:t>
            </w:r>
          </w:p>
        </w:tc>
      </w:tr>
    </w:tbl>
    <w:p w:rsidR="008E1908" w:rsidRDefault="008E1908" w:rsidP="00431E76">
      <w:pPr>
        <w:rPr>
          <w:rFonts w:cs="Calibri"/>
          <w:sz w:val="20"/>
        </w:rPr>
      </w:pPr>
    </w:p>
    <w:p w:rsidR="00723BAB" w:rsidRDefault="00723BAB" w:rsidP="004D08A8">
      <w:pPr>
        <w:pStyle w:val="Heading1"/>
      </w:pPr>
      <w:bookmarkStart w:id="63" w:name="_Toc333323793"/>
      <w:bookmarkStart w:id="64" w:name="_Toc334079852"/>
      <w:bookmarkStart w:id="65" w:name="_Toc338405412"/>
      <w:r>
        <w:t>Appendix A</w:t>
      </w:r>
      <w:bookmarkEnd w:id="63"/>
      <w:bookmarkEnd w:id="64"/>
      <w:bookmarkEnd w:id="65"/>
    </w:p>
    <w:p w:rsidR="00723BAB" w:rsidRPr="005F6455" w:rsidRDefault="00723BAB" w:rsidP="00675F0B">
      <w:pPr>
        <w:pStyle w:val="Heading2"/>
      </w:pPr>
      <w:bookmarkStart w:id="66" w:name="_Toc333323794"/>
      <w:bookmarkStart w:id="67" w:name="_Toc334079853"/>
      <w:bookmarkStart w:id="68" w:name="_Toc338405413"/>
      <w:r>
        <w:t>Detailed example — discretionary trust</w:t>
      </w:r>
      <w:bookmarkEnd w:id="66"/>
      <w:bookmarkEnd w:id="67"/>
      <w:bookmarkEnd w:id="68"/>
    </w:p>
    <w:p w:rsidR="00723BAB" w:rsidRDefault="00723BAB" w:rsidP="00675F0B">
      <w:pPr>
        <w:pStyle w:val="Heading3"/>
      </w:pPr>
      <w:bookmarkStart w:id="69" w:name="_Toc332797891"/>
      <w:r>
        <w:t>Purpose</w:t>
      </w:r>
      <w:bookmarkEnd w:id="69"/>
    </w:p>
    <w:p w:rsidR="00723BAB" w:rsidRDefault="00723BAB" w:rsidP="00675F0B">
      <w:r>
        <w:t>This example demonstrates how the proposed EBM and PAM would apply to a discretionary trust that is carrying on a business. The current law is also applied to the facts.</w:t>
      </w:r>
    </w:p>
    <w:p w:rsidR="00723BAB" w:rsidRDefault="00723BAB" w:rsidP="00675F0B">
      <w:pPr>
        <w:pStyle w:val="Heading3"/>
        <w:ind w:left="567" w:hanging="567"/>
      </w:pPr>
      <w:bookmarkStart w:id="70" w:name="_Toc332797892"/>
      <w:r>
        <w:t>Facts</w:t>
      </w:r>
      <w:bookmarkEnd w:id="70"/>
    </w:p>
    <w:p w:rsidR="00723BAB" w:rsidRDefault="00723BAB" w:rsidP="00675F0B">
      <w:r>
        <w:t xml:space="preserve">The Colour Trust operates a printing business that sells its products on 30 day terms and applies accrual accounting. The trust is not audited, but prepares special purpose financial reports on an annual basis. </w:t>
      </w:r>
    </w:p>
    <w:p w:rsidR="00723BAB" w:rsidRDefault="00723BAB" w:rsidP="00675F0B">
      <w:r>
        <w:t xml:space="preserve">The trust deed of the Colour Trust permits the trustee to make both income and capital distributions. It does not contain a definition of ‘income’. Income, and occasionally capital, are typically only appointed to two beneficiaries, being Mrs Ruby, and Silver Australia Pty Ltd. There are no default beneficiaries. </w:t>
      </w:r>
    </w:p>
    <w:p w:rsidR="00723BAB" w:rsidRDefault="00723BAB" w:rsidP="00675F0B">
      <w:r>
        <w:t>For the 20X1 and 20X2 income years, the Colour Trust derived the following amounts of income and incurred the following expenses.</w:t>
      </w:r>
    </w:p>
    <w:p w:rsidR="00723BAB" w:rsidRPr="00847383" w:rsidRDefault="00723BAB" w:rsidP="000B7A87">
      <w:pPr>
        <w:pStyle w:val="Heading6"/>
      </w:pPr>
      <w:r w:rsidRPr="000B7A87">
        <w:t>Table</w:t>
      </w:r>
      <w:r>
        <w:t xml:space="preserv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7"/>
        <w:gridCol w:w="2214"/>
        <w:gridCol w:w="2275"/>
      </w:tblGrid>
      <w:tr w:rsidR="00723BAB" w:rsidRPr="00D455EB" w:rsidTr="001C0158">
        <w:tc>
          <w:tcPr>
            <w:tcW w:w="2656" w:type="pct"/>
            <w:shd w:val="clear" w:color="auto" w:fill="4F81BD"/>
          </w:tcPr>
          <w:p w:rsidR="00723BAB" w:rsidRPr="00D455EB" w:rsidRDefault="00723BAB" w:rsidP="00675F0B">
            <w:pPr>
              <w:spacing w:after="200"/>
              <w:rPr>
                <w:b/>
                <w:sz w:val="20"/>
              </w:rPr>
            </w:pPr>
            <w:r w:rsidRPr="00D455EB">
              <w:rPr>
                <w:b/>
                <w:sz w:val="20"/>
              </w:rPr>
              <w:t>Income from activities</w:t>
            </w:r>
          </w:p>
        </w:tc>
        <w:tc>
          <w:tcPr>
            <w:tcW w:w="1156" w:type="pct"/>
            <w:shd w:val="clear" w:color="auto" w:fill="4F81BD"/>
          </w:tcPr>
          <w:p w:rsidR="00723BAB" w:rsidRPr="00D455EB" w:rsidRDefault="00723BAB" w:rsidP="00675F0B">
            <w:pPr>
              <w:spacing w:after="200"/>
              <w:jc w:val="right"/>
              <w:rPr>
                <w:b/>
                <w:sz w:val="20"/>
              </w:rPr>
            </w:pPr>
            <w:r w:rsidRPr="00D455EB">
              <w:rPr>
                <w:b/>
                <w:sz w:val="20"/>
              </w:rPr>
              <w:t>20X1</w:t>
            </w:r>
          </w:p>
        </w:tc>
        <w:tc>
          <w:tcPr>
            <w:tcW w:w="1188" w:type="pct"/>
            <w:shd w:val="clear" w:color="auto" w:fill="4F81BD"/>
          </w:tcPr>
          <w:p w:rsidR="00723BAB" w:rsidRPr="00D455EB" w:rsidRDefault="00723BAB" w:rsidP="00675F0B">
            <w:pPr>
              <w:spacing w:after="200"/>
              <w:jc w:val="right"/>
              <w:rPr>
                <w:b/>
                <w:sz w:val="20"/>
              </w:rPr>
            </w:pPr>
            <w:r w:rsidRPr="00D455EB">
              <w:rPr>
                <w:b/>
                <w:sz w:val="20"/>
              </w:rPr>
              <w:t>20X2</w:t>
            </w:r>
          </w:p>
        </w:tc>
      </w:tr>
      <w:tr w:rsidR="00723BAB" w:rsidRPr="00D455EB" w:rsidTr="001C0158">
        <w:tc>
          <w:tcPr>
            <w:tcW w:w="2656" w:type="pct"/>
          </w:tcPr>
          <w:p w:rsidR="00723BAB" w:rsidRPr="00D455EB" w:rsidRDefault="00723BAB" w:rsidP="00675F0B">
            <w:pPr>
              <w:spacing w:after="200"/>
              <w:rPr>
                <w:sz w:val="20"/>
              </w:rPr>
            </w:pPr>
            <w:r w:rsidRPr="00D455EB">
              <w:rPr>
                <w:sz w:val="20"/>
              </w:rPr>
              <w:t>Trading sales</w:t>
            </w:r>
          </w:p>
        </w:tc>
        <w:tc>
          <w:tcPr>
            <w:tcW w:w="1156" w:type="pct"/>
          </w:tcPr>
          <w:p w:rsidR="00723BAB" w:rsidRPr="00D455EB" w:rsidRDefault="00723BAB" w:rsidP="00675F0B">
            <w:pPr>
              <w:spacing w:after="200"/>
              <w:jc w:val="right"/>
              <w:rPr>
                <w:sz w:val="20"/>
              </w:rPr>
            </w:pPr>
            <w:r w:rsidRPr="00D455EB">
              <w:rPr>
                <w:sz w:val="20"/>
              </w:rPr>
              <w:t>580,000</w:t>
            </w:r>
          </w:p>
        </w:tc>
        <w:tc>
          <w:tcPr>
            <w:tcW w:w="1188" w:type="pct"/>
          </w:tcPr>
          <w:p w:rsidR="00723BAB" w:rsidRPr="00D455EB" w:rsidRDefault="00723BAB" w:rsidP="00675F0B">
            <w:pPr>
              <w:spacing w:after="200"/>
              <w:jc w:val="right"/>
              <w:rPr>
                <w:sz w:val="20"/>
              </w:rPr>
            </w:pPr>
            <w:r w:rsidRPr="00D455EB">
              <w:rPr>
                <w:sz w:val="20"/>
              </w:rPr>
              <w:t>720,000</w:t>
            </w:r>
          </w:p>
        </w:tc>
      </w:tr>
      <w:tr w:rsidR="00723BAB" w:rsidRPr="00D455EB" w:rsidTr="001C0158">
        <w:tc>
          <w:tcPr>
            <w:tcW w:w="2656" w:type="pct"/>
          </w:tcPr>
          <w:p w:rsidR="00723BAB" w:rsidRPr="00D455EB" w:rsidRDefault="00723BAB" w:rsidP="00675F0B">
            <w:pPr>
              <w:spacing w:after="200"/>
              <w:rPr>
                <w:sz w:val="20"/>
              </w:rPr>
            </w:pPr>
            <w:r w:rsidRPr="00D455EB">
              <w:rPr>
                <w:sz w:val="20"/>
              </w:rPr>
              <w:t>Franked dividends</w:t>
            </w:r>
          </w:p>
        </w:tc>
        <w:tc>
          <w:tcPr>
            <w:tcW w:w="1156" w:type="pct"/>
          </w:tcPr>
          <w:p w:rsidR="00723BAB" w:rsidRPr="00D455EB" w:rsidRDefault="00723BAB" w:rsidP="00675F0B">
            <w:pPr>
              <w:spacing w:after="200"/>
              <w:jc w:val="right"/>
              <w:rPr>
                <w:sz w:val="20"/>
              </w:rPr>
            </w:pPr>
            <w:r w:rsidRPr="00D455EB">
              <w:rPr>
                <w:sz w:val="20"/>
              </w:rPr>
              <w:t>10,605</w:t>
            </w:r>
          </w:p>
        </w:tc>
        <w:tc>
          <w:tcPr>
            <w:tcW w:w="1188" w:type="pct"/>
          </w:tcPr>
          <w:p w:rsidR="00723BAB" w:rsidRPr="00D455EB" w:rsidRDefault="00723BAB" w:rsidP="00675F0B">
            <w:pPr>
              <w:spacing w:after="200"/>
              <w:jc w:val="right"/>
              <w:rPr>
                <w:sz w:val="20"/>
              </w:rPr>
            </w:pPr>
            <w:r w:rsidRPr="00D455EB">
              <w:rPr>
                <w:sz w:val="20"/>
              </w:rPr>
              <w:t>10,185</w:t>
            </w:r>
          </w:p>
        </w:tc>
      </w:tr>
      <w:tr w:rsidR="00723BAB" w:rsidRPr="00D455EB" w:rsidTr="001C0158">
        <w:trPr>
          <w:trHeight w:val="567"/>
        </w:trPr>
        <w:tc>
          <w:tcPr>
            <w:tcW w:w="2656" w:type="pct"/>
          </w:tcPr>
          <w:p w:rsidR="00723BAB" w:rsidRPr="00D455EB" w:rsidRDefault="00723BAB" w:rsidP="00675F0B">
            <w:pPr>
              <w:spacing w:after="200"/>
              <w:rPr>
                <w:sz w:val="20"/>
              </w:rPr>
            </w:pPr>
            <w:r w:rsidRPr="00D455EB">
              <w:rPr>
                <w:sz w:val="20"/>
              </w:rPr>
              <w:t>Interest on bank account</w:t>
            </w:r>
          </w:p>
        </w:tc>
        <w:tc>
          <w:tcPr>
            <w:tcW w:w="1156" w:type="pct"/>
          </w:tcPr>
          <w:p w:rsidR="00723BAB" w:rsidRPr="00D455EB" w:rsidRDefault="00723BAB" w:rsidP="00675F0B">
            <w:pPr>
              <w:spacing w:after="200"/>
              <w:jc w:val="right"/>
              <w:rPr>
                <w:sz w:val="20"/>
              </w:rPr>
            </w:pPr>
            <w:r w:rsidRPr="00D455EB">
              <w:rPr>
                <w:sz w:val="20"/>
              </w:rPr>
              <w:t>4,850</w:t>
            </w:r>
          </w:p>
        </w:tc>
        <w:tc>
          <w:tcPr>
            <w:tcW w:w="1188" w:type="pct"/>
          </w:tcPr>
          <w:p w:rsidR="00723BAB" w:rsidRPr="00D455EB" w:rsidRDefault="00723BAB" w:rsidP="00675F0B">
            <w:pPr>
              <w:spacing w:after="200"/>
              <w:jc w:val="right"/>
              <w:rPr>
                <w:sz w:val="20"/>
              </w:rPr>
            </w:pPr>
            <w:r w:rsidRPr="00D455EB">
              <w:rPr>
                <w:sz w:val="20"/>
              </w:rPr>
              <w:t>5,450</w:t>
            </w:r>
          </w:p>
        </w:tc>
      </w:tr>
      <w:tr w:rsidR="00723BAB" w:rsidRPr="00D455EB" w:rsidTr="001C0158">
        <w:trPr>
          <w:trHeight w:val="567"/>
        </w:trPr>
        <w:tc>
          <w:tcPr>
            <w:tcW w:w="2656" w:type="pct"/>
            <w:shd w:val="clear" w:color="auto" w:fill="4F81BD"/>
          </w:tcPr>
          <w:p w:rsidR="00723BAB" w:rsidRPr="00D455EB" w:rsidRDefault="00723BAB" w:rsidP="00675F0B">
            <w:pPr>
              <w:spacing w:after="200"/>
              <w:rPr>
                <w:b/>
                <w:sz w:val="20"/>
              </w:rPr>
            </w:pPr>
            <w:r w:rsidRPr="00D455EB">
              <w:rPr>
                <w:b/>
                <w:sz w:val="20"/>
              </w:rPr>
              <w:t>Total income from activities</w:t>
            </w:r>
          </w:p>
        </w:tc>
        <w:tc>
          <w:tcPr>
            <w:tcW w:w="1156" w:type="pct"/>
            <w:shd w:val="clear" w:color="auto" w:fill="4F81BD"/>
          </w:tcPr>
          <w:p w:rsidR="00723BAB" w:rsidRPr="00D455EB" w:rsidRDefault="00723BAB" w:rsidP="00675F0B">
            <w:pPr>
              <w:spacing w:after="200"/>
              <w:jc w:val="right"/>
              <w:rPr>
                <w:b/>
                <w:sz w:val="20"/>
              </w:rPr>
            </w:pPr>
            <w:r w:rsidRPr="00D455EB">
              <w:rPr>
                <w:b/>
                <w:sz w:val="20"/>
              </w:rPr>
              <w:t>595,455</w:t>
            </w:r>
          </w:p>
        </w:tc>
        <w:tc>
          <w:tcPr>
            <w:tcW w:w="1188" w:type="pct"/>
            <w:shd w:val="clear" w:color="auto" w:fill="4F81BD"/>
          </w:tcPr>
          <w:p w:rsidR="00723BAB" w:rsidRPr="00D455EB" w:rsidRDefault="00723BAB" w:rsidP="00675F0B">
            <w:pPr>
              <w:spacing w:after="200"/>
              <w:jc w:val="right"/>
              <w:rPr>
                <w:b/>
                <w:sz w:val="20"/>
              </w:rPr>
            </w:pPr>
            <w:r w:rsidRPr="00D455EB">
              <w:rPr>
                <w:b/>
                <w:sz w:val="20"/>
              </w:rPr>
              <w:t>735,635</w:t>
            </w:r>
          </w:p>
        </w:tc>
      </w:tr>
      <w:tr w:rsidR="00723BAB" w:rsidRPr="00D455EB" w:rsidTr="001C0158">
        <w:trPr>
          <w:trHeight w:val="567"/>
        </w:trPr>
        <w:tc>
          <w:tcPr>
            <w:tcW w:w="2656" w:type="pct"/>
            <w:shd w:val="clear" w:color="auto" w:fill="4F81BD"/>
          </w:tcPr>
          <w:p w:rsidR="00723BAB" w:rsidRPr="00D455EB" w:rsidRDefault="00723BAB" w:rsidP="00675F0B">
            <w:pPr>
              <w:spacing w:after="200"/>
              <w:rPr>
                <w:b/>
                <w:sz w:val="20"/>
              </w:rPr>
            </w:pPr>
            <w:r w:rsidRPr="00D455EB">
              <w:rPr>
                <w:b/>
                <w:sz w:val="20"/>
              </w:rPr>
              <w:t>Expenses from activities</w:t>
            </w:r>
          </w:p>
        </w:tc>
        <w:tc>
          <w:tcPr>
            <w:tcW w:w="1156" w:type="pct"/>
            <w:shd w:val="clear" w:color="auto" w:fill="4F81BD"/>
          </w:tcPr>
          <w:p w:rsidR="00723BAB" w:rsidRPr="00D455EB" w:rsidRDefault="00723BAB" w:rsidP="00675F0B">
            <w:pPr>
              <w:spacing w:after="200"/>
              <w:jc w:val="right"/>
              <w:rPr>
                <w:sz w:val="20"/>
              </w:rPr>
            </w:pPr>
          </w:p>
        </w:tc>
        <w:tc>
          <w:tcPr>
            <w:tcW w:w="1188" w:type="pct"/>
            <w:shd w:val="clear" w:color="auto" w:fill="4F81BD"/>
          </w:tcPr>
          <w:p w:rsidR="00723BAB" w:rsidRPr="00D455EB" w:rsidRDefault="00723BAB" w:rsidP="00675F0B">
            <w:pPr>
              <w:spacing w:after="200"/>
              <w:jc w:val="right"/>
              <w:rPr>
                <w:sz w:val="20"/>
              </w:rPr>
            </w:pPr>
          </w:p>
        </w:tc>
      </w:tr>
      <w:tr w:rsidR="00723BAB" w:rsidRPr="00D455EB" w:rsidTr="001C0158">
        <w:tc>
          <w:tcPr>
            <w:tcW w:w="2656" w:type="pct"/>
          </w:tcPr>
          <w:p w:rsidR="00723BAB" w:rsidRPr="00D455EB" w:rsidRDefault="00723BAB" w:rsidP="00675F0B">
            <w:pPr>
              <w:spacing w:after="200"/>
              <w:rPr>
                <w:sz w:val="20"/>
              </w:rPr>
            </w:pPr>
            <w:r w:rsidRPr="00D455EB">
              <w:rPr>
                <w:sz w:val="20"/>
              </w:rPr>
              <w:t>Costs of goods sold</w:t>
            </w:r>
          </w:p>
        </w:tc>
        <w:tc>
          <w:tcPr>
            <w:tcW w:w="1156" w:type="pct"/>
          </w:tcPr>
          <w:p w:rsidR="00723BAB" w:rsidRPr="00D455EB" w:rsidRDefault="00723BAB" w:rsidP="00675F0B">
            <w:pPr>
              <w:spacing w:after="200"/>
              <w:jc w:val="right"/>
              <w:rPr>
                <w:sz w:val="20"/>
              </w:rPr>
            </w:pPr>
            <w:r w:rsidRPr="00D455EB">
              <w:rPr>
                <w:sz w:val="20"/>
              </w:rPr>
              <w:t>340,000</w:t>
            </w:r>
          </w:p>
        </w:tc>
        <w:tc>
          <w:tcPr>
            <w:tcW w:w="1188" w:type="pct"/>
          </w:tcPr>
          <w:p w:rsidR="00723BAB" w:rsidRPr="00D455EB" w:rsidRDefault="00723BAB" w:rsidP="00675F0B">
            <w:pPr>
              <w:spacing w:after="200"/>
              <w:jc w:val="right"/>
              <w:rPr>
                <w:sz w:val="20"/>
              </w:rPr>
            </w:pPr>
            <w:r w:rsidRPr="00D455EB">
              <w:rPr>
                <w:sz w:val="20"/>
              </w:rPr>
              <w:t>425,000</w:t>
            </w:r>
          </w:p>
        </w:tc>
      </w:tr>
      <w:tr w:rsidR="00723BAB" w:rsidRPr="00D455EB" w:rsidTr="001C0158">
        <w:tc>
          <w:tcPr>
            <w:tcW w:w="2656" w:type="pct"/>
          </w:tcPr>
          <w:p w:rsidR="00723BAB" w:rsidRPr="00D455EB" w:rsidRDefault="00723BAB" w:rsidP="00675F0B">
            <w:pPr>
              <w:spacing w:after="200"/>
              <w:rPr>
                <w:sz w:val="20"/>
              </w:rPr>
            </w:pPr>
            <w:r w:rsidRPr="00D455EB">
              <w:rPr>
                <w:sz w:val="20"/>
              </w:rPr>
              <w:t>Doubtful debts</w:t>
            </w:r>
            <w:r w:rsidRPr="00D455EB">
              <w:rPr>
                <w:rStyle w:val="FootnoteReference"/>
                <w:sz w:val="20"/>
              </w:rPr>
              <w:footnoteReference w:id="26"/>
            </w:r>
          </w:p>
        </w:tc>
        <w:tc>
          <w:tcPr>
            <w:tcW w:w="1156" w:type="pct"/>
          </w:tcPr>
          <w:p w:rsidR="00723BAB" w:rsidRPr="00D455EB" w:rsidRDefault="00723BAB" w:rsidP="00675F0B">
            <w:pPr>
              <w:spacing w:after="200"/>
              <w:jc w:val="right"/>
              <w:rPr>
                <w:sz w:val="20"/>
              </w:rPr>
            </w:pPr>
            <w:r w:rsidRPr="00D455EB">
              <w:rPr>
                <w:sz w:val="20"/>
              </w:rPr>
              <w:t>3,500</w:t>
            </w:r>
          </w:p>
        </w:tc>
        <w:tc>
          <w:tcPr>
            <w:tcW w:w="1188" w:type="pct"/>
          </w:tcPr>
          <w:p w:rsidR="00723BAB" w:rsidRPr="00D455EB" w:rsidRDefault="00723BAB" w:rsidP="00675F0B">
            <w:pPr>
              <w:spacing w:after="200"/>
              <w:jc w:val="right"/>
              <w:rPr>
                <w:sz w:val="20"/>
              </w:rPr>
            </w:pPr>
            <w:r w:rsidRPr="00D455EB">
              <w:rPr>
                <w:sz w:val="20"/>
              </w:rPr>
              <w:t>2,250</w:t>
            </w:r>
          </w:p>
        </w:tc>
      </w:tr>
      <w:tr w:rsidR="00723BAB" w:rsidRPr="00D455EB" w:rsidTr="001C0158">
        <w:tc>
          <w:tcPr>
            <w:tcW w:w="2656" w:type="pct"/>
          </w:tcPr>
          <w:p w:rsidR="00723BAB" w:rsidRPr="00D455EB" w:rsidRDefault="00723BAB" w:rsidP="00675F0B">
            <w:pPr>
              <w:spacing w:after="200"/>
              <w:rPr>
                <w:sz w:val="20"/>
              </w:rPr>
            </w:pPr>
            <w:r w:rsidRPr="00D455EB">
              <w:rPr>
                <w:sz w:val="20"/>
              </w:rPr>
              <w:t>Accrued expenses</w:t>
            </w:r>
            <w:r w:rsidRPr="00D455EB">
              <w:rPr>
                <w:rStyle w:val="FootnoteReference"/>
                <w:sz w:val="20"/>
              </w:rPr>
              <w:footnoteReference w:id="27"/>
            </w:r>
          </w:p>
        </w:tc>
        <w:tc>
          <w:tcPr>
            <w:tcW w:w="1156" w:type="pct"/>
          </w:tcPr>
          <w:p w:rsidR="00723BAB" w:rsidRPr="00D455EB" w:rsidRDefault="00723BAB" w:rsidP="00675F0B">
            <w:pPr>
              <w:spacing w:after="200"/>
              <w:jc w:val="right"/>
              <w:rPr>
                <w:sz w:val="20"/>
              </w:rPr>
            </w:pPr>
            <w:r w:rsidRPr="00D455EB">
              <w:rPr>
                <w:sz w:val="20"/>
              </w:rPr>
              <w:t>25,000</w:t>
            </w:r>
          </w:p>
        </w:tc>
        <w:tc>
          <w:tcPr>
            <w:tcW w:w="1188" w:type="pct"/>
          </w:tcPr>
          <w:p w:rsidR="00723BAB" w:rsidRPr="00D455EB" w:rsidRDefault="00723BAB" w:rsidP="00675F0B">
            <w:pPr>
              <w:spacing w:after="200"/>
              <w:jc w:val="right"/>
              <w:rPr>
                <w:sz w:val="20"/>
              </w:rPr>
            </w:pPr>
            <w:r w:rsidRPr="00D455EB">
              <w:rPr>
                <w:sz w:val="20"/>
              </w:rPr>
              <w:t>30,000</w:t>
            </w:r>
          </w:p>
        </w:tc>
      </w:tr>
      <w:tr w:rsidR="00723BAB" w:rsidRPr="00D455EB" w:rsidTr="001C0158">
        <w:tc>
          <w:tcPr>
            <w:tcW w:w="2656" w:type="pct"/>
          </w:tcPr>
          <w:p w:rsidR="00723BAB" w:rsidRPr="00D455EB" w:rsidRDefault="00723BAB" w:rsidP="00675F0B">
            <w:pPr>
              <w:spacing w:after="200"/>
              <w:rPr>
                <w:sz w:val="20"/>
              </w:rPr>
            </w:pPr>
            <w:r w:rsidRPr="00D455EB">
              <w:rPr>
                <w:sz w:val="20"/>
              </w:rPr>
              <w:t>Legal expenses</w:t>
            </w:r>
          </w:p>
        </w:tc>
        <w:tc>
          <w:tcPr>
            <w:tcW w:w="1156" w:type="pct"/>
          </w:tcPr>
          <w:p w:rsidR="00723BAB" w:rsidRPr="00D455EB" w:rsidRDefault="00723BAB" w:rsidP="00675F0B">
            <w:pPr>
              <w:spacing w:after="200"/>
              <w:jc w:val="right"/>
              <w:rPr>
                <w:sz w:val="20"/>
              </w:rPr>
            </w:pPr>
            <w:r w:rsidRPr="00D455EB">
              <w:rPr>
                <w:sz w:val="20"/>
              </w:rPr>
              <w:t>0</w:t>
            </w:r>
          </w:p>
        </w:tc>
        <w:tc>
          <w:tcPr>
            <w:tcW w:w="1188" w:type="pct"/>
          </w:tcPr>
          <w:p w:rsidR="00723BAB" w:rsidRPr="00D455EB" w:rsidRDefault="00723BAB" w:rsidP="00675F0B">
            <w:pPr>
              <w:spacing w:after="200"/>
              <w:jc w:val="right"/>
              <w:rPr>
                <w:sz w:val="20"/>
              </w:rPr>
            </w:pPr>
            <w:r w:rsidRPr="00416428">
              <w:rPr>
                <w:sz w:val="20"/>
              </w:rPr>
              <w:t>60,000</w:t>
            </w:r>
          </w:p>
        </w:tc>
      </w:tr>
      <w:tr w:rsidR="00723BAB" w:rsidRPr="00D455EB" w:rsidTr="001C0158">
        <w:tc>
          <w:tcPr>
            <w:tcW w:w="2656" w:type="pct"/>
          </w:tcPr>
          <w:p w:rsidR="00723BAB" w:rsidRPr="00D455EB" w:rsidRDefault="00723BAB" w:rsidP="00675F0B">
            <w:pPr>
              <w:spacing w:after="200"/>
              <w:rPr>
                <w:sz w:val="20"/>
              </w:rPr>
            </w:pPr>
            <w:r w:rsidRPr="00D455EB">
              <w:rPr>
                <w:sz w:val="20"/>
              </w:rPr>
              <w:t>Depreciation expense</w:t>
            </w:r>
            <w:r w:rsidRPr="00D455EB">
              <w:rPr>
                <w:rStyle w:val="FootnoteReference"/>
                <w:sz w:val="20"/>
              </w:rPr>
              <w:footnoteReference w:id="28"/>
            </w:r>
          </w:p>
        </w:tc>
        <w:tc>
          <w:tcPr>
            <w:tcW w:w="1156" w:type="pct"/>
          </w:tcPr>
          <w:p w:rsidR="00723BAB" w:rsidRPr="00D455EB" w:rsidRDefault="00723BAB" w:rsidP="00675F0B">
            <w:pPr>
              <w:spacing w:after="200"/>
              <w:jc w:val="right"/>
              <w:rPr>
                <w:sz w:val="20"/>
              </w:rPr>
            </w:pPr>
            <w:r w:rsidRPr="00D455EB">
              <w:rPr>
                <w:sz w:val="20"/>
              </w:rPr>
              <w:t>15,000</w:t>
            </w:r>
          </w:p>
        </w:tc>
        <w:tc>
          <w:tcPr>
            <w:tcW w:w="1188" w:type="pct"/>
          </w:tcPr>
          <w:p w:rsidR="00723BAB" w:rsidRPr="00D455EB" w:rsidRDefault="00723BAB" w:rsidP="00675F0B">
            <w:pPr>
              <w:spacing w:after="200"/>
              <w:jc w:val="right"/>
              <w:rPr>
                <w:sz w:val="20"/>
              </w:rPr>
            </w:pPr>
            <w:r w:rsidRPr="00D455EB">
              <w:rPr>
                <w:sz w:val="20"/>
              </w:rPr>
              <w:t>15,000</w:t>
            </w:r>
          </w:p>
        </w:tc>
      </w:tr>
      <w:tr w:rsidR="00723BAB" w:rsidRPr="00D455EB" w:rsidTr="001C0158">
        <w:trPr>
          <w:trHeight w:val="567"/>
        </w:trPr>
        <w:tc>
          <w:tcPr>
            <w:tcW w:w="2656" w:type="pct"/>
            <w:shd w:val="clear" w:color="auto" w:fill="4F81BD"/>
          </w:tcPr>
          <w:p w:rsidR="00723BAB" w:rsidRPr="00D455EB" w:rsidRDefault="00723BAB" w:rsidP="00ED2CEF">
            <w:pPr>
              <w:spacing w:after="200"/>
              <w:rPr>
                <w:b/>
                <w:sz w:val="20"/>
              </w:rPr>
            </w:pPr>
            <w:r w:rsidRPr="00D455EB">
              <w:rPr>
                <w:b/>
                <w:sz w:val="20"/>
              </w:rPr>
              <w:t>Expenses from activities</w:t>
            </w:r>
          </w:p>
        </w:tc>
        <w:tc>
          <w:tcPr>
            <w:tcW w:w="1156" w:type="pct"/>
            <w:shd w:val="clear" w:color="auto" w:fill="4F81BD"/>
          </w:tcPr>
          <w:p w:rsidR="00723BAB" w:rsidRPr="00D455EB" w:rsidRDefault="00723BAB" w:rsidP="00ED2CEF">
            <w:pPr>
              <w:spacing w:after="200"/>
              <w:jc w:val="right"/>
              <w:rPr>
                <w:sz w:val="20"/>
              </w:rPr>
            </w:pPr>
          </w:p>
        </w:tc>
        <w:tc>
          <w:tcPr>
            <w:tcW w:w="1188" w:type="pct"/>
            <w:shd w:val="clear" w:color="auto" w:fill="4F81BD"/>
          </w:tcPr>
          <w:p w:rsidR="00723BAB" w:rsidRPr="00D455EB" w:rsidRDefault="00723BAB" w:rsidP="00ED2CEF">
            <w:pPr>
              <w:spacing w:after="200"/>
              <w:jc w:val="right"/>
              <w:rPr>
                <w:sz w:val="20"/>
              </w:rPr>
            </w:pPr>
          </w:p>
        </w:tc>
      </w:tr>
      <w:tr w:rsidR="00723BAB" w:rsidRPr="00D455EB" w:rsidTr="001C0158">
        <w:tc>
          <w:tcPr>
            <w:tcW w:w="2656" w:type="pct"/>
          </w:tcPr>
          <w:p w:rsidR="00723BAB" w:rsidRPr="00D455EB" w:rsidRDefault="00723BAB" w:rsidP="00675F0B">
            <w:pPr>
              <w:spacing w:after="200"/>
              <w:rPr>
                <w:sz w:val="20"/>
              </w:rPr>
            </w:pPr>
            <w:r w:rsidRPr="00D455EB">
              <w:rPr>
                <w:sz w:val="20"/>
              </w:rPr>
              <w:t>Salary and wages</w:t>
            </w:r>
            <w:r w:rsidRPr="00D455EB">
              <w:rPr>
                <w:rStyle w:val="FootnoteReference"/>
                <w:sz w:val="20"/>
              </w:rPr>
              <w:footnoteReference w:id="29"/>
            </w:r>
          </w:p>
        </w:tc>
        <w:tc>
          <w:tcPr>
            <w:tcW w:w="1156" w:type="pct"/>
          </w:tcPr>
          <w:p w:rsidR="00723BAB" w:rsidRPr="00D455EB" w:rsidRDefault="00723BAB" w:rsidP="00675F0B">
            <w:pPr>
              <w:spacing w:after="200"/>
              <w:jc w:val="right"/>
              <w:rPr>
                <w:sz w:val="20"/>
              </w:rPr>
            </w:pPr>
            <w:r w:rsidRPr="00D455EB">
              <w:rPr>
                <w:sz w:val="20"/>
              </w:rPr>
              <w:t>65,000</w:t>
            </w:r>
          </w:p>
        </w:tc>
        <w:tc>
          <w:tcPr>
            <w:tcW w:w="1188" w:type="pct"/>
          </w:tcPr>
          <w:p w:rsidR="00723BAB" w:rsidRPr="00D455EB" w:rsidRDefault="00723BAB" w:rsidP="00675F0B">
            <w:pPr>
              <w:spacing w:after="200"/>
              <w:jc w:val="right"/>
              <w:rPr>
                <w:sz w:val="20"/>
              </w:rPr>
            </w:pPr>
            <w:r w:rsidRPr="00D455EB">
              <w:rPr>
                <w:sz w:val="20"/>
              </w:rPr>
              <w:t>70,000</w:t>
            </w:r>
          </w:p>
        </w:tc>
      </w:tr>
      <w:tr w:rsidR="00723BAB" w:rsidRPr="00D455EB" w:rsidTr="001C0158">
        <w:trPr>
          <w:trHeight w:val="510"/>
        </w:trPr>
        <w:tc>
          <w:tcPr>
            <w:tcW w:w="2656" w:type="pct"/>
          </w:tcPr>
          <w:p w:rsidR="00723BAB" w:rsidRPr="00D455EB" w:rsidRDefault="00723BAB" w:rsidP="00675F0B">
            <w:pPr>
              <w:spacing w:after="200"/>
              <w:rPr>
                <w:sz w:val="20"/>
              </w:rPr>
            </w:pPr>
            <w:r w:rsidRPr="00D455EB">
              <w:rPr>
                <w:sz w:val="20"/>
              </w:rPr>
              <w:t>Other expenses</w:t>
            </w:r>
            <w:r w:rsidRPr="00D455EB">
              <w:rPr>
                <w:rStyle w:val="FootnoteReference"/>
                <w:sz w:val="20"/>
              </w:rPr>
              <w:footnoteReference w:id="30"/>
            </w:r>
          </w:p>
        </w:tc>
        <w:tc>
          <w:tcPr>
            <w:tcW w:w="1156" w:type="pct"/>
          </w:tcPr>
          <w:p w:rsidR="00723BAB" w:rsidRPr="00D455EB" w:rsidRDefault="00723BAB" w:rsidP="00675F0B">
            <w:pPr>
              <w:spacing w:after="200"/>
              <w:jc w:val="right"/>
              <w:rPr>
                <w:sz w:val="20"/>
              </w:rPr>
            </w:pPr>
            <w:r w:rsidRPr="00D455EB">
              <w:rPr>
                <w:sz w:val="20"/>
              </w:rPr>
              <w:t>105,000</w:t>
            </w:r>
          </w:p>
        </w:tc>
        <w:tc>
          <w:tcPr>
            <w:tcW w:w="1188" w:type="pct"/>
          </w:tcPr>
          <w:p w:rsidR="00723BAB" w:rsidRPr="00D455EB" w:rsidRDefault="00723BAB" w:rsidP="00675F0B">
            <w:pPr>
              <w:spacing w:after="200"/>
              <w:jc w:val="right"/>
              <w:rPr>
                <w:sz w:val="20"/>
              </w:rPr>
            </w:pPr>
            <w:r w:rsidRPr="00D455EB">
              <w:rPr>
                <w:sz w:val="20"/>
              </w:rPr>
              <w:t>120,000</w:t>
            </w:r>
          </w:p>
        </w:tc>
      </w:tr>
      <w:tr w:rsidR="00723BAB" w:rsidRPr="00D455EB" w:rsidTr="001C0158">
        <w:trPr>
          <w:trHeight w:val="567"/>
        </w:trPr>
        <w:tc>
          <w:tcPr>
            <w:tcW w:w="2656" w:type="pct"/>
            <w:shd w:val="clear" w:color="auto" w:fill="4F81BD"/>
          </w:tcPr>
          <w:p w:rsidR="00723BAB" w:rsidRPr="00D455EB" w:rsidRDefault="00723BAB" w:rsidP="00675F0B">
            <w:pPr>
              <w:spacing w:after="200"/>
              <w:rPr>
                <w:b/>
                <w:sz w:val="20"/>
              </w:rPr>
            </w:pPr>
            <w:r w:rsidRPr="00D455EB">
              <w:rPr>
                <w:b/>
                <w:sz w:val="20"/>
              </w:rPr>
              <w:t>Total expenses from activities</w:t>
            </w:r>
          </w:p>
        </w:tc>
        <w:tc>
          <w:tcPr>
            <w:tcW w:w="1156" w:type="pct"/>
            <w:shd w:val="clear" w:color="auto" w:fill="4F81BD"/>
          </w:tcPr>
          <w:p w:rsidR="00723BAB" w:rsidRPr="00D455EB" w:rsidRDefault="00723BAB" w:rsidP="00675F0B">
            <w:pPr>
              <w:spacing w:after="200"/>
              <w:jc w:val="right"/>
              <w:rPr>
                <w:b/>
                <w:sz w:val="20"/>
              </w:rPr>
            </w:pPr>
            <w:r w:rsidRPr="00D455EB">
              <w:rPr>
                <w:b/>
                <w:sz w:val="20"/>
              </w:rPr>
              <w:t>553,500</w:t>
            </w:r>
          </w:p>
        </w:tc>
        <w:tc>
          <w:tcPr>
            <w:tcW w:w="1188" w:type="pct"/>
            <w:shd w:val="clear" w:color="auto" w:fill="4F81BD"/>
          </w:tcPr>
          <w:p w:rsidR="00723BAB" w:rsidRPr="00D455EB" w:rsidRDefault="00723BAB" w:rsidP="00675F0B">
            <w:pPr>
              <w:spacing w:after="200"/>
              <w:jc w:val="right"/>
              <w:rPr>
                <w:b/>
                <w:sz w:val="20"/>
              </w:rPr>
            </w:pPr>
            <w:r w:rsidRPr="00D455EB">
              <w:rPr>
                <w:b/>
                <w:sz w:val="20"/>
              </w:rPr>
              <w:t>722,250</w:t>
            </w:r>
          </w:p>
        </w:tc>
      </w:tr>
      <w:tr w:rsidR="00723BAB" w:rsidRPr="00D455EB" w:rsidTr="001C0158">
        <w:tc>
          <w:tcPr>
            <w:tcW w:w="2656" w:type="pct"/>
            <w:shd w:val="clear" w:color="auto" w:fill="4F81BD"/>
          </w:tcPr>
          <w:p w:rsidR="00723BAB" w:rsidRPr="00D455EB" w:rsidRDefault="00723BAB" w:rsidP="00675F0B">
            <w:pPr>
              <w:spacing w:after="200"/>
              <w:rPr>
                <w:b/>
                <w:sz w:val="20"/>
              </w:rPr>
            </w:pPr>
            <w:r w:rsidRPr="00D455EB">
              <w:rPr>
                <w:b/>
                <w:sz w:val="20"/>
              </w:rPr>
              <w:t>Total profit/(loss)</w:t>
            </w:r>
          </w:p>
        </w:tc>
        <w:tc>
          <w:tcPr>
            <w:tcW w:w="1156" w:type="pct"/>
            <w:shd w:val="clear" w:color="auto" w:fill="4F81BD"/>
          </w:tcPr>
          <w:p w:rsidR="00723BAB" w:rsidRPr="00D455EB" w:rsidRDefault="00723BAB" w:rsidP="00675F0B">
            <w:pPr>
              <w:spacing w:after="200"/>
              <w:jc w:val="right"/>
              <w:rPr>
                <w:b/>
                <w:sz w:val="20"/>
              </w:rPr>
            </w:pPr>
            <w:r w:rsidRPr="00D455EB">
              <w:rPr>
                <w:b/>
                <w:sz w:val="20"/>
              </w:rPr>
              <w:t>41,955</w:t>
            </w:r>
          </w:p>
        </w:tc>
        <w:tc>
          <w:tcPr>
            <w:tcW w:w="1188" w:type="pct"/>
            <w:shd w:val="clear" w:color="auto" w:fill="4F81BD"/>
          </w:tcPr>
          <w:p w:rsidR="00723BAB" w:rsidRPr="00D455EB" w:rsidRDefault="00723BAB" w:rsidP="00675F0B">
            <w:pPr>
              <w:spacing w:after="200"/>
              <w:jc w:val="right"/>
              <w:rPr>
                <w:b/>
                <w:sz w:val="20"/>
              </w:rPr>
            </w:pPr>
            <w:r w:rsidRPr="00D455EB">
              <w:rPr>
                <w:b/>
                <w:sz w:val="20"/>
              </w:rPr>
              <w:t>13,385</w:t>
            </w:r>
          </w:p>
        </w:tc>
      </w:tr>
    </w:tbl>
    <w:p w:rsidR="00723BAB" w:rsidRDefault="00723BAB">
      <w:pPr>
        <w:spacing w:after="0" w:line="240" w:lineRule="auto"/>
        <w:rPr>
          <w:rFonts w:ascii="Cambria" w:hAnsi="Cambria" w:cs="Arial"/>
          <w:bCs/>
          <w:color w:val="4F81BD"/>
          <w:sz w:val="26"/>
          <w:szCs w:val="26"/>
        </w:rPr>
      </w:pPr>
      <w:r>
        <w:br w:type="page"/>
      </w:r>
    </w:p>
    <w:p w:rsidR="00723BAB" w:rsidRDefault="00723BAB" w:rsidP="00675F0B">
      <w:pPr>
        <w:pStyle w:val="Heading3"/>
        <w:spacing w:before="360"/>
        <w:ind w:left="567" w:hanging="567"/>
        <w:rPr>
          <w:szCs w:val="24"/>
          <w:lang w:eastAsia="en-US"/>
        </w:rPr>
      </w:pPr>
      <w:r>
        <w:t>Applying the EBM</w:t>
      </w:r>
    </w:p>
    <w:p w:rsidR="007D6D8C" w:rsidRDefault="00723BAB" w:rsidP="007D6D8C">
      <w:pPr>
        <w:pStyle w:val="Heading4"/>
      </w:pPr>
      <w:r>
        <w:t xml:space="preserve">1. </w:t>
      </w:r>
      <w:r w:rsidR="007D6D8C">
        <w:t>Calculate the trust’s taxable income as if the trust is a resident taxpayer.</w:t>
      </w:r>
    </w:p>
    <w:p w:rsidR="00723BAB" w:rsidRDefault="00723BAB" w:rsidP="00675F0B">
      <w:r>
        <w:t xml:space="preserve">For the relevant income years, Colour Trust makes a number of adjustments to its profit and loss amount to determine its taxable income. </w:t>
      </w:r>
    </w:p>
    <w:p w:rsidR="00723BAB" w:rsidRPr="00847383" w:rsidRDefault="00723BAB" w:rsidP="000B7A87">
      <w:pPr>
        <w:pStyle w:val="Heading6"/>
      </w:pPr>
      <w:r>
        <w:t>Table 2:</w:t>
      </w:r>
    </w:p>
    <w:tbl>
      <w:tblPr>
        <w:tblW w:w="5000" w:type="pct"/>
        <w:tblLook w:val="00A0" w:firstRow="1" w:lastRow="0" w:firstColumn="1" w:lastColumn="0" w:noHBand="0" w:noVBand="0"/>
      </w:tblPr>
      <w:tblGrid>
        <w:gridCol w:w="5089"/>
        <w:gridCol w:w="2214"/>
        <w:gridCol w:w="2273"/>
      </w:tblGrid>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rPr>
                <w:rFonts w:cs="Calibri"/>
                <w:sz w:val="20"/>
              </w:rPr>
            </w:pPr>
            <w:r w:rsidRPr="00D455EB">
              <w:rPr>
                <w:rFonts w:cs="Calibri"/>
                <w:b/>
                <w:bCs/>
                <w:sz w:val="20"/>
              </w:rPr>
              <w:t>Total profit/(loss)</w:t>
            </w:r>
          </w:p>
        </w:tc>
        <w:tc>
          <w:tcPr>
            <w:tcW w:w="115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jc w:val="right"/>
              <w:rPr>
                <w:rFonts w:cs="Calibri"/>
                <w:b/>
                <w:bCs/>
                <w:sz w:val="20"/>
                <w:lang w:eastAsia="en-US"/>
              </w:rPr>
            </w:pPr>
            <w:r w:rsidRPr="00D455EB">
              <w:rPr>
                <w:rFonts w:cs="Calibri"/>
                <w:b/>
                <w:bCs/>
                <w:sz w:val="20"/>
              </w:rPr>
              <w:t>41,955</w:t>
            </w:r>
          </w:p>
        </w:tc>
        <w:tc>
          <w:tcPr>
            <w:tcW w:w="1187"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jc w:val="right"/>
              <w:rPr>
                <w:rFonts w:cs="Calibri"/>
                <w:b/>
                <w:bCs/>
                <w:sz w:val="20"/>
                <w:lang w:eastAsia="en-US"/>
              </w:rPr>
            </w:pPr>
            <w:r w:rsidRPr="00D455EB">
              <w:rPr>
                <w:rFonts w:cs="Calibri"/>
                <w:b/>
                <w:bCs/>
                <w:sz w:val="20"/>
              </w:rPr>
              <w:t>13,385</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rPr>
            </w:pPr>
            <w:r w:rsidRPr="00D455EB">
              <w:rPr>
                <w:rFonts w:cs="Calibri"/>
                <w:sz w:val="20"/>
              </w:rPr>
              <w:t>Franking Credits</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rPr>
            </w:pPr>
            <w:r w:rsidRPr="00D455EB">
              <w:rPr>
                <w:rFonts w:cs="Calibri"/>
                <w:sz w:val="20"/>
              </w:rPr>
              <w:t>4,545</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rPr>
            </w:pPr>
            <w:r w:rsidRPr="00D455EB">
              <w:rPr>
                <w:rFonts w:cs="Calibri"/>
                <w:sz w:val="20"/>
              </w:rPr>
              <w:t>4,365</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Trading stock — market selling adjustment (s.70</w:t>
            </w:r>
            <w:r w:rsidRPr="00D455EB">
              <w:rPr>
                <w:rFonts w:cs="Calibri"/>
                <w:sz w:val="20"/>
              </w:rPr>
              <w:noBreakHyphen/>
              <w:t>40)</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10,000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(10,000)</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Provision for doubtful debts (not deductible)</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2,000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1,000</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Accrued expenses (not deductible)</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25,000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5,000</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Legal expenses capital (not deductible)</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AF4219">
            <w:pPr>
              <w:spacing w:after="200" w:line="276" w:lineRule="auto"/>
              <w:jc w:val="right"/>
              <w:rPr>
                <w:rFonts w:cs="Calibri"/>
                <w:sz w:val="20"/>
                <w:lang w:eastAsia="en-US"/>
              </w:rPr>
            </w:pPr>
            <w:r w:rsidRPr="00D455EB">
              <w:rPr>
                <w:rFonts w:cs="Calibri"/>
                <w:sz w:val="20"/>
                <w:lang w:eastAsia="en-US"/>
              </w:rPr>
              <w:t>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60,000</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Tax depreciation</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(75,000)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(37,500)</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Accounting depreciation</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15,000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15,000</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Accrued interest income</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(4,850)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(5,450)</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rPr>
                <w:rFonts w:cs="Calibri"/>
                <w:sz w:val="20"/>
                <w:lang w:eastAsia="en-US"/>
              </w:rPr>
            </w:pPr>
            <w:r w:rsidRPr="00D455EB">
              <w:rPr>
                <w:rFonts w:cs="Calibri"/>
                <w:sz w:val="20"/>
              </w:rPr>
              <w:t>Interest received</w:t>
            </w:r>
          </w:p>
        </w:tc>
        <w:tc>
          <w:tcPr>
            <w:tcW w:w="1156" w:type="pct"/>
            <w:tcBorders>
              <w:top w:val="single" w:sz="4" w:space="0" w:color="auto"/>
              <w:left w:val="single" w:sz="4" w:space="0" w:color="auto"/>
              <w:bottom w:val="single" w:sz="4" w:space="0" w:color="auto"/>
              <w:right w:val="single" w:sz="4" w:space="0" w:color="auto"/>
            </w:tcBorders>
            <w:noWrap/>
          </w:tcPr>
          <w:p w:rsidR="00723BAB" w:rsidRPr="00D455EB" w:rsidRDefault="00723BAB" w:rsidP="00AF4219">
            <w:pPr>
              <w:spacing w:after="200" w:line="276" w:lineRule="auto"/>
              <w:jc w:val="right"/>
              <w:rPr>
                <w:rFonts w:cs="Calibri"/>
                <w:sz w:val="20"/>
                <w:lang w:eastAsia="en-US"/>
              </w:rPr>
            </w:pPr>
            <w:r w:rsidRPr="00D455EB">
              <w:rPr>
                <w:rFonts w:cs="Calibri"/>
                <w:sz w:val="20"/>
              </w:rPr>
              <w:t>0</w:t>
            </w:r>
          </w:p>
        </w:tc>
        <w:tc>
          <w:tcPr>
            <w:tcW w:w="118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spacing w:after="200" w:line="276" w:lineRule="auto"/>
              <w:jc w:val="right"/>
              <w:rPr>
                <w:rFonts w:cs="Calibri"/>
                <w:sz w:val="20"/>
                <w:lang w:eastAsia="en-US"/>
              </w:rPr>
            </w:pPr>
            <w:r w:rsidRPr="00D455EB">
              <w:rPr>
                <w:rFonts w:cs="Calibri"/>
                <w:sz w:val="20"/>
              </w:rPr>
              <w:t>4,850</w:t>
            </w:r>
          </w:p>
        </w:tc>
      </w:tr>
      <w:tr w:rsidR="00723BAB" w:rsidRPr="00D455EB" w:rsidTr="001C0158">
        <w:trPr>
          <w:trHeight w:val="624"/>
        </w:trPr>
        <w:tc>
          <w:tcPr>
            <w:tcW w:w="2657"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rPr>
                <w:rFonts w:cs="Calibri"/>
                <w:b/>
                <w:bCs/>
                <w:sz w:val="20"/>
              </w:rPr>
            </w:pPr>
            <w:r w:rsidRPr="00D455EB">
              <w:rPr>
                <w:rFonts w:cs="Calibri"/>
                <w:b/>
                <w:bCs/>
                <w:sz w:val="20"/>
              </w:rPr>
              <w:t>Total tax adjustments</w:t>
            </w:r>
          </w:p>
        </w:tc>
        <w:tc>
          <w:tcPr>
            <w:tcW w:w="115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jc w:val="right"/>
              <w:rPr>
                <w:rFonts w:cs="Calibri"/>
                <w:b/>
                <w:bCs/>
                <w:sz w:val="20"/>
                <w:lang w:eastAsia="en-US"/>
              </w:rPr>
            </w:pPr>
            <w:r w:rsidRPr="00D455EB">
              <w:rPr>
                <w:rFonts w:cs="Calibri"/>
                <w:b/>
                <w:bCs/>
                <w:sz w:val="20"/>
              </w:rPr>
              <w:t>(23,305)</w:t>
            </w:r>
          </w:p>
        </w:tc>
        <w:tc>
          <w:tcPr>
            <w:tcW w:w="1187"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jc w:val="right"/>
              <w:rPr>
                <w:rFonts w:cs="Calibri"/>
                <w:b/>
                <w:bCs/>
                <w:sz w:val="20"/>
                <w:lang w:eastAsia="en-US"/>
              </w:rPr>
            </w:pPr>
            <w:r w:rsidRPr="00D455EB">
              <w:rPr>
                <w:rFonts w:cs="Calibri"/>
                <w:b/>
                <w:bCs/>
                <w:sz w:val="20"/>
              </w:rPr>
              <w:t>37,265</w:t>
            </w:r>
          </w:p>
        </w:tc>
      </w:tr>
      <w:tr w:rsidR="00723BAB" w:rsidRPr="00D455EB" w:rsidTr="001C0158">
        <w:trPr>
          <w:trHeight w:val="278"/>
        </w:trPr>
        <w:tc>
          <w:tcPr>
            <w:tcW w:w="2657"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rPr>
                <w:rFonts w:cs="Calibri"/>
                <w:sz w:val="20"/>
              </w:rPr>
            </w:pPr>
            <w:r w:rsidRPr="00D455EB">
              <w:rPr>
                <w:rFonts w:cs="Calibri"/>
                <w:b/>
                <w:bCs/>
                <w:sz w:val="20"/>
              </w:rPr>
              <w:t>Total taxable income/(loss)</w:t>
            </w:r>
          </w:p>
        </w:tc>
        <w:tc>
          <w:tcPr>
            <w:tcW w:w="115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jc w:val="right"/>
              <w:rPr>
                <w:rFonts w:cs="Calibri"/>
                <w:b/>
                <w:bCs/>
                <w:sz w:val="20"/>
                <w:lang w:eastAsia="en-US"/>
              </w:rPr>
            </w:pPr>
            <w:r w:rsidRPr="00D455EB">
              <w:rPr>
                <w:rFonts w:cs="Calibri"/>
                <w:b/>
                <w:bCs/>
                <w:sz w:val="20"/>
              </w:rPr>
              <w:t xml:space="preserve">18,650 </w:t>
            </w:r>
          </w:p>
        </w:tc>
        <w:tc>
          <w:tcPr>
            <w:tcW w:w="1187"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line="276" w:lineRule="auto"/>
              <w:jc w:val="right"/>
              <w:rPr>
                <w:rFonts w:cs="Calibri"/>
                <w:b/>
                <w:bCs/>
                <w:sz w:val="20"/>
                <w:lang w:eastAsia="en-US"/>
              </w:rPr>
            </w:pPr>
            <w:r w:rsidRPr="00D455EB">
              <w:rPr>
                <w:rFonts w:cs="Calibri"/>
                <w:b/>
                <w:bCs/>
                <w:sz w:val="20"/>
              </w:rPr>
              <w:t xml:space="preserve">50,650 </w:t>
            </w:r>
          </w:p>
        </w:tc>
      </w:tr>
    </w:tbl>
    <w:p w:rsidR="00723BAB" w:rsidRDefault="00723BAB" w:rsidP="00675F0B">
      <w:pPr>
        <w:spacing w:before="240"/>
      </w:pPr>
      <w:r>
        <w:t>The Colour Trust has taxable income of $18,650 for 20X1 and $50,650 for 20X2.</w:t>
      </w:r>
    </w:p>
    <w:p w:rsidR="00723BAB" w:rsidRDefault="00723BAB" w:rsidP="00675F0B">
      <w:pPr>
        <w:pStyle w:val="Heading4"/>
      </w:pPr>
      <w:r>
        <w:br w:type="page"/>
        <w:t>2. Identify the components of the trust’s taxable income</w:t>
      </w:r>
      <w:r w:rsidR="007D6D8C">
        <w:t>.</w:t>
      </w:r>
    </w:p>
    <w:p w:rsidR="00723BAB" w:rsidRDefault="00D63A75" w:rsidP="00675F0B">
      <w:r>
        <w:t xml:space="preserve">Deductions have been allocated on a fair and reasonable basis </w:t>
      </w:r>
      <w:r w:rsidR="007D6D8C">
        <w:t>in the following way</w:t>
      </w:r>
      <w:r w:rsidR="00723BAB">
        <w:t>:</w:t>
      </w:r>
    </w:p>
    <w:p w:rsidR="00723BAB" w:rsidRPr="000F5A17" w:rsidRDefault="00723BAB" w:rsidP="00675F0B">
      <w:pPr>
        <w:pStyle w:val="Bullet"/>
        <w:rPr>
          <w:sz w:val="22"/>
          <w:szCs w:val="22"/>
        </w:rPr>
      </w:pPr>
      <w:r w:rsidRPr="000F5A17">
        <w:rPr>
          <w:sz w:val="22"/>
          <w:szCs w:val="22"/>
        </w:rPr>
        <w:t>The cost of goods sold and bad debts written off have been applied against the assessable business income of the trust, as those expenses relate to that particular type of income.</w:t>
      </w:r>
    </w:p>
    <w:p w:rsidR="00723BAB" w:rsidRPr="000F5A17" w:rsidRDefault="00723BAB" w:rsidP="00675F0B">
      <w:pPr>
        <w:pStyle w:val="Bullet"/>
        <w:rPr>
          <w:sz w:val="22"/>
          <w:szCs w:val="22"/>
        </w:rPr>
      </w:pPr>
      <w:r w:rsidRPr="000F5A17">
        <w:rPr>
          <w:sz w:val="22"/>
          <w:szCs w:val="22"/>
        </w:rPr>
        <w:t>All other deductions have been treated as general deductions and have been allocated against all components of assessable income. In this case, this has been based on the proportion that each assessable income amount (net of related deductions) bears to the total assessable income of the trust.</w:t>
      </w:r>
    </w:p>
    <w:p w:rsidR="00723BAB" w:rsidRPr="000F5A17" w:rsidRDefault="00723BAB" w:rsidP="00675F0B">
      <w:pPr>
        <w:pStyle w:val="Bullet"/>
        <w:rPr>
          <w:sz w:val="22"/>
          <w:szCs w:val="22"/>
        </w:rPr>
      </w:pPr>
      <w:r w:rsidRPr="000F5A17">
        <w:rPr>
          <w:sz w:val="22"/>
          <w:szCs w:val="22"/>
        </w:rPr>
        <w:t xml:space="preserve">General deductions </w:t>
      </w:r>
      <w:r w:rsidR="000F5A17">
        <w:rPr>
          <w:sz w:val="22"/>
          <w:szCs w:val="22"/>
        </w:rPr>
        <w:t>have</w:t>
      </w:r>
      <w:r w:rsidRPr="000F5A17">
        <w:rPr>
          <w:sz w:val="22"/>
          <w:szCs w:val="22"/>
        </w:rPr>
        <w:t xml:space="preserve"> not</w:t>
      </w:r>
      <w:r w:rsidR="000F5A17">
        <w:rPr>
          <w:sz w:val="22"/>
          <w:szCs w:val="22"/>
        </w:rPr>
        <w:t xml:space="preserve"> been</w:t>
      </w:r>
      <w:r w:rsidRPr="000F5A17">
        <w:rPr>
          <w:sz w:val="22"/>
          <w:szCs w:val="22"/>
        </w:rPr>
        <w:t xml:space="preserve"> applied to reduce the assessable gross up on a franked distribution — to the extent possible.</w:t>
      </w:r>
    </w:p>
    <w:p w:rsidR="00723BAB" w:rsidRDefault="00723BAB" w:rsidP="00675F0B">
      <w:r>
        <w:t>The following tables demonstrate the calculation of the Colour Trust’s taxable income after the allocation of deductions against the components of assessable income:</w:t>
      </w:r>
    </w:p>
    <w:p w:rsidR="00723BAB" w:rsidRDefault="00723BAB" w:rsidP="000B7A87">
      <w:pPr>
        <w:pStyle w:val="Heading6"/>
      </w:pPr>
      <w:r>
        <w:t>Tab</w:t>
      </w:r>
      <w:r w:rsidRPr="00702D3C">
        <w:t>l</w:t>
      </w:r>
      <w:r>
        <w:t>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896"/>
        <w:gridCol w:w="1896"/>
        <w:gridCol w:w="1896"/>
      </w:tblGrid>
      <w:tr w:rsidR="00723BAB" w:rsidRPr="00D455EB" w:rsidTr="001C0158">
        <w:tc>
          <w:tcPr>
            <w:tcW w:w="2030" w:type="pct"/>
            <w:shd w:val="clear" w:color="auto" w:fill="4F81BD"/>
          </w:tcPr>
          <w:p w:rsidR="00723BAB" w:rsidRPr="00D455EB" w:rsidRDefault="00723BAB" w:rsidP="00675F0B">
            <w:pPr>
              <w:spacing w:after="160"/>
              <w:rPr>
                <w:b/>
                <w:sz w:val="20"/>
              </w:rPr>
            </w:pPr>
            <w:r w:rsidRPr="00D455EB">
              <w:rPr>
                <w:rFonts w:cs="Calibri"/>
                <w:b/>
                <w:bCs/>
                <w:sz w:val="20"/>
              </w:rPr>
              <w:t>20X1 Taxable income components net of related deductions</w:t>
            </w:r>
          </w:p>
        </w:tc>
        <w:tc>
          <w:tcPr>
            <w:tcW w:w="990" w:type="pct"/>
            <w:shd w:val="clear" w:color="auto" w:fill="4F81BD"/>
          </w:tcPr>
          <w:p w:rsidR="00723BAB" w:rsidRPr="00D455EB" w:rsidRDefault="00723BAB" w:rsidP="00675F0B">
            <w:pPr>
              <w:spacing w:after="160"/>
              <w:jc w:val="right"/>
              <w:rPr>
                <w:b/>
                <w:sz w:val="20"/>
              </w:rPr>
            </w:pPr>
            <w:r w:rsidRPr="00D455EB">
              <w:rPr>
                <w:rFonts w:cs="Calibri"/>
                <w:b/>
                <w:bCs/>
                <w:sz w:val="20"/>
              </w:rPr>
              <w:t>Amount 20X1</w:t>
            </w:r>
          </w:p>
        </w:tc>
        <w:tc>
          <w:tcPr>
            <w:tcW w:w="990" w:type="pct"/>
            <w:shd w:val="clear" w:color="auto" w:fill="4F81BD"/>
          </w:tcPr>
          <w:p w:rsidR="00723BAB" w:rsidRPr="00D455EB" w:rsidRDefault="00723BAB" w:rsidP="00675F0B">
            <w:pPr>
              <w:spacing w:after="160"/>
              <w:jc w:val="right"/>
              <w:rPr>
                <w:b/>
                <w:sz w:val="20"/>
              </w:rPr>
            </w:pPr>
            <w:r w:rsidRPr="00D455EB">
              <w:rPr>
                <w:rFonts w:cs="Calibri"/>
                <w:b/>
                <w:bCs/>
                <w:sz w:val="20"/>
              </w:rPr>
              <w:t>Business Income</w:t>
            </w:r>
          </w:p>
        </w:tc>
        <w:tc>
          <w:tcPr>
            <w:tcW w:w="990" w:type="pct"/>
            <w:shd w:val="clear" w:color="auto" w:fill="4F81BD"/>
          </w:tcPr>
          <w:p w:rsidR="00723BAB" w:rsidRPr="00D455EB" w:rsidRDefault="00723BAB" w:rsidP="00675F0B">
            <w:pPr>
              <w:spacing w:after="160"/>
              <w:jc w:val="right"/>
              <w:rPr>
                <w:b/>
                <w:sz w:val="20"/>
              </w:rPr>
            </w:pPr>
            <w:r w:rsidRPr="00D455EB">
              <w:rPr>
                <w:rFonts w:cs="Calibri"/>
                <w:b/>
                <w:bCs/>
                <w:sz w:val="20"/>
              </w:rPr>
              <w:t>Franked Dividends</w:t>
            </w:r>
          </w:p>
        </w:tc>
      </w:tr>
      <w:tr w:rsidR="00723BAB" w:rsidRPr="00D455EB" w:rsidTr="001C0158">
        <w:tc>
          <w:tcPr>
            <w:tcW w:w="2030" w:type="pct"/>
            <w:shd w:val="clear" w:color="auto" w:fill="E6E6E6"/>
          </w:tcPr>
          <w:p w:rsidR="00723BAB" w:rsidRPr="00D455EB" w:rsidRDefault="00723BAB" w:rsidP="00675F0B">
            <w:pPr>
              <w:spacing w:after="160"/>
              <w:rPr>
                <w:sz w:val="20"/>
              </w:rPr>
            </w:pPr>
            <w:r w:rsidRPr="00D455EB">
              <w:rPr>
                <w:rFonts w:cs="Calibri"/>
                <w:sz w:val="20"/>
              </w:rPr>
              <w:t>Trading Sales</w:t>
            </w:r>
          </w:p>
        </w:tc>
        <w:tc>
          <w:tcPr>
            <w:tcW w:w="990" w:type="pct"/>
            <w:shd w:val="clear" w:color="auto" w:fill="E6E6E6"/>
          </w:tcPr>
          <w:p w:rsidR="00723BAB" w:rsidRPr="00D455EB" w:rsidRDefault="00723BAB" w:rsidP="00675F0B">
            <w:pPr>
              <w:spacing w:after="160"/>
              <w:jc w:val="right"/>
              <w:rPr>
                <w:sz w:val="20"/>
              </w:rPr>
            </w:pPr>
            <w:r w:rsidRPr="00D455EB">
              <w:rPr>
                <w:sz w:val="20"/>
              </w:rPr>
              <w:t>580,000</w:t>
            </w:r>
          </w:p>
        </w:tc>
        <w:tc>
          <w:tcPr>
            <w:tcW w:w="990" w:type="pct"/>
            <w:shd w:val="clear" w:color="auto" w:fill="E6E6E6"/>
          </w:tcPr>
          <w:p w:rsidR="00723BAB" w:rsidRPr="00D455EB" w:rsidRDefault="00723BAB" w:rsidP="00675F0B">
            <w:pPr>
              <w:spacing w:after="160"/>
              <w:jc w:val="right"/>
              <w:rPr>
                <w:sz w:val="20"/>
              </w:rPr>
            </w:pPr>
            <w:r w:rsidRPr="00D455EB">
              <w:rPr>
                <w:sz w:val="20"/>
              </w:rPr>
              <w:t>580,000</w:t>
            </w:r>
          </w:p>
        </w:tc>
        <w:tc>
          <w:tcPr>
            <w:tcW w:w="990" w:type="pct"/>
            <w:shd w:val="clear" w:color="auto" w:fill="E6E6E6"/>
          </w:tcPr>
          <w:p w:rsidR="00723BAB" w:rsidRPr="00D455EB" w:rsidRDefault="00723BAB" w:rsidP="00675F0B">
            <w:pPr>
              <w:spacing w:after="160"/>
              <w:jc w:val="right"/>
              <w:rPr>
                <w:sz w:val="20"/>
              </w:rPr>
            </w:pPr>
          </w:p>
        </w:tc>
      </w:tr>
      <w:tr w:rsidR="00723BAB" w:rsidRPr="00D455EB" w:rsidTr="001C0158">
        <w:tc>
          <w:tcPr>
            <w:tcW w:w="2030" w:type="pct"/>
            <w:shd w:val="clear" w:color="auto" w:fill="E6E6E6"/>
          </w:tcPr>
          <w:p w:rsidR="00723BAB" w:rsidRPr="00D455EB" w:rsidRDefault="00723BAB" w:rsidP="00675F0B">
            <w:pPr>
              <w:spacing w:after="160"/>
              <w:rPr>
                <w:sz w:val="20"/>
              </w:rPr>
            </w:pPr>
            <w:r w:rsidRPr="00D455EB">
              <w:rPr>
                <w:rFonts w:cs="Calibri"/>
                <w:sz w:val="20"/>
              </w:rPr>
              <w:t>Cost of goods sold</w:t>
            </w:r>
          </w:p>
        </w:tc>
        <w:tc>
          <w:tcPr>
            <w:tcW w:w="990" w:type="pct"/>
            <w:shd w:val="clear" w:color="auto" w:fill="E6E6E6"/>
          </w:tcPr>
          <w:p w:rsidR="00723BAB" w:rsidRPr="00D455EB" w:rsidRDefault="00723BAB" w:rsidP="00675F0B">
            <w:pPr>
              <w:spacing w:after="160"/>
              <w:jc w:val="right"/>
              <w:rPr>
                <w:sz w:val="20"/>
              </w:rPr>
            </w:pPr>
            <w:r w:rsidRPr="00D455EB">
              <w:rPr>
                <w:sz w:val="20"/>
              </w:rPr>
              <w:t>(330,000)</w:t>
            </w:r>
          </w:p>
        </w:tc>
        <w:tc>
          <w:tcPr>
            <w:tcW w:w="990" w:type="pct"/>
            <w:shd w:val="clear" w:color="auto" w:fill="E6E6E6"/>
          </w:tcPr>
          <w:p w:rsidR="00723BAB" w:rsidRPr="00D455EB" w:rsidRDefault="00723BAB" w:rsidP="00675F0B">
            <w:pPr>
              <w:spacing w:after="160"/>
              <w:jc w:val="right"/>
              <w:rPr>
                <w:sz w:val="20"/>
              </w:rPr>
            </w:pPr>
            <w:r w:rsidRPr="00D455EB">
              <w:rPr>
                <w:sz w:val="20"/>
              </w:rPr>
              <w:t>(330,000)</w:t>
            </w:r>
          </w:p>
        </w:tc>
        <w:tc>
          <w:tcPr>
            <w:tcW w:w="990" w:type="pct"/>
            <w:shd w:val="clear" w:color="auto" w:fill="E6E6E6"/>
          </w:tcPr>
          <w:p w:rsidR="00723BAB" w:rsidRPr="00D455EB" w:rsidRDefault="00723BAB" w:rsidP="00675F0B">
            <w:pPr>
              <w:spacing w:after="160"/>
              <w:jc w:val="right"/>
              <w:rPr>
                <w:sz w:val="20"/>
              </w:rPr>
            </w:pPr>
          </w:p>
        </w:tc>
      </w:tr>
      <w:tr w:rsidR="00723BAB" w:rsidRPr="00D455EB" w:rsidTr="001C0158">
        <w:tc>
          <w:tcPr>
            <w:tcW w:w="2030" w:type="pct"/>
            <w:shd w:val="clear" w:color="auto" w:fill="E6E6E6"/>
          </w:tcPr>
          <w:p w:rsidR="00723BAB" w:rsidRPr="00D455EB" w:rsidRDefault="00723BAB" w:rsidP="00675F0B">
            <w:pPr>
              <w:spacing w:after="160"/>
              <w:rPr>
                <w:sz w:val="20"/>
              </w:rPr>
            </w:pPr>
            <w:r w:rsidRPr="00D455EB">
              <w:rPr>
                <w:rFonts w:cs="Calibri"/>
                <w:sz w:val="20"/>
              </w:rPr>
              <w:t>Bad debts written off</w:t>
            </w:r>
          </w:p>
        </w:tc>
        <w:tc>
          <w:tcPr>
            <w:tcW w:w="990" w:type="pct"/>
            <w:shd w:val="clear" w:color="auto" w:fill="E6E6E6"/>
          </w:tcPr>
          <w:p w:rsidR="00723BAB" w:rsidRPr="00D455EB" w:rsidRDefault="00723BAB" w:rsidP="00675F0B">
            <w:pPr>
              <w:spacing w:after="160"/>
              <w:jc w:val="right"/>
              <w:rPr>
                <w:sz w:val="20"/>
              </w:rPr>
            </w:pPr>
            <w:r w:rsidRPr="00D455EB">
              <w:rPr>
                <w:sz w:val="20"/>
              </w:rPr>
              <w:t>(1,500)</w:t>
            </w:r>
          </w:p>
        </w:tc>
        <w:tc>
          <w:tcPr>
            <w:tcW w:w="990" w:type="pct"/>
            <w:shd w:val="clear" w:color="auto" w:fill="E6E6E6"/>
          </w:tcPr>
          <w:p w:rsidR="00723BAB" w:rsidRPr="00D455EB" w:rsidRDefault="00723BAB" w:rsidP="00675F0B">
            <w:pPr>
              <w:spacing w:after="160"/>
              <w:jc w:val="right"/>
              <w:rPr>
                <w:sz w:val="20"/>
              </w:rPr>
            </w:pPr>
            <w:r w:rsidRPr="00D455EB">
              <w:rPr>
                <w:sz w:val="20"/>
              </w:rPr>
              <w:t>(1,500)</w:t>
            </w:r>
          </w:p>
        </w:tc>
        <w:tc>
          <w:tcPr>
            <w:tcW w:w="990" w:type="pct"/>
            <w:shd w:val="clear" w:color="auto" w:fill="E6E6E6"/>
          </w:tcPr>
          <w:p w:rsidR="00723BAB" w:rsidRPr="00D455EB" w:rsidRDefault="00723BAB" w:rsidP="00675F0B">
            <w:pPr>
              <w:spacing w:after="160"/>
              <w:jc w:val="right"/>
              <w:rPr>
                <w:sz w:val="20"/>
              </w:rPr>
            </w:pPr>
          </w:p>
        </w:tc>
      </w:tr>
      <w:tr w:rsidR="00723BAB" w:rsidRPr="00D455EB" w:rsidTr="001C0158">
        <w:tc>
          <w:tcPr>
            <w:tcW w:w="2030" w:type="pct"/>
            <w:shd w:val="clear" w:color="auto" w:fill="E6E6E6"/>
          </w:tcPr>
          <w:p w:rsidR="00723BAB" w:rsidRPr="00D455EB" w:rsidRDefault="00723BAB" w:rsidP="00675F0B">
            <w:pPr>
              <w:spacing w:after="160"/>
              <w:rPr>
                <w:rFonts w:cs="Calibri"/>
                <w:sz w:val="20"/>
              </w:rPr>
            </w:pPr>
            <w:r w:rsidRPr="00D455EB">
              <w:rPr>
                <w:rFonts w:cs="Calibri"/>
                <w:sz w:val="20"/>
              </w:rPr>
              <w:t>Franked dividends</w:t>
            </w:r>
          </w:p>
        </w:tc>
        <w:tc>
          <w:tcPr>
            <w:tcW w:w="990" w:type="pct"/>
            <w:shd w:val="clear" w:color="auto" w:fill="E6E6E6"/>
          </w:tcPr>
          <w:p w:rsidR="00723BAB" w:rsidRPr="00D455EB" w:rsidRDefault="00723BAB" w:rsidP="00675F0B">
            <w:pPr>
              <w:spacing w:after="160"/>
              <w:jc w:val="right"/>
              <w:rPr>
                <w:sz w:val="20"/>
              </w:rPr>
            </w:pPr>
            <w:r w:rsidRPr="00D455EB">
              <w:rPr>
                <w:sz w:val="20"/>
              </w:rPr>
              <w:t>10,605</w:t>
            </w:r>
          </w:p>
        </w:tc>
        <w:tc>
          <w:tcPr>
            <w:tcW w:w="990" w:type="pct"/>
            <w:shd w:val="clear" w:color="auto" w:fill="E6E6E6"/>
          </w:tcPr>
          <w:p w:rsidR="00723BAB" w:rsidRPr="00D455EB" w:rsidRDefault="00723BAB" w:rsidP="00675F0B">
            <w:pPr>
              <w:spacing w:after="160"/>
              <w:jc w:val="right"/>
              <w:rPr>
                <w:sz w:val="20"/>
              </w:rPr>
            </w:pPr>
          </w:p>
        </w:tc>
        <w:tc>
          <w:tcPr>
            <w:tcW w:w="990" w:type="pct"/>
            <w:shd w:val="clear" w:color="auto" w:fill="E6E6E6"/>
          </w:tcPr>
          <w:p w:rsidR="00723BAB" w:rsidRPr="00D455EB" w:rsidRDefault="00723BAB" w:rsidP="00675F0B">
            <w:pPr>
              <w:spacing w:after="160"/>
              <w:jc w:val="right"/>
              <w:rPr>
                <w:sz w:val="20"/>
              </w:rPr>
            </w:pPr>
            <w:r w:rsidRPr="00D455EB">
              <w:rPr>
                <w:sz w:val="20"/>
              </w:rPr>
              <w:t>10,605</w:t>
            </w:r>
          </w:p>
        </w:tc>
      </w:tr>
      <w:tr w:rsidR="00723BAB" w:rsidRPr="00D455EB" w:rsidTr="001C0158">
        <w:tc>
          <w:tcPr>
            <w:tcW w:w="2030" w:type="pct"/>
            <w:shd w:val="clear" w:color="auto" w:fill="E6E6E6"/>
          </w:tcPr>
          <w:p w:rsidR="00723BAB" w:rsidRPr="00D455EB" w:rsidRDefault="00723BAB" w:rsidP="00675F0B">
            <w:pPr>
              <w:spacing w:after="160"/>
              <w:rPr>
                <w:rFonts w:cs="Calibri"/>
                <w:sz w:val="20"/>
              </w:rPr>
            </w:pPr>
            <w:r w:rsidRPr="00D455EB">
              <w:rPr>
                <w:rFonts w:cs="Calibri"/>
                <w:sz w:val="20"/>
              </w:rPr>
              <w:t>Total assessable income excluding franking credits, net of related deductions</w:t>
            </w:r>
          </w:p>
        </w:tc>
        <w:tc>
          <w:tcPr>
            <w:tcW w:w="990" w:type="pct"/>
            <w:shd w:val="clear" w:color="auto" w:fill="E6E6E6"/>
          </w:tcPr>
          <w:p w:rsidR="00723BAB" w:rsidRPr="00D455EB" w:rsidRDefault="00723BAB" w:rsidP="00675F0B">
            <w:pPr>
              <w:spacing w:after="160"/>
              <w:jc w:val="right"/>
              <w:rPr>
                <w:sz w:val="20"/>
              </w:rPr>
            </w:pPr>
            <w:r w:rsidRPr="00D455EB">
              <w:rPr>
                <w:sz w:val="20"/>
              </w:rPr>
              <w:t>259,105</w:t>
            </w:r>
          </w:p>
        </w:tc>
        <w:tc>
          <w:tcPr>
            <w:tcW w:w="990" w:type="pct"/>
            <w:shd w:val="clear" w:color="auto" w:fill="E6E6E6"/>
          </w:tcPr>
          <w:p w:rsidR="00723BAB" w:rsidRPr="00D455EB" w:rsidRDefault="00723BAB" w:rsidP="00675F0B">
            <w:pPr>
              <w:spacing w:after="160"/>
              <w:jc w:val="right"/>
              <w:rPr>
                <w:sz w:val="20"/>
              </w:rPr>
            </w:pPr>
            <w:r w:rsidRPr="00D455EB">
              <w:rPr>
                <w:sz w:val="20"/>
              </w:rPr>
              <w:t>248,500</w:t>
            </w:r>
          </w:p>
        </w:tc>
        <w:tc>
          <w:tcPr>
            <w:tcW w:w="990" w:type="pct"/>
            <w:shd w:val="clear" w:color="auto" w:fill="E6E6E6"/>
          </w:tcPr>
          <w:p w:rsidR="00723BAB" w:rsidRPr="00D455EB" w:rsidRDefault="00723BAB" w:rsidP="00675F0B">
            <w:pPr>
              <w:spacing w:after="160"/>
              <w:jc w:val="right"/>
              <w:rPr>
                <w:sz w:val="20"/>
              </w:rPr>
            </w:pPr>
            <w:r w:rsidRPr="00D455EB">
              <w:rPr>
                <w:sz w:val="20"/>
              </w:rPr>
              <w:t>10,605</w:t>
            </w:r>
          </w:p>
        </w:tc>
      </w:tr>
      <w:tr w:rsidR="00723BAB" w:rsidRPr="00D455EB" w:rsidTr="001C0158">
        <w:tc>
          <w:tcPr>
            <w:tcW w:w="2030" w:type="pct"/>
            <w:shd w:val="clear" w:color="auto" w:fill="E6E6E6"/>
          </w:tcPr>
          <w:p w:rsidR="00723BAB" w:rsidRPr="008F38AA" w:rsidRDefault="00723BAB" w:rsidP="00675F0B">
            <w:pPr>
              <w:spacing w:after="160"/>
              <w:rPr>
                <w:rFonts w:ascii="Times New Roman" w:hAnsi="Times New Roman" w:cs="Calibri"/>
                <w:bCs/>
                <w:sz w:val="20"/>
              </w:rPr>
            </w:pPr>
          </w:p>
        </w:tc>
        <w:tc>
          <w:tcPr>
            <w:tcW w:w="990" w:type="pct"/>
            <w:shd w:val="clear" w:color="auto" w:fill="E6E6E6"/>
          </w:tcPr>
          <w:p w:rsidR="00723BAB" w:rsidRPr="00D455EB" w:rsidRDefault="00723BAB" w:rsidP="00675F0B">
            <w:pPr>
              <w:spacing w:after="160"/>
              <w:jc w:val="right"/>
              <w:rPr>
                <w:sz w:val="20"/>
              </w:rPr>
            </w:pPr>
            <w:r w:rsidRPr="00D455EB">
              <w:rPr>
                <w:sz w:val="20"/>
              </w:rPr>
              <w:t>100.00%</w:t>
            </w:r>
          </w:p>
        </w:tc>
        <w:tc>
          <w:tcPr>
            <w:tcW w:w="990" w:type="pct"/>
            <w:shd w:val="clear" w:color="auto" w:fill="E6E6E6"/>
          </w:tcPr>
          <w:p w:rsidR="00723BAB" w:rsidRPr="00D455EB" w:rsidRDefault="00723BAB" w:rsidP="00675F0B">
            <w:pPr>
              <w:spacing w:after="160"/>
              <w:jc w:val="right"/>
              <w:rPr>
                <w:sz w:val="20"/>
              </w:rPr>
            </w:pPr>
            <w:r w:rsidRPr="00D455EB">
              <w:rPr>
                <w:sz w:val="20"/>
              </w:rPr>
              <w:t>95.91%</w:t>
            </w:r>
          </w:p>
        </w:tc>
        <w:tc>
          <w:tcPr>
            <w:tcW w:w="990" w:type="pct"/>
            <w:shd w:val="clear" w:color="auto" w:fill="E6E6E6"/>
          </w:tcPr>
          <w:p w:rsidR="00723BAB" w:rsidRPr="00D455EB" w:rsidRDefault="00723BAB" w:rsidP="00675F0B">
            <w:pPr>
              <w:spacing w:after="160"/>
              <w:jc w:val="right"/>
              <w:rPr>
                <w:sz w:val="20"/>
              </w:rPr>
            </w:pPr>
            <w:r w:rsidRPr="00D455EB">
              <w:rPr>
                <w:sz w:val="20"/>
              </w:rPr>
              <w:t>4.09%</w:t>
            </w:r>
          </w:p>
        </w:tc>
      </w:tr>
      <w:tr w:rsidR="00723BAB" w:rsidRPr="00D455EB" w:rsidTr="001C0158">
        <w:tc>
          <w:tcPr>
            <w:tcW w:w="2030" w:type="pct"/>
            <w:shd w:val="clear" w:color="auto" w:fill="E6E6E6"/>
          </w:tcPr>
          <w:p w:rsidR="00723BAB" w:rsidRPr="00D455EB" w:rsidRDefault="00723BAB" w:rsidP="00675F0B">
            <w:pPr>
              <w:spacing w:after="160"/>
              <w:rPr>
                <w:rFonts w:cs="Calibri"/>
                <w:sz w:val="20"/>
              </w:rPr>
            </w:pPr>
            <w:r w:rsidRPr="00D455EB">
              <w:rPr>
                <w:rFonts w:cs="Calibri"/>
                <w:sz w:val="20"/>
              </w:rPr>
              <w:t>Franking credits (gross up)</w:t>
            </w:r>
          </w:p>
        </w:tc>
        <w:tc>
          <w:tcPr>
            <w:tcW w:w="990" w:type="pct"/>
            <w:shd w:val="clear" w:color="auto" w:fill="E6E6E6"/>
          </w:tcPr>
          <w:p w:rsidR="00723BAB" w:rsidRPr="00D455EB" w:rsidRDefault="00723BAB" w:rsidP="00675F0B">
            <w:pPr>
              <w:spacing w:after="160"/>
              <w:jc w:val="right"/>
              <w:rPr>
                <w:sz w:val="20"/>
              </w:rPr>
            </w:pPr>
            <w:r w:rsidRPr="00D455EB">
              <w:rPr>
                <w:sz w:val="20"/>
              </w:rPr>
              <w:t>4,545</w:t>
            </w:r>
          </w:p>
        </w:tc>
        <w:tc>
          <w:tcPr>
            <w:tcW w:w="990" w:type="pct"/>
            <w:shd w:val="clear" w:color="auto" w:fill="E6E6E6"/>
          </w:tcPr>
          <w:p w:rsidR="00723BAB" w:rsidRPr="00D455EB" w:rsidRDefault="00723BAB" w:rsidP="00675F0B">
            <w:pPr>
              <w:spacing w:after="160"/>
              <w:jc w:val="right"/>
              <w:rPr>
                <w:sz w:val="20"/>
              </w:rPr>
            </w:pPr>
          </w:p>
        </w:tc>
        <w:tc>
          <w:tcPr>
            <w:tcW w:w="990" w:type="pct"/>
            <w:shd w:val="clear" w:color="auto" w:fill="E6E6E6"/>
          </w:tcPr>
          <w:p w:rsidR="00723BAB" w:rsidRPr="00D455EB" w:rsidRDefault="00723BAB" w:rsidP="00675F0B">
            <w:pPr>
              <w:spacing w:after="160"/>
              <w:jc w:val="right"/>
              <w:rPr>
                <w:sz w:val="20"/>
              </w:rPr>
            </w:pPr>
            <w:r w:rsidRPr="00D455EB">
              <w:rPr>
                <w:sz w:val="20"/>
              </w:rPr>
              <w:t>4,545</w:t>
            </w:r>
          </w:p>
        </w:tc>
      </w:tr>
      <w:tr w:rsidR="00723BAB" w:rsidRPr="00D455EB" w:rsidTr="001C0158">
        <w:tc>
          <w:tcPr>
            <w:tcW w:w="2030" w:type="pct"/>
            <w:shd w:val="clear" w:color="auto" w:fill="4F81BD"/>
          </w:tcPr>
          <w:p w:rsidR="00723BAB" w:rsidRPr="00D455EB" w:rsidRDefault="00723BAB" w:rsidP="00675F0B">
            <w:pPr>
              <w:spacing w:after="160"/>
              <w:rPr>
                <w:rFonts w:cs="Calibri"/>
                <w:b/>
                <w:sz w:val="20"/>
              </w:rPr>
            </w:pPr>
            <w:r w:rsidRPr="00D455EB">
              <w:rPr>
                <w:rFonts w:cs="Calibri"/>
                <w:b/>
                <w:bCs/>
                <w:sz w:val="20"/>
              </w:rPr>
              <w:t>Total assessable income net of related deductions</w:t>
            </w:r>
          </w:p>
        </w:tc>
        <w:tc>
          <w:tcPr>
            <w:tcW w:w="990" w:type="pct"/>
            <w:shd w:val="clear" w:color="auto" w:fill="4F81BD"/>
          </w:tcPr>
          <w:p w:rsidR="00723BAB" w:rsidRPr="00D455EB" w:rsidRDefault="00723BAB" w:rsidP="00675F0B">
            <w:pPr>
              <w:spacing w:after="160"/>
              <w:jc w:val="right"/>
              <w:rPr>
                <w:b/>
                <w:sz w:val="20"/>
              </w:rPr>
            </w:pPr>
            <w:r w:rsidRPr="00D455EB">
              <w:rPr>
                <w:b/>
                <w:sz w:val="20"/>
              </w:rPr>
              <w:t>263,650</w:t>
            </w:r>
          </w:p>
        </w:tc>
        <w:tc>
          <w:tcPr>
            <w:tcW w:w="990" w:type="pct"/>
            <w:shd w:val="clear" w:color="auto" w:fill="4F81BD"/>
          </w:tcPr>
          <w:p w:rsidR="00723BAB" w:rsidRPr="00D455EB" w:rsidRDefault="00723BAB" w:rsidP="00675F0B">
            <w:pPr>
              <w:spacing w:after="160"/>
              <w:jc w:val="right"/>
              <w:rPr>
                <w:b/>
                <w:sz w:val="20"/>
              </w:rPr>
            </w:pPr>
            <w:r w:rsidRPr="00D455EB">
              <w:rPr>
                <w:b/>
                <w:sz w:val="20"/>
              </w:rPr>
              <w:t>248,500</w:t>
            </w:r>
          </w:p>
        </w:tc>
        <w:tc>
          <w:tcPr>
            <w:tcW w:w="990" w:type="pct"/>
            <w:shd w:val="clear" w:color="auto" w:fill="4F81BD"/>
          </w:tcPr>
          <w:p w:rsidR="00723BAB" w:rsidRPr="00D455EB" w:rsidRDefault="00723BAB" w:rsidP="00675F0B">
            <w:pPr>
              <w:spacing w:after="160"/>
              <w:jc w:val="right"/>
              <w:rPr>
                <w:b/>
                <w:sz w:val="20"/>
              </w:rPr>
            </w:pPr>
            <w:r w:rsidRPr="00D455EB">
              <w:rPr>
                <w:b/>
                <w:sz w:val="20"/>
              </w:rPr>
              <w:t>15,150</w:t>
            </w:r>
          </w:p>
        </w:tc>
      </w:tr>
      <w:tr w:rsidR="00723BAB" w:rsidRPr="00D455EB" w:rsidTr="001C0158">
        <w:tc>
          <w:tcPr>
            <w:tcW w:w="2030" w:type="pct"/>
            <w:shd w:val="clear" w:color="auto" w:fill="E6E6E6"/>
          </w:tcPr>
          <w:p w:rsidR="00723BAB" w:rsidRPr="00D455EB" w:rsidRDefault="00723BAB" w:rsidP="00675F0B">
            <w:pPr>
              <w:spacing w:after="160"/>
              <w:rPr>
                <w:rFonts w:cs="Calibri"/>
                <w:bCs/>
                <w:sz w:val="20"/>
              </w:rPr>
            </w:pPr>
            <w:r w:rsidRPr="00D455EB">
              <w:rPr>
                <w:rFonts w:cs="Calibri"/>
                <w:bCs/>
                <w:sz w:val="20"/>
              </w:rPr>
              <w:t>General deductions</w:t>
            </w:r>
          </w:p>
        </w:tc>
        <w:tc>
          <w:tcPr>
            <w:tcW w:w="990" w:type="pct"/>
            <w:shd w:val="clear" w:color="auto" w:fill="E6E6E6"/>
          </w:tcPr>
          <w:p w:rsidR="00723BAB" w:rsidRPr="00D455EB" w:rsidRDefault="00723BAB" w:rsidP="00675F0B">
            <w:pPr>
              <w:spacing w:after="160"/>
              <w:jc w:val="right"/>
              <w:rPr>
                <w:sz w:val="20"/>
              </w:rPr>
            </w:pPr>
          </w:p>
        </w:tc>
        <w:tc>
          <w:tcPr>
            <w:tcW w:w="990" w:type="pct"/>
            <w:shd w:val="clear" w:color="auto" w:fill="E6E6E6"/>
          </w:tcPr>
          <w:p w:rsidR="00723BAB" w:rsidRPr="00D455EB" w:rsidRDefault="00723BAB" w:rsidP="00675F0B">
            <w:pPr>
              <w:spacing w:after="160"/>
              <w:jc w:val="right"/>
              <w:rPr>
                <w:sz w:val="20"/>
              </w:rPr>
            </w:pPr>
          </w:p>
        </w:tc>
        <w:tc>
          <w:tcPr>
            <w:tcW w:w="990" w:type="pct"/>
            <w:shd w:val="clear" w:color="auto" w:fill="E6E6E6"/>
          </w:tcPr>
          <w:p w:rsidR="00723BAB" w:rsidRPr="00D455EB" w:rsidRDefault="00723BAB" w:rsidP="00675F0B">
            <w:pPr>
              <w:spacing w:after="160"/>
              <w:jc w:val="right"/>
              <w:rPr>
                <w:sz w:val="20"/>
              </w:rPr>
            </w:pPr>
          </w:p>
        </w:tc>
      </w:tr>
      <w:tr w:rsidR="00723BAB" w:rsidRPr="00D455EB" w:rsidTr="001C0158">
        <w:tc>
          <w:tcPr>
            <w:tcW w:w="2030" w:type="pct"/>
            <w:shd w:val="clear" w:color="auto" w:fill="E6E6E6"/>
          </w:tcPr>
          <w:p w:rsidR="00723BAB" w:rsidRPr="00D455EB" w:rsidRDefault="00723BAB" w:rsidP="00675F0B">
            <w:pPr>
              <w:spacing w:after="160"/>
              <w:rPr>
                <w:rFonts w:cs="Calibri"/>
                <w:bCs/>
                <w:sz w:val="20"/>
              </w:rPr>
            </w:pPr>
            <w:r w:rsidRPr="00D455EB">
              <w:rPr>
                <w:rFonts w:cs="Calibri"/>
                <w:sz w:val="20"/>
              </w:rPr>
              <w:t>Depreciation</w:t>
            </w:r>
          </w:p>
        </w:tc>
        <w:tc>
          <w:tcPr>
            <w:tcW w:w="990" w:type="pct"/>
            <w:shd w:val="clear" w:color="auto" w:fill="E6E6E6"/>
          </w:tcPr>
          <w:p w:rsidR="00723BAB" w:rsidRPr="00D455EB" w:rsidRDefault="00723BAB" w:rsidP="00675F0B">
            <w:pPr>
              <w:spacing w:after="160"/>
              <w:jc w:val="right"/>
              <w:rPr>
                <w:sz w:val="20"/>
              </w:rPr>
            </w:pPr>
            <w:r w:rsidRPr="00D455EB">
              <w:rPr>
                <w:sz w:val="20"/>
              </w:rPr>
              <w:t>75,000</w:t>
            </w:r>
          </w:p>
        </w:tc>
        <w:tc>
          <w:tcPr>
            <w:tcW w:w="990" w:type="pct"/>
            <w:shd w:val="clear" w:color="auto" w:fill="E6E6E6"/>
          </w:tcPr>
          <w:p w:rsidR="00723BAB" w:rsidRPr="00D455EB" w:rsidRDefault="00723BAB" w:rsidP="00675F0B">
            <w:pPr>
              <w:spacing w:after="160"/>
              <w:jc w:val="right"/>
              <w:rPr>
                <w:sz w:val="20"/>
              </w:rPr>
            </w:pPr>
            <w:r w:rsidRPr="00D455EB">
              <w:rPr>
                <w:sz w:val="20"/>
              </w:rPr>
              <w:t>71,930</w:t>
            </w:r>
          </w:p>
        </w:tc>
        <w:tc>
          <w:tcPr>
            <w:tcW w:w="990" w:type="pct"/>
            <w:shd w:val="clear" w:color="auto" w:fill="E6E6E6"/>
          </w:tcPr>
          <w:p w:rsidR="00723BAB" w:rsidRPr="00D455EB" w:rsidRDefault="00723BAB" w:rsidP="00675F0B">
            <w:pPr>
              <w:spacing w:after="160"/>
              <w:jc w:val="right"/>
              <w:rPr>
                <w:sz w:val="20"/>
              </w:rPr>
            </w:pPr>
            <w:r w:rsidRPr="00D455EB">
              <w:rPr>
                <w:sz w:val="20"/>
              </w:rPr>
              <w:t>3,070</w:t>
            </w:r>
          </w:p>
        </w:tc>
      </w:tr>
      <w:tr w:rsidR="00723BAB" w:rsidRPr="00D455EB" w:rsidTr="001C0158">
        <w:tc>
          <w:tcPr>
            <w:tcW w:w="2030" w:type="pct"/>
            <w:shd w:val="clear" w:color="auto" w:fill="E6E6E6"/>
          </w:tcPr>
          <w:p w:rsidR="00723BAB" w:rsidRPr="00D455EB" w:rsidRDefault="00723BAB" w:rsidP="00675F0B">
            <w:pPr>
              <w:spacing w:after="160"/>
              <w:rPr>
                <w:rFonts w:cs="Calibri"/>
                <w:sz w:val="20"/>
              </w:rPr>
            </w:pPr>
            <w:r w:rsidRPr="00D455EB">
              <w:rPr>
                <w:rFonts w:cs="Calibri"/>
                <w:sz w:val="20"/>
              </w:rPr>
              <w:t>Salary and Wages</w:t>
            </w:r>
          </w:p>
        </w:tc>
        <w:tc>
          <w:tcPr>
            <w:tcW w:w="990" w:type="pct"/>
            <w:shd w:val="clear" w:color="auto" w:fill="E6E6E6"/>
          </w:tcPr>
          <w:p w:rsidR="00723BAB" w:rsidRPr="00D455EB" w:rsidRDefault="00723BAB" w:rsidP="00675F0B">
            <w:pPr>
              <w:spacing w:after="160"/>
              <w:jc w:val="right"/>
              <w:rPr>
                <w:sz w:val="20"/>
              </w:rPr>
            </w:pPr>
            <w:r w:rsidRPr="00D455EB">
              <w:rPr>
                <w:sz w:val="20"/>
              </w:rPr>
              <w:t>65,000</w:t>
            </w:r>
          </w:p>
        </w:tc>
        <w:tc>
          <w:tcPr>
            <w:tcW w:w="990" w:type="pct"/>
            <w:shd w:val="clear" w:color="auto" w:fill="E6E6E6"/>
          </w:tcPr>
          <w:p w:rsidR="00723BAB" w:rsidRPr="00D455EB" w:rsidRDefault="00723BAB" w:rsidP="00675F0B">
            <w:pPr>
              <w:spacing w:after="160"/>
              <w:jc w:val="right"/>
              <w:rPr>
                <w:sz w:val="20"/>
              </w:rPr>
            </w:pPr>
            <w:r w:rsidRPr="00D455EB">
              <w:rPr>
                <w:sz w:val="20"/>
              </w:rPr>
              <w:t>62,340</w:t>
            </w:r>
          </w:p>
        </w:tc>
        <w:tc>
          <w:tcPr>
            <w:tcW w:w="990" w:type="pct"/>
            <w:shd w:val="clear" w:color="auto" w:fill="E6E6E6"/>
          </w:tcPr>
          <w:p w:rsidR="00723BAB" w:rsidRPr="00D455EB" w:rsidRDefault="00723BAB" w:rsidP="00675F0B">
            <w:pPr>
              <w:spacing w:after="160"/>
              <w:jc w:val="right"/>
              <w:rPr>
                <w:sz w:val="20"/>
              </w:rPr>
            </w:pPr>
            <w:r w:rsidRPr="00D455EB">
              <w:rPr>
                <w:sz w:val="20"/>
              </w:rPr>
              <w:t>2,660</w:t>
            </w:r>
          </w:p>
        </w:tc>
      </w:tr>
      <w:tr w:rsidR="00723BAB" w:rsidRPr="00D455EB" w:rsidTr="001C0158">
        <w:tc>
          <w:tcPr>
            <w:tcW w:w="2030" w:type="pct"/>
            <w:shd w:val="clear" w:color="auto" w:fill="E6E6E6"/>
          </w:tcPr>
          <w:p w:rsidR="00723BAB" w:rsidRPr="00D455EB" w:rsidRDefault="00723BAB" w:rsidP="00675F0B">
            <w:pPr>
              <w:spacing w:after="160"/>
              <w:rPr>
                <w:rFonts w:cs="Calibri"/>
                <w:sz w:val="20"/>
              </w:rPr>
            </w:pPr>
            <w:r w:rsidRPr="00D455EB">
              <w:rPr>
                <w:rFonts w:cs="Calibri"/>
                <w:sz w:val="20"/>
              </w:rPr>
              <w:t>Other expenses</w:t>
            </w:r>
          </w:p>
        </w:tc>
        <w:tc>
          <w:tcPr>
            <w:tcW w:w="990" w:type="pct"/>
            <w:shd w:val="clear" w:color="auto" w:fill="E6E6E6"/>
          </w:tcPr>
          <w:p w:rsidR="00723BAB" w:rsidRPr="00D455EB" w:rsidRDefault="00723BAB" w:rsidP="00675F0B">
            <w:pPr>
              <w:spacing w:after="160"/>
              <w:jc w:val="right"/>
              <w:rPr>
                <w:sz w:val="20"/>
              </w:rPr>
            </w:pPr>
            <w:r w:rsidRPr="00D455EB">
              <w:rPr>
                <w:sz w:val="20"/>
              </w:rPr>
              <w:t>105,000</w:t>
            </w:r>
          </w:p>
        </w:tc>
        <w:tc>
          <w:tcPr>
            <w:tcW w:w="990" w:type="pct"/>
            <w:shd w:val="clear" w:color="auto" w:fill="E6E6E6"/>
          </w:tcPr>
          <w:p w:rsidR="00723BAB" w:rsidRPr="00D455EB" w:rsidRDefault="00723BAB" w:rsidP="00675F0B">
            <w:pPr>
              <w:spacing w:after="160"/>
              <w:jc w:val="right"/>
              <w:rPr>
                <w:sz w:val="20"/>
              </w:rPr>
            </w:pPr>
            <w:r w:rsidRPr="00D455EB">
              <w:rPr>
                <w:sz w:val="20"/>
              </w:rPr>
              <w:t>100,702</w:t>
            </w:r>
          </w:p>
        </w:tc>
        <w:tc>
          <w:tcPr>
            <w:tcW w:w="990" w:type="pct"/>
            <w:shd w:val="clear" w:color="auto" w:fill="E6E6E6"/>
          </w:tcPr>
          <w:p w:rsidR="00723BAB" w:rsidRPr="00D455EB" w:rsidRDefault="00723BAB" w:rsidP="00675F0B">
            <w:pPr>
              <w:spacing w:after="160"/>
              <w:jc w:val="right"/>
              <w:rPr>
                <w:sz w:val="20"/>
              </w:rPr>
            </w:pPr>
            <w:r w:rsidRPr="00D455EB">
              <w:rPr>
                <w:sz w:val="20"/>
              </w:rPr>
              <w:t>4,298</w:t>
            </w:r>
          </w:p>
        </w:tc>
      </w:tr>
      <w:tr w:rsidR="00723BAB" w:rsidRPr="00D455EB" w:rsidTr="001C0158">
        <w:tc>
          <w:tcPr>
            <w:tcW w:w="2030" w:type="pct"/>
            <w:shd w:val="clear" w:color="auto" w:fill="4F81BD"/>
          </w:tcPr>
          <w:p w:rsidR="00723BAB" w:rsidRPr="00D455EB" w:rsidRDefault="00723BAB" w:rsidP="00675F0B">
            <w:pPr>
              <w:spacing w:after="120"/>
              <w:rPr>
                <w:rFonts w:cs="Calibri"/>
                <w:sz w:val="20"/>
              </w:rPr>
            </w:pPr>
            <w:r w:rsidRPr="00D455EB">
              <w:rPr>
                <w:rFonts w:cs="Calibri"/>
                <w:bCs/>
                <w:sz w:val="20"/>
              </w:rPr>
              <w:t>Total general deductions</w:t>
            </w:r>
          </w:p>
        </w:tc>
        <w:tc>
          <w:tcPr>
            <w:tcW w:w="990" w:type="pct"/>
            <w:shd w:val="clear" w:color="auto" w:fill="4F81BD"/>
          </w:tcPr>
          <w:p w:rsidR="00723BAB" w:rsidRPr="00D455EB" w:rsidRDefault="00723BAB" w:rsidP="00675F0B">
            <w:pPr>
              <w:spacing w:after="120"/>
              <w:jc w:val="right"/>
              <w:rPr>
                <w:sz w:val="20"/>
              </w:rPr>
            </w:pPr>
            <w:r w:rsidRPr="00D455EB">
              <w:rPr>
                <w:sz w:val="20"/>
              </w:rPr>
              <w:t>245,000</w:t>
            </w:r>
          </w:p>
        </w:tc>
        <w:tc>
          <w:tcPr>
            <w:tcW w:w="990" w:type="pct"/>
            <w:shd w:val="clear" w:color="auto" w:fill="4F81BD"/>
          </w:tcPr>
          <w:p w:rsidR="00723BAB" w:rsidRPr="00D455EB" w:rsidRDefault="00723BAB" w:rsidP="00675F0B">
            <w:pPr>
              <w:spacing w:after="120"/>
              <w:jc w:val="right"/>
              <w:rPr>
                <w:sz w:val="20"/>
              </w:rPr>
            </w:pPr>
            <w:r w:rsidRPr="00D455EB">
              <w:rPr>
                <w:sz w:val="20"/>
              </w:rPr>
              <w:t>234,972</w:t>
            </w:r>
          </w:p>
        </w:tc>
        <w:tc>
          <w:tcPr>
            <w:tcW w:w="990" w:type="pct"/>
            <w:shd w:val="clear" w:color="auto" w:fill="4F81BD"/>
          </w:tcPr>
          <w:p w:rsidR="00723BAB" w:rsidRPr="00D455EB" w:rsidRDefault="00723BAB" w:rsidP="00675F0B">
            <w:pPr>
              <w:spacing w:after="120"/>
              <w:jc w:val="right"/>
              <w:rPr>
                <w:sz w:val="20"/>
              </w:rPr>
            </w:pPr>
            <w:r w:rsidRPr="00D455EB">
              <w:rPr>
                <w:sz w:val="20"/>
              </w:rPr>
              <w:t>10,028</w:t>
            </w:r>
          </w:p>
        </w:tc>
      </w:tr>
      <w:tr w:rsidR="00723BAB" w:rsidRPr="00D455EB" w:rsidTr="001C0158">
        <w:tc>
          <w:tcPr>
            <w:tcW w:w="2030" w:type="pct"/>
            <w:shd w:val="clear" w:color="auto" w:fill="4F81BD"/>
          </w:tcPr>
          <w:p w:rsidR="00723BAB" w:rsidRPr="00D455EB" w:rsidRDefault="00723BAB" w:rsidP="00675F0B">
            <w:pPr>
              <w:spacing w:after="0"/>
              <w:rPr>
                <w:rFonts w:cs="Calibri"/>
                <w:b/>
                <w:bCs/>
                <w:sz w:val="20"/>
              </w:rPr>
            </w:pPr>
            <w:r w:rsidRPr="00D455EB">
              <w:rPr>
                <w:rFonts w:cs="Calibri"/>
                <w:b/>
                <w:bCs/>
                <w:sz w:val="20"/>
              </w:rPr>
              <w:t>Total 20X1 net taxable income components</w:t>
            </w:r>
          </w:p>
        </w:tc>
        <w:tc>
          <w:tcPr>
            <w:tcW w:w="990" w:type="pct"/>
            <w:shd w:val="clear" w:color="auto" w:fill="4F81BD"/>
          </w:tcPr>
          <w:p w:rsidR="00723BAB" w:rsidRPr="00D455EB" w:rsidRDefault="00723BAB" w:rsidP="00675F0B">
            <w:pPr>
              <w:spacing w:after="0"/>
              <w:jc w:val="right"/>
              <w:rPr>
                <w:b/>
                <w:sz w:val="20"/>
              </w:rPr>
            </w:pPr>
            <w:r w:rsidRPr="00D455EB">
              <w:rPr>
                <w:b/>
                <w:sz w:val="20"/>
              </w:rPr>
              <w:t>18,650</w:t>
            </w:r>
          </w:p>
        </w:tc>
        <w:tc>
          <w:tcPr>
            <w:tcW w:w="990" w:type="pct"/>
            <w:shd w:val="clear" w:color="auto" w:fill="4F81BD"/>
          </w:tcPr>
          <w:p w:rsidR="00723BAB" w:rsidRPr="00D455EB" w:rsidRDefault="00723BAB" w:rsidP="00675F0B">
            <w:pPr>
              <w:spacing w:after="0"/>
              <w:jc w:val="right"/>
              <w:rPr>
                <w:b/>
                <w:sz w:val="20"/>
              </w:rPr>
            </w:pPr>
            <w:r w:rsidRPr="00D455EB">
              <w:rPr>
                <w:b/>
                <w:sz w:val="20"/>
              </w:rPr>
              <w:t>13,528</w:t>
            </w:r>
          </w:p>
        </w:tc>
        <w:tc>
          <w:tcPr>
            <w:tcW w:w="990" w:type="pct"/>
            <w:shd w:val="clear" w:color="auto" w:fill="4F81BD"/>
          </w:tcPr>
          <w:p w:rsidR="00723BAB" w:rsidRPr="00D455EB" w:rsidRDefault="00723BAB" w:rsidP="00675F0B">
            <w:pPr>
              <w:spacing w:after="0"/>
              <w:jc w:val="right"/>
              <w:rPr>
                <w:b/>
                <w:sz w:val="20"/>
              </w:rPr>
            </w:pPr>
            <w:r w:rsidRPr="00D455EB">
              <w:rPr>
                <w:b/>
                <w:sz w:val="20"/>
              </w:rPr>
              <w:t>5,122</w:t>
            </w:r>
          </w:p>
        </w:tc>
      </w:tr>
    </w:tbl>
    <w:p w:rsidR="00723BAB" w:rsidRDefault="00723BAB" w:rsidP="000B7A87">
      <w:pPr>
        <w:pStyle w:val="Heading6"/>
      </w:pPr>
      <w:r>
        <w:br w:type="page"/>
      </w:r>
      <w:r w:rsidRPr="00702D3C">
        <w:t>Table</w:t>
      </w:r>
      <w:r>
        <w:t xml:space="preserve"> 4</w:t>
      </w:r>
    </w:p>
    <w:tbl>
      <w:tblPr>
        <w:tblW w:w="4958" w:type="pct"/>
        <w:jc w:val="center"/>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99"/>
        <w:gridCol w:w="1616"/>
        <w:gridCol w:w="1950"/>
        <w:gridCol w:w="1263"/>
        <w:gridCol w:w="1168"/>
      </w:tblGrid>
      <w:tr w:rsidR="00723BAB" w:rsidRPr="00D455EB" w:rsidTr="00454714">
        <w:trPr>
          <w:trHeight w:val="20"/>
          <w:jc w:val="center"/>
        </w:trPr>
        <w:tc>
          <w:tcPr>
            <w:tcW w:w="1842" w:type="pct"/>
            <w:shd w:val="clear" w:color="auto" w:fill="4F81BD"/>
            <w:noWrap/>
            <w:vAlign w:val="center"/>
          </w:tcPr>
          <w:p w:rsidR="00723BAB" w:rsidRPr="00D455EB" w:rsidRDefault="00723BAB" w:rsidP="00675F0B">
            <w:pPr>
              <w:spacing w:after="120"/>
              <w:rPr>
                <w:rFonts w:cs="Calibri"/>
                <w:sz w:val="20"/>
              </w:rPr>
            </w:pPr>
            <w:r w:rsidRPr="00D455EB">
              <w:br w:type="page"/>
            </w:r>
            <w:r w:rsidRPr="00D455EB">
              <w:rPr>
                <w:rFonts w:cs="Calibri"/>
                <w:b/>
                <w:bCs/>
                <w:sz w:val="20"/>
              </w:rPr>
              <w:t>20X2 Taxable income components net of related deductions</w:t>
            </w:r>
          </w:p>
        </w:tc>
        <w:tc>
          <w:tcPr>
            <w:tcW w:w="851" w:type="pct"/>
            <w:shd w:val="clear" w:color="auto" w:fill="4F81BD"/>
            <w:noWrap/>
          </w:tcPr>
          <w:p w:rsidR="00723BAB" w:rsidRPr="00D455EB" w:rsidRDefault="00723BAB" w:rsidP="00673943">
            <w:pPr>
              <w:spacing w:after="120"/>
              <w:jc w:val="right"/>
              <w:rPr>
                <w:rFonts w:cs="Calibri"/>
                <w:b/>
                <w:bCs/>
                <w:sz w:val="20"/>
              </w:rPr>
            </w:pPr>
            <w:r w:rsidRPr="00D455EB">
              <w:rPr>
                <w:rFonts w:cs="Calibri"/>
                <w:b/>
                <w:bCs/>
                <w:sz w:val="20"/>
              </w:rPr>
              <w:t>Amount 20X2</w:t>
            </w:r>
          </w:p>
        </w:tc>
        <w:tc>
          <w:tcPr>
            <w:tcW w:w="1027" w:type="pct"/>
            <w:shd w:val="clear" w:color="auto" w:fill="4F81BD"/>
          </w:tcPr>
          <w:p w:rsidR="00723BAB" w:rsidRPr="00D455EB" w:rsidRDefault="00723BAB" w:rsidP="00C93AD4">
            <w:pPr>
              <w:spacing w:after="120"/>
              <w:jc w:val="right"/>
              <w:rPr>
                <w:rFonts w:cs="Calibri"/>
                <w:b/>
                <w:bCs/>
                <w:sz w:val="20"/>
              </w:rPr>
            </w:pPr>
            <w:r w:rsidRPr="00D455EB">
              <w:rPr>
                <w:rFonts w:cs="Calibri"/>
                <w:b/>
                <w:bCs/>
                <w:sz w:val="20"/>
              </w:rPr>
              <w:t>Business Income</w:t>
            </w:r>
          </w:p>
        </w:tc>
        <w:tc>
          <w:tcPr>
            <w:tcW w:w="665" w:type="pct"/>
            <w:shd w:val="clear" w:color="auto" w:fill="4F81BD"/>
          </w:tcPr>
          <w:p w:rsidR="00723BAB" w:rsidRPr="00D455EB" w:rsidRDefault="00723BAB" w:rsidP="00C93AD4">
            <w:pPr>
              <w:spacing w:after="120"/>
              <w:jc w:val="right"/>
              <w:rPr>
                <w:rFonts w:cs="Calibri"/>
                <w:b/>
                <w:bCs/>
                <w:sz w:val="20"/>
              </w:rPr>
            </w:pPr>
            <w:r w:rsidRPr="00D455EB">
              <w:rPr>
                <w:rFonts w:cs="Calibri"/>
                <w:b/>
                <w:bCs/>
                <w:sz w:val="20"/>
              </w:rPr>
              <w:t>Franked Dividends</w:t>
            </w:r>
          </w:p>
        </w:tc>
        <w:tc>
          <w:tcPr>
            <w:tcW w:w="615" w:type="pct"/>
            <w:shd w:val="clear" w:color="auto" w:fill="4F81BD"/>
          </w:tcPr>
          <w:p w:rsidR="00723BAB" w:rsidRPr="00D455EB" w:rsidRDefault="00723BAB" w:rsidP="00C93AD4">
            <w:pPr>
              <w:spacing w:after="120"/>
              <w:jc w:val="right"/>
              <w:rPr>
                <w:rFonts w:cs="Calibri"/>
                <w:b/>
                <w:bCs/>
                <w:sz w:val="20"/>
              </w:rPr>
            </w:pPr>
            <w:r w:rsidRPr="00D455EB">
              <w:rPr>
                <w:rFonts w:cs="Calibri"/>
                <w:b/>
                <w:bCs/>
                <w:sz w:val="20"/>
              </w:rPr>
              <w:t>Interest</w:t>
            </w:r>
          </w:p>
        </w:tc>
      </w:tr>
      <w:tr w:rsidR="00723BAB" w:rsidRPr="00D455EB" w:rsidTr="00454714">
        <w:trPr>
          <w:trHeight w:val="278"/>
          <w:jc w:val="center"/>
        </w:trPr>
        <w:tc>
          <w:tcPr>
            <w:tcW w:w="1842" w:type="pct"/>
            <w:noWrap/>
            <w:vAlign w:val="center"/>
          </w:tcPr>
          <w:p w:rsidR="00723BAB" w:rsidRPr="00D455EB" w:rsidRDefault="00723BAB" w:rsidP="00675F0B">
            <w:pPr>
              <w:rPr>
                <w:rFonts w:cs="Calibri"/>
                <w:sz w:val="20"/>
              </w:rPr>
            </w:pPr>
            <w:r w:rsidRPr="00D455EB">
              <w:rPr>
                <w:rFonts w:cs="Calibri"/>
                <w:sz w:val="20"/>
              </w:rPr>
              <w:t>Trading Sales</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720,000</w:t>
            </w:r>
          </w:p>
        </w:tc>
        <w:tc>
          <w:tcPr>
            <w:tcW w:w="1027" w:type="pct"/>
          </w:tcPr>
          <w:p w:rsidR="00723BAB" w:rsidRPr="00D455EB" w:rsidRDefault="00723BAB" w:rsidP="00C93AD4">
            <w:pPr>
              <w:jc w:val="right"/>
              <w:rPr>
                <w:rFonts w:cs="Calibri"/>
                <w:sz w:val="20"/>
              </w:rPr>
            </w:pPr>
            <w:r w:rsidRPr="00D455EB">
              <w:rPr>
                <w:rFonts w:cs="Calibri"/>
                <w:sz w:val="20"/>
              </w:rPr>
              <w:t>720,000</w:t>
            </w:r>
          </w:p>
        </w:tc>
        <w:tc>
          <w:tcPr>
            <w:tcW w:w="665" w:type="pct"/>
          </w:tcPr>
          <w:p w:rsidR="00723BAB" w:rsidRPr="00D455EB" w:rsidRDefault="00723BAB" w:rsidP="00C93AD4">
            <w:pPr>
              <w:jc w:val="right"/>
              <w:rPr>
                <w:rFonts w:cs="Calibri"/>
                <w:sz w:val="20"/>
              </w:rPr>
            </w:pPr>
          </w:p>
        </w:tc>
        <w:tc>
          <w:tcPr>
            <w:tcW w:w="615" w:type="pct"/>
          </w:tcPr>
          <w:p w:rsidR="00723BAB" w:rsidRPr="00D455EB" w:rsidRDefault="00723BAB" w:rsidP="00C93AD4">
            <w:pPr>
              <w:jc w:val="right"/>
              <w:rPr>
                <w:rFonts w:cs="Calibri"/>
                <w:sz w:val="20"/>
              </w:rPr>
            </w:pPr>
          </w:p>
        </w:tc>
      </w:tr>
      <w:tr w:rsidR="00723BAB" w:rsidRPr="00D455EB" w:rsidTr="00454714">
        <w:trPr>
          <w:trHeight w:val="278"/>
          <w:jc w:val="center"/>
        </w:trPr>
        <w:tc>
          <w:tcPr>
            <w:tcW w:w="1842" w:type="pct"/>
            <w:noWrap/>
            <w:vAlign w:val="center"/>
          </w:tcPr>
          <w:p w:rsidR="00723BAB" w:rsidRPr="00D455EB" w:rsidRDefault="00723BAB" w:rsidP="00675F0B">
            <w:pPr>
              <w:rPr>
                <w:rFonts w:cs="Calibri"/>
                <w:sz w:val="20"/>
              </w:rPr>
            </w:pPr>
            <w:r w:rsidRPr="00D455EB">
              <w:rPr>
                <w:rFonts w:cs="Calibri"/>
                <w:sz w:val="20"/>
              </w:rPr>
              <w:t>Cost of goods sold</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(435,000)</w:t>
            </w:r>
          </w:p>
        </w:tc>
        <w:tc>
          <w:tcPr>
            <w:tcW w:w="1027" w:type="pct"/>
          </w:tcPr>
          <w:p w:rsidR="00723BAB" w:rsidRPr="00D455EB" w:rsidRDefault="00723BAB" w:rsidP="00C93AD4">
            <w:pPr>
              <w:jc w:val="right"/>
              <w:rPr>
                <w:rFonts w:cs="Calibri"/>
                <w:sz w:val="20"/>
              </w:rPr>
            </w:pPr>
            <w:r w:rsidRPr="00D455EB">
              <w:rPr>
                <w:rFonts w:cs="Calibri"/>
                <w:sz w:val="20"/>
              </w:rPr>
              <w:t>(435,000)</w:t>
            </w:r>
          </w:p>
        </w:tc>
        <w:tc>
          <w:tcPr>
            <w:tcW w:w="665" w:type="pct"/>
          </w:tcPr>
          <w:p w:rsidR="00723BAB" w:rsidRPr="00D455EB" w:rsidRDefault="00723BAB" w:rsidP="00C93AD4">
            <w:pPr>
              <w:jc w:val="right"/>
              <w:rPr>
                <w:rFonts w:cs="Calibri"/>
                <w:sz w:val="20"/>
              </w:rPr>
            </w:pPr>
          </w:p>
        </w:tc>
        <w:tc>
          <w:tcPr>
            <w:tcW w:w="615" w:type="pct"/>
          </w:tcPr>
          <w:p w:rsidR="00723BAB" w:rsidRPr="00D455EB" w:rsidRDefault="00723BAB" w:rsidP="00C93AD4">
            <w:pPr>
              <w:jc w:val="right"/>
              <w:rPr>
                <w:rFonts w:cs="Calibri"/>
                <w:sz w:val="20"/>
              </w:rPr>
            </w:pPr>
          </w:p>
        </w:tc>
      </w:tr>
      <w:tr w:rsidR="00723BAB" w:rsidRPr="00D455EB" w:rsidTr="00454714">
        <w:trPr>
          <w:trHeight w:val="278"/>
          <w:jc w:val="center"/>
        </w:trPr>
        <w:tc>
          <w:tcPr>
            <w:tcW w:w="1842" w:type="pct"/>
            <w:noWrap/>
            <w:vAlign w:val="center"/>
          </w:tcPr>
          <w:p w:rsidR="00723BAB" w:rsidRPr="00D455EB" w:rsidRDefault="00723BAB" w:rsidP="00675F0B">
            <w:pPr>
              <w:rPr>
                <w:rFonts w:cs="Calibri"/>
                <w:sz w:val="20"/>
              </w:rPr>
            </w:pPr>
            <w:r w:rsidRPr="00D455EB">
              <w:rPr>
                <w:rFonts w:cs="Calibri"/>
                <w:sz w:val="20"/>
              </w:rPr>
              <w:t>Bad debts written off</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(1,250)</w:t>
            </w:r>
          </w:p>
        </w:tc>
        <w:tc>
          <w:tcPr>
            <w:tcW w:w="1027" w:type="pct"/>
          </w:tcPr>
          <w:p w:rsidR="00723BAB" w:rsidRPr="00D455EB" w:rsidRDefault="00723BAB" w:rsidP="00C93AD4">
            <w:pPr>
              <w:jc w:val="right"/>
              <w:rPr>
                <w:rFonts w:cs="Calibri"/>
                <w:sz w:val="20"/>
              </w:rPr>
            </w:pPr>
            <w:r w:rsidRPr="00D455EB">
              <w:rPr>
                <w:rFonts w:cs="Calibri"/>
                <w:sz w:val="20"/>
              </w:rPr>
              <w:t>(1,250)</w:t>
            </w:r>
          </w:p>
        </w:tc>
        <w:tc>
          <w:tcPr>
            <w:tcW w:w="665" w:type="pct"/>
          </w:tcPr>
          <w:p w:rsidR="00723BAB" w:rsidRPr="00D455EB" w:rsidRDefault="00723BAB" w:rsidP="00C93AD4">
            <w:pPr>
              <w:jc w:val="right"/>
              <w:rPr>
                <w:rFonts w:cs="Calibri"/>
                <w:sz w:val="20"/>
              </w:rPr>
            </w:pPr>
          </w:p>
        </w:tc>
        <w:tc>
          <w:tcPr>
            <w:tcW w:w="615" w:type="pct"/>
          </w:tcPr>
          <w:p w:rsidR="00723BAB" w:rsidRPr="00D455EB" w:rsidRDefault="00723BAB" w:rsidP="00C93AD4">
            <w:pPr>
              <w:jc w:val="right"/>
              <w:rPr>
                <w:rFonts w:cs="Calibri"/>
                <w:sz w:val="20"/>
              </w:rPr>
            </w:pPr>
          </w:p>
        </w:tc>
      </w:tr>
      <w:tr w:rsidR="00723BAB" w:rsidRPr="00D455EB" w:rsidTr="00454714">
        <w:trPr>
          <w:trHeight w:val="278"/>
          <w:jc w:val="center"/>
        </w:trPr>
        <w:tc>
          <w:tcPr>
            <w:tcW w:w="1842" w:type="pct"/>
            <w:noWrap/>
            <w:vAlign w:val="center"/>
          </w:tcPr>
          <w:p w:rsidR="00723BAB" w:rsidRPr="00D455EB" w:rsidRDefault="00723BAB" w:rsidP="00675F0B">
            <w:pPr>
              <w:rPr>
                <w:rFonts w:cs="Calibri"/>
                <w:sz w:val="20"/>
              </w:rPr>
            </w:pPr>
            <w:r w:rsidRPr="00D455EB">
              <w:rPr>
                <w:rFonts w:cs="Calibri"/>
                <w:sz w:val="20"/>
              </w:rPr>
              <w:t>Franked dividends</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10,185</w:t>
            </w:r>
          </w:p>
        </w:tc>
        <w:tc>
          <w:tcPr>
            <w:tcW w:w="1027" w:type="pct"/>
          </w:tcPr>
          <w:p w:rsidR="00723BAB" w:rsidRPr="00D455EB" w:rsidRDefault="00723BAB" w:rsidP="00C93AD4">
            <w:pPr>
              <w:jc w:val="right"/>
              <w:rPr>
                <w:rFonts w:cs="Calibri"/>
                <w:sz w:val="20"/>
              </w:rPr>
            </w:pPr>
          </w:p>
        </w:tc>
        <w:tc>
          <w:tcPr>
            <w:tcW w:w="665" w:type="pct"/>
          </w:tcPr>
          <w:p w:rsidR="00723BAB" w:rsidRPr="00D455EB" w:rsidRDefault="00723BAB" w:rsidP="00C93AD4">
            <w:pPr>
              <w:jc w:val="right"/>
              <w:rPr>
                <w:rFonts w:cs="Calibri"/>
                <w:sz w:val="20"/>
              </w:rPr>
            </w:pPr>
            <w:r w:rsidRPr="00D455EB">
              <w:rPr>
                <w:rFonts w:cs="Calibri"/>
                <w:sz w:val="20"/>
              </w:rPr>
              <w:t>10,185</w:t>
            </w:r>
          </w:p>
        </w:tc>
        <w:tc>
          <w:tcPr>
            <w:tcW w:w="615" w:type="pct"/>
          </w:tcPr>
          <w:p w:rsidR="00723BAB" w:rsidRPr="00D455EB" w:rsidRDefault="00723BAB" w:rsidP="00C93AD4">
            <w:pPr>
              <w:jc w:val="right"/>
              <w:rPr>
                <w:rFonts w:cs="Calibri"/>
                <w:sz w:val="20"/>
              </w:rPr>
            </w:pPr>
          </w:p>
        </w:tc>
      </w:tr>
      <w:tr w:rsidR="00723BAB" w:rsidRPr="00D455EB" w:rsidTr="00454714">
        <w:trPr>
          <w:trHeight w:val="278"/>
          <w:jc w:val="center"/>
        </w:trPr>
        <w:tc>
          <w:tcPr>
            <w:tcW w:w="1842" w:type="pct"/>
            <w:noWrap/>
            <w:vAlign w:val="center"/>
          </w:tcPr>
          <w:p w:rsidR="00723BAB" w:rsidRPr="00D455EB" w:rsidRDefault="00723BAB" w:rsidP="00675F0B">
            <w:pPr>
              <w:rPr>
                <w:rFonts w:cs="Calibri"/>
                <w:sz w:val="20"/>
              </w:rPr>
            </w:pPr>
            <w:r w:rsidRPr="00D455EB">
              <w:rPr>
                <w:rFonts w:cs="Calibri"/>
                <w:sz w:val="20"/>
              </w:rPr>
              <w:t>Interest income</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4,850</w:t>
            </w:r>
          </w:p>
        </w:tc>
        <w:tc>
          <w:tcPr>
            <w:tcW w:w="1027" w:type="pct"/>
          </w:tcPr>
          <w:p w:rsidR="00723BAB" w:rsidRPr="00D455EB" w:rsidRDefault="00723BAB" w:rsidP="00C93AD4">
            <w:pPr>
              <w:jc w:val="right"/>
              <w:rPr>
                <w:rFonts w:cs="Calibri"/>
                <w:sz w:val="20"/>
              </w:rPr>
            </w:pPr>
          </w:p>
        </w:tc>
        <w:tc>
          <w:tcPr>
            <w:tcW w:w="665" w:type="pct"/>
          </w:tcPr>
          <w:p w:rsidR="00723BAB" w:rsidRPr="00D455EB" w:rsidRDefault="00723BAB" w:rsidP="00C93AD4">
            <w:pPr>
              <w:jc w:val="right"/>
              <w:rPr>
                <w:rFonts w:cs="Calibri"/>
                <w:sz w:val="20"/>
              </w:rPr>
            </w:pPr>
          </w:p>
        </w:tc>
        <w:tc>
          <w:tcPr>
            <w:tcW w:w="615" w:type="pct"/>
          </w:tcPr>
          <w:p w:rsidR="00723BAB" w:rsidRPr="00D455EB" w:rsidRDefault="00723BAB" w:rsidP="00C93AD4">
            <w:pPr>
              <w:jc w:val="right"/>
              <w:rPr>
                <w:rFonts w:cs="Calibri"/>
                <w:sz w:val="20"/>
              </w:rPr>
            </w:pPr>
            <w:r w:rsidRPr="00D455EB">
              <w:rPr>
                <w:rFonts w:cs="Calibri"/>
                <w:sz w:val="20"/>
              </w:rPr>
              <w:t>4,850</w:t>
            </w:r>
          </w:p>
        </w:tc>
      </w:tr>
      <w:tr w:rsidR="00723BAB" w:rsidRPr="00D455EB" w:rsidTr="00454714">
        <w:trPr>
          <w:trHeight w:val="278"/>
          <w:jc w:val="center"/>
        </w:trPr>
        <w:tc>
          <w:tcPr>
            <w:tcW w:w="1842" w:type="pct"/>
            <w:shd w:val="clear" w:color="auto" w:fill="D2DFEE"/>
            <w:noWrap/>
            <w:vAlign w:val="center"/>
          </w:tcPr>
          <w:p w:rsidR="00723BAB" w:rsidRPr="00D455EB" w:rsidRDefault="00723BAB" w:rsidP="00675F0B">
            <w:pPr>
              <w:rPr>
                <w:rFonts w:cs="Calibri"/>
                <w:b/>
                <w:sz w:val="20"/>
              </w:rPr>
            </w:pPr>
            <w:r w:rsidRPr="00D455EB">
              <w:rPr>
                <w:rFonts w:cs="Calibri"/>
                <w:b/>
                <w:bCs/>
                <w:sz w:val="20"/>
              </w:rPr>
              <w:t>Total assessable income excluding franking credits, net of related deductions</w:t>
            </w:r>
          </w:p>
        </w:tc>
        <w:tc>
          <w:tcPr>
            <w:tcW w:w="851" w:type="pct"/>
            <w:shd w:val="clear" w:color="auto" w:fill="4F81BD"/>
            <w:noWrap/>
          </w:tcPr>
          <w:p w:rsidR="00723BAB" w:rsidRPr="00D455EB" w:rsidRDefault="00723BAB" w:rsidP="00C93AD4">
            <w:pPr>
              <w:jc w:val="right"/>
              <w:rPr>
                <w:rFonts w:cs="Calibri"/>
                <w:b/>
                <w:sz w:val="20"/>
              </w:rPr>
            </w:pPr>
            <w:r w:rsidRPr="00D455EB">
              <w:rPr>
                <w:rFonts w:cs="Calibri"/>
                <w:b/>
                <w:sz w:val="20"/>
              </w:rPr>
              <w:t xml:space="preserve">298,785 </w:t>
            </w:r>
          </w:p>
        </w:tc>
        <w:tc>
          <w:tcPr>
            <w:tcW w:w="1027" w:type="pct"/>
            <w:shd w:val="clear" w:color="auto" w:fill="D2DFEE"/>
          </w:tcPr>
          <w:p w:rsidR="00723BAB" w:rsidRPr="00D455EB" w:rsidRDefault="00723BAB" w:rsidP="00C93AD4">
            <w:pPr>
              <w:jc w:val="right"/>
              <w:rPr>
                <w:rFonts w:cs="Calibri"/>
                <w:b/>
                <w:sz w:val="20"/>
              </w:rPr>
            </w:pPr>
            <w:r w:rsidRPr="00D455EB">
              <w:rPr>
                <w:rFonts w:cs="Calibri"/>
                <w:b/>
                <w:sz w:val="20"/>
              </w:rPr>
              <w:t xml:space="preserve">283,750 </w:t>
            </w:r>
          </w:p>
        </w:tc>
        <w:tc>
          <w:tcPr>
            <w:tcW w:w="665" w:type="pct"/>
            <w:shd w:val="clear" w:color="auto" w:fill="D2DFEE"/>
          </w:tcPr>
          <w:p w:rsidR="00723BAB" w:rsidRPr="00D455EB" w:rsidRDefault="00723BAB" w:rsidP="00C93AD4">
            <w:pPr>
              <w:jc w:val="right"/>
              <w:rPr>
                <w:rFonts w:cs="Calibri"/>
                <w:b/>
                <w:sz w:val="20"/>
              </w:rPr>
            </w:pPr>
            <w:r w:rsidRPr="00D455EB">
              <w:rPr>
                <w:rFonts w:cs="Calibri"/>
                <w:b/>
                <w:sz w:val="20"/>
              </w:rPr>
              <w:t>10,185</w:t>
            </w:r>
          </w:p>
        </w:tc>
        <w:tc>
          <w:tcPr>
            <w:tcW w:w="615" w:type="pct"/>
            <w:shd w:val="clear" w:color="auto" w:fill="D2DFEE"/>
          </w:tcPr>
          <w:p w:rsidR="00723BAB" w:rsidRPr="00D455EB" w:rsidRDefault="00723BAB" w:rsidP="00C93AD4">
            <w:pPr>
              <w:jc w:val="right"/>
              <w:rPr>
                <w:rFonts w:cs="Calibri"/>
                <w:b/>
                <w:sz w:val="20"/>
              </w:rPr>
            </w:pPr>
            <w:r w:rsidRPr="00D455EB">
              <w:rPr>
                <w:rFonts w:cs="Calibri"/>
                <w:b/>
                <w:sz w:val="20"/>
              </w:rPr>
              <w:t>4,850</w:t>
            </w:r>
          </w:p>
        </w:tc>
      </w:tr>
      <w:tr w:rsidR="00723BAB" w:rsidRPr="00D455EB" w:rsidTr="00454714">
        <w:trPr>
          <w:trHeight w:val="278"/>
          <w:jc w:val="center"/>
        </w:trPr>
        <w:tc>
          <w:tcPr>
            <w:tcW w:w="1842" w:type="pct"/>
            <w:noWrap/>
            <w:vAlign w:val="center"/>
          </w:tcPr>
          <w:p w:rsidR="00723BAB" w:rsidRPr="00D455EB" w:rsidRDefault="00723BAB" w:rsidP="00675F0B">
            <w:pPr>
              <w:rPr>
                <w:rFonts w:cs="Calibri"/>
                <w:b/>
                <w:bCs/>
                <w:sz w:val="20"/>
              </w:rPr>
            </w:pPr>
          </w:p>
        </w:tc>
        <w:tc>
          <w:tcPr>
            <w:tcW w:w="851" w:type="pct"/>
            <w:shd w:val="clear" w:color="auto" w:fill="4F81BD"/>
            <w:noWrap/>
          </w:tcPr>
          <w:p w:rsidR="00723BAB" w:rsidRPr="00D455EB" w:rsidRDefault="00723BAB" w:rsidP="00C93AD4">
            <w:pPr>
              <w:jc w:val="right"/>
              <w:rPr>
                <w:rFonts w:cs="Calibri"/>
                <w:b/>
                <w:bCs/>
                <w:sz w:val="20"/>
              </w:rPr>
            </w:pPr>
            <w:r w:rsidRPr="00D455EB">
              <w:rPr>
                <w:rFonts w:cs="Calibri"/>
                <w:b/>
                <w:bCs/>
                <w:sz w:val="16"/>
              </w:rPr>
              <w:t>100.00%</w:t>
            </w:r>
          </w:p>
        </w:tc>
        <w:tc>
          <w:tcPr>
            <w:tcW w:w="1027" w:type="pct"/>
          </w:tcPr>
          <w:p w:rsidR="00723BAB" w:rsidRPr="00D455EB" w:rsidRDefault="00723BAB" w:rsidP="00C93AD4">
            <w:pPr>
              <w:jc w:val="right"/>
              <w:rPr>
                <w:rFonts w:cs="Calibri"/>
                <w:b/>
                <w:bCs/>
                <w:sz w:val="16"/>
              </w:rPr>
            </w:pPr>
            <w:r w:rsidRPr="00D455EB">
              <w:rPr>
                <w:rFonts w:cs="Calibri"/>
                <w:b/>
                <w:bCs/>
                <w:sz w:val="16"/>
              </w:rPr>
              <w:t>94.97%</w:t>
            </w:r>
          </w:p>
        </w:tc>
        <w:tc>
          <w:tcPr>
            <w:tcW w:w="665" w:type="pct"/>
          </w:tcPr>
          <w:p w:rsidR="00723BAB" w:rsidRPr="00D455EB" w:rsidRDefault="00723BAB" w:rsidP="00C93AD4">
            <w:pPr>
              <w:jc w:val="right"/>
              <w:rPr>
                <w:rFonts w:cs="Calibri"/>
                <w:b/>
                <w:bCs/>
                <w:sz w:val="16"/>
              </w:rPr>
            </w:pPr>
            <w:r w:rsidRPr="00D455EB">
              <w:rPr>
                <w:rFonts w:cs="Calibri"/>
                <w:b/>
                <w:bCs/>
                <w:sz w:val="16"/>
              </w:rPr>
              <w:t>3.41%</w:t>
            </w:r>
          </w:p>
        </w:tc>
        <w:tc>
          <w:tcPr>
            <w:tcW w:w="615" w:type="pct"/>
          </w:tcPr>
          <w:p w:rsidR="00723BAB" w:rsidRPr="00D455EB" w:rsidRDefault="00723BAB" w:rsidP="00C93AD4">
            <w:pPr>
              <w:jc w:val="right"/>
              <w:rPr>
                <w:rFonts w:cs="Calibri"/>
                <w:b/>
                <w:bCs/>
                <w:sz w:val="16"/>
              </w:rPr>
            </w:pPr>
            <w:r w:rsidRPr="00D455EB">
              <w:rPr>
                <w:rFonts w:cs="Calibri"/>
                <w:b/>
                <w:bCs/>
                <w:sz w:val="16"/>
              </w:rPr>
              <w:t>1.62%</w:t>
            </w:r>
          </w:p>
        </w:tc>
      </w:tr>
      <w:tr w:rsidR="00723BAB" w:rsidRPr="00D455EB" w:rsidTr="00454714">
        <w:trPr>
          <w:trHeight w:val="278"/>
          <w:jc w:val="center"/>
        </w:trPr>
        <w:tc>
          <w:tcPr>
            <w:tcW w:w="1842" w:type="pct"/>
            <w:noWrap/>
            <w:vAlign w:val="center"/>
          </w:tcPr>
          <w:p w:rsidR="00723BAB" w:rsidRPr="00D455EB" w:rsidRDefault="00723BAB" w:rsidP="00675F0B">
            <w:pPr>
              <w:rPr>
                <w:rFonts w:cs="Calibri"/>
                <w:sz w:val="20"/>
              </w:rPr>
            </w:pPr>
            <w:r w:rsidRPr="00D455EB">
              <w:rPr>
                <w:rFonts w:cs="Calibri"/>
                <w:sz w:val="20"/>
              </w:rPr>
              <w:t>Franking credits (gross up)</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4,365</w:t>
            </w:r>
          </w:p>
        </w:tc>
        <w:tc>
          <w:tcPr>
            <w:tcW w:w="1027" w:type="pct"/>
          </w:tcPr>
          <w:p w:rsidR="00723BAB" w:rsidRPr="00D455EB" w:rsidRDefault="00723BAB" w:rsidP="00C93AD4">
            <w:pPr>
              <w:jc w:val="right"/>
              <w:rPr>
                <w:rFonts w:cs="Calibri"/>
                <w:sz w:val="20"/>
              </w:rPr>
            </w:pPr>
          </w:p>
        </w:tc>
        <w:tc>
          <w:tcPr>
            <w:tcW w:w="665" w:type="pct"/>
          </w:tcPr>
          <w:p w:rsidR="00723BAB" w:rsidRPr="00D455EB" w:rsidRDefault="00723BAB" w:rsidP="00C93AD4">
            <w:pPr>
              <w:jc w:val="right"/>
              <w:rPr>
                <w:rFonts w:cs="Calibri"/>
                <w:sz w:val="20"/>
              </w:rPr>
            </w:pPr>
            <w:r w:rsidRPr="00D455EB">
              <w:rPr>
                <w:rFonts w:cs="Calibri"/>
                <w:sz w:val="20"/>
              </w:rPr>
              <w:t>4,365</w:t>
            </w:r>
          </w:p>
        </w:tc>
        <w:tc>
          <w:tcPr>
            <w:tcW w:w="615" w:type="pct"/>
          </w:tcPr>
          <w:p w:rsidR="00723BAB" w:rsidRPr="00D455EB" w:rsidRDefault="00723BAB" w:rsidP="00C93AD4">
            <w:pPr>
              <w:jc w:val="right"/>
              <w:rPr>
                <w:rFonts w:cs="Calibri"/>
                <w:sz w:val="20"/>
              </w:rPr>
            </w:pPr>
          </w:p>
        </w:tc>
      </w:tr>
      <w:tr w:rsidR="00723BAB" w:rsidRPr="00D455EB" w:rsidTr="00454714">
        <w:trPr>
          <w:trHeight w:val="278"/>
          <w:jc w:val="center"/>
        </w:trPr>
        <w:tc>
          <w:tcPr>
            <w:tcW w:w="1842" w:type="pct"/>
            <w:shd w:val="clear" w:color="auto" w:fill="D2DFEE"/>
            <w:noWrap/>
            <w:vAlign w:val="center"/>
          </w:tcPr>
          <w:p w:rsidR="00723BAB" w:rsidRPr="00D455EB" w:rsidRDefault="00723BAB" w:rsidP="00675F0B">
            <w:pPr>
              <w:rPr>
                <w:rFonts w:cs="Calibri"/>
                <w:b/>
                <w:sz w:val="20"/>
              </w:rPr>
            </w:pPr>
            <w:r w:rsidRPr="00D455EB">
              <w:rPr>
                <w:rFonts w:cs="Calibri"/>
                <w:b/>
                <w:bCs/>
                <w:sz w:val="20"/>
              </w:rPr>
              <w:t>Total assessable income net of related deductions</w:t>
            </w:r>
          </w:p>
        </w:tc>
        <w:tc>
          <w:tcPr>
            <w:tcW w:w="851" w:type="pct"/>
            <w:shd w:val="clear" w:color="auto" w:fill="4F81BD"/>
            <w:noWrap/>
          </w:tcPr>
          <w:p w:rsidR="00723BAB" w:rsidRPr="00D455EB" w:rsidRDefault="00723BAB" w:rsidP="00C93AD4">
            <w:pPr>
              <w:jc w:val="right"/>
              <w:rPr>
                <w:rFonts w:cs="Calibri"/>
                <w:b/>
                <w:sz w:val="20"/>
              </w:rPr>
            </w:pPr>
            <w:r w:rsidRPr="00D455EB">
              <w:rPr>
                <w:rFonts w:cs="Calibri"/>
                <w:b/>
                <w:sz w:val="20"/>
              </w:rPr>
              <w:t>303,150</w:t>
            </w:r>
          </w:p>
        </w:tc>
        <w:tc>
          <w:tcPr>
            <w:tcW w:w="1027" w:type="pct"/>
            <w:shd w:val="clear" w:color="auto" w:fill="D2DFEE"/>
          </w:tcPr>
          <w:p w:rsidR="00723BAB" w:rsidRPr="00D455EB" w:rsidRDefault="00723BAB" w:rsidP="00C93AD4">
            <w:pPr>
              <w:jc w:val="right"/>
              <w:rPr>
                <w:rFonts w:cs="Calibri"/>
                <w:b/>
                <w:sz w:val="20"/>
              </w:rPr>
            </w:pPr>
            <w:r w:rsidRPr="00D455EB">
              <w:rPr>
                <w:rFonts w:cs="Calibri"/>
                <w:b/>
                <w:sz w:val="20"/>
              </w:rPr>
              <w:t>283,750</w:t>
            </w:r>
          </w:p>
        </w:tc>
        <w:tc>
          <w:tcPr>
            <w:tcW w:w="665" w:type="pct"/>
            <w:shd w:val="clear" w:color="auto" w:fill="D2DFEE"/>
          </w:tcPr>
          <w:p w:rsidR="00723BAB" w:rsidRPr="00D455EB" w:rsidRDefault="00723BAB" w:rsidP="00C93AD4">
            <w:pPr>
              <w:jc w:val="right"/>
              <w:rPr>
                <w:rFonts w:cs="Calibri"/>
                <w:b/>
                <w:sz w:val="20"/>
              </w:rPr>
            </w:pPr>
            <w:r w:rsidRPr="00D455EB">
              <w:rPr>
                <w:rFonts w:cs="Calibri"/>
                <w:b/>
                <w:sz w:val="20"/>
              </w:rPr>
              <w:t>14,550</w:t>
            </w:r>
          </w:p>
        </w:tc>
        <w:tc>
          <w:tcPr>
            <w:tcW w:w="615" w:type="pct"/>
            <w:shd w:val="clear" w:color="auto" w:fill="D2DFEE"/>
          </w:tcPr>
          <w:p w:rsidR="00723BAB" w:rsidRPr="00D455EB" w:rsidRDefault="00723BAB" w:rsidP="00C93AD4">
            <w:pPr>
              <w:jc w:val="right"/>
              <w:rPr>
                <w:rFonts w:cs="Calibri"/>
                <w:b/>
                <w:sz w:val="20"/>
              </w:rPr>
            </w:pPr>
            <w:r w:rsidRPr="00D455EB">
              <w:rPr>
                <w:rFonts w:cs="Calibri"/>
                <w:b/>
                <w:sz w:val="20"/>
              </w:rPr>
              <w:t>4,850</w:t>
            </w:r>
          </w:p>
        </w:tc>
      </w:tr>
      <w:tr w:rsidR="00723BAB" w:rsidRPr="00D455EB" w:rsidTr="00454714">
        <w:trPr>
          <w:trHeight w:val="278"/>
          <w:jc w:val="center"/>
        </w:trPr>
        <w:tc>
          <w:tcPr>
            <w:tcW w:w="1842" w:type="pct"/>
            <w:noWrap/>
            <w:vAlign w:val="center"/>
          </w:tcPr>
          <w:p w:rsidR="00723BAB" w:rsidRPr="00D455EB" w:rsidRDefault="00723BAB" w:rsidP="00675F0B">
            <w:pPr>
              <w:rPr>
                <w:rFonts w:cs="Calibri"/>
                <w:sz w:val="20"/>
              </w:rPr>
            </w:pPr>
            <w:r w:rsidRPr="00D455EB">
              <w:rPr>
                <w:rFonts w:cs="Calibri"/>
                <w:b/>
                <w:bCs/>
                <w:sz w:val="20"/>
              </w:rPr>
              <w:t>General deductions</w:t>
            </w:r>
          </w:p>
        </w:tc>
        <w:tc>
          <w:tcPr>
            <w:tcW w:w="851" w:type="pct"/>
            <w:shd w:val="clear" w:color="auto" w:fill="4F81BD"/>
            <w:noWrap/>
          </w:tcPr>
          <w:p w:rsidR="00723BAB" w:rsidRPr="00D455EB" w:rsidRDefault="00723BAB" w:rsidP="00C93AD4">
            <w:pPr>
              <w:jc w:val="right"/>
              <w:rPr>
                <w:rFonts w:cs="Calibri"/>
                <w:b/>
                <w:bCs/>
                <w:sz w:val="20"/>
              </w:rPr>
            </w:pPr>
          </w:p>
        </w:tc>
        <w:tc>
          <w:tcPr>
            <w:tcW w:w="1027" w:type="pct"/>
          </w:tcPr>
          <w:p w:rsidR="00723BAB" w:rsidRPr="00D455EB" w:rsidRDefault="00723BAB" w:rsidP="00C93AD4">
            <w:pPr>
              <w:jc w:val="right"/>
              <w:rPr>
                <w:rFonts w:cs="Calibri"/>
                <w:b/>
                <w:bCs/>
                <w:sz w:val="20"/>
              </w:rPr>
            </w:pPr>
          </w:p>
        </w:tc>
        <w:tc>
          <w:tcPr>
            <w:tcW w:w="665" w:type="pct"/>
          </w:tcPr>
          <w:p w:rsidR="00723BAB" w:rsidRPr="00D455EB" w:rsidRDefault="00723BAB" w:rsidP="00C93AD4">
            <w:pPr>
              <w:jc w:val="right"/>
              <w:rPr>
                <w:rFonts w:cs="Calibri"/>
                <w:b/>
                <w:bCs/>
                <w:sz w:val="20"/>
              </w:rPr>
            </w:pPr>
          </w:p>
        </w:tc>
        <w:tc>
          <w:tcPr>
            <w:tcW w:w="615" w:type="pct"/>
          </w:tcPr>
          <w:p w:rsidR="00723BAB" w:rsidRPr="00D455EB" w:rsidRDefault="00723BAB" w:rsidP="00C93AD4">
            <w:pPr>
              <w:jc w:val="right"/>
              <w:rPr>
                <w:rFonts w:cs="Calibri"/>
                <w:b/>
                <w:bCs/>
                <w:sz w:val="20"/>
              </w:rPr>
            </w:pPr>
          </w:p>
        </w:tc>
      </w:tr>
      <w:tr w:rsidR="00723BAB" w:rsidRPr="00D455EB" w:rsidTr="00454714">
        <w:trPr>
          <w:trHeight w:val="278"/>
          <w:jc w:val="center"/>
        </w:trPr>
        <w:tc>
          <w:tcPr>
            <w:tcW w:w="1842" w:type="pct"/>
            <w:noWrap/>
            <w:vAlign w:val="center"/>
          </w:tcPr>
          <w:p w:rsidR="00723BAB" w:rsidRDefault="00723BAB" w:rsidP="00416428">
            <w:pPr>
              <w:ind w:left="501"/>
              <w:rPr>
                <w:rFonts w:ascii="Cambria" w:hAnsi="Cambria" w:cs="Calibri"/>
                <w:color w:val="4F81BD"/>
                <w:sz w:val="20"/>
              </w:rPr>
            </w:pPr>
            <w:r w:rsidRPr="00D455EB">
              <w:rPr>
                <w:rFonts w:cs="Calibri"/>
                <w:sz w:val="20"/>
              </w:rPr>
              <w:t>Depreciation</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37,500</w:t>
            </w:r>
          </w:p>
        </w:tc>
        <w:tc>
          <w:tcPr>
            <w:tcW w:w="1027" w:type="pct"/>
          </w:tcPr>
          <w:p w:rsidR="00723BAB" w:rsidRPr="00D455EB" w:rsidRDefault="00723BAB" w:rsidP="00C93AD4">
            <w:pPr>
              <w:jc w:val="right"/>
              <w:rPr>
                <w:rFonts w:cs="Calibri"/>
                <w:sz w:val="20"/>
              </w:rPr>
            </w:pPr>
            <w:r w:rsidRPr="00D455EB">
              <w:rPr>
                <w:rFonts w:cs="Calibri"/>
                <w:sz w:val="20"/>
              </w:rPr>
              <w:t>35,613</w:t>
            </w:r>
          </w:p>
        </w:tc>
        <w:tc>
          <w:tcPr>
            <w:tcW w:w="665" w:type="pct"/>
          </w:tcPr>
          <w:p w:rsidR="00723BAB" w:rsidRPr="00D455EB" w:rsidRDefault="00723BAB" w:rsidP="00C93AD4">
            <w:pPr>
              <w:jc w:val="right"/>
              <w:rPr>
                <w:rFonts w:cs="Calibri"/>
                <w:sz w:val="20"/>
              </w:rPr>
            </w:pPr>
            <w:r w:rsidRPr="00D455EB">
              <w:rPr>
                <w:rFonts w:cs="Calibri"/>
                <w:sz w:val="20"/>
              </w:rPr>
              <w:t>1,278</w:t>
            </w:r>
          </w:p>
        </w:tc>
        <w:tc>
          <w:tcPr>
            <w:tcW w:w="615" w:type="pct"/>
          </w:tcPr>
          <w:p w:rsidR="00723BAB" w:rsidRPr="00D455EB" w:rsidRDefault="00723BAB" w:rsidP="00C93AD4">
            <w:pPr>
              <w:jc w:val="right"/>
              <w:rPr>
                <w:rFonts w:cs="Calibri"/>
                <w:sz w:val="20"/>
              </w:rPr>
            </w:pPr>
            <w:r w:rsidRPr="00D455EB">
              <w:rPr>
                <w:rFonts w:cs="Calibri"/>
                <w:sz w:val="20"/>
              </w:rPr>
              <w:t>609</w:t>
            </w:r>
          </w:p>
        </w:tc>
      </w:tr>
      <w:tr w:rsidR="00723BAB" w:rsidRPr="00D455EB" w:rsidTr="00454714">
        <w:trPr>
          <w:trHeight w:val="278"/>
          <w:jc w:val="center"/>
        </w:trPr>
        <w:tc>
          <w:tcPr>
            <w:tcW w:w="1842" w:type="pct"/>
            <w:noWrap/>
            <w:vAlign w:val="center"/>
          </w:tcPr>
          <w:p w:rsidR="00723BAB" w:rsidRDefault="00723BAB" w:rsidP="00416428">
            <w:pPr>
              <w:ind w:left="501"/>
              <w:rPr>
                <w:rFonts w:ascii="Cambria" w:hAnsi="Cambria" w:cs="Calibri"/>
                <w:color w:val="4F81BD"/>
                <w:sz w:val="20"/>
              </w:rPr>
            </w:pPr>
            <w:r w:rsidRPr="00D455EB">
              <w:rPr>
                <w:rFonts w:cs="Calibri"/>
                <w:sz w:val="20"/>
              </w:rPr>
              <w:t>Salary and Wages</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70,000</w:t>
            </w:r>
          </w:p>
        </w:tc>
        <w:tc>
          <w:tcPr>
            <w:tcW w:w="1027" w:type="pct"/>
          </w:tcPr>
          <w:p w:rsidR="00723BAB" w:rsidRPr="00D455EB" w:rsidRDefault="00723BAB" w:rsidP="00C93AD4">
            <w:pPr>
              <w:jc w:val="right"/>
              <w:rPr>
                <w:rFonts w:cs="Calibri"/>
                <w:sz w:val="20"/>
              </w:rPr>
            </w:pPr>
            <w:r w:rsidRPr="00D455EB">
              <w:rPr>
                <w:rFonts w:cs="Calibri"/>
                <w:sz w:val="20"/>
              </w:rPr>
              <w:t>66,478</w:t>
            </w:r>
          </w:p>
        </w:tc>
        <w:tc>
          <w:tcPr>
            <w:tcW w:w="665" w:type="pct"/>
          </w:tcPr>
          <w:p w:rsidR="00723BAB" w:rsidRPr="00D455EB" w:rsidRDefault="00723BAB" w:rsidP="00C93AD4">
            <w:pPr>
              <w:jc w:val="right"/>
              <w:rPr>
                <w:rFonts w:cs="Calibri"/>
                <w:sz w:val="20"/>
              </w:rPr>
            </w:pPr>
            <w:r w:rsidRPr="00D455EB">
              <w:rPr>
                <w:rFonts w:cs="Calibri"/>
                <w:sz w:val="20"/>
              </w:rPr>
              <w:t>2,386</w:t>
            </w:r>
          </w:p>
        </w:tc>
        <w:tc>
          <w:tcPr>
            <w:tcW w:w="615" w:type="pct"/>
          </w:tcPr>
          <w:p w:rsidR="00723BAB" w:rsidRPr="00D455EB" w:rsidRDefault="00723BAB" w:rsidP="00C93AD4">
            <w:pPr>
              <w:jc w:val="right"/>
              <w:rPr>
                <w:rFonts w:cs="Calibri"/>
                <w:sz w:val="20"/>
              </w:rPr>
            </w:pPr>
            <w:r w:rsidRPr="00D455EB">
              <w:rPr>
                <w:rFonts w:cs="Calibri"/>
                <w:sz w:val="20"/>
              </w:rPr>
              <w:t>1,136</w:t>
            </w:r>
          </w:p>
        </w:tc>
      </w:tr>
      <w:tr w:rsidR="00723BAB" w:rsidRPr="00D455EB" w:rsidTr="00454714">
        <w:trPr>
          <w:trHeight w:val="278"/>
          <w:jc w:val="center"/>
        </w:trPr>
        <w:tc>
          <w:tcPr>
            <w:tcW w:w="1842" w:type="pct"/>
            <w:noWrap/>
            <w:vAlign w:val="center"/>
          </w:tcPr>
          <w:p w:rsidR="00723BAB" w:rsidRDefault="00723BAB" w:rsidP="00416428">
            <w:pPr>
              <w:ind w:left="501"/>
              <w:rPr>
                <w:rFonts w:ascii="Cambria" w:hAnsi="Cambria" w:cs="Calibri"/>
                <w:color w:val="4F81BD"/>
                <w:sz w:val="20"/>
              </w:rPr>
            </w:pPr>
            <w:r w:rsidRPr="00D455EB">
              <w:rPr>
                <w:rFonts w:cs="Calibri"/>
                <w:sz w:val="20"/>
              </w:rPr>
              <w:t>Expenses accrued prior</w:t>
            </w:r>
            <w:r w:rsidRPr="00D455EB">
              <w:rPr>
                <w:rFonts w:cs="Calibri"/>
                <w:sz w:val="20"/>
              </w:rPr>
              <w:noBreakHyphen/>
              <w:t>year (now incurred)</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25,000</w:t>
            </w:r>
          </w:p>
        </w:tc>
        <w:tc>
          <w:tcPr>
            <w:tcW w:w="1027" w:type="pct"/>
          </w:tcPr>
          <w:p w:rsidR="00723BAB" w:rsidRPr="00D455EB" w:rsidRDefault="00723BAB" w:rsidP="00C93AD4">
            <w:pPr>
              <w:jc w:val="right"/>
              <w:rPr>
                <w:rFonts w:cs="Calibri"/>
                <w:sz w:val="20"/>
              </w:rPr>
            </w:pPr>
            <w:r w:rsidRPr="00D455EB">
              <w:rPr>
                <w:rFonts w:cs="Calibri"/>
                <w:sz w:val="20"/>
              </w:rPr>
              <w:t>23,742</w:t>
            </w:r>
          </w:p>
        </w:tc>
        <w:tc>
          <w:tcPr>
            <w:tcW w:w="665" w:type="pct"/>
          </w:tcPr>
          <w:p w:rsidR="00723BAB" w:rsidRPr="00D455EB" w:rsidRDefault="00723BAB" w:rsidP="00C93AD4">
            <w:pPr>
              <w:jc w:val="right"/>
              <w:rPr>
                <w:rFonts w:cs="Calibri"/>
                <w:sz w:val="20"/>
              </w:rPr>
            </w:pPr>
            <w:r w:rsidRPr="00D455EB">
              <w:rPr>
                <w:rFonts w:cs="Calibri"/>
                <w:sz w:val="20"/>
              </w:rPr>
              <w:t>852</w:t>
            </w:r>
          </w:p>
        </w:tc>
        <w:tc>
          <w:tcPr>
            <w:tcW w:w="615" w:type="pct"/>
          </w:tcPr>
          <w:p w:rsidR="00723BAB" w:rsidRPr="00D455EB" w:rsidRDefault="00723BAB" w:rsidP="00C93AD4">
            <w:pPr>
              <w:jc w:val="right"/>
              <w:rPr>
                <w:rFonts w:cs="Calibri"/>
                <w:sz w:val="20"/>
              </w:rPr>
            </w:pPr>
            <w:r w:rsidRPr="00D455EB">
              <w:rPr>
                <w:rFonts w:cs="Calibri"/>
                <w:sz w:val="20"/>
              </w:rPr>
              <w:t>406</w:t>
            </w:r>
          </w:p>
        </w:tc>
      </w:tr>
      <w:tr w:rsidR="00723BAB" w:rsidRPr="00D455EB" w:rsidTr="00454714">
        <w:trPr>
          <w:trHeight w:val="278"/>
          <w:jc w:val="center"/>
        </w:trPr>
        <w:tc>
          <w:tcPr>
            <w:tcW w:w="1842" w:type="pct"/>
            <w:noWrap/>
            <w:vAlign w:val="center"/>
          </w:tcPr>
          <w:p w:rsidR="00723BAB" w:rsidRDefault="00723BAB" w:rsidP="00416428">
            <w:pPr>
              <w:ind w:left="501"/>
              <w:rPr>
                <w:rFonts w:ascii="Cambria" w:hAnsi="Cambria" w:cs="Calibri"/>
                <w:color w:val="4F81BD"/>
                <w:sz w:val="20"/>
              </w:rPr>
            </w:pPr>
            <w:r w:rsidRPr="00D455EB">
              <w:rPr>
                <w:rFonts w:cs="Calibri"/>
                <w:sz w:val="20"/>
              </w:rPr>
              <w:t>Other expenses</w:t>
            </w:r>
          </w:p>
        </w:tc>
        <w:tc>
          <w:tcPr>
            <w:tcW w:w="851" w:type="pct"/>
            <w:shd w:val="clear" w:color="auto" w:fill="4F81BD"/>
            <w:noWrap/>
          </w:tcPr>
          <w:p w:rsidR="00723BAB" w:rsidRPr="00D455EB" w:rsidRDefault="00723BAB" w:rsidP="00C93AD4">
            <w:pPr>
              <w:jc w:val="right"/>
              <w:rPr>
                <w:rFonts w:cs="Calibri"/>
                <w:sz w:val="20"/>
              </w:rPr>
            </w:pPr>
            <w:r w:rsidRPr="00D455EB">
              <w:rPr>
                <w:rFonts w:cs="Calibri"/>
                <w:sz w:val="20"/>
              </w:rPr>
              <w:t>120,000</w:t>
            </w:r>
          </w:p>
        </w:tc>
        <w:tc>
          <w:tcPr>
            <w:tcW w:w="1027" w:type="pct"/>
          </w:tcPr>
          <w:p w:rsidR="00723BAB" w:rsidRPr="00D455EB" w:rsidRDefault="00723BAB" w:rsidP="00C93AD4">
            <w:pPr>
              <w:jc w:val="right"/>
              <w:rPr>
                <w:rFonts w:cs="Calibri"/>
                <w:sz w:val="20"/>
              </w:rPr>
            </w:pPr>
            <w:r w:rsidRPr="00D455EB">
              <w:rPr>
                <w:rFonts w:cs="Calibri"/>
                <w:sz w:val="20"/>
              </w:rPr>
              <w:t>113,962</w:t>
            </w:r>
          </w:p>
        </w:tc>
        <w:tc>
          <w:tcPr>
            <w:tcW w:w="665" w:type="pct"/>
          </w:tcPr>
          <w:p w:rsidR="00723BAB" w:rsidRPr="00D455EB" w:rsidRDefault="00723BAB" w:rsidP="00C93AD4">
            <w:pPr>
              <w:jc w:val="right"/>
              <w:rPr>
                <w:rFonts w:cs="Calibri"/>
                <w:sz w:val="20"/>
              </w:rPr>
            </w:pPr>
            <w:r w:rsidRPr="00D455EB">
              <w:rPr>
                <w:rFonts w:cs="Calibri"/>
                <w:sz w:val="20"/>
              </w:rPr>
              <w:t>4,091</w:t>
            </w:r>
          </w:p>
        </w:tc>
        <w:tc>
          <w:tcPr>
            <w:tcW w:w="615" w:type="pct"/>
          </w:tcPr>
          <w:p w:rsidR="00723BAB" w:rsidRPr="00D455EB" w:rsidRDefault="00723BAB" w:rsidP="00C93AD4">
            <w:pPr>
              <w:jc w:val="right"/>
              <w:rPr>
                <w:rFonts w:cs="Calibri"/>
                <w:sz w:val="20"/>
              </w:rPr>
            </w:pPr>
            <w:r w:rsidRPr="00D455EB">
              <w:rPr>
                <w:rFonts w:cs="Calibri"/>
                <w:sz w:val="20"/>
              </w:rPr>
              <w:t>1,948</w:t>
            </w:r>
          </w:p>
        </w:tc>
      </w:tr>
      <w:tr w:rsidR="00723BAB" w:rsidRPr="00D455EB" w:rsidTr="00454714">
        <w:trPr>
          <w:trHeight w:val="278"/>
          <w:jc w:val="center"/>
        </w:trPr>
        <w:tc>
          <w:tcPr>
            <w:tcW w:w="1842" w:type="pct"/>
            <w:shd w:val="clear" w:color="auto" w:fill="D2DFEE"/>
            <w:noWrap/>
            <w:vAlign w:val="center"/>
          </w:tcPr>
          <w:p w:rsidR="00723BAB" w:rsidRPr="00D455EB" w:rsidRDefault="00723BAB" w:rsidP="00675F0B">
            <w:pPr>
              <w:rPr>
                <w:rFonts w:cs="Calibri"/>
                <w:b/>
                <w:sz w:val="20"/>
              </w:rPr>
            </w:pPr>
            <w:r w:rsidRPr="00D455EB">
              <w:rPr>
                <w:rFonts w:cs="Calibri"/>
                <w:b/>
                <w:bCs/>
                <w:sz w:val="20"/>
              </w:rPr>
              <w:t>Total general deductions</w:t>
            </w:r>
          </w:p>
        </w:tc>
        <w:tc>
          <w:tcPr>
            <w:tcW w:w="851" w:type="pct"/>
            <w:shd w:val="clear" w:color="auto" w:fill="4F81BD"/>
            <w:noWrap/>
          </w:tcPr>
          <w:p w:rsidR="00723BAB" w:rsidRPr="00D455EB" w:rsidRDefault="00723BAB" w:rsidP="00C93AD4">
            <w:pPr>
              <w:jc w:val="right"/>
              <w:rPr>
                <w:rFonts w:cs="Calibri"/>
                <w:b/>
                <w:bCs/>
                <w:sz w:val="20"/>
              </w:rPr>
            </w:pPr>
            <w:r w:rsidRPr="00D455EB">
              <w:rPr>
                <w:rFonts w:cs="Calibri"/>
                <w:b/>
                <w:bCs/>
                <w:sz w:val="20"/>
              </w:rPr>
              <w:t>252,500</w:t>
            </w:r>
          </w:p>
        </w:tc>
        <w:tc>
          <w:tcPr>
            <w:tcW w:w="1027" w:type="pct"/>
            <w:shd w:val="clear" w:color="auto" w:fill="D2DFEE"/>
          </w:tcPr>
          <w:p w:rsidR="00723BAB" w:rsidRPr="00D455EB" w:rsidRDefault="00723BAB" w:rsidP="00797669">
            <w:pPr>
              <w:jc w:val="right"/>
              <w:rPr>
                <w:rFonts w:cs="Calibri"/>
                <w:b/>
                <w:sz w:val="20"/>
              </w:rPr>
            </w:pPr>
            <w:r w:rsidRPr="00D455EB">
              <w:rPr>
                <w:rFonts w:cs="Calibri"/>
                <w:b/>
                <w:sz w:val="20"/>
              </w:rPr>
              <w:t>239,795</w:t>
            </w:r>
          </w:p>
        </w:tc>
        <w:tc>
          <w:tcPr>
            <w:tcW w:w="665" w:type="pct"/>
            <w:shd w:val="clear" w:color="auto" w:fill="D2DFEE"/>
          </w:tcPr>
          <w:p w:rsidR="00723BAB" w:rsidRPr="00D455EB" w:rsidRDefault="00723BAB" w:rsidP="00C93AD4">
            <w:pPr>
              <w:jc w:val="right"/>
              <w:rPr>
                <w:rFonts w:cs="Calibri"/>
                <w:b/>
                <w:sz w:val="20"/>
              </w:rPr>
            </w:pPr>
            <w:r w:rsidRPr="00D455EB">
              <w:rPr>
                <w:rFonts w:cs="Calibri"/>
                <w:b/>
                <w:sz w:val="20"/>
              </w:rPr>
              <w:t>8,607</w:t>
            </w:r>
          </w:p>
        </w:tc>
        <w:tc>
          <w:tcPr>
            <w:tcW w:w="615" w:type="pct"/>
            <w:shd w:val="clear" w:color="auto" w:fill="D2DFEE"/>
          </w:tcPr>
          <w:p w:rsidR="00723BAB" w:rsidRPr="00D455EB" w:rsidRDefault="00723BAB" w:rsidP="00C93AD4">
            <w:pPr>
              <w:jc w:val="right"/>
              <w:rPr>
                <w:rFonts w:cs="Calibri"/>
                <w:b/>
                <w:sz w:val="20"/>
              </w:rPr>
            </w:pPr>
            <w:r w:rsidRPr="00D455EB">
              <w:rPr>
                <w:rFonts w:cs="Calibri"/>
                <w:b/>
                <w:sz w:val="20"/>
              </w:rPr>
              <w:t>4,099</w:t>
            </w:r>
          </w:p>
        </w:tc>
      </w:tr>
      <w:tr w:rsidR="00723BAB" w:rsidRPr="00D455EB" w:rsidTr="00454714">
        <w:trPr>
          <w:trHeight w:val="278"/>
          <w:jc w:val="center"/>
        </w:trPr>
        <w:tc>
          <w:tcPr>
            <w:tcW w:w="1842" w:type="pct"/>
            <w:shd w:val="clear" w:color="auto" w:fill="D9D9D9"/>
            <w:noWrap/>
            <w:vAlign w:val="center"/>
          </w:tcPr>
          <w:p w:rsidR="00723BAB" w:rsidRPr="00D455EB" w:rsidRDefault="00723BAB" w:rsidP="00675F0B">
            <w:pPr>
              <w:rPr>
                <w:rFonts w:cs="Calibri"/>
                <w:b/>
                <w:sz w:val="20"/>
              </w:rPr>
            </w:pPr>
            <w:r w:rsidRPr="00D455EB">
              <w:rPr>
                <w:rFonts w:cs="Calibri"/>
                <w:b/>
                <w:bCs/>
                <w:sz w:val="20"/>
              </w:rPr>
              <w:t>Total 20X2 net taxable income components</w:t>
            </w:r>
          </w:p>
        </w:tc>
        <w:tc>
          <w:tcPr>
            <w:tcW w:w="851" w:type="pct"/>
            <w:shd w:val="clear" w:color="auto" w:fill="4F81BD"/>
            <w:noWrap/>
          </w:tcPr>
          <w:p w:rsidR="00723BAB" w:rsidRPr="00D455EB" w:rsidRDefault="00723BAB" w:rsidP="00C93AD4">
            <w:pPr>
              <w:jc w:val="right"/>
              <w:rPr>
                <w:rFonts w:cs="Calibri"/>
                <w:b/>
                <w:bCs/>
                <w:sz w:val="20"/>
              </w:rPr>
            </w:pPr>
            <w:r w:rsidRPr="00D455EB">
              <w:rPr>
                <w:rFonts w:cs="Calibri"/>
                <w:b/>
                <w:bCs/>
                <w:sz w:val="20"/>
              </w:rPr>
              <w:t>50,650</w:t>
            </w:r>
          </w:p>
        </w:tc>
        <w:tc>
          <w:tcPr>
            <w:tcW w:w="1027" w:type="pct"/>
            <w:shd w:val="clear" w:color="auto" w:fill="D9D9D9"/>
          </w:tcPr>
          <w:p w:rsidR="00723BAB" w:rsidRPr="00D455EB" w:rsidRDefault="00723BAB" w:rsidP="00C93AD4">
            <w:pPr>
              <w:jc w:val="right"/>
              <w:rPr>
                <w:rFonts w:cs="Calibri"/>
                <w:b/>
                <w:sz w:val="20"/>
              </w:rPr>
            </w:pPr>
            <w:r w:rsidRPr="00D455EB">
              <w:rPr>
                <w:rFonts w:cs="Calibri"/>
                <w:b/>
                <w:sz w:val="20"/>
              </w:rPr>
              <w:t>43,955</w:t>
            </w:r>
          </w:p>
        </w:tc>
        <w:tc>
          <w:tcPr>
            <w:tcW w:w="665" w:type="pct"/>
            <w:shd w:val="clear" w:color="auto" w:fill="D9D9D9"/>
          </w:tcPr>
          <w:p w:rsidR="00723BAB" w:rsidRPr="00D455EB" w:rsidRDefault="00723BAB" w:rsidP="00C93AD4">
            <w:pPr>
              <w:jc w:val="right"/>
              <w:rPr>
                <w:rFonts w:cs="Calibri"/>
                <w:b/>
                <w:sz w:val="20"/>
              </w:rPr>
            </w:pPr>
            <w:r w:rsidRPr="00D455EB">
              <w:rPr>
                <w:rFonts w:cs="Calibri"/>
                <w:b/>
                <w:sz w:val="20"/>
              </w:rPr>
              <w:t>5,943</w:t>
            </w:r>
          </w:p>
        </w:tc>
        <w:tc>
          <w:tcPr>
            <w:tcW w:w="615" w:type="pct"/>
            <w:shd w:val="clear" w:color="auto" w:fill="D9D9D9"/>
          </w:tcPr>
          <w:p w:rsidR="00723BAB" w:rsidRPr="00D455EB" w:rsidRDefault="00723BAB" w:rsidP="00C93AD4">
            <w:pPr>
              <w:jc w:val="right"/>
              <w:rPr>
                <w:rFonts w:cs="Calibri"/>
                <w:b/>
                <w:sz w:val="20"/>
              </w:rPr>
            </w:pPr>
            <w:r w:rsidRPr="00D455EB">
              <w:rPr>
                <w:rFonts w:cs="Calibri"/>
                <w:b/>
                <w:sz w:val="20"/>
              </w:rPr>
              <w:t>751</w:t>
            </w:r>
          </w:p>
        </w:tc>
      </w:tr>
    </w:tbl>
    <w:p w:rsidR="00723BAB" w:rsidRDefault="00723BAB" w:rsidP="00675F0B">
      <w:pPr>
        <w:pStyle w:val="Heading4"/>
      </w:pPr>
    </w:p>
    <w:p w:rsidR="00723BAB" w:rsidRDefault="00723BAB" w:rsidP="00675F0B">
      <w:pPr>
        <w:pStyle w:val="Heading4"/>
      </w:pPr>
      <w:r>
        <w:t>3. Distribute and allocate amounts representing taxable income</w:t>
      </w:r>
      <w:r w:rsidR="007D6D8C">
        <w:t>.</w:t>
      </w:r>
    </w:p>
    <w:p w:rsidR="00723BAB" w:rsidRDefault="00723BAB" w:rsidP="00675F0B">
      <w:r>
        <w:t xml:space="preserve">The trustee of the Colour Trust will </w:t>
      </w:r>
      <w:r w:rsidR="008C620F">
        <w:t>reduce its taxable income by the amount of any</w:t>
      </w:r>
      <w:r>
        <w:t xml:space="preserve"> distributions and allocations. These amounts, which have been calculated on a net basis, are as follows:</w:t>
      </w:r>
    </w:p>
    <w:p w:rsidR="00723BAB" w:rsidRPr="005E6855" w:rsidRDefault="00723BAB" w:rsidP="000B7A87">
      <w:pPr>
        <w:pStyle w:val="Heading6"/>
      </w:pPr>
      <w:r>
        <w:br w:type="page"/>
      </w:r>
      <w:r w:rsidRPr="005E6855">
        <w:t>Table 5</w:t>
      </w:r>
    </w:p>
    <w:tbl>
      <w:tblPr>
        <w:tblW w:w="5000" w:type="pct"/>
        <w:tblLook w:val="00A0" w:firstRow="1" w:lastRow="0" w:firstColumn="1" w:lastColumn="0" w:noHBand="0" w:noVBand="0"/>
      </w:tblPr>
      <w:tblGrid>
        <w:gridCol w:w="6751"/>
        <w:gridCol w:w="1505"/>
        <w:gridCol w:w="1320"/>
      </w:tblGrid>
      <w:tr w:rsidR="00723BAB" w:rsidRPr="00D455EB" w:rsidTr="001C0158">
        <w:trPr>
          <w:trHeight w:val="278"/>
        </w:trPr>
        <w:tc>
          <w:tcPr>
            <w:tcW w:w="3525"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rPr>
                <w:rFonts w:cs="Calibri"/>
                <w:sz w:val="20"/>
              </w:rPr>
            </w:pPr>
            <w:r w:rsidRPr="00D455EB">
              <w:rPr>
                <w:rFonts w:cs="Calibri"/>
                <w:b/>
                <w:bCs/>
                <w:sz w:val="20"/>
              </w:rPr>
              <w:t>Assessable trust amounts</w:t>
            </w:r>
          </w:p>
        </w:tc>
        <w:tc>
          <w:tcPr>
            <w:tcW w:w="78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20X1</w:t>
            </w:r>
          </w:p>
        </w:tc>
        <w:tc>
          <w:tcPr>
            <w:tcW w:w="689"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20X2</w:t>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Trading Sales</w:t>
            </w:r>
          </w:p>
        </w:tc>
        <w:tc>
          <w:tcPr>
            <w:tcW w:w="786" w:type="pct"/>
            <w:noWrap/>
          </w:tcPr>
          <w:p w:rsidR="00723BAB" w:rsidRPr="00D455EB" w:rsidRDefault="00723BAB" w:rsidP="00675F0B">
            <w:pPr>
              <w:spacing w:after="200"/>
              <w:jc w:val="right"/>
              <w:rPr>
                <w:rFonts w:cs="Calibri"/>
                <w:sz w:val="20"/>
              </w:rPr>
            </w:pPr>
            <w:r w:rsidRPr="00D455EB">
              <w:rPr>
                <w:rFonts w:cs="Calibri"/>
                <w:sz w:val="20"/>
              </w:rPr>
              <w:t>580,000</w:t>
            </w:r>
          </w:p>
        </w:tc>
        <w:tc>
          <w:tcPr>
            <w:tcW w:w="689" w:type="pct"/>
            <w:noWrap/>
          </w:tcPr>
          <w:p w:rsidR="00723BAB" w:rsidRPr="00D455EB" w:rsidRDefault="00723BAB" w:rsidP="00675F0B">
            <w:pPr>
              <w:spacing w:after="200"/>
              <w:jc w:val="right"/>
              <w:rPr>
                <w:rFonts w:cs="Calibri"/>
                <w:sz w:val="20"/>
              </w:rPr>
            </w:pPr>
            <w:r w:rsidRPr="00D455EB">
              <w:rPr>
                <w:rFonts w:cs="Calibri"/>
                <w:sz w:val="20"/>
              </w:rPr>
              <w:t>720,000</w:t>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Franked Dividends</w:t>
            </w:r>
          </w:p>
        </w:tc>
        <w:tc>
          <w:tcPr>
            <w:tcW w:w="786" w:type="pct"/>
            <w:noWrap/>
          </w:tcPr>
          <w:p w:rsidR="00723BAB" w:rsidRPr="00D455EB" w:rsidRDefault="00723BAB" w:rsidP="00675F0B">
            <w:pPr>
              <w:spacing w:after="200"/>
              <w:jc w:val="right"/>
              <w:rPr>
                <w:rFonts w:cs="Calibri"/>
                <w:sz w:val="20"/>
              </w:rPr>
            </w:pPr>
            <w:r w:rsidRPr="00D455EB">
              <w:rPr>
                <w:rFonts w:cs="Calibri"/>
                <w:sz w:val="20"/>
              </w:rPr>
              <w:t>10,605</w:t>
            </w:r>
          </w:p>
        </w:tc>
        <w:tc>
          <w:tcPr>
            <w:tcW w:w="689" w:type="pct"/>
            <w:noWrap/>
          </w:tcPr>
          <w:p w:rsidR="00723BAB" w:rsidRPr="00D455EB" w:rsidRDefault="00723BAB" w:rsidP="00675F0B">
            <w:pPr>
              <w:spacing w:after="200"/>
              <w:jc w:val="right"/>
              <w:rPr>
                <w:rFonts w:cs="Calibri"/>
                <w:sz w:val="20"/>
              </w:rPr>
            </w:pPr>
            <w:r w:rsidRPr="00D455EB">
              <w:rPr>
                <w:rFonts w:cs="Calibri"/>
                <w:sz w:val="20"/>
              </w:rPr>
              <w:t>10,185</w:t>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Interest Income</w:t>
            </w:r>
          </w:p>
        </w:tc>
        <w:tc>
          <w:tcPr>
            <w:tcW w:w="786" w:type="pct"/>
            <w:noWrap/>
          </w:tcPr>
          <w:p w:rsidR="00723BAB" w:rsidRPr="00D455EB" w:rsidRDefault="00723BAB" w:rsidP="00675F0B">
            <w:pPr>
              <w:spacing w:after="200"/>
              <w:jc w:val="right"/>
              <w:rPr>
                <w:rFonts w:cs="Calibri"/>
                <w:sz w:val="20"/>
              </w:rPr>
            </w:pPr>
            <w:r w:rsidRPr="00D455EB">
              <w:rPr>
                <w:rFonts w:cs="Calibri"/>
                <w:sz w:val="20"/>
              </w:rPr>
              <w:t>0</w:t>
            </w:r>
          </w:p>
        </w:tc>
        <w:tc>
          <w:tcPr>
            <w:tcW w:w="689" w:type="pct"/>
            <w:noWrap/>
          </w:tcPr>
          <w:p w:rsidR="00723BAB" w:rsidRPr="00D455EB" w:rsidRDefault="00723BAB" w:rsidP="00675F0B">
            <w:pPr>
              <w:spacing w:after="200"/>
              <w:jc w:val="right"/>
              <w:rPr>
                <w:rFonts w:cs="Calibri"/>
                <w:sz w:val="20"/>
              </w:rPr>
            </w:pPr>
            <w:r w:rsidRPr="00D455EB">
              <w:rPr>
                <w:rFonts w:cs="Calibri"/>
                <w:sz w:val="20"/>
              </w:rPr>
              <w:t>4,850</w:t>
            </w:r>
            <w:r w:rsidRPr="00D455EB">
              <w:rPr>
                <w:rStyle w:val="FootnoteReference"/>
                <w:rFonts w:cs="Calibri"/>
                <w:sz w:val="20"/>
              </w:rPr>
              <w:footnoteReference w:id="31"/>
            </w:r>
          </w:p>
        </w:tc>
      </w:tr>
      <w:tr w:rsidR="00723BAB" w:rsidRPr="00D455EB" w:rsidTr="001C0158">
        <w:trPr>
          <w:trHeight w:val="278"/>
        </w:trPr>
        <w:tc>
          <w:tcPr>
            <w:tcW w:w="3525"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rPr>
                <w:rFonts w:cs="Calibri"/>
                <w:sz w:val="20"/>
              </w:rPr>
            </w:pPr>
            <w:r w:rsidRPr="00D455EB">
              <w:rPr>
                <w:rFonts w:cs="Calibri"/>
                <w:b/>
                <w:bCs/>
                <w:sz w:val="20"/>
              </w:rPr>
              <w:t>Total assessable trust amounts</w:t>
            </w:r>
          </w:p>
        </w:tc>
        <w:tc>
          <w:tcPr>
            <w:tcW w:w="78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590,605</w:t>
            </w:r>
          </w:p>
        </w:tc>
        <w:tc>
          <w:tcPr>
            <w:tcW w:w="689"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735,035</w:t>
            </w:r>
          </w:p>
        </w:tc>
      </w:tr>
      <w:tr w:rsidR="00723BAB" w:rsidRPr="00D455EB" w:rsidTr="001C0158">
        <w:trPr>
          <w:trHeight w:val="278"/>
        </w:trPr>
        <w:tc>
          <w:tcPr>
            <w:tcW w:w="3525"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rPr>
                <w:rFonts w:cs="Calibri"/>
                <w:sz w:val="20"/>
              </w:rPr>
            </w:pPr>
            <w:r w:rsidRPr="00D455EB">
              <w:rPr>
                <w:rFonts w:cs="Calibri"/>
                <w:b/>
                <w:bCs/>
                <w:sz w:val="20"/>
              </w:rPr>
              <w:t>Deductible trust expenses</w:t>
            </w:r>
          </w:p>
        </w:tc>
        <w:tc>
          <w:tcPr>
            <w:tcW w:w="78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p>
        </w:tc>
        <w:tc>
          <w:tcPr>
            <w:tcW w:w="689"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Cost of goods sold</w:t>
            </w:r>
          </w:p>
        </w:tc>
        <w:tc>
          <w:tcPr>
            <w:tcW w:w="786" w:type="pct"/>
            <w:noWrap/>
          </w:tcPr>
          <w:p w:rsidR="00723BAB" w:rsidRPr="00D455EB" w:rsidRDefault="00723BAB" w:rsidP="00675F0B">
            <w:pPr>
              <w:spacing w:after="200"/>
              <w:jc w:val="right"/>
              <w:rPr>
                <w:rFonts w:cs="Calibri"/>
                <w:sz w:val="20"/>
              </w:rPr>
            </w:pPr>
            <w:r w:rsidRPr="00D455EB">
              <w:rPr>
                <w:rFonts w:cs="Calibri"/>
                <w:sz w:val="20"/>
              </w:rPr>
              <w:t>340,000</w:t>
            </w:r>
            <w:r w:rsidRPr="00D455EB">
              <w:rPr>
                <w:rStyle w:val="FootnoteReference"/>
                <w:rFonts w:cs="Calibri"/>
                <w:sz w:val="20"/>
              </w:rPr>
              <w:footnoteReference w:id="32"/>
            </w:r>
          </w:p>
        </w:tc>
        <w:tc>
          <w:tcPr>
            <w:tcW w:w="689" w:type="pct"/>
            <w:noWrap/>
          </w:tcPr>
          <w:p w:rsidR="00723BAB" w:rsidRPr="00D455EB" w:rsidRDefault="00723BAB" w:rsidP="00675F0B">
            <w:pPr>
              <w:spacing w:after="200"/>
              <w:jc w:val="right"/>
              <w:rPr>
                <w:rFonts w:cs="Calibri"/>
                <w:sz w:val="20"/>
              </w:rPr>
            </w:pPr>
            <w:r w:rsidRPr="00D455EB">
              <w:rPr>
                <w:rFonts w:cs="Calibri"/>
                <w:sz w:val="20"/>
              </w:rPr>
              <w:t>425,000</w:t>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Bad debts written off</w:t>
            </w:r>
          </w:p>
        </w:tc>
        <w:tc>
          <w:tcPr>
            <w:tcW w:w="786" w:type="pct"/>
            <w:noWrap/>
          </w:tcPr>
          <w:p w:rsidR="00723BAB" w:rsidRPr="00D455EB" w:rsidRDefault="00723BAB" w:rsidP="00675F0B">
            <w:pPr>
              <w:spacing w:after="200"/>
              <w:jc w:val="right"/>
              <w:rPr>
                <w:rFonts w:cs="Calibri"/>
                <w:sz w:val="20"/>
              </w:rPr>
            </w:pPr>
            <w:r w:rsidRPr="00D455EB">
              <w:rPr>
                <w:rFonts w:cs="Calibri"/>
                <w:sz w:val="20"/>
              </w:rPr>
              <w:t>1,500</w:t>
            </w:r>
          </w:p>
        </w:tc>
        <w:tc>
          <w:tcPr>
            <w:tcW w:w="689" w:type="pct"/>
            <w:noWrap/>
          </w:tcPr>
          <w:p w:rsidR="00723BAB" w:rsidRPr="00D455EB" w:rsidRDefault="00723BAB" w:rsidP="00675F0B">
            <w:pPr>
              <w:spacing w:after="200"/>
              <w:jc w:val="right"/>
              <w:rPr>
                <w:rFonts w:cs="Calibri"/>
                <w:sz w:val="20"/>
              </w:rPr>
            </w:pPr>
            <w:r w:rsidRPr="00D455EB">
              <w:rPr>
                <w:rFonts w:cs="Calibri"/>
                <w:sz w:val="20"/>
              </w:rPr>
              <w:t>1,250</w:t>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Prior year accrued expenses (now deductible)</w:t>
            </w:r>
          </w:p>
        </w:tc>
        <w:tc>
          <w:tcPr>
            <w:tcW w:w="786" w:type="pct"/>
            <w:noWrap/>
          </w:tcPr>
          <w:p w:rsidR="00723BAB" w:rsidRPr="00D455EB" w:rsidRDefault="00723BAB" w:rsidP="00675F0B">
            <w:pPr>
              <w:spacing w:after="200"/>
              <w:jc w:val="right"/>
              <w:rPr>
                <w:rFonts w:cs="Calibri"/>
                <w:sz w:val="20"/>
              </w:rPr>
            </w:pPr>
            <w:r w:rsidRPr="00D455EB">
              <w:rPr>
                <w:rFonts w:cs="Calibri"/>
                <w:sz w:val="20"/>
              </w:rPr>
              <w:t>0</w:t>
            </w:r>
          </w:p>
        </w:tc>
        <w:tc>
          <w:tcPr>
            <w:tcW w:w="689" w:type="pct"/>
            <w:noWrap/>
          </w:tcPr>
          <w:p w:rsidR="00723BAB" w:rsidRPr="00D455EB" w:rsidRDefault="00723BAB" w:rsidP="00675F0B">
            <w:pPr>
              <w:spacing w:after="200"/>
              <w:jc w:val="right"/>
              <w:rPr>
                <w:rFonts w:cs="Calibri"/>
                <w:sz w:val="20"/>
              </w:rPr>
            </w:pPr>
            <w:r w:rsidRPr="00D455EB">
              <w:rPr>
                <w:rFonts w:cs="Calibri"/>
                <w:sz w:val="20"/>
              </w:rPr>
              <w:t>25,000</w:t>
            </w:r>
            <w:r w:rsidRPr="00D455EB">
              <w:rPr>
                <w:rStyle w:val="FootnoteReference"/>
                <w:rFonts w:cs="Calibri"/>
                <w:sz w:val="20"/>
              </w:rPr>
              <w:footnoteReference w:id="33"/>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Depreciation expense</w:t>
            </w:r>
          </w:p>
        </w:tc>
        <w:tc>
          <w:tcPr>
            <w:tcW w:w="786" w:type="pct"/>
            <w:noWrap/>
          </w:tcPr>
          <w:p w:rsidR="00723BAB" w:rsidRPr="00D455EB" w:rsidRDefault="00723BAB" w:rsidP="00675F0B">
            <w:pPr>
              <w:spacing w:after="200"/>
              <w:jc w:val="right"/>
              <w:rPr>
                <w:rFonts w:cs="Calibri"/>
                <w:sz w:val="20"/>
              </w:rPr>
            </w:pPr>
            <w:r w:rsidRPr="00D455EB">
              <w:rPr>
                <w:rFonts w:cs="Calibri"/>
                <w:sz w:val="20"/>
              </w:rPr>
              <w:t>15,000</w:t>
            </w:r>
          </w:p>
        </w:tc>
        <w:tc>
          <w:tcPr>
            <w:tcW w:w="689" w:type="pct"/>
            <w:noWrap/>
          </w:tcPr>
          <w:p w:rsidR="00723BAB" w:rsidRPr="00D455EB" w:rsidRDefault="00723BAB" w:rsidP="00675F0B">
            <w:pPr>
              <w:spacing w:after="200"/>
              <w:jc w:val="right"/>
              <w:rPr>
                <w:rFonts w:cs="Calibri"/>
                <w:sz w:val="20"/>
              </w:rPr>
            </w:pPr>
            <w:r w:rsidRPr="00D455EB">
              <w:rPr>
                <w:rFonts w:cs="Calibri"/>
                <w:sz w:val="20"/>
              </w:rPr>
              <w:t>15,000</w:t>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Salary and Wages</w:t>
            </w:r>
          </w:p>
        </w:tc>
        <w:tc>
          <w:tcPr>
            <w:tcW w:w="786" w:type="pct"/>
            <w:noWrap/>
          </w:tcPr>
          <w:p w:rsidR="00723BAB" w:rsidRPr="00D455EB" w:rsidRDefault="00723BAB" w:rsidP="00675F0B">
            <w:pPr>
              <w:spacing w:after="200"/>
              <w:jc w:val="right"/>
              <w:rPr>
                <w:rFonts w:cs="Calibri"/>
                <w:sz w:val="20"/>
              </w:rPr>
            </w:pPr>
            <w:r w:rsidRPr="00D455EB">
              <w:rPr>
                <w:rFonts w:cs="Calibri"/>
                <w:sz w:val="20"/>
              </w:rPr>
              <w:t>65,000</w:t>
            </w:r>
          </w:p>
        </w:tc>
        <w:tc>
          <w:tcPr>
            <w:tcW w:w="689" w:type="pct"/>
            <w:noWrap/>
          </w:tcPr>
          <w:p w:rsidR="00723BAB" w:rsidRPr="00D455EB" w:rsidRDefault="00723BAB" w:rsidP="00675F0B">
            <w:pPr>
              <w:spacing w:after="200"/>
              <w:jc w:val="right"/>
              <w:rPr>
                <w:rFonts w:cs="Calibri"/>
                <w:sz w:val="20"/>
              </w:rPr>
            </w:pPr>
            <w:r w:rsidRPr="00D455EB">
              <w:rPr>
                <w:rFonts w:cs="Calibri"/>
                <w:sz w:val="20"/>
              </w:rPr>
              <w:t>70,000</w:t>
            </w:r>
          </w:p>
        </w:tc>
      </w:tr>
      <w:tr w:rsidR="00723BAB" w:rsidRPr="00D455EB" w:rsidTr="002F01D7">
        <w:trPr>
          <w:trHeight w:val="278"/>
        </w:trPr>
        <w:tc>
          <w:tcPr>
            <w:tcW w:w="3525" w:type="pct"/>
            <w:tcBorders>
              <w:left w:val="single" w:sz="4" w:space="0" w:color="auto"/>
            </w:tcBorders>
            <w:noWrap/>
          </w:tcPr>
          <w:p w:rsidR="00723BAB" w:rsidRPr="00D455EB" w:rsidRDefault="00723BAB" w:rsidP="00675F0B">
            <w:pPr>
              <w:spacing w:after="200"/>
              <w:rPr>
                <w:rFonts w:cs="Calibri"/>
                <w:sz w:val="20"/>
              </w:rPr>
            </w:pPr>
            <w:r w:rsidRPr="00D455EB">
              <w:rPr>
                <w:rFonts w:cs="Calibri"/>
                <w:sz w:val="20"/>
              </w:rPr>
              <w:t>Other expenses</w:t>
            </w:r>
          </w:p>
        </w:tc>
        <w:tc>
          <w:tcPr>
            <w:tcW w:w="786" w:type="pct"/>
            <w:noWrap/>
          </w:tcPr>
          <w:p w:rsidR="00723BAB" w:rsidRPr="00D455EB" w:rsidRDefault="00723BAB" w:rsidP="00675F0B">
            <w:pPr>
              <w:spacing w:after="200"/>
              <w:jc w:val="right"/>
              <w:rPr>
                <w:rFonts w:cs="Calibri"/>
                <w:sz w:val="20"/>
              </w:rPr>
            </w:pPr>
            <w:r w:rsidRPr="00D455EB">
              <w:rPr>
                <w:rFonts w:cs="Calibri"/>
                <w:sz w:val="20"/>
              </w:rPr>
              <w:t>105,000</w:t>
            </w:r>
          </w:p>
        </w:tc>
        <w:tc>
          <w:tcPr>
            <w:tcW w:w="689" w:type="pct"/>
            <w:noWrap/>
          </w:tcPr>
          <w:p w:rsidR="00723BAB" w:rsidRPr="00D455EB" w:rsidRDefault="00723BAB" w:rsidP="00675F0B">
            <w:pPr>
              <w:spacing w:after="200"/>
              <w:jc w:val="right"/>
              <w:rPr>
                <w:rFonts w:cs="Calibri"/>
                <w:sz w:val="20"/>
              </w:rPr>
            </w:pPr>
            <w:r w:rsidRPr="00D455EB">
              <w:rPr>
                <w:rFonts w:cs="Calibri"/>
                <w:sz w:val="20"/>
              </w:rPr>
              <w:t>120,000</w:t>
            </w:r>
          </w:p>
        </w:tc>
      </w:tr>
      <w:tr w:rsidR="00723BAB" w:rsidRPr="00D455EB" w:rsidTr="001C0158">
        <w:trPr>
          <w:trHeight w:val="278"/>
        </w:trPr>
        <w:tc>
          <w:tcPr>
            <w:tcW w:w="3525"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rPr>
                <w:rFonts w:cs="Calibri"/>
                <w:sz w:val="20"/>
              </w:rPr>
            </w:pPr>
            <w:r w:rsidRPr="00D455EB">
              <w:rPr>
                <w:rFonts w:cs="Calibri"/>
                <w:b/>
                <w:bCs/>
                <w:sz w:val="20"/>
              </w:rPr>
              <w:t>Total deductible trust expenses/losses</w:t>
            </w:r>
          </w:p>
        </w:tc>
        <w:tc>
          <w:tcPr>
            <w:tcW w:w="78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526,500</w:t>
            </w:r>
          </w:p>
        </w:tc>
        <w:tc>
          <w:tcPr>
            <w:tcW w:w="689"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656,250</w:t>
            </w:r>
          </w:p>
        </w:tc>
      </w:tr>
      <w:tr w:rsidR="00723BAB" w:rsidRPr="00D455EB" w:rsidTr="001C0158">
        <w:trPr>
          <w:trHeight w:val="278"/>
        </w:trPr>
        <w:tc>
          <w:tcPr>
            <w:tcW w:w="3525"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rPr>
                <w:rFonts w:cs="Calibri"/>
                <w:sz w:val="20"/>
              </w:rPr>
            </w:pPr>
            <w:r w:rsidRPr="00D455EB">
              <w:rPr>
                <w:rFonts w:cs="Calibri"/>
                <w:b/>
                <w:bCs/>
                <w:sz w:val="20"/>
              </w:rPr>
              <w:t>Distributable taxable income</w:t>
            </w:r>
          </w:p>
        </w:tc>
        <w:tc>
          <w:tcPr>
            <w:tcW w:w="786"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64,105</w:t>
            </w:r>
          </w:p>
        </w:tc>
        <w:tc>
          <w:tcPr>
            <w:tcW w:w="689"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spacing w:after="200"/>
              <w:jc w:val="right"/>
              <w:rPr>
                <w:rFonts w:cs="Calibri"/>
                <w:b/>
                <w:bCs/>
                <w:sz w:val="20"/>
              </w:rPr>
            </w:pPr>
            <w:r w:rsidRPr="00D455EB">
              <w:rPr>
                <w:rFonts w:cs="Calibri"/>
                <w:b/>
                <w:bCs/>
                <w:sz w:val="20"/>
              </w:rPr>
              <w:t>78,785</w:t>
            </w:r>
          </w:p>
        </w:tc>
      </w:tr>
    </w:tbl>
    <w:p w:rsidR="00723BAB" w:rsidRPr="00A22A77" w:rsidRDefault="00723BAB" w:rsidP="00675F0B">
      <w:pPr>
        <w:pStyle w:val="Heading5"/>
        <w:spacing w:before="240"/>
      </w:pPr>
      <w:r>
        <w:t>20X1</w:t>
      </w:r>
    </w:p>
    <w:p w:rsidR="00723BAB" w:rsidRDefault="00723BAB" w:rsidP="00675F0B">
      <w:r>
        <w:t>For 20X1, the Colour Trust has $64,105 that it has recognised in its accounts and which represents taxable income of the trust. However, largely due to depreciation, and because part of the taxable income includes a gross up for franking credits, it only needs to distribute an amount representing taxable income equal to $14,105 (20X1 taxable income less franking credits). For trust purposes, it has income of $41,955 available for distribution.</w:t>
      </w:r>
    </w:p>
    <w:p w:rsidR="00723BAB" w:rsidRDefault="00723BAB" w:rsidP="00675F0B">
      <w:r>
        <w:t>On 20 August, the trustee resolves to distribute:</w:t>
      </w:r>
    </w:p>
    <w:p w:rsidR="00723BAB" w:rsidRPr="000F5A17" w:rsidRDefault="00723BAB" w:rsidP="00675F0B">
      <w:pPr>
        <w:pStyle w:val="Bullet"/>
        <w:rPr>
          <w:sz w:val="22"/>
          <w:szCs w:val="22"/>
        </w:rPr>
      </w:pPr>
      <w:r w:rsidRPr="000F5A17">
        <w:rPr>
          <w:sz w:val="22"/>
          <w:szCs w:val="22"/>
        </w:rPr>
        <w:t>$5,455 to Mrs Ruby, all of which represents taxable income (specifically, $577 represents taxable franked distributions and $4,878 represent taxable business income); and</w:t>
      </w:r>
    </w:p>
    <w:p w:rsidR="00723BAB" w:rsidRPr="000F5A17" w:rsidRDefault="00723BAB" w:rsidP="00675F0B">
      <w:pPr>
        <w:pStyle w:val="Bullet"/>
        <w:rPr>
          <w:sz w:val="22"/>
          <w:szCs w:val="22"/>
        </w:rPr>
      </w:pPr>
      <w:r w:rsidRPr="000F5A17">
        <w:rPr>
          <w:sz w:val="22"/>
          <w:szCs w:val="22"/>
        </w:rPr>
        <w:t>$8,650 to Silver Australia Pty Ltd that represents taxable business income.</w:t>
      </w:r>
    </w:p>
    <w:p w:rsidR="00723BAB" w:rsidRDefault="00723BAB" w:rsidP="00675F0B">
      <w:r>
        <w:t>$4,545</w:t>
      </w:r>
      <w:r w:rsidR="000F5A17">
        <w:t>,</w:t>
      </w:r>
      <w:r>
        <w:t xml:space="preserve"> being the gross up for franking credits</w:t>
      </w:r>
      <w:r w:rsidR="000F5A17">
        <w:t>, automatically flows to Mrs Ruby</w:t>
      </w:r>
      <w:r>
        <w:t>.</w:t>
      </w:r>
    </w:p>
    <w:p w:rsidR="00723BAB" w:rsidRDefault="00723BAB" w:rsidP="004D6B55">
      <w:r>
        <w:t xml:space="preserve">The trustee notifies the beneficiaries of these distributions and allocations. With the beneficiaries’ implied consent, the trustee credits loan accounts in their names. The trustee </w:t>
      </w:r>
      <w:r w:rsidR="008C620F">
        <w:t>reduces its taxable income by</w:t>
      </w:r>
      <w:r>
        <w:t xml:space="preserve"> $18,650, </w:t>
      </w:r>
      <w:r w:rsidR="008C620F">
        <w:t>leaving it with</w:t>
      </w:r>
      <w:r>
        <w:t xml:space="preserve"> taxable income </w:t>
      </w:r>
      <w:r w:rsidR="008C620F">
        <w:t>of</w:t>
      </w:r>
      <w:r>
        <w:t xml:space="preserve"> $0.</w:t>
      </w:r>
    </w:p>
    <w:p w:rsidR="00723BAB" w:rsidRDefault="00723BAB" w:rsidP="00675F0B">
      <w:r>
        <w:t>The trustee accumulates the remaining $27,850 of trust income.</w:t>
      </w:r>
    </w:p>
    <w:p w:rsidR="00723BAB" w:rsidRDefault="00723BAB" w:rsidP="00675F0B">
      <w:pPr>
        <w:pStyle w:val="Heading5"/>
      </w:pPr>
      <w:r>
        <w:t>20X2</w:t>
      </w:r>
    </w:p>
    <w:p w:rsidR="00723BAB" w:rsidRDefault="00723BAB" w:rsidP="00675F0B">
      <w:r>
        <w:t>For 20X2, the Colour Trust has $78,785 that it has recognised in its accounts and which represents taxable income of the trust. However, largely due to depreciation, and because part of the taxable income includes a gross up for franking credits, it only needs to distribute an amount representing taxable income equal to $</w:t>
      </w:r>
      <w:r>
        <w:rPr>
          <w:bCs/>
        </w:rPr>
        <w:t xml:space="preserve">46,285 </w:t>
      </w:r>
      <w:r>
        <w:t>(20X2 taxable income less franking credits). For trust purposes however, it only has income of $13,385 available for distribution.</w:t>
      </w:r>
    </w:p>
    <w:p w:rsidR="00723BAB" w:rsidRDefault="00723BAB" w:rsidP="00675F0B">
      <w:r>
        <w:t>On 11 August, the trustee resolved to distribute:</w:t>
      </w:r>
    </w:p>
    <w:p w:rsidR="00723BAB" w:rsidRPr="000F5A17" w:rsidRDefault="00723BAB" w:rsidP="00675F0B">
      <w:pPr>
        <w:pStyle w:val="Bullet"/>
        <w:rPr>
          <w:sz w:val="22"/>
          <w:szCs w:val="22"/>
        </w:rPr>
      </w:pPr>
      <w:r w:rsidRPr="000F5A17">
        <w:rPr>
          <w:sz w:val="22"/>
          <w:szCs w:val="22"/>
        </w:rPr>
        <w:t xml:space="preserve">$5,635 to Mrs Ruby, all of which represents taxable income (specifically, $1,578 that represents taxable franked distributions, $751 that represents taxable interest receipts, and $3,306 that represents taxable business income); </w:t>
      </w:r>
    </w:p>
    <w:p w:rsidR="00723BAB" w:rsidRPr="000F5A17" w:rsidRDefault="00723BAB" w:rsidP="00675F0B">
      <w:pPr>
        <w:pStyle w:val="Bullet"/>
        <w:rPr>
          <w:sz w:val="22"/>
          <w:szCs w:val="22"/>
        </w:rPr>
      </w:pPr>
      <w:r w:rsidRPr="000F5A17">
        <w:rPr>
          <w:sz w:val="22"/>
          <w:szCs w:val="22"/>
        </w:rPr>
        <w:t>$7,750 to Silver Australia Pty Ltd that represents taxable business income (which is sourced from trust income); and</w:t>
      </w:r>
    </w:p>
    <w:p w:rsidR="00723BAB" w:rsidRPr="000F5A17" w:rsidRDefault="00723BAB" w:rsidP="00675F0B">
      <w:pPr>
        <w:pStyle w:val="Bullet"/>
        <w:rPr>
          <w:sz w:val="22"/>
          <w:szCs w:val="22"/>
        </w:rPr>
      </w:pPr>
      <w:r w:rsidRPr="000F5A17">
        <w:rPr>
          <w:sz w:val="22"/>
          <w:szCs w:val="22"/>
        </w:rPr>
        <w:t>$32,900 to Silver Australia Pty Ltd that represents taxable business income (which is sourced from trust capital).</w:t>
      </w:r>
    </w:p>
    <w:p w:rsidR="00723BAB" w:rsidRDefault="00723BAB" w:rsidP="00F348BA">
      <w:r>
        <w:t>$4,365</w:t>
      </w:r>
      <w:r w:rsidR="000F5A17">
        <w:t>, being the gross up for franking credits, automatically flows</w:t>
      </w:r>
      <w:r>
        <w:t xml:space="preserve"> to Mrs Ruby.</w:t>
      </w:r>
    </w:p>
    <w:p w:rsidR="00723BAB" w:rsidRDefault="00723BAB" w:rsidP="00675F0B">
      <w:r>
        <w:t xml:space="preserve">The trustee notified the beneficiaries of these distributions, and, with their implied consent, credited loan accounts in their names. The trustee </w:t>
      </w:r>
      <w:r w:rsidR="008C620F">
        <w:t>reduces its taxable income by</w:t>
      </w:r>
      <w:r>
        <w:t xml:space="preserve"> $50,650, </w:t>
      </w:r>
      <w:r w:rsidR="008C620F">
        <w:t>leaving it with</w:t>
      </w:r>
      <w:r>
        <w:t xml:space="preserve"> taxable income </w:t>
      </w:r>
      <w:r w:rsidR="008C620F">
        <w:t>of</w:t>
      </w:r>
      <w:r>
        <w:t xml:space="preserve"> $0.</w:t>
      </w:r>
    </w:p>
    <w:p w:rsidR="00723BAB" w:rsidRDefault="00723BAB" w:rsidP="00675F0B">
      <w:r>
        <w:t>While the Colour Trust had insufficient accounting profit to make these distributions, the difference was sourced from trust capital. This is permissible, but only to the extent that the total amounts distributed do not exceed the trust amounts referable to taxable income ($78,785). The reason that the trust income available for distribution was less than the taxable income of the trust was primarily due to non</w:t>
      </w:r>
      <w:r>
        <w:noBreakHyphen/>
        <w:t xml:space="preserve">deductible expenditure of $60,000 (for legal expenses). </w:t>
      </w:r>
    </w:p>
    <w:tbl>
      <w:tblPr>
        <w:tblW w:w="5000" w:type="pct"/>
        <w:tblLook w:val="00A0" w:firstRow="1" w:lastRow="0" w:firstColumn="1" w:lastColumn="0" w:noHBand="0" w:noVBand="0"/>
      </w:tblPr>
      <w:tblGrid>
        <w:gridCol w:w="9576"/>
      </w:tblGrid>
      <w:tr w:rsidR="00723BAB" w:rsidRPr="00D455EB" w:rsidTr="005C1944">
        <w:tc>
          <w:tcPr>
            <w:tcW w:w="5000" w:type="pct"/>
            <w:shd w:val="clear" w:color="auto" w:fill="D2DFEE"/>
          </w:tcPr>
          <w:p w:rsidR="00723BAB" w:rsidRPr="00D455EB" w:rsidRDefault="00723BAB" w:rsidP="00675F0B">
            <w:pPr>
              <w:pStyle w:val="Heading6"/>
              <w:spacing w:line="260" w:lineRule="exact"/>
              <w:jc w:val="both"/>
              <w:rPr>
                <w:rFonts w:cs="Calibri"/>
              </w:rPr>
            </w:pPr>
            <w:r w:rsidRPr="00D455EB">
              <w:rPr>
                <w:rFonts w:cs="Calibri"/>
              </w:rPr>
              <w:t xml:space="preserve">Question </w:t>
            </w:r>
            <w:r w:rsidR="008C620F">
              <w:rPr>
                <w:rFonts w:cs="Calibri"/>
              </w:rPr>
              <w:t>1</w:t>
            </w:r>
            <w:r w:rsidR="009224A5">
              <w:rPr>
                <w:rFonts w:cs="Calibri"/>
              </w:rPr>
              <w:t>2</w:t>
            </w:r>
          </w:p>
          <w:p w:rsidR="00723BAB" w:rsidRDefault="00723BAB" w:rsidP="00451DF7">
            <w:r w:rsidRPr="00D455EB">
              <w:t>The distribution principle has been applied flexibly in the detailed EBM example to enable the difference attributable to the legal expenses to be assessed to the beneficiaries, as this is considered a desirable outcome. While this may be the desired outcome, does the principle as developed actually accommodate this outcome?</w:t>
            </w:r>
          </w:p>
          <w:p w:rsidR="00451DF7" w:rsidRDefault="00451DF7" w:rsidP="00451DF7">
            <w:pPr>
              <w:pStyle w:val="Heading6"/>
              <w:shd w:val="clear" w:color="auto" w:fill="D2DFEE"/>
              <w:spacing w:line="260" w:lineRule="exact"/>
              <w:ind w:left="426" w:hanging="426"/>
              <w:jc w:val="both"/>
              <w:rPr>
                <w:rFonts w:ascii="Calibri" w:hAnsi="Calibri" w:cs="Calibri"/>
                <w:color w:val="auto"/>
                <w:sz w:val="22"/>
              </w:rPr>
            </w:pPr>
            <w:r>
              <w:rPr>
                <w:rFonts w:ascii="Calibri" w:hAnsi="Calibri" w:cs="Calibri"/>
                <w:color w:val="auto"/>
                <w:sz w:val="22"/>
              </w:rPr>
              <w:t>a)</w:t>
            </w:r>
            <w:r>
              <w:rPr>
                <w:rFonts w:ascii="Calibri" w:hAnsi="Calibri" w:cs="Calibri"/>
                <w:color w:val="auto"/>
                <w:sz w:val="22"/>
              </w:rPr>
              <w:tab/>
            </w:r>
            <w:r w:rsidRPr="00451DF7">
              <w:rPr>
                <w:rFonts w:ascii="Calibri" w:hAnsi="Calibri" w:cs="Calibri"/>
                <w:color w:val="auto"/>
                <w:sz w:val="22"/>
              </w:rPr>
              <w:t>Should the principle be modified to deal with such amounts?</w:t>
            </w:r>
          </w:p>
          <w:p w:rsidR="00451DF7" w:rsidRDefault="00451DF7" w:rsidP="00451DF7">
            <w:pPr>
              <w:pStyle w:val="Heading6"/>
              <w:shd w:val="clear" w:color="auto" w:fill="D2DFEE"/>
              <w:spacing w:line="260" w:lineRule="exact"/>
              <w:ind w:left="426" w:hanging="426"/>
              <w:jc w:val="both"/>
              <w:rPr>
                <w:rFonts w:ascii="Calibri" w:hAnsi="Calibri" w:cs="Calibri"/>
                <w:color w:val="auto"/>
                <w:sz w:val="22"/>
              </w:rPr>
            </w:pPr>
            <w:r>
              <w:rPr>
                <w:rFonts w:ascii="Calibri" w:hAnsi="Calibri" w:cs="Calibri"/>
                <w:color w:val="auto"/>
                <w:sz w:val="22"/>
              </w:rPr>
              <w:t xml:space="preserve">b) </w:t>
            </w:r>
            <w:r>
              <w:rPr>
                <w:rFonts w:ascii="Calibri" w:hAnsi="Calibri" w:cs="Calibri"/>
                <w:color w:val="auto"/>
                <w:sz w:val="22"/>
              </w:rPr>
              <w:tab/>
            </w:r>
            <w:r w:rsidR="00551D11" w:rsidRPr="00551D11">
              <w:rPr>
                <w:rFonts w:ascii="Calibri" w:hAnsi="Calibri" w:cs="Calibri"/>
                <w:color w:val="auto"/>
                <w:sz w:val="22"/>
              </w:rPr>
              <w:t>How can the principle be modified to deal with such amounts?</w:t>
            </w:r>
            <w:r>
              <w:rPr>
                <w:rFonts w:ascii="Calibri" w:hAnsi="Calibri" w:cs="Calibri"/>
                <w:color w:val="auto"/>
                <w:sz w:val="22"/>
              </w:rPr>
              <w:t xml:space="preserve"> </w:t>
            </w:r>
          </w:p>
          <w:p w:rsidR="00723BAB" w:rsidRPr="00551D11" w:rsidRDefault="00451DF7" w:rsidP="00551D11">
            <w:pPr>
              <w:pStyle w:val="Heading6"/>
              <w:shd w:val="clear" w:color="auto" w:fill="D2DFEE"/>
              <w:spacing w:line="260" w:lineRule="exact"/>
              <w:ind w:left="426" w:hanging="426"/>
              <w:jc w:val="both"/>
              <w:rPr>
                <w:rFonts w:ascii="Calibri" w:hAnsi="Calibri" w:cs="Calibri"/>
                <w:color w:val="auto"/>
                <w:sz w:val="22"/>
              </w:rPr>
            </w:pPr>
            <w:r>
              <w:rPr>
                <w:rFonts w:ascii="Calibri" w:hAnsi="Calibri" w:cs="Calibri"/>
                <w:color w:val="auto"/>
                <w:sz w:val="22"/>
              </w:rPr>
              <w:t>c)</w:t>
            </w:r>
            <w:r>
              <w:rPr>
                <w:rFonts w:ascii="Calibri" w:hAnsi="Calibri" w:cs="Calibri"/>
                <w:color w:val="auto"/>
                <w:sz w:val="22"/>
              </w:rPr>
              <w:tab/>
            </w:r>
            <w:r w:rsidR="00551D11" w:rsidRPr="00551D11">
              <w:rPr>
                <w:rFonts w:ascii="Calibri" w:hAnsi="Calibri" w:cs="Calibri"/>
                <w:color w:val="auto"/>
                <w:sz w:val="22"/>
              </w:rPr>
              <w:t>What other types of amounts might cause the same problems?</w:t>
            </w:r>
          </w:p>
        </w:tc>
      </w:tr>
    </w:tbl>
    <w:p w:rsidR="00723BAB" w:rsidRDefault="00723BAB" w:rsidP="00E21972"/>
    <w:p w:rsidR="00723BAB" w:rsidRDefault="00723BAB" w:rsidP="00675F0B">
      <w:pPr>
        <w:pStyle w:val="Heading4"/>
      </w:pPr>
      <w:r>
        <w:t>4. Beneficiaries are assessed on amounts distributed and allocated to them</w:t>
      </w:r>
      <w:r w:rsidR="007D6D8C">
        <w:t>.</w:t>
      </w:r>
      <w:r>
        <w:t xml:space="preserve"> </w:t>
      </w:r>
    </w:p>
    <w:p w:rsidR="00723BAB" w:rsidRDefault="00723BAB" w:rsidP="00675F0B">
      <w:pPr>
        <w:pStyle w:val="Heading5"/>
      </w:pPr>
      <w:r>
        <w:t>20X1</w:t>
      </w:r>
    </w:p>
    <w:p w:rsidR="00723BAB" w:rsidRDefault="00723BAB" w:rsidP="00675F0B">
      <w:r>
        <w:t>Mrs Ruby is assessable on $10,000 (which includes the gross up for franking credits) and is entitled to franking credits of $4,545.</w:t>
      </w:r>
    </w:p>
    <w:p w:rsidR="00723BAB" w:rsidRDefault="00723BAB" w:rsidP="00675F0B">
      <w:r>
        <w:t>Silver Australia Pty Ltd is assessable on $8,650.</w:t>
      </w:r>
    </w:p>
    <w:p w:rsidR="00723BAB" w:rsidRDefault="00723BAB" w:rsidP="00675F0B">
      <w:pPr>
        <w:pStyle w:val="Heading5"/>
      </w:pPr>
      <w:r>
        <w:t>20X2</w:t>
      </w:r>
    </w:p>
    <w:p w:rsidR="00723BAB" w:rsidRDefault="00723BAB" w:rsidP="00675F0B">
      <w:r>
        <w:t>Mrs Ruby is assessable on $10,000 (which includes the gross up for franking credits) and is entitled to franking credits of $4,365.</w:t>
      </w:r>
    </w:p>
    <w:p w:rsidR="00723BAB" w:rsidRDefault="00723BAB" w:rsidP="00675F0B">
      <w:r>
        <w:t>Silver Australia Pty Ltd is assessable on $40,650.</w:t>
      </w:r>
    </w:p>
    <w:p w:rsidR="00723BAB" w:rsidRDefault="00723BAB" w:rsidP="00675F0B">
      <w:pPr>
        <w:pStyle w:val="Heading4"/>
      </w:pPr>
      <w:r>
        <w:t>5. The trustee is assessed on the remaining taxable income</w:t>
      </w:r>
      <w:r w:rsidR="007D6D8C">
        <w:t>.</w:t>
      </w:r>
    </w:p>
    <w:p w:rsidR="00723BAB" w:rsidRDefault="00723BAB" w:rsidP="00675F0B">
      <w:pPr>
        <w:pStyle w:val="Heading5"/>
      </w:pPr>
      <w:r>
        <w:t>20X1</w:t>
      </w:r>
    </w:p>
    <w:p w:rsidR="00723BAB" w:rsidRDefault="00723BAB" w:rsidP="00675F0B">
      <w:r>
        <w:t>The trustee is assessed on $0. This will be deemed to be a nil assessment.</w:t>
      </w:r>
    </w:p>
    <w:p w:rsidR="00723BAB" w:rsidRDefault="00723BAB" w:rsidP="00675F0B">
      <w:pPr>
        <w:pStyle w:val="Heading5"/>
      </w:pPr>
      <w:r>
        <w:t>20X2</w:t>
      </w:r>
    </w:p>
    <w:p w:rsidR="00723BAB" w:rsidRDefault="00723BAB" w:rsidP="00675F0B">
      <w:r>
        <w:t>The trustee is assessed on $0. This will be deemed to be a nil assessment.</w:t>
      </w:r>
    </w:p>
    <w:p w:rsidR="00723BAB" w:rsidRDefault="00723BAB" w:rsidP="00675F0B">
      <w:pPr>
        <w:pStyle w:val="Heading3"/>
        <w:rPr>
          <w:szCs w:val="24"/>
          <w:lang w:eastAsia="en-US"/>
        </w:rPr>
      </w:pPr>
      <w:r>
        <w:br w:type="page"/>
        <w:t>Applying the PAM</w:t>
      </w:r>
    </w:p>
    <w:p w:rsidR="00723BAB" w:rsidRPr="0058197C" w:rsidRDefault="00723BAB" w:rsidP="00675F0B">
      <w:pPr>
        <w:pStyle w:val="Heading4"/>
      </w:pPr>
      <w:r>
        <w:t>1. Calculate the trust profit</w:t>
      </w:r>
      <w:r w:rsidR="007D6D8C">
        <w:t>.</w:t>
      </w:r>
    </w:p>
    <w:p w:rsidR="00723BAB" w:rsidRDefault="00723BAB" w:rsidP="00675F0B">
      <w:r>
        <w:t>The Colour Trust’s trust profit is as follows:</w:t>
      </w:r>
    </w:p>
    <w:p w:rsidR="00723BAB" w:rsidRDefault="00723BAB" w:rsidP="00675F0B">
      <w:pPr>
        <w:pStyle w:val="Heading5"/>
      </w:pPr>
      <w:r>
        <w:t>20X1</w:t>
      </w:r>
    </w:p>
    <w:p w:rsidR="00723BAB" w:rsidRDefault="00723BAB" w:rsidP="00675F0B">
      <w:r>
        <w:t>$41,955</w:t>
      </w:r>
      <w:r>
        <w:rPr>
          <w:rStyle w:val="FootnoteReference"/>
        </w:rPr>
        <w:footnoteReference w:id="34"/>
      </w:r>
    </w:p>
    <w:p w:rsidR="00723BAB" w:rsidRDefault="00723BAB" w:rsidP="00675F0B">
      <w:pPr>
        <w:pStyle w:val="Heading5"/>
      </w:pPr>
      <w:r>
        <w:t>20X2</w:t>
      </w:r>
    </w:p>
    <w:p w:rsidR="00723BAB" w:rsidRDefault="00723BAB" w:rsidP="00675F0B">
      <w:r>
        <w:t>$13,385</w:t>
      </w:r>
      <w:r>
        <w:rPr>
          <w:rStyle w:val="FootnoteReference"/>
        </w:rPr>
        <w:footnoteReference w:id="35"/>
      </w:r>
    </w:p>
    <w:p w:rsidR="007D6D8C" w:rsidRDefault="00723BAB" w:rsidP="007D6D8C">
      <w:pPr>
        <w:pStyle w:val="Heading4"/>
      </w:pPr>
      <w:r>
        <w:t xml:space="preserve">2. </w:t>
      </w:r>
      <w:r w:rsidR="007D6D8C">
        <w:t>Determine the different classes of trust profit. At a minimum, trustees would typically need to keep separate classes in respect of their exempt income and NANE income.  This ensures that a beneficiary that only receives exempt income or NANE will not be assessed on any part of the trust’s taxable income. Other amounts can be placed in a single class, or separated into two or more classes.</w:t>
      </w:r>
    </w:p>
    <w:p w:rsidR="00723BAB" w:rsidRDefault="00723BAB" w:rsidP="00675F0B">
      <w:pPr>
        <w:pStyle w:val="Heading5"/>
      </w:pPr>
      <w:r>
        <w:t>20X1</w:t>
      </w:r>
    </w:p>
    <w:p w:rsidR="00723BAB" w:rsidRDefault="00723BAB" w:rsidP="00675F0B">
      <w:r>
        <w:t>In order to facilitate streaming, the trustee determines that for the 20X1 year there are three classes of trust profit; those being business income, interest income and dividend income.</w:t>
      </w:r>
    </w:p>
    <w:p w:rsidR="00723BAB" w:rsidRDefault="00723BAB" w:rsidP="00675F0B">
      <w:pPr>
        <w:pStyle w:val="Heading5"/>
      </w:pPr>
      <w:r>
        <w:t>20X2</w:t>
      </w:r>
    </w:p>
    <w:p w:rsidR="00723BAB" w:rsidRPr="000B028B" w:rsidRDefault="00723BAB" w:rsidP="00675F0B">
      <w:r>
        <w:t>Similarly, for the 20X2 year, the trustee determines that there are three classes of trust profit; those being business income, interest income and dividend income.</w:t>
      </w:r>
    </w:p>
    <w:p w:rsidR="007D6D8C" w:rsidRDefault="007D6D8C" w:rsidP="007D6D8C">
      <w:pPr>
        <w:pStyle w:val="Heading4"/>
      </w:pPr>
      <w:r>
        <w:t>3. Allocate the trust profit to classes. That is, calculate the class amounts.</w:t>
      </w:r>
    </w:p>
    <w:p w:rsidR="00723BAB" w:rsidRDefault="00723BAB" w:rsidP="00675F0B">
      <w:r>
        <w:t>For the purpose of determining class amounts, the accrued expenses, depreciation expense, salary and wages and other expenses have all been treated as general expenses and allocated to the income classes based on the proportion of the gross income of each class to total income.</w:t>
      </w:r>
      <w:r>
        <w:rPr>
          <w:rStyle w:val="FootnoteReference"/>
        </w:rPr>
        <w:footnoteReference w:id="36"/>
      </w:r>
    </w:p>
    <w:p w:rsidR="00723BAB" w:rsidRPr="00847383" w:rsidRDefault="00723BAB" w:rsidP="00A32BD0">
      <w:pPr>
        <w:pStyle w:val="Heading6"/>
        <w:rPr>
          <w:b/>
        </w:rPr>
      </w:pPr>
      <w:r>
        <w:br w:type="page"/>
      </w:r>
      <w:r w:rsidRPr="000B7A87">
        <w:t>Table</w:t>
      </w:r>
      <w:r w:rsidRPr="00847383">
        <w:t xml:space="preserve">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0"/>
        <w:gridCol w:w="962"/>
        <w:gridCol w:w="1122"/>
        <w:gridCol w:w="1005"/>
        <w:gridCol w:w="1050"/>
        <w:gridCol w:w="1019"/>
        <w:gridCol w:w="1078"/>
        <w:gridCol w:w="915"/>
        <w:gridCol w:w="1095"/>
      </w:tblGrid>
      <w:tr w:rsidR="00723BAB" w:rsidRPr="00D455EB" w:rsidTr="001D53E7">
        <w:tc>
          <w:tcPr>
            <w:tcW w:w="694" w:type="pct"/>
            <w:shd w:val="clear" w:color="auto" w:fill="4F81BD"/>
          </w:tcPr>
          <w:p w:rsidR="00723BAB" w:rsidRPr="00D455EB" w:rsidRDefault="00723BAB" w:rsidP="00675F0B">
            <w:pPr>
              <w:spacing w:after="200" w:line="276" w:lineRule="auto"/>
              <w:rPr>
                <w:rFonts w:cs="Calibri"/>
                <w:sz w:val="18"/>
                <w:szCs w:val="18"/>
              </w:rPr>
            </w:pPr>
            <w:r w:rsidRPr="00D455EB">
              <w:rPr>
                <w:rFonts w:cs="Calibri"/>
                <w:b/>
                <w:bCs/>
                <w:sz w:val="18"/>
                <w:szCs w:val="18"/>
              </w:rPr>
              <w:t>Trust Income</w:t>
            </w:r>
          </w:p>
        </w:tc>
        <w:tc>
          <w:tcPr>
            <w:tcW w:w="502"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Trust Profit for 20X1</w:t>
            </w:r>
          </w:p>
        </w:tc>
        <w:tc>
          <w:tcPr>
            <w:tcW w:w="586"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Business income class</w:t>
            </w:r>
          </w:p>
        </w:tc>
        <w:tc>
          <w:tcPr>
            <w:tcW w:w="525"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Interest income class</w:t>
            </w:r>
          </w:p>
        </w:tc>
        <w:tc>
          <w:tcPr>
            <w:tcW w:w="548"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Franked Dividend income class</w:t>
            </w:r>
          </w:p>
        </w:tc>
        <w:tc>
          <w:tcPr>
            <w:tcW w:w="532"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Trust Profit for 20X2</w:t>
            </w:r>
          </w:p>
        </w:tc>
        <w:tc>
          <w:tcPr>
            <w:tcW w:w="563"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Business income class</w:t>
            </w:r>
          </w:p>
        </w:tc>
        <w:tc>
          <w:tcPr>
            <w:tcW w:w="478"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Interest income class</w:t>
            </w:r>
          </w:p>
        </w:tc>
        <w:tc>
          <w:tcPr>
            <w:tcW w:w="572"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Franked Dividend income class</w:t>
            </w: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Trading sales</w:t>
            </w:r>
          </w:p>
        </w:tc>
        <w:tc>
          <w:tcPr>
            <w:tcW w:w="50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580,000</w:t>
            </w:r>
          </w:p>
        </w:tc>
        <w:tc>
          <w:tcPr>
            <w:tcW w:w="586"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580,000</w:t>
            </w:r>
          </w:p>
        </w:tc>
        <w:tc>
          <w:tcPr>
            <w:tcW w:w="525" w:type="pct"/>
          </w:tcPr>
          <w:p w:rsidR="00723BAB" w:rsidRPr="00D455EB" w:rsidRDefault="00723BAB" w:rsidP="00675F0B">
            <w:pPr>
              <w:spacing w:after="200" w:line="276" w:lineRule="auto"/>
              <w:jc w:val="right"/>
              <w:rPr>
                <w:rFonts w:cs="Calibri"/>
                <w:sz w:val="18"/>
                <w:szCs w:val="18"/>
              </w:rPr>
            </w:pPr>
          </w:p>
        </w:tc>
        <w:tc>
          <w:tcPr>
            <w:tcW w:w="548" w:type="pct"/>
          </w:tcPr>
          <w:p w:rsidR="00723BAB" w:rsidRPr="00D455EB" w:rsidRDefault="00723BAB" w:rsidP="00675F0B">
            <w:pPr>
              <w:spacing w:after="200" w:line="276" w:lineRule="auto"/>
              <w:jc w:val="right"/>
              <w:rPr>
                <w:rFonts w:cs="Calibri"/>
                <w:sz w:val="18"/>
                <w:szCs w:val="18"/>
                <w:lang w:eastAsia="en-US"/>
              </w:rPr>
            </w:pPr>
          </w:p>
        </w:tc>
        <w:tc>
          <w:tcPr>
            <w:tcW w:w="53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720,000</w:t>
            </w:r>
          </w:p>
        </w:tc>
        <w:tc>
          <w:tcPr>
            <w:tcW w:w="563"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720,000</w:t>
            </w:r>
          </w:p>
        </w:tc>
        <w:tc>
          <w:tcPr>
            <w:tcW w:w="478" w:type="pct"/>
          </w:tcPr>
          <w:p w:rsidR="00723BAB" w:rsidRPr="00D455EB" w:rsidRDefault="00723BAB" w:rsidP="00675F0B">
            <w:pPr>
              <w:spacing w:after="200" w:line="276" w:lineRule="auto"/>
              <w:jc w:val="right"/>
              <w:rPr>
                <w:rFonts w:cs="Calibri"/>
                <w:sz w:val="18"/>
                <w:szCs w:val="18"/>
              </w:rPr>
            </w:pPr>
          </w:p>
        </w:tc>
        <w:tc>
          <w:tcPr>
            <w:tcW w:w="572" w:type="pct"/>
          </w:tcPr>
          <w:p w:rsidR="00723BAB" w:rsidRPr="00D455EB" w:rsidRDefault="00723BAB" w:rsidP="00675F0B">
            <w:pPr>
              <w:spacing w:after="200" w:line="276" w:lineRule="auto"/>
              <w:jc w:val="right"/>
              <w:rPr>
                <w:rFonts w:cs="Calibri"/>
                <w:sz w:val="18"/>
                <w:szCs w:val="18"/>
                <w:lang w:eastAsia="en-US"/>
              </w:rPr>
            </w:pPr>
          </w:p>
        </w:tc>
      </w:tr>
      <w:tr w:rsidR="00723BAB" w:rsidRPr="00D455EB" w:rsidTr="001D53E7">
        <w:tc>
          <w:tcPr>
            <w:tcW w:w="694" w:type="pct"/>
            <w:vAlign w:val="center"/>
          </w:tcPr>
          <w:p w:rsidR="00723BAB" w:rsidRPr="00D455EB" w:rsidRDefault="00723BAB" w:rsidP="00675F0B">
            <w:pPr>
              <w:spacing w:after="200" w:line="276" w:lineRule="auto"/>
              <w:rPr>
                <w:rFonts w:cs="Calibri"/>
                <w:sz w:val="18"/>
                <w:szCs w:val="18"/>
                <w:lang w:eastAsia="en-US"/>
              </w:rPr>
            </w:pPr>
            <w:r w:rsidRPr="00D455EB">
              <w:rPr>
                <w:rFonts w:cs="Calibri"/>
                <w:sz w:val="18"/>
                <w:szCs w:val="18"/>
              </w:rPr>
              <w:t>Interest on bank account</w:t>
            </w:r>
          </w:p>
        </w:tc>
        <w:tc>
          <w:tcPr>
            <w:tcW w:w="502" w:type="pct"/>
          </w:tcPr>
          <w:p w:rsidR="00723BAB" w:rsidRPr="00D455EB" w:rsidRDefault="00723BAB" w:rsidP="002F72F8">
            <w:pPr>
              <w:spacing w:after="200" w:line="276" w:lineRule="auto"/>
              <w:jc w:val="right"/>
              <w:rPr>
                <w:rFonts w:cs="Calibri"/>
                <w:sz w:val="18"/>
                <w:szCs w:val="18"/>
                <w:lang w:eastAsia="en-US"/>
              </w:rPr>
            </w:pPr>
            <w:r w:rsidRPr="00D455EB">
              <w:rPr>
                <w:rFonts w:cs="Calibri"/>
                <w:sz w:val="18"/>
                <w:szCs w:val="18"/>
              </w:rPr>
              <w:t>4,850</w:t>
            </w:r>
          </w:p>
        </w:tc>
        <w:tc>
          <w:tcPr>
            <w:tcW w:w="586" w:type="pct"/>
            <w:vAlign w:val="center"/>
          </w:tcPr>
          <w:p w:rsidR="00723BAB" w:rsidRPr="00D455EB" w:rsidRDefault="00723BAB" w:rsidP="00675F0B">
            <w:pPr>
              <w:spacing w:after="200" w:line="276" w:lineRule="auto"/>
              <w:jc w:val="right"/>
              <w:rPr>
                <w:rFonts w:cs="Calibri"/>
                <w:sz w:val="18"/>
                <w:szCs w:val="18"/>
                <w:lang w:eastAsia="en-US"/>
              </w:rPr>
            </w:pPr>
          </w:p>
        </w:tc>
        <w:tc>
          <w:tcPr>
            <w:tcW w:w="525" w:type="pct"/>
          </w:tcPr>
          <w:p w:rsidR="00723BAB" w:rsidRPr="00D455EB" w:rsidRDefault="00723BAB" w:rsidP="00675F0B">
            <w:pPr>
              <w:spacing w:after="200" w:line="276" w:lineRule="auto"/>
              <w:jc w:val="right"/>
              <w:rPr>
                <w:rFonts w:cs="Calibri"/>
                <w:sz w:val="18"/>
                <w:szCs w:val="18"/>
              </w:rPr>
            </w:pPr>
            <w:r w:rsidRPr="00D455EB">
              <w:rPr>
                <w:rFonts w:cs="Calibri"/>
                <w:sz w:val="18"/>
                <w:szCs w:val="18"/>
              </w:rPr>
              <w:t>4,850</w:t>
            </w:r>
          </w:p>
        </w:tc>
        <w:tc>
          <w:tcPr>
            <w:tcW w:w="548" w:type="pct"/>
            <w:vAlign w:val="bottom"/>
          </w:tcPr>
          <w:p w:rsidR="00723BAB" w:rsidRPr="00D455EB" w:rsidRDefault="00723BAB" w:rsidP="00675F0B">
            <w:pPr>
              <w:spacing w:after="200" w:line="276" w:lineRule="auto"/>
              <w:jc w:val="right"/>
              <w:rPr>
                <w:rFonts w:cs="Calibri"/>
                <w:sz w:val="18"/>
                <w:szCs w:val="18"/>
                <w:lang w:eastAsia="en-US"/>
              </w:rPr>
            </w:pPr>
          </w:p>
        </w:tc>
        <w:tc>
          <w:tcPr>
            <w:tcW w:w="532" w:type="pct"/>
          </w:tcPr>
          <w:p w:rsidR="00723BAB" w:rsidRPr="00D455EB" w:rsidRDefault="00723BAB" w:rsidP="002F72F8">
            <w:pPr>
              <w:spacing w:after="200" w:line="276" w:lineRule="auto"/>
              <w:jc w:val="right"/>
              <w:rPr>
                <w:rFonts w:cs="Calibri"/>
                <w:sz w:val="18"/>
                <w:szCs w:val="18"/>
                <w:lang w:eastAsia="en-US"/>
              </w:rPr>
            </w:pPr>
            <w:r w:rsidRPr="00D455EB">
              <w:rPr>
                <w:rFonts w:cs="Calibri"/>
                <w:sz w:val="18"/>
                <w:szCs w:val="18"/>
              </w:rPr>
              <w:t>5,450</w:t>
            </w:r>
          </w:p>
        </w:tc>
        <w:tc>
          <w:tcPr>
            <w:tcW w:w="563" w:type="pct"/>
            <w:vAlign w:val="center"/>
          </w:tcPr>
          <w:p w:rsidR="00723BAB" w:rsidRPr="00D455EB" w:rsidRDefault="00723BAB" w:rsidP="00675F0B">
            <w:pPr>
              <w:spacing w:after="200" w:line="276" w:lineRule="auto"/>
              <w:jc w:val="right"/>
              <w:rPr>
                <w:rFonts w:cs="Calibri"/>
                <w:sz w:val="18"/>
                <w:szCs w:val="18"/>
                <w:lang w:eastAsia="en-US"/>
              </w:rPr>
            </w:pPr>
          </w:p>
        </w:tc>
        <w:tc>
          <w:tcPr>
            <w:tcW w:w="478" w:type="pct"/>
          </w:tcPr>
          <w:p w:rsidR="00723BAB" w:rsidRPr="00D455EB" w:rsidRDefault="00723BAB" w:rsidP="00675F0B">
            <w:pPr>
              <w:spacing w:after="200" w:line="276" w:lineRule="auto"/>
              <w:jc w:val="right"/>
              <w:rPr>
                <w:rFonts w:cs="Calibri"/>
                <w:sz w:val="18"/>
                <w:szCs w:val="18"/>
              </w:rPr>
            </w:pPr>
            <w:r w:rsidRPr="00D455EB">
              <w:rPr>
                <w:rFonts w:cs="Calibri"/>
                <w:sz w:val="18"/>
                <w:szCs w:val="18"/>
              </w:rPr>
              <w:t>5,450</w:t>
            </w:r>
          </w:p>
        </w:tc>
        <w:tc>
          <w:tcPr>
            <w:tcW w:w="572" w:type="pct"/>
            <w:vAlign w:val="bottom"/>
          </w:tcPr>
          <w:p w:rsidR="00723BAB" w:rsidRPr="00D455EB" w:rsidRDefault="00723BAB" w:rsidP="00675F0B">
            <w:pPr>
              <w:spacing w:after="200" w:line="276" w:lineRule="auto"/>
              <w:jc w:val="right"/>
              <w:rPr>
                <w:rFonts w:cs="Calibri"/>
                <w:sz w:val="18"/>
                <w:szCs w:val="18"/>
                <w:lang w:eastAsia="en-US"/>
              </w:rPr>
            </w:pP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lang w:eastAsia="en-US"/>
              </w:rPr>
              <w:t xml:space="preserve">Dividend income </w:t>
            </w:r>
          </w:p>
        </w:tc>
        <w:tc>
          <w:tcPr>
            <w:tcW w:w="50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lang w:eastAsia="en-US"/>
              </w:rPr>
              <w:t>10,605</w:t>
            </w:r>
          </w:p>
        </w:tc>
        <w:tc>
          <w:tcPr>
            <w:tcW w:w="586" w:type="pct"/>
          </w:tcPr>
          <w:p w:rsidR="00723BAB" w:rsidRPr="00D455EB" w:rsidRDefault="00723BAB" w:rsidP="00675F0B">
            <w:pPr>
              <w:spacing w:after="200" w:line="276" w:lineRule="auto"/>
              <w:jc w:val="right"/>
              <w:rPr>
                <w:rFonts w:cs="Calibri"/>
                <w:sz w:val="18"/>
                <w:szCs w:val="18"/>
                <w:lang w:eastAsia="en-US"/>
              </w:rPr>
            </w:pPr>
          </w:p>
        </w:tc>
        <w:tc>
          <w:tcPr>
            <w:tcW w:w="525" w:type="pct"/>
          </w:tcPr>
          <w:p w:rsidR="00723BAB" w:rsidRPr="00D455EB" w:rsidRDefault="00723BAB" w:rsidP="00675F0B">
            <w:pPr>
              <w:spacing w:after="200" w:line="276" w:lineRule="auto"/>
              <w:jc w:val="right"/>
              <w:rPr>
                <w:rFonts w:cs="Calibri"/>
                <w:sz w:val="18"/>
                <w:szCs w:val="18"/>
                <w:lang w:eastAsia="en-US"/>
              </w:rPr>
            </w:pPr>
          </w:p>
        </w:tc>
        <w:tc>
          <w:tcPr>
            <w:tcW w:w="548"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lang w:eastAsia="en-US"/>
              </w:rPr>
              <w:t>10,605</w:t>
            </w:r>
          </w:p>
        </w:tc>
        <w:tc>
          <w:tcPr>
            <w:tcW w:w="53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lang w:eastAsia="en-US"/>
              </w:rPr>
              <w:t>10,185</w:t>
            </w:r>
          </w:p>
        </w:tc>
        <w:tc>
          <w:tcPr>
            <w:tcW w:w="563" w:type="pct"/>
          </w:tcPr>
          <w:p w:rsidR="00723BAB" w:rsidRPr="00D455EB" w:rsidRDefault="00723BAB" w:rsidP="00675F0B">
            <w:pPr>
              <w:spacing w:after="200" w:line="276" w:lineRule="auto"/>
              <w:jc w:val="right"/>
              <w:rPr>
                <w:rFonts w:cs="Calibri"/>
                <w:sz w:val="18"/>
                <w:szCs w:val="18"/>
                <w:lang w:eastAsia="en-US"/>
              </w:rPr>
            </w:pPr>
          </w:p>
        </w:tc>
        <w:tc>
          <w:tcPr>
            <w:tcW w:w="478" w:type="pct"/>
          </w:tcPr>
          <w:p w:rsidR="00723BAB" w:rsidRPr="00D455EB" w:rsidRDefault="00723BAB" w:rsidP="00675F0B">
            <w:pPr>
              <w:spacing w:after="200" w:line="276" w:lineRule="auto"/>
              <w:jc w:val="right"/>
              <w:rPr>
                <w:rFonts w:cs="Calibri"/>
                <w:sz w:val="18"/>
                <w:szCs w:val="18"/>
                <w:lang w:eastAsia="en-US"/>
              </w:rPr>
            </w:pPr>
          </w:p>
        </w:tc>
        <w:tc>
          <w:tcPr>
            <w:tcW w:w="57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lang w:eastAsia="en-US"/>
              </w:rPr>
              <w:t>10,185</w:t>
            </w:r>
          </w:p>
        </w:tc>
      </w:tr>
      <w:tr w:rsidR="00723BAB" w:rsidRPr="00D455EB" w:rsidTr="001D53E7">
        <w:tc>
          <w:tcPr>
            <w:tcW w:w="694" w:type="pct"/>
            <w:shd w:val="clear" w:color="auto" w:fill="4F81BD"/>
          </w:tcPr>
          <w:p w:rsidR="00723BAB" w:rsidRPr="00D455EB" w:rsidRDefault="00723BAB" w:rsidP="00675F0B">
            <w:pPr>
              <w:spacing w:after="200" w:line="276" w:lineRule="auto"/>
              <w:rPr>
                <w:rFonts w:cs="Calibri"/>
                <w:sz w:val="18"/>
                <w:szCs w:val="18"/>
              </w:rPr>
            </w:pPr>
            <w:r w:rsidRPr="00D455EB">
              <w:rPr>
                <w:rFonts w:cs="Calibri"/>
                <w:b/>
                <w:bCs/>
                <w:sz w:val="18"/>
                <w:szCs w:val="18"/>
              </w:rPr>
              <w:t>Total trust income</w:t>
            </w:r>
          </w:p>
        </w:tc>
        <w:tc>
          <w:tcPr>
            <w:tcW w:w="502" w:type="pct"/>
            <w:shd w:val="clear" w:color="auto" w:fill="4F81BD"/>
          </w:tcPr>
          <w:p w:rsidR="00723BAB" w:rsidRPr="00D455EB" w:rsidRDefault="00723BAB" w:rsidP="00675F0B">
            <w:pPr>
              <w:spacing w:after="200" w:line="276" w:lineRule="auto"/>
              <w:jc w:val="right"/>
              <w:rPr>
                <w:rFonts w:cs="Calibri"/>
                <w:b/>
                <w:bCs/>
                <w:sz w:val="18"/>
                <w:szCs w:val="18"/>
                <w:lang w:eastAsia="en-US"/>
              </w:rPr>
            </w:pPr>
            <w:r w:rsidRPr="00D455EB">
              <w:rPr>
                <w:rFonts w:cs="Calibri"/>
                <w:b/>
                <w:bCs/>
                <w:sz w:val="18"/>
                <w:szCs w:val="18"/>
              </w:rPr>
              <w:t>595,455</w:t>
            </w:r>
          </w:p>
        </w:tc>
        <w:tc>
          <w:tcPr>
            <w:tcW w:w="586" w:type="pct"/>
            <w:shd w:val="clear" w:color="auto" w:fill="4F81BD"/>
          </w:tcPr>
          <w:p w:rsidR="00723BAB" w:rsidRPr="00D455EB" w:rsidRDefault="00723BAB" w:rsidP="00675F0B">
            <w:pPr>
              <w:spacing w:after="200" w:line="276" w:lineRule="auto"/>
              <w:jc w:val="right"/>
              <w:rPr>
                <w:rFonts w:cs="Calibri"/>
                <w:b/>
                <w:bCs/>
                <w:sz w:val="18"/>
                <w:szCs w:val="18"/>
                <w:lang w:eastAsia="en-US"/>
              </w:rPr>
            </w:pPr>
            <w:r w:rsidRPr="00D455EB">
              <w:rPr>
                <w:rFonts w:cs="Calibri"/>
                <w:b/>
                <w:bCs/>
                <w:sz w:val="18"/>
                <w:szCs w:val="18"/>
              </w:rPr>
              <w:t>580,000</w:t>
            </w:r>
          </w:p>
        </w:tc>
        <w:tc>
          <w:tcPr>
            <w:tcW w:w="525" w:type="pct"/>
            <w:shd w:val="clear" w:color="auto" w:fill="4F81BD"/>
          </w:tcPr>
          <w:p w:rsidR="00723BAB" w:rsidRPr="00D455EB" w:rsidRDefault="00723BAB" w:rsidP="00675F0B">
            <w:pPr>
              <w:spacing w:after="200" w:line="276" w:lineRule="auto"/>
              <w:jc w:val="right"/>
              <w:rPr>
                <w:rFonts w:cs="Calibri"/>
                <w:b/>
                <w:bCs/>
                <w:sz w:val="18"/>
                <w:szCs w:val="18"/>
                <w:lang w:eastAsia="en-US"/>
              </w:rPr>
            </w:pPr>
            <w:r w:rsidRPr="00D455EB">
              <w:rPr>
                <w:rFonts w:cs="Calibri"/>
                <w:b/>
                <w:bCs/>
                <w:sz w:val="18"/>
                <w:szCs w:val="18"/>
              </w:rPr>
              <w:t>4,850</w:t>
            </w:r>
          </w:p>
        </w:tc>
        <w:tc>
          <w:tcPr>
            <w:tcW w:w="548"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10,605</w:t>
            </w:r>
          </w:p>
        </w:tc>
        <w:tc>
          <w:tcPr>
            <w:tcW w:w="532" w:type="pct"/>
            <w:shd w:val="clear" w:color="auto" w:fill="4F81BD"/>
          </w:tcPr>
          <w:p w:rsidR="00723BAB" w:rsidRPr="00D455EB" w:rsidRDefault="00723BAB" w:rsidP="00675F0B">
            <w:pPr>
              <w:spacing w:after="200" w:line="276" w:lineRule="auto"/>
              <w:jc w:val="right"/>
              <w:rPr>
                <w:rFonts w:cs="Calibri"/>
                <w:b/>
                <w:bCs/>
                <w:sz w:val="18"/>
                <w:szCs w:val="18"/>
                <w:lang w:eastAsia="en-US"/>
              </w:rPr>
            </w:pPr>
            <w:r w:rsidRPr="00D455EB">
              <w:rPr>
                <w:rFonts w:cs="Calibri"/>
                <w:b/>
                <w:bCs/>
                <w:sz w:val="18"/>
                <w:szCs w:val="18"/>
              </w:rPr>
              <w:t>735,635</w:t>
            </w:r>
          </w:p>
        </w:tc>
        <w:tc>
          <w:tcPr>
            <w:tcW w:w="563" w:type="pct"/>
            <w:shd w:val="clear" w:color="auto" w:fill="4F81BD"/>
          </w:tcPr>
          <w:p w:rsidR="00723BAB" w:rsidRPr="00D455EB" w:rsidRDefault="00723BAB" w:rsidP="00675F0B">
            <w:pPr>
              <w:spacing w:after="200" w:line="276" w:lineRule="auto"/>
              <w:jc w:val="right"/>
              <w:rPr>
                <w:rFonts w:cs="Calibri"/>
                <w:b/>
                <w:bCs/>
                <w:sz w:val="18"/>
                <w:szCs w:val="18"/>
                <w:lang w:eastAsia="en-US"/>
              </w:rPr>
            </w:pPr>
            <w:r w:rsidRPr="00D455EB">
              <w:rPr>
                <w:rFonts w:cs="Calibri"/>
                <w:b/>
                <w:bCs/>
                <w:sz w:val="18"/>
                <w:szCs w:val="18"/>
              </w:rPr>
              <w:t>720,000</w:t>
            </w:r>
          </w:p>
        </w:tc>
        <w:tc>
          <w:tcPr>
            <w:tcW w:w="478" w:type="pct"/>
            <w:shd w:val="clear" w:color="auto" w:fill="4F81BD"/>
          </w:tcPr>
          <w:p w:rsidR="00723BAB" w:rsidRPr="00D455EB" w:rsidRDefault="00723BAB" w:rsidP="00675F0B">
            <w:pPr>
              <w:spacing w:after="200" w:line="276" w:lineRule="auto"/>
              <w:jc w:val="right"/>
              <w:rPr>
                <w:rFonts w:cs="Calibri"/>
                <w:b/>
                <w:bCs/>
                <w:sz w:val="18"/>
                <w:szCs w:val="18"/>
                <w:lang w:eastAsia="en-US"/>
              </w:rPr>
            </w:pPr>
            <w:r w:rsidRPr="00D455EB">
              <w:rPr>
                <w:rFonts w:cs="Calibri"/>
                <w:b/>
                <w:bCs/>
                <w:sz w:val="18"/>
                <w:szCs w:val="18"/>
              </w:rPr>
              <w:t>5,450</w:t>
            </w:r>
          </w:p>
        </w:tc>
        <w:tc>
          <w:tcPr>
            <w:tcW w:w="572" w:type="pct"/>
            <w:shd w:val="clear" w:color="auto" w:fill="4F81BD"/>
          </w:tcPr>
          <w:p w:rsidR="00723BAB" w:rsidRPr="00D455EB" w:rsidRDefault="00723BAB" w:rsidP="00675F0B">
            <w:pPr>
              <w:spacing w:after="200" w:line="276" w:lineRule="auto"/>
              <w:jc w:val="right"/>
              <w:rPr>
                <w:rFonts w:cs="Calibri"/>
                <w:b/>
                <w:bCs/>
                <w:sz w:val="18"/>
                <w:szCs w:val="18"/>
              </w:rPr>
            </w:pPr>
            <w:r w:rsidRPr="00D455EB">
              <w:rPr>
                <w:rFonts w:cs="Calibri"/>
                <w:b/>
                <w:bCs/>
                <w:sz w:val="18"/>
                <w:szCs w:val="18"/>
              </w:rPr>
              <w:t>10,185</w:t>
            </w:r>
          </w:p>
        </w:tc>
      </w:tr>
      <w:tr w:rsidR="00723BAB" w:rsidRPr="00D455EB" w:rsidTr="00270501">
        <w:tc>
          <w:tcPr>
            <w:tcW w:w="694" w:type="pct"/>
            <w:shd w:val="clear" w:color="auto" w:fill="4F81BD"/>
          </w:tcPr>
          <w:p w:rsidR="00723BAB" w:rsidRPr="00D455EB" w:rsidRDefault="00723BAB" w:rsidP="00675F0B">
            <w:pPr>
              <w:spacing w:after="200"/>
              <w:rPr>
                <w:sz w:val="18"/>
                <w:szCs w:val="18"/>
              </w:rPr>
            </w:pPr>
            <w:r w:rsidRPr="00D455EB">
              <w:rPr>
                <w:rFonts w:cs="Calibri"/>
                <w:b/>
                <w:bCs/>
                <w:sz w:val="18"/>
                <w:szCs w:val="18"/>
              </w:rPr>
              <w:t>Directly related expenses</w:t>
            </w:r>
          </w:p>
        </w:tc>
        <w:tc>
          <w:tcPr>
            <w:tcW w:w="502" w:type="pct"/>
          </w:tcPr>
          <w:p w:rsidR="00723BAB" w:rsidRPr="00D455EB" w:rsidRDefault="00723BAB" w:rsidP="00675F0B">
            <w:pPr>
              <w:spacing w:after="200"/>
              <w:jc w:val="right"/>
              <w:rPr>
                <w:sz w:val="18"/>
                <w:szCs w:val="18"/>
              </w:rPr>
            </w:pPr>
          </w:p>
        </w:tc>
        <w:tc>
          <w:tcPr>
            <w:tcW w:w="586" w:type="pct"/>
          </w:tcPr>
          <w:p w:rsidR="00723BAB" w:rsidRPr="00D455EB" w:rsidRDefault="00723BAB" w:rsidP="00675F0B">
            <w:pPr>
              <w:spacing w:after="200"/>
              <w:jc w:val="right"/>
              <w:rPr>
                <w:sz w:val="18"/>
                <w:szCs w:val="18"/>
              </w:rPr>
            </w:pPr>
          </w:p>
        </w:tc>
        <w:tc>
          <w:tcPr>
            <w:tcW w:w="525" w:type="pct"/>
          </w:tcPr>
          <w:p w:rsidR="00723BAB" w:rsidRPr="00D455EB" w:rsidRDefault="00723BAB" w:rsidP="00675F0B">
            <w:pPr>
              <w:spacing w:after="200"/>
              <w:jc w:val="right"/>
              <w:rPr>
                <w:sz w:val="18"/>
                <w:szCs w:val="18"/>
              </w:rPr>
            </w:pPr>
          </w:p>
        </w:tc>
        <w:tc>
          <w:tcPr>
            <w:tcW w:w="548" w:type="pct"/>
          </w:tcPr>
          <w:p w:rsidR="00723BAB" w:rsidRPr="00D455EB" w:rsidRDefault="00723BAB" w:rsidP="00675F0B">
            <w:pPr>
              <w:spacing w:after="200"/>
              <w:jc w:val="right"/>
              <w:rPr>
                <w:sz w:val="18"/>
                <w:szCs w:val="18"/>
              </w:rPr>
            </w:pPr>
          </w:p>
        </w:tc>
        <w:tc>
          <w:tcPr>
            <w:tcW w:w="532" w:type="pct"/>
          </w:tcPr>
          <w:p w:rsidR="00723BAB" w:rsidRPr="00D455EB" w:rsidRDefault="00723BAB" w:rsidP="00675F0B">
            <w:pPr>
              <w:spacing w:after="200"/>
              <w:jc w:val="right"/>
              <w:rPr>
                <w:sz w:val="18"/>
                <w:szCs w:val="18"/>
              </w:rPr>
            </w:pPr>
          </w:p>
        </w:tc>
        <w:tc>
          <w:tcPr>
            <w:tcW w:w="563" w:type="pct"/>
          </w:tcPr>
          <w:p w:rsidR="00723BAB" w:rsidRPr="00D455EB" w:rsidRDefault="00723BAB" w:rsidP="00675F0B">
            <w:pPr>
              <w:spacing w:after="200"/>
              <w:jc w:val="right"/>
              <w:rPr>
                <w:sz w:val="18"/>
                <w:szCs w:val="18"/>
              </w:rPr>
            </w:pPr>
          </w:p>
        </w:tc>
        <w:tc>
          <w:tcPr>
            <w:tcW w:w="478" w:type="pct"/>
          </w:tcPr>
          <w:p w:rsidR="00723BAB" w:rsidRPr="00D455EB" w:rsidRDefault="00723BAB" w:rsidP="00675F0B">
            <w:pPr>
              <w:spacing w:after="200"/>
              <w:jc w:val="right"/>
              <w:rPr>
                <w:sz w:val="18"/>
                <w:szCs w:val="18"/>
              </w:rPr>
            </w:pPr>
          </w:p>
        </w:tc>
        <w:tc>
          <w:tcPr>
            <w:tcW w:w="572" w:type="pct"/>
          </w:tcPr>
          <w:p w:rsidR="00723BAB" w:rsidRPr="00D455EB" w:rsidRDefault="00723BAB" w:rsidP="00675F0B">
            <w:pPr>
              <w:spacing w:after="200"/>
              <w:jc w:val="right"/>
              <w:rPr>
                <w:sz w:val="18"/>
                <w:szCs w:val="18"/>
              </w:rPr>
            </w:pP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Cost of goods sold</w:t>
            </w:r>
          </w:p>
        </w:tc>
        <w:tc>
          <w:tcPr>
            <w:tcW w:w="50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340,000</w:t>
            </w:r>
          </w:p>
        </w:tc>
        <w:tc>
          <w:tcPr>
            <w:tcW w:w="586"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340,000</w:t>
            </w:r>
          </w:p>
        </w:tc>
        <w:tc>
          <w:tcPr>
            <w:tcW w:w="525" w:type="pct"/>
          </w:tcPr>
          <w:p w:rsidR="00723BAB" w:rsidRPr="00D455EB" w:rsidRDefault="00723BAB" w:rsidP="00675F0B">
            <w:pPr>
              <w:spacing w:after="200" w:line="276" w:lineRule="auto"/>
              <w:jc w:val="right"/>
              <w:rPr>
                <w:rFonts w:cs="Calibri"/>
                <w:sz w:val="18"/>
                <w:szCs w:val="18"/>
              </w:rPr>
            </w:pPr>
          </w:p>
        </w:tc>
        <w:tc>
          <w:tcPr>
            <w:tcW w:w="548" w:type="pct"/>
          </w:tcPr>
          <w:p w:rsidR="00723BAB" w:rsidRPr="00D455EB" w:rsidRDefault="00723BAB" w:rsidP="00675F0B">
            <w:pPr>
              <w:spacing w:after="200" w:line="276" w:lineRule="auto"/>
              <w:jc w:val="right"/>
              <w:rPr>
                <w:rFonts w:cs="Calibri"/>
                <w:sz w:val="18"/>
                <w:szCs w:val="18"/>
                <w:lang w:eastAsia="en-US"/>
              </w:rPr>
            </w:pPr>
          </w:p>
        </w:tc>
        <w:tc>
          <w:tcPr>
            <w:tcW w:w="53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425,000</w:t>
            </w:r>
          </w:p>
        </w:tc>
        <w:tc>
          <w:tcPr>
            <w:tcW w:w="563"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425,000</w:t>
            </w:r>
          </w:p>
        </w:tc>
        <w:tc>
          <w:tcPr>
            <w:tcW w:w="478" w:type="pct"/>
          </w:tcPr>
          <w:p w:rsidR="00723BAB" w:rsidRPr="00D455EB" w:rsidRDefault="00723BAB" w:rsidP="00675F0B">
            <w:pPr>
              <w:spacing w:after="200" w:line="276" w:lineRule="auto"/>
              <w:jc w:val="right"/>
              <w:rPr>
                <w:rFonts w:cs="Calibri"/>
                <w:sz w:val="18"/>
                <w:szCs w:val="18"/>
                <w:lang w:eastAsia="en-US"/>
              </w:rPr>
            </w:pPr>
          </w:p>
        </w:tc>
        <w:tc>
          <w:tcPr>
            <w:tcW w:w="572" w:type="pct"/>
          </w:tcPr>
          <w:p w:rsidR="00723BAB" w:rsidRPr="00D455EB" w:rsidRDefault="00723BAB" w:rsidP="00675F0B">
            <w:pPr>
              <w:spacing w:after="200" w:line="276" w:lineRule="auto"/>
              <w:jc w:val="right"/>
              <w:rPr>
                <w:rFonts w:cs="Calibri"/>
                <w:sz w:val="18"/>
                <w:szCs w:val="18"/>
                <w:lang w:eastAsia="en-US"/>
              </w:rPr>
            </w:pP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Doubtful debts</w:t>
            </w:r>
          </w:p>
        </w:tc>
        <w:tc>
          <w:tcPr>
            <w:tcW w:w="50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3,500</w:t>
            </w:r>
          </w:p>
        </w:tc>
        <w:tc>
          <w:tcPr>
            <w:tcW w:w="586"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3,500</w:t>
            </w:r>
          </w:p>
        </w:tc>
        <w:tc>
          <w:tcPr>
            <w:tcW w:w="525" w:type="pct"/>
          </w:tcPr>
          <w:p w:rsidR="00723BAB" w:rsidRPr="00D455EB" w:rsidRDefault="00723BAB" w:rsidP="00675F0B">
            <w:pPr>
              <w:spacing w:after="200" w:line="276" w:lineRule="auto"/>
              <w:jc w:val="right"/>
              <w:rPr>
                <w:rFonts w:cs="Calibri"/>
                <w:sz w:val="18"/>
                <w:szCs w:val="18"/>
              </w:rPr>
            </w:pPr>
          </w:p>
        </w:tc>
        <w:tc>
          <w:tcPr>
            <w:tcW w:w="548" w:type="pct"/>
          </w:tcPr>
          <w:p w:rsidR="00723BAB" w:rsidRPr="00D455EB" w:rsidRDefault="00723BAB" w:rsidP="00675F0B">
            <w:pPr>
              <w:spacing w:after="200" w:line="276" w:lineRule="auto"/>
              <w:jc w:val="right"/>
              <w:rPr>
                <w:rFonts w:cs="Calibri"/>
                <w:sz w:val="18"/>
                <w:szCs w:val="18"/>
                <w:lang w:eastAsia="en-US"/>
              </w:rPr>
            </w:pPr>
          </w:p>
        </w:tc>
        <w:tc>
          <w:tcPr>
            <w:tcW w:w="532"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2,250</w:t>
            </w:r>
          </w:p>
        </w:tc>
        <w:tc>
          <w:tcPr>
            <w:tcW w:w="563" w:type="pct"/>
          </w:tcPr>
          <w:p w:rsidR="00723BAB" w:rsidRPr="00D455EB" w:rsidRDefault="00723BAB" w:rsidP="00675F0B">
            <w:pPr>
              <w:spacing w:after="200" w:line="276" w:lineRule="auto"/>
              <w:jc w:val="right"/>
              <w:rPr>
                <w:rFonts w:cs="Calibri"/>
                <w:sz w:val="18"/>
                <w:szCs w:val="18"/>
                <w:lang w:eastAsia="en-US"/>
              </w:rPr>
            </w:pPr>
            <w:r w:rsidRPr="00D455EB">
              <w:rPr>
                <w:rFonts w:cs="Calibri"/>
                <w:sz w:val="18"/>
                <w:szCs w:val="18"/>
              </w:rPr>
              <w:t>2,250</w:t>
            </w:r>
          </w:p>
        </w:tc>
        <w:tc>
          <w:tcPr>
            <w:tcW w:w="478" w:type="pct"/>
          </w:tcPr>
          <w:p w:rsidR="00723BAB" w:rsidRPr="00D455EB" w:rsidRDefault="00723BAB" w:rsidP="00675F0B">
            <w:pPr>
              <w:spacing w:after="200" w:line="276" w:lineRule="auto"/>
              <w:jc w:val="right"/>
              <w:rPr>
                <w:rFonts w:cs="Calibri"/>
                <w:sz w:val="18"/>
                <w:szCs w:val="18"/>
                <w:lang w:eastAsia="en-US"/>
              </w:rPr>
            </w:pPr>
          </w:p>
        </w:tc>
        <w:tc>
          <w:tcPr>
            <w:tcW w:w="572" w:type="pct"/>
          </w:tcPr>
          <w:p w:rsidR="00723BAB" w:rsidRPr="00D455EB" w:rsidRDefault="00723BAB" w:rsidP="00675F0B">
            <w:pPr>
              <w:spacing w:after="200" w:line="276" w:lineRule="auto"/>
              <w:jc w:val="right"/>
              <w:rPr>
                <w:rFonts w:cs="Calibri"/>
                <w:sz w:val="18"/>
                <w:szCs w:val="18"/>
                <w:lang w:eastAsia="en-US"/>
              </w:rPr>
            </w:pPr>
          </w:p>
        </w:tc>
      </w:tr>
      <w:tr w:rsidR="00723BAB" w:rsidRPr="00D455EB" w:rsidTr="001C0158">
        <w:tc>
          <w:tcPr>
            <w:tcW w:w="694" w:type="pct"/>
          </w:tcPr>
          <w:p w:rsidR="00723BAB" w:rsidRPr="00D455EB" w:rsidRDefault="00723BAB" w:rsidP="00675F0B">
            <w:pPr>
              <w:spacing w:after="200" w:line="276" w:lineRule="auto"/>
              <w:rPr>
                <w:rFonts w:cs="Calibri"/>
                <w:sz w:val="18"/>
                <w:szCs w:val="18"/>
              </w:rPr>
            </w:pPr>
            <w:r w:rsidRPr="00D455EB">
              <w:rPr>
                <w:rFonts w:cs="Calibri"/>
                <w:sz w:val="18"/>
                <w:szCs w:val="18"/>
              </w:rPr>
              <w:t>Trust income net of directly related expenses</w:t>
            </w:r>
          </w:p>
        </w:tc>
        <w:tc>
          <w:tcPr>
            <w:tcW w:w="502" w:type="pct"/>
          </w:tcPr>
          <w:p w:rsidR="00723BAB" w:rsidRPr="00D455EB" w:rsidRDefault="00723BAB" w:rsidP="00675F0B">
            <w:pPr>
              <w:spacing w:after="200"/>
              <w:jc w:val="right"/>
              <w:rPr>
                <w:sz w:val="18"/>
                <w:szCs w:val="18"/>
              </w:rPr>
            </w:pPr>
            <w:r w:rsidRPr="00D455EB">
              <w:rPr>
                <w:sz w:val="18"/>
                <w:szCs w:val="18"/>
              </w:rPr>
              <w:t>251,955</w:t>
            </w:r>
          </w:p>
        </w:tc>
        <w:tc>
          <w:tcPr>
            <w:tcW w:w="586" w:type="pct"/>
          </w:tcPr>
          <w:p w:rsidR="00723BAB" w:rsidRPr="00D455EB" w:rsidRDefault="00723BAB" w:rsidP="00675F0B">
            <w:pPr>
              <w:spacing w:after="200"/>
              <w:jc w:val="right"/>
              <w:rPr>
                <w:sz w:val="18"/>
                <w:szCs w:val="18"/>
              </w:rPr>
            </w:pPr>
            <w:r w:rsidRPr="00D455EB">
              <w:rPr>
                <w:sz w:val="18"/>
                <w:szCs w:val="18"/>
              </w:rPr>
              <w:t>236,500</w:t>
            </w:r>
          </w:p>
        </w:tc>
        <w:tc>
          <w:tcPr>
            <w:tcW w:w="525" w:type="pct"/>
          </w:tcPr>
          <w:p w:rsidR="00723BAB" w:rsidRPr="00D455EB" w:rsidRDefault="00723BAB" w:rsidP="00675F0B">
            <w:pPr>
              <w:spacing w:after="200"/>
              <w:jc w:val="right"/>
              <w:rPr>
                <w:sz w:val="18"/>
                <w:szCs w:val="18"/>
              </w:rPr>
            </w:pPr>
            <w:r w:rsidRPr="00D455EB">
              <w:rPr>
                <w:sz w:val="18"/>
                <w:szCs w:val="18"/>
              </w:rPr>
              <w:t>4,850</w:t>
            </w:r>
          </w:p>
        </w:tc>
        <w:tc>
          <w:tcPr>
            <w:tcW w:w="548" w:type="pct"/>
          </w:tcPr>
          <w:p w:rsidR="00723BAB" w:rsidRPr="00D455EB" w:rsidRDefault="00723BAB" w:rsidP="00675F0B">
            <w:pPr>
              <w:spacing w:after="200"/>
              <w:jc w:val="right"/>
              <w:rPr>
                <w:sz w:val="18"/>
                <w:szCs w:val="18"/>
              </w:rPr>
            </w:pPr>
            <w:r w:rsidRPr="00D455EB">
              <w:rPr>
                <w:sz w:val="18"/>
                <w:szCs w:val="18"/>
              </w:rPr>
              <w:t>10,605</w:t>
            </w:r>
          </w:p>
        </w:tc>
        <w:tc>
          <w:tcPr>
            <w:tcW w:w="532" w:type="pct"/>
          </w:tcPr>
          <w:p w:rsidR="00723BAB" w:rsidRPr="00D455EB" w:rsidRDefault="00723BAB" w:rsidP="00675F0B">
            <w:pPr>
              <w:spacing w:after="200"/>
              <w:jc w:val="right"/>
              <w:rPr>
                <w:sz w:val="18"/>
                <w:szCs w:val="18"/>
              </w:rPr>
            </w:pPr>
            <w:r w:rsidRPr="00D455EB">
              <w:rPr>
                <w:sz w:val="18"/>
                <w:szCs w:val="18"/>
              </w:rPr>
              <w:t>308,385</w:t>
            </w:r>
          </w:p>
        </w:tc>
        <w:tc>
          <w:tcPr>
            <w:tcW w:w="563" w:type="pct"/>
          </w:tcPr>
          <w:p w:rsidR="00723BAB" w:rsidRPr="00D455EB" w:rsidRDefault="00723BAB" w:rsidP="00675F0B">
            <w:pPr>
              <w:spacing w:after="200"/>
              <w:jc w:val="right"/>
              <w:rPr>
                <w:sz w:val="18"/>
                <w:szCs w:val="18"/>
              </w:rPr>
            </w:pPr>
            <w:r w:rsidRPr="00D455EB">
              <w:rPr>
                <w:sz w:val="18"/>
                <w:szCs w:val="18"/>
              </w:rPr>
              <w:t>292,750</w:t>
            </w:r>
          </w:p>
        </w:tc>
        <w:tc>
          <w:tcPr>
            <w:tcW w:w="478" w:type="pct"/>
          </w:tcPr>
          <w:p w:rsidR="00723BAB" w:rsidRPr="00D455EB" w:rsidRDefault="00723BAB" w:rsidP="00675F0B">
            <w:pPr>
              <w:spacing w:after="200"/>
              <w:jc w:val="right"/>
              <w:rPr>
                <w:sz w:val="18"/>
                <w:szCs w:val="18"/>
              </w:rPr>
            </w:pPr>
            <w:r w:rsidRPr="00D455EB">
              <w:rPr>
                <w:sz w:val="18"/>
                <w:szCs w:val="18"/>
              </w:rPr>
              <w:t>5,450</w:t>
            </w:r>
          </w:p>
        </w:tc>
        <w:tc>
          <w:tcPr>
            <w:tcW w:w="572" w:type="pct"/>
          </w:tcPr>
          <w:p w:rsidR="00723BAB" w:rsidRPr="00D455EB" w:rsidRDefault="00723BAB" w:rsidP="00675F0B">
            <w:pPr>
              <w:spacing w:after="200"/>
              <w:jc w:val="right"/>
              <w:rPr>
                <w:sz w:val="18"/>
                <w:szCs w:val="18"/>
              </w:rPr>
            </w:pPr>
            <w:r w:rsidRPr="00D455EB">
              <w:rPr>
                <w:sz w:val="18"/>
                <w:szCs w:val="18"/>
              </w:rPr>
              <w:t>10,185</w:t>
            </w:r>
          </w:p>
        </w:tc>
      </w:tr>
      <w:tr w:rsidR="00723BAB" w:rsidRPr="00D455EB" w:rsidTr="001C0158">
        <w:tc>
          <w:tcPr>
            <w:tcW w:w="694" w:type="pct"/>
          </w:tcPr>
          <w:p w:rsidR="00723BAB" w:rsidRPr="00D455EB" w:rsidRDefault="00723BAB" w:rsidP="00675F0B">
            <w:pPr>
              <w:spacing w:after="200" w:line="276" w:lineRule="auto"/>
              <w:rPr>
                <w:rFonts w:cs="Calibri"/>
                <w:sz w:val="18"/>
                <w:szCs w:val="18"/>
              </w:rPr>
            </w:pPr>
          </w:p>
        </w:tc>
        <w:tc>
          <w:tcPr>
            <w:tcW w:w="502" w:type="pct"/>
          </w:tcPr>
          <w:p w:rsidR="00723BAB" w:rsidRPr="00D455EB" w:rsidRDefault="00723BAB" w:rsidP="00675F0B">
            <w:pPr>
              <w:spacing w:after="200"/>
              <w:jc w:val="right"/>
              <w:rPr>
                <w:sz w:val="18"/>
                <w:szCs w:val="18"/>
              </w:rPr>
            </w:pPr>
          </w:p>
        </w:tc>
        <w:tc>
          <w:tcPr>
            <w:tcW w:w="586" w:type="pct"/>
          </w:tcPr>
          <w:p w:rsidR="00723BAB" w:rsidRPr="00D455EB" w:rsidRDefault="00723BAB" w:rsidP="00675F0B">
            <w:pPr>
              <w:spacing w:after="200"/>
              <w:jc w:val="right"/>
              <w:rPr>
                <w:sz w:val="18"/>
                <w:szCs w:val="18"/>
              </w:rPr>
            </w:pPr>
            <w:r w:rsidRPr="00D455EB">
              <w:rPr>
                <w:sz w:val="18"/>
                <w:szCs w:val="18"/>
              </w:rPr>
              <w:t>93.87%</w:t>
            </w:r>
          </w:p>
        </w:tc>
        <w:tc>
          <w:tcPr>
            <w:tcW w:w="525" w:type="pct"/>
          </w:tcPr>
          <w:p w:rsidR="00723BAB" w:rsidRPr="00D455EB" w:rsidRDefault="00723BAB" w:rsidP="00512561">
            <w:pPr>
              <w:spacing w:after="200"/>
              <w:jc w:val="right"/>
              <w:rPr>
                <w:sz w:val="18"/>
                <w:szCs w:val="18"/>
              </w:rPr>
            </w:pPr>
            <w:r w:rsidRPr="00D455EB">
              <w:rPr>
                <w:sz w:val="18"/>
                <w:szCs w:val="18"/>
              </w:rPr>
              <w:t>1.92%</w:t>
            </w:r>
          </w:p>
        </w:tc>
        <w:tc>
          <w:tcPr>
            <w:tcW w:w="548" w:type="pct"/>
          </w:tcPr>
          <w:p w:rsidR="00723BAB" w:rsidRPr="00D455EB" w:rsidRDefault="00723BAB" w:rsidP="00675F0B">
            <w:pPr>
              <w:spacing w:after="200"/>
              <w:jc w:val="right"/>
              <w:rPr>
                <w:sz w:val="18"/>
                <w:szCs w:val="18"/>
              </w:rPr>
            </w:pPr>
            <w:r w:rsidRPr="00D455EB">
              <w:rPr>
                <w:sz w:val="18"/>
                <w:szCs w:val="18"/>
              </w:rPr>
              <w:t>4.21%</w:t>
            </w:r>
          </w:p>
        </w:tc>
        <w:tc>
          <w:tcPr>
            <w:tcW w:w="532" w:type="pct"/>
          </w:tcPr>
          <w:p w:rsidR="00723BAB" w:rsidRPr="00D455EB" w:rsidRDefault="00723BAB" w:rsidP="00675F0B">
            <w:pPr>
              <w:spacing w:after="200"/>
              <w:jc w:val="right"/>
              <w:rPr>
                <w:sz w:val="18"/>
                <w:szCs w:val="18"/>
              </w:rPr>
            </w:pPr>
          </w:p>
        </w:tc>
        <w:tc>
          <w:tcPr>
            <w:tcW w:w="563" w:type="pct"/>
          </w:tcPr>
          <w:p w:rsidR="00723BAB" w:rsidRPr="00D455EB" w:rsidRDefault="00723BAB" w:rsidP="00675F0B">
            <w:pPr>
              <w:spacing w:after="200"/>
              <w:jc w:val="right"/>
              <w:rPr>
                <w:sz w:val="18"/>
                <w:szCs w:val="18"/>
              </w:rPr>
            </w:pPr>
            <w:r w:rsidRPr="00D455EB">
              <w:rPr>
                <w:sz w:val="18"/>
                <w:szCs w:val="18"/>
              </w:rPr>
              <w:t>94.93%</w:t>
            </w:r>
          </w:p>
        </w:tc>
        <w:tc>
          <w:tcPr>
            <w:tcW w:w="478" w:type="pct"/>
          </w:tcPr>
          <w:p w:rsidR="00723BAB" w:rsidRPr="00D455EB" w:rsidRDefault="00723BAB" w:rsidP="00675F0B">
            <w:pPr>
              <w:spacing w:after="200"/>
              <w:jc w:val="right"/>
              <w:rPr>
                <w:sz w:val="18"/>
                <w:szCs w:val="18"/>
              </w:rPr>
            </w:pPr>
            <w:r w:rsidRPr="00D455EB">
              <w:rPr>
                <w:sz w:val="18"/>
                <w:szCs w:val="18"/>
              </w:rPr>
              <w:t>1.77%</w:t>
            </w:r>
          </w:p>
        </w:tc>
        <w:tc>
          <w:tcPr>
            <w:tcW w:w="572" w:type="pct"/>
          </w:tcPr>
          <w:p w:rsidR="00723BAB" w:rsidRPr="00D455EB" w:rsidRDefault="00723BAB" w:rsidP="00675F0B">
            <w:pPr>
              <w:spacing w:after="200"/>
              <w:jc w:val="right"/>
              <w:rPr>
                <w:sz w:val="18"/>
                <w:szCs w:val="18"/>
              </w:rPr>
            </w:pPr>
            <w:r w:rsidRPr="00D455EB">
              <w:rPr>
                <w:sz w:val="18"/>
                <w:szCs w:val="18"/>
              </w:rPr>
              <w:t>3.3%</w:t>
            </w: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Accrued expenses</w:t>
            </w:r>
          </w:p>
        </w:tc>
        <w:tc>
          <w:tcPr>
            <w:tcW w:w="502" w:type="pct"/>
          </w:tcPr>
          <w:p w:rsidR="00723BAB" w:rsidRPr="00D455EB" w:rsidRDefault="00723BAB" w:rsidP="00675F0B">
            <w:pPr>
              <w:spacing w:after="200"/>
              <w:jc w:val="right"/>
              <w:rPr>
                <w:sz w:val="18"/>
                <w:szCs w:val="18"/>
              </w:rPr>
            </w:pPr>
            <w:r w:rsidRPr="00D455EB">
              <w:rPr>
                <w:sz w:val="18"/>
                <w:szCs w:val="18"/>
              </w:rPr>
              <w:t>25,000</w:t>
            </w:r>
          </w:p>
        </w:tc>
        <w:tc>
          <w:tcPr>
            <w:tcW w:w="586" w:type="pct"/>
          </w:tcPr>
          <w:p w:rsidR="00723BAB" w:rsidRPr="00D455EB" w:rsidRDefault="00723BAB" w:rsidP="00675F0B">
            <w:pPr>
              <w:spacing w:after="200"/>
              <w:jc w:val="right"/>
              <w:rPr>
                <w:sz w:val="18"/>
                <w:szCs w:val="18"/>
              </w:rPr>
            </w:pPr>
            <w:r w:rsidRPr="00D455EB">
              <w:rPr>
                <w:sz w:val="18"/>
                <w:szCs w:val="18"/>
              </w:rPr>
              <w:t>23,466</w:t>
            </w:r>
          </w:p>
        </w:tc>
        <w:tc>
          <w:tcPr>
            <w:tcW w:w="525" w:type="pct"/>
          </w:tcPr>
          <w:p w:rsidR="00723BAB" w:rsidRPr="00D455EB" w:rsidRDefault="00723BAB" w:rsidP="00675F0B">
            <w:pPr>
              <w:spacing w:after="200"/>
              <w:jc w:val="right"/>
              <w:rPr>
                <w:sz w:val="18"/>
                <w:szCs w:val="18"/>
              </w:rPr>
            </w:pPr>
            <w:r w:rsidRPr="00D455EB">
              <w:rPr>
                <w:sz w:val="18"/>
                <w:szCs w:val="18"/>
              </w:rPr>
              <w:t>481</w:t>
            </w:r>
          </w:p>
        </w:tc>
        <w:tc>
          <w:tcPr>
            <w:tcW w:w="548" w:type="pct"/>
          </w:tcPr>
          <w:p w:rsidR="00723BAB" w:rsidRPr="00D455EB" w:rsidRDefault="00723BAB" w:rsidP="00675F0B">
            <w:pPr>
              <w:spacing w:after="200"/>
              <w:jc w:val="right"/>
              <w:rPr>
                <w:sz w:val="18"/>
                <w:szCs w:val="18"/>
              </w:rPr>
            </w:pPr>
            <w:r w:rsidRPr="00D455EB">
              <w:rPr>
                <w:sz w:val="18"/>
                <w:szCs w:val="18"/>
              </w:rPr>
              <w:t>1,052</w:t>
            </w:r>
          </w:p>
        </w:tc>
        <w:tc>
          <w:tcPr>
            <w:tcW w:w="532" w:type="pct"/>
          </w:tcPr>
          <w:p w:rsidR="00723BAB" w:rsidRPr="00D455EB" w:rsidRDefault="00723BAB" w:rsidP="00675F0B">
            <w:pPr>
              <w:spacing w:after="200"/>
              <w:jc w:val="right"/>
              <w:rPr>
                <w:sz w:val="18"/>
                <w:szCs w:val="18"/>
              </w:rPr>
            </w:pPr>
            <w:r w:rsidRPr="00D455EB">
              <w:rPr>
                <w:sz w:val="18"/>
                <w:szCs w:val="18"/>
              </w:rPr>
              <w:t>30,000</w:t>
            </w:r>
          </w:p>
        </w:tc>
        <w:tc>
          <w:tcPr>
            <w:tcW w:w="563" w:type="pct"/>
          </w:tcPr>
          <w:p w:rsidR="00723BAB" w:rsidRPr="00D455EB" w:rsidRDefault="00723BAB" w:rsidP="00675F0B">
            <w:pPr>
              <w:spacing w:after="200"/>
              <w:jc w:val="right"/>
              <w:rPr>
                <w:sz w:val="18"/>
                <w:szCs w:val="18"/>
              </w:rPr>
            </w:pPr>
            <w:r w:rsidRPr="00D455EB">
              <w:rPr>
                <w:sz w:val="18"/>
                <w:szCs w:val="18"/>
              </w:rPr>
              <w:t>28,479</w:t>
            </w:r>
          </w:p>
        </w:tc>
        <w:tc>
          <w:tcPr>
            <w:tcW w:w="478" w:type="pct"/>
          </w:tcPr>
          <w:p w:rsidR="00723BAB" w:rsidRPr="00D455EB" w:rsidRDefault="00723BAB" w:rsidP="00675F0B">
            <w:pPr>
              <w:spacing w:after="200"/>
              <w:jc w:val="right"/>
              <w:rPr>
                <w:sz w:val="18"/>
                <w:szCs w:val="18"/>
              </w:rPr>
            </w:pPr>
            <w:r w:rsidRPr="00D455EB">
              <w:rPr>
                <w:sz w:val="18"/>
                <w:szCs w:val="18"/>
              </w:rPr>
              <w:t>530</w:t>
            </w:r>
          </w:p>
        </w:tc>
        <w:tc>
          <w:tcPr>
            <w:tcW w:w="572" w:type="pct"/>
          </w:tcPr>
          <w:p w:rsidR="00723BAB" w:rsidRPr="00D455EB" w:rsidRDefault="00723BAB" w:rsidP="00675F0B">
            <w:pPr>
              <w:spacing w:after="200"/>
              <w:jc w:val="right"/>
              <w:rPr>
                <w:sz w:val="18"/>
                <w:szCs w:val="18"/>
              </w:rPr>
            </w:pPr>
            <w:r w:rsidRPr="00D455EB">
              <w:rPr>
                <w:sz w:val="18"/>
                <w:szCs w:val="18"/>
              </w:rPr>
              <w:t>991</w:t>
            </w: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Legal expenses</w:t>
            </w:r>
          </w:p>
        </w:tc>
        <w:tc>
          <w:tcPr>
            <w:tcW w:w="502" w:type="pct"/>
          </w:tcPr>
          <w:p w:rsidR="00723BAB" w:rsidRPr="00D455EB" w:rsidRDefault="00723BAB" w:rsidP="00675F0B">
            <w:pPr>
              <w:spacing w:after="200"/>
              <w:jc w:val="right"/>
              <w:rPr>
                <w:sz w:val="18"/>
                <w:szCs w:val="18"/>
              </w:rPr>
            </w:pPr>
            <w:r w:rsidRPr="00D455EB">
              <w:rPr>
                <w:sz w:val="18"/>
                <w:szCs w:val="18"/>
              </w:rPr>
              <w:t>0</w:t>
            </w:r>
          </w:p>
        </w:tc>
        <w:tc>
          <w:tcPr>
            <w:tcW w:w="586" w:type="pct"/>
          </w:tcPr>
          <w:p w:rsidR="00723BAB" w:rsidRPr="00D455EB" w:rsidRDefault="00723BAB" w:rsidP="00675F0B">
            <w:pPr>
              <w:spacing w:after="200"/>
              <w:jc w:val="right"/>
              <w:rPr>
                <w:sz w:val="18"/>
                <w:szCs w:val="18"/>
              </w:rPr>
            </w:pPr>
            <w:r w:rsidRPr="00D455EB">
              <w:rPr>
                <w:sz w:val="18"/>
                <w:szCs w:val="18"/>
              </w:rPr>
              <w:t>0</w:t>
            </w:r>
          </w:p>
        </w:tc>
        <w:tc>
          <w:tcPr>
            <w:tcW w:w="525" w:type="pct"/>
          </w:tcPr>
          <w:p w:rsidR="00723BAB" w:rsidRPr="00D455EB" w:rsidRDefault="00723BAB" w:rsidP="00675F0B">
            <w:pPr>
              <w:spacing w:after="200"/>
              <w:jc w:val="right"/>
              <w:rPr>
                <w:sz w:val="18"/>
                <w:szCs w:val="18"/>
              </w:rPr>
            </w:pPr>
            <w:r w:rsidRPr="00D455EB">
              <w:rPr>
                <w:sz w:val="18"/>
                <w:szCs w:val="18"/>
              </w:rPr>
              <w:t>0</w:t>
            </w:r>
          </w:p>
        </w:tc>
        <w:tc>
          <w:tcPr>
            <w:tcW w:w="548" w:type="pct"/>
          </w:tcPr>
          <w:p w:rsidR="00723BAB" w:rsidRPr="00D455EB" w:rsidRDefault="00723BAB" w:rsidP="00675F0B">
            <w:pPr>
              <w:spacing w:after="200"/>
              <w:jc w:val="right"/>
              <w:rPr>
                <w:sz w:val="18"/>
                <w:szCs w:val="18"/>
              </w:rPr>
            </w:pPr>
            <w:r w:rsidRPr="00D455EB">
              <w:rPr>
                <w:sz w:val="18"/>
                <w:szCs w:val="18"/>
              </w:rPr>
              <w:t>0</w:t>
            </w:r>
          </w:p>
        </w:tc>
        <w:tc>
          <w:tcPr>
            <w:tcW w:w="532" w:type="pct"/>
          </w:tcPr>
          <w:p w:rsidR="00723BAB" w:rsidRPr="00D455EB" w:rsidRDefault="00723BAB" w:rsidP="00675F0B">
            <w:pPr>
              <w:spacing w:after="200"/>
              <w:jc w:val="right"/>
              <w:rPr>
                <w:sz w:val="18"/>
                <w:szCs w:val="18"/>
              </w:rPr>
            </w:pPr>
            <w:r w:rsidRPr="00D455EB">
              <w:rPr>
                <w:sz w:val="18"/>
                <w:szCs w:val="18"/>
              </w:rPr>
              <w:t>60,000</w:t>
            </w:r>
          </w:p>
        </w:tc>
        <w:tc>
          <w:tcPr>
            <w:tcW w:w="563" w:type="pct"/>
          </w:tcPr>
          <w:p w:rsidR="00723BAB" w:rsidRPr="00D455EB" w:rsidRDefault="00723BAB" w:rsidP="00675F0B">
            <w:pPr>
              <w:spacing w:after="200"/>
              <w:jc w:val="right"/>
              <w:rPr>
                <w:sz w:val="18"/>
                <w:szCs w:val="18"/>
              </w:rPr>
            </w:pPr>
            <w:r w:rsidRPr="00D455EB">
              <w:rPr>
                <w:sz w:val="18"/>
                <w:szCs w:val="18"/>
              </w:rPr>
              <w:t>56,958</w:t>
            </w:r>
          </w:p>
        </w:tc>
        <w:tc>
          <w:tcPr>
            <w:tcW w:w="478" w:type="pct"/>
          </w:tcPr>
          <w:p w:rsidR="00723BAB" w:rsidRPr="00D455EB" w:rsidRDefault="00723BAB" w:rsidP="00675F0B">
            <w:pPr>
              <w:spacing w:after="200"/>
              <w:jc w:val="right"/>
              <w:rPr>
                <w:sz w:val="18"/>
                <w:szCs w:val="18"/>
              </w:rPr>
            </w:pPr>
            <w:r w:rsidRPr="00D455EB">
              <w:rPr>
                <w:sz w:val="18"/>
                <w:szCs w:val="18"/>
              </w:rPr>
              <w:t>1,060</w:t>
            </w:r>
          </w:p>
        </w:tc>
        <w:tc>
          <w:tcPr>
            <w:tcW w:w="572" w:type="pct"/>
          </w:tcPr>
          <w:p w:rsidR="00723BAB" w:rsidRPr="00D455EB" w:rsidRDefault="00723BAB" w:rsidP="00675F0B">
            <w:pPr>
              <w:spacing w:after="200"/>
              <w:jc w:val="right"/>
              <w:rPr>
                <w:sz w:val="18"/>
                <w:szCs w:val="18"/>
              </w:rPr>
            </w:pPr>
            <w:r w:rsidRPr="00D455EB">
              <w:rPr>
                <w:sz w:val="18"/>
                <w:szCs w:val="18"/>
              </w:rPr>
              <w:t>1,982</w:t>
            </w: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Depreciation deductions</w:t>
            </w:r>
          </w:p>
        </w:tc>
        <w:tc>
          <w:tcPr>
            <w:tcW w:w="502" w:type="pct"/>
          </w:tcPr>
          <w:p w:rsidR="00723BAB" w:rsidRPr="00D455EB" w:rsidRDefault="00723BAB" w:rsidP="00675F0B">
            <w:pPr>
              <w:spacing w:after="200"/>
              <w:jc w:val="right"/>
              <w:rPr>
                <w:sz w:val="18"/>
                <w:szCs w:val="18"/>
              </w:rPr>
            </w:pPr>
            <w:r w:rsidRPr="00D455EB">
              <w:rPr>
                <w:sz w:val="18"/>
                <w:szCs w:val="18"/>
              </w:rPr>
              <w:t>15,000</w:t>
            </w:r>
          </w:p>
        </w:tc>
        <w:tc>
          <w:tcPr>
            <w:tcW w:w="586" w:type="pct"/>
          </w:tcPr>
          <w:p w:rsidR="00723BAB" w:rsidRPr="00D455EB" w:rsidRDefault="00723BAB" w:rsidP="00675F0B">
            <w:pPr>
              <w:spacing w:after="200"/>
              <w:jc w:val="right"/>
              <w:rPr>
                <w:sz w:val="18"/>
                <w:szCs w:val="18"/>
              </w:rPr>
            </w:pPr>
            <w:r w:rsidRPr="00D455EB">
              <w:rPr>
                <w:sz w:val="18"/>
                <w:szCs w:val="18"/>
              </w:rPr>
              <w:t>14,080</w:t>
            </w:r>
          </w:p>
        </w:tc>
        <w:tc>
          <w:tcPr>
            <w:tcW w:w="525" w:type="pct"/>
          </w:tcPr>
          <w:p w:rsidR="00723BAB" w:rsidRPr="00D455EB" w:rsidRDefault="00723BAB" w:rsidP="00675F0B">
            <w:pPr>
              <w:spacing w:after="200"/>
              <w:jc w:val="right"/>
              <w:rPr>
                <w:sz w:val="18"/>
                <w:szCs w:val="18"/>
              </w:rPr>
            </w:pPr>
            <w:r w:rsidRPr="00D455EB">
              <w:rPr>
                <w:sz w:val="18"/>
                <w:szCs w:val="18"/>
              </w:rPr>
              <w:t>289</w:t>
            </w:r>
          </w:p>
        </w:tc>
        <w:tc>
          <w:tcPr>
            <w:tcW w:w="548" w:type="pct"/>
          </w:tcPr>
          <w:p w:rsidR="00723BAB" w:rsidRPr="00D455EB" w:rsidRDefault="00723BAB" w:rsidP="00675F0B">
            <w:pPr>
              <w:spacing w:after="200"/>
              <w:jc w:val="right"/>
              <w:rPr>
                <w:sz w:val="18"/>
                <w:szCs w:val="18"/>
              </w:rPr>
            </w:pPr>
            <w:r w:rsidRPr="00D455EB">
              <w:rPr>
                <w:sz w:val="18"/>
                <w:szCs w:val="18"/>
              </w:rPr>
              <w:t>631</w:t>
            </w:r>
          </w:p>
        </w:tc>
        <w:tc>
          <w:tcPr>
            <w:tcW w:w="532" w:type="pct"/>
          </w:tcPr>
          <w:p w:rsidR="00723BAB" w:rsidRPr="00D455EB" w:rsidRDefault="00723BAB" w:rsidP="00675F0B">
            <w:pPr>
              <w:spacing w:after="200"/>
              <w:jc w:val="right"/>
              <w:rPr>
                <w:sz w:val="18"/>
                <w:szCs w:val="18"/>
              </w:rPr>
            </w:pPr>
            <w:r w:rsidRPr="00D455EB">
              <w:rPr>
                <w:sz w:val="18"/>
                <w:szCs w:val="18"/>
              </w:rPr>
              <w:t>15,000</w:t>
            </w:r>
          </w:p>
        </w:tc>
        <w:tc>
          <w:tcPr>
            <w:tcW w:w="563" w:type="pct"/>
          </w:tcPr>
          <w:p w:rsidR="00723BAB" w:rsidRPr="00D455EB" w:rsidRDefault="00723BAB" w:rsidP="00675F0B">
            <w:pPr>
              <w:spacing w:after="200"/>
              <w:jc w:val="right"/>
              <w:rPr>
                <w:sz w:val="18"/>
                <w:szCs w:val="18"/>
              </w:rPr>
            </w:pPr>
            <w:r w:rsidRPr="00D455EB">
              <w:rPr>
                <w:sz w:val="18"/>
                <w:szCs w:val="18"/>
              </w:rPr>
              <w:t>14,240</w:t>
            </w:r>
          </w:p>
        </w:tc>
        <w:tc>
          <w:tcPr>
            <w:tcW w:w="478" w:type="pct"/>
          </w:tcPr>
          <w:p w:rsidR="00723BAB" w:rsidRPr="00D455EB" w:rsidRDefault="00723BAB" w:rsidP="00675F0B">
            <w:pPr>
              <w:spacing w:after="200"/>
              <w:jc w:val="right"/>
              <w:rPr>
                <w:sz w:val="18"/>
                <w:szCs w:val="18"/>
              </w:rPr>
            </w:pPr>
            <w:r w:rsidRPr="00D455EB">
              <w:rPr>
                <w:sz w:val="18"/>
                <w:szCs w:val="18"/>
              </w:rPr>
              <w:t>265</w:t>
            </w:r>
          </w:p>
        </w:tc>
        <w:tc>
          <w:tcPr>
            <w:tcW w:w="572" w:type="pct"/>
          </w:tcPr>
          <w:p w:rsidR="00723BAB" w:rsidRPr="00D455EB" w:rsidRDefault="00723BAB" w:rsidP="00675F0B">
            <w:pPr>
              <w:spacing w:after="200"/>
              <w:jc w:val="right"/>
              <w:rPr>
                <w:sz w:val="18"/>
                <w:szCs w:val="18"/>
              </w:rPr>
            </w:pPr>
            <w:r w:rsidRPr="00D455EB">
              <w:rPr>
                <w:sz w:val="18"/>
                <w:szCs w:val="18"/>
              </w:rPr>
              <w:t>495</w:t>
            </w:r>
          </w:p>
        </w:tc>
      </w:tr>
      <w:tr w:rsidR="00723BAB" w:rsidRPr="00D455EB" w:rsidTr="00270501">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Salary and wages</w:t>
            </w:r>
          </w:p>
        </w:tc>
        <w:tc>
          <w:tcPr>
            <w:tcW w:w="502" w:type="pct"/>
          </w:tcPr>
          <w:p w:rsidR="00723BAB" w:rsidRPr="00D455EB" w:rsidRDefault="00723BAB" w:rsidP="00675F0B">
            <w:pPr>
              <w:spacing w:after="200"/>
              <w:jc w:val="right"/>
              <w:rPr>
                <w:sz w:val="18"/>
                <w:szCs w:val="18"/>
              </w:rPr>
            </w:pPr>
            <w:r w:rsidRPr="00D455EB">
              <w:rPr>
                <w:sz w:val="18"/>
                <w:szCs w:val="18"/>
              </w:rPr>
              <w:t>65,000</w:t>
            </w:r>
          </w:p>
        </w:tc>
        <w:tc>
          <w:tcPr>
            <w:tcW w:w="586" w:type="pct"/>
          </w:tcPr>
          <w:p w:rsidR="00723BAB" w:rsidRPr="00D455EB" w:rsidRDefault="00723BAB" w:rsidP="00675F0B">
            <w:pPr>
              <w:spacing w:after="200"/>
              <w:jc w:val="right"/>
              <w:rPr>
                <w:sz w:val="18"/>
                <w:szCs w:val="18"/>
              </w:rPr>
            </w:pPr>
            <w:r w:rsidRPr="00D455EB">
              <w:rPr>
                <w:sz w:val="18"/>
                <w:szCs w:val="18"/>
              </w:rPr>
              <w:t>61,013</w:t>
            </w:r>
          </w:p>
        </w:tc>
        <w:tc>
          <w:tcPr>
            <w:tcW w:w="525" w:type="pct"/>
          </w:tcPr>
          <w:p w:rsidR="00723BAB" w:rsidRPr="00D455EB" w:rsidRDefault="00723BAB" w:rsidP="00675F0B">
            <w:pPr>
              <w:spacing w:after="200"/>
              <w:jc w:val="right"/>
              <w:rPr>
                <w:sz w:val="18"/>
                <w:szCs w:val="18"/>
              </w:rPr>
            </w:pPr>
            <w:r w:rsidRPr="00D455EB">
              <w:rPr>
                <w:sz w:val="18"/>
                <w:szCs w:val="18"/>
              </w:rPr>
              <w:t>1,251</w:t>
            </w:r>
          </w:p>
        </w:tc>
        <w:tc>
          <w:tcPr>
            <w:tcW w:w="548" w:type="pct"/>
          </w:tcPr>
          <w:p w:rsidR="00723BAB" w:rsidRPr="00D455EB" w:rsidRDefault="00723BAB" w:rsidP="00675F0B">
            <w:pPr>
              <w:spacing w:after="200"/>
              <w:jc w:val="right"/>
              <w:rPr>
                <w:sz w:val="18"/>
                <w:szCs w:val="18"/>
              </w:rPr>
            </w:pPr>
            <w:r w:rsidRPr="00D455EB">
              <w:rPr>
                <w:sz w:val="18"/>
                <w:szCs w:val="18"/>
              </w:rPr>
              <w:t>2,736</w:t>
            </w:r>
          </w:p>
        </w:tc>
        <w:tc>
          <w:tcPr>
            <w:tcW w:w="532" w:type="pct"/>
          </w:tcPr>
          <w:p w:rsidR="00723BAB" w:rsidRPr="00D455EB" w:rsidRDefault="00723BAB" w:rsidP="00675F0B">
            <w:pPr>
              <w:spacing w:after="200"/>
              <w:jc w:val="right"/>
              <w:rPr>
                <w:sz w:val="18"/>
                <w:szCs w:val="18"/>
              </w:rPr>
            </w:pPr>
            <w:r w:rsidRPr="00D455EB">
              <w:rPr>
                <w:sz w:val="18"/>
                <w:szCs w:val="18"/>
              </w:rPr>
              <w:t>70,000</w:t>
            </w:r>
          </w:p>
        </w:tc>
        <w:tc>
          <w:tcPr>
            <w:tcW w:w="563" w:type="pct"/>
          </w:tcPr>
          <w:p w:rsidR="00723BAB" w:rsidRPr="00D455EB" w:rsidRDefault="00723BAB" w:rsidP="00675F0B">
            <w:pPr>
              <w:spacing w:after="200"/>
              <w:jc w:val="right"/>
              <w:rPr>
                <w:sz w:val="18"/>
                <w:szCs w:val="18"/>
              </w:rPr>
            </w:pPr>
            <w:r w:rsidRPr="00D455EB">
              <w:rPr>
                <w:sz w:val="18"/>
                <w:szCs w:val="18"/>
              </w:rPr>
              <w:t>66,451</w:t>
            </w:r>
          </w:p>
        </w:tc>
        <w:tc>
          <w:tcPr>
            <w:tcW w:w="478" w:type="pct"/>
          </w:tcPr>
          <w:p w:rsidR="00723BAB" w:rsidRPr="00D455EB" w:rsidRDefault="00723BAB" w:rsidP="00675F0B">
            <w:pPr>
              <w:spacing w:after="200"/>
              <w:jc w:val="right"/>
              <w:rPr>
                <w:sz w:val="18"/>
                <w:szCs w:val="18"/>
              </w:rPr>
            </w:pPr>
            <w:r w:rsidRPr="00D455EB">
              <w:rPr>
                <w:sz w:val="18"/>
                <w:szCs w:val="18"/>
              </w:rPr>
              <w:t>1,237</w:t>
            </w:r>
          </w:p>
        </w:tc>
        <w:tc>
          <w:tcPr>
            <w:tcW w:w="572" w:type="pct"/>
          </w:tcPr>
          <w:p w:rsidR="00723BAB" w:rsidRPr="00D455EB" w:rsidRDefault="00723BAB" w:rsidP="00675F0B">
            <w:pPr>
              <w:spacing w:after="200"/>
              <w:jc w:val="right"/>
              <w:rPr>
                <w:sz w:val="18"/>
                <w:szCs w:val="18"/>
              </w:rPr>
            </w:pPr>
            <w:r w:rsidRPr="00D455EB">
              <w:rPr>
                <w:sz w:val="18"/>
                <w:szCs w:val="18"/>
              </w:rPr>
              <w:t>2,312</w:t>
            </w:r>
          </w:p>
        </w:tc>
      </w:tr>
      <w:tr w:rsidR="00723BAB" w:rsidRPr="00D455EB" w:rsidTr="00270501">
        <w:trPr>
          <w:trHeight w:val="850"/>
        </w:trPr>
        <w:tc>
          <w:tcPr>
            <w:tcW w:w="694" w:type="pct"/>
          </w:tcPr>
          <w:p w:rsidR="00723BAB" w:rsidRPr="00D455EB" w:rsidRDefault="00723BAB" w:rsidP="00675F0B">
            <w:pPr>
              <w:spacing w:after="200" w:line="276" w:lineRule="auto"/>
              <w:rPr>
                <w:rFonts w:cs="Calibri"/>
                <w:sz w:val="18"/>
                <w:szCs w:val="18"/>
                <w:lang w:eastAsia="en-US"/>
              </w:rPr>
            </w:pPr>
            <w:r w:rsidRPr="00D455EB">
              <w:rPr>
                <w:rFonts w:cs="Calibri"/>
                <w:sz w:val="18"/>
                <w:szCs w:val="18"/>
              </w:rPr>
              <w:t>Other expenses</w:t>
            </w:r>
          </w:p>
        </w:tc>
        <w:tc>
          <w:tcPr>
            <w:tcW w:w="502" w:type="pct"/>
          </w:tcPr>
          <w:p w:rsidR="00723BAB" w:rsidRPr="00D455EB" w:rsidRDefault="00723BAB" w:rsidP="00675F0B">
            <w:pPr>
              <w:spacing w:after="200"/>
              <w:jc w:val="right"/>
              <w:rPr>
                <w:sz w:val="18"/>
                <w:szCs w:val="18"/>
              </w:rPr>
            </w:pPr>
            <w:r w:rsidRPr="00D455EB">
              <w:rPr>
                <w:sz w:val="18"/>
                <w:szCs w:val="18"/>
              </w:rPr>
              <w:t>105,000</w:t>
            </w:r>
          </w:p>
        </w:tc>
        <w:tc>
          <w:tcPr>
            <w:tcW w:w="586" w:type="pct"/>
          </w:tcPr>
          <w:p w:rsidR="00723BAB" w:rsidRPr="00D455EB" w:rsidRDefault="00723BAB" w:rsidP="00675F0B">
            <w:pPr>
              <w:spacing w:after="200"/>
              <w:jc w:val="right"/>
              <w:rPr>
                <w:sz w:val="18"/>
                <w:szCs w:val="18"/>
              </w:rPr>
            </w:pPr>
            <w:r w:rsidRPr="00D455EB">
              <w:rPr>
                <w:sz w:val="18"/>
                <w:szCs w:val="18"/>
              </w:rPr>
              <w:t>98,559</w:t>
            </w:r>
          </w:p>
        </w:tc>
        <w:tc>
          <w:tcPr>
            <w:tcW w:w="525" w:type="pct"/>
          </w:tcPr>
          <w:p w:rsidR="00723BAB" w:rsidRPr="00D455EB" w:rsidRDefault="00723BAB" w:rsidP="00675F0B">
            <w:pPr>
              <w:spacing w:after="200"/>
              <w:jc w:val="right"/>
              <w:rPr>
                <w:sz w:val="18"/>
                <w:szCs w:val="18"/>
              </w:rPr>
            </w:pPr>
            <w:r w:rsidRPr="00D455EB">
              <w:rPr>
                <w:sz w:val="18"/>
                <w:szCs w:val="18"/>
              </w:rPr>
              <w:t>2,021</w:t>
            </w:r>
          </w:p>
        </w:tc>
        <w:tc>
          <w:tcPr>
            <w:tcW w:w="548" w:type="pct"/>
          </w:tcPr>
          <w:p w:rsidR="00723BAB" w:rsidRPr="00D455EB" w:rsidRDefault="00723BAB" w:rsidP="00675F0B">
            <w:pPr>
              <w:spacing w:after="200"/>
              <w:jc w:val="right"/>
              <w:rPr>
                <w:sz w:val="18"/>
                <w:szCs w:val="18"/>
              </w:rPr>
            </w:pPr>
            <w:r w:rsidRPr="00D455EB">
              <w:rPr>
                <w:sz w:val="18"/>
                <w:szCs w:val="18"/>
              </w:rPr>
              <w:t>4,420</w:t>
            </w:r>
          </w:p>
        </w:tc>
        <w:tc>
          <w:tcPr>
            <w:tcW w:w="532" w:type="pct"/>
          </w:tcPr>
          <w:p w:rsidR="00723BAB" w:rsidRPr="00D455EB" w:rsidRDefault="00723BAB" w:rsidP="00675F0B">
            <w:pPr>
              <w:spacing w:after="200"/>
              <w:jc w:val="right"/>
              <w:rPr>
                <w:sz w:val="18"/>
                <w:szCs w:val="18"/>
              </w:rPr>
            </w:pPr>
            <w:r w:rsidRPr="00D455EB">
              <w:rPr>
                <w:sz w:val="18"/>
                <w:szCs w:val="18"/>
              </w:rPr>
              <w:t>120,000</w:t>
            </w:r>
          </w:p>
        </w:tc>
        <w:tc>
          <w:tcPr>
            <w:tcW w:w="563" w:type="pct"/>
          </w:tcPr>
          <w:p w:rsidR="00723BAB" w:rsidRPr="00D455EB" w:rsidRDefault="00723BAB" w:rsidP="00675F0B">
            <w:pPr>
              <w:spacing w:after="200"/>
              <w:jc w:val="right"/>
              <w:rPr>
                <w:sz w:val="18"/>
                <w:szCs w:val="18"/>
              </w:rPr>
            </w:pPr>
            <w:r w:rsidRPr="00D455EB">
              <w:rPr>
                <w:sz w:val="18"/>
                <w:szCs w:val="18"/>
              </w:rPr>
              <w:t>113,916</w:t>
            </w:r>
          </w:p>
        </w:tc>
        <w:tc>
          <w:tcPr>
            <w:tcW w:w="478" w:type="pct"/>
          </w:tcPr>
          <w:p w:rsidR="00723BAB" w:rsidRPr="00D455EB" w:rsidRDefault="00723BAB" w:rsidP="00675F0B">
            <w:pPr>
              <w:spacing w:after="200"/>
              <w:jc w:val="right"/>
              <w:rPr>
                <w:sz w:val="18"/>
                <w:szCs w:val="18"/>
              </w:rPr>
            </w:pPr>
            <w:r w:rsidRPr="00D455EB">
              <w:rPr>
                <w:sz w:val="18"/>
                <w:szCs w:val="18"/>
              </w:rPr>
              <w:t>2,121</w:t>
            </w:r>
          </w:p>
        </w:tc>
        <w:tc>
          <w:tcPr>
            <w:tcW w:w="572" w:type="pct"/>
          </w:tcPr>
          <w:p w:rsidR="00723BAB" w:rsidRPr="00D455EB" w:rsidRDefault="00723BAB" w:rsidP="00675F0B">
            <w:pPr>
              <w:spacing w:after="200"/>
              <w:jc w:val="right"/>
              <w:rPr>
                <w:sz w:val="18"/>
                <w:szCs w:val="18"/>
              </w:rPr>
            </w:pPr>
            <w:r w:rsidRPr="00D455EB">
              <w:rPr>
                <w:sz w:val="18"/>
                <w:szCs w:val="18"/>
              </w:rPr>
              <w:t>3,963</w:t>
            </w:r>
          </w:p>
        </w:tc>
      </w:tr>
      <w:tr w:rsidR="00723BAB" w:rsidRPr="00D455EB" w:rsidTr="001D53E7">
        <w:trPr>
          <w:trHeight w:val="1134"/>
        </w:trPr>
        <w:tc>
          <w:tcPr>
            <w:tcW w:w="694" w:type="pct"/>
            <w:shd w:val="clear" w:color="auto" w:fill="4F81BD"/>
          </w:tcPr>
          <w:p w:rsidR="00723BAB" w:rsidRPr="00D455EB" w:rsidRDefault="00723BAB" w:rsidP="00675F0B">
            <w:pPr>
              <w:spacing w:after="200" w:line="276" w:lineRule="auto"/>
              <w:rPr>
                <w:rFonts w:cs="Calibri"/>
                <w:sz w:val="18"/>
                <w:szCs w:val="18"/>
              </w:rPr>
            </w:pPr>
            <w:r w:rsidRPr="00D455EB">
              <w:rPr>
                <w:rFonts w:cs="Calibri"/>
                <w:b/>
                <w:bCs/>
                <w:sz w:val="18"/>
                <w:szCs w:val="18"/>
              </w:rPr>
              <w:t>Total expenses from activities</w:t>
            </w:r>
          </w:p>
        </w:tc>
        <w:tc>
          <w:tcPr>
            <w:tcW w:w="502" w:type="pct"/>
            <w:shd w:val="clear" w:color="auto" w:fill="4F81BD"/>
          </w:tcPr>
          <w:p w:rsidR="00723BAB" w:rsidRPr="00D455EB" w:rsidRDefault="00723BAB" w:rsidP="00675F0B">
            <w:pPr>
              <w:spacing w:after="200"/>
              <w:jc w:val="right"/>
              <w:rPr>
                <w:sz w:val="18"/>
                <w:szCs w:val="18"/>
              </w:rPr>
            </w:pPr>
            <w:r w:rsidRPr="00D455EB">
              <w:rPr>
                <w:sz w:val="18"/>
                <w:szCs w:val="18"/>
              </w:rPr>
              <w:t>553,500</w:t>
            </w:r>
          </w:p>
        </w:tc>
        <w:tc>
          <w:tcPr>
            <w:tcW w:w="586" w:type="pct"/>
            <w:shd w:val="clear" w:color="auto" w:fill="4F81BD"/>
          </w:tcPr>
          <w:p w:rsidR="00723BAB" w:rsidRPr="00D455EB" w:rsidRDefault="00723BAB" w:rsidP="002B055A">
            <w:pPr>
              <w:spacing w:after="200"/>
              <w:jc w:val="right"/>
              <w:rPr>
                <w:sz w:val="18"/>
                <w:szCs w:val="18"/>
              </w:rPr>
            </w:pPr>
            <w:r w:rsidRPr="00D455EB">
              <w:rPr>
                <w:sz w:val="18"/>
                <w:szCs w:val="18"/>
              </w:rPr>
              <w:t>540,618</w:t>
            </w:r>
          </w:p>
        </w:tc>
        <w:tc>
          <w:tcPr>
            <w:tcW w:w="525" w:type="pct"/>
            <w:shd w:val="clear" w:color="auto" w:fill="4F81BD"/>
          </w:tcPr>
          <w:p w:rsidR="00723BAB" w:rsidRPr="00D455EB" w:rsidRDefault="00723BAB" w:rsidP="00675F0B">
            <w:pPr>
              <w:spacing w:after="200"/>
              <w:jc w:val="right"/>
              <w:rPr>
                <w:sz w:val="18"/>
                <w:szCs w:val="18"/>
              </w:rPr>
            </w:pPr>
            <w:r w:rsidRPr="00D455EB">
              <w:rPr>
                <w:sz w:val="18"/>
                <w:szCs w:val="18"/>
              </w:rPr>
              <w:t>4,042</w:t>
            </w:r>
          </w:p>
        </w:tc>
        <w:tc>
          <w:tcPr>
            <w:tcW w:w="548" w:type="pct"/>
            <w:shd w:val="clear" w:color="auto" w:fill="4F81BD"/>
          </w:tcPr>
          <w:p w:rsidR="00723BAB" w:rsidRPr="00D455EB" w:rsidRDefault="00723BAB" w:rsidP="00675F0B">
            <w:pPr>
              <w:spacing w:after="200"/>
              <w:jc w:val="right"/>
              <w:rPr>
                <w:sz w:val="18"/>
                <w:szCs w:val="18"/>
              </w:rPr>
            </w:pPr>
            <w:r w:rsidRPr="00D455EB">
              <w:rPr>
                <w:sz w:val="18"/>
                <w:szCs w:val="18"/>
              </w:rPr>
              <w:t>8,839</w:t>
            </w:r>
          </w:p>
        </w:tc>
        <w:tc>
          <w:tcPr>
            <w:tcW w:w="532" w:type="pct"/>
            <w:shd w:val="clear" w:color="auto" w:fill="4F81BD"/>
          </w:tcPr>
          <w:p w:rsidR="00723BAB" w:rsidRPr="00D455EB" w:rsidRDefault="00723BAB" w:rsidP="00675F0B">
            <w:pPr>
              <w:spacing w:after="200"/>
              <w:jc w:val="right"/>
              <w:rPr>
                <w:sz w:val="18"/>
                <w:szCs w:val="18"/>
              </w:rPr>
            </w:pPr>
            <w:r w:rsidRPr="00D455EB">
              <w:rPr>
                <w:sz w:val="18"/>
                <w:szCs w:val="18"/>
              </w:rPr>
              <w:t>722,250</w:t>
            </w:r>
          </w:p>
        </w:tc>
        <w:tc>
          <w:tcPr>
            <w:tcW w:w="563" w:type="pct"/>
            <w:shd w:val="clear" w:color="auto" w:fill="4F81BD"/>
          </w:tcPr>
          <w:p w:rsidR="00723BAB" w:rsidRPr="00D455EB" w:rsidRDefault="00723BAB" w:rsidP="00675F0B">
            <w:pPr>
              <w:spacing w:after="200"/>
              <w:jc w:val="right"/>
              <w:rPr>
                <w:sz w:val="18"/>
                <w:szCs w:val="18"/>
              </w:rPr>
            </w:pPr>
            <w:r w:rsidRPr="00D455EB">
              <w:rPr>
                <w:sz w:val="18"/>
                <w:szCs w:val="18"/>
              </w:rPr>
              <w:t>707,294</w:t>
            </w:r>
          </w:p>
        </w:tc>
        <w:tc>
          <w:tcPr>
            <w:tcW w:w="478" w:type="pct"/>
            <w:shd w:val="clear" w:color="auto" w:fill="4F81BD"/>
          </w:tcPr>
          <w:p w:rsidR="00723BAB" w:rsidRPr="00D455EB" w:rsidRDefault="00723BAB" w:rsidP="00675F0B">
            <w:pPr>
              <w:spacing w:after="200"/>
              <w:jc w:val="right"/>
              <w:rPr>
                <w:sz w:val="18"/>
                <w:szCs w:val="18"/>
              </w:rPr>
            </w:pPr>
            <w:r w:rsidRPr="00D455EB">
              <w:rPr>
                <w:sz w:val="18"/>
                <w:szCs w:val="18"/>
              </w:rPr>
              <w:t>5,213</w:t>
            </w:r>
          </w:p>
        </w:tc>
        <w:tc>
          <w:tcPr>
            <w:tcW w:w="572" w:type="pct"/>
            <w:shd w:val="clear" w:color="auto" w:fill="4F81BD"/>
          </w:tcPr>
          <w:p w:rsidR="00723BAB" w:rsidRPr="00D455EB" w:rsidRDefault="00723BAB" w:rsidP="00675F0B">
            <w:pPr>
              <w:spacing w:after="200"/>
              <w:jc w:val="right"/>
              <w:rPr>
                <w:sz w:val="18"/>
                <w:szCs w:val="18"/>
              </w:rPr>
            </w:pPr>
            <w:r w:rsidRPr="00D455EB">
              <w:rPr>
                <w:sz w:val="18"/>
                <w:szCs w:val="18"/>
              </w:rPr>
              <w:t>9,743</w:t>
            </w:r>
          </w:p>
        </w:tc>
      </w:tr>
      <w:tr w:rsidR="00723BAB" w:rsidRPr="00D455EB" w:rsidTr="001D53E7">
        <w:trPr>
          <w:trHeight w:val="227"/>
        </w:trPr>
        <w:tc>
          <w:tcPr>
            <w:tcW w:w="694" w:type="pct"/>
            <w:shd w:val="clear" w:color="auto" w:fill="4F81BD"/>
          </w:tcPr>
          <w:p w:rsidR="00723BAB" w:rsidRPr="00D455EB" w:rsidRDefault="00723BAB" w:rsidP="00675F0B">
            <w:pPr>
              <w:spacing w:after="200" w:line="276" w:lineRule="auto"/>
              <w:rPr>
                <w:rFonts w:cs="Calibri"/>
                <w:sz w:val="18"/>
                <w:szCs w:val="18"/>
              </w:rPr>
            </w:pPr>
            <w:r w:rsidRPr="00D455EB">
              <w:rPr>
                <w:rFonts w:cs="Calibri"/>
                <w:b/>
                <w:bCs/>
                <w:sz w:val="18"/>
                <w:szCs w:val="18"/>
              </w:rPr>
              <w:t>Total class amounts</w:t>
            </w:r>
          </w:p>
        </w:tc>
        <w:tc>
          <w:tcPr>
            <w:tcW w:w="502" w:type="pct"/>
            <w:shd w:val="clear" w:color="auto" w:fill="4F81BD"/>
          </w:tcPr>
          <w:p w:rsidR="00723BAB" w:rsidRPr="00D455EB" w:rsidRDefault="00723BAB" w:rsidP="00675F0B">
            <w:pPr>
              <w:spacing w:after="200"/>
              <w:jc w:val="right"/>
              <w:rPr>
                <w:b/>
                <w:sz w:val="18"/>
                <w:szCs w:val="18"/>
              </w:rPr>
            </w:pPr>
            <w:r w:rsidRPr="00D455EB">
              <w:rPr>
                <w:b/>
                <w:sz w:val="18"/>
                <w:szCs w:val="18"/>
              </w:rPr>
              <w:t>41,955</w:t>
            </w:r>
          </w:p>
        </w:tc>
        <w:tc>
          <w:tcPr>
            <w:tcW w:w="586" w:type="pct"/>
            <w:shd w:val="clear" w:color="auto" w:fill="4F81BD"/>
          </w:tcPr>
          <w:p w:rsidR="00723BAB" w:rsidRPr="00D455EB" w:rsidRDefault="00723BAB" w:rsidP="00675F0B">
            <w:pPr>
              <w:spacing w:after="200"/>
              <w:jc w:val="right"/>
              <w:rPr>
                <w:b/>
                <w:sz w:val="18"/>
                <w:szCs w:val="18"/>
              </w:rPr>
            </w:pPr>
            <w:r w:rsidRPr="00D455EB">
              <w:rPr>
                <w:b/>
                <w:sz w:val="18"/>
                <w:szCs w:val="18"/>
              </w:rPr>
              <w:t>39,382</w:t>
            </w:r>
          </w:p>
        </w:tc>
        <w:tc>
          <w:tcPr>
            <w:tcW w:w="525" w:type="pct"/>
            <w:shd w:val="clear" w:color="auto" w:fill="4F81BD"/>
          </w:tcPr>
          <w:p w:rsidR="00723BAB" w:rsidRPr="00D455EB" w:rsidRDefault="00723BAB" w:rsidP="00675F0B">
            <w:pPr>
              <w:spacing w:after="200"/>
              <w:jc w:val="right"/>
              <w:rPr>
                <w:b/>
                <w:sz w:val="18"/>
                <w:szCs w:val="18"/>
              </w:rPr>
            </w:pPr>
            <w:r w:rsidRPr="00D455EB">
              <w:rPr>
                <w:b/>
                <w:sz w:val="18"/>
                <w:szCs w:val="18"/>
              </w:rPr>
              <w:t>808</w:t>
            </w:r>
          </w:p>
        </w:tc>
        <w:tc>
          <w:tcPr>
            <w:tcW w:w="548" w:type="pct"/>
            <w:shd w:val="clear" w:color="auto" w:fill="4F81BD"/>
          </w:tcPr>
          <w:p w:rsidR="00723BAB" w:rsidRPr="00D455EB" w:rsidRDefault="00723BAB" w:rsidP="00675F0B">
            <w:pPr>
              <w:spacing w:after="200"/>
              <w:jc w:val="right"/>
              <w:rPr>
                <w:b/>
                <w:sz w:val="18"/>
                <w:szCs w:val="18"/>
              </w:rPr>
            </w:pPr>
            <w:r w:rsidRPr="00D455EB">
              <w:rPr>
                <w:b/>
                <w:sz w:val="18"/>
                <w:szCs w:val="18"/>
              </w:rPr>
              <w:t>1,766</w:t>
            </w:r>
          </w:p>
        </w:tc>
        <w:tc>
          <w:tcPr>
            <w:tcW w:w="532" w:type="pct"/>
            <w:shd w:val="clear" w:color="auto" w:fill="4F81BD"/>
          </w:tcPr>
          <w:p w:rsidR="00723BAB" w:rsidRPr="00D455EB" w:rsidRDefault="00723BAB" w:rsidP="00675F0B">
            <w:pPr>
              <w:spacing w:after="200"/>
              <w:jc w:val="right"/>
              <w:rPr>
                <w:b/>
                <w:sz w:val="18"/>
                <w:szCs w:val="18"/>
              </w:rPr>
            </w:pPr>
            <w:r w:rsidRPr="00D455EB">
              <w:rPr>
                <w:b/>
                <w:sz w:val="18"/>
                <w:szCs w:val="18"/>
              </w:rPr>
              <w:t>13,385</w:t>
            </w:r>
          </w:p>
        </w:tc>
        <w:tc>
          <w:tcPr>
            <w:tcW w:w="563" w:type="pct"/>
            <w:shd w:val="clear" w:color="auto" w:fill="4F81BD"/>
          </w:tcPr>
          <w:p w:rsidR="00723BAB" w:rsidRPr="00D455EB" w:rsidRDefault="00723BAB" w:rsidP="00675F0B">
            <w:pPr>
              <w:spacing w:after="200"/>
              <w:jc w:val="right"/>
              <w:rPr>
                <w:b/>
                <w:sz w:val="18"/>
                <w:szCs w:val="18"/>
              </w:rPr>
            </w:pPr>
            <w:r w:rsidRPr="00D455EB">
              <w:rPr>
                <w:b/>
                <w:sz w:val="18"/>
                <w:szCs w:val="18"/>
              </w:rPr>
              <w:t>12,706</w:t>
            </w:r>
          </w:p>
        </w:tc>
        <w:tc>
          <w:tcPr>
            <w:tcW w:w="478" w:type="pct"/>
            <w:shd w:val="clear" w:color="auto" w:fill="4F81BD"/>
          </w:tcPr>
          <w:p w:rsidR="00723BAB" w:rsidRPr="00D455EB" w:rsidRDefault="00723BAB" w:rsidP="00675F0B">
            <w:pPr>
              <w:spacing w:after="200"/>
              <w:jc w:val="right"/>
              <w:rPr>
                <w:b/>
                <w:sz w:val="18"/>
                <w:szCs w:val="18"/>
              </w:rPr>
            </w:pPr>
            <w:r w:rsidRPr="00D455EB">
              <w:rPr>
                <w:b/>
                <w:sz w:val="18"/>
                <w:szCs w:val="18"/>
              </w:rPr>
              <w:t>237</w:t>
            </w:r>
          </w:p>
        </w:tc>
        <w:tc>
          <w:tcPr>
            <w:tcW w:w="572" w:type="pct"/>
            <w:shd w:val="clear" w:color="auto" w:fill="4F81BD"/>
          </w:tcPr>
          <w:p w:rsidR="00723BAB" w:rsidRPr="00D455EB" w:rsidRDefault="00723BAB" w:rsidP="00675F0B">
            <w:pPr>
              <w:spacing w:after="200"/>
              <w:jc w:val="right"/>
              <w:rPr>
                <w:b/>
                <w:sz w:val="18"/>
                <w:szCs w:val="18"/>
              </w:rPr>
            </w:pPr>
            <w:r w:rsidRPr="00D455EB">
              <w:rPr>
                <w:b/>
                <w:sz w:val="18"/>
                <w:szCs w:val="18"/>
              </w:rPr>
              <w:t>442</w:t>
            </w:r>
          </w:p>
        </w:tc>
      </w:tr>
    </w:tbl>
    <w:p w:rsidR="007D6D8C" w:rsidRDefault="007D6D8C" w:rsidP="007D6D8C"/>
    <w:p w:rsidR="007D6D8C" w:rsidRDefault="007D6D8C" w:rsidP="007D6D8C">
      <w:pPr>
        <w:pStyle w:val="Heading4"/>
      </w:pPr>
      <w:r>
        <w:t>4. Determine the proportions of the class amounts to which beneficiaries are presently entitled.</w:t>
      </w:r>
    </w:p>
    <w:p w:rsidR="00723BAB" w:rsidRPr="00166944" w:rsidRDefault="00723BAB" w:rsidP="00675F0B">
      <w:pPr>
        <w:pStyle w:val="Heading5"/>
      </w:pPr>
      <w:r>
        <w:t>20X1</w:t>
      </w:r>
    </w:p>
    <w:p w:rsidR="00723BAB" w:rsidRDefault="00723BAB" w:rsidP="00675F0B">
      <w:r>
        <w:t>The trustee resolves to distribute $10,000 of trust profit to Mrs Ruby but only to the extent that the $10,000 can be met out of franked dividends and interest. The remainder of the profit will be distributed to Silver Australia Pty Ltd.</w:t>
      </w:r>
    </w:p>
    <w:p w:rsidR="00723BAB" w:rsidRDefault="00723BAB" w:rsidP="00675F0B">
      <w:r>
        <w:t xml:space="preserve">As a result of the resolution, Mrs Ruby is made presently entitled to 100 per cent of the interest income class ($808), 100 per cent of the franked dividend income class ($1,766), and $7,426 of business income which amounts to a total distribution of $10,000. </w:t>
      </w:r>
    </w:p>
    <w:p w:rsidR="00723BAB" w:rsidRDefault="00723BAB" w:rsidP="00675F0B">
      <w:r>
        <w:t>Silver Australia Pty Ltd is made presently entitled to the balance of the business income being $31,955.</w:t>
      </w:r>
    </w:p>
    <w:p w:rsidR="00723BAB" w:rsidRDefault="00723BAB" w:rsidP="00675F0B">
      <w:r>
        <w:t>The trustee notifies the beneficiaries of their entitlements and, with their implied consent, credits loan accounts in their names.</w:t>
      </w:r>
    </w:p>
    <w:p w:rsidR="00723BAB" w:rsidRDefault="00723BAB" w:rsidP="00675F0B">
      <w:pPr>
        <w:pStyle w:val="Heading5"/>
      </w:pPr>
      <w:r>
        <w:t>20X2</w:t>
      </w:r>
    </w:p>
    <w:p w:rsidR="00723BAB" w:rsidRDefault="00723BAB" w:rsidP="00675F0B">
      <w:r>
        <w:t>In 20X2, the trustee resolves to distribute $10,000 to Mrs Ruby comprising 100 per cent of the interest income and 100 per cent of the dividend income, with the balance to be met out of business income. The trustee also resolves to distribute the balance of business income to Red Australia Pty Ltd.</w:t>
      </w:r>
    </w:p>
    <w:p w:rsidR="00723BAB" w:rsidRDefault="00723BAB" w:rsidP="00675F0B">
      <w:r>
        <w:t>This results in Mrs Ruby having a present entitlement to business income of $9,321, interest income of $237, and franked distributions of $442.</w:t>
      </w:r>
    </w:p>
    <w:p w:rsidR="00723BAB" w:rsidRDefault="00723BAB" w:rsidP="00675F0B">
      <w:r>
        <w:t>Silver Australia Pty Ltd is made presently entitled to $3,385.</w:t>
      </w:r>
    </w:p>
    <w:p w:rsidR="00723BAB" w:rsidRDefault="00723BAB" w:rsidP="00675F0B">
      <w:r>
        <w:t>The trustee notifies the beneficiaries of this and, with their implied consent, credits loan accounts in their names.</w:t>
      </w:r>
    </w:p>
    <w:p w:rsidR="007D6D8C" w:rsidRDefault="007D6D8C" w:rsidP="007D6D8C">
      <w:pPr>
        <w:pStyle w:val="Heading4"/>
      </w:pPr>
      <w:r>
        <w:t>5. Calculate the taxable income of the trust as if the trust were a resident taxpayer.</w:t>
      </w:r>
    </w:p>
    <w:p w:rsidR="00723BAB" w:rsidRDefault="00723BAB" w:rsidP="00675F0B">
      <w:pPr>
        <w:pStyle w:val="Heading5"/>
      </w:pPr>
      <w:r>
        <w:t>20X1</w:t>
      </w:r>
    </w:p>
    <w:p w:rsidR="00723BAB" w:rsidRDefault="00723BAB" w:rsidP="00675F0B">
      <w:r>
        <w:t>As shown above in Table 2, the taxable income of the Colour Trust for the 20X1 year is $18,650.</w:t>
      </w:r>
    </w:p>
    <w:p w:rsidR="00723BAB" w:rsidRDefault="00723BAB" w:rsidP="00675F0B">
      <w:pPr>
        <w:pStyle w:val="Heading5"/>
      </w:pPr>
      <w:r>
        <w:t>20X2</w:t>
      </w:r>
    </w:p>
    <w:p w:rsidR="00723BAB" w:rsidRDefault="00723BAB" w:rsidP="00675F0B">
      <w:r>
        <w:t>As shown above in Table 2, the taxable income of the Colour Trust for 20X2 year is $50,650.</w:t>
      </w:r>
    </w:p>
    <w:p w:rsidR="007D6D8C" w:rsidRDefault="00723BAB" w:rsidP="007D6D8C">
      <w:pPr>
        <w:pStyle w:val="Heading4"/>
      </w:pPr>
      <w:r>
        <w:br w:type="page"/>
      </w:r>
      <w:r w:rsidR="007D6D8C">
        <w:t>6. Allocate the trust’s taxable income to the classes maintained by the trustee (if applicable). That is, separate the trust’s taxable income into specific assessable amounts net of relevant deductions that accord with the classes maintained for trust purposes.</w:t>
      </w:r>
    </w:p>
    <w:p w:rsidR="00723BAB" w:rsidRDefault="007D6D8C" w:rsidP="00D46E74">
      <w:r>
        <w:t>Deductions have been allocated on a fair and reasonable basis in the following way:</w:t>
      </w:r>
    </w:p>
    <w:p w:rsidR="00723BAB" w:rsidRPr="007D6D8C" w:rsidRDefault="00723BAB" w:rsidP="00675F0B">
      <w:pPr>
        <w:pStyle w:val="Bullet"/>
        <w:spacing w:after="200"/>
        <w:ind w:left="284" w:hanging="284"/>
        <w:rPr>
          <w:sz w:val="22"/>
          <w:szCs w:val="22"/>
        </w:rPr>
      </w:pPr>
      <w:r w:rsidRPr="007D6D8C">
        <w:rPr>
          <w:sz w:val="22"/>
          <w:szCs w:val="22"/>
        </w:rPr>
        <w:t>The cost of goods sold and bad debts written off have been applied against the assessable business income of the trust, as those expenses relate to that particular type of income.</w:t>
      </w:r>
    </w:p>
    <w:p w:rsidR="00723BAB" w:rsidRPr="007D6D8C" w:rsidRDefault="007D6D8C" w:rsidP="00675F0B">
      <w:pPr>
        <w:pStyle w:val="Bullet"/>
        <w:spacing w:after="200"/>
        <w:ind w:left="284" w:hanging="284"/>
        <w:rPr>
          <w:sz w:val="22"/>
          <w:szCs w:val="22"/>
        </w:rPr>
      </w:pPr>
      <w:r w:rsidRPr="007D6D8C">
        <w:rPr>
          <w:sz w:val="22"/>
          <w:szCs w:val="22"/>
        </w:rPr>
        <w:t xml:space="preserve">All other deductions have been treated as general deductions and have been allocated against all components of assessable income. </w:t>
      </w:r>
      <w:r w:rsidR="00723BAB" w:rsidRPr="007D6D8C">
        <w:rPr>
          <w:sz w:val="22"/>
          <w:szCs w:val="22"/>
        </w:rPr>
        <w:t>In this case, this has been based on the proportion that each assessable income amount (net of related deductions) bears to the total assessable income of the trust.</w:t>
      </w:r>
    </w:p>
    <w:p w:rsidR="00723BAB" w:rsidRPr="007D6D8C" w:rsidRDefault="00723BAB" w:rsidP="00675F0B">
      <w:pPr>
        <w:pStyle w:val="Bullet"/>
        <w:spacing w:after="200"/>
        <w:ind w:left="284" w:hanging="284"/>
        <w:rPr>
          <w:sz w:val="22"/>
          <w:szCs w:val="22"/>
        </w:rPr>
      </w:pPr>
      <w:r w:rsidRPr="007D6D8C">
        <w:rPr>
          <w:sz w:val="22"/>
          <w:szCs w:val="22"/>
        </w:rPr>
        <w:t>General deductions are not applied to reduce the assessable gross up on a franked distribution — to the extent possible.</w:t>
      </w:r>
    </w:p>
    <w:p w:rsidR="00723BAB" w:rsidRDefault="00723BAB" w:rsidP="00675F0B">
      <w:r>
        <w:t>Tables 3 and 4 above demonstrate the calculation of the Colour Trust’s taxable income after the allocation of deductions against the components (or here, classes) of assessable income.  In summary, the taxable income referable to each class is as follows:</w:t>
      </w:r>
    </w:p>
    <w:p w:rsidR="00663B46" w:rsidRDefault="00663B46" w:rsidP="00663B46">
      <w:pPr>
        <w:pStyle w:val="Heading6"/>
      </w:pPr>
      <w:r>
        <w:t>Table 7</w:t>
      </w:r>
    </w:p>
    <w:tbl>
      <w:tblPr>
        <w:tblW w:w="693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
        <w:gridCol w:w="2399"/>
        <w:gridCol w:w="1075"/>
        <w:gridCol w:w="1074"/>
        <w:gridCol w:w="1075"/>
        <w:gridCol w:w="1075"/>
      </w:tblGrid>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63B46" w:rsidRDefault="00663B46" w:rsidP="00A12169">
            <w:pPr>
              <w:keepNext/>
              <w:spacing w:line="276" w:lineRule="auto"/>
              <w:jc w:val="both"/>
              <w:rPr>
                <w:rFonts w:cs="Calibri"/>
                <w:b/>
                <w:color w:val="000000"/>
                <w:sz w:val="20"/>
              </w:rPr>
            </w:pPr>
            <w:r>
              <w:rPr>
                <w:rFonts w:cs="Calibri"/>
                <w:b/>
                <w:bCs/>
                <w:sz w:val="20"/>
              </w:rPr>
              <w:t>Income from activities</w:t>
            </w:r>
          </w:p>
        </w:tc>
        <w:tc>
          <w:tcPr>
            <w:tcW w:w="1075"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63B46" w:rsidRDefault="00663B46" w:rsidP="00A12169">
            <w:pPr>
              <w:keepNext/>
              <w:spacing w:line="276" w:lineRule="auto"/>
              <w:jc w:val="center"/>
              <w:rPr>
                <w:rFonts w:cs="Calibri"/>
                <w:b/>
                <w:bCs/>
                <w:color w:val="000000"/>
                <w:sz w:val="20"/>
              </w:rPr>
            </w:pPr>
            <w:r>
              <w:rPr>
                <w:rFonts w:cs="Calibri"/>
                <w:b/>
                <w:bCs/>
                <w:sz w:val="20"/>
              </w:rPr>
              <w:t>Taxable income for 20X1</w:t>
            </w:r>
          </w:p>
        </w:tc>
        <w:tc>
          <w:tcPr>
            <w:tcW w:w="107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keepNext/>
              <w:spacing w:line="276" w:lineRule="auto"/>
              <w:jc w:val="center"/>
              <w:rPr>
                <w:rFonts w:cs="Calibri"/>
                <w:b/>
                <w:bCs/>
                <w:color w:val="000000"/>
                <w:sz w:val="20"/>
              </w:rPr>
            </w:pPr>
            <w:r>
              <w:rPr>
                <w:rFonts w:cs="Calibri"/>
                <w:b/>
                <w:bCs/>
                <w:sz w:val="20"/>
              </w:rPr>
              <w:t>Business income class</w:t>
            </w:r>
          </w:p>
        </w:tc>
        <w:tc>
          <w:tcPr>
            <w:tcW w:w="1075"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keepNext/>
              <w:spacing w:line="276" w:lineRule="auto"/>
              <w:jc w:val="center"/>
              <w:rPr>
                <w:rFonts w:cs="Calibri"/>
                <w:b/>
                <w:bCs/>
                <w:color w:val="000000"/>
                <w:sz w:val="20"/>
              </w:rPr>
            </w:pPr>
            <w:r>
              <w:rPr>
                <w:rFonts w:cs="Calibri"/>
                <w:b/>
                <w:bCs/>
                <w:sz w:val="20"/>
              </w:rPr>
              <w:t>Interest income class</w:t>
            </w:r>
          </w:p>
        </w:tc>
        <w:tc>
          <w:tcPr>
            <w:tcW w:w="1075" w:type="dxa"/>
            <w:tcBorders>
              <w:top w:val="single" w:sz="4" w:space="0" w:color="auto"/>
              <w:left w:val="single" w:sz="4" w:space="0" w:color="auto"/>
              <w:bottom w:val="single" w:sz="4" w:space="0" w:color="auto"/>
              <w:right w:val="single" w:sz="4" w:space="0" w:color="auto"/>
            </w:tcBorders>
            <w:shd w:val="clear" w:color="auto" w:fill="4F81BD"/>
            <w:hideMark/>
          </w:tcPr>
          <w:p w:rsidR="00663B46" w:rsidRDefault="00663B46" w:rsidP="00A12169">
            <w:pPr>
              <w:keepNext/>
              <w:spacing w:line="276" w:lineRule="auto"/>
              <w:jc w:val="center"/>
              <w:rPr>
                <w:rFonts w:cs="Calibri"/>
                <w:b/>
                <w:bCs/>
                <w:color w:val="000000"/>
                <w:sz w:val="20"/>
              </w:rPr>
            </w:pPr>
            <w:r>
              <w:rPr>
                <w:rFonts w:cs="Calibri"/>
                <w:b/>
                <w:bCs/>
                <w:sz w:val="20"/>
              </w:rPr>
              <w:t>Franked Dividend class</w:t>
            </w:r>
          </w:p>
        </w:tc>
      </w:tr>
      <w:tr w:rsidR="00663B46" w:rsidTr="00A12169">
        <w:trPr>
          <w:trHeight w:val="278"/>
          <w:jc w:val="center"/>
        </w:trPr>
        <w:tc>
          <w:tcPr>
            <w:tcW w:w="237" w:type="dxa"/>
            <w:tcBorders>
              <w:top w:val="single" w:sz="4" w:space="0" w:color="auto"/>
              <w:left w:val="single" w:sz="4" w:space="0" w:color="auto"/>
              <w:bottom w:val="single" w:sz="4" w:space="0" w:color="auto"/>
              <w:right w:val="single" w:sz="4" w:space="0" w:color="auto"/>
            </w:tcBorders>
            <w:noWrap/>
            <w:vAlign w:val="center"/>
          </w:tcPr>
          <w:p w:rsidR="00663B46" w:rsidRDefault="00663B46" w:rsidP="00A12169">
            <w:pPr>
              <w:spacing w:line="276" w:lineRule="auto"/>
              <w:jc w:val="both"/>
              <w:rPr>
                <w:color w:val="000000"/>
                <w:sz w:val="20"/>
                <w:lang w:eastAsia="en-US"/>
              </w:rPr>
            </w:pPr>
          </w:p>
        </w:tc>
        <w:tc>
          <w:tcPr>
            <w:tcW w:w="2399" w:type="dxa"/>
            <w:tcBorders>
              <w:top w:val="single" w:sz="4" w:space="0" w:color="auto"/>
              <w:left w:val="single" w:sz="4" w:space="0" w:color="auto"/>
              <w:bottom w:val="single" w:sz="4" w:space="0" w:color="auto"/>
              <w:right w:val="single" w:sz="4" w:space="0" w:color="auto"/>
            </w:tcBorders>
            <w:noWrap/>
            <w:vAlign w:val="center"/>
            <w:hideMark/>
          </w:tcPr>
          <w:p w:rsidR="00663B46" w:rsidRDefault="00663B46" w:rsidP="00A12169">
            <w:pPr>
              <w:keepNext/>
              <w:spacing w:line="276" w:lineRule="auto"/>
              <w:jc w:val="both"/>
              <w:rPr>
                <w:rFonts w:cs="Calibri"/>
                <w:color w:val="000000"/>
                <w:sz w:val="20"/>
                <w:lang w:eastAsia="en-US"/>
              </w:rPr>
            </w:pPr>
            <w:r>
              <w:rPr>
                <w:rFonts w:cs="Calibri"/>
                <w:sz w:val="20"/>
              </w:rPr>
              <w:t>Trading sales</w:t>
            </w: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663B46" w:rsidRDefault="00663B46" w:rsidP="00A12169">
            <w:pPr>
              <w:spacing w:line="276" w:lineRule="auto"/>
              <w:jc w:val="right"/>
              <w:rPr>
                <w:rFonts w:cs="Calibri"/>
                <w:color w:val="000000"/>
                <w:sz w:val="20"/>
                <w:lang w:eastAsia="en-US"/>
              </w:rPr>
            </w:pPr>
            <w:r>
              <w:rPr>
                <w:rFonts w:cs="Calibri"/>
                <w:sz w:val="20"/>
              </w:rPr>
              <w:t>580,000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63B46" w:rsidRDefault="00663B46" w:rsidP="00A12169">
            <w:pPr>
              <w:keepNext/>
              <w:spacing w:line="276" w:lineRule="auto"/>
              <w:jc w:val="right"/>
              <w:rPr>
                <w:rFonts w:cs="Calibri"/>
                <w:color w:val="000000"/>
                <w:sz w:val="20"/>
                <w:lang w:eastAsia="en-US"/>
              </w:rPr>
            </w:pPr>
            <w:r>
              <w:rPr>
                <w:rFonts w:cs="Calibri"/>
                <w:sz w:val="20"/>
              </w:rPr>
              <w:t>580,000</w:t>
            </w:r>
          </w:p>
        </w:tc>
        <w:tc>
          <w:tcPr>
            <w:tcW w:w="1075"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lang w:eastAsia="en-US"/>
              </w:rPr>
            </w:pPr>
            <w:r>
              <w:rPr>
                <w:rFonts w:cs="Calibri"/>
                <w:color w:val="000000"/>
                <w:sz w:val="20"/>
                <w:lang w:eastAsia="en-US"/>
              </w:rPr>
              <w:t>0</w:t>
            </w:r>
          </w:p>
        </w:tc>
        <w:tc>
          <w:tcPr>
            <w:tcW w:w="1075"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lang w:eastAsia="en-US"/>
              </w:rPr>
            </w:pPr>
            <w:r>
              <w:rPr>
                <w:rFonts w:cs="Calibri"/>
                <w:color w:val="000000"/>
                <w:sz w:val="20"/>
                <w:lang w:eastAsia="en-US"/>
              </w:rPr>
              <w:t>0</w:t>
            </w:r>
          </w:p>
        </w:tc>
      </w:tr>
      <w:tr w:rsidR="00663B46" w:rsidTr="00A12169">
        <w:trPr>
          <w:trHeight w:val="278"/>
          <w:jc w:val="center"/>
        </w:trPr>
        <w:tc>
          <w:tcPr>
            <w:tcW w:w="237" w:type="dxa"/>
            <w:tcBorders>
              <w:top w:val="single" w:sz="4" w:space="0" w:color="auto"/>
              <w:left w:val="single" w:sz="4" w:space="0" w:color="auto"/>
              <w:bottom w:val="single" w:sz="4" w:space="0" w:color="auto"/>
              <w:right w:val="single" w:sz="4" w:space="0" w:color="auto"/>
            </w:tcBorders>
            <w:noWrap/>
            <w:vAlign w:val="center"/>
          </w:tcPr>
          <w:p w:rsidR="00663B46" w:rsidRDefault="00663B46" w:rsidP="00A12169">
            <w:pPr>
              <w:keepNext/>
              <w:spacing w:line="276" w:lineRule="auto"/>
              <w:jc w:val="both"/>
              <w:rPr>
                <w:rFonts w:cs="Calibri"/>
                <w:color w:val="000000"/>
                <w:sz w:val="20"/>
              </w:rPr>
            </w:pPr>
          </w:p>
        </w:tc>
        <w:tc>
          <w:tcPr>
            <w:tcW w:w="2399" w:type="dxa"/>
            <w:tcBorders>
              <w:top w:val="single" w:sz="4" w:space="0" w:color="auto"/>
              <w:left w:val="single" w:sz="4" w:space="0" w:color="auto"/>
              <w:bottom w:val="single" w:sz="4" w:space="0" w:color="auto"/>
              <w:right w:val="single" w:sz="4" w:space="0" w:color="auto"/>
            </w:tcBorders>
            <w:noWrap/>
            <w:vAlign w:val="center"/>
            <w:hideMark/>
          </w:tcPr>
          <w:p w:rsidR="00663B46" w:rsidRDefault="00663B46" w:rsidP="00A12169">
            <w:pPr>
              <w:keepNext/>
              <w:spacing w:line="276" w:lineRule="auto"/>
              <w:jc w:val="both"/>
              <w:rPr>
                <w:rFonts w:cs="Calibri"/>
                <w:color w:val="000000"/>
                <w:sz w:val="20"/>
                <w:lang w:eastAsia="en-US"/>
              </w:rPr>
            </w:pPr>
            <w:r>
              <w:rPr>
                <w:rFonts w:cs="Calibri"/>
                <w:sz w:val="20"/>
              </w:rPr>
              <w:t>Interest on bank account</w:t>
            </w: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663B46" w:rsidRDefault="00663B46" w:rsidP="00A12169">
            <w:pPr>
              <w:spacing w:line="276" w:lineRule="auto"/>
              <w:jc w:val="right"/>
              <w:rPr>
                <w:rFonts w:cs="Calibri"/>
                <w:color w:val="000000"/>
                <w:sz w:val="20"/>
                <w:lang w:eastAsia="en-US"/>
              </w:rPr>
            </w:pPr>
            <w:r>
              <w:rPr>
                <w:rFonts w:cs="Calibri"/>
                <w:sz w:val="20"/>
              </w:rPr>
              <w:t>0</w:t>
            </w:r>
          </w:p>
        </w:tc>
        <w:tc>
          <w:tcPr>
            <w:tcW w:w="1074" w:type="dxa"/>
            <w:tcBorders>
              <w:top w:val="single" w:sz="4" w:space="0" w:color="auto"/>
              <w:left w:val="single" w:sz="4" w:space="0" w:color="auto"/>
              <w:bottom w:val="single" w:sz="4" w:space="0" w:color="auto"/>
              <w:right w:val="single" w:sz="4" w:space="0" w:color="auto"/>
            </w:tcBorders>
            <w:vAlign w:val="center"/>
            <w:hideMark/>
          </w:tcPr>
          <w:p w:rsidR="00663B46" w:rsidRDefault="00663B46" w:rsidP="00A12169">
            <w:pPr>
              <w:keepNext/>
              <w:spacing w:line="276" w:lineRule="auto"/>
              <w:jc w:val="right"/>
              <w:rPr>
                <w:rFonts w:cs="Calibri"/>
                <w:color w:val="000000"/>
                <w:sz w:val="20"/>
                <w:lang w:eastAsia="en-US"/>
              </w:rPr>
            </w:pPr>
            <w:r>
              <w:rPr>
                <w:rFonts w:cs="Calibri"/>
                <w:sz w:val="20"/>
              </w:rPr>
              <w:t>0</w:t>
            </w:r>
          </w:p>
        </w:tc>
        <w:tc>
          <w:tcPr>
            <w:tcW w:w="1075"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lang w:eastAsia="en-US"/>
              </w:rPr>
            </w:pPr>
            <w:r>
              <w:rPr>
                <w:rFonts w:cs="Calibri"/>
                <w:color w:val="000000"/>
                <w:sz w:val="20"/>
                <w:lang w:eastAsia="en-US"/>
              </w:rPr>
              <w:t>0</w:t>
            </w:r>
          </w:p>
        </w:tc>
        <w:tc>
          <w:tcPr>
            <w:tcW w:w="1075"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lang w:eastAsia="en-US"/>
              </w:rPr>
            </w:pPr>
            <w:r>
              <w:rPr>
                <w:rFonts w:cs="Calibri"/>
                <w:color w:val="000000"/>
                <w:sz w:val="20"/>
                <w:lang w:eastAsia="en-US"/>
              </w:rPr>
              <w:t>0</w:t>
            </w:r>
          </w:p>
        </w:tc>
      </w:tr>
      <w:tr w:rsidR="00663B46" w:rsidTr="00A12169">
        <w:trPr>
          <w:trHeight w:val="278"/>
          <w:jc w:val="center"/>
        </w:trPr>
        <w:tc>
          <w:tcPr>
            <w:tcW w:w="237" w:type="dxa"/>
            <w:tcBorders>
              <w:top w:val="single" w:sz="4" w:space="0" w:color="auto"/>
              <w:left w:val="single" w:sz="4" w:space="0" w:color="auto"/>
              <w:bottom w:val="single" w:sz="4" w:space="0" w:color="auto"/>
              <w:right w:val="single" w:sz="4" w:space="0" w:color="auto"/>
            </w:tcBorders>
            <w:noWrap/>
            <w:vAlign w:val="center"/>
          </w:tcPr>
          <w:p w:rsidR="00663B46" w:rsidRDefault="00663B46" w:rsidP="00A12169">
            <w:pPr>
              <w:keepNext/>
              <w:spacing w:line="276" w:lineRule="auto"/>
              <w:jc w:val="both"/>
              <w:rPr>
                <w:rFonts w:cs="Calibri"/>
                <w:color w:val="000000"/>
                <w:sz w:val="20"/>
              </w:rPr>
            </w:pPr>
          </w:p>
        </w:tc>
        <w:tc>
          <w:tcPr>
            <w:tcW w:w="2399" w:type="dxa"/>
            <w:tcBorders>
              <w:top w:val="single" w:sz="4" w:space="0" w:color="auto"/>
              <w:left w:val="single" w:sz="4" w:space="0" w:color="auto"/>
              <w:bottom w:val="single" w:sz="4" w:space="0" w:color="auto"/>
              <w:right w:val="single" w:sz="4" w:space="0" w:color="auto"/>
            </w:tcBorders>
            <w:noWrap/>
            <w:vAlign w:val="center"/>
            <w:hideMark/>
          </w:tcPr>
          <w:p w:rsidR="00663B46" w:rsidRDefault="00663B46" w:rsidP="00A12169">
            <w:pPr>
              <w:keepNext/>
              <w:spacing w:line="276" w:lineRule="auto"/>
              <w:jc w:val="both"/>
              <w:rPr>
                <w:rFonts w:cs="Calibri"/>
                <w:color w:val="000000"/>
                <w:sz w:val="20"/>
                <w:lang w:eastAsia="en-US"/>
              </w:rPr>
            </w:pPr>
            <w:r>
              <w:rPr>
                <w:rFonts w:cs="Calibri"/>
                <w:sz w:val="20"/>
                <w:lang w:eastAsia="en-US"/>
              </w:rPr>
              <w:t xml:space="preserve">Franked dividend </w:t>
            </w: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663B46" w:rsidRDefault="00663B46" w:rsidP="00A12169">
            <w:pPr>
              <w:spacing w:line="276" w:lineRule="auto"/>
              <w:jc w:val="right"/>
              <w:rPr>
                <w:rFonts w:cs="Calibri"/>
                <w:color w:val="000000"/>
                <w:sz w:val="20"/>
                <w:lang w:eastAsia="en-US"/>
              </w:rPr>
            </w:pPr>
            <w:r>
              <w:rPr>
                <w:rFonts w:cs="Calibri"/>
                <w:sz w:val="20"/>
                <w:lang w:eastAsia="en-US"/>
              </w:rPr>
              <w:t>10,605</w:t>
            </w:r>
          </w:p>
        </w:tc>
        <w:tc>
          <w:tcPr>
            <w:tcW w:w="1074"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lang w:eastAsia="en-US"/>
              </w:rPr>
            </w:pPr>
            <w:r>
              <w:rPr>
                <w:rFonts w:cs="Calibri"/>
                <w:color w:val="000000"/>
                <w:sz w:val="20"/>
                <w:lang w:eastAsia="en-US"/>
              </w:rPr>
              <w:t>0</w:t>
            </w:r>
          </w:p>
        </w:tc>
        <w:tc>
          <w:tcPr>
            <w:tcW w:w="1075"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lang w:eastAsia="en-US"/>
              </w:rPr>
            </w:pPr>
            <w:r>
              <w:rPr>
                <w:rFonts w:cs="Calibri"/>
                <w:color w:val="000000"/>
                <w:sz w:val="20"/>
                <w:lang w:eastAsia="en-US"/>
              </w:rPr>
              <w:t>0</w:t>
            </w:r>
          </w:p>
        </w:tc>
        <w:tc>
          <w:tcPr>
            <w:tcW w:w="1075" w:type="dxa"/>
            <w:tcBorders>
              <w:top w:val="single" w:sz="4" w:space="0" w:color="auto"/>
              <w:left w:val="single" w:sz="4" w:space="0" w:color="auto"/>
              <w:bottom w:val="single" w:sz="4" w:space="0" w:color="auto"/>
              <w:right w:val="single" w:sz="4" w:space="0" w:color="auto"/>
            </w:tcBorders>
            <w:vAlign w:val="center"/>
            <w:hideMark/>
          </w:tcPr>
          <w:p w:rsidR="00663B46" w:rsidRDefault="00663B46" w:rsidP="00A12169">
            <w:pPr>
              <w:keepNext/>
              <w:spacing w:line="276" w:lineRule="auto"/>
              <w:jc w:val="right"/>
              <w:rPr>
                <w:rFonts w:cs="Calibri"/>
                <w:color w:val="000000"/>
                <w:sz w:val="20"/>
                <w:lang w:eastAsia="en-US"/>
              </w:rPr>
            </w:pPr>
            <w:r>
              <w:rPr>
                <w:rFonts w:cs="Calibri"/>
                <w:sz w:val="20"/>
                <w:lang w:eastAsia="en-US"/>
              </w:rPr>
              <w:t>10,605</w:t>
            </w:r>
          </w:p>
        </w:tc>
      </w:tr>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63B46" w:rsidRPr="00FE4B88" w:rsidRDefault="00663B46" w:rsidP="00A12169">
            <w:pPr>
              <w:keepNext/>
              <w:spacing w:line="276" w:lineRule="auto"/>
              <w:jc w:val="both"/>
              <w:rPr>
                <w:rFonts w:cs="Calibri"/>
                <w:b/>
                <w:color w:val="000000"/>
                <w:sz w:val="20"/>
              </w:rPr>
            </w:pPr>
            <w:r w:rsidRPr="00FE4B88">
              <w:rPr>
                <w:rFonts w:cs="Calibri"/>
                <w:b/>
                <w:bCs/>
                <w:sz w:val="20"/>
              </w:rPr>
              <w:t xml:space="preserve">Total assessable income (excluding franking credits)   </w:t>
            </w:r>
          </w:p>
        </w:tc>
        <w:tc>
          <w:tcPr>
            <w:tcW w:w="1075"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63B46" w:rsidRDefault="00663B46" w:rsidP="00A12169">
            <w:pPr>
              <w:keepNext/>
              <w:spacing w:line="276" w:lineRule="auto"/>
              <w:jc w:val="right"/>
              <w:rPr>
                <w:rFonts w:cs="Calibri"/>
                <w:bCs/>
                <w:color w:val="000000"/>
                <w:sz w:val="20"/>
                <w:lang w:eastAsia="en-US"/>
              </w:rPr>
            </w:pPr>
            <w:r>
              <w:rPr>
                <w:rFonts w:cs="Calibri"/>
                <w:bCs/>
                <w:sz w:val="20"/>
              </w:rPr>
              <w:t>590,605</w:t>
            </w:r>
          </w:p>
        </w:tc>
        <w:tc>
          <w:tcPr>
            <w:tcW w:w="107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spacing w:line="276" w:lineRule="auto"/>
              <w:jc w:val="right"/>
              <w:rPr>
                <w:rFonts w:cs="Calibri"/>
                <w:bCs/>
                <w:color w:val="000000"/>
                <w:sz w:val="20"/>
                <w:lang w:eastAsia="en-US"/>
              </w:rPr>
            </w:pPr>
            <w:r>
              <w:rPr>
                <w:rFonts w:cs="Calibri"/>
                <w:bCs/>
                <w:sz w:val="20"/>
              </w:rPr>
              <w:t>580,000</w:t>
            </w:r>
          </w:p>
        </w:tc>
        <w:tc>
          <w:tcPr>
            <w:tcW w:w="1075"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keepNext/>
              <w:spacing w:line="276" w:lineRule="auto"/>
              <w:jc w:val="right"/>
              <w:rPr>
                <w:rFonts w:cs="Calibri"/>
                <w:bCs/>
                <w:color w:val="000000"/>
                <w:sz w:val="20"/>
                <w:lang w:eastAsia="en-US"/>
              </w:rPr>
            </w:pPr>
            <w:r>
              <w:rPr>
                <w:rFonts w:cs="Calibri"/>
                <w:bCs/>
                <w:sz w:val="20"/>
              </w:rPr>
              <w:t>0</w:t>
            </w:r>
          </w:p>
        </w:tc>
        <w:tc>
          <w:tcPr>
            <w:tcW w:w="1075"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spacing w:line="276" w:lineRule="auto"/>
              <w:jc w:val="right"/>
              <w:rPr>
                <w:rFonts w:cs="Calibri"/>
                <w:bCs/>
                <w:color w:val="000000"/>
                <w:sz w:val="20"/>
              </w:rPr>
            </w:pPr>
            <w:r>
              <w:rPr>
                <w:rFonts w:cs="Calibri"/>
                <w:sz w:val="20"/>
                <w:lang w:eastAsia="en-US"/>
              </w:rPr>
              <w:t xml:space="preserve">  10,605</w:t>
            </w:r>
          </w:p>
        </w:tc>
      </w:tr>
      <w:tr w:rsidR="00663B46" w:rsidTr="00A12169">
        <w:trPr>
          <w:trHeight w:val="300"/>
          <w:jc w:val="center"/>
        </w:trPr>
        <w:tc>
          <w:tcPr>
            <w:tcW w:w="237" w:type="dxa"/>
            <w:tcBorders>
              <w:top w:val="single" w:sz="4" w:space="0" w:color="auto"/>
              <w:left w:val="single" w:sz="4" w:space="0" w:color="auto"/>
              <w:bottom w:val="single" w:sz="4" w:space="0" w:color="auto"/>
              <w:right w:val="single" w:sz="4" w:space="0" w:color="auto"/>
            </w:tcBorders>
            <w:noWrap/>
            <w:vAlign w:val="center"/>
          </w:tcPr>
          <w:p w:rsidR="00663B46" w:rsidRDefault="00663B46" w:rsidP="00A12169">
            <w:pPr>
              <w:spacing w:line="276" w:lineRule="auto"/>
              <w:jc w:val="both"/>
              <w:rPr>
                <w:color w:val="000000"/>
                <w:sz w:val="20"/>
                <w:lang w:eastAsia="en-US"/>
              </w:rPr>
            </w:pPr>
          </w:p>
        </w:tc>
        <w:tc>
          <w:tcPr>
            <w:tcW w:w="2399" w:type="dxa"/>
            <w:tcBorders>
              <w:top w:val="single" w:sz="4" w:space="0" w:color="auto"/>
              <w:left w:val="single" w:sz="4" w:space="0" w:color="auto"/>
              <w:bottom w:val="single" w:sz="4" w:space="0" w:color="auto"/>
              <w:right w:val="single" w:sz="4" w:space="0" w:color="auto"/>
            </w:tcBorders>
            <w:noWrap/>
            <w:vAlign w:val="center"/>
          </w:tcPr>
          <w:p w:rsidR="00663B46" w:rsidRDefault="00663B46" w:rsidP="00A12169">
            <w:pPr>
              <w:spacing w:line="276" w:lineRule="auto"/>
              <w:jc w:val="both"/>
              <w:rPr>
                <w:color w:val="000000"/>
                <w:sz w:val="20"/>
                <w:lang w:eastAsia="en-US"/>
              </w:rPr>
            </w:pP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663B46" w:rsidRDefault="00663B46" w:rsidP="00A12169">
            <w:pPr>
              <w:keepNext/>
              <w:spacing w:line="276" w:lineRule="auto"/>
              <w:jc w:val="right"/>
              <w:rPr>
                <w:rFonts w:cs="Calibri"/>
                <w:color w:val="000000"/>
                <w:sz w:val="20"/>
              </w:rPr>
            </w:pPr>
          </w:p>
        </w:tc>
        <w:tc>
          <w:tcPr>
            <w:tcW w:w="1074"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rPr>
            </w:pPr>
          </w:p>
        </w:tc>
        <w:tc>
          <w:tcPr>
            <w:tcW w:w="1075"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rPr>
            </w:pPr>
          </w:p>
        </w:tc>
        <w:tc>
          <w:tcPr>
            <w:tcW w:w="1075" w:type="dxa"/>
            <w:tcBorders>
              <w:top w:val="single" w:sz="4" w:space="0" w:color="auto"/>
              <w:left w:val="single" w:sz="4" w:space="0" w:color="auto"/>
              <w:bottom w:val="single" w:sz="4" w:space="0" w:color="auto"/>
              <w:right w:val="single" w:sz="4" w:space="0" w:color="auto"/>
            </w:tcBorders>
            <w:vAlign w:val="center"/>
          </w:tcPr>
          <w:p w:rsidR="00663B46" w:rsidRDefault="00663B46" w:rsidP="00A12169">
            <w:pPr>
              <w:keepNext/>
              <w:spacing w:line="276" w:lineRule="auto"/>
              <w:jc w:val="right"/>
              <w:rPr>
                <w:rFonts w:cs="Calibri"/>
                <w:color w:val="000000"/>
                <w:sz w:val="20"/>
              </w:rPr>
            </w:pPr>
          </w:p>
        </w:tc>
      </w:tr>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D2DFEE"/>
            <w:noWrap/>
            <w:vAlign w:val="center"/>
            <w:hideMark/>
          </w:tcPr>
          <w:p w:rsidR="00663B46" w:rsidRDefault="00663B46" w:rsidP="00A12169">
            <w:pPr>
              <w:keepNext/>
              <w:spacing w:line="276" w:lineRule="auto"/>
              <w:jc w:val="both"/>
              <w:rPr>
                <w:rFonts w:cs="Calibri"/>
                <w:color w:val="000000"/>
                <w:sz w:val="20"/>
              </w:rPr>
            </w:pPr>
            <w:r>
              <w:rPr>
                <w:rFonts w:cs="Calibri"/>
                <w:bCs/>
                <w:sz w:val="20"/>
              </w:rPr>
              <w:t xml:space="preserve">Deductible specific expenses </w:t>
            </w: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663B46" w:rsidRDefault="00663B46" w:rsidP="00A12169">
            <w:pPr>
              <w:keepNext/>
              <w:spacing w:line="276" w:lineRule="auto"/>
              <w:jc w:val="right"/>
              <w:rPr>
                <w:rFonts w:cs="Calibri"/>
                <w:bCs/>
                <w:color w:val="000000"/>
                <w:sz w:val="20"/>
                <w:lang w:eastAsia="en-US"/>
              </w:rPr>
            </w:pPr>
            <w:r>
              <w:rPr>
                <w:rFonts w:cs="Calibri"/>
                <w:bCs/>
                <w:sz w:val="20"/>
              </w:rPr>
              <w:t>331,500</w:t>
            </w:r>
          </w:p>
        </w:tc>
        <w:tc>
          <w:tcPr>
            <w:tcW w:w="1074" w:type="dxa"/>
            <w:tcBorders>
              <w:top w:val="single" w:sz="4" w:space="0" w:color="auto"/>
              <w:left w:val="single" w:sz="4" w:space="0" w:color="auto"/>
              <w:bottom w:val="single" w:sz="4" w:space="0" w:color="auto"/>
              <w:right w:val="single" w:sz="4" w:space="0" w:color="auto"/>
            </w:tcBorders>
            <w:shd w:val="clear" w:color="auto" w:fill="D2DFEE"/>
            <w:vAlign w:val="center"/>
            <w:hideMark/>
          </w:tcPr>
          <w:p w:rsidR="00663B46" w:rsidRDefault="00663B46" w:rsidP="00A12169">
            <w:pPr>
              <w:keepNext/>
              <w:spacing w:line="276" w:lineRule="auto"/>
              <w:jc w:val="right"/>
              <w:rPr>
                <w:rFonts w:cs="Calibri"/>
                <w:bCs/>
                <w:color w:val="000000"/>
                <w:sz w:val="20"/>
                <w:lang w:eastAsia="en-US"/>
              </w:rPr>
            </w:pPr>
            <w:r>
              <w:rPr>
                <w:rFonts w:cs="Calibri"/>
                <w:bCs/>
                <w:sz w:val="20"/>
              </w:rPr>
              <w:t>331,500</w:t>
            </w:r>
          </w:p>
        </w:tc>
        <w:tc>
          <w:tcPr>
            <w:tcW w:w="1075" w:type="dxa"/>
            <w:tcBorders>
              <w:top w:val="single" w:sz="4" w:space="0" w:color="auto"/>
              <w:left w:val="single" w:sz="4" w:space="0" w:color="auto"/>
              <w:bottom w:val="single" w:sz="4" w:space="0" w:color="auto"/>
              <w:right w:val="single" w:sz="4" w:space="0" w:color="auto"/>
            </w:tcBorders>
            <w:shd w:val="clear" w:color="auto" w:fill="D2DFEE"/>
            <w:vAlign w:val="center"/>
            <w:hideMark/>
          </w:tcPr>
          <w:p w:rsidR="00663B46" w:rsidRDefault="00663B46" w:rsidP="00A12169">
            <w:pPr>
              <w:keepNext/>
              <w:spacing w:line="276" w:lineRule="auto"/>
              <w:jc w:val="right"/>
              <w:rPr>
                <w:rFonts w:cs="Calibri"/>
                <w:bCs/>
                <w:color w:val="000000"/>
                <w:sz w:val="20"/>
                <w:lang w:eastAsia="en-US"/>
              </w:rPr>
            </w:pPr>
            <w:r>
              <w:rPr>
                <w:rFonts w:cs="Calibri"/>
                <w:bCs/>
                <w:sz w:val="20"/>
              </w:rPr>
              <w:t>0</w:t>
            </w:r>
          </w:p>
        </w:tc>
        <w:tc>
          <w:tcPr>
            <w:tcW w:w="10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63B46" w:rsidRDefault="00663B46" w:rsidP="00A12169">
            <w:pPr>
              <w:spacing w:line="276" w:lineRule="auto"/>
              <w:jc w:val="right"/>
              <w:rPr>
                <w:rFonts w:cs="Calibri"/>
                <w:bCs/>
                <w:color w:val="000000"/>
                <w:sz w:val="20"/>
              </w:rPr>
            </w:pPr>
            <w:r>
              <w:rPr>
                <w:rFonts w:cs="Calibri"/>
                <w:bCs/>
                <w:sz w:val="20"/>
              </w:rPr>
              <w:t>0</w:t>
            </w:r>
          </w:p>
        </w:tc>
      </w:tr>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D2DFEE"/>
            <w:noWrap/>
            <w:vAlign w:val="center"/>
            <w:hideMark/>
          </w:tcPr>
          <w:p w:rsidR="00663B46" w:rsidRDefault="00663B46" w:rsidP="00A12169">
            <w:pPr>
              <w:keepNext/>
              <w:spacing w:line="276" w:lineRule="auto"/>
              <w:jc w:val="both"/>
              <w:rPr>
                <w:rFonts w:cs="Calibri"/>
                <w:bCs/>
                <w:color w:val="000000"/>
                <w:sz w:val="20"/>
              </w:rPr>
            </w:pPr>
            <w:r>
              <w:rPr>
                <w:rFonts w:cs="Calibri"/>
                <w:bCs/>
                <w:sz w:val="20"/>
              </w:rPr>
              <w:t>Deductible general expenses</w:t>
            </w: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663B46" w:rsidRDefault="00663B46" w:rsidP="00A12169">
            <w:pPr>
              <w:keepNext/>
              <w:spacing w:line="276" w:lineRule="auto"/>
              <w:jc w:val="right"/>
              <w:rPr>
                <w:rFonts w:cs="Calibri"/>
                <w:bCs/>
                <w:color w:val="000000"/>
                <w:sz w:val="20"/>
              </w:rPr>
            </w:pPr>
            <w:r>
              <w:rPr>
                <w:rFonts w:cs="Calibri"/>
                <w:bCs/>
                <w:sz w:val="20"/>
              </w:rPr>
              <w:t>245,000</w:t>
            </w:r>
          </w:p>
        </w:tc>
        <w:tc>
          <w:tcPr>
            <w:tcW w:w="1074" w:type="dxa"/>
            <w:tcBorders>
              <w:top w:val="single" w:sz="4" w:space="0" w:color="auto"/>
              <w:left w:val="single" w:sz="4" w:space="0" w:color="auto"/>
              <w:bottom w:val="single" w:sz="4" w:space="0" w:color="auto"/>
              <w:right w:val="single" w:sz="4" w:space="0" w:color="auto"/>
            </w:tcBorders>
            <w:shd w:val="clear" w:color="auto" w:fill="D2DFEE"/>
            <w:vAlign w:val="center"/>
            <w:hideMark/>
          </w:tcPr>
          <w:p w:rsidR="00663B46" w:rsidRDefault="00663B46" w:rsidP="00A12169">
            <w:pPr>
              <w:keepNext/>
              <w:spacing w:line="276" w:lineRule="auto"/>
              <w:jc w:val="right"/>
              <w:rPr>
                <w:rFonts w:cs="Calibri"/>
                <w:bCs/>
                <w:color w:val="000000"/>
                <w:sz w:val="20"/>
              </w:rPr>
            </w:pPr>
            <w:r>
              <w:rPr>
                <w:rFonts w:cs="Calibri"/>
                <w:bCs/>
                <w:sz w:val="20"/>
              </w:rPr>
              <w:t>234,972</w:t>
            </w:r>
          </w:p>
        </w:tc>
        <w:tc>
          <w:tcPr>
            <w:tcW w:w="1075" w:type="dxa"/>
            <w:tcBorders>
              <w:top w:val="single" w:sz="4" w:space="0" w:color="auto"/>
              <w:left w:val="single" w:sz="4" w:space="0" w:color="auto"/>
              <w:bottom w:val="single" w:sz="4" w:space="0" w:color="auto"/>
              <w:right w:val="single" w:sz="4" w:space="0" w:color="auto"/>
            </w:tcBorders>
            <w:shd w:val="clear" w:color="auto" w:fill="D2DFEE"/>
            <w:vAlign w:val="center"/>
          </w:tcPr>
          <w:p w:rsidR="00663B46" w:rsidRDefault="00663B46" w:rsidP="00A12169">
            <w:pPr>
              <w:keepNext/>
              <w:spacing w:line="276" w:lineRule="auto"/>
              <w:jc w:val="right"/>
              <w:rPr>
                <w:rFonts w:cs="Calibri"/>
                <w:bCs/>
                <w:color w:val="000000"/>
                <w:sz w:val="20"/>
              </w:rPr>
            </w:pPr>
            <w:r>
              <w:rPr>
                <w:rFonts w:cs="Calibri"/>
                <w:bCs/>
                <w:color w:val="000000"/>
                <w:sz w:val="20"/>
              </w:rPr>
              <w:t>0</w:t>
            </w:r>
          </w:p>
        </w:tc>
        <w:tc>
          <w:tcPr>
            <w:tcW w:w="10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63B46" w:rsidRDefault="00663B46" w:rsidP="00A12169">
            <w:pPr>
              <w:spacing w:line="276" w:lineRule="auto"/>
              <w:jc w:val="right"/>
              <w:rPr>
                <w:rFonts w:cs="Calibri"/>
                <w:bCs/>
                <w:color w:val="000000"/>
                <w:sz w:val="20"/>
              </w:rPr>
            </w:pPr>
            <w:r>
              <w:rPr>
                <w:rFonts w:cs="Calibri"/>
                <w:bCs/>
                <w:sz w:val="20"/>
              </w:rPr>
              <w:t>10,028</w:t>
            </w:r>
          </w:p>
        </w:tc>
      </w:tr>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D2DFEE"/>
            <w:noWrap/>
            <w:vAlign w:val="center"/>
            <w:hideMark/>
          </w:tcPr>
          <w:p w:rsidR="00663B46" w:rsidRDefault="00663B46" w:rsidP="00A12169">
            <w:pPr>
              <w:keepNext/>
              <w:spacing w:line="276" w:lineRule="auto"/>
              <w:jc w:val="both"/>
              <w:rPr>
                <w:rFonts w:cs="Calibri"/>
                <w:bCs/>
                <w:color w:val="000000"/>
                <w:sz w:val="20"/>
              </w:rPr>
            </w:pPr>
            <w:r>
              <w:rPr>
                <w:rFonts w:cs="Calibri"/>
                <w:bCs/>
                <w:sz w:val="20"/>
              </w:rPr>
              <w:t>Total deductible expenses</w:t>
            </w: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663B46" w:rsidRDefault="00663B46" w:rsidP="00A12169">
            <w:pPr>
              <w:keepNext/>
              <w:spacing w:line="276" w:lineRule="auto"/>
              <w:jc w:val="right"/>
              <w:rPr>
                <w:rFonts w:cs="Calibri"/>
                <w:bCs/>
                <w:color w:val="000000"/>
                <w:sz w:val="20"/>
              </w:rPr>
            </w:pPr>
            <w:r>
              <w:rPr>
                <w:rFonts w:cs="Calibri"/>
                <w:bCs/>
                <w:sz w:val="20"/>
              </w:rPr>
              <w:t>576,500</w:t>
            </w:r>
          </w:p>
        </w:tc>
        <w:tc>
          <w:tcPr>
            <w:tcW w:w="1074" w:type="dxa"/>
            <w:tcBorders>
              <w:top w:val="single" w:sz="4" w:space="0" w:color="auto"/>
              <w:left w:val="single" w:sz="4" w:space="0" w:color="auto"/>
              <w:bottom w:val="single" w:sz="4" w:space="0" w:color="auto"/>
              <w:right w:val="single" w:sz="4" w:space="0" w:color="auto"/>
            </w:tcBorders>
            <w:shd w:val="clear" w:color="auto" w:fill="D2DFEE"/>
            <w:vAlign w:val="center"/>
            <w:hideMark/>
          </w:tcPr>
          <w:p w:rsidR="00663B46" w:rsidRDefault="00663B46" w:rsidP="00A12169">
            <w:pPr>
              <w:keepNext/>
              <w:spacing w:line="276" w:lineRule="auto"/>
              <w:jc w:val="right"/>
              <w:rPr>
                <w:rFonts w:cs="Calibri"/>
                <w:bCs/>
                <w:color w:val="000000"/>
                <w:sz w:val="20"/>
              </w:rPr>
            </w:pPr>
            <w:r>
              <w:rPr>
                <w:rFonts w:cs="Calibri"/>
                <w:bCs/>
                <w:sz w:val="20"/>
              </w:rPr>
              <w:t>566,472</w:t>
            </w:r>
          </w:p>
        </w:tc>
        <w:tc>
          <w:tcPr>
            <w:tcW w:w="1075" w:type="dxa"/>
            <w:tcBorders>
              <w:top w:val="single" w:sz="4" w:space="0" w:color="auto"/>
              <w:left w:val="single" w:sz="4" w:space="0" w:color="auto"/>
              <w:bottom w:val="single" w:sz="4" w:space="0" w:color="auto"/>
              <w:right w:val="single" w:sz="4" w:space="0" w:color="auto"/>
            </w:tcBorders>
            <w:shd w:val="clear" w:color="auto" w:fill="D2DFEE"/>
            <w:vAlign w:val="center"/>
          </w:tcPr>
          <w:p w:rsidR="00663B46" w:rsidRDefault="00663B46" w:rsidP="00A12169">
            <w:pPr>
              <w:keepNext/>
              <w:spacing w:line="276" w:lineRule="auto"/>
              <w:jc w:val="right"/>
              <w:rPr>
                <w:rFonts w:cs="Calibri"/>
                <w:bCs/>
                <w:color w:val="000000"/>
                <w:sz w:val="20"/>
              </w:rPr>
            </w:pPr>
            <w:r>
              <w:rPr>
                <w:rFonts w:cs="Calibri"/>
                <w:bCs/>
                <w:color w:val="000000"/>
                <w:sz w:val="20"/>
              </w:rPr>
              <w:t>0</w:t>
            </w:r>
          </w:p>
        </w:tc>
        <w:tc>
          <w:tcPr>
            <w:tcW w:w="10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63B46" w:rsidRDefault="00663B46" w:rsidP="00A12169">
            <w:pPr>
              <w:spacing w:line="276" w:lineRule="auto"/>
              <w:jc w:val="right"/>
              <w:rPr>
                <w:rFonts w:cs="Calibri"/>
                <w:bCs/>
                <w:color w:val="000000"/>
                <w:sz w:val="20"/>
              </w:rPr>
            </w:pPr>
            <w:r>
              <w:rPr>
                <w:rFonts w:cs="Calibri"/>
                <w:bCs/>
                <w:sz w:val="20"/>
              </w:rPr>
              <w:t>10,028</w:t>
            </w:r>
          </w:p>
        </w:tc>
      </w:tr>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D2DFEE"/>
            <w:noWrap/>
            <w:vAlign w:val="center"/>
          </w:tcPr>
          <w:p w:rsidR="00663B46" w:rsidRDefault="00663B46" w:rsidP="00A12169">
            <w:pPr>
              <w:keepNext/>
              <w:spacing w:line="276" w:lineRule="auto"/>
              <w:jc w:val="both"/>
              <w:rPr>
                <w:rFonts w:cs="Calibri"/>
                <w:bCs/>
                <w:color w:val="000000"/>
                <w:sz w:val="20"/>
              </w:rPr>
            </w:pP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tcPr>
          <w:p w:rsidR="00663B46" w:rsidRDefault="00663B46" w:rsidP="00A12169">
            <w:pPr>
              <w:keepNext/>
              <w:spacing w:line="276" w:lineRule="auto"/>
              <w:jc w:val="right"/>
              <w:rPr>
                <w:rFonts w:cs="Calibri"/>
                <w:bCs/>
                <w:color w:val="000000"/>
                <w:sz w:val="20"/>
              </w:rPr>
            </w:pPr>
          </w:p>
        </w:tc>
        <w:tc>
          <w:tcPr>
            <w:tcW w:w="1074" w:type="dxa"/>
            <w:tcBorders>
              <w:top w:val="single" w:sz="4" w:space="0" w:color="auto"/>
              <w:left w:val="single" w:sz="4" w:space="0" w:color="auto"/>
              <w:bottom w:val="single" w:sz="4" w:space="0" w:color="auto"/>
              <w:right w:val="single" w:sz="4" w:space="0" w:color="auto"/>
            </w:tcBorders>
            <w:shd w:val="clear" w:color="auto" w:fill="D2DFEE"/>
            <w:vAlign w:val="center"/>
          </w:tcPr>
          <w:p w:rsidR="00663B46" w:rsidRDefault="00663B46" w:rsidP="00A12169">
            <w:pPr>
              <w:keepNext/>
              <w:spacing w:line="276" w:lineRule="auto"/>
              <w:jc w:val="right"/>
              <w:rPr>
                <w:rFonts w:cs="Calibri"/>
                <w:bCs/>
                <w:color w:val="000000"/>
                <w:sz w:val="20"/>
              </w:rPr>
            </w:pPr>
          </w:p>
        </w:tc>
        <w:tc>
          <w:tcPr>
            <w:tcW w:w="1075" w:type="dxa"/>
            <w:tcBorders>
              <w:top w:val="single" w:sz="4" w:space="0" w:color="auto"/>
              <w:left w:val="single" w:sz="4" w:space="0" w:color="auto"/>
              <w:bottom w:val="single" w:sz="4" w:space="0" w:color="auto"/>
              <w:right w:val="single" w:sz="4" w:space="0" w:color="auto"/>
            </w:tcBorders>
            <w:shd w:val="clear" w:color="auto" w:fill="D2DFEE"/>
            <w:vAlign w:val="center"/>
          </w:tcPr>
          <w:p w:rsidR="00663B46" w:rsidRDefault="00663B46" w:rsidP="00A12169">
            <w:pPr>
              <w:keepNext/>
              <w:spacing w:line="276" w:lineRule="auto"/>
              <w:jc w:val="right"/>
              <w:rPr>
                <w:rFonts w:cs="Calibri"/>
                <w:bCs/>
                <w:color w:val="000000"/>
                <w:sz w:val="20"/>
              </w:rPr>
            </w:pPr>
          </w:p>
        </w:tc>
        <w:tc>
          <w:tcPr>
            <w:tcW w:w="1075" w:type="dxa"/>
            <w:tcBorders>
              <w:top w:val="single" w:sz="4" w:space="0" w:color="auto"/>
              <w:left w:val="single" w:sz="4" w:space="0" w:color="auto"/>
              <w:bottom w:val="single" w:sz="4" w:space="0" w:color="auto"/>
              <w:right w:val="single" w:sz="4" w:space="0" w:color="auto"/>
            </w:tcBorders>
            <w:shd w:val="clear" w:color="auto" w:fill="E6E6E6"/>
            <w:vAlign w:val="center"/>
          </w:tcPr>
          <w:p w:rsidR="00663B46" w:rsidRDefault="00663B46" w:rsidP="00A12169">
            <w:pPr>
              <w:spacing w:line="276" w:lineRule="auto"/>
              <w:jc w:val="right"/>
              <w:rPr>
                <w:rFonts w:cs="Calibri"/>
                <w:bCs/>
                <w:color w:val="000000"/>
                <w:sz w:val="20"/>
              </w:rPr>
            </w:pPr>
          </w:p>
        </w:tc>
      </w:tr>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D2DFEE"/>
            <w:noWrap/>
            <w:vAlign w:val="center"/>
            <w:hideMark/>
          </w:tcPr>
          <w:p w:rsidR="00663B46" w:rsidRDefault="00663B46" w:rsidP="00A12169">
            <w:pPr>
              <w:keepNext/>
              <w:spacing w:line="276" w:lineRule="auto"/>
              <w:jc w:val="both"/>
              <w:rPr>
                <w:rFonts w:cs="Calibri"/>
                <w:bCs/>
                <w:color w:val="000000"/>
                <w:sz w:val="20"/>
              </w:rPr>
            </w:pPr>
            <w:r>
              <w:rPr>
                <w:rFonts w:cs="Calibri"/>
                <w:bCs/>
                <w:sz w:val="20"/>
              </w:rPr>
              <w:t>Franking credits (gross-up)</w:t>
            </w:r>
          </w:p>
        </w:tc>
        <w:tc>
          <w:tcPr>
            <w:tcW w:w="1075" w:type="dxa"/>
            <w:tcBorders>
              <w:top w:val="single" w:sz="4" w:space="0" w:color="auto"/>
              <w:left w:val="single" w:sz="4" w:space="0" w:color="auto"/>
              <w:bottom w:val="single" w:sz="4" w:space="0" w:color="auto"/>
              <w:right w:val="single" w:sz="4" w:space="0" w:color="auto"/>
            </w:tcBorders>
            <w:shd w:val="clear" w:color="auto" w:fill="E6E6E6"/>
            <w:noWrap/>
            <w:vAlign w:val="center"/>
            <w:hideMark/>
          </w:tcPr>
          <w:p w:rsidR="00663B46" w:rsidRDefault="00663B46" w:rsidP="00A12169">
            <w:pPr>
              <w:keepNext/>
              <w:spacing w:line="276" w:lineRule="auto"/>
              <w:jc w:val="right"/>
              <w:rPr>
                <w:rFonts w:cs="Calibri"/>
                <w:bCs/>
                <w:color w:val="000000"/>
                <w:sz w:val="20"/>
              </w:rPr>
            </w:pPr>
            <w:r>
              <w:rPr>
                <w:rFonts w:cs="Calibri"/>
                <w:bCs/>
                <w:sz w:val="20"/>
              </w:rPr>
              <w:t>4,545</w:t>
            </w:r>
          </w:p>
        </w:tc>
        <w:tc>
          <w:tcPr>
            <w:tcW w:w="1074" w:type="dxa"/>
            <w:tcBorders>
              <w:top w:val="single" w:sz="4" w:space="0" w:color="auto"/>
              <w:left w:val="single" w:sz="4" w:space="0" w:color="auto"/>
              <w:bottom w:val="single" w:sz="4" w:space="0" w:color="auto"/>
              <w:right w:val="single" w:sz="4" w:space="0" w:color="auto"/>
            </w:tcBorders>
            <w:shd w:val="clear" w:color="auto" w:fill="D2DFEE"/>
            <w:vAlign w:val="center"/>
          </w:tcPr>
          <w:p w:rsidR="00663B46" w:rsidRDefault="00663B46" w:rsidP="00A12169">
            <w:pPr>
              <w:keepNext/>
              <w:spacing w:line="276" w:lineRule="auto"/>
              <w:jc w:val="right"/>
              <w:rPr>
                <w:rFonts w:cs="Calibri"/>
                <w:bCs/>
                <w:color w:val="000000"/>
                <w:sz w:val="20"/>
              </w:rPr>
            </w:pPr>
          </w:p>
        </w:tc>
        <w:tc>
          <w:tcPr>
            <w:tcW w:w="1075" w:type="dxa"/>
            <w:tcBorders>
              <w:top w:val="single" w:sz="4" w:space="0" w:color="auto"/>
              <w:left w:val="single" w:sz="4" w:space="0" w:color="auto"/>
              <w:bottom w:val="single" w:sz="4" w:space="0" w:color="auto"/>
              <w:right w:val="single" w:sz="4" w:space="0" w:color="auto"/>
            </w:tcBorders>
            <w:shd w:val="clear" w:color="auto" w:fill="D2DFEE"/>
            <w:vAlign w:val="center"/>
          </w:tcPr>
          <w:p w:rsidR="00663B46" w:rsidRDefault="00663B46" w:rsidP="00A12169">
            <w:pPr>
              <w:keepNext/>
              <w:spacing w:line="276" w:lineRule="auto"/>
              <w:jc w:val="right"/>
              <w:rPr>
                <w:rFonts w:cs="Calibri"/>
                <w:bCs/>
                <w:color w:val="000000"/>
                <w:sz w:val="20"/>
              </w:rPr>
            </w:pPr>
          </w:p>
        </w:tc>
        <w:tc>
          <w:tcPr>
            <w:tcW w:w="10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663B46" w:rsidRDefault="00663B46" w:rsidP="00A12169">
            <w:pPr>
              <w:spacing w:line="276" w:lineRule="auto"/>
              <w:jc w:val="right"/>
              <w:rPr>
                <w:rFonts w:cs="Calibri"/>
                <w:bCs/>
                <w:color w:val="000000"/>
                <w:sz w:val="20"/>
              </w:rPr>
            </w:pPr>
            <w:r>
              <w:rPr>
                <w:rFonts w:cs="Calibri"/>
                <w:bCs/>
                <w:sz w:val="20"/>
              </w:rPr>
              <w:t>4,545</w:t>
            </w:r>
          </w:p>
        </w:tc>
      </w:tr>
      <w:tr w:rsidR="00663B46" w:rsidTr="00A12169">
        <w:trPr>
          <w:trHeight w:val="278"/>
          <w:jc w:val="center"/>
        </w:trPr>
        <w:tc>
          <w:tcPr>
            <w:tcW w:w="2636" w:type="dxa"/>
            <w:gridSpan w:val="2"/>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63B46" w:rsidRPr="00FE4B88" w:rsidRDefault="00663B46" w:rsidP="00A12169">
            <w:pPr>
              <w:keepNext/>
              <w:spacing w:line="276" w:lineRule="auto"/>
              <w:jc w:val="both"/>
              <w:rPr>
                <w:rFonts w:cs="Calibri"/>
                <w:b/>
                <w:bCs/>
                <w:color w:val="000000"/>
                <w:sz w:val="20"/>
              </w:rPr>
            </w:pPr>
            <w:r w:rsidRPr="00FE4B88">
              <w:rPr>
                <w:rFonts w:cs="Calibri"/>
                <w:b/>
                <w:bCs/>
                <w:sz w:val="20"/>
              </w:rPr>
              <w:t>Total net taxable income per class</w:t>
            </w:r>
          </w:p>
        </w:tc>
        <w:tc>
          <w:tcPr>
            <w:tcW w:w="1075"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663B46" w:rsidRDefault="00663B46" w:rsidP="00A12169">
            <w:pPr>
              <w:keepNext/>
              <w:spacing w:line="276" w:lineRule="auto"/>
              <w:jc w:val="right"/>
              <w:rPr>
                <w:rFonts w:cs="Calibri"/>
                <w:bCs/>
                <w:color w:val="000000"/>
                <w:sz w:val="20"/>
              </w:rPr>
            </w:pPr>
            <w:r>
              <w:rPr>
                <w:rFonts w:cs="Calibri"/>
                <w:bCs/>
                <w:sz w:val="20"/>
              </w:rPr>
              <w:t>18,650</w:t>
            </w:r>
          </w:p>
        </w:tc>
        <w:tc>
          <w:tcPr>
            <w:tcW w:w="1074"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keepNext/>
              <w:spacing w:line="276" w:lineRule="auto"/>
              <w:jc w:val="right"/>
              <w:rPr>
                <w:rFonts w:cs="Calibri"/>
                <w:bCs/>
                <w:color w:val="000000"/>
                <w:sz w:val="20"/>
              </w:rPr>
            </w:pPr>
            <w:r>
              <w:rPr>
                <w:rFonts w:cs="Calibri"/>
                <w:bCs/>
                <w:sz w:val="20"/>
              </w:rPr>
              <w:t>13,528</w:t>
            </w:r>
          </w:p>
        </w:tc>
        <w:tc>
          <w:tcPr>
            <w:tcW w:w="1075"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keepNext/>
              <w:spacing w:line="276" w:lineRule="auto"/>
              <w:jc w:val="right"/>
              <w:rPr>
                <w:rFonts w:cs="Calibri"/>
                <w:bCs/>
                <w:color w:val="000000"/>
                <w:sz w:val="20"/>
              </w:rPr>
            </w:pPr>
            <w:r>
              <w:rPr>
                <w:rFonts w:cs="Calibri"/>
                <w:bCs/>
                <w:sz w:val="20"/>
              </w:rPr>
              <w:t>0</w:t>
            </w:r>
          </w:p>
        </w:tc>
        <w:tc>
          <w:tcPr>
            <w:tcW w:w="1075" w:type="dxa"/>
            <w:tcBorders>
              <w:top w:val="single" w:sz="4" w:space="0" w:color="auto"/>
              <w:left w:val="single" w:sz="4" w:space="0" w:color="auto"/>
              <w:bottom w:val="single" w:sz="4" w:space="0" w:color="auto"/>
              <w:right w:val="single" w:sz="4" w:space="0" w:color="auto"/>
            </w:tcBorders>
            <w:shd w:val="clear" w:color="auto" w:fill="4F81BD"/>
            <w:vAlign w:val="center"/>
            <w:hideMark/>
          </w:tcPr>
          <w:p w:rsidR="00663B46" w:rsidRDefault="00663B46" w:rsidP="00A12169">
            <w:pPr>
              <w:spacing w:line="276" w:lineRule="auto"/>
              <w:jc w:val="right"/>
              <w:rPr>
                <w:rFonts w:cs="Calibri"/>
                <w:bCs/>
                <w:color w:val="000000"/>
                <w:sz w:val="20"/>
              </w:rPr>
            </w:pPr>
            <w:r>
              <w:rPr>
                <w:rFonts w:cs="Calibri"/>
                <w:bCs/>
                <w:sz w:val="20"/>
              </w:rPr>
              <w:t>5,122</w:t>
            </w:r>
          </w:p>
        </w:tc>
      </w:tr>
    </w:tbl>
    <w:p w:rsidR="00663B46" w:rsidRDefault="00663B46" w:rsidP="00675F0B"/>
    <w:p w:rsidR="00723BAB" w:rsidRDefault="00723BAB" w:rsidP="00E51AD3"/>
    <w:p w:rsidR="00723BAB" w:rsidRDefault="00723BAB" w:rsidP="000B7A87">
      <w:pPr>
        <w:pStyle w:val="Heading6"/>
      </w:pPr>
      <w:r w:rsidRPr="002B3939">
        <w:t xml:space="preserve">Table </w:t>
      </w:r>
      <w:r>
        <w:t>8</w:t>
      </w:r>
    </w:p>
    <w:tbl>
      <w:tblPr>
        <w:tblW w:w="693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
        <w:gridCol w:w="2399"/>
        <w:gridCol w:w="1075"/>
        <w:gridCol w:w="1074"/>
        <w:gridCol w:w="1075"/>
        <w:gridCol w:w="1075"/>
      </w:tblGrid>
      <w:tr w:rsidR="00723BAB" w:rsidRPr="00D455EB" w:rsidTr="00673943">
        <w:trPr>
          <w:trHeight w:val="278"/>
          <w:jc w:val="center"/>
        </w:trPr>
        <w:tc>
          <w:tcPr>
            <w:tcW w:w="2636" w:type="dxa"/>
            <w:gridSpan w:val="2"/>
            <w:shd w:val="clear" w:color="auto" w:fill="4F81BD"/>
            <w:noWrap/>
            <w:vAlign w:val="center"/>
          </w:tcPr>
          <w:p w:rsidR="00723BAB" w:rsidRPr="00D455EB" w:rsidRDefault="00723BAB" w:rsidP="00177CD5">
            <w:pPr>
              <w:keepNext/>
              <w:spacing w:line="276" w:lineRule="auto"/>
              <w:jc w:val="both"/>
              <w:rPr>
                <w:rFonts w:cs="Calibri"/>
                <w:b/>
                <w:color w:val="000000"/>
                <w:sz w:val="20"/>
              </w:rPr>
            </w:pPr>
            <w:r w:rsidRPr="00D455EB">
              <w:rPr>
                <w:rFonts w:cs="Calibri"/>
                <w:b/>
                <w:bCs/>
                <w:sz w:val="20"/>
              </w:rPr>
              <w:t>Income from activities</w:t>
            </w:r>
          </w:p>
        </w:tc>
        <w:tc>
          <w:tcPr>
            <w:tcW w:w="1075" w:type="dxa"/>
            <w:shd w:val="clear" w:color="auto" w:fill="4F81BD"/>
            <w:noWrap/>
            <w:vAlign w:val="center"/>
          </w:tcPr>
          <w:p w:rsidR="00723BAB" w:rsidRPr="00D455EB" w:rsidRDefault="00723BAB" w:rsidP="00B8725C">
            <w:pPr>
              <w:keepNext/>
              <w:spacing w:line="276" w:lineRule="auto"/>
              <w:jc w:val="center"/>
              <w:rPr>
                <w:rFonts w:cs="Calibri"/>
                <w:b/>
                <w:bCs/>
                <w:color w:val="000000"/>
                <w:sz w:val="20"/>
              </w:rPr>
            </w:pPr>
            <w:r w:rsidRPr="00D455EB">
              <w:rPr>
                <w:rFonts w:cs="Calibri"/>
                <w:b/>
                <w:bCs/>
                <w:sz w:val="20"/>
              </w:rPr>
              <w:t>Taxable income for 20X2</w:t>
            </w:r>
          </w:p>
        </w:tc>
        <w:tc>
          <w:tcPr>
            <w:tcW w:w="1074" w:type="dxa"/>
            <w:shd w:val="clear" w:color="auto" w:fill="4F81BD"/>
            <w:vAlign w:val="center"/>
          </w:tcPr>
          <w:p w:rsidR="00723BAB" w:rsidRPr="00D455EB" w:rsidRDefault="00723BAB" w:rsidP="00177CD5">
            <w:pPr>
              <w:keepNext/>
              <w:spacing w:line="276" w:lineRule="auto"/>
              <w:jc w:val="center"/>
              <w:rPr>
                <w:rFonts w:cs="Calibri"/>
                <w:b/>
                <w:bCs/>
                <w:color w:val="000000"/>
                <w:sz w:val="20"/>
              </w:rPr>
            </w:pPr>
            <w:r w:rsidRPr="00D455EB">
              <w:rPr>
                <w:rFonts w:cs="Calibri"/>
                <w:b/>
                <w:bCs/>
                <w:sz w:val="20"/>
              </w:rPr>
              <w:t>Business income class</w:t>
            </w:r>
          </w:p>
        </w:tc>
        <w:tc>
          <w:tcPr>
            <w:tcW w:w="1075" w:type="dxa"/>
            <w:shd w:val="clear" w:color="auto" w:fill="4F81BD"/>
            <w:vAlign w:val="center"/>
          </w:tcPr>
          <w:p w:rsidR="00723BAB" w:rsidRPr="00D455EB" w:rsidRDefault="00723BAB" w:rsidP="00177CD5">
            <w:pPr>
              <w:keepNext/>
              <w:spacing w:line="276" w:lineRule="auto"/>
              <w:jc w:val="center"/>
              <w:rPr>
                <w:rFonts w:cs="Calibri"/>
                <w:b/>
                <w:bCs/>
                <w:color w:val="000000"/>
                <w:sz w:val="20"/>
              </w:rPr>
            </w:pPr>
            <w:r w:rsidRPr="00D455EB">
              <w:rPr>
                <w:rFonts w:cs="Calibri"/>
                <w:b/>
                <w:bCs/>
                <w:sz w:val="20"/>
              </w:rPr>
              <w:t>Interest income class</w:t>
            </w:r>
          </w:p>
        </w:tc>
        <w:tc>
          <w:tcPr>
            <w:tcW w:w="1075" w:type="dxa"/>
            <w:shd w:val="clear" w:color="auto" w:fill="4F81BD"/>
          </w:tcPr>
          <w:p w:rsidR="00723BAB" w:rsidRPr="00D455EB" w:rsidRDefault="00723BAB" w:rsidP="00177CD5">
            <w:pPr>
              <w:keepNext/>
              <w:spacing w:line="276" w:lineRule="auto"/>
              <w:jc w:val="center"/>
              <w:rPr>
                <w:rFonts w:cs="Calibri"/>
                <w:b/>
                <w:bCs/>
                <w:color w:val="000000"/>
                <w:sz w:val="20"/>
              </w:rPr>
            </w:pPr>
            <w:r w:rsidRPr="00D455EB">
              <w:rPr>
                <w:rFonts w:cs="Calibri"/>
                <w:b/>
                <w:bCs/>
                <w:sz w:val="20"/>
              </w:rPr>
              <w:t>Franked Dividend class</w:t>
            </w:r>
          </w:p>
        </w:tc>
      </w:tr>
      <w:tr w:rsidR="00723BAB" w:rsidRPr="00D455EB" w:rsidTr="00673943">
        <w:trPr>
          <w:trHeight w:val="278"/>
          <w:jc w:val="center"/>
        </w:trPr>
        <w:tc>
          <w:tcPr>
            <w:tcW w:w="237" w:type="dxa"/>
            <w:noWrap/>
            <w:vAlign w:val="center"/>
          </w:tcPr>
          <w:p w:rsidR="00723BAB" w:rsidRPr="00D455EB" w:rsidRDefault="00723BAB" w:rsidP="00177CD5">
            <w:pPr>
              <w:spacing w:line="276" w:lineRule="auto"/>
              <w:jc w:val="both"/>
              <w:rPr>
                <w:color w:val="000000"/>
                <w:sz w:val="20"/>
                <w:lang w:eastAsia="en-US"/>
              </w:rPr>
            </w:pPr>
          </w:p>
        </w:tc>
        <w:tc>
          <w:tcPr>
            <w:tcW w:w="2399" w:type="dxa"/>
            <w:noWrap/>
            <w:vAlign w:val="center"/>
          </w:tcPr>
          <w:p w:rsidR="00723BAB" w:rsidRPr="00D455EB" w:rsidRDefault="00723BAB" w:rsidP="00177CD5">
            <w:pPr>
              <w:keepNext/>
              <w:spacing w:line="276" w:lineRule="auto"/>
              <w:jc w:val="both"/>
              <w:rPr>
                <w:rFonts w:cs="Calibri"/>
                <w:color w:val="000000"/>
                <w:sz w:val="20"/>
                <w:lang w:eastAsia="en-US"/>
              </w:rPr>
            </w:pPr>
            <w:r w:rsidRPr="00D455EB">
              <w:rPr>
                <w:rFonts w:cs="Calibri"/>
                <w:sz w:val="20"/>
              </w:rPr>
              <w:t>Trading sales</w:t>
            </w:r>
          </w:p>
        </w:tc>
        <w:tc>
          <w:tcPr>
            <w:tcW w:w="1075" w:type="dxa"/>
            <w:shd w:val="clear" w:color="auto" w:fill="E6E6E6"/>
            <w:noWrap/>
            <w:vAlign w:val="center"/>
          </w:tcPr>
          <w:p w:rsidR="00723BAB" w:rsidRPr="00D455EB" w:rsidRDefault="00723BAB" w:rsidP="00177CD5">
            <w:pPr>
              <w:spacing w:line="276" w:lineRule="auto"/>
              <w:jc w:val="right"/>
              <w:rPr>
                <w:rFonts w:cs="Calibri"/>
                <w:color w:val="000000"/>
                <w:sz w:val="20"/>
                <w:lang w:eastAsia="en-US"/>
              </w:rPr>
            </w:pPr>
            <w:r w:rsidRPr="00D455EB">
              <w:rPr>
                <w:rFonts w:cs="Calibri"/>
                <w:sz w:val="20"/>
              </w:rPr>
              <w:t>720,000</w:t>
            </w:r>
          </w:p>
        </w:tc>
        <w:tc>
          <w:tcPr>
            <w:tcW w:w="1074" w:type="dxa"/>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sz w:val="20"/>
              </w:rPr>
              <w:t>720,000</w:t>
            </w:r>
          </w:p>
        </w:tc>
        <w:tc>
          <w:tcPr>
            <w:tcW w:w="1075" w:type="dxa"/>
            <w:vAlign w:val="center"/>
          </w:tcPr>
          <w:p w:rsidR="00723BAB" w:rsidRPr="00D455EB" w:rsidRDefault="00723BAB" w:rsidP="00177CD5">
            <w:pPr>
              <w:keepNext/>
              <w:spacing w:line="276" w:lineRule="auto"/>
              <w:jc w:val="right"/>
              <w:rPr>
                <w:rFonts w:cs="Calibri"/>
                <w:color w:val="000000"/>
                <w:sz w:val="20"/>
              </w:rPr>
            </w:pPr>
            <w:r w:rsidRPr="00D455EB">
              <w:rPr>
                <w:rFonts w:cs="Calibri"/>
                <w:color w:val="000000"/>
                <w:sz w:val="20"/>
              </w:rPr>
              <w:t>0</w:t>
            </w:r>
          </w:p>
        </w:tc>
        <w:tc>
          <w:tcPr>
            <w:tcW w:w="1075" w:type="dxa"/>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sz w:val="20"/>
              </w:rPr>
              <w:t>0</w:t>
            </w:r>
          </w:p>
        </w:tc>
      </w:tr>
      <w:tr w:rsidR="00723BAB" w:rsidRPr="00D455EB" w:rsidTr="00673943">
        <w:trPr>
          <w:trHeight w:val="278"/>
          <w:jc w:val="center"/>
        </w:trPr>
        <w:tc>
          <w:tcPr>
            <w:tcW w:w="237" w:type="dxa"/>
            <w:noWrap/>
            <w:vAlign w:val="center"/>
          </w:tcPr>
          <w:p w:rsidR="00723BAB" w:rsidRPr="00D455EB" w:rsidRDefault="00723BAB" w:rsidP="00177CD5">
            <w:pPr>
              <w:keepNext/>
              <w:spacing w:line="276" w:lineRule="auto"/>
              <w:jc w:val="both"/>
              <w:rPr>
                <w:rFonts w:cs="Calibri"/>
                <w:color w:val="000000"/>
                <w:sz w:val="20"/>
              </w:rPr>
            </w:pPr>
          </w:p>
        </w:tc>
        <w:tc>
          <w:tcPr>
            <w:tcW w:w="2399" w:type="dxa"/>
            <w:noWrap/>
            <w:vAlign w:val="center"/>
          </w:tcPr>
          <w:p w:rsidR="00723BAB" w:rsidRPr="00D455EB" w:rsidRDefault="00723BAB" w:rsidP="00177CD5">
            <w:pPr>
              <w:keepNext/>
              <w:spacing w:line="276" w:lineRule="auto"/>
              <w:jc w:val="both"/>
              <w:rPr>
                <w:rFonts w:cs="Calibri"/>
                <w:color w:val="000000"/>
                <w:sz w:val="20"/>
                <w:lang w:eastAsia="en-US"/>
              </w:rPr>
            </w:pPr>
            <w:r w:rsidRPr="00D455EB">
              <w:rPr>
                <w:rFonts w:cs="Calibri"/>
                <w:sz w:val="20"/>
              </w:rPr>
              <w:t>Interest on bank account</w:t>
            </w:r>
          </w:p>
        </w:tc>
        <w:tc>
          <w:tcPr>
            <w:tcW w:w="1075" w:type="dxa"/>
            <w:shd w:val="clear" w:color="auto" w:fill="E6E6E6"/>
            <w:noWrap/>
            <w:vAlign w:val="center"/>
          </w:tcPr>
          <w:p w:rsidR="00723BAB" w:rsidRPr="00D455EB" w:rsidRDefault="00723BAB" w:rsidP="00177CD5">
            <w:pPr>
              <w:spacing w:line="276" w:lineRule="auto"/>
              <w:jc w:val="right"/>
              <w:rPr>
                <w:rFonts w:cs="Calibri"/>
                <w:color w:val="000000"/>
                <w:sz w:val="20"/>
                <w:lang w:eastAsia="en-US"/>
              </w:rPr>
            </w:pPr>
            <w:r w:rsidRPr="00D455EB">
              <w:rPr>
                <w:rFonts w:cs="Calibri"/>
                <w:sz w:val="20"/>
              </w:rPr>
              <w:t>4,850</w:t>
            </w:r>
          </w:p>
        </w:tc>
        <w:tc>
          <w:tcPr>
            <w:tcW w:w="1074" w:type="dxa"/>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sz w:val="20"/>
              </w:rPr>
              <w:t>0</w:t>
            </w:r>
          </w:p>
        </w:tc>
        <w:tc>
          <w:tcPr>
            <w:tcW w:w="1075" w:type="dxa"/>
            <w:vAlign w:val="center"/>
          </w:tcPr>
          <w:p w:rsidR="00723BAB" w:rsidRPr="00D455EB" w:rsidRDefault="00723BAB" w:rsidP="00177CD5">
            <w:pPr>
              <w:keepNext/>
              <w:spacing w:line="276" w:lineRule="auto"/>
              <w:jc w:val="right"/>
              <w:rPr>
                <w:rFonts w:cs="Calibri"/>
                <w:color w:val="000000"/>
                <w:sz w:val="20"/>
              </w:rPr>
            </w:pPr>
            <w:r w:rsidRPr="00D455EB">
              <w:rPr>
                <w:rFonts w:cs="Calibri"/>
                <w:sz w:val="20"/>
              </w:rPr>
              <w:t>4,850</w:t>
            </w:r>
          </w:p>
        </w:tc>
        <w:tc>
          <w:tcPr>
            <w:tcW w:w="1075" w:type="dxa"/>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color w:val="000000"/>
                <w:sz w:val="20"/>
                <w:lang w:eastAsia="en-US"/>
              </w:rPr>
              <w:t>0</w:t>
            </w:r>
          </w:p>
        </w:tc>
      </w:tr>
      <w:tr w:rsidR="00723BAB" w:rsidRPr="00D455EB" w:rsidTr="00673943">
        <w:trPr>
          <w:trHeight w:val="278"/>
          <w:jc w:val="center"/>
        </w:trPr>
        <w:tc>
          <w:tcPr>
            <w:tcW w:w="237" w:type="dxa"/>
            <w:noWrap/>
            <w:vAlign w:val="center"/>
          </w:tcPr>
          <w:p w:rsidR="00723BAB" w:rsidRPr="00D455EB" w:rsidRDefault="00723BAB" w:rsidP="00177CD5">
            <w:pPr>
              <w:keepNext/>
              <w:spacing w:line="276" w:lineRule="auto"/>
              <w:jc w:val="both"/>
              <w:rPr>
                <w:rFonts w:cs="Calibri"/>
                <w:color w:val="000000"/>
                <w:sz w:val="20"/>
              </w:rPr>
            </w:pPr>
          </w:p>
        </w:tc>
        <w:tc>
          <w:tcPr>
            <w:tcW w:w="2399" w:type="dxa"/>
            <w:noWrap/>
            <w:vAlign w:val="center"/>
          </w:tcPr>
          <w:p w:rsidR="00723BAB" w:rsidRPr="00D455EB" w:rsidRDefault="00723BAB" w:rsidP="00177CD5">
            <w:pPr>
              <w:keepNext/>
              <w:spacing w:line="276" w:lineRule="auto"/>
              <w:jc w:val="both"/>
              <w:rPr>
                <w:rFonts w:cs="Calibri"/>
                <w:color w:val="000000"/>
                <w:sz w:val="20"/>
                <w:lang w:eastAsia="en-US"/>
              </w:rPr>
            </w:pPr>
            <w:r w:rsidRPr="00D455EB">
              <w:rPr>
                <w:rFonts w:cs="Calibri"/>
                <w:sz w:val="20"/>
                <w:lang w:eastAsia="en-US"/>
              </w:rPr>
              <w:t xml:space="preserve">Franked dividend </w:t>
            </w:r>
          </w:p>
        </w:tc>
        <w:tc>
          <w:tcPr>
            <w:tcW w:w="1075" w:type="dxa"/>
            <w:shd w:val="clear" w:color="auto" w:fill="E6E6E6"/>
            <w:noWrap/>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sz w:val="20"/>
                <w:lang w:eastAsia="en-US"/>
              </w:rPr>
              <w:t>10,185</w:t>
            </w:r>
          </w:p>
        </w:tc>
        <w:tc>
          <w:tcPr>
            <w:tcW w:w="1074" w:type="dxa"/>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color w:val="000000"/>
                <w:sz w:val="20"/>
                <w:lang w:eastAsia="en-US"/>
              </w:rPr>
              <w:t>0</w:t>
            </w:r>
          </w:p>
        </w:tc>
        <w:tc>
          <w:tcPr>
            <w:tcW w:w="1075" w:type="dxa"/>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color w:val="000000"/>
                <w:sz w:val="20"/>
                <w:lang w:eastAsia="en-US"/>
              </w:rPr>
              <w:t>0</w:t>
            </w:r>
          </w:p>
        </w:tc>
        <w:tc>
          <w:tcPr>
            <w:tcW w:w="1075" w:type="dxa"/>
            <w:vAlign w:val="center"/>
          </w:tcPr>
          <w:p w:rsidR="00723BAB" w:rsidRPr="00D455EB" w:rsidRDefault="00723BAB" w:rsidP="00177CD5">
            <w:pPr>
              <w:keepNext/>
              <w:spacing w:line="276" w:lineRule="auto"/>
              <w:jc w:val="right"/>
              <w:rPr>
                <w:rFonts w:cs="Calibri"/>
                <w:color w:val="000000"/>
                <w:sz w:val="20"/>
                <w:lang w:eastAsia="en-US"/>
              </w:rPr>
            </w:pPr>
            <w:r w:rsidRPr="00D455EB">
              <w:rPr>
                <w:rFonts w:cs="Calibri"/>
                <w:sz w:val="20"/>
                <w:lang w:eastAsia="en-US"/>
              </w:rPr>
              <w:t>10,185</w:t>
            </w:r>
          </w:p>
        </w:tc>
      </w:tr>
      <w:tr w:rsidR="00723BAB" w:rsidRPr="00D455EB" w:rsidTr="00673943">
        <w:trPr>
          <w:trHeight w:val="278"/>
          <w:jc w:val="center"/>
        </w:trPr>
        <w:tc>
          <w:tcPr>
            <w:tcW w:w="2636" w:type="dxa"/>
            <w:gridSpan w:val="2"/>
            <w:shd w:val="clear" w:color="auto" w:fill="4F81BD"/>
            <w:noWrap/>
            <w:vAlign w:val="center"/>
          </w:tcPr>
          <w:p w:rsidR="00723BAB" w:rsidRPr="00D455EB" w:rsidRDefault="00723BAB" w:rsidP="00177CD5">
            <w:pPr>
              <w:keepNext/>
              <w:spacing w:line="276" w:lineRule="auto"/>
              <w:jc w:val="both"/>
              <w:rPr>
                <w:rFonts w:cs="Calibri"/>
                <w:color w:val="000000"/>
                <w:sz w:val="20"/>
              </w:rPr>
            </w:pPr>
            <w:r w:rsidRPr="00D455EB">
              <w:rPr>
                <w:rFonts w:cs="Calibri"/>
                <w:bCs/>
                <w:sz w:val="20"/>
              </w:rPr>
              <w:t xml:space="preserve">Total assessable income (excluding franking credits)   </w:t>
            </w:r>
          </w:p>
        </w:tc>
        <w:tc>
          <w:tcPr>
            <w:tcW w:w="1075" w:type="dxa"/>
            <w:shd w:val="clear" w:color="auto" w:fill="4F81BD"/>
            <w:noWrap/>
            <w:vAlign w:val="center"/>
          </w:tcPr>
          <w:p w:rsidR="00723BAB" w:rsidRPr="00D455EB" w:rsidRDefault="00723BAB" w:rsidP="00177CD5">
            <w:pPr>
              <w:keepNext/>
              <w:spacing w:line="276" w:lineRule="auto"/>
              <w:jc w:val="right"/>
              <w:rPr>
                <w:rFonts w:cs="Calibri"/>
                <w:bCs/>
                <w:color w:val="000000"/>
                <w:sz w:val="20"/>
                <w:lang w:eastAsia="en-US"/>
              </w:rPr>
            </w:pPr>
            <w:r w:rsidRPr="00D455EB">
              <w:rPr>
                <w:rFonts w:cs="Calibri"/>
                <w:bCs/>
                <w:color w:val="000000"/>
                <w:sz w:val="20"/>
                <w:lang w:eastAsia="en-US"/>
              </w:rPr>
              <w:t>735,035</w:t>
            </w:r>
          </w:p>
        </w:tc>
        <w:tc>
          <w:tcPr>
            <w:tcW w:w="1074" w:type="dxa"/>
            <w:shd w:val="clear" w:color="auto" w:fill="4F81BD"/>
            <w:vAlign w:val="center"/>
          </w:tcPr>
          <w:p w:rsidR="00723BAB" w:rsidRPr="00D455EB" w:rsidRDefault="00723BAB" w:rsidP="00177CD5">
            <w:pPr>
              <w:spacing w:line="276" w:lineRule="auto"/>
              <w:jc w:val="right"/>
              <w:rPr>
                <w:rFonts w:cs="Calibri"/>
                <w:bCs/>
                <w:color w:val="000000"/>
                <w:sz w:val="20"/>
                <w:lang w:eastAsia="en-US"/>
              </w:rPr>
            </w:pPr>
            <w:r w:rsidRPr="00D455EB">
              <w:rPr>
                <w:rFonts w:cs="Calibri"/>
                <w:bCs/>
                <w:sz w:val="20"/>
              </w:rPr>
              <w:t>720,000</w:t>
            </w:r>
          </w:p>
        </w:tc>
        <w:tc>
          <w:tcPr>
            <w:tcW w:w="1075" w:type="dxa"/>
            <w:shd w:val="clear" w:color="auto" w:fill="4F81BD"/>
            <w:vAlign w:val="center"/>
          </w:tcPr>
          <w:p w:rsidR="00723BAB" w:rsidRPr="00D455EB" w:rsidRDefault="00723BAB" w:rsidP="00177CD5">
            <w:pPr>
              <w:keepNext/>
              <w:spacing w:line="276" w:lineRule="auto"/>
              <w:jc w:val="right"/>
              <w:rPr>
                <w:rFonts w:cs="Calibri"/>
                <w:bCs/>
                <w:color w:val="000000"/>
                <w:sz w:val="20"/>
                <w:lang w:eastAsia="en-US"/>
              </w:rPr>
            </w:pPr>
            <w:r w:rsidRPr="00D455EB">
              <w:rPr>
                <w:rFonts w:cs="Calibri"/>
                <w:sz w:val="20"/>
              </w:rPr>
              <w:t>4,850</w:t>
            </w:r>
          </w:p>
        </w:tc>
        <w:tc>
          <w:tcPr>
            <w:tcW w:w="1075" w:type="dxa"/>
            <w:shd w:val="clear" w:color="auto" w:fill="4F81BD"/>
            <w:vAlign w:val="center"/>
          </w:tcPr>
          <w:p w:rsidR="00723BAB" w:rsidRPr="00D455EB" w:rsidRDefault="00723BAB" w:rsidP="00177CD5">
            <w:pPr>
              <w:keepNext/>
              <w:spacing w:line="276" w:lineRule="auto"/>
              <w:jc w:val="right"/>
              <w:rPr>
                <w:rFonts w:cs="Calibri"/>
                <w:bCs/>
                <w:color w:val="000000"/>
                <w:sz w:val="20"/>
                <w:lang w:eastAsia="en-US"/>
              </w:rPr>
            </w:pPr>
            <w:r w:rsidRPr="00D455EB">
              <w:rPr>
                <w:rFonts w:cs="Calibri"/>
                <w:sz w:val="20"/>
              </w:rPr>
              <w:t>10,185</w:t>
            </w:r>
          </w:p>
        </w:tc>
      </w:tr>
      <w:tr w:rsidR="00723BAB" w:rsidRPr="00D455EB" w:rsidTr="001D53E7">
        <w:trPr>
          <w:trHeight w:val="300"/>
          <w:jc w:val="center"/>
        </w:trPr>
        <w:tc>
          <w:tcPr>
            <w:tcW w:w="237" w:type="dxa"/>
            <w:noWrap/>
            <w:vAlign w:val="center"/>
          </w:tcPr>
          <w:p w:rsidR="00723BAB" w:rsidRPr="00D455EB" w:rsidRDefault="00723BAB" w:rsidP="00177CD5">
            <w:pPr>
              <w:spacing w:line="276" w:lineRule="auto"/>
              <w:jc w:val="both"/>
              <w:rPr>
                <w:color w:val="000000"/>
                <w:sz w:val="20"/>
                <w:lang w:eastAsia="en-US"/>
              </w:rPr>
            </w:pPr>
          </w:p>
        </w:tc>
        <w:tc>
          <w:tcPr>
            <w:tcW w:w="2399" w:type="dxa"/>
            <w:noWrap/>
            <w:vAlign w:val="center"/>
          </w:tcPr>
          <w:p w:rsidR="00723BAB" w:rsidRPr="00D455EB" w:rsidRDefault="00723BAB" w:rsidP="00177CD5">
            <w:pPr>
              <w:spacing w:line="276" w:lineRule="auto"/>
              <w:jc w:val="both"/>
              <w:rPr>
                <w:color w:val="000000"/>
                <w:sz w:val="20"/>
                <w:lang w:eastAsia="en-US"/>
              </w:rPr>
            </w:pPr>
          </w:p>
        </w:tc>
        <w:tc>
          <w:tcPr>
            <w:tcW w:w="1075" w:type="dxa"/>
            <w:shd w:val="clear" w:color="auto" w:fill="E6E6E6"/>
            <w:noWrap/>
            <w:vAlign w:val="center"/>
          </w:tcPr>
          <w:p w:rsidR="00723BAB" w:rsidRPr="00D455EB" w:rsidRDefault="00723BAB" w:rsidP="00177CD5">
            <w:pPr>
              <w:keepNext/>
              <w:spacing w:line="276" w:lineRule="auto"/>
              <w:jc w:val="right"/>
              <w:rPr>
                <w:rFonts w:cs="Calibri"/>
                <w:color w:val="000000"/>
                <w:sz w:val="20"/>
              </w:rPr>
            </w:pPr>
          </w:p>
        </w:tc>
        <w:tc>
          <w:tcPr>
            <w:tcW w:w="1074" w:type="dxa"/>
            <w:vAlign w:val="center"/>
          </w:tcPr>
          <w:p w:rsidR="00723BAB" w:rsidRPr="00D455EB" w:rsidRDefault="00723BAB" w:rsidP="00177CD5">
            <w:pPr>
              <w:keepNext/>
              <w:spacing w:line="276" w:lineRule="auto"/>
              <w:jc w:val="right"/>
              <w:rPr>
                <w:rFonts w:cs="Calibri"/>
                <w:color w:val="000000"/>
                <w:sz w:val="20"/>
              </w:rPr>
            </w:pPr>
          </w:p>
        </w:tc>
        <w:tc>
          <w:tcPr>
            <w:tcW w:w="1075" w:type="dxa"/>
            <w:vAlign w:val="center"/>
          </w:tcPr>
          <w:p w:rsidR="00723BAB" w:rsidRPr="00D455EB" w:rsidRDefault="00723BAB" w:rsidP="00177CD5">
            <w:pPr>
              <w:keepNext/>
              <w:spacing w:line="276" w:lineRule="auto"/>
              <w:jc w:val="right"/>
              <w:rPr>
                <w:rFonts w:cs="Calibri"/>
                <w:color w:val="000000"/>
                <w:sz w:val="20"/>
              </w:rPr>
            </w:pPr>
          </w:p>
        </w:tc>
        <w:tc>
          <w:tcPr>
            <w:tcW w:w="1075" w:type="dxa"/>
            <w:vAlign w:val="center"/>
          </w:tcPr>
          <w:p w:rsidR="00723BAB" w:rsidRPr="00D455EB" w:rsidRDefault="00723BAB" w:rsidP="00177CD5">
            <w:pPr>
              <w:keepNext/>
              <w:spacing w:line="276" w:lineRule="auto"/>
              <w:jc w:val="right"/>
              <w:rPr>
                <w:rFonts w:cs="Calibri"/>
                <w:color w:val="000000"/>
                <w:sz w:val="20"/>
              </w:rPr>
            </w:pPr>
          </w:p>
        </w:tc>
      </w:tr>
      <w:tr w:rsidR="00723BAB" w:rsidRPr="00D455EB" w:rsidTr="001D53E7">
        <w:trPr>
          <w:trHeight w:val="278"/>
          <w:jc w:val="center"/>
        </w:trPr>
        <w:tc>
          <w:tcPr>
            <w:tcW w:w="2636" w:type="dxa"/>
            <w:gridSpan w:val="2"/>
            <w:shd w:val="clear" w:color="auto" w:fill="D2DFEE"/>
            <w:noWrap/>
            <w:vAlign w:val="center"/>
          </w:tcPr>
          <w:p w:rsidR="00723BAB" w:rsidRPr="00D455EB" w:rsidRDefault="00723BAB" w:rsidP="00177CD5">
            <w:pPr>
              <w:keepNext/>
              <w:spacing w:line="276" w:lineRule="auto"/>
              <w:jc w:val="both"/>
              <w:rPr>
                <w:rFonts w:cs="Calibri"/>
                <w:color w:val="000000"/>
                <w:sz w:val="20"/>
              </w:rPr>
            </w:pPr>
            <w:r w:rsidRPr="00D455EB">
              <w:rPr>
                <w:rFonts w:cs="Calibri"/>
                <w:bCs/>
                <w:sz w:val="20"/>
              </w:rPr>
              <w:t xml:space="preserve">Deductible specific expenses </w:t>
            </w:r>
          </w:p>
        </w:tc>
        <w:tc>
          <w:tcPr>
            <w:tcW w:w="1075" w:type="dxa"/>
            <w:shd w:val="clear" w:color="auto" w:fill="E6E6E6"/>
            <w:noWrap/>
            <w:vAlign w:val="center"/>
          </w:tcPr>
          <w:p w:rsidR="00723BAB" w:rsidRPr="00D455EB" w:rsidRDefault="00723BAB" w:rsidP="00177CD5">
            <w:pPr>
              <w:keepNext/>
              <w:spacing w:line="276" w:lineRule="auto"/>
              <w:jc w:val="right"/>
              <w:rPr>
                <w:rFonts w:cs="Calibri"/>
                <w:bCs/>
                <w:color w:val="000000"/>
                <w:sz w:val="20"/>
                <w:lang w:eastAsia="en-US"/>
              </w:rPr>
            </w:pPr>
            <w:r w:rsidRPr="00D455EB">
              <w:rPr>
                <w:rFonts w:cs="Calibri"/>
                <w:bCs/>
                <w:sz w:val="20"/>
              </w:rPr>
              <w:t>436,250</w:t>
            </w:r>
          </w:p>
        </w:tc>
        <w:tc>
          <w:tcPr>
            <w:tcW w:w="1074" w:type="dxa"/>
            <w:shd w:val="clear" w:color="auto" w:fill="D2DFEE"/>
            <w:vAlign w:val="center"/>
          </w:tcPr>
          <w:p w:rsidR="00723BAB" w:rsidRPr="00D455EB" w:rsidRDefault="00723BAB" w:rsidP="00177CD5">
            <w:pPr>
              <w:spacing w:line="276" w:lineRule="auto"/>
              <w:jc w:val="right"/>
              <w:rPr>
                <w:rFonts w:cs="Calibri"/>
                <w:bCs/>
                <w:color w:val="000000"/>
                <w:sz w:val="20"/>
                <w:lang w:eastAsia="en-US"/>
              </w:rPr>
            </w:pPr>
            <w:r w:rsidRPr="00D455EB">
              <w:rPr>
                <w:rFonts w:cs="Calibri"/>
                <w:bCs/>
                <w:sz w:val="20"/>
              </w:rPr>
              <w:t xml:space="preserve">436,250 </w:t>
            </w:r>
          </w:p>
        </w:tc>
        <w:tc>
          <w:tcPr>
            <w:tcW w:w="1075" w:type="dxa"/>
            <w:shd w:val="clear" w:color="auto" w:fill="D2DFEE"/>
            <w:vAlign w:val="center"/>
          </w:tcPr>
          <w:p w:rsidR="00723BAB" w:rsidRPr="00D455EB" w:rsidRDefault="00723BAB" w:rsidP="00177CD5">
            <w:pPr>
              <w:keepNext/>
              <w:spacing w:line="276" w:lineRule="auto"/>
              <w:jc w:val="right"/>
              <w:rPr>
                <w:rFonts w:cs="Calibri"/>
                <w:bCs/>
                <w:color w:val="000000"/>
                <w:sz w:val="20"/>
                <w:lang w:eastAsia="en-US"/>
              </w:rPr>
            </w:pPr>
            <w:r w:rsidRPr="00D455EB">
              <w:rPr>
                <w:rFonts w:cs="Calibri"/>
                <w:bCs/>
                <w:sz w:val="20"/>
              </w:rPr>
              <w:t>0</w:t>
            </w:r>
          </w:p>
        </w:tc>
        <w:tc>
          <w:tcPr>
            <w:tcW w:w="1075" w:type="dxa"/>
            <w:shd w:val="clear" w:color="auto" w:fill="E6E6E6"/>
            <w:vAlign w:val="center"/>
          </w:tcPr>
          <w:p w:rsidR="00723BAB" w:rsidRPr="00D455EB" w:rsidRDefault="00723BAB" w:rsidP="00177CD5">
            <w:pPr>
              <w:keepNext/>
              <w:spacing w:line="276" w:lineRule="auto"/>
              <w:jc w:val="right"/>
              <w:rPr>
                <w:rFonts w:cs="Calibri"/>
                <w:bCs/>
                <w:color w:val="000000"/>
                <w:sz w:val="20"/>
                <w:lang w:eastAsia="en-US"/>
              </w:rPr>
            </w:pPr>
            <w:r w:rsidRPr="00D455EB">
              <w:rPr>
                <w:rFonts w:cs="Calibri"/>
                <w:bCs/>
                <w:sz w:val="20"/>
              </w:rPr>
              <w:t>0</w:t>
            </w:r>
          </w:p>
        </w:tc>
      </w:tr>
      <w:tr w:rsidR="00723BAB" w:rsidRPr="00D455EB" w:rsidTr="001D53E7">
        <w:trPr>
          <w:trHeight w:val="278"/>
          <w:jc w:val="center"/>
        </w:trPr>
        <w:tc>
          <w:tcPr>
            <w:tcW w:w="2636" w:type="dxa"/>
            <w:gridSpan w:val="2"/>
            <w:shd w:val="clear" w:color="auto" w:fill="D2DFEE"/>
            <w:noWrap/>
            <w:vAlign w:val="center"/>
          </w:tcPr>
          <w:p w:rsidR="00723BAB" w:rsidRPr="00D455EB" w:rsidRDefault="00723BAB" w:rsidP="00177CD5">
            <w:pPr>
              <w:keepNext/>
              <w:spacing w:line="276" w:lineRule="auto"/>
              <w:jc w:val="both"/>
              <w:rPr>
                <w:rFonts w:cs="Calibri"/>
                <w:bCs/>
                <w:color w:val="000000"/>
                <w:sz w:val="20"/>
              </w:rPr>
            </w:pPr>
            <w:r w:rsidRPr="00D455EB">
              <w:rPr>
                <w:rFonts w:cs="Calibri"/>
                <w:bCs/>
                <w:sz w:val="20"/>
              </w:rPr>
              <w:t>Deductible general expenses</w:t>
            </w:r>
          </w:p>
        </w:tc>
        <w:tc>
          <w:tcPr>
            <w:tcW w:w="1075" w:type="dxa"/>
            <w:shd w:val="clear" w:color="auto" w:fill="E6E6E6"/>
            <w:noWrap/>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252,000</w:t>
            </w:r>
          </w:p>
        </w:tc>
        <w:tc>
          <w:tcPr>
            <w:tcW w:w="1074" w:type="dxa"/>
            <w:shd w:val="clear" w:color="auto" w:fill="D2DFEE"/>
            <w:vAlign w:val="center"/>
          </w:tcPr>
          <w:p w:rsidR="00723BAB" w:rsidRPr="00D455EB" w:rsidRDefault="00723BAB" w:rsidP="00177CD5">
            <w:pPr>
              <w:spacing w:line="276" w:lineRule="auto"/>
              <w:jc w:val="right"/>
              <w:rPr>
                <w:rFonts w:cs="Calibri"/>
                <w:bCs/>
                <w:color w:val="000000"/>
                <w:sz w:val="20"/>
              </w:rPr>
            </w:pPr>
            <w:r w:rsidRPr="00D455EB">
              <w:rPr>
                <w:rFonts w:cs="Calibri"/>
                <w:bCs/>
                <w:sz w:val="20"/>
              </w:rPr>
              <w:t>239,794</w:t>
            </w:r>
          </w:p>
        </w:tc>
        <w:tc>
          <w:tcPr>
            <w:tcW w:w="1075" w:type="dxa"/>
            <w:shd w:val="clear" w:color="auto" w:fill="D2DFEE"/>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4,099</w:t>
            </w:r>
          </w:p>
        </w:tc>
        <w:tc>
          <w:tcPr>
            <w:tcW w:w="1075" w:type="dxa"/>
            <w:shd w:val="clear" w:color="auto" w:fill="E6E6E6"/>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8,607</w:t>
            </w:r>
          </w:p>
        </w:tc>
      </w:tr>
      <w:tr w:rsidR="00723BAB" w:rsidRPr="00D455EB" w:rsidTr="001D53E7">
        <w:trPr>
          <w:trHeight w:val="278"/>
          <w:jc w:val="center"/>
        </w:trPr>
        <w:tc>
          <w:tcPr>
            <w:tcW w:w="2636" w:type="dxa"/>
            <w:gridSpan w:val="2"/>
            <w:shd w:val="clear" w:color="auto" w:fill="D2DFEE"/>
            <w:noWrap/>
            <w:vAlign w:val="center"/>
          </w:tcPr>
          <w:p w:rsidR="00723BAB" w:rsidRPr="00D455EB" w:rsidRDefault="00723BAB" w:rsidP="00177CD5">
            <w:pPr>
              <w:keepNext/>
              <w:spacing w:line="276" w:lineRule="auto"/>
              <w:jc w:val="both"/>
              <w:rPr>
                <w:rFonts w:cs="Calibri"/>
                <w:bCs/>
                <w:color w:val="000000"/>
                <w:sz w:val="20"/>
              </w:rPr>
            </w:pPr>
            <w:r w:rsidRPr="00D455EB">
              <w:rPr>
                <w:rFonts w:cs="Calibri"/>
                <w:bCs/>
                <w:sz w:val="20"/>
              </w:rPr>
              <w:t>Total deductible expenses</w:t>
            </w:r>
          </w:p>
        </w:tc>
        <w:tc>
          <w:tcPr>
            <w:tcW w:w="1075" w:type="dxa"/>
            <w:shd w:val="clear" w:color="auto" w:fill="E6E6E6"/>
            <w:noWrap/>
            <w:vAlign w:val="center"/>
          </w:tcPr>
          <w:p w:rsidR="00723BAB" w:rsidRPr="00D455EB" w:rsidRDefault="00723BAB" w:rsidP="002B055A">
            <w:pPr>
              <w:keepNext/>
              <w:spacing w:line="276" w:lineRule="auto"/>
              <w:jc w:val="right"/>
              <w:rPr>
                <w:rFonts w:cs="Calibri"/>
                <w:bCs/>
                <w:color w:val="000000"/>
                <w:sz w:val="20"/>
              </w:rPr>
            </w:pPr>
            <w:r w:rsidRPr="00D455EB">
              <w:rPr>
                <w:rFonts w:cs="Calibri"/>
                <w:bCs/>
                <w:sz w:val="20"/>
              </w:rPr>
              <w:t>688,250</w:t>
            </w:r>
          </w:p>
        </w:tc>
        <w:tc>
          <w:tcPr>
            <w:tcW w:w="1074" w:type="dxa"/>
            <w:shd w:val="clear" w:color="auto" w:fill="D2DFEE"/>
            <w:vAlign w:val="center"/>
          </w:tcPr>
          <w:p w:rsidR="00723BAB" w:rsidRPr="00D455EB" w:rsidRDefault="00723BAB" w:rsidP="00177CD5">
            <w:pPr>
              <w:spacing w:line="276" w:lineRule="auto"/>
              <w:jc w:val="right"/>
              <w:rPr>
                <w:rFonts w:cs="Calibri"/>
                <w:bCs/>
                <w:color w:val="000000"/>
                <w:sz w:val="20"/>
              </w:rPr>
            </w:pPr>
            <w:r w:rsidRPr="00D455EB">
              <w:rPr>
                <w:rFonts w:cs="Calibri"/>
                <w:bCs/>
                <w:sz w:val="20"/>
              </w:rPr>
              <w:t>676,044</w:t>
            </w:r>
          </w:p>
        </w:tc>
        <w:tc>
          <w:tcPr>
            <w:tcW w:w="1075" w:type="dxa"/>
            <w:shd w:val="clear" w:color="auto" w:fill="D2DFEE"/>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4,099</w:t>
            </w:r>
          </w:p>
        </w:tc>
        <w:tc>
          <w:tcPr>
            <w:tcW w:w="1075" w:type="dxa"/>
            <w:shd w:val="clear" w:color="auto" w:fill="E6E6E6"/>
            <w:vAlign w:val="center"/>
          </w:tcPr>
          <w:p w:rsidR="00723BAB" w:rsidRPr="00D455EB" w:rsidRDefault="00723BAB" w:rsidP="002B055A">
            <w:pPr>
              <w:keepNext/>
              <w:spacing w:line="276" w:lineRule="auto"/>
              <w:jc w:val="right"/>
              <w:rPr>
                <w:rFonts w:cs="Calibri"/>
                <w:bCs/>
                <w:color w:val="000000"/>
                <w:sz w:val="20"/>
              </w:rPr>
            </w:pPr>
            <w:r w:rsidRPr="00D455EB">
              <w:rPr>
                <w:rFonts w:cs="Calibri"/>
                <w:bCs/>
                <w:color w:val="000000"/>
                <w:sz w:val="20"/>
              </w:rPr>
              <w:t>8,607</w:t>
            </w:r>
          </w:p>
        </w:tc>
      </w:tr>
      <w:tr w:rsidR="00723BAB" w:rsidRPr="00D455EB" w:rsidTr="001D53E7">
        <w:trPr>
          <w:trHeight w:val="278"/>
          <w:jc w:val="center"/>
        </w:trPr>
        <w:tc>
          <w:tcPr>
            <w:tcW w:w="2636" w:type="dxa"/>
            <w:gridSpan w:val="2"/>
            <w:shd w:val="clear" w:color="auto" w:fill="D2DFEE"/>
            <w:noWrap/>
            <w:vAlign w:val="center"/>
          </w:tcPr>
          <w:p w:rsidR="00723BAB" w:rsidRPr="00D455EB" w:rsidRDefault="00723BAB" w:rsidP="00177CD5">
            <w:pPr>
              <w:keepNext/>
              <w:spacing w:line="276" w:lineRule="auto"/>
              <w:jc w:val="both"/>
              <w:rPr>
                <w:rFonts w:cs="Calibri"/>
                <w:bCs/>
                <w:color w:val="000000"/>
                <w:sz w:val="20"/>
              </w:rPr>
            </w:pPr>
          </w:p>
        </w:tc>
        <w:tc>
          <w:tcPr>
            <w:tcW w:w="1075" w:type="dxa"/>
            <w:shd w:val="clear" w:color="auto" w:fill="E6E6E6"/>
            <w:noWrap/>
            <w:vAlign w:val="center"/>
          </w:tcPr>
          <w:p w:rsidR="00723BAB" w:rsidRPr="00D455EB" w:rsidRDefault="00723BAB" w:rsidP="00177CD5">
            <w:pPr>
              <w:keepNext/>
              <w:spacing w:line="276" w:lineRule="auto"/>
              <w:jc w:val="right"/>
              <w:rPr>
                <w:rFonts w:cs="Calibri"/>
                <w:bCs/>
                <w:color w:val="000000"/>
                <w:sz w:val="20"/>
              </w:rPr>
            </w:pPr>
          </w:p>
        </w:tc>
        <w:tc>
          <w:tcPr>
            <w:tcW w:w="1074" w:type="dxa"/>
            <w:shd w:val="clear" w:color="auto" w:fill="D2DFEE"/>
            <w:vAlign w:val="center"/>
          </w:tcPr>
          <w:p w:rsidR="00723BAB" w:rsidRPr="00D455EB" w:rsidRDefault="00723BAB" w:rsidP="00177CD5">
            <w:pPr>
              <w:spacing w:line="276" w:lineRule="auto"/>
              <w:jc w:val="right"/>
              <w:rPr>
                <w:rFonts w:cs="Calibri"/>
                <w:bCs/>
                <w:color w:val="000000"/>
                <w:sz w:val="20"/>
              </w:rPr>
            </w:pPr>
          </w:p>
        </w:tc>
        <w:tc>
          <w:tcPr>
            <w:tcW w:w="1075" w:type="dxa"/>
            <w:shd w:val="clear" w:color="auto" w:fill="D2DFEE"/>
            <w:vAlign w:val="center"/>
          </w:tcPr>
          <w:p w:rsidR="00723BAB" w:rsidRPr="00D455EB" w:rsidRDefault="00723BAB" w:rsidP="00177CD5">
            <w:pPr>
              <w:keepNext/>
              <w:spacing w:line="276" w:lineRule="auto"/>
              <w:jc w:val="right"/>
              <w:rPr>
                <w:rFonts w:cs="Calibri"/>
                <w:bCs/>
                <w:color w:val="000000"/>
                <w:sz w:val="20"/>
              </w:rPr>
            </w:pPr>
          </w:p>
        </w:tc>
        <w:tc>
          <w:tcPr>
            <w:tcW w:w="1075" w:type="dxa"/>
            <w:shd w:val="clear" w:color="auto" w:fill="E6E6E6"/>
            <w:vAlign w:val="center"/>
          </w:tcPr>
          <w:p w:rsidR="00723BAB" w:rsidRPr="00D455EB" w:rsidRDefault="00723BAB" w:rsidP="00177CD5">
            <w:pPr>
              <w:keepNext/>
              <w:spacing w:line="276" w:lineRule="auto"/>
              <w:jc w:val="right"/>
              <w:rPr>
                <w:rFonts w:cs="Calibri"/>
                <w:bCs/>
                <w:color w:val="000000"/>
                <w:sz w:val="20"/>
              </w:rPr>
            </w:pPr>
          </w:p>
        </w:tc>
      </w:tr>
      <w:tr w:rsidR="00723BAB" w:rsidRPr="00D455EB" w:rsidTr="001D53E7">
        <w:trPr>
          <w:trHeight w:val="278"/>
          <w:jc w:val="center"/>
        </w:trPr>
        <w:tc>
          <w:tcPr>
            <w:tcW w:w="2636" w:type="dxa"/>
            <w:gridSpan w:val="2"/>
            <w:shd w:val="clear" w:color="auto" w:fill="D2DFEE"/>
            <w:noWrap/>
            <w:vAlign w:val="center"/>
          </w:tcPr>
          <w:p w:rsidR="00723BAB" w:rsidRPr="00D455EB" w:rsidRDefault="00723BAB" w:rsidP="00177CD5">
            <w:pPr>
              <w:keepNext/>
              <w:spacing w:line="276" w:lineRule="auto"/>
              <w:jc w:val="both"/>
              <w:rPr>
                <w:rFonts w:cs="Calibri"/>
                <w:bCs/>
                <w:color w:val="000000"/>
                <w:sz w:val="20"/>
              </w:rPr>
            </w:pPr>
            <w:r w:rsidRPr="00D455EB">
              <w:rPr>
                <w:rFonts w:cs="Calibri"/>
                <w:bCs/>
                <w:sz w:val="20"/>
              </w:rPr>
              <w:t>Franking credits (gross-up)</w:t>
            </w:r>
          </w:p>
        </w:tc>
        <w:tc>
          <w:tcPr>
            <w:tcW w:w="1075" w:type="dxa"/>
            <w:shd w:val="clear" w:color="auto" w:fill="E6E6E6"/>
            <w:noWrap/>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4,365</w:t>
            </w:r>
          </w:p>
        </w:tc>
        <w:tc>
          <w:tcPr>
            <w:tcW w:w="1074" w:type="dxa"/>
            <w:shd w:val="clear" w:color="auto" w:fill="D2DFEE"/>
            <w:vAlign w:val="center"/>
          </w:tcPr>
          <w:p w:rsidR="00723BAB" w:rsidRPr="00D455EB" w:rsidRDefault="00723BAB" w:rsidP="00177CD5">
            <w:pPr>
              <w:spacing w:line="276" w:lineRule="auto"/>
              <w:jc w:val="right"/>
              <w:rPr>
                <w:rFonts w:cs="Calibri"/>
                <w:bCs/>
                <w:color w:val="000000"/>
                <w:sz w:val="20"/>
              </w:rPr>
            </w:pPr>
            <w:r w:rsidRPr="00D455EB">
              <w:rPr>
                <w:rFonts w:cs="Calibri"/>
                <w:bCs/>
                <w:sz w:val="20"/>
              </w:rPr>
              <w:t>0</w:t>
            </w:r>
          </w:p>
        </w:tc>
        <w:tc>
          <w:tcPr>
            <w:tcW w:w="1075" w:type="dxa"/>
            <w:shd w:val="clear" w:color="auto" w:fill="D2DFEE"/>
            <w:vAlign w:val="center"/>
          </w:tcPr>
          <w:p w:rsidR="00723BAB" w:rsidRPr="00D455EB" w:rsidRDefault="00723BAB" w:rsidP="00177CD5">
            <w:pPr>
              <w:keepNext/>
              <w:spacing w:line="276" w:lineRule="auto"/>
              <w:jc w:val="right"/>
              <w:rPr>
                <w:rFonts w:cs="Calibri"/>
                <w:bCs/>
                <w:color w:val="000000"/>
                <w:sz w:val="20"/>
              </w:rPr>
            </w:pPr>
            <w:r w:rsidRPr="00D455EB">
              <w:rPr>
                <w:rFonts w:cs="Calibri"/>
                <w:bCs/>
                <w:color w:val="000000"/>
                <w:sz w:val="20"/>
              </w:rPr>
              <w:t>0</w:t>
            </w:r>
          </w:p>
        </w:tc>
        <w:tc>
          <w:tcPr>
            <w:tcW w:w="1075" w:type="dxa"/>
            <w:shd w:val="clear" w:color="auto" w:fill="E6E6E6"/>
            <w:vAlign w:val="center"/>
          </w:tcPr>
          <w:p w:rsidR="00723BAB" w:rsidRPr="00D455EB" w:rsidRDefault="00723BAB" w:rsidP="00177CD5">
            <w:pPr>
              <w:keepNext/>
              <w:spacing w:line="276" w:lineRule="auto"/>
              <w:jc w:val="right"/>
              <w:rPr>
                <w:rFonts w:cs="Calibri"/>
                <w:bCs/>
                <w:color w:val="000000"/>
                <w:sz w:val="20"/>
              </w:rPr>
            </w:pPr>
            <w:r w:rsidRPr="00D455EB">
              <w:rPr>
                <w:rFonts w:cs="Calibri"/>
                <w:bCs/>
                <w:color w:val="000000"/>
                <w:sz w:val="20"/>
              </w:rPr>
              <w:t>4,365</w:t>
            </w:r>
          </w:p>
        </w:tc>
      </w:tr>
      <w:tr w:rsidR="00723BAB" w:rsidRPr="00D455EB" w:rsidTr="00673943">
        <w:trPr>
          <w:trHeight w:val="278"/>
          <w:jc w:val="center"/>
        </w:trPr>
        <w:tc>
          <w:tcPr>
            <w:tcW w:w="2636" w:type="dxa"/>
            <w:gridSpan w:val="2"/>
            <w:shd w:val="clear" w:color="auto" w:fill="4F81BD"/>
            <w:noWrap/>
            <w:vAlign w:val="center"/>
          </w:tcPr>
          <w:p w:rsidR="00723BAB" w:rsidRPr="00D455EB" w:rsidRDefault="00723BAB" w:rsidP="00177CD5">
            <w:pPr>
              <w:keepNext/>
              <w:spacing w:line="276" w:lineRule="auto"/>
              <w:jc w:val="both"/>
              <w:rPr>
                <w:rFonts w:cs="Calibri"/>
                <w:bCs/>
                <w:color w:val="000000"/>
                <w:sz w:val="20"/>
              </w:rPr>
            </w:pPr>
            <w:r w:rsidRPr="00D455EB">
              <w:rPr>
                <w:rFonts w:cs="Calibri"/>
                <w:bCs/>
                <w:sz w:val="20"/>
              </w:rPr>
              <w:t>Total net taxable income per class</w:t>
            </w:r>
          </w:p>
        </w:tc>
        <w:tc>
          <w:tcPr>
            <w:tcW w:w="1075" w:type="dxa"/>
            <w:shd w:val="clear" w:color="auto" w:fill="4F81BD"/>
            <w:noWrap/>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50,150</w:t>
            </w:r>
          </w:p>
        </w:tc>
        <w:tc>
          <w:tcPr>
            <w:tcW w:w="1074" w:type="dxa"/>
            <w:shd w:val="clear" w:color="auto" w:fill="4F81BD"/>
            <w:vAlign w:val="center"/>
          </w:tcPr>
          <w:p w:rsidR="00723BAB" w:rsidRPr="00D455EB" w:rsidRDefault="00723BAB" w:rsidP="00177CD5">
            <w:pPr>
              <w:spacing w:line="276" w:lineRule="auto"/>
              <w:jc w:val="right"/>
              <w:rPr>
                <w:rFonts w:cs="Calibri"/>
                <w:bCs/>
                <w:color w:val="000000"/>
                <w:sz w:val="20"/>
              </w:rPr>
            </w:pPr>
            <w:r w:rsidRPr="00D455EB">
              <w:rPr>
                <w:rFonts w:cs="Calibri"/>
                <w:bCs/>
                <w:sz w:val="20"/>
              </w:rPr>
              <w:t>43,956</w:t>
            </w:r>
          </w:p>
        </w:tc>
        <w:tc>
          <w:tcPr>
            <w:tcW w:w="1075" w:type="dxa"/>
            <w:shd w:val="clear" w:color="auto" w:fill="4F81BD"/>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751</w:t>
            </w:r>
          </w:p>
        </w:tc>
        <w:tc>
          <w:tcPr>
            <w:tcW w:w="1075" w:type="dxa"/>
            <w:shd w:val="clear" w:color="auto" w:fill="4F81BD"/>
            <w:vAlign w:val="center"/>
          </w:tcPr>
          <w:p w:rsidR="00723BAB" w:rsidRPr="00D455EB" w:rsidRDefault="00723BAB" w:rsidP="00177CD5">
            <w:pPr>
              <w:keepNext/>
              <w:spacing w:line="276" w:lineRule="auto"/>
              <w:jc w:val="right"/>
              <w:rPr>
                <w:rFonts w:cs="Calibri"/>
                <w:bCs/>
                <w:color w:val="000000"/>
                <w:sz w:val="20"/>
              </w:rPr>
            </w:pPr>
            <w:r w:rsidRPr="00D455EB">
              <w:rPr>
                <w:rFonts w:cs="Calibri"/>
                <w:bCs/>
                <w:sz w:val="20"/>
              </w:rPr>
              <w:t>5,943</w:t>
            </w:r>
          </w:p>
        </w:tc>
      </w:tr>
    </w:tbl>
    <w:p w:rsidR="00723BAB" w:rsidRDefault="00723BAB" w:rsidP="00E51AD3"/>
    <w:p w:rsidR="00723BAB" w:rsidRDefault="003871DC" w:rsidP="003871DC">
      <w:pPr>
        <w:pStyle w:val="Heading4"/>
      </w:pPr>
      <w:r>
        <w:t xml:space="preserve">7. </w:t>
      </w:r>
      <w:r w:rsidR="00D46E74">
        <w:t>The beneficiaries are assessed on the trust’s taxable income based on the proportionate share of the class amounts they are entitled to.</w:t>
      </w:r>
    </w:p>
    <w:p w:rsidR="00723BAB" w:rsidRDefault="00723BAB" w:rsidP="00675F0B">
      <w:r>
        <w:t>The following table demonstrates the allocation of taxable amounts to beneficiaries based on the their proportionate entitlement to class trust amounts.</w:t>
      </w:r>
    </w:p>
    <w:p w:rsidR="00723BAB" w:rsidRPr="00847383" w:rsidRDefault="00723BAB" w:rsidP="000B7A87">
      <w:pPr>
        <w:pStyle w:val="Heading6"/>
      </w:pPr>
      <w:r>
        <w:t>Table 9</w:t>
      </w:r>
    </w:p>
    <w:tbl>
      <w:tblPr>
        <w:tblW w:w="5000" w:type="pct"/>
        <w:tblLook w:val="00A0" w:firstRow="1" w:lastRow="0" w:firstColumn="1" w:lastColumn="0" w:noHBand="0" w:noVBand="0"/>
      </w:tblPr>
      <w:tblGrid>
        <w:gridCol w:w="449"/>
        <w:gridCol w:w="2254"/>
        <w:gridCol w:w="739"/>
        <w:gridCol w:w="994"/>
        <w:gridCol w:w="789"/>
        <w:gridCol w:w="20"/>
        <w:gridCol w:w="867"/>
        <w:gridCol w:w="719"/>
        <w:gridCol w:w="76"/>
        <w:gridCol w:w="948"/>
        <w:gridCol w:w="8"/>
        <w:gridCol w:w="803"/>
        <w:gridCol w:w="910"/>
      </w:tblGrid>
      <w:tr w:rsidR="00723BAB" w:rsidRPr="00D455EB" w:rsidTr="00C93AD4">
        <w:trPr>
          <w:trHeight w:val="278"/>
        </w:trPr>
        <w:tc>
          <w:tcPr>
            <w:tcW w:w="788" w:type="pct"/>
            <w:gridSpan w:val="2"/>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keepNext/>
              <w:spacing w:line="276" w:lineRule="auto"/>
              <w:rPr>
                <w:rFonts w:cs="Calibri"/>
                <w:b/>
                <w:sz w:val="18"/>
                <w:szCs w:val="18"/>
              </w:rPr>
            </w:pPr>
            <w:r w:rsidRPr="00D455EB">
              <w:rPr>
                <w:rFonts w:cs="Calibri"/>
                <w:b/>
                <w:sz w:val="18"/>
                <w:szCs w:val="18"/>
              </w:rPr>
              <w:t>Item</w:t>
            </w:r>
          </w:p>
          <w:p w:rsidR="00723BAB" w:rsidRPr="00D455EB" w:rsidRDefault="00723BAB" w:rsidP="00950989">
            <w:pPr>
              <w:tabs>
                <w:tab w:val="left" w:pos="1755"/>
              </w:tabs>
              <w:rPr>
                <w:rFonts w:cs="Calibri"/>
                <w:sz w:val="18"/>
                <w:szCs w:val="18"/>
              </w:rPr>
            </w:pPr>
            <w:r w:rsidRPr="00D455EB">
              <w:rPr>
                <w:rFonts w:cs="Calibri"/>
                <w:sz w:val="18"/>
                <w:szCs w:val="18"/>
              </w:rPr>
              <w:tab/>
            </w:r>
          </w:p>
        </w:tc>
        <w:tc>
          <w:tcPr>
            <w:tcW w:w="443"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20X1</w:t>
            </w:r>
          </w:p>
        </w:tc>
        <w:tc>
          <w:tcPr>
            <w:tcW w:w="57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Business income class</w:t>
            </w:r>
          </w:p>
        </w:tc>
        <w:tc>
          <w:tcPr>
            <w:tcW w:w="481" w:type="pct"/>
            <w:gridSpan w:val="2"/>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Interest income class</w:t>
            </w:r>
          </w:p>
        </w:tc>
        <w:tc>
          <w:tcPr>
            <w:tcW w:w="539"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Franked dividend class</w:t>
            </w:r>
          </w:p>
        </w:tc>
        <w:tc>
          <w:tcPr>
            <w:tcW w:w="452"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20X2</w:t>
            </w:r>
          </w:p>
        </w:tc>
        <w:tc>
          <w:tcPr>
            <w:tcW w:w="659" w:type="pct"/>
            <w:gridSpan w:val="3"/>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Business income class</w:t>
            </w:r>
          </w:p>
        </w:tc>
        <w:tc>
          <w:tcPr>
            <w:tcW w:w="52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Interest income class</w:t>
            </w:r>
          </w:p>
        </w:tc>
        <w:tc>
          <w:tcPr>
            <w:tcW w:w="53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Franked dividend class</w:t>
            </w: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48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3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452"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spacing w:line="276" w:lineRule="auto"/>
              <w:jc w:val="right"/>
              <w:rPr>
                <w:rFonts w:cs="Calibri"/>
                <w:sz w:val="18"/>
                <w:szCs w:val="18"/>
                <w:lang w:eastAsia="en-US"/>
              </w:rPr>
            </w:pPr>
          </w:p>
        </w:tc>
        <w:tc>
          <w:tcPr>
            <w:tcW w:w="653"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r>
      <w:tr w:rsidR="00723BAB" w:rsidRPr="00D455EB" w:rsidTr="00C93AD4">
        <w:trPr>
          <w:trHeight w:val="278"/>
        </w:trPr>
        <w:tc>
          <w:tcPr>
            <w:tcW w:w="788" w:type="pct"/>
            <w:gridSpan w:val="2"/>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keepNext/>
              <w:spacing w:line="276" w:lineRule="auto"/>
              <w:rPr>
                <w:rFonts w:cs="Calibri"/>
                <w:sz w:val="18"/>
                <w:szCs w:val="18"/>
              </w:rPr>
            </w:pPr>
            <w:r w:rsidRPr="00D455EB">
              <w:rPr>
                <w:rFonts w:cs="Calibri"/>
                <w:b/>
                <w:bCs/>
                <w:sz w:val="18"/>
                <w:szCs w:val="18"/>
              </w:rPr>
              <w:t>Total trust profit class amounts</w:t>
            </w:r>
          </w:p>
        </w:tc>
        <w:tc>
          <w:tcPr>
            <w:tcW w:w="443"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41,955</w:t>
            </w:r>
          </w:p>
        </w:tc>
        <w:tc>
          <w:tcPr>
            <w:tcW w:w="57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39,381</w:t>
            </w:r>
          </w:p>
        </w:tc>
        <w:tc>
          <w:tcPr>
            <w:tcW w:w="481" w:type="pct"/>
            <w:gridSpan w:val="2"/>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808</w:t>
            </w:r>
          </w:p>
        </w:tc>
        <w:tc>
          <w:tcPr>
            <w:tcW w:w="539"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rPr>
            </w:pPr>
            <w:r w:rsidRPr="00D455EB">
              <w:rPr>
                <w:rFonts w:cs="Calibri"/>
                <w:b/>
                <w:bCs/>
                <w:sz w:val="18"/>
                <w:szCs w:val="18"/>
              </w:rPr>
              <w:t>1,766</w:t>
            </w:r>
          </w:p>
        </w:tc>
        <w:tc>
          <w:tcPr>
            <w:tcW w:w="452"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lang w:eastAsia="en-US"/>
              </w:rPr>
            </w:pPr>
            <w:r w:rsidRPr="00D455EB">
              <w:rPr>
                <w:rFonts w:cs="Calibri"/>
                <w:b/>
                <w:bCs/>
                <w:sz w:val="18"/>
                <w:szCs w:val="18"/>
              </w:rPr>
              <w:t>13,385</w:t>
            </w:r>
          </w:p>
        </w:tc>
        <w:tc>
          <w:tcPr>
            <w:tcW w:w="659" w:type="pct"/>
            <w:gridSpan w:val="3"/>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12,706</w:t>
            </w:r>
          </w:p>
        </w:tc>
        <w:tc>
          <w:tcPr>
            <w:tcW w:w="52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237</w:t>
            </w:r>
          </w:p>
        </w:tc>
        <w:tc>
          <w:tcPr>
            <w:tcW w:w="53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442</w:t>
            </w:r>
          </w:p>
        </w:tc>
      </w:tr>
      <w:tr w:rsidR="00723BAB" w:rsidRPr="00D455EB" w:rsidTr="00C93AD4">
        <w:trPr>
          <w:trHeight w:val="278"/>
        </w:trPr>
        <w:tc>
          <w:tcPr>
            <w:tcW w:w="788" w:type="pct"/>
            <w:gridSpan w:val="2"/>
            <w:tcBorders>
              <w:top w:val="single" w:sz="4" w:space="0" w:color="auto"/>
              <w:left w:val="single" w:sz="4" w:space="0" w:color="auto"/>
              <w:bottom w:val="single" w:sz="4" w:space="0" w:color="auto"/>
              <w:right w:val="single" w:sz="4" w:space="0" w:color="auto"/>
            </w:tcBorders>
            <w:shd w:val="clear" w:color="auto" w:fill="D2DFEE"/>
            <w:noWrap/>
          </w:tcPr>
          <w:p w:rsidR="00723BAB" w:rsidRPr="00D455EB" w:rsidRDefault="00723BAB" w:rsidP="00675F0B">
            <w:pPr>
              <w:keepNext/>
              <w:spacing w:before="40" w:line="276" w:lineRule="auto"/>
              <w:rPr>
                <w:rFonts w:cs="Calibri"/>
                <w:b/>
                <w:i/>
                <w:sz w:val="18"/>
                <w:szCs w:val="18"/>
                <w:lang w:eastAsia="en-US"/>
              </w:rPr>
            </w:pPr>
            <w:r w:rsidRPr="00D455EB">
              <w:rPr>
                <w:rFonts w:cs="Calibri"/>
                <w:b/>
                <w:i/>
                <w:sz w:val="18"/>
                <w:szCs w:val="18"/>
                <w:lang w:eastAsia="en-US"/>
              </w:rPr>
              <w:t>Entitlement</w:t>
            </w:r>
          </w:p>
        </w:tc>
        <w:tc>
          <w:tcPr>
            <w:tcW w:w="443" w:type="pct"/>
            <w:tcBorders>
              <w:top w:val="single" w:sz="4" w:space="0" w:color="auto"/>
              <w:left w:val="single" w:sz="4" w:space="0" w:color="auto"/>
              <w:bottom w:val="single" w:sz="4" w:space="0" w:color="auto"/>
              <w:right w:val="single" w:sz="4" w:space="0" w:color="auto"/>
            </w:tcBorders>
            <w:shd w:val="clear" w:color="auto" w:fill="D2DFEE"/>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469"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452"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spacing w:line="276" w:lineRule="auto"/>
              <w:jc w:val="right"/>
              <w:rPr>
                <w:rFonts w:cs="Calibri"/>
                <w:sz w:val="18"/>
                <w:szCs w:val="18"/>
                <w:lang w:eastAsia="en-US"/>
              </w:rPr>
            </w:pPr>
          </w:p>
        </w:tc>
        <w:tc>
          <w:tcPr>
            <w:tcW w:w="653" w:type="pct"/>
            <w:gridSpan w:val="2"/>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532" w:type="pct"/>
            <w:gridSpan w:val="2"/>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536"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r w:rsidRPr="00D455EB">
              <w:rPr>
                <w:rFonts w:cs="Calibri"/>
                <w:sz w:val="18"/>
                <w:szCs w:val="18"/>
              </w:rPr>
              <w:t>Mrs Ruby</w:t>
            </w: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18.86%</w:t>
            </w: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100%</w:t>
            </w: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100%</w:t>
            </w:r>
          </w:p>
        </w:tc>
        <w:tc>
          <w:tcPr>
            <w:tcW w:w="452"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spacing w:line="276" w:lineRule="auto"/>
              <w:jc w:val="right"/>
              <w:rPr>
                <w:rFonts w:cs="Calibri"/>
                <w:sz w:val="18"/>
                <w:szCs w:val="18"/>
                <w:lang w:eastAsia="en-US"/>
              </w:rPr>
            </w:pPr>
          </w:p>
        </w:tc>
        <w:tc>
          <w:tcPr>
            <w:tcW w:w="653"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73.36%</w:t>
            </w: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100%</w:t>
            </w: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100%</w:t>
            </w:r>
            <w:r w:rsidRPr="00D455EB">
              <w:rPr>
                <w:rFonts w:cs="Calibri"/>
                <w:sz w:val="18"/>
                <w:szCs w:val="18"/>
              </w:rPr>
              <w:noBreakHyphen/>
            </w: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r w:rsidRPr="00D455EB">
              <w:rPr>
                <w:rFonts w:cs="Calibri"/>
                <w:sz w:val="18"/>
                <w:szCs w:val="18"/>
              </w:rPr>
              <w:t>Silver Australia Pty Ltd</w:t>
            </w: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950989">
            <w:pPr>
              <w:keepNext/>
              <w:spacing w:line="276" w:lineRule="auto"/>
              <w:jc w:val="right"/>
              <w:rPr>
                <w:rFonts w:cs="Calibri"/>
                <w:sz w:val="18"/>
                <w:szCs w:val="18"/>
                <w:lang w:eastAsia="en-US"/>
              </w:rPr>
            </w:pPr>
            <w:r w:rsidRPr="00D455EB">
              <w:rPr>
                <w:rFonts w:cs="Calibri"/>
                <w:sz w:val="18"/>
                <w:szCs w:val="18"/>
              </w:rPr>
              <w:t>81.14%</w:t>
            </w: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0</w:t>
            </w:r>
          </w:p>
        </w:tc>
        <w:tc>
          <w:tcPr>
            <w:tcW w:w="452"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653"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711BD9">
            <w:pPr>
              <w:keepNext/>
              <w:spacing w:line="276" w:lineRule="auto"/>
              <w:jc w:val="right"/>
              <w:rPr>
                <w:rFonts w:cs="Calibri"/>
                <w:sz w:val="18"/>
                <w:szCs w:val="18"/>
                <w:lang w:eastAsia="en-US"/>
              </w:rPr>
            </w:pPr>
            <w:r w:rsidRPr="00D455EB">
              <w:rPr>
                <w:rFonts w:cs="Calibri"/>
                <w:sz w:val="18"/>
                <w:szCs w:val="18"/>
              </w:rPr>
              <w:t>26.64%</w:t>
            </w: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0</w:t>
            </w: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r w:rsidRPr="00D455EB">
              <w:rPr>
                <w:rFonts w:cs="Calibri"/>
                <w:sz w:val="18"/>
                <w:szCs w:val="18"/>
              </w:rPr>
              <w:t>Trustee</w:t>
            </w: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0</w:t>
            </w: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0</w:t>
            </w:r>
          </w:p>
        </w:tc>
        <w:tc>
          <w:tcPr>
            <w:tcW w:w="452"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653"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0</w:t>
            </w: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0</w:t>
            </w: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452"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653"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r>
      <w:tr w:rsidR="00723BAB" w:rsidRPr="00D455EB" w:rsidTr="00C93AD4">
        <w:trPr>
          <w:trHeight w:val="278"/>
        </w:trPr>
        <w:tc>
          <w:tcPr>
            <w:tcW w:w="788" w:type="pct"/>
            <w:gridSpan w:val="2"/>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keepNext/>
              <w:spacing w:line="276" w:lineRule="auto"/>
              <w:rPr>
                <w:rFonts w:cs="Calibri"/>
                <w:sz w:val="18"/>
                <w:szCs w:val="18"/>
              </w:rPr>
            </w:pPr>
            <w:r w:rsidRPr="00D455EB">
              <w:rPr>
                <w:rFonts w:cs="Calibri"/>
                <w:sz w:val="18"/>
                <w:szCs w:val="18"/>
              </w:rPr>
              <w:t>Total net taxable income per class</w:t>
            </w:r>
          </w:p>
        </w:tc>
        <w:tc>
          <w:tcPr>
            <w:tcW w:w="443"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lang w:eastAsia="en-US"/>
              </w:rPr>
              <w:t>18,650</w:t>
            </w:r>
          </w:p>
        </w:tc>
        <w:tc>
          <w:tcPr>
            <w:tcW w:w="57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lang w:eastAsia="en-US"/>
              </w:rPr>
            </w:pPr>
            <w:r w:rsidRPr="00D455EB">
              <w:rPr>
                <w:rFonts w:cs="Calibri"/>
                <w:b/>
                <w:bCs/>
                <w:sz w:val="18"/>
                <w:szCs w:val="18"/>
              </w:rPr>
              <w:t>13,528</w:t>
            </w:r>
          </w:p>
        </w:tc>
        <w:tc>
          <w:tcPr>
            <w:tcW w:w="469"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0</w:t>
            </w:r>
          </w:p>
        </w:tc>
        <w:tc>
          <w:tcPr>
            <w:tcW w:w="551" w:type="pct"/>
            <w:gridSpan w:val="2"/>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lang w:eastAsia="en-US"/>
              </w:rPr>
            </w:pPr>
            <w:r w:rsidRPr="00D455EB">
              <w:rPr>
                <w:rFonts w:cs="Calibri"/>
                <w:b/>
                <w:bCs/>
                <w:sz w:val="18"/>
                <w:szCs w:val="18"/>
                <w:lang w:eastAsia="en-US"/>
              </w:rPr>
              <w:t>5,122</w:t>
            </w:r>
          </w:p>
        </w:tc>
        <w:tc>
          <w:tcPr>
            <w:tcW w:w="452"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lang w:eastAsia="en-US"/>
              </w:rPr>
            </w:pPr>
            <w:r w:rsidRPr="00D455EB">
              <w:rPr>
                <w:rFonts w:cs="Calibri"/>
                <w:b/>
                <w:bCs/>
                <w:sz w:val="18"/>
                <w:szCs w:val="18"/>
                <w:lang w:eastAsia="en-US"/>
              </w:rPr>
              <w:t>50,650</w:t>
            </w:r>
          </w:p>
        </w:tc>
        <w:tc>
          <w:tcPr>
            <w:tcW w:w="653" w:type="pct"/>
            <w:gridSpan w:val="2"/>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43,956</w:t>
            </w:r>
          </w:p>
        </w:tc>
        <w:tc>
          <w:tcPr>
            <w:tcW w:w="532" w:type="pct"/>
            <w:gridSpan w:val="2"/>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751</w:t>
            </w:r>
          </w:p>
        </w:tc>
        <w:tc>
          <w:tcPr>
            <w:tcW w:w="53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5,943</w:t>
            </w:r>
          </w:p>
        </w:tc>
      </w:tr>
      <w:tr w:rsidR="00723BAB" w:rsidRPr="00D455EB" w:rsidTr="00C93AD4">
        <w:trPr>
          <w:trHeight w:val="278"/>
        </w:trPr>
        <w:tc>
          <w:tcPr>
            <w:tcW w:w="788" w:type="pct"/>
            <w:gridSpan w:val="2"/>
            <w:tcBorders>
              <w:top w:val="single" w:sz="4" w:space="0" w:color="auto"/>
              <w:left w:val="single" w:sz="4" w:space="0" w:color="auto"/>
              <w:bottom w:val="single" w:sz="4" w:space="0" w:color="auto"/>
              <w:right w:val="single" w:sz="4" w:space="0" w:color="auto"/>
            </w:tcBorders>
            <w:shd w:val="clear" w:color="auto" w:fill="D2DFEE"/>
            <w:noWrap/>
          </w:tcPr>
          <w:p w:rsidR="00723BAB" w:rsidRPr="00D455EB" w:rsidRDefault="00723BAB" w:rsidP="00675F0B">
            <w:pPr>
              <w:keepNext/>
              <w:spacing w:before="40" w:line="276" w:lineRule="auto"/>
              <w:rPr>
                <w:rFonts w:cs="Calibri"/>
                <w:b/>
                <w:i/>
                <w:sz w:val="18"/>
                <w:szCs w:val="18"/>
                <w:lang w:eastAsia="en-US"/>
              </w:rPr>
            </w:pPr>
            <w:r w:rsidRPr="00D455EB">
              <w:rPr>
                <w:rFonts w:cs="Calibri"/>
                <w:b/>
                <w:i/>
                <w:sz w:val="18"/>
                <w:szCs w:val="18"/>
                <w:lang w:eastAsia="en-US"/>
              </w:rPr>
              <w:t>Assessment</w:t>
            </w:r>
          </w:p>
        </w:tc>
        <w:tc>
          <w:tcPr>
            <w:tcW w:w="443" w:type="pct"/>
            <w:tcBorders>
              <w:top w:val="single" w:sz="4" w:space="0" w:color="auto"/>
              <w:left w:val="single" w:sz="4" w:space="0" w:color="auto"/>
              <w:bottom w:val="single" w:sz="4" w:space="0" w:color="auto"/>
              <w:right w:val="single" w:sz="4" w:space="0" w:color="auto"/>
            </w:tcBorders>
            <w:shd w:val="clear" w:color="auto" w:fill="D2DFEE"/>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469"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551" w:type="pct"/>
            <w:gridSpan w:val="2"/>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spacing w:line="276" w:lineRule="auto"/>
              <w:jc w:val="right"/>
              <w:rPr>
                <w:rFonts w:cs="Calibri"/>
                <w:sz w:val="18"/>
                <w:szCs w:val="18"/>
                <w:lang w:eastAsia="en-US"/>
              </w:rPr>
            </w:pPr>
          </w:p>
        </w:tc>
        <w:tc>
          <w:tcPr>
            <w:tcW w:w="595"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532" w:type="pct"/>
            <w:gridSpan w:val="2"/>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c>
          <w:tcPr>
            <w:tcW w:w="536" w:type="pct"/>
            <w:tcBorders>
              <w:top w:val="single" w:sz="4" w:space="0" w:color="auto"/>
              <w:left w:val="single" w:sz="4" w:space="0" w:color="auto"/>
              <w:bottom w:val="single" w:sz="4" w:space="0" w:color="auto"/>
              <w:right w:val="single" w:sz="4" w:space="0" w:color="auto"/>
            </w:tcBorders>
            <w:shd w:val="clear" w:color="auto" w:fill="D2DFEE"/>
          </w:tcPr>
          <w:p w:rsidR="00723BAB" w:rsidRPr="00D455EB" w:rsidRDefault="00723BAB" w:rsidP="00C93AD4">
            <w:pPr>
              <w:keepNext/>
              <w:spacing w:line="276" w:lineRule="auto"/>
              <w:jc w:val="right"/>
              <w:rPr>
                <w:rFonts w:cs="Calibri"/>
                <w:sz w:val="18"/>
                <w:szCs w:val="18"/>
                <w:lang w:eastAsia="en-US"/>
              </w:rPr>
            </w:pP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r w:rsidRPr="00D455EB">
              <w:rPr>
                <w:rFonts w:cs="Calibri"/>
                <w:sz w:val="18"/>
                <w:szCs w:val="18"/>
              </w:rPr>
              <w:t>Mrs Ruby</w:t>
            </w: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r w:rsidRPr="00D455EB">
              <w:rPr>
                <w:rFonts w:cs="Calibri"/>
                <w:sz w:val="18"/>
                <w:szCs w:val="18"/>
                <w:lang w:eastAsia="en-US"/>
              </w:rPr>
              <w:t>0</w:t>
            </w: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2,551</w:t>
            </w: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b/>
                <w:bCs/>
                <w:sz w:val="18"/>
                <w:szCs w:val="18"/>
                <w:lang w:eastAsia="en-US"/>
              </w:rPr>
              <w:t>5,122</w:t>
            </w:r>
          </w:p>
        </w:tc>
        <w:tc>
          <w:tcPr>
            <w:tcW w:w="510"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spacing w:line="276" w:lineRule="auto"/>
              <w:jc w:val="right"/>
              <w:rPr>
                <w:rFonts w:cs="Calibri"/>
                <w:sz w:val="18"/>
                <w:szCs w:val="18"/>
                <w:lang w:eastAsia="en-US"/>
              </w:rPr>
            </w:pPr>
          </w:p>
        </w:tc>
        <w:tc>
          <w:tcPr>
            <w:tcW w:w="595"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32,246</w:t>
            </w: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b/>
                <w:bCs/>
                <w:sz w:val="18"/>
                <w:szCs w:val="18"/>
              </w:rPr>
              <w:t>751</w:t>
            </w: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b/>
                <w:bCs/>
                <w:sz w:val="18"/>
                <w:szCs w:val="18"/>
              </w:rPr>
              <w:t>5,943</w:t>
            </w: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r w:rsidRPr="00D455EB">
              <w:rPr>
                <w:rFonts w:cs="Calibri"/>
                <w:sz w:val="18"/>
                <w:szCs w:val="18"/>
              </w:rPr>
              <w:t>Silver Australia Pty Ltd</w:t>
            </w: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r w:rsidRPr="00D455EB">
              <w:rPr>
                <w:rFonts w:cs="Calibri"/>
                <w:sz w:val="18"/>
                <w:szCs w:val="18"/>
                <w:lang w:eastAsia="en-US"/>
              </w:rPr>
              <w:t>0</w:t>
            </w: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b/>
                <w:bCs/>
                <w:sz w:val="18"/>
                <w:szCs w:val="18"/>
              </w:rPr>
              <w:t>10,977</w:t>
            </w: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0</w:t>
            </w:r>
          </w:p>
        </w:tc>
        <w:tc>
          <w:tcPr>
            <w:tcW w:w="510"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95"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rPr>
              <w:t>11,710</w:t>
            </w: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0</w:t>
            </w: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r w:rsidRPr="00D455EB">
              <w:rPr>
                <w:rFonts w:cs="Calibri"/>
                <w:sz w:val="18"/>
                <w:szCs w:val="18"/>
              </w:rPr>
              <w:t>Trustee</w:t>
            </w: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r w:rsidRPr="00D455EB">
              <w:rPr>
                <w:rFonts w:cs="Calibri"/>
                <w:sz w:val="18"/>
                <w:szCs w:val="18"/>
                <w:lang w:eastAsia="en-US"/>
              </w:rPr>
              <w:t>0</w:t>
            </w: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0</w:t>
            </w: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rPr>
            </w:pPr>
            <w:r w:rsidRPr="00D455EB">
              <w:rPr>
                <w:rFonts w:cs="Calibri"/>
                <w:sz w:val="18"/>
                <w:szCs w:val="18"/>
              </w:rPr>
              <w:t>0</w:t>
            </w: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0</w:t>
            </w:r>
          </w:p>
        </w:tc>
        <w:tc>
          <w:tcPr>
            <w:tcW w:w="510"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95"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0</w:t>
            </w: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0</w:t>
            </w: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r w:rsidRPr="00D455EB">
              <w:rPr>
                <w:rFonts w:cs="Calibri"/>
                <w:sz w:val="18"/>
                <w:szCs w:val="18"/>
                <w:lang w:eastAsia="en-US"/>
              </w:rPr>
              <w:t>0</w:t>
            </w:r>
          </w:p>
        </w:tc>
      </w:tr>
      <w:tr w:rsidR="00723BAB" w:rsidRPr="00D455EB" w:rsidTr="00C93AD4">
        <w:trPr>
          <w:trHeight w:val="278"/>
        </w:trPr>
        <w:tc>
          <w:tcPr>
            <w:tcW w:w="131"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rPr>
            </w:pPr>
          </w:p>
        </w:tc>
        <w:tc>
          <w:tcPr>
            <w:tcW w:w="657" w:type="pct"/>
            <w:tcBorders>
              <w:top w:val="single" w:sz="4" w:space="0" w:color="auto"/>
              <w:left w:val="single" w:sz="4" w:space="0" w:color="auto"/>
              <w:bottom w:val="single" w:sz="4" w:space="0" w:color="auto"/>
              <w:right w:val="single" w:sz="4" w:space="0" w:color="auto"/>
            </w:tcBorders>
            <w:noWrap/>
          </w:tcPr>
          <w:p w:rsidR="00723BAB" w:rsidRPr="00D455EB" w:rsidRDefault="00723BAB" w:rsidP="00675F0B">
            <w:pPr>
              <w:keepNext/>
              <w:spacing w:line="276" w:lineRule="auto"/>
              <w:rPr>
                <w:rFonts w:cs="Calibri"/>
                <w:sz w:val="18"/>
                <w:szCs w:val="18"/>
                <w:lang w:eastAsia="en-US"/>
              </w:rPr>
            </w:pPr>
          </w:p>
        </w:tc>
        <w:tc>
          <w:tcPr>
            <w:tcW w:w="443" w:type="pct"/>
            <w:tcBorders>
              <w:top w:val="single" w:sz="4" w:space="0" w:color="auto"/>
              <w:left w:val="single" w:sz="4" w:space="0" w:color="auto"/>
              <w:bottom w:val="single" w:sz="4" w:space="0" w:color="auto"/>
              <w:right w:val="single" w:sz="4" w:space="0" w:color="auto"/>
            </w:tcBorders>
            <w:noWrap/>
          </w:tcPr>
          <w:p w:rsidR="00723BAB" w:rsidRPr="00D455EB" w:rsidRDefault="00723BAB" w:rsidP="00C93AD4">
            <w:pPr>
              <w:spacing w:line="276" w:lineRule="auto"/>
              <w:jc w:val="right"/>
              <w:rPr>
                <w:rFonts w:cs="Calibri"/>
                <w:sz w:val="18"/>
                <w:szCs w:val="18"/>
                <w:lang w:eastAsia="en-US"/>
              </w:rPr>
            </w:pPr>
          </w:p>
        </w:tc>
        <w:tc>
          <w:tcPr>
            <w:tcW w:w="57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469"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51"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10"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95"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32" w:type="pct"/>
            <w:gridSpan w:val="2"/>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c>
          <w:tcPr>
            <w:tcW w:w="536" w:type="pct"/>
            <w:tcBorders>
              <w:top w:val="single" w:sz="4" w:space="0" w:color="auto"/>
              <w:left w:val="single" w:sz="4" w:space="0" w:color="auto"/>
              <w:bottom w:val="single" w:sz="4" w:space="0" w:color="auto"/>
              <w:right w:val="single" w:sz="4" w:space="0" w:color="auto"/>
            </w:tcBorders>
          </w:tcPr>
          <w:p w:rsidR="00723BAB" w:rsidRPr="00D455EB" w:rsidRDefault="00723BAB" w:rsidP="00C93AD4">
            <w:pPr>
              <w:keepNext/>
              <w:spacing w:line="276" w:lineRule="auto"/>
              <w:jc w:val="right"/>
              <w:rPr>
                <w:rFonts w:cs="Calibri"/>
                <w:sz w:val="18"/>
                <w:szCs w:val="18"/>
                <w:lang w:eastAsia="en-US"/>
              </w:rPr>
            </w:pPr>
          </w:p>
        </w:tc>
      </w:tr>
      <w:tr w:rsidR="00723BAB" w:rsidRPr="00D455EB" w:rsidTr="00C93AD4">
        <w:trPr>
          <w:trHeight w:val="278"/>
        </w:trPr>
        <w:tc>
          <w:tcPr>
            <w:tcW w:w="788" w:type="pct"/>
            <w:gridSpan w:val="2"/>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675F0B">
            <w:pPr>
              <w:keepNext/>
              <w:spacing w:line="276" w:lineRule="auto"/>
              <w:rPr>
                <w:rFonts w:cs="Calibri"/>
                <w:sz w:val="18"/>
                <w:szCs w:val="18"/>
              </w:rPr>
            </w:pPr>
            <w:r w:rsidRPr="00D455EB">
              <w:rPr>
                <w:rFonts w:cs="Calibri"/>
                <w:sz w:val="18"/>
                <w:szCs w:val="18"/>
              </w:rPr>
              <w:t>Total</w:t>
            </w:r>
          </w:p>
        </w:tc>
        <w:tc>
          <w:tcPr>
            <w:tcW w:w="443" w:type="pct"/>
            <w:tcBorders>
              <w:top w:val="single" w:sz="4" w:space="0" w:color="auto"/>
              <w:left w:val="single" w:sz="4" w:space="0" w:color="auto"/>
              <w:bottom w:val="single" w:sz="4" w:space="0" w:color="auto"/>
              <w:right w:val="single" w:sz="4" w:space="0" w:color="auto"/>
            </w:tcBorders>
            <w:shd w:val="clear" w:color="auto" w:fill="4F81BD"/>
            <w:noWrap/>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18,650</w:t>
            </w:r>
          </w:p>
        </w:tc>
        <w:tc>
          <w:tcPr>
            <w:tcW w:w="57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lang w:eastAsia="en-US"/>
              </w:rPr>
            </w:pPr>
            <w:r w:rsidRPr="00D455EB">
              <w:rPr>
                <w:rFonts w:cs="Calibri"/>
                <w:b/>
                <w:bCs/>
                <w:sz w:val="18"/>
                <w:szCs w:val="18"/>
              </w:rPr>
              <w:t>13,528</w:t>
            </w:r>
          </w:p>
        </w:tc>
        <w:tc>
          <w:tcPr>
            <w:tcW w:w="481" w:type="pct"/>
            <w:gridSpan w:val="2"/>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0</w:t>
            </w:r>
          </w:p>
        </w:tc>
        <w:tc>
          <w:tcPr>
            <w:tcW w:w="539"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rPr>
            </w:pPr>
            <w:r w:rsidRPr="00D455EB">
              <w:rPr>
                <w:rFonts w:cs="Calibri"/>
                <w:b/>
                <w:bCs/>
                <w:sz w:val="18"/>
                <w:szCs w:val="18"/>
                <w:lang w:eastAsia="en-US"/>
              </w:rPr>
              <w:t>5,122</w:t>
            </w:r>
          </w:p>
        </w:tc>
        <w:tc>
          <w:tcPr>
            <w:tcW w:w="452"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spacing w:line="276" w:lineRule="auto"/>
              <w:jc w:val="right"/>
              <w:rPr>
                <w:rFonts w:cs="Calibri"/>
                <w:b/>
                <w:bCs/>
                <w:sz w:val="18"/>
                <w:szCs w:val="18"/>
                <w:lang w:eastAsia="en-US"/>
              </w:rPr>
            </w:pPr>
            <w:r w:rsidRPr="00D455EB">
              <w:rPr>
                <w:rFonts w:cs="Calibri"/>
                <w:b/>
                <w:bCs/>
                <w:sz w:val="18"/>
                <w:szCs w:val="18"/>
                <w:lang w:eastAsia="en-US"/>
              </w:rPr>
              <w:t>50,650</w:t>
            </w:r>
          </w:p>
        </w:tc>
        <w:tc>
          <w:tcPr>
            <w:tcW w:w="659" w:type="pct"/>
            <w:gridSpan w:val="3"/>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711BD9">
            <w:pPr>
              <w:keepNext/>
              <w:spacing w:line="276" w:lineRule="auto"/>
              <w:jc w:val="right"/>
              <w:rPr>
                <w:rFonts w:cs="Calibri"/>
                <w:b/>
                <w:bCs/>
                <w:sz w:val="18"/>
                <w:szCs w:val="18"/>
                <w:lang w:eastAsia="en-US"/>
              </w:rPr>
            </w:pPr>
            <w:r w:rsidRPr="00D455EB">
              <w:rPr>
                <w:rFonts w:cs="Calibri"/>
                <w:b/>
                <w:bCs/>
                <w:sz w:val="18"/>
                <w:szCs w:val="18"/>
              </w:rPr>
              <w:t>43,956</w:t>
            </w:r>
          </w:p>
        </w:tc>
        <w:tc>
          <w:tcPr>
            <w:tcW w:w="52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lang w:eastAsia="en-US"/>
              </w:rPr>
            </w:pPr>
            <w:r w:rsidRPr="00D455EB">
              <w:rPr>
                <w:rFonts w:cs="Calibri"/>
                <w:b/>
                <w:bCs/>
                <w:sz w:val="18"/>
                <w:szCs w:val="18"/>
              </w:rPr>
              <w:t>751</w:t>
            </w:r>
          </w:p>
        </w:tc>
        <w:tc>
          <w:tcPr>
            <w:tcW w:w="536" w:type="pct"/>
            <w:tcBorders>
              <w:top w:val="single" w:sz="4" w:space="0" w:color="auto"/>
              <w:left w:val="single" w:sz="4" w:space="0" w:color="auto"/>
              <w:bottom w:val="single" w:sz="4" w:space="0" w:color="auto"/>
              <w:right w:val="single" w:sz="4" w:space="0" w:color="auto"/>
            </w:tcBorders>
            <w:shd w:val="clear" w:color="auto" w:fill="4F81BD"/>
          </w:tcPr>
          <w:p w:rsidR="00723BAB" w:rsidRPr="00D455EB" w:rsidRDefault="00723BAB" w:rsidP="00C93AD4">
            <w:pPr>
              <w:keepNext/>
              <w:spacing w:line="276" w:lineRule="auto"/>
              <w:jc w:val="right"/>
              <w:rPr>
                <w:rFonts w:cs="Calibri"/>
                <w:b/>
                <w:bCs/>
                <w:sz w:val="18"/>
                <w:szCs w:val="18"/>
              </w:rPr>
            </w:pPr>
            <w:r w:rsidRPr="00D455EB">
              <w:rPr>
                <w:rFonts w:cs="Calibri"/>
                <w:b/>
                <w:bCs/>
                <w:sz w:val="18"/>
                <w:szCs w:val="18"/>
              </w:rPr>
              <w:t>5,943</w:t>
            </w:r>
          </w:p>
        </w:tc>
      </w:tr>
    </w:tbl>
    <w:p w:rsidR="00723BAB" w:rsidRDefault="00723BAB" w:rsidP="00675F0B">
      <w:pPr>
        <w:pStyle w:val="Heading4"/>
        <w:spacing w:before="0"/>
      </w:pPr>
    </w:p>
    <w:p w:rsidR="00723BAB" w:rsidRDefault="00723BAB" w:rsidP="00675F0B">
      <w:pPr>
        <w:pStyle w:val="Heading4"/>
        <w:spacing w:before="0"/>
      </w:pPr>
      <w:r>
        <w:t xml:space="preserve">8. </w:t>
      </w:r>
      <w:r w:rsidRPr="00847383">
        <w:t>The trustee is assessed on the remaining taxable income.</w:t>
      </w:r>
    </w:p>
    <w:p w:rsidR="00723BAB" w:rsidRDefault="00723BAB" w:rsidP="00675F0B">
      <w:r>
        <w:t>The remaining taxable income is $0.</w:t>
      </w:r>
    </w:p>
    <w:p w:rsidR="00723BAB" w:rsidRDefault="00723BAB">
      <w:pPr>
        <w:spacing w:after="0" w:line="240" w:lineRule="auto"/>
        <w:rPr>
          <w:rFonts w:ascii="Cambria" w:hAnsi="Cambria" w:cs="Arial"/>
          <w:bCs/>
          <w:color w:val="4F81BD"/>
          <w:sz w:val="26"/>
          <w:szCs w:val="26"/>
        </w:rPr>
      </w:pPr>
      <w:r>
        <w:br w:type="page"/>
      </w:r>
    </w:p>
    <w:p w:rsidR="00723BAB" w:rsidRPr="00847383" w:rsidRDefault="00723BAB" w:rsidP="00675F0B">
      <w:pPr>
        <w:pStyle w:val="Heading3"/>
      </w:pPr>
      <w:r>
        <w:t>Applying the current law</w:t>
      </w:r>
    </w:p>
    <w:p w:rsidR="00723BAB" w:rsidRPr="007C5007" w:rsidRDefault="00723BAB" w:rsidP="00675F0B">
      <w:r w:rsidRPr="007C5007">
        <w:t xml:space="preserve">Under the current law, a beneficiary who is presently entitled to a share of the income of the trust estate is assessed on that same share of the trust’s taxable income. </w:t>
      </w:r>
      <w:r>
        <w:t>F</w:t>
      </w:r>
      <w:r w:rsidRPr="007C5007">
        <w:t>ranked distributions and capital gains may be streamed to particular beneficiaries by making them specifically entitled to those amounts.</w:t>
      </w:r>
      <w:r>
        <w:rPr>
          <w:rStyle w:val="FootnoteReference"/>
        </w:rPr>
        <w:footnoteReference w:id="37"/>
      </w:r>
    </w:p>
    <w:p w:rsidR="00723BAB" w:rsidRPr="003871DC" w:rsidRDefault="00723BAB" w:rsidP="00675F0B">
      <w:pPr>
        <w:rPr>
          <w:szCs w:val="22"/>
        </w:rPr>
      </w:pPr>
      <w:r>
        <w:t>F</w:t>
      </w:r>
      <w:r w:rsidRPr="007C5007">
        <w:t>or these purposes</w:t>
      </w:r>
      <w:r>
        <w:t>,</w:t>
      </w:r>
      <w:r w:rsidRPr="007C5007">
        <w:t xml:space="preserve"> on 30 June in </w:t>
      </w:r>
      <w:r>
        <w:t xml:space="preserve">both </w:t>
      </w:r>
      <w:r w:rsidRPr="007C5007">
        <w:t>of the income years the trustee resolve</w:t>
      </w:r>
      <w:r>
        <w:t>s</w:t>
      </w:r>
      <w:r w:rsidRPr="007C5007">
        <w:t xml:space="preserve"> to distribute the trust</w:t>
      </w:r>
      <w:r>
        <w:t>’s</w:t>
      </w:r>
      <w:r w:rsidRPr="007C5007">
        <w:t xml:space="preserve"> </w:t>
      </w:r>
      <w:r w:rsidRPr="003871DC">
        <w:rPr>
          <w:szCs w:val="22"/>
        </w:rPr>
        <w:t>income as follows:</w:t>
      </w:r>
    </w:p>
    <w:p w:rsidR="00723BAB" w:rsidRPr="003871DC" w:rsidRDefault="00723BAB" w:rsidP="00675F0B">
      <w:pPr>
        <w:pStyle w:val="Bullet"/>
        <w:rPr>
          <w:sz w:val="22"/>
          <w:szCs w:val="22"/>
        </w:rPr>
      </w:pPr>
      <w:r w:rsidRPr="003871DC">
        <w:rPr>
          <w:sz w:val="22"/>
          <w:szCs w:val="22"/>
        </w:rPr>
        <w:t>$10,000 to Mrs Ruby (comprising franked dividends, to the extent possible);</w:t>
      </w:r>
    </w:p>
    <w:p w:rsidR="00723BAB" w:rsidRPr="003871DC" w:rsidRDefault="00723BAB" w:rsidP="00675F0B">
      <w:pPr>
        <w:pStyle w:val="Bullet"/>
        <w:rPr>
          <w:sz w:val="22"/>
          <w:szCs w:val="22"/>
        </w:rPr>
      </w:pPr>
      <w:r w:rsidRPr="003871DC">
        <w:rPr>
          <w:sz w:val="22"/>
          <w:szCs w:val="22"/>
        </w:rPr>
        <w:t>the balance to Red Australia Pty Ltd.</w:t>
      </w:r>
    </w:p>
    <w:p w:rsidR="00723BAB" w:rsidRPr="00847383" w:rsidRDefault="00723BAB" w:rsidP="00675F0B">
      <w:pPr>
        <w:pStyle w:val="Heading4"/>
      </w:pPr>
      <w:r w:rsidRPr="00847383">
        <w:t>The trustee has kept appropriate accounts and records s</w:t>
      </w:r>
      <w:r>
        <w:t>o</w:t>
      </w:r>
      <w:r w:rsidRPr="00847383">
        <w:t xml:space="preserve"> Mrs R</w:t>
      </w:r>
      <w:r>
        <w:t>uby is</w:t>
      </w:r>
      <w:r w:rsidRPr="00847383">
        <w:t xml:space="preserve"> specifically entitled to franked dividends.</w:t>
      </w:r>
    </w:p>
    <w:p w:rsidR="00723BAB" w:rsidRDefault="00723BAB" w:rsidP="00675F0B">
      <w:pPr>
        <w:pStyle w:val="Heading4"/>
      </w:pPr>
      <w:r>
        <w:t>1. Calculate the taxable income (unmodified by Division 6E)</w:t>
      </w:r>
    </w:p>
    <w:p w:rsidR="00723BAB" w:rsidRPr="00E71358" w:rsidRDefault="00723BAB" w:rsidP="00E71358">
      <w:pPr>
        <w:pStyle w:val="Heading5"/>
      </w:pPr>
      <w:r>
        <w:t>20X1</w:t>
      </w:r>
    </w:p>
    <w:p w:rsidR="00723BAB" w:rsidRDefault="00723BAB" w:rsidP="00675F0B">
      <w:r>
        <w:t xml:space="preserve">As shown above in Table 2, the </w:t>
      </w:r>
      <w:r w:rsidRPr="00847383">
        <w:t>taxable income of the Colour Trust is</w:t>
      </w:r>
      <w:r w:rsidRPr="00354B36">
        <w:t xml:space="preserve"> </w:t>
      </w:r>
      <w:r>
        <w:t>$18,650.</w:t>
      </w:r>
    </w:p>
    <w:p w:rsidR="00723BAB" w:rsidRDefault="00723BAB" w:rsidP="00E71358">
      <w:pPr>
        <w:pStyle w:val="Heading5"/>
      </w:pPr>
      <w:r>
        <w:t>20X2</w:t>
      </w:r>
    </w:p>
    <w:p w:rsidR="00723BAB" w:rsidRPr="00E71358" w:rsidRDefault="00723BAB" w:rsidP="00E71358">
      <w:r>
        <w:t xml:space="preserve">As shown above in Table 2, the </w:t>
      </w:r>
      <w:r w:rsidRPr="00847383">
        <w:t>taxable income of the Colour Trust is</w:t>
      </w:r>
      <w:r w:rsidRPr="00354B36">
        <w:t xml:space="preserve"> </w:t>
      </w:r>
      <w:r>
        <w:t>$50,650.</w:t>
      </w:r>
    </w:p>
    <w:p w:rsidR="00723BAB" w:rsidRPr="00847383" w:rsidRDefault="00723BAB" w:rsidP="00675F0B">
      <w:pPr>
        <w:pStyle w:val="Heading4"/>
      </w:pPr>
      <w:r w:rsidRPr="00847383">
        <w:t>2. Calculate the income of the trust estate (unmodified by Division 6E)</w:t>
      </w:r>
    </w:p>
    <w:p w:rsidR="00723BAB" w:rsidRPr="00847383" w:rsidRDefault="00723BAB" w:rsidP="00675F0B">
      <w:r w:rsidRPr="00847383">
        <w:t>This is the income of the trust to which beneficiaries may be made presently entitled, generally referred to as the trust</w:t>
      </w:r>
      <w:r w:rsidRPr="007C5007">
        <w:t>’</w:t>
      </w:r>
      <w:r w:rsidRPr="00847383">
        <w:t>s distributable income.</w:t>
      </w:r>
    </w:p>
    <w:p w:rsidR="00723BAB" w:rsidRPr="00847383" w:rsidRDefault="00723BAB" w:rsidP="00675F0B">
      <w:r w:rsidRPr="00847383">
        <w:t xml:space="preserve">The determination of the income of a trust is grounded in trust law and </w:t>
      </w:r>
      <w:r>
        <w:t>focuses on</w:t>
      </w:r>
      <w:r w:rsidRPr="00847383">
        <w:t xml:space="preserve"> the receipts and outgoings of the trust for the income year. The reference to trust law in this context encompasses various</w:t>
      </w:r>
      <w:r>
        <w:t xml:space="preserve"> elements</w:t>
      </w:r>
      <w:r w:rsidRPr="00847383">
        <w:t xml:space="preserve">, including the general law, statutory law, trust accounting principles, the trust deed, </w:t>
      </w:r>
      <w:r>
        <w:t xml:space="preserve">and </w:t>
      </w:r>
      <w:r w:rsidRPr="00847383">
        <w:t>the actions taken by the trustee in accordance with the deed and the settlor</w:t>
      </w:r>
      <w:r w:rsidRPr="007C5007">
        <w:t>’</w:t>
      </w:r>
      <w:r w:rsidRPr="00847383">
        <w:t>s intention.</w:t>
      </w:r>
      <w:r>
        <w:rPr>
          <w:rStyle w:val="FootnoteReference"/>
        </w:rPr>
        <w:footnoteReference w:id="38"/>
      </w:r>
    </w:p>
    <w:p w:rsidR="00723BAB" w:rsidRPr="00847383" w:rsidRDefault="00723BAB" w:rsidP="00675F0B">
      <w:r>
        <w:t>It</w:t>
      </w:r>
      <w:r w:rsidRPr="00847383">
        <w:t xml:space="preserve"> has been assumed for the purpose of this example that its distributable income is equal to its accounting profit, given that the trust deed does not define income or distributable income. In other words, it has been accepted that accounts prepared on an accruals basis reflect the trust</w:t>
      </w:r>
      <w:r w:rsidRPr="007C5007">
        <w:t>’</w:t>
      </w:r>
      <w:r w:rsidRPr="00847383">
        <w:t>s distributable income for the relevant years. This means, for example, that interest accrued but not yet received is included in distributable income; and distributable income is reduced by accounting (rather than tax) depreciation and the non</w:t>
      </w:r>
      <w:r>
        <w:noBreakHyphen/>
      </w:r>
      <w:r w:rsidRPr="00847383">
        <w:t>deductible legal expenses.</w:t>
      </w:r>
    </w:p>
    <w:p w:rsidR="00723BAB" w:rsidRDefault="00723BAB" w:rsidP="00675F0B">
      <w:r>
        <w:br w:type="page"/>
      </w:r>
      <w:r w:rsidRPr="00847383">
        <w:t xml:space="preserve">The income of the Colour Trust estate is </w:t>
      </w:r>
      <w:r>
        <w:t xml:space="preserve">(as in </w:t>
      </w:r>
      <w:r w:rsidRPr="00B030DB">
        <w:t>Table 1</w:t>
      </w:r>
      <w:r>
        <w:t xml:space="preserve"> above) </w:t>
      </w:r>
      <w:r w:rsidRPr="00847383">
        <w:t>therefore:</w:t>
      </w:r>
    </w:p>
    <w:p w:rsidR="00723BAB" w:rsidRDefault="00723BAB" w:rsidP="00B030DB">
      <w:pPr>
        <w:pStyle w:val="Heading5"/>
      </w:pPr>
      <w:r>
        <w:t>20X1</w:t>
      </w:r>
    </w:p>
    <w:p w:rsidR="00723BAB" w:rsidRDefault="00723BAB" w:rsidP="00B030DB">
      <w:r>
        <w:t>$41,955</w:t>
      </w:r>
    </w:p>
    <w:p w:rsidR="00723BAB" w:rsidRDefault="00723BAB" w:rsidP="00B030DB">
      <w:pPr>
        <w:pStyle w:val="Heading5"/>
      </w:pPr>
      <w:r>
        <w:t>20X2</w:t>
      </w:r>
    </w:p>
    <w:p w:rsidR="00723BAB" w:rsidRPr="00B030DB" w:rsidRDefault="00723BAB" w:rsidP="00B030DB">
      <w:r>
        <w:t>$13,385</w:t>
      </w:r>
    </w:p>
    <w:p w:rsidR="00723BAB" w:rsidRPr="00847383" w:rsidRDefault="00723BAB" w:rsidP="00675F0B">
      <w:pPr>
        <w:spacing w:before="240"/>
      </w:pPr>
      <w:r w:rsidRPr="00847383">
        <w:t>These are the amounts that would need to be distributed to beneficiaries in order to avoid a trustee assessment. This compares with the amounts distributed</w:t>
      </w:r>
      <w:r>
        <w:t>, allocated, or to which beneficiaries are presently entitled</w:t>
      </w:r>
      <w:r w:rsidRPr="00847383">
        <w:t xml:space="preserve"> under the EBM and PAM as follows:</w:t>
      </w:r>
    </w:p>
    <w:p w:rsidR="00723BAB" w:rsidRPr="00847383" w:rsidRDefault="00723BAB" w:rsidP="000B7A87">
      <w:pPr>
        <w:pStyle w:val="Heading6"/>
      </w:pPr>
      <w:r>
        <w:t>Table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310"/>
        <w:gridCol w:w="2310"/>
        <w:gridCol w:w="2310"/>
      </w:tblGrid>
      <w:tr w:rsidR="00723BAB" w:rsidRPr="00D455EB" w:rsidTr="00D455EB">
        <w:tc>
          <w:tcPr>
            <w:tcW w:w="1382" w:type="pct"/>
            <w:shd w:val="clear" w:color="auto" w:fill="D2DFEE"/>
          </w:tcPr>
          <w:p w:rsidR="00723BAB" w:rsidRPr="00D455EB" w:rsidRDefault="00723BAB" w:rsidP="00D455EB">
            <w:pPr>
              <w:jc w:val="both"/>
              <w:rPr>
                <w:b/>
              </w:rPr>
            </w:pPr>
          </w:p>
        </w:tc>
        <w:tc>
          <w:tcPr>
            <w:tcW w:w="1206" w:type="pct"/>
            <w:shd w:val="clear" w:color="auto" w:fill="D2DFEE"/>
          </w:tcPr>
          <w:p w:rsidR="00723BAB" w:rsidRPr="00D455EB" w:rsidRDefault="00723BAB" w:rsidP="00D455EB">
            <w:pPr>
              <w:jc w:val="right"/>
              <w:rPr>
                <w:b/>
              </w:rPr>
            </w:pPr>
            <w:r w:rsidRPr="00D455EB">
              <w:rPr>
                <w:b/>
              </w:rPr>
              <w:t>20X1</w:t>
            </w:r>
          </w:p>
        </w:tc>
        <w:tc>
          <w:tcPr>
            <w:tcW w:w="1206" w:type="pct"/>
            <w:shd w:val="clear" w:color="auto" w:fill="D2DFEE"/>
          </w:tcPr>
          <w:p w:rsidR="00723BAB" w:rsidRPr="00D455EB" w:rsidRDefault="00723BAB" w:rsidP="00D455EB">
            <w:pPr>
              <w:jc w:val="right"/>
              <w:rPr>
                <w:b/>
              </w:rPr>
            </w:pPr>
            <w:r w:rsidRPr="00D455EB">
              <w:rPr>
                <w:b/>
              </w:rPr>
              <w:t>20X2</w:t>
            </w:r>
          </w:p>
        </w:tc>
        <w:tc>
          <w:tcPr>
            <w:tcW w:w="1206" w:type="pct"/>
            <w:shd w:val="clear" w:color="auto" w:fill="D2DFEE"/>
          </w:tcPr>
          <w:p w:rsidR="00723BAB" w:rsidRPr="00D455EB" w:rsidRDefault="00723BAB" w:rsidP="00D455EB">
            <w:pPr>
              <w:jc w:val="right"/>
              <w:rPr>
                <w:b/>
              </w:rPr>
            </w:pPr>
            <w:r w:rsidRPr="00D455EB">
              <w:rPr>
                <w:b/>
              </w:rPr>
              <w:t>Total</w:t>
            </w:r>
          </w:p>
        </w:tc>
      </w:tr>
      <w:tr w:rsidR="00723BAB" w:rsidRPr="00D455EB" w:rsidTr="00D455EB">
        <w:tc>
          <w:tcPr>
            <w:tcW w:w="1382" w:type="pct"/>
            <w:shd w:val="clear" w:color="auto" w:fill="D2DFEE"/>
          </w:tcPr>
          <w:p w:rsidR="00723BAB" w:rsidRPr="00D455EB" w:rsidRDefault="00723BAB" w:rsidP="00D455EB">
            <w:pPr>
              <w:jc w:val="both"/>
              <w:rPr>
                <w:b/>
              </w:rPr>
            </w:pPr>
            <w:r w:rsidRPr="00D455EB">
              <w:rPr>
                <w:b/>
              </w:rPr>
              <w:t>Current law</w:t>
            </w:r>
          </w:p>
        </w:tc>
        <w:tc>
          <w:tcPr>
            <w:tcW w:w="1206" w:type="pct"/>
            <w:shd w:val="clear" w:color="auto" w:fill="D2DFEE"/>
          </w:tcPr>
          <w:p w:rsidR="00723BAB" w:rsidRPr="00847383" w:rsidRDefault="00723BAB" w:rsidP="00D455EB">
            <w:pPr>
              <w:spacing w:before="40"/>
              <w:jc w:val="right"/>
            </w:pPr>
            <w:r w:rsidRPr="00847383">
              <w:t>41,955</w:t>
            </w:r>
          </w:p>
        </w:tc>
        <w:tc>
          <w:tcPr>
            <w:tcW w:w="1206" w:type="pct"/>
            <w:shd w:val="clear" w:color="auto" w:fill="D2DFEE"/>
          </w:tcPr>
          <w:p w:rsidR="00723BAB" w:rsidRPr="00847383" w:rsidRDefault="00723BAB" w:rsidP="00D455EB">
            <w:pPr>
              <w:spacing w:before="40"/>
              <w:jc w:val="right"/>
            </w:pPr>
            <w:r w:rsidRPr="00847383">
              <w:t>13,385</w:t>
            </w:r>
          </w:p>
        </w:tc>
        <w:tc>
          <w:tcPr>
            <w:tcW w:w="1206" w:type="pct"/>
            <w:shd w:val="clear" w:color="auto" w:fill="D2DFEE"/>
          </w:tcPr>
          <w:p w:rsidR="00723BAB" w:rsidRPr="00847383" w:rsidRDefault="00723BAB" w:rsidP="00D455EB">
            <w:pPr>
              <w:spacing w:before="40"/>
              <w:jc w:val="right"/>
            </w:pPr>
            <w:r w:rsidRPr="00847383">
              <w:t>55,340</w:t>
            </w:r>
          </w:p>
        </w:tc>
      </w:tr>
      <w:tr w:rsidR="00723BAB" w:rsidRPr="00D455EB" w:rsidTr="00D455EB">
        <w:tc>
          <w:tcPr>
            <w:tcW w:w="1382" w:type="pct"/>
            <w:shd w:val="clear" w:color="auto" w:fill="D2DFEE"/>
          </w:tcPr>
          <w:p w:rsidR="00723BAB" w:rsidRPr="00D455EB" w:rsidRDefault="00723BAB" w:rsidP="00D455EB">
            <w:pPr>
              <w:spacing w:before="40"/>
              <w:jc w:val="both"/>
              <w:rPr>
                <w:b/>
              </w:rPr>
            </w:pPr>
            <w:r w:rsidRPr="00D455EB">
              <w:rPr>
                <w:b/>
              </w:rPr>
              <w:t>EBM</w:t>
            </w:r>
          </w:p>
        </w:tc>
        <w:tc>
          <w:tcPr>
            <w:tcW w:w="1206" w:type="pct"/>
            <w:shd w:val="clear" w:color="auto" w:fill="D2DFEE"/>
          </w:tcPr>
          <w:p w:rsidR="00723BAB" w:rsidRPr="00847383" w:rsidRDefault="00723BAB" w:rsidP="00D455EB">
            <w:pPr>
              <w:spacing w:before="40"/>
              <w:jc w:val="right"/>
            </w:pPr>
            <w:r w:rsidRPr="00847383">
              <w:t>18,650</w:t>
            </w:r>
          </w:p>
        </w:tc>
        <w:tc>
          <w:tcPr>
            <w:tcW w:w="1206" w:type="pct"/>
            <w:shd w:val="clear" w:color="auto" w:fill="D2DFEE"/>
          </w:tcPr>
          <w:p w:rsidR="00723BAB" w:rsidRPr="00847383" w:rsidRDefault="00723BAB" w:rsidP="00D455EB">
            <w:pPr>
              <w:spacing w:before="40"/>
              <w:jc w:val="right"/>
            </w:pPr>
            <w:r w:rsidRPr="00847383">
              <w:t>50,650</w:t>
            </w:r>
          </w:p>
        </w:tc>
        <w:tc>
          <w:tcPr>
            <w:tcW w:w="1206" w:type="pct"/>
            <w:shd w:val="clear" w:color="auto" w:fill="D2DFEE"/>
          </w:tcPr>
          <w:p w:rsidR="00723BAB" w:rsidRPr="00847383" w:rsidRDefault="00723BAB" w:rsidP="00D455EB">
            <w:pPr>
              <w:spacing w:before="40"/>
              <w:jc w:val="right"/>
            </w:pPr>
            <w:r w:rsidRPr="00847383">
              <w:t>69,300</w:t>
            </w:r>
          </w:p>
        </w:tc>
      </w:tr>
      <w:tr w:rsidR="00723BAB" w:rsidRPr="00D455EB" w:rsidTr="00D455EB">
        <w:tc>
          <w:tcPr>
            <w:tcW w:w="1382" w:type="pct"/>
            <w:shd w:val="clear" w:color="auto" w:fill="D2DFEE"/>
          </w:tcPr>
          <w:p w:rsidR="00723BAB" w:rsidRPr="00D455EB" w:rsidRDefault="00723BAB" w:rsidP="00D455EB">
            <w:pPr>
              <w:spacing w:before="40"/>
              <w:jc w:val="both"/>
              <w:rPr>
                <w:b/>
              </w:rPr>
            </w:pPr>
            <w:r w:rsidRPr="00D455EB">
              <w:rPr>
                <w:b/>
              </w:rPr>
              <w:t>PAM</w:t>
            </w:r>
          </w:p>
        </w:tc>
        <w:tc>
          <w:tcPr>
            <w:tcW w:w="1206" w:type="pct"/>
            <w:shd w:val="clear" w:color="auto" w:fill="D2DFEE"/>
          </w:tcPr>
          <w:p w:rsidR="00723BAB" w:rsidRPr="00847383" w:rsidRDefault="00723BAB" w:rsidP="00D455EB">
            <w:pPr>
              <w:spacing w:before="40"/>
              <w:jc w:val="right"/>
            </w:pPr>
            <w:r w:rsidRPr="007C5007">
              <w:t>41,955</w:t>
            </w:r>
          </w:p>
        </w:tc>
        <w:tc>
          <w:tcPr>
            <w:tcW w:w="1206" w:type="pct"/>
            <w:shd w:val="clear" w:color="auto" w:fill="D2DFEE"/>
          </w:tcPr>
          <w:p w:rsidR="00723BAB" w:rsidRPr="00847383" w:rsidRDefault="00723BAB" w:rsidP="00D455EB">
            <w:pPr>
              <w:spacing w:before="40"/>
              <w:jc w:val="right"/>
            </w:pPr>
            <w:r w:rsidRPr="007C5007">
              <w:t>13,385</w:t>
            </w:r>
          </w:p>
        </w:tc>
        <w:tc>
          <w:tcPr>
            <w:tcW w:w="1206" w:type="pct"/>
            <w:shd w:val="clear" w:color="auto" w:fill="D2DFEE"/>
          </w:tcPr>
          <w:p w:rsidR="00723BAB" w:rsidRPr="00847383" w:rsidRDefault="00723BAB" w:rsidP="00D455EB">
            <w:pPr>
              <w:spacing w:before="40"/>
              <w:jc w:val="right"/>
            </w:pPr>
            <w:r w:rsidRPr="007C5007">
              <w:t>55,340</w:t>
            </w:r>
          </w:p>
        </w:tc>
      </w:tr>
    </w:tbl>
    <w:p w:rsidR="00723BAB" w:rsidRPr="00847383" w:rsidRDefault="00723BAB" w:rsidP="00675F0B">
      <w:pPr>
        <w:pStyle w:val="Heading4"/>
      </w:pPr>
      <w:r w:rsidRPr="00847383">
        <w:t>3. Apply Division 6 (unmodified by Division 6E)</w:t>
      </w:r>
    </w:p>
    <w:p w:rsidR="00723BAB" w:rsidRDefault="00723BAB" w:rsidP="00675F0B">
      <w:r w:rsidRPr="00847383">
        <w:t>The first step is to apply Division 6, unmodified by Division 6E</w:t>
      </w:r>
      <w:r>
        <w:t xml:space="preserve"> — </w:t>
      </w:r>
      <w:r w:rsidRPr="00847383">
        <w:t>that is, ignoring for the moment that the trust has franked distributions that the trustee has sought to stream to Mrs</w:t>
      </w:r>
      <w:r>
        <w:t> </w:t>
      </w:r>
      <w:r w:rsidRPr="00847383">
        <w:t>R</w:t>
      </w:r>
      <w:r>
        <w:t>uby</w:t>
      </w:r>
      <w:r w:rsidRPr="00847383">
        <w:t>.</w:t>
      </w:r>
    </w:p>
    <w:p w:rsidR="00723BAB" w:rsidRPr="00847383" w:rsidRDefault="00723BAB" w:rsidP="000B7A87">
      <w:pPr>
        <w:pStyle w:val="Heading6"/>
      </w:pPr>
      <w:r w:rsidRPr="00847383">
        <w:t>Table 1</w:t>
      </w:r>
      <w:r>
        <w:t>1</w:t>
      </w:r>
      <w:r w:rsidRPr="0084738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149"/>
        <w:gridCol w:w="2028"/>
        <w:gridCol w:w="2302"/>
        <w:gridCol w:w="2390"/>
      </w:tblGrid>
      <w:tr w:rsidR="00723BAB" w:rsidRPr="00D455EB" w:rsidTr="00D455EB">
        <w:tc>
          <w:tcPr>
            <w:tcW w:w="369" w:type="pct"/>
            <w:shd w:val="clear" w:color="auto" w:fill="D2DFEE"/>
          </w:tcPr>
          <w:p w:rsidR="00723BAB" w:rsidRPr="00D455EB" w:rsidRDefault="00723BAB" w:rsidP="00D455EB">
            <w:pPr>
              <w:jc w:val="both"/>
              <w:rPr>
                <w:b/>
              </w:rPr>
            </w:pPr>
            <w:r w:rsidRPr="00D455EB">
              <w:rPr>
                <w:b/>
              </w:rPr>
              <w:t>Year</w:t>
            </w:r>
          </w:p>
        </w:tc>
        <w:tc>
          <w:tcPr>
            <w:tcW w:w="1122" w:type="pct"/>
            <w:shd w:val="clear" w:color="auto" w:fill="D2DFEE"/>
          </w:tcPr>
          <w:p w:rsidR="00723BAB" w:rsidRPr="00D455EB" w:rsidRDefault="00723BAB" w:rsidP="00D455EB">
            <w:pPr>
              <w:jc w:val="both"/>
              <w:rPr>
                <w:b/>
              </w:rPr>
            </w:pPr>
            <w:r w:rsidRPr="00D455EB">
              <w:rPr>
                <w:b/>
              </w:rPr>
              <w:t>Beneficiary</w:t>
            </w:r>
          </w:p>
        </w:tc>
        <w:tc>
          <w:tcPr>
            <w:tcW w:w="1059" w:type="pct"/>
            <w:shd w:val="clear" w:color="auto" w:fill="D2DFEE"/>
          </w:tcPr>
          <w:p w:rsidR="00723BAB" w:rsidRPr="00D455EB" w:rsidRDefault="00723BAB" w:rsidP="00D455EB">
            <w:pPr>
              <w:jc w:val="right"/>
              <w:rPr>
                <w:b/>
              </w:rPr>
            </w:pPr>
            <w:r w:rsidRPr="00D455EB">
              <w:rPr>
                <w:b/>
              </w:rPr>
              <w:t>Present entitlement</w:t>
            </w:r>
          </w:p>
        </w:tc>
        <w:tc>
          <w:tcPr>
            <w:tcW w:w="1202" w:type="pct"/>
            <w:shd w:val="clear" w:color="auto" w:fill="D2DFEE"/>
          </w:tcPr>
          <w:p w:rsidR="00723BAB" w:rsidRPr="00D455EB" w:rsidRDefault="00723BAB" w:rsidP="00D455EB">
            <w:pPr>
              <w:jc w:val="right"/>
              <w:rPr>
                <w:b/>
              </w:rPr>
            </w:pPr>
            <w:r w:rsidRPr="00D455EB">
              <w:rPr>
                <w:b/>
              </w:rPr>
              <w:t>Division 6 percentage</w:t>
            </w:r>
          </w:p>
        </w:tc>
        <w:tc>
          <w:tcPr>
            <w:tcW w:w="1248" w:type="pct"/>
            <w:shd w:val="clear" w:color="auto" w:fill="D2DFEE"/>
          </w:tcPr>
          <w:p w:rsidR="00723BAB" w:rsidRPr="00D455EB" w:rsidRDefault="00723BAB" w:rsidP="00D455EB">
            <w:pPr>
              <w:jc w:val="right"/>
              <w:rPr>
                <w:b/>
              </w:rPr>
            </w:pPr>
            <w:r w:rsidRPr="00D455EB">
              <w:rPr>
                <w:b/>
              </w:rPr>
              <w:t>s 97 share of taxable income</w:t>
            </w:r>
          </w:p>
        </w:tc>
      </w:tr>
      <w:tr w:rsidR="00723BAB" w:rsidRPr="00D455EB" w:rsidTr="00D455EB">
        <w:tc>
          <w:tcPr>
            <w:tcW w:w="369" w:type="pct"/>
            <w:shd w:val="clear" w:color="auto" w:fill="D2DFEE"/>
          </w:tcPr>
          <w:p w:rsidR="00723BAB" w:rsidRPr="00D455EB" w:rsidRDefault="00723BAB" w:rsidP="00D455EB">
            <w:pPr>
              <w:jc w:val="both"/>
              <w:rPr>
                <w:b/>
              </w:rPr>
            </w:pPr>
            <w:r w:rsidRPr="00D455EB">
              <w:rPr>
                <w:b/>
              </w:rPr>
              <w:t>20X1</w:t>
            </w:r>
          </w:p>
        </w:tc>
        <w:tc>
          <w:tcPr>
            <w:tcW w:w="1122" w:type="pct"/>
            <w:shd w:val="clear" w:color="auto" w:fill="D2DFEE"/>
          </w:tcPr>
          <w:p w:rsidR="00723BAB" w:rsidRPr="007F23F8" w:rsidRDefault="00723BAB" w:rsidP="00D455EB">
            <w:pPr>
              <w:spacing w:before="40"/>
              <w:jc w:val="both"/>
            </w:pPr>
            <w:r w:rsidRPr="007F23F8">
              <w:t>Mrs Ruby</w:t>
            </w:r>
          </w:p>
        </w:tc>
        <w:tc>
          <w:tcPr>
            <w:tcW w:w="1059" w:type="pct"/>
            <w:shd w:val="clear" w:color="auto" w:fill="D2DFEE"/>
          </w:tcPr>
          <w:p w:rsidR="00723BAB" w:rsidRPr="007F23F8" w:rsidRDefault="00723BAB" w:rsidP="00D455EB">
            <w:pPr>
              <w:spacing w:before="40"/>
              <w:jc w:val="right"/>
            </w:pPr>
            <w:r w:rsidRPr="007F23F8">
              <w:t>10,000</w:t>
            </w:r>
          </w:p>
        </w:tc>
        <w:tc>
          <w:tcPr>
            <w:tcW w:w="1202" w:type="pct"/>
            <w:shd w:val="clear" w:color="auto" w:fill="D2DFEE"/>
          </w:tcPr>
          <w:p w:rsidR="00723BAB" w:rsidRPr="007F23F8" w:rsidRDefault="00723BAB" w:rsidP="00D455EB">
            <w:pPr>
              <w:jc w:val="right"/>
            </w:pPr>
            <w:r w:rsidRPr="007F23F8">
              <w:t>23.84%</w:t>
            </w:r>
          </w:p>
          <w:p w:rsidR="00723BAB" w:rsidRPr="007F23F8" w:rsidRDefault="00723BAB" w:rsidP="00D455EB">
            <w:pPr>
              <w:jc w:val="right"/>
            </w:pPr>
            <w:r w:rsidRPr="007F23F8">
              <w:t>(10,000/41,955)</w:t>
            </w:r>
          </w:p>
        </w:tc>
        <w:tc>
          <w:tcPr>
            <w:tcW w:w="1248" w:type="pct"/>
            <w:shd w:val="clear" w:color="auto" w:fill="D2DFEE"/>
          </w:tcPr>
          <w:p w:rsidR="00723BAB" w:rsidRPr="007F23F8" w:rsidRDefault="00723BAB" w:rsidP="00D455EB">
            <w:pPr>
              <w:jc w:val="right"/>
            </w:pPr>
            <w:r w:rsidRPr="007F23F8">
              <w:t>4,446</w:t>
            </w:r>
          </w:p>
        </w:tc>
      </w:tr>
      <w:tr w:rsidR="00723BAB" w:rsidRPr="00D455EB" w:rsidTr="00D455EB">
        <w:tc>
          <w:tcPr>
            <w:tcW w:w="369" w:type="pct"/>
            <w:shd w:val="clear" w:color="auto" w:fill="D2DFEE"/>
          </w:tcPr>
          <w:p w:rsidR="00723BAB" w:rsidRPr="00D455EB" w:rsidRDefault="00723BAB" w:rsidP="00D455EB">
            <w:pPr>
              <w:jc w:val="both"/>
              <w:rPr>
                <w:b/>
              </w:rPr>
            </w:pPr>
            <w:r w:rsidRPr="00D455EB">
              <w:rPr>
                <w:b/>
              </w:rPr>
              <w:t>20X1</w:t>
            </w:r>
          </w:p>
        </w:tc>
        <w:tc>
          <w:tcPr>
            <w:tcW w:w="1122" w:type="pct"/>
            <w:shd w:val="clear" w:color="auto" w:fill="D2DFEE"/>
          </w:tcPr>
          <w:p w:rsidR="00723BAB" w:rsidRPr="007F23F8" w:rsidRDefault="00723BAB" w:rsidP="00D455EB">
            <w:pPr>
              <w:jc w:val="both"/>
            </w:pPr>
            <w:r w:rsidRPr="007F23F8">
              <w:t>Silver Australia Pty Ltd</w:t>
            </w:r>
          </w:p>
        </w:tc>
        <w:tc>
          <w:tcPr>
            <w:tcW w:w="1059" w:type="pct"/>
            <w:shd w:val="clear" w:color="auto" w:fill="D2DFEE"/>
          </w:tcPr>
          <w:p w:rsidR="00723BAB" w:rsidRPr="007F23F8" w:rsidRDefault="00723BAB" w:rsidP="00D455EB">
            <w:pPr>
              <w:jc w:val="right"/>
            </w:pPr>
            <w:r w:rsidRPr="007F23F8">
              <w:t>31,955</w:t>
            </w:r>
          </w:p>
        </w:tc>
        <w:tc>
          <w:tcPr>
            <w:tcW w:w="1202" w:type="pct"/>
            <w:shd w:val="clear" w:color="auto" w:fill="D2DFEE"/>
          </w:tcPr>
          <w:p w:rsidR="00723BAB" w:rsidRPr="007F23F8" w:rsidRDefault="00723BAB" w:rsidP="00D455EB">
            <w:pPr>
              <w:jc w:val="right"/>
            </w:pPr>
            <w:r w:rsidRPr="007F23F8">
              <w:t>76.16%</w:t>
            </w:r>
          </w:p>
          <w:p w:rsidR="00723BAB" w:rsidRPr="007F23F8" w:rsidRDefault="00723BAB" w:rsidP="00D455EB">
            <w:pPr>
              <w:jc w:val="right"/>
            </w:pPr>
            <w:r w:rsidRPr="007F23F8">
              <w:t>(31,955/41,955)</w:t>
            </w:r>
          </w:p>
        </w:tc>
        <w:tc>
          <w:tcPr>
            <w:tcW w:w="1248" w:type="pct"/>
            <w:shd w:val="clear" w:color="auto" w:fill="D2DFEE"/>
          </w:tcPr>
          <w:p w:rsidR="00723BAB" w:rsidRPr="007F23F8" w:rsidRDefault="00723BAB" w:rsidP="00D455EB">
            <w:pPr>
              <w:jc w:val="right"/>
            </w:pPr>
            <w:r w:rsidRPr="007F23F8">
              <w:t>14,204</w:t>
            </w:r>
          </w:p>
        </w:tc>
      </w:tr>
      <w:tr w:rsidR="00723BAB" w:rsidRPr="00D455EB" w:rsidTr="00D455EB">
        <w:tc>
          <w:tcPr>
            <w:tcW w:w="369" w:type="pct"/>
            <w:shd w:val="clear" w:color="auto" w:fill="D2DFEE"/>
          </w:tcPr>
          <w:p w:rsidR="00723BAB" w:rsidRPr="00D455EB" w:rsidRDefault="00723BAB" w:rsidP="00D455EB">
            <w:pPr>
              <w:jc w:val="both"/>
              <w:rPr>
                <w:b/>
              </w:rPr>
            </w:pPr>
            <w:r w:rsidRPr="00D455EB">
              <w:rPr>
                <w:b/>
              </w:rPr>
              <w:t>20X2</w:t>
            </w:r>
          </w:p>
        </w:tc>
        <w:tc>
          <w:tcPr>
            <w:tcW w:w="1122" w:type="pct"/>
            <w:shd w:val="clear" w:color="auto" w:fill="D2DFEE"/>
          </w:tcPr>
          <w:p w:rsidR="00723BAB" w:rsidRPr="007F23F8" w:rsidRDefault="00723BAB" w:rsidP="00D455EB">
            <w:pPr>
              <w:jc w:val="both"/>
            </w:pPr>
            <w:r w:rsidRPr="007F23F8">
              <w:t>Mrs Ruby</w:t>
            </w:r>
          </w:p>
        </w:tc>
        <w:tc>
          <w:tcPr>
            <w:tcW w:w="1059" w:type="pct"/>
            <w:shd w:val="clear" w:color="auto" w:fill="D2DFEE"/>
          </w:tcPr>
          <w:p w:rsidR="00723BAB" w:rsidRPr="007F23F8" w:rsidRDefault="00723BAB" w:rsidP="00D455EB">
            <w:pPr>
              <w:jc w:val="right"/>
            </w:pPr>
            <w:r w:rsidRPr="007F23F8">
              <w:t>10,000</w:t>
            </w:r>
          </w:p>
        </w:tc>
        <w:tc>
          <w:tcPr>
            <w:tcW w:w="1202" w:type="pct"/>
            <w:shd w:val="clear" w:color="auto" w:fill="D2DFEE"/>
          </w:tcPr>
          <w:p w:rsidR="00723BAB" w:rsidRPr="007F23F8" w:rsidRDefault="00723BAB" w:rsidP="00D455EB">
            <w:pPr>
              <w:jc w:val="right"/>
            </w:pPr>
            <w:r w:rsidRPr="007F23F8">
              <w:t>74.71%</w:t>
            </w:r>
          </w:p>
          <w:p w:rsidR="00723BAB" w:rsidRPr="007F23F8" w:rsidRDefault="00723BAB" w:rsidP="00D455EB">
            <w:pPr>
              <w:jc w:val="right"/>
            </w:pPr>
            <w:r w:rsidRPr="007F23F8">
              <w:t>(10,000/13,385)</w:t>
            </w:r>
          </w:p>
        </w:tc>
        <w:tc>
          <w:tcPr>
            <w:tcW w:w="1248" w:type="pct"/>
            <w:shd w:val="clear" w:color="auto" w:fill="D2DFEE"/>
          </w:tcPr>
          <w:p w:rsidR="00723BAB" w:rsidRPr="007F23F8" w:rsidRDefault="00723BAB" w:rsidP="00D455EB">
            <w:pPr>
              <w:jc w:val="right"/>
            </w:pPr>
            <w:r w:rsidRPr="007F23F8">
              <w:t>37,841</w:t>
            </w:r>
          </w:p>
        </w:tc>
      </w:tr>
      <w:tr w:rsidR="00723BAB" w:rsidRPr="00D455EB" w:rsidTr="00D455EB">
        <w:tc>
          <w:tcPr>
            <w:tcW w:w="369" w:type="pct"/>
            <w:shd w:val="clear" w:color="auto" w:fill="D2DFEE"/>
          </w:tcPr>
          <w:p w:rsidR="00723BAB" w:rsidRPr="00D455EB" w:rsidRDefault="00723BAB" w:rsidP="00D455EB">
            <w:pPr>
              <w:jc w:val="both"/>
              <w:rPr>
                <w:b/>
              </w:rPr>
            </w:pPr>
            <w:r w:rsidRPr="00D455EB">
              <w:rPr>
                <w:b/>
              </w:rPr>
              <w:t>20X2</w:t>
            </w:r>
          </w:p>
        </w:tc>
        <w:tc>
          <w:tcPr>
            <w:tcW w:w="1122" w:type="pct"/>
            <w:shd w:val="clear" w:color="auto" w:fill="D2DFEE"/>
          </w:tcPr>
          <w:p w:rsidR="00723BAB" w:rsidRPr="007F23F8" w:rsidRDefault="00723BAB" w:rsidP="00D455EB">
            <w:pPr>
              <w:jc w:val="both"/>
            </w:pPr>
            <w:r w:rsidRPr="007F23F8">
              <w:t>Silver Australia Pty Ltd</w:t>
            </w:r>
          </w:p>
        </w:tc>
        <w:tc>
          <w:tcPr>
            <w:tcW w:w="1059" w:type="pct"/>
            <w:shd w:val="clear" w:color="auto" w:fill="D2DFEE"/>
          </w:tcPr>
          <w:p w:rsidR="00723BAB" w:rsidRPr="007F23F8" w:rsidRDefault="00723BAB" w:rsidP="00D455EB">
            <w:pPr>
              <w:jc w:val="right"/>
            </w:pPr>
            <w:r w:rsidRPr="007F23F8">
              <w:t>3,385</w:t>
            </w:r>
          </w:p>
        </w:tc>
        <w:tc>
          <w:tcPr>
            <w:tcW w:w="1202" w:type="pct"/>
            <w:shd w:val="clear" w:color="auto" w:fill="D2DFEE"/>
          </w:tcPr>
          <w:p w:rsidR="00723BAB" w:rsidRPr="007F23F8" w:rsidRDefault="00723BAB" w:rsidP="00D455EB">
            <w:pPr>
              <w:jc w:val="right"/>
            </w:pPr>
            <w:r w:rsidRPr="007F23F8">
              <w:t>25.29%</w:t>
            </w:r>
          </w:p>
          <w:p w:rsidR="00723BAB" w:rsidRPr="007F23F8" w:rsidRDefault="00723BAB" w:rsidP="00D455EB">
            <w:pPr>
              <w:jc w:val="right"/>
            </w:pPr>
            <w:r w:rsidRPr="007F23F8">
              <w:t>(3,385/13,385)</w:t>
            </w:r>
          </w:p>
        </w:tc>
        <w:tc>
          <w:tcPr>
            <w:tcW w:w="1248" w:type="pct"/>
            <w:shd w:val="clear" w:color="auto" w:fill="D2DFEE"/>
          </w:tcPr>
          <w:p w:rsidR="00723BAB" w:rsidRPr="007F23F8" w:rsidRDefault="00723BAB" w:rsidP="00D455EB">
            <w:pPr>
              <w:jc w:val="right"/>
            </w:pPr>
            <w:r w:rsidRPr="007F23F8">
              <w:t>12,809</w:t>
            </w:r>
          </w:p>
        </w:tc>
      </w:tr>
    </w:tbl>
    <w:p w:rsidR="00723BAB" w:rsidRPr="00847383" w:rsidRDefault="00723BAB" w:rsidP="00675F0B">
      <w:pPr>
        <w:pStyle w:val="Heading4"/>
      </w:pPr>
      <w:r w:rsidRPr="00847383">
        <w:t>4. Calculating Mrs R</w:t>
      </w:r>
      <w:r>
        <w:t>uby</w:t>
      </w:r>
      <w:r w:rsidRPr="00354B36">
        <w:t>’</w:t>
      </w:r>
      <w:r w:rsidRPr="00847383">
        <w:t>s specific entit</w:t>
      </w:r>
      <w:r>
        <w:t>lement to the franked dividends</w:t>
      </w:r>
    </w:p>
    <w:p w:rsidR="00723BAB" w:rsidRPr="00847383" w:rsidRDefault="00723BAB" w:rsidP="00675F0B">
      <w:r w:rsidRPr="00847383">
        <w:t>The trustee has sought to stream the franked dividends (</w:t>
      </w:r>
      <w:r>
        <w:t xml:space="preserve">that is, </w:t>
      </w:r>
      <w:r w:rsidRPr="00847383">
        <w:t>a portion of them) to Mrs</w:t>
      </w:r>
      <w:r w:rsidRPr="007C5007">
        <w:t> </w:t>
      </w:r>
      <w:r w:rsidRPr="00847383">
        <w:t>R</w:t>
      </w:r>
      <w:r>
        <w:t>uby in each income year.</w:t>
      </w:r>
    </w:p>
    <w:p w:rsidR="00723BAB" w:rsidRDefault="00723BAB" w:rsidP="00675F0B">
      <w:r w:rsidRPr="00847383">
        <w:t xml:space="preserve">The net financial benefit </w:t>
      </w:r>
      <w:r>
        <w:t>referable</w:t>
      </w:r>
      <w:r w:rsidRPr="00847383">
        <w:t xml:space="preserve"> to the franked dividends in each income year is equal to the amount of the dividend (excluding franking credits) because there are no directly relevant expenses that can be taken into account in working out the net financial benefit:</w:t>
      </w:r>
      <w:r>
        <w:rPr>
          <w:rStyle w:val="FootnoteReference"/>
        </w:rPr>
        <w:footnoteReference w:id="39"/>
      </w:r>
    </w:p>
    <w:p w:rsidR="00723BAB" w:rsidRPr="00847383" w:rsidRDefault="00723BAB" w:rsidP="000B7A87">
      <w:pPr>
        <w:pStyle w:val="Heading6"/>
      </w:pPr>
      <w:r>
        <w:t>Table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723BAB" w:rsidRPr="00D455EB" w:rsidTr="00D455EB">
        <w:tc>
          <w:tcPr>
            <w:tcW w:w="2500" w:type="pct"/>
            <w:shd w:val="clear" w:color="auto" w:fill="D2DFEE"/>
          </w:tcPr>
          <w:p w:rsidR="00723BAB" w:rsidRPr="00D455EB" w:rsidRDefault="00723BAB" w:rsidP="00D455EB">
            <w:pPr>
              <w:jc w:val="right"/>
              <w:rPr>
                <w:b/>
              </w:rPr>
            </w:pPr>
            <w:r w:rsidRPr="00D455EB">
              <w:rPr>
                <w:b/>
              </w:rPr>
              <w:t>20X1</w:t>
            </w:r>
          </w:p>
        </w:tc>
        <w:tc>
          <w:tcPr>
            <w:tcW w:w="2500" w:type="pct"/>
            <w:shd w:val="clear" w:color="auto" w:fill="D2DFEE"/>
          </w:tcPr>
          <w:p w:rsidR="00723BAB" w:rsidRPr="00D455EB" w:rsidRDefault="00723BAB" w:rsidP="00D455EB">
            <w:pPr>
              <w:jc w:val="right"/>
              <w:rPr>
                <w:b/>
              </w:rPr>
            </w:pPr>
            <w:r w:rsidRPr="00D455EB">
              <w:rPr>
                <w:b/>
              </w:rPr>
              <w:t>20X2</w:t>
            </w:r>
          </w:p>
        </w:tc>
      </w:tr>
      <w:tr w:rsidR="00723BAB" w:rsidRPr="00D455EB" w:rsidTr="00D455EB">
        <w:tc>
          <w:tcPr>
            <w:tcW w:w="2500" w:type="pct"/>
            <w:shd w:val="clear" w:color="auto" w:fill="D2DFEE"/>
          </w:tcPr>
          <w:p w:rsidR="00723BAB" w:rsidRPr="00847383" w:rsidRDefault="00723BAB" w:rsidP="00D455EB">
            <w:pPr>
              <w:jc w:val="right"/>
            </w:pPr>
            <w:r w:rsidRPr="00847383">
              <w:t>10,605</w:t>
            </w:r>
          </w:p>
        </w:tc>
        <w:tc>
          <w:tcPr>
            <w:tcW w:w="2500" w:type="pct"/>
            <w:shd w:val="clear" w:color="auto" w:fill="D2DFEE"/>
          </w:tcPr>
          <w:p w:rsidR="00723BAB" w:rsidRPr="00847383" w:rsidRDefault="00723BAB" w:rsidP="00D455EB">
            <w:pPr>
              <w:spacing w:before="40"/>
              <w:jc w:val="right"/>
            </w:pPr>
            <w:r w:rsidRPr="00847383">
              <w:t>10,185</w:t>
            </w:r>
          </w:p>
        </w:tc>
      </w:tr>
    </w:tbl>
    <w:p w:rsidR="00723BAB" w:rsidRPr="00847383" w:rsidRDefault="00723BAB" w:rsidP="00675F0B">
      <w:pPr>
        <w:spacing w:before="240"/>
      </w:pPr>
      <w:r>
        <w:t xml:space="preserve">Given that there is no requirement to reduce entitlements to franked distributions by general expenses, </w:t>
      </w:r>
      <w:r w:rsidRPr="00847383">
        <w:t>Mrs R</w:t>
      </w:r>
      <w:r>
        <w:t>uby</w:t>
      </w:r>
      <w:r w:rsidRPr="007C5007">
        <w:t>’</w:t>
      </w:r>
      <w:r w:rsidRPr="00847383">
        <w:t>s share of the net financial benefit referable to the franked dividends is:</w:t>
      </w:r>
    </w:p>
    <w:p w:rsidR="00723BAB" w:rsidRPr="00847383" w:rsidRDefault="00723BAB" w:rsidP="000B7A87">
      <w:pPr>
        <w:pStyle w:val="Heading6"/>
      </w:pPr>
      <w:r>
        <w:t>Table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4353"/>
        <w:gridCol w:w="3047"/>
      </w:tblGrid>
      <w:tr w:rsidR="00723BAB" w:rsidRPr="00D455EB" w:rsidTr="00D455EB">
        <w:tc>
          <w:tcPr>
            <w:tcW w:w="1136" w:type="pct"/>
            <w:shd w:val="clear" w:color="auto" w:fill="D2DFEE"/>
          </w:tcPr>
          <w:p w:rsidR="00723BAB" w:rsidRPr="00D455EB" w:rsidRDefault="00723BAB" w:rsidP="00D455EB">
            <w:pPr>
              <w:jc w:val="both"/>
              <w:rPr>
                <w:b/>
              </w:rPr>
            </w:pPr>
            <w:r w:rsidRPr="00D455EB">
              <w:rPr>
                <w:b/>
              </w:rPr>
              <w:t>20X1</w:t>
            </w:r>
          </w:p>
        </w:tc>
        <w:tc>
          <w:tcPr>
            <w:tcW w:w="2273" w:type="pct"/>
            <w:shd w:val="clear" w:color="auto" w:fill="D2DFEE"/>
          </w:tcPr>
          <w:p w:rsidR="00723BAB" w:rsidRPr="00847383" w:rsidRDefault="00723BAB" w:rsidP="00D455EB">
            <w:pPr>
              <w:jc w:val="right"/>
            </w:pPr>
            <w:r w:rsidRPr="00847383">
              <w:t xml:space="preserve">10,000/10,605 </w:t>
            </w:r>
          </w:p>
        </w:tc>
        <w:tc>
          <w:tcPr>
            <w:tcW w:w="1591" w:type="pct"/>
            <w:shd w:val="clear" w:color="auto" w:fill="D2DFEE"/>
          </w:tcPr>
          <w:p w:rsidR="00723BAB" w:rsidRPr="00847383" w:rsidRDefault="00723BAB" w:rsidP="00D455EB">
            <w:pPr>
              <w:jc w:val="right"/>
            </w:pPr>
            <w:r w:rsidRPr="00847383">
              <w:t>= 0.94</w:t>
            </w:r>
          </w:p>
        </w:tc>
      </w:tr>
      <w:tr w:rsidR="00723BAB" w:rsidRPr="00D455EB" w:rsidTr="00D455EB">
        <w:tc>
          <w:tcPr>
            <w:tcW w:w="1136" w:type="pct"/>
            <w:shd w:val="clear" w:color="auto" w:fill="D2DFEE"/>
          </w:tcPr>
          <w:p w:rsidR="00723BAB" w:rsidRPr="00D455EB" w:rsidRDefault="00723BAB" w:rsidP="00D455EB">
            <w:pPr>
              <w:jc w:val="both"/>
              <w:rPr>
                <w:b/>
              </w:rPr>
            </w:pPr>
            <w:r w:rsidRPr="00D455EB">
              <w:rPr>
                <w:b/>
              </w:rPr>
              <w:t>20X2</w:t>
            </w:r>
          </w:p>
        </w:tc>
        <w:tc>
          <w:tcPr>
            <w:tcW w:w="2273" w:type="pct"/>
            <w:shd w:val="clear" w:color="auto" w:fill="D2DFEE"/>
          </w:tcPr>
          <w:p w:rsidR="00723BAB" w:rsidRPr="00847383" w:rsidRDefault="00723BAB" w:rsidP="00D455EB">
            <w:pPr>
              <w:spacing w:before="40"/>
              <w:jc w:val="right"/>
            </w:pPr>
            <w:r w:rsidRPr="00847383">
              <w:t xml:space="preserve">10,000/10,185 </w:t>
            </w:r>
          </w:p>
        </w:tc>
        <w:tc>
          <w:tcPr>
            <w:tcW w:w="1591" w:type="pct"/>
            <w:shd w:val="clear" w:color="auto" w:fill="D2DFEE"/>
          </w:tcPr>
          <w:p w:rsidR="00723BAB" w:rsidRPr="00847383" w:rsidRDefault="00723BAB" w:rsidP="00D455EB">
            <w:pPr>
              <w:spacing w:before="40"/>
              <w:jc w:val="right"/>
            </w:pPr>
            <w:r w:rsidRPr="00847383">
              <w:t>= 0.98</w:t>
            </w:r>
          </w:p>
        </w:tc>
      </w:tr>
    </w:tbl>
    <w:p w:rsidR="00723BAB" w:rsidRPr="00847383" w:rsidRDefault="00723BAB" w:rsidP="00675F0B">
      <w:pPr>
        <w:spacing w:before="240"/>
      </w:pPr>
      <w:r w:rsidRPr="00847383">
        <w:t>Mrs R</w:t>
      </w:r>
      <w:r>
        <w:t>uby</w:t>
      </w:r>
      <w:r w:rsidRPr="007C5007">
        <w:t>’</w:t>
      </w:r>
      <w:r w:rsidRPr="00847383">
        <w:t>s share of the franked distribution to which she is specifically entitled is:</w:t>
      </w:r>
    </w:p>
    <w:p w:rsidR="00723BAB" w:rsidRPr="00847383" w:rsidRDefault="00723BAB" w:rsidP="000B7A87">
      <w:pPr>
        <w:pStyle w:val="Heading6"/>
      </w:pPr>
      <w:r>
        <w:t>Table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6"/>
        <w:gridCol w:w="4353"/>
        <w:gridCol w:w="3047"/>
      </w:tblGrid>
      <w:tr w:rsidR="00723BAB" w:rsidRPr="00D455EB" w:rsidTr="00D455EB">
        <w:tc>
          <w:tcPr>
            <w:tcW w:w="1136" w:type="pct"/>
            <w:shd w:val="clear" w:color="auto" w:fill="D2DFEE"/>
          </w:tcPr>
          <w:p w:rsidR="00723BAB" w:rsidRPr="00D455EB" w:rsidRDefault="00723BAB" w:rsidP="00D455EB">
            <w:pPr>
              <w:jc w:val="both"/>
              <w:rPr>
                <w:b/>
              </w:rPr>
            </w:pPr>
            <w:r w:rsidRPr="00D455EB">
              <w:rPr>
                <w:b/>
              </w:rPr>
              <w:t>20X1</w:t>
            </w:r>
          </w:p>
        </w:tc>
        <w:tc>
          <w:tcPr>
            <w:tcW w:w="2273" w:type="pct"/>
            <w:shd w:val="clear" w:color="auto" w:fill="D2DFEE"/>
          </w:tcPr>
          <w:p w:rsidR="00723BAB" w:rsidRPr="00847383" w:rsidRDefault="00723BAB" w:rsidP="00D455EB">
            <w:pPr>
              <w:jc w:val="right"/>
            </w:pPr>
            <w:r w:rsidRPr="00847383">
              <w:t>$10,000/$10,605</w:t>
            </w:r>
          </w:p>
        </w:tc>
        <w:tc>
          <w:tcPr>
            <w:tcW w:w="1591" w:type="pct"/>
            <w:shd w:val="clear" w:color="auto" w:fill="D2DFEE"/>
          </w:tcPr>
          <w:p w:rsidR="00723BAB" w:rsidRPr="00847383" w:rsidRDefault="00723BAB" w:rsidP="00D455EB">
            <w:pPr>
              <w:jc w:val="right"/>
            </w:pPr>
            <w:r w:rsidRPr="00847383">
              <w:t>94% fraction of the franked</w:t>
            </w:r>
            <w:r>
              <w:t xml:space="preserve"> </w:t>
            </w:r>
            <w:r w:rsidRPr="00847383">
              <w:t>distribution</w:t>
            </w:r>
          </w:p>
        </w:tc>
      </w:tr>
      <w:tr w:rsidR="00723BAB" w:rsidRPr="00D455EB" w:rsidTr="00D455EB">
        <w:tc>
          <w:tcPr>
            <w:tcW w:w="1136" w:type="pct"/>
            <w:shd w:val="clear" w:color="auto" w:fill="D2DFEE"/>
          </w:tcPr>
          <w:p w:rsidR="00723BAB" w:rsidRPr="00D455EB" w:rsidRDefault="00723BAB" w:rsidP="00D455EB">
            <w:pPr>
              <w:jc w:val="both"/>
              <w:rPr>
                <w:b/>
              </w:rPr>
            </w:pPr>
            <w:r w:rsidRPr="00D455EB">
              <w:rPr>
                <w:b/>
              </w:rPr>
              <w:t>20X2</w:t>
            </w:r>
          </w:p>
        </w:tc>
        <w:tc>
          <w:tcPr>
            <w:tcW w:w="2273" w:type="pct"/>
            <w:shd w:val="clear" w:color="auto" w:fill="D2DFEE"/>
          </w:tcPr>
          <w:p w:rsidR="00723BAB" w:rsidRPr="00847383" w:rsidRDefault="00723BAB" w:rsidP="00D455EB">
            <w:pPr>
              <w:spacing w:before="40"/>
              <w:jc w:val="right"/>
            </w:pPr>
            <w:r w:rsidRPr="00847383">
              <w:t>$10,000/$10,185</w:t>
            </w:r>
          </w:p>
        </w:tc>
        <w:tc>
          <w:tcPr>
            <w:tcW w:w="1591" w:type="pct"/>
            <w:shd w:val="clear" w:color="auto" w:fill="D2DFEE"/>
          </w:tcPr>
          <w:p w:rsidR="00723BAB" w:rsidRPr="00847383" w:rsidRDefault="00723BAB" w:rsidP="00D455EB">
            <w:pPr>
              <w:spacing w:before="40"/>
              <w:jc w:val="right"/>
            </w:pPr>
            <w:r w:rsidRPr="00847383">
              <w:t>98% fraction of the franked distribution</w:t>
            </w:r>
          </w:p>
        </w:tc>
      </w:tr>
    </w:tbl>
    <w:p w:rsidR="00723BAB" w:rsidRPr="00847383" w:rsidRDefault="00723BAB" w:rsidP="00675F0B">
      <w:pPr>
        <w:pStyle w:val="Heading4"/>
      </w:pPr>
      <w:r w:rsidRPr="00847383">
        <w:t xml:space="preserve">5. Calculate </w:t>
      </w:r>
      <w:r>
        <w:t xml:space="preserve">the </w:t>
      </w:r>
      <w:r w:rsidRPr="00847383">
        <w:t>beneficiaries</w:t>
      </w:r>
      <w:r w:rsidRPr="00354B36">
        <w:t>’</w:t>
      </w:r>
      <w:r w:rsidRPr="00847383">
        <w:t xml:space="preserve"> adjusted Division 6 percentage</w:t>
      </w:r>
    </w:p>
    <w:p w:rsidR="00723BAB" w:rsidRPr="00847383" w:rsidRDefault="00723BAB" w:rsidP="00675F0B">
      <w:r w:rsidRPr="00847383">
        <w:t>This is the percentage of income to which beneficiaries are entitled ignoring the franked dividends to which Mrs R</w:t>
      </w:r>
      <w:r>
        <w:t>uby</w:t>
      </w:r>
      <w:r w:rsidRPr="00847383">
        <w:t xml:space="preserve"> is specifically entitled. </w:t>
      </w:r>
    </w:p>
    <w:p w:rsidR="00723BAB" w:rsidRPr="00847383" w:rsidRDefault="00723BAB" w:rsidP="00675F0B">
      <w:r w:rsidRPr="00847383">
        <w:t xml:space="preserve">In this example the adjusted income of the trust in year 20X1 is </w:t>
      </w:r>
      <w:r>
        <w:t>$</w:t>
      </w:r>
      <w:r w:rsidRPr="00847383">
        <w:t>41,955 less the $10,000 to which Mrs R</w:t>
      </w:r>
      <w:r>
        <w:t>uby</w:t>
      </w:r>
      <w:r w:rsidRPr="00847383">
        <w:t xml:space="preserve"> is specifically entitled (</w:t>
      </w:r>
      <w:r>
        <w:t>$</w:t>
      </w:r>
      <w:r w:rsidRPr="00847383">
        <w:t>31,955</w:t>
      </w:r>
      <w:r>
        <w:t xml:space="preserve">); and in year 20X2 is $13,385 less the $10,000 to which Mrs Ruby is specifically entitled ($3,385). </w:t>
      </w:r>
    </w:p>
    <w:p w:rsidR="00723BAB" w:rsidRPr="00847383" w:rsidRDefault="00723BAB" w:rsidP="000B7A87">
      <w:pPr>
        <w:pStyle w:val="Heading6"/>
      </w:pPr>
      <w:r>
        <w:br w:type="page"/>
        <w:t>Table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3055"/>
        <w:gridCol w:w="2532"/>
        <w:gridCol w:w="2877"/>
      </w:tblGrid>
      <w:tr w:rsidR="00723BAB" w:rsidRPr="00D455EB" w:rsidTr="00D455EB">
        <w:tc>
          <w:tcPr>
            <w:tcW w:w="580" w:type="pct"/>
            <w:shd w:val="clear" w:color="auto" w:fill="D2DFEE"/>
          </w:tcPr>
          <w:p w:rsidR="00723BAB" w:rsidRPr="00D455EB" w:rsidRDefault="00723BAB" w:rsidP="00D455EB">
            <w:pPr>
              <w:jc w:val="both"/>
              <w:rPr>
                <w:b/>
              </w:rPr>
            </w:pPr>
            <w:r w:rsidRPr="00D455EB">
              <w:rPr>
                <w:b/>
              </w:rPr>
              <w:t>Year</w:t>
            </w:r>
          </w:p>
        </w:tc>
        <w:tc>
          <w:tcPr>
            <w:tcW w:w="1595" w:type="pct"/>
            <w:shd w:val="clear" w:color="auto" w:fill="D2DFEE"/>
          </w:tcPr>
          <w:p w:rsidR="00723BAB" w:rsidRPr="00D455EB" w:rsidRDefault="00723BAB" w:rsidP="00D455EB">
            <w:pPr>
              <w:jc w:val="both"/>
              <w:rPr>
                <w:b/>
              </w:rPr>
            </w:pPr>
            <w:r w:rsidRPr="00D455EB">
              <w:rPr>
                <w:b/>
              </w:rPr>
              <w:t>Beneficiary</w:t>
            </w:r>
          </w:p>
        </w:tc>
        <w:tc>
          <w:tcPr>
            <w:tcW w:w="1322" w:type="pct"/>
            <w:shd w:val="clear" w:color="auto" w:fill="D2DFEE"/>
          </w:tcPr>
          <w:p w:rsidR="00723BAB" w:rsidRPr="00D455EB" w:rsidRDefault="00723BAB" w:rsidP="00D455EB">
            <w:pPr>
              <w:jc w:val="right"/>
              <w:rPr>
                <w:b/>
              </w:rPr>
            </w:pPr>
            <w:r w:rsidRPr="00D455EB">
              <w:rPr>
                <w:b/>
              </w:rPr>
              <w:t>Present entitlement to ‘adjusted income’</w:t>
            </w:r>
          </w:p>
        </w:tc>
        <w:tc>
          <w:tcPr>
            <w:tcW w:w="1502" w:type="pct"/>
            <w:shd w:val="clear" w:color="auto" w:fill="D2DFEE"/>
          </w:tcPr>
          <w:p w:rsidR="00723BAB" w:rsidRPr="00D455EB" w:rsidRDefault="00723BAB" w:rsidP="00D455EB">
            <w:pPr>
              <w:jc w:val="right"/>
              <w:rPr>
                <w:b/>
              </w:rPr>
            </w:pPr>
            <w:r w:rsidRPr="00D455EB">
              <w:rPr>
                <w:b/>
              </w:rPr>
              <w:t>Share of ‘adjusted income’</w:t>
            </w:r>
          </w:p>
        </w:tc>
      </w:tr>
      <w:tr w:rsidR="00723BAB" w:rsidRPr="00D455EB" w:rsidTr="00D455EB">
        <w:tc>
          <w:tcPr>
            <w:tcW w:w="580" w:type="pct"/>
            <w:shd w:val="clear" w:color="auto" w:fill="D2DFEE"/>
          </w:tcPr>
          <w:p w:rsidR="00723BAB" w:rsidRPr="00D455EB" w:rsidRDefault="00723BAB" w:rsidP="00D455EB">
            <w:pPr>
              <w:jc w:val="both"/>
              <w:rPr>
                <w:b/>
              </w:rPr>
            </w:pPr>
            <w:r w:rsidRPr="00D455EB">
              <w:rPr>
                <w:b/>
              </w:rPr>
              <w:t>20X1</w:t>
            </w:r>
          </w:p>
        </w:tc>
        <w:tc>
          <w:tcPr>
            <w:tcW w:w="1595" w:type="pct"/>
            <w:shd w:val="clear" w:color="auto" w:fill="D2DFEE"/>
          </w:tcPr>
          <w:p w:rsidR="00723BAB" w:rsidRPr="00847383" w:rsidRDefault="00723BAB" w:rsidP="00D455EB">
            <w:pPr>
              <w:spacing w:before="40"/>
              <w:jc w:val="both"/>
            </w:pPr>
            <w:r w:rsidRPr="00847383">
              <w:t>Mrs R</w:t>
            </w:r>
            <w:r>
              <w:t>uby</w:t>
            </w:r>
          </w:p>
        </w:tc>
        <w:tc>
          <w:tcPr>
            <w:tcW w:w="1322" w:type="pct"/>
            <w:shd w:val="clear" w:color="auto" w:fill="D2DFEE"/>
          </w:tcPr>
          <w:p w:rsidR="00723BAB" w:rsidRPr="00847383" w:rsidRDefault="00723BAB" w:rsidP="00D455EB">
            <w:pPr>
              <w:jc w:val="right"/>
            </w:pPr>
            <w:r w:rsidRPr="00847383">
              <w:t>0</w:t>
            </w:r>
          </w:p>
        </w:tc>
        <w:tc>
          <w:tcPr>
            <w:tcW w:w="1502" w:type="pct"/>
            <w:shd w:val="clear" w:color="auto" w:fill="D2DFEE"/>
          </w:tcPr>
          <w:p w:rsidR="00723BAB" w:rsidRPr="00847383" w:rsidRDefault="00723BAB" w:rsidP="00D455EB">
            <w:pPr>
              <w:jc w:val="right"/>
            </w:pPr>
            <w:r w:rsidRPr="00847383">
              <w:t>0</w:t>
            </w:r>
          </w:p>
        </w:tc>
      </w:tr>
      <w:tr w:rsidR="00723BAB" w:rsidRPr="00D455EB" w:rsidTr="00D455EB">
        <w:tc>
          <w:tcPr>
            <w:tcW w:w="580" w:type="pct"/>
            <w:shd w:val="clear" w:color="auto" w:fill="D2DFEE"/>
          </w:tcPr>
          <w:p w:rsidR="00723BAB" w:rsidRPr="00D455EB" w:rsidRDefault="00723BAB" w:rsidP="00D455EB">
            <w:pPr>
              <w:spacing w:before="40"/>
              <w:jc w:val="both"/>
              <w:rPr>
                <w:b/>
              </w:rPr>
            </w:pPr>
            <w:r w:rsidRPr="00D455EB">
              <w:rPr>
                <w:b/>
              </w:rPr>
              <w:t>20X1</w:t>
            </w:r>
          </w:p>
        </w:tc>
        <w:tc>
          <w:tcPr>
            <w:tcW w:w="1595" w:type="pct"/>
            <w:shd w:val="clear" w:color="auto" w:fill="D2DFEE"/>
          </w:tcPr>
          <w:p w:rsidR="00723BAB" w:rsidRPr="00847383" w:rsidRDefault="00723BAB" w:rsidP="00D455EB">
            <w:pPr>
              <w:spacing w:before="40"/>
              <w:jc w:val="both"/>
            </w:pPr>
            <w:r>
              <w:t>Silver</w:t>
            </w:r>
            <w:r w:rsidRPr="00847383">
              <w:t xml:space="preserve"> Australia Pty Ltd</w:t>
            </w:r>
          </w:p>
        </w:tc>
        <w:tc>
          <w:tcPr>
            <w:tcW w:w="1322" w:type="pct"/>
            <w:shd w:val="clear" w:color="auto" w:fill="D2DFEE"/>
          </w:tcPr>
          <w:p w:rsidR="00723BAB" w:rsidRPr="00847383" w:rsidRDefault="00723BAB" w:rsidP="00D455EB">
            <w:pPr>
              <w:jc w:val="right"/>
            </w:pPr>
            <w:r w:rsidRPr="00847383">
              <w:t>31,955</w:t>
            </w:r>
          </w:p>
        </w:tc>
        <w:tc>
          <w:tcPr>
            <w:tcW w:w="1502" w:type="pct"/>
            <w:shd w:val="clear" w:color="auto" w:fill="D2DFEE"/>
          </w:tcPr>
          <w:p w:rsidR="00723BAB" w:rsidRPr="00847383" w:rsidRDefault="00723BAB" w:rsidP="00D455EB">
            <w:pPr>
              <w:jc w:val="right"/>
            </w:pPr>
            <w:r w:rsidRPr="00847383">
              <w:t>100%</w:t>
            </w:r>
          </w:p>
        </w:tc>
      </w:tr>
      <w:tr w:rsidR="00723BAB" w:rsidRPr="00D455EB" w:rsidTr="00D455EB">
        <w:tc>
          <w:tcPr>
            <w:tcW w:w="580" w:type="pct"/>
            <w:shd w:val="clear" w:color="auto" w:fill="D2DFEE"/>
          </w:tcPr>
          <w:p w:rsidR="00723BAB" w:rsidRPr="00D455EB" w:rsidRDefault="00723BAB" w:rsidP="00D455EB">
            <w:pPr>
              <w:spacing w:before="40"/>
              <w:jc w:val="both"/>
              <w:rPr>
                <w:b/>
              </w:rPr>
            </w:pPr>
            <w:r w:rsidRPr="00D455EB">
              <w:rPr>
                <w:b/>
              </w:rPr>
              <w:t>20X2</w:t>
            </w:r>
          </w:p>
        </w:tc>
        <w:tc>
          <w:tcPr>
            <w:tcW w:w="1595" w:type="pct"/>
            <w:shd w:val="clear" w:color="auto" w:fill="D2DFEE"/>
          </w:tcPr>
          <w:p w:rsidR="00723BAB" w:rsidRPr="00847383" w:rsidRDefault="00723BAB" w:rsidP="00D455EB">
            <w:pPr>
              <w:spacing w:before="40"/>
              <w:jc w:val="both"/>
            </w:pPr>
            <w:r w:rsidRPr="00847383">
              <w:t>Mrs R</w:t>
            </w:r>
            <w:r>
              <w:t>uby</w:t>
            </w:r>
          </w:p>
        </w:tc>
        <w:tc>
          <w:tcPr>
            <w:tcW w:w="1322" w:type="pct"/>
            <w:shd w:val="clear" w:color="auto" w:fill="D2DFEE"/>
          </w:tcPr>
          <w:p w:rsidR="00723BAB" w:rsidRPr="00847383" w:rsidRDefault="00723BAB" w:rsidP="00D455EB">
            <w:pPr>
              <w:jc w:val="right"/>
            </w:pPr>
            <w:r w:rsidRPr="00847383">
              <w:t>0</w:t>
            </w:r>
          </w:p>
        </w:tc>
        <w:tc>
          <w:tcPr>
            <w:tcW w:w="1502" w:type="pct"/>
            <w:shd w:val="clear" w:color="auto" w:fill="D2DFEE"/>
          </w:tcPr>
          <w:p w:rsidR="00723BAB" w:rsidRPr="00847383" w:rsidRDefault="00723BAB" w:rsidP="00D455EB">
            <w:pPr>
              <w:jc w:val="right"/>
            </w:pPr>
            <w:r w:rsidRPr="00847383">
              <w:t xml:space="preserve">0 </w:t>
            </w:r>
          </w:p>
        </w:tc>
      </w:tr>
      <w:tr w:rsidR="00723BAB" w:rsidRPr="00D455EB" w:rsidTr="00D455EB">
        <w:tc>
          <w:tcPr>
            <w:tcW w:w="580" w:type="pct"/>
            <w:shd w:val="clear" w:color="auto" w:fill="D2DFEE"/>
          </w:tcPr>
          <w:p w:rsidR="00723BAB" w:rsidRPr="00D455EB" w:rsidRDefault="00723BAB" w:rsidP="00D455EB">
            <w:pPr>
              <w:spacing w:before="40"/>
              <w:jc w:val="both"/>
              <w:rPr>
                <w:b/>
              </w:rPr>
            </w:pPr>
            <w:r w:rsidRPr="00D455EB">
              <w:rPr>
                <w:b/>
              </w:rPr>
              <w:t>20X2</w:t>
            </w:r>
          </w:p>
        </w:tc>
        <w:tc>
          <w:tcPr>
            <w:tcW w:w="1595" w:type="pct"/>
            <w:shd w:val="clear" w:color="auto" w:fill="D2DFEE"/>
          </w:tcPr>
          <w:p w:rsidR="00723BAB" w:rsidRPr="00847383" w:rsidRDefault="00723BAB" w:rsidP="00D455EB">
            <w:pPr>
              <w:spacing w:before="40"/>
              <w:jc w:val="both"/>
            </w:pPr>
            <w:r>
              <w:t>Silver</w:t>
            </w:r>
            <w:r w:rsidRPr="00847383">
              <w:t xml:space="preserve"> Australia Pty Ltd</w:t>
            </w:r>
          </w:p>
        </w:tc>
        <w:tc>
          <w:tcPr>
            <w:tcW w:w="1322" w:type="pct"/>
            <w:shd w:val="clear" w:color="auto" w:fill="D2DFEE"/>
          </w:tcPr>
          <w:p w:rsidR="00723BAB" w:rsidRPr="00847383" w:rsidRDefault="00723BAB" w:rsidP="00D455EB">
            <w:pPr>
              <w:jc w:val="right"/>
            </w:pPr>
            <w:r w:rsidRPr="00847383">
              <w:t>3,385</w:t>
            </w:r>
          </w:p>
        </w:tc>
        <w:tc>
          <w:tcPr>
            <w:tcW w:w="1502" w:type="pct"/>
            <w:shd w:val="clear" w:color="auto" w:fill="D2DFEE"/>
          </w:tcPr>
          <w:p w:rsidR="00723BAB" w:rsidRPr="00847383" w:rsidRDefault="00723BAB" w:rsidP="00D455EB">
            <w:pPr>
              <w:jc w:val="right"/>
            </w:pPr>
            <w:r w:rsidRPr="00847383">
              <w:t>100%</w:t>
            </w:r>
          </w:p>
        </w:tc>
      </w:tr>
    </w:tbl>
    <w:p w:rsidR="00723BAB" w:rsidRPr="00847383" w:rsidRDefault="00723BAB" w:rsidP="00675F0B">
      <w:pPr>
        <w:pStyle w:val="Heading4"/>
      </w:pPr>
      <w:r w:rsidRPr="00847383">
        <w:t>6. Apply Subdivision 207</w:t>
      </w:r>
      <w:r>
        <w:noBreakHyphen/>
      </w:r>
      <w:r w:rsidRPr="00847383">
        <w:t>B</w:t>
      </w:r>
    </w:p>
    <w:p w:rsidR="00723BAB" w:rsidRPr="00847383" w:rsidRDefault="00723BAB" w:rsidP="00675F0B">
      <w:r w:rsidRPr="00847383">
        <w:t xml:space="preserve">This </w:t>
      </w:r>
      <w:r>
        <w:t>demonstrates</w:t>
      </w:r>
      <w:r w:rsidRPr="00847383">
        <w:t xml:space="preserve"> how much of the franked dividends each beneficiary is taken to have (and associated franking credits), based on their specific entitlement to franked dividends and their (adjusted Division 6 percentage) share of those franked dividends to which no beneficiary is specifically entitled: </w:t>
      </w:r>
    </w:p>
    <w:p w:rsidR="00723BAB" w:rsidRPr="00847383" w:rsidRDefault="00723BAB" w:rsidP="000B7A87">
      <w:pPr>
        <w:pStyle w:val="Heading6"/>
      </w:pPr>
      <w:r w:rsidRPr="00702D3C">
        <w:t>Table</w:t>
      </w:r>
      <w:r>
        <w:t xml:space="preserve"> </w:t>
      </w:r>
      <w:r w:rsidRPr="00702D3C">
        <w:t>1</w:t>
      </w:r>
      <w: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865"/>
        <w:gridCol w:w="3254"/>
      </w:tblGrid>
      <w:tr w:rsidR="00723BAB" w:rsidRPr="00D455EB" w:rsidTr="00D455EB">
        <w:tc>
          <w:tcPr>
            <w:tcW w:w="1805" w:type="pct"/>
            <w:shd w:val="clear" w:color="auto" w:fill="D2DFEE"/>
          </w:tcPr>
          <w:p w:rsidR="00723BAB" w:rsidRPr="00D455EB" w:rsidRDefault="00723BAB" w:rsidP="00D455EB">
            <w:pPr>
              <w:jc w:val="both"/>
              <w:rPr>
                <w:b/>
              </w:rPr>
            </w:pPr>
            <w:r w:rsidRPr="00D455EB">
              <w:rPr>
                <w:b/>
              </w:rPr>
              <w:t>20X1</w:t>
            </w:r>
          </w:p>
        </w:tc>
        <w:tc>
          <w:tcPr>
            <w:tcW w:w="1496" w:type="pct"/>
            <w:shd w:val="clear" w:color="auto" w:fill="D2DFEE"/>
          </w:tcPr>
          <w:p w:rsidR="00723BAB" w:rsidRPr="00D455EB" w:rsidRDefault="00723BAB" w:rsidP="00D455EB">
            <w:pPr>
              <w:jc w:val="right"/>
              <w:rPr>
                <w:b/>
              </w:rPr>
            </w:pPr>
            <w:r w:rsidRPr="00D455EB">
              <w:rPr>
                <w:b/>
              </w:rPr>
              <w:t>Mrs Ruby</w:t>
            </w:r>
          </w:p>
        </w:tc>
        <w:tc>
          <w:tcPr>
            <w:tcW w:w="1699" w:type="pct"/>
            <w:shd w:val="clear" w:color="auto" w:fill="D2DFEE"/>
          </w:tcPr>
          <w:p w:rsidR="00723BAB" w:rsidRPr="00D455EB" w:rsidRDefault="00723BAB" w:rsidP="00D455EB">
            <w:pPr>
              <w:jc w:val="right"/>
              <w:rPr>
                <w:b/>
              </w:rPr>
            </w:pPr>
            <w:r w:rsidRPr="00D455EB">
              <w:rPr>
                <w:b/>
              </w:rPr>
              <w:t>Silver Australia Pty Ltd</w:t>
            </w:r>
          </w:p>
        </w:tc>
      </w:tr>
      <w:tr w:rsidR="00723BAB" w:rsidRPr="00D455EB" w:rsidTr="00D455EB">
        <w:tc>
          <w:tcPr>
            <w:tcW w:w="1805" w:type="pct"/>
            <w:shd w:val="clear" w:color="auto" w:fill="D2DFEE"/>
          </w:tcPr>
          <w:p w:rsidR="00723BAB" w:rsidRPr="00D455EB" w:rsidRDefault="00723BAB" w:rsidP="00D455EB">
            <w:pPr>
              <w:jc w:val="both"/>
              <w:rPr>
                <w:b/>
              </w:rPr>
            </w:pPr>
            <w:r w:rsidRPr="00D455EB">
              <w:rPr>
                <w:b/>
              </w:rPr>
              <w:t>Specific entitlement</w:t>
            </w:r>
          </w:p>
        </w:tc>
        <w:tc>
          <w:tcPr>
            <w:tcW w:w="1496" w:type="pct"/>
            <w:shd w:val="clear" w:color="auto" w:fill="D2DFEE"/>
          </w:tcPr>
          <w:p w:rsidR="00723BAB" w:rsidRPr="00847383" w:rsidRDefault="00723BAB" w:rsidP="00D455EB">
            <w:pPr>
              <w:jc w:val="right"/>
            </w:pPr>
            <w:r>
              <w:t>10,000</w:t>
            </w:r>
          </w:p>
        </w:tc>
        <w:tc>
          <w:tcPr>
            <w:tcW w:w="1699" w:type="pct"/>
            <w:shd w:val="clear" w:color="auto" w:fill="D2DFEE"/>
          </w:tcPr>
          <w:p w:rsidR="00723BAB" w:rsidRPr="00847383" w:rsidRDefault="00723BAB" w:rsidP="00D455EB">
            <w:pPr>
              <w:jc w:val="right"/>
            </w:pPr>
            <w:r w:rsidRPr="00D455EB">
              <w:t>0</w:t>
            </w:r>
          </w:p>
        </w:tc>
      </w:tr>
      <w:tr w:rsidR="00723BAB" w:rsidRPr="00D455EB" w:rsidTr="00D455EB">
        <w:tc>
          <w:tcPr>
            <w:tcW w:w="1805" w:type="pct"/>
            <w:shd w:val="clear" w:color="auto" w:fill="D2DFEE"/>
          </w:tcPr>
          <w:p w:rsidR="00723BAB" w:rsidRPr="00D455EB" w:rsidRDefault="00723BAB" w:rsidP="00D455EB">
            <w:pPr>
              <w:spacing w:before="40"/>
              <w:jc w:val="both"/>
              <w:rPr>
                <w:b/>
              </w:rPr>
            </w:pPr>
            <w:r w:rsidRPr="00D455EB">
              <w:rPr>
                <w:b/>
              </w:rPr>
              <w:t>Adjusted Division 6 percentage share</w:t>
            </w:r>
          </w:p>
        </w:tc>
        <w:tc>
          <w:tcPr>
            <w:tcW w:w="1496" w:type="pct"/>
            <w:shd w:val="clear" w:color="auto" w:fill="D2DFEE"/>
          </w:tcPr>
          <w:p w:rsidR="00723BAB" w:rsidRPr="00847383" w:rsidRDefault="00723BAB" w:rsidP="00D455EB">
            <w:pPr>
              <w:jc w:val="right"/>
            </w:pPr>
            <w:r>
              <w:t>0</w:t>
            </w:r>
          </w:p>
        </w:tc>
        <w:tc>
          <w:tcPr>
            <w:tcW w:w="1699" w:type="pct"/>
            <w:shd w:val="clear" w:color="auto" w:fill="D2DFEE"/>
          </w:tcPr>
          <w:p w:rsidR="00723BAB" w:rsidRPr="00847383" w:rsidRDefault="00723BAB" w:rsidP="00D455EB">
            <w:pPr>
              <w:jc w:val="right"/>
            </w:pPr>
            <w:r w:rsidRPr="00847383">
              <w:t>6</w:t>
            </w:r>
            <w:r>
              <w:t>05</w:t>
            </w:r>
          </w:p>
        </w:tc>
      </w:tr>
      <w:tr w:rsidR="00723BAB" w:rsidRPr="00D455EB" w:rsidTr="00D455EB">
        <w:tc>
          <w:tcPr>
            <w:tcW w:w="1805" w:type="pct"/>
            <w:shd w:val="clear" w:color="auto" w:fill="D2DFEE"/>
          </w:tcPr>
          <w:p w:rsidR="00723BAB" w:rsidRPr="00D455EB" w:rsidRDefault="00723BAB" w:rsidP="00D455EB">
            <w:pPr>
              <w:spacing w:before="40"/>
              <w:jc w:val="both"/>
              <w:rPr>
                <w:b/>
              </w:rPr>
            </w:pPr>
            <w:r w:rsidRPr="00D455EB">
              <w:rPr>
                <w:b/>
              </w:rPr>
              <w:t>Total</w:t>
            </w:r>
          </w:p>
        </w:tc>
        <w:tc>
          <w:tcPr>
            <w:tcW w:w="1496" w:type="pct"/>
            <w:shd w:val="clear" w:color="auto" w:fill="D2DFEE"/>
          </w:tcPr>
          <w:p w:rsidR="00723BAB" w:rsidRPr="00847383" w:rsidRDefault="00723BAB" w:rsidP="00D455EB">
            <w:pPr>
              <w:jc w:val="right"/>
            </w:pPr>
            <w:r>
              <w:t xml:space="preserve">10,000 (94%) </w:t>
            </w:r>
          </w:p>
        </w:tc>
        <w:tc>
          <w:tcPr>
            <w:tcW w:w="1699" w:type="pct"/>
            <w:shd w:val="clear" w:color="auto" w:fill="D2DFEE"/>
          </w:tcPr>
          <w:p w:rsidR="00723BAB" w:rsidRPr="00847383" w:rsidRDefault="00723BAB" w:rsidP="00D455EB">
            <w:pPr>
              <w:jc w:val="right"/>
            </w:pPr>
            <w:r>
              <w:t>605 (6%)</w:t>
            </w:r>
          </w:p>
        </w:tc>
      </w:tr>
    </w:tbl>
    <w:p w:rsidR="00723BAB" w:rsidRDefault="00723BAB" w:rsidP="00675F0B">
      <w:pPr>
        <w:spacing w:before="240"/>
      </w:pPr>
      <w:r>
        <w:t>Under 207</w:t>
      </w:r>
      <w:r>
        <w:noBreakHyphen/>
        <w:t>B, each beneficiary is also assessed on a corresponding share of the franking credit as follows:</w:t>
      </w:r>
    </w:p>
    <w:p w:rsidR="003871DC" w:rsidRPr="003871DC" w:rsidRDefault="00723BAB" w:rsidP="00675F0B">
      <w:pPr>
        <w:pStyle w:val="Bullet"/>
        <w:rPr>
          <w:sz w:val="22"/>
          <w:szCs w:val="22"/>
        </w:rPr>
      </w:pPr>
      <w:r w:rsidRPr="003871DC">
        <w:rPr>
          <w:sz w:val="22"/>
          <w:szCs w:val="22"/>
        </w:rPr>
        <w:t>Mrs Ruby: 94 per cent of $4,345 franking credit = $4,286</w:t>
      </w:r>
    </w:p>
    <w:p w:rsidR="00723BAB" w:rsidRPr="003871DC" w:rsidRDefault="00723BAB" w:rsidP="00675F0B">
      <w:pPr>
        <w:pStyle w:val="Bullet"/>
        <w:rPr>
          <w:sz w:val="22"/>
          <w:szCs w:val="22"/>
        </w:rPr>
      </w:pPr>
      <w:r w:rsidRPr="003871DC">
        <w:rPr>
          <w:sz w:val="22"/>
          <w:szCs w:val="22"/>
        </w:rPr>
        <w:t>Silver Australia Pty Ltd: 6 per cent of $4,345 franking credit = $259</w:t>
      </w:r>
    </w:p>
    <w:p w:rsidR="00723BAB" w:rsidRPr="00847383" w:rsidRDefault="00723BAB" w:rsidP="000B7A87">
      <w:pPr>
        <w:pStyle w:val="Heading6"/>
      </w:pPr>
      <w:r w:rsidRPr="00702D3C">
        <w:t>Table</w:t>
      </w:r>
      <w:r>
        <w:t xml:space="preserve"> </w:t>
      </w:r>
      <w:r w:rsidRPr="00702D3C">
        <w:t>1</w:t>
      </w:r>
      <w: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865"/>
        <w:gridCol w:w="3254"/>
      </w:tblGrid>
      <w:tr w:rsidR="00723BAB" w:rsidRPr="00D455EB" w:rsidTr="00D455EB">
        <w:tc>
          <w:tcPr>
            <w:tcW w:w="1805" w:type="pct"/>
            <w:shd w:val="clear" w:color="auto" w:fill="D2DFEE"/>
          </w:tcPr>
          <w:p w:rsidR="00723BAB" w:rsidRPr="00D455EB" w:rsidRDefault="00723BAB" w:rsidP="00D455EB">
            <w:pPr>
              <w:keepNext/>
              <w:ind w:firstLine="720"/>
              <w:jc w:val="both"/>
              <w:rPr>
                <w:b/>
              </w:rPr>
            </w:pPr>
            <w:r w:rsidRPr="00D455EB">
              <w:rPr>
                <w:b/>
              </w:rPr>
              <w:t>20X2</w:t>
            </w:r>
          </w:p>
        </w:tc>
        <w:tc>
          <w:tcPr>
            <w:tcW w:w="1496" w:type="pct"/>
            <w:shd w:val="clear" w:color="auto" w:fill="D2DFEE"/>
          </w:tcPr>
          <w:p w:rsidR="00723BAB" w:rsidRPr="00D455EB" w:rsidRDefault="00723BAB" w:rsidP="00D455EB">
            <w:pPr>
              <w:keepNext/>
              <w:jc w:val="right"/>
              <w:rPr>
                <w:b/>
              </w:rPr>
            </w:pPr>
            <w:r w:rsidRPr="00D455EB">
              <w:rPr>
                <w:b/>
              </w:rPr>
              <w:t>Mrs Red</w:t>
            </w:r>
          </w:p>
        </w:tc>
        <w:tc>
          <w:tcPr>
            <w:tcW w:w="1699" w:type="pct"/>
            <w:shd w:val="clear" w:color="auto" w:fill="D2DFEE"/>
          </w:tcPr>
          <w:p w:rsidR="00723BAB" w:rsidRPr="00D455EB" w:rsidRDefault="00723BAB" w:rsidP="00D455EB">
            <w:pPr>
              <w:keepNext/>
              <w:jc w:val="right"/>
              <w:rPr>
                <w:b/>
              </w:rPr>
            </w:pPr>
            <w:r w:rsidRPr="00D455EB">
              <w:rPr>
                <w:b/>
              </w:rPr>
              <w:t>Red Australia Pty Ltd</w:t>
            </w:r>
          </w:p>
        </w:tc>
      </w:tr>
      <w:tr w:rsidR="00723BAB" w:rsidRPr="00D455EB" w:rsidTr="00D455EB">
        <w:tc>
          <w:tcPr>
            <w:tcW w:w="1805" w:type="pct"/>
            <w:shd w:val="clear" w:color="auto" w:fill="D2DFEE"/>
          </w:tcPr>
          <w:p w:rsidR="00723BAB" w:rsidRPr="00D455EB" w:rsidRDefault="00723BAB" w:rsidP="00D455EB">
            <w:pPr>
              <w:keepNext/>
              <w:jc w:val="both"/>
              <w:rPr>
                <w:b/>
              </w:rPr>
            </w:pPr>
            <w:r w:rsidRPr="00D455EB">
              <w:rPr>
                <w:b/>
              </w:rPr>
              <w:t>Specific entitlement</w:t>
            </w:r>
          </w:p>
        </w:tc>
        <w:tc>
          <w:tcPr>
            <w:tcW w:w="1496" w:type="pct"/>
            <w:shd w:val="clear" w:color="auto" w:fill="D2DFEE"/>
          </w:tcPr>
          <w:p w:rsidR="00723BAB" w:rsidRPr="00847383" w:rsidRDefault="00723BAB" w:rsidP="00D455EB">
            <w:pPr>
              <w:keepNext/>
              <w:jc w:val="right"/>
            </w:pPr>
            <w:r>
              <w:t>10,000</w:t>
            </w:r>
          </w:p>
        </w:tc>
        <w:tc>
          <w:tcPr>
            <w:tcW w:w="1699" w:type="pct"/>
            <w:shd w:val="clear" w:color="auto" w:fill="D2DFEE"/>
          </w:tcPr>
          <w:p w:rsidR="00723BAB" w:rsidRPr="00847383" w:rsidRDefault="00723BAB" w:rsidP="00D455EB">
            <w:pPr>
              <w:keepNext/>
              <w:jc w:val="right"/>
            </w:pPr>
            <w:r>
              <w:t>0</w:t>
            </w:r>
          </w:p>
        </w:tc>
      </w:tr>
      <w:tr w:rsidR="00723BAB" w:rsidRPr="00D455EB" w:rsidTr="00D455EB">
        <w:tc>
          <w:tcPr>
            <w:tcW w:w="1805" w:type="pct"/>
            <w:shd w:val="clear" w:color="auto" w:fill="D2DFEE"/>
          </w:tcPr>
          <w:p w:rsidR="00723BAB" w:rsidRPr="00D455EB" w:rsidRDefault="00723BAB" w:rsidP="00D455EB">
            <w:pPr>
              <w:keepNext/>
              <w:spacing w:before="40"/>
              <w:jc w:val="both"/>
              <w:rPr>
                <w:b/>
              </w:rPr>
            </w:pPr>
            <w:r w:rsidRPr="00D455EB">
              <w:rPr>
                <w:b/>
              </w:rPr>
              <w:t>Adjusted Division 6 percentage share</w:t>
            </w:r>
          </w:p>
        </w:tc>
        <w:tc>
          <w:tcPr>
            <w:tcW w:w="1496" w:type="pct"/>
            <w:shd w:val="clear" w:color="auto" w:fill="D2DFEE"/>
          </w:tcPr>
          <w:p w:rsidR="00723BAB" w:rsidRPr="00847383" w:rsidRDefault="00723BAB" w:rsidP="00D455EB">
            <w:pPr>
              <w:keepNext/>
              <w:jc w:val="right"/>
            </w:pPr>
            <w:r>
              <w:t>0</w:t>
            </w:r>
          </w:p>
        </w:tc>
        <w:tc>
          <w:tcPr>
            <w:tcW w:w="1699" w:type="pct"/>
            <w:shd w:val="clear" w:color="auto" w:fill="D2DFEE"/>
          </w:tcPr>
          <w:p w:rsidR="00723BAB" w:rsidRPr="00847383" w:rsidRDefault="00723BAB" w:rsidP="00D455EB">
            <w:pPr>
              <w:keepNext/>
              <w:jc w:val="right"/>
            </w:pPr>
            <w:r>
              <w:t>185</w:t>
            </w:r>
          </w:p>
        </w:tc>
      </w:tr>
      <w:tr w:rsidR="00723BAB" w:rsidRPr="00D455EB" w:rsidTr="00D455EB">
        <w:tc>
          <w:tcPr>
            <w:tcW w:w="1805" w:type="pct"/>
            <w:shd w:val="clear" w:color="auto" w:fill="D2DFEE"/>
          </w:tcPr>
          <w:p w:rsidR="00723BAB" w:rsidRPr="00D455EB" w:rsidRDefault="00723BAB" w:rsidP="00D455EB">
            <w:pPr>
              <w:spacing w:before="40"/>
              <w:jc w:val="both"/>
              <w:rPr>
                <w:b/>
              </w:rPr>
            </w:pPr>
            <w:r w:rsidRPr="00D455EB">
              <w:rPr>
                <w:b/>
              </w:rPr>
              <w:t>Total</w:t>
            </w:r>
          </w:p>
        </w:tc>
        <w:tc>
          <w:tcPr>
            <w:tcW w:w="1496" w:type="pct"/>
            <w:shd w:val="clear" w:color="auto" w:fill="D2DFEE"/>
          </w:tcPr>
          <w:p w:rsidR="00723BAB" w:rsidRPr="00847383" w:rsidRDefault="00723BAB" w:rsidP="00D455EB">
            <w:pPr>
              <w:jc w:val="right"/>
            </w:pPr>
            <w:r>
              <w:t>10,000</w:t>
            </w:r>
          </w:p>
        </w:tc>
        <w:tc>
          <w:tcPr>
            <w:tcW w:w="1699" w:type="pct"/>
            <w:shd w:val="clear" w:color="auto" w:fill="D2DFEE"/>
          </w:tcPr>
          <w:p w:rsidR="00723BAB" w:rsidRPr="00847383" w:rsidRDefault="00723BAB" w:rsidP="00D455EB">
            <w:pPr>
              <w:jc w:val="right"/>
            </w:pPr>
            <w:r>
              <w:t>185</w:t>
            </w:r>
          </w:p>
        </w:tc>
      </w:tr>
    </w:tbl>
    <w:p w:rsidR="00723BAB" w:rsidRDefault="00723BAB" w:rsidP="00675F0B">
      <w:pPr>
        <w:spacing w:before="240"/>
      </w:pPr>
      <w:r>
        <w:t>Under 207</w:t>
      </w:r>
      <w:r>
        <w:noBreakHyphen/>
        <w:t>B, each beneficiary is also assessed on a corresponding share of the franking credit as follows:</w:t>
      </w:r>
    </w:p>
    <w:p w:rsidR="00723BAB" w:rsidRPr="003871DC" w:rsidRDefault="00723BAB" w:rsidP="003871DC">
      <w:pPr>
        <w:pStyle w:val="Bullet"/>
        <w:rPr>
          <w:sz w:val="22"/>
          <w:szCs w:val="22"/>
        </w:rPr>
      </w:pPr>
      <w:r w:rsidRPr="003871DC">
        <w:rPr>
          <w:sz w:val="22"/>
          <w:szCs w:val="22"/>
        </w:rPr>
        <w:t>Mrs Ruby: 98 per cent of $4,365 franking credit = $4,286; and</w:t>
      </w:r>
    </w:p>
    <w:p w:rsidR="00723BAB" w:rsidRPr="003871DC" w:rsidRDefault="00723BAB" w:rsidP="003871DC">
      <w:pPr>
        <w:pStyle w:val="Bullet"/>
        <w:rPr>
          <w:sz w:val="22"/>
          <w:szCs w:val="22"/>
        </w:rPr>
      </w:pPr>
      <w:r w:rsidRPr="003871DC">
        <w:rPr>
          <w:sz w:val="22"/>
          <w:szCs w:val="22"/>
        </w:rPr>
        <w:t>Silver Australia Pty Ltd: 2 per cent of $4,365 franking credit = $79.</w:t>
      </w:r>
    </w:p>
    <w:p w:rsidR="00723BAB" w:rsidRPr="00847383" w:rsidRDefault="00723BAB" w:rsidP="00675F0B">
      <w:pPr>
        <w:pStyle w:val="Heading4"/>
      </w:pPr>
      <w:r w:rsidRPr="00847383">
        <w:t>7. Recalculate assessable amounts using Division 6E</w:t>
      </w:r>
    </w:p>
    <w:p w:rsidR="00723BAB" w:rsidRPr="00847383" w:rsidRDefault="00723BAB" w:rsidP="00675F0B">
      <w:r w:rsidRPr="00847383">
        <w:t xml:space="preserve">The Division 6E income is $31,350 for 20X1 </w:t>
      </w:r>
      <w:r>
        <w:t xml:space="preserve">(trust income of $41,955 less $10,605 franked distributions) </w:t>
      </w:r>
      <w:r w:rsidRPr="00847383">
        <w:t xml:space="preserve">and $3,200 </w:t>
      </w:r>
      <w:r>
        <w:t>for 20X2 ($13,385 trust income less $10,185 franked distributions)</w:t>
      </w:r>
      <w:r w:rsidRPr="00847383">
        <w:t>.</w:t>
      </w:r>
    </w:p>
    <w:p w:rsidR="00723BAB" w:rsidRPr="00847383" w:rsidRDefault="00723BAB" w:rsidP="00675F0B">
      <w:r w:rsidRPr="00847383">
        <w:t xml:space="preserve">The Division 6E taxable income is $3,500 for 20X1 </w:t>
      </w:r>
      <w:r>
        <w:t xml:space="preserve">($18,650 taxable income, less $10,605 franked dividends and $4,545 franking credits) </w:t>
      </w:r>
      <w:r w:rsidRPr="00847383">
        <w:t>and $36,100 for 20X2</w:t>
      </w:r>
      <w:r>
        <w:t xml:space="preserve"> ($50,650 less $10,185 franked dividends and $4,365 franking credits)</w:t>
      </w:r>
      <w:r w:rsidRPr="00847383">
        <w:t>.</w:t>
      </w:r>
    </w:p>
    <w:p w:rsidR="00723BAB" w:rsidRPr="00847383" w:rsidRDefault="00723BAB" w:rsidP="00675F0B">
      <w:r w:rsidRPr="00847383">
        <w:t>Mrs R</w:t>
      </w:r>
      <w:r>
        <w:t>uby</w:t>
      </w:r>
      <w:r w:rsidRPr="007C5007">
        <w:t>’</w:t>
      </w:r>
      <w:r w:rsidRPr="00847383">
        <w:t>s</w:t>
      </w:r>
      <w:r>
        <w:t xml:space="preserve"> present entitlement to the Division 6E income, ignoring her present entitlement to the franked dividends to which she is specifically entitled in each year, is $0</w:t>
      </w:r>
      <w:r w:rsidRPr="00847383">
        <w:t>.</w:t>
      </w:r>
    </w:p>
    <w:p w:rsidR="00723BAB" w:rsidRDefault="00723BAB" w:rsidP="00675F0B">
      <w:r>
        <w:t>Silver</w:t>
      </w:r>
      <w:r w:rsidRPr="00847383">
        <w:t xml:space="preserve"> Australia</w:t>
      </w:r>
      <w:r w:rsidRPr="007C5007">
        <w:t>’</w:t>
      </w:r>
      <w:r w:rsidRPr="00847383">
        <w:t>s Divi</w:t>
      </w:r>
      <w:r>
        <w:t>sion 6E present entitlement is 100 per cent in each year</w:t>
      </w:r>
      <w:r w:rsidRPr="00B030DB">
        <w:t>.</w:t>
      </w:r>
    </w:p>
    <w:p w:rsidR="00723BAB" w:rsidRPr="00847383" w:rsidRDefault="00723BAB" w:rsidP="00675F0B">
      <w:r w:rsidRPr="00847383">
        <w:t>The modified amounts assessable under Division 6 are as follows:</w:t>
      </w:r>
    </w:p>
    <w:p w:rsidR="00723BAB" w:rsidRPr="00847383" w:rsidRDefault="00723BAB" w:rsidP="000B7A87">
      <w:pPr>
        <w:pStyle w:val="Heading6"/>
      </w:pPr>
      <w:r w:rsidRPr="00702D3C">
        <w:t>Table</w:t>
      </w:r>
      <w:r>
        <w:t xml:space="preserve"> </w:t>
      </w:r>
      <w:r w:rsidRPr="00702D3C">
        <w:t>1</w:t>
      </w:r>
      <w:r>
        <w:t xml:space="preserve">8: </w:t>
      </w:r>
      <w:r w:rsidRPr="00702D3C">
        <w:t>20X1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330"/>
        <w:gridCol w:w="2588"/>
        <w:gridCol w:w="2587"/>
      </w:tblGrid>
      <w:tr w:rsidR="00723BAB" w:rsidRPr="00D455EB" w:rsidTr="00D455EB">
        <w:tc>
          <w:tcPr>
            <w:tcW w:w="1081" w:type="pct"/>
            <w:shd w:val="clear" w:color="auto" w:fill="D2DFEE"/>
          </w:tcPr>
          <w:p w:rsidR="00723BAB" w:rsidRPr="00D455EB" w:rsidRDefault="00723BAB" w:rsidP="00D455EB">
            <w:pPr>
              <w:jc w:val="both"/>
              <w:rPr>
                <w:b/>
              </w:rPr>
            </w:pPr>
            <w:r w:rsidRPr="00D455EB">
              <w:rPr>
                <w:b/>
              </w:rPr>
              <w:t>Beneficiary</w:t>
            </w:r>
          </w:p>
        </w:tc>
        <w:tc>
          <w:tcPr>
            <w:tcW w:w="1216" w:type="pct"/>
            <w:shd w:val="clear" w:color="auto" w:fill="D2DFEE"/>
          </w:tcPr>
          <w:p w:rsidR="00723BAB" w:rsidRPr="00D455EB" w:rsidRDefault="00723BAB" w:rsidP="00D455EB">
            <w:pPr>
              <w:jc w:val="right"/>
              <w:rPr>
                <w:b/>
              </w:rPr>
            </w:pPr>
            <w:r w:rsidRPr="00D455EB">
              <w:rPr>
                <w:b/>
              </w:rPr>
              <w:t>Division 6E present entitlement</w:t>
            </w:r>
          </w:p>
        </w:tc>
        <w:tc>
          <w:tcPr>
            <w:tcW w:w="1351" w:type="pct"/>
            <w:shd w:val="clear" w:color="auto" w:fill="D2DFEE"/>
          </w:tcPr>
          <w:p w:rsidR="00723BAB" w:rsidRPr="00D455EB" w:rsidRDefault="00723BAB" w:rsidP="00D455EB">
            <w:pPr>
              <w:jc w:val="right"/>
              <w:rPr>
                <w:b/>
              </w:rPr>
            </w:pPr>
            <w:r w:rsidRPr="00D455EB">
              <w:rPr>
                <w:b/>
              </w:rPr>
              <w:t>Share of Division 6E income</w:t>
            </w:r>
          </w:p>
        </w:tc>
        <w:tc>
          <w:tcPr>
            <w:tcW w:w="1351" w:type="pct"/>
            <w:shd w:val="clear" w:color="auto" w:fill="D2DFEE"/>
          </w:tcPr>
          <w:p w:rsidR="00723BAB" w:rsidRPr="00D455EB" w:rsidRDefault="00723BAB" w:rsidP="00D455EB">
            <w:pPr>
              <w:jc w:val="right"/>
              <w:rPr>
                <w:b/>
              </w:rPr>
            </w:pPr>
            <w:r w:rsidRPr="00D455EB">
              <w:rPr>
                <w:b/>
              </w:rPr>
              <w:t>s 97 assessable amount</w:t>
            </w:r>
          </w:p>
        </w:tc>
      </w:tr>
      <w:tr w:rsidR="00723BAB" w:rsidRPr="00D455EB" w:rsidTr="00D455EB">
        <w:tc>
          <w:tcPr>
            <w:tcW w:w="1081" w:type="pct"/>
            <w:shd w:val="clear" w:color="auto" w:fill="D2DFEE"/>
          </w:tcPr>
          <w:p w:rsidR="00723BAB" w:rsidRPr="00D455EB" w:rsidRDefault="00723BAB" w:rsidP="00D455EB">
            <w:pPr>
              <w:jc w:val="both"/>
              <w:rPr>
                <w:b/>
              </w:rPr>
            </w:pPr>
            <w:r w:rsidRPr="00D455EB">
              <w:rPr>
                <w:b/>
              </w:rPr>
              <w:t>Mrs Ruby</w:t>
            </w:r>
          </w:p>
        </w:tc>
        <w:tc>
          <w:tcPr>
            <w:tcW w:w="1216" w:type="pct"/>
            <w:shd w:val="clear" w:color="auto" w:fill="D2DFEE"/>
          </w:tcPr>
          <w:p w:rsidR="00723BAB" w:rsidRPr="00847383" w:rsidRDefault="00723BAB" w:rsidP="00D455EB">
            <w:pPr>
              <w:spacing w:before="40"/>
              <w:jc w:val="right"/>
            </w:pPr>
            <w:r>
              <w:t>0</w:t>
            </w:r>
          </w:p>
        </w:tc>
        <w:tc>
          <w:tcPr>
            <w:tcW w:w="1351" w:type="pct"/>
            <w:shd w:val="clear" w:color="auto" w:fill="D2DFEE"/>
          </w:tcPr>
          <w:p w:rsidR="00723BAB" w:rsidRPr="00847383" w:rsidRDefault="00723BAB" w:rsidP="00D455EB">
            <w:pPr>
              <w:jc w:val="right"/>
            </w:pPr>
            <w:r>
              <w:t>0</w:t>
            </w:r>
          </w:p>
        </w:tc>
        <w:tc>
          <w:tcPr>
            <w:tcW w:w="1351" w:type="pct"/>
            <w:shd w:val="clear" w:color="auto" w:fill="D2DFEE"/>
          </w:tcPr>
          <w:p w:rsidR="00723BAB" w:rsidRPr="00847383" w:rsidRDefault="00723BAB" w:rsidP="00D455EB">
            <w:pPr>
              <w:jc w:val="right"/>
            </w:pPr>
            <w:r>
              <w:t>0</w:t>
            </w:r>
          </w:p>
        </w:tc>
      </w:tr>
      <w:tr w:rsidR="00723BAB" w:rsidRPr="00D455EB" w:rsidTr="00D455EB">
        <w:tc>
          <w:tcPr>
            <w:tcW w:w="1081" w:type="pct"/>
            <w:shd w:val="clear" w:color="auto" w:fill="D2DFEE"/>
          </w:tcPr>
          <w:p w:rsidR="00723BAB" w:rsidRPr="00D455EB" w:rsidRDefault="00723BAB" w:rsidP="00D455EB">
            <w:pPr>
              <w:spacing w:before="40"/>
              <w:jc w:val="both"/>
              <w:rPr>
                <w:b/>
              </w:rPr>
            </w:pPr>
            <w:r w:rsidRPr="00D455EB">
              <w:rPr>
                <w:b/>
              </w:rPr>
              <w:t>Silver Australia Pty Ltd</w:t>
            </w:r>
          </w:p>
        </w:tc>
        <w:tc>
          <w:tcPr>
            <w:tcW w:w="1216" w:type="pct"/>
            <w:shd w:val="clear" w:color="auto" w:fill="D2DFEE"/>
          </w:tcPr>
          <w:p w:rsidR="00723BAB" w:rsidRPr="00847383" w:rsidRDefault="00723BAB" w:rsidP="00D455EB">
            <w:pPr>
              <w:spacing w:before="40"/>
              <w:jc w:val="right"/>
            </w:pPr>
            <w:r>
              <w:t>100%</w:t>
            </w:r>
          </w:p>
        </w:tc>
        <w:tc>
          <w:tcPr>
            <w:tcW w:w="1351" w:type="pct"/>
            <w:shd w:val="clear" w:color="auto" w:fill="D2DFEE"/>
          </w:tcPr>
          <w:p w:rsidR="00723BAB" w:rsidRPr="00847383" w:rsidRDefault="00723BAB" w:rsidP="00D455EB">
            <w:pPr>
              <w:jc w:val="right"/>
            </w:pPr>
            <w:r>
              <w:t>31,350</w:t>
            </w:r>
          </w:p>
        </w:tc>
        <w:tc>
          <w:tcPr>
            <w:tcW w:w="1351" w:type="pct"/>
            <w:shd w:val="clear" w:color="auto" w:fill="D2DFEE"/>
          </w:tcPr>
          <w:p w:rsidR="00723BAB" w:rsidRPr="00847383" w:rsidRDefault="00723BAB" w:rsidP="00D455EB">
            <w:pPr>
              <w:jc w:val="right"/>
            </w:pPr>
            <w:r>
              <w:t>3,500</w:t>
            </w:r>
          </w:p>
        </w:tc>
      </w:tr>
    </w:tbl>
    <w:p w:rsidR="00723BAB" w:rsidRDefault="00723BAB" w:rsidP="000B7A87">
      <w:pPr>
        <w:pStyle w:val="Heading6"/>
      </w:pPr>
    </w:p>
    <w:p w:rsidR="00723BAB" w:rsidRPr="00847383" w:rsidRDefault="00723BAB" w:rsidP="000B7A87">
      <w:pPr>
        <w:pStyle w:val="Heading6"/>
      </w:pPr>
      <w:r w:rsidRPr="00702D3C">
        <w:t>Table</w:t>
      </w:r>
      <w:r>
        <w:t xml:space="preserve"> </w:t>
      </w:r>
      <w:r w:rsidRPr="00702D3C">
        <w:t>1</w:t>
      </w:r>
      <w:r>
        <w:t xml:space="preserve">9: </w:t>
      </w:r>
      <w:r w:rsidRPr="00702D3C">
        <w:t>20X2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330"/>
        <w:gridCol w:w="2588"/>
        <w:gridCol w:w="2587"/>
      </w:tblGrid>
      <w:tr w:rsidR="00723BAB" w:rsidRPr="00D455EB" w:rsidTr="00D455EB">
        <w:tc>
          <w:tcPr>
            <w:tcW w:w="1081" w:type="pct"/>
            <w:shd w:val="clear" w:color="auto" w:fill="D2DFEE"/>
          </w:tcPr>
          <w:p w:rsidR="00723BAB" w:rsidRPr="00D455EB" w:rsidRDefault="00723BAB" w:rsidP="00D455EB">
            <w:pPr>
              <w:jc w:val="both"/>
              <w:rPr>
                <w:b/>
              </w:rPr>
            </w:pPr>
            <w:r w:rsidRPr="00D455EB">
              <w:rPr>
                <w:b/>
              </w:rPr>
              <w:t>Beneficiary</w:t>
            </w:r>
          </w:p>
        </w:tc>
        <w:tc>
          <w:tcPr>
            <w:tcW w:w="1216" w:type="pct"/>
            <w:shd w:val="clear" w:color="auto" w:fill="D2DFEE"/>
          </w:tcPr>
          <w:p w:rsidR="00723BAB" w:rsidRPr="00D455EB" w:rsidRDefault="00723BAB" w:rsidP="00D455EB">
            <w:pPr>
              <w:jc w:val="right"/>
              <w:rPr>
                <w:b/>
              </w:rPr>
            </w:pPr>
            <w:r w:rsidRPr="00D455EB">
              <w:rPr>
                <w:b/>
              </w:rPr>
              <w:t>Division 6E present entitlement</w:t>
            </w:r>
          </w:p>
        </w:tc>
        <w:tc>
          <w:tcPr>
            <w:tcW w:w="1351" w:type="pct"/>
            <w:shd w:val="clear" w:color="auto" w:fill="D2DFEE"/>
          </w:tcPr>
          <w:p w:rsidR="00723BAB" w:rsidRPr="00D455EB" w:rsidRDefault="00723BAB" w:rsidP="00D455EB">
            <w:pPr>
              <w:jc w:val="right"/>
              <w:rPr>
                <w:b/>
              </w:rPr>
            </w:pPr>
            <w:r w:rsidRPr="00D455EB">
              <w:rPr>
                <w:b/>
              </w:rPr>
              <w:t>Share of Division 6E income</w:t>
            </w:r>
          </w:p>
        </w:tc>
        <w:tc>
          <w:tcPr>
            <w:tcW w:w="1351" w:type="pct"/>
            <w:shd w:val="clear" w:color="auto" w:fill="D2DFEE"/>
          </w:tcPr>
          <w:p w:rsidR="00723BAB" w:rsidRPr="00D455EB" w:rsidRDefault="00723BAB" w:rsidP="00D455EB">
            <w:pPr>
              <w:jc w:val="right"/>
              <w:rPr>
                <w:b/>
              </w:rPr>
            </w:pPr>
            <w:r w:rsidRPr="00D455EB">
              <w:rPr>
                <w:b/>
              </w:rPr>
              <w:t>s 97 assessable amount</w:t>
            </w:r>
          </w:p>
        </w:tc>
      </w:tr>
      <w:tr w:rsidR="00723BAB" w:rsidRPr="00D455EB" w:rsidTr="00D455EB">
        <w:tc>
          <w:tcPr>
            <w:tcW w:w="1081" w:type="pct"/>
            <w:shd w:val="clear" w:color="auto" w:fill="D2DFEE"/>
          </w:tcPr>
          <w:p w:rsidR="00723BAB" w:rsidRPr="00D455EB" w:rsidRDefault="00723BAB" w:rsidP="00D455EB">
            <w:pPr>
              <w:jc w:val="both"/>
              <w:rPr>
                <w:b/>
              </w:rPr>
            </w:pPr>
            <w:r w:rsidRPr="00D455EB">
              <w:rPr>
                <w:b/>
              </w:rPr>
              <w:t>Mrs Ruby</w:t>
            </w:r>
          </w:p>
        </w:tc>
        <w:tc>
          <w:tcPr>
            <w:tcW w:w="1216" w:type="pct"/>
            <w:shd w:val="clear" w:color="auto" w:fill="D2DFEE"/>
          </w:tcPr>
          <w:p w:rsidR="00723BAB" w:rsidRPr="007C5007" w:rsidRDefault="00723BAB" w:rsidP="00D455EB">
            <w:pPr>
              <w:jc w:val="right"/>
            </w:pPr>
            <w:r>
              <w:t>0</w:t>
            </w:r>
          </w:p>
        </w:tc>
        <w:tc>
          <w:tcPr>
            <w:tcW w:w="1351" w:type="pct"/>
            <w:shd w:val="clear" w:color="auto" w:fill="D2DFEE"/>
          </w:tcPr>
          <w:p w:rsidR="00723BAB" w:rsidRPr="007C5007" w:rsidRDefault="00723BAB" w:rsidP="00D455EB">
            <w:pPr>
              <w:jc w:val="right"/>
            </w:pPr>
            <w:r>
              <w:t>0</w:t>
            </w:r>
          </w:p>
        </w:tc>
        <w:tc>
          <w:tcPr>
            <w:tcW w:w="1351" w:type="pct"/>
            <w:shd w:val="clear" w:color="auto" w:fill="D2DFEE"/>
          </w:tcPr>
          <w:p w:rsidR="00723BAB" w:rsidRPr="007C5007" w:rsidRDefault="00723BAB" w:rsidP="00D455EB">
            <w:pPr>
              <w:jc w:val="right"/>
            </w:pPr>
            <w:r>
              <w:t>0</w:t>
            </w:r>
          </w:p>
        </w:tc>
      </w:tr>
      <w:tr w:rsidR="00723BAB" w:rsidRPr="00D455EB" w:rsidTr="00D455EB">
        <w:tc>
          <w:tcPr>
            <w:tcW w:w="1081" w:type="pct"/>
            <w:shd w:val="clear" w:color="auto" w:fill="D2DFEE"/>
          </w:tcPr>
          <w:p w:rsidR="00723BAB" w:rsidRPr="00D455EB" w:rsidRDefault="00723BAB" w:rsidP="00D455EB">
            <w:pPr>
              <w:jc w:val="both"/>
              <w:rPr>
                <w:b/>
              </w:rPr>
            </w:pPr>
            <w:r w:rsidRPr="00D455EB">
              <w:rPr>
                <w:b/>
              </w:rPr>
              <w:t>Silver Australia Pty Ltd</w:t>
            </w:r>
          </w:p>
        </w:tc>
        <w:tc>
          <w:tcPr>
            <w:tcW w:w="1216" w:type="pct"/>
            <w:shd w:val="clear" w:color="auto" w:fill="D2DFEE"/>
          </w:tcPr>
          <w:p w:rsidR="00723BAB" w:rsidRPr="007C5007" w:rsidRDefault="00723BAB" w:rsidP="00D455EB">
            <w:pPr>
              <w:jc w:val="right"/>
            </w:pPr>
            <w:r>
              <w:t>100%</w:t>
            </w:r>
          </w:p>
        </w:tc>
        <w:tc>
          <w:tcPr>
            <w:tcW w:w="1351" w:type="pct"/>
            <w:shd w:val="clear" w:color="auto" w:fill="D2DFEE"/>
          </w:tcPr>
          <w:p w:rsidR="00723BAB" w:rsidRPr="007C5007" w:rsidRDefault="00723BAB" w:rsidP="00D455EB">
            <w:pPr>
              <w:jc w:val="right"/>
            </w:pPr>
            <w:r w:rsidRPr="007C5007">
              <w:t>3,200</w:t>
            </w:r>
          </w:p>
        </w:tc>
        <w:tc>
          <w:tcPr>
            <w:tcW w:w="1351" w:type="pct"/>
            <w:shd w:val="clear" w:color="auto" w:fill="D2DFEE"/>
          </w:tcPr>
          <w:p w:rsidR="00723BAB" w:rsidRPr="007C5007" w:rsidRDefault="00723BAB" w:rsidP="00D455EB">
            <w:pPr>
              <w:jc w:val="right"/>
            </w:pPr>
            <w:r>
              <w:t>36,100</w:t>
            </w:r>
          </w:p>
        </w:tc>
      </w:tr>
    </w:tbl>
    <w:p w:rsidR="00723BAB" w:rsidRDefault="00723BAB" w:rsidP="00B030DB">
      <w:pPr>
        <w:pStyle w:val="Heading4"/>
      </w:pPr>
    </w:p>
    <w:p w:rsidR="00723BAB" w:rsidRDefault="00723BAB">
      <w:pPr>
        <w:spacing w:after="0" w:line="240" w:lineRule="auto"/>
        <w:rPr>
          <w:rFonts w:ascii="Cambria" w:hAnsi="Cambria"/>
          <w:b/>
          <w:bCs/>
          <w:i/>
          <w:color w:val="4F81BD"/>
          <w:szCs w:val="22"/>
        </w:rPr>
      </w:pPr>
      <w:r>
        <w:br w:type="page"/>
      </w:r>
    </w:p>
    <w:p w:rsidR="00723BAB" w:rsidRPr="00847383" w:rsidRDefault="00723BAB" w:rsidP="00B030DB">
      <w:pPr>
        <w:pStyle w:val="Heading4"/>
      </w:pPr>
      <w:r w:rsidRPr="00847383">
        <w:t>8. Overall result</w:t>
      </w:r>
    </w:p>
    <w:p w:rsidR="00723BAB" w:rsidRPr="00847383" w:rsidRDefault="00723BAB" w:rsidP="000B7A87">
      <w:pPr>
        <w:pStyle w:val="Heading6"/>
      </w:pPr>
      <w:r w:rsidRPr="00702D3C">
        <w:t>Table</w:t>
      </w:r>
      <w:r>
        <w:t xml:space="preserve"> 20</w:t>
      </w:r>
      <w:r w:rsidRPr="00702D3C">
        <w:t>: 20X1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6"/>
        <w:gridCol w:w="3398"/>
        <w:gridCol w:w="3432"/>
      </w:tblGrid>
      <w:tr w:rsidR="00723BAB" w:rsidRPr="00D455EB" w:rsidTr="00C93AD4">
        <w:tc>
          <w:tcPr>
            <w:tcW w:w="1434" w:type="pct"/>
            <w:shd w:val="clear" w:color="auto" w:fill="D2DFEE"/>
          </w:tcPr>
          <w:p w:rsidR="00723BAB" w:rsidRPr="00D455EB" w:rsidRDefault="00723BAB" w:rsidP="00675F0B">
            <w:r w:rsidRPr="00D455EB">
              <w:t>Amount</w:t>
            </w:r>
          </w:p>
        </w:tc>
        <w:tc>
          <w:tcPr>
            <w:tcW w:w="1774" w:type="pct"/>
            <w:shd w:val="clear" w:color="auto" w:fill="D2DFEE"/>
          </w:tcPr>
          <w:p w:rsidR="00723BAB" w:rsidRPr="00D455EB" w:rsidRDefault="00723BAB" w:rsidP="00C93AD4">
            <w:pPr>
              <w:jc w:val="right"/>
            </w:pPr>
            <w:r w:rsidRPr="00D455EB">
              <w:t>Mrs Red</w:t>
            </w:r>
          </w:p>
        </w:tc>
        <w:tc>
          <w:tcPr>
            <w:tcW w:w="1792" w:type="pct"/>
            <w:shd w:val="clear" w:color="auto" w:fill="D2DFEE"/>
          </w:tcPr>
          <w:p w:rsidR="00723BAB" w:rsidRPr="00D455EB" w:rsidRDefault="00723BAB" w:rsidP="00C93AD4">
            <w:pPr>
              <w:jc w:val="right"/>
            </w:pPr>
            <w:r w:rsidRPr="00D455EB">
              <w:t>Red Australia Pty Ltd</w:t>
            </w:r>
          </w:p>
        </w:tc>
      </w:tr>
      <w:tr w:rsidR="00723BAB" w:rsidRPr="00D455EB" w:rsidTr="00C93AD4">
        <w:tc>
          <w:tcPr>
            <w:tcW w:w="1434" w:type="pct"/>
            <w:shd w:val="clear" w:color="auto" w:fill="D2DFEE"/>
          </w:tcPr>
          <w:p w:rsidR="00723BAB" w:rsidRPr="00D455EB" w:rsidRDefault="00723BAB" w:rsidP="00675F0B">
            <w:pPr>
              <w:rPr>
                <w:b/>
              </w:rPr>
            </w:pPr>
            <w:r w:rsidRPr="00D455EB">
              <w:rPr>
                <w:b/>
              </w:rPr>
              <w:t>Adjusted s 97 assessable amount</w:t>
            </w:r>
          </w:p>
        </w:tc>
        <w:tc>
          <w:tcPr>
            <w:tcW w:w="1774" w:type="pct"/>
            <w:shd w:val="clear" w:color="auto" w:fill="D2DFEE"/>
          </w:tcPr>
          <w:p w:rsidR="00723BAB" w:rsidRPr="00D455EB" w:rsidRDefault="00723BAB" w:rsidP="00C93AD4">
            <w:pPr>
              <w:spacing w:before="40"/>
              <w:jc w:val="right"/>
            </w:pPr>
            <w:r w:rsidRPr="00D455EB">
              <w:t>0</w:t>
            </w:r>
          </w:p>
        </w:tc>
        <w:tc>
          <w:tcPr>
            <w:tcW w:w="1792" w:type="pct"/>
            <w:shd w:val="clear" w:color="auto" w:fill="D2DFEE"/>
          </w:tcPr>
          <w:p w:rsidR="00723BAB" w:rsidRPr="00D455EB" w:rsidRDefault="00723BAB" w:rsidP="00C93AD4">
            <w:pPr>
              <w:jc w:val="right"/>
            </w:pPr>
            <w:r w:rsidRPr="00D455EB">
              <w:t>3,500</w:t>
            </w:r>
          </w:p>
        </w:tc>
      </w:tr>
      <w:tr w:rsidR="00723BAB" w:rsidRPr="00D455EB" w:rsidTr="00C93AD4">
        <w:tc>
          <w:tcPr>
            <w:tcW w:w="1434" w:type="pct"/>
            <w:shd w:val="clear" w:color="auto" w:fill="D2DFEE"/>
          </w:tcPr>
          <w:p w:rsidR="00723BAB" w:rsidRPr="00D455EB" w:rsidRDefault="00723BAB" w:rsidP="00675F0B">
            <w:pPr>
              <w:spacing w:before="40"/>
              <w:rPr>
                <w:b/>
              </w:rPr>
            </w:pPr>
            <w:r w:rsidRPr="00D455EB">
              <w:rPr>
                <w:b/>
              </w:rPr>
              <w:t>Attributable franked distribution</w:t>
            </w:r>
          </w:p>
        </w:tc>
        <w:tc>
          <w:tcPr>
            <w:tcW w:w="1774" w:type="pct"/>
            <w:shd w:val="clear" w:color="auto" w:fill="D2DFEE"/>
          </w:tcPr>
          <w:p w:rsidR="00723BAB" w:rsidRPr="00D455EB" w:rsidRDefault="00723BAB" w:rsidP="00C93AD4">
            <w:pPr>
              <w:spacing w:before="40"/>
              <w:jc w:val="right"/>
            </w:pPr>
            <w:r w:rsidRPr="00D455EB">
              <w:t>10.000</w:t>
            </w:r>
          </w:p>
        </w:tc>
        <w:tc>
          <w:tcPr>
            <w:tcW w:w="1792" w:type="pct"/>
            <w:shd w:val="clear" w:color="auto" w:fill="D2DFEE"/>
          </w:tcPr>
          <w:p w:rsidR="00723BAB" w:rsidRPr="00D455EB" w:rsidRDefault="00723BAB" w:rsidP="00C93AD4">
            <w:pPr>
              <w:jc w:val="right"/>
            </w:pPr>
            <w:r w:rsidRPr="00D455EB">
              <w:t>605</w:t>
            </w:r>
          </w:p>
        </w:tc>
      </w:tr>
      <w:tr w:rsidR="00723BAB" w:rsidRPr="00D455EB" w:rsidTr="00C93AD4">
        <w:tc>
          <w:tcPr>
            <w:tcW w:w="1434" w:type="pct"/>
            <w:shd w:val="clear" w:color="auto" w:fill="D2DFEE"/>
          </w:tcPr>
          <w:p w:rsidR="00723BAB" w:rsidRPr="00C93AD4" w:rsidRDefault="00723BAB" w:rsidP="00675F0B">
            <w:pPr>
              <w:spacing w:before="40"/>
              <w:rPr>
                <w:b/>
              </w:rPr>
            </w:pPr>
            <w:r w:rsidRPr="00C93AD4">
              <w:rPr>
                <w:b/>
              </w:rPr>
              <w:t>Franking credit</w:t>
            </w:r>
          </w:p>
        </w:tc>
        <w:tc>
          <w:tcPr>
            <w:tcW w:w="1774" w:type="pct"/>
            <w:shd w:val="clear" w:color="auto" w:fill="D2DFEE"/>
          </w:tcPr>
          <w:p w:rsidR="00723BAB" w:rsidRPr="00847383" w:rsidRDefault="00723BAB" w:rsidP="00C93AD4">
            <w:pPr>
              <w:jc w:val="right"/>
            </w:pPr>
            <w:r w:rsidRPr="00D455EB">
              <w:t>4,286</w:t>
            </w:r>
          </w:p>
        </w:tc>
        <w:tc>
          <w:tcPr>
            <w:tcW w:w="1792" w:type="pct"/>
            <w:shd w:val="clear" w:color="auto" w:fill="D2DFEE"/>
          </w:tcPr>
          <w:p w:rsidR="00723BAB" w:rsidRPr="00847383" w:rsidRDefault="00723BAB" w:rsidP="00C93AD4">
            <w:pPr>
              <w:jc w:val="right"/>
            </w:pPr>
            <w:r w:rsidRPr="00D455EB">
              <w:t>259</w:t>
            </w:r>
          </w:p>
        </w:tc>
      </w:tr>
      <w:tr w:rsidR="00723BAB" w:rsidRPr="00D455EB" w:rsidTr="00C93AD4">
        <w:tc>
          <w:tcPr>
            <w:tcW w:w="1434" w:type="pct"/>
            <w:shd w:val="clear" w:color="auto" w:fill="D2DFEE"/>
          </w:tcPr>
          <w:p w:rsidR="00723BAB" w:rsidRPr="00C93AD4" w:rsidRDefault="00723BAB" w:rsidP="00675F0B">
            <w:pPr>
              <w:rPr>
                <w:b/>
              </w:rPr>
            </w:pPr>
            <w:r w:rsidRPr="00C93AD4">
              <w:rPr>
                <w:b/>
              </w:rPr>
              <w:t>Total</w:t>
            </w:r>
          </w:p>
        </w:tc>
        <w:tc>
          <w:tcPr>
            <w:tcW w:w="1774" w:type="pct"/>
            <w:shd w:val="clear" w:color="auto" w:fill="D2DFEE"/>
          </w:tcPr>
          <w:p w:rsidR="00723BAB" w:rsidRPr="00847383" w:rsidRDefault="00723BAB" w:rsidP="00C93AD4">
            <w:pPr>
              <w:spacing w:before="40"/>
              <w:jc w:val="right"/>
            </w:pPr>
            <w:r>
              <w:t>14,286</w:t>
            </w:r>
          </w:p>
        </w:tc>
        <w:tc>
          <w:tcPr>
            <w:tcW w:w="1792" w:type="pct"/>
            <w:shd w:val="clear" w:color="auto" w:fill="D2DFEE"/>
          </w:tcPr>
          <w:p w:rsidR="00723BAB" w:rsidRPr="00847383" w:rsidRDefault="00723BAB" w:rsidP="00C93AD4">
            <w:pPr>
              <w:jc w:val="right"/>
            </w:pPr>
            <w:r>
              <w:t>4,364</w:t>
            </w:r>
          </w:p>
        </w:tc>
      </w:tr>
    </w:tbl>
    <w:p w:rsidR="00723BAB" w:rsidRDefault="00723BAB" w:rsidP="00B030DB">
      <w:pPr>
        <w:pStyle w:val="TableMainHeading"/>
        <w:rPr>
          <w:b w:val="0"/>
        </w:rPr>
      </w:pPr>
    </w:p>
    <w:p w:rsidR="00723BAB" w:rsidRPr="00B030DB" w:rsidRDefault="00723BAB" w:rsidP="000B7A87">
      <w:pPr>
        <w:pStyle w:val="Heading6"/>
        <w:rPr>
          <w:color w:val="002B54"/>
        </w:rPr>
      </w:pPr>
      <w:r>
        <w:t>Table 21: 20X2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3193"/>
        <w:gridCol w:w="3547"/>
      </w:tblGrid>
      <w:tr w:rsidR="00723BAB" w:rsidRPr="00D455EB" w:rsidTr="00D455EB">
        <w:tc>
          <w:tcPr>
            <w:tcW w:w="1481" w:type="pct"/>
            <w:shd w:val="clear" w:color="auto" w:fill="D2DFEE"/>
          </w:tcPr>
          <w:p w:rsidR="00723BAB" w:rsidRPr="00D455EB" w:rsidRDefault="00723BAB" w:rsidP="00D455EB">
            <w:pPr>
              <w:keepNext/>
              <w:jc w:val="both"/>
              <w:rPr>
                <w:b/>
              </w:rPr>
            </w:pPr>
            <w:r w:rsidRPr="00D455EB">
              <w:rPr>
                <w:b/>
              </w:rPr>
              <w:t>Amount</w:t>
            </w:r>
          </w:p>
        </w:tc>
        <w:tc>
          <w:tcPr>
            <w:tcW w:w="1667" w:type="pct"/>
            <w:shd w:val="clear" w:color="auto" w:fill="D2DFEE"/>
          </w:tcPr>
          <w:p w:rsidR="00723BAB" w:rsidRPr="00D455EB" w:rsidRDefault="00723BAB" w:rsidP="00D455EB">
            <w:pPr>
              <w:keepNext/>
              <w:jc w:val="right"/>
              <w:rPr>
                <w:b/>
              </w:rPr>
            </w:pPr>
            <w:r w:rsidRPr="00D455EB">
              <w:rPr>
                <w:b/>
              </w:rPr>
              <w:t>Mrs Ruby</w:t>
            </w:r>
          </w:p>
        </w:tc>
        <w:tc>
          <w:tcPr>
            <w:tcW w:w="1852" w:type="pct"/>
            <w:shd w:val="clear" w:color="auto" w:fill="D2DFEE"/>
          </w:tcPr>
          <w:p w:rsidR="00723BAB" w:rsidRPr="00D455EB" w:rsidRDefault="00723BAB" w:rsidP="00D455EB">
            <w:pPr>
              <w:keepNext/>
              <w:jc w:val="right"/>
              <w:rPr>
                <w:b/>
              </w:rPr>
            </w:pPr>
            <w:r w:rsidRPr="00D455EB">
              <w:rPr>
                <w:b/>
              </w:rPr>
              <w:t>Silver Australia Pty Ltd</w:t>
            </w:r>
          </w:p>
        </w:tc>
      </w:tr>
      <w:tr w:rsidR="00723BAB" w:rsidRPr="00D455EB" w:rsidTr="00D455EB">
        <w:tc>
          <w:tcPr>
            <w:tcW w:w="1481" w:type="pct"/>
            <w:shd w:val="clear" w:color="auto" w:fill="D2DFEE"/>
          </w:tcPr>
          <w:p w:rsidR="00723BAB" w:rsidRPr="00D455EB" w:rsidRDefault="00723BAB" w:rsidP="00D455EB">
            <w:pPr>
              <w:keepNext/>
              <w:jc w:val="both"/>
              <w:rPr>
                <w:b/>
              </w:rPr>
            </w:pPr>
            <w:r w:rsidRPr="00D455EB">
              <w:rPr>
                <w:b/>
              </w:rPr>
              <w:t>Adjusted s 97 assessable amount</w:t>
            </w:r>
          </w:p>
        </w:tc>
        <w:tc>
          <w:tcPr>
            <w:tcW w:w="1667" w:type="pct"/>
            <w:shd w:val="clear" w:color="auto" w:fill="D2DFEE"/>
          </w:tcPr>
          <w:p w:rsidR="00723BAB" w:rsidRPr="00847383" w:rsidRDefault="00723BAB" w:rsidP="00D455EB">
            <w:pPr>
              <w:keepNext/>
              <w:spacing w:before="40"/>
              <w:jc w:val="right"/>
            </w:pPr>
            <w:r>
              <w:t>0</w:t>
            </w:r>
          </w:p>
        </w:tc>
        <w:tc>
          <w:tcPr>
            <w:tcW w:w="1852" w:type="pct"/>
            <w:shd w:val="clear" w:color="auto" w:fill="D2DFEE"/>
          </w:tcPr>
          <w:p w:rsidR="00723BAB" w:rsidRPr="00847383" w:rsidRDefault="00723BAB" w:rsidP="00D455EB">
            <w:pPr>
              <w:keepNext/>
              <w:jc w:val="right"/>
            </w:pPr>
            <w:r>
              <w:t>36,100</w:t>
            </w:r>
          </w:p>
        </w:tc>
      </w:tr>
      <w:tr w:rsidR="00723BAB" w:rsidRPr="00D455EB" w:rsidTr="00D455EB">
        <w:tc>
          <w:tcPr>
            <w:tcW w:w="1481" w:type="pct"/>
            <w:shd w:val="clear" w:color="auto" w:fill="D2DFEE"/>
          </w:tcPr>
          <w:p w:rsidR="00723BAB" w:rsidRPr="00D455EB" w:rsidRDefault="00723BAB" w:rsidP="00D455EB">
            <w:pPr>
              <w:keepNext/>
              <w:spacing w:before="40"/>
              <w:jc w:val="both"/>
              <w:rPr>
                <w:b/>
              </w:rPr>
            </w:pPr>
            <w:r w:rsidRPr="00D455EB">
              <w:rPr>
                <w:b/>
              </w:rPr>
              <w:t>Attributable franked distribution</w:t>
            </w:r>
          </w:p>
        </w:tc>
        <w:tc>
          <w:tcPr>
            <w:tcW w:w="1667" w:type="pct"/>
            <w:shd w:val="clear" w:color="auto" w:fill="D2DFEE"/>
          </w:tcPr>
          <w:p w:rsidR="00723BAB" w:rsidRPr="00847383" w:rsidRDefault="00723BAB" w:rsidP="00D455EB">
            <w:pPr>
              <w:keepNext/>
              <w:spacing w:before="40"/>
              <w:jc w:val="right"/>
            </w:pPr>
            <w:r>
              <w:t>10,000</w:t>
            </w:r>
          </w:p>
        </w:tc>
        <w:tc>
          <w:tcPr>
            <w:tcW w:w="1852" w:type="pct"/>
            <w:shd w:val="clear" w:color="auto" w:fill="D2DFEE"/>
          </w:tcPr>
          <w:p w:rsidR="00723BAB" w:rsidRPr="00847383" w:rsidRDefault="00723BAB" w:rsidP="00D455EB">
            <w:pPr>
              <w:keepNext/>
              <w:jc w:val="right"/>
            </w:pPr>
            <w:r>
              <w:t>185</w:t>
            </w:r>
          </w:p>
        </w:tc>
      </w:tr>
      <w:tr w:rsidR="00723BAB" w:rsidRPr="00D455EB" w:rsidTr="00D455EB">
        <w:tc>
          <w:tcPr>
            <w:tcW w:w="1481" w:type="pct"/>
            <w:shd w:val="clear" w:color="auto" w:fill="D2DFEE"/>
          </w:tcPr>
          <w:p w:rsidR="00723BAB" w:rsidRPr="00D455EB" w:rsidRDefault="00723BAB" w:rsidP="00D455EB">
            <w:pPr>
              <w:keepNext/>
              <w:spacing w:before="40"/>
              <w:jc w:val="both"/>
              <w:rPr>
                <w:b/>
              </w:rPr>
            </w:pPr>
            <w:r w:rsidRPr="00D455EB">
              <w:rPr>
                <w:b/>
              </w:rPr>
              <w:t>Franking credit</w:t>
            </w:r>
          </w:p>
        </w:tc>
        <w:tc>
          <w:tcPr>
            <w:tcW w:w="1667" w:type="pct"/>
            <w:shd w:val="clear" w:color="auto" w:fill="D2DFEE"/>
          </w:tcPr>
          <w:p w:rsidR="00723BAB" w:rsidRPr="00847383" w:rsidRDefault="00723BAB" w:rsidP="00D455EB">
            <w:pPr>
              <w:keepNext/>
              <w:spacing w:before="40"/>
              <w:jc w:val="right"/>
            </w:pPr>
            <w:r w:rsidRPr="00D455EB">
              <w:t>4,286</w:t>
            </w:r>
          </w:p>
        </w:tc>
        <w:tc>
          <w:tcPr>
            <w:tcW w:w="1852" w:type="pct"/>
            <w:shd w:val="clear" w:color="auto" w:fill="D2DFEE"/>
          </w:tcPr>
          <w:p w:rsidR="00723BAB" w:rsidRPr="00847383" w:rsidRDefault="00723BAB" w:rsidP="00D455EB">
            <w:pPr>
              <w:keepNext/>
              <w:jc w:val="right"/>
            </w:pPr>
            <w:r>
              <w:t>79</w:t>
            </w:r>
          </w:p>
        </w:tc>
      </w:tr>
      <w:tr w:rsidR="00723BAB" w:rsidRPr="00D455EB" w:rsidTr="00D455EB">
        <w:tc>
          <w:tcPr>
            <w:tcW w:w="1481" w:type="pct"/>
            <w:shd w:val="clear" w:color="auto" w:fill="D2DFEE"/>
          </w:tcPr>
          <w:p w:rsidR="00723BAB" w:rsidRPr="00D455EB" w:rsidRDefault="00723BAB" w:rsidP="00D455EB">
            <w:pPr>
              <w:spacing w:before="40"/>
              <w:jc w:val="both"/>
              <w:rPr>
                <w:b/>
              </w:rPr>
            </w:pPr>
            <w:r w:rsidRPr="00D455EB">
              <w:rPr>
                <w:b/>
              </w:rPr>
              <w:t>Total</w:t>
            </w:r>
          </w:p>
        </w:tc>
        <w:tc>
          <w:tcPr>
            <w:tcW w:w="1667" w:type="pct"/>
            <w:shd w:val="clear" w:color="auto" w:fill="D2DFEE"/>
          </w:tcPr>
          <w:p w:rsidR="00723BAB" w:rsidRPr="00847383" w:rsidRDefault="00723BAB" w:rsidP="00D455EB">
            <w:pPr>
              <w:spacing w:before="40"/>
              <w:jc w:val="right"/>
            </w:pPr>
            <w:r>
              <w:t>14,286</w:t>
            </w:r>
          </w:p>
        </w:tc>
        <w:tc>
          <w:tcPr>
            <w:tcW w:w="1852" w:type="pct"/>
            <w:shd w:val="clear" w:color="auto" w:fill="D2DFEE"/>
          </w:tcPr>
          <w:p w:rsidR="00723BAB" w:rsidRPr="00847383" w:rsidRDefault="00723BAB" w:rsidP="00D455EB">
            <w:pPr>
              <w:jc w:val="right"/>
            </w:pPr>
            <w:r>
              <w:t>36,364</w:t>
            </w:r>
          </w:p>
        </w:tc>
      </w:tr>
    </w:tbl>
    <w:p w:rsidR="00723BAB" w:rsidRDefault="00723BAB" w:rsidP="00675F0B"/>
    <w:p w:rsidR="00723BAB" w:rsidRDefault="00723BAB">
      <w:pPr>
        <w:spacing w:after="0" w:line="240" w:lineRule="auto"/>
        <w:rPr>
          <w:rFonts w:ascii="Cambria" w:hAnsi="Cambria" w:cs="Arial"/>
          <w:bCs/>
          <w:color w:val="4F81BD"/>
          <w:kern w:val="32"/>
          <w:sz w:val="36"/>
          <w:szCs w:val="36"/>
        </w:rPr>
      </w:pPr>
    </w:p>
    <w:p w:rsidR="006E754D" w:rsidRDefault="006E754D" w:rsidP="006E754D">
      <w:pPr>
        <w:pStyle w:val="Heading1"/>
      </w:pPr>
      <w:bookmarkStart w:id="71" w:name="_Toc334079854"/>
      <w:bookmarkStart w:id="72" w:name="_Toc338405414"/>
      <w:r>
        <w:t>Appendix B</w:t>
      </w:r>
      <w:bookmarkEnd w:id="71"/>
      <w:bookmarkEnd w:id="72"/>
    </w:p>
    <w:p w:rsidR="006E754D" w:rsidRPr="00A14083" w:rsidRDefault="006E754D" w:rsidP="00A70EA8">
      <w:pPr>
        <w:pStyle w:val="Heading2"/>
        <w:spacing w:after="180"/>
      </w:pPr>
      <w:bookmarkStart w:id="73" w:name="_Toc334079855"/>
      <w:bookmarkStart w:id="74" w:name="_Toc338405415"/>
      <w:r>
        <w:t>Diagrams</w:t>
      </w:r>
      <w:bookmarkEnd w:id="73"/>
      <w:bookmarkEnd w:id="74"/>
    </w:p>
    <w:p w:rsidR="003871DC" w:rsidRDefault="003871DC" w:rsidP="003871DC">
      <w:pPr>
        <w:pStyle w:val="Heading3"/>
      </w:pPr>
      <w:r>
        <w:softHyphen/>
        <w:t>Economic Benefits Model</w:t>
      </w:r>
    </w:p>
    <w:p w:rsidR="003871DC" w:rsidRPr="00B17A54" w:rsidRDefault="003871DC" w:rsidP="003871DC">
      <w:pPr>
        <w:pStyle w:val="TableGraphic"/>
      </w:pPr>
      <w:r w:rsidRPr="00A42ECF">
        <w:rPr>
          <w:noProof/>
        </w:rPr>
        <w:drawing>
          <wp:inline distT="0" distB="0" distL="0" distR="0" wp14:anchorId="4D19CD76" wp14:editId="71EC0E71">
            <wp:extent cx="5758555" cy="670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 benefits mod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8703" cy="6705772"/>
                    </a:xfrm>
                    <a:prstGeom prst="rect">
                      <a:avLst/>
                    </a:prstGeom>
                  </pic:spPr>
                </pic:pic>
              </a:graphicData>
            </a:graphic>
          </wp:inline>
        </w:drawing>
      </w:r>
    </w:p>
    <w:p w:rsidR="003871DC" w:rsidRDefault="003871DC" w:rsidP="003871DC"/>
    <w:p w:rsidR="003871DC" w:rsidRDefault="003871DC" w:rsidP="003871DC">
      <w:pPr>
        <w:pStyle w:val="Heading3"/>
      </w:pPr>
      <w:r w:rsidRPr="00B17A54">
        <w:t>Proportionate Assessment Model</w:t>
      </w:r>
    </w:p>
    <w:p w:rsidR="003871DC" w:rsidRPr="00B17A54" w:rsidRDefault="003871DC" w:rsidP="003871DC">
      <w:pPr>
        <w:pStyle w:val="TableGraphic"/>
      </w:pPr>
      <w:r>
        <w:rPr>
          <w:noProof/>
        </w:rPr>
        <w:drawing>
          <wp:inline distT="0" distB="0" distL="0" distR="0" wp14:anchorId="76EBE26D" wp14:editId="525A702C">
            <wp:extent cx="5543550" cy="786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M cha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3236" cy="7867205"/>
                    </a:xfrm>
                    <a:prstGeom prst="rect">
                      <a:avLst/>
                    </a:prstGeom>
                  </pic:spPr>
                </pic:pic>
              </a:graphicData>
            </a:graphic>
          </wp:inline>
        </w:drawing>
      </w:r>
    </w:p>
    <w:p w:rsidR="00723BAB" w:rsidRDefault="00723BAB" w:rsidP="003871DC">
      <w:pPr>
        <w:pStyle w:val="Heading1"/>
      </w:pPr>
      <w:bookmarkStart w:id="75" w:name="_Toc334079856"/>
      <w:bookmarkStart w:id="76" w:name="_Toc338405416"/>
      <w:r>
        <w:t>Appendix C</w:t>
      </w:r>
      <w:bookmarkEnd w:id="75"/>
      <w:bookmarkEnd w:id="76"/>
    </w:p>
    <w:p w:rsidR="00723BAB" w:rsidRDefault="00723BAB" w:rsidP="000B7A87">
      <w:pPr>
        <w:pStyle w:val="Heading2"/>
        <w:ind w:left="567" w:hanging="567"/>
      </w:pPr>
      <w:bookmarkStart w:id="77" w:name="_Toc334079857"/>
      <w:bookmarkStart w:id="78" w:name="_Toc338405417"/>
      <w:r>
        <w:t>Summary of consultation questions</w:t>
      </w:r>
      <w:bookmarkEnd w:id="77"/>
      <w:bookmarkEnd w:id="78"/>
    </w:p>
    <w:p w:rsidR="00723BAB" w:rsidRDefault="00723BAB" w:rsidP="000B7A87">
      <w:pPr>
        <w:pStyle w:val="Heading3"/>
      </w:pPr>
      <w:r w:rsidRPr="00B65DEF">
        <w:t>Question 1</w:t>
      </w:r>
      <w:r>
        <w:t xml:space="preserve">: </w:t>
      </w:r>
    </w:p>
    <w:p w:rsidR="00723BAB" w:rsidRDefault="00451DF7" w:rsidP="00451DF7">
      <w:pPr>
        <w:pStyle w:val="Heading6"/>
        <w:jc w:val="both"/>
        <w:rPr>
          <w:rFonts w:ascii="Calibri" w:hAnsi="Calibri" w:cs="Calibri"/>
          <w:color w:val="auto"/>
          <w:sz w:val="22"/>
        </w:rPr>
      </w:pPr>
      <w:r w:rsidRPr="00451DF7">
        <w:rPr>
          <w:rFonts w:ascii="Calibri" w:hAnsi="Calibri" w:cs="Calibri"/>
          <w:color w:val="auto"/>
          <w:sz w:val="22"/>
        </w:rPr>
        <w:t>Would introducing a ‘fair and reasonable basis’ principle into the legislation provide additional certainty for trustees and beneficiaries?</w:t>
      </w:r>
      <w:r>
        <w:rPr>
          <w:rFonts w:ascii="Calibri" w:hAnsi="Calibri" w:cs="Calibri"/>
          <w:color w:val="auto"/>
          <w:sz w:val="22"/>
        </w:rPr>
        <w:t xml:space="preserve"> </w:t>
      </w:r>
      <w:r w:rsidRPr="00451DF7">
        <w:rPr>
          <w:rFonts w:ascii="Calibri" w:hAnsi="Calibri" w:cs="Calibri"/>
          <w:color w:val="auto"/>
          <w:sz w:val="22"/>
        </w:rPr>
        <w:t>What rules would be required to implement this principle?</w:t>
      </w:r>
      <w:r w:rsidR="008C620F" w:rsidRPr="008C620F">
        <w:rPr>
          <w:rFonts w:ascii="Calibri" w:hAnsi="Calibri" w:cs="Calibri"/>
          <w:color w:val="auto"/>
          <w:sz w:val="22"/>
        </w:rPr>
        <w:t xml:space="preserve"> </w:t>
      </w:r>
      <w:r w:rsidR="00350577">
        <w:rPr>
          <w:rFonts w:ascii="Calibri" w:hAnsi="Calibri" w:cs="Calibri"/>
          <w:color w:val="auto"/>
          <w:sz w:val="22"/>
        </w:rPr>
        <w:t xml:space="preserve"> </w:t>
      </w:r>
    </w:p>
    <w:p w:rsidR="00723BAB" w:rsidRDefault="00723BAB" w:rsidP="00AB24B4">
      <w:pPr>
        <w:pStyle w:val="Heading3"/>
      </w:pPr>
      <w:r>
        <w:t>Question 2:</w:t>
      </w:r>
    </w:p>
    <w:p w:rsidR="00723BAB" w:rsidRDefault="00324E39" w:rsidP="000B7A87">
      <w:r w:rsidRPr="00324E39">
        <w:t>Would it be appropriate to extend the time for determining entitlements beyond 31 August for certain classes of trusts, where it is reasonable to expect that beneficiaries have a lodgement date later than 31 October? What features should such trusts have? Should the trustee be required to obtain the agreement of all beneficiaries?  If so, should this be done on and opt-in, or opt-out basis?</w:t>
      </w:r>
      <w:r w:rsidR="003E4186">
        <w:t xml:space="preserve"> </w:t>
      </w:r>
    </w:p>
    <w:p w:rsidR="00723BAB" w:rsidRDefault="00723BAB" w:rsidP="00AB24B4">
      <w:pPr>
        <w:pStyle w:val="Heading3"/>
      </w:pPr>
      <w:r>
        <w:t>Question 3:</w:t>
      </w:r>
    </w:p>
    <w:p w:rsidR="00551D11" w:rsidRPr="00551D11" w:rsidRDefault="00551D11" w:rsidP="00551D11">
      <w:pPr>
        <w:ind w:left="426" w:hanging="426"/>
        <w:rPr>
          <w:rFonts w:cs="Calibri"/>
        </w:rPr>
      </w:pPr>
      <w:r w:rsidRPr="00551D11">
        <w:rPr>
          <w:rFonts w:cs="Calibri"/>
        </w:rPr>
        <w:t>a)</w:t>
      </w:r>
      <w:r w:rsidRPr="00551D11">
        <w:rPr>
          <w:rFonts w:cs="Calibri"/>
        </w:rPr>
        <w:tab/>
        <w:t>How could the integrity, regulatory and fiscal issues associated with a lower rate be addressed without increasing complexity?</w:t>
      </w:r>
    </w:p>
    <w:p w:rsidR="00551D11" w:rsidRDefault="00551D11" w:rsidP="00551D11">
      <w:pPr>
        <w:ind w:left="426" w:hanging="426"/>
        <w:rPr>
          <w:rFonts w:cs="Calibri"/>
        </w:rPr>
      </w:pPr>
      <w:r w:rsidRPr="00551D11">
        <w:rPr>
          <w:rFonts w:cs="Calibri"/>
        </w:rPr>
        <w:t xml:space="preserve">b) </w:t>
      </w:r>
      <w:r w:rsidRPr="00551D11">
        <w:rPr>
          <w:rFonts w:cs="Calibri"/>
        </w:rPr>
        <w:tab/>
      </w:r>
      <w:r w:rsidR="00AF4D41">
        <w:rPr>
          <w:rFonts w:cs="Calibri"/>
        </w:rPr>
        <w:t>Would a ‘tax and credit system’ (akin to franking credits) increase compliance costs and be too similar to taxing trusts like companies on accumulations?</w:t>
      </w:r>
    </w:p>
    <w:p w:rsidR="00723BAB" w:rsidRDefault="00551D11" w:rsidP="00551D11">
      <w:pPr>
        <w:ind w:left="426" w:hanging="426"/>
        <w:rPr>
          <w:rFonts w:cs="Calibri"/>
        </w:rPr>
      </w:pPr>
      <w:r>
        <w:rPr>
          <w:rFonts w:cs="Calibri"/>
        </w:rPr>
        <w:t>c)</w:t>
      </w:r>
      <w:r>
        <w:rPr>
          <w:rFonts w:cs="Calibri"/>
        </w:rPr>
        <w:tab/>
      </w:r>
      <w:r w:rsidRPr="00551D11">
        <w:rPr>
          <w:rFonts w:cs="Calibri"/>
        </w:rPr>
        <w:t>What else could be done to reduce the practical impact of trustee assessments?</w:t>
      </w:r>
    </w:p>
    <w:p w:rsidR="00723BAB" w:rsidRDefault="00723BAB" w:rsidP="00AB24B4">
      <w:pPr>
        <w:pStyle w:val="Heading3"/>
      </w:pPr>
      <w:r>
        <w:t>Question 4</w:t>
      </w:r>
    </w:p>
    <w:p w:rsidR="00451DF7" w:rsidRDefault="003E4186" w:rsidP="00451DF7">
      <w:r>
        <w:t>Should trustees be able to fund distributions from other sources if an amount representing taxable income has not been recognised in its accounts, or otherwise been received or come home to the trust (bearing in mind the trustee’s ability to allocate amounts as described below)?</w:t>
      </w:r>
    </w:p>
    <w:p w:rsidR="00723BAB" w:rsidRDefault="00723BAB" w:rsidP="000B7A87">
      <w:pPr>
        <w:pStyle w:val="Heading3"/>
      </w:pPr>
      <w:r>
        <w:t>Question 5</w:t>
      </w:r>
    </w:p>
    <w:p w:rsidR="00723BAB" w:rsidRDefault="00E56F9E" w:rsidP="000B7A87">
      <w:pPr>
        <w:rPr>
          <w:rFonts w:cs="Calibri"/>
        </w:rPr>
      </w:pPr>
      <w:r w:rsidRPr="00D455EB">
        <w:rPr>
          <w:rFonts w:cs="Calibri"/>
        </w:rPr>
        <w:t>The intent of the definition of trust profit used for the PAM is to capture all accretions to the trust estate excluding contributions of capital. Does the definition of ‘trust profit’ achieve that? If not, how can it be improved?</w:t>
      </w:r>
    </w:p>
    <w:p w:rsidR="00723BAB" w:rsidRDefault="00723BAB" w:rsidP="000B7A87">
      <w:pPr>
        <w:pStyle w:val="Heading3"/>
      </w:pPr>
      <w:r>
        <w:t xml:space="preserve">Question </w:t>
      </w:r>
      <w:r w:rsidR="003E4186">
        <w:t>6</w:t>
      </w:r>
    </w:p>
    <w:p w:rsidR="009224A5" w:rsidRPr="009224A5" w:rsidRDefault="009224A5" w:rsidP="009224A5">
      <w:r w:rsidRPr="009224A5">
        <w:t>Should the trustee be able to change the classes from year to year?  What limits, if any, could be put in place to prevent unintended consequences?</w:t>
      </w:r>
    </w:p>
    <w:p w:rsidR="009224A5" w:rsidRPr="009224A5" w:rsidRDefault="009224A5" w:rsidP="009224A5">
      <w:pPr>
        <w:pStyle w:val="Heading3"/>
      </w:pPr>
      <w:r>
        <w:t>Question 7</w:t>
      </w:r>
    </w:p>
    <w:p w:rsidR="00723BAB" w:rsidRPr="001D298A" w:rsidRDefault="00E56F9E" w:rsidP="001D298A">
      <w:r>
        <w:rPr>
          <w:rFonts w:cs="Calibri"/>
        </w:rPr>
        <w:t>Should there be a specific entitlement rule to deal with capital gains?</w:t>
      </w:r>
    </w:p>
    <w:p w:rsidR="00723BAB" w:rsidRDefault="00723BAB" w:rsidP="001D298A">
      <w:pPr>
        <w:pStyle w:val="Heading3"/>
      </w:pPr>
      <w:r>
        <w:t xml:space="preserve">Question </w:t>
      </w:r>
      <w:r w:rsidR="009224A5">
        <w:t>8</w:t>
      </w:r>
    </w:p>
    <w:p w:rsidR="00723BAB" w:rsidRDefault="00DC0320" w:rsidP="001D298A">
      <w:r>
        <w:rPr>
          <w:rFonts w:cs="Calibri"/>
        </w:rPr>
        <w:t>S</w:t>
      </w:r>
      <w:r w:rsidR="00E56F9E" w:rsidRPr="00D455EB">
        <w:rPr>
          <w:rFonts w:cs="Calibri"/>
        </w:rPr>
        <w:t>hould any new model for taxing trust income be treated as an exclusive code? If so, why? If not, to what extent should trust distributions otherwise be taken into account for tax purposes?</w:t>
      </w:r>
      <w:r w:rsidR="00723BAB" w:rsidRPr="00AB24B4">
        <w:t xml:space="preserve"> </w:t>
      </w:r>
    </w:p>
    <w:p w:rsidR="00723BAB" w:rsidRDefault="00723BAB" w:rsidP="00AB24B4">
      <w:pPr>
        <w:pStyle w:val="Heading3"/>
      </w:pPr>
      <w:r>
        <w:t xml:space="preserve">Question </w:t>
      </w:r>
      <w:r w:rsidR="009224A5">
        <w:t>9</w:t>
      </w:r>
    </w:p>
    <w:p w:rsidR="00723BAB" w:rsidRPr="001D298A" w:rsidRDefault="00E56F9E" w:rsidP="001D298A">
      <w:r w:rsidRPr="00D455EB">
        <w:rPr>
          <w:rFonts w:cs="Calibri"/>
        </w:rPr>
        <w:t>Should bare trust type arrangements be excluded from the new model for taxing trust income</w:t>
      </w:r>
      <w:r>
        <w:rPr>
          <w:rFonts w:cs="Calibri"/>
        </w:rPr>
        <w:t>?</w:t>
      </w:r>
      <w:r w:rsidR="00723BAB">
        <w:t xml:space="preserve"> </w:t>
      </w:r>
    </w:p>
    <w:p w:rsidR="00723BAB" w:rsidRDefault="00723BAB" w:rsidP="000B7A87">
      <w:pPr>
        <w:pStyle w:val="Heading3"/>
      </w:pPr>
      <w:r>
        <w:t xml:space="preserve">Question </w:t>
      </w:r>
      <w:r w:rsidR="009224A5">
        <w:t>10</w:t>
      </w:r>
    </w:p>
    <w:p w:rsidR="00723BAB" w:rsidRDefault="00E56F9E" w:rsidP="00AB24B4">
      <w:r w:rsidRPr="00D455EB">
        <w:rPr>
          <w:rFonts w:cs="Calibri"/>
        </w:rPr>
        <w:t>Are the characteristics of bare trust type arrangements sufficient to describe and possibly define such arrangements?</w:t>
      </w:r>
      <w:r w:rsidR="00723BAB" w:rsidRPr="00B65DEF">
        <w:t xml:space="preserve"> </w:t>
      </w:r>
    </w:p>
    <w:p w:rsidR="00E56F9E" w:rsidRDefault="00E56F9E" w:rsidP="00E56F9E">
      <w:pPr>
        <w:pStyle w:val="Heading3"/>
      </w:pPr>
      <w:r>
        <w:t>Question 1</w:t>
      </w:r>
      <w:r w:rsidR="009224A5">
        <w:t>1</w:t>
      </w:r>
    </w:p>
    <w:p w:rsidR="00E56F9E" w:rsidRDefault="00E56F9E" w:rsidP="00E56F9E">
      <w:r>
        <w:t>Should bare trusts be ignored for the purposes of GST? If the extension were not to apply to all bare</w:t>
      </w:r>
      <w:r w:rsidR="00607FDB">
        <w:t xml:space="preserve"> </w:t>
      </w:r>
      <w:r>
        <w:t>trust like arrangements, how should they be distinguished?</w:t>
      </w:r>
    </w:p>
    <w:p w:rsidR="00E56F9E" w:rsidRDefault="00E56F9E" w:rsidP="00E56F9E">
      <w:pPr>
        <w:pStyle w:val="Heading3"/>
      </w:pPr>
      <w:r>
        <w:t>Question 1</w:t>
      </w:r>
      <w:r w:rsidR="009224A5">
        <w:t>2</w:t>
      </w:r>
    </w:p>
    <w:p w:rsidR="00E56F9E" w:rsidRPr="00E56F9E" w:rsidRDefault="00E56F9E" w:rsidP="00E56F9E">
      <w:pPr>
        <w:rPr>
          <w:rFonts w:cs="Calibri"/>
          <w:szCs w:val="22"/>
        </w:rPr>
      </w:pPr>
      <w:r w:rsidRPr="00E56F9E">
        <w:rPr>
          <w:rFonts w:cs="Calibri"/>
          <w:szCs w:val="22"/>
        </w:rPr>
        <w:t>The distribution principle has been applied flexibly in the detailed EBM example to enable the difference attributable to the legal expenses to be assessed to the beneficiaries, as this is considered a desirable outcome. While this may be the desired outcome, does the principle as developed actually accommodate this outcome?</w:t>
      </w:r>
    </w:p>
    <w:p w:rsidR="00551D11" w:rsidRPr="00551D11" w:rsidRDefault="00551D11" w:rsidP="00551D11">
      <w:pPr>
        <w:ind w:left="426" w:hanging="426"/>
        <w:rPr>
          <w:rFonts w:cs="Calibri"/>
          <w:szCs w:val="22"/>
        </w:rPr>
      </w:pPr>
      <w:r w:rsidRPr="00551D11">
        <w:rPr>
          <w:rFonts w:cs="Calibri"/>
          <w:szCs w:val="22"/>
        </w:rPr>
        <w:t>a)</w:t>
      </w:r>
      <w:r w:rsidRPr="00551D11">
        <w:rPr>
          <w:rFonts w:cs="Calibri"/>
          <w:szCs w:val="22"/>
        </w:rPr>
        <w:tab/>
        <w:t>Should the principle be modified to deal with such amounts?</w:t>
      </w:r>
    </w:p>
    <w:p w:rsidR="00551D11" w:rsidRPr="00551D11" w:rsidRDefault="00551D11" w:rsidP="00551D11">
      <w:pPr>
        <w:ind w:left="426" w:hanging="426"/>
        <w:rPr>
          <w:rFonts w:cs="Calibri"/>
          <w:szCs w:val="22"/>
        </w:rPr>
      </w:pPr>
      <w:r w:rsidRPr="00551D11">
        <w:rPr>
          <w:rFonts w:cs="Calibri"/>
          <w:szCs w:val="22"/>
        </w:rPr>
        <w:t xml:space="preserve">b) </w:t>
      </w:r>
      <w:r w:rsidRPr="00551D11">
        <w:rPr>
          <w:rFonts w:cs="Calibri"/>
          <w:szCs w:val="22"/>
        </w:rPr>
        <w:tab/>
        <w:t xml:space="preserve">How can the principle be modified to deal with such amounts? </w:t>
      </w:r>
    </w:p>
    <w:p w:rsidR="00E56F9E" w:rsidRPr="00E56F9E" w:rsidRDefault="00551D11" w:rsidP="00551D11">
      <w:pPr>
        <w:ind w:left="426" w:hanging="426"/>
        <w:rPr>
          <w:szCs w:val="22"/>
        </w:rPr>
      </w:pPr>
      <w:r w:rsidRPr="00551D11">
        <w:rPr>
          <w:rFonts w:cs="Calibri"/>
          <w:szCs w:val="22"/>
        </w:rPr>
        <w:t>c)</w:t>
      </w:r>
      <w:r w:rsidRPr="00551D11">
        <w:rPr>
          <w:rFonts w:cs="Calibri"/>
          <w:szCs w:val="22"/>
        </w:rPr>
        <w:tab/>
        <w:t>What other types of amounts might cause the same problems?</w:t>
      </w:r>
    </w:p>
    <w:sectPr w:rsidR="00E56F9E" w:rsidRPr="00E56F9E" w:rsidSect="000759C6">
      <w:headerReference w:type="default" r:id="rId26"/>
      <w:footerReference w:type="default" r:id="rId27"/>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8D3" w:rsidRDefault="008108D3" w:rsidP="00B94987">
      <w:pPr>
        <w:spacing w:after="0" w:line="240" w:lineRule="auto"/>
      </w:pPr>
      <w:r>
        <w:separator/>
      </w:r>
    </w:p>
  </w:endnote>
  <w:endnote w:type="continuationSeparator" w:id="0">
    <w:p w:rsidR="008108D3" w:rsidRDefault="008108D3" w:rsidP="00B94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8D3" w:rsidRPr="00A14083" w:rsidRDefault="008108D3" w:rsidP="00A140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8D3" w:rsidRDefault="008108D3">
    <w:pPr>
      <w:pStyle w:val="Footer"/>
      <w:rPr>
        <w:noProof/>
      </w:rPr>
    </w:pPr>
    <w:r>
      <w:t xml:space="preserve">Page </w:t>
    </w:r>
    <w:r>
      <w:fldChar w:fldCharType="begin"/>
    </w:r>
    <w:r>
      <w:instrText xml:space="preserve"> PAGE   \* MERGEFORMAT </w:instrText>
    </w:r>
    <w:r>
      <w:fldChar w:fldCharType="separate"/>
    </w:r>
    <w:r>
      <w:rPr>
        <w:noProof/>
      </w:rPr>
      <w:t>iv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8D3" w:rsidRDefault="008108D3">
    <w:pPr>
      <w:pStyle w:val="Footer"/>
      <w:jc w:val="right"/>
    </w:pPr>
    <w:r>
      <w:t xml:space="preserve">Page </w:t>
    </w:r>
    <w:r>
      <w:fldChar w:fldCharType="begin"/>
    </w:r>
    <w:r>
      <w:instrText xml:space="preserve"> PAGE   \* MERGEFORMAT </w:instrText>
    </w:r>
    <w:r>
      <w:fldChar w:fldCharType="separate"/>
    </w:r>
    <w:r w:rsidR="00876C98">
      <w:rPr>
        <w:noProof/>
      </w:rPr>
      <w:t>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8D3" w:rsidRPr="005C1944" w:rsidRDefault="008108D3" w:rsidP="005C1944">
    <w:pPr>
      <w:pStyle w:val="FooterOdd"/>
      <w:rPr>
        <w:rFonts w:ascii="Arial" w:hAnsi="Arial"/>
        <w:sz w:val="18"/>
      </w:rPr>
    </w:pPr>
    <w:r>
      <w:t xml:space="preserve">Page </w:t>
    </w:r>
    <w:r>
      <w:rPr>
        <w:rStyle w:val="PageNumber"/>
      </w:rPr>
      <w:fldChar w:fldCharType="begin"/>
    </w:r>
    <w:r>
      <w:rPr>
        <w:rStyle w:val="PageNumber"/>
      </w:rPr>
      <w:instrText xml:space="preserve"> PAGE </w:instrText>
    </w:r>
    <w:r>
      <w:rPr>
        <w:rStyle w:val="PageNumber"/>
      </w:rPr>
      <w:fldChar w:fldCharType="separate"/>
    </w:r>
    <w:r w:rsidR="00876C98">
      <w:rPr>
        <w:rStyle w:val="PageNumber"/>
        <w:noProof/>
      </w:rPr>
      <w:t>54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8D3" w:rsidRDefault="008108D3" w:rsidP="00B94987">
      <w:pPr>
        <w:spacing w:after="0" w:line="240" w:lineRule="auto"/>
      </w:pPr>
      <w:r>
        <w:separator/>
      </w:r>
    </w:p>
  </w:footnote>
  <w:footnote w:type="continuationSeparator" w:id="0">
    <w:p w:rsidR="008108D3" w:rsidRDefault="008108D3" w:rsidP="00B94987">
      <w:pPr>
        <w:spacing w:after="0" w:line="240" w:lineRule="auto"/>
      </w:pPr>
      <w:r>
        <w:continuationSeparator/>
      </w:r>
    </w:p>
  </w:footnote>
  <w:footnote w:id="1">
    <w:p w:rsidR="008108D3" w:rsidRDefault="008108D3" w:rsidP="005C789A">
      <w:pPr>
        <w:pStyle w:val="FootnoteText"/>
      </w:pPr>
      <w:r>
        <w:rPr>
          <w:rStyle w:val="FootnoteReference"/>
        </w:rPr>
        <w:footnoteRef/>
      </w:r>
      <w:r>
        <w:t xml:space="preserve"> </w:t>
      </w:r>
      <w:r>
        <w:tab/>
        <w:t xml:space="preserve">Australia’s Future Tax System Review, </w:t>
      </w:r>
      <w:r>
        <w:rPr>
          <w:i/>
        </w:rPr>
        <w:t>Report to the Treasurer, Part Two, Detailed Analysis, volume 1 of 2</w:t>
      </w:r>
      <w:r>
        <w:t xml:space="preserve"> (Recommendation 36), Commonwealth of Australia, Canberra, December 2009.</w:t>
      </w:r>
      <w:r>
        <w:rPr>
          <w:i/>
        </w:rPr>
        <w:t xml:space="preserve"> </w:t>
      </w:r>
    </w:p>
  </w:footnote>
  <w:footnote w:id="2">
    <w:p w:rsidR="008108D3" w:rsidRDefault="008108D3">
      <w:pPr>
        <w:pStyle w:val="FootnoteText"/>
      </w:pPr>
      <w:r>
        <w:rPr>
          <w:rStyle w:val="FootnoteReference"/>
        </w:rPr>
        <w:footnoteRef/>
      </w:r>
      <w:r>
        <w:t xml:space="preserve"> </w:t>
      </w:r>
      <w:r>
        <w:tab/>
      </w:r>
      <w:r w:rsidRPr="007A09ED">
        <w:t>The Hon Bill Shorten MP</w:t>
      </w:r>
      <w:r>
        <w:t xml:space="preserve"> (then </w:t>
      </w:r>
      <w:r w:rsidRPr="004D1162">
        <w:t>Assistant Treasurer and Minister for Financial Services &amp; Superannuation</w:t>
      </w:r>
      <w:r>
        <w:t>)</w:t>
      </w:r>
      <w:r w:rsidRPr="007A09ED">
        <w:t xml:space="preserve">, </w:t>
      </w:r>
      <w:r w:rsidRPr="00A14083">
        <w:rPr>
          <w:i/>
        </w:rPr>
        <w:t>Farmers benefit with changes to trust laws</w:t>
      </w:r>
      <w:r w:rsidRPr="007A09ED">
        <w:t>, Media Release</w:t>
      </w:r>
      <w:r>
        <w:t xml:space="preserve"> number 25 of</w:t>
      </w:r>
      <w:r w:rsidRPr="007A09ED">
        <w:t xml:space="preserve"> 16 December 2010.</w:t>
      </w:r>
    </w:p>
  </w:footnote>
  <w:footnote w:id="3">
    <w:p w:rsidR="008108D3" w:rsidRDefault="008108D3">
      <w:pPr>
        <w:pStyle w:val="FootnoteText"/>
      </w:pPr>
      <w:r>
        <w:rPr>
          <w:rStyle w:val="FootnoteReference"/>
        </w:rPr>
        <w:footnoteRef/>
      </w:r>
      <w:r>
        <w:t xml:space="preserve"> </w:t>
      </w:r>
      <w:r>
        <w:tab/>
        <w:t>With the exception of those trusts that are already taxed like companies, such as corporate unit trusts and public trading trusts.</w:t>
      </w:r>
    </w:p>
  </w:footnote>
  <w:footnote w:id="4">
    <w:p w:rsidR="008108D3" w:rsidRDefault="008108D3" w:rsidP="005C789A">
      <w:pPr>
        <w:pStyle w:val="FootnoteText"/>
      </w:pPr>
      <w:r>
        <w:rPr>
          <w:rStyle w:val="FootnoteReference"/>
        </w:rPr>
        <w:footnoteRef/>
      </w:r>
      <w:r>
        <w:t xml:space="preserve"> </w:t>
      </w:r>
      <w:r>
        <w:tab/>
      </w:r>
      <w:r w:rsidRPr="007A09ED">
        <w:t>The Hon Bill Shorten MP</w:t>
      </w:r>
      <w:r>
        <w:t xml:space="preserve"> (then </w:t>
      </w:r>
      <w:r w:rsidRPr="004D1162">
        <w:t>Assistant Treasurer and Minister for Financial Services &amp; Superannuation</w:t>
      </w:r>
      <w:r>
        <w:t>)</w:t>
      </w:r>
      <w:r w:rsidRPr="007A09ED">
        <w:t xml:space="preserve">, </w:t>
      </w:r>
      <w:r w:rsidRPr="00A14083">
        <w:rPr>
          <w:i/>
        </w:rPr>
        <w:t>Farmers benefit with changes to trust laws</w:t>
      </w:r>
      <w:r w:rsidRPr="007A09ED">
        <w:t>, Media Release</w:t>
      </w:r>
      <w:r>
        <w:t xml:space="preserve"> number 25 of</w:t>
      </w:r>
      <w:r w:rsidRPr="007A09ED">
        <w:t xml:space="preserve"> 16 December 2010.</w:t>
      </w:r>
    </w:p>
  </w:footnote>
  <w:footnote w:id="5">
    <w:p w:rsidR="008108D3" w:rsidRDefault="008108D3">
      <w:pPr>
        <w:pStyle w:val="FootnoteText"/>
      </w:pPr>
      <w:r>
        <w:rPr>
          <w:rStyle w:val="FootnoteReference"/>
        </w:rPr>
        <w:footnoteRef/>
      </w:r>
      <w:r>
        <w:t xml:space="preserve"> </w:t>
      </w:r>
      <w:r>
        <w:tab/>
        <w:t>This does not mean amounts must actually be paid by that date.</w:t>
      </w:r>
    </w:p>
  </w:footnote>
  <w:footnote w:id="6">
    <w:p w:rsidR="008108D3" w:rsidRDefault="008108D3">
      <w:pPr>
        <w:pStyle w:val="FootnoteText"/>
      </w:pPr>
      <w:r>
        <w:rPr>
          <w:rStyle w:val="FootnoteReference"/>
        </w:rPr>
        <w:footnoteRef/>
      </w:r>
      <w:r>
        <w:t xml:space="preserve"> </w:t>
      </w:r>
      <w:r>
        <w:tab/>
      </w:r>
      <w:r w:rsidRPr="00456A40">
        <w:rPr>
          <w:i/>
        </w:rPr>
        <w:t>Commissioner of Taxation v Bamford</w:t>
      </w:r>
      <w:r w:rsidRPr="00D958CA">
        <w:t xml:space="preserve">; </w:t>
      </w:r>
      <w:r w:rsidRPr="00456A40">
        <w:rPr>
          <w:i/>
        </w:rPr>
        <w:t>Bamford v Commissioner of Taxation</w:t>
      </w:r>
      <w:r w:rsidRPr="00D958CA">
        <w:t xml:space="preserve"> [2010] HCA 10 at 17.</w:t>
      </w:r>
    </w:p>
  </w:footnote>
  <w:footnote w:id="7">
    <w:p w:rsidR="008108D3" w:rsidRDefault="008108D3" w:rsidP="00635DCA">
      <w:pPr>
        <w:pStyle w:val="FootnoteText"/>
      </w:pPr>
      <w:r>
        <w:rPr>
          <w:rStyle w:val="FootnoteReference"/>
        </w:rPr>
        <w:footnoteRef/>
      </w:r>
      <w:r>
        <w:t xml:space="preserve"> </w:t>
      </w:r>
      <w:r>
        <w:tab/>
      </w:r>
      <w:r w:rsidRPr="00D958CA">
        <w:rPr>
          <w:i/>
        </w:rPr>
        <w:t>Tax Laws Amendme</w:t>
      </w:r>
      <w:r>
        <w:rPr>
          <w:i/>
        </w:rPr>
        <w:t>nt (2011 Measures No.5) Act 2011</w:t>
      </w:r>
      <w:r w:rsidRPr="00DD2D0E">
        <w:t>.</w:t>
      </w:r>
    </w:p>
  </w:footnote>
  <w:footnote w:id="8">
    <w:p w:rsidR="008108D3" w:rsidRDefault="008108D3">
      <w:pPr>
        <w:pStyle w:val="FootnoteText"/>
      </w:pPr>
      <w:r>
        <w:rPr>
          <w:rStyle w:val="FootnoteReference"/>
        </w:rPr>
        <w:footnoteRef/>
      </w:r>
      <w:r>
        <w:t xml:space="preserve"> </w:t>
      </w:r>
      <w:r>
        <w:tab/>
      </w:r>
      <w:r w:rsidRPr="009E6475">
        <w:rPr>
          <w:i/>
        </w:rPr>
        <w:t>Ronpibon Tin NL v FCT</w:t>
      </w:r>
      <w:r w:rsidRPr="00F76BE2">
        <w:t xml:space="preserve"> (1949) 78 CLR 47</w:t>
      </w:r>
      <w:r>
        <w:t>.</w:t>
      </w:r>
    </w:p>
  </w:footnote>
  <w:footnote w:id="9">
    <w:p w:rsidR="008108D3" w:rsidRDefault="008108D3">
      <w:pPr>
        <w:pStyle w:val="FootnoteText"/>
      </w:pPr>
      <w:r>
        <w:rPr>
          <w:rStyle w:val="FootnoteReference"/>
        </w:rPr>
        <w:footnoteRef/>
      </w:r>
      <w:r>
        <w:t xml:space="preserve"> </w:t>
      </w:r>
      <w:r>
        <w:tab/>
        <w:t>For example, many trust deeds contain a clause that deems a ‘default beneficiary’ to be presently entitled to amounts of trust income to which no other beneficiary is presently entitled as at 30 June.  The tax law could not override such a clause.</w:t>
      </w:r>
    </w:p>
  </w:footnote>
  <w:footnote w:id="10">
    <w:p w:rsidR="008108D3" w:rsidRDefault="008108D3" w:rsidP="00CB7EC7">
      <w:pPr>
        <w:pStyle w:val="FootnoteText"/>
      </w:pPr>
      <w:r>
        <w:rPr>
          <w:rStyle w:val="FootnoteReference"/>
        </w:rPr>
        <w:footnoteRef/>
      </w:r>
      <w:r>
        <w:t xml:space="preserve"> </w:t>
      </w:r>
      <w:r>
        <w:tab/>
        <w:t xml:space="preserve">These are trusts that make an election to be treated as family trusts in accordance with section 272-80 in Schedule 2F of the ITAA 1936 and which pass the family control test in section 272-87 in Schedule 2F of the ITAA 1936. </w:t>
      </w:r>
    </w:p>
  </w:footnote>
  <w:footnote w:id="11">
    <w:p w:rsidR="008108D3" w:rsidRDefault="008108D3">
      <w:pPr>
        <w:pStyle w:val="FootnoteText"/>
      </w:pPr>
      <w:r>
        <w:rPr>
          <w:rStyle w:val="FootnoteReference"/>
        </w:rPr>
        <w:footnoteRef/>
      </w:r>
      <w:r>
        <w:t xml:space="preserve"> </w:t>
      </w:r>
      <w:r>
        <w:tab/>
        <w:t xml:space="preserve">The Taxation Committee of the Business Law Section of the Law Council of Australia, </w:t>
      </w:r>
      <w:r>
        <w:rPr>
          <w:i/>
        </w:rPr>
        <w:t>Submission</w:t>
      </w:r>
      <w:r>
        <w:t>, Canberra, 2012, pp 1-2.</w:t>
      </w:r>
    </w:p>
  </w:footnote>
  <w:footnote w:id="12">
    <w:p w:rsidR="008108D3" w:rsidRDefault="008108D3">
      <w:pPr>
        <w:pStyle w:val="FootnoteText"/>
      </w:pPr>
      <w:r>
        <w:rPr>
          <w:rStyle w:val="FootnoteReference"/>
        </w:rPr>
        <w:footnoteRef/>
      </w:r>
      <w:r>
        <w:t xml:space="preserve"> </w:t>
      </w:r>
      <w:r>
        <w:tab/>
      </w:r>
      <w:r w:rsidRPr="009F00CD">
        <w:rPr>
          <w:i/>
        </w:rPr>
        <w:t>Commissioner of Taxation v David Clark</w:t>
      </w:r>
      <w:r w:rsidRPr="009F00CD">
        <w:t xml:space="preserve">; </w:t>
      </w:r>
      <w:r w:rsidRPr="009F00CD">
        <w:rPr>
          <w:i/>
        </w:rPr>
        <w:t>Commissioner of Taxation v Helen Clark</w:t>
      </w:r>
      <w:r w:rsidRPr="009F00CD">
        <w:t xml:space="preserve"> [2011] FCAFC 5; </w:t>
      </w:r>
      <w:hyperlink r:id="rId1" w:tgtFrame="_top" w:history="1">
        <w:r w:rsidRPr="009F00CD">
          <w:t>[2011] HCATrans 236</w:t>
        </w:r>
      </w:hyperlink>
    </w:p>
  </w:footnote>
  <w:footnote w:id="13">
    <w:p w:rsidR="008108D3" w:rsidRDefault="008108D3" w:rsidP="00D448F6">
      <w:pPr>
        <w:pStyle w:val="FootnoteText"/>
      </w:pPr>
      <w:r>
        <w:rPr>
          <w:rStyle w:val="FootnoteReference"/>
        </w:rPr>
        <w:footnoteRef/>
      </w:r>
      <w:r>
        <w:t xml:space="preserve"> </w:t>
      </w:r>
      <w:r>
        <w:tab/>
        <w:t xml:space="preserve">In the case of </w:t>
      </w:r>
      <w:r w:rsidRPr="00D448F6">
        <w:t>beneficiaries under a legal disability</w:t>
      </w:r>
      <w:r>
        <w:t xml:space="preserve">, the trustee would be assessed on their behalf with an offset for the tax previously paid.  </w:t>
      </w:r>
    </w:p>
  </w:footnote>
  <w:footnote w:id="14">
    <w:p w:rsidR="008108D3" w:rsidRDefault="008108D3">
      <w:pPr>
        <w:pStyle w:val="FootnoteText"/>
      </w:pPr>
      <w:r>
        <w:rPr>
          <w:rStyle w:val="FootnoteReference"/>
        </w:rPr>
        <w:footnoteRef/>
      </w:r>
      <w:r>
        <w:t xml:space="preserve"> </w:t>
      </w:r>
      <w:r>
        <w:tab/>
        <w:t>This does not mean that amounts need to be paid out, but rather that the definition of distribution must be satisfied.</w:t>
      </w:r>
    </w:p>
  </w:footnote>
  <w:footnote w:id="15">
    <w:p w:rsidR="008108D3" w:rsidRDefault="008108D3">
      <w:pPr>
        <w:pStyle w:val="FootnoteText"/>
      </w:pPr>
      <w:r>
        <w:rPr>
          <w:rStyle w:val="FootnoteReference"/>
        </w:rPr>
        <w:footnoteRef/>
      </w:r>
      <w:r>
        <w:t xml:space="preserve"> </w:t>
      </w:r>
      <w:r>
        <w:tab/>
        <w:t>This approach may also be appropriate if a Patch Model was adopted.</w:t>
      </w:r>
    </w:p>
  </w:footnote>
  <w:footnote w:id="16">
    <w:p w:rsidR="008108D3" w:rsidRDefault="008108D3">
      <w:pPr>
        <w:pStyle w:val="FootnoteText"/>
      </w:pPr>
      <w:r>
        <w:rPr>
          <w:rStyle w:val="FootnoteReference"/>
        </w:rPr>
        <w:footnoteRef/>
      </w:r>
      <w:r>
        <w:t xml:space="preserve"> </w:t>
      </w:r>
      <w:r>
        <w:tab/>
        <w:t>Though note the potentially wide scope of section 99B of the ITAA 1936.</w:t>
      </w:r>
    </w:p>
  </w:footnote>
  <w:footnote w:id="17">
    <w:p w:rsidR="008108D3" w:rsidRDefault="008108D3" w:rsidP="005C789A">
      <w:pPr>
        <w:pStyle w:val="FootnoteText"/>
      </w:pPr>
      <w:r>
        <w:rPr>
          <w:rStyle w:val="FootnoteReference"/>
        </w:rPr>
        <w:footnoteRef/>
      </w:r>
      <w:r>
        <w:t xml:space="preserve"> </w:t>
      </w:r>
      <w:r>
        <w:tab/>
        <w:t>For example, sections 104-55 (CGT event E4) and 6-5 of the ITAA 1997.</w:t>
      </w:r>
    </w:p>
  </w:footnote>
  <w:footnote w:id="18">
    <w:p w:rsidR="008108D3" w:rsidRDefault="008108D3" w:rsidP="008E5BB7">
      <w:pPr>
        <w:pStyle w:val="FootnoteText"/>
      </w:pPr>
      <w:r>
        <w:rPr>
          <w:rStyle w:val="FootnoteReference"/>
        </w:rPr>
        <w:footnoteRef/>
      </w:r>
      <w:r>
        <w:t xml:space="preserve"> </w:t>
      </w:r>
      <w:r>
        <w:tab/>
      </w:r>
      <w:r w:rsidRPr="0037395B">
        <w:rPr>
          <w:i/>
        </w:rPr>
        <w:t>Colonial First State investment Limited v Federal Commissioner of Taxation</w:t>
      </w:r>
      <w:r>
        <w:t xml:space="preserve"> [2011] FCA 16.</w:t>
      </w:r>
    </w:p>
  </w:footnote>
  <w:footnote w:id="19">
    <w:p w:rsidR="008108D3" w:rsidRDefault="008108D3" w:rsidP="008E5BB7">
      <w:pPr>
        <w:pStyle w:val="FootnoteText"/>
      </w:pPr>
      <w:r>
        <w:rPr>
          <w:rStyle w:val="FootnoteReference"/>
        </w:rPr>
        <w:footnoteRef/>
      </w:r>
      <w:r>
        <w:t xml:space="preserve"> </w:t>
      </w:r>
      <w:r>
        <w:tab/>
        <w:t xml:space="preserve">Commissioner of Taxation, </w:t>
      </w:r>
      <w:r w:rsidRPr="004C5E56">
        <w:rPr>
          <w:i/>
        </w:rPr>
        <w:t>ATO Practice Statement Law Administration 2000/2 An exemption for the trustees of some trust estates from the requirement to furnish a tax return on behalf of the trust estate</w:t>
      </w:r>
      <w:r>
        <w:t>, Commonwealth of Australia, Canberra, 2000</w:t>
      </w:r>
      <w:r w:rsidRPr="00B17E3D">
        <w:t>.</w:t>
      </w:r>
      <w:r>
        <w:t xml:space="preserve">  A t</w:t>
      </w:r>
      <w:r w:rsidRPr="00BF40C6">
        <w:t xml:space="preserve">ransparent </w:t>
      </w:r>
      <w:r>
        <w:t>t</w:t>
      </w:r>
      <w:r w:rsidRPr="00BF40C6">
        <w:t>rust</w:t>
      </w:r>
      <w:r>
        <w:t xml:space="preserve"> </w:t>
      </w:r>
      <w:r w:rsidRPr="00BF40C6">
        <w:t>is a trust in which the beneficiary of the trust estate has an absolute, indefeasible entitlement to the capital and the income of the trust.</w:t>
      </w:r>
      <w:r>
        <w:t xml:space="preserve">  A</w:t>
      </w:r>
      <w:r w:rsidRPr="00280ED4">
        <w:t xml:space="preserve"> </w:t>
      </w:r>
      <w:r>
        <w:t>s</w:t>
      </w:r>
      <w:r w:rsidRPr="00280ED4">
        <w:t xml:space="preserve">ecured </w:t>
      </w:r>
      <w:r>
        <w:t>p</w:t>
      </w:r>
      <w:r w:rsidRPr="00280ED4">
        <w:t xml:space="preserve">urchase </w:t>
      </w:r>
      <w:r>
        <w:t>t</w:t>
      </w:r>
      <w:r w:rsidRPr="00280ED4">
        <w:t>rust</w:t>
      </w:r>
      <w:r>
        <w:t xml:space="preserve"> </w:t>
      </w:r>
      <w:r w:rsidRPr="00280ED4">
        <w:t>is a trust created solely to facilitate the financing or holding of publicly listed company shares or publicly listed units in a unit trust.</w:t>
      </w:r>
    </w:p>
  </w:footnote>
  <w:footnote w:id="20">
    <w:p w:rsidR="008108D3" w:rsidRDefault="008108D3" w:rsidP="008E5BB7">
      <w:pPr>
        <w:pStyle w:val="FootnoteText"/>
      </w:pPr>
      <w:r>
        <w:rPr>
          <w:rStyle w:val="FootnoteReference"/>
        </w:rPr>
        <w:footnoteRef/>
      </w:r>
      <w:r>
        <w:t xml:space="preserve"> </w:t>
      </w:r>
      <w:r>
        <w:tab/>
        <w:t xml:space="preserve">Board of Taxation, </w:t>
      </w:r>
      <w:r w:rsidRPr="004D1162">
        <w:rPr>
          <w:i/>
        </w:rPr>
        <w:t>Review of the Tax Arrangements Applying to Managed Investment Trusts: A Report to the Assistant Treasurer</w:t>
      </w:r>
      <w:r>
        <w:t>, Commonwealth of Australia, Canberra, August 2009. See Recommendation 48 on p 102.</w:t>
      </w:r>
    </w:p>
  </w:footnote>
  <w:footnote w:id="21">
    <w:p w:rsidR="008108D3" w:rsidRDefault="008108D3" w:rsidP="005C79DE">
      <w:pPr>
        <w:pStyle w:val="FootnoteText"/>
      </w:pPr>
      <w:r>
        <w:rPr>
          <w:rStyle w:val="FootnoteReference"/>
        </w:rPr>
        <w:footnoteRef/>
      </w:r>
      <w:r>
        <w:t xml:space="preserve"> </w:t>
      </w:r>
      <w:r>
        <w:tab/>
        <w:t xml:space="preserve">See regulation 56 of the </w:t>
      </w:r>
      <w:r w:rsidRPr="004D1162">
        <w:rPr>
          <w:i/>
        </w:rPr>
        <w:t>Income Tax Regulations 1936</w:t>
      </w:r>
      <w:r w:rsidRPr="00CB51CC">
        <w:t>.</w:t>
      </w:r>
    </w:p>
  </w:footnote>
  <w:footnote w:id="22">
    <w:p w:rsidR="008108D3" w:rsidRDefault="008108D3" w:rsidP="005C789A">
      <w:pPr>
        <w:pStyle w:val="FootnoteText"/>
      </w:pPr>
      <w:r w:rsidRPr="0088503E">
        <w:rPr>
          <w:bCs/>
          <w:smallCaps/>
          <w:vertAlign w:val="superscript"/>
        </w:rPr>
        <w:footnoteRef/>
      </w:r>
      <w:r w:rsidRPr="00E03ECA">
        <w:rPr>
          <w:bCs/>
          <w:smallCaps/>
        </w:rPr>
        <w:t xml:space="preserve"> </w:t>
      </w:r>
      <w:r>
        <w:rPr>
          <w:bCs/>
          <w:smallCaps/>
        </w:rPr>
        <w:tab/>
      </w:r>
      <w:r>
        <w:t xml:space="preserve">The Hon Chris Bowen MP (then Assistant </w:t>
      </w:r>
      <w:r w:rsidRPr="0008582D">
        <w:t>Treasurer and Minister for Competition Policy and Consumer Affairs</w:t>
      </w:r>
      <w:r>
        <w:t xml:space="preserve">), </w:t>
      </w:r>
      <w:r w:rsidRPr="00E03ECA">
        <w:rPr>
          <w:bCs/>
          <w:i/>
        </w:rPr>
        <w:t xml:space="preserve">Government Response to Board of Taxation Review </w:t>
      </w:r>
      <w:r>
        <w:rPr>
          <w:bCs/>
          <w:i/>
        </w:rPr>
        <w:t>o</w:t>
      </w:r>
      <w:r w:rsidRPr="00E03ECA">
        <w:rPr>
          <w:bCs/>
          <w:i/>
        </w:rPr>
        <w:t>f GST Administration</w:t>
      </w:r>
      <w:r>
        <w:rPr>
          <w:bCs/>
        </w:rPr>
        <w:t>,</w:t>
      </w:r>
      <w:r w:rsidRPr="0008582D">
        <w:t xml:space="preserve"> </w:t>
      </w:r>
      <w:r>
        <w:t>Media Release</w:t>
      </w:r>
      <w:r w:rsidR="00607FDB">
        <w:t xml:space="preserve"> number 42</w:t>
      </w:r>
      <w:r>
        <w:t xml:space="preserve">, 12 May </w:t>
      </w:r>
      <w:r w:rsidRPr="00E03ECA">
        <w:t>2009</w:t>
      </w:r>
      <w:r>
        <w:t>.</w:t>
      </w:r>
    </w:p>
  </w:footnote>
  <w:footnote w:id="23">
    <w:p w:rsidR="008108D3" w:rsidRDefault="008108D3" w:rsidP="00DC262A">
      <w:pPr>
        <w:pStyle w:val="FootnoteText"/>
      </w:pPr>
      <w:r>
        <w:rPr>
          <w:rStyle w:val="FootnoteReference"/>
        </w:rPr>
        <w:footnoteRef/>
      </w:r>
      <w:r>
        <w:t xml:space="preserve"> </w:t>
      </w:r>
      <w:r>
        <w:tab/>
        <w:t xml:space="preserve">Board of Taxation, </w:t>
      </w:r>
      <w:r w:rsidRPr="00446B24">
        <w:rPr>
          <w:i/>
        </w:rPr>
        <w:t xml:space="preserve">Review of the </w:t>
      </w:r>
      <w:r w:rsidRPr="00093E48">
        <w:rPr>
          <w:i/>
        </w:rPr>
        <w:t>Legal Framework for the Administration of the Goods and Services Tax</w:t>
      </w:r>
      <w:r>
        <w:t xml:space="preserve">: </w:t>
      </w:r>
      <w:r w:rsidRPr="00093E48">
        <w:rPr>
          <w:i/>
        </w:rPr>
        <w:t>A Report to the Assistant Treasurer and Minister for Competition Policy and Consumer Affairs</w:t>
      </w:r>
      <w:r>
        <w:t>, December 2008</w:t>
      </w:r>
      <w:r>
        <w:rPr>
          <w:rStyle w:val="Hyperlink"/>
        </w:rPr>
        <w:t>.</w:t>
      </w:r>
    </w:p>
  </w:footnote>
  <w:footnote w:id="24">
    <w:p w:rsidR="008108D3" w:rsidRDefault="008108D3" w:rsidP="005C789A">
      <w:pPr>
        <w:pStyle w:val="FootnoteText"/>
      </w:pPr>
      <w:r>
        <w:rPr>
          <w:rStyle w:val="FootnoteReference"/>
        </w:rPr>
        <w:footnoteRef/>
      </w:r>
      <w:r>
        <w:t xml:space="preserve"> </w:t>
      </w:r>
      <w:r>
        <w:tab/>
        <w:t>The Treasury,</w:t>
      </w:r>
      <w:r w:rsidRPr="0033596B">
        <w:t xml:space="preserve"> </w:t>
      </w:r>
      <w:r w:rsidRPr="0033596B">
        <w:rPr>
          <w:i/>
        </w:rPr>
        <w:t>Implementation of the recommendations of the Board of Taxation’s review of the legal framework for the administration of the GST</w:t>
      </w:r>
      <w:r>
        <w:rPr>
          <w:i/>
        </w:rPr>
        <w:t xml:space="preserve"> Second consultation paper</w:t>
      </w:r>
      <w:r>
        <w:t>, Commonwealth of Australia, September 2009.</w:t>
      </w:r>
    </w:p>
  </w:footnote>
  <w:footnote w:id="25">
    <w:p w:rsidR="008108D3" w:rsidRDefault="008108D3" w:rsidP="00407FAE">
      <w:pPr>
        <w:pStyle w:val="FootnoteText"/>
      </w:pPr>
      <w:r>
        <w:rPr>
          <w:rStyle w:val="FootnoteReference"/>
        </w:rPr>
        <w:footnoteRef/>
      </w:r>
      <w:r>
        <w:t xml:space="preserve"> </w:t>
      </w:r>
      <w:r>
        <w:tab/>
        <w:t xml:space="preserve">Submissions available at: </w:t>
      </w:r>
      <w:r w:rsidRPr="00561749">
        <w:t>http://archive.treasury.gov.au/contentitem.asp?ContentID=1717&amp;NavID=037</w:t>
      </w:r>
      <w:r>
        <w:t>.</w:t>
      </w:r>
    </w:p>
  </w:footnote>
  <w:footnote w:id="26">
    <w:p w:rsidR="008108D3" w:rsidRDefault="008108D3" w:rsidP="00675F0B">
      <w:pPr>
        <w:pStyle w:val="FootnoteText"/>
      </w:pPr>
      <w:r>
        <w:rPr>
          <w:rStyle w:val="FootnoteReference"/>
        </w:rPr>
        <w:footnoteRef/>
      </w:r>
      <w:r>
        <w:t xml:space="preserve"> </w:t>
      </w:r>
      <w:r>
        <w:tab/>
        <w:t>Of the doubtful debts provided for, $1,500 were written off as bad in 20X1, and $1,250 were written off as bad in 20X2. These are not separately expensed.</w:t>
      </w:r>
    </w:p>
  </w:footnote>
  <w:footnote w:id="27">
    <w:p w:rsidR="008108D3" w:rsidRDefault="008108D3" w:rsidP="00675F0B">
      <w:pPr>
        <w:pStyle w:val="FootnoteText"/>
      </w:pPr>
      <w:r>
        <w:rPr>
          <w:rStyle w:val="FootnoteReference"/>
        </w:rPr>
        <w:footnoteRef/>
      </w:r>
      <w:r>
        <w:t xml:space="preserve"> </w:t>
      </w:r>
      <w:r>
        <w:tab/>
      </w:r>
      <w:r w:rsidRPr="006B56AC">
        <w:t>These expenses relate to superannuation of administration staff, as well as other administration expenses that have not yet been incurred for tax purposes.</w:t>
      </w:r>
      <w:r>
        <w:t xml:space="preserve"> They are incurred for tax purposes in the next income year.</w:t>
      </w:r>
    </w:p>
  </w:footnote>
  <w:footnote w:id="28">
    <w:p w:rsidR="008108D3" w:rsidRDefault="008108D3" w:rsidP="00675F0B">
      <w:pPr>
        <w:pStyle w:val="FootnoteText"/>
      </w:pPr>
      <w:r>
        <w:rPr>
          <w:rStyle w:val="FootnoteReference"/>
        </w:rPr>
        <w:footnoteRef/>
      </w:r>
      <w:r>
        <w:t xml:space="preserve"> </w:t>
      </w:r>
      <w:r>
        <w:tab/>
        <w:t>Depreciation relates to the amortisation of office equipment used by administration staff.</w:t>
      </w:r>
    </w:p>
  </w:footnote>
  <w:footnote w:id="29">
    <w:p w:rsidR="008108D3" w:rsidRDefault="008108D3" w:rsidP="00675F0B">
      <w:pPr>
        <w:pStyle w:val="FootnoteText"/>
      </w:pPr>
      <w:r>
        <w:rPr>
          <w:rStyle w:val="FootnoteReference"/>
        </w:rPr>
        <w:footnoteRef/>
      </w:r>
      <w:r>
        <w:t xml:space="preserve"> </w:t>
      </w:r>
      <w:r>
        <w:tab/>
        <w:t>Relates to administration expenses.</w:t>
      </w:r>
    </w:p>
  </w:footnote>
  <w:footnote w:id="30">
    <w:p w:rsidR="008108D3" w:rsidRDefault="008108D3" w:rsidP="00675F0B">
      <w:pPr>
        <w:pStyle w:val="FootnoteText"/>
      </w:pPr>
      <w:r>
        <w:rPr>
          <w:rStyle w:val="FootnoteReference"/>
        </w:rPr>
        <w:footnoteRef/>
      </w:r>
      <w:r>
        <w:t xml:space="preserve"> </w:t>
      </w:r>
      <w:r>
        <w:tab/>
        <w:t>Relates to administration expenses.</w:t>
      </w:r>
    </w:p>
  </w:footnote>
  <w:footnote w:id="31">
    <w:p w:rsidR="008108D3" w:rsidRDefault="008108D3" w:rsidP="00675F0B">
      <w:pPr>
        <w:pStyle w:val="FootnoteText"/>
      </w:pPr>
      <w:r>
        <w:rPr>
          <w:rStyle w:val="FootnoteReference"/>
        </w:rPr>
        <w:footnoteRef/>
      </w:r>
      <w:r>
        <w:t xml:space="preserve"> </w:t>
      </w:r>
      <w:r>
        <w:tab/>
        <w:t>It does not matter that this amount was recognised for trust purposes, or otherwise came home to the trust, in a prior income year.</w:t>
      </w:r>
    </w:p>
  </w:footnote>
  <w:footnote w:id="32">
    <w:p w:rsidR="008108D3" w:rsidRDefault="008108D3" w:rsidP="00675F0B">
      <w:pPr>
        <w:pStyle w:val="FootnoteText"/>
      </w:pPr>
      <w:r>
        <w:rPr>
          <w:rStyle w:val="FootnoteReference"/>
        </w:rPr>
        <w:footnoteRef/>
      </w:r>
      <w:r>
        <w:t xml:space="preserve"> </w:t>
      </w:r>
      <w:r>
        <w:tab/>
        <w:t>Even though the amount recognised as an expense this year by the trust exceeds that which is deductible for tax purposes, these are expenses (cost of goods sold) which have been taken into account in the trust’s taxable income and which are amounts that have been recognised by the trustee as a loss or outgoing of the trust. The full amount represents an amount referable to the taxable income of the trust that cannot be distributed (even though different methodologies have been adopted for trust accounting and tax purposes).</w:t>
      </w:r>
    </w:p>
  </w:footnote>
  <w:footnote w:id="33">
    <w:p w:rsidR="008108D3" w:rsidRDefault="008108D3" w:rsidP="00675F0B">
      <w:pPr>
        <w:pStyle w:val="FootnoteText"/>
      </w:pPr>
      <w:r>
        <w:rPr>
          <w:rStyle w:val="FootnoteReference"/>
        </w:rPr>
        <w:footnoteRef/>
      </w:r>
      <w:r>
        <w:t xml:space="preserve"> </w:t>
      </w:r>
      <w:r>
        <w:tab/>
        <w:t>It does not matter that the amount of this deduction was recognised as an expense in a prior period.</w:t>
      </w:r>
    </w:p>
  </w:footnote>
  <w:footnote w:id="34">
    <w:p w:rsidR="008108D3" w:rsidRDefault="008108D3" w:rsidP="00675F0B">
      <w:pPr>
        <w:pStyle w:val="FootnoteText"/>
      </w:pPr>
      <w:r>
        <w:rPr>
          <w:rStyle w:val="FootnoteReference"/>
        </w:rPr>
        <w:footnoteRef/>
      </w:r>
      <w:r>
        <w:t xml:space="preserve"> </w:t>
      </w:r>
      <w:r>
        <w:tab/>
        <w:t>See Table 1 above being the total income from activities ($595,455) less total expenses from activities ($553,500).</w:t>
      </w:r>
    </w:p>
  </w:footnote>
  <w:footnote w:id="35">
    <w:p w:rsidR="008108D3" w:rsidRDefault="008108D3" w:rsidP="00675F0B">
      <w:pPr>
        <w:pStyle w:val="FootnoteText"/>
      </w:pPr>
      <w:r>
        <w:rPr>
          <w:rStyle w:val="FootnoteReference"/>
        </w:rPr>
        <w:footnoteRef/>
      </w:r>
      <w:r>
        <w:t xml:space="preserve"> </w:t>
      </w:r>
      <w:r>
        <w:tab/>
        <w:t>See Table 1 above being the total income from activities ($735,635) less total expenses from activities ($772,250).</w:t>
      </w:r>
    </w:p>
  </w:footnote>
  <w:footnote w:id="36">
    <w:p w:rsidR="008108D3" w:rsidRDefault="008108D3" w:rsidP="002F72F8">
      <w:pPr>
        <w:pStyle w:val="FootnoteText"/>
        <w:tabs>
          <w:tab w:val="clear" w:pos="284"/>
          <w:tab w:val="left" w:pos="142"/>
        </w:tabs>
      </w:pPr>
      <w:r>
        <w:rPr>
          <w:rStyle w:val="FootnoteReference"/>
        </w:rPr>
        <w:footnoteRef/>
      </w:r>
      <w:r>
        <w:t xml:space="preserve"> </w:t>
      </w:r>
      <w:r>
        <w:tab/>
        <w:t xml:space="preserve">For the 20X1 income year, general expenses have been allocated in the following way: Interest income $4,850/($595,455-$340,000-$3,500)) =1.92 per cent; Business income </w:t>
      </w:r>
      <w:r w:rsidRPr="005E6855">
        <w:t>($580,000</w:t>
      </w:r>
      <w:r>
        <w:t>-$340,000-$3,500)/($595,455-$340,000-$3,500) = 93.87 per cent. Franked dividend income($10,605/($595,455-$340,000-$3,500) = 4.21 per cent For the 20X2 income year, general expenses have been allocated in the following way: Interest income ($5,455/$735,635-$425,000-$2,250) = 1.77 per cent; Business income ($720,000-$425,000-$2,250)/($735,635-$425,000-$2,250) = 94.93 per cent, Franked dividend income</w:t>
      </w:r>
      <w:r w:rsidRPr="005B1235">
        <w:t xml:space="preserve"> </w:t>
      </w:r>
      <w:r>
        <w:t>($10,185)/($735,635-$425,000-$2,250) = 3.30 per cent.</w:t>
      </w:r>
    </w:p>
  </w:footnote>
  <w:footnote w:id="37">
    <w:p w:rsidR="008108D3" w:rsidRDefault="008108D3">
      <w:pPr>
        <w:pStyle w:val="FootnoteText"/>
      </w:pPr>
      <w:r>
        <w:rPr>
          <w:rStyle w:val="FootnoteReference"/>
        </w:rPr>
        <w:footnoteRef/>
      </w:r>
      <w:r>
        <w:t xml:space="preserve"> </w:t>
      </w:r>
      <w:r>
        <w:tab/>
        <w:t>Divisions 6 and 6E of the ITAA 1936 and Subdivisions 207-B and 115-C of the ITAA 1997.</w:t>
      </w:r>
    </w:p>
  </w:footnote>
  <w:footnote w:id="38">
    <w:p w:rsidR="008108D3" w:rsidRDefault="008108D3">
      <w:pPr>
        <w:pStyle w:val="FootnoteText"/>
      </w:pPr>
      <w:r>
        <w:rPr>
          <w:rStyle w:val="FootnoteReference"/>
        </w:rPr>
        <w:footnoteRef/>
      </w:r>
      <w:r>
        <w:t xml:space="preserve"> </w:t>
      </w:r>
      <w:r>
        <w:tab/>
        <w:t>Draft Taxation Ruling TR 2012/D1, paragraph 64.</w:t>
      </w:r>
    </w:p>
  </w:footnote>
  <w:footnote w:id="39">
    <w:p w:rsidR="008108D3" w:rsidRDefault="008108D3">
      <w:pPr>
        <w:pStyle w:val="FootnoteText"/>
      </w:pPr>
      <w:r>
        <w:rPr>
          <w:rStyle w:val="FootnoteReference"/>
        </w:rPr>
        <w:footnoteRef/>
      </w:r>
      <w:r>
        <w:t xml:space="preserve"> </w:t>
      </w:r>
      <w:r>
        <w:tab/>
        <w:t>The net financial benefit referable to a franked distribution is the gross financial benefit reduced by directly relevant expenses only. There are no expenses directly relevant to the franked dividends in either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8D3" w:rsidRPr="00290A98" w:rsidRDefault="008108D3" w:rsidP="00290A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BC23BE4"/>
    <w:lvl w:ilvl="0">
      <w:start w:val="1"/>
      <w:numFmt w:val="bullet"/>
      <w:lvlText w:val=""/>
      <w:lvlJc w:val="left"/>
      <w:pPr>
        <w:tabs>
          <w:tab w:val="num" w:pos="643"/>
        </w:tabs>
        <w:ind w:left="643" w:hanging="360"/>
      </w:pPr>
      <w:rPr>
        <w:rFonts w:ascii="Symbol" w:hAnsi="Symbol" w:hint="default"/>
      </w:rPr>
    </w:lvl>
  </w:abstractNum>
  <w:abstractNum w:abstractNumId="1">
    <w:nsid w:val="069A6053"/>
    <w:multiLevelType w:val="multilevel"/>
    <w:tmpl w:val="24FAFDD0"/>
    <w:lvl w:ilvl="0">
      <w:start w:val="1"/>
      <w:numFmt w:val="bullet"/>
      <w:lvlRestart w:val="0"/>
      <w:pStyle w:val="Romannumeral"/>
      <w:lvlText w:val="•"/>
      <w:lvlJc w:val="left"/>
      <w:pPr>
        <w:tabs>
          <w:tab w:val="num" w:pos="566"/>
        </w:tabs>
        <w:ind w:left="566" w:hanging="566"/>
      </w:pPr>
      <w:rPr>
        <w:rFonts w:ascii="Times New Roman" w:hAnsi="Times New Roman"/>
        <w:b w:val="0"/>
        <w:i w:val="0"/>
      </w:rPr>
    </w:lvl>
    <w:lvl w:ilvl="1">
      <w:start w:val="1"/>
      <w:numFmt w:val="bullet"/>
      <w:lvlText w:val="–"/>
      <w:lvlJc w:val="left"/>
      <w:pPr>
        <w:tabs>
          <w:tab w:val="num" w:pos="1134"/>
        </w:tabs>
        <w:ind w:left="1134" w:hanging="568"/>
      </w:pPr>
      <w:rPr>
        <w:rFonts w:ascii="Times New Roman" w:hAnsi="Times New Roman"/>
        <w:b w:val="0"/>
        <w:i w:val="0"/>
      </w:rPr>
    </w:lvl>
    <w:lvl w:ilvl="2">
      <w:start w:val="1"/>
      <w:numFmt w:val="bullet"/>
      <w:lvlText w:val=""/>
      <w:lvlJc w:val="left"/>
      <w:pPr>
        <w:tabs>
          <w:tab w:val="num" w:pos="1700"/>
        </w:tabs>
        <w:ind w:left="1700" w:hanging="566"/>
      </w:pPr>
      <w:rPr>
        <w:rFonts w:ascii="Symbol" w:hAnsi="Symbol" w:hint="default"/>
        <w:b w:val="0"/>
        <w:i w:val="0"/>
        <w:sz w:val="2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2">
    <w:nsid w:val="07ED3FC7"/>
    <w:multiLevelType w:val="multilevel"/>
    <w:tmpl w:val="F8BE2F76"/>
    <w:styleLink w:val="BoxBulletedList"/>
    <w:lvl w:ilvl="0">
      <w:start w:val="1"/>
      <w:numFmt w:val="bullet"/>
      <w:lvlRestart w:val="0"/>
      <w:pStyle w:val="BoxBullet"/>
      <w:lvlText w:val="•"/>
      <w:lvlJc w:val="left"/>
      <w:pPr>
        <w:tabs>
          <w:tab w:val="num" w:pos="283"/>
        </w:tabs>
        <w:ind w:left="283" w:hanging="283"/>
      </w:pPr>
      <w:rPr>
        <w:rFonts w:ascii="Times New Roman" w:hAnsi="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cs="Times New Roman" w:hint="default"/>
        <w:b w:val="0"/>
        <w:i w:val="0"/>
      </w:rPr>
    </w:lvl>
    <w:lvl w:ilvl="4">
      <w:start w:val="1"/>
      <w:numFmt w:val="lowerLetter"/>
      <w:lvlText w:val="(%5)"/>
      <w:lvlJc w:val="left"/>
      <w:pPr>
        <w:tabs>
          <w:tab w:val="num" w:pos="1800"/>
        </w:tabs>
        <w:ind w:left="1800" w:hanging="360"/>
      </w:pPr>
      <w:rPr>
        <w:rFonts w:cs="Times New Roman" w:hint="default"/>
        <w:b w:val="0"/>
        <w:i w:val="0"/>
      </w:rPr>
    </w:lvl>
    <w:lvl w:ilvl="5">
      <w:start w:val="1"/>
      <w:numFmt w:val="lowerRoman"/>
      <w:lvlText w:val="(%6)"/>
      <w:lvlJc w:val="left"/>
      <w:pPr>
        <w:tabs>
          <w:tab w:val="num" w:pos="2160"/>
        </w:tabs>
        <w:ind w:left="2160" w:hanging="360"/>
      </w:pPr>
      <w:rPr>
        <w:rFonts w:cs="Times New Roman" w:hint="default"/>
        <w:b w:val="0"/>
        <w:i w:val="0"/>
      </w:rPr>
    </w:lvl>
    <w:lvl w:ilvl="6">
      <w:start w:val="1"/>
      <w:numFmt w:val="decimal"/>
      <w:lvlText w:val="%7."/>
      <w:lvlJc w:val="left"/>
      <w:pPr>
        <w:tabs>
          <w:tab w:val="num" w:pos="2520"/>
        </w:tabs>
        <w:ind w:left="2520" w:hanging="360"/>
      </w:pPr>
      <w:rPr>
        <w:rFonts w:cs="Times New Roman" w:hint="default"/>
        <w:b w:val="0"/>
        <w:i w:val="0"/>
      </w:rPr>
    </w:lvl>
    <w:lvl w:ilvl="7">
      <w:start w:val="1"/>
      <w:numFmt w:val="lowerLetter"/>
      <w:lvlText w:val="%8."/>
      <w:lvlJc w:val="left"/>
      <w:pPr>
        <w:tabs>
          <w:tab w:val="num" w:pos="2880"/>
        </w:tabs>
        <w:ind w:left="2880" w:hanging="360"/>
      </w:pPr>
      <w:rPr>
        <w:rFonts w:cs="Times New Roman" w:hint="default"/>
        <w:b w:val="0"/>
        <w:i w:val="0"/>
      </w:rPr>
    </w:lvl>
    <w:lvl w:ilvl="8">
      <w:start w:val="1"/>
      <w:numFmt w:val="lowerRoman"/>
      <w:lvlText w:val="%9."/>
      <w:lvlJc w:val="left"/>
      <w:pPr>
        <w:tabs>
          <w:tab w:val="num" w:pos="3240"/>
        </w:tabs>
        <w:ind w:left="3240" w:hanging="360"/>
      </w:pPr>
      <w:rPr>
        <w:rFonts w:cs="Times New Roman" w:hint="default"/>
        <w:b w:val="0"/>
        <w:i w:val="0"/>
      </w:rPr>
    </w:lvl>
  </w:abstractNum>
  <w:abstractNum w:abstractNumId="3">
    <w:nsid w:val="090B0DB0"/>
    <w:multiLevelType w:val="multilevel"/>
    <w:tmpl w:val="D9A8A212"/>
    <w:styleLink w:val="RomanNumeralList"/>
    <w:lvl w:ilvl="0">
      <w:start w:val="1"/>
      <w:numFmt w:val="lowerRoman"/>
      <w:lvlText w:val="(%1)"/>
      <w:lvlJc w:val="left"/>
      <w:pPr>
        <w:tabs>
          <w:tab w:val="num" w:pos="567"/>
        </w:tabs>
        <w:ind w:left="567" w:hanging="567"/>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nsid w:val="10653560"/>
    <w:multiLevelType w:val="multilevel"/>
    <w:tmpl w:val="72F8140E"/>
    <w:styleLink w:val="OutlineList"/>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418"/>
        </w:tabs>
        <w:ind w:left="1418" w:hanging="1418"/>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
    <w:nsid w:val="1E6B29F1"/>
    <w:multiLevelType w:val="multilevel"/>
    <w:tmpl w:val="EDEE4FB6"/>
    <w:styleLink w:val="RecommendationBulletList"/>
    <w:lvl w:ilvl="0">
      <w:start w:val="1"/>
      <w:numFmt w:val="bullet"/>
      <w:lvlText w:val="•"/>
      <w:lvlJc w:val="left"/>
      <w:pPr>
        <w:tabs>
          <w:tab w:val="num" w:pos="284"/>
        </w:tabs>
        <w:ind w:left="284" w:hanging="284"/>
      </w:pPr>
      <w:rPr>
        <w:rFonts w:ascii="Times New Roman" w:hAnsi="Times New Roman" w:hint="default"/>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851"/>
        </w:tabs>
        <w:ind w:left="851" w:hanging="284"/>
      </w:pPr>
      <w:rPr>
        <w:rFonts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
    <w:nsid w:val="1FB3532E"/>
    <w:multiLevelType w:val="multilevel"/>
    <w:tmpl w:val="3F90CDE0"/>
    <w:lvl w:ilvl="0">
      <w:start w:val="1"/>
      <w:numFmt w:val="decimal"/>
      <w:pStyle w:val="NumHeading1"/>
      <w:lvlText w:val="%1"/>
      <w:lvlJc w:val="left"/>
      <w:pPr>
        <w:tabs>
          <w:tab w:val="num" w:pos="425"/>
        </w:tabs>
        <w:ind w:left="425" w:hanging="425"/>
      </w:pPr>
      <w:rPr>
        <w:rFonts w:ascii="Times New Roman" w:hAnsi="Times New Roman" w:cs="Times New Roman" w:hint="default"/>
        <w:b/>
        <w:i w:val="0"/>
        <w:caps/>
        <w:sz w:val="24"/>
        <w:szCs w:val="24"/>
      </w:rPr>
    </w:lvl>
    <w:lvl w:ilvl="1">
      <w:start w:val="1"/>
      <w:numFmt w:val="decimal"/>
      <w:pStyle w:val="NumHeading2"/>
      <w:lvlText w:val="%1.%2"/>
      <w:lvlJc w:val="left"/>
      <w:pPr>
        <w:tabs>
          <w:tab w:val="num" w:pos="992"/>
        </w:tabs>
        <w:ind w:left="992" w:hanging="567"/>
      </w:pPr>
      <w:rPr>
        <w:rFonts w:ascii="Times New Roman" w:hAnsi="Times New Roman" w:cs="Times New Roman" w:hint="default"/>
        <w:b/>
        <w:i w:val="0"/>
        <w:sz w:val="24"/>
        <w:szCs w:val="24"/>
      </w:rPr>
    </w:lvl>
    <w:lvl w:ilvl="2">
      <w:start w:val="1"/>
      <w:numFmt w:val="decimal"/>
      <w:pStyle w:val="NumHeading3"/>
      <w:lvlText w:val="%1.%2.%3"/>
      <w:lvlJc w:val="left"/>
      <w:pPr>
        <w:tabs>
          <w:tab w:val="num" w:pos="1701"/>
        </w:tabs>
        <w:ind w:left="1701" w:hanging="709"/>
      </w:pPr>
      <w:rPr>
        <w:rFonts w:ascii="Times New Roman" w:hAnsi="Times New Roman" w:cs="Times New Roman" w:hint="default"/>
        <w:b/>
        <w:i/>
        <w:sz w:val="22"/>
        <w:szCs w:val="22"/>
      </w:rPr>
    </w:lvl>
    <w:lvl w:ilvl="3">
      <w:start w:val="1"/>
      <w:numFmt w:val="decimal"/>
      <w:pStyle w:val="NumHeading4"/>
      <w:lvlText w:val="%1.%2.%3.%4"/>
      <w:lvlJc w:val="left"/>
      <w:pPr>
        <w:tabs>
          <w:tab w:val="num" w:pos="2608"/>
        </w:tabs>
        <w:ind w:left="2608" w:hanging="907"/>
      </w:pPr>
      <w:rPr>
        <w:rFonts w:ascii="Times New Roman" w:hAnsi="Times New Roman" w:cs="Times New Roman" w:hint="default"/>
        <w:b w:val="0"/>
        <w:i/>
        <w:sz w:val="22"/>
        <w:szCs w:val="22"/>
      </w:rPr>
    </w:lvl>
    <w:lvl w:ilvl="4">
      <w:start w:val="1"/>
      <w:numFmt w:val="none"/>
      <w:suff w:val="nothing"/>
      <w:lvlText w:val="%1.%2.%3.%4.%5."/>
      <w:lvlJc w:val="left"/>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nsid w:val="244237C5"/>
    <w:multiLevelType w:val="multilevel"/>
    <w:tmpl w:val="FA7C03CA"/>
    <w:name w:val="StandardNumberedList"/>
    <w:lvl w:ilvl="0">
      <w:start w:val="1"/>
      <w:numFmt w:val="decimal"/>
      <w:lvlText w:val="%1."/>
      <w:lvlJc w:val="left"/>
      <w:pPr>
        <w:tabs>
          <w:tab w:val="num" w:pos="520"/>
        </w:tabs>
        <w:ind w:left="520" w:hanging="520"/>
      </w:pPr>
      <w:rPr>
        <w:rFonts w:cs="Times New Roman" w:hint="default"/>
        <w:b w:val="0"/>
        <w:i w:val="0"/>
      </w:rPr>
    </w:lvl>
    <w:lvl w:ilvl="1">
      <w:start w:val="1"/>
      <w:numFmt w:val="decimal"/>
      <w:lvlText w:val="%1.%2."/>
      <w:lvlJc w:val="left"/>
      <w:pPr>
        <w:tabs>
          <w:tab w:val="num" w:pos="1040"/>
        </w:tabs>
        <w:ind w:left="1040" w:hanging="520"/>
      </w:pPr>
      <w:rPr>
        <w:rFonts w:cs="Times New Roman" w:hint="default"/>
        <w:b w:val="0"/>
        <w:i w:val="0"/>
      </w:rPr>
    </w:lvl>
    <w:lvl w:ilvl="2">
      <w:start w:val="1"/>
      <w:numFmt w:val="decimal"/>
      <w:lvlText w:val="%1.%2.%3."/>
      <w:lvlJc w:val="left"/>
      <w:pPr>
        <w:tabs>
          <w:tab w:val="num" w:pos="1560"/>
        </w:tabs>
        <w:ind w:left="1560" w:hanging="520"/>
      </w:pPr>
      <w:rPr>
        <w:rFonts w:cs="Times New Roman" w:hint="default"/>
        <w:b w:val="0"/>
        <w:i w:val="0"/>
      </w:rPr>
    </w:lvl>
    <w:lvl w:ilvl="3">
      <w:start w:val="1"/>
      <w:numFmt w:val="decimal"/>
      <w:lvlText w:val="%1.%2.%3.%4"/>
      <w:lvlJc w:val="left"/>
      <w:pPr>
        <w:tabs>
          <w:tab w:val="num" w:pos="2551"/>
        </w:tabs>
        <w:ind w:left="2551" w:hanging="850"/>
      </w:pPr>
      <w:rPr>
        <w:rFonts w:cs="Times New Roman" w:hint="default"/>
        <w:b w:val="0"/>
        <w:i w:val="0"/>
      </w:rPr>
    </w:lvl>
    <w:lvl w:ilvl="4">
      <w:start w:val="1"/>
      <w:numFmt w:val="lowerLetter"/>
      <w:pStyle w:val="OutlineNumbered5"/>
      <w:lvlText w:val="(%5)"/>
      <w:lvlJc w:val="left"/>
      <w:pPr>
        <w:tabs>
          <w:tab w:val="num" w:pos="2835"/>
        </w:tabs>
        <w:ind w:left="2835" w:hanging="567"/>
      </w:pPr>
      <w:rPr>
        <w:rFonts w:cs="Times New Roman" w:hint="default"/>
        <w:b w:val="0"/>
        <w:i w:val="0"/>
      </w:rPr>
    </w:lvl>
    <w:lvl w:ilvl="5">
      <w:start w:val="1"/>
      <w:numFmt w:val="lowerRoman"/>
      <w:lvlText w:val="(%6)"/>
      <w:lvlJc w:val="left"/>
      <w:pPr>
        <w:tabs>
          <w:tab w:val="num" w:pos="2160"/>
        </w:tabs>
        <w:ind w:left="2160" w:hanging="360"/>
      </w:pPr>
      <w:rPr>
        <w:rFonts w:cs="Times New Roman" w:hint="default"/>
        <w:b w:val="0"/>
        <w:i w:val="0"/>
      </w:rPr>
    </w:lvl>
    <w:lvl w:ilvl="6">
      <w:start w:val="1"/>
      <w:numFmt w:val="decimal"/>
      <w:lvlText w:val="%7."/>
      <w:lvlJc w:val="left"/>
      <w:pPr>
        <w:tabs>
          <w:tab w:val="num" w:pos="2520"/>
        </w:tabs>
        <w:ind w:left="2520" w:hanging="360"/>
      </w:pPr>
      <w:rPr>
        <w:rFonts w:cs="Times New Roman" w:hint="default"/>
        <w:b w:val="0"/>
        <w:i w:val="0"/>
      </w:rPr>
    </w:lvl>
    <w:lvl w:ilvl="7">
      <w:start w:val="1"/>
      <w:numFmt w:val="lowerLetter"/>
      <w:lvlText w:val="%8."/>
      <w:lvlJc w:val="left"/>
      <w:pPr>
        <w:tabs>
          <w:tab w:val="num" w:pos="2880"/>
        </w:tabs>
        <w:ind w:left="2880" w:hanging="360"/>
      </w:pPr>
      <w:rPr>
        <w:rFonts w:cs="Times New Roman" w:hint="default"/>
        <w:b w:val="0"/>
        <w:i w:val="0"/>
      </w:rPr>
    </w:lvl>
    <w:lvl w:ilvl="8">
      <w:start w:val="1"/>
      <w:numFmt w:val="lowerRoman"/>
      <w:lvlText w:val="%9."/>
      <w:lvlJc w:val="left"/>
      <w:pPr>
        <w:tabs>
          <w:tab w:val="num" w:pos="3240"/>
        </w:tabs>
        <w:ind w:left="3240" w:hanging="360"/>
      </w:pPr>
      <w:rPr>
        <w:rFonts w:cs="Times New Roman" w:hint="default"/>
        <w:b w:val="0"/>
        <w:i w:val="0"/>
      </w:rPr>
    </w:lvl>
  </w:abstractNum>
  <w:abstractNum w:abstractNumId="8">
    <w:nsid w:val="25EA2A0F"/>
    <w:multiLevelType w:val="multilevel"/>
    <w:tmpl w:val="18BC553E"/>
    <w:styleLink w:val="TableTextBulletList"/>
    <w:lvl w:ilvl="0">
      <w:start w:val="1"/>
      <w:numFmt w:val="bullet"/>
      <w:pStyle w:val="TableTextBullet"/>
      <w:lvlText w:val="•"/>
      <w:lvlJc w:val="left"/>
      <w:pPr>
        <w:tabs>
          <w:tab w:val="num" w:pos="284"/>
        </w:tabs>
        <w:ind w:left="284" w:hanging="284"/>
      </w:pPr>
      <w:rPr>
        <w:rFonts w:ascii="Times New Roman" w:hAnsi="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
    <w:nsid w:val="27440C8B"/>
    <w:multiLevelType w:val="multilevel"/>
    <w:tmpl w:val="9AFC5FD2"/>
    <w:lvl w:ilvl="0">
      <w:start w:val="1"/>
      <w:numFmt w:val="bullet"/>
      <w:lvlRestart w:val="0"/>
      <w:pStyle w:val="OutlineNumbered1"/>
      <w:lvlText w:val="•"/>
      <w:lvlJc w:val="left"/>
      <w:pPr>
        <w:tabs>
          <w:tab w:val="num" w:pos="283"/>
        </w:tabs>
        <w:ind w:left="283" w:hanging="283"/>
      </w:pPr>
      <w:rPr>
        <w:rFonts w:ascii="Times New Roman" w:hAnsi="Times New Roman"/>
        <w:b w:val="0"/>
        <w:i w:val="0"/>
      </w:rPr>
    </w:lvl>
    <w:lvl w:ilvl="1">
      <w:start w:val="1"/>
      <w:numFmt w:val="bullet"/>
      <w:pStyle w:val="OutlineNumbered2"/>
      <w:lvlText w:val="–"/>
      <w:lvlJc w:val="left"/>
      <w:pPr>
        <w:tabs>
          <w:tab w:val="num" w:pos="567"/>
        </w:tabs>
        <w:ind w:left="567" w:hanging="284"/>
      </w:pPr>
      <w:rPr>
        <w:rFonts w:ascii="Times New Roman" w:hAnsi="Times New Roman"/>
        <w:b w:val="0"/>
        <w:i w:val="0"/>
      </w:rPr>
    </w:lvl>
    <w:lvl w:ilvl="2">
      <w:start w:val="1"/>
      <w:numFmt w:val="bullet"/>
      <w:pStyle w:val="OutlineNumbered3"/>
      <w:lvlText w:val=":"/>
      <w:lvlJc w:val="left"/>
      <w:pPr>
        <w:tabs>
          <w:tab w:val="num" w:pos="850"/>
        </w:tabs>
        <w:ind w:left="850" w:hanging="283"/>
      </w:pPr>
      <w:rPr>
        <w:rFonts w:ascii="Times New Roman" w:hAnsi="Times New Roman"/>
        <w:b w:val="0"/>
        <w:i w:val="0"/>
      </w:rPr>
    </w:lvl>
    <w:lvl w:ilvl="3">
      <w:start w:val="1"/>
      <w:numFmt w:val="decimal"/>
      <w:lvlText w:val="(%4)"/>
      <w:lvlJc w:val="left"/>
      <w:pPr>
        <w:tabs>
          <w:tab w:val="num" w:pos="1440"/>
        </w:tabs>
        <w:ind w:left="1440" w:hanging="360"/>
      </w:pPr>
      <w:rPr>
        <w:rFonts w:cs="Times New Roman"/>
        <w:b w:val="0"/>
        <w:i w:val="0"/>
      </w:rPr>
    </w:lvl>
    <w:lvl w:ilvl="4">
      <w:start w:val="1"/>
      <w:numFmt w:val="lowerLetter"/>
      <w:lvlText w:val="(%5)"/>
      <w:lvlJc w:val="left"/>
      <w:pPr>
        <w:tabs>
          <w:tab w:val="num" w:pos="1800"/>
        </w:tabs>
        <w:ind w:left="1800" w:hanging="360"/>
      </w:pPr>
      <w:rPr>
        <w:rFonts w:cs="Times New Roman"/>
        <w:b w:val="0"/>
        <w:i w:val="0"/>
      </w:rPr>
    </w:lvl>
    <w:lvl w:ilvl="5">
      <w:start w:val="1"/>
      <w:numFmt w:val="lowerRoman"/>
      <w:lvlText w:val="(%6)"/>
      <w:lvlJc w:val="left"/>
      <w:pPr>
        <w:tabs>
          <w:tab w:val="num" w:pos="2160"/>
        </w:tabs>
        <w:ind w:left="2160" w:hanging="360"/>
      </w:pPr>
      <w:rPr>
        <w:rFonts w:cs="Times New Roman"/>
        <w:b w:val="0"/>
        <w:i w:val="0"/>
      </w:rPr>
    </w:lvl>
    <w:lvl w:ilvl="6">
      <w:start w:val="1"/>
      <w:numFmt w:val="decimal"/>
      <w:lvlText w:val="%7."/>
      <w:lvlJc w:val="left"/>
      <w:pPr>
        <w:tabs>
          <w:tab w:val="num" w:pos="2520"/>
        </w:tabs>
        <w:ind w:left="2520" w:hanging="360"/>
      </w:pPr>
      <w:rPr>
        <w:rFonts w:cs="Times New Roman"/>
        <w:b w:val="0"/>
        <w:i w:val="0"/>
      </w:rPr>
    </w:lvl>
    <w:lvl w:ilvl="7">
      <w:start w:val="1"/>
      <w:numFmt w:val="lowerLetter"/>
      <w:lvlText w:val="%8."/>
      <w:lvlJc w:val="left"/>
      <w:pPr>
        <w:tabs>
          <w:tab w:val="num" w:pos="2880"/>
        </w:tabs>
        <w:ind w:left="2880" w:hanging="360"/>
      </w:pPr>
      <w:rPr>
        <w:rFonts w:cs="Times New Roman"/>
        <w:b w:val="0"/>
        <w:i w:val="0"/>
      </w:rPr>
    </w:lvl>
    <w:lvl w:ilvl="8">
      <w:start w:val="1"/>
      <w:numFmt w:val="lowerRoman"/>
      <w:lvlText w:val="%9."/>
      <w:lvlJc w:val="left"/>
      <w:pPr>
        <w:tabs>
          <w:tab w:val="num" w:pos="3240"/>
        </w:tabs>
        <w:ind w:left="3240" w:hanging="360"/>
      </w:pPr>
      <w:rPr>
        <w:rFonts w:cs="Times New Roman"/>
        <w:b w:val="0"/>
        <w:i w:val="0"/>
      </w:rPr>
    </w:lvl>
  </w:abstractNum>
  <w:abstractNum w:abstractNumId="10">
    <w:nsid w:val="278D78E7"/>
    <w:multiLevelType w:val="multilevel"/>
    <w:tmpl w:val="227083C4"/>
    <w:name w:val="OneLevelRomanNumeralList"/>
    <w:lvl w:ilvl="0">
      <w:start w:val="1"/>
      <w:numFmt w:val="lowerRoman"/>
      <w:lvlRestart w:val="0"/>
      <w:lvlText w:val="(%1)"/>
      <w:lvlJc w:val="left"/>
      <w:pPr>
        <w:tabs>
          <w:tab w:val="num" w:pos="567"/>
        </w:tabs>
        <w:ind w:left="567" w:hanging="567"/>
      </w:pPr>
      <w:rPr>
        <w:rFonts w:cs="Times New Roman"/>
        <w:b w:val="0"/>
        <w:i w:val="0"/>
        <w:color w:val="000000"/>
      </w:rPr>
    </w:lvl>
    <w:lvl w:ilvl="1">
      <w:start w:val="1"/>
      <w:numFmt w:val="decimal"/>
      <w:lvlText w:val="%2"/>
      <w:lvlJc w:val="left"/>
      <w:pPr>
        <w:tabs>
          <w:tab w:val="num" w:pos="1134"/>
        </w:tabs>
        <w:ind w:left="1134" w:hanging="567"/>
      </w:pPr>
      <w:rPr>
        <w:rFonts w:cs="Times New Roman"/>
        <w:b w:val="0"/>
        <w:i w:val="0"/>
        <w:color w:val="000000"/>
      </w:rPr>
    </w:lvl>
    <w:lvl w:ilvl="2">
      <w:start w:val="1"/>
      <w:numFmt w:val="decimal"/>
      <w:lvlText w:val="%3"/>
      <w:lvlJc w:val="left"/>
      <w:pPr>
        <w:tabs>
          <w:tab w:val="num" w:pos="1701"/>
        </w:tabs>
        <w:ind w:left="1701" w:hanging="567"/>
      </w:pPr>
      <w:rPr>
        <w:rFonts w:cs="Times New Roman"/>
        <w:b w:val="0"/>
        <w:i w:val="0"/>
        <w:color w:val="000000"/>
      </w:rPr>
    </w:lvl>
    <w:lvl w:ilvl="3">
      <w:start w:val="1"/>
      <w:numFmt w:val="decimal"/>
      <w:lvlText w:val="%4"/>
      <w:lvlJc w:val="left"/>
      <w:pPr>
        <w:tabs>
          <w:tab w:val="num" w:pos="2268"/>
        </w:tabs>
        <w:ind w:left="2268" w:hanging="567"/>
      </w:pPr>
      <w:rPr>
        <w:rFonts w:cs="Times New Roman"/>
        <w:b w:val="0"/>
        <w:i w:val="0"/>
        <w:color w:val="000000"/>
      </w:rPr>
    </w:lvl>
    <w:lvl w:ilvl="4">
      <w:start w:val="1"/>
      <w:numFmt w:val="decimal"/>
      <w:lvlText w:val="%5"/>
      <w:lvlJc w:val="left"/>
      <w:pPr>
        <w:tabs>
          <w:tab w:val="num" w:pos="2835"/>
        </w:tabs>
        <w:ind w:left="2835" w:hanging="567"/>
      </w:pPr>
      <w:rPr>
        <w:rFonts w:cs="Times New Roman"/>
        <w:b w:val="0"/>
        <w:i w:val="0"/>
        <w:color w:val="000000"/>
      </w:rPr>
    </w:lvl>
    <w:lvl w:ilvl="5">
      <w:start w:val="1"/>
      <w:numFmt w:val="decimal"/>
      <w:lvlText w:val="%6"/>
      <w:lvlJc w:val="left"/>
      <w:pPr>
        <w:tabs>
          <w:tab w:val="num" w:pos="3402"/>
        </w:tabs>
        <w:ind w:left="3402" w:hanging="567"/>
      </w:pPr>
      <w:rPr>
        <w:rFonts w:cs="Times New Roman"/>
        <w:b w:val="0"/>
        <w:i w:val="0"/>
        <w:color w:val="000000"/>
      </w:rPr>
    </w:lvl>
    <w:lvl w:ilvl="6">
      <w:start w:val="1"/>
      <w:numFmt w:val="decimal"/>
      <w:lvlText w:val="%7"/>
      <w:lvlJc w:val="left"/>
      <w:pPr>
        <w:tabs>
          <w:tab w:val="num" w:pos="3969"/>
        </w:tabs>
        <w:ind w:left="3969" w:hanging="567"/>
      </w:pPr>
      <w:rPr>
        <w:rFonts w:cs="Times New Roman"/>
        <w:b w:val="0"/>
        <w:i w:val="0"/>
        <w:color w:val="000000"/>
      </w:rPr>
    </w:lvl>
    <w:lvl w:ilvl="7">
      <w:start w:val="1"/>
      <w:numFmt w:val="decimal"/>
      <w:lvlText w:val="%8"/>
      <w:lvlJc w:val="left"/>
      <w:pPr>
        <w:tabs>
          <w:tab w:val="num" w:pos="4536"/>
        </w:tabs>
        <w:ind w:left="4536" w:hanging="567"/>
      </w:pPr>
      <w:rPr>
        <w:rFonts w:cs="Times New Roman"/>
        <w:b w:val="0"/>
        <w:i w:val="0"/>
        <w:color w:val="000000"/>
      </w:rPr>
    </w:lvl>
    <w:lvl w:ilvl="8">
      <w:start w:val="1"/>
      <w:numFmt w:val="decimal"/>
      <w:lvlText w:val="%9"/>
      <w:lvlJc w:val="left"/>
      <w:pPr>
        <w:tabs>
          <w:tab w:val="num" w:pos="5103"/>
        </w:tabs>
        <w:ind w:left="5103" w:hanging="567"/>
      </w:pPr>
      <w:rPr>
        <w:rFonts w:cs="Times New Roman"/>
        <w:b w:val="0"/>
        <w:i w:val="0"/>
        <w:color w:val="000000"/>
      </w:rPr>
    </w:lvl>
  </w:abstractNum>
  <w:abstractNum w:abstractNumId="11">
    <w:nsid w:val="279A7F13"/>
    <w:multiLevelType w:val="hybridMultilevel"/>
    <w:tmpl w:val="05084A5E"/>
    <w:lvl w:ilvl="0" w:tplc="0C09000F">
      <w:start w:val="1"/>
      <w:numFmt w:val="decimal"/>
      <w:pStyle w:val="OneLevelNumberedParagraph"/>
      <w:lvlText w:val="%1."/>
      <w:lvlJc w:val="left"/>
      <w:pPr>
        <w:tabs>
          <w:tab w:val="num" w:pos="720"/>
        </w:tabs>
        <w:ind w:left="720" w:hanging="360"/>
      </w:pPr>
      <w:rPr>
        <w:rFonts w:cs="Times New Roman"/>
      </w:rPr>
    </w:lvl>
    <w:lvl w:ilvl="1" w:tplc="54EC73A6">
      <w:start w:val="1"/>
      <w:numFmt w:val="bullet"/>
      <w:lvlText w:val=""/>
      <w:lvlJc w:val="left"/>
      <w:pPr>
        <w:tabs>
          <w:tab w:val="num" w:pos="1477"/>
        </w:tabs>
        <w:ind w:left="1477" w:hanging="397"/>
      </w:pPr>
      <w:rPr>
        <w:rFonts w:ascii="Symbol" w:hAnsi="Symbol"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2">
    <w:nsid w:val="2DF54350"/>
    <w:multiLevelType w:val="multilevel"/>
    <w:tmpl w:val="A6800B9E"/>
    <w:styleLink w:val="Outlinenumbering"/>
    <w:lvl w:ilvl="0">
      <w:start w:val="1"/>
      <w:numFmt w:val="decimal"/>
      <w:lvlRestart w:val="0"/>
      <w:lvlText w:val="%1."/>
      <w:lvlJc w:val="left"/>
      <w:pPr>
        <w:tabs>
          <w:tab w:val="num" w:pos="567"/>
        </w:tabs>
        <w:ind w:left="567" w:hanging="567"/>
      </w:pPr>
      <w:rPr>
        <w:rFonts w:cs="Times New Roman" w:hint="default"/>
        <w:b w:val="0"/>
        <w:i w:val="0"/>
      </w:rPr>
    </w:lvl>
    <w:lvl w:ilvl="1">
      <w:start w:val="1"/>
      <w:numFmt w:val="decimal"/>
      <w:lvlText w:val="%1.%2."/>
      <w:lvlJc w:val="left"/>
      <w:pPr>
        <w:tabs>
          <w:tab w:val="num" w:pos="1134"/>
        </w:tabs>
        <w:ind w:left="1134" w:hanging="567"/>
      </w:pPr>
      <w:rPr>
        <w:rFonts w:cs="Times New Roman" w:hint="default"/>
        <w:b w:val="0"/>
        <w:i w:val="0"/>
      </w:rPr>
    </w:lvl>
    <w:lvl w:ilvl="2">
      <w:start w:val="1"/>
      <w:numFmt w:val="decimal"/>
      <w:lvlText w:val="%1.%2.%3."/>
      <w:lvlJc w:val="left"/>
      <w:pPr>
        <w:tabs>
          <w:tab w:val="num" w:pos="1984"/>
        </w:tabs>
        <w:ind w:left="1984" w:hanging="850"/>
      </w:pPr>
      <w:rPr>
        <w:rFonts w:cs="Times New Roman" w:hint="default"/>
        <w:b w:val="0"/>
        <w:i w:val="0"/>
      </w:rPr>
    </w:lvl>
    <w:lvl w:ilvl="3">
      <w:start w:val="1"/>
      <w:numFmt w:val="decimal"/>
      <w:lvlText w:val="(%4)"/>
      <w:lvlJc w:val="left"/>
      <w:pPr>
        <w:tabs>
          <w:tab w:val="num" w:pos="1440"/>
        </w:tabs>
        <w:ind w:left="1440" w:hanging="360"/>
      </w:pPr>
      <w:rPr>
        <w:rFonts w:cs="Times New Roman" w:hint="default"/>
        <w:b w:val="0"/>
        <w:i w:val="0"/>
      </w:rPr>
    </w:lvl>
    <w:lvl w:ilvl="4">
      <w:start w:val="1"/>
      <w:numFmt w:val="lowerLetter"/>
      <w:lvlText w:val="(%5)"/>
      <w:lvlJc w:val="left"/>
      <w:pPr>
        <w:tabs>
          <w:tab w:val="num" w:pos="1800"/>
        </w:tabs>
        <w:ind w:left="1800" w:hanging="360"/>
      </w:pPr>
      <w:rPr>
        <w:rFonts w:cs="Times New Roman" w:hint="default"/>
        <w:b w:val="0"/>
        <w:i w:val="0"/>
      </w:rPr>
    </w:lvl>
    <w:lvl w:ilvl="5">
      <w:start w:val="1"/>
      <w:numFmt w:val="lowerRoman"/>
      <w:lvlText w:val="(%6)"/>
      <w:lvlJc w:val="left"/>
      <w:pPr>
        <w:tabs>
          <w:tab w:val="num" w:pos="2160"/>
        </w:tabs>
        <w:ind w:left="2160" w:hanging="360"/>
      </w:pPr>
      <w:rPr>
        <w:rFonts w:cs="Times New Roman" w:hint="default"/>
        <w:b w:val="0"/>
        <w:i w:val="0"/>
      </w:rPr>
    </w:lvl>
    <w:lvl w:ilvl="6">
      <w:start w:val="1"/>
      <w:numFmt w:val="decimal"/>
      <w:lvlText w:val="%7."/>
      <w:lvlJc w:val="left"/>
      <w:pPr>
        <w:tabs>
          <w:tab w:val="num" w:pos="2520"/>
        </w:tabs>
        <w:ind w:left="2520" w:hanging="360"/>
      </w:pPr>
      <w:rPr>
        <w:rFonts w:cs="Times New Roman" w:hint="default"/>
        <w:b w:val="0"/>
        <w:i w:val="0"/>
      </w:rPr>
    </w:lvl>
    <w:lvl w:ilvl="7">
      <w:start w:val="1"/>
      <w:numFmt w:val="lowerLetter"/>
      <w:lvlText w:val="%8."/>
      <w:lvlJc w:val="left"/>
      <w:pPr>
        <w:tabs>
          <w:tab w:val="num" w:pos="2880"/>
        </w:tabs>
        <w:ind w:left="2880" w:hanging="360"/>
      </w:pPr>
      <w:rPr>
        <w:rFonts w:cs="Times New Roman" w:hint="default"/>
        <w:b w:val="0"/>
        <w:i w:val="0"/>
      </w:rPr>
    </w:lvl>
    <w:lvl w:ilvl="8">
      <w:start w:val="1"/>
      <w:numFmt w:val="lowerRoman"/>
      <w:lvlText w:val="%9."/>
      <w:lvlJc w:val="left"/>
      <w:pPr>
        <w:tabs>
          <w:tab w:val="num" w:pos="3240"/>
        </w:tabs>
        <w:ind w:left="3240" w:hanging="360"/>
      </w:pPr>
      <w:rPr>
        <w:rFonts w:cs="Times New Roman" w:hint="default"/>
        <w:b w:val="0"/>
        <w:i w:val="0"/>
      </w:rPr>
    </w:lvl>
  </w:abstractNum>
  <w:abstractNum w:abstractNumId="13">
    <w:nsid w:val="308C2710"/>
    <w:multiLevelType w:val="multilevel"/>
    <w:tmpl w:val="7026C814"/>
    <w:styleLink w:val="BulletedList"/>
    <w:lvl w:ilvl="0">
      <w:start w:val="1"/>
      <w:numFmt w:val="bullet"/>
      <w:lvlRestart w:val="0"/>
      <w:pStyle w:val="Bullet"/>
      <w:lvlText w:val="•"/>
      <w:lvlJc w:val="left"/>
      <w:pPr>
        <w:tabs>
          <w:tab w:val="num" w:pos="283"/>
        </w:tabs>
        <w:ind w:left="283" w:hanging="283"/>
      </w:pPr>
      <w:rPr>
        <w:rFonts w:ascii="Times New Roman" w:hAnsi="Times New Roman" w:hint="default"/>
        <w:b w:val="0"/>
        <w:i w:val="0"/>
      </w:rPr>
    </w:lvl>
    <w:lvl w:ilvl="1">
      <w:start w:val="1"/>
      <w:numFmt w:val="bullet"/>
      <w:pStyle w:val="Dash"/>
      <w:lvlText w:val="–"/>
      <w:lvlJc w:val="left"/>
      <w:pPr>
        <w:tabs>
          <w:tab w:val="num" w:pos="567"/>
        </w:tabs>
        <w:ind w:left="567" w:hanging="284"/>
      </w:pPr>
      <w:rPr>
        <w:rFonts w:ascii="Times New Roman" w:hAnsi="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hint="default"/>
        <w:b w:val="0"/>
        <w:i w:val="0"/>
      </w:rPr>
    </w:lvl>
    <w:lvl w:ilvl="3">
      <w:start w:val="1"/>
      <w:numFmt w:val="decimal"/>
      <w:lvlText w:val="(%4)"/>
      <w:lvlJc w:val="left"/>
      <w:pPr>
        <w:tabs>
          <w:tab w:val="num" w:pos="1440"/>
        </w:tabs>
        <w:ind w:left="1440" w:hanging="360"/>
      </w:pPr>
      <w:rPr>
        <w:rFonts w:cs="Times New Roman" w:hint="default"/>
        <w:b w:val="0"/>
        <w:i w:val="0"/>
      </w:rPr>
    </w:lvl>
    <w:lvl w:ilvl="4">
      <w:start w:val="1"/>
      <w:numFmt w:val="lowerLetter"/>
      <w:lvlText w:val="(%5)"/>
      <w:lvlJc w:val="left"/>
      <w:pPr>
        <w:tabs>
          <w:tab w:val="num" w:pos="1800"/>
        </w:tabs>
        <w:ind w:left="1800" w:hanging="360"/>
      </w:pPr>
      <w:rPr>
        <w:rFonts w:cs="Times New Roman" w:hint="default"/>
        <w:b w:val="0"/>
        <w:i w:val="0"/>
      </w:rPr>
    </w:lvl>
    <w:lvl w:ilvl="5">
      <w:start w:val="1"/>
      <w:numFmt w:val="lowerRoman"/>
      <w:lvlText w:val="(%6)"/>
      <w:lvlJc w:val="left"/>
      <w:pPr>
        <w:tabs>
          <w:tab w:val="num" w:pos="2160"/>
        </w:tabs>
        <w:ind w:left="2160" w:hanging="360"/>
      </w:pPr>
      <w:rPr>
        <w:rFonts w:cs="Times New Roman" w:hint="default"/>
        <w:b w:val="0"/>
        <w:i w:val="0"/>
      </w:rPr>
    </w:lvl>
    <w:lvl w:ilvl="6">
      <w:start w:val="1"/>
      <w:numFmt w:val="decimal"/>
      <w:lvlText w:val="%7."/>
      <w:lvlJc w:val="left"/>
      <w:pPr>
        <w:tabs>
          <w:tab w:val="num" w:pos="2520"/>
        </w:tabs>
        <w:ind w:left="2520" w:hanging="360"/>
      </w:pPr>
      <w:rPr>
        <w:rFonts w:cs="Times New Roman" w:hint="default"/>
        <w:b w:val="0"/>
        <w:i w:val="0"/>
      </w:rPr>
    </w:lvl>
    <w:lvl w:ilvl="7">
      <w:start w:val="1"/>
      <w:numFmt w:val="lowerLetter"/>
      <w:lvlText w:val="%8."/>
      <w:lvlJc w:val="left"/>
      <w:pPr>
        <w:tabs>
          <w:tab w:val="num" w:pos="2880"/>
        </w:tabs>
        <w:ind w:left="2880" w:hanging="360"/>
      </w:pPr>
      <w:rPr>
        <w:rFonts w:cs="Times New Roman" w:hint="default"/>
        <w:b w:val="0"/>
        <w:i w:val="0"/>
      </w:rPr>
    </w:lvl>
    <w:lvl w:ilvl="8">
      <w:start w:val="1"/>
      <w:numFmt w:val="lowerRoman"/>
      <w:lvlText w:val="%9."/>
      <w:lvlJc w:val="left"/>
      <w:pPr>
        <w:tabs>
          <w:tab w:val="num" w:pos="3240"/>
        </w:tabs>
        <w:ind w:left="3240" w:hanging="360"/>
      </w:pPr>
      <w:rPr>
        <w:rFonts w:cs="Times New Roman" w:hint="default"/>
        <w:b w:val="0"/>
        <w:i w:val="0"/>
      </w:rPr>
    </w:lvl>
  </w:abstractNum>
  <w:abstractNum w:abstractNumId="14">
    <w:nsid w:val="32093AEF"/>
    <w:multiLevelType w:val="multilevel"/>
    <w:tmpl w:val="A45E15E8"/>
    <w:lvl w:ilvl="0">
      <w:start w:val="1"/>
      <w:numFmt w:val="decimal"/>
      <w:lvlText w:val="%1."/>
      <w:lvlJc w:val="left"/>
      <w:pPr>
        <w:tabs>
          <w:tab w:val="num" w:pos="520"/>
        </w:tabs>
        <w:ind w:left="520" w:hanging="520"/>
      </w:pPr>
      <w:rPr>
        <w:rFonts w:cs="Times New Roman"/>
      </w:rPr>
    </w:lvl>
    <w:lvl w:ilvl="1">
      <w:start w:val="1"/>
      <w:numFmt w:val="decimal"/>
      <w:lvlText w:val="%1.%2."/>
      <w:lvlJc w:val="left"/>
      <w:pPr>
        <w:tabs>
          <w:tab w:val="num" w:pos="1040"/>
        </w:tabs>
        <w:ind w:left="1040" w:hanging="520"/>
      </w:pPr>
      <w:rPr>
        <w:rFonts w:cs="Times New Roman"/>
      </w:rPr>
    </w:lvl>
    <w:lvl w:ilvl="2">
      <w:start w:val="1"/>
      <w:numFmt w:val="decimal"/>
      <w:lvlText w:val="%1.%2.%3."/>
      <w:lvlJc w:val="left"/>
      <w:pPr>
        <w:tabs>
          <w:tab w:val="num" w:pos="1560"/>
        </w:tabs>
        <w:ind w:left="1560" w:hanging="52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3238442C"/>
    <w:multiLevelType w:val="multilevel"/>
    <w:tmpl w:val="4DAA0B3E"/>
    <w:styleLink w:val="ChartandTableFootnoteAlphaList"/>
    <w:lvl w:ilvl="0">
      <w:start w:val="1"/>
      <w:numFmt w:val="lowerLetter"/>
      <w:pStyle w:val="ChartandTableFootnoteAlpha"/>
      <w:lvlText w:val="(%1)"/>
      <w:lvlJc w:val="left"/>
      <w:pPr>
        <w:tabs>
          <w:tab w:val="num" w:pos="284"/>
        </w:tabs>
        <w:ind w:left="284" w:hanging="284"/>
      </w:pPr>
      <w:rPr>
        <w:rFonts w:ascii="Arial" w:hAnsi="Arial" w:cs="Times New Roman" w:hint="default"/>
        <w:b w:val="0"/>
        <w:i w:val="0"/>
        <w:sz w:val="16"/>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nsid w:val="330C16AD"/>
    <w:multiLevelType w:val="multilevel"/>
    <w:tmpl w:val="D10E9CF6"/>
    <w:styleLink w:val="OneLevelList"/>
    <w:lvl w:ilvl="0">
      <w:start w:val="1"/>
      <w:numFmt w:val="decimal"/>
      <w:lvlText w:val="%1."/>
      <w:lvlJc w:val="left"/>
      <w:pPr>
        <w:tabs>
          <w:tab w:val="num" w:pos="284"/>
        </w:tabs>
        <w:ind w:left="284" w:hanging="284"/>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7">
    <w:nsid w:val="35F95BA7"/>
    <w:multiLevelType w:val="hybridMultilevel"/>
    <w:tmpl w:val="C4C435BE"/>
    <w:lvl w:ilvl="0" w:tplc="8D6E39D4">
      <w:start w:val="1"/>
      <w:numFmt w:val="bullet"/>
      <w:pStyle w:val="BulletP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3E906AF0"/>
    <w:multiLevelType w:val="multilevel"/>
    <w:tmpl w:val="60924242"/>
    <w:name w:val="StandardBulletedList"/>
    <w:lvl w:ilvl="0">
      <w:start w:val="1"/>
      <w:numFmt w:val="bullet"/>
      <w:lvlText w:val="•"/>
      <w:lvlJc w:val="left"/>
      <w:pPr>
        <w:tabs>
          <w:tab w:val="num" w:pos="520"/>
        </w:tabs>
        <w:ind w:left="520" w:hanging="520"/>
      </w:pPr>
      <w:rPr>
        <w:rFonts w:ascii="Times New Roman" w:hAnsi="Times New Roman"/>
      </w:rPr>
    </w:lvl>
    <w:lvl w:ilvl="1">
      <w:start w:val="1"/>
      <w:numFmt w:val="bullet"/>
      <w:lvlText w:val="–"/>
      <w:lvlJc w:val="left"/>
      <w:pPr>
        <w:tabs>
          <w:tab w:val="num" w:pos="1040"/>
        </w:tabs>
        <w:ind w:left="1040" w:hanging="520"/>
      </w:pPr>
      <w:rPr>
        <w:rFonts w:ascii="Times New Roman" w:hAnsi="Times New Roman"/>
      </w:rPr>
    </w:lvl>
    <w:lvl w:ilvl="2">
      <w:start w:val="1"/>
      <w:numFmt w:val="bullet"/>
      <w:lvlText w:val=":"/>
      <w:lvlJc w:val="left"/>
      <w:pPr>
        <w:tabs>
          <w:tab w:val="num" w:pos="1560"/>
        </w:tabs>
        <w:ind w:left="1560" w:hanging="520"/>
      </w:pPr>
      <w:rPr>
        <w:rFonts w:ascii="Times New Roman" w:hAnsi="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47E85EA0"/>
    <w:multiLevelType w:val="hybridMultilevel"/>
    <w:tmpl w:val="C4627186"/>
    <w:lvl w:ilvl="0" w:tplc="0C090001">
      <w:start w:val="1"/>
      <w:numFmt w:val="bullet"/>
      <w:pStyle w:val="RecommendationBullet"/>
      <w:lvlText w:val=""/>
      <w:lvlJc w:val="left"/>
      <w:pPr>
        <w:tabs>
          <w:tab w:val="num" w:pos="720"/>
        </w:tabs>
        <w:ind w:left="720" w:hanging="360"/>
      </w:pPr>
      <w:rPr>
        <w:rFonts w:ascii="Symbol" w:hAnsi="Symbol" w:hint="default"/>
      </w:rPr>
    </w:lvl>
    <w:lvl w:ilvl="1" w:tplc="0C090003">
      <w:start w:val="1"/>
      <w:numFmt w:val="bullet"/>
      <w:pStyle w:val="RecommendationDash"/>
      <w:lvlText w:val="o"/>
      <w:lvlJc w:val="left"/>
      <w:pPr>
        <w:tabs>
          <w:tab w:val="num" w:pos="1440"/>
        </w:tabs>
        <w:ind w:left="1440" w:hanging="360"/>
      </w:pPr>
      <w:rPr>
        <w:rFonts w:ascii="Courier New" w:hAnsi="Courier New" w:hint="default"/>
      </w:rPr>
    </w:lvl>
    <w:lvl w:ilvl="2" w:tplc="0C090005">
      <w:start w:val="1"/>
      <w:numFmt w:val="bullet"/>
      <w:pStyle w:val="RecommendationDoubleDo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0">
    <w:nsid w:val="483E25F6"/>
    <w:multiLevelType w:val="multilevel"/>
    <w:tmpl w:val="2D022FDA"/>
    <w:styleLink w:val="AlphaParagraphList"/>
    <w:lvl w:ilvl="0">
      <w:start w:val="1"/>
      <w:numFmt w:val="lowerLetter"/>
      <w:pStyle w:val="AlphaParagraph"/>
      <w:lvlText w:val="(%1)"/>
      <w:lvlJc w:val="left"/>
      <w:pPr>
        <w:tabs>
          <w:tab w:val="num" w:pos="425"/>
        </w:tabs>
        <w:ind w:left="425" w:hanging="425"/>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nsid w:val="4E9319B0"/>
    <w:multiLevelType w:val="hybridMultilevel"/>
    <w:tmpl w:val="5256404E"/>
    <w:lvl w:ilvl="0" w:tplc="CBFCFAF2">
      <w:start w:val="1"/>
      <w:numFmt w:val="bullet"/>
      <w:pStyle w:val="BulletSubP2"/>
      <w:lvlText w:val="‒"/>
      <w:lvlJc w:val="left"/>
      <w:pPr>
        <w:ind w:left="1854" w:hanging="360"/>
      </w:pPr>
      <w:rPr>
        <w:rFonts w:ascii="Times New Roman" w:hAnsi="Times New Roman" w:hint="default"/>
      </w:rPr>
    </w:lvl>
    <w:lvl w:ilvl="1" w:tplc="0C090003">
      <w:start w:val="1"/>
      <w:numFmt w:val="bullet"/>
      <w:lvlText w:val="o"/>
      <w:lvlJc w:val="left"/>
      <w:pPr>
        <w:ind w:left="2574" w:hanging="360"/>
      </w:pPr>
      <w:rPr>
        <w:rFonts w:ascii="Courier New" w:hAnsi="Courier New" w:hint="default"/>
      </w:r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bullet"/>
      <w:lvlText w:val="o"/>
      <w:lvlJc w:val="left"/>
      <w:pPr>
        <w:ind w:left="4734" w:hanging="360"/>
      </w:pPr>
      <w:rPr>
        <w:rFonts w:ascii="Courier New" w:hAnsi="Courier New" w:hint="default"/>
      </w:rPr>
    </w:lvl>
    <w:lvl w:ilvl="5" w:tplc="0C090005">
      <w:start w:val="1"/>
      <w:numFmt w:val="bullet"/>
      <w:lvlText w:val=""/>
      <w:lvlJc w:val="left"/>
      <w:pPr>
        <w:ind w:left="5454" w:hanging="360"/>
      </w:pPr>
      <w:rPr>
        <w:rFonts w:ascii="Wingdings" w:hAnsi="Wingdings" w:hint="default"/>
      </w:rPr>
    </w:lvl>
    <w:lvl w:ilvl="6" w:tplc="0C090001">
      <w:start w:val="1"/>
      <w:numFmt w:val="bullet"/>
      <w:lvlText w:val=""/>
      <w:lvlJc w:val="left"/>
      <w:pPr>
        <w:ind w:left="6174" w:hanging="360"/>
      </w:pPr>
      <w:rPr>
        <w:rFonts w:ascii="Symbol" w:hAnsi="Symbol" w:hint="default"/>
      </w:rPr>
    </w:lvl>
    <w:lvl w:ilvl="7" w:tplc="0C090003">
      <w:start w:val="1"/>
      <w:numFmt w:val="bullet"/>
      <w:lvlText w:val="o"/>
      <w:lvlJc w:val="left"/>
      <w:pPr>
        <w:ind w:left="6894" w:hanging="360"/>
      </w:pPr>
      <w:rPr>
        <w:rFonts w:ascii="Courier New" w:hAnsi="Courier New" w:hint="default"/>
      </w:rPr>
    </w:lvl>
    <w:lvl w:ilvl="8" w:tplc="0C090005">
      <w:start w:val="1"/>
      <w:numFmt w:val="bullet"/>
      <w:lvlText w:val=""/>
      <w:lvlJc w:val="left"/>
      <w:pPr>
        <w:ind w:left="7614" w:hanging="360"/>
      </w:pPr>
      <w:rPr>
        <w:rFonts w:ascii="Wingdings" w:hAnsi="Wingdings" w:hint="default"/>
      </w:rPr>
    </w:lvl>
  </w:abstractNum>
  <w:abstractNum w:abstractNumId="22">
    <w:nsid w:val="510D2021"/>
    <w:multiLevelType w:val="multilevel"/>
    <w:tmpl w:val="72F8140E"/>
    <w:numStyleLink w:val="OutlineList"/>
  </w:abstractNum>
  <w:abstractNum w:abstractNumId="23">
    <w:nsid w:val="55AB4DA1"/>
    <w:multiLevelType w:val="multilevel"/>
    <w:tmpl w:val="7E40BB68"/>
    <w:styleLink w:val="TableTestBulletList"/>
    <w:lvl w:ilvl="0">
      <w:start w:val="1"/>
      <w:numFmt w:val="bullet"/>
      <w:lvlText w:val="•"/>
      <w:lvlJc w:val="left"/>
      <w:pPr>
        <w:tabs>
          <w:tab w:val="num" w:pos="284"/>
        </w:tabs>
        <w:ind w:left="284" w:hanging="284"/>
      </w:pPr>
      <w:rPr>
        <w:rFonts w:ascii="Times New Roman" w:hAnsi="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4">
    <w:nsid w:val="55F73129"/>
    <w:multiLevelType w:val="multilevel"/>
    <w:tmpl w:val="D9A8A212"/>
    <w:lvl w:ilvl="0">
      <w:start w:val="1"/>
      <w:numFmt w:val="lowerRoman"/>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50B16A4"/>
    <w:multiLevelType w:val="hybridMultilevel"/>
    <w:tmpl w:val="0B04E80C"/>
    <w:lvl w:ilvl="0" w:tplc="CCDEF31C">
      <w:start w:val="3"/>
      <w:numFmt w:val="bullet"/>
      <w:lvlText w:val="-"/>
      <w:lvlJc w:val="left"/>
      <w:pPr>
        <w:tabs>
          <w:tab w:val="num" w:pos="720"/>
        </w:tabs>
        <w:ind w:left="720" w:hanging="360"/>
      </w:pPr>
      <w:rPr>
        <w:rFonts w:ascii="Calibri" w:eastAsia="Times New Roman" w:hAnsi="Calibri"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68597038"/>
    <w:multiLevelType w:val="multilevel"/>
    <w:tmpl w:val="DD6C26C0"/>
    <w:lvl w:ilvl="0">
      <w:start w:val="1"/>
      <w:numFmt w:val="decimal"/>
      <w:pStyle w:val="NumBullet"/>
      <w:lvlText w:val="%1"/>
      <w:lvlJc w:val="left"/>
      <w:pPr>
        <w:tabs>
          <w:tab w:val="num" w:pos="425"/>
        </w:tabs>
        <w:ind w:left="425" w:hanging="425"/>
      </w:pPr>
      <w:rPr>
        <w:rFonts w:ascii="Times New Roman" w:hAnsi="Times New Roman" w:cs="Times New Roman" w:hint="default"/>
        <w:b w:val="0"/>
        <w:i w:val="0"/>
        <w:caps w:val="0"/>
        <w:sz w:val="24"/>
        <w:szCs w:val="24"/>
      </w:rPr>
    </w:lvl>
    <w:lvl w:ilvl="1">
      <w:start w:val="1"/>
      <w:numFmt w:val="decimal"/>
      <w:pStyle w:val="NumBullet2"/>
      <w:lvlText w:val="%1.%2"/>
      <w:lvlJc w:val="left"/>
      <w:pPr>
        <w:tabs>
          <w:tab w:val="num" w:pos="992"/>
        </w:tabs>
        <w:ind w:left="992" w:hanging="567"/>
      </w:pPr>
      <w:rPr>
        <w:rFonts w:ascii="Times New Roman" w:hAnsi="Times New Roman" w:cs="Times New Roman" w:hint="default"/>
        <w:b w:val="0"/>
        <w:i w:val="0"/>
        <w:sz w:val="24"/>
        <w:szCs w:val="24"/>
      </w:rPr>
    </w:lvl>
    <w:lvl w:ilvl="2">
      <w:start w:val="1"/>
      <w:numFmt w:val="decimal"/>
      <w:pStyle w:val="NumBullet3"/>
      <w:lvlText w:val="%1.%2.%3"/>
      <w:lvlJc w:val="left"/>
      <w:pPr>
        <w:tabs>
          <w:tab w:val="num" w:pos="1701"/>
        </w:tabs>
        <w:ind w:left="1701" w:hanging="709"/>
      </w:pPr>
      <w:rPr>
        <w:rFonts w:ascii="Times New Roman" w:hAnsi="Times New Roman" w:cs="Times New Roman" w:hint="default"/>
        <w:b w:val="0"/>
        <w:i w:val="0"/>
        <w:sz w:val="24"/>
        <w:szCs w:val="24"/>
      </w:rPr>
    </w:lvl>
    <w:lvl w:ilvl="3">
      <w:start w:val="1"/>
      <w:numFmt w:val="decimal"/>
      <w:pStyle w:val="NumBullet4"/>
      <w:lvlText w:val="%1.%2.%3.%4"/>
      <w:lvlJc w:val="left"/>
      <w:pPr>
        <w:tabs>
          <w:tab w:val="num" w:pos="2608"/>
        </w:tabs>
        <w:ind w:left="2608" w:hanging="907"/>
      </w:pPr>
      <w:rPr>
        <w:rFonts w:ascii="Times New Roman" w:hAnsi="Times New Roman" w:cs="Times New Roman" w:hint="default"/>
        <w:b w:val="0"/>
        <w:i w:val="0"/>
        <w:sz w:val="24"/>
        <w:szCs w:val="24"/>
      </w:rPr>
    </w:lvl>
    <w:lvl w:ilvl="4">
      <w:start w:val="1"/>
      <w:numFmt w:val="none"/>
      <w:lvlText w:val=""/>
      <w:lvlJc w:val="left"/>
      <w:pPr>
        <w:tabs>
          <w:tab w:val="num" w:pos="0"/>
        </w:tabs>
      </w:pPr>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7">
    <w:nsid w:val="6C0E13C4"/>
    <w:multiLevelType w:val="hybridMultilevel"/>
    <w:tmpl w:val="9A0EA11E"/>
    <w:lvl w:ilvl="0" w:tplc="BF362F28">
      <w:start w:val="1"/>
      <w:numFmt w:val="bullet"/>
      <w:pStyle w:val="BulletSubP1"/>
      <w:lvlText w:val="‒"/>
      <w:lvlJc w:val="left"/>
      <w:pPr>
        <w:ind w:left="785" w:hanging="360"/>
      </w:pPr>
      <w:rPr>
        <w:rFonts w:ascii="Times New Roman" w:hAnsi="Times New Roman" w:hint="default"/>
      </w:rPr>
    </w:lvl>
    <w:lvl w:ilvl="1" w:tplc="0C090003">
      <w:start w:val="1"/>
      <w:numFmt w:val="bullet"/>
      <w:lvlText w:val="o"/>
      <w:lvlJc w:val="left"/>
      <w:pPr>
        <w:ind w:left="2007" w:hanging="360"/>
      </w:pPr>
      <w:rPr>
        <w:rFonts w:ascii="Courier New" w:hAnsi="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hint="default"/>
      </w:rPr>
    </w:lvl>
    <w:lvl w:ilvl="8" w:tplc="0C090005">
      <w:start w:val="1"/>
      <w:numFmt w:val="bullet"/>
      <w:lvlText w:val=""/>
      <w:lvlJc w:val="left"/>
      <w:pPr>
        <w:ind w:left="7047" w:hanging="360"/>
      </w:pPr>
      <w:rPr>
        <w:rFonts w:ascii="Wingdings" w:hAnsi="Wingdings" w:hint="default"/>
      </w:rPr>
    </w:lvl>
  </w:abstractNum>
  <w:abstractNum w:abstractNumId="28">
    <w:nsid w:val="6CB353A2"/>
    <w:multiLevelType w:val="multilevel"/>
    <w:tmpl w:val="129E9092"/>
    <w:styleLink w:val="Optionboxheading"/>
    <w:lvl w:ilvl="0">
      <w:start w:val="1"/>
      <w:numFmt w:val="decimal"/>
      <w:lvlRestart w:val="0"/>
      <w:suff w:val="nothing"/>
      <w:lvlText w:val="Option %1"/>
      <w:lvlJc w:val="left"/>
      <w:rPr>
        <w:rFonts w:ascii="Century Gothic" w:hAnsi="Century Gothic" w:cs="Times New Roman" w:hint="default"/>
        <w:b/>
        <w:i w:val="0"/>
        <w:color w:val="000080"/>
        <w:sz w:val="22"/>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9">
    <w:nsid w:val="7DB56EE9"/>
    <w:multiLevelType w:val="multilevel"/>
    <w:tmpl w:val="F00ED182"/>
    <w:lvl w:ilvl="0">
      <w:start w:val="1"/>
      <w:numFmt w:val="decimal"/>
      <w:lvlText w:val="%1."/>
      <w:lvlJc w:val="left"/>
      <w:pPr>
        <w:tabs>
          <w:tab w:val="num" w:pos="520"/>
        </w:tabs>
        <w:ind w:left="520" w:hanging="520"/>
      </w:pPr>
      <w:rPr>
        <w:rFonts w:cs="Times New Roman"/>
      </w:rPr>
    </w:lvl>
    <w:lvl w:ilvl="1">
      <w:start w:val="1"/>
      <w:numFmt w:val="decimal"/>
      <w:lvlText w:val="%1.%2."/>
      <w:lvlJc w:val="left"/>
      <w:pPr>
        <w:tabs>
          <w:tab w:val="num" w:pos="1040"/>
        </w:tabs>
        <w:ind w:left="1040" w:hanging="520"/>
      </w:pPr>
      <w:rPr>
        <w:rFonts w:cs="Times New Roman"/>
      </w:rPr>
    </w:lvl>
    <w:lvl w:ilvl="2">
      <w:start w:val="1"/>
      <w:numFmt w:val="decimal"/>
      <w:lvlText w:val="%1.%2.%3."/>
      <w:lvlJc w:val="left"/>
      <w:pPr>
        <w:tabs>
          <w:tab w:val="num" w:pos="1560"/>
        </w:tabs>
        <w:ind w:left="1560" w:hanging="52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0"/>
  </w:num>
  <w:num w:numId="2">
    <w:abstractNumId w:val="0"/>
  </w:num>
  <w:num w:numId="3">
    <w:abstractNumId w:val="0"/>
  </w:num>
  <w:num w:numId="4">
    <w:abstractNumId w:val="7"/>
  </w:num>
  <w:num w:numId="5">
    <w:abstractNumId w:val="28"/>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8"/>
  </w:num>
  <w:num w:numId="13">
    <w:abstractNumId w:val="17"/>
  </w:num>
  <w:num w:numId="14">
    <w:abstractNumId w:val="27"/>
  </w:num>
  <w:num w:numId="15">
    <w:abstractNumId w:val="21"/>
  </w:num>
  <w:num w:numId="16">
    <w:abstractNumId w:val="26"/>
  </w:num>
  <w:num w:numId="17">
    <w:abstractNumId w:val="6"/>
  </w:num>
  <w:num w:numId="18">
    <w:abstractNumId w:val="13"/>
  </w:num>
  <w:num w:numId="19">
    <w:abstractNumId w:val="2"/>
  </w:num>
  <w:num w:numId="20">
    <w:abstractNumId w:val="20"/>
  </w:num>
  <w:num w:numId="21">
    <w:abstractNumId w:val="16"/>
  </w:num>
  <w:num w:numId="22">
    <w:abstractNumId w:val="4"/>
  </w:num>
  <w:num w:numId="23">
    <w:abstractNumId w:val="5"/>
  </w:num>
  <w:num w:numId="24">
    <w:abstractNumId w:val="3"/>
  </w:num>
  <w:num w:numId="25">
    <w:abstractNumId w:val="22"/>
  </w:num>
  <w:num w:numId="26">
    <w:abstractNumId w:val="15"/>
  </w:num>
  <w:num w:numId="27">
    <w:abstractNumId w:val="23"/>
  </w:num>
  <w:num w:numId="28">
    <w:abstractNumId w:val="8"/>
  </w:num>
  <w:num w:numId="29">
    <w:abstractNumId w:val="12"/>
  </w:num>
  <w:num w:numId="30">
    <w:abstractNumId w:val="25"/>
  </w:num>
  <w:num w:numId="31">
    <w:abstractNumId w:val="24"/>
  </w:num>
  <w:num w:numId="32">
    <w:abstractNumId w:val="13"/>
  </w:num>
  <w:num w:numId="33">
    <w:abstractNumId w:val="13"/>
  </w:num>
  <w:num w:numId="34">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143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SecurityClassificationInHeader" w:val="レㄬċŖ㙬ㅝ"/>
  </w:docVars>
  <w:rsids>
    <w:rsidRoot w:val="00B94987"/>
    <w:rsid w:val="000012ED"/>
    <w:rsid w:val="00004141"/>
    <w:rsid w:val="000054AA"/>
    <w:rsid w:val="00005EBB"/>
    <w:rsid w:val="00006114"/>
    <w:rsid w:val="00006C72"/>
    <w:rsid w:val="00007FB4"/>
    <w:rsid w:val="00011E1D"/>
    <w:rsid w:val="00011E4E"/>
    <w:rsid w:val="00011F6E"/>
    <w:rsid w:val="00012A20"/>
    <w:rsid w:val="00013C30"/>
    <w:rsid w:val="00014941"/>
    <w:rsid w:val="000156EF"/>
    <w:rsid w:val="0001751E"/>
    <w:rsid w:val="00020563"/>
    <w:rsid w:val="0002106D"/>
    <w:rsid w:val="00021F05"/>
    <w:rsid w:val="00022CA4"/>
    <w:rsid w:val="00023AA1"/>
    <w:rsid w:val="000243E0"/>
    <w:rsid w:val="000257B2"/>
    <w:rsid w:val="0002600D"/>
    <w:rsid w:val="00026185"/>
    <w:rsid w:val="00027502"/>
    <w:rsid w:val="0003301D"/>
    <w:rsid w:val="000334A8"/>
    <w:rsid w:val="000360A4"/>
    <w:rsid w:val="00040A1C"/>
    <w:rsid w:val="00042605"/>
    <w:rsid w:val="00042D4C"/>
    <w:rsid w:val="00043CF9"/>
    <w:rsid w:val="00045E52"/>
    <w:rsid w:val="000460A2"/>
    <w:rsid w:val="00046D9C"/>
    <w:rsid w:val="0005148B"/>
    <w:rsid w:val="00052459"/>
    <w:rsid w:val="00052492"/>
    <w:rsid w:val="00056238"/>
    <w:rsid w:val="00057343"/>
    <w:rsid w:val="000576C7"/>
    <w:rsid w:val="00057E5E"/>
    <w:rsid w:val="00062FA0"/>
    <w:rsid w:val="000651EE"/>
    <w:rsid w:val="000662DA"/>
    <w:rsid w:val="00066303"/>
    <w:rsid w:val="000669BC"/>
    <w:rsid w:val="000677D9"/>
    <w:rsid w:val="0007068A"/>
    <w:rsid w:val="0007068F"/>
    <w:rsid w:val="00070C5D"/>
    <w:rsid w:val="00071B3E"/>
    <w:rsid w:val="00072034"/>
    <w:rsid w:val="00074FAF"/>
    <w:rsid w:val="000754DA"/>
    <w:rsid w:val="000759C6"/>
    <w:rsid w:val="00075BC5"/>
    <w:rsid w:val="00077B64"/>
    <w:rsid w:val="0008122B"/>
    <w:rsid w:val="0008194D"/>
    <w:rsid w:val="00082037"/>
    <w:rsid w:val="00082856"/>
    <w:rsid w:val="0008410A"/>
    <w:rsid w:val="00084860"/>
    <w:rsid w:val="0008582D"/>
    <w:rsid w:val="00086F82"/>
    <w:rsid w:val="0009018B"/>
    <w:rsid w:val="0009373E"/>
    <w:rsid w:val="00093E48"/>
    <w:rsid w:val="0009717D"/>
    <w:rsid w:val="000A0658"/>
    <w:rsid w:val="000A117E"/>
    <w:rsid w:val="000A3EEA"/>
    <w:rsid w:val="000A4B82"/>
    <w:rsid w:val="000A56F5"/>
    <w:rsid w:val="000A5812"/>
    <w:rsid w:val="000B028B"/>
    <w:rsid w:val="000B2EED"/>
    <w:rsid w:val="000B39AA"/>
    <w:rsid w:val="000B5415"/>
    <w:rsid w:val="000B574F"/>
    <w:rsid w:val="000B6276"/>
    <w:rsid w:val="000B6E3E"/>
    <w:rsid w:val="000B6FD3"/>
    <w:rsid w:val="000B7A87"/>
    <w:rsid w:val="000C049A"/>
    <w:rsid w:val="000C0DDA"/>
    <w:rsid w:val="000C1EFB"/>
    <w:rsid w:val="000C20A9"/>
    <w:rsid w:val="000C3FCA"/>
    <w:rsid w:val="000C4801"/>
    <w:rsid w:val="000C5F3F"/>
    <w:rsid w:val="000C6213"/>
    <w:rsid w:val="000C6450"/>
    <w:rsid w:val="000C6552"/>
    <w:rsid w:val="000D0BA5"/>
    <w:rsid w:val="000D78B5"/>
    <w:rsid w:val="000E0018"/>
    <w:rsid w:val="000E3380"/>
    <w:rsid w:val="000E388A"/>
    <w:rsid w:val="000E3C4C"/>
    <w:rsid w:val="000E4369"/>
    <w:rsid w:val="000E58F1"/>
    <w:rsid w:val="000F0DC8"/>
    <w:rsid w:val="000F1643"/>
    <w:rsid w:val="000F240E"/>
    <w:rsid w:val="000F2E89"/>
    <w:rsid w:val="000F3690"/>
    <w:rsid w:val="000F38F7"/>
    <w:rsid w:val="000F4B51"/>
    <w:rsid w:val="000F4C63"/>
    <w:rsid w:val="000F4E6C"/>
    <w:rsid w:val="000F5048"/>
    <w:rsid w:val="000F50BC"/>
    <w:rsid w:val="000F52BA"/>
    <w:rsid w:val="000F5301"/>
    <w:rsid w:val="000F5734"/>
    <w:rsid w:val="000F5A17"/>
    <w:rsid w:val="000F718D"/>
    <w:rsid w:val="00100E38"/>
    <w:rsid w:val="00100F29"/>
    <w:rsid w:val="00102846"/>
    <w:rsid w:val="0010446E"/>
    <w:rsid w:val="001049C4"/>
    <w:rsid w:val="001070B0"/>
    <w:rsid w:val="00107B3F"/>
    <w:rsid w:val="00110237"/>
    <w:rsid w:val="00112567"/>
    <w:rsid w:val="001133DF"/>
    <w:rsid w:val="00114547"/>
    <w:rsid w:val="00114DFF"/>
    <w:rsid w:val="00115EEC"/>
    <w:rsid w:val="00117F47"/>
    <w:rsid w:val="001217C8"/>
    <w:rsid w:val="00121B4E"/>
    <w:rsid w:val="00121D13"/>
    <w:rsid w:val="00121FA0"/>
    <w:rsid w:val="001236BB"/>
    <w:rsid w:val="00124406"/>
    <w:rsid w:val="001253B8"/>
    <w:rsid w:val="00125461"/>
    <w:rsid w:val="0012562E"/>
    <w:rsid w:val="00125B94"/>
    <w:rsid w:val="00127D07"/>
    <w:rsid w:val="00130F23"/>
    <w:rsid w:val="001320A3"/>
    <w:rsid w:val="00134FE4"/>
    <w:rsid w:val="00136B38"/>
    <w:rsid w:val="0013730A"/>
    <w:rsid w:val="00137D89"/>
    <w:rsid w:val="001426DA"/>
    <w:rsid w:val="001459A7"/>
    <w:rsid w:val="001460A2"/>
    <w:rsid w:val="001460A9"/>
    <w:rsid w:val="0014680D"/>
    <w:rsid w:val="00146BA7"/>
    <w:rsid w:val="00146E55"/>
    <w:rsid w:val="00147001"/>
    <w:rsid w:val="001476AC"/>
    <w:rsid w:val="00147CB7"/>
    <w:rsid w:val="00147F34"/>
    <w:rsid w:val="00152875"/>
    <w:rsid w:val="0015292D"/>
    <w:rsid w:val="00154201"/>
    <w:rsid w:val="00157A27"/>
    <w:rsid w:val="00157F2F"/>
    <w:rsid w:val="00160624"/>
    <w:rsid w:val="00162287"/>
    <w:rsid w:val="0016267A"/>
    <w:rsid w:val="00163F01"/>
    <w:rsid w:val="00164A4F"/>
    <w:rsid w:val="00165C62"/>
    <w:rsid w:val="001663B4"/>
    <w:rsid w:val="00166944"/>
    <w:rsid w:val="00166EA8"/>
    <w:rsid w:val="00175CF4"/>
    <w:rsid w:val="00177CD5"/>
    <w:rsid w:val="00183913"/>
    <w:rsid w:val="00191458"/>
    <w:rsid w:val="001923EB"/>
    <w:rsid w:val="001930A4"/>
    <w:rsid w:val="0019477B"/>
    <w:rsid w:val="001A0CB4"/>
    <w:rsid w:val="001A1A8D"/>
    <w:rsid w:val="001A2A0C"/>
    <w:rsid w:val="001A3699"/>
    <w:rsid w:val="001A4A13"/>
    <w:rsid w:val="001A5477"/>
    <w:rsid w:val="001A5AB3"/>
    <w:rsid w:val="001A6F72"/>
    <w:rsid w:val="001B0C1F"/>
    <w:rsid w:val="001B4B63"/>
    <w:rsid w:val="001B780C"/>
    <w:rsid w:val="001C0158"/>
    <w:rsid w:val="001C05E9"/>
    <w:rsid w:val="001C1DB7"/>
    <w:rsid w:val="001C1FA7"/>
    <w:rsid w:val="001C2C43"/>
    <w:rsid w:val="001C30AB"/>
    <w:rsid w:val="001D0E2C"/>
    <w:rsid w:val="001D1326"/>
    <w:rsid w:val="001D298A"/>
    <w:rsid w:val="001D321E"/>
    <w:rsid w:val="001D53E7"/>
    <w:rsid w:val="001D5A29"/>
    <w:rsid w:val="001E05F0"/>
    <w:rsid w:val="001E0B00"/>
    <w:rsid w:val="001E16AC"/>
    <w:rsid w:val="001E1A9B"/>
    <w:rsid w:val="001E2100"/>
    <w:rsid w:val="001E39D8"/>
    <w:rsid w:val="001E62FE"/>
    <w:rsid w:val="001F31E0"/>
    <w:rsid w:val="001F5EC7"/>
    <w:rsid w:val="001F61DA"/>
    <w:rsid w:val="001F6734"/>
    <w:rsid w:val="001F6AA7"/>
    <w:rsid w:val="0020321F"/>
    <w:rsid w:val="00204EEB"/>
    <w:rsid w:val="00205EDE"/>
    <w:rsid w:val="002070D1"/>
    <w:rsid w:val="00214009"/>
    <w:rsid w:val="002142F1"/>
    <w:rsid w:val="00214605"/>
    <w:rsid w:val="00214D05"/>
    <w:rsid w:val="002155D5"/>
    <w:rsid w:val="002156E8"/>
    <w:rsid w:val="0021580B"/>
    <w:rsid w:val="00223BC2"/>
    <w:rsid w:val="00223C0D"/>
    <w:rsid w:val="00223EBB"/>
    <w:rsid w:val="0022573D"/>
    <w:rsid w:val="002268D8"/>
    <w:rsid w:val="00226E64"/>
    <w:rsid w:val="00227EA0"/>
    <w:rsid w:val="00231C44"/>
    <w:rsid w:val="00233FDA"/>
    <w:rsid w:val="00236572"/>
    <w:rsid w:val="00237288"/>
    <w:rsid w:val="002372C2"/>
    <w:rsid w:val="00237406"/>
    <w:rsid w:val="00237B82"/>
    <w:rsid w:val="0024034D"/>
    <w:rsid w:val="00243AFD"/>
    <w:rsid w:val="00244571"/>
    <w:rsid w:val="0024635F"/>
    <w:rsid w:val="002468EA"/>
    <w:rsid w:val="0025092F"/>
    <w:rsid w:val="002518B9"/>
    <w:rsid w:val="002520EA"/>
    <w:rsid w:val="00254715"/>
    <w:rsid w:val="0025475E"/>
    <w:rsid w:val="00256967"/>
    <w:rsid w:val="0025739C"/>
    <w:rsid w:val="00262D57"/>
    <w:rsid w:val="00263175"/>
    <w:rsid w:val="00263A5D"/>
    <w:rsid w:val="00263B53"/>
    <w:rsid w:val="00264B5C"/>
    <w:rsid w:val="00266D87"/>
    <w:rsid w:val="00270501"/>
    <w:rsid w:val="0027051B"/>
    <w:rsid w:val="00271B29"/>
    <w:rsid w:val="00272E86"/>
    <w:rsid w:val="00274283"/>
    <w:rsid w:val="0027644B"/>
    <w:rsid w:val="00277064"/>
    <w:rsid w:val="00280ED4"/>
    <w:rsid w:val="0028460F"/>
    <w:rsid w:val="00284F2A"/>
    <w:rsid w:val="00284FFB"/>
    <w:rsid w:val="002856BB"/>
    <w:rsid w:val="00290225"/>
    <w:rsid w:val="002904B8"/>
    <w:rsid w:val="00290A98"/>
    <w:rsid w:val="00290B1C"/>
    <w:rsid w:val="00291FC1"/>
    <w:rsid w:val="0029214C"/>
    <w:rsid w:val="00292282"/>
    <w:rsid w:val="002931F7"/>
    <w:rsid w:val="00294A3A"/>
    <w:rsid w:val="00295B48"/>
    <w:rsid w:val="002973CF"/>
    <w:rsid w:val="002979F4"/>
    <w:rsid w:val="002A165F"/>
    <w:rsid w:val="002A2772"/>
    <w:rsid w:val="002A4D5C"/>
    <w:rsid w:val="002A5420"/>
    <w:rsid w:val="002A682E"/>
    <w:rsid w:val="002A6A05"/>
    <w:rsid w:val="002A7356"/>
    <w:rsid w:val="002B055A"/>
    <w:rsid w:val="002B0AA2"/>
    <w:rsid w:val="002B0CB1"/>
    <w:rsid w:val="002B1209"/>
    <w:rsid w:val="002B2BEF"/>
    <w:rsid w:val="002B2E57"/>
    <w:rsid w:val="002B3939"/>
    <w:rsid w:val="002B55DE"/>
    <w:rsid w:val="002B6FEA"/>
    <w:rsid w:val="002B7247"/>
    <w:rsid w:val="002C0F92"/>
    <w:rsid w:val="002C1EC6"/>
    <w:rsid w:val="002C4DA9"/>
    <w:rsid w:val="002C5490"/>
    <w:rsid w:val="002D34A5"/>
    <w:rsid w:val="002D4066"/>
    <w:rsid w:val="002D49AF"/>
    <w:rsid w:val="002D5AC2"/>
    <w:rsid w:val="002E0C47"/>
    <w:rsid w:val="002E13B9"/>
    <w:rsid w:val="002E1ECB"/>
    <w:rsid w:val="002E2235"/>
    <w:rsid w:val="002E30AF"/>
    <w:rsid w:val="002E44C7"/>
    <w:rsid w:val="002E4934"/>
    <w:rsid w:val="002E517D"/>
    <w:rsid w:val="002F01D7"/>
    <w:rsid w:val="002F1660"/>
    <w:rsid w:val="002F1767"/>
    <w:rsid w:val="002F1BC2"/>
    <w:rsid w:val="002F1F03"/>
    <w:rsid w:val="002F2B81"/>
    <w:rsid w:val="002F414E"/>
    <w:rsid w:val="002F5DDC"/>
    <w:rsid w:val="002F6B00"/>
    <w:rsid w:val="002F72F8"/>
    <w:rsid w:val="002F7DF5"/>
    <w:rsid w:val="00300DEE"/>
    <w:rsid w:val="003010F2"/>
    <w:rsid w:val="00303EA3"/>
    <w:rsid w:val="00305E39"/>
    <w:rsid w:val="00306A7D"/>
    <w:rsid w:val="00306CE7"/>
    <w:rsid w:val="00307497"/>
    <w:rsid w:val="00311665"/>
    <w:rsid w:val="00312633"/>
    <w:rsid w:val="003132F1"/>
    <w:rsid w:val="00314C9D"/>
    <w:rsid w:val="003155E1"/>
    <w:rsid w:val="003160B9"/>
    <w:rsid w:val="00316669"/>
    <w:rsid w:val="003169CC"/>
    <w:rsid w:val="00317D77"/>
    <w:rsid w:val="0032172F"/>
    <w:rsid w:val="00323EE1"/>
    <w:rsid w:val="003242DB"/>
    <w:rsid w:val="003249B5"/>
    <w:rsid w:val="00324E39"/>
    <w:rsid w:val="00327510"/>
    <w:rsid w:val="00327564"/>
    <w:rsid w:val="003302EB"/>
    <w:rsid w:val="003326DD"/>
    <w:rsid w:val="003330AE"/>
    <w:rsid w:val="00333CD1"/>
    <w:rsid w:val="00333D3B"/>
    <w:rsid w:val="0033596B"/>
    <w:rsid w:val="0033717C"/>
    <w:rsid w:val="00340864"/>
    <w:rsid w:val="00340915"/>
    <w:rsid w:val="00340C3C"/>
    <w:rsid w:val="00344AA5"/>
    <w:rsid w:val="00344C7A"/>
    <w:rsid w:val="0034554D"/>
    <w:rsid w:val="003456C6"/>
    <w:rsid w:val="00346050"/>
    <w:rsid w:val="00346D44"/>
    <w:rsid w:val="00347463"/>
    <w:rsid w:val="00350577"/>
    <w:rsid w:val="00354B36"/>
    <w:rsid w:val="00354B9E"/>
    <w:rsid w:val="00355F16"/>
    <w:rsid w:val="00357678"/>
    <w:rsid w:val="00357BCB"/>
    <w:rsid w:val="00357F2B"/>
    <w:rsid w:val="0036032B"/>
    <w:rsid w:val="00362341"/>
    <w:rsid w:val="003628C7"/>
    <w:rsid w:val="00365FFB"/>
    <w:rsid w:val="0036647F"/>
    <w:rsid w:val="0037048D"/>
    <w:rsid w:val="0037054F"/>
    <w:rsid w:val="0037109D"/>
    <w:rsid w:val="003714C9"/>
    <w:rsid w:val="0037395B"/>
    <w:rsid w:val="00373E77"/>
    <w:rsid w:val="0037492D"/>
    <w:rsid w:val="00374BA6"/>
    <w:rsid w:val="00376362"/>
    <w:rsid w:val="00377C55"/>
    <w:rsid w:val="00381DB7"/>
    <w:rsid w:val="003871DC"/>
    <w:rsid w:val="003879B1"/>
    <w:rsid w:val="003920AA"/>
    <w:rsid w:val="00392F71"/>
    <w:rsid w:val="003A236F"/>
    <w:rsid w:val="003A3E88"/>
    <w:rsid w:val="003A6B30"/>
    <w:rsid w:val="003A7EDF"/>
    <w:rsid w:val="003B1598"/>
    <w:rsid w:val="003B1700"/>
    <w:rsid w:val="003B2A28"/>
    <w:rsid w:val="003B2EF9"/>
    <w:rsid w:val="003B45DC"/>
    <w:rsid w:val="003B46AE"/>
    <w:rsid w:val="003B51C3"/>
    <w:rsid w:val="003B541C"/>
    <w:rsid w:val="003B7927"/>
    <w:rsid w:val="003C0BCB"/>
    <w:rsid w:val="003C26A5"/>
    <w:rsid w:val="003C2797"/>
    <w:rsid w:val="003C68EE"/>
    <w:rsid w:val="003C79E9"/>
    <w:rsid w:val="003D0CBC"/>
    <w:rsid w:val="003D7124"/>
    <w:rsid w:val="003D7505"/>
    <w:rsid w:val="003E153E"/>
    <w:rsid w:val="003E25E9"/>
    <w:rsid w:val="003E2BD4"/>
    <w:rsid w:val="003E3B8C"/>
    <w:rsid w:val="003E4186"/>
    <w:rsid w:val="003E690D"/>
    <w:rsid w:val="003E76BE"/>
    <w:rsid w:val="003E7C0D"/>
    <w:rsid w:val="003F08F3"/>
    <w:rsid w:val="003F1E91"/>
    <w:rsid w:val="003F2CED"/>
    <w:rsid w:val="003F3DC2"/>
    <w:rsid w:val="003F3F2C"/>
    <w:rsid w:val="003F58AD"/>
    <w:rsid w:val="003F5C68"/>
    <w:rsid w:val="003F5E40"/>
    <w:rsid w:val="003F70EE"/>
    <w:rsid w:val="003F776A"/>
    <w:rsid w:val="003F795B"/>
    <w:rsid w:val="00400108"/>
    <w:rsid w:val="00400B16"/>
    <w:rsid w:val="00401270"/>
    <w:rsid w:val="00402E8D"/>
    <w:rsid w:val="00403369"/>
    <w:rsid w:val="00403CEC"/>
    <w:rsid w:val="00407900"/>
    <w:rsid w:val="00407FAE"/>
    <w:rsid w:val="004107CB"/>
    <w:rsid w:val="00411734"/>
    <w:rsid w:val="00411850"/>
    <w:rsid w:val="004123EF"/>
    <w:rsid w:val="00412AEE"/>
    <w:rsid w:val="004135A3"/>
    <w:rsid w:val="00416428"/>
    <w:rsid w:val="00417E02"/>
    <w:rsid w:val="004200E3"/>
    <w:rsid w:val="00421726"/>
    <w:rsid w:val="00421DB3"/>
    <w:rsid w:val="0042210F"/>
    <w:rsid w:val="00422BD9"/>
    <w:rsid w:val="004240DC"/>
    <w:rsid w:val="00430089"/>
    <w:rsid w:val="00431728"/>
    <w:rsid w:val="00431A5E"/>
    <w:rsid w:val="00431E76"/>
    <w:rsid w:val="004321CB"/>
    <w:rsid w:val="00432E67"/>
    <w:rsid w:val="00433FAA"/>
    <w:rsid w:val="00435F83"/>
    <w:rsid w:val="0043601F"/>
    <w:rsid w:val="00436062"/>
    <w:rsid w:val="00436824"/>
    <w:rsid w:val="004373C7"/>
    <w:rsid w:val="00437C67"/>
    <w:rsid w:val="00440745"/>
    <w:rsid w:val="00442893"/>
    <w:rsid w:val="00442F5A"/>
    <w:rsid w:val="0044380B"/>
    <w:rsid w:val="00443ADD"/>
    <w:rsid w:val="00445DE0"/>
    <w:rsid w:val="00446B24"/>
    <w:rsid w:val="00446CEB"/>
    <w:rsid w:val="00451DF7"/>
    <w:rsid w:val="00452D8D"/>
    <w:rsid w:val="00452E77"/>
    <w:rsid w:val="00453E7D"/>
    <w:rsid w:val="0045438D"/>
    <w:rsid w:val="0045467A"/>
    <w:rsid w:val="00454714"/>
    <w:rsid w:val="00454C3D"/>
    <w:rsid w:val="00456647"/>
    <w:rsid w:val="00456A40"/>
    <w:rsid w:val="00461223"/>
    <w:rsid w:val="00461F6B"/>
    <w:rsid w:val="00464801"/>
    <w:rsid w:val="00464A16"/>
    <w:rsid w:val="00464BC7"/>
    <w:rsid w:val="00465B62"/>
    <w:rsid w:val="00465D02"/>
    <w:rsid w:val="00472858"/>
    <w:rsid w:val="0047371C"/>
    <w:rsid w:val="00474784"/>
    <w:rsid w:val="004762AC"/>
    <w:rsid w:val="004769D6"/>
    <w:rsid w:val="00476F09"/>
    <w:rsid w:val="00477B0F"/>
    <w:rsid w:val="00480E83"/>
    <w:rsid w:val="004818B0"/>
    <w:rsid w:val="00487591"/>
    <w:rsid w:val="0048770F"/>
    <w:rsid w:val="004925D6"/>
    <w:rsid w:val="004937BF"/>
    <w:rsid w:val="004945EB"/>
    <w:rsid w:val="00494DA2"/>
    <w:rsid w:val="0049539B"/>
    <w:rsid w:val="00496EC7"/>
    <w:rsid w:val="00497418"/>
    <w:rsid w:val="004A09E9"/>
    <w:rsid w:val="004A1850"/>
    <w:rsid w:val="004A1989"/>
    <w:rsid w:val="004A2EF5"/>
    <w:rsid w:val="004A4980"/>
    <w:rsid w:val="004A58D2"/>
    <w:rsid w:val="004A7235"/>
    <w:rsid w:val="004B191A"/>
    <w:rsid w:val="004B1E6E"/>
    <w:rsid w:val="004B263D"/>
    <w:rsid w:val="004B28F6"/>
    <w:rsid w:val="004B2A17"/>
    <w:rsid w:val="004B4A95"/>
    <w:rsid w:val="004B7249"/>
    <w:rsid w:val="004C01ED"/>
    <w:rsid w:val="004C085D"/>
    <w:rsid w:val="004C0E35"/>
    <w:rsid w:val="004C2C80"/>
    <w:rsid w:val="004C5E56"/>
    <w:rsid w:val="004C62BA"/>
    <w:rsid w:val="004C6F72"/>
    <w:rsid w:val="004D04C7"/>
    <w:rsid w:val="004D0511"/>
    <w:rsid w:val="004D08A8"/>
    <w:rsid w:val="004D0FC2"/>
    <w:rsid w:val="004D1162"/>
    <w:rsid w:val="004D35FF"/>
    <w:rsid w:val="004D42E9"/>
    <w:rsid w:val="004D4825"/>
    <w:rsid w:val="004D6926"/>
    <w:rsid w:val="004D6B55"/>
    <w:rsid w:val="004D7A1F"/>
    <w:rsid w:val="004E0185"/>
    <w:rsid w:val="004E0BF2"/>
    <w:rsid w:val="004E13C3"/>
    <w:rsid w:val="004E24BC"/>
    <w:rsid w:val="004E3FB1"/>
    <w:rsid w:val="004E5DE9"/>
    <w:rsid w:val="004E6A4C"/>
    <w:rsid w:val="004E7CE7"/>
    <w:rsid w:val="004F3023"/>
    <w:rsid w:val="004F3A52"/>
    <w:rsid w:val="004F3C41"/>
    <w:rsid w:val="004F4A53"/>
    <w:rsid w:val="004F579C"/>
    <w:rsid w:val="004F5DEA"/>
    <w:rsid w:val="004F62B3"/>
    <w:rsid w:val="004F7DEC"/>
    <w:rsid w:val="004F7F0A"/>
    <w:rsid w:val="00502B32"/>
    <w:rsid w:val="00505346"/>
    <w:rsid w:val="0050754D"/>
    <w:rsid w:val="00507F75"/>
    <w:rsid w:val="005117B1"/>
    <w:rsid w:val="00512290"/>
    <w:rsid w:val="00512561"/>
    <w:rsid w:val="005125C4"/>
    <w:rsid w:val="00514EB3"/>
    <w:rsid w:val="00515D1E"/>
    <w:rsid w:val="00517279"/>
    <w:rsid w:val="0052083A"/>
    <w:rsid w:val="0052243F"/>
    <w:rsid w:val="00524367"/>
    <w:rsid w:val="005255E9"/>
    <w:rsid w:val="00525A4A"/>
    <w:rsid w:val="00531759"/>
    <w:rsid w:val="00531CB5"/>
    <w:rsid w:val="00533DFF"/>
    <w:rsid w:val="00534FA1"/>
    <w:rsid w:val="00535A31"/>
    <w:rsid w:val="005425D9"/>
    <w:rsid w:val="00542697"/>
    <w:rsid w:val="00543DE2"/>
    <w:rsid w:val="0054490D"/>
    <w:rsid w:val="00545B23"/>
    <w:rsid w:val="00546DC7"/>
    <w:rsid w:val="005474B1"/>
    <w:rsid w:val="005478A4"/>
    <w:rsid w:val="00551A27"/>
    <w:rsid w:val="00551D11"/>
    <w:rsid w:val="00552B10"/>
    <w:rsid w:val="00554676"/>
    <w:rsid w:val="00554934"/>
    <w:rsid w:val="00554D26"/>
    <w:rsid w:val="00555E7D"/>
    <w:rsid w:val="00557C8D"/>
    <w:rsid w:val="0056071F"/>
    <w:rsid w:val="00561749"/>
    <w:rsid w:val="00563C67"/>
    <w:rsid w:val="00565170"/>
    <w:rsid w:val="005669C2"/>
    <w:rsid w:val="005705D3"/>
    <w:rsid w:val="00575304"/>
    <w:rsid w:val="00575C7D"/>
    <w:rsid w:val="005777B1"/>
    <w:rsid w:val="0058197C"/>
    <w:rsid w:val="00581AA8"/>
    <w:rsid w:val="00581C4D"/>
    <w:rsid w:val="00582E61"/>
    <w:rsid w:val="00583110"/>
    <w:rsid w:val="00583828"/>
    <w:rsid w:val="0058481C"/>
    <w:rsid w:val="005916D4"/>
    <w:rsid w:val="00591C21"/>
    <w:rsid w:val="005924B7"/>
    <w:rsid w:val="005940C4"/>
    <w:rsid w:val="0059515B"/>
    <w:rsid w:val="00595284"/>
    <w:rsid w:val="00596063"/>
    <w:rsid w:val="00596FFC"/>
    <w:rsid w:val="00597E9F"/>
    <w:rsid w:val="005A07BF"/>
    <w:rsid w:val="005A0E5B"/>
    <w:rsid w:val="005A17D8"/>
    <w:rsid w:val="005A2B5B"/>
    <w:rsid w:val="005A3662"/>
    <w:rsid w:val="005A540D"/>
    <w:rsid w:val="005A5660"/>
    <w:rsid w:val="005A61E5"/>
    <w:rsid w:val="005A6C37"/>
    <w:rsid w:val="005A70A5"/>
    <w:rsid w:val="005A7242"/>
    <w:rsid w:val="005A7A0E"/>
    <w:rsid w:val="005B0081"/>
    <w:rsid w:val="005B1100"/>
    <w:rsid w:val="005B1235"/>
    <w:rsid w:val="005B128B"/>
    <w:rsid w:val="005B1FA2"/>
    <w:rsid w:val="005B3855"/>
    <w:rsid w:val="005B4109"/>
    <w:rsid w:val="005B4837"/>
    <w:rsid w:val="005B4E65"/>
    <w:rsid w:val="005B6D74"/>
    <w:rsid w:val="005B7099"/>
    <w:rsid w:val="005C1944"/>
    <w:rsid w:val="005C4AF3"/>
    <w:rsid w:val="005C4E75"/>
    <w:rsid w:val="005C76BB"/>
    <w:rsid w:val="005C789A"/>
    <w:rsid w:val="005C79DE"/>
    <w:rsid w:val="005C7CE4"/>
    <w:rsid w:val="005D05A8"/>
    <w:rsid w:val="005D1507"/>
    <w:rsid w:val="005D2419"/>
    <w:rsid w:val="005D3DAB"/>
    <w:rsid w:val="005D48DA"/>
    <w:rsid w:val="005D5381"/>
    <w:rsid w:val="005D541B"/>
    <w:rsid w:val="005D6FE8"/>
    <w:rsid w:val="005E07EF"/>
    <w:rsid w:val="005E11F4"/>
    <w:rsid w:val="005E6855"/>
    <w:rsid w:val="005F09CF"/>
    <w:rsid w:val="005F141C"/>
    <w:rsid w:val="005F1D3D"/>
    <w:rsid w:val="005F29E4"/>
    <w:rsid w:val="005F2B5E"/>
    <w:rsid w:val="005F35DE"/>
    <w:rsid w:val="005F5083"/>
    <w:rsid w:val="005F5CDD"/>
    <w:rsid w:val="005F6455"/>
    <w:rsid w:val="005F74B7"/>
    <w:rsid w:val="005F7863"/>
    <w:rsid w:val="005F7E67"/>
    <w:rsid w:val="0060128D"/>
    <w:rsid w:val="00604E31"/>
    <w:rsid w:val="006050CA"/>
    <w:rsid w:val="00605A82"/>
    <w:rsid w:val="0060765B"/>
    <w:rsid w:val="00607FDB"/>
    <w:rsid w:val="00610FE2"/>
    <w:rsid w:val="00615AE8"/>
    <w:rsid w:val="00624437"/>
    <w:rsid w:val="006268C5"/>
    <w:rsid w:val="00631B22"/>
    <w:rsid w:val="00632D21"/>
    <w:rsid w:val="00632F75"/>
    <w:rsid w:val="006345F7"/>
    <w:rsid w:val="0063563D"/>
    <w:rsid w:val="00635DCA"/>
    <w:rsid w:val="00636CD5"/>
    <w:rsid w:val="006371FC"/>
    <w:rsid w:val="00640CBB"/>
    <w:rsid w:val="00641552"/>
    <w:rsid w:val="006419F9"/>
    <w:rsid w:val="0064348F"/>
    <w:rsid w:val="006447BE"/>
    <w:rsid w:val="006454BD"/>
    <w:rsid w:val="00645B02"/>
    <w:rsid w:val="00646333"/>
    <w:rsid w:val="00646385"/>
    <w:rsid w:val="006478D8"/>
    <w:rsid w:val="006515E8"/>
    <w:rsid w:val="0065301E"/>
    <w:rsid w:val="006534DA"/>
    <w:rsid w:val="00654CF3"/>
    <w:rsid w:val="00655001"/>
    <w:rsid w:val="00655300"/>
    <w:rsid w:val="00655676"/>
    <w:rsid w:val="00657198"/>
    <w:rsid w:val="006579E3"/>
    <w:rsid w:val="00661BF0"/>
    <w:rsid w:val="006627B4"/>
    <w:rsid w:val="006635B9"/>
    <w:rsid w:val="00663B46"/>
    <w:rsid w:val="006700FE"/>
    <w:rsid w:val="00671C6B"/>
    <w:rsid w:val="00672F74"/>
    <w:rsid w:val="00673943"/>
    <w:rsid w:val="00673E04"/>
    <w:rsid w:val="00675F0B"/>
    <w:rsid w:val="00676DA0"/>
    <w:rsid w:val="006770E8"/>
    <w:rsid w:val="006803D3"/>
    <w:rsid w:val="00680442"/>
    <w:rsid w:val="0068297A"/>
    <w:rsid w:val="00687051"/>
    <w:rsid w:val="00691369"/>
    <w:rsid w:val="00696600"/>
    <w:rsid w:val="0069788B"/>
    <w:rsid w:val="006A0DDC"/>
    <w:rsid w:val="006A1A88"/>
    <w:rsid w:val="006A6276"/>
    <w:rsid w:val="006A64F6"/>
    <w:rsid w:val="006A6C7B"/>
    <w:rsid w:val="006A6CF7"/>
    <w:rsid w:val="006B02EB"/>
    <w:rsid w:val="006B23B9"/>
    <w:rsid w:val="006B368F"/>
    <w:rsid w:val="006B56AC"/>
    <w:rsid w:val="006B596C"/>
    <w:rsid w:val="006B69D2"/>
    <w:rsid w:val="006B6E42"/>
    <w:rsid w:val="006B7E70"/>
    <w:rsid w:val="006C0776"/>
    <w:rsid w:val="006C1250"/>
    <w:rsid w:val="006C15CE"/>
    <w:rsid w:val="006C19C2"/>
    <w:rsid w:val="006C1F98"/>
    <w:rsid w:val="006C282A"/>
    <w:rsid w:val="006C2EBD"/>
    <w:rsid w:val="006C500E"/>
    <w:rsid w:val="006C69E0"/>
    <w:rsid w:val="006C7C69"/>
    <w:rsid w:val="006D0B51"/>
    <w:rsid w:val="006D1DBA"/>
    <w:rsid w:val="006D28D3"/>
    <w:rsid w:val="006D2D2B"/>
    <w:rsid w:val="006D45EA"/>
    <w:rsid w:val="006D5E7D"/>
    <w:rsid w:val="006E13A8"/>
    <w:rsid w:val="006E1CE1"/>
    <w:rsid w:val="006E6766"/>
    <w:rsid w:val="006E754D"/>
    <w:rsid w:val="006F0562"/>
    <w:rsid w:val="006F0CAE"/>
    <w:rsid w:val="006F1E25"/>
    <w:rsid w:val="006F2740"/>
    <w:rsid w:val="006F316F"/>
    <w:rsid w:val="006F6B87"/>
    <w:rsid w:val="00700E73"/>
    <w:rsid w:val="0070220B"/>
    <w:rsid w:val="00702BD7"/>
    <w:rsid w:val="00702D3C"/>
    <w:rsid w:val="00704486"/>
    <w:rsid w:val="00710B2C"/>
    <w:rsid w:val="00711BD9"/>
    <w:rsid w:val="007130D6"/>
    <w:rsid w:val="007155AD"/>
    <w:rsid w:val="00722270"/>
    <w:rsid w:val="007223DC"/>
    <w:rsid w:val="00723BAB"/>
    <w:rsid w:val="00724F6C"/>
    <w:rsid w:val="007255FF"/>
    <w:rsid w:val="0072672D"/>
    <w:rsid w:val="00726F1C"/>
    <w:rsid w:val="00731327"/>
    <w:rsid w:val="0073152B"/>
    <w:rsid w:val="00732193"/>
    <w:rsid w:val="007350E2"/>
    <w:rsid w:val="00735443"/>
    <w:rsid w:val="00735B41"/>
    <w:rsid w:val="00737153"/>
    <w:rsid w:val="0073744F"/>
    <w:rsid w:val="00740A0B"/>
    <w:rsid w:val="0074279D"/>
    <w:rsid w:val="00742FDA"/>
    <w:rsid w:val="00744D24"/>
    <w:rsid w:val="00745766"/>
    <w:rsid w:val="00745D87"/>
    <w:rsid w:val="00745D91"/>
    <w:rsid w:val="00747D10"/>
    <w:rsid w:val="007513DF"/>
    <w:rsid w:val="0075275A"/>
    <w:rsid w:val="00753FD7"/>
    <w:rsid w:val="007579F8"/>
    <w:rsid w:val="00762DB4"/>
    <w:rsid w:val="007634CD"/>
    <w:rsid w:val="00763C36"/>
    <w:rsid w:val="0076508B"/>
    <w:rsid w:val="007664EC"/>
    <w:rsid w:val="0076747D"/>
    <w:rsid w:val="00767792"/>
    <w:rsid w:val="00770599"/>
    <w:rsid w:val="00772210"/>
    <w:rsid w:val="0077276D"/>
    <w:rsid w:val="007736D2"/>
    <w:rsid w:val="00775515"/>
    <w:rsid w:val="00775799"/>
    <w:rsid w:val="00775B30"/>
    <w:rsid w:val="007761DB"/>
    <w:rsid w:val="00780670"/>
    <w:rsid w:val="007806DE"/>
    <w:rsid w:val="00782E00"/>
    <w:rsid w:val="007844A6"/>
    <w:rsid w:val="0079373F"/>
    <w:rsid w:val="00794327"/>
    <w:rsid w:val="007950D5"/>
    <w:rsid w:val="00796892"/>
    <w:rsid w:val="00797669"/>
    <w:rsid w:val="00797FCF"/>
    <w:rsid w:val="007A05E9"/>
    <w:rsid w:val="007A06D7"/>
    <w:rsid w:val="007A09ED"/>
    <w:rsid w:val="007A0D08"/>
    <w:rsid w:val="007A4355"/>
    <w:rsid w:val="007A4F9D"/>
    <w:rsid w:val="007A58FF"/>
    <w:rsid w:val="007A5B36"/>
    <w:rsid w:val="007B2A9B"/>
    <w:rsid w:val="007B370A"/>
    <w:rsid w:val="007B3B77"/>
    <w:rsid w:val="007B3ED5"/>
    <w:rsid w:val="007B3FDB"/>
    <w:rsid w:val="007B6594"/>
    <w:rsid w:val="007C0F1B"/>
    <w:rsid w:val="007C5007"/>
    <w:rsid w:val="007C55C1"/>
    <w:rsid w:val="007C673A"/>
    <w:rsid w:val="007C796C"/>
    <w:rsid w:val="007D0762"/>
    <w:rsid w:val="007D1E16"/>
    <w:rsid w:val="007D2D62"/>
    <w:rsid w:val="007D3547"/>
    <w:rsid w:val="007D3D69"/>
    <w:rsid w:val="007D4CE3"/>
    <w:rsid w:val="007D4E96"/>
    <w:rsid w:val="007D67D4"/>
    <w:rsid w:val="007D6D8C"/>
    <w:rsid w:val="007E0B9B"/>
    <w:rsid w:val="007E299C"/>
    <w:rsid w:val="007E3800"/>
    <w:rsid w:val="007E4012"/>
    <w:rsid w:val="007E4748"/>
    <w:rsid w:val="007E4F05"/>
    <w:rsid w:val="007E5775"/>
    <w:rsid w:val="007E5FC0"/>
    <w:rsid w:val="007E7E0D"/>
    <w:rsid w:val="007F02FD"/>
    <w:rsid w:val="007F23F8"/>
    <w:rsid w:val="007F46C4"/>
    <w:rsid w:val="007F5011"/>
    <w:rsid w:val="00802B62"/>
    <w:rsid w:val="00804CBE"/>
    <w:rsid w:val="008108D3"/>
    <w:rsid w:val="00812921"/>
    <w:rsid w:val="008158D0"/>
    <w:rsid w:val="00820173"/>
    <w:rsid w:val="008205B0"/>
    <w:rsid w:val="008205CD"/>
    <w:rsid w:val="008205EC"/>
    <w:rsid w:val="00820FAA"/>
    <w:rsid w:val="00821117"/>
    <w:rsid w:val="0082165A"/>
    <w:rsid w:val="00822DF0"/>
    <w:rsid w:val="008245A9"/>
    <w:rsid w:val="00824821"/>
    <w:rsid w:val="008258C6"/>
    <w:rsid w:val="0082687B"/>
    <w:rsid w:val="00827383"/>
    <w:rsid w:val="0083002A"/>
    <w:rsid w:val="00831550"/>
    <w:rsid w:val="00836B2C"/>
    <w:rsid w:val="00837D86"/>
    <w:rsid w:val="008400E1"/>
    <w:rsid w:val="008461F7"/>
    <w:rsid w:val="00846321"/>
    <w:rsid w:val="00847383"/>
    <w:rsid w:val="00847B64"/>
    <w:rsid w:val="00850A9C"/>
    <w:rsid w:val="0085212B"/>
    <w:rsid w:val="00857480"/>
    <w:rsid w:val="0086059D"/>
    <w:rsid w:val="00860A97"/>
    <w:rsid w:val="00861613"/>
    <w:rsid w:val="00863C7C"/>
    <w:rsid w:val="008647C6"/>
    <w:rsid w:val="00866AF4"/>
    <w:rsid w:val="00872AB9"/>
    <w:rsid w:val="00873305"/>
    <w:rsid w:val="00873B4B"/>
    <w:rsid w:val="008742E5"/>
    <w:rsid w:val="008755A5"/>
    <w:rsid w:val="00875D08"/>
    <w:rsid w:val="00876C98"/>
    <w:rsid w:val="00877AA3"/>
    <w:rsid w:val="0088042C"/>
    <w:rsid w:val="008811FE"/>
    <w:rsid w:val="00883FF1"/>
    <w:rsid w:val="0088503E"/>
    <w:rsid w:val="00885C55"/>
    <w:rsid w:val="008932AE"/>
    <w:rsid w:val="008939F6"/>
    <w:rsid w:val="0089539F"/>
    <w:rsid w:val="00895AA1"/>
    <w:rsid w:val="008A23AC"/>
    <w:rsid w:val="008A2E61"/>
    <w:rsid w:val="008A32A4"/>
    <w:rsid w:val="008A4EB3"/>
    <w:rsid w:val="008A6943"/>
    <w:rsid w:val="008A7539"/>
    <w:rsid w:val="008B3403"/>
    <w:rsid w:val="008B3561"/>
    <w:rsid w:val="008B3C0B"/>
    <w:rsid w:val="008B3D73"/>
    <w:rsid w:val="008B3DB2"/>
    <w:rsid w:val="008B4369"/>
    <w:rsid w:val="008B447C"/>
    <w:rsid w:val="008B4F5C"/>
    <w:rsid w:val="008B5B0E"/>
    <w:rsid w:val="008B6BA2"/>
    <w:rsid w:val="008C1CCD"/>
    <w:rsid w:val="008C4FFF"/>
    <w:rsid w:val="008C5DC2"/>
    <w:rsid w:val="008C620F"/>
    <w:rsid w:val="008C632A"/>
    <w:rsid w:val="008C793C"/>
    <w:rsid w:val="008D1419"/>
    <w:rsid w:val="008D2944"/>
    <w:rsid w:val="008D462D"/>
    <w:rsid w:val="008D5573"/>
    <w:rsid w:val="008D55CB"/>
    <w:rsid w:val="008D620B"/>
    <w:rsid w:val="008D6EB5"/>
    <w:rsid w:val="008E1908"/>
    <w:rsid w:val="008E234A"/>
    <w:rsid w:val="008E5BB7"/>
    <w:rsid w:val="008F0D91"/>
    <w:rsid w:val="008F1CF9"/>
    <w:rsid w:val="008F29C8"/>
    <w:rsid w:val="008F38AA"/>
    <w:rsid w:val="008F4526"/>
    <w:rsid w:val="008F5F4C"/>
    <w:rsid w:val="00900673"/>
    <w:rsid w:val="00900A04"/>
    <w:rsid w:val="009010B6"/>
    <w:rsid w:val="009019D8"/>
    <w:rsid w:val="00903A2A"/>
    <w:rsid w:val="009045AD"/>
    <w:rsid w:val="009129CE"/>
    <w:rsid w:val="00920D2D"/>
    <w:rsid w:val="009224A5"/>
    <w:rsid w:val="009242B6"/>
    <w:rsid w:val="00924E0E"/>
    <w:rsid w:val="00927200"/>
    <w:rsid w:val="009318B7"/>
    <w:rsid w:val="009330E9"/>
    <w:rsid w:val="009334F8"/>
    <w:rsid w:val="00933A44"/>
    <w:rsid w:val="00937B5B"/>
    <w:rsid w:val="00940826"/>
    <w:rsid w:val="00941AB1"/>
    <w:rsid w:val="0094422C"/>
    <w:rsid w:val="0095037E"/>
    <w:rsid w:val="00950989"/>
    <w:rsid w:val="00951B9D"/>
    <w:rsid w:val="009533F6"/>
    <w:rsid w:val="0095346F"/>
    <w:rsid w:val="009601FD"/>
    <w:rsid w:val="00962C4B"/>
    <w:rsid w:val="00962F53"/>
    <w:rsid w:val="0096426B"/>
    <w:rsid w:val="00964A37"/>
    <w:rsid w:val="00964F47"/>
    <w:rsid w:val="0096692D"/>
    <w:rsid w:val="0096725A"/>
    <w:rsid w:val="00967C04"/>
    <w:rsid w:val="009724CD"/>
    <w:rsid w:val="00973689"/>
    <w:rsid w:val="00973FBA"/>
    <w:rsid w:val="0097484A"/>
    <w:rsid w:val="00977FC0"/>
    <w:rsid w:val="0098077B"/>
    <w:rsid w:val="0098182F"/>
    <w:rsid w:val="00982210"/>
    <w:rsid w:val="0098379A"/>
    <w:rsid w:val="00984018"/>
    <w:rsid w:val="00984074"/>
    <w:rsid w:val="00986D49"/>
    <w:rsid w:val="009920BF"/>
    <w:rsid w:val="00992D41"/>
    <w:rsid w:val="00993308"/>
    <w:rsid w:val="00993BF9"/>
    <w:rsid w:val="009964D7"/>
    <w:rsid w:val="00996AE4"/>
    <w:rsid w:val="009A1A5D"/>
    <w:rsid w:val="009A3C1D"/>
    <w:rsid w:val="009A48FD"/>
    <w:rsid w:val="009A5BFC"/>
    <w:rsid w:val="009A7D16"/>
    <w:rsid w:val="009B15EA"/>
    <w:rsid w:val="009B2A3D"/>
    <w:rsid w:val="009B2B73"/>
    <w:rsid w:val="009B2BB5"/>
    <w:rsid w:val="009B3692"/>
    <w:rsid w:val="009B7221"/>
    <w:rsid w:val="009B7B2D"/>
    <w:rsid w:val="009C0028"/>
    <w:rsid w:val="009C0F3B"/>
    <w:rsid w:val="009C1C4D"/>
    <w:rsid w:val="009C387D"/>
    <w:rsid w:val="009C4611"/>
    <w:rsid w:val="009C5351"/>
    <w:rsid w:val="009C62C1"/>
    <w:rsid w:val="009C7F53"/>
    <w:rsid w:val="009D02D1"/>
    <w:rsid w:val="009D37EE"/>
    <w:rsid w:val="009D4407"/>
    <w:rsid w:val="009D563F"/>
    <w:rsid w:val="009E14D6"/>
    <w:rsid w:val="009E2233"/>
    <w:rsid w:val="009E62E8"/>
    <w:rsid w:val="009E6475"/>
    <w:rsid w:val="009E7B50"/>
    <w:rsid w:val="009F00CD"/>
    <w:rsid w:val="009F2260"/>
    <w:rsid w:val="009F2BCB"/>
    <w:rsid w:val="009F3824"/>
    <w:rsid w:val="009F5689"/>
    <w:rsid w:val="009F63B6"/>
    <w:rsid w:val="00A0056C"/>
    <w:rsid w:val="00A01E09"/>
    <w:rsid w:val="00A032A3"/>
    <w:rsid w:val="00A0454D"/>
    <w:rsid w:val="00A10DE3"/>
    <w:rsid w:val="00A111C5"/>
    <w:rsid w:val="00A11272"/>
    <w:rsid w:val="00A12169"/>
    <w:rsid w:val="00A12443"/>
    <w:rsid w:val="00A13A11"/>
    <w:rsid w:val="00A14083"/>
    <w:rsid w:val="00A143AE"/>
    <w:rsid w:val="00A1540D"/>
    <w:rsid w:val="00A15651"/>
    <w:rsid w:val="00A1599B"/>
    <w:rsid w:val="00A15C50"/>
    <w:rsid w:val="00A200A1"/>
    <w:rsid w:val="00A204EF"/>
    <w:rsid w:val="00A20842"/>
    <w:rsid w:val="00A21E09"/>
    <w:rsid w:val="00A22A77"/>
    <w:rsid w:val="00A22D81"/>
    <w:rsid w:val="00A24F61"/>
    <w:rsid w:val="00A258EB"/>
    <w:rsid w:val="00A25AE5"/>
    <w:rsid w:val="00A273A9"/>
    <w:rsid w:val="00A3137D"/>
    <w:rsid w:val="00A31818"/>
    <w:rsid w:val="00A32BD0"/>
    <w:rsid w:val="00A33380"/>
    <w:rsid w:val="00A33874"/>
    <w:rsid w:val="00A33A90"/>
    <w:rsid w:val="00A33ECC"/>
    <w:rsid w:val="00A345CC"/>
    <w:rsid w:val="00A35885"/>
    <w:rsid w:val="00A35A13"/>
    <w:rsid w:val="00A41948"/>
    <w:rsid w:val="00A446D7"/>
    <w:rsid w:val="00A44800"/>
    <w:rsid w:val="00A46555"/>
    <w:rsid w:val="00A47373"/>
    <w:rsid w:val="00A5061E"/>
    <w:rsid w:val="00A50CE1"/>
    <w:rsid w:val="00A50FF2"/>
    <w:rsid w:val="00A51E8C"/>
    <w:rsid w:val="00A52C31"/>
    <w:rsid w:val="00A535FD"/>
    <w:rsid w:val="00A54252"/>
    <w:rsid w:val="00A576F5"/>
    <w:rsid w:val="00A57772"/>
    <w:rsid w:val="00A641CC"/>
    <w:rsid w:val="00A65B27"/>
    <w:rsid w:val="00A65BC0"/>
    <w:rsid w:val="00A66CF5"/>
    <w:rsid w:val="00A67939"/>
    <w:rsid w:val="00A70EA8"/>
    <w:rsid w:val="00A70F4A"/>
    <w:rsid w:val="00A71633"/>
    <w:rsid w:val="00A7248F"/>
    <w:rsid w:val="00A737C7"/>
    <w:rsid w:val="00A7514D"/>
    <w:rsid w:val="00A755DD"/>
    <w:rsid w:val="00A7575C"/>
    <w:rsid w:val="00A76936"/>
    <w:rsid w:val="00A76AAF"/>
    <w:rsid w:val="00A8070D"/>
    <w:rsid w:val="00A81317"/>
    <w:rsid w:val="00A81D30"/>
    <w:rsid w:val="00A821F5"/>
    <w:rsid w:val="00A82D4E"/>
    <w:rsid w:val="00A83476"/>
    <w:rsid w:val="00A837F5"/>
    <w:rsid w:val="00A85881"/>
    <w:rsid w:val="00A8680A"/>
    <w:rsid w:val="00A871C9"/>
    <w:rsid w:val="00A96A70"/>
    <w:rsid w:val="00A96AEF"/>
    <w:rsid w:val="00A97002"/>
    <w:rsid w:val="00AA0060"/>
    <w:rsid w:val="00AA05D4"/>
    <w:rsid w:val="00AA32DE"/>
    <w:rsid w:val="00AA3925"/>
    <w:rsid w:val="00AA4BA8"/>
    <w:rsid w:val="00AA57BC"/>
    <w:rsid w:val="00AA5D55"/>
    <w:rsid w:val="00AA615E"/>
    <w:rsid w:val="00AA649A"/>
    <w:rsid w:val="00AA7808"/>
    <w:rsid w:val="00AB1978"/>
    <w:rsid w:val="00AB24B4"/>
    <w:rsid w:val="00AB265F"/>
    <w:rsid w:val="00AB3538"/>
    <w:rsid w:val="00AB4AC4"/>
    <w:rsid w:val="00AB686B"/>
    <w:rsid w:val="00AB70DE"/>
    <w:rsid w:val="00AC1123"/>
    <w:rsid w:val="00AC1873"/>
    <w:rsid w:val="00AC34B3"/>
    <w:rsid w:val="00AD1680"/>
    <w:rsid w:val="00AD334D"/>
    <w:rsid w:val="00AD4E12"/>
    <w:rsid w:val="00AD5CD6"/>
    <w:rsid w:val="00AE0A08"/>
    <w:rsid w:val="00AE0D43"/>
    <w:rsid w:val="00AE118F"/>
    <w:rsid w:val="00AE17E4"/>
    <w:rsid w:val="00AE2F76"/>
    <w:rsid w:val="00AE4921"/>
    <w:rsid w:val="00AE5733"/>
    <w:rsid w:val="00AF12E5"/>
    <w:rsid w:val="00AF1B53"/>
    <w:rsid w:val="00AF1C91"/>
    <w:rsid w:val="00AF4219"/>
    <w:rsid w:val="00AF4D41"/>
    <w:rsid w:val="00AF6555"/>
    <w:rsid w:val="00AF77C2"/>
    <w:rsid w:val="00B0068F"/>
    <w:rsid w:val="00B01D9F"/>
    <w:rsid w:val="00B0200C"/>
    <w:rsid w:val="00B02649"/>
    <w:rsid w:val="00B026E5"/>
    <w:rsid w:val="00B030DB"/>
    <w:rsid w:val="00B04525"/>
    <w:rsid w:val="00B049CA"/>
    <w:rsid w:val="00B0678A"/>
    <w:rsid w:val="00B10519"/>
    <w:rsid w:val="00B10AFA"/>
    <w:rsid w:val="00B121A3"/>
    <w:rsid w:val="00B12B97"/>
    <w:rsid w:val="00B13888"/>
    <w:rsid w:val="00B14FF6"/>
    <w:rsid w:val="00B162AC"/>
    <w:rsid w:val="00B16423"/>
    <w:rsid w:val="00B1658F"/>
    <w:rsid w:val="00B17A54"/>
    <w:rsid w:val="00B17E3D"/>
    <w:rsid w:val="00B212D0"/>
    <w:rsid w:val="00B2244A"/>
    <w:rsid w:val="00B22DF0"/>
    <w:rsid w:val="00B23602"/>
    <w:rsid w:val="00B238B5"/>
    <w:rsid w:val="00B26773"/>
    <w:rsid w:val="00B30F0B"/>
    <w:rsid w:val="00B315A2"/>
    <w:rsid w:val="00B31CFB"/>
    <w:rsid w:val="00B34716"/>
    <w:rsid w:val="00B36859"/>
    <w:rsid w:val="00B37748"/>
    <w:rsid w:val="00B40829"/>
    <w:rsid w:val="00B42676"/>
    <w:rsid w:val="00B42E56"/>
    <w:rsid w:val="00B43FE8"/>
    <w:rsid w:val="00B443CA"/>
    <w:rsid w:val="00B44BC0"/>
    <w:rsid w:val="00B46B03"/>
    <w:rsid w:val="00B46B4E"/>
    <w:rsid w:val="00B46F9E"/>
    <w:rsid w:val="00B47FF6"/>
    <w:rsid w:val="00B50DEF"/>
    <w:rsid w:val="00B52FAB"/>
    <w:rsid w:val="00B53494"/>
    <w:rsid w:val="00B545DF"/>
    <w:rsid w:val="00B5521A"/>
    <w:rsid w:val="00B55675"/>
    <w:rsid w:val="00B55C1D"/>
    <w:rsid w:val="00B5665B"/>
    <w:rsid w:val="00B57B32"/>
    <w:rsid w:val="00B6314D"/>
    <w:rsid w:val="00B64467"/>
    <w:rsid w:val="00B64905"/>
    <w:rsid w:val="00B64929"/>
    <w:rsid w:val="00B657B5"/>
    <w:rsid w:val="00B65DEF"/>
    <w:rsid w:val="00B72077"/>
    <w:rsid w:val="00B72D9D"/>
    <w:rsid w:val="00B7367A"/>
    <w:rsid w:val="00B75438"/>
    <w:rsid w:val="00B754F4"/>
    <w:rsid w:val="00B774B7"/>
    <w:rsid w:val="00B775EA"/>
    <w:rsid w:val="00B81B61"/>
    <w:rsid w:val="00B83EDC"/>
    <w:rsid w:val="00B85583"/>
    <w:rsid w:val="00B8725C"/>
    <w:rsid w:val="00B874FE"/>
    <w:rsid w:val="00B902BF"/>
    <w:rsid w:val="00B91CBE"/>
    <w:rsid w:val="00B94359"/>
    <w:rsid w:val="00B94385"/>
    <w:rsid w:val="00B94987"/>
    <w:rsid w:val="00B96325"/>
    <w:rsid w:val="00B96793"/>
    <w:rsid w:val="00B97282"/>
    <w:rsid w:val="00BA2031"/>
    <w:rsid w:val="00BA3DC8"/>
    <w:rsid w:val="00BA4D7A"/>
    <w:rsid w:val="00BA5826"/>
    <w:rsid w:val="00BB341C"/>
    <w:rsid w:val="00BB404B"/>
    <w:rsid w:val="00BB4B4B"/>
    <w:rsid w:val="00BC118D"/>
    <w:rsid w:val="00BC24C4"/>
    <w:rsid w:val="00BC2BC5"/>
    <w:rsid w:val="00BC2BD6"/>
    <w:rsid w:val="00BC316E"/>
    <w:rsid w:val="00BC33A3"/>
    <w:rsid w:val="00BC3AEF"/>
    <w:rsid w:val="00BC4401"/>
    <w:rsid w:val="00BC66DC"/>
    <w:rsid w:val="00BC6C92"/>
    <w:rsid w:val="00BC7550"/>
    <w:rsid w:val="00BD135B"/>
    <w:rsid w:val="00BD5211"/>
    <w:rsid w:val="00BD5C03"/>
    <w:rsid w:val="00BD6132"/>
    <w:rsid w:val="00BD6F67"/>
    <w:rsid w:val="00BD7E76"/>
    <w:rsid w:val="00BE104D"/>
    <w:rsid w:val="00BE1361"/>
    <w:rsid w:val="00BE26B0"/>
    <w:rsid w:val="00BE2C36"/>
    <w:rsid w:val="00BE6749"/>
    <w:rsid w:val="00BE6EB9"/>
    <w:rsid w:val="00BE6F8D"/>
    <w:rsid w:val="00BE7408"/>
    <w:rsid w:val="00BF0427"/>
    <w:rsid w:val="00BF40C6"/>
    <w:rsid w:val="00BF4C5B"/>
    <w:rsid w:val="00BF724D"/>
    <w:rsid w:val="00BF7853"/>
    <w:rsid w:val="00C0146F"/>
    <w:rsid w:val="00C017C8"/>
    <w:rsid w:val="00C0518F"/>
    <w:rsid w:val="00C05DAF"/>
    <w:rsid w:val="00C0663F"/>
    <w:rsid w:val="00C10F25"/>
    <w:rsid w:val="00C117F6"/>
    <w:rsid w:val="00C12541"/>
    <w:rsid w:val="00C13D13"/>
    <w:rsid w:val="00C13F5F"/>
    <w:rsid w:val="00C153B1"/>
    <w:rsid w:val="00C17F42"/>
    <w:rsid w:val="00C20D98"/>
    <w:rsid w:val="00C23AC9"/>
    <w:rsid w:val="00C241EC"/>
    <w:rsid w:val="00C348AC"/>
    <w:rsid w:val="00C34D26"/>
    <w:rsid w:val="00C36404"/>
    <w:rsid w:val="00C36918"/>
    <w:rsid w:val="00C3727D"/>
    <w:rsid w:val="00C3777F"/>
    <w:rsid w:val="00C37A77"/>
    <w:rsid w:val="00C37EA3"/>
    <w:rsid w:val="00C4089D"/>
    <w:rsid w:val="00C445AC"/>
    <w:rsid w:val="00C45101"/>
    <w:rsid w:val="00C45E3F"/>
    <w:rsid w:val="00C50DCD"/>
    <w:rsid w:val="00C5305A"/>
    <w:rsid w:val="00C54D48"/>
    <w:rsid w:val="00C554EA"/>
    <w:rsid w:val="00C55CBB"/>
    <w:rsid w:val="00C564F1"/>
    <w:rsid w:val="00C62667"/>
    <w:rsid w:val="00C62C5C"/>
    <w:rsid w:val="00C641A6"/>
    <w:rsid w:val="00C64939"/>
    <w:rsid w:val="00C64B02"/>
    <w:rsid w:val="00C667D4"/>
    <w:rsid w:val="00C66BBA"/>
    <w:rsid w:val="00C73085"/>
    <w:rsid w:val="00C742CB"/>
    <w:rsid w:val="00C74597"/>
    <w:rsid w:val="00C753C7"/>
    <w:rsid w:val="00C75AB2"/>
    <w:rsid w:val="00C764A4"/>
    <w:rsid w:val="00C8073D"/>
    <w:rsid w:val="00C824DA"/>
    <w:rsid w:val="00C829F4"/>
    <w:rsid w:val="00C82E83"/>
    <w:rsid w:val="00C82EBA"/>
    <w:rsid w:val="00C85A71"/>
    <w:rsid w:val="00C87400"/>
    <w:rsid w:val="00C90CF6"/>
    <w:rsid w:val="00C90E00"/>
    <w:rsid w:val="00C92628"/>
    <w:rsid w:val="00C93499"/>
    <w:rsid w:val="00C93AD4"/>
    <w:rsid w:val="00C945D9"/>
    <w:rsid w:val="00CA09BB"/>
    <w:rsid w:val="00CA177E"/>
    <w:rsid w:val="00CA2374"/>
    <w:rsid w:val="00CA2899"/>
    <w:rsid w:val="00CA5557"/>
    <w:rsid w:val="00CA5CC4"/>
    <w:rsid w:val="00CA69AF"/>
    <w:rsid w:val="00CB0BE7"/>
    <w:rsid w:val="00CB1B43"/>
    <w:rsid w:val="00CB4A1C"/>
    <w:rsid w:val="00CB51CC"/>
    <w:rsid w:val="00CB590B"/>
    <w:rsid w:val="00CB6474"/>
    <w:rsid w:val="00CB65DF"/>
    <w:rsid w:val="00CB755D"/>
    <w:rsid w:val="00CB7EC7"/>
    <w:rsid w:val="00CC16EB"/>
    <w:rsid w:val="00CC2711"/>
    <w:rsid w:val="00CC3CFF"/>
    <w:rsid w:val="00CD1716"/>
    <w:rsid w:val="00CD2461"/>
    <w:rsid w:val="00CD40CD"/>
    <w:rsid w:val="00CD44AB"/>
    <w:rsid w:val="00CD4B26"/>
    <w:rsid w:val="00CD779D"/>
    <w:rsid w:val="00CD7EAE"/>
    <w:rsid w:val="00CE321A"/>
    <w:rsid w:val="00CE4415"/>
    <w:rsid w:val="00CE4938"/>
    <w:rsid w:val="00CE6D2C"/>
    <w:rsid w:val="00CE7103"/>
    <w:rsid w:val="00CE768B"/>
    <w:rsid w:val="00CE7EDA"/>
    <w:rsid w:val="00CF0AA6"/>
    <w:rsid w:val="00CF0DF7"/>
    <w:rsid w:val="00CF44CA"/>
    <w:rsid w:val="00CF5F00"/>
    <w:rsid w:val="00CF7AC7"/>
    <w:rsid w:val="00D01554"/>
    <w:rsid w:val="00D01CED"/>
    <w:rsid w:val="00D0374F"/>
    <w:rsid w:val="00D06A21"/>
    <w:rsid w:val="00D107F0"/>
    <w:rsid w:val="00D117E3"/>
    <w:rsid w:val="00D1292A"/>
    <w:rsid w:val="00D14330"/>
    <w:rsid w:val="00D14958"/>
    <w:rsid w:val="00D14EFF"/>
    <w:rsid w:val="00D15FC7"/>
    <w:rsid w:val="00D16A19"/>
    <w:rsid w:val="00D16F22"/>
    <w:rsid w:val="00D178D2"/>
    <w:rsid w:val="00D17907"/>
    <w:rsid w:val="00D17A73"/>
    <w:rsid w:val="00D2008B"/>
    <w:rsid w:val="00D2112F"/>
    <w:rsid w:val="00D21FE0"/>
    <w:rsid w:val="00D2329C"/>
    <w:rsid w:val="00D24715"/>
    <w:rsid w:val="00D25B40"/>
    <w:rsid w:val="00D25D77"/>
    <w:rsid w:val="00D25E83"/>
    <w:rsid w:val="00D26253"/>
    <w:rsid w:val="00D263CB"/>
    <w:rsid w:val="00D2680B"/>
    <w:rsid w:val="00D2694B"/>
    <w:rsid w:val="00D30414"/>
    <w:rsid w:val="00D3041F"/>
    <w:rsid w:val="00D3099E"/>
    <w:rsid w:val="00D314DC"/>
    <w:rsid w:val="00D31518"/>
    <w:rsid w:val="00D34F13"/>
    <w:rsid w:val="00D35640"/>
    <w:rsid w:val="00D357B2"/>
    <w:rsid w:val="00D36450"/>
    <w:rsid w:val="00D37873"/>
    <w:rsid w:val="00D40D91"/>
    <w:rsid w:val="00D4196D"/>
    <w:rsid w:val="00D448F6"/>
    <w:rsid w:val="00D44EB5"/>
    <w:rsid w:val="00D455EB"/>
    <w:rsid w:val="00D46E74"/>
    <w:rsid w:val="00D47EA9"/>
    <w:rsid w:val="00D50AC8"/>
    <w:rsid w:val="00D515FC"/>
    <w:rsid w:val="00D51F32"/>
    <w:rsid w:val="00D52C9B"/>
    <w:rsid w:val="00D52D0B"/>
    <w:rsid w:val="00D5694E"/>
    <w:rsid w:val="00D574DF"/>
    <w:rsid w:val="00D62AED"/>
    <w:rsid w:val="00D634ED"/>
    <w:rsid w:val="00D63A75"/>
    <w:rsid w:val="00D65822"/>
    <w:rsid w:val="00D704C8"/>
    <w:rsid w:val="00D7768B"/>
    <w:rsid w:val="00D80C1E"/>
    <w:rsid w:val="00D80C7C"/>
    <w:rsid w:val="00D8272A"/>
    <w:rsid w:val="00D84D11"/>
    <w:rsid w:val="00D875F9"/>
    <w:rsid w:val="00D90626"/>
    <w:rsid w:val="00D90938"/>
    <w:rsid w:val="00D916CF"/>
    <w:rsid w:val="00D950CE"/>
    <w:rsid w:val="00D9559F"/>
    <w:rsid w:val="00D958CA"/>
    <w:rsid w:val="00D95968"/>
    <w:rsid w:val="00D96061"/>
    <w:rsid w:val="00DA3DD3"/>
    <w:rsid w:val="00DA44BA"/>
    <w:rsid w:val="00DB0AE7"/>
    <w:rsid w:val="00DB29FF"/>
    <w:rsid w:val="00DB300F"/>
    <w:rsid w:val="00DB33C4"/>
    <w:rsid w:val="00DB39E6"/>
    <w:rsid w:val="00DB4037"/>
    <w:rsid w:val="00DB6D07"/>
    <w:rsid w:val="00DB7FEC"/>
    <w:rsid w:val="00DC0259"/>
    <w:rsid w:val="00DC0320"/>
    <w:rsid w:val="00DC04F0"/>
    <w:rsid w:val="00DC1539"/>
    <w:rsid w:val="00DC1851"/>
    <w:rsid w:val="00DC1878"/>
    <w:rsid w:val="00DC262A"/>
    <w:rsid w:val="00DC6BFD"/>
    <w:rsid w:val="00DC7D65"/>
    <w:rsid w:val="00DD1486"/>
    <w:rsid w:val="00DD2A25"/>
    <w:rsid w:val="00DD2D0E"/>
    <w:rsid w:val="00DD3B50"/>
    <w:rsid w:val="00DD43F1"/>
    <w:rsid w:val="00DD7D65"/>
    <w:rsid w:val="00DE022A"/>
    <w:rsid w:val="00DE026E"/>
    <w:rsid w:val="00DE0800"/>
    <w:rsid w:val="00DE0B18"/>
    <w:rsid w:val="00DE0E9C"/>
    <w:rsid w:val="00DE1DB6"/>
    <w:rsid w:val="00DE1EEE"/>
    <w:rsid w:val="00DE24CD"/>
    <w:rsid w:val="00DE42B9"/>
    <w:rsid w:val="00DE5B7A"/>
    <w:rsid w:val="00DE6939"/>
    <w:rsid w:val="00DF0285"/>
    <w:rsid w:val="00DF060D"/>
    <w:rsid w:val="00DF0EE5"/>
    <w:rsid w:val="00DF2801"/>
    <w:rsid w:val="00DF52E0"/>
    <w:rsid w:val="00DF5526"/>
    <w:rsid w:val="00DF59EA"/>
    <w:rsid w:val="00DF61FE"/>
    <w:rsid w:val="00DF731F"/>
    <w:rsid w:val="00E0045E"/>
    <w:rsid w:val="00E00AF9"/>
    <w:rsid w:val="00E0138A"/>
    <w:rsid w:val="00E01A7B"/>
    <w:rsid w:val="00E03946"/>
    <w:rsid w:val="00E03A68"/>
    <w:rsid w:val="00E03E9A"/>
    <w:rsid w:val="00E03ECA"/>
    <w:rsid w:val="00E046DF"/>
    <w:rsid w:val="00E0489B"/>
    <w:rsid w:val="00E11DB1"/>
    <w:rsid w:val="00E13F65"/>
    <w:rsid w:val="00E1573D"/>
    <w:rsid w:val="00E16D4C"/>
    <w:rsid w:val="00E17AA7"/>
    <w:rsid w:val="00E21972"/>
    <w:rsid w:val="00E23210"/>
    <w:rsid w:val="00E23450"/>
    <w:rsid w:val="00E2398A"/>
    <w:rsid w:val="00E23A27"/>
    <w:rsid w:val="00E240A4"/>
    <w:rsid w:val="00E24C6B"/>
    <w:rsid w:val="00E25D53"/>
    <w:rsid w:val="00E27DC1"/>
    <w:rsid w:val="00E31F08"/>
    <w:rsid w:val="00E32ED8"/>
    <w:rsid w:val="00E34752"/>
    <w:rsid w:val="00E35D48"/>
    <w:rsid w:val="00E36989"/>
    <w:rsid w:val="00E41951"/>
    <w:rsid w:val="00E42427"/>
    <w:rsid w:val="00E42DC8"/>
    <w:rsid w:val="00E44276"/>
    <w:rsid w:val="00E443E5"/>
    <w:rsid w:val="00E443FB"/>
    <w:rsid w:val="00E45975"/>
    <w:rsid w:val="00E51184"/>
    <w:rsid w:val="00E51AD3"/>
    <w:rsid w:val="00E527E4"/>
    <w:rsid w:val="00E53883"/>
    <w:rsid w:val="00E53E1C"/>
    <w:rsid w:val="00E552EA"/>
    <w:rsid w:val="00E5532D"/>
    <w:rsid w:val="00E56F9E"/>
    <w:rsid w:val="00E62228"/>
    <w:rsid w:val="00E6404B"/>
    <w:rsid w:val="00E644EC"/>
    <w:rsid w:val="00E66C91"/>
    <w:rsid w:val="00E7081F"/>
    <w:rsid w:val="00E70B6F"/>
    <w:rsid w:val="00E71358"/>
    <w:rsid w:val="00E73C3B"/>
    <w:rsid w:val="00E73F5A"/>
    <w:rsid w:val="00E73FB1"/>
    <w:rsid w:val="00E7492C"/>
    <w:rsid w:val="00E75B4B"/>
    <w:rsid w:val="00E75EBA"/>
    <w:rsid w:val="00E773B6"/>
    <w:rsid w:val="00E81E3F"/>
    <w:rsid w:val="00E844D5"/>
    <w:rsid w:val="00E84EF5"/>
    <w:rsid w:val="00E875E1"/>
    <w:rsid w:val="00E90250"/>
    <w:rsid w:val="00E9292C"/>
    <w:rsid w:val="00E967E4"/>
    <w:rsid w:val="00E96B24"/>
    <w:rsid w:val="00E96BA4"/>
    <w:rsid w:val="00E973BC"/>
    <w:rsid w:val="00EA0979"/>
    <w:rsid w:val="00EA0D1F"/>
    <w:rsid w:val="00EA20B4"/>
    <w:rsid w:val="00EA225A"/>
    <w:rsid w:val="00EA26A2"/>
    <w:rsid w:val="00EA59B2"/>
    <w:rsid w:val="00EA5C22"/>
    <w:rsid w:val="00EA5E7C"/>
    <w:rsid w:val="00EA6AA8"/>
    <w:rsid w:val="00EA724F"/>
    <w:rsid w:val="00EA76CB"/>
    <w:rsid w:val="00EB012E"/>
    <w:rsid w:val="00EB4171"/>
    <w:rsid w:val="00EB5B46"/>
    <w:rsid w:val="00EB606B"/>
    <w:rsid w:val="00EB7B82"/>
    <w:rsid w:val="00EC0206"/>
    <w:rsid w:val="00EC0CE3"/>
    <w:rsid w:val="00EC2B90"/>
    <w:rsid w:val="00EC35CE"/>
    <w:rsid w:val="00EC5643"/>
    <w:rsid w:val="00EC5D4B"/>
    <w:rsid w:val="00EC6457"/>
    <w:rsid w:val="00EC664B"/>
    <w:rsid w:val="00ED0A52"/>
    <w:rsid w:val="00ED1314"/>
    <w:rsid w:val="00ED2BA0"/>
    <w:rsid w:val="00ED2CEF"/>
    <w:rsid w:val="00ED3F14"/>
    <w:rsid w:val="00ED5B29"/>
    <w:rsid w:val="00ED6A3A"/>
    <w:rsid w:val="00EE1809"/>
    <w:rsid w:val="00EE25D5"/>
    <w:rsid w:val="00EE2682"/>
    <w:rsid w:val="00EE2B05"/>
    <w:rsid w:val="00EE34E3"/>
    <w:rsid w:val="00EE5215"/>
    <w:rsid w:val="00EE5888"/>
    <w:rsid w:val="00EE6135"/>
    <w:rsid w:val="00EF0765"/>
    <w:rsid w:val="00EF1541"/>
    <w:rsid w:val="00EF28B7"/>
    <w:rsid w:val="00EF40C9"/>
    <w:rsid w:val="00EF45D4"/>
    <w:rsid w:val="00EF6810"/>
    <w:rsid w:val="00EF7071"/>
    <w:rsid w:val="00EF7834"/>
    <w:rsid w:val="00F00447"/>
    <w:rsid w:val="00F00A3D"/>
    <w:rsid w:val="00F02D68"/>
    <w:rsid w:val="00F0378D"/>
    <w:rsid w:val="00F04BBD"/>
    <w:rsid w:val="00F072B1"/>
    <w:rsid w:val="00F1041F"/>
    <w:rsid w:val="00F1133E"/>
    <w:rsid w:val="00F11765"/>
    <w:rsid w:val="00F146DD"/>
    <w:rsid w:val="00F15792"/>
    <w:rsid w:val="00F2259F"/>
    <w:rsid w:val="00F22DE2"/>
    <w:rsid w:val="00F23640"/>
    <w:rsid w:val="00F23C57"/>
    <w:rsid w:val="00F243CE"/>
    <w:rsid w:val="00F24A54"/>
    <w:rsid w:val="00F25F2B"/>
    <w:rsid w:val="00F25F78"/>
    <w:rsid w:val="00F2776E"/>
    <w:rsid w:val="00F305CA"/>
    <w:rsid w:val="00F3144D"/>
    <w:rsid w:val="00F32A71"/>
    <w:rsid w:val="00F33781"/>
    <w:rsid w:val="00F348BA"/>
    <w:rsid w:val="00F35D59"/>
    <w:rsid w:val="00F36585"/>
    <w:rsid w:val="00F376BD"/>
    <w:rsid w:val="00F416DF"/>
    <w:rsid w:val="00F428CB"/>
    <w:rsid w:val="00F42A12"/>
    <w:rsid w:val="00F43DEB"/>
    <w:rsid w:val="00F44BF6"/>
    <w:rsid w:val="00F50EBA"/>
    <w:rsid w:val="00F5211F"/>
    <w:rsid w:val="00F55165"/>
    <w:rsid w:val="00F55613"/>
    <w:rsid w:val="00F55992"/>
    <w:rsid w:val="00F56A80"/>
    <w:rsid w:val="00F56C3A"/>
    <w:rsid w:val="00F56E0D"/>
    <w:rsid w:val="00F5712D"/>
    <w:rsid w:val="00F57C8F"/>
    <w:rsid w:val="00F57F45"/>
    <w:rsid w:val="00F6017D"/>
    <w:rsid w:val="00F625E3"/>
    <w:rsid w:val="00F6333A"/>
    <w:rsid w:val="00F67C9E"/>
    <w:rsid w:val="00F67FA3"/>
    <w:rsid w:val="00F701EC"/>
    <w:rsid w:val="00F741DB"/>
    <w:rsid w:val="00F751F6"/>
    <w:rsid w:val="00F75967"/>
    <w:rsid w:val="00F76BE2"/>
    <w:rsid w:val="00F77FA6"/>
    <w:rsid w:val="00F81BC3"/>
    <w:rsid w:val="00F83917"/>
    <w:rsid w:val="00F86D8F"/>
    <w:rsid w:val="00F875F4"/>
    <w:rsid w:val="00F8796D"/>
    <w:rsid w:val="00F879CE"/>
    <w:rsid w:val="00F87F92"/>
    <w:rsid w:val="00F90E3C"/>
    <w:rsid w:val="00F918C9"/>
    <w:rsid w:val="00F9408B"/>
    <w:rsid w:val="00F94107"/>
    <w:rsid w:val="00F94878"/>
    <w:rsid w:val="00F95CB8"/>
    <w:rsid w:val="00F9647C"/>
    <w:rsid w:val="00F96740"/>
    <w:rsid w:val="00FA177B"/>
    <w:rsid w:val="00FA18DA"/>
    <w:rsid w:val="00FA1ED3"/>
    <w:rsid w:val="00FA2C72"/>
    <w:rsid w:val="00FA2CB2"/>
    <w:rsid w:val="00FA462D"/>
    <w:rsid w:val="00FA4CF0"/>
    <w:rsid w:val="00FA65A3"/>
    <w:rsid w:val="00FA7553"/>
    <w:rsid w:val="00FA7666"/>
    <w:rsid w:val="00FA786E"/>
    <w:rsid w:val="00FB06E8"/>
    <w:rsid w:val="00FB0FD0"/>
    <w:rsid w:val="00FB1B59"/>
    <w:rsid w:val="00FB2F8C"/>
    <w:rsid w:val="00FB6C73"/>
    <w:rsid w:val="00FB7BED"/>
    <w:rsid w:val="00FC428B"/>
    <w:rsid w:val="00FC7238"/>
    <w:rsid w:val="00FC76BC"/>
    <w:rsid w:val="00FC7E68"/>
    <w:rsid w:val="00FD160A"/>
    <w:rsid w:val="00FD16EF"/>
    <w:rsid w:val="00FD2E4B"/>
    <w:rsid w:val="00FD4A89"/>
    <w:rsid w:val="00FE39A8"/>
    <w:rsid w:val="00FE4B88"/>
    <w:rsid w:val="00FE547E"/>
    <w:rsid w:val="00FE7044"/>
    <w:rsid w:val="00FE7AB1"/>
    <w:rsid w:val="00FF0604"/>
    <w:rsid w:val="00FF0774"/>
    <w:rsid w:val="00FF5CD1"/>
    <w:rsid w:val="00FF7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contacts" w:name="Sn"/>
  <w:smartTagType w:namespaceuri="urn:schemas:contacts" w:name="GivenName"/>
  <w:smartTagType w:namespaceuri="urn:schemas:contacts" w:name="middlename"/>
  <w:smartTagType w:namespaceuri="urn:schemas-microsoft-com:office:smarttags" w:name="PersonName"/>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55A5"/>
    <w:pPr>
      <w:spacing w:after="240" w:line="260" w:lineRule="exact"/>
    </w:pPr>
    <w:rPr>
      <w:rFonts w:eastAsia="Times New Roman"/>
      <w:szCs w:val="20"/>
    </w:rPr>
  </w:style>
  <w:style w:type="paragraph" w:styleId="Heading1">
    <w:name w:val="heading 1"/>
    <w:basedOn w:val="HeadingBase"/>
    <w:next w:val="Normal"/>
    <w:link w:val="Heading1Char"/>
    <w:uiPriority w:val="99"/>
    <w:qFormat/>
    <w:rsid w:val="008755A5"/>
    <w:pPr>
      <w:spacing w:before="720" w:after="360"/>
      <w:outlineLvl w:val="0"/>
    </w:pPr>
    <w:rPr>
      <w:rFonts w:cs="Arial"/>
      <w:bCs/>
      <w:kern w:val="32"/>
      <w:sz w:val="36"/>
      <w:szCs w:val="36"/>
    </w:rPr>
  </w:style>
  <w:style w:type="paragraph" w:styleId="Heading2">
    <w:name w:val="heading 2"/>
    <w:basedOn w:val="HeadingBase"/>
    <w:next w:val="Normal"/>
    <w:link w:val="Heading2Char"/>
    <w:uiPriority w:val="99"/>
    <w:qFormat/>
    <w:rsid w:val="008755A5"/>
    <w:pPr>
      <w:spacing w:before="360" w:after="240"/>
      <w:outlineLvl w:val="1"/>
    </w:pPr>
    <w:rPr>
      <w:rFonts w:cs="Arial"/>
      <w:bCs/>
      <w:iCs/>
      <w:sz w:val="28"/>
      <w:szCs w:val="28"/>
    </w:rPr>
  </w:style>
  <w:style w:type="paragraph" w:styleId="Heading3">
    <w:name w:val="heading 3"/>
    <w:basedOn w:val="HeadingBase"/>
    <w:next w:val="Normal"/>
    <w:link w:val="Heading3Char"/>
    <w:uiPriority w:val="99"/>
    <w:qFormat/>
    <w:rsid w:val="008755A5"/>
    <w:pPr>
      <w:spacing w:before="240" w:after="180"/>
      <w:outlineLvl w:val="2"/>
    </w:pPr>
    <w:rPr>
      <w:rFonts w:cs="Arial"/>
      <w:bCs/>
      <w:sz w:val="26"/>
      <w:szCs w:val="26"/>
    </w:rPr>
  </w:style>
  <w:style w:type="paragraph" w:styleId="Heading4">
    <w:name w:val="heading 4"/>
    <w:basedOn w:val="HeadingBase"/>
    <w:next w:val="Normal"/>
    <w:link w:val="Heading4Char"/>
    <w:qFormat/>
    <w:rsid w:val="008755A5"/>
    <w:pPr>
      <w:spacing w:before="120" w:after="120"/>
      <w:outlineLvl w:val="3"/>
    </w:pPr>
    <w:rPr>
      <w:b/>
      <w:bCs/>
      <w:i/>
      <w:sz w:val="22"/>
      <w:szCs w:val="22"/>
    </w:rPr>
  </w:style>
  <w:style w:type="paragraph" w:styleId="Heading5">
    <w:name w:val="heading 5"/>
    <w:basedOn w:val="HeadingBase"/>
    <w:next w:val="Normal"/>
    <w:link w:val="Heading5Char"/>
    <w:uiPriority w:val="99"/>
    <w:qFormat/>
    <w:rsid w:val="008755A5"/>
    <w:pPr>
      <w:spacing w:after="120"/>
      <w:outlineLvl w:val="4"/>
    </w:pPr>
    <w:rPr>
      <w:b/>
      <w:bCs/>
      <w:iCs/>
    </w:rPr>
  </w:style>
  <w:style w:type="paragraph" w:styleId="Heading6">
    <w:name w:val="heading 6"/>
    <w:basedOn w:val="HeadingBase"/>
    <w:next w:val="Normal"/>
    <w:link w:val="Heading6Char"/>
    <w:qFormat/>
    <w:rsid w:val="008755A5"/>
    <w:pPr>
      <w:spacing w:after="120"/>
      <w:outlineLvl w:val="5"/>
    </w:pPr>
    <w:rPr>
      <w:bCs/>
      <w:szCs w:val="22"/>
    </w:rPr>
  </w:style>
  <w:style w:type="paragraph" w:styleId="Heading7">
    <w:name w:val="heading 7"/>
    <w:basedOn w:val="HeadingBase"/>
    <w:next w:val="Normal"/>
    <w:link w:val="Heading7Char"/>
    <w:uiPriority w:val="99"/>
    <w:qFormat/>
    <w:rsid w:val="008755A5"/>
    <w:pPr>
      <w:spacing w:after="120"/>
      <w:outlineLvl w:val="6"/>
    </w:pPr>
    <w:rPr>
      <w:szCs w:val="24"/>
    </w:rPr>
  </w:style>
  <w:style w:type="paragraph" w:styleId="Heading8">
    <w:name w:val="heading 8"/>
    <w:basedOn w:val="HeadingBase"/>
    <w:next w:val="Normal"/>
    <w:link w:val="Heading8Char"/>
    <w:uiPriority w:val="99"/>
    <w:qFormat/>
    <w:rsid w:val="008755A5"/>
    <w:pPr>
      <w:spacing w:after="120"/>
      <w:outlineLvl w:val="7"/>
    </w:pPr>
    <w:rPr>
      <w:iCs/>
      <w:szCs w:val="24"/>
    </w:rPr>
  </w:style>
  <w:style w:type="paragraph" w:styleId="Heading9">
    <w:name w:val="heading 9"/>
    <w:basedOn w:val="HeadingBase"/>
    <w:next w:val="Normal"/>
    <w:link w:val="Heading9Char"/>
    <w:uiPriority w:val="99"/>
    <w:qFormat/>
    <w:rsid w:val="008755A5"/>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55A5"/>
    <w:rPr>
      <w:rFonts w:ascii="Cambria" w:hAnsi="Cambria" w:cs="Arial"/>
      <w:bCs/>
      <w:color w:val="4F81BD"/>
      <w:kern w:val="32"/>
      <w:sz w:val="36"/>
      <w:szCs w:val="36"/>
    </w:rPr>
  </w:style>
  <w:style w:type="character" w:customStyle="1" w:styleId="Heading2Char">
    <w:name w:val="Heading 2 Char"/>
    <w:basedOn w:val="DefaultParagraphFont"/>
    <w:link w:val="Heading2"/>
    <w:uiPriority w:val="99"/>
    <w:locked/>
    <w:rsid w:val="008755A5"/>
    <w:rPr>
      <w:rFonts w:ascii="Cambria" w:hAnsi="Cambria" w:cs="Arial"/>
      <w:bCs/>
      <w:iCs/>
      <w:color w:val="4F81BD"/>
      <w:sz w:val="28"/>
      <w:szCs w:val="28"/>
    </w:rPr>
  </w:style>
  <w:style w:type="character" w:customStyle="1" w:styleId="Heading3Char">
    <w:name w:val="Heading 3 Char"/>
    <w:basedOn w:val="DefaultParagraphFont"/>
    <w:link w:val="Heading3"/>
    <w:uiPriority w:val="99"/>
    <w:locked/>
    <w:rsid w:val="008755A5"/>
    <w:rPr>
      <w:rFonts w:ascii="Cambria" w:hAnsi="Cambria" w:cs="Arial"/>
      <w:bCs/>
      <w:color w:val="4F81BD"/>
      <w:sz w:val="26"/>
      <w:szCs w:val="26"/>
    </w:rPr>
  </w:style>
  <w:style w:type="character" w:customStyle="1" w:styleId="Heading4Char">
    <w:name w:val="Heading 4 Char"/>
    <w:basedOn w:val="DefaultParagraphFont"/>
    <w:link w:val="Heading4"/>
    <w:locked/>
    <w:rsid w:val="008755A5"/>
    <w:rPr>
      <w:rFonts w:ascii="Cambria" w:hAnsi="Cambria" w:cs="Times New Roman"/>
      <w:b/>
      <w:bCs/>
      <w:i/>
      <w:color w:val="4F81BD"/>
      <w:sz w:val="22"/>
      <w:szCs w:val="22"/>
    </w:rPr>
  </w:style>
  <w:style w:type="character" w:customStyle="1" w:styleId="Heading5Char">
    <w:name w:val="Heading 5 Char"/>
    <w:basedOn w:val="DefaultParagraphFont"/>
    <w:link w:val="Heading5"/>
    <w:uiPriority w:val="99"/>
    <w:locked/>
    <w:rsid w:val="008755A5"/>
    <w:rPr>
      <w:rFonts w:ascii="Cambria" w:hAnsi="Cambria" w:cs="Times New Roman"/>
      <w:b/>
      <w:bCs/>
      <w:iCs/>
      <w:color w:val="4F81BD"/>
    </w:rPr>
  </w:style>
  <w:style w:type="character" w:customStyle="1" w:styleId="Heading6Char">
    <w:name w:val="Heading 6 Char"/>
    <w:basedOn w:val="DefaultParagraphFont"/>
    <w:link w:val="Heading6"/>
    <w:locked/>
    <w:rsid w:val="008755A5"/>
    <w:rPr>
      <w:rFonts w:ascii="Cambria" w:hAnsi="Cambria" w:cs="Times New Roman"/>
      <w:bCs/>
      <w:color w:val="4F81BD"/>
      <w:sz w:val="22"/>
      <w:szCs w:val="22"/>
    </w:rPr>
  </w:style>
  <w:style w:type="character" w:customStyle="1" w:styleId="Heading7Char">
    <w:name w:val="Heading 7 Char"/>
    <w:basedOn w:val="DefaultParagraphFont"/>
    <w:link w:val="Heading7"/>
    <w:uiPriority w:val="99"/>
    <w:locked/>
    <w:rsid w:val="008755A5"/>
    <w:rPr>
      <w:rFonts w:ascii="Cambria" w:hAnsi="Cambria" w:cs="Times New Roman"/>
      <w:color w:val="4F81BD"/>
      <w:sz w:val="24"/>
      <w:szCs w:val="24"/>
    </w:rPr>
  </w:style>
  <w:style w:type="character" w:customStyle="1" w:styleId="Heading8Char">
    <w:name w:val="Heading 8 Char"/>
    <w:basedOn w:val="DefaultParagraphFont"/>
    <w:link w:val="Heading8"/>
    <w:uiPriority w:val="99"/>
    <w:locked/>
    <w:rsid w:val="008755A5"/>
    <w:rPr>
      <w:rFonts w:ascii="Cambria" w:hAnsi="Cambria" w:cs="Times New Roman"/>
      <w:iCs/>
      <w:color w:val="4F81BD"/>
      <w:sz w:val="24"/>
      <w:szCs w:val="24"/>
    </w:rPr>
  </w:style>
  <w:style w:type="character" w:customStyle="1" w:styleId="Heading9Char">
    <w:name w:val="Heading 9 Char"/>
    <w:basedOn w:val="DefaultParagraphFont"/>
    <w:link w:val="Heading9"/>
    <w:uiPriority w:val="99"/>
    <w:locked/>
    <w:rsid w:val="008755A5"/>
    <w:rPr>
      <w:rFonts w:ascii="Cambria" w:hAnsi="Cambria" w:cs="Arial"/>
      <w:color w:val="4F81BD"/>
      <w:sz w:val="22"/>
      <w:szCs w:val="22"/>
    </w:rPr>
  </w:style>
  <w:style w:type="paragraph" w:customStyle="1" w:styleId="SingleParagraph">
    <w:name w:val="Single Paragraph"/>
    <w:basedOn w:val="Normal"/>
    <w:link w:val="SingleParagraphChar"/>
    <w:uiPriority w:val="99"/>
    <w:rsid w:val="008755A5"/>
    <w:pPr>
      <w:spacing w:after="0"/>
    </w:pPr>
    <w:rPr>
      <w:rFonts w:eastAsia="Calibri"/>
    </w:rPr>
  </w:style>
  <w:style w:type="character" w:styleId="Hyperlink">
    <w:name w:val="Hyperlink"/>
    <w:basedOn w:val="DefaultParagraphFont"/>
    <w:uiPriority w:val="99"/>
    <w:rsid w:val="008755A5"/>
    <w:rPr>
      <w:rFonts w:cs="Times New Roman"/>
      <w:color w:val="auto"/>
      <w:u w:val="none"/>
    </w:rPr>
  </w:style>
  <w:style w:type="character" w:customStyle="1" w:styleId="BoldandItalic">
    <w:name w:val="Bold and Italic"/>
    <w:basedOn w:val="DefaultParagraphFont"/>
    <w:uiPriority w:val="99"/>
    <w:rsid w:val="008755A5"/>
    <w:rPr>
      <w:rFonts w:ascii="Arial" w:hAnsi="Arial" w:cs="Times New Roman"/>
      <w:b/>
      <w:i/>
    </w:rPr>
  </w:style>
  <w:style w:type="table" w:styleId="TableGrid">
    <w:name w:val="Table Grid"/>
    <w:basedOn w:val="TableNormal"/>
    <w:uiPriority w:val="99"/>
    <w:rsid w:val="008755A5"/>
    <w:pPr>
      <w:spacing w:after="240" w:line="260" w:lineRule="exact"/>
      <w:jc w:val="both"/>
    </w:pPr>
    <w:rPr>
      <w:rFonts w:ascii="Times New Roman" w:eastAsia="Times New Roman" w:hAnsi="Times New Roman"/>
      <w:sz w:val="20"/>
      <w:szCs w:val="20"/>
    </w:r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uiPriority w:val="99"/>
    <w:rsid w:val="008755A5"/>
    <w:pPr>
      <w:spacing w:before="40" w:after="40" w:line="240" w:lineRule="auto"/>
    </w:pPr>
    <w:rPr>
      <w:rFonts w:ascii="Arial" w:hAnsi="Arial"/>
      <w:b/>
      <w:sz w:val="16"/>
    </w:rPr>
  </w:style>
  <w:style w:type="paragraph" w:styleId="FootnoteText">
    <w:name w:val="footnote text"/>
    <w:basedOn w:val="Normal"/>
    <w:link w:val="FootnoteTextChar"/>
    <w:uiPriority w:val="99"/>
    <w:rsid w:val="008755A5"/>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locked/>
    <w:rsid w:val="008755A5"/>
    <w:rPr>
      <w:rFonts w:ascii="Calibri" w:hAnsi="Calibri" w:cs="Times New Roman"/>
      <w:sz w:val="18"/>
    </w:rPr>
  </w:style>
  <w:style w:type="paragraph" w:customStyle="1" w:styleId="Bullet">
    <w:name w:val="Bullet"/>
    <w:aliases w:val="b"/>
    <w:basedOn w:val="Normal"/>
    <w:link w:val="BulletChar"/>
    <w:uiPriority w:val="99"/>
    <w:rsid w:val="008755A5"/>
    <w:pPr>
      <w:numPr>
        <w:numId w:val="18"/>
      </w:numPr>
    </w:pPr>
    <w:rPr>
      <w:sz w:val="20"/>
      <w:lang w:eastAsia="ja-JP"/>
    </w:rPr>
  </w:style>
  <w:style w:type="paragraph" w:customStyle="1" w:styleId="Dash">
    <w:name w:val="Dash"/>
    <w:basedOn w:val="Normal"/>
    <w:link w:val="DashChar"/>
    <w:uiPriority w:val="99"/>
    <w:rsid w:val="008755A5"/>
    <w:pPr>
      <w:numPr>
        <w:ilvl w:val="1"/>
        <w:numId w:val="18"/>
      </w:numPr>
    </w:pPr>
    <w:rPr>
      <w:sz w:val="20"/>
      <w:lang w:eastAsia="ja-JP"/>
    </w:rPr>
  </w:style>
  <w:style w:type="paragraph" w:customStyle="1" w:styleId="DoubleDot">
    <w:name w:val="Double Dot"/>
    <w:basedOn w:val="Normal"/>
    <w:uiPriority w:val="99"/>
    <w:rsid w:val="008755A5"/>
    <w:pPr>
      <w:numPr>
        <w:ilvl w:val="2"/>
        <w:numId w:val="18"/>
      </w:numPr>
    </w:pPr>
  </w:style>
  <w:style w:type="paragraph" w:customStyle="1" w:styleId="OutlineNumbered1">
    <w:name w:val="Outline Numbered 1"/>
    <w:basedOn w:val="Normal"/>
    <w:link w:val="OutlineNumbered1Char"/>
    <w:rsid w:val="008755A5"/>
    <w:pPr>
      <w:numPr>
        <w:numId w:val="9"/>
      </w:numPr>
      <w:tabs>
        <w:tab w:val="clear" w:pos="283"/>
        <w:tab w:val="num" w:pos="720"/>
        <w:tab w:val="num" w:pos="851"/>
      </w:tabs>
      <w:ind w:left="851" w:hanging="851"/>
    </w:pPr>
    <w:rPr>
      <w:rFonts w:eastAsia="Calibri"/>
    </w:rPr>
  </w:style>
  <w:style w:type="paragraph" w:customStyle="1" w:styleId="OutlineNumbered2">
    <w:name w:val="Outline Numbered 2"/>
    <w:basedOn w:val="Normal"/>
    <w:rsid w:val="008755A5"/>
    <w:pPr>
      <w:numPr>
        <w:ilvl w:val="1"/>
        <w:numId w:val="9"/>
      </w:numPr>
      <w:tabs>
        <w:tab w:val="clear" w:pos="567"/>
        <w:tab w:val="num" w:pos="1134"/>
        <w:tab w:val="num" w:pos="1440"/>
      </w:tabs>
      <w:ind w:left="1134" w:hanging="1134"/>
    </w:pPr>
  </w:style>
  <w:style w:type="paragraph" w:customStyle="1" w:styleId="OutlineNumbered3">
    <w:name w:val="Outline Numbered 3"/>
    <w:basedOn w:val="Normal"/>
    <w:rsid w:val="008755A5"/>
    <w:pPr>
      <w:numPr>
        <w:ilvl w:val="2"/>
        <w:numId w:val="9"/>
      </w:numPr>
      <w:tabs>
        <w:tab w:val="clear" w:pos="850"/>
        <w:tab w:val="num" w:pos="1418"/>
        <w:tab w:val="num" w:pos="2160"/>
      </w:tabs>
      <w:ind w:left="1418" w:hanging="1418"/>
    </w:pPr>
  </w:style>
  <w:style w:type="paragraph" w:customStyle="1" w:styleId="AlphaParagraph">
    <w:name w:val="Alpha Paragraph"/>
    <w:basedOn w:val="Normal"/>
    <w:uiPriority w:val="99"/>
    <w:rsid w:val="008755A5"/>
    <w:pPr>
      <w:numPr>
        <w:numId w:val="20"/>
      </w:numPr>
    </w:pPr>
  </w:style>
  <w:style w:type="paragraph" w:customStyle="1" w:styleId="HeadingBase">
    <w:name w:val="Heading Base"/>
    <w:next w:val="Normal"/>
    <w:uiPriority w:val="99"/>
    <w:rsid w:val="008755A5"/>
    <w:pPr>
      <w:keepNext/>
    </w:pPr>
    <w:rPr>
      <w:rFonts w:ascii="Cambria" w:eastAsia="Times New Roman" w:hAnsi="Cambria"/>
      <w:color w:val="4F81BD"/>
      <w:sz w:val="20"/>
      <w:szCs w:val="20"/>
    </w:rPr>
  </w:style>
  <w:style w:type="paragraph" w:customStyle="1" w:styleId="AppendixHeading">
    <w:name w:val="Appendix Heading"/>
    <w:basedOn w:val="HeadingBase"/>
    <w:next w:val="Normal"/>
    <w:uiPriority w:val="99"/>
    <w:rsid w:val="008755A5"/>
    <w:pPr>
      <w:spacing w:before="720" w:after="360"/>
      <w:outlineLvl w:val="0"/>
    </w:pPr>
    <w:rPr>
      <w:sz w:val="36"/>
      <w:szCs w:val="36"/>
    </w:rPr>
  </w:style>
  <w:style w:type="character" w:customStyle="1" w:styleId="Bold">
    <w:name w:val="Bold"/>
    <w:basedOn w:val="DefaultParagraphFont"/>
    <w:uiPriority w:val="99"/>
    <w:rsid w:val="008755A5"/>
    <w:rPr>
      <w:rFonts w:cs="Times New Roman"/>
      <w:b/>
    </w:rPr>
  </w:style>
  <w:style w:type="paragraph" w:customStyle="1" w:styleId="BoxHeading">
    <w:name w:val="Box Heading"/>
    <w:basedOn w:val="HeadingBase"/>
    <w:next w:val="Normal"/>
    <w:uiPriority w:val="99"/>
    <w:rsid w:val="008755A5"/>
    <w:pPr>
      <w:spacing w:before="240" w:after="120"/>
    </w:pPr>
    <w:rPr>
      <w:b/>
      <w:sz w:val="22"/>
    </w:rPr>
  </w:style>
  <w:style w:type="paragraph" w:customStyle="1" w:styleId="BoxTextBase">
    <w:name w:val="Box Text Base"/>
    <w:basedOn w:val="Normal"/>
    <w:uiPriority w:val="99"/>
    <w:rsid w:val="008755A5"/>
  </w:style>
  <w:style w:type="paragraph" w:customStyle="1" w:styleId="ChartandTableFootnoteAlpha">
    <w:name w:val="Chart and Table Footnote Alpha"/>
    <w:uiPriority w:val="99"/>
    <w:rsid w:val="008755A5"/>
    <w:pPr>
      <w:numPr>
        <w:numId w:val="26"/>
      </w:numPr>
      <w:jc w:val="both"/>
    </w:pPr>
    <w:rPr>
      <w:rFonts w:ascii="Arial" w:eastAsia="Times New Roman" w:hAnsi="Arial"/>
      <w:color w:val="000000"/>
      <w:sz w:val="16"/>
      <w:szCs w:val="16"/>
    </w:rPr>
  </w:style>
  <w:style w:type="paragraph" w:customStyle="1" w:styleId="ChartGraphic">
    <w:name w:val="Chart Graphic"/>
    <w:basedOn w:val="HeadingBase"/>
    <w:next w:val="Normal"/>
    <w:uiPriority w:val="99"/>
    <w:rsid w:val="008755A5"/>
    <w:pPr>
      <w:jc w:val="center"/>
    </w:pPr>
  </w:style>
  <w:style w:type="paragraph" w:customStyle="1" w:styleId="ChartMainHeading">
    <w:name w:val="Chart Main Heading"/>
    <w:basedOn w:val="HeadingBase"/>
    <w:next w:val="ChartGraphic"/>
    <w:uiPriority w:val="99"/>
    <w:rsid w:val="008755A5"/>
    <w:pPr>
      <w:spacing w:after="20"/>
      <w:jc w:val="center"/>
    </w:pPr>
    <w:rPr>
      <w:b/>
      <w:sz w:val="24"/>
    </w:rPr>
  </w:style>
  <w:style w:type="paragraph" w:customStyle="1" w:styleId="ChartorTableNote">
    <w:name w:val="Chart or Table Note"/>
    <w:next w:val="Normal"/>
    <w:uiPriority w:val="99"/>
    <w:rsid w:val="008755A5"/>
    <w:pPr>
      <w:jc w:val="both"/>
    </w:pPr>
    <w:rPr>
      <w:rFonts w:ascii="Arial" w:eastAsia="Times New Roman" w:hAnsi="Arial"/>
      <w:color w:val="000000"/>
      <w:sz w:val="16"/>
      <w:szCs w:val="20"/>
    </w:rPr>
  </w:style>
  <w:style w:type="paragraph" w:customStyle="1" w:styleId="ChartSecondHeading">
    <w:name w:val="Chart Second Heading"/>
    <w:basedOn w:val="HeadingBase"/>
    <w:next w:val="ChartGraphic"/>
    <w:uiPriority w:val="99"/>
    <w:rsid w:val="008755A5"/>
    <w:pPr>
      <w:spacing w:after="20"/>
      <w:jc w:val="center"/>
    </w:pPr>
  </w:style>
  <w:style w:type="paragraph" w:customStyle="1" w:styleId="Classification">
    <w:name w:val="Classification"/>
    <w:basedOn w:val="HeadingBase"/>
    <w:next w:val="Footer"/>
    <w:uiPriority w:val="99"/>
    <w:rsid w:val="008755A5"/>
    <w:pPr>
      <w:spacing w:after="120"/>
      <w:jc w:val="center"/>
    </w:pPr>
    <w:rPr>
      <w:b/>
      <w:smallCaps/>
    </w:rPr>
  </w:style>
  <w:style w:type="paragraph" w:styleId="Footer">
    <w:name w:val="footer"/>
    <w:basedOn w:val="HeadingBase"/>
    <w:link w:val="FooterChar"/>
    <w:uiPriority w:val="99"/>
    <w:rsid w:val="008755A5"/>
    <w:rPr>
      <w:rFonts w:ascii="Calibri" w:hAnsi="Calibri"/>
      <w:sz w:val="22"/>
    </w:rPr>
  </w:style>
  <w:style w:type="character" w:customStyle="1" w:styleId="FooterChar">
    <w:name w:val="Footer Char"/>
    <w:basedOn w:val="DefaultParagraphFont"/>
    <w:link w:val="Footer"/>
    <w:uiPriority w:val="99"/>
    <w:locked/>
    <w:rsid w:val="008755A5"/>
    <w:rPr>
      <w:rFonts w:ascii="Calibri" w:hAnsi="Calibri" w:cs="Times New Roman"/>
      <w:color w:val="4F81BD"/>
      <w:sz w:val="22"/>
    </w:rPr>
  </w:style>
  <w:style w:type="paragraph" w:customStyle="1" w:styleId="ContentsHeading">
    <w:name w:val="Contents Heading"/>
    <w:basedOn w:val="HeadingBase"/>
    <w:next w:val="Normal"/>
    <w:uiPriority w:val="99"/>
    <w:rsid w:val="008755A5"/>
    <w:pPr>
      <w:spacing w:after="360"/>
    </w:pPr>
    <w:rPr>
      <w:sz w:val="36"/>
      <w:szCs w:val="36"/>
    </w:rPr>
  </w:style>
  <w:style w:type="paragraph" w:customStyle="1" w:styleId="CoverTitleMain">
    <w:name w:val="Cover Title Main"/>
    <w:basedOn w:val="HeadingBase"/>
    <w:next w:val="Normal"/>
    <w:uiPriority w:val="99"/>
    <w:rsid w:val="008755A5"/>
    <w:pPr>
      <w:spacing w:after="480"/>
      <w:jc w:val="center"/>
    </w:pPr>
    <w:rPr>
      <w:b/>
      <w:sz w:val="48"/>
    </w:rPr>
  </w:style>
  <w:style w:type="paragraph" w:customStyle="1" w:styleId="CoverTitleSub">
    <w:name w:val="Cover Title Sub"/>
    <w:basedOn w:val="HeadingBase"/>
    <w:uiPriority w:val="99"/>
    <w:rsid w:val="008755A5"/>
    <w:pPr>
      <w:spacing w:after="360"/>
      <w:jc w:val="center"/>
    </w:pPr>
    <w:rPr>
      <w:sz w:val="36"/>
    </w:rPr>
  </w:style>
  <w:style w:type="paragraph" w:customStyle="1" w:styleId="FooterCentered">
    <w:name w:val="Footer Centered"/>
    <w:basedOn w:val="Footer"/>
    <w:uiPriority w:val="99"/>
    <w:rsid w:val="008755A5"/>
    <w:pPr>
      <w:jc w:val="center"/>
    </w:pPr>
  </w:style>
  <w:style w:type="paragraph" w:customStyle="1" w:styleId="FooterEven">
    <w:name w:val="Footer Even"/>
    <w:basedOn w:val="Footer"/>
    <w:rsid w:val="008755A5"/>
  </w:style>
  <w:style w:type="paragraph" w:customStyle="1" w:styleId="FooterOdd">
    <w:name w:val="Footer Odd"/>
    <w:basedOn w:val="Footer"/>
    <w:rsid w:val="008755A5"/>
    <w:pPr>
      <w:jc w:val="right"/>
    </w:pPr>
  </w:style>
  <w:style w:type="character" w:customStyle="1" w:styleId="FramedFooter">
    <w:name w:val="Framed Footer"/>
    <w:uiPriority w:val="99"/>
    <w:rsid w:val="008755A5"/>
    <w:rPr>
      <w:rFonts w:ascii="Arial" w:hAnsi="Arial"/>
      <w:sz w:val="18"/>
    </w:rPr>
  </w:style>
  <w:style w:type="character" w:customStyle="1" w:styleId="FramedHeader">
    <w:name w:val="Framed Header"/>
    <w:basedOn w:val="DefaultParagraphFont"/>
    <w:uiPriority w:val="99"/>
    <w:rsid w:val="008755A5"/>
    <w:rPr>
      <w:rFonts w:ascii="Arial" w:hAnsi="Arial" w:cs="Times New Roman"/>
      <w:color w:val="auto"/>
      <w:sz w:val="18"/>
      <w:vertAlign w:val="baseline"/>
    </w:rPr>
  </w:style>
  <w:style w:type="paragraph" w:styleId="Header">
    <w:name w:val="header"/>
    <w:basedOn w:val="HeadingBase"/>
    <w:link w:val="HeaderChar"/>
    <w:uiPriority w:val="99"/>
    <w:rsid w:val="008755A5"/>
    <w:rPr>
      <w:rFonts w:ascii="Calibri" w:hAnsi="Calibri"/>
      <w:sz w:val="22"/>
    </w:rPr>
  </w:style>
  <w:style w:type="character" w:customStyle="1" w:styleId="HeaderChar">
    <w:name w:val="Header Char"/>
    <w:basedOn w:val="DefaultParagraphFont"/>
    <w:link w:val="Header"/>
    <w:uiPriority w:val="99"/>
    <w:locked/>
    <w:rsid w:val="008755A5"/>
    <w:rPr>
      <w:rFonts w:ascii="Calibri" w:hAnsi="Calibri" w:cs="Times New Roman"/>
      <w:color w:val="4F81BD"/>
      <w:sz w:val="22"/>
    </w:rPr>
  </w:style>
  <w:style w:type="paragraph" w:customStyle="1" w:styleId="HeaderEven">
    <w:name w:val="Header Even"/>
    <w:basedOn w:val="Header"/>
    <w:rsid w:val="008755A5"/>
  </w:style>
  <w:style w:type="paragraph" w:customStyle="1" w:styleId="HeaderOdd">
    <w:name w:val="Header Odd"/>
    <w:basedOn w:val="Header"/>
    <w:uiPriority w:val="99"/>
    <w:rsid w:val="008755A5"/>
    <w:pPr>
      <w:jc w:val="right"/>
    </w:pPr>
  </w:style>
  <w:style w:type="paragraph" w:styleId="NormalIndent">
    <w:name w:val="Normal Indent"/>
    <w:basedOn w:val="Normal"/>
    <w:uiPriority w:val="99"/>
    <w:rsid w:val="008755A5"/>
    <w:pPr>
      <w:ind w:left="567"/>
    </w:pPr>
  </w:style>
  <w:style w:type="paragraph" w:customStyle="1" w:styleId="RecommendationHeading">
    <w:name w:val="Recommendation Heading"/>
    <w:basedOn w:val="HeadingBase"/>
    <w:next w:val="Normal"/>
    <w:uiPriority w:val="99"/>
    <w:rsid w:val="008755A5"/>
    <w:pPr>
      <w:spacing w:before="120" w:after="240"/>
    </w:pPr>
    <w:rPr>
      <w:b/>
      <w:sz w:val="22"/>
    </w:rPr>
  </w:style>
  <w:style w:type="paragraph" w:customStyle="1" w:styleId="RecommendationTextBase">
    <w:name w:val="Recommendation Text Base"/>
    <w:basedOn w:val="Normal"/>
    <w:uiPriority w:val="99"/>
    <w:rsid w:val="008755A5"/>
    <w:rPr>
      <w:i/>
    </w:rPr>
  </w:style>
  <w:style w:type="paragraph" w:customStyle="1" w:styleId="RecommendationText">
    <w:name w:val="Recommendation Text"/>
    <w:basedOn w:val="RecommendationTextBase"/>
    <w:uiPriority w:val="99"/>
    <w:rsid w:val="008755A5"/>
  </w:style>
  <w:style w:type="paragraph" w:customStyle="1" w:styleId="TableTextBase">
    <w:name w:val="Table Text Base"/>
    <w:uiPriority w:val="99"/>
    <w:rsid w:val="008755A5"/>
    <w:pPr>
      <w:spacing w:before="40" w:after="40"/>
    </w:pPr>
    <w:rPr>
      <w:rFonts w:ascii="Arial" w:eastAsia="Times New Roman" w:hAnsi="Arial"/>
      <w:color w:val="000000"/>
      <w:sz w:val="16"/>
      <w:szCs w:val="20"/>
    </w:rPr>
  </w:style>
  <w:style w:type="paragraph" w:customStyle="1" w:styleId="TableColumnHeadingCentred">
    <w:name w:val="Table Column Heading Centred"/>
    <w:basedOn w:val="TableColumnHeadingBase"/>
    <w:uiPriority w:val="99"/>
    <w:rsid w:val="008755A5"/>
    <w:pPr>
      <w:jc w:val="center"/>
    </w:pPr>
  </w:style>
  <w:style w:type="paragraph" w:customStyle="1" w:styleId="TableColumnHeadingLeft">
    <w:name w:val="Table Column Heading Left"/>
    <w:basedOn w:val="TableColumnHeadingBase"/>
    <w:uiPriority w:val="99"/>
    <w:rsid w:val="008755A5"/>
    <w:rPr>
      <w:rFonts w:ascii="Calibri" w:hAnsi="Calibri"/>
      <w:sz w:val="18"/>
    </w:rPr>
  </w:style>
  <w:style w:type="paragraph" w:customStyle="1" w:styleId="TableColumnHeadingRight">
    <w:name w:val="Table Column Heading Right"/>
    <w:basedOn w:val="TableColumnHeadingBase"/>
    <w:uiPriority w:val="99"/>
    <w:rsid w:val="008755A5"/>
    <w:pPr>
      <w:jc w:val="right"/>
    </w:pPr>
  </w:style>
  <w:style w:type="paragraph" w:customStyle="1" w:styleId="TableGraphic">
    <w:name w:val="Table Graphic"/>
    <w:basedOn w:val="HeadingBase"/>
    <w:next w:val="Normal"/>
    <w:rsid w:val="008755A5"/>
  </w:style>
  <w:style w:type="paragraph" w:customStyle="1" w:styleId="TableMainHeading">
    <w:name w:val="Table Main Heading"/>
    <w:basedOn w:val="HeadingBase"/>
    <w:next w:val="TableGraphic"/>
    <w:rsid w:val="008755A5"/>
    <w:pPr>
      <w:spacing w:after="20"/>
    </w:pPr>
    <w:rPr>
      <w:b/>
      <w:sz w:val="22"/>
    </w:rPr>
  </w:style>
  <w:style w:type="paragraph" w:customStyle="1" w:styleId="TableMainHeadingContd">
    <w:name w:val="Table Main Heading Contd"/>
    <w:basedOn w:val="HeadingBase"/>
    <w:next w:val="TableGraphic"/>
    <w:uiPriority w:val="99"/>
    <w:rsid w:val="008755A5"/>
    <w:pPr>
      <w:pageBreakBefore/>
      <w:spacing w:after="20"/>
    </w:pPr>
    <w:rPr>
      <w:b/>
      <w:sz w:val="22"/>
    </w:rPr>
  </w:style>
  <w:style w:type="paragraph" w:customStyle="1" w:styleId="TableSecondHeading">
    <w:name w:val="Table Second Heading"/>
    <w:basedOn w:val="HeadingBase"/>
    <w:next w:val="TableGraphic"/>
    <w:uiPriority w:val="99"/>
    <w:rsid w:val="008755A5"/>
    <w:pPr>
      <w:spacing w:after="20"/>
    </w:pPr>
  </w:style>
  <w:style w:type="paragraph" w:customStyle="1" w:styleId="TableTextCentered">
    <w:name w:val="Table Text Centered"/>
    <w:basedOn w:val="TableTextBase"/>
    <w:uiPriority w:val="99"/>
    <w:rsid w:val="008755A5"/>
    <w:pPr>
      <w:jc w:val="center"/>
    </w:pPr>
  </w:style>
  <w:style w:type="paragraph" w:customStyle="1" w:styleId="TableTextIndented">
    <w:name w:val="Table Text Indented"/>
    <w:basedOn w:val="TableTextBase"/>
    <w:uiPriority w:val="99"/>
    <w:rsid w:val="008755A5"/>
    <w:pPr>
      <w:ind w:left="284"/>
    </w:pPr>
  </w:style>
  <w:style w:type="paragraph" w:customStyle="1" w:styleId="TableTextLeft">
    <w:name w:val="Table Text Left"/>
    <w:basedOn w:val="TableTextBase"/>
    <w:uiPriority w:val="99"/>
    <w:rsid w:val="008755A5"/>
  </w:style>
  <w:style w:type="paragraph" w:customStyle="1" w:styleId="TableTextRight">
    <w:name w:val="Table Text Right"/>
    <w:basedOn w:val="TableTextBase"/>
    <w:uiPriority w:val="99"/>
    <w:rsid w:val="008755A5"/>
    <w:pPr>
      <w:jc w:val="right"/>
    </w:pPr>
  </w:style>
  <w:style w:type="paragraph" w:styleId="TOC1">
    <w:name w:val="toc 1"/>
    <w:basedOn w:val="HeadingBase"/>
    <w:next w:val="Normal"/>
    <w:uiPriority w:val="39"/>
    <w:rsid w:val="008755A5"/>
    <w:pPr>
      <w:tabs>
        <w:tab w:val="right" w:leader="dot" w:pos="9072"/>
      </w:tabs>
      <w:spacing w:before="180"/>
      <w:ind w:right="851"/>
    </w:pPr>
    <w:rPr>
      <w:b/>
      <w:sz w:val="22"/>
      <w:szCs w:val="22"/>
    </w:rPr>
  </w:style>
  <w:style w:type="paragraph" w:styleId="TOC2">
    <w:name w:val="toc 2"/>
    <w:basedOn w:val="HeadingBase"/>
    <w:next w:val="Normal"/>
    <w:uiPriority w:val="39"/>
    <w:rsid w:val="008755A5"/>
    <w:pPr>
      <w:tabs>
        <w:tab w:val="right" w:leader="dot" w:pos="9072"/>
      </w:tabs>
      <w:spacing w:before="40" w:after="20"/>
      <w:ind w:right="851"/>
    </w:pPr>
    <w:rPr>
      <w:sz w:val="22"/>
    </w:rPr>
  </w:style>
  <w:style w:type="paragraph" w:styleId="TOC3">
    <w:name w:val="toc 3"/>
    <w:basedOn w:val="Normal"/>
    <w:next w:val="Normal"/>
    <w:uiPriority w:val="99"/>
    <w:rsid w:val="008755A5"/>
    <w:pPr>
      <w:tabs>
        <w:tab w:val="right" w:leader="dot" w:pos="9072"/>
      </w:tabs>
      <w:spacing w:before="20" w:after="0" w:line="240" w:lineRule="auto"/>
      <w:ind w:left="284" w:right="851"/>
    </w:pPr>
  </w:style>
  <w:style w:type="paragraph" w:styleId="TOC4">
    <w:name w:val="toc 4"/>
    <w:basedOn w:val="Normal"/>
    <w:next w:val="Normal"/>
    <w:uiPriority w:val="99"/>
    <w:rsid w:val="008755A5"/>
    <w:pPr>
      <w:tabs>
        <w:tab w:val="right" w:leader="dot" w:pos="9072"/>
      </w:tabs>
      <w:spacing w:after="0" w:line="240" w:lineRule="auto"/>
      <w:ind w:left="284" w:right="851"/>
    </w:pPr>
  </w:style>
  <w:style w:type="character" w:customStyle="1" w:styleId="italic">
    <w:name w:val="italic"/>
    <w:basedOn w:val="DefaultParagraphFont"/>
    <w:uiPriority w:val="99"/>
    <w:rsid w:val="008755A5"/>
    <w:rPr>
      <w:rFonts w:cs="Times New Roman"/>
      <w:i/>
    </w:rPr>
  </w:style>
  <w:style w:type="paragraph" w:customStyle="1" w:styleId="OneLevelNumberedParagraph">
    <w:name w:val="One Level Numbered Paragraph"/>
    <w:basedOn w:val="Normal"/>
    <w:uiPriority w:val="99"/>
    <w:rsid w:val="008755A5"/>
    <w:pPr>
      <w:numPr>
        <w:numId w:val="8"/>
      </w:numPr>
      <w:tabs>
        <w:tab w:val="clear" w:pos="720"/>
        <w:tab w:val="num" w:pos="284"/>
      </w:tabs>
      <w:ind w:left="284" w:hanging="284"/>
    </w:pPr>
  </w:style>
  <w:style w:type="paragraph" w:customStyle="1" w:styleId="BoxText">
    <w:name w:val="Box Text"/>
    <w:basedOn w:val="BoxTextBase"/>
    <w:uiPriority w:val="99"/>
    <w:rsid w:val="008755A5"/>
  </w:style>
  <w:style w:type="paragraph" w:customStyle="1" w:styleId="BoxBullet">
    <w:name w:val="Box Bullet"/>
    <w:basedOn w:val="BoxTextBase"/>
    <w:uiPriority w:val="99"/>
    <w:rsid w:val="008755A5"/>
    <w:pPr>
      <w:numPr>
        <w:numId w:val="19"/>
      </w:numPr>
    </w:pPr>
  </w:style>
  <w:style w:type="paragraph" w:customStyle="1" w:styleId="BoxDash">
    <w:name w:val="Box Dash"/>
    <w:basedOn w:val="Normal"/>
    <w:uiPriority w:val="99"/>
    <w:rsid w:val="008755A5"/>
    <w:pPr>
      <w:numPr>
        <w:ilvl w:val="1"/>
        <w:numId w:val="19"/>
      </w:numPr>
    </w:pPr>
  </w:style>
  <w:style w:type="paragraph" w:customStyle="1" w:styleId="BoxDoubleDot">
    <w:name w:val="Box Double Dot"/>
    <w:basedOn w:val="BoxTextBase"/>
    <w:uiPriority w:val="99"/>
    <w:rsid w:val="008755A5"/>
    <w:pPr>
      <w:numPr>
        <w:ilvl w:val="2"/>
        <w:numId w:val="19"/>
      </w:numPr>
    </w:pPr>
  </w:style>
  <w:style w:type="paragraph" w:customStyle="1" w:styleId="RecommendationBullet">
    <w:name w:val="Recommendation Bullet"/>
    <w:basedOn w:val="RecommendationTextBase"/>
    <w:uiPriority w:val="99"/>
    <w:rsid w:val="008755A5"/>
    <w:pPr>
      <w:numPr>
        <w:numId w:val="10"/>
      </w:numPr>
      <w:tabs>
        <w:tab w:val="clear" w:pos="720"/>
        <w:tab w:val="num" w:pos="284"/>
        <w:tab w:val="num" w:pos="566"/>
      </w:tabs>
      <w:ind w:left="284" w:hanging="284"/>
    </w:pPr>
  </w:style>
  <w:style w:type="paragraph" w:customStyle="1" w:styleId="RecommendationDash">
    <w:name w:val="Recommendation Dash"/>
    <w:basedOn w:val="RecommendationTextBase"/>
    <w:uiPriority w:val="99"/>
    <w:rsid w:val="008755A5"/>
    <w:pPr>
      <w:numPr>
        <w:ilvl w:val="1"/>
        <w:numId w:val="10"/>
      </w:numPr>
      <w:tabs>
        <w:tab w:val="clear" w:pos="1440"/>
        <w:tab w:val="num" w:pos="567"/>
        <w:tab w:val="num" w:pos="1134"/>
      </w:tabs>
      <w:ind w:left="567" w:hanging="283"/>
    </w:pPr>
  </w:style>
  <w:style w:type="paragraph" w:customStyle="1" w:styleId="RecommendationDoubleDot">
    <w:name w:val="Recommendation Double Dot"/>
    <w:basedOn w:val="RecommendationTextBase"/>
    <w:uiPriority w:val="99"/>
    <w:rsid w:val="008755A5"/>
    <w:pPr>
      <w:numPr>
        <w:ilvl w:val="2"/>
        <w:numId w:val="10"/>
      </w:numPr>
      <w:tabs>
        <w:tab w:val="clear" w:pos="2160"/>
        <w:tab w:val="num" w:pos="851"/>
        <w:tab w:val="num" w:pos="1700"/>
      </w:tabs>
      <w:ind w:left="851" w:hanging="284"/>
    </w:pPr>
  </w:style>
  <w:style w:type="character" w:styleId="FollowedHyperlink">
    <w:name w:val="FollowedHyperlink"/>
    <w:basedOn w:val="DefaultParagraphFont"/>
    <w:uiPriority w:val="99"/>
    <w:rsid w:val="008755A5"/>
    <w:rPr>
      <w:rFonts w:cs="Times New Roman"/>
      <w:color w:val="auto"/>
      <w:u w:val="none"/>
    </w:rPr>
  </w:style>
  <w:style w:type="paragraph" w:customStyle="1" w:styleId="Heading1NotNumbered">
    <w:name w:val="Heading 1 Not Numbered"/>
    <w:basedOn w:val="HeadingBase"/>
    <w:next w:val="Normal"/>
    <w:uiPriority w:val="99"/>
    <w:rsid w:val="00B94987"/>
    <w:pPr>
      <w:spacing w:before="720" w:after="360"/>
    </w:pPr>
    <w:rPr>
      <w:smallCaps/>
      <w:sz w:val="36"/>
      <w:szCs w:val="36"/>
    </w:rPr>
  </w:style>
  <w:style w:type="paragraph" w:customStyle="1" w:styleId="Heading2NotNumbered">
    <w:name w:val="Heading 2 Not Numbered"/>
    <w:basedOn w:val="HeadingBase"/>
    <w:next w:val="Normal"/>
    <w:uiPriority w:val="99"/>
    <w:rsid w:val="00B94987"/>
    <w:pPr>
      <w:spacing w:before="360" w:after="180"/>
    </w:pPr>
    <w:rPr>
      <w:smallCaps/>
      <w:sz w:val="28"/>
      <w:szCs w:val="28"/>
    </w:rPr>
  </w:style>
  <w:style w:type="paragraph" w:customStyle="1" w:styleId="Heading3NotNumbered">
    <w:name w:val="Heading 3 Not Numbered"/>
    <w:basedOn w:val="HeadingBase"/>
    <w:next w:val="Normal"/>
    <w:uiPriority w:val="99"/>
    <w:rsid w:val="00B94987"/>
    <w:pPr>
      <w:spacing w:before="240" w:after="120"/>
    </w:pPr>
    <w:rPr>
      <w:sz w:val="28"/>
      <w:szCs w:val="26"/>
    </w:rPr>
  </w:style>
  <w:style w:type="paragraph" w:customStyle="1" w:styleId="Heading4NotNumbered">
    <w:name w:val="Heading 4 Not Numbered"/>
    <w:basedOn w:val="HeadingBase"/>
    <w:uiPriority w:val="99"/>
    <w:rsid w:val="00B94987"/>
    <w:pPr>
      <w:spacing w:before="120" w:after="120"/>
      <w:outlineLvl w:val="3"/>
    </w:pPr>
    <w:rPr>
      <w:b/>
      <w:sz w:val="26"/>
    </w:rPr>
  </w:style>
  <w:style w:type="paragraph" w:styleId="BalloonText">
    <w:name w:val="Balloon Text"/>
    <w:basedOn w:val="Normal"/>
    <w:link w:val="BalloonTextChar"/>
    <w:uiPriority w:val="99"/>
    <w:semiHidden/>
    <w:rsid w:val="008755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55A5"/>
    <w:rPr>
      <w:rFonts w:ascii="Tahoma" w:hAnsi="Tahoma" w:cs="Tahoma"/>
      <w:sz w:val="16"/>
      <w:szCs w:val="16"/>
    </w:rPr>
  </w:style>
  <w:style w:type="paragraph" w:styleId="Caption">
    <w:name w:val="caption"/>
    <w:basedOn w:val="Normal"/>
    <w:next w:val="Normal"/>
    <w:uiPriority w:val="99"/>
    <w:qFormat/>
    <w:rsid w:val="008755A5"/>
    <w:rPr>
      <w:b/>
      <w:bCs/>
    </w:rPr>
  </w:style>
  <w:style w:type="character" w:styleId="CommentReference">
    <w:name w:val="annotation reference"/>
    <w:basedOn w:val="DefaultParagraphFont"/>
    <w:uiPriority w:val="99"/>
    <w:semiHidden/>
    <w:rsid w:val="008755A5"/>
    <w:rPr>
      <w:rFonts w:cs="Times New Roman"/>
      <w:sz w:val="16"/>
      <w:szCs w:val="16"/>
    </w:rPr>
  </w:style>
  <w:style w:type="paragraph" w:styleId="CommentText">
    <w:name w:val="annotation text"/>
    <w:basedOn w:val="Normal"/>
    <w:link w:val="CommentTextChar"/>
    <w:uiPriority w:val="99"/>
    <w:semiHidden/>
    <w:rsid w:val="008755A5"/>
  </w:style>
  <w:style w:type="character" w:customStyle="1" w:styleId="CommentTextChar">
    <w:name w:val="Comment Text Char"/>
    <w:basedOn w:val="DefaultParagraphFont"/>
    <w:link w:val="CommentText"/>
    <w:uiPriority w:val="99"/>
    <w:semiHidden/>
    <w:locked/>
    <w:rsid w:val="008755A5"/>
    <w:rPr>
      <w:rFonts w:ascii="Calibri" w:hAnsi="Calibri" w:cs="Times New Roman"/>
      <w:sz w:val="22"/>
    </w:rPr>
  </w:style>
  <w:style w:type="paragraph" w:styleId="CommentSubject">
    <w:name w:val="annotation subject"/>
    <w:basedOn w:val="CommentText"/>
    <w:next w:val="CommentText"/>
    <w:link w:val="CommentSubjectChar"/>
    <w:uiPriority w:val="99"/>
    <w:semiHidden/>
    <w:rsid w:val="008755A5"/>
    <w:rPr>
      <w:b/>
      <w:bCs/>
    </w:rPr>
  </w:style>
  <w:style w:type="character" w:customStyle="1" w:styleId="CommentSubjectChar">
    <w:name w:val="Comment Subject Char"/>
    <w:basedOn w:val="CommentTextChar"/>
    <w:link w:val="CommentSubject"/>
    <w:uiPriority w:val="99"/>
    <w:semiHidden/>
    <w:locked/>
    <w:rsid w:val="008755A5"/>
    <w:rPr>
      <w:rFonts w:ascii="Calibri" w:hAnsi="Calibri" w:cs="Times New Roman"/>
      <w:b/>
      <w:bCs/>
      <w:sz w:val="22"/>
    </w:rPr>
  </w:style>
  <w:style w:type="paragraph" w:styleId="DocumentMap">
    <w:name w:val="Document Map"/>
    <w:basedOn w:val="Normal"/>
    <w:link w:val="DocumentMapChar"/>
    <w:uiPriority w:val="99"/>
    <w:semiHidden/>
    <w:rsid w:val="008755A5"/>
    <w:pPr>
      <w:shd w:val="clear" w:color="auto" w:fill="00CCFF"/>
    </w:pPr>
    <w:rPr>
      <w:rFonts w:ascii="Tahoma" w:hAnsi="Tahoma" w:cs="Tahoma"/>
    </w:rPr>
  </w:style>
  <w:style w:type="character" w:customStyle="1" w:styleId="DocumentMapChar">
    <w:name w:val="Document Map Char"/>
    <w:basedOn w:val="DefaultParagraphFont"/>
    <w:link w:val="DocumentMap"/>
    <w:uiPriority w:val="99"/>
    <w:semiHidden/>
    <w:locked/>
    <w:rsid w:val="008755A5"/>
    <w:rPr>
      <w:rFonts w:ascii="Tahoma" w:hAnsi="Tahoma" w:cs="Tahoma"/>
      <w:sz w:val="22"/>
      <w:shd w:val="clear" w:color="auto" w:fill="00CCFF"/>
    </w:rPr>
  </w:style>
  <w:style w:type="character" w:styleId="EndnoteReference">
    <w:name w:val="endnote reference"/>
    <w:basedOn w:val="DefaultParagraphFont"/>
    <w:uiPriority w:val="99"/>
    <w:semiHidden/>
    <w:rsid w:val="008755A5"/>
    <w:rPr>
      <w:rFonts w:cs="Times New Roman"/>
      <w:vertAlign w:val="superscript"/>
    </w:rPr>
  </w:style>
  <w:style w:type="paragraph" w:styleId="EndnoteText">
    <w:name w:val="endnote text"/>
    <w:basedOn w:val="Normal"/>
    <w:link w:val="EndnoteTextChar"/>
    <w:uiPriority w:val="99"/>
    <w:rsid w:val="008755A5"/>
  </w:style>
  <w:style w:type="character" w:customStyle="1" w:styleId="EndnoteTextChar">
    <w:name w:val="Endnote Text Char"/>
    <w:basedOn w:val="DefaultParagraphFont"/>
    <w:link w:val="EndnoteText"/>
    <w:uiPriority w:val="99"/>
    <w:locked/>
    <w:rsid w:val="008755A5"/>
    <w:rPr>
      <w:rFonts w:ascii="Calibri" w:hAnsi="Calibri" w:cs="Times New Roman"/>
      <w:sz w:val="22"/>
    </w:rPr>
  </w:style>
  <w:style w:type="character" w:styleId="FootnoteReference">
    <w:name w:val="footnote reference"/>
    <w:basedOn w:val="DefaultParagraphFont"/>
    <w:uiPriority w:val="99"/>
    <w:rsid w:val="008755A5"/>
    <w:rPr>
      <w:rFonts w:cs="Times New Roman"/>
      <w:vertAlign w:val="superscript"/>
    </w:rPr>
  </w:style>
  <w:style w:type="paragraph" w:styleId="Index1">
    <w:name w:val="index 1"/>
    <w:basedOn w:val="Normal"/>
    <w:next w:val="Normal"/>
    <w:autoRedefine/>
    <w:uiPriority w:val="99"/>
    <w:semiHidden/>
    <w:rsid w:val="008755A5"/>
    <w:pPr>
      <w:ind w:left="200" w:hanging="200"/>
    </w:pPr>
  </w:style>
  <w:style w:type="paragraph" w:styleId="Index2">
    <w:name w:val="index 2"/>
    <w:basedOn w:val="Normal"/>
    <w:next w:val="Normal"/>
    <w:autoRedefine/>
    <w:uiPriority w:val="99"/>
    <w:semiHidden/>
    <w:rsid w:val="008755A5"/>
    <w:pPr>
      <w:ind w:left="400" w:hanging="200"/>
    </w:pPr>
  </w:style>
  <w:style w:type="paragraph" w:styleId="Index3">
    <w:name w:val="index 3"/>
    <w:basedOn w:val="Normal"/>
    <w:next w:val="Normal"/>
    <w:autoRedefine/>
    <w:uiPriority w:val="99"/>
    <w:semiHidden/>
    <w:rsid w:val="008755A5"/>
    <w:pPr>
      <w:ind w:left="600" w:hanging="200"/>
    </w:pPr>
  </w:style>
  <w:style w:type="paragraph" w:styleId="Index4">
    <w:name w:val="index 4"/>
    <w:basedOn w:val="Normal"/>
    <w:next w:val="Normal"/>
    <w:autoRedefine/>
    <w:uiPriority w:val="99"/>
    <w:semiHidden/>
    <w:rsid w:val="008755A5"/>
    <w:pPr>
      <w:ind w:left="800" w:hanging="200"/>
    </w:pPr>
  </w:style>
  <w:style w:type="paragraph" w:styleId="Index5">
    <w:name w:val="index 5"/>
    <w:basedOn w:val="Normal"/>
    <w:next w:val="Normal"/>
    <w:autoRedefine/>
    <w:uiPriority w:val="99"/>
    <w:semiHidden/>
    <w:rsid w:val="008755A5"/>
    <w:pPr>
      <w:ind w:left="1000" w:hanging="200"/>
    </w:pPr>
  </w:style>
  <w:style w:type="paragraph" w:styleId="Index6">
    <w:name w:val="index 6"/>
    <w:basedOn w:val="Normal"/>
    <w:next w:val="Normal"/>
    <w:autoRedefine/>
    <w:uiPriority w:val="99"/>
    <w:semiHidden/>
    <w:rsid w:val="008755A5"/>
    <w:pPr>
      <w:ind w:left="1200" w:hanging="200"/>
    </w:pPr>
  </w:style>
  <w:style w:type="paragraph" w:styleId="Index7">
    <w:name w:val="index 7"/>
    <w:basedOn w:val="Normal"/>
    <w:next w:val="Normal"/>
    <w:autoRedefine/>
    <w:uiPriority w:val="99"/>
    <w:semiHidden/>
    <w:rsid w:val="008755A5"/>
    <w:pPr>
      <w:ind w:left="1400" w:hanging="200"/>
    </w:pPr>
  </w:style>
  <w:style w:type="paragraph" w:styleId="Index8">
    <w:name w:val="index 8"/>
    <w:basedOn w:val="Normal"/>
    <w:next w:val="Normal"/>
    <w:autoRedefine/>
    <w:uiPriority w:val="99"/>
    <w:semiHidden/>
    <w:rsid w:val="008755A5"/>
    <w:pPr>
      <w:ind w:left="1600" w:hanging="200"/>
    </w:pPr>
  </w:style>
  <w:style w:type="paragraph" w:styleId="Index9">
    <w:name w:val="index 9"/>
    <w:basedOn w:val="Normal"/>
    <w:next w:val="Normal"/>
    <w:autoRedefine/>
    <w:uiPriority w:val="99"/>
    <w:semiHidden/>
    <w:rsid w:val="008755A5"/>
    <w:pPr>
      <w:ind w:left="1800" w:hanging="200"/>
    </w:pPr>
  </w:style>
  <w:style w:type="paragraph" w:styleId="IndexHeading">
    <w:name w:val="index heading"/>
    <w:basedOn w:val="Normal"/>
    <w:next w:val="Index1"/>
    <w:uiPriority w:val="99"/>
    <w:semiHidden/>
    <w:rsid w:val="008755A5"/>
    <w:rPr>
      <w:rFonts w:ascii="Arial" w:hAnsi="Arial" w:cs="Arial"/>
      <w:b/>
      <w:bCs/>
    </w:rPr>
  </w:style>
  <w:style w:type="paragraph" w:styleId="MacroText">
    <w:name w:val="macro"/>
    <w:link w:val="MacroTextChar"/>
    <w:uiPriority w:val="99"/>
    <w:semiHidden/>
    <w:rsid w:val="008755A5"/>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rPr>
  </w:style>
  <w:style w:type="character" w:customStyle="1" w:styleId="MacroTextChar">
    <w:name w:val="Macro Text Char"/>
    <w:basedOn w:val="DefaultParagraphFont"/>
    <w:link w:val="MacroText"/>
    <w:uiPriority w:val="99"/>
    <w:semiHidden/>
    <w:locked/>
    <w:rsid w:val="008755A5"/>
    <w:rPr>
      <w:rFonts w:ascii="Courier New" w:hAnsi="Courier New" w:cs="Courier New"/>
      <w:color w:val="000000"/>
      <w:lang w:val="en-AU" w:eastAsia="en-AU" w:bidi="ar-SA"/>
    </w:rPr>
  </w:style>
  <w:style w:type="paragraph" w:styleId="TableofAuthorities">
    <w:name w:val="table of authorities"/>
    <w:basedOn w:val="Normal"/>
    <w:next w:val="Normal"/>
    <w:uiPriority w:val="99"/>
    <w:rsid w:val="008755A5"/>
    <w:pPr>
      <w:ind w:left="200" w:hanging="200"/>
    </w:pPr>
  </w:style>
  <w:style w:type="paragraph" w:styleId="TableofFigures">
    <w:name w:val="table of figures"/>
    <w:basedOn w:val="Normal"/>
    <w:next w:val="Normal"/>
    <w:uiPriority w:val="99"/>
    <w:rsid w:val="008755A5"/>
  </w:style>
  <w:style w:type="paragraph" w:styleId="TOAHeading">
    <w:name w:val="toa heading"/>
    <w:basedOn w:val="Normal"/>
    <w:next w:val="Normal"/>
    <w:uiPriority w:val="99"/>
    <w:semiHidden/>
    <w:rsid w:val="008755A5"/>
    <w:pPr>
      <w:spacing w:before="120"/>
    </w:pPr>
    <w:rPr>
      <w:rFonts w:ascii="Arial" w:hAnsi="Arial" w:cs="Arial"/>
      <w:b/>
      <w:bCs/>
      <w:sz w:val="24"/>
      <w:szCs w:val="24"/>
    </w:rPr>
  </w:style>
  <w:style w:type="paragraph" w:styleId="TOC5">
    <w:name w:val="toc 5"/>
    <w:basedOn w:val="Normal"/>
    <w:next w:val="Normal"/>
    <w:autoRedefine/>
    <w:uiPriority w:val="99"/>
    <w:semiHidden/>
    <w:rsid w:val="008755A5"/>
    <w:pPr>
      <w:ind w:left="800"/>
    </w:pPr>
  </w:style>
  <w:style w:type="paragraph" w:styleId="TOC6">
    <w:name w:val="toc 6"/>
    <w:basedOn w:val="Normal"/>
    <w:next w:val="Normal"/>
    <w:autoRedefine/>
    <w:uiPriority w:val="99"/>
    <w:semiHidden/>
    <w:rsid w:val="008755A5"/>
    <w:pPr>
      <w:ind w:left="1000"/>
    </w:pPr>
  </w:style>
  <w:style w:type="paragraph" w:styleId="TOC7">
    <w:name w:val="toc 7"/>
    <w:basedOn w:val="Normal"/>
    <w:next w:val="Normal"/>
    <w:autoRedefine/>
    <w:uiPriority w:val="99"/>
    <w:semiHidden/>
    <w:rsid w:val="008755A5"/>
    <w:pPr>
      <w:ind w:left="1200"/>
    </w:pPr>
  </w:style>
  <w:style w:type="paragraph" w:styleId="TOC8">
    <w:name w:val="toc 8"/>
    <w:basedOn w:val="Normal"/>
    <w:next w:val="Normal"/>
    <w:autoRedefine/>
    <w:uiPriority w:val="99"/>
    <w:semiHidden/>
    <w:rsid w:val="008755A5"/>
    <w:pPr>
      <w:ind w:left="1400"/>
    </w:pPr>
  </w:style>
  <w:style w:type="paragraph" w:styleId="TOC9">
    <w:name w:val="toc 9"/>
    <w:basedOn w:val="Normal"/>
    <w:next w:val="Normal"/>
    <w:autoRedefine/>
    <w:uiPriority w:val="99"/>
    <w:semiHidden/>
    <w:rsid w:val="008755A5"/>
    <w:pPr>
      <w:ind w:left="1600"/>
    </w:pPr>
  </w:style>
  <w:style w:type="paragraph" w:customStyle="1" w:styleId="Heading5NotNumbered">
    <w:name w:val="Heading 5 Not Numbered"/>
    <w:basedOn w:val="HeadingBase"/>
    <w:uiPriority w:val="99"/>
    <w:rsid w:val="00B94987"/>
    <w:pPr>
      <w:spacing w:after="120"/>
      <w:outlineLvl w:val="4"/>
    </w:pPr>
    <w:rPr>
      <w:b/>
      <w:sz w:val="24"/>
    </w:rPr>
  </w:style>
  <w:style w:type="table" w:customStyle="1" w:styleId="OptionsTable">
    <w:name w:val="Options Table"/>
    <w:uiPriority w:val="99"/>
    <w:rsid w:val="00B94987"/>
    <w:rPr>
      <w:rFonts w:ascii="Times New Roman" w:eastAsia="Times New Roman" w:hAnsi="Times New Roman"/>
      <w:sz w:val="20"/>
      <w:szCs w:val="20"/>
    </w:rPr>
    <w:tblPr>
      <w:tblStyleRowBandSize w:val="1"/>
      <w:tblInd w:w="0" w:type="dxa"/>
      <w:tblBorders>
        <w:insideH w:val="single" w:sz="12" w:space="0" w:color="FFFFFF"/>
        <w:insideV w:val="single" w:sz="12" w:space="0" w:color="FFFFFF"/>
      </w:tblBorders>
      <w:tblCellMar>
        <w:top w:w="0" w:type="dxa"/>
        <w:left w:w="108" w:type="dxa"/>
        <w:bottom w:w="0" w:type="dxa"/>
        <w:right w:w="108" w:type="dxa"/>
      </w:tblCellMar>
    </w:tblPr>
    <w:tcPr>
      <w:shd w:val="clear" w:color="auto" w:fill="FFFFFF"/>
    </w:tcPr>
  </w:style>
  <w:style w:type="paragraph" w:customStyle="1" w:styleId="Romannumeral">
    <w:name w:val="Roman numeral"/>
    <w:basedOn w:val="Normal"/>
    <w:rsid w:val="008755A5"/>
    <w:pPr>
      <w:numPr>
        <w:numId w:val="11"/>
      </w:numPr>
      <w:tabs>
        <w:tab w:val="clear" w:pos="566"/>
        <w:tab w:val="num" w:pos="520"/>
        <w:tab w:val="num" w:pos="567"/>
      </w:tabs>
      <w:ind w:left="567" w:hanging="567"/>
    </w:pPr>
  </w:style>
  <w:style w:type="paragraph" w:customStyle="1" w:styleId="OutlineNumbered4">
    <w:name w:val="Outline Numbered 4"/>
    <w:basedOn w:val="Normal"/>
    <w:uiPriority w:val="99"/>
    <w:rsid w:val="00B94987"/>
  </w:style>
  <w:style w:type="paragraph" w:customStyle="1" w:styleId="OutlineNumbered5">
    <w:name w:val="Outline Numbered 5"/>
    <w:basedOn w:val="Normal"/>
    <w:uiPriority w:val="99"/>
    <w:rsid w:val="00B94987"/>
    <w:pPr>
      <w:numPr>
        <w:ilvl w:val="4"/>
        <w:numId w:val="4"/>
      </w:numPr>
    </w:pPr>
  </w:style>
  <w:style w:type="paragraph" w:customStyle="1" w:styleId="Crest">
    <w:name w:val="Crest"/>
    <w:basedOn w:val="Header"/>
    <w:uiPriority w:val="99"/>
    <w:rsid w:val="00B94987"/>
    <w:pPr>
      <w:spacing w:after="480"/>
      <w:jc w:val="right"/>
    </w:pPr>
  </w:style>
  <w:style w:type="character" w:customStyle="1" w:styleId="SingleParagraphChar">
    <w:name w:val="Single Paragraph Char"/>
    <w:link w:val="SingleParagraph"/>
    <w:uiPriority w:val="99"/>
    <w:locked/>
    <w:rsid w:val="00B94987"/>
    <w:rPr>
      <w:rFonts w:ascii="Calibri" w:hAnsi="Calibri"/>
      <w:sz w:val="22"/>
    </w:rPr>
  </w:style>
  <w:style w:type="character" w:customStyle="1" w:styleId="A5">
    <w:name w:val="A5"/>
    <w:uiPriority w:val="99"/>
    <w:rsid w:val="00B94987"/>
    <w:rPr>
      <w:color w:val="000000"/>
      <w:sz w:val="20"/>
    </w:rPr>
  </w:style>
  <w:style w:type="character" w:customStyle="1" w:styleId="BulletChar">
    <w:name w:val="Bullet Char"/>
    <w:aliases w:val="b Char,b Char Char"/>
    <w:link w:val="Bullet"/>
    <w:uiPriority w:val="99"/>
    <w:locked/>
    <w:rsid w:val="00B94987"/>
    <w:rPr>
      <w:rFonts w:eastAsia="Times New Roman"/>
      <w:sz w:val="20"/>
      <w:szCs w:val="20"/>
      <w:lang w:eastAsia="ja-JP"/>
    </w:rPr>
  </w:style>
  <w:style w:type="character" w:customStyle="1" w:styleId="OutlineNumbered1Char">
    <w:name w:val="Outline Numbered 1 Char"/>
    <w:link w:val="OutlineNumbered1"/>
    <w:uiPriority w:val="99"/>
    <w:locked/>
    <w:rsid w:val="00B94987"/>
    <w:rPr>
      <w:rFonts w:ascii="Calibri" w:hAnsi="Calibri"/>
      <w:sz w:val="22"/>
      <w:lang w:val="en-AU" w:eastAsia="en-AU"/>
    </w:rPr>
  </w:style>
  <w:style w:type="paragraph" w:styleId="Revision">
    <w:name w:val="Revision"/>
    <w:hidden/>
    <w:uiPriority w:val="99"/>
    <w:semiHidden/>
    <w:rsid w:val="006770E8"/>
    <w:rPr>
      <w:rFonts w:eastAsia="Times New Roman"/>
      <w:color w:val="000000"/>
      <w:szCs w:val="20"/>
    </w:rPr>
  </w:style>
  <w:style w:type="character" w:customStyle="1" w:styleId="DashChar">
    <w:name w:val="Dash Char"/>
    <w:link w:val="Dash"/>
    <w:uiPriority w:val="99"/>
    <w:locked/>
    <w:rsid w:val="00D2112F"/>
    <w:rPr>
      <w:rFonts w:eastAsia="Times New Roman"/>
      <w:sz w:val="20"/>
      <w:szCs w:val="20"/>
      <w:lang w:eastAsia="ja-JP"/>
    </w:rPr>
  </w:style>
  <w:style w:type="paragraph" w:customStyle="1" w:styleId="SecurityClassificationHeader">
    <w:name w:val="Security Classification Header"/>
    <w:link w:val="SecurityClassificationHeaderChar"/>
    <w:uiPriority w:val="99"/>
    <w:rsid w:val="008D620B"/>
    <w:pPr>
      <w:spacing w:after="240" w:line="276" w:lineRule="auto"/>
      <w:jc w:val="center"/>
    </w:pPr>
    <w:rPr>
      <w:rFonts w:ascii="Times New Roman" w:hAnsi="Times New Roman"/>
      <w:b/>
      <w:caps/>
      <w:color w:val="342E82"/>
    </w:rPr>
  </w:style>
  <w:style w:type="character" w:customStyle="1" w:styleId="SecurityClassificationHeaderChar">
    <w:name w:val="Security Classification Header Char"/>
    <w:link w:val="SecurityClassificationHeader"/>
    <w:uiPriority w:val="99"/>
    <w:locked/>
    <w:rsid w:val="008D620B"/>
    <w:rPr>
      <w:rFonts w:ascii="Times New Roman" w:hAnsi="Times New Roman"/>
      <w:b/>
      <w:caps/>
      <w:color w:val="342E82"/>
      <w:sz w:val="22"/>
      <w:lang w:val="en-AU" w:eastAsia="en-AU"/>
    </w:rPr>
  </w:style>
  <w:style w:type="paragraph" w:customStyle="1" w:styleId="SecurityClassificationFooter">
    <w:name w:val="Security Classification Footer"/>
    <w:link w:val="SecurityClassificationFooterChar"/>
    <w:uiPriority w:val="99"/>
    <w:rsid w:val="008D620B"/>
    <w:pPr>
      <w:spacing w:before="240" w:after="200" w:line="276" w:lineRule="auto"/>
      <w:jc w:val="center"/>
    </w:pPr>
    <w:rPr>
      <w:rFonts w:ascii="Times New Roman" w:hAnsi="Times New Roman"/>
      <w:b/>
      <w:caps/>
      <w:color w:val="342E82"/>
    </w:rPr>
  </w:style>
  <w:style w:type="character" w:customStyle="1" w:styleId="SecurityClassificationFooterChar">
    <w:name w:val="Security Classification Footer Char"/>
    <w:link w:val="SecurityClassificationFooter"/>
    <w:uiPriority w:val="99"/>
    <w:locked/>
    <w:rsid w:val="008D620B"/>
    <w:rPr>
      <w:rFonts w:ascii="Times New Roman" w:hAnsi="Times New Roman"/>
      <w:b/>
      <w:caps/>
      <w:color w:val="342E82"/>
      <w:sz w:val="22"/>
      <w:lang w:val="en-AU" w:eastAsia="en-AU"/>
    </w:rPr>
  </w:style>
  <w:style w:type="paragraph" w:styleId="NormalWeb">
    <w:name w:val="Normal (Web)"/>
    <w:basedOn w:val="Normal"/>
    <w:uiPriority w:val="99"/>
    <w:locked/>
    <w:rsid w:val="008755A5"/>
    <w:pPr>
      <w:spacing w:line="312" w:lineRule="atLeast"/>
    </w:pPr>
    <w:rPr>
      <w:sz w:val="24"/>
      <w:szCs w:val="24"/>
    </w:rPr>
  </w:style>
  <w:style w:type="paragraph" w:styleId="ListBullet2">
    <w:name w:val="List Bullet 2"/>
    <w:basedOn w:val="Normal"/>
    <w:uiPriority w:val="99"/>
    <w:semiHidden/>
    <w:locked/>
    <w:rsid w:val="00115EEC"/>
    <w:pPr>
      <w:tabs>
        <w:tab w:val="num" w:pos="283"/>
        <w:tab w:val="num" w:pos="567"/>
        <w:tab w:val="num" w:pos="643"/>
      </w:tabs>
      <w:ind w:left="643" w:hanging="360"/>
    </w:pPr>
  </w:style>
  <w:style w:type="paragraph" w:styleId="BodyText">
    <w:name w:val="Body Text"/>
    <w:basedOn w:val="Normal"/>
    <w:link w:val="BodyTextChar"/>
    <w:uiPriority w:val="99"/>
    <w:locked/>
    <w:rsid w:val="00E53E1C"/>
    <w:pPr>
      <w:spacing w:before="120" w:after="120" w:line="240" w:lineRule="auto"/>
    </w:pPr>
    <w:rPr>
      <w:rFonts w:ascii="Times New Roman" w:hAnsi="Times New Roman"/>
      <w:sz w:val="24"/>
      <w:szCs w:val="22"/>
      <w:lang w:eastAsia="en-US"/>
    </w:rPr>
  </w:style>
  <w:style w:type="character" w:customStyle="1" w:styleId="BodyTextChar">
    <w:name w:val="Body Text Char"/>
    <w:basedOn w:val="DefaultParagraphFont"/>
    <w:link w:val="BodyText"/>
    <w:uiPriority w:val="99"/>
    <w:locked/>
    <w:rsid w:val="00E53E1C"/>
    <w:rPr>
      <w:rFonts w:ascii="Times New Roman" w:hAnsi="Times New Roman" w:cs="Times New Roman"/>
      <w:sz w:val="22"/>
      <w:szCs w:val="22"/>
      <w:lang w:eastAsia="en-US"/>
    </w:rPr>
  </w:style>
  <w:style w:type="paragraph" w:styleId="BodyTextIndent">
    <w:name w:val="Body Text Indent"/>
    <w:basedOn w:val="Normal"/>
    <w:link w:val="BodyTextIndentChar"/>
    <w:uiPriority w:val="99"/>
    <w:locked/>
    <w:rsid w:val="00E53E1C"/>
    <w:pPr>
      <w:spacing w:before="120" w:after="120" w:line="240" w:lineRule="auto"/>
      <w:ind w:left="425"/>
    </w:pPr>
    <w:rPr>
      <w:rFonts w:ascii="Times New Roman" w:hAnsi="Times New Roman"/>
      <w:sz w:val="24"/>
      <w:szCs w:val="22"/>
      <w:lang w:eastAsia="en-US"/>
    </w:rPr>
  </w:style>
  <w:style w:type="character" w:customStyle="1" w:styleId="BodyTextIndentChar">
    <w:name w:val="Body Text Indent Char"/>
    <w:basedOn w:val="DefaultParagraphFont"/>
    <w:link w:val="BodyTextIndent"/>
    <w:uiPriority w:val="99"/>
    <w:locked/>
    <w:rsid w:val="00E53E1C"/>
    <w:rPr>
      <w:rFonts w:ascii="Times New Roman" w:hAnsi="Times New Roman" w:cs="Times New Roman"/>
      <w:sz w:val="22"/>
      <w:szCs w:val="22"/>
      <w:lang w:eastAsia="en-US"/>
    </w:rPr>
  </w:style>
  <w:style w:type="paragraph" w:styleId="BodyTextIndent2">
    <w:name w:val="Body Text Indent 2"/>
    <w:basedOn w:val="Normal"/>
    <w:link w:val="BodyTextIndent2Char"/>
    <w:uiPriority w:val="99"/>
    <w:locked/>
    <w:rsid w:val="008755A5"/>
    <w:pPr>
      <w:spacing w:after="120" w:line="480" w:lineRule="auto"/>
      <w:ind w:left="283"/>
    </w:pPr>
  </w:style>
  <w:style w:type="character" w:customStyle="1" w:styleId="BodyTextIndent2Char">
    <w:name w:val="Body Text Indent 2 Char"/>
    <w:basedOn w:val="DefaultParagraphFont"/>
    <w:link w:val="BodyTextIndent2"/>
    <w:uiPriority w:val="99"/>
    <w:locked/>
    <w:rsid w:val="008755A5"/>
    <w:rPr>
      <w:rFonts w:ascii="Calibri" w:hAnsi="Calibri" w:cs="Times New Roman"/>
      <w:sz w:val="22"/>
    </w:rPr>
  </w:style>
  <w:style w:type="paragraph" w:styleId="BodyTextIndent3">
    <w:name w:val="Body Text Indent 3"/>
    <w:basedOn w:val="Normal"/>
    <w:link w:val="BodyTextIndent3Char"/>
    <w:uiPriority w:val="99"/>
    <w:locked/>
    <w:rsid w:val="00E53E1C"/>
    <w:pPr>
      <w:spacing w:before="120" w:after="120" w:line="240" w:lineRule="auto"/>
      <w:ind w:left="1701"/>
    </w:pPr>
    <w:rPr>
      <w:rFonts w:ascii="Times New Roman" w:hAnsi="Times New Roman"/>
      <w:sz w:val="24"/>
      <w:szCs w:val="16"/>
      <w:lang w:eastAsia="en-US"/>
    </w:rPr>
  </w:style>
  <w:style w:type="character" w:customStyle="1" w:styleId="BodyTextIndent3Char">
    <w:name w:val="Body Text Indent 3 Char"/>
    <w:basedOn w:val="DefaultParagraphFont"/>
    <w:link w:val="BodyTextIndent3"/>
    <w:uiPriority w:val="99"/>
    <w:locked/>
    <w:rsid w:val="00E53E1C"/>
    <w:rPr>
      <w:rFonts w:ascii="Times New Roman" w:hAnsi="Times New Roman" w:cs="Times New Roman"/>
      <w:sz w:val="16"/>
      <w:szCs w:val="16"/>
      <w:lang w:eastAsia="en-US"/>
    </w:rPr>
  </w:style>
  <w:style w:type="paragraph" w:styleId="ListParagraph">
    <w:name w:val="List Paragraph"/>
    <w:basedOn w:val="Normal"/>
    <w:uiPriority w:val="99"/>
    <w:qFormat/>
    <w:rsid w:val="00E53E1C"/>
    <w:pPr>
      <w:spacing w:after="0" w:line="240" w:lineRule="auto"/>
      <w:ind w:left="720"/>
      <w:contextualSpacing/>
    </w:pPr>
    <w:rPr>
      <w:rFonts w:ascii="Times New Roman" w:hAnsi="Times New Roman"/>
      <w:sz w:val="24"/>
      <w:szCs w:val="22"/>
      <w:lang w:eastAsia="en-US"/>
    </w:rPr>
  </w:style>
  <w:style w:type="paragraph" w:customStyle="1" w:styleId="Addressblock">
    <w:name w:val="Address block"/>
    <w:basedOn w:val="Normal"/>
    <w:uiPriority w:val="99"/>
    <w:rsid w:val="00E53E1C"/>
    <w:pPr>
      <w:spacing w:after="0" w:line="240" w:lineRule="auto"/>
    </w:pPr>
    <w:rPr>
      <w:rFonts w:ascii="Times New Roman" w:hAnsi="Times New Roman"/>
      <w:sz w:val="24"/>
      <w:szCs w:val="22"/>
      <w:lang w:eastAsia="en-US"/>
    </w:rPr>
  </w:style>
  <w:style w:type="paragraph" w:customStyle="1" w:styleId="BodyTextIndent4">
    <w:name w:val="Body Text Indent 4"/>
    <w:basedOn w:val="BodyTextIndent3"/>
    <w:uiPriority w:val="99"/>
    <w:rsid w:val="00E53E1C"/>
    <w:pPr>
      <w:ind w:left="2608"/>
    </w:pPr>
  </w:style>
  <w:style w:type="paragraph" w:customStyle="1" w:styleId="BulletP1">
    <w:name w:val="Bullet P1"/>
    <w:basedOn w:val="Normal"/>
    <w:uiPriority w:val="99"/>
    <w:rsid w:val="00E53E1C"/>
    <w:pPr>
      <w:numPr>
        <w:numId w:val="13"/>
      </w:numPr>
      <w:spacing w:before="60" w:after="60" w:line="240" w:lineRule="auto"/>
    </w:pPr>
    <w:rPr>
      <w:rFonts w:ascii="Times New Roman" w:hAnsi="Times New Roman"/>
      <w:sz w:val="24"/>
      <w:szCs w:val="22"/>
      <w:lang w:eastAsia="en-US"/>
    </w:rPr>
  </w:style>
  <w:style w:type="paragraph" w:customStyle="1" w:styleId="BulletSubP1">
    <w:name w:val="Bullet Sub P1"/>
    <w:basedOn w:val="Normal"/>
    <w:uiPriority w:val="99"/>
    <w:rsid w:val="00E53E1C"/>
    <w:pPr>
      <w:numPr>
        <w:numId w:val="14"/>
      </w:numPr>
      <w:spacing w:before="60" w:after="60" w:line="240" w:lineRule="auto"/>
    </w:pPr>
    <w:rPr>
      <w:rFonts w:ascii="Times New Roman" w:hAnsi="Times New Roman"/>
      <w:sz w:val="24"/>
      <w:szCs w:val="22"/>
      <w:lang w:eastAsia="en-US"/>
    </w:rPr>
  </w:style>
  <w:style w:type="paragraph" w:customStyle="1" w:styleId="BulletSubP2">
    <w:name w:val="Bullet Sub P2"/>
    <w:basedOn w:val="Normal"/>
    <w:uiPriority w:val="99"/>
    <w:rsid w:val="00E53E1C"/>
    <w:pPr>
      <w:numPr>
        <w:numId w:val="15"/>
      </w:numPr>
      <w:spacing w:before="60" w:after="60" w:line="240" w:lineRule="auto"/>
      <w:ind w:left="1276" w:hanging="425"/>
    </w:pPr>
    <w:rPr>
      <w:rFonts w:ascii="Times New Roman" w:hAnsi="Times New Roman"/>
      <w:sz w:val="24"/>
      <w:szCs w:val="22"/>
      <w:lang w:eastAsia="en-US"/>
    </w:rPr>
  </w:style>
  <w:style w:type="paragraph" w:customStyle="1" w:styleId="LetterFooter">
    <w:name w:val="Letter Footer"/>
    <w:basedOn w:val="Normal"/>
    <w:uiPriority w:val="99"/>
    <w:rsid w:val="00E53E1C"/>
    <w:pPr>
      <w:spacing w:after="0" w:line="240" w:lineRule="auto"/>
    </w:pPr>
    <w:rPr>
      <w:rFonts w:ascii="Times New Roman" w:hAnsi="Times New Roman"/>
      <w:sz w:val="16"/>
      <w:szCs w:val="22"/>
      <w:lang w:eastAsia="en-US"/>
    </w:rPr>
  </w:style>
  <w:style w:type="paragraph" w:customStyle="1" w:styleId="NumBullet">
    <w:name w:val="Num Bullet"/>
    <w:basedOn w:val="Normal"/>
    <w:uiPriority w:val="99"/>
    <w:rsid w:val="00E53E1C"/>
    <w:pPr>
      <w:numPr>
        <w:numId w:val="16"/>
      </w:numPr>
      <w:spacing w:before="60" w:after="60" w:line="240" w:lineRule="auto"/>
    </w:pPr>
    <w:rPr>
      <w:rFonts w:ascii="Times New Roman" w:hAnsi="Times New Roman"/>
      <w:sz w:val="24"/>
      <w:szCs w:val="22"/>
      <w:lang w:eastAsia="en-US"/>
    </w:rPr>
  </w:style>
  <w:style w:type="paragraph" w:customStyle="1" w:styleId="NumBullet2">
    <w:name w:val="Num Bullet 2"/>
    <w:basedOn w:val="Normal"/>
    <w:uiPriority w:val="99"/>
    <w:rsid w:val="00E53E1C"/>
    <w:pPr>
      <w:numPr>
        <w:ilvl w:val="1"/>
        <w:numId w:val="16"/>
      </w:numPr>
      <w:spacing w:before="60" w:after="60" w:line="240" w:lineRule="auto"/>
    </w:pPr>
    <w:rPr>
      <w:rFonts w:ascii="Times New Roman" w:hAnsi="Times New Roman"/>
      <w:sz w:val="24"/>
      <w:szCs w:val="22"/>
      <w:lang w:eastAsia="en-US"/>
    </w:rPr>
  </w:style>
  <w:style w:type="paragraph" w:customStyle="1" w:styleId="NumBullet3">
    <w:name w:val="Num Bullet 3"/>
    <w:basedOn w:val="Normal"/>
    <w:uiPriority w:val="99"/>
    <w:rsid w:val="00E53E1C"/>
    <w:pPr>
      <w:numPr>
        <w:ilvl w:val="2"/>
        <w:numId w:val="16"/>
      </w:numPr>
      <w:spacing w:before="60" w:after="60" w:line="240" w:lineRule="auto"/>
    </w:pPr>
    <w:rPr>
      <w:rFonts w:ascii="Times New Roman" w:hAnsi="Times New Roman"/>
      <w:sz w:val="24"/>
      <w:szCs w:val="22"/>
      <w:lang w:eastAsia="en-US"/>
    </w:rPr>
  </w:style>
  <w:style w:type="paragraph" w:customStyle="1" w:styleId="NumBullet4">
    <w:name w:val="Num Bullet 4"/>
    <w:basedOn w:val="Normal"/>
    <w:uiPriority w:val="99"/>
    <w:rsid w:val="00E53E1C"/>
    <w:pPr>
      <w:numPr>
        <w:ilvl w:val="3"/>
        <w:numId w:val="16"/>
      </w:numPr>
      <w:spacing w:before="60" w:after="60" w:line="240" w:lineRule="auto"/>
    </w:pPr>
    <w:rPr>
      <w:rFonts w:ascii="Times New Roman" w:hAnsi="Times New Roman"/>
      <w:sz w:val="24"/>
      <w:szCs w:val="22"/>
      <w:lang w:eastAsia="en-US"/>
    </w:rPr>
  </w:style>
  <w:style w:type="paragraph" w:customStyle="1" w:styleId="NumHeading1">
    <w:name w:val="Num Heading 1"/>
    <w:basedOn w:val="Normal"/>
    <w:next w:val="BodyTextIndent"/>
    <w:uiPriority w:val="99"/>
    <w:rsid w:val="00E53E1C"/>
    <w:pPr>
      <w:numPr>
        <w:numId w:val="17"/>
      </w:numPr>
      <w:spacing w:before="120" w:after="60" w:line="300" w:lineRule="atLeast"/>
    </w:pPr>
    <w:rPr>
      <w:rFonts w:ascii="Times New Roman" w:hAnsi="Times New Roman"/>
      <w:b/>
      <w:caps/>
      <w:sz w:val="24"/>
      <w:szCs w:val="24"/>
      <w:lang w:eastAsia="en-US"/>
    </w:rPr>
  </w:style>
  <w:style w:type="paragraph" w:customStyle="1" w:styleId="NumHeading2">
    <w:name w:val="Num Heading 2"/>
    <w:basedOn w:val="Normal"/>
    <w:next w:val="BodyTextIndent2"/>
    <w:uiPriority w:val="99"/>
    <w:rsid w:val="00E53E1C"/>
    <w:pPr>
      <w:numPr>
        <w:ilvl w:val="1"/>
        <w:numId w:val="17"/>
      </w:numPr>
      <w:spacing w:before="120" w:after="60" w:line="300" w:lineRule="atLeast"/>
    </w:pPr>
    <w:rPr>
      <w:rFonts w:ascii="Times New Roman" w:hAnsi="Times New Roman"/>
      <w:b/>
      <w:sz w:val="24"/>
      <w:szCs w:val="22"/>
      <w:lang w:eastAsia="en-US"/>
    </w:rPr>
  </w:style>
  <w:style w:type="paragraph" w:customStyle="1" w:styleId="NumHeading3">
    <w:name w:val="Num Heading 3"/>
    <w:basedOn w:val="Normal"/>
    <w:next w:val="BodyTextIndent3"/>
    <w:uiPriority w:val="99"/>
    <w:rsid w:val="00E53E1C"/>
    <w:pPr>
      <w:numPr>
        <w:ilvl w:val="2"/>
        <w:numId w:val="17"/>
      </w:numPr>
      <w:spacing w:before="120" w:after="60" w:line="300" w:lineRule="atLeast"/>
    </w:pPr>
    <w:rPr>
      <w:rFonts w:ascii="Times New Roman" w:hAnsi="Times New Roman"/>
      <w:b/>
      <w:i/>
      <w:sz w:val="24"/>
      <w:szCs w:val="22"/>
      <w:lang w:eastAsia="en-US"/>
    </w:rPr>
  </w:style>
  <w:style w:type="paragraph" w:customStyle="1" w:styleId="NumHeading4">
    <w:name w:val="Num Heading 4"/>
    <w:basedOn w:val="Normal"/>
    <w:next w:val="BodyTextIndent4"/>
    <w:uiPriority w:val="99"/>
    <w:rsid w:val="00E53E1C"/>
    <w:pPr>
      <w:numPr>
        <w:ilvl w:val="3"/>
        <w:numId w:val="17"/>
      </w:numPr>
      <w:spacing w:before="120" w:after="60" w:line="240" w:lineRule="auto"/>
    </w:pPr>
    <w:rPr>
      <w:rFonts w:ascii="Times New Roman" w:hAnsi="Times New Roman"/>
      <w:i/>
      <w:sz w:val="24"/>
      <w:szCs w:val="22"/>
      <w:lang w:eastAsia="en-US"/>
    </w:rPr>
  </w:style>
  <w:style w:type="paragraph" w:customStyle="1" w:styleId="ReportFooter">
    <w:name w:val="Report Footer"/>
    <w:basedOn w:val="Normal"/>
    <w:uiPriority w:val="99"/>
    <w:rsid w:val="00E53E1C"/>
    <w:pPr>
      <w:spacing w:after="0" w:line="240" w:lineRule="auto"/>
      <w:jc w:val="right"/>
    </w:pPr>
    <w:rPr>
      <w:rFonts w:ascii="Times New Roman" w:hAnsi="Times New Roman"/>
      <w:sz w:val="24"/>
      <w:szCs w:val="22"/>
      <w:lang w:eastAsia="en-US"/>
    </w:rPr>
  </w:style>
  <w:style w:type="paragraph" w:customStyle="1" w:styleId="SignOff">
    <w:name w:val="Sign Off"/>
    <w:basedOn w:val="Normal"/>
    <w:uiPriority w:val="99"/>
    <w:rsid w:val="00E53E1C"/>
    <w:pPr>
      <w:spacing w:after="0" w:line="240" w:lineRule="auto"/>
    </w:pPr>
    <w:rPr>
      <w:rFonts w:ascii="Times New Roman" w:hAnsi="Times New Roman"/>
      <w:sz w:val="24"/>
      <w:szCs w:val="22"/>
      <w:lang w:eastAsia="en-US"/>
    </w:rPr>
  </w:style>
  <w:style w:type="paragraph" w:customStyle="1" w:styleId="Subject">
    <w:name w:val="Subject"/>
    <w:basedOn w:val="Normal"/>
    <w:uiPriority w:val="99"/>
    <w:rsid w:val="00E53E1C"/>
    <w:pPr>
      <w:spacing w:before="240" w:line="240" w:lineRule="exact"/>
    </w:pPr>
    <w:rPr>
      <w:rFonts w:ascii="Times New Roman" w:hAnsi="Times New Roman"/>
      <w:b/>
      <w:caps/>
      <w:sz w:val="24"/>
      <w:szCs w:val="22"/>
      <w:lang w:eastAsia="en-US"/>
    </w:rPr>
  </w:style>
  <w:style w:type="paragraph" w:customStyle="1" w:styleId="TableofContentsHeading">
    <w:name w:val="Table of Contents Heading"/>
    <w:basedOn w:val="Normal"/>
    <w:uiPriority w:val="99"/>
    <w:rsid w:val="00E53E1C"/>
    <w:pPr>
      <w:spacing w:before="120" w:line="288" w:lineRule="auto"/>
    </w:pPr>
    <w:rPr>
      <w:rFonts w:ascii="Arial" w:hAnsi="Arial"/>
      <w:b/>
      <w:sz w:val="24"/>
    </w:rPr>
  </w:style>
  <w:style w:type="character" w:styleId="PageNumber">
    <w:name w:val="page number"/>
    <w:basedOn w:val="DefaultParagraphFont"/>
    <w:locked/>
    <w:rsid w:val="008755A5"/>
    <w:rPr>
      <w:rFonts w:ascii="Arial" w:hAnsi="Arial" w:cs="Times New Roman"/>
      <w:sz w:val="18"/>
    </w:rPr>
  </w:style>
  <w:style w:type="paragraph" w:customStyle="1" w:styleId="Covertitlelevel3">
    <w:name w:val="Cover title level 3"/>
    <w:basedOn w:val="CoverTitleSub"/>
    <w:uiPriority w:val="99"/>
    <w:rsid w:val="008755A5"/>
    <w:pPr>
      <w:spacing w:after="120"/>
    </w:pPr>
    <w:rPr>
      <w:sz w:val="28"/>
      <w:szCs w:val="28"/>
    </w:rPr>
  </w:style>
  <w:style w:type="paragraph" w:customStyle="1" w:styleId="Figuregraphic">
    <w:name w:val="Figure graphic"/>
    <w:basedOn w:val="Normal"/>
    <w:uiPriority w:val="99"/>
    <w:rsid w:val="008755A5"/>
    <w:pPr>
      <w:spacing w:line="240" w:lineRule="auto"/>
      <w:jc w:val="center"/>
    </w:pPr>
  </w:style>
  <w:style w:type="paragraph" w:customStyle="1" w:styleId="FigureHeading">
    <w:name w:val="Figure Heading"/>
    <w:basedOn w:val="HeadingBase"/>
    <w:next w:val="Figuregraphic"/>
    <w:uiPriority w:val="99"/>
    <w:rsid w:val="008755A5"/>
    <w:pPr>
      <w:spacing w:after="20"/>
      <w:jc w:val="center"/>
    </w:pPr>
    <w:rPr>
      <w:rFonts w:ascii="Arial Bold" w:hAnsi="Arial Bold"/>
      <w:b/>
      <w:sz w:val="22"/>
      <w:szCs w:val="22"/>
    </w:rPr>
  </w:style>
  <w:style w:type="paragraph" w:customStyle="1" w:styleId="FigureSecondHeading">
    <w:name w:val="Figure Second Heading"/>
    <w:basedOn w:val="HeadingBase"/>
    <w:next w:val="Figuregraphic"/>
    <w:uiPriority w:val="99"/>
    <w:rsid w:val="008755A5"/>
    <w:pPr>
      <w:spacing w:after="20"/>
      <w:jc w:val="center"/>
    </w:pPr>
  </w:style>
  <w:style w:type="paragraph" w:customStyle="1" w:styleId="NormalIndentItalics">
    <w:name w:val="Normal Indent Italics"/>
    <w:basedOn w:val="NormalIndent"/>
    <w:uiPriority w:val="99"/>
    <w:rsid w:val="008755A5"/>
    <w:rPr>
      <w:i/>
    </w:rPr>
  </w:style>
  <w:style w:type="paragraph" w:customStyle="1" w:styleId="Principle">
    <w:name w:val="Principle"/>
    <w:basedOn w:val="Normal"/>
    <w:uiPriority w:val="99"/>
    <w:rsid w:val="008755A5"/>
    <w:pPr>
      <w:keepNext/>
      <w:spacing w:after="60" w:line="240" w:lineRule="auto"/>
      <w:ind w:left="573"/>
    </w:pPr>
    <w:rPr>
      <w:rFonts w:ascii="Book Antiqua" w:hAnsi="Book Antiqua"/>
      <w:i/>
      <w:sz w:val="20"/>
      <w:szCs w:val="22"/>
    </w:rPr>
  </w:style>
  <w:style w:type="paragraph" w:customStyle="1" w:styleId="SingleParagraphIndent">
    <w:name w:val="Single Paragraph Indent"/>
    <w:basedOn w:val="SingleParagraph"/>
    <w:uiPriority w:val="99"/>
    <w:rsid w:val="008755A5"/>
    <w:pPr>
      <w:ind w:left="567"/>
    </w:pPr>
  </w:style>
  <w:style w:type="paragraph" w:customStyle="1" w:styleId="PictureCentred">
    <w:name w:val="Picture Centred"/>
    <w:basedOn w:val="Normal"/>
    <w:uiPriority w:val="99"/>
    <w:rsid w:val="008755A5"/>
    <w:pPr>
      <w:spacing w:before="120" w:line="240" w:lineRule="atLeast"/>
      <w:jc w:val="center"/>
    </w:pPr>
  </w:style>
  <w:style w:type="paragraph" w:customStyle="1" w:styleId="PictureLeft">
    <w:name w:val="Picture Left"/>
    <w:basedOn w:val="PictureCentred"/>
    <w:uiPriority w:val="99"/>
    <w:rsid w:val="008755A5"/>
    <w:pPr>
      <w:jc w:val="left"/>
    </w:pPr>
  </w:style>
  <w:style w:type="paragraph" w:customStyle="1" w:styleId="PictureIndent">
    <w:name w:val="Picture Indent"/>
    <w:basedOn w:val="PictureLeft"/>
    <w:uiPriority w:val="99"/>
    <w:rsid w:val="008755A5"/>
    <w:pPr>
      <w:ind w:left="284"/>
    </w:pPr>
  </w:style>
  <w:style w:type="paragraph" w:customStyle="1" w:styleId="TableTextBullet">
    <w:name w:val="Table Text Bullet"/>
    <w:basedOn w:val="TableTextBase"/>
    <w:uiPriority w:val="99"/>
    <w:rsid w:val="008755A5"/>
    <w:pPr>
      <w:numPr>
        <w:numId w:val="28"/>
      </w:numPr>
    </w:pPr>
  </w:style>
  <w:style w:type="paragraph" w:customStyle="1" w:styleId="StyleTableTextBulletLinespacingExactly13pt">
    <w:name w:val="Style Table Text Bullet + Line spacing:  Exactly 13 pt"/>
    <w:basedOn w:val="TableTextBullet"/>
    <w:uiPriority w:val="99"/>
    <w:rsid w:val="008755A5"/>
    <w:pPr>
      <w:numPr>
        <w:numId w:val="0"/>
      </w:numPr>
      <w:spacing w:after="80" w:line="260" w:lineRule="exact"/>
    </w:pPr>
  </w:style>
  <w:style w:type="paragraph" w:customStyle="1" w:styleId="Exampleheading">
    <w:name w:val="Example heading"/>
    <w:basedOn w:val="Heading7"/>
    <w:qFormat/>
    <w:rsid w:val="00D25B40"/>
  </w:style>
  <w:style w:type="numbering" w:customStyle="1" w:styleId="BoxBulletedList">
    <w:name w:val="Box Bulleted List"/>
    <w:rsid w:val="006256A6"/>
    <w:pPr>
      <w:numPr>
        <w:numId w:val="19"/>
      </w:numPr>
    </w:pPr>
  </w:style>
  <w:style w:type="numbering" w:customStyle="1" w:styleId="RomanNumeralList">
    <w:name w:val="RomanNumeralList"/>
    <w:uiPriority w:val="99"/>
    <w:rsid w:val="006256A6"/>
    <w:pPr>
      <w:numPr>
        <w:numId w:val="24"/>
      </w:numPr>
    </w:pPr>
  </w:style>
  <w:style w:type="numbering" w:customStyle="1" w:styleId="OutlineList">
    <w:name w:val="OutlineList"/>
    <w:rsid w:val="006256A6"/>
    <w:pPr>
      <w:numPr>
        <w:numId w:val="22"/>
      </w:numPr>
    </w:pPr>
  </w:style>
  <w:style w:type="numbering" w:customStyle="1" w:styleId="RecommendationBulletList">
    <w:name w:val="RecommendationBulletList"/>
    <w:rsid w:val="006256A6"/>
    <w:pPr>
      <w:numPr>
        <w:numId w:val="23"/>
      </w:numPr>
    </w:pPr>
  </w:style>
  <w:style w:type="numbering" w:customStyle="1" w:styleId="TableTextBulletList">
    <w:name w:val="Table Text Bullet List"/>
    <w:rsid w:val="006256A6"/>
    <w:pPr>
      <w:numPr>
        <w:numId w:val="28"/>
      </w:numPr>
    </w:pPr>
  </w:style>
  <w:style w:type="numbering" w:customStyle="1" w:styleId="Outlinenumbering">
    <w:name w:val="Outline numbering"/>
    <w:uiPriority w:val="99"/>
    <w:rsid w:val="006256A6"/>
    <w:pPr>
      <w:numPr>
        <w:numId w:val="29"/>
      </w:numPr>
    </w:pPr>
  </w:style>
  <w:style w:type="numbering" w:customStyle="1" w:styleId="BulletedList">
    <w:name w:val="Bulleted List"/>
    <w:rsid w:val="006256A6"/>
    <w:pPr>
      <w:numPr>
        <w:numId w:val="18"/>
      </w:numPr>
    </w:pPr>
  </w:style>
  <w:style w:type="numbering" w:customStyle="1" w:styleId="ChartandTableFootnoteAlphaList">
    <w:name w:val="ChartandTableFootnoteAlphaList"/>
    <w:rsid w:val="006256A6"/>
    <w:pPr>
      <w:numPr>
        <w:numId w:val="26"/>
      </w:numPr>
    </w:pPr>
  </w:style>
  <w:style w:type="numbering" w:customStyle="1" w:styleId="OneLevelList">
    <w:name w:val="OneLevelList"/>
    <w:rsid w:val="006256A6"/>
    <w:pPr>
      <w:numPr>
        <w:numId w:val="21"/>
      </w:numPr>
    </w:pPr>
  </w:style>
  <w:style w:type="numbering" w:customStyle="1" w:styleId="AlphaParagraphList">
    <w:name w:val="Alpha Paragraph List"/>
    <w:rsid w:val="006256A6"/>
    <w:pPr>
      <w:numPr>
        <w:numId w:val="20"/>
      </w:numPr>
    </w:pPr>
  </w:style>
  <w:style w:type="numbering" w:customStyle="1" w:styleId="TableTestBulletList">
    <w:name w:val="Table Test Bullet List"/>
    <w:rsid w:val="006256A6"/>
    <w:pPr>
      <w:numPr>
        <w:numId w:val="27"/>
      </w:numPr>
    </w:pPr>
  </w:style>
  <w:style w:type="numbering" w:customStyle="1" w:styleId="Optionboxheading">
    <w:name w:val="Option box heading"/>
    <w:rsid w:val="006256A6"/>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55A5"/>
    <w:pPr>
      <w:spacing w:after="240" w:line="260" w:lineRule="exact"/>
    </w:pPr>
    <w:rPr>
      <w:rFonts w:eastAsia="Times New Roman"/>
      <w:szCs w:val="20"/>
    </w:rPr>
  </w:style>
  <w:style w:type="paragraph" w:styleId="Heading1">
    <w:name w:val="heading 1"/>
    <w:basedOn w:val="HeadingBase"/>
    <w:next w:val="Normal"/>
    <w:link w:val="Heading1Char"/>
    <w:uiPriority w:val="99"/>
    <w:qFormat/>
    <w:rsid w:val="008755A5"/>
    <w:pPr>
      <w:spacing w:before="720" w:after="360"/>
      <w:outlineLvl w:val="0"/>
    </w:pPr>
    <w:rPr>
      <w:rFonts w:cs="Arial"/>
      <w:bCs/>
      <w:kern w:val="32"/>
      <w:sz w:val="36"/>
      <w:szCs w:val="36"/>
    </w:rPr>
  </w:style>
  <w:style w:type="paragraph" w:styleId="Heading2">
    <w:name w:val="heading 2"/>
    <w:basedOn w:val="HeadingBase"/>
    <w:next w:val="Normal"/>
    <w:link w:val="Heading2Char"/>
    <w:uiPriority w:val="99"/>
    <w:qFormat/>
    <w:rsid w:val="008755A5"/>
    <w:pPr>
      <w:spacing w:before="360" w:after="240"/>
      <w:outlineLvl w:val="1"/>
    </w:pPr>
    <w:rPr>
      <w:rFonts w:cs="Arial"/>
      <w:bCs/>
      <w:iCs/>
      <w:sz w:val="28"/>
      <w:szCs w:val="28"/>
    </w:rPr>
  </w:style>
  <w:style w:type="paragraph" w:styleId="Heading3">
    <w:name w:val="heading 3"/>
    <w:basedOn w:val="HeadingBase"/>
    <w:next w:val="Normal"/>
    <w:link w:val="Heading3Char"/>
    <w:uiPriority w:val="99"/>
    <w:qFormat/>
    <w:rsid w:val="008755A5"/>
    <w:pPr>
      <w:spacing w:before="240" w:after="180"/>
      <w:outlineLvl w:val="2"/>
    </w:pPr>
    <w:rPr>
      <w:rFonts w:cs="Arial"/>
      <w:bCs/>
      <w:sz w:val="26"/>
      <w:szCs w:val="26"/>
    </w:rPr>
  </w:style>
  <w:style w:type="paragraph" w:styleId="Heading4">
    <w:name w:val="heading 4"/>
    <w:basedOn w:val="HeadingBase"/>
    <w:next w:val="Normal"/>
    <w:link w:val="Heading4Char"/>
    <w:qFormat/>
    <w:rsid w:val="008755A5"/>
    <w:pPr>
      <w:spacing w:before="120" w:after="120"/>
      <w:outlineLvl w:val="3"/>
    </w:pPr>
    <w:rPr>
      <w:b/>
      <w:bCs/>
      <w:i/>
      <w:sz w:val="22"/>
      <w:szCs w:val="22"/>
    </w:rPr>
  </w:style>
  <w:style w:type="paragraph" w:styleId="Heading5">
    <w:name w:val="heading 5"/>
    <w:basedOn w:val="HeadingBase"/>
    <w:next w:val="Normal"/>
    <w:link w:val="Heading5Char"/>
    <w:uiPriority w:val="99"/>
    <w:qFormat/>
    <w:rsid w:val="008755A5"/>
    <w:pPr>
      <w:spacing w:after="120"/>
      <w:outlineLvl w:val="4"/>
    </w:pPr>
    <w:rPr>
      <w:b/>
      <w:bCs/>
      <w:iCs/>
    </w:rPr>
  </w:style>
  <w:style w:type="paragraph" w:styleId="Heading6">
    <w:name w:val="heading 6"/>
    <w:basedOn w:val="HeadingBase"/>
    <w:next w:val="Normal"/>
    <w:link w:val="Heading6Char"/>
    <w:qFormat/>
    <w:rsid w:val="008755A5"/>
    <w:pPr>
      <w:spacing w:after="120"/>
      <w:outlineLvl w:val="5"/>
    </w:pPr>
    <w:rPr>
      <w:bCs/>
      <w:szCs w:val="22"/>
    </w:rPr>
  </w:style>
  <w:style w:type="paragraph" w:styleId="Heading7">
    <w:name w:val="heading 7"/>
    <w:basedOn w:val="HeadingBase"/>
    <w:next w:val="Normal"/>
    <w:link w:val="Heading7Char"/>
    <w:uiPriority w:val="99"/>
    <w:qFormat/>
    <w:rsid w:val="008755A5"/>
    <w:pPr>
      <w:spacing w:after="120"/>
      <w:outlineLvl w:val="6"/>
    </w:pPr>
    <w:rPr>
      <w:szCs w:val="24"/>
    </w:rPr>
  </w:style>
  <w:style w:type="paragraph" w:styleId="Heading8">
    <w:name w:val="heading 8"/>
    <w:basedOn w:val="HeadingBase"/>
    <w:next w:val="Normal"/>
    <w:link w:val="Heading8Char"/>
    <w:uiPriority w:val="99"/>
    <w:qFormat/>
    <w:rsid w:val="008755A5"/>
    <w:pPr>
      <w:spacing w:after="120"/>
      <w:outlineLvl w:val="7"/>
    </w:pPr>
    <w:rPr>
      <w:iCs/>
      <w:szCs w:val="24"/>
    </w:rPr>
  </w:style>
  <w:style w:type="paragraph" w:styleId="Heading9">
    <w:name w:val="heading 9"/>
    <w:basedOn w:val="HeadingBase"/>
    <w:next w:val="Normal"/>
    <w:link w:val="Heading9Char"/>
    <w:uiPriority w:val="99"/>
    <w:qFormat/>
    <w:rsid w:val="008755A5"/>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755A5"/>
    <w:rPr>
      <w:rFonts w:ascii="Cambria" w:hAnsi="Cambria" w:cs="Arial"/>
      <w:bCs/>
      <w:color w:val="4F81BD"/>
      <w:kern w:val="32"/>
      <w:sz w:val="36"/>
      <w:szCs w:val="36"/>
    </w:rPr>
  </w:style>
  <w:style w:type="character" w:customStyle="1" w:styleId="Heading2Char">
    <w:name w:val="Heading 2 Char"/>
    <w:basedOn w:val="DefaultParagraphFont"/>
    <w:link w:val="Heading2"/>
    <w:uiPriority w:val="99"/>
    <w:locked/>
    <w:rsid w:val="008755A5"/>
    <w:rPr>
      <w:rFonts w:ascii="Cambria" w:hAnsi="Cambria" w:cs="Arial"/>
      <w:bCs/>
      <w:iCs/>
      <w:color w:val="4F81BD"/>
      <w:sz w:val="28"/>
      <w:szCs w:val="28"/>
    </w:rPr>
  </w:style>
  <w:style w:type="character" w:customStyle="1" w:styleId="Heading3Char">
    <w:name w:val="Heading 3 Char"/>
    <w:basedOn w:val="DefaultParagraphFont"/>
    <w:link w:val="Heading3"/>
    <w:uiPriority w:val="99"/>
    <w:locked/>
    <w:rsid w:val="008755A5"/>
    <w:rPr>
      <w:rFonts w:ascii="Cambria" w:hAnsi="Cambria" w:cs="Arial"/>
      <w:bCs/>
      <w:color w:val="4F81BD"/>
      <w:sz w:val="26"/>
      <w:szCs w:val="26"/>
    </w:rPr>
  </w:style>
  <w:style w:type="character" w:customStyle="1" w:styleId="Heading4Char">
    <w:name w:val="Heading 4 Char"/>
    <w:basedOn w:val="DefaultParagraphFont"/>
    <w:link w:val="Heading4"/>
    <w:locked/>
    <w:rsid w:val="008755A5"/>
    <w:rPr>
      <w:rFonts w:ascii="Cambria" w:hAnsi="Cambria" w:cs="Times New Roman"/>
      <w:b/>
      <w:bCs/>
      <w:i/>
      <w:color w:val="4F81BD"/>
      <w:sz w:val="22"/>
      <w:szCs w:val="22"/>
    </w:rPr>
  </w:style>
  <w:style w:type="character" w:customStyle="1" w:styleId="Heading5Char">
    <w:name w:val="Heading 5 Char"/>
    <w:basedOn w:val="DefaultParagraphFont"/>
    <w:link w:val="Heading5"/>
    <w:uiPriority w:val="99"/>
    <w:locked/>
    <w:rsid w:val="008755A5"/>
    <w:rPr>
      <w:rFonts w:ascii="Cambria" w:hAnsi="Cambria" w:cs="Times New Roman"/>
      <w:b/>
      <w:bCs/>
      <w:iCs/>
      <w:color w:val="4F81BD"/>
    </w:rPr>
  </w:style>
  <w:style w:type="character" w:customStyle="1" w:styleId="Heading6Char">
    <w:name w:val="Heading 6 Char"/>
    <w:basedOn w:val="DefaultParagraphFont"/>
    <w:link w:val="Heading6"/>
    <w:locked/>
    <w:rsid w:val="008755A5"/>
    <w:rPr>
      <w:rFonts w:ascii="Cambria" w:hAnsi="Cambria" w:cs="Times New Roman"/>
      <w:bCs/>
      <w:color w:val="4F81BD"/>
      <w:sz w:val="22"/>
      <w:szCs w:val="22"/>
    </w:rPr>
  </w:style>
  <w:style w:type="character" w:customStyle="1" w:styleId="Heading7Char">
    <w:name w:val="Heading 7 Char"/>
    <w:basedOn w:val="DefaultParagraphFont"/>
    <w:link w:val="Heading7"/>
    <w:uiPriority w:val="99"/>
    <w:locked/>
    <w:rsid w:val="008755A5"/>
    <w:rPr>
      <w:rFonts w:ascii="Cambria" w:hAnsi="Cambria" w:cs="Times New Roman"/>
      <w:color w:val="4F81BD"/>
      <w:sz w:val="24"/>
      <w:szCs w:val="24"/>
    </w:rPr>
  </w:style>
  <w:style w:type="character" w:customStyle="1" w:styleId="Heading8Char">
    <w:name w:val="Heading 8 Char"/>
    <w:basedOn w:val="DefaultParagraphFont"/>
    <w:link w:val="Heading8"/>
    <w:uiPriority w:val="99"/>
    <w:locked/>
    <w:rsid w:val="008755A5"/>
    <w:rPr>
      <w:rFonts w:ascii="Cambria" w:hAnsi="Cambria" w:cs="Times New Roman"/>
      <w:iCs/>
      <w:color w:val="4F81BD"/>
      <w:sz w:val="24"/>
      <w:szCs w:val="24"/>
    </w:rPr>
  </w:style>
  <w:style w:type="character" w:customStyle="1" w:styleId="Heading9Char">
    <w:name w:val="Heading 9 Char"/>
    <w:basedOn w:val="DefaultParagraphFont"/>
    <w:link w:val="Heading9"/>
    <w:uiPriority w:val="99"/>
    <w:locked/>
    <w:rsid w:val="008755A5"/>
    <w:rPr>
      <w:rFonts w:ascii="Cambria" w:hAnsi="Cambria" w:cs="Arial"/>
      <w:color w:val="4F81BD"/>
      <w:sz w:val="22"/>
      <w:szCs w:val="22"/>
    </w:rPr>
  </w:style>
  <w:style w:type="paragraph" w:customStyle="1" w:styleId="SingleParagraph">
    <w:name w:val="Single Paragraph"/>
    <w:basedOn w:val="Normal"/>
    <w:link w:val="SingleParagraphChar"/>
    <w:uiPriority w:val="99"/>
    <w:rsid w:val="008755A5"/>
    <w:pPr>
      <w:spacing w:after="0"/>
    </w:pPr>
    <w:rPr>
      <w:rFonts w:eastAsia="Calibri"/>
    </w:rPr>
  </w:style>
  <w:style w:type="character" w:styleId="Hyperlink">
    <w:name w:val="Hyperlink"/>
    <w:basedOn w:val="DefaultParagraphFont"/>
    <w:uiPriority w:val="99"/>
    <w:rsid w:val="008755A5"/>
    <w:rPr>
      <w:rFonts w:cs="Times New Roman"/>
      <w:color w:val="auto"/>
      <w:u w:val="none"/>
    </w:rPr>
  </w:style>
  <w:style w:type="character" w:customStyle="1" w:styleId="BoldandItalic">
    <w:name w:val="Bold and Italic"/>
    <w:basedOn w:val="DefaultParagraphFont"/>
    <w:uiPriority w:val="99"/>
    <w:rsid w:val="008755A5"/>
    <w:rPr>
      <w:rFonts w:ascii="Arial" w:hAnsi="Arial" w:cs="Times New Roman"/>
      <w:b/>
      <w:i/>
    </w:rPr>
  </w:style>
  <w:style w:type="table" w:styleId="TableGrid">
    <w:name w:val="Table Grid"/>
    <w:basedOn w:val="TableNormal"/>
    <w:uiPriority w:val="99"/>
    <w:rsid w:val="008755A5"/>
    <w:pPr>
      <w:spacing w:after="240" w:line="260" w:lineRule="exact"/>
      <w:jc w:val="both"/>
    </w:pPr>
    <w:rPr>
      <w:rFonts w:ascii="Times New Roman" w:eastAsia="Times New Roman" w:hAnsi="Times New Roman"/>
      <w:sz w:val="20"/>
      <w:szCs w:val="20"/>
    </w:rPr>
    <w:tblPr>
      <w:tblInd w:w="0" w:type="dxa"/>
      <w:tblCellMar>
        <w:top w:w="0" w:type="dxa"/>
        <w:left w:w="108" w:type="dxa"/>
        <w:bottom w:w="0" w:type="dxa"/>
        <w:right w:w="108" w:type="dxa"/>
      </w:tblCellMar>
    </w:tblPr>
    <w:tcPr>
      <w:shd w:val="clear" w:color="auto" w:fill="E6E6E6"/>
    </w:tcPr>
  </w:style>
  <w:style w:type="paragraph" w:customStyle="1" w:styleId="TableColumnHeadingBase">
    <w:name w:val="Table Column Heading Base"/>
    <w:basedOn w:val="Normal"/>
    <w:uiPriority w:val="99"/>
    <w:rsid w:val="008755A5"/>
    <w:pPr>
      <w:spacing w:before="40" w:after="40" w:line="240" w:lineRule="auto"/>
    </w:pPr>
    <w:rPr>
      <w:rFonts w:ascii="Arial" w:hAnsi="Arial"/>
      <w:b/>
      <w:sz w:val="16"/>
    </w:rPr>
  </w:style>
  <w:style w:type="paragraph" w:styleId="FootnoteText">
    <w:name w:val="footnote text"/>
    <w:basedOn w:val="Normal"/>
    <w:link w:val="FootnoteTextChar"/>
    <w:uiPriority w:val="99"/>
    <w:rsid w:val="008755A5"/>
    <w:pPr>
      <w:tabs>
        <w:tab w:val="left" w:pos="284"/>
      </w:tabs>
      <w:spacing w:after="0" w:line="240" w:lineRule="auto"/>
      <w:ind w:left="284" w:hanging="284"/>
    </w:pPr>
    <w:rPr>
      <w:sz w:val="18"/>
    </w:rPr>
  </w:style>
  <w:style w:type="character" w:customStyle="1" w:styleId="FootnoteTextChar">
    <w:name w:val="Footnote Text Char"/>
    <w:basedOn w:val="DefaultParagraphFont"/>
    <w:link w:val="FootnoteText"/>
    <w:uiPriority w:val="99"/>
    <w:locked/>
    <w:rsid w:val="008755A5"/>
    <w:rPr>
      <w:rFonts w:ascii="Calibri" w:hAnsi="Calibri" w:cs="Times New Roman"/>
      <w:sz w:val="18"/>
    </w:rPr>
  </w:style>
  <w:style w:type="paragraph" w:customStyle="1" w:styleId="Bullet">
    <w:name w:val="Bullet"/>
    <w:aliases w:val="b"/>
    <w:basedOn w:val="Normal"/>
    <w:link w:val="BulletChar"/>
    <w:uiPriority w:val="99"/>
    <w:rsid w:val="008755A5"/>
    <w:pPr>
      <w:numPr>
        <w:numId w:val="18"/>
      </w:numPr>
    </w:pPr>
    <w:rPr>
      <w:sz w:val="20"/>
      <w:lang w:eastAsia="ja-JP"/>
    </w:rPr>
  </w:style>
  <w:style w:type="paragraph" w:customStyle="1" w:styleId="Dash">
    <w:name w:val="Dash"/>
    <w:basedOn w:val="Normal"/>
    <w:link w:val="DashChar"/>
    <w:uiPriority w:val="99"/>
    <w:rsid w:val="008755A5"/>
    <w:pPr>
      <w:numPr>
        <w:ilvl w:val="1"/>
        <w:numId w:val="18"/>
      </w:numPr>
    </w:pPr>
    <w:rPr>
      <w:sz w:val="20"/>
      <w:lang w:eastAsia="ja-JP"/>
    </w:rPr>
  </w:style>
  <w:style w:type="paragraph" w:customStyle="1" w:styleId="DoubleDot">
    <w:name w:val="Double Dot"/>
    <w:basedOn w:val="Normal"/>
    <w:uiPriority w:val="99"/>
    <w:rsid w:val="008755A5"/>
    <w:pPr>
      <w:numPr>
        <w:ilvl w:val="2"/>
        <w:numId w:val="18"/>
      </w:numPr>
    </w:pPr>
  </w:style>
  <w:style w:type="paragraph" w:customStyle="1" w:styleId="OutlineNumbered1">
    <w:name w:val="Outline Numbered 1"/>
    <w:basedOn w:val="Normal"/>
    <w:link w:val="OutlineNumbered1Char"/>
    <w:rsid w:val="008755A5"/>
    <w:pPr>
      <w:numPr>
        <w:numId w:val="9"/>
      </w:numPr>
      <w:tabs>
        <w:tab w:val="clear" w:pos="283"/>
        <w:tab w:val="num" w:pos="720"/>
        <w:tab w:val="num" w:pos="851"/>
      </w:tabs>
      <w:ind w:left="851" w:hanging="851"/>
    </w:pPr>
    <w:rPr>
      <w:rFonts w:eastAsia="Calibri"/>
    </w:rPr>
  </w:style>
  <w:style w:type="paragraph" w:customStyle="1" w:styleId="OutlineNumbered2">
    <w:name w:val="Outline Numbered 2"/>
    <w:basedOn w:val="Normal"/>
    <w:rsid w:val="008755A5"/>
    <w:pPr>
      <w:numPr>
        <w:ilvl w:val="1"/>
        <w:numId w:val="9"/>
      </w:numPr>
      <w:tabs>
        <w:tab w:val="clear" w:pos="567"/>
        <w:tab w:val="num" w:pos="1134"/>
        <w:tab w:val="num" w:pos="1440"/>
      </w:tabs>
      <w:ind w:left="1134" w:hanging="1134"/>
    </w:pPr>
  </w:style>
  <w:style w:type="paragraph" w:customStyle="1" w:styleId="OutlineNumbered3">
    <w:name w:val="Outline Numbered 3"/>
    <w:basedOn w:val="Normal"/>
    <w:rsid w:val="008755A5"/>
    <w:pPr>
      <w:numPr>
        <w:ilvl w:val="2"/>
        <w:numId w:val="9"/>
      </w:numPr>
      <w:tabs>
        <w:tab w:val="clear" w:pos="850"/>
        <w:tab w:val="num" w:pos="1418"/>
        <w:tab w:val="num" w:pos="2160"/>
      </w:tabs>
      <w:ind w:left="1418" w:hanging="1418"/>
    </w:pPr>
  </w:style>
  <w:style w:type="paragraph" w:customStyle="1" w:styleId="AlphaParagraph">
    <w:name w:val="Alpha Paragraph"/>
    <w:basedOn w:val="Normal"/>
    <w:uiPriority w:val="99"/>
    <w:rsid w:val="008755A5"/>
    <w:pPr>
      <w:numPr>
        <w:numId w:val="20"/>
      </w:numPr>
    </w:pPr>
  </w:style>
  <w:style w:type="paragraph" w:customStyle="1" w:styleId="HeadingBase">
    <w:name w:val="Heading Base"/>
    <w:next w:val="Normal"/>
    <w:uiPriority w:val="99"/>
    <w:rsid w:val="008755A5"/>
    <w:pPr>
      <w:keepNext/>
    </w:pPr>
    <w:rPr>
      <w:rFonts w:ascii="Cambria" w:eastAsia="Times New Roman" w:hAnsi="Cambria"/>
      <w:color w:val="4F81BD"/>
      <w:sz w:val="20"/>
      <w:szCs w:val="20"/>
    </w:rPr>
  </w:style>
  <w:style w:type="paragraph" w:customStyle="1" w:styleId="AppendixHeading">
    <w:name w:val="Appendix Heading"/>
    <w:basedOn w:val="HeadingBase"/>
    <w:next w:val="Normal"/>
    <w:uiPriority w:val="99"/>
    <w:rsid w:val="008755A5"/>
    <w:pPr>
      <w:spacing w:before="720" w:after="360"/>
      <w:outlineLvl w:val="0"/>
    </w:pPr>
    <w:rPr>
      <w:sz w:val="36"/>
      <w:szCs w:val="36"/>
    </w:rPr>
  </w:style>
  <w:style w:type="character" w:customStyle="1" w:styleId="Bold">
    <w:name w:val="Bold"/>
    <w:basedOn w:val="DefaultParagraphFont"/>
    <w:uiPriority w:val="99"/>
    <w:rsid w:val="008755A5"/>
    <w:rPr>
      <w:rFonts w:cs="Times New Roman"/>
      <w:b/>
    </w:rPr>
  </w:style>
  <w:style w:type="paragraph" w:customStyle="1" w:styleId="BoxHeading">
    <w:name w:val="Box Heading"/>
    <w:basedOn w:val="HeadingBase"/>
    <w:next w:val="Normal"/>
    <w:uiPriority w:val="99"/>
    <w:rsid w:val="008755A5"/>
    <w:pPr>
      <w:spacing w:before="240" w:after="120"/>
    </w:pPr>
    <w:rPr>
      <w:b/>
      <w:sz w:val="22"/>
    </w:rPr>
  </w:style>
  <w:style w:type="paragraph" w:customStyle="1" w:styleId="BoxTextBase">
    <w:name w:val="Box Text Base"/>
    <w:basedOn w:val="Normal"/>
    <w:uiPriority w:val="99"/>
    <w:rsid w:val="008755A5"/>
  </w:style>
  <w:style w:type="paragraph" w:customStyle="1" w:styleId="ChartandTableFootnoteAlpha">
    <w:name w:val="Chart and Table Footnote Alpha"/>
    <w:uiPriority w:val="99"/>
    <w:rsid w:val="008755A5"/>
    <w:pPr>
      <w:numPr>
        <w:numId w:val="26"/>
      </w:numPr>
      <w:jc w:val="both"/>
    </w:pPr>
    <w:rPr>
      <w:rFonts w:ascii="Arial" w:eastAsia="Times New Roman" w:hAnsi="Arial"/>
      <w:color w:val="000000"/>
      <w:sz w:val="16"/>
      <w:szCs w:val="16"/>
    </w:rPr>
  </w:style>
  <w:style w:type="paragraph" w:customStyle="1" w:styleId="ChartGraphic">
    <w:name w:val="Chart Graphic"/>
    <w:basedOn w:val="HeadingBase"/>
    <w:next w:val="Normal"/>
    <w:uiPriority w:val="99"/>
    <w:rsid w:val="008755A5"/>
    <w:pPr>
      <w:jc w:val="center"/>
    </w:pPr>
  </w:style>
  <w:style w:type="paragraph" w:customStyle="1" w:styleId="ChartMainHeading">
    <w:name w:val="Chart Main Heading"/>
    <w:basedOn w:val="HeadingBase"/>
    <w:next w:val="ChartGraphic"/>
    <w:uiPriority w:val="99"/>
    <w:rsid w:val="008755A5"/>
    <w:pPr>
      <w:spacing w:after="20"/>
      <w:jc w:val="center"/>
    </w:pPr>
    <w:rPr>
      <w:b/>
      <w:sz w:val="24"/>
    </w:rPr>
  </w:style>
  <w:style w:type="paragraph" w:customStyle="1" w:styleId="ChartorTableNote">
    <w:name w:val="Chart or Table Note"/>
    <w:next w:val="Normal"/>
    <w:uiPriority w:val="99"/>
    <w:rsid w:val="008755A5"/>
    <w:pPr>
      <w:jc w:val="both"/>
    </w:pPr>
    <w:rPr>
      <w:rFonts w:ascii="Arial" w:eastAsia="Times New Roman" w:hAnsi="Arial"/>
      <w:color w:val="000000"/>
      <w:sz w:val="16"/>
      <w:szCs w:val="20"/>
    </w:rPr>
  </w:style>
  <w:style w:type="paragraph" w:customStyle="1" w:styleId="ChartSecondHeading">
    <w:name w:val="Chart Second Heading"/>
    <w:basedOn w:val="HeadingBase"/>
    <w:next w:val="ChartGraphic"/>
    <w:uiPriority w:val="99"/>
    <w:rsid w:val="008755A5"/>
    <w:pPr>
      <w:spacing w:after="20"/>
      <w:jc w:val="center"/>
    </w:pPr>
  </w:style>
  <w:style w:type="paragraph" w:customStyle="1" w:styleId="Classification">
    <w:name w:val="Classification"/>
    <w:basedOn w:val="HeadingBase"/>
    <w:next w:val="Footer"/>
    <w:uiPriority w:val="99"/>
    <w:rsid w:val="008755A5"/>
    <w:pPr>
      <w:spacing w:after="120"/>
      <w:jc w:val="center"/>
    </w:pPr>
    <w:rPr>
      <w:b/>
      <w:smallCaps/>
    </w:rPr>
  </w:style>
  <w:style w:type="paragraph" w:styleId="Footer">
    <w:name w:val="footer"/>
    <w:basedOn w:val="HeadingBase"/>
    <w:link w:val="FooterChar"/>
    <w:uiPriority w:val="99"/>
    <w:rsid w:val="008755A5"/>
    <w:rPr>
      <w:rFonts w:ascii="Calibri" w:hAnsi="Calibri"/>
      <w:sz w:val="22"/>
    </w:rPr>
  </w:style>
  <w:style w:type="character" w:customStyle="1" w:styleId="FooterChar">
    <w:name w:val="Footer Char"/>
    <w:basedOn w:val="DefaultParagraphFont"/>
    <w:link w:val="Footer"/>
    <w:uiPriority w:val="99"/>
    <w:locked/>
    <w:rsid w:val="008755A5"/>
    <w:rPr>
      <w:rFonts w:ascii="Calibri" w:hAnsi="Calibri" w:cs="Times New Roman"/>
      <w:color w:val="4F81BD"/>
      <w:sz w:val="22"/>
    </w:rPr>
  </w:style>
  <w:style w:type="paragraph" w:customStyle="1" w:styleId="ContentsHeading">
    <w:name w:val="Contents Heading"/>
    <w:basedOn w:val="HeadingBase"/>
    <w:next w:val="Normal"/>
    <w:uiPriority w:val="99"/>
    <w:rsid w:val="008755A5"/>
    <w:pPr>
      <w:spacing w:after="360"/>
    </w:pPr>
    <w:rPr>
      <w:sz w:val="36"/>
      <w:szCs w:val="36"/>
    </w:rPr>
  </w:style>
  <w:style w:type="paragraph" w:customStyle="1" w:styleId="CoverTitleMain">
    <w:name w:val="Cover Title Main"/>
    <w:basedOn w:val="HeadingBase"/>
    <w:next w:val="Normal"/>
    <w:uiPriority w:val="99"/>
    <w:rsid w:val="008755A5"/>
    <w:pPr>
      <w:spacing w:after="480"/>
      <w:jc w:val="center"/>
    </w:pPr>
    <w:rPr>
      <w:b/>
      <w:sz w:val="48"/>
    </w:rPr>
  </w:style>
  <w:style w:type="paragraph" w:customStyle="1" w:styleId="CoverTitleSub">
    <w:name w:val="Cover Title Sub"/>
    <w:basedOn w:val="HeadingBase"/>
    <w:uiPriority w:val="99"/>
    <w:rsid w:val="008755A5"/>
    <w:pPr>
      <w:spacing w:after="360"/>
      <w:jc w:val="center"/>
    </w:pPr>
    <w:rPr>
      <w:sz w:val="36"/>
    </w:rPr>
  </w:style>
  <w:style w:type="paragraph" w:customStyle="1" w:styleId="FooterCentered">
    <w:name w:val="Footer Centered"/>
    <w:basedOn w:val="Footer"/>
    <w:uiPriority w:val="99"/>
    <w:rsid w:val="008755A5"/>
    <w:pPr>
      <w:jc w:val="center"/>
    </w:pPr>
  </w:style>
  <w:style w:type="paragraph" w:customStyle="1" w:styleId="FooterEven">
    <w:name w:val="Footer Even"/>
    <w:basedOn w:val="Footer"/>
    <w:rsid w:val="008755A5"/>
  </w:style>
  <w:style w:type="paragraph" w:customStyle="1" w:styleId="FooterOdd">
    <w:name w:val="Footer Odd"/>
    <w:basedOn w:val="Footer"/>
    <w:rsid w:val="008755A5"/>
    <w:pPr>
      <w:jc w:val="right"/>
    </w:pPr>
  </w:style>
  <w:style w:type="character" w:customStyle="1" w:styleId="FramedFooter">
    <w:name w:val="Framed Footer"/>
    <w:uiPriority w:val="99"/>
    <w:rsid w:val="008755A5"/>
    <w:rPr>
      <w:rFonts w:ascii="Arial" w:hAnsi="Arial"/>
      <w:sz w:val="18"/>
    </w:rPr>
  </w:style>
  <w:style w:type="character" w:customStyle="1" w:styleId="FramedHeader">
    <w:name w:val="Framed Header"/>
    <w:basedOn w:val="DefaultParagraphFont"/>
    <w:uiPriority w:val="99"/>
    <w:rsid w:val="008755A5"/>
    <w:rPr>
      <w:rFonts w:ascii="Arial" w:hAnsi="Arial" w:cs="Times New Roman"/>
      <w:color w:val="auto"/>
      <w:sz w:val="18"/>
      <w:vertAlign w:val="baseline"/>
    </w:rPr>
  </w:style>
  <w:style w:type="paragraph" w:styleId="Header">
    <w:name w:val="header"/>
    <w:basedOn w:val="HeadingBase"/>
    <w:link w:val="HeaderChar"/>
    <w:uiPriority w:val="99"/>
    <w:rsid w:val="008755A5"/>
    <w:rPr>
      <w:rFonts w:ascii="Calibri" w:hAnsi="Calibri"/>
      <w:sz w:val="22"/>
    </w:rPr>
  </w:style>
  <w:style w:type="character" w:customStyle="1" w:styleId="HeaderChar">
    <w:name w:val="Header Char"/>
    <w:basedOn w:val="DefaultParagraphFont"/>
    <w:link w:val="Header"/>
    <w:uiPriority w:val="99"/>
    <w:locked/>
    <w:rsid w:val="008755A5"/>
    <w:rPr>
      <w:rFonts w:ascii="Calibri" w:hAnsi="Calibri" w:cs="Times New Roman"/>
      <w:color w:val="4F81BD"/>
      <w:sz w:val="22"/>
    </w:rPr>
  </w:style>
  <w:style w:type="paragraph" w:customStyle="1" w:styleId="HeaderEven">
    <w:name w:val="Header Even"/>
    <w:basedOn w:val="Header"/>
    <w:rsid w:val="008755A5"/>
  </w:style>
  <w:style w:type="paragraph" w:customStyle="1" w:styleId="HeaderOdd">
    <w:name w:val="Header Odd"/>
    <w:basedOn w:val="Header"/>
    <w:uiPriority w:val="99"/>
    <w:rsid w:val="008755A5"/>
    <w:pPr>
      <w:jc w:val="right"/>
    </w:pPr>
  </w:style>
  <w:style w:type="paragraph" w:styleId="NormalIndent">
    <w:name w:val="Normal Indent"/>
    <w:basedOn w:val="Normal"/>
    <w:uiPriority w:val="99"/>
    <w:rsid w:val="008755A5"/>
    <w:pPr>
      <w:ind w:left="567"/>
    </w:pPr>
  </w:style>
  <w:style w:type="paragraph" w:customStyle="1" w:styleId="RecommendationHeading">
    <w:name w:val="Recommendation Heading"/>
    <w:basedOn w:val="HeadingBase"/>
    <w:next w:val="Normal"/>
    <w:uiPriority w:val="99"/>
    <w:rsid w:val="008755A5"/>
    <w:pPr>
      <w:spacing w:before="120" w:after="240"/>
    </w:pPr>
    <w:rPr>
      <w:b/>
      <w:sz w:val="22"/>
    </w:rPr>
  </w:style>
  <w:style w:type="paragraph" w:customStyle="1" w:styleId="RecommendationTextBase">
    <w:name w:val="Recommendation Text Base"/>
    <w:basedOn w:val="Normal"/>
    <w:uiPriority w:val="99"/>
    <w:rsid w:val="008755A5"/>
    <w:rPr>
      <w:i/>
    </w:rPr>
  </w:style>
  <w:style w:type="paragraph" w:customStyle="1" w:styleId="RecommendationText">
    <w:name w:val="Recommendation Text"/>
    <w:basedOn w:val="RecommendationTextBase"/>
    <w:uiPriority w:val="99"/>
    <w:rsid w:val="008755A5"/>
  </w:style>
  <w:style w:type="paragraph" w:customStyle="1" w:styleId="TableTextBase">
    <w:name w:val="Table Text Base"/>
    <w:uiPriority w:val="99"/>
    <w:rsid w:val="008755A5"/>
    <w:pPr>
      <w:spacing w:before="40" w:after="40"/>
    </w:pPr>
    <w:rPr>
      <w:rFonts w:ascii="Arial" w:eastAsia="Times New Roman" w:hAnsi="Arial"/>
      <w:color w:val="000000"/>
      <w:sz w:val="16"/>
      <w:szCs w:val="20"/>
    </w:rPr>
  </w:style>
  <w:style w:type="paragraph" w:customStyle="1" w:styleId="TableColumnHeadingCentred">
    <w:name w:val="Table Column Heading Centred"/>
    <w:basedOn w:val="TableColumnHeadingBase"/>
    <w:uiPriority w:val="99"/>
    <w:rsid w:val="008755A5"/>
    <w:pPr>
      <w:jc w:val="center"/>
    </w:pPr>
  </w:style>
  <w:style w:type="paragraph" w:customStyle="1" w:styleId="TableColumnHeadingLeft">
    <w:name w:val="Table Column Heading Left"/>
    <w:basedOn w:val="TableColumnHeadingBase"/>
    <w:uiPriority w:val="99"/>
    <w:rsid w:val="008755A5"/>
    <w:rPr>
      <w:rFonts w:ascii="Calibri" w:hAnsi="Calibri"/>
      <w:sz w:val="18"/>
    </w:rPr>
  </w:style>
  <w:style w:type="paragraph" w:customStyle="1" w:styleId="TableColumnHeadingRight">
    <w:name w:val="Table Column Heading Right"/>
    <w:basedOn w:val="TableColumnHeadingBase"/>
    <w:uiPriority w:val="99"/>
    <w:rsid w:val="008755A5"/>
    <w:pPr>
      <w:jc w:val="right"/>
    </w:pPr>
  </w:style>
  <w:style w:type="paragraph" w:customStyle="1" w:styleId="TableGraphic">
    <w:name w:val="Table Graphic"/>
    <w:basedOn w:val="HeadingBase"/>
    <w:next w:val="Normal"/>
    <w:rsid w:val="008755A5"/>
  </w:style>
  <w:style w:type="paragraph" w:customStyle="1" w:styleId="TableMainHeading">
    <w:name w:val="Table Main Heading"/>
    <w:basedOn w:val="HeadingBase"/>
    <w:next w:val="TableGraphic"/>
    <w:rsid w:val="008755A5"/>
    <w:pPr>
      <w:spacing w:after="20"/>
    </w:pPr>
    <w:rPr>
      <w:b/>
      <w:sz w:val="22"/>
    </w:rPr>
  </w:style>
  <w:style w:type="paragraph" w:customStyle="1" w:styleId="TableMainHeadingContd">
    <w:name w:val="Table Main Heading Contd"/>
    <w:basedOn w:val="HeadingBase"/>
    <w:next w:val="TableGraphic"/>
    <w:uiPriority w:val="99"/>
    <w:rsid w:val="008755A5"/>
    <w:pPr>
      <w:pageBreakBefore/>
      <w:spacing w:after="20"/>
    </w:pPr>
    <w:rPr>
      <w:b/>
      <w:sz w:val="22"/>
    </w:rPr>
  </w:style>
  <w:style w:type="paragraph" w:customStyle="1" w:styleId="TableSecondHeading">
    <w:name w:val="Table Second Heading"/>
    <w:basedOn w:val="HeadingBase"/>
    <w:next w:val="TableGraphic"/>
    <w:uiPriority w:val="99"/>
    <w:rsid w:val="008755A5"/>
    <w:pPr>
      <w:spacing w:after="20"/>
    </w:pPr>
  </w:style>
  <w:style w:type="paragraph" w:customStyle="1" w:styleId="TableTextCentered">
    <w:name w:val="Table Text Centered"/>
    <w:basedOn w:val="TableTextBase"/>
    <w:uiPriority w:val="99"/>
    <w:rsid w:val="008755A5"/>
    <w:pPr>
      <w:jc w:val="center"/>
    </w:pPr>
  </w:style>
  <w:style w:type="paragraph" w:customStyle="1" w:styleId="TableTextIndented">
    <w:name w:val="Table Text Indented"/>
    <w:basedOn w:val="TableTextBase"/>
    <w:uiPriority w:val="99"/>
    <w:rsid w:val="008755A5"/>
    <w:pPr>
      <w:ind w:left="284"/>
    </w:pPr>
  </w:style>
  <w:style w:type="paragraph" w:customStyle="1" w:styleId="TableTextLeft">
    <w:name w:val="Table Text Left"/>
    <w:basedOn w:val="TableTextBase"/>
    <w:uiPriority w:val="99"/>
    <w:rsid w:val="008755A5"/>
  </w:style>
  <w:style w:type="paragraph" w:customStyle="1" w:styleId="TableTextRight">
    <w:name w:val="Table Text Right"/>
    <w:basedOn w:val="TableTextBase"/>
    <w:uiPriority w:val="99"/>
    <w:rsid w:val="008755A5"/>
    <w:pPr>
      <w:jc w:val="right"/>
    </w:pPr>
  </w:style>
  <w:style w:type="paragraph" w:styleId="TOC1">
    <w:name w:val="toc 1"/>
    <w:basedOn w:val="HeadingBase"/>
    <w:next w:val="Normal"/>
    <w:uiPriority w:val="39"/>
    <w:rsid w:val="008755A5"/>
    <w:pPr>
      <w:tabs>
        <w:tab w:val="right" w:leader="dot" w:pos="9072"/>
      </w:tabs>
      <w:spacing w:before="180"/>
      <w:ind w:right="851"/>
    </w:pPr>
    <w:rPr>
      <w:b/>
      <w:sz w:val="22"/>
      <w:szCs w:val="22"/>
    </w:rPr>
  </w:style>
  <w:style w:type="paragraph" w:styleId="TOC2">
    <w:name w:val="toc 2"/>
    <w:basedOn w:val="HeadingBase"/>
    <w:next w:val="Normal"/>
    <w:uiPriority w:val="39"/>
    <w:rsid w:val="008755A5"/>
    <w:pPr>
      <w:tabs>
        <w:tab w:val="right" w:leader="dot" w:pos="9072"/>
      </w:tabs>
      <w:spacing w:before="40" w:after="20"/>
      <w:ind w:right="851"/>
    </w:pPr>
    <w:rPr>
      <w:sz w:val="22"/>
    </w:rPr>
  </w:style>
  <w:style w:type="paragraph" w:styleId="TOC3">
    <w:name w:val="toc 3"/>
    <w:basedOn w:val="Normal"/>
    <w:next w:val="Normal"/>
    <w:uiPriority w:val="99"/>
    <w:rsid w:val="008755A5"/>
    <w:pPr>
      <w:tabs>
        <w:tab w:val="right" w:leader="dot" w:pos="9072"/>
      </w:tabs>
      <w:spacing w:before="20" w:after="0" w:line="240" w:lineRule="auto"/>
      <w:ind w:left="284" w:right="851"/>
    </w:pPr>
  </w:style>
  <w:style w:type="paragraph" w:styleId="TOC4">
    <w:name w:val="toc 4"/>
    <w:basedOn w:val="Normal"/>
    <w:next w:val="Normal"/>
    <w:uiPriority w:val="99"/>
    <w:rsid w:val="008755A5"/>
    <w:pPr>
      <w:tabs>
        <w:tab w:val="right" w:leader="dot" w:pos="9072"/>
      </w:tabs>
      <w:spacing w:after="0" w:line="240" w:lineRule="auto"/>
      <w:ind w:left="284" w:right="851"/>
    </w:pPr>
  </w:style>
  <w:style w:type="character" w:customStyle="1" w:styleId="italic">
    <w:name w:val="italic"/>
    <w:basedOn w:val="DefaultParagraphFont"/>
    <w:uiPriority w:val="99"/>
    <w:rsid w:val="008755A5"/>
    <w:rPr>
      <w:rFonts w:cs="Times New Roman"/>
      <w:i/>
    </w:rPr>
  </w:style>
  <w:style w:type="paragraph" w:customStyle="1" w:styleId="OneLevelNumberedParagraph">
    <w:name w:val="One Level Numbered Paragraph"/>
    <w:basedOn w:val="Normal"/>
    <w:uiPriority w:val="99"/>
    <w:rsid w:val="008755A5"/>
    <w:pPr>
      <w:numPr>
        <w:numId w:val="8"/>
      </w:numPr>
      <w:tabs>
        <w:tab w:val="clear" w:pos="720"/>
        <w:tab w:val="num" w:pos="284"/>
      </w:tabs>
      <w:ind w:left="284" w:hanging="284"/>
    </w:pPr>
  </w:style>
  <w:style w:type="paragraph" w:customStyle="1" w:styleId="BoxText">
    <w:name w:val="Box Text"/>
    <w:basedOn w:val="BoxTextBase"/>
    <w:uiPriority w:val="99"/>
    <w:rsid w:val="008755A5"/>
  </w:style>
  <w:style w:type="paragraph" w:customStyle="1" w:styleId="BoxBullet">
    <w:name w:val="Box Bullet"/>
    <w:basedOn w:val="BoxTextBase"/>
    <w:uiPriority w:val="99"/>
    <w:rsid w:val="008755A5"/>
    <w:pPr>
      <w:numPr>
        <w:numId w:val="19"/>
      </w:numPr>
    </w:pPr>
  </w:style>
  <w:style w:type="paragraph" w:customStyle="1" w:styleId="BoxDash">
    <w:name w:val="Box Dash"/>
    <w:basedOn w:val="Normal"/>
    <w:uiPriority w:val="99"/>
    <w:rsid w:val="008755A5"/>
    <w:pPr>
      <w:numPr>
        <w:ilvl w:val="1"/>
        <w:numId w:val="19"/>
      </w:numPr>
    </w:pPr>
  </w:style>
  <w:style w:type="paragraph" w:customStyle="1" w:styleId="BoxDoubleDot">
    <w:name w:val="Box Double Dot"/>
    <w:basedOn w:val="BoxTextBase"/>
    <w:uiPriority w:val="99"/>
    <w:rsid w:val="008755A5"/>
    <w:pPr>
      <w:numPr>
        <w:ilvl w:val="2"/>
        <w:numId w:val="19"/>
      </w:numPr>
    </w:pPr>
  </w:style>
  <w:style w:type="paragraph" w:customStyle="1" w:styleId="RecommendationBullet">
    <w:name w:val="Recommendation Bullet"/>
    <w:basedOn w:val="RecommendationTextBase"/>
    <w:uiPriority w:val="99"/>
    <w:rsid w:val="008755A5"/>
    <w:pPr>
      <w:numPr>
        <w:numId w:val="10"/>
      </w:numPr>
      <w:tabs>
        <w:tab w:val="clear" w:pos="720"/>
        <w:tab w:val="num" w:pos="284"/>
        <w:tab w:val="num" w:pos="566"/>
      </w:tabs>
      <w:ind w:left="284" w:hanging="284"/>
    </w:pPr>
  </w:style>
  <w:style w:type="paragraph" w:customStyle="1" w:styleId="RecommendationDash">
    <w:name w:val="Recommendation Dash"/>
    <w:basedOn w:val="RecommendationTextBase"/>
    <w:uiPriority w:val="99"/>
    <w:rsid w:val="008755A5"/>
    <w:pPr>
      <w:numPr>
        <w:ilvl w:val="1"/>
        <w:numId w:val="10"/>
      </w:numPr>
      <w:tabs>
        <w:tab w:val="clear" w:pos="1440"/>
        <w:tab w:val="num" w:pos="567"/>
        <w:tab w:val="num" w:pos="1134"/>
      </w:tabs>
      <w:ind w:left="567" w:hanging="283"/>
    </w:pPr>
  </w:style>
  <w:style w:type="paragraph" w:customStyle="1" w:styleId="RecommendationDoubleDot">
    <w:name w:val="Recommendation Double Dot"/>
    <w:basedOn w:val="RecommendationTextBase"/>
    <w:uiPriority w:val="99"/>
    <w:rsid w:val="008755A5"/>
    <w:pPr>
      <w:numPr>
        <w:ilvl w:val="2"/>
        <w:numId w:val="10"/>
      </w:numPr>
      <w:tabs>
        <w:tab w:val="clear" w:pos="2160"/>
        <w:tab w:val="num" w:pos="851"/>
        <w:tab w:val="num" w:pos="1700"/>
      </w:tabs>
      <w:ind w:left="851" w:hanging="284"/>
    </w:pPr>
  </w:style>
  <w:style w:type="character" w:styleId="FollowedHyperlink">
    <w:name w:val="FollowedHyperlink"/>
    <w:basedOn w:val="DefaultParagraphFont"/>
    <w:uiPriority w:val="99"/>
    <w:rsid w:val="008755A5"/>
    <w:rPr>
      <w:rFonts w:cs="Times New Roman"/>
      <w:color w:val="auto"/>
      <w:u w:val="none"/>
    </w:rPr>
  </w:style>
  <w:style w:type="paragraph" w:customStyle="1" w:styleId="Heading1NotNumbered">
    <w:name w:val="Heading 1 Not Numbered"/>
    <w:basedOn w:val="HeadingBase"/>
    <w:next w:val="Normal"/>
    <w:uiPriority w:val="99"/>
    <w:rsid w:val="00B94987"/>
    <w:pPr>
      <w:spacing w:before="720" w:after="360"/>
    </w:pPr>
    <w:rPr>
      <w:smallCaps/>
      <w:sz w:val="36"/>
      <w:szCs w:val="36"/>
    </w:rPr>
  </w:style>
  <w:style w:type="paragraph" w:customStyle="1" w:styleId="Heading2NotNumbered">
    <w:name w:val="Heading 2 Not Numbered"/>
    <w:basedOn w:val="HeadingBase"/>
    <w:next w:val="Normal"/>
    <w:uiPriority w:val="99"/>
    <w:rsid w:val="00B94987"/>
    <w:pPr>
      <w:spacing w:before="360" w:after="180"/>
    </w:pPr>
    <w:rPr>
      <w:smallCaps/>
      <w:sz w:val="28"/>
      <w:szCs w:val="28"/>
    </w:rPr>
  </w:style>
  <w:style w:type="paragraph" w:customStyle="1" w:styleId="Heading3NotNumbered">
    <w:name w:val="Heading 3 Not Numbered"/>
    <w:basedOn w:val="HeadingBase"/>
    <w:next w:val="Normal"/>
    <w:uiPriority w:val="99"/>
    <w:rsid w:val="00B94987"/>
    <w:pPr>
      <w:spacing w:before="240" w:after="120"/>
    </w:pPr>
    <w:rPr>
      <w:sz w:val="28"/>
      <w:szCs w:val="26"/>
    </w:rPr>
  </w:style>
  <w:style w:type="paragraph" w:customStyle="1" w:styleId="Heading4NotNumbered">
    <w:name w:val="Heading 4 Not Numbered"/>
    <w:basedOn w:val="HeadingBase"/>
    <w:uiPriority w:val="99"/>
    <w:rsid w:val="00B94987"/>
    <w:pPr>
      <w:spacing w:before="120" w:after="120"/>
      <w:outlineLvl w:val="3"/>
    </w:pPr>
    <w:rPr>
      <w:b/>
      <w:sz w:val="26"/>
    </w:rPr>
  </w:style>
  <w:style w:type="paragraph" w:styleId="BalloonText">
    <w:name w:val="Balloon Text"/>
    <w:basedOn w:val="Normal"/>
    <w:link w:val="BalloonTextChar"/>
    <w:uiPriority w:val="99"/>
    <w:semiHidden/>
    <w:rsid w:val="008755A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55A5"/>
    <w:rPr>
      <w:rFonts w:ascii="Tahoma" w:hAnsi="Tahoma" w:cs="Tahoma"/>
      <w:sz w:val="16"/>
      <w:szCs w:val="16"/>
    </w:rPr>
  </w:style>
  <w:style w:type="paragraph" w:styleId="Caption">
    <w:name w:val="caption"/>
    <w:basedOn w:val="Normal"/>
    <w:next w:val="Normal"/>
    <w:uiPriority w:val="99"/>
    <w:qFormat/>
    <w:rsid w:val="008755A5"/>
    <w:rPr>
      <w:b/>
      <w:bCs/>
    </w:rPr>
  </w:style>
  <w:style w:type="character" w:styleId="CommentReference">
    <w:name w:val="annotation reference"/>
    <w:basedOn w:val="DefaultParagraphFont"/>
    <w:uiPriority w:val="99"/>
    <w:semiHidden/>
    <w:rsid w:val="008755A5"/>
    <w:rPr>
      <w:rFonts w:cs="Times New Roman"/>
      <w:sz w:val="16"/>
      <w:szCs w:val="16"/>
    </w:rPr>
  </w:style>
  <w:style w:type="paragraph" w:styleId="CommentText">
    <w:name w:val="annotation text"/>
    <w:basedOn w:val="Normal"/>
    <w:link w:val="CommentTextChar"/>
    <w:uiPriority w:val="99"/>
    <w:semiHidden/>
    <w:rsid w:val="008755A5"/>
  </w:style>
  <w:style w:type="character" w:customStyle="1" w:styleId="CommentTextChar">
    <w:name w:val="Comment Text Char"/>
    <w:basedOn w:val="DefaultParagraphFont"/>
    <w:link w:val="CommentText"/>
    <w:uiPriority w:val="99"/>
    <w:semiHidden/>
    <w:locked/>
    <w:rsid w:val="008755A5"/>
    <w:rPr>
      <w:rFonts w:ascii="Calibri" w:hAnsi="Calibri" w:cs="Times New Roman"/>
      <w:sz w:val="22"/>
    </w:rPr>
  </w:style>
  <w:style w:type="paragraph" w:styleId="CommentSubject">
    <w:name w:val="annotation subject"/>
    <w:basedOn w:val="CommentText"/>
    <w:next w:val="CommentText"/>
    <w:link w:val="CommentSubjectChar"/>
    <w:uiPriority w:val="99"/>
    <w:semiHidden/>
    <w:rsid w:val="008755A5"/>
    <w:rPr>
      <w:b/>
      <w:bCs/>
    </w:rPr>
  </w:style>
  <w:style w:type="character" w:customStyle="1" w:styleId="CommentSubjectChar">
    <w:name w:val="Comment Subject Char"/>
    <w:basedOn w:val="CommentTextChar"/>
    <w:link w:val="CommentSubject"/>
    <w:uiPriority w:val="99"/>
    <w:semiHidden/>
    <w:locked/>
    <w:rsid w:val="008755A5"/>
    <w:rPr>
      <w:rFonts w:ascii="Calibri" w:hAnsi="Calibri" w:cs="Times New Roman"/>
      <w:b/>
      <w:bCs/>
      <w:sz w:val="22"/>
    </w:rPr>
  </w:style>
  <w:style w:type="paragraph" w:styleId="DocumentMap">
    <w:name w:val="Document Map"/>
    <w:basedOn w:val="Normal"/>
    <w:link w:val="DocumentMapChar"/>
    <w:uiPriority w:val="99"/>
    <w:semiHidden/>
    <w:rsid w:val="008755A5"/>
    <w:pPr>
      <w:shd w:val="clear" w:color="auto" w:fill="00CCFF"/>
    </w:pPr>
    <w:rPr>
      <w:rFonts w:ascii="Tahoma" w:hAnsi="Tahoma" w:cs="Tahoma"/>
    </w:rPr>
  </w:style>
  <w:style w:type="character" w:customStyle="1" w:styleId="DocumentMapChar">
    <w:name w:val="Document Map Char"/>
    <w:basedOn w:val="DefaultParagraphFont"/>
    <w:link w:val="DocumentMap"/>
    <w:uiPriority w:val="99"/>
    <w:semiHidden/>
    <w:locked/>
    <w:rsid w:val="008755A5"/>
    <w:rPr>
      <w:rFonts w:ascii="Tahoma" w:hAnsi="Tahoma" w:cs="Tahoma"/>
      <w:sz w:val="22"/>
      <w:shd w:val="clear" w:color="auto" w:fill="00CCFF"/>
    </w:rPr>
  </w:style>
  <w:style w:type="character" w:styleId="EndnoteReference">
    <w:name w:val="endnote reference"/>
    <w:basedOn w:val="DefaultParagraphFont"/>
    <w:uiPriority w:val="99"/>
    <w:semiHidden/>
    <w:rsid w:val="008755A5"/>
    <w:rPr>
      <w:rFonts w:cs="Times New Roman"/>
      <w:vertAlign w:val="superscript"/>
    </w:rPr>
  </w:style>
  <w:style w:type="paragraph" w:styleId="EndnoteText">
    <w:name w:val="endnote text"/>
    <w:basedOn w:val="Normal"/>
    <w:link w:val="EndnoteTextChar"/>
    <w:uiPriority w:val="99"/>
    <w:rsid w:val="008755A5"/>
  </w:style>
  <w:style w:type="character" w:customStyle="1" w:styleId="EndnoteTextChar">
    <w:name w:val="Endnote Text Char"/>
    <w:basedOn w:val="DefaultParagraphFont"/>
    <w:link w:val="EndnoteText"/>
    <w:uiPriority w:val="99"/>
    <w:locked/>
    <w:rsid w:val="008755A5"/>
    <w:rPr>
      <w:rFonts w:ascii="Calibri" w:hAnsi="Calibri" w:cs="Times New Roman"/>
      <w:sz w:val="22"/>
    </w:rPr>
  </w:style>
  <w:style w:type="character" w:styleId="FootnoteReference">
    <w:name w:val="footnote reference"/>
    <w:basedOn w:val="DefaultParagraphFont"/>
    <w:uiPriority w:val="99"/>
    <w:rsid w:val="008755A5"/>
    <w:rPr>
      <w:rFonts w:cs="Times New Roman"/>
      <w:vertAlign w:val="superscript"/>
    </w:rPr>
  </w:style>
  <w:style w:type="paragraph" w:styleId="Index1">
    <w:name w:val="index 1"/>
    <w:basedOn w:val="Normal"/>
    <w:next w:val="Normal"/>
    <w:autoRedefine/>
    <w:uiPriority w:val="99"/>
    <w:semiHidden/>
    <w:rsid w:val="008755A5"/>
    <w:pPr>
      <w:ind w:left="200" w:hanging="200"/>
    </w:pPr>
  </w:style>
  <w:style w:type="paragraph" w:styleId="Index2">
    <w:name w:val="index 2"/>
    <w:basedOn w:val="Normal"/>
    <w:next w:val="Normal"/>
    <w:autoRedefine/>
    <w:uiPriority w:val="99"/>
    <w:semiHidden/>
    <w:rsid w:val="008755A5"/>
    <w:pPr>
      <w:ind w:left="400" w:hanging="200"/>
    </w:pPr>
  </w:style>
  <w:style w:type="paragraph" w:styleId="Index3">
    <w:name w:val="index 3"/>
    <w:basedOn w:val="Normal"/>
    <w:next w:val="Normal"/>
    <w:autoRedefine/>
    <w:uiPriority w:val="99"/>
    <w:semiHidden/>
    <w:rsid w:val="008755A5"/>
    <w:pPr>
      <w:ind w:left="600" w:hanging="200"/>
    </w:pPr>
  </w:style>
  <w:style w:type="paragraph" w:styleId="Index4">
    <w:name w:val="index 4"/>
    <w:basedOn w:val="Normal"/>
    <w:next w:val="Normal"/>
    <w:autoRedefine/>
    <w:uiPriority w:val="99"/>
    <w:semiHidden/>
    <w:rsid w:val="008755A5"/>
    <w:pPr>
      <w:ind w:left="800" w:hanging="200"/>
    </w:pPr>
  </w:style>
  <w:style w:type="paragraph" w:styleId="Index5">
    <w:name w:val="index 5"/>
    <w:basedOn w:val="Normal"/>
    <w:next w:val="Normal"/>
    <w:autoRedefine/>
    <w:uiPriority w:val="99"/>
    <w:semiHidden/>
    <w:rsid w:val="008755A5"/>
    <w:pPr>
      <w:ind w:left="1000" w:hanging="200"/>
    </w:pPr>
  </w:style>
  <w:style w:type="paragraph" w:styleId="Index6">
    <w:name w:val="index 6"/>
    <w:basedOn w:val="Normal"/>
    <w:next w:val="Normal"/>
    <w:autoRedefine/>
    <w:uiPriority w:val="99"/>
    <w:semiHidden/>
    <w:rsid w:val="008755A5"/>
    <w:pPr>
      <w:ind w:left="1200" w:hanging="200"/>
    </w:pPr>
  </w:style>
  <w:style w:type="paragraph" w:styleId="Index7">
    <w:name w:val="index 7"/>
    <w:basedOn w:val="Normal"/>
    <w:next w:val="Normal"/>
    <w:autoRedefine/>
    <w:uiPriority w:val="99"/>
    <w:semiHidden/>
    <w:rsid w:val="008755A5"/>
    <w:pPr>
      <w:ind w:left="1400" w:hanging="200"/>
    </w:pPr>
  </w:style>
  <w:style w:type="paragraph" w:styleId="Index8">
    <w:name w:val="index 8"/>
    <w:basedOn w:val="Normal"/>
    <w:next w:val="Normal"/>
    <w:autoRedefine/>
    <w:uiPriority w:val="99"/>
    <w:semiHidden/>
    <w:rsid w:val="008755A5"/>
    <w:pPr>
      <w:ind w:left="1600" w:hanging="200"/>
    </w:pPr>
  </w:style>
  <w:style w:type="paragraph" w:styleId="Index9">
    <w:name w:val="index 9"/>
    <w:basedOn w:val="Normal"/>
    <w:next w:val="Normal"/>
    <w:autoRedefine/>
    <w:uiPriority w:val="99"/>
    <w:semiHidden/>
    <w:rsid w:val="008755A5"/>
    <w:pPr>
      <w:ind w:left="1800" w:hanging="200"/>
    </w:pPr>
  </w:style>
  <w:style w:type="paragraph" w:styleId="IndexHeading">
    <w:name w:val="index heading"/>
    <w:basedOn w:val="Normal"/>
    <w:next w:val="Index1"/>
    <w:uiPriority w:val="99"/>
    <w:semiHidden/>
    <w:rsid w:val="008755A5"/>
    <w:rPr>
      <w:rFonts w:ascii="Arial" w:hAnsi="Arial" w:cs="Arial"/>
      <w:b/>
      <w:bCs/>
    </w:rPr>
  </w:style>
  <w:style w:type="paragraph" w:styleId="MacroText">
    <w:name w:val="macro"/>
    <w:link w:val="MacroTextChar"/>
    <w:uiPriority w:val="99"/>
    <w:semiHidden/>
    <w:rsid w:val="008755A5"/>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rPr>
  </w:style>
  <w:style w:type="character" w:customStyle="1" w:styleId="MacroTextChar">
    <w:name w:val="Macro Text Char"/>
    <w:basedOn w:val="DefaultParagraphFont"/>
    <w:link w:val="MacroText"/>
    <w:uiPriority w:val="99"/>
    <w:semiHidden/>
    <w:locked/>
    <w:rsid w:val="008755A5"/>
    <w:rPr>
      <w:rFonts w:ascii="Courier New" w:hAnsi="Courier New" w:cs="Courier New"/>
      <w:color w:val="000000"/>
      <w:lang w:val="en-AU" w:eastAsia="en-AU" w:bidi="ar-SA"/>
    </w:rPr>
  </w:style>
  <w:style w:type="paragraph" w:styleId="TableofAuthorities">
    <w:name w:val="table of authorities"/>
    <w:basedOn w:val="Normal"/>
    <w:next w:val="Normal"/>
    <w:uiPriority w:val="99"/>
    <w:rsid w:val="008755A5"/>
    <w:pPr>
      <w:ind w:left="200" w:hanging="200"/>
    </w:pPr>
  </w:style>
  <w:style w:type="paragraph" w:styleId="TableofFigures">
    <w:name w:val="table of figures"/>
    <w:basedOn w:val="Normal"/>
    <w:next w:val="Normal"/>
    <w:uiPriority w:val="99"/>
    <w:rsid w:val="008755A5"/>
  </w:style>
  <w:style w:type="paragraph" w:styleId="TOAHeading">
    <w:name w:val="toa heading"/>
    <w:basedOn w:val="Normal"/>
    <w:next w:val="Normal"/>
    <w:uiPriority w:val="99"/>
    <w:semiHidden/>
    <w:rsid w:val="008755A5"/>
    <w:pPr>
      <w:spacing w:before="120"/>
    </w:pPr>
    <w:rPr>
      <w:rFonts w:ascii="Arial" w:hAnsi="Arial" w:cs="Arial"/>
      <w:b/>
      <w:bCs/>
      <w:sz w:val="24"/>
      <w:szCs w:val="24"/>
    </w:rPr>
  </w:style>
  <w:style w:type="paragraph" w:styleId="TOC5">
    <w:name w:val="toc 5"/>
    <w:basedOn w:val="Normal"/>
    <w:next w:val="Normal"/>
    <w:autoRedefine/>
    <w:uiPriority w:val="99"/>
    <w:semiHidden/>
    <w:rsid w:val="008755A5"/>
    <w:pPr>
      <w:ind w:left="800"/>
    </w:pPr>
  </w:style>
  <w:style w:type="paragraph" w:styleId="TOC6">
    <w:name w:val="toc 6"/>
    <w:basedOn w:val="Normal"/>
    <w:next w:val="Normal"/>
    <w:autoRedefine/>
    <w:uiPriority w:val="99"/>
    <w:semiHidden/>
    <w:rsid w:val="008755A5"/>
    <w:pPr>
      <w:ind w:left="1000"/>
    </w:pPr>
  </w:style>
  <w:style w:type="paragraph" w:styleId="TOC7">
    <w:name w:val="toc 7"/>
    <w:basedOn w:val="Normal"/>
    <w:next w:val="Normal"/>
    <w:autoRedefine/>
    <w:uiPriority w:val="99"/>
    <w:semiHidden/>
    <w:rsid w:val="008755A5"/>
    <w:pPr>
      <w:ind w:left="1200"/>
    </w:pPr>
  </w:style>
  <w:style w:type="paragraph" w:styleId="TOC8">
    <w:name w:val="toc 8"/>
    <w:basedOn w:val="Normal"/>
    <w:next w:val="Normal"/>
    <w:autoRedefine/>
    <w:uiPriority w:val="99"/>
    <w:semiHidden/>
    <w:rsid w:val="008755A5"/>
    <w:pPr>
      <w:ind w:left="1400"/>
    </w:pPr>
  </w:style>
  <w:style w:type="paragraph" w:styleId="TOC9">
    <w:name w:val="toc 9"/>
    <w:basedOn w:val="Normal"/>
    <w:next w:val="Normal"/>
    <w:autoRedefine/>
    <w:uiPriority w:val="99"/>
    <w:semiHidden/>
    <w:rsid w:val="008755A5"/>
    <w:pPr>
      <w:ind w:left="1600"/>
    </w:pPr>
  </w:style>
  <w:style w:type="paragraph" w:customStyle="1" w:styleId="Heading5NotNumbered">
    <w:name w:val="Heading 5 Not Numbered"/>
    <w:basedOn w:val="HeadingBase"/>
    <w:uiPriority w:val="99"/>
    <w:rsid w:val="00B94987"/>
    <w:pPr>
      <w:spacing w:after="120"/>
      <w:outlineLvl w:val="4"/>
    </w:pPr>
    <w:rPr>
      <w:b/>
      <w:sz w:val="24"/>
    </w:rPr>
  </w:style>
  <w:style w:type="table" w:customStyle="1" w:styleId="OptionsTable">
    <w:name w:val="Options Table"/>
    <w:uiPriority w:val="99"/>
    <w:rsid w:val="00B94987"/>
    <w:rPr>
      <w:rFonts w:ascii="Times New Roman" w:eastAsia="Times New Roman" w:hAnsi="Times New Roman"/>
      <w:sz w:val="20"/>
      <w:szCs w:val="20"/>
    </w:rPr>
    <w:tblPr>
      <w:tblStyleRowBandSize w:val="1"/>
      <w:tblInd w:w="0" w:type="dxa"/>
      <w:tblBorders>
        <w:insideH w:val="single" w:sz="12" w:space="0" w:color="FFFFFF"/>
        <w:insideV w:val="single" w:sz="12" w:space="0" w:color="FFFFFF"/>
      </w:tblBorders>
      <w:tblCellMar>
        <w:top w:w="0" w:type="dxa"/>
        <w:left w:w="108" w:type="dxa"/>
        <w:bottom w:w="0" w:type="dxa"/>
        <w:right w:w="108" w:type="dxa"/>
      </w:tblCellMar>
    </w:tblPr>
    <w:tcPr>
      <w:shd w:val="clear" w:color="auto" w:fill="FFFFFF"/>
    </w:tcPr>
  </w:style>
  <w:style w:type="paragraph" w:customStyle="1" w:styleId="Romannumeral">
    <w:name w:val="Roman numeral"/>
    <w:basedOn w:val="Normal"/>
    <w:rsid w:val="008755A5"/>
    <w:pPr>
      <w:numPr>
        <w:numId w:val="11"/>
      </w:numPr>
      <w:tabs>
        <w:tab w:val="clear" w:pos="566"/>
        <w:tab w:val="num" w:pos="520"/>
        <w:tab w:val="num" w:pos="567"/>
      </w:tabs>
      <w:ind w:left="567" w:hanging="567"/>
    </w:pPr>
  </w:style>
  <w:style w:type="paragraph" w:customStyle="1" w:styleId="OutlineNumbered4">
    <w:name w:val="Outline Numbered 4"/>
    <w:basedOn w:val="Normal"/>
    <w:uiPriority w:val="99"/>
    <w:rsid w:val="00B94987"/>
  </w:style>
  <w:style w:type="paragraph" w:customStyle="1" w:styleId="OutlineNumbered5">
    <w:name w:val="Outline Numbered 5"/>
    <w:basedOn w:val="Normal"/>
    <w:uiPriority w:val="99"/>
    <w:rsid w:val="00B94987"/>
    <w:pPr>
      <w:numPr>
        <w:ilvl w:val="4"/>
        <w:numId w:val="4"/>
      </w:numPr>
    </w:pPr>
  </w:style>
  <w:style w:type="paragraph" w:customStyle="1" w:styleId="Crest">
    <w:name w:val="Crest"/>
    <w:basedOn w:val="Header"/>
    <w:uiPriority w:val="99"/>
    <w:rsid w:val="00B94987"/>
    <w:pPr>
      <w:spacing w:after="480"/>
      <w:jc w:val="right"/>
    </w:pPr>
  </w:style>
  <w:style w:type="character" w:customStyle="1" w:styleId="SingleParagraphChar">
    <w:name w:val="Single Paragraph Char"/>
    <w:link w:val="SingleParagraph"/>
    <w:uiPriority w:val="99"/>
    <w:locked/>
    <w:rsid w:val="00B94987"/>
    <w:rPr>
      <w:rFonts w:ascii="Calibri" w:hAnsi="Calibri"/>
      <w:sz w:val="22"/>
    </w:rPr>
  </w:style>
  <w:style w:type="character" w:customStyle="1" w:styleId="A5">
    <w:name w:val="A5"/>
    <w:uiPriority w:val="99"/>
    <w:rsid w:val="00B94987"/>
    <w:rPr>
      <w:color w:val="000000"/>
      <w:sz w:val="20"/>
    </w:rPr>
  </w:style>
  <w:style w:type="character" w:customStyle="1" w:styleId="BulletChar">
    <w:name w:val="Bullet Char"/>
    <w:aliases w:val="b Char,b Char Char"/>
    <w:link w:val="Bullet"/>
    <w:uiPriority w:val="99"/>
    <w:locked/>
    <w:rsid w:val="00B94987"/>
    <w:rPr>
      <w:rFonts w:eastAsia="Times New Roman"/>
      <w:sz w:val="20"/>
      <w:szCs w:val="20"/>
      <w:lang w:eastAsia="ja-JP"/>
    </w:rPr>
  </w:style>
  <w:style w:type="character" w:customStyle="1" w:styleId="OutlineNumbered1Char">
    <w:name w:val="Outline Numbered 1 Char"/>
    <w:link w:val="OutlineNumbered1"/>
    <w:uiPriority w:val="99"/>
    <w:locked/>
    <w:rsid w:val="00B94987"/>
    <w:rPr>
      <w:rFonts w:ascii="Calibri" w:hAnsi="Calibri"/>
      <w:sz w:val="22"/>
      <w:lang w:val="en-AU" w:eastAsia="en-AU"/>
    </w:rPr>
  </w:style>
  <w:style w:type="paragraph" w:styleId="Revision">
    <w:name w:val="Revision"/>
    <w:hidden/>
    <w:uiPriority w:val="99"/>
    <w:semiHidden/>
    <w:rsid w:val="006770E8"/>
    <w:rPr>
      <w:rFonts w:eastAsia="Times New Roman"/>
      <w:color w:val="000000"/>
      <w:szCs w:val="20"/>
    </w:rPr>
  </w:style>
  <w:style w:type="character" w:customStyle="1" w:styleId="DashChar">
    <w:name w:val="Dash Char"/>
    <w:link w:val="Dash"/>
    <w:uiPriority w:val="99"/>
    <w:locked/>
    <w:rsid w:val="00D2112F"/>
    <w:rPr>
      <w:rFonts w:eastAsia="Times New Roman"/>
      <w:sz w:val="20"/>
      <w:szCs w:val="20"/>
      <w:lang w:eastAsia="ja-JP"/>
    </w:rPr>
  </w:style>
  <w:style w:type="paragraph" w:customStyle="1" w:styleId="SecurityClassificationHeader">
    <w:name w:val="Security Classification Header"/>
    <w:link w:val="SecurityClassificationHeaderChar"/>
    <w:uiPriority w:val="99"/>
    <w:rsid w:val="008D620B"/>
    <w:pPr>
      <w:spacing w:after="240" w:line="276" w:lineRule="auto"/>
      <w:jc w:val="center"/>
    </w:pPr>
    <w:rPr>
      <w:rFonts w:ascii="Times New Roman" w:hAnsi="Times New Roman"/>
      <w:b/>
      <w:caps/>
      <w:color w:val="342E82"/>
    </w:rPr>
  </w:style>
  <w:style w:type="character" w:customStyle="1" w:styleId="SecurityClassificationHeaderChar">
    <w:name w:val="Security Classification Header Char"/>
    <w:link w:val="SecurityClassificationHeader"/>
    <w:uiPriority w:val="99"/>
    <w:locked/>
    <w:rsid w:val="008D620B"/>
    <w:rPr>
      <w:rFonts w:ascii="Times New Roman" w:hAnsi="Times New Roman"/>
      <w:b/>
      <w:caps/>
      <w:color w:val="342E82"/>
      <w:sz w:val="22"/>
      <w:lang w:val="en-AU" w:eastAsia="en-AU"/>
    </w:rPr>
  </w:style>
  <w:style w:type="paragraph" w:customStyle="1" w:styleId="SecurityClassificationFooter">
    <w:name w:val="Security Classification Footer"/>
    <w:link w:val="SecurityClassificationFooterChar"/>
    <w:uiPriority w:val="99"/>
    <w:rsid w:val="008D620B"/>
    <w:pPr>
      <w:spacing w:before="240" w:after="200" w:line="276" w:lineRule="auto"/>
      <w:jc w:val="center"/>
    </w:pPr>
    <w:rPr>
      <w:rFonts w:ascii="Times New Roman" w:hAnsi="Times New Roman"/>
      <w:b/>
      <w:caps/>
      <w:color w:val="342E82"/>
    </w:rPr>
  </w:style>
  <w:style w:type="character" w:customStyle="1" w:styleId="SecurityClassificationFooterChar">
    <w:name w:val="Security Classification Footer Char"/>
    <w:link w:val="SecurityClassificationFooter"/>
    <w:uiPriority w:val="99"/>
    <w:locked/>
    <w:rsid w:val="008D620B"/>
    <w:rPr>
      <w:rFonts w:ascii="Times New Roman" w:hAnsi="Times New Roman"/>
      <w:b/>
      <w:caps/>
      <w:color w:val="342E82"/>
      <w:sz w:val="22"/>
      <w:lang w:val="en-AU" w:eastAsia="en-AU"/>
    </w:rPr>
  </w:style>
  <w:style w:type="paragraph" w:styleId="NormalWeb">
    <w:name w:val="Normal (Web)"/>
    <w:basedOn w:val="Normal"/>
    <w:uiPriority w:val="99"/>
    <w:locked/>
    <w:rsid w:val="008755A5"/>
    <w:pPr>
      <w:spacing w:line="312" w:lineRule="atLeast"/>
    </w:pPr>
    <w:rPr>
      <w:sz w:val="24"/>
      <w:szCs w:val="24"/>
    </w:rPr>
  </w:style>
  <w:style w:type="paragraph" w:styleId="ListBullet2">
    <w:name w:val="List Bullet 2"/>
    <w:basedOn w:val="Normal"/>
    <w:uiPriority w:val="99"/>
    <w:semiHidden/>
    <w:locked/>
    <w:rsid w:val="00115EEC"/>
    <w:pPr>
      <w:tabs>
        <w:tab w:val="num" w:pos="283"/>
        <w:tab w:val="num" w:pos="567"/>
        <w:tab w:val="num" w:pos="643"/>
      </w:tabs>
      <w:ind w:left="643" w:hanging="360"/>
    </w:pPr>
  </w:style>
  <w:style w:type="paragraph" w:styleId="BodyText">
    <w:name w:val="Body Text"/>
    <w:basedOn w:val="Normal"/>
    <w:link w:val="BodyTextChar"/>
    <w:uiPriority w:val="99"/>
    <w:locked/>
    <w:rsid w:val="00E53E1C"/>
    <w:pPr>
      <w:spacing w:before="120" w:after="120" w:line="240" w:lineRule="auto"/>
    </w:pPr>
    <w:rPr>
      <w:rFonts w:ascii="Times New Roman" w:hAnsi="Times New Roman"/>
      <w:sz w:val="24"/>
      <w:szCs w:val="22"/>
      <w:lang w:eastAsia="en-US"/>
    </w:rPr>
  </w:style>
  <w:style w:type="character" w:customStyle="1" w:styleId="BodyTextChar">
    <w:name w:val="Body Text Char"/>
    <w:basedOn w:val="DefaultParagraphFont"/>
    <w:link w:val="BodyText"/>
    <w:uiPriority w:val="99"/>
    <w:locked/>
    <w:rsid w:val="00E53E1C"/>
    <w:rPr>
      <w:rFonts w:ascii="Times New Roman" w:hAnsi="Times New Roman" w:cs="Times New Roman"/>
      <w:sz w:val="22"/>
      <w:szCs w:val="22"/>
      <w:lang w:eastAsia="en-US"/>
    </w:rPr>
  </w:style>
  <w:style w:type="paragraph" w:styleId="BodyTextIndent">
    <w:name w:val="Body Text Indent"/>
    <w:basedOn w:val="Normal"/>
    <w:link w:val="BodyTextIndentChar"/>
    <w:uiPriority w:val="99"/>
    <w:locked/>
    <w:rsid w:val="00E53E1C"/>
    <w:pPr>
      <w:spacing w:before="120" w:after="120" w:line="240" w:lineRule="auto"/>
      <w:ind w:left="425"/>
    </w:pPr>
    <w:rPr>
      <w:rFonts w:ascii="Times New Roman" w:hAnsi="Times New Roman"/>
      <w:sz w:val="24"/>
      <w:szCs w:val="22"/>
      <w:lang w:eastAsia="en-US"/>
    </w:rPr>
  </w:style>
  <w:style w:type="character" w:customStyle="1" w:styleId="BodyTextIndentChar">
    <w:name w:val="Body Text Indent Char"/>
    <w:basedOn w:val="DefaultParagraphFont"/>
    <w:link w:val="BodyTextIndent"/>
    <w:uiPriority w:val="99"/>
    <w:locked/>
    <w:rsid w:val="00E53E1C"/>
    <w:rPr>
      <w:rFonts w:ascii="Times New Roman" w:hAnsi="Times New Roman" w:cs="Times New Roman"/>
      <w:sz w:val="22"/>
      <w:szCs w:val="22"/>
      <w:lang w:eastAsia="en-US"/>
    </w:rPr>
  </w:style>
  <w:style w:type="paragraph" w:styleId="BodyTextIndent2">
    <w:name w:val="Body Text Indent 2"/>
    <w:basedOn w:val="Normal"/>
    <w:link w:val="BodyTextIndent2Char"/>
    <w:uiPriority w:val="99"/>
    <w:locked/>
    <w:rsid w:val="008755A5"/>
    <w:pPr>
      <w:spacing w:after="120" w:line="480" w:lineRule="auto"/>
      <w:ind w:left="283"/>
    </w:pPr>
  </w:style>
  <w:style w:type="character" w:customStyle="1" w:styleId="BodyTextIndent2Char">
    <w:name w:val="Body Text Indent 2 Char"/>
    <w:basedOn w:val="DefaultParagraphFont"/>
    <w:link w:val="BodyTextIndent2"/>
    <w:uiPriority w:val="99"/>
    <w:locked/>
    <w:rsid w:val="008755A5"/>
    <w:rPr>
      <w:rFonts w:ascii="Calibri" w:hAnsi="Calibri" w:cs="Times New Roman"/>
      <w:sz w:val="22"/>
    </w:rPr>
  </w:style>
  <w:style w:type="paragraph" w:styleId="BodyTextIndent3">
    <w:name w:val="Body Text Indent 3"/>
    <w:basedOn w:val="Normal"/>
    <w:link w:val="BodyTextIndent3Char"/>
    <w:uiPriority w:val="99"/>
    <w:locked/>
    <w:rsid w:val="00E53E1C"/>
    <w:pPr>
      <w:spacing w:before="120" w:after="120" w:line="240" w:lineRule="auto"/>
      <w:ind w:left="1701"/>
    </w:pPr>
    <w:rPr>
      <w:rFonts w:ascii="Times New Roman" w:hAnsi="Times New Roman"/>
      <w:sz w:val="24"/>
      <w:szCs w:val="16"/>
      <w:lang w:eastAsia="en-US"/>
    </w:rPr>
  </w:style>
  <w:style w:type="character" w:customStyle="1" w:styleId="BodyTextIndent3Char">
    <w:name w:val="Body Text Indent 3 Char"/>
    <w:basedOn w:val="DefaultParagraphFont"/>
    <w:link w:val="BodyTextIndent3"/>
    <w:uiPriority w:val="99"/>
    <w:locked/>
    <w:rsid w:val="00E53E1C"/>
    <w:rPr>
      <w:rFonts w:ascii="Times New Roman" w:hAnsi="Times New Roman" w:cs="Times New Roman"/>
      <w:sz w:val="16"/>
      <w:szCs w:val="16"/>
      <w:lang w:eastAsia="en-US"/>
    </w:rPr>
  </w:style>
  <w:style w:type="paragraph" w:styleId="ListParagraph">
    <w:name w:val="List Paragraph"/>
    <w:basedOn w:val="Normal"/>
    <w:uiPriority w:val="99"/>
    <w:qFormat/>
    <w:rsid w:val="00E53E1C"/>
    <w:pPr>
      <w:spacing w:after="0" w:line="240" w:lineRule="auto"/>
      <w:ind w:left="720"/>
      <w:contextualSpacing/>
    </w:pPr>
    <w:rPr>
      <w:rFonts w:ascii="Times New Roman" w:hAnsi="Times New Roman"/>
      <w:sz w:val="24"/>
      <w:szCs w:val="22"/>
      <w:lang w:eastAsia="en-US"/>
    </w:rPr>
  </w:style>
  <w:style w:type="paragraph" w:customStyle="1" w:styleId="Addressblock">
    <w:name w:val="Address block"/>
    <w:basedOn w:val="Normal"/>
    <w:uiPriority w:val="99"/>
    <w:rsid w:val="00E53E1C"/>
    <w:pPr>
      <w:spacing w:after="0" w:line="240" w:lineRule="auto"/>
    </w:pPr>
    <w:rPr>
      <w:rFonts w:ascii="Times New Roman" w:hAnsi="Times New Roman"/>
      <w:sz w:val="24"/>
      <w:szCs w:val="22"/>
      <w:lang w:eastAsia="en-US"/>
    </w:rPr>
  </w:style>
  <w:style w:type="paragraph" w:customStyle="1" w:styleId="BodyTextIndent4">
    <w:name w:val="Body Text Indent 4"/>
    <w:basedOn w:val="BodyTextIndent3"/>
    <w:uiPriority w:val="99"/>
    <w:rsid w:val="00E53E1C"/>
    <w:pPr>
      <w:ind w:left="2608"/>
    </w:pPr>
  </w:style>
  <w:style w:type="paragraph" w:customStyle="1" w:styleId="BulletP1">
    <w:name w:val="Bullet P1"/>
    <w:basedOn w:val="Normal"/>
    <w:uiPriority w:val="99"/>
    <w:rsid w:val="00E53E1C"/>
    <w:pPr>
      <w:numPr>
        <w:numId w:val="13"/>
      </w:numPr>
      <w:spacing w:before="60" w:after="60" w:line="240" w:lineRule="auto"/>
    </w:pPr>
    <w:rPr>
      <w:rFonts w:ascii="Times New Roman" w:hAnsi="Times New Roman"/>
      <w:sz w:val="24"/>
      <w:szCs w:val="22"/>
      <w:lang w:eastAsia="en-US"/>
    </w:rPr>
  </w:style>
  <w:style w:type="paragraph" w:customStyle="1" w:styleId="BulletSubP1">
    <w:name w:val="Bullet Sub P1"/>
    <w:basedOn w:val="Normal"/>
    <w:uiPriority w:val="99"/>
    <w:rsid w:val="00E53E1C"/>
    <w:pPr>
      <w:numPr>
        <w:numId w:val="14"/>
      </w:numPr>
      <w:spacing w:before="60" w:after="60" w:line="240" w:lineRule="auto"/>
    </w:pPr>
    <w:rPr>
      <w:rFonts w:ascii="Times New Roman" w:hAnsi="Times New Roman"/>
      <w:sz w:val="24"/>
      <w:szCs w:val="22"/>
      <w:lang w:eastAsia="en-US"/>
    </w:rPr>
  </w:style>
  <w:style w:type="paragraph" w:customStyle="1" w:styleId="BulletSubP2">
    <w:name w:val="Bullet Sub P2"/>
    <w:basedOn w:val="Normal"/>
    <w:uiPriority w:val="99"/>
    <w:rsid w:val="00E53E1C"/>
    <w:pPr>
      <w:numPr>
        <w:numId w:val="15"/>
      </w:numPr>
      <w:spacing w:before="60" w:after="60" w:line="240" w:lineRule="auto"/>
      <w:ind w:left="1276" w:hanging="425"/>
    </w:pPr>
    <w:rPr>
      <w:rFonts w:ascii="Times New Roman" w:hAnsi="Times New Roman"/>
      <w:sz w:val="24"/>
      <w:szCs w:val="22"/>
      <w:lang w:eastAsia="en-US"/>
    </w:rPr>
  </w:style>
  <w:style w:type="paragraph" w:customStyle="1" w:styleId="LetterFooter">
    <w:name w:val="Letter Footer"/>
    <w:basedOn w:val="Normal"/>
    <w:uiPriority w:val="99"/>
    <w:rsid w:val="00E53E1C"/>
    <w:pPr>
      <w:spacing w:after="0" w:line="240" w:lineRule="auto"/>
    </w:pPr>
    <w:rPr>
      <w:rFonts w:ascii="Times New Roman" w:hAnsi="Times New Roman"/>
      <w:sz w:val="16"/>
      <w:szCs w:val="22"/>
      <w:lang w:eastAsia="en-US"/>
    </w:rPr>
  </w:style>
  <w:style w:type="paragraph" w:customStyle="1" w:styleId="NumBullet">
    <w:name w:val="Num Bullet"/>
    <w:basedOn w:val="Normal"/>
    <w:uiPriority w:val="99"/>
    <w:rsid w:val="00E53E1C"/>
    <w:pPr>
      <w:numPr>
        <w:numId w:val="16"/>
      </w:numPr>
      <w:spacing w:before="60" w:after="60" w:line="240" w:lineRule="auto"/>
    </w:pPr>
    <w:rPr>
      <w:rFonts w:ascii="Times New Roman" w:hAnsi="Times New Roman"/>
      <w:sz w:val="24"/>
      <w:szCs w:val="22"/>
      <w:lang w:eastAsia="en-US"/>
    </w:rPr>
  </w:style>
  <w:style w:type="paragraph" w:customStyle="1" w:styleId="NumBullet2">
    <w:name w:val="Num Bullet 2"/>
    <w:basedOn w:val="Normal"/>
    <w:uiPriority w:val="99"/>
    <w:rsid w:val="00E53E1C"/>
    <w:pPr>
      <w:numPr>
        <w:ilvl w:val="1"/>
        <w:numId w:val="16"/>
      </w:numPr>
      <w:spacing w:before="60" w:after="60" w:line="240" w:lineRule="auto"/>
    </w:pPr>
    <w:rPr>
      <w:rFonts w:ascii="Times New Roman" w:hAnsi="Times New Roman"/>
      <w:sz w:val="24"/>
      <w:szCs w:val="22"/>
      <w:lang w:eastAsia="en-US"/>
    </w:rPr>
  </w:style>
  <w:style w:type="paragraph" w:customStyle="1" w:styleId="NumBullet3">
    <w:name w:val="Num Bullet 3"/>
    <w:basedOn w:val="Normal"/>
    <w:uiPriority w:val="99"/>
    <w:rsid w:val="00E53E1C"/>
    <w:pPr>
      <w:numPr>
        <w:ilvl w:val="2"/>
        <w:numId w:val="16"/>
      </w:numPr>
      <w:spacing w:before="60" w:after="60" w:line="240" w:lineRule="auto"/>
    </w:pPr>
    <w:rPr>
      <w:rFonts w:ascii="Times New Roman" w:hAnsi="Times New Roman"/>
      <w:sz w:val="24"/>
      <w:szCs w:val="22"/>
      <w:lang w:eastAsia="en-US"/>
    </w:rPr>
  </w:style>
  <w:style w:type="paragraph" w:customStyle="1" w:styleId="NumBullet4">
    <w:name w:val="Num Bullet 4"/>
    <w:basedOn w:val="Normal"/>
    <w:uiPriority w:val="99"/>
    <w:rsid w:val="00E53E1C"/>
    <w:pPr>
      <w:numPr>
        <w:ilvl w:val="3"/>
        <w:numId w:val="16"/>
      </w:numPr>
      <w:spacing w:before="60" w:after="60" w:line="240" w:lineRule="auto"/>
    </w:pPr>
    <w:rPr>
      <w:rFonts w:ascii="Times New Roman" w:hAnsi="Times New Roman"/>
      <w:sz w:val="24"/>
      <w:szCs w:val="22"/>
      <w:lang w:eastAsia="en-US"/>
    </w:rPr>
  </w:style>
  <w:style w:type="paragraph" w:customStyle="1" w:styleId="NumHeading1">
    <w:name w:val="Num Heading 1"/>
    <w:basedOn w:val="Normal"/>
    <w:next w:val="BodyTextIndent"/>
    <w:uiPriority w:val="99"/>
    <w:rsid w:val="00E53E1C"/>
    <w:pPr>
      <w:numPr>
        <w:numId w:val="17"/>
      </w:numPr>
      <w:spacing w:before="120" w:after="60" w:line="300" w:lineRule="atLeast"/>
    </w:pPr>
    <w:rPr>
      <w:rFonts w:ascii="Times New Roman" w:hAnsi="Times New Roman"/>
      <w:b/>
      <w:caps/>
      <w:sz w:val="24"/>
      <w:szCs w:val="24"/>
      <w:lang w:eastAsia="en-US"/>
    </w:rPr>
  </w:style>
  <w:style w:type="paragraph" w:customStyle="1" w:styleId="NumHeading2">
    <w:name w:val="Num Heading 2"/>
    <w:basedOn w:val="Normal"/>
    <w:next w:val="BodyTextIndent2"/>
    <w:uiPriority w:val="99"/>
    <w:rsid w:val="00E53E1C"/>
    <w:pPr>
      <w:numPr>
        <w:ilvl w:val="1"/>
        <w:numId w:val="17"/>
      </w:numPr>
      <w:spacing w:before="120" w:after="60" w:line="300" w:lineRule="atLeast"/>
    </w:pPr>
    <w:rPr>
      <w:rFonts w:ascii="Times New Roman" w:hAnsi="Times New Roman"/>
      <w:b/>
      <w:sz w:val="24"/>
      <w:szCs w:val="22"/>
      <w:lang w:eastAsia="en-US"/>
    </w:rPr>
  </w:style>
  <w:style w:type="paragraph" w:customStyle="1" w:styleId="NumHeading3">
    <w:name w:val="Num Heading 3"/>
    <w:basedOn w:val="Normal"/>
    <w:next w:val="BodyTextIndent3"/>
    <w:uiPriority w:val="99"/>
    <w:rsid w:val="00E53E1C"/>
    <w:pPr>
      <w:numPr>
        <w:ilvl w:val="2"/>
        <w:numId w:val="17"/>
      </w:numPr>
      <w:spacing w:before="120" w:after="60" w:line="300" w:lineRule="atLeast"/>
    </w:pPr>
    <w:rPr>
      <w:rFonts w:ascii="Times New Roman" w:hAnsi="Times New Roman"/>
      <w:b/>
      <w:i/>
      <w:sz w:val="24"/>
      <w:szCs w:val="22"/>
      <w:lang w:eastAsia="en-US"/>
    </w:rPr>
  </w:style>
  <w:style w:type="paragraph" w:customStyle="1" w:styleId="NumHeading4">
    <w:name w:val="Num Heading 4"/>
    <w:basedOn w:val="Normal"/>
    <w:next w:val="BodyTextIndent4"/>
    <w:uiPriority w:val="99"/>
    <w:rsid w:val="00E53E1C"/>
    <w:pPr>
      <w:numPr>
        <w:ilvl w:val="3"/>
        <w:numId w:val="17"/>
      </w:numPr>
      <w:spacing w:before="120" w:after="60" w:line="240" w:lineRule="auto"/>
    </w:pPr>
    <w:rPr>
      <w:rFonts w:ascii="Times New Roman" w:hAnsi="Times New Roman"/>
      <w:i/>
      <w:sz w:val="24"/>
      <w:szCs w:val="22"/>
      <w:lang w:eastAsia="en-US"/>
    </w:rPr>
  </w:style>
  <w:style w:type="paragraph" w:customStyle="1" w:styleId="ReportFooter">
    <w:name w:val="Report Footer"/>
    <w:basedOn w:val="Normal"/>
    <w:uiPriority w:val="99"/>
    <w:rsid w:val="00E53E1C"/>
    <w:pPr>
      <w:spacing w:after="0" w:line="240" w:lineRule="auto"/>
      <w:jc w:val="right"/>
    </w:pPr>
    <w:rPr>
      <w:rFonts w:ascii="Times New Roman" w:hAnsi="Times New Roman"/>
      <w:sz w:val="24"/>
      <w:szCs w:val="22"/>
      <w:lang w:eastAsia="en-US"/>
    </w:rPr>
  </w:style>
  <w:style w:type="paragraph" w:customStyle="1" w:styleId="SignOff">
    <w:name w:val="Sign Off"/>
    <w:basedOn w:val="Normal"/>
    <w:uiPriority w:val="99"/>
    <w:rsid w:val="00E53E1C"/>
    <w:pPr>
      <w:spacing w:after="0" w:line="240" w:lineRule="auto"/>
    </w:pPr>
    <w:rPr>
      <w:rFonts w:ascii="Times New Roman" w:hAnsi="Times New Roman"/>
      <w:sz w:val="24"/>
      <w:szCs w:val="22"/>
      <w:lang w:eastAsia="en-US"/>
    </w:rPr>
  </w:style>
  <w:style w:type="paragraph" w:customStyle="1" w:styleId="Subject">
    <w:name w:val="Subject"/>
    <w:basedOn w:val="Normal"/>
    <w:uiPriority w:val="99"/>
    <w:rsid w:val="00E53E1C"/>
    <w:pPr>
      <w:spacing w:before="240" w:line="240" w:lineRule="exact"/>
    </w:pPr>
    <w:rPr>
      <w:rFonts w:ascii="Times New Roman" w:hAnsi="Times New Roman"/>
      <w:b/>
      <w:caps/>
      <w:sz w:val="24"/>
      <w:szCs w:val="22"/>
      <w:lang w:eastAsia="en-US"/>
    </w:rPr>
  </w:style>
  <w:style w:type="paragraph" w:customStyle="1" w:styleId="TableofContentsHeading">
    <w:name w:val="Table of Contents Heading"/>
    <w:basedOn w:val="Normal"/>
    <w:uiPriority w:val="99"/>
    <w:rsid w:val="00E53E1C"/>
    <w:pPr>
      <w:spacing w:before="120" w:line="288" w:lineRule="auto"/>
    </w:pPr>
    <w:rPr>
      <w:rFonts w:ascii="Arial" w:hAnsi="Arial"/>
      <w:b/>
      <w:sz w:val="24"/>
    </w:rPr>
  </w:style>
  <w:style w:type="character" w:styleId="PageNumber">
    <w:name w:val="page number"/>
    <w:basedOn w:val="DefaultParagraphFont"/>
    <w:locked/>
    <w:rsid w:val="008755A5"/>
    <w:rPr>
      <w:rFonts w:ascii="Arial" w:hAnsi="Arial" w:cs="Times New Roman"/>
      <w:sz w:val="18"/>
    </w:rPr>
  </w:style>
  <w:style w:type="paragraph" w:customStyle="1" w:styleId="Covertitlelevel3">
    <w:name w:val="Cover title level 3"/>
    <w:basedOn w:val="CoverTitleSub"/>
    <w:uiPriority w:val="99"/>
    <w:rsid w:val="008755A5"/>
    <w:pPr>
      <w:spacing w:after="120"/>
    </w:pPr>
    <w:rPr>
      <w:sz w:val="28"/>
      <w:szCs w:val="28"/>
    </w:rPr>
  </w:style>
  <w:style w:type="paragraph" w:customStyle="1" w:styleId="Figuregraphic">
    <w:name w:val="Figure graphic"/>
    <w:basedOn w:val="Normal"/>
    <w:uiPriority w:val="99"/>
    <w:rsid w:val="008755A5"/>
    <w:pPr>
      <w:spacing w:line="240" w:lineRule="auto"/>
      <w:jc w:val="center"/>
    </w:pPr>
  </w:style>
  <w:style w:type="paragraph" w:customStyle="1" w:styleId="FigureHeading">
    <w:name w:val="Figure Heading"/>
    <w:basedOn w:val="HeadingBase"/>
    <w:next w:val="Figuregraphic"/>
    <w:uiPriority w:val="99"/>
    <w:rsid w:val="008755A5"/>
    <w:pPr>
      <w:spacing w:after="20"/>
      <w:jc w:val="center"/>
    </w:pPr>
    <w:rPr>
      <w:rFonts w:ascii="Arial Bold" w:hAnsi="Arial Bold"/>
      <w:b/>
      <w:sz w:val="22"/>
      <w:szCs w:val="22"/>
    </w:rPr>
  </w:style>
  <w:style w:type="paragraph" w:customStyle="1" w:styleId="FigureSecondHeading">
    <w:name w:val="Figure Second Heading"/>
    <w:basedOn w:val="HeadingBase"/>
    <w:next w:val="Figuregraphic"/>
    <w:uiPriority w:val="99"/>
    <w:rsid w:val="008755A5"/>
    <w:pPr>
      <w:spacing w:after="20"/>
      <w:jc w:val="center"/>
    </w:pPr>
  </w:style>
  <w:style w:type="paragraph" w:customStyle="1" w:styleId="NormalIndentItalics">
    <w:name w:val="Normal Indent Italics"/>
    <w:basedOn w:val="NormalIndent"/>
    <w:uiPriority w:val="99"/>
    <w:rsid w:val="008755A5"/>
    <w:rPr>
      <w:i/>
    </w:rPr>
  </w:style>
  <w:style w:type="paragraph" w:customStyle="1" w:styleId="Principle">
    <w:name w:val="Principle"/>
    <w:basedOn w:val="Normal"/>
    <w:uiPriority w:val="99"/>
    <w:rsid w:val="008755A5"/>
    <w:pPr>
      <w:keepNext/>
      <w:spacing w:after="60" w:line="240" w:lineRule="auto"/>
      <w:ind w:left="573"/>
    </w:pPr>
    <w:rPr>
      <w:rFonts w:ascii="Book Antiqua" w:hAnsi="Book Antiqua"/>
      <w:i/>
      <w:sz w:val="20"/>
      <w:szCs w:val="22"/>
    </w:rPr>
  </w:style>
  <w:style w:type="paragraph" w:customStyle="1" w:styleId="SingleParagraphIndent">
    <w:name w:val="Single Paragraph Indent"/>
    <w:basedOn w:val="SingleParagraph"/>
    <w:uiPriority w:val="99"/>
    <w:rsid w:val="008755A5"/>
    <w:pPr>
      <w:ind w:left="567"/>
    </w:pPr>
  </w:style>
  <w:style w:type="paragraph" w:customStyle="1" w:styleId="PictureCentred">
    <w:name w:val="Picture Centred"/>
    <w:basedOn w:val="Normal"/>
    <w:uiPriority w:val="99"/>
    <w:rsid w:val="008755A5"/>
    <w:pPr>
      <w:spacing w:before="120" w:line="240" w:lineRule="atLeast"/>
      <w:jc w:val="center"/>
    </w:pPr>
  </w:style>
  <w:style w:type="paragraph" w:customStyle="1" w:styleId="PictureLeft">
    <w:name w:val="Picture Left"/>
    <w:basedOn w:val="PictureCentred"/>
    <w:uiPriority w:val="99"/>
    <w:rsid w:val="008755A5"/>
    <w:pPr>
      <w:jc w:val="left"/>
    </w:pPr>
  </w:style>
  <w:style w:type="paragraph" w:customStyle="1" w:styleId="PictureIndent">
    <w:name w:val="Picture Indent"/>
    <w:basedOn w:val="PictureLeft"/>
    <w:uiPriority w:val="99"/>
    <w:rsid w:val="008755A5"/>
    <w:pPr>
      <w:ind w:left="284"/>
    </w:pPr>
  </w:style>
  <w:style w:type="paragraph" w:customStyle="1" w:styleId="TableTextBullet">
    <w:name w:val="Table Text Bullet"/>
    <w:basedOn w:val="TableTextBase"/>
    <w:uiPriority w:val="99"/>
    <w:rsid w:val="008755A5"/>
    <w:pPr>
      <w:numPr>
        <w:numId w:val="28"/>
      </w:numPr>
    </w:pPr>
  </w:style>
  <w:style w:type="paragraph" w:customStyle="1" w:styleId="StyleTableTextBulletLinespacingExactly13pt">
    <w:name w:val="Style Table Text Bullet + Line spacing:  Exactly 13 pt"/>
    <w:basedOn w:val="TableTextBullet"/>
    <w:uiPriority w:val="99"/>
    <w:rsid w:val="008755A5"/>
    <w:pPr>
      <w:numPr>
        <w:numId w:val="0"/>
      </w:numPr>
      <w:spacing w:after="80" w:line="260" w:lineRule="exact"/>
    </w:pPr>
  </w:style>
  <w:style w:type="paragraph" w:customStyle="1" w:styleId="Exampleheading">
    <w:name w:val="Example heading"/>
    <w:basedOn w:val="Heading7"/>
    <w:qFormat/>
    <w:rsid w:val="00D25B40"/>
  </w:style>
  <w:style w:type="numbering" w:customStyle="1" w:styleId="BoxBulletedList">
    <w:name w:val="Box Bulleted List"/>
    <w:rsid w:val="006256A6"/>
    <w:pPr>
      <w:numPr>
        <w:numId w:val="19"/>
      </w:numPr>
    </w:pPr>
  </w:style>
  <w:style w:type="numbering" w:customStyle="1" w:styleId="RomanNumeralList">
    <w:name w:val="RomanNumeralList"/>
    <w:uiPriority w:val="99"/>
    <w:rsid w:val="006256A6"/>
    <w:pPr>
      <w:numPr>
        <w:numId w:val="24"/>
      </w:numPr>
    </w:pPr>
  </w:style>
  <w:style w:type="numbering" w:customStyle="1" w:styleId="OutlineList">
    <w:name w:val="OutlineList"/>
    <w:rsid w:val="006256A6"/>
    <w:pPr>
      <w:numPr>
        <w:numId w:val="22"/>
      </w:numPr>
    </w:pPr>
  </w:style>
  <w:style w:type="numbering" w:customStyle="1" w:styleId="RecommendationBulletList">
    <w:name w:val="RecommendationBulletList"/>
    <w:rsid w:val="006256A6"/>
    <w:pPr>
      <w:numPr>
        <w:numId w:val="23"/>
      </w:numPr>
    </w:pPr>
  </w:style>
  <w:style w:type="numbering" w:customStyle="1" w:styleId="TableTextBulletList">
    <w:name w:val="Table Text Bullet List"/>
    <w:rsid w:val="006256A6"/>
    <w:pPr>
      <w:numPr>
        <w:numId w:val="28"/>
      </w:numPr>
    </w:pPr>
  </w:style>
  <w:style w:type="numbering" w:customStyle="1" w:styleId="Outlinenumbering">
    <w:name w:val="Outline numbering"/>
    <w:uiPriority w:val="99"/>
    <w:rsid w:val="006256A6"/>
    <w:pPr>
      <w:numPr>
        <w:numId w:val="29"/>
      </w:numPr>
    </w:pPr>
  </w:style>
  <w:style w:type="numbering" w:customStyle="1" w:styleId="BulletedList">
    <w:name w:val="Bulleted List"/>
    <w:rsid w:val="006256A6"/>
    <w:pPr>
      <w:numPr>
        <w:numId w:val="18"/>
      </w:numPr>
    </w:pPr>
  </w:style>
  <w:style w:type="numbering" w:customStyle="1" w:styleId="ChartandTableFootnoteAlphaList">
    <w:name w:val="ChartandTableFootnoteAlphaList"/>
    <w:rsid w:val="006256A6"/>
    <w:pPr>
      <w:numPr>
        <w:numId w:val="26"/>
      </w:numPr>
    </w:pPr>
  </w:style>
  <w:style w:type="numbering" w:customStyle="1" w:styleId="OneLevelList">
    <w:name w:val="OneLevelList"/>
    <w:rsid w:val="006256A6"/>
    <w:pPr>
      <w:numPr>
        <w:numId w:val="21"/>
      </w:numPr>
    </w:pPr>
  </w:style>
  <w:style w:type="numbering" w:customStyle="1" w:styleId="AlphaParagraphList">
    <w:name w:val="Alpha Paragraph List"/>
    <w:rsid w:val="006256A6"/>
    <w:pPr>
      <w:numPr>
        <w:numId w:val="20"/>
      </w:numPr>
    </w:pPr>
  </w:style>
  <w:style w:type="numbering" w:customStyle="1" w:styleId="TableTestBulletList">
    <w:name w:val="Table Test Bullet List"/>
    <w:rsid w:val="006256A6"/>
    <w:pPr>
      <w:numPr>
        <w:numId w:val="27"/>
      </w:numPr>
    </w:pPr>
  </w:style>
  <w:style w:type="numbering" w:customStyle="1" w:styleId="Optionboxheading">
    <w:name w:val="Option box heading"/>
    <w:rsid w:val="006256A6"/>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6044">
      <w:bodyDiv w:val="1"/>
      <w:marLeft w:val="0"/>
      <w:marRight w:val="0"/>
      <w:marTop w:val="0"/>
      <w:marBottom w:val="0"/>
      <w:divBdr>
        <w:top w:val="none" w:sz="0" w:space="0" w:color="auto"/>
        <w:left w:val="none" w:sz="0" w:space="0" w:color="auto"/>
        <w:bottom w:val="none" w:sz="0" w:space="0" w:color="auto"/>
        <w:right w:val="none" w:sz="0" w:space="0" w:color="auto"/>
      </w:divBdr>
    </w:div>
    <w:div w:id="42872463">
      <w:bodyDiv w:val="1"/>
      <w:marLeft w:val="0"/>
      <w:marRight w:val="0"/>
      <w:marTop w:val="0"/>
      <w:marBottom w:val="0"/>
      <w:divBdr>
        <w:top w:val="none" w:sz="0" w:space="0" w:color="auto"/>
        <w:left w:val="none" w:sz="0" w:space="0" w:color="auto"/>
        <w:bottom w:val="none" w:sz="0" w:space="0" w:color="auto"/>
        <w:right w:val="none" w:sz="0" w:space="0" w:color="auto"/>
      </w:divBdr>
    </w:div>
    <w:div w:id="327945127">
      <w:marLeft w:val="0"/>
      <w:marRight w:val="0"/>
      <w:marTop w:val="0"/>
      <w:marBottom w:val="0"/>
      <w:divBdr>
        <w:top w:val="none" w:sz="0" w:space="0" w:color="auto"/>
        <w:left w:val="none" w:sz="0" w:space="0" w:color="auto"/>
        <w:bottom w:val="none" w:sz="0" w:space="0" w:color="auto"/>
        <w:right w:val="none" w:sz="0" w:space="0" w:color="auto"/>
      </w:divBdr>
    </w:div>
    <w:div w:id="327945128">
      <w:marLeft w:val="0"/>
      <w:marRight w:val="0"/>
      <w:marTop w:val="0"/>
      <w:marBottom w:val="0"/>
      <w:divBdr>
        <w:top w:val="none" w:sz="0" w:space="0" w:color="auto"/>
        <w:left w:val="none" w:sz="0" w:space="0" w:color="auto"/>
        <w:bottom w:val="none" w:sz="0" w:space="0" w:color="auto"/>
        <w:right w:val="none" w:sz="0" w:space="0" w:color="auto"/>
      </w:divBdr>
    </w:div>
    <w:div w:id="327945129">
      <w:marLeft w:val="0"/>
      <w:marRight w:val="0"/>
      <w:marTop w:val="0"/>
      <w:marBottom w:val="0"/>
      <w:divBdr>
        <w:top w:val="none" w:sz="0" w:space="0" w:color="auto"/>
        <w:left w:val="none" w:sz="0" w:space="0" w:color="auto"/>
        <w:bottom w:val="none" w:sz="0" w:space="0" w:color="auto"/>
        <w:right w:val="none" w:sz="0" w:space="0" w:color="auto"/>
      </w:divBdr>
    </w:div>
    <w:div w:id="327945130">
      <w:marLeft w:val="0"/>
      <w:marRight w:val="0"/>
      <w:marTop w:val="0"/>
      <w:marBottom w:val="0"/>
      <w:divBdr>
        <w:top w:val="none" w:sz="0" w:space="0" w:color="auto"/>
        <w:left w:val="none" w:sz="0" w:space="0" w:color="auto"/>
        <w:bottom w:val="none" w:sz="0" w:space="0" w:color="auto"/>
        <w:right w:val="none" w:sz="0" w:space="0" w:color="auto"/>
      </w:divBdr>
    </w:div>
    <w:div w:id="327945131">
      <w:marLeft w:val="0"/>
      <w:marRight w:val="0"/>
      <w:marTop w:val="0"/>
      <w:marBottom w:val="0"/>
      <w:divBdr>
        <w:top w:val="none" w:sz="0" w:space="0" w:color="auto"/>
        <w:left w:val="none" w:sz="0" w:space="0" w:color="auto"/>
        <w:bottom w:val="none" w:sz="0" w:space="0" w:color="auto"/>
        <w:right w:val="none" w:sz="0" w:space="0" w:color="auto"/>
      </w:divBdr>
    </w:div>
    <w:div w:id="327945132">
      <w:marLeft w:val="0"/>
      <w:marRight w:val="0"/>
      <w:marTop w:val="0"/>
      <w:marBottom w:val="0"/>
      <w:divBdr>
        <w:top w:val="none" w:sz="0" w:space="0" w:color="auto"/>
        <w:left w:val="none" w:sz="0" w:space="0" w:color="auto"/>
        <w:bottom w:val="none" w:sz="0" w:space="0" w:color="auto"/>
        <w:right w:val="none" w:sz="0" w:space="0" w:color="auto"/>
      </w:divBdr>
    </w:div>
    <w:div w:id="327945133">
      <w:marLeft w:val="0"/>
      <w:marRight w:val="0"/>
      <w:marTop w:val="0"/>
      <w:marBottom w:val="0"/>
      <w:divBdr>
        <w:top w:val="none" w:sz="0" w:space="0" w:color="auto"/>
        <w:left w:val="none" w:sz="0" w:space="0" w:color="auto"/>
        <w:bottom w:val="none" w:sz="0" w:space="0" w:color="auto"/>
        <w:right w:val="none" w:sz="0" w:space="0" w:color="auto"/>
      </w:divBdr>
    </w:div>
    <w:div w:id="327945134">
      <w:marLeft w:val="0"/>
      <w:marRight w:val="0"/>
      <w:marTop w:val="0"/>
      <w:marBottom w:val="0"/>
      <w:divBdr>
        <w:top w:val="none" w:sz="0" w:space="0" w:color="auto"/>
        <w:left w:val="none" w:sz="0" w:space="0" w:color="auto"/>
        <w:bottom w:val="none" w:sz="0" w:space="0" w:color="auto"/>
        <w:right w:val="none" w:sz="0" w:space="0" w:color="auto"/>
      </w:divBdr>
    </w:div>
    <w:div w:id="327945135">
      <w:marLeft w:val="0"/>
      <w:marRight w:val="0"/>
      <w:marTop w:val="0"/>
      <w:marBottom w:val="0"/>
      <w:divBdr>
        <w:top w:val="none" w:sz="0" w:space="0" w:color="auto"/>
        <w:left w:val="none" w:sz="0" w:space="0" w:color="auto"/>
        <w:bottom w:val="none" w:sz="0" w:space="0" w:color="auto"/>
        <w:right w:val="none" w:sz="0" w:space="0" w:color="auto"/>
      </w:divBdr>
    </w:div>
    <w:div w:id="327945136">
      <w:marLeft w:val="0"/>
      <w:marRight w:val="0"/>
      <w:marTop w:val="0"/>
      <w:marBottom w:val="0"/>
      <w:divBdr>
        <w:top w:val="none" w:sz="0" w:space="0" w:color="auto"/>
        <w:left w:val="none" w:sz="0" w:space="0" w:color="auto"/>
        <w:bottom w:val="none" w:sz="0" w:space="0" w:color="auto"/>
        <w:right w:val="none" w:sz="0" w:space="0" w:color="auto"/>
      </w:divBdr>
    </w:div>
    <w:div w:id="327945137">
      <w:marLeft w:val="0"/>
      <w:marRight w:val="0"/>
      <w:marTop w:val="0"/>
      <w:marBottom w:val="0"/>
      <w:divBdr>
        <w:top w:val="none" w:sz="0" w:space="0" w:color="auto"/>
        <w:left w:val="none" w:sz="0" w:space="0" w:color="auto"/>
        <w:bottom w:val="none" w:sz="0" w:space="0" w:color="auto"/>
        <w:right w:val="none" w:sz="0" w:space="0" w:color="auto"/>
      </w:divBdr>
    </w:div>
    <w:div w:id="327945138">
      <w:marLeft w:val="0"/>
      <w:marRight w:val="0"/>
      <w:marTop w:val="0"/>
      <w:marBottom w:val="0"/>
      <w:divBdr>
        <w:top w:val="none" w:sz="0" w:space="0" w:color="auto"/>
        <w:left w:val="none" w:sz="0" w:space="0" w:color="auto"/>
        <w:bottom w:val="none" w:sz="0" w:space="0" w:color="auto"/>
        <w:right w:val="none" w:sz="0" w:space="0" w:color="auto"/>
      </w:divBdr>
    </w:div>
    <w:div w:id="327945139">
      <w:marLeft w:val="0"/>
      <w:marRight w:val="0"/>
      <w:marTop w:val="0"/>
      <w:marBottom w:val="0"/>
      <w:divBdr>
        <w:top w:val="none" w:sz="0" w:space="0" w:color="auto"/>
        <w:left w:val="none" w:sz="0" w:space="0" w:color="auto"/>
        <w:bottom w:val="none" w:sz="0" w:space="0" w:color="auto"/>
        <w:right w:val="none" w:sz="0" w:space="0" w:color="auto"/>
      </w:divBdr>
    </w:div>
    <w:div w:id="327945140">
      <w:marLeft w:val="0"/>
      <w:marRight w:val="0"/>
      <w:marTop w:val="0"/>
      <w:marBottom w:val="0"/>
      <w:divBdr>
        <w:top w:val="none" w:sz="0" w:space="0" w:color="auto"/>
        <w:left w:val="none" w:sz="0" w:space="0" w:color="auto"/>
        <w:bottom w:val="none" w:sz="0" w:space="0" w:color="auto"/>
        <w:right w:val="none" w:sz="0" w:space="0" w:color="auto"/>
      </w:divBdr>
    </w:div>
    <w:div w:id="327945141">
      <w:marLeft w:val="0"/>
      <w:marRight w:val="0"/>
      <w:marTop w:val="0"/>
      <w:marBottom w:val="0"/>
      <w:divBdr>
        <w:top w:val="none" w:sz="0" w:space="0" w:color="auto"/>
        <w:left w:val="none" w:sz="0" w:space="0" w:color="auto"/>
        <w:bottom w:val="none" w:sz="0" w:space="0" w:color="auto"/>
        <w:right w:val="none" w:sz="0" w:space="0" w:color="auto"/>
      </w:divBdr>
    </w:div>
    <w:div w:id="327945142">
      <w:marLeft w:val="0"/>
      <w:marRight w:val="0"/>
      <w:marTop w:val="0"/>
      <w:marBottom w:val="0"/>
      <w:divBdr>
        <w:top w:val="none" w:sz="0" w:space="0" w:color="auto"/>
        <w:left w:val="none" w:sz="0" w:space="0" w:color="auto"/>
        <w:bottom w:val="none" w:sz="0" w:space="0" w:color="auto"/>
        <w:right w:val="none" w:sz="0" w:space="0" w:color="auto"/>
      </w:divBdr>
    </w:div>
    <w:div w:id="327945143">
      <w:marLeft w:val="0"/>
      <w:marRight w:val="0"/>
      <w:marTop w:val="0"/>
      <w:marBottom w:val="0"/>
      <w:divBdr>
        <w:top w:val="none" w:sz="0" w:space="0" w:color="auto"/>
        <w:left w:val="none" w:sz="0" w:space="0" w:color="auto"/>
        <w:bottom w:val="none" w:sz="0" w:space="0" w:color="auto"/>
        <w:right w:val="none" w:sz="0" w:space="0" w:color="auto"/>
      </w:divBdr>
    </w:div>
    <w:div w:id="327945144">
      <w:marLeft w:val="0"/>
      <w:marRight w:val="0"/>
      <w:marTop w:val="0"/>
      <w:marBottom w:val="0"/>
      <w:divBdr>
        <w:top w:val="none" w:sz="0" w:space="0" w:color="auto"/>
        <w:left w:val="none" w:sz="0" w:space="0" w:color="auto"/>
        <w:bottom w:val="none" w:sz="0" w:space="0" w:color="auto"/>
        <w:right w:val="none" w:sz="0" w:space="0" w:color="auto"/>
      </w:divBdr>
    </w:div>
    <w:div w:id="327945145">
      <w:marLeft w:val="0"/>
      <w:marRight w:val="0"/>
      <w:marTop w:val="0"/>
      <w:marBottom w:val="0"/>
      <w:divBdr>
        <w:top w:val="none" w:sz="0" w:space="0" w:color="auto"/>
        <w:left w:val="none" w:sz="0" w:space="0" w:color="auto"/>
        <w:bottom w:val="none" w:sz="0" w:space="0" w:color="auto"/>
        <w:right w:val="none" w:sz="0" w:space="0" w:color="auto"/>
      </w:divBdr>
    </w:div>
    <w:div w:id="327945146">
      <w:marLeft w:val="0"/>
      <w:marRight w:val="0"/>
      <w:marTop w:val="0"/>
      <w:marBottom w:val="0"/>
      <w:divBdr>
        <w:top w:val="none" w:sz="0" w:space="0" w:color="auto"/>
        <w:left w:val="none" w:sz="0" w:space="0" w:color="auto"/>
        <w:bottom w:val="none" w:sz="0" w:space="0" w:color="auto"/>
        <w:right w:val="none" w:sz="0" w:space="0" w:color="auto"/>
      </w:divBdr>
    </w:div>
    <w:div w:id="327945147">
      <w:marLeft w:val="0"/>
      <w:marRight w:val="0"/>
      <w:marTop w:val="0"/>
      <w:marBottom w:val="0"/>
      <w:divBdr>
        <w:top w:val="none" w:sz="0" w:space="0" w:color="auto"/>
        <w:left w:val="none" w:sz="0" w:space="0" w:color="auto"/>
        <w:bottom w:val="none" w:sz="0" w:space="0" w:color="auto"/>
        <w:right w:val="none" w:sz="0" w:space="0" w:color="auto"/>
      </w:divBdr>
    </w:div>
    <w:div w:id="327945148">
      <w:marLeft w:val="0"/>
      <w:marRight w:val="0"/>
      <w:marTop w:val="0"/>
      <w:marBottom w:val="0"/>
      <w:divBdr>
        <w:top w:val="none" w:sz="0" w:space="0" w:color="auto"/>
        <w:left w:val="none" w:sz="0" w:space="0" w:color="auto"/>
        <w:bottom w:val="none" w:sz="0" w:space="0" w:color="auto"/>
        <w:right w:val="none" w:sz="0" w:space="0" w:color="auto"/>
      </w:divBdr>
    </w:div>
    <w:div w:id="327945149">
      <w:marLeft w:val="0"/>
      <w:marRight w:val="0"/>
      <w:marTop w:val="0"/>
      <w:marBottom w:val="0"/>
      <w:divBdr>
        <w:top w:val="none" w:sz="0" w:space="0" w:color="auto"/>
        <w:left w:val="none" w:sz="0" w:space="0" w:color="auto"/>
        <w:bottom w:val="none" w:sz="0" w:space="0" w:color="auto"/>
        <w:right w:val="none" w:sz="0" w:space="0" w:color="auto"/>
      </w:divBdr>
    </w:div>
    <w:div w:id="327945150">
      <w:marLeft w:val="0"/>
      <w:marRight w:val="0"/>
      <w:marTop w:val="0"/>
      <w:marBottom w:val="0"/>
      <w:divBdr>
        <w:top w:val="none" w:sz="0" w:space="0" w:color="auto"/>
        <w:left w:val="none" w:sz="0" w:space="0" w:color="auto"/>
        <w:bottom w:val="none" w:sz="0" w:space="0" w:color="auto"/>
        <w:right w:val="none" w:sz="0" w:space="0" w:color="auto"/>
      </w:divBdr>
    </w:div>
    <w:div w:id="327945151">
      <w:marLeft w:val="0"/>
      <w:marRight w:val="0"/>
      <w:marTop w:val="0"/>
      <w:marBottom w:val="0"/>
      <w:divBdr>
        <w:top w:val="none" w:sz="0" w:space="0" w:color="auto"/>
        <w:left w:val="none" w:sz="0" w:space="0" w:color="auto"/>
        <w:bottom w:val="none" w:sz="0" w:space="0" w:color="auto"/>
        <w:right w:val="none" w:sz="0" w:space="0" w:color="auto"/>
      </w:divBdr>
    </w:div>
    <w:div w:id="327945152">
      <w:marLeft w:val="0"/>
      <w:marRight w:val="0"/>
      <w:marTop w:val="0"/>
      <w:marBottom w:val="0"/>
      <w:divBdr>
        <w:top w:val="none" w:sz="0" w:space="0" w:color="auto"/>
        <w:left w:val="none" w:sz="0" w:space="0" w:color="auto"/>
        <w:bottom w:val="none" w:sz="0" w:space="0" w:color="auto"/>
        <w:right w:val="none" w:sz="0" w:space="0" w:color="auto"/>
      </w:divBdr>
    </w:div>
    <w:div w:id="327945153">
      <w:marLeft w:val="0"/>
      <w:marRight w:val="0"/>
      <w:marTop w:val="0"/>
      <w:marBottom w:val="0"/>
      <w:divBdr>
        <w:top w:val="none" w:sz="0" w:space="0" w:color="auto"/>
        <w:left w:val="none" w:sz="0" w:space="0" w:color="auto"/>
        <w:bottom w:val="none" w:sz="0" w:space="0" w:color="auto"/>
        <w:right w:val="none" w:sz="0" w:space="0" w:color="auto"/>
      </w:divBdr>
    </w:div>
    <w:div w:id="327945154">
      <w:marLeft w:val="0"/>
      <w:marRight w:val="0"/>
      <w:marTop w:val="0"/>
      <w:marBottom w:val="0"/>
      <w:divBdr>
        <w:top w:val="none" w:sz="0" w:space="0" w:color="auto"/>
        <w:left w:val="none" w:sz="0" w:space="0" w:color="auto"/>
        <w:bottom w:val="none" w:sz="0" w:space="0" w:color="auto"/>
        <w:right w:val="none" w:sz="0" w:space="0" w:color="auto"/>
      </w:divBdr>
    </w:div>
    <w:div w:id="327945155">
      <w:marLeft w:val="0"/>
      <w:marRight w:val="0"/>
      <w:marTop w:val="0"/>
      <w:marBottom w:val="0"/>
      <w:divBdr>
        <w:top w:val="none" w:sz="0" w:space="0" w:color="auto"/>
        <w:left w:val="none" w:sz="0" w:space="0" w:color="auto"/>
        <w:bottom w:val="none" w:sz="0" w:space="0" w:color="auto"/>
        <w:right w:val="none" w:sz="0" w:space="0" w:color="auto"/>
      </w:divBdr>
    </w:div>
    <w:div w:id="327945156">
      <w:marLeft w:val="0"/>
      <w:marRight w:val="0"/>
      <w:marTop w:val="0"/>
      <w:marBottom w:val="0"/>
      <w:divBdr>
        <w:top w:val="none" w:sz="0" w:space="0" w:color="auto"/>
        <w:left w:val="none" w:sz="0" w:space="0" w:color="auto"/>
        <w:bottom w:val="none" w:sz="0" w:space="0" w:color="auto"/>
        <w:right w:val="none" w:sz="0" w:space="0" w:color="auto"/>
      </w:divBdr>
    </w:div>
    <w:div w:id="345250899">
      <w:bodyDiv w:val="1"/>
      <w:marLeft w:val="0"/>
      <w:marRight w:val="0"/>
      <w:marTop w:val="0"/>
      <w:marBottom w:val="0"/>
      <w:divBdr>
        <w:top w:val="none" w:sz="0" w:space="0" w:color="auto"/>
        <w:left w:val="none" w:sz="0" w:space="0" w:color="auto"/>
        <w:bottom w:val="none" w:sz="0" w:space="0" w:color="auto"/>
        <w:right w:val="none" w:sz="0" w:space="0" w:color="auto"/>
      </w:divBdr>
    </w:div>
    <w:div w:id="907886791">
      <w:bodyDiv w:val="1"/>
      <w:marLeft w:val="0"/>
      <w:marRight w:val="0"/>
      <w:marTop w:val="0"/>
      <w:marBottom w:val="0"/>
      <w:divBdr>
        <w:top w:val="none" w:sz="0" w:space="0" w:color="auto"/>
        <w:left w:val="none" w:sz="0" w:space="0" w:color="auto"/>
        <w:bottom w:val="none" w:sz="0" w:space="0" w:color="auto"/>
        <w:right w:val="none" w:sz="0" w:space="0" w:color="auto"/>
      </w:divBdr>
    </w:div>
    <w:div w:id="937368780">
      <w:bodyDiv w:val="1"/>
      <w:marLeft w:val="0"/>
      <w:marRight w:val="0"/>
      <w:marTop w:val="0"/>
      <w:marBottom w:val="0"/>
      <w:divBdr>
        <w:top w:val="none" w:sz="0" w:space="0" w:color="auto"/>
        <w:left w:val="none" w:sz="0" w:space="0" w:color="auto"/>
        <w:bottom w:val="none" w:sz="0" w:space="0" w:color="auto"/>
        <w:right w:val="none" w:sz="0" w:space="0" w:color="auto"/>
      </w:divBdr>
    </w:div>
    <w:div w:id="1009483364">
      <w:bodyDiv w:val="1"/>
      <w:marLeft w:val="0"/>
      <w:marRight w:val="0"/>
      <w:marTop w:val="0"/>
      <w:marBottom w:val="0"/>
      <w:divBdr>
        <w:top w:val="none" w:sz="0" w:space="0" w:color="auto"/>
        <w:left w:val="none" w:sz="0" w:space="0" w:color="auto"/>
        <w:bottom w:val="none" w:sz="0" w:space="0" w:color="auto"/>
        <w:right w:val="none" w:sz="0" w:space="0" w:color="auto"/>
      </w:divBdr>
    </w:div>
    <w:div w:id="1094593820">
      <w:bodyDiv w:val="1"/>
      <w:marLeft w:val="0"/>
      <w:marRight w:val="0"/>
      <w:marTop w:val="0"/>
      <w:marBottom w:val="0"/>
      <w:divBdr>
        <w:top w:val="none" w:sz="0" w:space="0" w:color="auto"/>
        <w:left w:val="none" w:sz="0" w:space="0" w:color="auto"/>
        <w:bottom w:val="none" w:sz="0" w:space="0" w:color="auto"/>
        <w:right w:val="none" w:sz="0" w:space="0" w:color="auto"/>
      </w:divBdr>
    </w:div>
    <w:div w:id="209678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itsanhonour.gov.au"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1.wmf"/><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3.jpeg"/><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medialiaison@treasury.gov.au"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creativecommons.org/licenses/by/3.0/au/deed.en" TargetMode="External"/><Relationship Id="rId22" Type="http://schemas.openxmlformats.org/officeDocument/2006/relationships/image" Target="media/image2.jpeg"/><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atolaw/121004141718/ViewFrame.htm?LocID=%22CIT%2FLRP%2F*2011*HCATrans236%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58E4E-1EC3-4296-BE8F-E76AA3775815}">
  <ds:schemaRefs>
    <ds:schemaRef ds:uri="http://schemas.openxmlformats.org/officeDocument/2006/bibliography"/>
  </ds:schemaRefs>
</ds:datastoreItem>
</file>

<file path=customXml/itemProps2.xml><?xml version="1.0" encoding="utf-8"?>
<ds:datastoreItem xmlns:ds="http://schemas.openxmlformats.org/officeDocument/2006/customXml" ds:itemID="{5EB1F713-3CB3-45BA-A467-CC3F75FB9733}">
  <ds:schemaRefs>
    <ds:schemaRef ds:uri="http://schemas.openxmlformats.org/officeDocument/2006/bibliography"/>
  </ds:schemaRefs>
</ds:datastoreItem>
</file>

<file path=customXml/itemProps3.xml><?xml version="1.0" encoding="utf-8"?>
<ds:datastoreItem xmlns:ds="http://schemas.openxmlformats.org/officeDocument/2006/customXml" ds:itemID="{4672898F-D6B1-4919-B7A1-8FC0BAAD7A99}">
  <ds:schemaRefs>
    <ds:schemaRef ds:uri="http://schemas.openxmlformats.org/officeDocument/2006/bibliography"/>
  </ds:schemaRefs>
</ds:datastoreItem>
</file>

<file path=customXml/itemProps4.xml><?xml version="1.0" encoding="utf-8"?>
<ds:datastoreItem xmlns:ds="http://schemas.openxmlformats.org/officeDocument/2006/customXml" ds:itemID="{A98B0E36-77F8-4263-9630-4D68FA420284}">
  <ds:schemaRefs>
    <ds:schemaRef ds:uri="http://schemas.openxmlformats.org/officeDocument/2006/bibliography"/>
  </ds:schemaRefs>
</ds:datastoreItem>
</file>

<file path=customXml/itemProps5.xml><?xml version="1.0" encoding="utf-8"?>
<ds:datastoreItem xmlns:ds="http://schemas.openxmlformats.org/officeDocument/2006/customXml" ds:itemID="{C52285AB-2237-471B-A57E-70A2B8369BFB}">
  <ds:schemaRefs>
    <ds:schemaRef ds:uri="http://schemas.openxmlformats.org/officeDocument/2006/bibliography"/>
  </ds:schemaRefs>
</ds:datastoreItem>
</file>

<file path=customXml/itemProps6.xml><?xml version="1.0" encoding="utf-8"?>
<ds:datastoreItem xmlns:ds="http://schemas.openxmlformats.org/officeDocument/2006/customXml" ds:itemID="{782E17D5-E66C-4053-BE12-A326245B2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54</Pages>
  <Words>13732</Words>
  <Characters>78276</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91825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uap4q</dc:creator>
  <cp:lastModifiedBy>Lee, Jonathan</cp:lastModifiedBy>
  <cp:revision>12</cp:revision>
  <cp:lastPrinted>2012-10-18T23:58:00Z</cp:lastPrinted>
  <dcterms:created xsi:type="dcterms:W3CDTF">2012-10-18T06:22:00Z</dcterms:created>
  <dcterms:modified xsi:type="dcterms:W3CDTF">2012-10-24T03:29:00Z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Classification">
    <vt:lpwstr/>
  </property>
  <property fmtid="{D5CDD505-2E9C-101B-9397-08002B2CF9AE}" pid="3" name="_AdHocReviewCycleID">
    <vt:i4>1575340431</vt:i4>
  </property>
  <property fmtid="{D5CDD505-2E9C-101B-9397-08002B2CF9AE}" pid="4" name="_NewReviewCycle">
    <vt:lpwstr/>
  </property>
  <property fmtid="{D5CDD505-2E9C-101B-9397-08002B2CF9AE}" pid="5" name="_PreviousAdHocReviewCycleID">
    <vt:i4>-1276598369</vt:i4>
  </property>
  <property fmtid="{D5CDD505-2E9C-101B-9397-08002B2CF9AE}" pid="6" name="_EmailSubject">
    <vt:lpwstr>Modernising the taxation of trust income - options for reform [SEC=PROTECTED, DLM=Sensitive]</vt:lpwstr>
  </property>
  <property fmtid="{D5CDD505-2E9C-101B-9397-08002B2CF9AE}" pid="7" name="_AuthorEmail">
    <vt:lpwstr>Tessa.Rees@TREASURY.GOV.AU</vt:lpwstr>
  </property>
  <property fmtid="{D5CDD505-2E9C-101B-9397-08002B2CF9AE}" pid="8" name="_AuthorEmailDisplayName">
    <vt:lpwstr>Rees, Tessa</vt:lpwstr>
  </property>
  <property fmtid="{D5CDD505-2E9C-101B-9397-08002B2CF9AE}" pid="9" name="_ReviewingToolsShownOnce">
    <vt:lpwstr/>
  </property>
</Properties>
</file>