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DE899"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4940F126" w14:textId="77777777" w:rsidR="007662C7" w:rsidRPr="003E1CE3" w:rsidRDefault="00F109D4" w:rsidP="003E1CE3">
      <w:pPr>
        <w:pStyle w:val="Heading2"/>
        <w:jc w:val="center"/>
      </w:pPr>
      <w:r w:rsidRPr="00503E44">
        <w:t xml:space="preserve">Issued by authority of the </w:t>
      </w:r>
      <w:r w:rsidR="008F038A">
        <w:t>Treasurer</w:t>
      </w:r>
    </w:p>
    <w:p w14:paraId="5B702827" w14:textId="77777777" w:rsidR="00F109D4" w:rsidRPr="00503E44" w:rsidRDefault="008F038A" w:rsidP="00AA1689">
      <w:pPr>
        <w:spacing w:before="0" w:after="240"/>
        <w:jc w:val="center"/>
        <w:rPr>
          <w:i/>
        </w:rPr>
      </w:pPr>
      <w:r>
        <w:rPr>
          <w:i/>
        </w:rPr>
        <w:t>National Housing Finance and Investment Corporation Act 2018</w:t>
      </w:r>
    </w:p>
    <w:p w14:paraId="78C148D7" w14:textId="21FC508A" w:rsidR="00F109D4" w:rsidRPr="00503E44" w:rsidRDefault="008F038A" w:rsidP="00AA1689">
      <w:pPr>
        <w:tabs>
          <w:tab w:val="left" w:pos="1418"/>
        </w:tabs>
        <w:spacing w:before="0" w:after="240"/>
        <w:jc w:val="center"/>
        <w:rPr>
          <w:i/>
        </w:rPr>
      </w:pPr>
      <w:r w:rsidRPr="008F038A">
        <w:rPr>
          <w:i/>
        </w:rPr>
        <w:t>National Housing Finance and Investment Corporation</w:t>
      </w:r>
      <w:r>
        <w:rPr>
          <w:i/>
        </w:rPr>
        <w:t xml:space="preserve"> Investment Mandate </w:t>
      </w:r>
      <w:r w:rsidR="00B30A12">
        <w:rPr>
          <w:i/>
        </w:rPr>
        <w:t xml:space="preserve">Direction </w:t>
      </w:r>
      <w:r>
        <w:rPr>
          <w:i/>
        </w:rPr>
        <w:t>2018</w:t>
      </w:r>
    </w:p>
    <w:p w14:paraId="3B43737F" w14:textId="3FF1B768" w:rsidR="00D04F84" w:rsidRDefault="00D04F84" w:rsidP="00647BB7">
      <w:pPr>
        <w:spacing w:before="240"/>
      </w:pPr>
      <w:r>
        <w:t xml:space="preserve">The </w:t>
      </w:r>
      <w:r w:rsidRPr="00097696">
        <w:rPr>
          <w:i/>
        </w:rPr>
        <w:t>National Housing Finance and Investment Corporation Act 2018</w:t>
      </w:r>
      <w:r w:rsidRPr="00503E44">
        <w:t xml:space="preserve"> (the Act)</w:t>
      </w:r>
      <w:r>
        <w:t xml:space="preserve"> established the </w:t>
      </w:r>
      <w:r w:rsidRPr="008F038A">
        <w:t xml:space="preserve">National Housing Finance and Investment Corporation </w:t>
      </w:r>
      <w:r>
        <w:t xml:space="preserve">(the </w:t>
      </w:r>
      <w:r w:rsidR="00635E65">
        <w:t>NHFIC</w:t>
      </w:r>
      <w:r>
        <w:t xml:space="preserve">) to improve housing outcomes for Australians. The </w:t>
      </w:r>
      <w:r w:rsidR="00635E65">
        <w:t xml:space="preserve">NHFIC </w:t>
      </w:r>
      <w:r>
        <w:t>performs this role by making loans, investments and grants to encourage investment in housing, particularl</w:t>
      </w:r>
      <w:r w:rsidR="006F2FDB">
        <w:t>y social or affordable housing.</w:t>
      </w:r>
    </w:p>
    <w:p w14:paraId="1C6C49C4" w14:textId="1094D702" w:rsidR="00493EC7" w:rsidRDefault="00493EC7" w:rsidP="00647BB7">
      <w:pPr>
        <w:spacing w:before="240"/>
      </w:pPr>
      <w:r>
        <w:t xml:space="preserve">Under the Act, the Board of the </w:t>
      </w:r>
      <w:r w:rsidR="00635E65">
        <w:t>NHFIC</w:t>
      </w:r>
      <w:r>
        <w:t xml:space="preserve"> is responsible for setting the </w:t>
      </w:r>
      <w:r w:rsidR="00635E65">
        <w:t>NHFIC</w:t>
      </w:r>
      <w:r>
        <w:t xml:space="preserve">’s strategies and policies, and for the proper, efficient and effective performance of the </w:t>
      </w:r>
      <w:r w:rsidR="00635E65">
        <w:t>NHFIC</w:t>
      </w:r>
      <w:r>
        <w:t xml:space="preserve">’s functions. </w:t>
      </w:r>
    </w:p>
    <w:p w14:paraId="1BF0F5CA" w14:textId="3909241F" w:rsidR="008F038A" w:rsidRDefault="00C55D29" w:rsidP="00647BB7">
      <w:pPr>
        <w:spacing w:before="240"/>
      </w:pPr>
      <w:r w:rsidRPr="00503E44">
        <w:t xml:space="preserve">Section </w:t>
      </w:r>
      <w:r w:rsidR="008F038A">
        <w:t>12</w:t>
      </w:r>
      <w:r w:rsidR="005E4BAC">
        <w:t xml:space="preserve"> </w:t>
      </w:r>
      <w:r w:rsidR="00F109D4" w:rsidRPr="00503E44">
        <w:t xml:space="preserve">of the </w:t>
      </w:r>
      <w:r w:rsidR="00D04F84">
        <w:t xml:space="preserve">Act </w:t>
      </w:r>
      <w:r w:rsidR="00F109D4" w:rsidRPr="00503E44">
        <w:t xml:space="preserve">provides that the </w:t>
      </w:r>
      <w:r w:rsidR="008F038A">
        <w:t>Treasurer must</w:t>
      </w:r>
      <w:r w:rsidR="00F109D4" w:rsidRPr="00503E44">
        <w:t xml:space="preserve"> make </w:t>
      </w:r>
      <w:r w:rsidR="008F038A">
        <w:t xml:space="preserve">an investment mandate directing the Board in relation to the </w:t>
      </w:r>
      <w:r w:rsidR="00635E65">
        <w:t>NHFIC</w:t>
      </w:r>
      <w:r w:rsidR="00D04F84">
        <w:t>’s</w:t>
      </w:r>
      <w:r w:rsidR="008F038A">
        <w:t xml:space="preserve"> functions</w:t>
      </w:r>
      <w:r w:rsidR="00F109D4" w:rsidRPr="00503E44">
        <w:t>.</w:t>
      </w:r>
      <w:r w:rsidR="001D5890" w:rsidRPr="001D5890">
        <w:t xml:space="preserve"> </w:t>
      </w:r>
      <w:r w:rsidR="001D5890">
        <w:t xml:space="preserve">The Board is subject to the requirements of the Act and the investment mandate. </w:t>
      </w:r>
    </w:p>
    <w:p w14:paraId="6E259340" w14:textId="699785B0" w:rsidR="003F77C4" w:rsidRDefault="001D5890" w:rsidP="00DC286C">
      <w:pPr>
        <w:spacing w:before="240"/>
      </w:pPr>
      <w:r>
        <w:t xml:space="preserve">The </w:t>
      </w:r>
      <w:r w:rsidR="00635E65">
        <w:t>NHFIC</w:t>
      </w:r>
      <w:r>
        <w:t xml:space="preserve"> will make individual investment decisions independently of the Government. The purpose of the </w:t>
      </w:r>
      <w:r w:rsidR="00B30A12">
        <w:t>investment mandate</w:t>
      </w:r>
      <w:r>
        <w:t xml:space="preserve"> is to provide a mechanism for the Government to articulate its broad expectations of how the </w:t>
      </w:r>
      <w:r w:rsidR="00635E65">
        <w:t>NHFIC</w:t>
      </w:r>
      <w:r>
        <w:t xml:space="preserve"> invests and is managed by the Board.</w:t>
      </w:r>
      <w:r w:rsidR="00DC286C">
        <w:t xml:space="preserve"> </w:t>
      </w:r>
    </w:p>
    <w:p w14:paraId="05B7B4E2" w14:textId="6C7A42B4" w:rsidR="00B041D6" w:rsidRDefault="003F77C4" w:rsidP="00DC286C">
      <w:pPr>
        <w:spacing w:before="240"/>
      </w:pPr>
      <w:r>
        <w:t>The investment mandate provides</w:t>
      </w:r>
      <w:r w:rsidR="00DC286C">
        <w:t xml:space="preserve"> directions about</w:t>
      </w:r>
      <w:r>
        <w:t xml:space="preserve"> the two core functions of the </w:t>
      </w:r>
      <w:r w:rsidR="00635E65">
        <w:t>NHFIC</w:t>
      </w:r>
      <w:r>
        <w:t xml:space="preserve">: </w:t>
      </w:r>
      <w:r w:rsidR="00DC286C">
        <w:t>the Affordable Housing Bond Aggregator and the National Housing Infrastructure Facility.</w:t>
      </w:r>
      <w:r>
        <w:t xml:space="preserve"> </w:t>
      </w:r>
      <w:r w:rsidR="00B041D6">
        <w:t xml:space="preserve">The investment mandate also authorises the NHFIC to provide support to registered community housing providers to develop their financial and management capabilities. </w:t>
      </w:r>
    </w:p>
    <w:p w14:paraId="111393A2" w14:textId="385EBC00" w:rsidR="006341C6" w:rsidRDefault="003F77C4" w:rsidP="00647BB7">
      <w:pPr>
        <w:spacing w:before="240"/>
      </w:pPr>
      <w:r>
        <w:rPr>
          <w:rFonts w:cs="Arial"/>
        </w:rPr>
        <w:t>A</w:t>
      </w:r>
      <w:r w:rsidRPr="00377E96">
        <w:rPr>
          <w:rFonts w:cs="Arial"/>
        </w:rPr>
        <w:t xml:space="preserve"> combined cap of $175 million </w:t>
      </w:r>
      <w:r>
        <w:rPr>
          <w:rFonts w:cs="Arial"/>
        </w:rPr>
        <w:t>applies to</w:t>
      </w:r>
      <w:r w:rsidRPr="00377E96">
        <w:rPr>
          <w:rFonts w:cs="Arial"/>
        </w:rPr>
        <w:t xml:space="preserve"> </w:t>
      </w:r>
      <w:r>
        <w:rPr>
          <w:rFonts w:cs="Arial"/>
        </w:rPr>
        <w:t xml:space="preserve">the </w:t>
      </w:r>
      <w:r w:rsidR="001B1323">
        <w:rPr>
          <w:rFonts w:cs="Arial"/>
        </w:rPr>
        <w:t xml:space="preserve">NHFIC’s infrastructure </w:t>
      </w:r>
      <w:r w:rsidRPr="00377E96">
        <w:rPr>
          <w:rFonts w:cs="Arial"/>
        </w:rPr>
        <w:t>grants and capability building activities</w:t>
      </w:r>
      <w:r>
        <w:rPr>
          <w:rFonts w:cs="Arial"/>
        </w:rPr>
        <w:t>.</w:t>
      </w:r>
      <w:r w:rsidR="00B041D6" w:rsidRPr="00B041D6">
        <w:t xml:space="preserve"> </w:t>
      </w:r>
      <w:r w:rsidR="006341C6">
        <w:t xml:space="preserve">Details of the investment mandate are outlined in </w:t>
      </w:r>
      <w:r w:rsidR="009E260E">
        <w:t xml:space="preserve">the </w:t>
      </w:r>
      <w:r w:rsidR="006341C6" w:rsidRPr="006341C6">
        <w:rPr>
          <w:u w:val="single"/>
        </w:rPr>
        <w:t>Attachment</w:t>
      </w:r>
      <w:r w:rsidR="006341C6">
        <w:t>.</w:t>
      </w:r>
    </w:p>
    <w:p w14:paraId="3707C1A7" w14:textId="3E72A2B1" w:rsidR="006341C6" w:rsidRDefault="002D39E1" w:rsidP="002D39E1">
      <w:pPr>
        <w:tabs>
          <w:tab w:val="left" w:pos="2500"/>
        </w:tabs>
        <w:spacing w:before="240"/>
      </w:pPr>
      <w:r>
        <w:tab/>
      </w:r>
    </w:p>
    <w:p w14:paraId="1E1C0026" w14:textId="56065AB0" w:rsidR="009E260E" w:rsidRDefault="009E260E">
      <w:pPr>
        <w:spacing w:before="0" w:after="0"/>
      </w:pPr>
      <w:r>
        <w:br w:type="page"/>
      </w:r>
    </w:p>
    <w:p w14:paraId="4CD20853" w14:textId="77777777" w:rsidR="006341C6" w:rsidRDefault="006341C6" w:rsidP="00647BB7">
      <w:pPr>
        <w:spacing w:before="240"/>
      </w:pPr>
    </w:p>
    <w:p w14:paraId="444E46D7" w14:textId="2AD75370" w:rsidR="006341C6" w:rsidRPr="006341C6" w:rsidRDefault="009E260E" w:rsidP="006341C6">
      <w:pPr>
        <w:shd w:val="clear" w:color="auto" w:fill="FFFFFF"/>
        <w:spacing w:before="0" w:after="240"/>
        <w:ind w:right="91"/>
        <w:jc w:val="right"/>
        <w:rPr>
          <w:szCs w:val="24"/>
          <w:lang w:val="en-US"/>
        </w:rPr>
      </w:pPr>
      <w:r>
        <w:rPr>
          <w:b/>
          <w:bCs/>
          <w:szCs w:val="24"/>
          <w:u w:val="single"/>
        </w:rPr>
        <w:t>ATTACHMENT</w:t>
      </w:r>
    </w:p>
    <w:p w14:paraId="1CED2F93" w14:textId="33CEE6FF" w:rsidR="006341C6" w:rsidRPr="009E260E" w:rsidRDefault="006341C6" w:rsidP="006341C6">
      <w:pPr>
        <w:spacing w:before="240"/>
        <w:jc w:val="center"/>
        <w:rPr>
          <w:b/>
          <w:u w:val="single"/>
        </w:rPr>
      </w:pPr>
      <w:r w:rsidRPr="009E260E">
        <w:rPr>
          <w:b/>
          <w:u w:val="single"/>
        </w:rPr>
        <w:t xml:space="preserve">Details of the </w:t>
      </w:r>
      <w:r w:rsidR="009E260E" w:rsidRPr="009E260E">
        <w:rPr>
          <w:b/>
          <w:i/>
          <w:u w:val="single"/>
        </w:rPr>
        <w:t xml:space="preserve">National Housing Finance and Investment Corporation Investment Mandate </w:t>
      </w:r>
      <w:r w:rsidR="00B30A12">
        <w:rPr>
          <w:b/>
          <w:i/>
          <w:u w:val="single"/>
        </w:rPr>
        <w:t xml:space="preserve">Direction </w:t>
      </w:r>
      <w:r w:rsidR="009E260E" w:rsidRPr="009E260E">
        <w:rPr>
          <w:b/>
          <w:i/>
          <w:u w:val="single"/>
        </w:rPr>
        <w:t>2018</w:t>
      </w:r>
    </w:p>
    <w:p w14:paraId="53C11544" w14:textId="77777777" w:rsidR="00587DD3" w:rsidRPr="00587DD3" w:rsidRDefault="00587DD3" w:rsidP="00587DD3">
      <w:pPr>
        <w:spacing w:before="240"/>
        <w:rPr>
          <w:b/>
        </w:rPr>
      </w:pPr>
      <w:r w:rsidRPr="00587DD3">
        <w:rPr>
          <w:b/>
        </w:rPr>
        <w:t>Part 1 – Preliminary</w:t>
      </w:r>
    </w:p>
    <w:p w14:paraId="3159C325" w14:textId="77777777" w:rsidR="00587DD3" w:rsidRPr="00587DD3" w:rsidRDefault="00587DD3" w:rsidP="00587DD3">
      <w:pPr>
        <w:spacing w:before="240"/>
        <w:rPr>
          <w:u w:val="single"/>
        </w:rPr>
      </w:pPr>
      <w:r w:rsidRPr="00587DD3">
        <w:rPr>
          <w:u w:val="single"/>
        </w:rPr>
        <w:t>Section 1 – Name of the investment mandate</w:t>
      </w:r>
    </w:p>
    <w:p w14:paraId="5BA03C6E" w14:textId="77777777" w:rsidR="00587DD3" w:rsidRDefault="00587DD3" w:rsidP="00587DD3">
      <w:pPr>
        <w:spacing w:before="240"/>
      </w:pPr>
      <w:r>
        <w:t>Section 1 provides that the title of the investment mandate is the National Housing Finance and Investment Corporation Investment Mandate Direction 2018.</w:t>
      </w:r>
    </w:p>
    <w:p w14:paraId="2D3B2792" w14:textId="77777777" w:rsidR="00587DD3" w:rsidRPr="00587DD3" w:rsidRDefault="00587DD3" w:rsidP="00587DD3">
      <w:pPr>
        <w:spacing w:before="240"/>
        <w:rPr>
          <w:u w:val="single"/>
        </w:rPr>
      </w:pPr>
      <w:r w:rsidRPr="00587DD3">
        <w:rPr>
          <w:u w:val="single"/>
        </w:rPr>
        <w:t>Section 2 – Commencement</w:t>
      </w:r>
    </w:p>
    <w:p w14:paraId="5169DD30" w14:textId="77777777" w:rsidR="00587DD3" w:rsidRDefault="00587DD3" w:rsidP="00587DD3">
      <w:pPr>
        <w:spacing w:before="240"/>
      </w:pPr>
      <w:r>
        <w:t xml:space="preserve">Section 2 provides that the investment mandate commences the day after it is registered. </w:t>
      </w:r>
    </w:p>
    <w:p w14:paraId="65574969" w14:textId="77777777" w:rsidR="00587DD3" w:rsidRPr="00587DD3" w:rsidRDefault="00587DD3" w:rsidP="00587DD3">
      <w:pPr>
        <w:spacing w:before="240"/>
        <w:rPr>
          <w:u w:val="single"/>
        </w:rPr>
      </w:pPr>
      <w:r w:rsidRPr="00587DD3">
        <w:rPr>
          <w:u w:val="single"/>
        </w:rPr>
        <w:t>Section 3 – Authority</w:t>
      </w:r>
    </w:p>
    <w:p w14:paraId="60A82C37" w14:textId="77777777" w:rsidR="00587DD3" w:rsidRDefault="00587DD3" w:rsidP="00587DD3">
      <w:pPr>
        <w:spacing w:before="240"/>
      </w:pPr>
      <w:r>
        <w:t xml:space="preserve">Section 3 provides that the investment mandate is made under sub-section 12(1) of the National Housing Finance and Investment Corporation Act 2018 (the Act). </w:t>
      </w:r>
    </w:p>
    <w:p w14:paraId="2EB5297A" w14:textId="77777777" w:rsidR="00587DD3" w:rsidRPr="00587DD3" w:rsidRDefault="00587DD3" w:rsidP="00587DD3">
      <w:pPr>
        <w:spacing w:before="240"/>
        <w:rPr>
          <w:u w:val="single"/>
        </w:rPr>
      </w:pPr>
      <w:r w:rsidRPr="00587DD3">
        <w:rPr>
          <w:u w:val="single"/>
        </w:rPr>
        <w:t>Section 4 – Definitions</w:t>
      </w:r>
    </w:p>
    <w:p w14:paraId="3BA0D9F0" w14:textId="7704EB95" w:rsidR="002C1622" w:rsidRDefault="00587DD3" w:rsidP="00587DD3">
      <w:pPr>
        <w:spacing w:before="240"/>
      </w:pPr>
      <w:r>
        <w:t xml:space="preserve">Section 4 provides definitions for the terms “AHBA”, “capacity building contract”, “Commercial Financier”, “financing decision”, “financing proposal”, “infrastructure loan, grant or investment”, “minimum target value”, “NHIF”, “Permanent Fund” and “project proponent”. </w:t>
      </w:r>
      <w:r w:rsidR="002C1622">
        <w:t xml:space="preserve">Other terms used in the investment mandate that are defined in the Act (such as “NHFIC” and “registered community housing provider”) take on the meaning given by the Act, as per section 13 of the </w:t>
      </w:r>
      <w:r w:rsidR="002C1622" w:rsidRPr="00097696">
        <w:rPr>
          <w:i/>
        </w:rPr>
        <w:t>Legislation Act 2003</w:t>
      </w:r>
      <w:r w:rsidR="002C1622">
        <w:t>.</w:t>
      </w:r>
    </w:p>
    <w:p w14:paraId="0044C14C" w14:textId="02C9AD06" w:rsidR="00C90512" w:rsidRPr="00C90512" w:rsidRDefault="00C90512" w:rsidP="006341C6">
      <w:pPr>
        <w:spacing w:before="240"/>
        <w:rPr>
          <w:u w:val="single"/>
        </w:rPr>
      </w:pPr>
      <w:r w:rsidRPr="00C90512">
        <w:rPr>
          <w:u w:val="single"/>
        </w:rPr>
        <w:t>Section 5 – Purpose of the investment mandate</w:t>
      </w:r>
    </w:p>
    <w:p w14:paraId="49EF7789" w14:textId="4B4F0D28" w:rsidR="00C90512" w:rsidRDefault="00C90512" w:rsidP="006341C6">
      <w:pPr>
        <w:spacing w:before="240"/>
      </w:pPr>
      <w:r>
        <w:t xml:space="preserve">Section 5 provides that the purpose of the investment mandate is to give directions to the Board in relation to the </w:t>
      </w:r>
      <w:r w:rsidR="001675A6">
        <w:t>operation</w:t>
      </w:r>
      <w:r>
        <w:t xml:space="preserve"> of the </w:t>
      </w:r>
      <w:r w:rsidR="001675A6" w:rsidRPr="008F038A">
        <w:t xml:space="preserve">National Housing Finance and Investment Corporation </w:t>
      </w:r>
      <w:r w:rsidR="001675A6">
        <w:t xml:space="preserve">(the </w:t>
      </w:r>
      <w:r w:rsidR="00635E65">
        <w:t>NHFIC</w:t>
      </w:r>
      <w:r w:rsidR="001675A6">
        <w:t xml:space="preserve">). </w:t>
      </w:r>
    </w:p>
    <w:p w14:paraId="01C096E9" w14:textId="722D52B1" w:rsidR="00C90512" w:rsidRPr="00C90512" w:rsidRDefault="00C90512" w:rsidP="00E83643">
      <w:pPr>
        <w:pStyle w:val="Heading3"/>
      </w:pPr>
      <w:r w:rsidRPr="00C90512">
        <w:t>Part 2 – Activities and allocation of funds</w:t>
      </w:r>
    </w:p>
    <w:p w14:paraId="362630DD" w14:textId="6218EC5D" w:rsidR="00C90512" w:rsidRDefault="00DC2E69" w:rsidP="006341C6">
      <w:pPr>
        <w:spacing w:before="240"/>
        <w:rPr>
          <w:u w:val="single"/>
        </w:rPr>
      </w:pPr>
      <w:r>
        <w:rPr>
          <w:u w:val="single"/>
        </w:rPr>
        <w:t>Division 1</w:t>
      </w:r>
      <w:r w:rsidR="0089505D">
        <w:rPr>
          <w:u w:val="single"/>
        </w:rPr>
        <w:t xml:space="preserve"> – The Corporation’s activities</w:t>
      </w:r>
    </w:p>
    <w:p w14:paraId="0FFC7C4C" w14:textId="3E7C6035" w:rsidR="00DC2E69" w:rsidRDefault="000510B7" w:rsidP="006341C6">
      <w:pPr>
        <w:spacing w:before="240"/>
      </w:pPr>
      <w:r>
        <w:t xml:space="preserve">The </w:t>
      </w:r>
      <w:r w:rsidR="00635E65">
        <w:t>NHFIC</w:t>
      </w:r>
      <w:r>
        <w:t xml:space="preserve"> is </w:t>
      </w:r>
      <w:r w:rsidR="00217B89">
        <w:t xml:space="preserve">required </w:t>
      </w:r>
      <w:r>
        <w:t xml:space="preserve">to engage in </w:t>
      </w:r>
      <w:r w:rsidR="00217B89">
        <w:t xml:space="preserve">two </w:t>
      </w:r>
      <w:r>
        <w:t>activities</w:t>
      </w:r>
      <w:r w:rsidR="007A19B1">
        <w:t xml:space="preserve"> to support investment in Australian housing</w:t>
      </w:r>
      <w:r w:rsidR="0089505D">
        <w:t>:</w:t>
      </w:r>
    </w:p>
    <w:p w14:paraId="386B3E7D" w14:textId="42FEC32B" w:rsidR="0089505D" w:rsidRDefault="000510B7" w:rsidP="00696F49">
      <w:pPr>
        <w:pStyle w:val="Dotpoint"/>
      </w:pPr>
      <w:r>
        <w:t>t</w:t>
      </w:r>
      <w:r w:rsidR="0089505D">
        <w:t>he establishment and operation of an Aff</w:t>
      </w:r>
      <w:r w:rsidR="00EC5271">
        <w:t>ordable Housing Bond Aggregator </w:t>
      </w:r>
      <w:r w:rsidR="0089505D">
        <w:t>(AHBA)</w:t>
      </w:r>
      <w:r w:rsidR="00696F49">
        <w:t xml:space="preserve"> to provide finance to registered community housing providers</w:t>
      </w:r>
      <w:r w:rsidR="00696F49" w:rsidRPr="00696F49">
        <w:t xml:space="preserve"> by aggregating the</w:t>
      </w:r>
      <w:r w:rsidR="00696F49">
        <w:t>ir</w:t>
      </w:r>
      <w:r w:rsidR="00696F49" w:rsidRPr="00696F49">
        <w:t xml:space="preserve"> </w:t>
      </w:r>
      <w:r w:rsidR="00696F49">
        <w:t xml:space="preserve">lending requirements and </w:t>
      </w:r>
      <w:r w:rsidR="00696F49" w:rsidRPr="00696F49">
        <w:t>issuing bonds to institutional investors</w:t>
      </w:r>
      <w:r w:rsidR="0089505D">
        <w:t>;</w:t>
      </w:r>
      <w:r w:rsidR="00217B89">
        <w:t xml:space="preserve"> and</w:t>
      </w:r>
    </w:p>
    <w:p w14:paraId="10755DA0" w14:textId="77777777" w:rsidR="00217B89" w:rsidRDefault="000510B7" w:rsidP="0089505D">
      <w:pPr>
        <w:pStyle w:val="Dotpoint"/>
      </w:pPr>
      <w:r>
        <w:t>t</w:t>
      </w:r>
      <w:r w:rsidR="0089505D">
        <w:t xml:space="preserve">he establishment and operation of the National </w:t>
      </w:r>
      <w:r w:rsidR="00696F49">
        <w:t>Housing Infrastructure Facility </w:t>
      </w:r>
      <w:r w:rsidR="0089505D">
        <w:t>(NHIF)</w:t>
      </w:r>
      <w:r w:rsidR="00696F49">
        <w:t xml:space="preserve"> to provide grants and finance to support the creation of housing-related infrastructure</w:t>
      </w:r>
      <w:r w:rsidR="00217B89">
        <w:t>.</w:t>
      </w:r>
    </w:p>
    <w:p w14:paraId="3BD81FD0" w14:textId="513839E2" w:rsidR="0089505D" w:rsidRDefault="00217B89" w:rsidP="00097696">
      <w:pPr>
        <w:spacing w:before="240"/>
      </w:pPr>
      <w:r>
        <w:lastRenderedPageBreak/>
        <w:t>The NHFIC is also permitted to engage in</w:t>
      </w:r>
      <w:r w:rsidR="00911318">
        <w:t xml:space="preserve"> </w:t>
      </w:r>
      <w:r w:rsidR="000510B7">
        <w:t>c</w:t>
      </w:r>
      <w:r w:rsidR="0089505D">
        <w:t xml:space="preserve">apacity building </w:t>
      </w:r>
      <w:r w:rsidR="00BF014B">
        <w:t>services</w:t>
      </w:r>
      <w:r w:rsidR="00696F49">
        <w:t xml:space="preserve"> to support registered community housing providers</w:t>
      </w:r>
      <w:r w:rsidR="0089505D">
        <w:t>.</w:t>
      </w:r>
    </w:p>
    <w:p w14:paraId="02524E7F" w14:textId="2FA94671" w:rsidR="0089505D" w:rsidRDefault="007A19B1" w:rsidP="006341C6">
      <w:pPr>
        <w:spacing w:before="240"/>
      </w:pPr>
      <w:r>
        <w:t xml:space="preserve">The </w:t>
      </w:r>
      <w:r w:rsidR="00635E65">
        <w:t>NHFIC</w:t>
      </w:r>
      <w:r>
        <w:t xml:space="preserve"> must </w:t>
      </w:r>
      <w:r w:rsidR="005A2B24">
        <w:t xml:space="preserve">operate with a </w:t>
      </w:r>
      <w:r>
        <w:t xml:space="preserve">commercial </w:t>
      </w:r>
      <w:r w:rsidR="005A2B24">
        <w:t>approach when making financing decisions</w:t>
      </w:r>
      <w:r>
        <w:t xml:space="preserve">. </w:t>
      </w:r>
      <w:r w:rsidR="0089505D">
        <w:t xml:space="preserve">The </w:t>
      </w:r>
      <w:r w:rsidR="00635E65">
        <w:t>NHFIC</w:t>
      </w:r>
      <w:r w:rsidR="0089505D">
        <w:t xml:space="preserve"> may not </w:t>
      </w:r>
      <w:r w:rsidR="00244935">
        <w:t xml:space="preserve">spend money, </w:t>
      </w:r>
      <w:r w:rsidR="004D1854">
        <w:t xml:space="preserve">or </w:t>
      </w:r>
      <w:r w:rsidR="00244935">
        <w:t>make loans, investments or grants for any other purpose unless it is</w:t>
      </w:r>
      <w:r w:rsidR="0089505D">
        <w:t xml:space="preserve"> incidental to the permitted activities. </w:t>
      </w:r>
    </w:p>
    <w:p w14:paraId="696B064D" w14:textId="7E12ECC0" w:rsidR="00DC2E69" w:rsidRDefault="00DC2E69" w:rsidP="006341C6">
      <w:pPr>
        <w:spacing w:before="240"/>
        <w:rPr>
          <w:u w:val="single"/>
        </w:rPr>
      </w:pPr>
      <w:r>
        <w:rPr>
          <w:u w:val="single"/>
        </w:rPr>
        <w:t>Division 2</w:t>
      </w:r>
      <w:r w:rsidR="0089505D">
        <w:rPr>
          <w:u w:val="single"/>
        </w:rPr>
        <w:t xml:space="preserve"> –</w:t>
      </w:r>
      <w:r w:rsidR="0089505D" w:rsidRPr="00C54ECD">
        <w:rPr>
          <w:u w:val="single"/>
        </w:rPr>
        <w:t xml:space="preserve"> </w:t>
      </w:r>
      <w:r w:rsidR="00C54ECD" w:rsidRPr="00F1074F">
        <w:rPr>
          <w:u w:val="single"/>
        </w:rPr>
        <w:t>Allocation and repayment of funds – AHBA</w:t>
      </w:r>
    </w:p>
    <w:p w14:paraId="432378CA" w14:textId="3B82D2D1" w:rsidR="00C54ECD" w:rsidRDefault="00C54ECD" w:rsidP="00C54ECD">
      <w:pPr>
        <w:spacing w:before="240"/>
      </w:pPr>
      <w:r>
        <w:t xml:space="preserve">Divisions 2 and 3 direct the NHFIC in relation to the allocation of money appropriated for it by Parliament. </w:t>
      </w:r>
    </w:p>
    <w:p w14:paraId="42DDBB58" w14:textId="24DE808E" w:rsidR="00C54ECD" w:rsidRDefault="00C54ECD" w:rsidP="00C54ECD">
      <w:pPr>
        <w:spacing w:before="240"/>
      </w:pPr>
      <w:r>
        <w:t xml:space="preserve">The Board may allocate up to $150 million to an initial reserve to support the initial operation of the AHBA. While the AHBA will fund its operation by issuing bonds, it will not be able to issue bonds until there is a sufficient amount of debt available to be aggregated into a bond issuance. Therefore, ability to initially allocate up to $150 million is available to provide a warehouse facility that extends bridging financing to registered community housing providers until a bond issuance can be made. </w:t>
      </w:r>
    </w:p>
    <w:p w14:paraId="4F68F044" w14:textId="55468B2B" w:rsidR="00C54ECD" w:rsidRDefault="00C54ECD" w:rsidP="00C54ECD">
      <w:pPr>
        <w:spacing w:before="240"/>
      </w:pPr>
      <w:r>
        <w:t>The NHFIC must repay the amount allocated to the AHBA plus a margin to reflect the Commonwealth’s cost of borrowing to the Government. The NHFIC must make the repayment by 30 June 2023 by which time the NHFIC is expected to have independent financial arrangements in place to support the AHBA.</w:t>
      </w:r>
    </w:p>
    <w:p w14:paraId="7B2059E3" w14:textId="5387B6E6" w:rsidR="00C54ECD" w:rsidRDefault="00C54ECD" w:rsidP="00C54ECD">
      <w:pPr>
        <w:spacing w:before="240"/>
      </w:pPr>
      <w:r w:rsidRPr="00CB04B2">
        <w:t xml:space="preserve">The adjustment to cover the ‘Commonwealth’s cost of borrowing’ </w:t>
      </w:r>
      <w:r>
        <w:t xml:space="preserve">ensures the Commonwealth recoups the real cost of financing the AHBA initial reserve. </w:t>
      </w:r>
      <w:r w:rsidR="00A265AF">
        <w:t xml:space="preserve">The same approach is taken in respect of the </w:t>
      </w:r>
      <w:r w:rsidR="00A265AF" w:rsidRPr="00CB04B2">
        <w:t xml:space="preserve">target rate of return in the Investment Mandate for the Northern </w:t>
      </w:r>
      <w:r w:rsidR="00A265AF" w:rsidRPr="00625926">
        <w:t>Australia Infrastructure Facility</w:t>
      </w:r>
      <w:r w:rsidR="00A265AF">
        <w:t xml:space="preserve">. </w:t>
      </w:r>
      <w:r w:rsidRPr="00625926">
        <w:t>While the term itself is undefined, it is generally understood as requiring a return equivalent to the weighted average issuance yield on government bonds.</w:t>
      </w:r>
      <w:r>
        <w:t xml:space="preserve"> </w:t>
      </w:r>
    </w:p>
    <w:p w14:paraId="07D63D9E" w14:textId="156E44CA" w:rsidR="00C54ECD" w:rsidRDefault="00DC5E4B" w:rsidP="00C54ECD">
      <w:pPr>
        <w:spacing w:before="240"/>
      </w:pPr>
      <w:r>
        <w:t>Over the long term, t</w:t>
      </w:r>
      <w:r w:rsidR="00C54ECD">
        <w:t xml:space="preserve">he Board must consider recommending the payment of a dividend to the Government under section 49 of the Act if the AHBA substantially exceeds its benchmark rate of return (see Part 3). </w:t>
      </w:r>
    </w:p>
    <w:p w14:paraId="3451E383" w14:textId="3852272C" w:rsidR="00C54ECD" w:rsidRPr="00F1074F" w:rsidRDefault="00C54ECD" w:rsidP="006341C6">
      <w:pPr>
        <w:spacing w:before="240"/>
        <w:rPr>
          <w:u w:val="single"/>
        </w:rPr>
      </w:pPr>
      <w:r w:rsidRPr="00F1074F">
        <w:rPr>
          <w:u w:val="single"/>
        </w:rPr>
        <w:t>Division 3 – Allocation and maintenance of funds – NHIF and capacity building</w:t>
      </w:r>
    </w:p>
    <w:p w14:paraId="399CC405" w14:textId="776BF40E" w:rsidR="00EC5271" w:rsidRDefault="00C905BD" w:rsidP="006341C6">
      <w:pPr>
        <w:spacing w:before="240"/>
      </w:pPr>
      <w:r w:rsidRPr="00625926">
        <w:t>The Government has committed $1 billion over five years to the NHIF for the</w:t>
      </w:r>
      <w:r>
        <w:t xml:space="preserve"> </w:t>
      </w:r>
      <w:r w:rsidR="00635E65">
        <w:t>NHFIC</w:t>
      </w:r>
      <w:r>
        <w:t xml:space="preserve"> to make loans, investments and grants to housing-related infrastructure projects. </w:t>
      </w:r>
      <w:r w:rsidR="009B4903">
        <w:t xml:space="preserve">This funding is to be provided </w:t>
      </w:r>
      <w:r w:rsidR="000C7B5F">
        <w:t xml:space="preserve">by </w:t>
      </w:r>
      <w:r w:rsidR="009B4903">
        <w:t xml:space="preserve">appropriations </w:t>
      </w:r>
      <w:r w:rsidR="000C7B5F">
        <w:t xml:space="preserve">made through the Budget process. </w:t>
      </w:r>
    </w:p>
    <w:p w14:paraId="20B1DFF0" w14:textId="29392726" w:rsidR="00C041C1" w:rsidRDefault="00167822" w:rsidP="006341C6">
      <w:pPr>
        <w:spacing w:before="240"/>
      </w:pPr>
      <w:r>
        <w:t xml:space="preserve">Over the medium to the long term, the Board must at a minimum maintain the value of the funds it has used and has available to use to provide infrastructure loans and make investments. To maintain the true value of the funds made available under the NHIF, the </w:t>
      </w:r>
      <w:r w:rsidR="00635E65">
        <w:t>NHFIC</w:t>
      </w:r>
      <w:r>
        <w:t xml:space="preserve"> must also recover the Government’s associated costs of borrowing. </w:t>
      </w:r>
    </w:p>
    <w:p w14:paraId="1826F2B1" w14:textId="77777777" w:rsidR="00C041C1" w:rsidRDefault="00C041C1" w:rsidP="006341C6">
      <w:pPr>
        <w:spacing w:before="240"/>
      </w:pPr>
    </w:p>
    <w:p w14:paraId="694CA0D3" w14:textId="24C5096C" w:rsidR="00C905BD" w:rsidRDefault="00167822" w:rsidP="006341C6">
      <w:pPr>
        <w:spacing w:before="240"/>
      </w:pPr>
      <w:r>
        <w:t xml:space="preserve">The obligation to maintain the value of the NHIF is achieved through a Permanent Fund, which the Board must establish. The Permanent Fund includes the value of the </w:t>
      </w:r>
      <w:r w:rsidR="00635E65">
        <w:t>NHFIC</w:t>
      </w:r>
      <w:r>
        <w:t xml:space="preserve">’s current infrastructure loans and investments under the NHIF, and the funds available to the </w:t>
      </w:r>
      <w:r w:rsidR="00635E65">
        <w:t>NHFIC</w:t>
      </w:r>
      <w:r>
        <w:t xml:space="preserve"> to for this purpose. </w:t>
      </w:r>
    </w:p>
    <w:p w14:paraId="5ED1108F" w14:textId="44EBC940" w:rsidR="00CB04B2" w:rsidRDefault="00167822" w:rsidP="006341C6">
      <w:pPr>
        <w:spacing w:before="240"/>
      </w:pPr>
      <w:r>
        <w:lastRenderedPageBreak/>
        <w:t xml:space="preserve">The minimum target value of the fund </w:t>
      </w:r>
      <w:r w:rsidR="00193188">
        <w:t xml:space="preserve">at a particular time is </w:t>
      </w:r>
      <w:r w:rsidR="00CB04B2">
        <w:t>following amount, adjusted to cover the Commonwealth’s cost of borrowing:</w:t>
      </w:r>
    </w:p>
    <w:p w14:paraId="12958133" w14:textId="5D13DD7E" w:rsidR="00CB04B2" w:rsidRDefault="00CB04B2" w:rsidP="00CB04B2">
      <w:pPr>
        <w:spacing w:before="240"/>
      </w:pPr>
      <w:r>
        <w:t>The amount is the sum of the funds</w:t>
      </w:r>
      <w:r w:rsidR="00193188">
        <w:t xml:space="preserve"> appropriated for the purposes of the NHFIC</w:t>
      </w:r>
      <w:r>
        <w:t>, less the total value of any:</w:t>
      </w:r>
    </w:p>
    <w:p w14:paraId="0CAE1EF3" w14:textId="0079A8B2" w:rsidR="00CB04B2" w:rsidRDefault="00CB04B2" w:rsidP="00097696">
      <w:pPr>
        <w:pStyle w:val="Bullet"/>
      </w:pPr>
      <w:r>
        <w:t>funds allocated to the AHBA</w:t>
      </w:r>
      <w:r w:rsidR="00C54ECD">
        <w:t>’s initial reserve</w:t>
      </w:r>
      <w:r>
        <w:t>;</w:t>
      </w:r>
    </w:p>
    <w:p w14:paraId="7CD9A1B1" w14:textId="77777777" w:rsidR="00CB04B2" w:rsidRDefault="00CB04B2" w:rsidP="00097696">
      <w:pPr>
        <w:pStyle w:val="Bullet"/>
      </w:pPr>
      <w:r>
        <w:t>infrastructure grants made up to that time; and</w:t>
      </w:r>
    </w:p>
    <w:p w14:paraId="468794E5" w14:textId="25FA162F" w:rsidR="00193188" w:rsidRDefault="00CB04B2" w:rsidP="00097696">
      <w:pPr>
        <w:pStyle w:val="Bullet"/>
      </w:pPr>
      <w:r>
        <w:t>capacity building contracts made up to that time.</w:t>
      </w:r>
    </w:p>
    <w:p w14:paraId="79FEE50B" w14:textId="7CD55793" w:rsidR="000C7B5F" w:rsidRDefault="000C7B5F" w:rsidP="006341C6">
      <w:pPr>
        <w:spacing w:before="240"/>
      </w:pPr>
      <w:r>
        <w:t>This minimum target value is used to derive the rate of return that must be applied to individual financing decisions that are provided under the NHIF.</w:t>
      </w:r>
    </w:p>
    <w:p w14:paraId="2EFB2376" w14:textId="70A3DAEE" w:rsidR="008F46CA" w:rsidRDefault="00CB04B2" w:rsidP="006341C6">
      <w:pPr>
        <w:spacing w:before="240"/>
      </w:pPr>
      <w:r w:rsidRPr="00CB04B2">
        <w:t xml:space="preserve">The adjustment to cover the Commonwealth’s cost of borrowing </w:t>
      </w:r>
      <w:r w:rsidR="008F46CA">
        <w:t xml:space="preserve">ensures </w:t>
      </w:r>
      <w:r w:rsidR="00DC5E4B">
        <w:t xml:space="preserve">the </w:t>
      </w:r>
      <w:r w:rsidR="008F46CA">
        <w:t xml:space="preserve">Permanent Fund is maintained in real, rather than nominal terms. </w:t>
      </w:r>
      <w:r w:rsidR="00A265AF">
        <w:t xml:space="preserve">As noted above, the </w:t>
      </w:r>
      <w:r w:rsidR="008F46CA">
        <w:t xml:space="preserve">same approach is taken in respect of the </w:t>
      </w:r>
      <w:r w:rsidRPr="00CB04B2">
        <w:t xml:space="preserve">target rate of return in the Investment Mandate for the Northern </w:t>
      </w:r>
      <w:r w:rsidRPr="00625926">
        <w:t xml:space="preserve">Australia Infrastructure Facility. </w:t>
      </w:r>
      <w:r w:rsidR="00C54ECD">
        <w:t>As in the context of the AHBA initial reserve, the Commonwealth’s cost of borrowing</w:t>
      </w:r>
      <w:r w:rsidR="008F46CA" w:rsidRPr="00625926">
        <w:t xml:space="preserve"> is generally understood as requiring a return equivalent to the </w:t>
      </w:r>
      <w:r w:rsidR="00B02D57" w:rsidRPr="00625926">
        <w:t xml:space="preserve">weighted </w:t>
      </w:r>
      <w:r w:rsidR="008F46CA" w:rsidRPr="00625926">
        <w:t xml:space="preserve">average </w:t>
      </w:r>
      <w:r w:rsidR="00B02D57" w:rsidRPr="00625926">
        <w:t xml:space="preserve">issuance </w:t>
      </w:r>
      <w:r w:rsidR="008F46CA" w:rsidRPr="00625926">
        <w:t>yield</w:t>
      </w:r>
      <w:r w:rsidR="00B02D57" w:rsidRPr="00625926">
        <w:t xml:space="preserve"> on government bonds</w:t>
      </w:r>
      <w:r w:rsidR="008F46CA" w:rsidRPr="00625926">
        <w:t>.</w:t>
      </w:r>
      <w:r w:rsidR="008F46CA">
        <w:t xml:space="preserve"> </w:t>
      </w:r>
    </w:p>
    <w:p w14:paraId="7BA8FFA2" w14:textId="7135F494" w:rsidR="008F46CA" w:rsidRDefault="00ED6A72" w:rsidP="006341C6">
      <w:pPr>
        <w:spacing w:before="240"/>
      </w:pPr>
      <w:r>
        <w:t xml:space="preserve">For the purposes of </w:t>
      </w:r>
      <w:r w:rsidR="008F46CA">
        <w:t xml:space="preserve">this investment mandate, the term is applied </w:t>
      </w:r>
      <w:r w:rsidR="008F46CA" w:rsidRPr="008F46CA">
        <w:t xml:space="preserve">to the value of the </w:t>
      </w:r>
      <w:r w:rsidR="008F46CA">
        <w:t>Permanent Fund</w:t>
      </w:r>
      <w:r w:rsidR="008F46CA" w:rsidRPr="008F46CA">
        <w:t xml:space="preserve">, rather than as the rate of return for specific financing decisions. </w:t>
      </w:r>
      <w:r w:rsidR="008F46CA">
        <w:t xml:space="preserve">This approach provides the Board with appropriate </w:t>
      </w:r>
      <w:r w:rsidR="008F46CA" w:rsidRPr="008F46CA">
        <w:t xml:space="preserve">flexibility in determining the rate of return for individual financing decisions and reflects that the </w:t>
      </w:r>
      <w:r w:rsidR="008F46CA">
        <w:t>Permanent Fund</w:t>
      </w:r>
      <w:r w:rsidR="008F46CA" w:rsidRPr="008F46CA">
        <w:t xml:space="preserve"> is intended to operate </w:t>
      </w:r>
      <w:r w:rsidR="008F46CA">
        <w:t xml:space="preserve">in perpetuity. </w:t>
      </w:r>
    </w:p>
    <w:p w14:paraId="2D4E5E29" w14:textId="255F13A2" w:rsidR="00167822" w:rsidRDefault="00CA1F7D" w:rsidP="00CA1F7D">
      <w:pPr>
        <w:spacing w:before="240"/>
      </w:pPr>
      <w:r>
        <w:t xml:space="preserve">Using the sum of appropriations as the starting point identifies the total value of funds that have been provided to the NHFIC. These amounts are reduced by any amounts that have been allocated to the AHBA, reflecting </w:t>
      </w:r>
      <w:r w:rsidR="00ED6A72">
        <w:t xml:space="preserve">that </w:t>
      </w:r>
      <w:r>
        <w:t>the AHBA is a different function that is subject to separate repayment conditions. Further, the value of grants and capacity building contracts do not count towards the target value because t</w:t>
      </w:r>
      <w:r w:rsidR="001B1CA0">
        <w:t xml:space="preserve">he </w:t>
      </w:r>
      <w:r w:rsidR="00635E65">
        <w:t>NHFIC</w:t>
      </w:r>
      <w:r w:rsidR="001B1CA0">
        <w:t xml:space="preserve"> is not required to recoup the value of these activities, although they are subject to the cap in section </w:t>
      </w:r>
      <w:r w:rsidR="00A376E6">
        <w:t>15</w:t>
      </w:r>
      <w:r w:rsidR="001B1CA0">
        <w:t xml:space="preserve">. </w:t>
      </w:r>
    </w:p>
    <w:p w14:paraId="071EB295" w14:textId="30F9D37F" w:rsidR="001B1CA0" w:rsidRDefault="00DE6848" w:rsidP="006341C6">
      <w:pPr>
        <w:spacing w:before="240"/>
      </w:pPr>
      <w:r>
        <w:t xml:space="preserve">Although the NHFIC’s administrative and operational costs are not </w:t>
      </w:r>
      <w:r w:rsidR="00ED6A72">
        <w:t xml:space="preserve">explicitly </w:t>
      </w:r>
      <w:r>
        <w:t xml:space="preserve">referred to in </w:t>
      </w:r>
      <w:r w:rsidR="00ED6A72">
        <w:t>the target value, they must be recouped in order for the minimum target value to be maintained.</w:t>
      </w:r>
    </w:p>
    <w:p w14:paraId="56720852" w14:textId="35A92187" w:rsidR="00F76A4C" w:rsidRDefault="00F76A4C" w:rsidP="00F76A4C">
      <w:pPr>
        <w:spacing w:before="240"/>
      </w:pPr>
      <w:r>
        <w:t xml:space="preserve">A cap of $175 million </w:t>
      </w:r>
      <w:r w:rsidR="00FD67E1">
        <w:t xml:space="preserve">applies to </w:t>
      </w:r>
      <w:r>
        <w:t xml:space="preserve">the total amount of money the </w:t>
      </w:r>
      <w:r w:rsidR="00635E65">
        <w:t>NHFIC</w:t>
      </w:r>
      <w:r>
        <w:t xml:space="preserve"> can provide in the form of grants and capacity building activities. </w:t>
      </w:r>
      <w:r w:rsidR="001048F4">
        <w:t xml:space="preserve">Of the $175 million, the NHFIC may allocate up to $1.5 million to capacity building activities. </w:t>
      </w:r>
      <w:r w:rsidR="00A176A8">
        <w:t xml:space="preserve">For example, the NHFIC may issue </w:t>
      </w:r>
      <w:r w:rsidR="00C041C1">
        <w:t xml:space="preserve">a total of </w:t>
      </w:r>
      <w:r w:rsidR="00A176A8">
        <w:t xml:space="preserve">$174 million </w:t>
      </w:r>
      <w:r w:rsidR="00C041C1">
        <w:t>in</w:t>
      </w:r>
      <w:r w:rsidR="00A176A8">
        <w:t xml:space="preserve"> grants and spend $1 million on capacity building activities. </w:t>
      </w:r>
    </w:p>
    <w:p w14:paraId="626673B7" w14:textId="0F4761BF" w:rsidR="00EC5271" w:rsidRDefault="00EC5271" w:rsidP="00E83643">
      <w:pPr>
        <w:pStyle w:val="Heading3"/>
      </w:pPr>
      <w:r w:rsidRPr="00EC5271">
        <w:t>Part 3 – The Affordable Housing Bond Aggregator</w:t>
      </w:r>
    </w:p>
    <w:p w14:paraId="4B2462C2" w14:textId="281BE1C7" w:rsidR="00B323CE" w:rsidRDefault="00A36F3B" w:rsidP="006341C6">
      <w:pPr>
        <w:spacing w:before="240"/>
      </w:pPr>
      <w:r w:rsidRPr="00A36F3B">
        <w:t>T</w:t>
      </w:r>
      <w:r>
        <w:t xml:space="preserve">he AHBA will provide </w:t>
      </w:r>
      <w:r w:rsidR="00D4768E">
        <w:t>loans</w:t>
      </w:r>
      <w:r>
        <w:t xml:space="preserve"> to register</w:t>
      </w:r>
      <w:r w:rsidR="007A19B1">
        <w:t xml:space="preserve">ed community housing providers. A bond aggregator works by sourcing finance in the debt market and on-lending funds to </w:t>
      </w:r>
      <w:r w:rsidR="00B323CE">
        <w:t xml:space="preserve">a number of </w:t>
      </w:r>
      <w:r w:rsidR="007A19B1">
        <w:t>different borrowers</w:t>
      </w:r>
      <w:r w:rsidR="00B323CE">
        <w:t xml:space="preserve"> for different projects</w:t>
      </w:r>
      <w:r w:rsidR="007A19B1">
        <w:t xml:space="preserve">. </w:t>
      </w:r>
      <w:r w:rsidR="00B323CE">
        <w:t xml:space="preserve">Aggregating the funding needs of </w:t>
      </w:r>
      <w:r w:rsidR="00B323CE">
        <w:lastRenderedPageBreak/>
        <w:t xml:space="preserve">a number of borrowers into larger debt issuances allows funding to be raised at a lower cost. </w:t>
      </w:r>
    </w:p>
    <w:p w14:paraId="23F1D364" w14:textId="43C177E3" w:rsidR="00EC5271" w:rsidRDefault="00B323CE" w:rsidP="006341C6">
      <w:pPr>
        <w:spacing w:before="240"/>
      </w:pPr>
      <w:r>
        <w:t xml:space="preserve">In the case of the AHBA, the </w:t>
      </w:r>
      <w:r w:rsidR="00635E65">
        <w:t>NHFIC</w:t>
      </w:r>
      <w:r>
        <w:t xml:space="preserve"> is supported by a government guarantee which further reduces the </w:t>
      </w:r>
      <w:r w:rsidR="00635E65">
        <w:t>NHFIC</w:t>
      </w:r>
      <w:r>
        <w:t xml:space="preserve">’s borrowing costs. </w:t>
      </w:r>
      <w:r w:rsidR="007A19B1">
        <w:t>Attracting finance through the AHBA in this way will allow registered community housing providers to ac</w:t>
      </w:r>
      <w:r>
        <w:t xml:space="preserve">cess more </w:t>
      </w:r>
      <w:r w:rsidR="007A19B1">
        <w:t xml:space="preserve">affordable finance on more appropriate terms, and will support the expansion of Australia’s affordable housing stock. </w:t>
      </w:r>
    </w:p>
    <w:p w14:paraId="7BF462B9" w14:textId="40A978F3" w:rsidR="00BB3EA2" w:rsidRDefault="00BB3EA2" w:rsidP="00A34A68">
      <w:pPr>
        <w:spacing w:before="240"/>
      </w:pPr>
      <w:r>
        <w:t xml:space="preserve">The </w:t>
      </w:r>
      <w:r w:rsidR="00635E65">
        <w:t>NHFIC</w:t>
      </w:r>
      <w:r>
        <w:t xml:space="preserve"> may only provide finance to registered community housing providers in the form of secured loans. The </w:t>
      </w:r>
      <w:r w:rsidR="00635E65">
        <w:t>NHFIC</w:t>
      </w:r>
      <w:r>
        <w:t xml:space="preserve"> is required to take security for its loans on co</w:t>
      </w:r>
      <w:r w:rsidR="00911318">
        <w:t>mmensurate terms to commercial f</w:t>
      </w:r>
      <w:r>
        <w:t>inanciers</w:t>
      </w:r>
      <w:r w:rsidR="00911318">
        <w:t xml:space="preserve"> such as banks and other lenders</w:t>
      </w:r>
      <w:r>
        <w:t xml:space="preserve">. </w:t>
      </w:r>
    </w:p>
    <w:p w14:paraId="75AA480E" w14:textId="4A959992" w:rsidR="00DA3E5B" w:rsidRDefault="0056247D" w:rsidP="00A34A68">
      <w:pPr>
        <w:spacing w:before="240"/>
      </w:pPr>
      <w:r>
        <w:t>Registered c</w:t>
      </w:r>
      <w:r w:rsidR="00DA3E5B">
        <w:t xml:space="preserve">ommunity housing providers </w:t>
      </w:r>
      <w:r>
        <w:t xml:space="preserve">are registered with State and Territory governments to </w:t>
      </w:r>
      <w:r w:rsidR="00DA3E5B" w:rsidRPr="00DA3E5B">
        <w:t>provide accommodation services for socia</w:t>
      </w:r>
      <w:r w:rsidR="00DA3E5B">
        <w:t>l housing and</w:t>
      </w:r>
      <w:r w:rsidR="00DA3E5B" w:rsidRPr="00DA3E5B">
        <w:t xml:space="preserve"> </w:t>
      </w:r>
      <w:r w:rsidR="00911318">
        <w:t>manage</w:t>
      </w:r>
      <w:r w:rsidR="00DA3E5B" w:rsidRPr="00DA3E5B">
        <w:t xml:space="preserve"> public housing on behalf of </w:t>
      </w:r>
      <w:r>
        <w:t>those</w:t>
      </w:r>
      <w:r w:rsidR="00DA3E5B" w:rsidRPr="00DA3E5B">
        <w:t xml:space="preserve"> governments. </w:t>
      </w:r>
      <w:r w:rsidR="00DA3E5B">
        <w:t>Providers</w:t>
      </w:r>
      <w:r w:rsidR="00DA3E5B" w:rsidRPr="00DA3E5B">
        <w:t xml:space="preserve"> also own their own stock of housing, which they offer to tenants </w:t>
      </w:r>
      <w:r w:rsidR="00DA3E5B">
        <w:t>with modest incomes at below-</w:t>
      </w:r>
      <w:r w:rsidR="00DA3E5B" w:rsidRPr="00DA3E5B">
        <w:t>market rents.</w:t>
      </w:r>
      <w:r w:rsidR="00DA3E5B">
        <w:t xml:space="preserve"> </w:t>
      </w:r>
    </w:p>
    <w:p w14:paraId="1418803B" w14:textId="2E389BD5" w:rsidR="00BB3EA2" w:rsidRDefault="00A34A68" w:rsidP="00A34A68">
      <w:pPr>
        <w:spacing w:before="240"/>
      </w:pPr>
      <w:r>
        <w:t xml:space="preserve">In making financing decisions, the </w:t>
      </w:r>
      <w:r w:rsidR="00635E65">
        <w:t>NHFIC</w:t>
      </w:r>
      <w:r>
        <w:t xml:space="preserve"> is required to </w:t>
      </w:r>
      <w:r w:rsidR="00B666E7">
        <w:t xml:space="preserve">take a </w:t>
      </w:r>
      <w:r>
        <w:t xml:space="preserve">commercial </w:t>
      </w:r>
      <w:r w:rsidR="00B666E7">
        <w:t>approach</w:t>
      </w:r>
      <w:r>
        <w:t xml:space="preserve">, maintain </w:t>
      </w:r>
      <w:r w:rsidR="00414777">
        <w:t xml:space="preserve">adequate </w:t>
      </w:r>
      <w:r>
        <w:t xml:space="preserve">capital reserves, achieve a benchmark rate of return and manage its commercial risks. </w:t>
      </w:r>
      <w:r w:rsidR="00BB3EA2">
        <w:t xml:space="preserve">This ensures the </w:t>
      </w:r>
      <w:r w:rsidR="00635E65">
        <w:t>NHFIC</w:t>
      </w:r>
      <w:r w:rsidR="00BB3EA2">
        <w:t xml:space="preserve"> fulfils its functions in a prudent and appropriate manner without creating </w:t>
      </w:r>
      <w:r w:rsidR="00911318">
        <w:t xml:space="preserve">an </w:t>
      </w:r>
      <w:r w:rsidR="00BB3EA2">
        <w:t xml:space="preserve">unnecessary risk of liability for the Government. </w:t>
      </w:r>
    </w:p>
    <w:p w14:paraId="390E1F70" w14:textId="218D75EB" w:rsidR="00BB3EA2" w:rsidRDefault="00BB3EA2" w:rsidP="00A34A68">
      <w:pPr>
        <w:spacing w:before="240"/>
      </w:pPr>
      <w:r>
        <w:t xml:space="preserve">The </w:t>
      </w:r>
      <w:r w:rsidR="00CA5DE5">
        <w:t>Board</w:t>
      </w:r>
      <w:r>
        <w:t xml:space="preserve"> must consider a number of commercial matters in making a </w:t>
      </w:r>
      <w:r w:rsidR="00911318">
        <w:t>financing</w:t>
      </w:r>
      <w:r>
        <w:t xml:space="preserve"> decision</w:t>
      </w:r>
      <w:r w:rsidR="00911318">
        <w:t xml:space="preserve"> under the AHBA</w:t>
      </w:r>
      <w:r>
        <w:t xml:space="preserve">. These include the </w:t>
      </w:r>
      <w:r w:rsidR="00414777">
        <w:t xml:space="preserve">purpose for which the loan is sought, the </w:t>
      </w:r>
      <w:r>
        <w:t xml:space="preserve">credit-worthiness of the relevant registered community housing provider, the </w:t>
      </w:r>
      <w:r w:rsidR="00414777">
        <w:t xml:space="preserve">extent and </w:t>
      </w:r>
      <w:r>
        <w:t>like</w:t>
      </w:r>
      <w:r w:rsidR="00414777">
        <w:t>lihood</w:t>
      </w:r>
      <w:r>
        <w:t xml:space="preserve"> </w:t>
      </w:r>
      <w:r w:rsidR="00414777">
        <w:t xml:space="preserve">of a </w:t>
      </w:r>
      <w:r>
        <w:t xml:space="preserve">return on any loan and the associated financing cost. </w:t>
      </w:r>
      <w:r w:rsidR="003D5178">
        <w:t>In addition, the Board must have regard to the objects of the Act and must consider the availability of private sector finance to the registered community housing provider and whether the loan would complement other sources of government finance.</w:t>
      </w:r>
    </w:p>
    <w:p w14:paraId="75F16999" w14:textId="3556B18E" w:rsidR="00BB3EA2" w:rsidRDefault="00BB3EA2" w:rsidP="00A34A68">
      <w:pPr>
        <w:spacing w:before="240"/>
      </w:pPr>
      <w:r>
        <w:t xml:space="preserve">The </w:t>
      </w:r>
      <w:r w:rsidR="00635E65">
        <w:t>NHFIC</w:t>
      </w:r>
      <w:r>
        <w:t>’s capital reserve target requires the Board to ai</w:t>
      </w:r>
      <w:r w:rsidR="00F5319A">
        <w:t>m to maintain a</w:t>
      </w:r>
      <w:r w:rsidR="00414777">
        <w:t>n adequate</w:t>
      </w:r>
      <w:r w:rsidR="00F5319A">
        <w:t xml:space="preserve"> capital reserve</w:t>
      </w:r>
      <w:r w:rsidR="00C02F9F">
        <w:t xml:space="preserve"> </w:t>
      </w:r>
      <w:r>
        <w:t xml:space="preserve">over the medium to long term. This is reflected in the </w:t>
      </w:r>
      <w:r w:rsidR="00911318">
        <w:t>AHBA</w:t>
      </w:r>
      <w:r>
        <w:t xml:space="preserve"> benchmark rate of return, which the Board must set to cover its financing and operating costs in addition to maintaining the capital reserve. </w:t>
      </w:r>
      <w:r w:rsidR="00043861">
        <w:t xml:space="preserve">The benchmark rate of return is a minimum target. If the </w:t>
      </w:r>
      <w:r w:rsidR="00635E65">
        <w:t>NHFIC</w:t>
      </w:r>
      <w:r w:rsidR="00043861">
        <w:t xml:space="preserve">’s returns substantially exceed the benchmark, it may </w:t>
      </w:r>
      <w:r w:rsidR="001B44B7">
        <w:t>recommend paying</w:t>
      </w:r>
      <w:r w:rsidR="00043861">
        <w:t xml:space="preserve"> a dividend. </w:t>
      </w:r>
    </w:p>
    <w:p w14:paraId="03035A40" w14:textId="59E66488" w:rsidR="00BB3EA2" w:rsidRDefault="00BB3EA2" w:rsidP="00A34A68">
      <w:pPr>
        <w:spacing w:before="240"/>
      </w:pPr>
      <w:r>
        <w:t>Within six months of the commencement of the investment mandate, the Board must agree to an investment risk evaluation process to assess the risk</w:t>
      </w:r>
      <w:r w:rsidR="00911318">
        <w:t>s associated with the AHBA</w:t>
      </w:r>
      <w:r>
        <w:t>. The Board must advise the Treasurer of this process.</w:t>
      </w:r>
    </w:p>
    <w:p w14:paraId="133058CA" w14:textId="2880C2D8" w:rsidR="00EC5271" w:rsidRPr="00EC5271" w:rsidRDefault="00EC5271" w:rsidP="00E83643">
      <w:pPr>
        <w:pStyle w:val="Heading3"/>
      </w:pPr>
      <w:r w:rsidRPr="00EC5271">
        <w:t xml:space="preserve">Part 4 – </w:t>
      </w:r>
      <w:r>
        <w:t xml:space="preserve">The </w:t>
      </w:r>
      <w:r w:rsidRPr="00EC5271">
        <w:t>National Housing Infrastructure Facility</w:t>
      </w:r>
    </w:p>
    <w:p w14:paraId="56013797" w14:textId="76ABAE56" w:rsidR="003A7C18" w:rsidRDefault="00B30A12" w:rsidP="003A7C18">
      <w:pPr>
        <w:spacing w:before="240"/>
      </w:pPr>
      <w:r>
        <w:t xml:space="preserve">The </w:t>
      </w:r>
      <w:r w:rsidR="00635E65">
        <w:t>NHFIC</w:t>
      </w:r>
      <w:r w:rsidR="00256E2A">
        <w:t xml:space="preserve"> may use the </w:t>
      </w:r>
      <w:r>
        <w:t xml:space="preserve">NHIF </w:t>
      </w:r>
      <w:r w:rsidR="00256E2A">
        <w:t>to provide</w:t>
      </w:r>
      <w:r>
        <w:t xml:space="preserve"> finance </w:t>
      </w:r>
      <w:r w:rsidR="009874EE">
        <w:t xml:space="preserve">in the form of loans, equity investments and grants </w:t>
      </w:r>
      <w:r w:rsidR="00256E2A">
        <w:t>to</w:t>
      </w:r>
      <w:r>
        <w:t xml:space="preserve"> eligible infrastructure projects </w:t>
      </w:r>
      <w:r w:rsidR="00256E2A">
        <w:t>which</w:t>
      </w:r>
      <w:r>
        <w:t xml:space="preserve"> support housing development. </w:t>
      </w:r>
      <w:r w:rsidR="003A7C18">
        <w:t>Examples of housing-related infrastructure include:</w:t>
      </w:r>
    </w:p>
    <w:p w14:paraId="07BE85E2" w14:textId="77777777" w:rsidR="003A7C18" w:rsidRDefault="003A7C18" w:rsidP="003A7C18">
      <w:pPr>
        <w:pStyle w:val="Dotpoint"/>
      </w:pPr>
      <w:r>
        <w:t>new or upgraded infrastructure for services such as water, sewerage, electricity or transportation; and</w:t>
      </w:r>
    </w:p>
    <w:p w14:paraId="3322E367" w14:textId="77777777" w:rsidR="003A7C18" w:rsidRDefault="003A7C18" w:rsidP="003A7C18">
      <w:pPr>
        <w:pStyle w:val="Dotpoint"/>
      </w:pPr>
      <w:r>
        <w:lastRenderedPageBreak/>
        <w:t>site remediation works including the removal of hazardous waste or contamination.</w:t>
      </w:r>
    </w:p>
    <w:p w14:paraId="13427970" w14:textId="4B4862E5" w:rsidR="0056247D" w:rsidRDefault="0056247D" w:rsidP="003A7C18">
      <w:pPr>
        <w:spacing w:before="240"/>
      </w:pPr>
      <w:r>
        <w:t xml:space="preserve">The NHIF will not finance housing projects directly nor will it finance community infrastructure such as parks or libraries. </w:t>
      </w:r>
    </w:p>
    <w:p w14:paraId="67E853CD" w14:textId="76447B18" w:rsidR="00773A53" w:rsidRDefault="003A7C18" w:rsidP="003A7C18">
      <w:pPr>
        <w:spacing w:before="240"/>
      </w:pPr>
      <w:r w:rsidRPr="00F861D5">
        <w:t xml:space="preserve">The NHIF will </w:t>
      </w:r>
      <w:r w:rsidR="00911318" w:rsidRPr="00F861D5">
        <w:t>support</w:t>
      </w:r>
      <w:r w:rsidR="009F7037" w:rsidRPr="00F861D5">
        <w:t xml:space="preserve"> infrastructure</w:t>
      </w:r>
      <w:r w:rsidRPr="00F861D5">
        <w:t xml:space="preserve"> projects linked to new housing supply by offering innovative financing options such as equity and blended finance tailored to the needs of projects. </w:t>
      </w:r>
      <w:r w:rsidR="00773A53" w:rsidRPr="00F861D5">
        <w:t>In this co</w:t>
      </w:r>
      <w:r w:rsidR="00F861D5" w:rsidRPr="00F861D5">
        <w:t xml:space="preserve">ntext, blended finance refers both to the potential for project finance to be provided through a combination of NHIF loans and investments and to the potential for NHIF financing to be structured to complement funding from a consortium of other government or non-government sources. </w:t>
      </w:r>
    </w:p>
    <w:p w14:paraId="222D5CA4" w14:textId="43785657" w:rsidR="003A7C18" w:rsidRDefault="003A7C18" w:rsidP="003A7C18">
      <w:pPr>
        <w:spacing w:before="240"/>
      </w:pPr>
      <w:r>
        <w:t xml:space="preserve">Tailoring </w:t>
      </w:r>
      <w:r w:rsidR="00A97F56">
        <w:t xml:space="preserve">of loans </w:t>
      </w:r>
      <w:r>
        <w:t>may include a range of concessions</w:t>
      </w:r>
      <w:r w:rsidR="009874EE">
        <w:t>,</w:t>
      </w:r>
      <w:r w:rsidRPr="003A7C18">
        <w:t xml:space="preserve"> including</w:t>
      </w:r>
      <w:r w:rsidR="009874EE">
        <w:t xml:space="preserve"> longer</w:t>
      </w:r>
      <w:r w:rsidR="00A97F56">
        <w:t xml:space="preserve"> loan</w:t>
      </w:r>
      <w:r w:rsidR="009874EE">
        <w:t xml:space="preserve"> tenors,</w:t>
      </w:r>
      <w:r w:rsidRPr="003A7C18">
        <w:t xml:space="preserve"> repayment holidays, subordination in debt structures and </w:t>
      </w:r>
      <w:r>
        <w:t xml:space="preserve">concessional </w:t>
      </w:r>
      <w:r w:rsidRPr="003A7C18">
        <w:t>interest rate margins.</w:t>
      </w:r>
    </w:p>
    <w:p w14:paraId="252DCC6D" w14:textId="334C1FE4" w:rsidR="00B4047A" w:rsidRDefault="003A7C18" w:rsidP="003A7C18">
      <w:pPr>
        <w:spacing w:before="240"/>
      </w:pPr>
      <w:r>
        <w:t>The NHIF will work in partnership with local</w:t>
      </w:r>
      <w:r w:rsidR="0056247D">
        <w:t>, State and Territory</w:t>
      </w:r>
      <w:r>
        <w:t xml:space="preserve"> governments</w:t>
      </w:r>
      <w:r w:rsidR="0056247D">
        <w:t xml:space="preserve">, and registered community housing providers, </w:t>
      </w:r>
      <w:r>
        <w:t xml:space="preserve">to </w:t>
      </w:r>
      <w:r w:rsidR="0056247D">
        <w:t>support</w:t>
      </w:r>
      <w:r>
        <w:t xml:space="preserve"> </w:t>
      </w:r>
      <w:r w:rsidR="0056247D">
        <w:t xml:space="preserve">housing-related </w:t>
      </w:r>
      <w:r>
        <w:t>infrastructure projects.</w:t>
      </w:r>
      <w:r w:rsidR="0056247D">
        <w:t xml:space="preserve"> The </w:t>
      </w:r>
      <w:r w:rsidR="00635E65">
        <w:t>NHFIC</w:t>
      </w:r>
      <w:r w:rsidR="0056247D">
        <w:t xml:space="preserve"> may provide NHIF finance to governments, government corporations and registered community housing providers. </w:t>
      </w:r>
    </w:p>
    <w:p w14:paraId="1A63BBEA" w14:textId="321FB6EB" w:rsidR="00B4047A" w:rsidRDefault="0056247D" w:rsidP="003A7C18">
      <w:pPr>
        <w:spacing w:before="240"/>
      </w:pPr>
      <w:r>
        <w:t xml:space="preserve">The </w:t>
      </w:r>
      <w:r w:rsidR="00635E65">
        <w:t>NHFIC</w:t>
      </w:r>
      <w:r>
        <w:t xml:space="preserve"> may also provide finance to housing infrastructure special purpose vehicles </w:t>
      </w:r>
      <w:r w:rsidR="00FE7BF6">
        <w:t xml:space="preserve">(SPVs) </w:t>
      </w:r>
      <w:r w:rsidR="00B4047A">
        <w:t>that have a purpose of undertaking housing-infrastructure enabling projects and have at least one member that is one of the above entities that the NHFIC can provide finance to</w:t>
      </w:r>
      <w:r w:rsidR="00B5138F">
        <w:t xml:space="preserve"> (the underlying eligible member or members)</w:t>
      </w:r>
      <w:r w:rsidR="00B4047A">
        <w:t xml:space="preserve">. In this context, the term is intended to cover any entity that has an ownership or participation interest in the </w:t>
      </w:r>
      <w:r w:rsidR="00FE7BF6">
        <w:t>SPV</w:t>
      </w:r>
      <w:r w:rsidR="00B4047A">
        <w:t xml:space="preserve"> (for example, a shareholder if the </w:t>
      </w:r>
      <w:r w:rsidR="00FE7BF6">
        <w:t>SPV</w:t>
      </w:r>
      <w:r w:rsidR="00B4047A">
        <w:t xml:space="preserve"> is a company, or a partner if it is a partnership). </w:t>
      </w:r>
    </w:p>
    <w:p w14:paraId="3EBF22A8" w14:textId="1A7B9CA5" w:rsidR="00DC5E4B" w:rsidRDefault="00DC5E4B" w:rsidP="003A7C18">
      <w:pPr>
        <w:spacing w:before="240"/>
      </w:pPr>
      <w:r>
        <w:t>In considering whether to provide finance to a</w:t>
      </w:r>
      <w:r w:rsidR="00FE7BF6">
        <w:t>n SPV</w:t>
      </w:r>
      <w:r>
        <w:t xml:space="preserve">, the NHFIC must consider the </w:t>
      </w:r>
      <w:r w:rsidR="006B1396">
        <w:t xml:space="preserve">extent to which the </w:t>
      </w:r>
      <w:r w:rsidR="00B5138F">
        <w:t xml:space="preserve">underlying </w:t>
      </w:r>
      <w:r w:rsidR="006B1396">
        <w:t xml:space="preserve">eligible member or members of the </w:t>
      </w:r>
      <w:r w:rsidR="00FE7BF6">
        <w:t>SPV</w:t>
      </w:r>
      <w:r w:rsidR="00B5138F">
        <w:t xml:space="preserve"> </w:t>
      </w:r>
      <w:r w:rsidR="00FE7BF6">
        <w:t>are</w:t>
      </w:r>
      <w:r w:rsidR="006B1396">
        <w:t xml:space="preserve"> involved in the proposed project. In this context, involvement has a broad meaning and would require the Board to have regard to the </w:t>
      </w:r>
      <w:r w:rsidR="00FE7BF6">
        <w:t xml:space="preserve">extent of the members’ financial involvement, their level of oversight and control, their ability (if any) to appoint directors to the SPV’s board, the level of finance they are providing to the project and their role in managing the delivery of the project. </w:t>
      </w:r>
      <w:r w:rsidR="00F62CFF">
        <w:t xml:space="preserve">None of these types of involvement are determinative and the Board must make financing decisions on a holistic assessment of all prescribed matters and the broader commercial proposal. For example, it is not necessary for the members to have the ability to control the appointment of directors but the NHFIC Board may consider certain levels of involvement to be too low for particular proposals to be appropriate. </w:t>
      </w:r>
    </w:p>
    <w:p w14:paraId="5AD3F307" w14:textId="3486F4A5" w:rsidR="003A7C18" w:rsidRDefault="003A7C18" w:rsidP="003A7C18">
      <w:pPr>
        <w:spacing w:before="240"/>
      </w:pPr>
      <w:r>
        <w:t xml:space="preserve">The NHIF </w:t>
      </w:r>
      <w:r w:rsidR="0056247D">
        <w:t xml:space="preserve">may only be used to finance </w:t>
      </w:r>
      <w:r>
        <w:t>projects that can demonstrate ‘additional</w:t>
      </w:r>
      <w:r w:rsidR="0056247D">
        <w:t>ity’</w:t>
      </w:r>
      <w:r>
        <w:t>. Additionality in this context refers to projects that otherwise would not proceed</w:t>
      </w:r>
      <w:r w:rsidR="00D12453">
        <w:t>, or would proceed at a smaller scale or at a later time,</w:t>
      </w:r>
      <w:r>
        <w:t xml:space="preserve"> without NHIF assistance, and the extent to which NHIF assistance would accelerate or increase housing supply.</w:t>
      </w:r>
      <w:r w:rsidR="00D0598F">
        <w:t xml:space="preserve"> In addition, the </w:t>
      </w:r>
      <w:r w:rsidR="00635E65">
        <w:t>NHFIC</w:t>
      </w:r>
      <w:r w:rsidR="00D0598F">
        <w:t xml:space="preserve"> must limit any concessions provided under the NHIF to the minimum necessary for an eligible project to be completed in the proposed time. </w:t>
      </w:r>
    </w:p>
    <w:p w14:paraId="125326EF" w14:textId="57F4F8C6" w:rsidR="009874EE" w:rsidRDefault="009874EE" w:rsidP="009874EE">
      <w:pPr>
        <w:spacing w:before="240"/>
      </w:pPr>
      <w:r>
        <w:lastRenderedPageBreak/>
        <w:t xml:space="preserve">In making financing decisions in relation to the NHIF, the </w:t>
      </w:r>
      <w:r w:rsidR="00635E65">
        <w:t>NHFIC</w:t>
      </w:r>
      <w:r>
        <w:t xml:space="preserve"> is required to </w:t>
      </w:r>
      <w:r w:rsidR="00C87DC5">
        <w:t xml:space="preserve">take a commercial approach, </w:t>
      </w:r>
      <w:r>
        <w:t xml:space="preserve">achieve a benchmark rate of return and manage its commercial risks. </w:t>
      </w:r>
    </w:p>
    <w:p w14:paraId="0EDDF049" w14:textId="4685B9BA" w:rsidR="009874EE" w:rsidRDefault="009874EE" w:rsidP="009874EE">
      <w:pPr>
        <w:spacing w:before="240"/>
      </w:pPr>
      <w:r>
        <w:t>The Board must consider a number of commercial matters in making a financing decision</w:t>
      </w:r>
      <w:r w:rsidR="00D0598F">
        <w:t xml:space="preserve"> or providing concessions</w:t>
      </w:r>
      <w:r>
        <w:t xml:space="preserve">. These include the eligibility of the project under the investment mandate, the credit-worthiness of any loan recipient and the </w:t>
      </w:r>
      <w:r w:rsidR="00D0598F">
        <w:t xml:space="preserve">decision’s likely </w:t>
      </w:r>
      <w:r>
        <w:t xml:space="preserve">effect on the supply of affordable housing. </w:t>
      </w:r>
      <w:r w:rsidR="00A732A0">
        <w:t>In addition, the Board must have regard to the objects of the Act and must consider whether the loan would complement other sources of government or private sector finance.</w:t>
      </w:r>
    </w:p>
    <w:p w14:paraId="030B1D62" w14:textId="37258268" w:rsidR="003D1906" w:rsidRDefault="003D1906" w:rsidP="009874EE">
      <w:pPr>
        <w:spacing w:before="240"/>
      </w:pPr>
      <w:r>
        <w:t xml:space="preserve">The </w:t>
      </w:r>
      <w:r w:rsidR="00635E65">
        <w:t>NHFIC</w:t>
      </w:r>
      <w:r>
        <w:t xml:space="preserve"> must maintain the value of its infrastructure loans and investments over the medium to long term in line with minimum target value of the </w:t>
      </w:r>
      <w:r w:rsidR="00635E65">
        <w:t>NHFIC</w:t>
      </w:r>
      <w:r>
        <w:t xml:space="preserve">’s Permanent Fund. The Board has flexibility in determining the expected rate of return in relation to any particular financing decision. </w:t>
      </w:r>
      <w:r w:rsidR="004971B7">
        <w:t>T</w:t>
      </w:r>
      <w:r>
        <w:t xml:space="preserve">he Board must </w:t>
      </w:r>
      <w:r w:rsidR="004971B7">
        <w:t xml:space="preserve">therefore </w:t>
      </w:r>
      <w:r>
        <w:t xml:space="preserve">ensure that, in aggregate over the medium to long term, the return on these loans and investments is sufficient to cover the </w:t>
      </w:r>
      <w:r w:rsidR="00635E65">
        <w:t>NHFIC</w:t>
      </w:r>
      <w:r>
        <w:t>’s financing and operating costs, the value of concessions provided, defaults and other losses, and the Government’s borrowing costs.</w:t>
      </w:r>
    </w:p>
    <w:p w14:paraId="5A27BAD3" w14:textId="0A86573A" w:rsidR="009874EE" w:rsidRDefault="009874EE" w:rsidP="009874EE">
      <w:pPr>
        <w:spacing w:before="240"/>
      </w:pPr>
      <w:r>
        <w:t xml:space="preserve">Within six months of the commencement of the investment mandate, the Board must agree to an investment risk evaluation process to assess the </w:t>
      </w:r>
      <w:r w:rsidR="00D0598F">
        <w:t xml:space="preserve">risks associated with the </w:t>
      </w:r>
      <w:r>
        <w:t xml:space="preserve">NHIF. The Board must advise the Treasurer of this process. </w:t>
      </w:r>
    </w:p>
    <w:p w14:paraId="66746C04" w14:textId="79F922D6" w:rsidR="00EC5271" w:rsidRPr="00EC5271" w:rsidRDefault="00EC5271" w:rsidP="00E83643">
      <w:pPr>
        <w:pStyle w:val="Heading3"/>
      </w:pPr>
      <w:r w:rsidRPr="00EC5271">
        <w:t xml:space="preserve">Part 5 – </w:t>
      </w:r>
      <w:r>
        <w:t>Capacity b</w:t>
      </w:r>
      <w:r w:rsidRPr="00EC5271">
        <w:t>uilding activities</w:t>
      </w:r>
    </w:p>
    <w:p w14:paraId="7AC3079C" w14:textId="6E2CEEA6" w:rsidR="00EC5271" w:rsidRDefault="00256E2A" w:rsidP="006341C6">
      <w:pPr>
        <w:spacing w:before="240"/>
      </w:pPr>
      <w:r>
        <w:t>T</w:t>
      </w:r>
      <w:r w:rsidR="0034351D">
        <w:t xml:space="preserve">he </w:t>
      </w:r>
      <w:r w:rsidR="00635E65">
        <w:t>NHFIC</w:t>
      </w:r>
      <w:r w:rsidR="0034351D">
        <w:t xml:space="preserve"> may</w:t>
      </w:r>
      <w:r>
        <w:t xml:space="preserve"> purchase capacity building services for registered community housing providers. </w:t>
      </w:r>
      <w:r w:rsidR="005F0B8E">
        <w:t xml:space="preserve">These services can assist registered community housing providers to </w:t>
      </w:r>
      <w:r w:rsidR="005F0B8E" w:rsidRPr="005F0B8E">
        <w:t>develop</w:t>
      </w:r>
      <w:r w:rsidR="005F0B8E">
        <w:t xml:space="preserve"> their financial capability and</w:t>
      </w:r>
      <w:r w:rsidR="005F0B8E" w:rsidRPr="005F0B8E">
        <w:t xml:space="preserve"> u</w:t>
      </w:r>
      <w:r w:rsidR="005F0B8E">
        <w:t xml:space="preserve">ndertake new developments. </w:t>
      </w:r>
      <w:r w:rsidR="00A176A8">
        <w:t>A cap of $1.5 million applies to the amount of money the NHFIC can spend on capacity building activities</w:t>
      </w:r>
      <w:r w:rsidR="005F0B8E">
        <w:t xml:space="preserve">. </w:t>
      </w:r>
    </w:p>
    <w:p w14:paraId="492CFD9B" w14:textId="01E78EA2" w:rsidR="00256E2A" w:rsidRPr="002D6C86" w:rsidRDefault="00256E2A" w:rsidP="006341C6">
      <w:pPr>
        <w:spacing w:before="240"/>
      </w:pPr>
      <w:r>
        <w:t xml:space="preserve">The </w:t>
      </w:r>
      <w:r w:rsidR="00635E65">
        <w:t>NHFIC</w:t>
      </w:r>
      <w:r>
        <w:t xml:space="preserve"> will play a central role in sourcing and funding the provision of any capacity building services. In particular, the </w:t>
      </w:r>
      <w:r w:rsidR="00635E65">
        <w:t>NHFIC</w:t>
      </w:r>
      <w:r>
        <w:t xml:space="preserve"> may procure these services from providers such as the Government’s AusIndustry service. AusIndustry can utilise its existing infrastructure and networks to provide registered community housing providers with access to experienced business advisers.</w:t>
      </w:r>
    </w:p>
    <w:p w14:paraId="566659AC" w14:textId="5875DF26" w:rsidR="00EC5271" w:rsidRDefault="00EC5271" w:rsidP="00E83643">
      <w:pPr>
        <w:pStyle w:val="Heading3"/>
      </w:pPr>
      <w:r>
        <w:t xml:space="preserve">Part 6 </w:t>
      </w:r>
      <w:r w:rsidR="002D6C86">
        <w:t>–</w:t>
      </w:r>
      <w:r>
        <w:t xml:space="preserve"> Governance</w:t>
      </w:r>
    </w:p>
    <w:p w14:paraId="24312D8D" w14:textId="77777777" w:rsidR="00AF6139" w:rsidRDefault="00AF6139" w:rsidP="002D6C86">
      <w:pPr>
        <w:pStyle w:val="base-text-paragraph"/>
        <w:ind w:left="0"/>
        <w:rPr>
          <w:u w:val="single"/>
        </w:rPr>
      </w:pPr>
      <w:r>
        <w:rPr>
          <w:u w:val="single"/>
        </w:rPr>
        <w:t>Section 30</w:t>
      </w:r>
    </w:p>
    <w:p w14:paraId="75D71CF9" w14:textId="77777777" w:rsidR="004D04EF" w:rsidRDefault="004D04EF" w:rsidP="004D04EF">
      <w:pPr>
        <w:pStyle w:val="base-text-paragraph"/>
        <w:ind w:left="0"/>
      </w:pPr>
      <w:r>
        <w:t>Section 30 provides that where it is practicable to do so, the NHFIC should communicate its reasons for making a particular decision to provide finance, or to not provide finance, to the entity that made the related financing proposal.</w:t>
      </w:r>
    </w:p>
    <w:p w14:paraId="587F65E1" w14:textId="231D003E" w:rsidR="004D04EF" w:rsidRDefault="004D04EF" w:rsidP="004D04EF">
      <w:pPr>
        <w:pStyle w:val="base-text-paragraph"/>
        <w:ind w:left="0"/>
      </w:pPr>
      <w:r>
        <w:t xml:space="preserve">While this provision does not require the NHFIC to provide such reasons in all circumstances, it nevertheless makes clear the expectation that the NHFIC will, as a matter of good practice, provide applicants with information about its decisions. </w:t>
      </w:r>
    </w:p>
    <w:p w14:paraId="2F97C1CD" w14:textId="2EEA288D" w:rsidR="002D6C86" w:rsidRDefault="00F07236" w:rsidP="002D6C86">
      <w:pPr>
        <w:pStyle w:val="base-text-paragraph"/>
        <w:ind w:left="0"/>
        <w:rPr>
          <w:u w:val="single"/>
        </w:rPr>
      </w:pPr>
      <w:r>
        <w:rPr>
          <w:u w:val="single"/>
        </w:rPr>
        <w:t xml:space="preserve">Section </w:t>
      </w:r>
      <w:r w:rsidR="00A376E6">
        <w:rPr>
          <w:u w:val="single"/>
        </w:rPr>
        <w:t>3</w:t>
      </w:r>
      <w:r w:rsidR="00AF6139">
        <w:rPr>
          <w:u w:val="single"/>
        </w:rPr>
        <w:t>1</w:t>
      </w:r>
      <w:r w:rsidR="00A376E6">
        <w:rPr>
          <w:u w:val="single"/>
        </w:rPr>
        <w:t xml:space="preserve"> </w:t>
      </w:r>
      <w:r>
        <w:rPr>
          <w:u w:val="single"/>
        </w:rPr>
        <w:t>– Good corporate citizenship</w:t>
      </w:r>
    </w:p>
    <w:p w14:paraId="0D4CF931" w14:textId="0DC31D3B" w:rsidR="00F07236" w:rsidRDefault="00F07236" w:rsidP="002D6C86">
      <w:pPr>
        <w:pStyle w:val="base-text-paragraph"/>
        <w:ind w:left="0"/>
      </w:pPr>
      <w:r w:rsidRPr="00F07236">
        <w:lastRenderedPageBreak/>
        <w:t xml:space="preserve">Section </w:t>
      </w:r>
      <w:r w:rsidR="00A376E6">
        <w:t>3</w:t>
      </w:r>
      <w:r w:rsidR="00AF6139">
        <w:t>1</w:t>
      </w:r>
      <w:r w:rsidR="00A376E6" w:rsidRPr="00F07236">
        <w:t xml:space="preserve"> </w:t>
      </w:r>
      <w:r w:rsidRPr="00F07236">
        <w:t xml:space="preserve">provides that the </w:t>
      </w:r>
      <w:r w:rsidR="00635E65">
        <w:t>NHFIC</w:t>
      </w:r>
      <w:r w:rsidRPr="00F07236">
        <w:t xml:space="preserve"> must </w:t>
      </w:r>
      <w:r w:rsidR="00CC216A">
        <w:t>have regard to best practice principles of corporate governance rele</w:t>
      </w:r>
      <w:r w:rsidR="00D735AB">
        <w:t>vant to its role. In particular, the Board must have regard to developing and annually reviewing environmental, social and governance policies.</w:t>
      </w:r>
    </w:p>
    <w:p w14:paraId="670CF047" w14:textId="04E53F7D" w:rsidR="00BD5D20" w:rsidRPr="00BD5D20" w:rsidRDefault="00BD5D20" w:rsidP="002D6C86">
      <w:pPr>
        <w:pStyle w:val="base-text-paragraph"/>
        <w:ind w:left="0"/>
        <w:rPr>
          <w:u w:val="single"/>
        </w:rPr>
      </w:pPr>
      <w:r w:rsidRPr="00BD5D20">
        <w:rPr>
          <w:u w:val="single"/>
        </w:rPr>
        <w:t xml:space="preserve">Section </w:t>
      </w:r>
      <w:r w:rsidR="00A376E6">
        <w:rPr>
          <w:u w:val="single"/>
        </w:rPr>
        <w:t>3</w:t>
      </w:r>
      <w:r w:rsidR="00AF6139">
        <w:rPr>
          <w:u w:val="single"/>
        </w:rPr>
        <w:t>2</w:t>
      </w:r>
      <w:r w:rsidR="00A376E6" w:rsidRPr="00BD5D20">
        <w:rPr>
          <w:u w:val="single"/>
        </w:rPr>
        <w:t xml:space="preserve"> </w:t>
      </w:r>
      <w:r w:rsidRPr="00BD5D20">
        <w:rPr>
          <w:u w:val="single"/>
        </w:rPr>
        <w:t xml:space="preserve">– Transparency of </w:t>
      </w:r>
      <w:r w:rsidR="00926EE4">
        <w:rPr>
          <w:u w:val="single"/>
        </w:rPr>
        <w:t xml:space="preserve">NHIF </w:t>
      </w:r>
      <w:r w:rsidRPr="00BD5D20">
        <w:rPr>
          <w:u w:val="single"/>
        </w:rPr>
        <w:t>operations</w:t>
      </w:r>
    </w:p>
    <w:p w14:paraId="43F6CB29" w14:textId="0A98C54C" w:rsidR="00BD5D20" w:rsidRDefault="00B802F8" w:rsidP="002D6C86">
      <w:pPr>
        <w:pStyle w:val="base-text-paragraph"/>
        <w:ind w:left="0"/>
      </w:pPr>
      <w:r>
        <w:t xml:space="preserve">Section </w:t>
      </w:r>
      <w:r w:rsidR="00A376E6">
        <w:t>3</w:t>
      </w:r>
      <w:r w:rsidR="00AF6139">
        <w:t>2</w:t>
      </w:r>
      <w:r w:rsidR="00A376E6">
        <w:t xml:space="preserve"> </w:t>
      </w:r>
      <w:r>
        <w:t xml:space="preserve">provides that the </w:t>
      </w:r>
      <w:r w:rsidR="00635E65">
        <w:t>NHFIC</w:t>
      </w:r>
      <w:r>
        <w:t xml:space="preserve"> must publish guidance on its website to assist potential applicants to lodge </w:t>
      </w:r>
      <w:r w:rsidR="00926EE4">
        <w:t xml:space="preserve">NIHF </w:t>
      </w:r>
      <w:r>
        <w:t xml:space="preserve">financing proposals and to ensure the </w:t>
      </w:r>
      <w:r w:rsidR="00635E65">
        <w:t>NHFIC</w:t>
      </w:r>
      <w:r>
        <w:t>’s decision-making process is transparent.</w:t>
      </w:r>
    </w:p>
    <w:p w14:paraId="77F18DFD" w14:textId="03908D1A" w:rsidR="00B802F8" w:rsidRDefault="00B802F8" w:rsidP="002D6C86">
      <w:pPr>
        <w:pStyle w:val="base-text-paragraph"/>
        <w:ind w:left="0"/>
      </w:pPr>
      <w:r>
        <w:t xml:space="preserve">Section </w:t>
      </w:r>
      <w:r w:rsidR="00A376E6">
        <w:t>3</w:t>
      </w:r>
      <w:r w:rsidR="00AF6139">
        <w:t>2</w:t>
      </w:r>
      <w:r w:rsidR="00A376E6">
        <w:t xml:space="preserve"> </w:t>
      </w:r>
      <w:r>
        <w:t xml:space="preserve">also requires the </w:t>
      </w:r>
      <w:r w:rsidR="00635E65">
        <w:t>NHFIC</w:t>
      </w:r>
      <w:r>
        <w:t xml:space="preserve"> to publish details of each of </w:t>
      </w:r>
      <w:r w:rsidR="00E179E4">
        <w:t>d</w:t>
      </w:r>
      <w:r w:rsidR="007C0754">
        <w:t>ecision</w:t>
      </w:r>
      <w:r w:rsidR="00E179E4">
        <w:t xml:space="preserve"> to make a grant, loan or investment</w:t>
      </w:r>
      <w:r>
        <w:t xml:space="preserve"> </w:t>
      </w:r>
      <w:r w:rsidR="00926EE4">
        <w:t xml:space="preserve">under the NHIF </w:t>
      </w:r>
      <w:r>
        <w:t xml:space="preserve">within six months of the decision. This </w:t>
      </w:r>
      <w:r w:rsidR="004C598A">
        <w:t>requirement</w:t>
      </w:r>
      <w:r>
        <w:t xml:space="preserve"> is subject to the </w:t>
      </w:r>
      <w:r w:rsidR="00635E65">
        <w:t>NHFIC</w:t>
      </w:r>
      <w:r>
        <w:t>’</w:t>
      </w:r>
      <w:r w:rsidR="004C598A">
        <w:t>s obligation</w:t>
      </w:r>
      <w:r>
        <w:t xml:space="preserve"> to maintain the confidentiality of commercial-in-confidence information. </w:t>
      </w:r>
    </w:p>
    <w:p w14:paraId="53A79398" w14:textId="54940FF9" w:rsidR="00BD5D20" w:rsidRPr="00BD5D20" w:rsidRDefault="00BD5D20" w:rsidP="002D6C86">
      <w:pPr>
        <w:pStyle w:val="base-text-paragraph"/>
        <w:ind w:left="0"/>
        <w:rPr>
          <w:u w:val="single"/>
        </w:rPr>
      </w:pPr>
      <w:r w:rsidRPr="00BD5D20">
        <w:rPr>
          <w:u w:val="single"/>
        </w:rPr>
        <w:t xml:space="preserve">Section </w:t>
      </w:r>
      <w:r w:rsidR="00A376E6">
        <w:rPr>
          <w:u w:val="single"/>
        </w:rPr>
        <w:t>3</w:t>
      </w:r>
      <w:r w:rsidR="00AF6139">
        <w:rPr>
          <w:u w:val="single"/>
        </w:rPr>
        <w:t>3</w:t>
      </w:r>
      <w:r w:rsidR="00A376E6" w:rsidRPr="00BD5D20">
        <w:rPr>
          <w:u w:val="single"/>
        </w:rPr>
        <w:t xml:space="preserve"> </w:t>
      </w:r>
      <w:r w:rsidRPr="00BD5D20">
        <w:rPr>
          <w:u w:val="single"/>
        </w:rPr>
        <w:t>– Reputation</w:t>
      </w:r>
    </w:p>
    <w:p w14:paraId="3DB4B798" w14:textId="6173639D" w:rsidR="00BD5D20" w:rsidRPr="001B1CA0" w:rsidRDefault="005C005C" w:rsidP="002D6C86">
      <w:pPr>
        <w:pStyle w:val="base-text-paragraph"/>
        <w:ind w:left="0"/>
      </w:pPr>
      <w:r>
        <w:t xml:space="preserve">Section </w:t>
      </w:r>
      <w:r w:rsidR="00A376E6">
        <w:t>3</w:t>
      </w:r>
      <w:r w:rsidR="00AF6139">
        <w:t>3</w:t>
      </w:r>
      <w:r w:rsidR="00A376E6">
        <w:t xml:space="preserve"> </w:t>
      </w:r>
      <w:r>
        <w:t xml:space="preserve">provides the </w:t>
      </w:r>
      <w:r w:rsidR="00635E65">
        <w:t>NHFIC</w:t>
      </w:r>
      <w:r>
        <w:t xml:space="preserve"> must not cause damage to the Australian Government</w:t>
      </w:r>
      <w:r w:rsidR="004C598A">
        <w:t>’s reputation</w:t>
      </w:r>
      <w:r>
        <w:t>, inclu</w:t>
      </w:r>
      <w:r w:rsidRPr="001B1CA0">
        <w:t xml:space="preserve">ding its reputation in financial markets. </w:t>
      </w:r>
    </w:p>
    <w:p w14:paraId="2219858E" w14:textId="1F0ADC6B" w:rsidR="00BD5D20" w:rsidRPr="001B1CA0" w:rsidRDefault="00BD5D20" w:rsidP="002D6C86">
      <w:pPr>
        <w:pStyle w:val="base-text-paragraph"/>
        <w:ind w:left="0"/>
        <w:rPr>
          <w:u w:val="single"/>
        </w:rPr>
      </w:pPr>
      <w:r w:rsidRPr="001B1CA0">
        <w:rPr>
          <w:u w:val="single"/>
        </w:rPr>
        <w:t xml:space="preserve">Section </w:t>
      </w:r>
      <w:r w:rsidR="00A376E6">
        <w:rPr>
          <w:u w:val="single"/>
        </w:rPr>
        <w:t>3</w:t>
      </w:r>
      <w:r w:rsidR="00AF6139">
        <w:rPr>
          <w:u w:val="single"/>
        </w:rPr>
        <w:t>4</w:t>
      </w:r>
      <w:r w:rsidR="00A376E6" w:rsidRPr="001B1CA0">
        <w:rPr>
          <w:u w:val="single"/>
        </w:rPr>
        <w:t xml:space="preserve"> </w:t>
      </w:r>
      <w:r w:rsidRPr="001B1CA0">
        <w:rPr>
          <w:u w:val="single"/>
        </w:rPr>
        <w:t>– Approval required if liabilities will exceed $</w:t>
      </w:r>
      <w:r w:rsidR="000A77CB">
        <w:rPr>
          <w:u w:val="single"/>
        </w:rPr>
        <w:t>2</w:t>
      </w:r>
      <w:r w:rsidRPr="001B1CA0">
        <w:rPr>
          <w:u w:val="single"/>
        </w:rPr>
        <w:t xml:space="preserve"> billion</w:t>
      </w:r>
    </w:p>
    <w:p w14:paraId="093A2531" w14:textId="16967BB5" w:rsidR="00BD5D20" w:rsidRDefault="00BD5D20" w:rsidP="002D6C86">
      <w:pPr>
        <w:pStyle w:val="base-text-paragraph"/>
        <w:ind w:left="0"/>
      </w:pPr>
      <w:r>
        <w:t>A cap of $</w:t>
      </w:r>
      <w:r w:rsidR="000A77CB">
        <w:t>2</w:t>
      </w:r>
      <w:r>
        <w:t xml:space="preserve"> billion applies to the amount of Government-guaranteed liabilities. </w:t>
      </w:r>
      <w:r w:rsidR="00375319">
        <w:t xml:space="preserve">The </w:t>
      </w:r>
      <w:r w:rsidR="00635E65">
        <w:t>NHFIC</w:t>
      </w:r>
      <w:r w:rsidR="00375319">
        <w:t xml:space="preserve"> may not increase its guaranteed liabilities in excess of the cap. </w:t>
      </w:r>
      <w:r w:rsidR="00A6390C">
        <w:t xml:space="preserve">The Treasurer and the Minister for Finance </w:t>
      </w:r>
      <w:r w:rsidR="00E518B6">
        <w:t>may approve</w:t>
      </w:r>
      <w:r w:rsidR="00A6390C">
        <w:t xml:space="preserve"> a higher cap. </w:t>
      </w:r>
    </w:p>
    <w:p w14:paraId="43135BEC" w14:textId="3F72E64A" w:rsidR="00DC5E4B" w:rsidRPr="00F07236" w:rsidRDefault="00DC5E4B" w:rsidP="002D6C86">
      <w:pPr>
        <w:pStyle w:val="base-text-paragraph"/>
        <w:ind w:left="0"/>
      </w:pPr>
      <w:r>
        <w:t>The cap is an obligation on the NHFIC and does not operate to directly limit the effect of the Government guarantee. If the NHFIC inadvertently breached the cap without ministerial approval, the debt issued in excess of the cap would sti</w:t>
      </w:r>
      <w:r w:rsidR="00397BC2">
        <w:t>ll be subject to the guarantee.</w:t>
      </w:r>
    </w:p>
    <w:sectPr w:rsidR="00DC5E4B" w:rsidRPr="00F07236" w:rsidSect="00392BBA">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7685C" w14:textId="77777777" w:rsidR="00CB04B2" w:rsidRDefault="00CB04B2" w:rsidP="00954679">
      <w:pPr>
        <w:spacing w:before="0" w:after="0"/>
      </w:pPr>
      <w:r>
        <w:separator/>
      </w:r>
    </w:p>
  </w:endnote>
  <w:endnote w:type="continuationSeparator" w:id="0">
    <w:p w14:paraId="2B9FE9AF" w14:textId="77777777" w:rsidR="00CB04B2" w:rsidRDefault="00CB04B2" w:rsidP="00954679">
      <w:pPr>
        <w:spacing w:before="0" w:after="0"/>
      </w:pPr>
      <w:r>
        <w:continuationSeparator/>
      </w:r>
    </w:p>
  </w:endnote>
  <w:endnote w:type="continuationNotice" w:id="1">
    <w:p w14:paraId="695DA714" w14:textId="77777777" w:rsidR="00CB04B2" w:rsidRDefault="00CB04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66F1D" w14:textId="77777777" w:rsidR="00587DD3" w:rsidRDefault="00587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B132F16" w14:textId="77777777" w:rsidR="00CB04B2" w:rsidRDefault="00CB04B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4229">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4229">
              <w:rPr>
                <w:bCs/>
                <w:noProof/>
              </w:rPr>
              <w:t>8</w:t>
            </w:r>
            <w:r w:rsidRPr="00954679">
              <w:rPr>
                <w:bCs/>
                <w:szCs w:val="24"/>
              </w:rPr>
              <w:fldChar w:fldCharType="end"/>
            </w:r>
          </w:p>
        </w:sdtContent>
      </w:sdt>
    </w:sdtContent>
  </w:sdt>
  <w:p w14:paraId="5A025EBE" w14:textId="77777777" w:rsidR="00CB04B2" w:rsidRDefault="00CB0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076E1" w14:textId="77777777" w:rsidR="00587DD3" w:rsidRDefault="00587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902C3" w14:textId="77777777" w:rsidR="00CB04B2" w:rsidRDefault="00CB04B2" w:rsidP="00954679">
      <w:pPr>
        <w:spacing w:before="0" w:after="0"/>
      </w:pPr>
      <w:r>
        <w:separator/>
      </w:r>
    </w:p>
  </w:footnote>
  <w:footnote w:type="continuationSeparator" w:id="0">
    <w:p w14:paraId="0992F370" w14:textId="77777777" w:rsidR="00CB04B2" w:rsidRDefault="00CB04B2" w:rsidP="00954679">
      <w:pPr>
        <w:spacing w:before="0" w:after="0"/>
      </w:pPr>
      <w:r>
        <w:continuationSeparator/>
      </w:r>
    </w:p>
  </w:footnote>
  <w:footnote w:type="continuationNotice" w:id="1">
    <w:p w14:paraId="22EAC017" w14:textId="77777777" w:rsidR="00CB04B2" w:rsidRDefault="00CB04B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5EE1" w14:textId="77777777" w:rsidR="00587DD3" w:rsidRDefault="00587D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76233"/>
      <w:docPartObj>
        <w:docPartGallery w:val="Watermarks"/>
        <w:docPartUnique/>
      </w:docPartObj>
    </w:sdtPr>
    <w:sdtEndPr/>
    <w:sdtContent>
      <w:p w14:paraId="6E10BB88" w14:textId="39A81821" w:rsidR="002D39E1" w:rsidRDefault="000E4229">
        <w:pPr>
          <w:pStyle w:val="Header"/>
        </w:pPr>
        <w:r>
          <w:rPr>
            <w:noProof/>
            <w:lang w:val="en-US" w:eastAsia="zh-TW"/>
          </w:rPr>
          <w:pict w14:anchorId="348D8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454B" w14:textId="77777777" w:rsidR="00587DD3" w:rsidRDefault="00587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D444C9F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8A"/>
    <w:rsid w:val="00016EA2"/>
    <w:rsid w:val="00036E85"/>
    <w:rsid w:val="00043861"/>
    <w:rsid w:val="0004650F"/>
    <w:rsid w:val="000510B7"/>
    <w:rsid w:val="00083C06"/>
    <w:rsid w:val="00095211"/>
    <w:rsid w:val="00095B3C"/>
    <w:rsid w:val="00097696"/>
    <w:rsid w:val="000A2800"/>
    <w:rsid w:val="000A77CB"/>
    <w:rsid w:val="000C10DF"/>
    <w:rsid w:val="000C2D24"/>
    <w:rsid w:val="000C7B5F"/>
    <w:rsid w:val="000E4229"/>
    <w:rsid w:val="001048F4"/>
    <w:rsid w:val="00106776"/>
    <w:rsid w:val="00113B45"/>
    <w:rsid w:val="00150EF1"/>
    <w:rsid w:val="001675A6"/>
    <w:rsid w:val="00167822"/>
    <w:rsid w:val="00193188"/>
    <w:rsid w:val="001B121D"/>
    <w:rsid w:val="001B1323"/>
    <w:rsid w:val="001B1CA0"/>
    <w:rsid w:val="001B44B7"/>
    <w:rsid w:val="001D5890"/>
    <w:rsid w:val="001E6A74"/>
    <w:rsid w:val="001F41D0"/>
    <w:rsid w:val="00217B89"/>
    <w:rsid w:val="00220F16"/>
    <w:rsid w:val="00244935"/>
    <w:rsid w:val="00254C5B"/>
    <w:rsid w:val="00256E2A"/>
    <w:rsid w:val="00281DC8"/>
    <w:rsid w:val="00291F66"/>
    <w:rsid w:val="002C1622"/>
    <w:rsid w:val="002C3B3D"/>
    <w:rsid w:val="002D39E1"/>
    <w:rsid w:val="002D6C86"/>
    <w:rsid w:val="00312F79"/>
    <w:rsid w:val="003342CD"/>
    <w:rsid w:val="00335042"/>
    <w:rsid w:val="0034351D"/>
    <w:rsid w:val="0035184B"/>
    <w:rsid w:val="00362B70"/>
    <w:rsid w:val="00366FC6"/>
    <w:rsid w:val="00371404"/>
    <w:rsid w:val="00375319"/>
    <w:rsid w:val="00380C2B"/>
    <w:rsid w:val="00392BBA"/>
    <w:rsid w:val="003954FD"/>
    <w:rsid w:val="00397BC2"/>
    <w:rsid w:val="003A7C18"/>
    <w:rsid w:val="003D1906"/>
    <w:rsid w:val="003D5178"/>
    <w:rsid w:val="003E1CE3"/>
    <w:rsid w:val="003F11B6"/>
    <w:rsid w:val="003F77C4"/>
    <w:rsid w:val="00400DD7"/>
    <w:rsid w:val="00401746"/>
    <w:rsid w:val="00414777"/>
    <w:rsid w:val="00455083"/>
    <w:rsid w:val="00462095"/>
    <w:rsid w:val="00493EC7"/>
    <w:rsid w:val="00496D50"/>
    <w:rsid w:val="004971B7"/>
    <w:rsid w:val="004A1EBE"/>
    <w:rsid w:val="004B3C0F"/>
    <w:rsid w:val="004B5F0A"/>
    <w:rsid w:val="004C05E4"/>
    <w:rsid w:val="004C598A"/>
    <w:rsid w:val="004D04EF"/>
    <w:rsid w:val="004D1854"/>
    <w:rsid w:val="004E39E1"/>
    <w:rsid w:val="00503E44"/>
    <w:rsid w:val="00504551"/>
    <w:rsid w:val="00515283"/>
    <w:rsid w:val="00533926"/>
    <w:rsid w:val="0054004C"/>
    <w:rsid w:val="0055675D"/>
    <w:rsid w:val="005605A8"/>
    <w:rsid w:val="0056247D"/>
    <w:rsid w:val="00566E8F"/>
    <w:rsid w:val="005744B7"/>
    <w:rsid w:val="00580854"/>
    <w:rsid w:val="005833BE"/>
    <w:rsid w:val="00587DD3"/>
    <w:rsid w:val="005A2B24"/>
    <w:rsid w:val="005B441F"/>
    <w:rsid w:val="005C005C"/>
    <w:rsid w:val="005D7D5A"/>
    <w:rsid w:val="005E4BAC"/>
    <w:rsid w:val="005F0B8E"/>
    <w:rsid w:val="005F2F11"/>
    <w:rsid w:val="0060130D"/>
    <w:rsid w:val="00625926"/>
    <w:rsid w:val="006341C6"/>
    <w:rsid w:val="00635E65"/>
    <w:rsid w:val="0064129F"/>
    <w:rsid w:val="00647BB7"/>
    <w:rsid w:val="00696F49"/>
    <w:rsid w:val="006A0786"/>
    <w:rsid w:val="006B1396"/>
    <w:rsid w:val="006C0568"/>
    <w:rsid w:val="006F2FDB"/>
    <w:rsid w:val="00736F61"/>
    <w:rsid w:val="007662C7"/>
    <w:rsid w:val="0077090C"/>
    <w:rsid w:val="00773A53"/>
    <w:rsid w:val="00776306"/>
    <w:rsid w:val="007A19B1"/>
    <w:rsid w:val="007B1F10"/>
    <w:rsid w:val="007C0754"/>
    <w:rsid w:val="007E018D"/>
    <w:rsid w:val="007F1B71"/>
    <w:rsid w:val="00800AE0"/>
    <w:rsid w:val="00807E7D"/>
    <w:rsid w:val="00815C37"/>
    <w:rsid w:val="00817C76"/>
    <w:rsid w:val="00831675"/>
    <w:rsid w:val="0088467C"/>
    <w:rsid w:val="00884E3C"/>
    <w:rsid w:val="0089201A"/>
    <w:rsid w:val="00894579"/>
    <w:rsid w:val="0089505D"/>
    <w:rsid w:val="008A5B67"/>
    <w:rsid w:val="008D16F7"/>
    <w:rsid w:val="008D50CD"/>
    <w:rsid w:val="008F038A"/>
    <w:rsid w:val="008F46CA"/>
    <w:rsid w:val="00911318"/>
    <w:rsid w:val="009143A0"/>
    <w:rsid w:val="009178DA"/>
    <w:rsid w:val="00926EE4"/>
    <w:rsid w:val="00954679"/>
    <w:rsid w:val="009874EE"/>
    <w:rsid w:val="009B4903"/>
    <w:rsid w:val="009E260E"/>
    <w:rsid w:val="009E2F86"/>
    <w:rsid w:val="009E6BBB"/>
    <w:rsid w:val="009F7037"/>
    <w:rsid w:val="00A033CB"/>
    <w:rsid w:val="00A10E80"/>
    <w:rsid w:val="00A12209"/>
    <w:rsid w:val="00A176A8"/>
    <w:rsid w:val="00A22876"/>
    <w:rsid w:val="00A2424A"/>
    <w:rsid w:val="00A265AF"/>
    <w:rsid w:val="00A31004"/>
    <w:rsid w:val="00A34A68"/>
    <w:rsid w:val="00A36DF3"/>
    <w:rsid w:val="00A36F3B"/>
    <w:rsid w:val="00A376E6"/>
    <w:rsid w:val="00A41066"/>
    <w:rsid w:val="00A532DD"/>
    <w:rsid w:val="00A6390C"/>
    <w:rsid w:val="00A6581A"/>
    <w:rsid w:val="00A732A0"/>
    <w:rsid w:val="00A80BCF"/>
    <w:rsid w:val="00A82A02"/>
    <w:rsid w:val="00A8369C"/>
    <w:rsid w:val="00A964E7"/>
    <w:rsid w:val="00A97F56"/>
    <w:rsid w:val="00AA1689"/>
    <w:rsid w:val="00AC1D15"/>
    <w:rsid w:val="00AF6139"/>
    <w:rsid w:val="00B02D57"/>
    <w:rsid w:val="00B041D6"/>
    <w:rsid w:val="00B07B0C"/>
    <w:rsid w:val="00B25563"/>
    <w:rsid w:val="00B26D48"/>
    <w:rsid w:val="00B30A12"/>
    <w:rsid w:val="00B323CE"/>
    <w:rsid w:val="00B36116"/>
    <w:rsid w:val="00B4047A"/>
    <w:rsid w:val="00B42EE1"/>
    <w:rsid w:val="00B5138F"/>
    <w:rsid w:val="00B666E7"/>
    <w:rsid w:val="00B802F8"/>
    <w:rsid w:val="00B92478"/>
    <w:rsid w:val="00BB3EA2"/>
    <w:rsid w:val="00BC12F4"/>
    <w:rsid w:val="00BD0F9C"/>
    <w:rsid w:val="00BD5D20"/>
    <w:rsid w:val="00BD5F6D"/>
    <w:rsid w:val="00BD61A2"/>
    <w:rsid w:val="00BD6C29"/>
    <w:rsid w:val="00BE484D"/>
    <w:rsid w:val="00BF014B"/>
    <w:rsid w:val="00BF3205"/>
    <w:rsid w:val="00C02F9F"/>
    <w:rsid w:val="00C041C1"/>
    <w:rsid w:val="00C34194"/>
    <w:rsid w:val="00C37E05"/>
    <w:rsid w:val="00C54ECD"/>
    <w:rsid w:val="00C55D29"/>
    <w:rsid w:val="00C87DC5"/>
    <w:rsid w:val="00C90512"/>
    <w:rsid w:val="00C905BD"/>
    <w:rsid w:val="00CA0BE9"/>
    <w:rsid w:val="00CA138D"/>
    <w:rsid w:val="00CA1F7D"/>
    <w:rsid w:val="00CA229B"/>
    <w:rsid w:val="00CA22D3"/>
    <w:rsid w:val="00CA5DE5"/>
    <w:rsid w:val="00CB04B2"/>
    <w:rsid w:val="00CC216A"/>
    <w:rsid w:val="00CC7641"/>
    <w:rsid w:val="00CD7713"/>
    <w:rsid w:val="00D041B8"/>
    <w:rsid w:val="00D04F84"/>
    <w:rsid w:val="00D0598F"/>
    <w:rsid w:val="00D11D3D"/>
    <w:rsid w:val="00D12453"/>
    <w:rsid w:val="00D13794"/>
    <w:rsid w:val="00D24052"/>
    <w:rsid w:val="00D256C9"/>
    <w:rsid w:val="00D31575"/>
    <w:rsid w:val="00D34626"/>
    <w:rsid w:val="00D4257A"/>
    <w:rsid w:val="00D4768E"/>
    <w:rsid w:val="00D62665"/>
    <w:rsid w:val="00D735AB"/>
    <w:rsid w:val="00D9463E"/>
    <w:rsid w:val="00DA3E5B"/>
    <w:rsid w:val="00DC0CDE"/>
    <w:rsid w:val="00DC286C"/>
    <w:rsid w:val="00DC2E69"/>
    <w:rsid w:val="00DC4D72"/>
    <w:rsid w:val="00DC5E4B"/>
    <w:rsid w:val="00DE43C3"/>
    <w:rsid w:val="00DE6848"/>
    <w:rsid w:val="00DF3366"/>
    <w:rsid w:val="00E016A1"/>
    <w:rsid w:val="00E0624D"/>
    <w:rsid w:val="00E1706E"/>
    <w:rsid w:val="00E179E4"/>
    <w:rsid w:val="00E4438C"/>
    <w:rsid w:val="00E457F3"/>
    <w:rsid w:val="00E518B6"/>
    <w:rsid w:val="00E83643"/>
    <w:rsid w:val="00E96253"/>
    <w:rsid w:val="00EB7CCD"/>
    <w:rsid w:val="00EB7E71"/>
    <w:rsid w:val="00EC5271"/>
    <w:rsid w:val="00ED3AC0"/>
    <w:rsid w:val="00ED6A72"/>
    <w:rsid w:val="00ED72B0"/>
    <w:rsid w:val="00F07236"/>
    <w:rsid w:val="00F1074F"/>
    <w:rsid w:val="00F109D4"/>
    <w:rsid w:val="00F40487"/>
    <w:rsid w:val="00F47585"/>
    <w:rsid w:val="00F5319A"/>
    <w:rsid w:val="00F62CFF"/>
    <w:rsid w:val="00F76A4C"/>
    <w:rsid w:val="00F861D5"/>
    <w:rsid w:val="00F92613"/>
    <w:rsid w:val="00FD67E1"/>
    <w:rsid w:val="00FE04E4"/>
    <w:rsid w:val="00FE73F9"/>
    <w:rsid w:val="00FE7BF6"/>
    <w:rsid w:val="00FE7FB7"/>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B58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65129">
      <w:bodyDiv w:val="1"/>
      <w:marLeft w:val="0"/>
      <w:marRight w:val="0"/>
      <w:marTop w:val="0"/>
      <w:marBottom w:val="0"/>
      <w:divBdr>
        <w:top w:val="none" w:sz="0" w:space="0" w:color="auto"/>
        <w:left w:val="none" w:sz="0" w:space="0" w:color="auto"/>
        <w:bottom w:val="none" w:sz="0" w:space="0" w:color="auto"/>
        <w:right w:val="none" w:sz="0" w:space="0" w:color="auto"/>
      </w:divBdr>
      <w:divsChild>
        <w:div w:id="2126924529">
          <w:marLeft w:val="0"/>
          <w:marRight w:val="0"/>
          <w:marTop w:val="0"/>
          <w:marBottom w:val="0"/>
          <w:divBdr>
            <w:top w:val="none" w:sz="0" w:space="0" w:color="auto"/>
            <w:left w:val="none" w:sz="0" w:space="0" w:color="auto"/>
            <w:bottom w:val="none" w:sz="0" w:space="0" w:color="auto"/>
            <w:right w:val="none" w:sz="0" w:space="0" w:color="auto"/>
          </w:divBdr>
          <w:divsChild>
            <w:div w:id="679550661">
              <w:marLeft w:val="0"/>
              <w:marRight w:val="0"/>
              <w:marTop w:val="0"/>
              <w:marBottom w:val="0"/>
              <w:divBdr>
                <w:top w:val="none" w:sz="0" w:space="0" w:color="auto"/>
                <w:left w:val="none" w:sz="0" w:space="0" w:color="auto"/>
                <w:bottom w:val="none" w:sz="0" w:space="0" w:color="auto"/>
                <w:right w:val="none" w:sz="0" w:space="0" w:color="auto"/>
              </w:divBdr>
              <w:divsChild>
                <w:div w:id="1588735901">
                  <w:marLeft w:val="0"/>
                  <w:marRight w:val="0"/>
                  <w:marTop w:val="0"/>
                  <w:marBottom w:val="0"/>
                  <w:divBdr>
                    <w:top w:val="none" w:sz="0" w:space="0" w:color="auto"/>
                    <w:left w:val="none" w:sz="0" w:space="0" w:color="auto"/>
                    <w:bottom w:val="none" w:sz="0" w:space="0" w:color="auto"/>
                    <w:right w:val="none" w:sz="0" w:space="0" w:color="auto"/>
                  </w:divBdr>
                  <w:divsChild>
                    <w:div w:id="644890434">
                      <w:marLeft w:val="0"/>
                      <w:marRight w:val="0"/>
                      <w:marTop w:val="0"/>
                      <w:marBottom w:val="0"/>
                      <w:divBdr>
                        <w:top w:val="none" w:sz="0" w:space="0" w:color="auto"/>
                        <w:left w:val="none" w:sz="0" w:space="0" w:color="auto"/>
                        <w:bottom w:val="none" w:sz="0" w:space="0" w:color="auto"/>
                        <w:right w:val="none" w:sz="0" w:space="0" w:color="auto"/>
                      </w:divBdr>
                      <w:divsChild>
                        <w:div w:id="689528893">
                          <w:marLeft w:val="0"/>
                          <w:marRight w:val="0"/>
                          <w:marTop w:val="0"/>
                          <w:marBottom w:val="0"/>
                          <w:divBdr>
                            <w:top w:val="none" w:sz="0" w:space="0" w:color="auto"/>
                            <w:left w:val="none" w:sz="0" w:space="0" w:color="auto"/>
                            <w:bottom w:val="none" w:sz="0" w:space="0" w:color="auto"/>
                            <w:right w:val="none" w:sz="0" w:space="0" w:color="auto"/>
                          </w:divBdr>
                          <w:divsChild>
                            <w:div w:id="348414493">
                              <w:marLeft w:val="0"/>
                              <w:marRight w:val="0"/>
                              <w:marTop w:val="0"/>
                              <w:marBottom w:val="0"/>
                              <w:divBdr>
                                <w:top w:val="none" w:sz="0" w:space="0" w:color="auto"/>
                                <w:left w:val="none" w:sz="0" w:space="0" w:color="auto"/>
                                <w:bottom w:val="none" w:sz="0" w:space="0" w:color="auto"/>
                                <w:right w:val="none" w:sz="0" w:space="0" w:color="auto"/>
                              </w:divBdr>
                              <w:divsChild>
                                <w:div w:id="489561574">
                                  <w:marLeft w:val="0"/>
                                  <w:marRight w:val="0"/>
                                  <w:marTop w:val="0"/>
                                  <w:marBottom w:val="0"/>
                                  <w:divBdr>
                                    <w:top w:val="none" w:sz="0" w:space="0" w:color="auto"/>
                                    <w:left w:val="none" w:sz="0" w:space="0" w:color="auto"/>
                                    <w:bottom w:val="none" w:sz="0" w:space="0" w:color="auto"/>
                                    <w:right w:val="none" w:sz="0" w:space="0" w:color="auto"/>
                                  </w:divBdr>
                                  <w:divsChild>
                                    <w:div w:id="1676758626">
                                      <w:marLeft w:val="0"/>
                                      <w:marRight w:val="0"/>
                                      <w:marTop w:val="0"/>
                                      <w:marBottom w:val="0"/>
                                      <w:divBdr>
                                        <w:top w:val="none" w:sz="0" w:space="0" w:color="auto"/>
                                        <w:left w:val="none" w:sz="0" w:space="0" w:color="auto"/>
                                        <w:bottom w:val="none" w:sz="0" w:space="0" w:color="auto"/>
                                        <w:right w:val="none" w:sz="0" w:space="0" w:color="auto"/>
                                      </w:divBdr>
                                      <w:divsChild>
                                        <w:div w:id="1989239083">
                                          <w:marLeft w:val="0"/>
                                          <w:marRight w:val="0"/>
                                          <w:marTop w:val="0"/>
                                          <w:marBottom w:val="0"/>
                                          <w:divBdr>
                                            <w:top w:val="none" w:sz="0" w:space="0" w:color="auto"/>
                                            <w:left w:val="none" w:sz="0" w:space="0" w:color="auto"/>
                                            <w:bottom w:val="none" w:sz="0" w:space="0" w:color="auto"/>
                                            <w:right w:val="none" w:sz="0" w:space="0" w:color="auto"/>
                                          </w:divBdr>
                                          <w:divsChild>
                                            <w:div w:id="632948739">
                                              <w:marLeft w:val="0"/>
                                              <w:marRight w:val="0"/>
                                              <w:marTop w:val="0"/>
                                              <w:marBottom w:val="0"/>
                                              <w:divBdr>
                                                <w:top w:val="none" w:sz="0" w:space="0" w:color="auto"/>
                                                <w:left w:val="none" w:sz="0" w:space="0" w:color="auto"/>
                                                <w:bottom w:val="none" w:sz="0" w:space="0" w:color="auto"/>
                                                <w:right w:val="none" w:sz="0" w:space="0" w:color="auto"/>
                                              </w:divBdr>
                                              <w:divsChild>
                                                <w:div w:id="990712097">
                                                  <w:marLeft w:val="0"/>
                                                  <w:marRight w:val="0"/>
                                                  <w:marTop w:val="0"/>
                                                  <w:marBottom w:val="0"/>
                                                  <w:divBdr>
                                                    <w:top w:val="none" w:sz="0" w:space="0" w:color="auto"/>
                                                    <w:left w:val="none" w:sz="0" w:space="0" w:color="auto"/>
                                                    <w:bottom w:val="none" w:sz="0" w:space="0" w:color="auto"/>
                                                    <w:right w:val="none" w:sz="0" w:space="0" w:color="auto"/>
                                                  </w:divBdr>
                                                  <w:divsChild>
                                                    <w:div w:id="68230428">
                                                      <w:marLeft w:val="0"/>
                                                      <w:marRight w:val="0"/>
                                                      <w:marTop w:val="0"/>
                                                      <w:marBottom w:val="0"/>
                                                      <w:divBdr>
                                                        <w:top w:val="none" w:sz="0" w:space="0" w:color="auto"/>
                                                        <w:left w:val="none" w:sz="0" w:space="0" w:color="auto"/>
                                                        <w:bottom w:val="none" w:sz="0" w:space="0" w:color="auto"/>
                                                        <w:right w:val="none" w:sz="0" w:space="0" w:color="auto"/>
                                                      </w:divBdr>
                                                      <w:divsChild>
                                                        <w:div w:id="20771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0378258">
      <w:bodyDiv w:val="1"/>
      <w:marLeft w:val="0"/>
      <w:marRight w:val="0"/>
      <w:marTop w:val="0"/>
      <w:marBottom w:val="0"/>
      <w:divBdr>
        <w:top w:val="none" w:sz="0" w:space="0" w:color="auto"/>
        <w:left w:val="none" w:sz="0" w:space="0" w:color="auto"/>
        <w:bottom w:val="none" w:sz="0" w:space="0" w:color="auto"/>
        <w:right w:val="none" w:sz="0" w:space="0" w:color="auto"/>
      </w:divBdr>
    </w:div>
    <w:div w:id="1642540343">
      <w:bodyDiv w:val="1"/>
      <w:marLeft w:val="0"/>
      <w:marRight w:val="0"/>
      <w:marTop w:val="0"/>
      <w:marBottom w:val="0"/>
      <w:divBdr>
        <w:top w:val="none" w:sz="0" w:space="0" w:color="auto"/>
        <w:left w:val="none" w:sz="0" w:space="0" w:color="auto"/>
        <w:bottom w:val="none" w:sz="0" w:space="0" w:color="auto"/>
        <w:right w:val="none" w:sz="0" w:space="0" w:color="auto"/>
      </w:divBdr>
      <w:divsChild>
        <w:div w:id="1718165332">
          <w:marLeft w:val="0"/>
          <w:marRight w:val="0"/>
          <w:marTop w:val="0"/>
          <w:marBottom w:val="0"/>
          <w:divBdr>
            <w:top w:val="none" w:sz="0" w:space="0" w:color="auto"/>
            <w:left w:val="none" w:sz="0" w:space="0" w:color="auto"/>
            <w:bottom w:val="none" w:sz="0" w:space="0" w:color="auto"/>
            <w:right w:val="none" w:sz="0" w:space="0" w:color="auto"/>
          </w:divBdr>
          <w:divsChild>
            <w:div w:id="940800885">
              <w:marLeft w:val="0"/>
              <w:marRight w:val="0"/>
              <w:marTop w:val="0"/>
              <w:marBottom w:val="0"/>
              <w:divBdr>
                <w:top w:val="none" w:sz="0" w:space="0" w:color="auto"/>
                <w:left w:val="none" w:sz="0" w:space="0" w:color="auto"/>
                <w:bottom w:val="none" w:sz="0" w:space="0" w:color="auto"/>
                <w:right w:val="none" w:sz="0" w:space="0" w:color="auto"/>
              </w:divBdr>
              <w:divsChild>
                <w:div w:id="388192297">
                  <w:marLeft w:val="0"/>
                  <w:marRight w:val="0"/>
                  <w:marTop w:val="0"/>
                  <w:marBottom w:val="0"/>
                  <w:divBdr>
                    <w:top w:val="none" w:sz="0" w:space="0" w:color="auto"/>
                    <w:left w:val="none" w:sz="0" w:space="0" w:color="auto"/>
                    <w:bottom w:val="none" w:sz="0" w:space="0" w:color="auto"/>
                    <w:right w:val="none" w:sz="0" w:space="0" w:color="auto"/>
                  </w:divBdr>
                  <w:divsChild>
                    <w:div w:id="1876115965">
                      <w:marLeft w:val="0"/>
                      <w:marRight w:val="0"/>
                      <w:marTop w:val="0"/>
                      <w:marBottom w:val="0"/>
                      <w:divBdr>
                        <w:top w:val="none" w:sz="0" w:space="0" w:color="auto"/>
                        <w:left w:val="none" w:sz="0" w:space="0" w:color="auto"/>
                        <w:bottom w:val="none" w:sz="0" w:space="0" w:color="auto"/>
                        <w:right w:val="none" w:sz="0" w:space="0" w:color="auto"/>
                      </w:divBdr>
                      <w:divsChild>
                        <w:div w:id="2009097733">
                          <w:marLeft w:val="0"/>
                          <w:marRight w:val="0"/>
                          <w:marTop w:val="0"/>
                          <w:marBottom w:val="0"/>
                          <w:divBdr>
                            <w:top w:val="none" w:sz="0" w:space="0" w:color="auto"/>
                            <w:left w:val="none" w:sz="0" w:space="0" w:color="auto"/>
                            <w:bottom w:val="none" w:sz="0" w:space="0" w:color="auto"/>
                            <w:right w:val="none" w:sz="0" w:space="0" w:color="auto"/>
                          </w:divBdr>
                          <w:divsChild>
                            <w:div w:id="1112672870">
                              <w:marLeft w:val="0"/>
                              <w:marRight w:val="0"/>
                              <w:marTop w:val="0"/>
                              <w:marBottom w:val="0"/>
                              <w:divBdr>
                                <w:top w:val="none" w:sz="0" w:space="0" w:color="auto"/>
                                <w:left w:val="none" w:sz="0" w:space="0" w:color="auto"/>
                                <w:bottom w:val="none" w:sz="0" w:space="0" w:color="auto"/>
                                <w:right w:val="none" w:sz="0" w:space="0" w:color="auto"/>
                              </w:divBdr>
                              <w:divsChild>
                                <w:div w:id="92091207">
                                  <w:marLeft w:val="0"/>
                                  <w:marRight w:val="0"/>
                                  <w:marTop w:val="0"/>
                                  <w:marBottom w:val="0"/>
                                  <w:divBdr>
                                    <w:top w:val="none" w:sz="0" w:space="0" w:color="auto"/>
                                    <w:left w:val="none" w:sz="0" w:space="0" w:color="auto"/>
                                    <w:bottom w:val="none" w:sz="0" w:space="0" w:color="auto"/>
                                    <w:right w:val="none" w:sz="0" w:space="0" w:color="auto"/>
                                  </w:divBdr>
                                  <w:divsChild>
                                    <w:div w:id="222328223">
                                      <w:marLeft w:val="0"/>
                                      <w:marRight w:val="0"/>
                                      <w:marTop w:val="0"/>
                                      <w:marBottom w:val="0"/>
                                      <w:divBdr>
                                        <w:top w:val="none" w:sz="0" w:space="0" w:color="auto"/>
                                        <w:left w:val="none" w:sz="0" w:space="0" w:color="auto"/>
                                        <w:bottom w:val="none" w:sz="0" w:space="0" w:color="auto"/>
                                        <w:right w:val="none" w:sz="0" w:space="0" w:color="auto"/>
                                      </w:divBdr>
                                      <w:divsChild>
                                        <w:div w:id="1963227201">
                                          <w:marLeft w:val="0"/>
                                          <w:marRight w:val="0"/>
                                          <w:marTop w:val="0"/>
                                          <w:marBottom w:val="0"/>
                                          <w:divBdr>
                                            <w:top w:val="none" w:sz="0" w:space="0" w:color="auto"/>
                                            <w:left w:val="none" w:sz="0" w:space="0" w:color="auto"/>
                                            <w:bottom w:val="none" w:sz="0" w:space="0" w:color="auto"/>
                                            <w:right w:val="none" w:sz="0" w:space="0" w:color="auto"/>
                                          </w:divBdr>
                                          <w:divsChild>
                                            <w:div w:id="1073895163">
                                              <w:marLeft w:val="0"/>
                                              <w:marRight w:val="0"/>
                                              <w:marTop w:val="0"/>
                                              <w:marBottom w:val="0"/>
                                              <w:divBdr>
                                                <w:top w:val="none" w:sz="0" w:space="0" w:color="auto"/>
                                                <w:left w:val="none" w:sz="0" w:space="0" w:color="auto"/>
                                                <w:bottom w:val="none" w:sz="0" w:space="0" w:color="auto"/>
                                                <w:right w:val="none" w:sz="0" w:space="0" w:color="auto"/>
                                              </w:divBdr>
                                              <w:divsChild>
                                                <w:div w:id="673145247">
                                                  <w:marLeft w:val="0"/>
                                                  <w:marRight w:val="0"/>
                                                  <w:marTop w:val="0"/>
                                                  <w:marBottom w:val="0"/>
                                                  <w:divBdr>
                                                    <w:top w:val="none" w:sz="0" w:space="0" w:color="auto"/>
                                                    <w:left w:val="none" w:sz="0" w:space="0" w:color="auto"/>
                                                    <w:bottom w:val="none" w:sz="0" w:space="0" w:color="auto"/>
                                                    <w:right w:val="none" w:sz="0" w:space="0" w:color="auto"/>
                                                  </w:divBdr>
                                                  <w:divsChild>
                                                    <w:div w:id="635457299">
                                                      <w:marLeft w:val="0"/>
                                                      <w:marRight w:val="0"/>
                                                      <w:marTop w:val="0"/>
                                                      <w:marBottom w:val="0"/>
                                                      <w:divBdr>
                                                        <w:top w:val="none" w:sz="0" w:space="0" w:color="auto"/>
                                                        <w:left w:val="none" w:sz="0" w:space="0" w:color="auto"/>
                                                        <w:bottom w:val="none" w:sz="0" w:space="0" w:color="auto"/>
                                                        <w:right w:val="none" w:sz="0" w:space="0" w:color="auto"/>
                                                      </w:divBdr>
                                                      <w:divsChild>
                                                        <w:div w:id="14784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TaxCatchAll xmlns="9f7bc583-7cbe-45b9-a2bd-8bbb6543b37e">
      <Value>7</Value>
    </TaxCatchAll>
    <_dlc_DocId xmlns="9f7bc583-7cbe-45b9-a2bd-8bbb6543b37e">2018RG-136-35907</_dlc_DocId>
    <_dlc_DocIdUrl xmlns="9f7bc583-7cbe-45b9-a2bd-8bbb6543b37e">
      <Url>http://tweb/sites/rg/ldp/_layouts/15/DocIdRedir.aspx?ID=2018RG-136-35907</Url>
      <Description>2018RG-136-35907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9083" ma:contentTypeDescription="" ma:contentTypeScope="" ma:versionID="fe239482bee707f9c5b5551eaa6a30ba">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http://schemas.microsoft.com/sharepoint/v4"/>
    <ds:schemaRef ds:uri="http://schemas.microsoft.com/office/2006/documentManagement/types"/>
    <ds:schemaRef ds:uri="http://purl.org/dc/elements/1.1/"/>
    <ds:schemaRef ds:uri="http://purl.org/dc/dcmitype/"/>
    <ds:schemaRef ds:uri="http://schemas.microsoft.com/sharepoint/v3"/>
    <ds:schemaRef ds:uri="http://purl.org/dc/terms/"/>
    <ds:schemaRef ds:uri="http://schemas.microsoft.com/office/infopath/2007/PartnerControls"/>
    <ds:schemaRef ds:uri="http://schemas.microsoft.com/office/2006/metadata/properties"/>
    <ds:schemaRef ds:uri="687b78b0-2ddd-4441-8a8b-c9638c2a1939"/>
    <ds:schemaRef ds:uri="http://schemas.openxmlformats.org/package/2006/metadata/core-properties"/>
    <ds:schemaRef ds:uri="9f7bc583-7cbe-45b9-a2bd-8bbb6543b37e"/>
    <ds:schemaRef ds:uri="http://www.w3.org/XML/1998/namespace"/>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A84160EE-3ABB-45B8-AAAC-AE3672577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9357E-0B3B-40BE-A7D2-2C59657F663E}">
  <ds:schemaRefs>
    <ds:schemaRef ds:uri="office.server.policy"/>
  </ds:schemaRefs>
</ds:datastoreItem>
</file>

<file path=customXml/itemProps5.xml><?xml version="1.0" encoding="utf-8"?>
<ds:datastoreItem xmlns:ds="http://schemas.openxmlformats.org/officeDocument/2006/customXml" ds:itemID="{B788E190-BF0D-44FA-8431-6E25FD68CE9F}">
  <ds:schemaRefs>
    <ds:schemaRef ds:uri="http://schemas.microsoft.com/sharepoint/events"/>
  </ds:schemaRefs>
</ds:datastoreItem>
</file>

<file path=customXml/itemProps6.xml><?xml version="1.0" encoding="utf-8"?>
<ds:datastoreItem xmlns:ds="http://schemas.openxmlformats.org/officeDocument/2006/customXml" ds:itemID="{4424FE28-FAAE-4D48-8607-18D49B74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110</TotalTime>
  <Pages>8</Pages>
  <Words>3079</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Jesse</dc:creator>
  <cp:lastModifiedBy>Black, Taylor</cp:lastModifiedBy>
  <cp:revision>33</cp:revision>
  <cp:lastPrinted>2018-02-14T04:28:00Z</cp:lastPrinted>
  <dcterms:created xsi:type="dcterms:W3CDTF">2018-02-07T02:42:00Z</dcterms:created>
  <dcterms:modified xsi:type="dcterms:W3CDTF">2018-02-14T04:28:00Z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1630189888</vt:i4>
  </property>
  <property fmtid="{D5CDD505-2E9C-101B-9397-08002B2CF9AE}" pid="3" name="_NewReviewCycle">
    <vt:lpwstr/>
  </property>
  <property fmtid="{D5CDD505-2E9C-101B-9397-08002B2CF9AE}" pid="4" name="_EmailSubject">
    <vt:lpwstr>Update - Request a New Webpage Request #S64082 [SEC=UNCLASSIFIED]</vt:lpwstr>
  </property>
  <property fmtid="{D5CDD505-2E9C-101B-9397-08002B2CF9AE}" pid="5" name="_AuthorEmail">
    <vt:lpwstr>Jacqueline.Dixon@TREASURY.GOV.AU</vt:lpwstr>
  </property>
  <property fmtid="{D5CDD505-2E9C-101B-9397-08002B2CF9AE}" pid="6" name="_AuthorEmailDisplayName">
    <vt:lpwstr>Dixon, Jacqueline</vt:lpwstr>
  </property>
  <property fmtid="{D5CDD505-2E9C-101B-9397-08002B2CF9AE}" pid="7" name="ContentTypeId">
    <vt:lpwstr>0x01010036BB8DE7EC542E42A8B2E98CC20CB69700AD614E3FF758BD46BB6A91BF499E7E08</vt:lpwstr>
  </property>
  <property fmtid="{D5CDD505-2E9C-101B-9397-08002B2CF9AE}" pid="8" name="_dlc_DocIdItemGuid">
    <vt:lpwstr>761a6a9f-ff15-485e-9c4f-240a98d3986f</vt:lpwstr>
  </property>
  <property fmtid="{D5CDD505-2E9C-101B-9397-08002B2CF9AE}" pid="9" name="_PreviousAdHocReviewCycleID">
    <vt:i4>-971637945</vt:i4>
  </property>
  <property fmtid="{D5CDD505-2E9C-101B-9397-08002B2CF9AE}" pid="10" name="RecordPoint_WorkflowType">
    <vt:lpwstr>ActiveSubmitStub</vt:lpwstr>
  </property>
  <property fmtid="{D5CDD505-2E9C-101B-9397-08002B2CF9AE}" pid="11" name="RecordPoint_ActiveItemUniqueId">
    <vt:lpwstr>{761a6a9f-ff15-485e-9c4f-240a98d3986f}</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{687b78b0-2ddd-4441-8a8b-c9638c2a1939}</vt:lpwstr>
  </property>
  <property fmtid="{D5CDD505-2E9C-101B-9397-08002B2CF9AE}" pid="15" name="RecordPoint_RecordNumberSubmitted">
    <vt:lpwstr>R0001588415</vt:lpwstr>
  </property>
  <property fmtid="{D5CDD505-2E9C-101B-9397-08002B2CF9AE}" pid="16" name="TSYRecordClass">
    <vt:lpwstr>7;#TSY RA-9236 - Retain as national archives|c6a225b4-6b93-473e-bcbb-6bc6ab25b623</vt:lpwstr>
  </property>
  <property fmtid="{D5CDD505-2E9C-101B-9397-08002B2CF9AE}" pid="17" name="RecordPoint_SubmissionCompleted">
    <vt:lpwstr>2018-02-14T14:54:21.2624547+11:00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