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D6" w:rsidRPr="00C67AD4" w:rsidRDefault="004200D6" w:rsidP="004200D6">
      <w:pPr>
        <w:pStyle w:val="Default"/>
        <w:rPr>
          <w:sz w:val="20"/>
          <w:szCs w:val="22"/>
        </w:rPr>
      </w:pPr>
    </w:p>
    <w:p w:rsidR="004200D6" w:rsidRPr="00C67AD4" w:rsidRDefault="004200D6" w:rsidP="004200D6">
      <w:pPr>
        <w:pBdr>
          <w:bottom w:val="single" w:sz="4" w:space="1" w:color="auto"/>
        </w:pBdr>
        <w:spacing w:line="280" w:lineRule="exact"/>
        <w:jc w:val="center"/>
        <w:rPr>
          <w:rFonts w:ascii="Arial" w:hAnsi="Arial" w:cs="Arial"/>
          <w:b/>
          <w:bCs/>
          <w:sz w:val="20"/>
        </w:rPr>
      </w:pPr>
      <w:r w:rsidRPr="00C67AD4">
        <w:rPr>
          <w:rFonts w:ascii="Arial" w:hAnsi="Arial" w:cs="Arial"/>
          <w:b/>
          <w:bCs/>
          <w:sz w:val="20"/>
        </w:rPr>
        <w:t>SUBMISSION OF THE MARITIME UNION OF AUSTRALIA ON REFORMS TO ADDRESS CORPORATE MISUSE OF THE FAIR ENTITLEMENTS GUARANTEE SCHEME</w:t>
      </w:r>
    </w:p>
    <w:p w:rsidR="004200D6" w:rsidRPr="00C67AD4" w:rsidRDefault="00A47C31" w:rsidP="004200D6">
      <w:pPr>
        <w:pStyle w:val="Default"/>
        <w:jc w:val="center"/>
        <w:rPr>
          <w:sz w:val="20"/>
          <w:szCs w:val="22"/>
        </w:rPr>
      </w:pPr>
      <w:r>
        <w:rPr>
          <w:b/>
          <w:bCs/>
          <w:sz w:val="20"/>
          <w:szCs w:val="22"/>
        </w:rPr>
        <w:t>AUSTRALIAN GOVERNMENT ‘</w:t>
      </w:r>
      <w:r w:rsidR="004200D6" w:rsidRPr="00C67AD4">
        <w:rPr>
          <w:b/>
          <w:bCs/>
          <w:sz w:val="20"/>
          <w:szCs w:val="22"/>
        </w:rPr>
        <w:t>REFORMS TO ADDRESS CORPORATE MISUSE OF THE FAIR ENTI</w:t>
      </w:r>
      <w:r>
        <w:rPr>
          <w:b/>
          <w:bCs/>
          <w:sz w:val="20"/>
          <w:szCs w:val="22"/>
        </w:rPr>
        <w:t>TLEMENTS GUARANTEE (FEG) SCHEME’</w:t>
      </w:r>
      <w:r w:rsidR="004200D6" w:rsidRPr="00C67AD4">
        <w:rPr>
          <w:b/>
          <w:bCs/>
          <w:sz w:val="20"/>
          <w:szCs w:val="22"/>
        </w:rPr>
        <w:t xml:space="preserve"> CONSULTATION PAPER, MAY 2017</w:t>
      </w:r>
    </w:p>
    <w:p w:rsidR="004200D6" w:rsidRPr="00C67AD4" w:rsidRDefault="004200D6" w:rsidP="004200D6">
      <w:pPr>
        <w:pStyle w:val="Default"/>
        <w:rPr>
          <w:sz w:val="20"/>
          <w:szCs w:val="22"/>
        </w:rPr>
      </w:pPr>
    </w:p>
    <w:p w:rsidR="00123EA6" w:rsidRPr="001C26FF" w:rsidRDefault="00123EA6" w:rsidP="00123EA6">
      <w:pPr>
        <w:pStyle w:val="Default"/>
        <w:rPr>
          <w:sz w:val="20"/>
          <w:szCs w:val="22"/>
        </w:rPr>
      </w:pPr>
      <w:r w:rsidRPr="001C26FF">
        <w:rPr>
          <w:sz w:val="20"/>
          <w:szCs w:val="22"/>
        </w:rPr>
        <w:t>This submission responds to the ‘</w:t>
      </w:r>
      <w:r w:rsidRPr="001C26FF">
        <w:rPr>
          <w:sz w:val="18"/>
          <w:szCs w:val="18"/>
        </w:rPr>
        <w:t>Reforms to Address Corporate Misuse of The Fair Entitlements Guarantee (FEG) Scheme’ (</w:t>
      </w:r>
      <w:r w:rsidRPr="001C26FF">
        <w:rPr>
          <w:b/>
          <w:sz w:val="18"/>
          <w:szCs w:val="18"/>
        </w:rPr>
        <w:t>Consultation Paper</w:t>
      </w:r>
      <w:r w:rsidRPr="001C26FF">
        <w:rPr>
          <w:sz w:val="18"/>
          <w:szCs w:val="18"/>
        </w:rPr>
        <w:t>).</w:t>
      </w:r>
      <w:r w:rsidRPr="001C26FF">
        <w:rPr>
          <w:rStyle w:val="FootnoteReference"/>
          <w:sz w:val="18"/>
          <w:szCs w:val="18"/>
        </w:rPr>
        <w:footnoteReference w:id="1"/>
      </w:r>
      <w:r w:rsidRPr="001C26FF">
        <w:rPr>
          <w:sz w:val="18"/>
          <w:szCs w:val="18"/>
        </w:rPr>
        <w:t xml:space="preserve"> The submission</w:t>
      </w:r>
      <w:r w:rsidRPr="001C26FF">
        <w:rPr>
          <w:sz w:val="20"/>
          <w:szCs w:val="22"/>
        </w:rPr>
        <w:t xml:space="preserve"> firstly provides a brief introduction about the Maritime Union of Australia (</w:t>
      </w:r>
      <w:r w:rsidRPr="001C26FF">
        <w:rPr>
          <w:b/>
          <w:bCs/>
          <w:sz w:val="20"/>
          <w:szCs w:val="22"/>
        </w:rPr>
        <w:t>MUA</w:t>
      </w:r>
      <w:r w:rsidRPr="001C26FF">
        <w:rPr>
          <w:sz w:val="20"/>
          <w:szCs w:val="22"/>
        </w:rPr>
        <w:t xml:space="preserve">) and then outlines the MUA views and recommendations in respect of several of the terms of reference, using a case study example. </w:t>
      </w:r>
    </w:p>
    <w:p w:rsidR="00123EA6" w:rsidRPr="001C26FF" w:rsidRDefault="00123EA6" w:rsidP="00123EA6">
      <w:pPr>
        <w:pStyle w:val="Default"/>
        <w:rPr>
          <w:b/>
          <w:bCs/>
          <w:sz w:val="20"/>
          <w:szCs w:val="22"/>
        </w:rPr>
      </w:pPr>
    </w:p>
    <w:p w:rsidR="00123EA6" w:rsidRPr="001C26FF" w:rsidRDefault="00123EA6" w:rsidP="00123EA6">
      <w:pPr>
        <w:pStyle w:val="Default"/>
        <w:rPr>
          <w:b/>
          <w:bCs/>
          <w:sz w:val="20"/>
          <w:szCs w:val="22"/>
        </w:rPr>
      </w:pPr>
      <w:r w:rsidRPr="001C26FF">
        <w:rPr>
          <w:b/>
          <w:bCs/>
          <w:sz w:val="20"/>
          <w:szCs w:val="22"/>
        </w:rPr>
        <w:t xml:space="preserve">The Maritime Union of Australia </w:t>
      </w:r>
    </w:p>
    <w:p w:rsidR="00123EA6" w:rsidRPr="001C26FF" w:rsidRDefault="00123EA6" w:rsidP="00123EA6">
      <w:pPr>
        <w:pStyle w:val="Default"/>
        <w:rPr>
          <w:sz w:val="20"/>
          <w:szCs w:val="22"/>
        </w:rPr>
      </w:pPr>
    </w:p>
    <w:p w:rsidR="00123EA6" w:rsidRPr="001C26FF" w:rsidRDefault="00123EA6" w:rsidP="00123EA6">
      <w:pPr>
        <w:pStyle w:val="Default"/>
        <w:rPr>
          <w:sz w:val="20"/>
          <w:szCs w:val="22"/>
        </w:rPr>
      </w:pPr>
      <w:r w:rsidRPr="001C26FF">
        <w:rPr>
          <w:sz w:val="20"/>
          <w:szCs w:val="22"/>
        </w:rPr>
        <w:t xml:space="preserve">The MUA represents some 13 000 Australian seafarers, stevedores and other maritime workers, equating to more than 90% of Australian maritime workers. It is an affiliate of the 4.5 million-member International Transport Workers’ Federation. The MUA was formed in 1993 with merger of the Seamen's Union of Australia and the Waterside Workers Federation of Australia, which trace their formation to 1906 and 1872 respectively. </w:t>
      </w:r>
    </w:p>
    <w:p w:rsidR="00123EA6" w:rsidRPr="001C26FF" w:rsidRDefault="00123EA6" w:rsidP="00123EA6">
      <w:pPr>
        <w:pStyle w:val="Default"/>
        <w:rPr>
          <w:b/>
          <w:bCs/>
          <w:sz w:val="20"/>
          <w:szCs w:val="22"/>
        </w:rPr>
      </w:pPr>
    </w:p>
    <w:p w:rsidR="00123EA6" w:rsidRPr="001C26FF" w:rsidRDefault="00123EA6" w:rsidP="00123EA6">
      <w:pPr>
        <w:pStyle w:val="Default"/>
        <w:rPr>
          <w:b/>
          <w:bCs/>
          <w:sz w:val="20"/>
          <w:szCs w:val="22"/>
        </w:rPr>
      </w:pPr>
      <w:r w:rsidRPr="001C26FF">
        <w:rPr>
          <w:b/>
          <w:bCs/>
          <w:sz w:val="20"/>
          <w:szCs w:val="22"/>
        </w:rPr>
        <w:t xml:space="preserve">Case study – background </w:t>
      </w:r>
    </w:p>
    <w:p w:rsidR="00123EA6" w:rsidRPr="001C26FF" w:rsidRDefault="00123EA6" w:rsidP="00123EA6">
      <w:pPr>
        <w:pStyle w:val="Default"/>
        <w:rPr>
          <w:sz w:val="20"/>
          <w:szCs w:val="22"/>
        </w:rPr>
      </w:pPr>
    </w:p>
    <w:p w:rsidR="00123EA6" w:rsidRPr="00C67AD4" w:rsidRDefault="00123EA6" w:rsidP="00123EA6">
      <w:pPr>
        <w:pStyle w:val="Default"/>
        <w:rPr>
          <w:sz w:val="20"/>
          <w:szCs w:val="22"/>
        </w:rPr>
      </w:pPr>
      <w:r w:rsidRPr="001C26FF">
        <w:rPr>
          <w:sz w:val="20"/>
          <w:szCs w:val="22"/>
        </w:rPr>
        <w:t>The MUA has recently been assisting a group of members whose employer has failed to pay superannuation guarantee (</w:t>
      </w:r>
      <w:r w:rsidRPr="001C26FF">
        <w:rPr>
          <w:b/>
          <w:sz w:val="20"/>
          <w:szCs w:val="22"/>
        </w:rPr>
        <w:t>SG</w:t>
      </w:r>
      <w:r w:rsidRPr="001C26FF">
        <w:rPr>
          <w:sz w:val="20"/>
          <w:szCs w:val="22"/>
        </w:rPr>
        <w:t>) contributions over a sustained period and more recently termination and redundancy payments. Although SG is not an employee entitlement covered by FEG, this case study is indicative of the kinds of ‘inappropriate employer behaviours’</w:t>
      </w:r>
      <w:r w:rsidRPr="001C26FF">
        <w:rPr>
          <w:rStyle w:val="FootnoteReference"/>
          <w:sz w:val="20"/>
          <w:szCs w:val="22"/>
        </w:rPr>
        <w:footnoteReference w:id="2"/>
      </w:r>
      <w:r w:rsidRPr="001C26FF">
        <w:rPr>
          <w:sz w:val="20"/>
          <w:szCs w:val="22"/>
        </w:rPr>
        <w:t xml:space="preserve"> dealt with in the Consultation Paper that are used to avoid employee entitlement (</w:t>
      </w:r>
      <w:r w:rsidRPr="001C26FF">
        <w:rPr>
          <w:b/>
          <w:sz w:val="20"/>
          <w:szCs w:val="22"/>
        </w:rPr>
        <w:t>EE</w:t>
      </w:r>
      <w:r w:rsidRPr="001C26FF">
        <w:rPr>
          <w:sz w:val="20"/>
          <w:szCs w:val="22"/>
        </w:rPr>
        <w:t>) obligations.</w:t>
      </w:r>
      <w:r w:rsidRPr="00C67AD4">
        <w:rPr>
          <w:sz w:val="20"/>
          <w:szCs w:val="22"/>
        </w:rPr>
        <w:t xml:space="preserve"> </w:t>
      </w:r>
    </w:p>
    <w:p w:rsidR="00123EA6" w:rsidRPr="00C67AD4" w:rsidRDefault="00123EA6" w:rsidP="00123EA6">
      <w:pPr>
        <w:pStyle w:val="Default"/>
        <w:rPr>
          <w:sz w:val="20"/>
          <w:szCs w:val="22"/>
        </w:rPr>
      </w:pPr>
    </w:p>
    <w:p w:rsidR="00123EA6" w:rsidRPr="00D7375C" w:rsidRDefault="00123EA6" w:rsidP="00123EA6">
      <w:pPr>
        <w:pStyle w:val="Default"/>
        <w:rPr>
          <w:sz w:val="20"/>
          <w:szCs w:val="20"/>
        </w:rPr>
      </w:pPr>
      <w:r>
        <w:rPr>
          <w:sz w:val="20"/>
          <w:szCs w:val="20"/>
        </w:rPr>
        <w:t xml:space="preserve">For the first approximately 21 months after the business commenced, </w:t>
      </w:r>
      <w:r w:rsidRPr="00BB0155">
        <w:rPr>
          <w:bCs/>
          <w:sz w:val="20"/>
          <w:szCs w:val="20"/>
        </w:rPr>
        <w:t>SG</w:t>
      </w:r>
      <w:r w:rsidRPr="00D7375C">
        <w:rPr>
          <w:sz w:val="20"/>
          <w:szCs w:val="20"/>
        </w:rPr>
        <w:t xml:space="preserve"> contributions were paid only intermittently. No </w:t>
      </w:r>
      <w:r>
        <w:rPr>
          <w:sz w:val="20"/>
          <w:szCs w:val="20"/>
        </w:rPr>
        <w:t>SG contributions have</w:t>
      </w:r>
      <w:r w:rsidRPr="00D7375C">
        <w:rPr>
          <w:sz w:val="20"/>
          <w:szCs w:val="20"/>
        </w:rPr>
        <w:t xml:space="preserve"> been paid at all </w:t>
      </w:r>
      <w:r>
        <w:rPr>
          <w:sz w:val="20"/>
          <w:szCs w:val="20"/>
        </w:rPr>
        <w:t>for almost four years</w:t>
      </w:r>
      <w:r w:rsidRPr="00D7375C">
        <w:rPr>
          <w:sz w:val="20"/>
          <w:szCs w:val="20"/>
        </w:rPr>
        <w:t>. Attempts by the employees, the MUA on their behalf, the Australian Taxation Office (</w:t>
      </w:r>
      <w:r w:rsidRPr="001E4A19">
        <w:rPr>
          <w:b/>
          <w:sz w:val="20"/>
          <w:szCs w:val="20"/>
        </w:rPr>
        <w:t>ATO</w:t>
      </w:r>
      <w:r w:rsidRPr="00D7375C">
        <w:rPr>
          <w:sz w:val="20"/>
          <w:szCs w:val="20"/>
        </w:rPr>
        <w:t xml:space="preserve">), </w:t>
      </w:r>
      <w:r>
        <w:rPr>
          <w:sz w:val="20"/>
          <w:szCs w:val="20"/>
        </w:rPr>
        <w:t>s</w:t>
      </w:r>
      <w:r w:rsidRPr="00D7375C">
        <w:rPr>
          <w:sz w:val="20"/>
          <w:szCs w:val="20"/>
        </w:rPr>
        <w:t xml:space="preserve">uperannuation funds and accountants have all failed to engage the Director in any meaningful resolution process and have yielded </w:t>
      </w:r>
      <w:r w:rsidRPr="00D7375C">
        <w:rPr>
          <w:sz w:val="20"/>
          <w:szCs w:val="20"/>
          <w:u w:val="single"/>
        </w:rPr>
        <w:t>no</w:t>
      </w:r>
      <w:r w:rsidRPr="00D7375C">
        <w:rPr>
          <w:sz w:val="20"/>
          <w:szCs w:val="20"/>
        </w:rPr>
        <w:t xml:space="preserve"> return of monies owing. </w:t>
      </w:r>
    </w:p>
    <w:p w:rsidR="00123EA6" w:rsidRPr="00D7375C" w:rsidRDefault="00123EA6" w:rsidP="00123EA6">
      <w:pPr>
        <w:pStyle w:val="Default"/>
        <w:rPr>
          <w:sz w:val="20"/>
          <w:szCs w:val="20"/>
        </w:rPr>
      </w:pPr>
    </w:p>
    <w:p w:rsidR="00123EA6" w:rsidRPr="00D7375C" w:rsidRDefault="00123EA6" w:rsidP="00123EA6">
      <w:pPr>
        <w:pStyle w:val="Default"/>
        <w:rPr>
          <w:sz w:val="20"/>
          <w:szCs w:val="20"/>
        </w:rPr>
      </w:pPr>
      <w:r>
        <w:rPr>
          <w:sz w:val="20"/>
          <w:szCs w:val="20"/>
        </w:rPr>
        <w:t>T</w:t>
      </w:r>
      <w:r w:rsidRPr="00B540A4">
        <w:rPr>
          <w:sz w:val="20"/>
          <w:szCs w:val="20"/>
        </w:rPr>
        <w:t xml:space="preserve">his year, three </w:t>
      </w:r>
      <w:r>
        <w:rPr>
          <w:sz w:val="20"/>
          <w:szCs w:val="20"/>
        </w:rPr>
        <w:t xml:space="preserve">employees </w:t>
      </w:r>
      <w:r w:rsidRPr="00B540A4">
        <w:rPr>
          <w:sz w:val="20"/>
          <w:szCs w:val="20"/>
        </w:rPr>
        <w:t xml:space="preserve">have been made redundant. The </w:t>
      </w:r>
      <w:r>
        <w:rPr>
          <w:sz w:val="20"/>
          <w:szCs w:val="20"/>
        </w:rPr>
        <w:t>company</w:t>
      </w:r>
      <w:r w:rsidRPr="00B540A4">
        <w:rPr>
          <w:sz w:val="20"/>
          <w:szCs w:val="20"/>
        </w:rPr>
        <w:t xml:space="preserve"> has failed to pay the applicable notice of termination pay and redundancy pay. </w:t>
      </w:r>
      <w:r>
        <w:rPr>
          <w:sz w:val="20"/>
          <w:szCs w:val="20"/>
        </w:rPr>
        <w:t xml:space="preserve"> It was only after the MUA commenced legal action that the payments were made. The company</w:t>
      </w:r>
      <w:r w:rsidRPr="00B540A4">
        <w:rPr>
          <w:sz w:val="20"/>
          <w:szCs w:val="20"/>
        </w:rPr>
        <w:t xml:space="preserve"> has indicated that there are another four employees likely to be made redundant</w:t>
      </w:r>
      <w:r>
        <w:rPr>
          <w:sz w:val="20"/>
          <w:szCs w:val="20"/>
        </w:rPr>
        <w:t xml:space="preserve"> in the near future</w:t>
      </w:r>
      <w:r w:rsidRPr="00B540A4">
        <w:rPr>
          <w:sz w:val="20"/>
          <w:szCs w:val="20"/>
        </w:rPr>
        <w:t>.</w:t>
      </w:r>
      <w:r>
        <w:rPr>
          <w:sz w:val="20"/>
          <w:szCs w:val="20"/>
        </w:rPr>
        <w:t xml:space="preserve"> A senior manager</w:t>
      </w:r>
      <w:r w:rsidRPr="00B540A4">
        <w:rPr>
          <w:sz w:val="20"/>
          <w:szCs w:val="20"/>
        </w:rPr>
        <w:t xml:space="preserve"> </w:t>
      </w:r>
      <w:r>
        <w:rPr>
          <w:sz w:val="20"/>
          <w:szCs w:val="20"/>
        </w:rPr>
        <w:t xml:space="preserve">has </w:t>
      </w:r>
      <w:r w:rsidRPr="00B540A4">
        <w:rPr>
          <w:sz w:val="20"/>
          <w:szCs w:val="20"/>
        </w:rPr>
        <w:t xml:space="preserve">indicated to the employees that there </w:t>
      </w:r>
      <w:r>
        <w:rPr>
          <w:sz w:val="20"/>
          <w:szCs w:val="20"/>
        </w:rPr>
        <w:t>are insufficient funds and</w:t>
      </w:r>
      <w:r w:rsidRPr="00B540A4">
        <w:rPr>
          <w:sz w:val="20"/>
          <w:szCs w:val="20"/>
        </w:rPr>
        <w:t xml:space="preserve"> no intention </w:t>
      </w:r>
      <w:r>
        <w:rPr>
          <w:sz w:val="20"/>
          <w:szCs w:val="20"/>
        </w:rPr>
        <w:t>to</w:t>
      </w:r>
      <w:r w:rsidRPr="00B540A4">
        <w:rPr>
          <w:sz w:val="20"/>
          <w:szCs w:val="20"/>
        </w:rPr>
        <w:t xml:space="preserve"> make </w:t>
      </w:r>
      <w:r>
        <w:rPr>
          <w:sz w:val="20"/>
          <w:szCs w:val="20"/>
        </w:rPr>
        <w:t xml:space="preserve">termination or redundancy </w:t>
      </w:r>
      <w:r w:rsidRPr="00B540A4">
        <w:rPr>
          <w:sz w:val="20"/>
          <w:szCs w:val="20"/>
        </w:rPr>
        <w:t>payments.</w:t>
      </w:r>
    </w:p>
    <w:p w:rsidR="00123EA6" w:rsidRPr="00D7375C" w:rsidRDefault="00123EA6" w:rsidP="00123EA6">
      <w:pPr>
        <w:pStyle w:val="Default"/>
        <w:rPr>
          <w:sz w:val="20"/>
          <w:szCs w:val="20"/>
        </w:rPr>
      </w:pPr>
      <w:r w:rsidRPr="00D7375C">
        <w:rPr>
          <w:sz w:val="20"/>
          <w:szCs w:val="20"/>
        </w:rPr>
        <w:t xml:space="preserve"> </w:t>
      </w:r>
    </w:p>
    <w:p w:rsidR="00123EA6" w:rsidRPr="00EA3764" w:rsidRDefault="00123EA6" w:rsidP="00A96E05">
      <w:pPr>
        <w:spacing w:after="0"/>
        <w:rPr>
          <w:rFonts w:ascii="Arial" w:hAnsi="Arial" w:cs="Arial"/>
          <w:sz w:val="20"/>
          <w:szCs w:val="20"/>
          <w:highlight w:val="yellow"/>
          <w:lang w:eastAsia="en-AU"/>
        </w:rPr>
      </w:pPr>
      <w:r w:rsidRPr="00D7375C">
        <w:rPr>
          <w:rFonts w:ascii="Arial" w:hAnsi="Arial" w:cs="Arial"/>
          <w:sz w:val="20"/>
          <w:szCs w:val="20"/>
        </w:rPr>
        <w:t xml:space="preserve">One of the issues faced by the employees </w:t>
      </w:r>
      <w:r>
        <w:rPr>
          <w:rFonts w:ascii="Arial" w:hAnsi="Arial" w:cs="Arial"/>
          <w:sz w:val="20"/>
          <w:szCs w:val="20"/>
        </w:rPr>
        <w:t>in pursuing their EE</w:t>
      </w:r>
      <w:r w:rsidRPr="00D7375C">
        <w:rPr>
          <w:rFonts w:ascii="Arial" w:hAnsi="Arial" w:cs="Arial"/>
          <w:sz w:val="20"/>
          <w:szCs w:val="20"/>
        </w:rPr>
        <w:t xml:space="preserve"> </w:t>
      </w:r>
      <w:r w:rsidRPr="00D7375C">
        <w:rPr>
          <w:rFonts w:ascii="Arial" w:hAnsi="Arial" w:cs="Arial"/>
          <w:sz w:val="20"/>
          <w:szCs w:val="20"/>
          <w:lang w:eastAsia="en-AU"/>
        </w:rPr>
        <w:t xml:space="preserve">is in identifying the employing entity. Since </w:t>
      </w:r>
      <w:r>
        <w:rPr>
          <w:rFonts w:ascii="Arial" w:hAnsi="Arial" w:cs="Arial"/>
          <w:sz w:val="20"/>
          <w:szCs w:val="20"/>
          <w:lang w:eastAsia="en-AU"/>
        </w:rPr>
        <w:t>the business commenced more than five years ago</w:t>
      </w:r>
      <w:r w:rsidRPr="00D7375C">
        <w:rPr>
          <w:rFonts w:ascii="Arial" w:hAnsi="Arial" w:cs="Arial"/>
          <w:sz w:val="20"/>
          <w:szCs w:val="20"/>
          <w:lang w:eastAsia="en-AU"/>
        </w:rPr>
        <w:t xml:space="preserve">, </w:t>
      </w:r>
      <w:r>
        <w:rPr>
          <w:rFonts w:ascii="Arial" w:hAnsi="Arial" w:cs="Arial"/>
          <w:sz w:val="20"/>
          <w:szCs w:val="20"/>
          <w:lang w:eastAsia="en-AU"/>
        </w:rPr>
        <w:t>four different</w:t>
      </w:r>
      <w:r w:rsidRPr="00D7375C">
        <w:rPr>
          <w:rFonts w:ascii="Arial" w:hAnsi="Arial" w:cs="Arial"/>
          <w:sz w:val="20"/>
          <w:szCs w:val="20"/>
          <w:lang w:eastAsia="en-AU"/>
        </w:rPr>
        <w:t xml:space="preserve"> companies have been variously identified as the employer on employee payslips, PAYG summaries and superannuation statements (for the short period </w:t>
      </w:r>
      <w:r>
        <w:rPr>
          <w:rFonts w:ascii="Arial" w:hAnsi="Arial" w:cs="Arial"/>
          <w:sz w:val="20"/>
          <w:szCs w:val="20"/>
          <w:lang w:eastAsia="en-AU"/>
        </w:rPr>
        <w:t xml:space="preserve">that </w:t>
      </w:r>
      <w:r w:rsidRPr="00D7375C">
        <w:rPr>
          <w:rFonts w:ascii="Arial" w:hAnsi="Arial" w:cs="Arial"/>
          <w:sz w:val="20"/>
          <w:szCs w:val="20"/>
          <w:lang w:eastAsia="en-AU"/>
        </w:rPr>
        <w:t>superannuation contributions were being paid)</w:t>
      </w:r>
      <w:r>
        <w:rPr>
          <w:rFonts w:ascii="Arial" w:hAnsi="Arial" w:cs="Arial"/>
          <w:sz w:val="20"/>
          <w:szCs w:val="20"/>
          <w:lang w:eastAsia="en-AU"/>
        </w:rPr>
        <w:t xml:space="preserve">. The employees have not been advised of any transfer of business or change of employer nor completed any new tax file declarations or the </w:t>
      </w:r>
      <w:r w:rsidR="001C26FF">
        <w:rPr>
          <w:rFonts w:ascii="Arial" w:hAnsi="Arial" w:cs="Arial"/>
          <w:sz w:val="20"/>
          <w:szCs w:val="20"/>
          <w:lang w:eastAsia="en-AU"/>
        </w:rPr>
        <w:t>like.</w:t>
      </w:r>
    </w:p>
    <w:p w:rsidR="00123EA6" w:rsidRPr="00D7375C" w:rsidRDefault="00123EA6" w:rsidP="00A96E05">
      <w:pPr>
        <w:shd w:val="clear" w:color="auto" w:fill="FFFFFF"/>
        <w:spacing w:after="0"/>
        <w:rPr>
          <w:rFonts w:ascii="Arial" w:hAnsi="Arial" w:cs="Arial"/>
          <w:sz w:val="20"/>
          <w:szCs w:val="20"/>
          <w:lang w:eastAsia="en-AU"/>
        </w:rPr>
      </w:pPr>
    </w:p>
    <w:p w:rsidR="00123EA6" w:rsidRPr="00D7375C" w:rsidRDefault="00123EA6" w:rsidP="00123EA6">
      <w:pPr>
        <w:shd w:val="clear" w:color="auto" w:fill="FFFFFF"/>
        <w:rPr>
          <w:rFonts w:ascii="Arial" w:hAnsi="Arial" w:cs="Arial"/>
          <w:sz w:val="20"/>
          <w:szCs w:val="20"/>
          <w:lang w:eastAsia="en-AU"/>
        </w:rPr>
      </w:pPr>
      <w:r w:rsidRPr="00D7375C">
        <w:rPr>
          <w:rFonts w:ascii="Arial" w:hAnsi="Arial" w:cs="Arial"/>
          <w:sz w:val="20"/>
          <w:szCs w:val="20"/>
          <w:lang w:eastAsia="en-AU"/>
        </w:rPr>
        <w:t>Australian Securities and Investment Commission (</w:t>
      </w:r>
      <w:r w:rsidRPr="00D7375C">
        <w:rPr>
          <w:rFonts w:ascii="Arial" w:hAnsi="Arial" w:cs="Arial"/>
          <w:b/>
          <w:sz w:val="20"/>
          <w:szCs w:val="20"/>
          <w:lang w:eastAsia="en-AU"/>
        </w:rPr>
        <w:t>ASIC</w:t>
      </w:r>
      <w:r w:rsidRPr="00D7375C">
        <w:rPr>
          <w:rFonts w:ascii="Arial" w:hAnsi="Arial" w:cs="Arial"/>
          <w:sz w:val="20"/>
          <w:szCs w:val="20"/>
          <w:lang w:eastAsia="en-AU"/>
        </w:rPr>
        <w:t xml:space="preserve">) company searches show that the company director is the same for all above-named companies. </w:t>
      </w:r>
      <w:r>
        <w:rPr>
          <w:rFonts w:ascii="Arial" w:hAnsi="Arial" w:cs="Arial"/>
          <w:sz w:val="20"/>
          <w:szCs w:val="20"/>
          <w:lang w:eastAsia="en-AU"/>
        </w:rPr>
        <w:t>One of the companies was placed under external administration and has been liquidated. Another was deregistered, despite the employees having previously notified the ATO and the ATO having found, prior to the deregistration, that the company owed unpaid SG.</w:t>
      </w:r>
    </w:p>
    <w:p w:rsidR="00123EA6" w:rsidRPr="00D7375C" w:rsidRDefault="00123EA6" w:rsidP="00123EA6">
      <w:pPr>
        <w:pStyle w:val="ListParagraph"/>
        <w:shd w:val="clear" w:color="auto" w:fill="FFFFFF"/>
        <w:spacing w:after="0" w:line="276" w:lineRule="auto"/>
        <w:rPr>
          <w:rFonts w:ascii="Arial" w:hAnsi="Arial" w:cs="Arial"/>
          <w:sz w:val="20"/>
          <w:szCs w:val="20"/>
          <w:lang w:eastAsia="en-AU"/>
        </w:rPr>
      </w:pPr>
    </w:p>
    <w:p w:rsidR="00123EA6" w:rsidRPr="00D7375C" w:rsidRDefault="00123EA6" w:rsidP="00123EA6">
      <w:pPr>
        <w:shd w:val="clear" w:color="auto" w:fill="FFFFFF"/>
        <w:rPr>
          <w:rFonts w:ascii="Arial" w:hAnsi="Arial" w:cs="Arial"/>
          <w:sz w:val="20"/>
          <w:szCs w:val="20"/>
          <w:lang w:eastAsia="en-AU"/>
        </w:rPr>
      </w:pPr>
      <w:r>
        <w:rPr>
          <w:rFonts w:ascii="Arial" w:hAnsi="Arial" w:cs="Arial"/>
          <w:sz w:val="20"/>
          <w:szCs w:val="20"/>
          <w:lang w:eastAsia="en-AU"/>
        </w:rPr>
        <w:lastRenderedPageBreak/>
        <w:t>N</w:t>
      </w:r>
      <w:r w:rsidRPr="005C292A">
        <w:rPr>
          <w:rFonts w:ascii="Arial" w:hAnsi="Arial" w:cs="Arial"/>
          <w:sz w:val="20"/>
          <w:szCs w:val="20"/>
          <w:lang w:eastAsia="en-AU"/>
        </w:rPr>
        <w:t xml:space="preserve">o recovery </w:t>
      </w:r>
      <w:r>
        <w:rPr>
          <w:rFonts w:ascii="Arial" w:hAnsi="Arial" w:cs="Arial"/>
          <w:sz w:val="20"/>
          <w:szCs w:val="20"/>
          <w:lang w:eastAsia="en-AU"/>
        </w:rPr>
        <w:t>was</w:t>
      </w:r>
      <w:r w:rsidRPr="005C292A">
        <w:rPr>
          <w:rFonts w:ascii="Arial" w:hAnsi="Arial" w:cs="Arial"/>
          <w:sz w:val="20"/>
          <w:szCs w:val="20"/>
          <w:lang w:eastAsia="en-AU"/>
        </w:rPr>
        <w:t xml:space="preserve"> made against the liquidated company with respect to SG or any other owing EE.</w:t>
      </w:r>
      <w:r w:rsidR="00A47C31">
        <w:rPr>
          <w:rFonts w:ascii="Arial" w:hAnsi="Arial" w:cs="Arial"/>
          <w:sz w:val="20"/>
          <w:szCs w:val="20"/>
          <w:lang w:eastAsia="en-AU"/>
        </w:rPr>
        <w:t xml:space="preserve"> </w:t>
      </w:r>
      <w:r w:rsidRPr="005C292A">
        <w:rPr>
          <w:rFonts w:ascii="Arial" w:hAnsi="Arial" w:cs="Arial"/>
          <w:sz w:val="20"/>
          <w:szCs w:val="20"/>
          <w:lang w:eastAsia="en-AU"/>
        </w:rPr>
        <w:t>The liquidator advised the MUA that</w:t>
      </w:r>
      <w:r>
        <w:rPr>
          <w:rFonts w:ascii="Arial" w:hAnsi="Arial" w:cs="Arial"/>
          <w:sz w:val="20"/>
          <w:szCs w:val="20"/>
          <w:lang w:eastAsia="en-AU"/>
        </w:rPr>
        <w:t xml:space="preserve"> the ATO and affected employees made claims for unpaid SG, but that all assets and funds had been removed from the company prior to external administration. The liquidator advised the MUA that it reported the company d</w:t>
      </w:r>
      <w:r w:rsidRPr="005C292A">
        <w:rPr>
          <w:rFonts w:ascii="Arial" w:hAnsi="Arial" w:cs="Arial"/>
          <w:sz w:val="20"/>
          <w:szCs w:val="20"/>
          <w:lang w:eastAsia="en-AU"/>
        </w:rPr>
        <w:t>irector to ASIC for suspected phoenix activities and breaches of director duties.</w:t>
      </w:r>
    </w:p>
    <w:p w:rsidR="00123EA6" w:rsidRPr="00D7375C" w:rsidRDefault="00123EA6" w:rsidP="00123EA6">
      <w:pPr>
        <w:rPr>
          <w:rFonts w:ascii="Arial" w:hAnsi="Arial" w:cs="Arial"/>
          <w:sz w:val="20"/>
          <w:szCs w:val="20"/>
        </w:rPr>
      </w:pPr>
      <w:r w:rsidRPr="00D7375C">
        <w:rPr>
          <w:rFonts w:ascii="Arial" w:hAnsi="Arial" w:cs="Arial"/>
          <w:sz w:val="20"/>
          <w:szCs w:val="20"/>
        </w:rPr>
        <w:t xml:space="preserve">This case study – in which an employer has failed to pay any SG at all for a sustained period, and now is avoiding other </w:t>
      </w:r>
      <w:r>
        <w:rPr>
          <w:rFonts w:ascii="Arial" w:hAnsi="Arial" w:cs="Arial"/>
          <w:sz w:val="20"/>
          <w:szCs w:val="20"/>
        </w:rPr>
        <w:t>EE</w:t>
      </w:r>
      <w:r w:rsidRPr="00D7375C">
        <w:rPr>
          <w:rFonts w:ascii="Arial" w:hAnsi="Arial" w:cs="Arial"/>
          <w:sz w:val="20"/>
          <w:szCs w:val="20"/>
        </w:rPr>
        <w:t xml:space="preserve"> obligations including termination and redundancy pay, and notwithstanding that </w:t>
      </w:r>
      <w:r>
        <w:rPr>
          <w:rFonts w:ascii="Arial" w:hAnsi="Arial" w:cs="Arial"/>
          <w:sz w:val="20"/>
          <w:szCs w:val="20"/>
        </w:rPr>
        <w:t>this</w:t>
      </w:r>
      <w:r w:rsidRPr="00D7375C">
        <w:rPr>
          <w:rFonts w:ascii="Arial" w:hAnsi="Arial" w:cs="Arial"/>
          <w:sz w:val="20"/>
          <w:szCs w:val="20"/>
        </w:rPr>
        <w:t xml:space="preserve"> has been brought to the attention of the ATO and ASIC on multiple occasions by multiple parties – provides a good example of the need for law reform and other tangible measures to address sharp corporate practices and avoidable cost drivers of the FEG scheme.</w:t>
      </w:r>
    </w:p>
    <w:p w:rsidR="00C67AD4" w:rsidRPr="00D7375C" w:rsidRDefault="00327FC0" w:rsidP="004200D6">
      <w:pPr>
        <w:rPr>
          <w:rFonts w:ascii="Arial" w:hAnsi="Arial" w:cs="Arial"/>
          <w:b/>
          <w:bCs/>
          <w:sz w:val="20"/>
          <w:szCs w:val="20"/>
        </w:rPr>
      </w:pPr>
      <w:r w:rsidRPr="00D7375C">
        <w:rPr>
          <w:rFonts w:ascii="Arial" w:hAnsi="Arial" w:cs="Arial"/>
          <w:b/>
          <w:sz w:val="20"/>
          <w:szCs w:val="20"/>
        </w:rPr>
        <w:t xml:space="preserve">Response to </w:t>
      </w:r>
      <w:r w:rsidRPr="00D7375C">
        <w:rPr>
          <w:rFonts w:ascii="Arial" w:hAnsi="Arial" w:cs="Arial"/>
          <w:b/>
          <w:bCs/>
          <w:sz w:val="20"/>
          <w:szCs w:val="20"/>
        </w:rPr>
        <w:t xml:space="preserve">Consultation Paper </w:t>
      </w:r>
    </w:p>
    <w:p w:rsidR="00EF3AB8" w:rsidRDefault="00DF642D" w:rsidP="004200D6">
      <w:pPr>
        <w:rPr>
          <w:rFonts w:ascii="Arial" w:hAnsi="Arial" w:cs="Arial"/>
          <w:sz w:val="20"/>
          <w:szCs w:val="20"/>
        </w:rPr>
      </w:pPr>
      <w:r w:rsidRPr="00D7375C">
        <w:rPr>
          <w:rFonts w:ascii="Arial" w:hAnsi="Arial" w:cs="Arial"/>
          <w:bCs/>
          <w:sz w:val="20"/>
          <w:szCs w:val="20"/>
        </w:rPr>
        <w:t>T</w:t>
      </w:r>
      <w:r w:rsidR="00327FC0" w:rsidRPr="00D7375C">
        <w:rPr>
          <w:rFonts w:ascii="Arial" w:hAnsi="Arial" w:cs="Arial"/>
          <w:bCs/>
          <w:sz w:val="20"/>
          <w:szCs w:val="20"/>
        </w:rPr>
        <w:t xml:space="preserve">his submission </w:t>
      </w:r>
      <w:r w:rsidR="00EA3764">
        <w:rPr>
          <w:rFonts w:ascii="Arial" w:hAnsi="Arial" w:cs="Arial"/>
          <w:bCs/>
          <w:sz w:val="20"/>
          <w:szCs w:val="20"/>
        </w:rPr>
        <w:t>addresses some of the</w:t>
      </w:r>
      <w:r w:rsidR="00327FC0" w:rsidRPr="00D7375C">
        <w:rPr>
          <w:rFonts w:ascii="Arial" w:hAnsi="Arial" w:cs="Arial"/>
          <w:bCs/>
          <w:sz w:val="20"/>
          <w:szCs w:val="20"/>
        </w:rPr>
        <w:t xml:space="preserve"> specific questions</w:t>
      </w:r>
      <w:r w:rsidRPr="00D7375C">
        <w:rPr>
          <w:rFonts w:ascii="Arial" w:hAnsi="Arial" w:cs="Arial"/>
          <w:bCs/>
          <w:sz w:val="20"/>
          <w:szCs w:val="20"/>
        </w:rPr>
        <w:t xml:space="preserve"> </w:t>
      </w:r>
      <w:r w:rsidR="00EA3764">
        <w:rPr>
          <w:rFonts w:ascii="Arial" w:hAnsi="Arial" w:cs="Arial"/>
          <w:bCs/>
          <w:sz w:val="20"/>
          <w:szCs w:val="20"/>
        </w:rPr>
        <w:t>posed in the Consultation Paper and provides</w:t>
      </w:r>
      <w:r w:rsidR="00EA3764" w:rsidRPr="00D7375C">
        <w:rPr>
          <w:rFonts w:ascii="Arial" w:hAnsi="Arial" w:cs="Arial"/>
          <w:bCs/>
          <w:sz w:val="20"/>
          <w:szCs w:val="20"/>
        </w:rPr>
        <w:t xml:space="preserve"> </w:t>
      </w:r>
      <w:r w:rsidR="00C67AD4" w:rsidRPr="00D7375C">
        <w:rPr>
          <w:rFonts w:ascii="Arial" w:hAnsi="Arial" w:cs="Arial"/>
          <w:bCs/>
          <w:sz w:val="20"/>
          <w:szCs w:val="20"/>
        </w:rPr>
        <w:t xml:space="preserve">alternative options at the end of the paper under </w:t>
      </w:r>
      <w:r w:rsidR="00A47C31">
        <w:rPr>
          <w:rFonts w:ascii="Arial" w:hAnsi="Arial" w:cs="Arial"/>
          <w:bCs/>
          <w:sz w:val="20"/>
          <w:szCs w:val="20"/>
        </w:rPr>
        <w:t>‘</w:t>
      </w:r>
      <w:r w:rsidR="00EF3AB8">
        <w:rPr>
          <w:rFonts w:ascii="Arial" w:hAnsi="Arial" w:cs="Arial"/>
          <w:sz w:val="20"/>
          <w:szCs w:val="20"/>
        </w:rPr>
        <w:t>8. Other related reforms</w:t>
      </w:r>
      <w:r w:rsidR="00A47C31">
        <w:rPr>
          <w:rFonts w:ascii="Arial" w:hAnsi="Arial" w:cs="Arial"/>
          <w:sz w:val="20"/>
          <w:szCs w:val="20"/>
        </w:rPr>
        <w:t>’</w:t>
      </w:r>
      <w:r w:rsidR="00EF3AB8">
        <w:rPr>
          <w:rFonts w:ascii="Arial" w:hAnsi="Arial" w:cs="Arial"/>
          <w:sz w:val="20"/>
          <w:szCs w:val="20"/>
        </w:rPr>
        <w:t xml:space="preserve">. </w:t>
      </w:r>
    </w:p>
    <w:p w:rsidR="00327FC0" w:rsidRPr="00D7375C" w:rsidRDefault="00327FC0" w:rsidP="004200D6">
      <w:pPr>
        <w:rPr>
          <w:rFonts w:ascii="Arial" w:hAnsi="Arial" w:cs="Arial"/>
          <w:b/>
          <w:sz w:val="20"/>
          <w:szCs w:val="20"/>
        </w:rPr>
      </w:pPr>
      <w:r w:rsidRPr="00D7375C">
        <w:rPr>
          <w:rFonts w:ascii="Arial" w:hAnsi="Arial" w:cs="Arial"/>
          <w:b/>
          <w:i/>
          <w:sz w:val="20"/>
          <w:szCs w:val="20"/>
        </w:rPr>
        <w:t xml:space="preserve">5. Reform to Part 5.8A of the Corporations Act 2001 (Cth) </w:t>
      </w:r>
      <w:r w:rsidRPr="00D7375C">
        <w:rPr>
          <w:rFonts w:ascii="Arial" w:hAnsi="Arial" w:cs="Arial"/>
          <w:b/>
          <w:sz w:val="20"/>
          <w:szCs w:val="20"/>
        </w:rPr>
        <w:t>(Corporations Act)</w:t>
      </w:r>
    </w:p>
    <w:p w:rsidR="00F5645F" w:rsidRPr="00D7375C" w:rsidRDefault="00F5645F" w:rsidP="00F5645F">
      <w:pPr>
        <w:rPr>
          <w:rFonts w:ascii="Arial" w:hAnsi="Arial" w:cs="Arial"/>
          <w:sz w:val="20"/>
          <w:szCs w:val="20"/>
        </w:rPr>
      </w:pPr>
      <w:r w:rsidRPr="00D7375C">
        <w:rPr>
          <w:rFonts w:ascii="Arial" w:hAnsi="Arial" w:cs="Arial"/>
          <w:sz w:val="20"/>
          <w:szCs w:val="20"/>
        </w:rPr>
        <w:t xml:space="preserve">The MUA believes that reform to Part 5.8A of the Corporations Act is a necessary and important component of addressing sharp corporate practices and deliberate reliance on the FEG scheme by corrupt employers. Reform to this Part will only be effective if accompanied by other measures, </w:t>
      </w:r>
      <w:r w:rsidRPr="00AD15A0">
        <w:rPr>
          <w:rFonts w:ascii="Arial" w:hAnsi="Arial" w:cs="Arial"/>
          <w:sz w:val="20"/>
          <w:szCs w:val="20"/>
        </w:rPr>
        <w:t xml:space="preserve">outlined </w:t>
      </w:r>
      <w:r w:rsidR="00342297" w:rsidRPr="00AD15A0">
        <w:rPr>
          <w:rFonts w:ascii="Arial" w:hAnsi="Arial" w:cs="Arial"/>
          <w:sz w:val="20"/>
          <w:szCs w:val="20"/>
        </w:rPr>
        <w:t>under</w:t>
      </w:r>
      <w:r w:rsidR="00342297">
        <w:rPr>
          <w:rFonts w:ascii="Arial" w:hAnsi="Arial" w:cs="Arial"/>
          <w:sz w:val="20"/>
          <w:szCs w:val="20"/>
        </w:rPr>
        <w:t xml:space="preserve"> </w:t>
      </w:r>
      <w:r w:rsidR="00A47C31">
        <w:rPr>
          <w:rFonts w:ascii="Arial" w:hAnsi="Arial" w:cs="Arial"/>
          <w:sz w:val="20"/>
          <w:szCs w:val="20"/>
        </w:rPr>
        <w:t>‘</w:t>
      </w:r>
      <w:r w:rsidR="00342297">
        <w:rPr>
          <w:rFonts w:ascii="Arial" w:hAnsi="Arial" w:cs="Arial"/>
          <w:sz w:val="20"/>
          <w:szCs w:val="20"/>
        </w:rPr>
        <w:t>8. Other related reforms</w:t>
      </w:r>
      <w:r w:rsidR="00A47C31">
        <w:rPr>
          <w:rFonts w:ascii="Arial" w:hAnsi="Arial" w:cs="Arial"/>
          <w:sz w:val="20"/>
          <w:szCs w:val="20"/>
        </w:rPr>
        <w:t>’</w:t>
      </w:r>
      <w:r w:rsidRPr="00D7375C">
        <w:rPr>
          <w:rFonts w:ascii="Arial" w:hAnsi="Arial" w:cs="Arial"/>
          <w:sz w:val="20"/>
          <w:szCs w:val="20"/>
        </w:rPr>
        <w:t xml:space="preserve">. </w:t>
      </w:r>
    </w:p>
    <w:p w:rsidR="00327FC0" w:rsidRPr="00D7375C" w:rsidRDefault="00F5645F" w:rsidP="00327FC0">
      <w:pPr>
        <w:rPr>
          <w:rFonts w:ascii="Arial" w:hAnsi="Arial" w:cs="Arial"/>
          <w:sz w:val="20"/>
          <w:szCs w:val="20"/>
        </w:rPr>
      </w:pPr>
      <w:r w:rsidRPr="00D7375C">
        <w:rPr>
          <w:rFonts w:ascii="Arial" w:hAnsi="Arial" w:cs="Arial"/>
          <w:sz w:val="20"/>
          <w:szCs w:val="20"/>
        </w:rPr>
        <w:t xml:space="preserve">Proposed Options 1 and 2, </w:t>
      </w:r>
      <w:r w:rsidR="00AD15A0">
        <w:rPr>
          <w:rFonts w:ascii="Arial" w:hAnsi="Arial" w:cs="Arial"/>
          <w:sz w:val="20"/>
          <w:szCs w:val="20"/>
        </w:rPr>
        <w:t xml:space="preserve">to </w:t>
      </w:r>
      <w:r w:rsidRPr="00D7375C">
        <w:rPr>
          <w:rFonts w:ascii="Arial" w:hAnsi="Arial" w:cs="Arial"/>
          <w:sz w:val="20"/>
          <w:szCs w:val="20"/>
        </w:rPr>
        <w:t>‘extend fault element in s 596AB to include recklessness and increase the maximum penalty’ and</w:t>
      </w:r>
      <w:r w:rsidRPr="00D7375C">
        <w:rPr>
          <w:rFonts w:ascii="Arial" w:hAnsi="Arial" w:cs="Arial"/>
          <w:i/>
          <w:sz w:val="20"/>
          <w:szCs w:val="20"/>
        </w:rPr>
        <w:t xml:space="preserve"> </w:t>
      </w:r>
      <w:r w:rsidRPr="00D7375C">
        <w:rPr>
          <w:rFonts w:ascii="Arial" w:hAnsi="Arial" w:cs="Arial"/>
          <w:sz w:val="20"/>
          <w:szCs w:val="20"/>
        </w:rPr>
        <w:t xml:space="preserve">‘introduce a separate civil penalty provision with an objective test’ are not mutually exclusive and the MUA recommends implementation </w:t>
      </w:r>
      <w:r w:rsidR="000237C8" w:rsidRPr="00D7375C">
        <w:rPr>
          <w:rFonts w:ascii="Arial" w:hAnsi="Arial" w:cs="Arial"/>
          <w:sz w:val="20"/>
          <w:szCs w:val="20"/>
        </w:rPr>
        <w:t xml:space="preserve">of both. We also support the </w:t>
      </w:r>
      <w:r w:rsidR="00D5114A" w:rsidRPr="00D7375C">
        <w:rPr>
          <w:rFonts w:ascii="Arial" w:hAnsi="Arial" w:cs="Arial"/>
          <w:sz w:val="20"/>
          <w:szCs w:val="20"/>
        </w:rPr>
        <w:t xml:space="preserve">findings and </w:t>
      </w:r>
      <w:r w:rsidR="000237C8" w:rsidRPr="00D7375C">
        <w:rPr>
          <w:rFonts w:ascii="Arial" w:hAnsi="Arial" w:cs="Arial"/>
          <w:sz w:val="20"/>
          <w:szCs w:val="20"/>
        </w:rPr>
        <w:t xml:space="preserve">recommendations of </w:t>
      </w:r>
      <w:r w:rsidR="000237C8" w:rsidRPr="00B626B4">
        <w:rPr>
          <w:rFonts w:ascii="Arial" w:hAnsi="Arial" w:cs="Arial"/>
          <w:sz w:val="20"/>
          <w:szCs w:val="20"/>
        </w:rPr>
        <w:t>Anderson et al</w:t>
      </w:r>
      <w:r w:rsidR="00D5114A" w:rsidRPr="00B626B4">
        <w:rPr>
          <w:rFonts w:ascii="Arial" w:hAnsi="Arial" w:cs="Arial"/>
          <w:sz w:val="20"/>
          <w:szCs w:val="20"/>
        </w:rPr>
        <w:t xml:space="preserve"> </w:t>
      </w:r>
      <w:r w:rsidR="00D5114A" w:rsidRPr="009E417E">
        <w:rPr>
          <w:rFonts w:ascii="Arial" w:hAnsi="Arial" w:cs="Arial"/>
          <w:sz w:val="20"/>
          <w:szCs w:val="20"/>
        </w:rPr>
        <w:t>that these amendments should be made ‘in addition to the criminal offence’.</w:t>
      </w:r>
      <w:r w:rsidR="00AD15A0" w:rsidRPr="00B626B4">
        <w:rPr>
          <w:rStyle w:val="FootnoteReference"/>
          <w:rFonts w:ascii="Arial" w:hAnsi="Arial" w:cs="Arial"/>
          <w:sz w:val="20"/>
          <w:szCs w:val="20"/>
        </w:rPr>
        <w:footnoteReference w:id="3"/>
      </w:r>
      <w:r w:rsidR="00D5114A" w:rsidRPr="009E417E">
        <w:rPr>
          <w:rFonts w:ascii="Arial" w:hAnsi="Arial" w:cs="Arial"/>
          <w:sz w:val="20"/>
          <w:szCs w:val="20"/>
        </w:rPr>
        <w:t xml:space="preserve"> </w:t>
      </w:r>
    </w:p>
    <w:p w:rsidR="00E83AC4" w:rsidRPr="00D7375C" w:rsidRDefault="000237C8" w:rsidP="00E83AC4">
      <w:pPr>
        <w:rPr>
          <w:rFonts w:ascii="Arial" w:hAnsi="Arial" w:cs="Arial"/>
          <w:sz w:val="20"/>
          <w:szCs w:val="20"/>
        </w:rPr>
      </w:pPr>
      <w:r w:rsidRPr="00D7375C">
        <w:rPr>
          <w:rFonts w:ascii="Arial" w:hAnsi="Arial" w:cs="Arial"/>
          <w:sz w:val="20"/>
          <w:szCs w:val="20"/>
        </w:rPr>
        <w:t xml:space="preserve">The MUA </w:t>
      </w:r>
      <w:r w:rsidR="00D5114A" w:rsidRPr="00D7375C">
        <w:rPr>
          <w:rFonts w:ascii="Arial" w:hAnsi="Arial" w:cs="Arial"/>
          <w:sz w:val="20"/>
          <w:szCs w:val="20"/>
        </w:rPr>
        <w:t>believes</w:t>
      </w:r>
      <w:r w:rsidR="009B24B0" w:rsidRPr="00D7375C">
        <w:rPr>
          <w:rFonts w:ascii="Arial" w:hAnsi="Arial" w:cs="Arial"/>
          <w:sz w:val="20"/>
          <w:szCs w:val="20"/>
        </w:rPr>
        <w:t xml:space="preserve"> that </w:t>
      </w:r>
      <w:r w:rsidRPr="00D7375C">
        <w:rPr>
          <w:rFonts w:ascii="Arial" w:hAnsi="Arial" w:cs="Arial"/>
          <w:sz w:val="20"/>
          <w:szCs w:val="20"/>
        </w:rPr>
        <w:t xml:space="preserve">expanding the </w:t>
      </w:r>
      <w:r w:rsidR="009B24B0" w:rsidRPr="00D7375C">
        <w:rPr>
          <w:rFonts w:ascii="Arial" w:hAnsi="Arial" w:cs="Arial"/>
          <w:sz w:val="20"/>
          <w:szCs w:val="20"/>
        </w:rPr>
        <w:t xml:space="preserve">fault element to </w:t>
      </w:r>
      <w:r w:rsidR="00A47C31">
        <w:rPr>
          <w:rFonts w:ascii="Arial" w:hAnsi="Arial" w:cs="Arial"/>
          <w:sz w:val="20"/>
          <w:szCs w:val="20"/>
        </w:rPr>
        <w:t>‘</w:t>
      </w:r>
      <w:r w:rsidR="009B24B0" w:rsidRPr="00D7375C">
        <w:rPr>
          <w:rFonts w:ascii="Arial" w:hAnsi="Arial" w:cs="Arial"/>
          <w:sz w:val="20"/>
          <w:szCs w:val="20"/>
        </w:rPr>
        <w:t>recklessnes</w:t>
      </w:r>
      <w:r w:rsidR="00D5114A" w:rsidRPr="00D7375C">
        <w:rPr>
          <w:rFonts w:ascii="Arial" w:hAnsi="Arial" w:cs="Arial"/>
          <w:sz w:val="20"/>
          <w:szCs w:val="20"/>
        </w:rPr>
        <w:t>s</w:t>
      </w:r>
      <w:r w:rsidR="00A47C31">
        <w:rPr>
          <w:rFonts w:ascii="Arial" w:hAnsi="Arial" w:cs="Arial"/>
          <w:sz w:val="20"/>
          <w:szCs w:val="20"/>
        </w:rPr>
        <w:t>’</w:t>
      </w:r>
      <w:r w:rsidR="00D5114A" w:rsidRPr="00D7375C">
        <w:rPr>
          <w:rFonts w:ascii="Arial" w:hAnsi="Arial" w:cs="Arial"/>
          <w:sz w:val="20"/>
          <w:szCs w:val="20"/>
        </w:rPr>
        <w:t xml:space="preserve"> will help secure convictions by addressing the current difficulties in proving intent under s 596AB and enable Courts to enforce the object of s 596AB, being ‘to deter the misuse of company structures and of other schemes to avoid the payment of amounts to employees that they are entitled to prove for on liquidation of their employer’</w:t>
      </w:r>
      <w:r w:rsidR="00D5114A" w:rsidRPr="00D7375C">
        <w:rPr>
          <w:rStyle w:val="FootnoteReference"/>
          <w:rFonts w:ascii="Arial" w:hAnsi="Arial" w:cs="Arial"/>
          <w:sz w:val="20"/>
          <w:szCs w:val="20"/>
        </w:rPr>
        <w:footnoteReference w:id="4"/>
      </w:r>
      <w:r w:rsidR="00D5114A" w:rsidRPr="00D7375C">
        <w:rPr>
          <w:rFonts w:ascii="Arial" w:hAnsi="Arial" w:cs="Arial"/>
          <w:sz w:val="20"/>
          <w:szCs w:val="20"/>
        </w:rPr>
        <w:t>.</w:t>
      </w:r>
      <w:r w:rsidR="00E83AC4" w:rsidRPr="00D7375C">
        <w:rPr>
          <w:rFonts w:ascii="Arial" w:hAnsi="Arial" w:cs="Arial"/>
          <w:sz w:val="20"/>
          <w:szCs w:val="20"/>
        </w:rPr>
        <w:t xml:space="preserve"> </w:t>
      </w:r>
    </w:p>
    <w:p w:rsidR="00DF642D" w:rsidRPr="00D7375C" w:rsidRDefault="00E83AC4" w:rsidP="00DF642D">
      <w:pPr>
        <w:rPr>
          <w:rFonts w:ascii="Arial" w:hAnsi="Arial" w:cs="Arial"/>
          <w:sz w:val="20"/>
          <w:szCs w:val="20"/>
        </w:rPr>
      </w:pPr>
      <w:r w:rsidRPr="00D7375C">
        <w:rPr>
          <w:rFonts w:ascii="Arial" w:hAnsi="Arial" w:cs="Arial"/>
          <w:sz w:val="20"/>
          <w:szCs w:val="20"/>
        </w:rPr>
        <w:t xml:space="preserve">In </w:t>
      </w:r>
      <w:r w:rsidR="003B5640">
        <w:rPr>
          <w:rFonts w:ascii="Arial" w:hAnsi="Arial" w:cs="Arial"/>
          <w:sz w:val="20"/>
          <w:szCs w:val="20"/>
        </w:rPr>
        <w:t>our</w:t>
      </w:r>
      <w:r w:rsidRPr="00D7375C">
        <w:rPr>
          <w:rFonts w:ascii="Arial" w:hAnsi="Arial" w:cs="Arial"/>
          <w:sz w:val="20"/>
          <w:szCs w:val="20"/>
        </w:rPr>
        <w:t xml:space="preserve"> case study, the </w:t>
      </w:r>
      <w:r w:rsidR="003B5640">
        <w:rPr>
          <w:rFonts w:ascii="Arial" w:hAnsi="Arial" w:cs="Arial"/>
          <w:sz w:val="20"/>
          <w:szCs w:val="20"/>
        </w:rPr>
        <w:t>company d</w:t>
      </w:r>
      <w:r w:rsidR="003B5640" w:rsidRPr="00D7375C">
        <w:rPr>
          <w:rFonts w:ascii="Arial" w:hAnsi="Arial" w:cs="Arial"/>
          <w:sz w:val="20"/>
          <w:szCs w:val="20"/>
        </w:rPr>
        <w:t xml:space="preserve">irector </w:t>
      </w:r>
      <w:r w:rsidRPr="00D7375C">
        <w:rPr>
          <w:rFonts w:ascii="Arial" w:hAnsi="Arial" w:cs="Arial"/>
          <w:sz w:val="20"/>
          <w:szCs w:val="20"/>
        </w:rPr>
        <w:t xml:space="preserve">has been able to conduct his businesses in a way that allows him to avoid the payment of </w:t>
      </w:r>
      <w:r w:rsidR="00342297">
        <w:rPr>
          <w:rFonts w:ascii="Arial" w:hAnsi="Arial" w:cs="Arial"/>
          <w:sz w:val="20"/>
          <w:szCs w:val="20"/>
        </w:rPr>
        <w:t>EE</w:t>
      </w:r>
      <w:r w:rsidRPr="00D7375C">
        <w:rPr>
          <w:rFonts w:ascii="Arial" w:hAnsi="Arial" w:cs="Arial"/>
          <w:sz w:val="20"/>
          <w:szCs w:val="20"/>
        </w:rPr>
        <w:t xml:space="preserve">. The MUA believes </w:t>
      </w:r>
      <w:r w:rsidR="00342297">
        <w:rPr>
          <w:rFonts w:ascii="Arial" w:hAnsi="Arial" w:cs="Arial"/>
          <w:sz w:val="20"/>
          <w:szCs w:val="20"/>
        </w:rPr>
        <w:t xml:space="preserve">the evidence </w:t>
      </w:r>
      <w:r w:rsidR="00AD15A0">
        <w:rPr>
          <w:rFonts w:ascii="Arial" w:hAnsi="Arial" w:cs="Arial"/>
          <w:sz w:val="20"/>
          <w:szCs w:val="20"/>
        </w:rPr>
        <w:t>suggests</w:t>
      </w:r>
      <w:r w:rsidR="00AD15A0" w:rsidRPr="00D7375C">
        <w:rPr>
          <w:rFonts w:ascii="Arial" w:hAnsi="Arial" w:cs="Arial"/>
          <w:sz w:val="20"/>
          <w:szCs w:val="20"/>
        </w:rPr>
        <w:t xml:space="preserve"> </w:t>
      </w:r>
      <w:r w:rsidRPr="00D7375C">
        <w:rPr>
          <w:rFonts w:ascii="Arial" w:hAnsi="Arial" w:cs="Arial"/>
          <w:sz w:val="20"/>
          <w:szCs w:val="20"/>
        </w:rPr>
        <w:t xml:space="preserve">deliberate reckless behaviour. </w:t>
      </w:r>
      <w:r w:rsidR="00342297">
        <w:rPr>
          <w:rFonts w:ascii="Arial" w:hAnsi="Arial" w:cs="Arial"/>
          <w:sz w:val="20"/>
          <w:szCs w:val="20"/>
        </w:rPr>
        <w:t xml:space="preserve">It is imperative the Act be strengthened in the above terms to secure prosecutions and deter future phoenix activity and other associated adverse corporate activity. </w:t>
      </w:r>
    </w:p>
    <w:p w:rsidR="006A057D" w:rsidRPr="00D7375C" w:rsidRDefault="00CC65D5" w:rsidP="006A057D">
      <w:pPr>
        <w:rPr>
          <w:rFonts w:ascii="Arial" w:hAnsi="Arial" w:cs="Arial"/>
          <w:b/>
          <w:i/>
          <w:sz w:val="20"/>
          <w:szCs w:val="20"/>
        </w:rPr>
      </w:pPr>
      <w:r w:rsidRPr="00D7375C">
        <w:rPr>
          <w:rFonts w:ascii="Arial" w:hAnsi="Arial" w:cs="Arial"/>
          <w:b/>
          <w:i/>
          <w:sz w:val="20"/>
          <w:szCs w:val="20"/>
        </w:rPr>
        <w:t>6. Preventing abuse of corporate group structures to avoid paying employee entitlements</w:t>
      </w:r>
    </w:p>
    <w:p w:rsidR="00DF5206" w:rsidRPr="00D7375C" w:rsidRDefault="00AD15A0" w:rsidP="00DF5206">
      <w:pPr>
        <w:rPr>
          <w:rFonts w:ascii="Arial" w:hAnsi="Arial" w:cs="Arial"/>
          <w:sz w:val="20"/>
          <w:szCs w:val="20"/>
        </w:rPr>
      </w:pPr>
      <w:r>
        <w:rPr>
          <w:rFonts w:ascii="Arial" w:hAnsi="Arial" w:cs="Arial"/>
          <w:sz w:val="20"/>
          <w:szCs w:val="20"/>
        </w:rPr>
        <w:t>W</w:t>
      </w:r>
      <w:r w:rsidR="000563C3" w:rsidRPr="00D7375C">
        <w:rPr>
          <w:rFonts w:ascii="Arial" w:hAnsi="Arial" w:cs="Arial"/>
          <w:sz w:val="20"/>
          <w:szCs w:val="20"/>
        </w:rPr>
        <w:t xml:space="preserve">e </w:t>
      </w:r>
      <w:r w:rsidR="00A035BE">
        <w:rPr>
          <w:rFonts w:ascii="Arial" w:hAnsi="Arial" w:cs="Arial"/>
          <w:sz w:val="20"/>
          <w:szCs w:val="20"/>
        </w:rPr>
        <w:t>support</w:t>
      </w:r>
      <w:r w:rsidR="000563C3" w:rsidRPr="00D7375C">
        <w:rPr>
          <w:rFonts w:ascii="Arial" w:hAnsi="Arial" w:cs="Arial"/>
          <w:sz w:val="20"/>
          <w:szCs w:val="20"/>
        </w:rPr>
        <w:t xml:space="preserve"> proposed Option 5 ‘corporate groups to provide a contribution equivalent to any unpaid </w:t>
      </w:r>
      <w:r w:rsidR="00342297">
        <w:rPr>
          <w:rFonts w:ascii="Arial" w:hAnsi="Arial" w:cs="Arial"/>
          <w:sz w:val="20"/>
          <w:szCs w:val="20"/>
        </w:rPr>
        <w:t>EE</w:t>
      </w:r>
      <w:r w:rsidR="000563C3" w:rsidRPr="00D7375C">
        <w:rPr>
          <w:rFonts w:ascii="Arial" w:hAnsi="Arial" w:cs="Arial"/>
          <w:sz w:val="20"/>
          <w:szCs w:val="20"/>
        </w:rPr>
        <w:t xml:space="preserve"> in some limited circumstances’</w:t>
      </w:r>
      <w:r w:rsidR="00DF5206" w:rsidRPr="00D7375C">
        <w:rPr>
          <w:rFonts w:ascii="Arial" w:hAnsi="Arial" w:cs="Arial"/>
          <w:sz w:val="20"/>
          <w:szCs w:val="20"/>
        </w:rPr>
        <w:t xml:space="preserve"> on the basis that a system exists whereby large corporate groups can arrange their affairs in a way that allows them to avoid liability when employing entities become insolvent</w:t>
      </w:r>
      <w:r>
        <w:rPr>
          <w:rFonts w:ascii="Arial" w:hAnsi="Arial" w:cs="Arial"/>
          <w:sz w:val="20"/>
          <w:szCs w:val="20"/>
        </w:rPr>
        <w:t>, even when</w:t>
      </w:r>
      <w:r w:rsidR="00DF5206" w:rsidRPr="00D7375C">
        <w:rPr>
          <w:rFonts w:ascii="Arial" w:hAnsi="Arial" w:cs="Arial"/>
          <w:sz w:val="20"/>
          <w:szCs w:val="20"/>
        </w:rPr>
        <w:t xml:space="preserve"> any other of the group’s solvent companies a</w:t>
      </w:r>
      <w:r w:rsidR="00342297">
        <w:rPr>
          <w:rFonts w:ascii="Arial" w:hAnsi="Arial" w:cs="Arial"/>
          <w:sz w:val="20"/>
          <w:szCs w:val="20"/>
        </w:rPr>
        <w:t>re able to pay out EE</w:t>
      </w:r>
      <w:r w:rsidR="00DF5206" w:rsidRPr="00D7375C">
        <w:rPr>
          <w:rFonts w:ascii="Arial" w:hAnsi="Arial" w:cs="Arial"/>
          <w:sz w:val="20"/>
          <w:szCs w:val="20"/>
        </w:rPr>
        <w:t xml:space="preserve">. </w:t>
      </w:r>
    </w:p>
    <w:p w:rsidR="006A057D" w:rsidRPr="00D7375C" w:rsidRDefault="00AD15A0" w:rsidP="002839C5">
      <w:pPr>
        <w:rPr>
          <w:rFonts w:ascii="Arial" w:hAnsi="Arial" w:cs="Arial"/>
          <w:sz w:val="20"/>
          <w:szCs w:val="20"/>
        </w:rPr>
      </w:pPr>
      <w:r>
        <w:rPr>
          <w:rFonts w:ascii="Arial" w:hAnsi="Arial" w:cs="Arial"/>
          <w:sz w:val="20"/>
          <w:szCs w:val="20"/>
        </w:rPr>
        <w:t>I</w:t>
      </w:r>
      <w:r w:rsidR="00DF5206" w:rsidRPr="00D7375C">
        <w:rPr>
          <w:rFonts w:ascii="Arial" w:hAnsi="Arial" w:cs="Arial"/>
          <w:sz w:val="20"/>
          <w:szCs w:val="20"/>
        </w:rPr>
        <w:t>n such situations, liability should be allocated to those most capable of bearing it</w:t>
      </w:r>
      <w:r>
        <w:rPr>
          <w:rFonts w:ascii="Arial" w:hAnsi="Arial" w:cs="Arial"/>
          <w:sz w:val="20"/>
          <w:szCs w:val="20"/>
        </w:rPr>
        <w:t>,</w:t>
      </w:r>
      <w:r w:rsidR="002839C5" w:rsidRPr="00D7375C">
        <w:rPr>
          <w:rFonts w:ascii="Arial" w:hAnsi="Arial" w:cs="Arial"/>
          <w:sz w:val="20"/>
          <w:szCs w:val="20"/>
        </w:rPr>
        <w:t xml:space="preserve"> </w:t>
      </w:r>
      <w:r>
        <w:rPr>
          <w:rFonts w:ascii="Arial" w:hAnsi="Arial" w:cs="Arial"/>
          <w:sz w:val="20"/>
          <w:szCs w:val="20"/>
        </w:rPr>
        <w:t>that is,</w:t>
      </w:r>
      <w:r w:rsidR="002839C5" w:rsidRPr="00D7375C">
        <w:rPr>
          <w:rFonts w:ascii="Arial" w:hAnsi="Arial" w:cs="Arial"/>
          <w:sz w:val="20"/>
          <w:szCs w:val="20"/>
        </w:rPr>
        <w:t xml:space="preserve"> the parent entity providing the line</w:t>
      </w:r>
      <w:r w:rsidR="006A057D" w:rsidRPr="00D7375C">
        <w:rPr>
          <w:rFonts w:ascii="Arial" w:hAnsi="Arial" w:cs="Arial"/>
          <w:sz w:val="20"/>
          <w:szCs w:val="20"/>
        </w:rPr>
        <w:t>(s) of credit</w:t>
      </w:r>
      <w:r>
        <w:rPr>
          <w:rFonts w:ascii="Arial" w:hAnsi="Arial" w:cs="Arial"/>
          <w:sz w:val="20"/>
          <w:szCs w:val="20"/>
        </w:rPr>
        <w:t>. L</w:t>
      </w:r>
      <w:r w:rsidR="006A057D" w:rsidRPr="00D7375C">
        <w:rPr>
          <w:rFonts w:ascii="Arial" w:hAnsi="Arial" w:cs="Arial"/>
          <w:sz w:val="20"/>
          <w:szCs w:val="20"/>
        </w:rPr>
        <w:t xml:space="preserve">imits to transferring liability should be reduced wherever possible. </w:t>
      </w:r>
      <w:r w:rsidR="00CE0F40" w:rsidRPr="00D7375C">
        <w:rPr>
          <w:rFonts w:ascii="Arial" w:hAnsi="Arial" w:cs="Arial"/>
          <w:sz w:val="20"/>
          <w:szCs w:val="20"/>
        </w:rPr>
        <w:t xml:space="preserve">If the funds exist elsewhere in the corporate group and can pay </w:t>
      </w:r>
      <w:r>
        <w:rPr>
          <w:rFonts w:ascii="Arial" w:hAnsi="Arial" w:cs="Arial"/>
          <w:sz w:val="20"/>
          <w:szCs w:val="20"/>
        </w:rPr>
        <w:t>the</w:t>
      </w:r>
      <w:r w:rsidRPr="00D7375C">
        <w:rPr>
          <w:rFonts w:ascii="Arial" w:hAnsi="Arial" w:cs="Arial"/>
          <w:sz w:val="20"/>
          <w:szCs w:val="20"/>
        </w:rPr>
        <w:t xml:space="preserve"> </w:t>
      </w:r>
      <w:r w:rsidR="00342297">
        <w:rPr>
          <w:rFonts w:ascii="Arial" w:hAnsi="Arial" w:cs="Arial"/>
          <w:sz w:val="20"/>
          <w:szCs w:val="20"/>
        </w:rPr>
        <w:t>EE</w:t>
      </w:r>
      <w:r w:rsidR="00CE0F40" w:rsidRPr="00D7375C">
        <w:rPr>
          <w:rFonts w:ascii="Arial" w:hAnsi="Arial" w:cs="Arial"/>
          <w:sz w:val="20"/>
          <w:szCs w:val="20"/>
        </w:rPr>
        <w:t xml:space="preserve"> without jeopardising the operation of the other company, or the employment and payment of other group </w:t>
      </w:r>
      <w:r w:rsidR="00123EA6">
        <w:rPr>
          <w:rFonts w:ascii="Arial" w:hAnsi="Arial" w:cs="Arial"/>
          <w:sz w:val="20"/>
          <w:szCs w:val="20"/>
        </w:rPr>
        <w:t>employees, then it is ‘just and equitable’</w:t>
      </w:r>
      <w:r w:rsidR="00123EA6">
        <w:rPr>
          <w:rStyle w:val="FootnoteReference"/>
          <w:rFonts w:ascii="Arial" w:hAnsi="Arial" w:cs="Arial"/>
          <w:sz w:val="20"/>
          <w:szCs w:val="20"/>
        </w:rPr>
        <w:footnoteReference w:id="5"/>
      </w:r>
      <w:r w:rsidR="00CE0F40" w:rsidRPr="00D7375C">
        <w:rPr>
          <w:rFonts w:ascii="Arial" w:hAnsi="Arial" w:cs="Arial"/>
          <w:sz w:val="20"/>
          <w:szCs w:val="20"/>
        </w:rPr>
        <w:t xml:space="preserve"> to order a contribution.  </w:t>
      </w:r>
    </w:p>
    <w:p w:rsidR="00DF642D" w:rsidRPr="00D7375C" w:rsidRDefault="00633DEC" w:rsidP="00DF642D">
      <w:pPr>
        <w:rPr>
          <w:rFonts w:ascii="Arial" w:hAnsi="Arial" w:cs="Arial"/>
          <w:sz w:val="20"/>
          <w:szCs w:val="20"/>
        </w:rPr>
      </w:pPr>
      <w:r>
        <w:rPr>
          <w:rFonts w:ascii="Arial" w:hAnsi="Arial" w:cs="Arial"/>
          <w:sz w:val="20"/>
          <w:szCs w:val="20"/>
        </w:rPr>
        <w:lastRenderedPageBreak/>
        <w:t>The MUA</w:t>
      </w:r>
      <w:r w:rsidR="002839C5" w:rsidRPr="00D7375C">
        <w:rPr>
          <w:rFonts w:ascii="Arial" w:hAnsi="Arial" w:cs="Arial"/>
          <w:sz w:val="20"/>
          <w:szCs w:val="20"/>
        </w:rPr>
        <w:t xml:space="preserve"> reject</w:t>
      </w:r>
      <w:r>
        <w:rPr>
          <w:rFonts w:ascii="Arial" w:hAnsi="Arial" w:cs="Arial"/>
          <w:sz w:val="20"/>
          <w:szCs w:val="20"/>
        </w:rPr>
        <w:t>s</w:t>
      </w:r>
      <w:r w:rsidR="002839C5" w:rsidRPr="00D7375C">
        <w:rPr>
          <w:rFonts w:ascii="Arial" w:hAnsi="Arial" w:cs="Arial"/>
          <w:sz w:val="20"/>
          <w:szCs w:val="20"/>
        </w:rPr>
        <w:t xml:space="preserve"> the Government’s assertions that Unions rely on the FEG scheme </w:t>
      </w:r>
      <w:r w:rsidR="006A057D" w:rsidRPr="00D7375C">
        <w:rPr>
          <w:rFonts w:ascii="Arial" w:hAnsi="Arial" w:cs="Arial"/>
          <w:sz w:val="20"/>
          <w:szCs w:val="20"/>
        </w:rPr>
        <w:t>in order to</w:t>
      </w:r>
      <w:r w:rsidR="002839C5" w:rsidRPr="00D7375C">
        <w:rPr>
          <w:rFonts w:ascii="Arial" w:hAnsi="Arial" w:cs="Arial"/>
          <w:sz w:val="20"/>
          <w:szCs w:val="20"/>
        </w:rPr>
        <w:t xml:space="preserve"> negotiate preferable redundancy clauses in </w:t>
      </w:r>
      <w:r w:rsidR="00AD15A0">
        <w:rPr>
          <w:rFonts w:ascii="Arial" w:hAnsi="Arial" w:cs="Arial"/>
          <w:sz w:val="20"/>
          <w:szCs w:val="20"/>
        </w:rPr>
        <w:t>e</w:t>
      </w:r>
      <w:r w:rsidR="00AD15A0" w:rsidRPr="00D7375C">
        <w:rPr>
          <w:rFonts w:ascii="Arial" w:hAnsi="Arial" w:cs="Arial"/>
          <w:sz w:val="20"/>
          <w:szCs w:val="20"/>
        </w:rPr>
        <w:t xml:space="preserve">nterprise </w:t>
      </w:r>
      <w:r w:rsidR="00AD15A0">
        <w:rPr>
          <w:rFonts w:ascii="Arial" w:hAnsi="Arial" w:cs="Arial"/>
          <w:sz w:val="20"/>
          <w:szCs w:val="20"/>
        </w:rPr>
        <w:t>a</w:t>
      </w:r>
      <w:r w:rsidR="00AD15A0" w:rsidRPr="00D7375C">
        <w:rPr>
          <w:rFonts w:ascii="Arial" w:hAnsi="Arial" w:cs="Arial"/>
          <w:sz w:val="20"/>
          <w:szCs w:val="20"/>
        </w:rPr>
        <w:t>greements</w:t>
      </w:r>
      <w:r w:rsidR="00AD15A0">
        <w:rPr>
          <w:rFonts w:ascii="Arial" w:hAnsi="Arial" w:cs="Arial"/>
          <w:sz w:val="20"/>
          <w:szCs w:val="20"/>
        </w:rPr>
        <w:t>.</w:t>
      </w:r>
      <w:r w:rsidR="002839C5" w:rsidRPr="00D7375C">
        <w:rPr>
          <w:rStyle w:val="FootnoteReference"/>
          <w:rFonts w:ascii="Arial" w:hAnsi="Arial" w:cs="Arial"/>
          <w:sz w:val="20"/>
          <w:szCs w:val="20"/>
        </w:rPr>
        <w:footnoteReference w:id="6"/>
      </w:r>
      <w:r w:rsidR="006A057D" w:rsidRPr="00D7375C">
        <w:rPr>
          <w:rFonts w:ascii="Arial" w:hAnsi="Arial" w:cs="Arial"/>
          <w:sz w:val="20"/>
          <w:szCs w:val="20"/>
        </w:rPr>
        <w:t xml:space="preserve"> </w:t>
      </w:r>
      <w:r w:rsidR="00AD15A0">
        <w:rPr>
          <w:rFonts w:ascii="Arial" w:hAnsi="Arial" w:cs="Arial"/>
          <w:sz w:val="20"/>
          <w:szCs w:val="20"/>
        </w:rPr>
        <w:t xml:space="preserve">We have not seen any evidence to support this assertion and note that enterprise agreements are made </w:t>
      </w:r>
      <w:r w:rsidR="00AD15A0" w:rsidRPr="00A9442C">
        <w:rPr>
          <w:rFonts w:ascii="Arial" w:hAnsi="Arial" w:cs="Arial"/>
          <w:sz w:val="20"/>
          <w:szCs w:val="20"/>
          <w:u w:val="single"/>
        </w:rPr>
        <w:t>by agreement</w:t>
      </w:r>
      <w:r w:rsidR="00AD15A0">
        <w:rPr>
          <w:rFonts w:ascii="Arial" w:hAnsi="Arial" w:cs="Arial"/>
          <w:sz w:val="20"/>
          <w:szCs w:val="20"/>
        </w:rPr>
        <w:t xml:space="preserve">. Responsible employers should ensure that they have sufficient funds to meet any EE that they </w:t>
      </w:r>
      <w:r w:rsidR="00AD15A0" w:rsidRPr="00A9442C">
        <w:rPr>
          <w:rFonts w:ascii="Arial" w:hAnsi="Arial" w:cs="Arial"/>
          <w:sz w:val="20"/>
          <w:szCs w:val="20"/>
          <w:u w:val="single"/>
        </w:rPr>
        <w:t>agree</w:t>
      </w:r>
      <w:r w:rsidR="00AD15A0">
        <w:rPr>
          <w:rFonts w:ascii="Arial" w:hAnsi="Arial" w:cs="Arial"/>
          <w:sz w:val="20"/>
          <w:szCs w:val="20"/>
        </w:rPr>
        <w:t xml:space="preserve"> to include in an enterprise agreement. </w:t>
      </w:r>
      <w:r>
        <w:rPr>
          <w:rFonts w:ascii="Arial" w:hAnsi="Arial" w:cs="Arial"/>
          <w:sz w:val="20"/>
          <w:szCs w:val="20"/>
        </w:rPr>
        <w:t>Attention is drawn</w:t>
      </w:r>
      <w:r w:rsidR="002839C5" w:rsidRPr="00D7375C">
        <w:rPr>
          <w:rFonts w:ascii="Arial" w:hAnsi="Arial" w:cs="Arial"/>
          <w:sz w:val="20"/>
          <w:szCs w:val="20"/>
        </w:rPr>
        <w:t xml:space="preserve"> to the examples provided under Section 6 of </w:t>
      </w:r>
      <w:r>
        <w:rPr>
          <w:rFonts w:ascii="Arial" w:hAnsi="Arial" w:cs="Arial"/>
          <w:sz w:val="20"/>
          <w:szCs w:val="20"/>
        </w:rPr>
        <w:t>the Government’s own</w:t>
      </w:r>
      <w:r w:rsidR="002839C5" w:rsidRPr="00D7375C">
        <w:rPr>
          <w:rFonts w:ascii="Arial" w:hAnsi="Arial" w:cs="Arial"/>
          <w:sz w:val="20"/>
          <w:szCs w:val="20"/>
        </w:rPr>
        <w:t xml:space="preserve"> consultation paper</w:t>
      </w:r>
      <w:r w:rsidR="006A057D" w:rsidRPr="00D7375C">
        <w:rPr>
          <w:rFonts w:ascii="Arial" w:hAnsi="Arial" w:cs="Arial"/>
          <w:sz w:val="20"/>
          <w:szCs w:val="20"/>
        </w:rPr>
        <w:t xml:space="preserve"> and counter that t</w:t>
      </w:r>
      <w:r w:rsidR="002839C5" w:rsidRPr="00D7375C">
        <w:rPr>
          <w:rFonts w:ascii="Arial" w:hAnsi="Arial" w:cs="Arial"/>
          <w:sz w:val="20"/>
          <w:szCs w:val="20"/>
        </w:rPr>
        <w:t xml:space="preserve">he </w:t>
      </w:r>
      <w:r>
        <w:rPr>
          <w:rFonts w:ascii="Arial" w:hAnsi="Arial" w:cs="Arial"/>
          <w:sz w:val="20"/>
          <w:szCs w:val="20"/>
        </w:rPr>
        <w:t xml:space="preserve">moral </w:t>
      </w:r>
      <w:r w:rsidR="002839C5" w:rsidRPr="00D7375C">
        <w:rPr>
          <w:rFonts w:ascii="Arial" w:hAnsi="Arial" w:cs="Arial"/>
          <w:sz w:val="20"/>
          <w:szCs w:val="20"/>
        </w:rPr>
        <w:t xml:space="preserve">hazard instead lies in </w:t>
      </w:r>
      <w:r w:rsidR="00A60434">
        <w:rPr>
          <w:rFonts w:ascii="Arial" w:hAnsi="Arial" w:cs="Arial"/>
          <w:sz w:val="20"/>
          <w:szCs w:val="20"/>
        </w:rPr>
        <w:t xml:space="preserve">the ability for, and choice by, Directors and corporate Officers to circumvent their EE obligations with minimal threat of prosecution or deterring penalty. </w:t>
      </w:r>
    </w:p>
    <w:p w:rsidR="006A057D" w:rsidRPr="00D7375C" w:rsidRDefault="006A057D" w:rsidP="00DF642D">
      <w:pPr>
        <w:rPr>
          <w:rFonts w:ascii="Arial" w:hAnsi="Arial" w:cs="Arial"/>
          <w:sz w:val="20"/>
          <w:szCs w:val="20"/>
        </w:rPr>
      </w:pPr>
      <w:r w:rsidRPr="00D7375C">
        <w:rPr>
          <w:rFonts w:ascii="Arial" w:hAnsi="Arial" w:cs="Arial"/>
          <w:b/>
          <w:i/>
          <w:sz w:val="20"/>
          <w:szCs w:val="20"/>
        </w:rPr>
        <w:t>7. Sanctioning Directors and Officers with a track record of involvement in insolvencies where FEG is relied upon</w:t>
      </w:r>
    </w:p>
    <w:p w:rsidR="006A057D" w:rsidRPr="00D7375C" w:rsidRDefault="00EC2B28" w:rsidP="00C67AD4">
      <w:pPr>
        <w:rPr>
          <w:rFonts w:ascii="Arial" w:hAnsi="Arial" w:cs="Arial"/>
          <w:sz w:val="20"/>
          <w:szCs w:val="20"/>
        </w:rPr>
      </w:pPr>
      <w:r w:rsidRPr="00D7375C">
        <w:rPr>
          <w:rFonts w:ascii="Arial" w:hAnsi="Arial" w:cs="Arial"/>
          <w:sz w:val="20"/>
          <w:szCs w:val="20"/>
        </w:rPr>
        <w:t xml:space="preserve">The MUA supports sanctions for repeat offender Directors and Officers however </w:t>
      </w:r>
      <w:r w:rsidR="00773DA5" w:rsidRPr="00D7375C">
        <w:rPr>
          <w:rFonts w:ascii="Arial" w:hAnsi="Arial" w:cs="Arial"/>
          <w:sz w:val="20"/>
          <w:szCs w:val="20"/>
        </w:rPr>
        <w:t>these</w:t>
      </w:r>
      <w:r w:rsidRPr="00D7375C">
        <w:rPr>
          <w:rFonts w:ascii="Arial" w:hAnsi="Arial" w:cs="Arial"/>
          <w:sz w:val="20"/>
          <w:szCs w:val="20"/>
        </w:rPr>
        <w:t xml:space="preserve"> should not be limited to a FEG specific sanction as proposed under Option 6. </w:t>
      </w:r>
    </w:p>
    <w:p w:rsidR="0020654B" w:rsidRPr="00D7375C" w:rsidRDefault="00EC2B28" w:rsidP="0020654B">
      <w:pPr>
        <w:spacing w:after="0"/>
        <w:rPr>
          <w:rFonts w:ascii="Arial" w:hAnsi="Arial" w:cs="Arial"/>
          <w:sz w:val="20"/>
          <w:szCs w:val="20"/>
        </w:rPr>
      </w:pPr>
      <w:r w:rsidRPr="00D7375C">
        <w:rPr>
          <w:rFonts w:ascii="Arial" w:hAnsi="Arial" w:cs="Arial"/>
          <w:sz w:val="20"/>
          <w:szCs w:val="20"/>
        </w:rPr>
        <w:t>In accordance with the research and recommendations of Anderson et al</w:t>
      </w:r>
      <w:r w:rsidR="00AD15A0">
        <w:rPr>
          <w:rFonts w:ascii="Arial" w:hAnsi="Arial" w:cs="Arial"/>
          <w:sz w:val="20"/>
          <w:szCs w:val="20"/>
        </w:rPr>
        <w:t>,</w:t>
      </w:r>
      <w:r w:rsidRPr="00D7375C">
        <w:rPr>
          <w:rStyle w:val="FootnoteReference"/>
          <w:rFonts w:ascii="Arial" w:hAnsi="Arial" w:cs="Arial"/>
          <w:sz w:val="20"/>
          <w:szCs w:val="20"/>
        </w:rPr>
        <w:footnoteReference w:id="7"/>
      </w:r>
      <w:r w:rsidR="0020654B" w:rsidRPr="00D7375C">
        <w:rPr>
          <w:rFonts w:ascii="Arial" w:hAnsi="Arial" w:cs="Arial"/>
          <w:sz w:val="20"/>
          <w:szCs w:val="20"/>
        </w:rPr>
        <w:t xml:space="preserve"> amendments to ss 206D and F should be made to:</w:t>
      </w:r>
    </w:p>
    <w:p w:rsidR="0020654B" w:rsidRPr="00D7375C" w:rsidRDefault="00166CE9" w:rsidP="0020654B">
      <w:pPr>
        <w:pStyle w:val="ListParagraph"/>
        <w:numPr>
          <w:ilvl w:val="0"/>
          <w:numId w:val="6"/>
        </w:numPr>
        <w:spacing w:after="0"/>
        <w:rPr>
          <w:rFonts w:ascii="Arial" w:hAnsi="Arial" w:cs="Arial"/>
          <w:sz w:val="20"/>
          <w:szCs w:val="20"/>
        </w:rPr>
      </w:pPr>
      <w:r>
        <w:rPr>
          <w:rFonts w:ascii="Arial" w:hAnsi="Arial" w:cs="Arial"/>
          <w:sz w:val="20"/>
          <w:szCs w:val="20"/>
        </w:rPr>
        <w:t>i</w:t>
      </w:r>
      <w:r w:rsidRPr="00D7375C">
        <w:rPr>
          <w:rFonts w:ascii="Arial" w:hAnsi="Arial" w:cs="Arial"/>
          <w:sz w:val="20"/>
          <w:szCs w:val="20"/>
        </w:rPr>
        <w:t xml:space="preserve">ntroduce </w:t>
      </w:r>
      <w:r w:rsidR="0020654B" w:rsidRPr="00D7375C">
        <w:rPr>
          <w:rFonts w:ascii="Arial" w:hAnsi="Arial" w:cs="Arial"/>
          <w:sz w:val="20"/>
          <w:szCs w:val="20"/>
        </w:rPr>
        <w:t>restricted directorships</w:t>
      </w:r>
      <w:r>
        <w:rPr>
          <w:rFonts w:ascii="Arial" w:hAnsi="Arial" w:cs="Arial"/>
          <w:sz w:val="20"/>
          <w:szCs w:val="20"/>
        </w:rPr>
        <w:t>;</w:t>
      </w:r>
    </w:p>
    <w:p w:rsidR="0020654B" w:rsidRPr="00D7375C" w:rsidRDefault="00166CE9" w:rsidP="0020654B">
      <w:pPr>
        <w:pStyle w:val="ListParagraph"/>
        <w:numPr>
          <w:ilvl w:val="0"/>
          <w:numId w:val="6"/>
        </w:numPr>
        <w:spacing w:after="0"/>
        <w:rPr>
          <w:rFonts w:ascii="Arial" w:hAnsi="Arial" w:cs="Arial"/>
          <w:sz w:val="20"/>
          <w:szCs w:val="20"/>
        </w:rPr>
      </w:pPr>
      <w:r>
        <w:rPr>
          <w:rFonts w:ascii="Arial" w:hAnsi="Arial" w:cs="Arial"/>
          <w:sz w:val="20"/>
          <w:szCs w:val="20"/>
        </w:rPr>
        <w:t>p</w:t>
      </w:r>
      <w:r w:rsidRPr="00D7375C">
        <w:rPr>
          <w:rFonts w:ascii="Arial" w:hAnsi="Arial" w:cs="Arial"/>
          <w:sz w:val="20"/>
          <w:szCs w:val="20"/>
        </w:rPr>
        <w:t xml:space="preserve">rioritise </w:t>
      </w:r>
      <w:r w:rsidR="0020654B" w:rsidRPr="00D7375C">
        <w:rPr>
          <w:rFonts w:ascii="Arial" w:hAnsi="Arial" w:cs="Arial"/>
          <w:sz w:val="20"/>
          <w:szCs w:val="20"/>
        </w:rPr>
        <w:t>director disqualification in the phoenix context</w:t>
      </w:r>
      <w:r>
        <w:rPr>
          <w:rFonts w:ascii="Arial" w:hAnsi="Arial" w:cs="Arial"/>
          <w:sz w:val="20"/>
          <w:szCs w:val="20"/>
        </w:rPr>
        <w:t>;</w:t>
      </w:r>
    </w:p>
    <w:p w:rsidR="0020654B" w:rsidRPr="00D7375C" w:rsidRDefault="00166CE9" w:rsidP="0020654B">
      <w:pPr>
        <w:pStyle w:val="ListParagraph"/>
        <w:numPr>
          <w:ilvl w:val="0"/>
          <w:numId w:val="6"/>
        </w:numPr>
        <w:spacing w:after="0"/>
        <w:rPr>
          <w:rFonts w:ascii="Arial" w:hAnsi="Arial" w:cs="Arial"/>
          <w:sz w:val="20"/>
          <w:szCs w:val="20"/>
        </w:rPr>
      </w:pPr>
      <w:r>
        <w:rPr>
          <w:rFonts w:ascii="Arial" w:hAnsi="Arial" w:cs="Arial"/>
          <w:sz w:val="20"/>
          <w:szCs w:val="20"/>
        </w:rPr>
        <w:t>i</w:t>
      </w:r>
      <w:r w:rsidRPr="00D7375C">
        <w:rPr>
          <w:rFonts w:ascii="Arial" w:hAnsi="Arial" w:cs="Arial"/>
          <w:sz w:val="20"/>
          <w:szCs w:val="20"/>
        </w:rPr>
        <w:t xml:space="preserve">ncrease </w:t>
      </w:r>
      <w:r w:rsidR="0020654B" w:rsidRPr="00D7375C">
        <w:rPr>
          <w:rFonts w:ascii="Arial" w:hAnsi="Arial" w:cs="Arial"/>
          <w:sz w:val="20"/>
          <w:szCs w:val="20"/>
        </w:rPr>
        <w:t>the maximum duration of ASIC disqualification</w:t>
      </w:r>
      <w:r>
        <w:rPr>
          <w:rFonts w:ascii="Arial" w:hAnsi="Arial" w:cs="Arial"/>
          <w:sz w:val="20"/>
          <w:szCs w:val="20"/>
        </w:rPr>
        <w:t>;</w:t>
      </w:r>
    </w:p>
    <w:p w:rsidR="0020654B" w:rsidRPr="00D7375C" w:rsidRDefault="00166CE9" w:rsidP="0020654B">
      <w:pPr>
        <w:pStyle w:val="ListParagraph"/>
        <w:numPr>
          <w:ilvl w:val="0"/>
          <w:numId w:val="6"/>
        </w:numPr>
        <w:spacing w:after="0"/>
        <w:rPr>
          <w:rFonts w:ascii="Arial" w:hAnsi="Arial" w:cs="Arial"/>
          <w:sz w:val="20"/>
          <w:szCs w:val="20"/>
        </w:rPr>
      </w:pPr>
      <w:r>
        <w:rPr>
          <w:rFonts w:ascii="Arial" w:hAnsi="Arial" w:cs="Arial"/>
          <w:sz w:val="20"/>
          <w:szCs w:val="20"/>
        </w:rPr>
        <w:t>g</w:t>
      </w:r>
      <w:r w:rsidRPr="00D7375C">
        <w:rPr>
          <w:rFonts w:ascii="Arial" w:hAnsi="Arial" w:cs="Arial"/>
          <w:sz w:val="20"/>
          <w:szCs w:val="20"/>
        </w:rPr>
        <w:t xml:space="preserve">ive </w:t>
      </w:r>
      <w:r w:rsidR="0020654B" w:rsidRPr="00D7375C">
        <w:rPr>
          <w:rFonts w:ascii="Arial" w:hAnsi="Arial" w:cs="Arial"/>
          <w:sz w:val="20"/>
          <w:szCs w:val="20"/>
        </w:rPr>
        <w:t>other regulators the power to seek disqualification orders</w:t>
      </w:r>
      <w:r>
        <w:rPr>
          <w:rFonts w:ascii="Arial" w:hAnsi="Arial" w:cs="Arial"/>
          <w:sz w:val="20"/>
          <w:szCs w:val="20"/>
        </w:rPr>
        <w:t>;</w:t>
      </w:r>
    </w:p>
    <w:p w:rsidR="0020654B" w:rsidRPr="00D7375C" w:rsidRDefault="00166CE9" w:rsidP="0020654B">
      <w:pPr>
        <w:pStyle w:val="ListParagraph"/>
        <w:numPr>
          <w:ilvl w:val="0"/>
          <w:numId w:val="6"/>
        </w:numPr>
        <w:spacing w:after="0"/>
        <w:rPr>
          <w:rFonts w:ascii="Arial" w:hAnsi="Arial" w:cs="Arial"/>
          <w:sz w:val="20"/>
          <w:szCs w:val="20"/>
        </w:rPr>
      </w:pPr>
      <w:r>
        <w:rPr>
          <w:rFonts w:ascii="Arial" w:hAnsi="Arial" w:cs="Arial"/>
          <w:sz w:val="20"/>
          <w:szCs w:val="20"/>
        </w:rPr>
        <w:t>i</w:t>
      </w:r>
      <w:r w:rsidRPr="00D7375C">
        <w:rPr>
          <w:rFonts w:ascii="Arial" w:hAnsi="Arial" w:cs="Arial"/>
          <w:sz w:val="20"/>
          <w:szCs w:val="20"/>
        </w:rPr>
        <w:t xml:space="preserve">ncrease </w:t>
      </w:r>
      <w:r w:rsidR="0020654B" w:rsidRPr="00D7375C">
        <w:rPr>
          <w:rFonts w:ascii="Arial" w:hAnsi="Arial" w:cs="Arial"/>
          <w:sz w:val="20"/>
          <w:szCs w:val="20"/>
        </w:rPr>
        <w:t>the penalties for managing companies while disqualified</w:t>
      </w:r>
      <w:r>
        <w:rPr>
          <w:rFonts w:ascii="Arial" w:hAnsi="Arial" w:cs="Arial"/>
          <w:sz w:val="20"/>
          <w:szCs w:val="20"/>
        </w:rPr>
        <w:t>; and</w:t>
      </w:r>
    </w:p>
    <w:p w:rsidR="00EC2B28" w:rsidRPr="00D7375C" w:rsidRDefault="00166CE9" w:rsidP="0020654B">
      <w:pPr>
        <w:pStyle w:val="ListParagraph"/>
        <w:numPr>
          <w:ilvl w:val="0"/>
          <w:numId w:val="6"/>
        </w:numPr>
        <w:spacing w:after="0"/>
        <w:rPr>
          <w:rFonts w:ascii="Arial" w:hAnsi="Arial" w:cs="Arial"/>
          <w:sz w:val="20"/>
          <w:szCs w:val="20"/>
        </w:rPr>
      </w:pPr>
      <w:r>
        <w:rPr>
          <w:rFonts w:ascii="Arial" w:hAnsi="Arial" w:cs="Arial"/>
          <w:sz w:val="20"/>
          <w:szCs w:val="20"/>
        </w:rPr>
        <w:t>c</w:t>
      </w:r>
      <w:r w:rsidRPr="00D7375C">
        <w:rPr>
          <w:rFonts w:ascii="Arial" w:hAnsi="Arial" w:cs="Arial"/>
          <w:sz w:val="20"/>
          <w:szCs w:val="20"/>
        </w:rPr>
        <w:t xml:space="preserve">heck </w:t>
      </w:r>
      <w:r w:rsidR="0020654B" w:rsidRPr="00D7375C">
        <w:rPr>
          <w:rFonts w:ascii="Arial" w:hAnsi="Arial" w:cs="Arial"/>
          <w:sz w:val="20"/>
          <w:szCs w:val="20"/>
        </w:rPr>
        <w:t>applicants</w:t>
      </w:r>
      <w:r>
        <w:rPr>
          <w:rFonts w:ascii="Arial" w:hAnsi="Arial" w:cs="Arial"/>
          <w:sz w:val="20"/>
          <w:szCs w:val="20"/>
        </w:rPr>
        <w:t xml:space="preserve"> for an Australian Business Number</w:t>
      </w:r>
      <w:r w:rsidR="0020654B" w:rsidRPr="00D7375C">
        <w:rPr>
          <w:rFonts w:ascii="Arial" w:hAnsi="Arial" w:cs="Arial"/>
          <w:sz w:val="20"/>
          <w:szCs w:val="20"/>
        </w:rPr>
        <w:t xml:space="preserve"> against restricted </w:t>
      </w:r>
      <w:r>
        <w:rPr>
          <w:rFonts w:ascii="Arial" w:hAnsi="Arial" w:cs="Arial"/>
          <w:sz w:val="20"/>
          <w:szCs w:val="20"/>
        </w:rPr>
        <w:t>and</w:t>
      </w:r>
      <w:r w:rsidRPr="00D7375C">
        <w:rPr>
          <w:rFonts w:ascii="Arial" w:hAnsi="Arial" w:cs="Arial"/>
          <w:sz w:val="20"/>
          <w:szCs w:val="20"/>
        </w:rPr>
        <w:t xml:space="preserve"> </w:t>
      </w:r>
      <w:r w:rsidR="0020654B" w:rsidRPr="00D7375C">
        <w:rPr>
          <w:rFonts w:ascii="Arial" w:hAnsi="Arial" w:cs="Arial"/>
          <w:sz w:val="20"/>
          <w:szCs w:val="20"/>
        </w:rPr>
        <w:t>disqualified registers</w:t>
      </w:r>
      <w:r>
        <w:rPr>
          <w:rFonts w:ascii="Arial" w:hAnsi="Arial" w:cs="Arial"/>
          <w:sz w:val="20"/>
          <w:szCs w:val="20"/>
        </w:rPr>
        <w:t>.</w:t>
      </w:r>
    </w:p>
    <w:p w:rsidR="00773DA5" w:rsidRPr="00D7375C" w:rsidRDefault="00773DA5" w:rsidP="00773DA5">
      <w:pPr>
        <w:spacing w:after="0"/>
        <w:rPr>
          <w:rFonts w:ascii="Arial" w:hAnsi="Arial" w:cs="Arial"/>
          <w:sz w:val="20"/>
          <w:szCs w:val="20"/>
        </w:rPr>
      </w:pPr>
    </w:p>
    <w:p w:rsidR="00ED6A9E" w:rsidRPr="00D7375C" w:rsidRDefault="00773DA5" w:rsidP="00773DA5">
      <w:pPr>
        <w:spacing w:after="0"/>
        <w:rPr>
          <w:rFonts w:ascii="Arial" w:hAnsi="Arial" w:cs="Arial"/>
          <w:sz w:val="20"/>
          <w:szCs w:val="20"/>
        </w:rPr>
      </w:pPr>
      <w:r w:rsidRPr="00D7375C">
        <w:rPr>
          <w:rFonts w:ascii="Arial" w:hAnsi="Arial" w:cs="Arial"/>
          <w:sz w:val="20"/>
          <w:szCs w:val="20"/>
        </w:rPr>
        <w:t xml:space="preserve">As shown in </w:t>
      </w:r>
      <w:r w:rsidR="00A035BE">
        <w:rPr>
          <w:rFonts w:ascii="Arial" w:hAnsi="Arial" w:cs="Arial"/>
          <w:sz w:val="20"/>
          <w:szCs w:val="20"/>
        </w:rPr>
        <w:t>our</w:t>
      </w:r>
      <w:r w:rsidRPr="00D7375C">
        <w:rPr>
          <w:rFonts w:ascii="Arial" w:hAnsi="Arial" w:cs="Arial"/>
          <w:sz w:val="20"/>
          <w:szCs w:val="20"/>
        </w:rPr>
        <w:t xml:space="preserve"> case study, </w:t>
      </w:r>
      <w:r w:rsidR="00166CE9">
        <w:rPr>
          <w:rFonts w:ascii="Arial" w:hAnsi="Arial" w:cs="Arial"/>
          <w:sz w:val="20"/>
          <w:szCs w:val="20"/>
        </w:rPr>
        <w:t xml:space="preserve">a single company director can repeatedly establish new companies </w:t>
      </w:r>
      <w:r w:rsidRPr="00D7375C">
        <w:rPr>
          <w:rFonts w:ascii="Arial" w:hAnsi="Arial" w:cs="Arial"/>
          <w:sz w:val="20"/>
          <w:szCs w:val="20"/>
        </w:rPr>
        <w:t>to avoid meeting EE obligations</w:t>
      </w:r>
      <w:r w:rsidR="00ED6A9E" w:rsidRPr="00D7375C">
        <w:rPr>
          <w:rFonts w:ascii="Arial" w:hAnsi="Arial" w:cs="Arial"/>
          <w:sz w:val="20"/>
          <w:szCs w:val="20"/>
        </w:rPr>
        <w:t>, placing further avoidable strains on workers, taxpayers, compliant businesses</w:t>
      </w:r>
      <w:r w:rsidR="00166CE9">
        <w:rPr>
          <w:rFonts w:ascii="Arial" w:hAnsi="Arial" w:cs="Arial"/>
          <w:sz w:val="20"/>
          <w:szCs w:val="20"/>
        </w:rPr>
        <w:t xml:space="preserve"> and</w:t>
      </w:r>
      <w:r w:rsidR="00166CE9" w:rsidRPr="00D7375C">
        <w:rPr>
          <w:rFonts w:ascii="Arial" w:hAnsi="Arial" w:cs="Arial"/>
          <w:sz w:val="20"/>
          <w:szCs w:val="20"/>
        </w:rPr>
        <w:t xml:space="preserve"> </w:t>
      </w:r>
      <w:r w:rsidR="00ED6A9E" w:rsidRPr="00D7375C">
        <w:rPr>
          <w:rFonts w:ascii="Arial" w:hAnsi="Arial" w:cs="Arial"/>
          <w:sz w:val="20"/>
          <w:szCs w:val="20"/>
        </w:rPr>
        <w:t xml:space="preserve">other </w:t>
      </w:r>
      <w:r w:rsidR="00166CE9">
        <w:rPr>
          <w:rFonts w:ascii="Arial" w:hAnsi="Arial" w:cs="Arial"/>
          <w:sz w:val="20"/>
          <w:szCs w:val="20"/>
        </w:rPr>
        <w:t>g</w:t>
      </w:r>
      <w:r w:rsidR="00166CE9" w:rsidRPr="00D7375C">
        <w:rPr>
          <w:rFonts w:ascii="Arial" w:hAnsi="Arial" w:cs="Arial"/>
          <w:sz w:val="20"/>
          <w:szCs w:val="20"/>
        </w:rPr>
        <w:t xml:space="preserve">overnment </w:t>
      </w:r>
      <w:r w:rsidR="00166CE9">
        <w:rPr>
          <w:rFonts w:ascii="Arial" w:hAnsi="Arial" w:cs="Arial"/>
          <w:sz w:val="20"/>
          <w:szCs w:val="20"/>
        </w:rPr>
        <w:t>d</w:t>
      </w:r>
      <w:r w:rsidR="00166CE9" w:rsidRPr="00D7375C">
        <w:rPr>
          <w:rFonts w:ascii="Arial" w:hAnsi="Arial" w:cs="Arial"/>
          <w:sz w:val="20"/>
          <w:szCs w:val="20"/>
        </w:rPr>
        <w:t>epartments</w:t>
      </w:r>
      <w:r w:rsidR="00ED6A9E" w:rsidRPr="00D7375C">
        <w:rPr>
          <w:rFonts w:ascii="Arial" w:hAnsi="Arial" w:cs="Arial"/>
          <w:sz w:val="20"/>
          <w:szCs w:val="20"/>
        </w:rPr>
        <w:t xml:space="preserve">. Reforms </w:t>
      </w:r>
      <w:r w:rsidRPr="00D7375C">
        <w:rPr>
          <w:rFonts w:ascii="Arial" w:hAnsi="Arial" w:cs="Arial"/>
          <w:sz w:val="20"/>
          <w:szCs w:val="20"/>
        </w:rPr>
        <w:t>that look beyond FEG specific sanctions will</w:t>
      </w:r>
      <w:r w:rsidR="00ED6A9E" w:rsidRPr="00D7375C">
        <w:rPr>
          <w:rFonts w:ascii="Arial" w:hAnsi="Arial" w:cs="Arial"/>
          <w:sz w:val="20"/>
          <w:szCs w:val="20"/>
        </w:rPr>
        <w:t xml:space="preserve"> encompass such instances as </w:t>
      </w:r>
      <w:r w:rsidR="00A035BE">
        <w:rPr>
          <w:rFonts w:ascii="Arial" w:hAnsi="Arial" w:cs="Arial"/>
          <w:sz w:val="20"/>
          <w:szCs w:val="20"/>
        </w:rPr>
        <w:t>our case study</w:t>
      </w:r>
      <w:r w:rsidR="00ED6A9E" w:rsidRPr="00D7375C">
        <w:rPr>
          <w:rFonts w:ascii="Arial" w:hAnsi="Arial" w:cs="Arial"/>
          <w:sz w:val="20"/>
          <w:szCs w:val="20"/>
        </w:rPr>
        <w:t xml:space="preserve">, and significantly contribute to deterring, </w:t>
      </w:r>
      <w:r w:rsidR="00EF3AB8" w:rsidRPr="00D7375C">
        <w:rPr>
          <w:rFonts w:ascii="Arial" w:hAnsi="Arial" w:cs="Arial"/>
          <w:sz w:val="20"/>
          <w:szCs w:val="20"/>
        </w:rPr>
        <w:t>disrupting,</w:t>
      </w:r>
      <w:r w:rsidR="00ED6A9E" w:rsidRPr="00D7375C">
        <w:rPr>
          <w:rFonts w:ascii="Arial" w:hAnsi="Arial" w:cs="Arial"/>
          <w:sz w:val="20"/>
          <w:szCs w:val="20"/>
        </w:rPr>
        <w:t xml:space="preserve"> and enforcing against </w:t>
      </w:r>
      <w:r w:rsidR="00A035BE">
        <w:rPr>
          <w:rFonts w:ascii="Arial" w:hAnsi="Arial" w:cs="Arial"/>
          <w:sz w:val="20"/>
          <w:szCs w:val="20"/>
        </w:rPr>
        <w:t>company d</w:t>
      </w:r>
      <w:r w:rsidR="00A035BE" w:rsidRPr="00D7375C">
        <w:rPr>
          <w:rFonts w:ascii="Arial" w:hAnsi="Arial" w:cs="Arial"/>
          <w:sz w:val="20"/>
          <w:szCs w:val="20"/>
        </w:rPr>
        <w:t xml:space="preserve">irectors </w:t>
      </w:r>
      <w:r w:rsidR="00ED6A9E" w:rsidRPr="00D7375C">
        <w:rPr>
          <w:rFonts w:ascii="Arial" w:hAnsi="Arial" w:cs="Arial"/>
          <w:sz w:val="20"/>
          <w:szCs w:val="20"/>
        </w:rPr>
        <w:t xml:space="preserve">and </w:t>
      </w:r>
      <w:r w:rsidR="00A035BE">
        <w:rPr>
          <w:rFonts w:ascii="Arial" w:hAnsi="Arial" w:cs="Arial"/>
          <w:sz w:val="20"/>
          <w:szCs w:val="20"/>
        </w:rPr>
        <w:t>o</w:t>
      </w:r>
      <w:r w:rsidR="00A035BE" w:rsidRPr="00D7375C">
        <w:rPr>
          <w:rFonts w:ascii="Arial" w:hAnsi="Arial" w:cs="Arial"/>
          <w:sz w:val="20"/>
          <w:szCs w:val="20"/>
        </w:rPr>
        <w:t>fficer</w:t>
      </w:r>
      <w:r w:rsidR="00A035BE">
        <w:rPr>
          <w:rFonts w:ascii="Arial" w:hAnsi="Arial" w:cs="Arial"/>
          <w:sz w:val="20"/>
          <w:szCs w:val="20"/>
        </w:rPr>
        <w:t>s who</w:t>
      </w:r>
      <w:r w:rsidR="00A035BE" w:rsidRPr="00D7375C">
        <w:rPr>
          <w:rFonts w:ascii="Arial" w:hAnsi="Arial" w:cs="Arial"/>
          <w:sz w:val="20"/>
          <w:szCs w:val="20"/>
        </w:rPr>
        <w:t xml:space="preserve"> </w:t>
      </w:r>
      <w:r w:rsidR="00ED6A9E" w:rsidRPr="00D7375C">
        <w:rPr>
          <w:rFonts w:ascii="Arial" w:hAnsi="Arial" w:cs="Arial"/>
          <w:sz w:val="20"/>
          <w:szCs w:val="20"/>
        </w:rPr>
        <w:t>repeatedly and deliberately employing harmful and exploitative corporate behaviours.</w:t>
      </w:r>
    </w:p>
    <w:p w:rsidR="00ED6A9E" w:rsidRPr="00D7375C" w:rsidRDefault="00ED6A9E" w:rsidP="00773DA5">
      <w:pPr>
        <w:spacing w:after="0"/>
        <w:rPr>
          <w:rFonts w:ascii="Arial" w:hAnsi="Arial" w:cs="Arial"/>
          <w:sz w:val="20"/>
          <w:szCs w:val="20"/>
        </w:rPr>
      </w:pPr>
    </w:p>
    <w:p w:rsidR="00ED6A9E" w:rsidRDefault="00ED6A9E" w:rsidP="00773DA5">
      <w:pPr>
        <w:spacing w:after="0"/>
        <w:rPr>
          <w:rFonts w:ascii="Arial" w:hAnsi="Arial" w:cs="Arial"/>
          <w:sz w:val="20"/>
          <w:szCs w:val="20"/>
        </w:rPr>
      </w:pPr>
      <w:r w:rsidRPr="00D7375C">
        <w:rPr>
          <w:rFonts w:ascii="Arial" w:hAnsi="Arial" w:cs="Arial"/>
          <w:sz w:val="20"/>
          <w:szCs w:val="20"/>
        </w:rPr>
        <w:t xml:space="preserve">Any such reform to better capture and penalise repeat offenders must be accompanied by additional measures as outlined at </w:t>
      </w:r>
      <w:r w:rsidR="00A47C31">
        <w:rPr>
          <w:rFonts w:ascii="Arial" w:hAnsi="Arial" w:cs="Arial"/>
          <w:sz w:val="20"/>
          <w:szCs w:val="20"/>
        </w:rPr>
        <w:t>‘</w:t>
      </w:r>
      <w:r w:rsidRPr="00D7375C">
        <w:rPr>
          <w:rFonts w:ascii="Arial" w:hAnsi="Arial" w:cs="Arial"/>
          <w:sz w:val="20"/>
          <w:szCs w:val="20"/>
        </w:rPr>
        <w:t>8. Other related reforms</w:t>
      </w:r>
      <w:r w:rsidR="00A47C31">
        <w:rPr>
          <w:rFonts w:ascii="Arial" w:hAnsi="Arial" w:cs="Arial"/>
          <w:sz w:val="20"/>
          <w:szCs w:val="20"/>
        </w:rPr>
        <w:t>’</w:t>
      </w:r>
      <w:r w:rsidRPr="00D7375C">
        <w:rPr>
          <w:rFonts w:ascii="Arial" w:hAnsi="Arial" w:cs="Arial"/>
          <w:sz w:val="20"/>
          <w:szCs w:val="20"/>
        </w:rPr>
        <w:t xml:space="preserve">.  </w:t>
      </w:r>
    </w:p>
    <w:p w:rsidR="00342297" w:rsidRPr="00D7375C" w:rsidRDefault="00342297" w:rsidP="00773DA5">
      <w:pPr>
        <w:spacing w:after="0"/>
        <w:rPr>
          <w:rFonts w:ascii="Arial" w:hAnsi="Arial" w:cs="Arial"/>
          <w:sz w:val="20"/>
          <w:szCs w:val="20"/>
        </w:rPr>
      </w:pPr>
    </w:p>
    <w:p w:rsidR="008B0DC6" w:rsidRPr="00D7375C" w:rsidRDefault="008B0DC6" w:rsidP="008B0DC6">
      <w:pPr>
        <w:rPr>
          <w:rFonts w:ascii="Arial" w:hAnsi="Arial" w:cs="Arial"/>
          <w:b/>
          <w:sz w:val="20"/>
          <w:szCs w:val="20"/>
        </w:rPr>
      </w:pPr>
      <w:bookmarkStart w:id="1" w:name="_Toc481948300"/>
      <w:r w:rsidRPr="00D7375C">
        <w:rPr>
          <w:rFonts w:ascii="Arial" w:hAnsi="Arial" w:cs="Arial"/>
          <w:b/>
          <w:sz w:val="20"/>
          <w:szCs w:val="20"/>
        </w:rPr>
        <w:t>8. Other related reforms</w:t>
      </w:r>
      <w:bookmarkEnd w:id="1"/>
      <w:r w:rsidRPr="00D7375C">
        <w:rPr>
          <w:rFonts w:ascii="Arial" w:hAnsi="Arial" w:cs="Arial"/>
          <w:b/>
          <w:sz w:val="20"/>
          <w:szCs w:val="20"/>
        </w:rPr>
        <w:t xml:space="preserve"> </w:t>
      </w:r>
    </w:p>
    <w:p w:rsidR="00A9442C" w:rsidRDefault="00A9442C" w:rsidP="00CB3590">
      <w:pPr>
        <w:rPr>
          <w:rFonts w:ascii="Arial" w:hAnsi="Arial" w:cs="Arial"/>
          <w:sz w:val="20"/>
          <w:szCs w:val="20"/>
        </w:rPr>
      </w:pPr>
      <w:bookmarkStart w:id="2" w:name="_Toc477939028"/>
      <w:bookmarkStart w:id="3" w:name="_Toc480975492"/>
      <w:bookmarkStart w:id="4" w:name="_Toc481070355"/>
      <w:bookmarkStart w:id="5" w:name="_Toc481948302"/>
      <w:r w:rsidRPr="00D7375C">
        <w:rPr>
          <w:rFonts w:ascii="Arial" w:hAnsi="Arial" w:cs="Arial"/>
          <w:sz w:val="20"/>
          <w:szCs w:val="20"/>
        </w:rPr>
        <w:t xml:space="preserve">The MUA supports </w:t>
      </w:r>
      <w:r>
        <w:rPr>
          <w:rFonts w:ascii="Arial" w:hAnsi="Arial" w:cs="Arial"/>
          <w:sz w:val="20"/>
          <w:szCs w:val="20"/>
        </w:rPr>
        <w:t>Option 8 ‘</w:t>
      </w:r>
      <w:r>
        <w:t>Clarify the priority of employee entitlements under sections 433 and 561 of the Corporations Act and align the sections</w:t>
      </w:r>
      <w:r>
        <w:rPr>
          <w:rFonts w:ascii="Arial" w:hAnsi="Arial" w:cs="Arial"/>
          <w:sz w:val="20"/>
          <w:szCs w:val="20"/>
        </w:rPr>
        <w:t>’</w:t>
      </w:r>
      <w:r w:rsidRPr="00D7375C">
        <w:rPr>
          <w:rFonts w:ascii="Arial" w:hAnsi="Arial" w:cs="Arial"/>
          <w:sz w:val="20"/>
          <w:szCs w:val="20"/>
        </w:rPr>
        <w:t xml:space="preserve">. In instances of insolvency, priority is currently given to secured investors, and extends to the payment of fees for appointed Receivers and Administrators. This diminishes the availability and amount of funds left to cover EE. </w:t>
      </w:r>
      <w:r>
        <w:rPr>
          <w:rFonts w:ascii="Arial" w:hAnsi="Arial" w:cs="Arial"/>
          <w:sz w:val="20"/>
          <w:szCs w:val="20"/>
        </w:rPr>
        <w:t xml:space="preserve">Reform to these sections must clearly stipulate EE as a priority above secured investors and Receiver/Administrator fees. </w:t>
      </w:r>
    </w:p>
    <w:p w:rsidR="00CB3590" w:rsidRPr="00D7375C" w:rsidRDefault="00CB3590" w:rsidP="00CB3590">
      <w:pPr>
        <w:rPr>
          <w:rFonts w:ascii="Arial" w:hAnsi="Arial" w:cs="Arial"/>
          <w:sz w:val="20"/>
          <w:szCs w:val="20"/>
        </w:rPr>
      </w:pPr>
      <w:r w:rsidRPr="00D7375C">
        <w:rPr>
          <w:rFonts w:ascii="Arial" w:hAnsi="Arial" w:cs="Arial"/>
          <w:sz w:val="20"/>
          <w:szCs w:val="20"/>
        </w:rPr>
        <w:t>In addition to the above, the MUA supports the following measures as tangible means to reduc</w:t>
      </w:r>
      <w:r>
        <w:rPr>
          <w:rFonts w:ascii="Arial" w:hAnsi="Arial" w:cs="Arial"/>
          <w:sz w:val="20"/>
          <w:szCs w:val="20"/>
        </w:rPr>
        <w:t>e</w:t>
      </w:r>
      <w:r w:rsidRPr="00D7375C">
        <w:rPr>
          <w:rFonts w:ascii="Arial" w:hAnsi="Arial" w:cs="Arial"/>
          <w:sz w:val="20"/>
          <w:szCs w:val="20"/>
        </w:rPr>
        <w:t xml:space="preserve"> the occurrence of sharp corporate practices and deferral to the FEG scheme where it could otherwise be avoided:</w:t>
      </w:r>
    </w:p>
    <w:bookmarkEnd w:id="2"/>
    <w:bookmarkEnd w:id="3"/>
    <w:bookmarkEnd w:id="4"/>
    <w:bookmarkEnd w:id="5"/>
    <w:p w:rsidR="00CB3590" w:rsidRPr="00A9442C" w:rsidRDefault="00CB3590" w:rsidP="0052796A">
      <w:pPr>
        <w:rPr>
          <w:rFonts w:ascii="Arial" w:hAnsi="Arial" w:cs="Arial"/>
          <w:sz w:val="20"/>
          <w:szCs w:val="20"/>
          <w:u w:val="single"/>
        </w:rPr>
      </w:pPr>
      <w:r w:rsidRPr="00A9442C">
        <w:rPr>
          <w:rFonts w:ascii="Arial" w:hAnsi="Arial" w:cs="Arial"/>
          <w:sz w:val="20"/>
          <w:szCs w:val="20"/>
          <w:u w:val="single"/>
        </w:rPr>
        <w:t>Employee representation</w:t>
      </w:r>
    </w:p>
    <w:p w:rsidR="00CF2847" w:rsidRPr="00D7375C" w:rsidRDefault="00CB3590" w:rsidP="0052796A">
      <w:pPr>
        <w:rPr>
          <w:rFonts w:ascii="Arial" w:hAnsi="Arial" w:cs="Arial"/>
          <w:sz w:val="20"/>
          <w:szCs w:val="20"/>
        </w:rPr>
      </w:pPr>
      <w:r>
        <w:rPr>
          <w:rFonts w:ascii="Arial" w:hAnsi="Arial" w:cs="Arial"/>
          <w:sz w:val="20"/>
          <w:szCs w:val="20"/>
        </w:rPr>
        <w:t>E</w:t>
      </w:r>
      <w:r w:rsidR="0061465D" w:rsidRPr="00D7375C">
        <w:rPr>
          <w:rFonts w:ascii="Arial" w:hAnsi="Arial" w:cs="Arial"/>
          <w:sz w:val="20"/>
          <w:szCs w:val="20"/>
        </w:rPr>
        <w:t xml:space="preserve">mployees are the </w:t>
      </w:r>
      <w:r w:rsidR="0061465D" w:rsidRPr="0073395C">
        <w:rPr>
          <w:rFonts w:ascii="Arial" w:hAnsi="Arial" w:cs="Arial"/>
          <w:sz w:val="20"/>
          <w:szCs w:val="20"/>
        </w:rPr>
        <w:t xml:space="preserve">least </w:t>
      </w:r>
      <w:r w:rsidR="00057076" w:rsidRPr="0073395C">
        <w:rPr>
          <w:rFonts w:ascii="Arial" w:hAnsi="Arial" w:cs="Arial"/>
          <w:sz w:val="20"/>
          <w:szCs w:val="20"/>
        </w:rPr>
        <w:t>well-placed</w:t>
      </w:r>
      <w:r w:rsidR="0061465D" w:rsidRPr="0073395C">
        <w:rPr>
          <w:rFonts w:ascii="Arial" w:hAnsi="Arial" w:cs="Arial"/>
          <w:sz w:val="20"/>
          <w:szCs w:val="20"/>
        </w:rPr>
        <w:t xml:space="preserve"> participants in the economy to directly absorb the costs of corporate insolvency, particularly given that the</w:t>
      </w:r>
      <w:r w:rsidR="0073395C" w:rsidRPr="0073395C">
        <w:rPr>
          <w:rFonts w:ascii="Arial" w:hAnsi="Arial" w:cs="Arial"/>
          <w:sz w:val="20"/>
          <w:szCs w:val="20"/>
        </w:rPr>
        <w:t xml:space="preserve">ir loss of EE coincides with their loss of income. </w:t>
      </w:r>
      <w:r w:rsidRPr="0073395C">
        <w:rPr>
          <w:rFonts w:ascii="Arial" w:hAnsi="Arial" w:cs="Arial"/>
          <w:sz w:val="20"/>
          <w:szCs w:val="20"/>
        </w:rPr>
        <w:t xml:space="preserve">Reform </w:t>
      </w:r>
      <w:r w:rsidR="00CF2847" w:rsidRPr="0073395C">
        <w:rPr>
          <w:rFonts w:ascii="Arial" w:hAnsi="Arial" w:cs="Arial"/>
          <w:sz w:val="20"/>
          <w:szCs w:val="20"/>
        </w:rPr>
        <w:t>that a</w:t>
      </w:r>
      <w:r w:rsidR="00C300B9" w:rsidRPr="0073395C">
        <w:rPr>
          <w:rFonts w:ascii="Arial" w:hAnsi="Arial" w:cs="Arial"/>
          <w:sz w:val="20"/>
          <w:szCs w:val="20"/>
        </w:rPr>
        <w:t xml:space="preserve">llows </w:t>
      </w:r>
      <w:r w:rsidR="00CF2847" w:rsidRPr="0073395C">
        <w:rPr>
          <w:rFonts w:ascii="Arial" w:hAnsi="Arial" w:cs="Arial"/>
          <w:sz w:val="20"/>
          <w:szCs w:val="20"/>
        </w:rPr>
        <w:t xml:space="preserve">employees to elect their trade union as a </w:t>
      </w:r>
      <w:r w:rsidR="00C300B9" w:rsidRPr="0073395C">
        <w:rPr>
          <w:rFonts w:ascii="Arial" w:hAnsi="Arial" w:cs="Arial"/>
          <w:sz w:val="20"/>
          <w:szCs w:val="20"/>
        </w:rPr>
        <w:t xml:space="preserve">representative </w:t>
      </w:r>
      <w:r w:rsidR="00CF2847" w:rsidRPr="0073395C">
        <w:rPr>
          <w:rFonts w:ascii="Arial" w:hAnsi="Arial" w:cs="Arial"/>
          <w:sz w:val="20"/>
          <w:szCs w:val="20"/>
        </w:rPr>
        <w:t>to act on their behalf</w:t>
      </w:r>
      <w:r w:rsidRPr="0073395C">
        <w:rPr>
          <w:rFonts w:ascii="Arial" w:hAnsi="Arial" w:cs="Arial"/>
          <w:sz w:val="20"/>
          <w:szCs w:val="20"/>
        </w:rPr>
        <w:t xml:space="preserve"> in </w:t>
      </w:r>
      <w:r w:rsidR="00A9442C" w:rsidRPr="0073395C">
        <w:rPr>
          <w:rFonts w:ascii="Arial" w:hAnsi="Arial" w:cs="Arial"/>
          <w:sz w:val="20"/>
          <w:szCs w:val="20"/>
        </w:rPr>
        <w:t xml:space="preserve">attempts to recover unpaid EE, including but not limited to, direct contact with company directors, </w:t>
      </w:r>
      <w:r w:rsidR="00A9442C" w:rsidRPr="0073395C">
        <w:rPr>
          <w:rFonts w:ascii="Arial" w:hAnsi="Arial" w:cs="Arial"/>
          <w:sz w:val="20"/>
          <w:szCs w:val="20"/>
        </w:rPr>
        <w:lastRenderedPageBreak/>
        <w:t>legal proceedings, dealings with Administrators</w:t>
      </w:r>
      <w:r w:rsidR="00B626B4" w:rsidRPr="0073395C">
        <w:rPr>
          <w:rFonts w:ascii="Arial" w:hAnsi="Arial" w:cs="Arial"/>
          <w:sz w:val="20"/>
          <w:szCs w:val="20"/>
        </w:rPr>
        <w:t>/Receivers</w:t>
      </w:r>
      <w:r w:rsidR="00A9442C" w:rsidRPr="0073395C">
        <w:rPr>
          <w:rFonts w:ascii="Arial" w:hAnsi="Arial" w:cs="Arial"/>
          <w:sz w:val="20"/>
          <w:szCs w:val="20"/>
        </w:rPr>
        <w:t xml:space="preserve">, </w:t>
      </w:r>
      <w:r w:rsidR="00B626B4" w:rsidRPr="0073395C">
        <w:rPr>
          <w:rFonts w:ascii="Arial" w:hAnsi="Arial" w:cs="Arial"/>
          <w:sz w:val="20"/>
          <w:szCs w:val="20"/>
        </w:rPr>
        <w:t xml:space="preserve">and </w:t>
      </w:r>
      <w:r w:rsidR="00A9442C" w:rsidRPr="0073395C">
        <w:rPr>
          <w:rFonts w:ascii="Arial" w:hAnsi="Arial" w:cs="Arial"/>
          <w:sz w:val="20"/>
          <w:szCs w:val="20"/>
        </w:rPr>
        <w:t>dealings with Regulators</w:t>
      </w:r>
      <w:r w:rsidR="00B626B4" w:rsidRPr="0073395C">
        <w:rPr>
          <w:rFonts w:ascii="Arial" w:hAnsi="Arial" w:cs="Arial"/>
          <w:sz w:val="20"/>
          <w:szCs w:val="20"/>
        </w:rPr>
        <w:t>,</w:t>
      </w:r>
      <w:r w:rsidRPr="0073395C">
        <w:rPr>
          <w:rFonts w:ascii="Arial" w:hAnsi="Arial" w:cs="Arial"/>
          <w:sz w:val="20"/>
          <w:szCs w:val="20"/>
        </w:rPr>
        <w:t xml:space="preserve"> is necessary</w:t>
      </w:r>
      <w:r>
        <w:rPr>
          <w:rFonts w:ascii="Arial" w:hAnsi="Arial" w:cs="Arial"/>
          <w:sz w:val="20"/>
          <w:szCs w:val="20"/>
        </w:rPr>
        <w:t xml:space="preserve"> to help to protect and support employees in this vulnerable position</w:t>
      </w:r>
      <w:r w:rsidR="00CF2847" w:rsidRPr="00D7375C">
        <w:rPr>
          <w:rFonts w:ascii="Arial" w:hAnsi="Arial" w:cs="Arial"/>
          <w:sz w:val="20"/>
          <w:szCs w:val="20"/>
        </w:rPr>
        <w:t xml:space="preserve">. </w:t>
      </w:r>
      <w:r>
        <w:rPr>
          <w:rFonts w:ascii="Arial" w:hAnsi="Arial" w:cs="Arial"/>
          <w:sz w:val="20"/>
          <w:szCs w:val="20"/>
        </w:rPr>
        <w:t>Allowing union representation</w:t>
      </w:r>
      <w:r w:rsidRPr="00D7375C">
        <w:rPr>
          <w:rFonts w:ascii="Arial" w:hAnsi="Arial" w:cs="Arial"/>
          <w:sz w:val="20"/>
          <w:szCs w:val="20"/>
        </w:rPr>
        <w:t xml:space="preserve"> </w:t>
      </w:r>
      <w:r>
        <w:rPr>
          <w:rFonts w:ascii="Arial" w:hAnsi="Arial" w:cs="Arial"/>
          <w:sz w:val="20"/>
          <w:szCs w:val="20"/>
        </w:rPr>
        <w:t>would</w:t>
      </w:r>
      <w:r w:rsidRPr="00D7375C">
        <w:rPr>
          <w:rFonts w:ascii="Arial" w:hAnsi="Arial" w:cs="Arial"/>
          <w:sz w:val="20"/>
          <w:szCs w:val="20"/>
        </w:rPr>
        <w:t xml:space="preserve"> </w:t>
      </w:r>
      <w:r w:rsidR="00CF2847" w:rsidRPr="00D7375C">
        <w:rPr>
          <w:rFonts w:ascii="Arial" w:hAnsi="Arial" w:cs="Arial"/>
          <w:sz w:val="20"/>
          <w:szCs w:val="20"/>
        </w:rPr>
        <w:t>provide additional resourcing to recovery pursuits at no cost to the taxpayer or Government, and</w:t>
      </w:r>
      <w:r>
        <w:rPr>
          <w:rFonts w:ascii="Arial" w:hAnsi="Arial" w:cs="Arial"/>
          <w:sz w:val="20"/>
          <w:szCs w:val="20"/>
        </w:rPr>
        <w:t xml:space="preserve"> would</w:t>
      </w:r>
      <w:r w:rsidR="00CF2847" w:rsidRPr="00D7375C">
        <w:rPr>
          <w:rFonts w:ascii="Arial" w:hAnsi="Arial" w:cs="Arial"/>
          <w:sz w:val="20"/>
          <w:szCs w:val="20"/>
        </w:rPr>
        <w:t xml:space="preserve"> reduce or avoid mental and emotional stressors for affected employees by allowing their case to be run </w:t>
      </w:r>
      <w:r w:rsidR="00A47C31">
        <w:rPr>
          <w:rFonts w:ascii="Arial" w:hAnsi="Arial" w:cs="Arial"/>
          <w:sz w:val="20"/>
          <w:szCs w:val="20"/>
        </w:rPr>
        <w:t>‘</w:t>
      </w:r>
      <w:r w:rsidR="00CF2847" w:rsidRPr="00D7375C">
        <w:rPr>
          <w:rFonts w:ascii="Arial" w:hAnsi="Arial" w:cs="Arial"/>
          <w:sz w:val="20"/>
          <w:szCs w:val="20"/>
        </w:rPr>
        <w:t>at arm’s length</w:t>
      </w:r>
      <w:r w:rsidR="00A47C31">
        <w:rPr>
          <w:rFonts w:ascii="Arial" w:hAnsi="Arial" w:cs="Arial"/>
          <w:sz w:val="20"/>
          <w:szCs w:val="20"/>
        </w:rPr>
        <w:t>’</w:t>
      </w:r>
      <w:r w:rsidR="00CF2847" w:rsidRPr="00D7375C">
        <w:rPr>
          <w:rFonts w:ascii="Arial" w:hAnsi="Arial" w:cs="Arial"/>
          <w:sz w:val="20"/>
          <w:szCs w:val="20"/>
        </w:rPr>
        <w:t xml:space="preserve"> from them. </w:t>
      </w:r>
      <w:r>
        <w:rPr>
          <w:rFonts w:ascii="Arial" w:hAnsi="Arial" w:cs="Arial"/>
          <w:sz w:val="20"/>
          <w:szCs w:val="20"/>
        </w:rPr>
        <w:t xml:space="preserve">In </w:t>
      </w:r>
      <w:r w:rsidR="00A035BE">
        <w:rPr>
          <w:rFonts w:ascii="Arial" w:hAnsi="Arial" w:cs="Arial"/>
          <w:sz w:val="20"/>
          <w:szCs w:val="20"/>
        </w:rPr>
        <w:t>our</w:t>
      </w:r>
      <w:r>
        <w:rPr>
          <w:rFonts w:ascii="Arial" w:hAnsi="Arial" w:cs="Arial"/>
          <w:sz w:val="20"/>
          <w:szCs w:val="20"/>
        </w:rPr>
        <w:t xml:space="preserve"> case</w:t>
      </w:r>
      <w:r w:rsidR="00A035BE">
        <w:rPr>
          <w:rFonts w:ascii="Arial" w:hAnsi="Arial" w:cs="Arial"/>
          <w:sz w:val="20"/>
          <w:szCs w:val="20"/>
        </w:rPr>
        <w:t xml:space="preserve"> study</w:t>
      </w:r>
      <w:r w:rsidR="0052796A" w:rsidRPr="00D7375C">
        <w:rPr>
          <w:rFonts w:ascii="Arial" w:hAnsi="Arial" w:cs="Arial"/>
          <w:sz w:val="20"/>
          <w:szCs w:val="20"/>
        </w:rPr>
        <w:t>,</w:t>
      </w:r>
      <w:r>
        <w:rPr>
          <w:rFonts w:ascii="Arial" w:hAnsi="Arial" w:cs="Arial"/>
          <w:sz w:val="20"/>
          <w:szCs w:val="20"/>
        </w:rPr>
        <w:t xml:space="preserve"> the employees</w:t>
      </w:r>
      <w:r w:rsidR="00CF2847" w:rsidRPr="00D7375C">
        <w:rPr>
          <w:rFonts w:ascii="Arial" w:hAnsi="Arial" w:cs="Arial"/>
          <w:sz w:val="20"/>
          <w:szCs w:val="20"/>
        </w:rPr>
        <w:t xml:space="preserve"> do</w:t>
      </w:r>
      <w:r w:rsidR="0052796A" w:rsidRPr="00D7375C">
        <w:rPr>
          <w:rFonts w:ascii="Arial" w:hAnsi="Arial" w:cs="Arial"/>
          <w:sz w:val="20"/>
          <w:szCs w:val="20"/>
        </w:rPr>
        <w:t xml:space="preserve"> not have the financial means to pursue their entitlements and are being assisted by the MUA to do so.</w:t>
      </w:r>
    </w:p>
    <w:p w:rsidR="00CF2847" w:rsidRPr="00D7375C" w:rsidRDefault="0052796A" w:rsidP="00DF642D">
      <w:pPr>
        <w:rPr>
          <w:rFonts w:ascii="Arial" w:hAnsi="Arial" w:cs="Arial"/>
          <w:sz w:val="20"/>
          <w:szCs w:val="20"/>
          <w:u w:val="single"/>
        </w:rPr>
      </w:pPr>
      <w:r w:rsidRPr="00D7375C">
        <w:rPr>
          <w:rFonts w:ascii="Arial" w:hAnsi="Arial" w:cs="Arial"/>
          <w:sz w:val="20"/>
          <w:szCs w:val="20"/>
          <w:u w:val="single"/>
        </w:rPr>
        <w:t xml:space="preserve">Introduce a </w:t>
      </w:r>
      <w:r w:rsidR="00CF2847" w:rsidRPr="00D7375C">
        <w:rPr>
          <w:rFonts w:ascii="Arial" w:hAnsi="Arial" w:cs="Arial"/>
          <w:sz w:val="20"/>
          <w:szCs w:val="20"/>
          <w:u w:val="single"/>
        </w:rPr>
        <w:t>Director</w:t>
      </w:r>
      <w:r w:rsidRPr="00D7375C">
        <w:rPr>
          <w:rFonts w:ascii="Arial" w:hAnsi="Arial" w:cs="Arial"/>
          <w:sz w:val="20"/>
          <w:szCs w:val="20"/>
          <w:u w:val="single"/>
        </w:rPr>
        <w:t xml:space="preserve"> Identification Number</w:t>
      </w:r>
      <w:r w:rsidR="00501630" w:rsidRPr="00D7375C">
        <w:rPr>
          <w:rFonts w:ascii="Arial" w:hAnsi="Arial" w:cs="Arial"/>
          <w:sz w:val="20"/>
          <w:szCs w:val="20"/>
          <w:u w:val="single"/>
        </w:rPr>
        <w:t xml:space="preserve"> (DIN)</w:t>
      </w:r>
    </w:p>
    <w:p w:rsidR="0052796A" w:rsidRPr="00D7375C" w:rsidRDefault="00845628" w:rsidP="00DF642D">
      <w:pPr>
        <w:rPr>
          <w:rFonts w:ascii="Arial" w:hAnsi="Arial" w:cs="Arial"/>
          <w:sz w:val="20"/>
          <w:szCs w:val="20"/>
        </w:rPr>
      </w:pPr>
      <w:r w:rsidRPr="00D7375C">
        <w:rPr>
          <w:rFonts w:ascii="Arial" w:hAnsi="Arial" w:cs="Arial"/>
          <w:sz w:val="20"/>
          <w:szCs w:val="20"/>
          <w:lang w:val="en-US"/>
        </w:rPr>
        <w:t>It</w:t>
      </w:r>
      <w:r w:rsidR="00501630" w:rsidRPr="00D7375C">
        <w:rPr>
          <w:rFonts w:ascii="Arial" w:hAnsi="Arial" w:cs="Arial"/>
          <w:sz w:val="20"/>
          <w:szCs w:val="20"/>
          <w:lang w:val="en-US"/>
        </w:rPr>
        <w:t xml:space="preserve"> is </w:t>
      </w:r>
      <w:r w:rsidRPr="00D7375C">
        <w:rPr>
          <w:rFonts w:ascii="Arial" w:hAnsi="Arial" w:cs="Arial"/>
          <w:sz w:val="20"/>
          <w:szCs w:val="20"/>
          <w:lang w:val="en-US"/>
        </w:rPr>
        <w:t xml:space="preserve">currently </w:t>
      </w:r>
      <w:r w:rsidR="00707BAF">
        <w:rPr>
          <w:rFonts w:ascii="Arial" w:hAnsi="Arial" w:cs="Arial"/>
          <w:sz w:val="20"/>
          <w:szCs w:val="20"/>
          <w:lang w:val="en-US"/>
        </w:rPr>
        <w:t xml:space="preserve">very </w:t>
      </w:r>
      <w:r w:rsidR="00707BAF" w:rsidRPr="00D7375C">
        <w:rPr>
          <w:rFonts w:ascii="Arial" w:hAnsi="Arial" w:cs="Arial"/>
          <w:sz w:val="20"/>
          <w:szCs w:val="20"/>
          <w:lang w:val="en-US"/>
        </w:rPr>
        <w:t>eas</w:t>
      </w:r>
      <w:r w:rsidR="00707BAF">
        <w:rPr>
          <w:rFonts w:ascii="Arial" w:hAnsi="Arial" w:cs="Arial"/>
          <w:sz w:val="20"/>
          <w:szCs w:val="20"/>
          <w:lang w:val="en-US"/>
        </w:rPr>
        <w:t>y</w:t>
      </w:r>
      <w:r w:rsidR="00707BAF" w:rsidRPr="00D7375C">
        <w:rPr>
          <w:rFonts w:ascii="Arial" w:hAnsi="Arial" w:cs="Arial"/>
          <w:sz w:val="20"/>
          <w:szCs w:val="20"/>
          <w:lang w:val="en-US"/>
        </w:rPr>
        <w:t xml:space="preserve"> </w:t>
      </w:r>
      <w:r w:rsidR="00501630" w:rsidRPr="00D7375C">
        <w:rPr>
          <w:rFonts w:ascii="Arial" w:hAnsi="Arial" w:cs="Arial"/>
          <w:sz w:val="20"/>
          <w:szCs w:val="20"/>
          <w:lang w:val="en-US"/>
        </w:rPr>
        <w:t>to become a company director</w:t>
      </w:r>
      <w:r w:rsidRPr="00D7375C">
        <w:rPr>
          <w:rFonts w:ascii="Arial" w:hAnsi="Arial" w:cs="Arial"/>
          <w:sz w:val="20"/>
          <w:szCs w:val="20"/>
          <w:lang w:val="en-US"/>
        </w:rPr>
        <w:t xml:space="preserve">. No identification is required on application to be a </w:t>
      </w:r>
      <w:r w:rsidR="00707BAF">
        <w:rPr>
          <w:rFonts w:ascii="Arial" w:hAnsi="Arial" w:cs="Arial"/>
          <w:sz w:val="20"/>
          <w:szCs w:val="20"/>
          <w:lang w:val="en-US"/>
        </w:rPr>
        <w:t>company d</w:t>
      </w:r>
      <w:r w:rsidR="00707BAF" w:rsidRPr="00D7375C">
        <w:rPr>
          <w:rFonts w:ascii="Arial" w:hAnsi="Arial" w:cs="Arial"/>
          <w:sz w:val="20"/>
          <w:szCs w:val="20"/>
          <w:lang w:val="en-US"/>
        </w:rPr>
        <w:t>irector</w:t>
      </w:r>
      <w:r w:rsidRPr="00D7375C">
        <w:rPr>
          <w:rFonts w:ascii="Arial" w:hAnsi="Arial" w:cs="Arial"/>
          <w:sz w:val="20"/>
          <w:szCs w:val="20"/>
          <w:lang w:val="en-US"/>
        </w:rPr>
        <w:t xml:space="preserve">, nor are any other checks undertaken. </w:t>
      </w:r>
      <w:r w:rsidRPr="00D7375C">
        <w:rPr>
          <w:rFonts w:ascii="Arial" w:hAnsi="Arial" w:cs="Arial"/>
          <w:sz w:val="20"/>
          <w:szCs w:val="20"/>
        </w:rPr>
        <w:t xml:space="preserve">Establishing a DIN system, accompanied by </w:t>
      </w:r>
      <w:r w:rsidR="009F5344" w:rsidRPr="00D7375C">
        <w:rPr>
          <w:rFonts w:ascii="Arial" w:hAnsi="Arial" w:cs="Arial"/>
          <w:sz w:val="20"/>
          <w:szCs w:val="20"/>
        </w:rPr>
        <w:t>100-point</w:t>
      </w:r>
      <w:r w:rsidRPr="00D7375C">
        <w:rPr>
          <w:rFonts w:ascii="Arial" w:hAnsi="Arial" w:cs="Arial"/>
          <w:sz w:val="20"/>
          <w:szCs w:val="20"/>
        </w:rPr>
        <w:t xml:space="preserve"> certified identification checks akin to those that apply to </w:t>
      </w:r>
      <w:r w:rsidR="00B540A4">
        <w:rPr>
          <w:rFonts w:ascii="Arial" w:hAnsi="Arial" w:cs="Arial"/>
          <w:sz w:val="20"/>
          <w:szCs w:val="20"/>
        </w:rPr>
        <w:t>p</w:t>
      </w:r>
      <w:r w:rsidRPr="00D7375C">
        <w:rPr>
          <w:rFonts w:ascii="Arial" w:hAnsi="Arial" w:cs="Arial"/>
          <w:sz w:val="20"/>
          <w:szCs w:val="20"/>
        </w:rPr>
        <w:t xml:space="preserve">assport, bank account and driver licence applications, is a simple and </w:t>
      </w:r>
      <w:r w:rsidR="001D6D71" w:rsidRPr="00D7375C">
        <w:rPr>
          <w:rFonts w:ascii="Arial" w:hAnsi="Arial" w:cs="Arial"/>
          <w:sz w:val="20"/>
          <w:szCs w:val="20"/>
        </w:rPr>
        <w:t>cost-effective</w:t>
      </w:r>
      <w:r w:rsidR="00EC70D6" w:rsidRPr="00D7375C">
        <w:rPr>
          <w:rFonts w:ascii="Arial" w:hAnsi="Arial" w:cs="Arial"/>
          <w:sz w:val="20"/>
          <w:szCs w:val="20"/>
        </w:rPr>
        <w:t xml:space="preserve"> </w:t>
      </w:r>
      <w:r w:rsidR="009F5344" w:rsidRPr="00D7375C">
        <w:rPr>
          <w:rFonts w:ascii="Arial" w:hAnsi="Arial" w:cs="Arial"/>
          <w:sz w:val="20"/>
          <w:szCs w:val="20"/>
        </w:rPr>
        <w:t>way to prevent, detect and deter sharp corporate practices. It will also:</w:t>
      </w:r>
    </w:p>
    <w:p w:rsidR="009F5344" w:rsidRPr="00D7375C" w:rsidRDefault="00B540A4" w:rsidP="001D6D71">
      <w:pPr>
        <w:pStyle w:val="ListParagraph"/>
        <w:numPr>
          <w:ilvl w:val="0"/>
          <w:numId w:val="7"/>
        </w:numPr>
        <w:rPr>
          <w:rFonts w:ascii="Arial" w:hAnsi="Arial" w:cs="Arial"/>
          <w:sz w:val="20"/>
          <w:szCs w:val="20"/>
        </w:rPr>
      </w:pPr>
      <w:r>
        <w:rPr>
          <w:rFonts w:ascii="Arial" w:hAnsi="Arial" w:cs="Arial"/>
          <w:sz w:val="20"/>
          <w:szCs w:val="20"/>
        </w:rPr>
        <w:t>e</w:t>
      </w:r>
      <w:r w:rsidRPr="00D7375C">
        <w:rPr>
          <w:rFonts w:ascii="Arial" w:hAnsi="Arial" w:cs="Arial"/>
          <w:sz w:val="20"/>
          <w:szCs w:val="20"/>
        </w:rPr>
        <w:t xml:space="preserve">nable </w:t>
      </w:r>
      <w:r w:rsidR="009F5344" w:rsidRPr="00D7375C">
        <w:rPr>
          <w:rFonts w:ascii="Arial" w:hAnsi="Arial" w:cs="Arial"/>
          <w:sz w:val="20"/>
          <w:szCs w:val="20"/>
        </w:rPr>
        <w:t xml:space="preserve">employees, small businesses, liquidators, enforcement agencies and </w:t>
      </w:r>
      <w:r w:rsidR="00A47C31">
        <w:rPr>
          <w:rFonts w:ascii="Arial" w:hAnsi="Arial" w:cs="Arial"/>
          <w:sz w:val="20"/>
          <w:szCs w:val="20"/>
        </w:rPr>
        <w:t>‘</w:t>
      </w:r>
      <w:r w:rsidR="009F5344" w:rsidRPr="00D7375C">
        <w:rPr>
          <w:rFonts w:ascii="Arial" w:hAnsi="Arial" w:cs="Arial"/>
          <w:sz w:val="20"/>
          <w:szCs w:val="20"/>
        </w:rPr>
        <w:t>allies</w:t>
      </w:r>
      <w:r w:rsidR="00A47C31">
        <w:rPr>
          <w:rFonts w:ascii="Arial" w:hAnsi="Arial" w:cs="Arial"/>
          <w:sz w:val="20"/>
          <w:szCs w:val="20"/>
        </w:rPr>
        <w:t>’</w:t>
      </w:r>
      <w:r w:rsidR="009F5344" w:rsidRPr="00D7375C">
        <w:rPr>
          <w:rFonts w:ascii="Arial" w:hAnsi="Arial" w:cs="Arial"/>
          <w:sz w:val="20"/>
          <w:szCs w:val="20"/>
        </w:rPr>
        <w:t xml:space="preserve"> </w:t>
      </w:r>
      <w:r>
        <w:rPr>
          <w:rFonts w:ascii="Arial" w:hAnsi="Arial" w:cs="Arial"/>
          <w:sz w:val="20"/>
          <w:szCs w:val="20"/>
        </w:rPr>
        <w:t>such as</w:t>
      </w:r>
      <w:r w:rsidR="009F5344" w:rsidRPr="00D7375C">
        <w:rPr>
          <w:rFonts w:ascii="Arial" w:hAnsi="Arial" w:cs="Arial"/>
          <w:sz w:val="20"/>
          <w:szCs w:val="20"/>
        </w:rPr>
        <w:t xml:space="preserve"> unions, </w:t>
      </w:r>
      <w:r>
        <w:rPr>
          <w:rFonts w:ascii="Arial" w:hAnsi="Arial" w:cs="Arial"/>
          <w:sz w:val="20"/>
          <w:szCs w:val="20"/>
        </w:rPr>
        <w:t>s</w:t>
      </w:r>
      <w:r w:rsidRPr="00D7375C">
        <w:rPr>
          <w:rFonts w:ascii="Arial" w:hAnsi="Arial" w:cs="Arial"/>
          <w:sz w:val="20"/>
          <w:szCs w:val="20"/>
        </w:rPr>
        <w:t xml:space="preserve">uperannuation </w:t>
      </w:r>
      <w:r w:rsidR="009F5344" w:rsidRPr="00D7375C">
        <w:rPr>
          <w:rFonts w:ascii="Arial" w:hAnsi="Arial" w:cs="Arial"/>
          <w:sz w:val="20"/>
          <w:szCs w:val="20"/>
        </w:rPr>
        <w:t>funds</w:t>
      </w:r>
      <w:r>
        <w:rPr>
          <w:rFonts w:ascii="Arial" w:hAnsi="Arial" w:cs="Arial"/>
          <w:sz w:val="20"/>
          <w:szCs w:val="20"/>
        </w:rPr>
        <w:t xml:space="preserve"> and</w:t>
      </w:r>
      <w:r w:rsidR="009F5344" w:rsidRPr="00D7375C">
        <w:rPr>
          <w:rFonts w:ascii="Arial" w:hAnsi="Arial" w:cs="Arial"/>
          <w:sz w:val="20"/>
          <w:szCs w:val="20"/>
        </w:rPr>
        <w:t xml:space="preserve"> creditors, to access director history</w:t>
      </w:r>
      <w:r>
        <w:rPr>
          <w:rFonts w:ascii="Arial" w:hAnsi="Arial" w:cs="Arial"/>
          <w:sz w:val="20"/>
          <w:szCs w:val="20"/>
        </w:rPr>
        <w:t>;</w:t>
      </w:r>
    </w:p>
    <w:p w:rsidR="009F5344" w:rsidRPr="00D7375C" w:rsidRDefault="00B540A4" w:rsidP="001D6D71">
      <w:pPr>
        <w:pStyle w:val="ListParagraph"/>
        <w:numPr>
          <w:ilvl w:val="0"/>
          <w:numId w:val="7"/>
        </w:numPr>
        <w:rPr>
          <w:rFonts w:ascii="Arial" w:hAnsi="Arial" w:cs="Arial"/>
          <w:sz w:val="20"/>
          <w:szCs w:val="20"/>
        </w:rPr>
      </w:pPr>
      <w:r>
        <w:rPr>
          <w:rFonts w:ascii="Arial" w:hAnsi="Arial" w:cs="Arial"/>
          <w:sz w:val="20"/>
          <w:szCs w:val="20"/>
        </w:rPr>
        <w:t>p</w:t>
      </w:r>
      <w:r w:rsidRPr="00D7375C">
        <w:rPr>
          <w:rFonts w:ascii="Arial" w:hAnsi="Arial" w:cs="Arial"/>
          <w:sz w:val="20"/>
          <w:szCs w:val="20"/>
        </w:rPr>
        <w:t xml:space="preserve">rovide </w:t>
      </w:r>
      <w:r w:rsidR="009F5344" w:rsidRPr="00D7375C">
        <w:rPr>
          <w:rFonts w:ascii="Arial" w:hAnsi="Arial" w:cs="Arial"/>
          <w:sz w:val="20"/>
          <w:szCs w:val="20"/>
        </w:rPr>
        <w:t>a simple and easy-to-use tracking and disruption mechanism</w:t>
      </w:r>
      <w:r>
        <w:rPr>
          <w:rFonts w:ascii="Arial" w:hAnsi="Arial" w:cs="Arial"/>
          <w:sz w:val="20"/>
          <w:szCs w:val="20"/>
        </w:rPr>
        <w:t>;</w:t>
      </w:r>
    </w:p>
    <w:p w:rsidR="009F5344" w:rsidRPr="00D7375C" w:rsidRDefault="00B540A4" w:rsidP="001D6D71">
      <w:pPr>
        <w:pStyle w:val="ListParagraph"/>
        <w:numPr>
          <w:ilvl w:val="0"/>
          <w:numId w:val="7"/>
        </w:numPr>
        <w:rPr>
          <w:rFonts w:ascii="Arial" w:hAnsi="Arial" w:cs="Arial"/>
          <w:sz w:val="20"/>
          <w:szCs w:val="20"/>
        </w:rPr>
      </w:pPr>
      <w:r>
        <w:rPr>
          <w:rFonts w:ascii="Arial" w:hAnsi="Arial" w:cs="Arial"/>
          <w:sz w:val="20"/>
          <w:szCs w:val="20"/>
        </w:rPr>
        <w:t>g</w:t>
      </w:r>
      <w:r w:rsidRPr="00D7375C">
        <w:rPr>
          <w:rFonts w:ascii="Arial" w:hAnsi="Arial" w:cs="Arial"/>
          <w:sz w:val="20"/>
          <w:szCs w:val="20"/>
        </w:rPr>
        <w:t xml:space="preserve">enerate </w:t>
      </w:r>
      <w:r w:rsidR="009F5344" w:rsidRPr="00D7375C">
        <w:rPr>
          <w:rFonts w:ascii="Arial" w:hAnsi="Arial" w:cs="Arial"/>
          <w:sz w:val="20"/>
          <w:szCs w:val="20"/>
        </w:rPr>
        <w:t>revenue as applications will require payment of a fee prior to being processed</w:t>
      </w:r>
      <w:r>
        <w:rPr>
          <w:rFonts w:ascii="Arial" w:hAnsi="Arial" w:cs="Arial"/>
          <w:sz w:val="20"/>
          <w:szCs w:val="20"/>
        </w:rPr>
        <w:t>;</w:t>
      </w:r>
    </w:p>
    <w:p w:rsidR="009F5344" w:rsidRPr="00D7375C" w:rsidRDefault="00B540A4" w:rsidP="001D6D71">
      <w:pPr>
        <w:pStyle w:val="ListParagraph"/>
        <w:numPr>
          <w:ilvl w:val="0"/>
          <w:numId w:val="7"/>
        </w:numPr>
        <w:rPr>
          <w:rFonts w:ascii="Arial" w:hAnsi="Arial" w:cs="Arial"/>
          <w:sz w:val="20"/>
          <w:szCs w:val="20"/>
        </w:rPr>
      </w:pPr>
      <w:r>
        <w:rPr>
          <w:rFonts w:ascii="Arial" w:hAnsi="Arial" w:cs="Arial"/>
          <w:sz w:val="20"/>
          <w:szCs w:val="20"/>
        </w:rPr>
        <w:t>p</w:t>
      </w:r>
      <w:r w:rsidRPr="00D7375C">
        <w:rPr>
          <w:rFonts w:ascii="Arial" w:hAnsi="Arial" w:cs="Arial"/>
          <w:sz w:val="20"/>
          <w:szCs w:val="20"/>
        </w:rPr>
        <w:t xml:space="preserve">rovide </w:t>
      </w:r>
      <w:r w:rsidR="009F5344" w:rsidRPr="00D7375C">
        <w:rPr>
          <w:rFonts w:ascii="Arial" w:hAnsi="Arial" w:cs="Arial"/>
          <w:sz w:val="20"/>
          <w:szCs w:val="20"/>
        </w:rPr>
        <w:t xml:space="preserve">enforcement agencies and regulators, namely ASIC, </w:t>
      </w:r>
      <w:r w:rsidR="00A47C31">
        <w:rPr>
          <w:rFonts w:ascii="Arial" w:hAnsi="Arial" w:cs="Arial"/>
          <w:sz w:val="20"/>
          <w:szCs w:val="20"/>
        </w:rPr>
        <w:t>‘</w:t>
      </w:r>
      <w:r w:rsidR="009F5344" w:rsidRPr="00D7375C">
        <w:rPr>
          <w:rFonts w:ascii="Arial" w:hAnsi="Arial" w:cs="Arial"/>
          <w:sz w:val="20"/>
          <w:szCs w:val="20"/>
        </w:rPr>
        <w:t>whole picture</w:t>
      </w:r>
      <w:r w:rsidR="00A47C31">
        <w:rPr>
          <w:rFonts w:ascii="Arial" w:hAnsi="Arial" w:cs="Arial"/>
          <w:sz w:val="20"/>
          <w:szCs w:val="20"/>
        </w:rPr>
        <w:t>’</w:t>
      </w:r>
      <w:r w:rsidR="009F5344" w:rsidRPr="00D7375C">
        <w:rPr>
          <w:rFonts w:ascii="Arial" w:hAnsi="Arial" w:cs="Arial"/>
          <w:sz w:val="20"/>
          <w:szCs w:val="20"/>
        </w:rPr>
        <w:t xml:space="preserve"> information on repeat offenders, contributing to their ability to prose</w:t>
      </w:r>
      <w:r w:rsidR="00A845A7" w:rsidRPr="00D7375C">
        <w:rPr>
          <w:rFonts w:ascii="Arial" w:hAnsi="Arial" w:cs="Arial"/>
          <w:sz w:val="20"/>
          <w:szCs w:val="20"/>
        </w:rPr>
        <w:t>cute</w:t>
      </w:r>
      <w:r>
        <w:rPr>
          <w:rFonts w:ascii="Arial" w:hAnsi="Arial" w:cs="Arial"/>
          <w:sz w:val="20"/>
          <w:szCs w:val="20"/>
        </w:rPr>
        <w:t>; and</w:t>
      </w:r>
    </w:p>
    <w:p w:rsidR="001D6D71" w:rsidRPr="00D7375C" w:rsidRDefault="00B540A4" w:rsidP="001D6D71">
      <w:pPr>
        <w:pStyle w:val="ListParagraph"/>
        <w:numPr>
          <w:ilvl w:val="0"/>
          <w:numId w:val="7"/>
        </w:numPr>
        <w:rPr>
          <w:rFonts w:ascii="Arial" w:hAnsi="Arial" w:cs="Arial"/>
          <w:sz w:val="20"/>
          <w:szCs w:val="20"/>
        </w:rPr>
      </w:pPr>
      <w:r>
        <w:rPr>
          <w:rFonts w:ascii="Arial" w:hAnsi="Arial" w:cs="Arial"/>
          <w:sz w:val="20"/>
          <w:szCs w:val="20"/>
        </w:rPr>
        <w:t>d</w:t>
      </w:r>
      <w:r w:rsidRPr="00D7375C">
        <w:rPr>
          <w:rFonts w:ascii="Arial" w:hAnsi="Arial" w:cs="Arial"/>
          <w:sz w:val="20"/>
          <w:szCs w:val="20"/>
        </w:rPr>
        <w:t xml:space="preserve">eter </w:t>
      </w:r>
      <w:r w:rsidR="00A845A7" w:rsidRPr="00D7375C">
        <w:rPr>
          <w:rFonts w:ascii="Arial" w:hAnsi="Arial" w:cs="Arial"/>
          <w:sz w:val="20"/>
          <w:szCs w:val="20"/>
        </w:rPr>
        <w:t>not only inappropriate reliance on FEG, but avoidance of meeting other EE obligations such as payment of SG</w:t>
      </w:r>
      <w:r>
        <w:rPr>
          <w:rFonts w:ascii="Arial" w:hAnsi="Arial" w:cs="Arial"/>
          <w:sz w:val="20"/>
          <w:szCs w:val="20"/>
        </w:rPr>
        <w:t>.</w:t>
      </w:r>
      <w:r>
        <w:rPr>
          <w:rStyle w:val="FootnoteReference"/>
          <w:rFonts w:ascii="Arial" w:hAnsi="Arial" w:cs="Arial"/>
          <w:sz w:val="20"/>
          <w:szCs w:val="20"/>
        </w:rPr>
        <w:footnoteReference w:id="8"/>
      </w:r>
    </w:p>
    <w:p w:rsidR="009F5344" w:rsidRPr="00D7375C" w:rsidRDefault="009F5344" w:rsidP="00DF642D">
      <w:pPr>
        <w:rPr>
          <w:rFonts w:ascii="Arial" w:hAnsi="Arial" w:cs="Arial"/>
          <w:sz w:val="20"/>
          <w:szCs w:val="20"/>
          <w:u w:val="single"/>
        </w:rPr>
      </w:pPr>
      <w:r w:rsidRPr="00D7375C">
        <w:rPr>
          <w:rFonts w:ascii="Arial" w:hAnsi="Arial" w:cs="Arial"/>
          <w:sz w:val="20"/>
          <w:szCs w:val="20"/>
          <w:u w:val="single"/>
        </w:rPr>
        <w:t xml:space="preserve">Improve information sharing </w:t>
      </w:r>
      <w:r w:rsidR="00A845A7" w:rsidRPr="00D7375C">
        <w:rPr>
          <w:rFonts w:ascii="Arial" w:hAnsi="Arial" w:cs="Arial"/>
          <w:sz w:val="20"/>
          <w:szCs w:val="20"/>
          <w:u w:val="single"/>
        </w:rPr>
        <w:t xml:space="preserve">between regulators, </w:t>
      </w:r>
      <w:r w:rsidR="00B540A4">
        <w:rPr>
          <w:rFonts w:ascii="Arial" w:hAnsi="Arial" w:cs="Arial"/>
          <w:sz w:val="20"/>
          <w:szCs w:val="20"/>
          <w:u w:val="single"/>
        </w:rPr>
        <w:t>d</w:t>
      </w:r>
      <w:r w:rsidR="00EF3AB8" w:rsidRPr="00D7375C">
        <w:rPr>
          <w:rFonts w:ascii="Arial" w:hAnsi="Arial" w:cs="Arial"/>
          <w:sz w:val="20"/>
          <w:szCs w:val="20"/>
          <w:u w:val="single"/>
        </w:rPr>
        <w:t>epartments</w:t>
      </w:r>
      <w:r w:rsidR="00A845A7" w:rsidRPr="00D7375C">
        <w:rPr>
          <w:rFonts w:ascii="Arial" w:hAnsi="Arial" w:cs="Arial"/>
          <w:sz w:val="20"/>
          <w:szCs w:val="20"/>
          <w:u w:val="single"/>
        </w:rPr>
        <w:t xml:space="preserve"> and institutes</w:t>
      </w:r>
    </w:p>
    <w:p w:rsidR="009F5344" w:rsidRPr="00D7375C" w:rsidRDefault="001D6D71" w:rsidP="00DF642D">
      <w:pPr>
        <w:rPr>
          <w:rFonts w:ascii="Arial" w:hAnsi="Arial" w:cs="Arial"/>
          <w:sz w:val="20"/>
          <w:szCs w:val="20"/>
        </w:rPr>
      </w:pPr>
      <w:r w:rsidRPr="00D7375C">
        <w:rPr>
          <w:rFonts w:ascii="Arial" w:hAnsi="Arial" w:cs="Arial"/>
          <w:sz w:val="20"/>
          <w:szCs w:val="20"/>
        </w:rPr>
        <w:t xml:space="preserve">The ALP has supported the Government’s information exchange reform in the </w:t>
      </w:r>
      <w:r w:rsidRPr="00B626B4">
        <w:rPr>
          <w:rFonts w:ascii="Arial" w:hAnsi="Arial" w:cs="Arial"/>
          <w:i/>
          <w:sz w:val="20"/>
          <w:szCs w:val="20"/>
        </w:rPr>
        <w:t>Treasury Laws Amendment (2017 Measures No. 1) Bill 2017</w:t>
      </w:r>
      <w:r w:rsidR="00B540A4">
        <w:rPr>
          <w:rFonts w:ascii="Arial" w:hAnsi="Arial" w:cs="Arial"/>
          <w:sz w:val="20"/>
          <w:szCs w:val="20"/>
        </w:rPr>
        <w:t xml:space="preserve"> (Cth)</w:t>
      </w:r>
      <w:r w:rsidRPr="00D7375C">
        <w:rPr>
          <w:rFonts w:ascii="Arial" w:hAnsi="Arial" w:cs="Arial"/>
          <w:sz w:val="20"/>
          <w:szCs w:val="20"/>
        </w:rPr>
        <w:t>, which allows for the sharing of confidential information between ASIC and the Commissioner of Taxation. This Bill goes some way to addressing barriers to information sharing that prevent the detection and prosecution of sharp corporate practices however, comprehensive reform should include measures enabling:</w:t>
      </w:r>
    </w:p>
    <w:p w:rsidR="00A53CDA" w:rsidRPr="00195C85" w:rsidRDefault="00B540A4" w:rsidP="00195C85">
      <w:pPr>
        <w:pStyle w:val="ListParagraph"/>
        <w:numPr>
          <w:ilvl w:val="0"/>
          <w:numId w:val="11"/>
        </w:numPr>
        <w:rPr>
          <w:rFonts w:ascii="Arial" w:hAnsi="Arial" w:cs="Arial"/>
          <w:sz w:val="20"/>
          <w:szCs w:val="20"/>
        </w:rPr>
      </w:pPr>
      <w:r>
        <w:rPr>
          <w:rFonts w:ascii="Arial" w:hAnsi="Arial" w:cs="Arial"/>
          <w:sz w:val="20"/>
          <w:szCs w:val="20"/>
        </w:rPr>
        <w:t>i</w:t>
      </w:r>
      <w:r w:rsidRPr="00195C85">
        <w:rPr>
          <w:rFonts w:ascii="Arial" w:hAnsi="Arial" w:cs="Arial"/>
          <w:sz w:val="20"/>
          <w:szCs w:val="20"/>
        </w:rPr>
        <w:t xml:space="preserve">ncreased </w:t>
      </w:r>
      <w:r w:rsidR="00A53CDA" w:rsidRPr="00195C85">
        <w:rPr>
          <w:rFonts w:ascii="Arial" w:hAnsi="Arial" w:cs="Arial"/>
          <w:sz w:val="20"/>
          <w:szCs w:val="20"/>
        </w:rPr>
        <w:t>information sharing between regulators (ASIC, ATO</w:t>
      </w:r>
      <w:r>
        <w:rPr>
          <w:rFonts w:ascii="Arial" w:hAnsi="Arial" w:cs="Arial"/>
          <w:sz w:val="20"/>
          <w:szCs w:val="20"/>
        </w:rPr>
        <w:t xml:space="preserve"> and</w:t>
      </w:r>
      <w:r w:rsidR="00A53CDA" w:rsidRPr="00195C85">
        <w:rPr>
          <w:rFonts w:ascii="Arial" w:hAnsi="Arial" w:cs="Arial"/>
          <w:sz w:val="20"/>
          <w:szCs w:val="20"/>
        </w:rPr>
        <w:t xml:space="preserve"> F</w:t>
      </w:r>
      <w:r>
        <w:rPr>
          <w:rFonts w:ascii="Arial" w:hAnsi="Arial" w:cs="Arial"/>
          <w:sz w:val="20"/>
          <w:szCs w:val="20"/>
        </w:rPr>
        <w:t xml:space="preserve">air </w:t>
      </w:r>
      <w:r w:rsidR="00A53CDA" w:rsidRPr="00195C85">
        <w:rPr>
          <w:rFonts w:ascii="Arial" w:hAnsi="Arial" w:cs="Arial"/>
          <w:sz w:val="20"/>
          <w:szCs w:val="20"/>
        </w:rPr>
        <w:t>W</w:t>
      </w:r>
      <w:r>
        <w:rPr>
          <w:rFonts w:ascii="Arial" w:hAnsi="Arial" w:cs="Arial"/>
          <w:sz w:val="20"/>
          <w:szCs w:val="20"/>
        </w:rPr>
        <w:t xml:space="preserve">ork </w:t>
      </w:r>
      <w:r w:rsidR="00A53CDA" w:rsidRPr="00195C85">
        <w:rPr>
          <w:rFonts w:ascii="Arial" w:hAnsi="Arial" w:cs="Arial"/>
          <w:sz w:val="20"/>
          <w:szCs w:val="20"/>
        </w:rPr>
        <w:t>O</w:t>
      </w:r>
      <w:r>
        <w:rPr>
          <w:rFonts w:ascii="Arial" w:hAnsi="Arial" w:cs="Arial"/>
          <w:sz w:val="20"/>
          <w:szCs w:val="20"/>
        </w:rPr>
        <w:t>mbudsman</w:t>
      </w:r>
      <w:r w:rsidR="00A53CDA" w:rsidRPr="00195C85">
        <w:rPr>
          <w:rFonts w:ascii="Arial" w:hAnsi="Arial" w:cs="Arial"/>
          <w:sz w:val="20"/>
          <w:szCs w:val="20"/>
        </w:rPr>
        <w:t>)</w:t>
      </w:r>
      <w:r>
        <w:rPr>
          <w:rFonts w:ascii="Arial" w:hAnsi="Arial" w:cs="Arial"/>
          <w:sz w:val="20"/>
          <w:szCs w:val="20"/>
        </w:rPr>
        <w:t>;</w:t>
      </w:r>
    </w:p>
    <w:p w:rsidR="00A53CDA" w:rsidRPr="00195C85" w:rsidRDefault="00B540A4" w:rsidP="00195C85">
      <w:pPr>
        <w:pStyle w:val="ListParagraph"/>
        <w:numPr>
          <w:ilvl w:val="0"/>
          <w:numId w:val="11"/>
        </w:numPr>
        <w:rPr>
          <w:rFonts w:ascii="Arial" w:hAnsi="Arial" w:cs="Arial"/>
          <w:sz w:val="20"/>
          <w:szCs w:val="20"/>
        </w:rPr>
      </w:pPr>
      <w:r>
        <w:rPr>
          <w:rFonts w:ascii="Arial" w:hAnsi="Arial" w:cs="Arial"/>
          <w:sz w:val="20"/>
          <w:szCs w:val="20"/>
        </w:rPr>
        <w:t>i</w:t>
      </w:r>
      <w:r w:rsidRPr="00195C85">
        <w:rPr>
          <w:rFonts w:ascii="Arial" w:hAnsi="Arial" w:cs="Arial"/>
          <w:sz w:val="20"/>
          <w:szCs w:val="20"/>
        </w:rPr>
        <w:t xml:space="preserve">ncreased </w:t>
      </w:r>
      <w:r w:rsidR="00A53CDA" w:rsidRPr="00195C85">
        <w:rPr>
          <w:rFonts w:ascii="Arial" w:hAnsi="Arial" w:cs="Arial"/>
          <w:sz w:val="20"/>
          <w:szCs w:val="20"/>
        </w:rPr>
        <w:t>information sharing between trade and others (</w:t>
      </w:r>
      <w:r>
        <w:rPr>
          <w:rFonts w:ascii="Arial" w:hAnsi="Arial" w:cs="Arial"/>
          <w:sz w:val="20"/>
          <w:szCs w:val="20"/>
        </w:rPr>
        <w:t>e</w:t>
      </w:r>
      <w:r w:rsidR="001C26FF">
        <w:rPr>
          <w:rFonts w:ascii="Arial" w:hAnsi="Arial" w:cs="Arial"/>
          <w:sz w:val="20"/>
          <w:szCs w:val="20"/>
        </w:rPr>
        <w:t>.</w:t>
      </w:r>
      <w:r>
        <w:rPr>
          <w:rFonts w:ascii="Arial" w:hAnsi="Arial" w:cs="Arial"/>
          <w:sz w:val="20"/>
          <w:szCs w:val="20"/>
        </w:rPr>
        <w:t>g</w:t>
      </w:r>
      <w:r w:rsidR="001C26FF">
        <w:rPr>
          <w:rFonts w:ascii="Arial" w:hAnsi="Arial" w:cs="Arial"/>
          <w:sz w:val="20"/>
          <w:szCs w:val="20"/>
        </w:rPr>
        <w:t>.</w:t>
      </w:r>
      <w:r>
        <w:rPr>
          <w:rFonts w:ascii="Arial" w:hAnsi="Arial" w:cs="Arial"/>
          <w:sz w:val="20"/>
          <w:szCs w:val="20"/>
        </w:rPr>
        <w:t xml:space="preserve"> </w:t>
      </w:r>
      <w:r w:rsidR="00A53CDA" w:rsidRPr="00195C85">
        <w:rPr>
          <w:rFonts w:ascii="Arial" w:hAnsi="Arial" w:cs="Arial"/>
          <w:sz w:val="20"/>
          <w:szCs w:val="20"/>
        </w:rPr>
        <w:t>ASIC, ATO, FWO</w:t>
      </w:r>
      <w:r>
        <w:rPr>
          <w:rFonts w:ascii="Arial" w:hAnsi="Arial" w:cs="Arial"/>
          <w:sz w:val="20"/>
          <w:szCs w:val="20"/>
        </w:rPr>
        <w:t xml:space="preserve"> and s</w:t>
      </w:r>
      <w:r w:rsidR="00A53CDA" w:rsidRPr="00195C85">
        <w:rPr>
          <w:rFonts w:ascii="Arial" w:hAnsi="Arial" w:cs="Arial"/>
          <w:sz w:val="20"/>
          <w:szCs w:val="20"/>
        </w:rPr>
        <w:t>uperannuation funds).</w:t>
      </w:r>
      <w:r w:rsidRPr="00D7375C">
        <w:rPr>
          <w:rStyle w:val="FootnoteReference"/>
          <w:rFonts w:ascii="Arial" w:hAnsi="Arial" w:cs="Arial"/>
          <w:sz w:val="20"/>
          <w:szCs w:val="20"/>
        </w:rPr>
        <w:footnoteReference w:id="9"/>
      </w:r>
    </w:p>
    <w:p w:rsidR="00A53CDA" w:rsidRPr="00D7375C" w:rsidRDefault="00A53CDA" w:rsidP="00DF642D">
      <w:pPr>
        <w:rPr>
          <w:rFonts w:ascii="Arial" w:hAnsi="Arial" w:cs="Arial"/>
          <w:sz w:val="20"/>
          <w:szCs w:val="20"/>
        </w:rPr>
      </w:pPr>
      <w:r w:rsidRPr="00D7375C">
        <w:rPr>
          <w:rFonts w:ascii="Arial" w:hAnsi="Arial" w:cs="Arial"/>
          <w:sz w:val="20"/>
          <w:szCs w:val="20"/>
        </w:rPr>
        <w:t xml:space="preserve">On this last point, the MUA draws attention to Anderson et al. </w:t>
      </w:r>
    </w:p>
    <w:p w:rsidR="00A53CDA" w:rsidRPr="00D7375C" w:rsidRDefault="00A53CDA" w:rsidP="00A53CDA">
      <w:pPr>
        <w:ind w:left="720"/>
        <w:rPr>
          <w:rFonts w:ascii="Arial" w:hAnsi="Arial" w:cs="Arial"/>
          <w:sz w:val="20"/>
          <w:szCs w:val="20"/>
        </w:rPr>
      </w:pPr>
      <w:r w:rsidRPr="00D7375C">
        <w:rPr>
          <w:rFonts w:ascii="Arial" w:hAnsi="Arial" w:cs="Arial"/>
          <w:sz w:val="20"/>
          <w:szCs w:val="20"/>
        </w:rPr>
        <w:t xml:space="preserve">Superannuation funds, trade unions, and credit reporting agencies are the ‘canaries in the coal mine’ when it comes to harmful phoenix activity…. Unions become aware of the non-payment of wages through member complaints. They may know of notorious directors who have resurfaced </w:t>
      </w:r>
      <w:r w:rsidR="00EF3AB8">
        <w:rPr>
          <w:rFonts w:ascii="Arial" w:hAnsi="Arial" w:cs="Arial"/>
          <w:sz w:val="20"/>
          <w:szCs w:val="20"/>
        </w:rPr>
        <w:t>time and again</w:t>
      </w:r>
      <w:r w:rsidRPr="00D7375C">
        <w:rPr>
          <w:rFonts w:ascii="Arial" w:hAnsi="Arial" w:cs="Arial"/>
          <w:sz w:val="20"/>
          <w:szCs w:val="20"/>
        </w:rPr>
        <w:t>.</w:t>
      </w:r>
      <w:r w:rsidR="00B540A4">
        <w:rPr>
          <w:rStyle w:val="FootnoteReference"/>
          <w:rFonts w:ascii="Arial" w:hAnsi="Arial" w:cs="Arial"/>
          <w:sz w:val="20"/>
          <w:szCs w:val="20"/>
        </w:rPr>
        <w:footnoteReference w:id="10"/>
      </w:r>
    </w:p>
    <w:p w:rsidR="00E70246" w:rsidRDefault="00A035BE" w:rsidP="00A53CDA">
      <w:pPr>
        <w:rPr>
          <w:rFonts w:ascii="Arial" w:hAnsi="Arial" w:cs="Arial"/>
          <w:sz w:val="20"/>
          <w:szCs w:val="20"/>
        </w:rPr>
      </w:pPr>
      <w:r>
        <w:rPr>
          <w:rFonts w:ascii="Arial" w:hAnsi="Arial" w:cs="Arial"/>
          <w:color w:val="000000"/>
          <w:sz w:val="20"/>
          <w:szCs w:val="20"/>
        </w:rPr>
        <w:t>Our</w:t>
      </w:r>
      <w:r w:rsidR="00A53CDA" w:rsidRPr="00A53CDA">
        <w:rPr>
          <w:rFonts w:ascii="Arial" w:hAnsi="Arial" w:cs="Arial"/>
          <w:color w:val="000000"/>
          <w:sz w:val="20"/>
          <w:szCs w:val="20"/>
        </w:rPr>
        <w:t xml:space="preserve"> case study suggests that the resources and coordination between government agencies and other stakeholders to prevent</w:t>
      </w:r>
      <w:r w:rsidR="00E70246" w:rsidRPr="00D7375C">
        <w:rPr>
          <w:rFonts w:ascii="Arial" w:hAnsi="Arial" w:cs="Arial"/>
          <w:color w:val="000000"/>
          <w:sz w:val="20"/>
          <w:szCs w:val="20"/>
        </w:rPr>
        <w:t xml:space="preserve"> [SG]</w:t>
      </w:r>
      <w:r w:rsidR="00A53CDA" w:rsidRPr="00A53CDA">
        <w:rPr>
          <w:rFonts w:ascii="Arial" w:hAnsi="Arial" w:cs="Arial"/>
          <w:color w:val="000000"/>
          <w:sz w:val="20"/>
          <w:szCs w:val="20"/>
        </w:rPr>
        <w:t xml:space="preserve"> non-payment are inadequate</w:t>
      </w:r>
      <w:r w:rsidR="001C26FF">
        <w:rPr>
          <w:rFonts w:ascii="Arial" w:hAnsi="Arial" w:cs="Arial"/>
          <w:color w:val="000000"/>
          <w:sz w:val="20"/>
          <w:szCs w:val="20"/>
        </w:rPr>
        <w:t>.</w:t>
      </w:r>
      <w:r w:rsidR="00E70246" w:rsidRPr="00D7375C">
        <w:rPr>
          <w:rFonts w:ascii="Arial" w:hAnsi="Arial" w:cs="Arial"/>
          <w:color w:val="000000"/>
          <w:sz w:val="20"/>
          <w:szCs w:val="20"/>
        </w:rPr>
        <w:t xml:space="preserve"> </w:t>
      </w:r>
      <w:r w:rsidR="00A53CDA" w:rsidRPr="00D7375C">
        <w:rPr>
          <w:rFonts w:ascii="Arial" w:hAnsi="Arial" w:cs="Arial"/>
          <w:color w:val="000000"/>
          <w:sz w:val="20"/>
          <w:szCs w:val="20"/>
        </w:rPr>
        <w:t xml:space="preserve">There has been no indication that the sustained and systematic non-payment by </w:t>
      </w:r>
      <w:r>
        <w:rPr>
          <w:rFonts w:ascii="Arial" w:hAnsi="Arial" w:cs="Arial"/>
          <w:color w:val="000000"/>
          <w:sz w:val="20"/>
          <w:szCs w:val="20"/>
        </w:rPr>
        <w:t>the company (or the actions of the company director)</w:t>
      </w:r>
      <w:r w:rsidR="00A53CDA" w:rsidRPr="00D7375C">
        <w:rPr>
          <w:rFonts w:ascii="Arial" w:hAnsi="Arial" w:cs="Arial"/>
          <w:color w:val="000000"/>
          <w:sz w:val="20"/>
          <w:szCs w:val="20"/>
        </w:rPr>
        <w:t xml:space="preserve"> is being monitored, or a response being coordinated, across government agencies and stakeholders. This lack of sharing and coordination limits the ability to prevent and prosecute non-payment of SG in a comprehensive, timely and effective manner.</w:t>
      </w:r>
      <w:r w:rsidR="00B540A4">
        <w:rPr>
          <w:rFonts w:ascii="Arial" w:hAnsi="Arial" w:cs="Arial"/>
          <w:iCs/>
          <w:color w:val="000000"/>
          <w:sz w:val="20"/>
          <w:szCs w:val="20"/>
        </w:rPr>
        <w:t xml:space="preserve"> </w:t>
      </w:r>
      <w:r w:rsidR="00E70246" w:rsidRPr="00D7375C">
        <w:rPr>
          <w:rFonts w:ascii="Arial" w:hAnsi="Arial" w:cs="Arial"/>
          <w:iCs/>
          <w:color w:val="000000"/>
          <w:sz w:val="20"/>
          <w:szCs w:val="20"/>
        </w:rPr>
        <w:t>The MUA recommend</w:t>
      </w:r>
      <w:r w:rsidR="00B540A4">
        <w:rPr>
          <w:rFonts w:ascii="Arial" w:hAnsi="Arial" w:cs="Arial"/>
          <w:iCs/>
          <w:color w:val="000000"/>
          <w:sz w:val="20"/>
          <w:szCs w:val="20"/>
        </w:rPr>
        <w:t>s</w:t>
      </w:r>
      <w:r w:rsidR="00B540A4">
        <w:rPr>
          <w:rFonts w:ascii="Arial" w:hAnsi="Arial" w:cs="Arial"/>
          <w:color w:val="000000"/>
          <w:sz w:val="20"/>
          <w:szCs w:val="20"/>
        </w:rPr>
        <w:t xml:space="preserve"> t</w:t>
      </w:r>
      <w:r w:rsidR="00A53CDA" w:rsidRPr="00A53CDA">
        <w:rPr>
          <w:rFonts w:ascii="Arial" w:hAnsi="Arial" w:cs="Arial"/>
          <w:color w:val="000000"/>
          <w:sz w:val="20"/>
          <w:szCs w:val="20"/>
        </w:rPr>
        <w:t>hat ASIC be automatically notified when the ATO, FWO or superannuation funds become aware of sustained and s</w:t>
      </w:r>
      <w:r w:rsidR="00220F8B" w:rsidRPr="00D7375C">
        <w:rPr>
          <w:rFonts w:ascii="Arial" w:hAnsi="Arial" w:cs="Arial"/>
          <w:color w:val="000000"/>
          <w:sz w:val="20"/>
          <w:szCs w:val="20"/>
        </w:rPr>
        <w:t>ystematic non-payment of the SG (and other EE, and that notification work the other ways around)</w:t>
      </w:r>
      <w:r w:rsidR="00A53CDA" w:rsidRPr="00A53CDA">
        <w:rPr>
          <w:rFonts w:ascii="Arial" w:hAnsi="Arial" w:cs="Arial"/>
          <w:color w:val="000000"/>
          <w:sz w:val="20"/>
          <w:szCs w:val="20"/>
        </w:rPr>
        <w:t xml:space="preserve"> so that appropriate investigations and enforcement of relevant duties of company directors can commence in a timely manner. </w:t>
      </w:r>
      <w:r>
        <w:rPr>
          <w:rFonts w:ascii="Arial" w:hAnsi="Arial" w:cs="Arial"/>
          <w:color w:val="000000"/>
          <w:sz w:val="20"/>
          <w:szCs w:val="20"/>
        </w:rPr>
        <w:t>T</w:t>
      </w:r>
      <w:r w:rsidR="00E70246" w:rsidRPr="00D7375C">
        <w:rPr>
          <w:rFonts w:ascii="Arial" w:hAnsi="Arial" w:cs="Arial"/>
          <w:sz w:val="20"/>
          <w:szCs w:val="20"/>
        </w:rPr>
        <w:t>his</w:t>
      </w:r>
      <w:r w:rsidR="00D7375C">
        <w:rPr>
          <w:rFonts w:ascii="Arial" w:hAnsi="Arial" w:cs="Arial"/>
          <w:sz w:val="20"/>
          <w:szCs w:val="20"/>
        </w:rPr>
        <w:t xml:space="preserve"> lack of coordination and information sharing is </w:t>
      </w:r>
      <w:r w:rsidR="00291160">
        <w:rPr>
          <w:rFonts w:ascii="Arial" w:hAnsi="Arial" w:cs="Arial"/>
          <w:sz w:val="20"/>
          <w:szCs w:val="20"/>
        </w:rPr>
        <w:t xml:space="preserve">also </w:t>
      </w:r>
      <w:r w:rsidR="00D7375C">
        <w:rPr>
          <w:rFonts w:ascii="Arial" w:hAnsi="Arial" w:cs="Arial"/>
          <w:sz w:val="20"/>
          <w:szCs w:val="20"/>
        </w:rPr>
        <w:t xml:space="preserve">relevant to detecting, </w:t>
      </w:r>
      <w:r w:rsidR="00EF3AB8">
        <w:rPr>
          <w:rFonts w:ascii="Arial" w:hAnsi="Arial" w:cs="Arial"/>
          <w:sz w:val="20"/>
          <w:szCs w:val="20"/>
        </w:rPr>
        <w:t>deterring,</w:t>
      </w:r>
      <w:r w:rsidR="00D7375C">
        <w:rPr>
          <w:rFonts w:ascii="Arial" w:hAnsi="Arial" w:cs="Arial"/>
          <w:sz w:val="20"/>
          <w:szCs w:val="20"/>
        </w:rPr>
        <w:t xml:space="preserve"> and enforcing against non-payment of</w:t>
      </w:r>
      <w:r w:rsidR="00E70246" w:rsidRPr="00D7375C">
        <w:rPr>
          <w:rFonts w:ascii="Arial" w:hAnsi="Arial" w:cs="Arial"/>
          <w:sz w:val="20"/>
          <w:szCs w:val="20"/>
        </w:rPr>
        <w:t xml:space="preserve"> FEG</w:t>
      </w:r>
      <w:r w:rsidR="00D7375C">
        <w:rPr>
          <w:rFonts w:ascii="Arial" w:hAnsi="Arial" w:cs="Arial"/>
          <w:sz w:val="20"/>
          <w:szCs w:val="20"/>
        </w:rPr>
        <w:t xml:space="preserve">-covered entitlements. </w:t>
      </w:r>
    </w:p>
    <w:p w:rsidR="00A035BE" w:rsidRPr="00A035BE" w:rsidRDefault="00A035BE" w:rsidP="00A53CDA">
      <w:pPr>
        <w:rPr>
          <w:rFonts w:ascii="Arial" w:hAnsi="Arial" w:cs="Arial"/>
          <w:b/>
          <w:sz w:val="20"/>
          <w:szCs w:val="20"/>
        </w:rPr>
      </w:pPr>
      <w:r w:rsidRPr="00A035BE">
        <w:rPr>
          <w:rFonts w:ascii="Arial" w:hAnsi="Arial" w:cs="Arial"/>
          <w:b/>
          <w:sz w:val="20"/>
          <w:szCs w:val="20"/>
        </w:rPr>
        <w:lastRenderedPageBreak/>
        <w:t>Conclusion</w:t>
      </w:r>
    </w:p>
    <w:p w:rsidR="0073395C" w:rsidRDefault="0073395C" w:rsidP="00A53CDA">
      <w:pPr>
        <w:rPr>
          <w:rFonts w:ascii="Arial" w:hAnsi="Arial" w:cs="Arial"/>
          <w:sz w:val="20"/>
          <w:szCs w:val="20"/>
        </w:rPr>
      </w:pPr>
      <w:r>
        <w:rPr>
          <w:rFonts w:ascii="Arial" w:hAnsi="Arial" w:cs="Arial"/>
          <w:sz w:val="20"/>
          <w:szCs w:val="20"/>
        </w:rPr>
        <w:t xml:space="preserve">The MUA welcomes the dialogue on addressing the burdens placed on the FEG scheme, and working Australians, when company directors undertake phoenix activity and other sharp corporate practices to avoid their EE obligations. </w:t>
      </w:r>
    </w:p>
    <w:p w:rsidR="001D6D71" w:rsidRDefault="0073395C" w:rsidP="00DF642D">
      <w:r>
        <w:rPr>
          <w:rFonts w:ascii="Arial" w:hAnsi="Arial" w:cs="Arial"/>
          <w:sz w:val="20"/>
          <w:szCs w:val="20"/>
        </w:rPr>
        <w:t xml:space="preserve">We strongly support reform of the Act in the above outlined ways and reaffirm our position that this must be accompanied by the simple and cost-effective measures detailed under point 8. This comprehensive approach will alleviate the considerable economic and social burdens that accompany exploitative corporate behaviours. </w:t>
      </w:r>
    </w:p>
    <w:p w:rsidR="00E83AC4" w:rsidRPr="00C67AD4" w:rsidRDefault="00E83AC4" w:rsidP="00E83AC4">
      <w:pPr>
        <w:rPr>
          <w:rFonts w:ascii="Arial" w:hAnsi="Arial" w:cs="Arial"/>
          <w:sz w:val="20"/>
        </w:rPr>
      </w:pPr>
    </w:p>
    <w:sectPr w:rsidR="00E83AC4" w:rsidRPr="00C67A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377" w:rsidRDefault="00FE3377" w:rsidP="00AC2CC7">
      <w:pPr>
        <w:spacing w:after="0" w:line="240" w:lineRule="auto"/>
      </w:pPr>
      <w:r>
        <w:separator/>
      </w:r>
    </w:p>
  </w:endnote>
  <w:endnote w:type="continuationSeparator" w:id="0">
    <w:p w:rsidR="00FE3377" w:rsidRDefault="00FE3377" w:rsidP="00AC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377" w:rsidRDefault="00FE3377" w:rsidP="00AC2CC7">
      <w:pPr>
        <w:spacing w:after="0" w:line="240" w:lineRule="auto"/>
      </w:pPr>
      <w:r>
        <w:separator/>
      </w:r>
    </w:p>
  </w:footnote>
  <w:footnote w:type="continuationSeparator" w:id="0">
    <w:p w:rsidR="00FE3377" w:rsidRDefault="00FE3377" w:rsidP="00AC2CC7">
      <w:pPr>
        <w:spacing w:after="0" w:line="240" w:lineRule="auto"/>
      </w:pPr>
      <w:r>
        <w:continuationSeparator/>
      </w:r>
    </w:p>
  </w:footnote>
  <w:footnote w:id="1">
    <w:p w:rsidR="00123EA6" w:rsidRDefault="00123EA6" w:rsidP="00123EA6">
      <w:pPr>
        <w:pStyle w:val="FootnoteText"/>
      </w:pPr>
      <w:r>
        <w:rPr>
          <w:rStyle w:val="FootnoteReference"/>
        </w:rPr>
        <w:footnoteRef/>
      </w:r>
      <w:r>
        <w:t xml:space="preserve"> </w:t>
      </w:r>
      <w:r>
        <w:rPr>
          <w:rFonts w:ascii="Arial" w:hAnsi="Arial" w:cs="Arial"/>
          <w:sz w:val="18"/>
          <w:szCs w:val="18"/>
        </w:rPr>
        <w:t>Consultation Paper,</w:t>
      </w:r>
      <w:r w:rsidRPr="00D1207E">
        <w:rPr>
          <w:rFonts w:ascii="Arial" w:hAnsi="Arial" w:cs="Arial"/>
          <w:sz w:val="18"/>
          <w:szCs w:val="18"/>
        </w:rPr>
        <w:t xml:space="preserve"> May 2017</w:t>
      </w:r>
      <w:r w:rsidR="00A47C31">
        <w:rPr>
          <w:rFonts w:ascii="Arial" w:hAnsi="Arial" w:cs="Arial"/>
          <w:sz w:val="18"/>
          <w:szCs w:val="18"/>
        </w:rPr>
        <w:t>, p. 2</w:t>
      </w:r>
    </w:p>
  </w:footnote>
  <w:footnote w:id="2">
    <w:p w:rsidR="00123EA6" w:rsidRPr="001E4A19" w:rsidRDefault="00123EA6" w:rsidP="00123EA6">
      <w:pPr>
        <w:pStyle w:val="FootnoteText"/>
        <w:rPr>
          <w:rFonts w:ascii="Arial" w:hAnsi="Arial" w:cs="Arial"/>
          <w:sz w:val="18"/>
          <w:szCs w:val="18"/>
        </w:rPr>
      </w:pPr>
      <w:r w:rsidRPr="001E4A19">
        <w:rPr>
          <w:rStyle w:val="FootnoteReference"/>
          <w:rFonts w:ascii="Arial" w:hAnsi="Arial" w:cs="Arial"/>
          <w:sz w:val="18"/>
          <w:szCs w:val="18"/>
        </w:rPr>
        <w:footnoteRef/>
      </w:r>
      <w:r>
        <w:rPr>
          <w:rFonts w:ascii="Arial" w:hAnsi="Arial" w:cs="Arial"/>
          <w:sz w:val="18"/>
          <w:szCs w:val="18"/>
        </w:rPr>
        <w:t xml:space="preserve"> Consultation Paper, May 2017</w:t>
      </w:r>
      <w:r w:rsidR="00A47C31">
        <w:rPr>
          <w:rFonts w:ascii="Arial" w:hAnsi="Arial" w:cs="Arial"/>
          <w:sz w:val="18"/>
          <w:szCs w:val="18"/>
        </w:rPr>
        <w:t>, p. 4</w:t>
      </w:r>
      <w:bookmarkStart w:id="0" w:name="_GoBack"/>
      <w:bookmarkEnd w:id="0"/>
    </w:p>
  </w:footnote>
  <w:footnote w:id="3">
    <w:p w:rsidR="00AD15A0" w:rsidRPr="00332DF9" w:rsidRDefault="00AD15A0" w:rsidP="00AD15A0">
      <w:pPr>
        <w:pStyle w:val="FootnoteText"/>
        <w:rPr>
          <w:rFonts w:ascii="Arial" w:hAnsi="Arial" w:cs="Arial"/>
          <w:sz w:val="18"/>
          <w:szCs w:val="18"/>
        </w:rPr>
      </w:pPr>
      <w:r w:rsidRPr="00332DF9">
        <w:rPr>
          <w:rStyle w:val="FootnoteReference"/>
          <w:rFonts w:ascii="Arial" w:hAnsi="Arial" w:cs="Arial"/>
          <w:sz w:val="18"/>
          <w:szCs w:val="18"/>
        </w:rPr>
        <w:footnoteRef/>
      </w:r>
      <w:r w:rsidRPr="00332DF9">
        <w:rPr>
          <w:rFonts w:ascii="Arial" w:hAnsi="Arial" w:cs="Arial"/>
          <w:sz w:val="18"/>
          <w:szCs w:val="18"/>
        </w:rPr>
        <w:t xml:space="preserve"> </w:t>
      </w:r>
      <w:r>
        <w:rPr>
          <w:rFonts w:ascii="Arial" w:hAnsi="Arial" w:cs="Arial"/>
          <w:sz w:val="18"/>
          <w:szCs w:val="18"/>
        </w:rPr>
        <w:t xml:space="preserve">Anderson, H, Ramsay, I and Welsh, M, </w:t>
      </w:r>
      <w:r w:rsidRPr="00332DF9">
        <w:rPr>
          <w:rFonts w:ascii="Arial" w:hAnsi="Arial" w:cs="Arial"/>
          <w:i/>
          <w:sz w:val="18"/>
          <w:szCs w:val="18"/>
        </w:rPr>
        <w:t>Phoenix Activity: Recommendations on detection, disruption and enforcement</w:t>
      </w:r>
      <w:r w:rsidRPr="00332DF9">
        <w:rPr>
          <w:rFonts w:ascii="Arial" w:hAnsi="Arial" w:cs="Arial"/>
          <w:sz w:val="18"/>
          <w:szCs w:val="18"/>
        </w:rPr>
        <w:t>,</w:t>
      </w:r>
      <w:r w:rsidR="009E417E">
        <w:rPr>
          <w:rFonts w:ascii="Arial" w:hAnsi="Arial" w:cs="Arial"/>
          <w:sz w:val="18"/>
          <w:szCs w:val="18"/>
        </w:rPr>
        <w:t xml:space="preserve"> Report,</w:t>
      </w:r>
      <w:r w:rsidRPr="00332DF9">
        <w:rPr>
          <w:rFonts w:ascii="Arial" w:hAnsi="Arial" w:cs="Arial"/>
          <w:sz w:val="18"/>
          <w:szCs w:val="18"/>
        </w:rPr>
        <w:t xml:space="preserve"> February 2017</w:t>
      </w:r>
      <w:r>
        <w:rPr>
          <w:rFonts w:ascii="Arial" w:hAnsi="Arial" w:cs="Arial"/>
          <w:sz w:val="18"/>
          <w:szCs w:val="18"/>
        </w:rPr>
        <w:t>, pp</w:t>
      </w:r>
      <w:r w:rsidRPr="00332DF9">
        <w:rPr>
          <w:rFonts w:ascii="Arial" w:hAnsi="Arial" w:cs="Arial"/>
          <w:sz w:val="18"/>
          <w:szCs w:val="18"/>
        </w:rPr>
        <w:t xml:space="preserve"> 93-98</w:t>
      </w:r>
      <w:r>
        <w:rPr>
          <w:rFonts w:ascii="Arial" w:hAnsi="Arial" w:cs="Arial"/>
          <w:sz w:val="18"/>
          <w:szCs w:val="18"/>
        </w:rPr>
        <w:t>.</w:t>
      </w:r>
      <w:r w:rsidR="00B540A4">
        <w:rPr>
          <w:rFonts w:ascii="Arial" w:hAnsi="Arial" w:cs="Arial"/>
          <w:sz w:val="18"/>
          <w:szCs w:val="18"/>
        </w:rPr>
        <w:t xml:space="preserve"> (</w:t>
      </w:r>
      <w:r w:rsidR="00B540A4" w:rsidRPr="009E417E">
        <w:rPr>
          <w:rFonts w:ascii="Arial" w:hAnsi="Arial" w:cs="Arial"/>
          <w:b/>
          <w:sz w:val="18"/>
          <w:szCs w:val="18"/>
        </w:rPr>
        <w:t>Anderson et al</w:t>
      </w:r>
      <w:r w:rsidR="00B540A4">
        <w:rPr>
          <w:rFonts w:ascii="Arial" w:hAnsi="Arial" w:cs="Arial"/>
          <w:sz w:val="18"/>
          <w:szCs w:val="18"/>
        </w:rPr>
        <w:t>).</w:t>
      </w:r>
    </w:p>
  </w:footnote>
  <w:footnote w:id="4">
    <w:p w:rsidR="00D5114A" w:rsidRPr="009E417E" w:rsidRDefault="00D5114A">
      <w:pPr>
        <w:pStyle w:val="FootnoteText"/>
        <w:rPr>
          <w:rFonts w:ascii="Arial" w:hAnsi="Arial" w:cs="Arial"/>
          <w:sz w:val="18"/>
          <w:szCs w:val="18"/>
        </w:rPr>
      </w:pPr>
      <w:r w:rsidRPr="009E417E">
        <w:rPr>
          <w:rStyle w:val="FootnoteReference"/>
          <w:rFonts w:ascii="Arial" w:hAnsi="Arial" w:cs="Arial"/>
          <w:sz w:val="18"/>
          <w:szCs w:val="18"/>
        </w:rPr>
        <w:footnoteRef/>
      </w:r>
      <w:r w:rsidRPr="009E417E">
        <w:rPr>
          <w:rFonts w:ascii="Arial" w:hAnsi="Arial" w:cs="Arial"/>
          <w:sz w:val="18"/>
          <w:szCs w:val="18"/>
        </w:rPr>
        <w:t xml:space="preserve"> </w:t>
      </w:r>
      <w:r w:rsidRPr="009E417E">
        <w:rPr>
          <w:rFonts w:ascii="Arial" w:hAnsi="Arial" w:cs="Arial"/>
          <w:i/>
          <w:sz w:val="18"/>
          <w:szCs w:val="18"/>
        </w:rPr>
        <w:t>Explanatory Memorandum, Corporations Law Amendment (Employee Entitlements) Bill</w:t>
      </w:r>
      <w:r w:rsidRPr="009E417E">
        <w:rPr>
          <w:rFonts w:ascii="Arial" w:hAnsi="Arial" w:cs="Arial"/>
          <w:sz w:val="18"/>
          <w:szCs w:val="18"/>
        </w:rPr>
        <w:t xml:space="preserve"> 2000 (Cth)</w:t>
      </w:r>
    </w:p>
  </w:footnote>
  <w:footnote w:id="5">
    <w:p w:rsidR="00123EA6" w:rsidRDefault="00123EA6">
      <w:pPr>
        <w:pStyle w:val="FootnoteText"/>
      </w:pPr>
      <w:r>
        <w:rPr>
          <w:rStyle w:val="FootnoteReference"/>
        </w:rPr>
        <w:footnoteRef/>
      </w:r>
      <w:r>
        <w:t xml:space="preserve"> </w:t>
      </w:r>
      <w:r w:rsidR="00A47C31">
        <w:t>Consultation Paper, May 2017, p. 16</w:t>
      </w:r>
    </w:p>
  </w:footnote>
  <w:footnote w:id="6">
    <w:p w:rsidR="002839C5" w:rsidRPr="00B626B4" w:rsidRDefault="002839C5">
      <w:pPr>
        <w:pStyle w:val="FootnoteText"/>
        <w:rPr>
          <w:rFonts w:ascii="Arial" w:hAnsi="Arial" w:cs="Arial"/>
          <w:sz w:val="18"/>
          <w:szCs w:val="18"/>
        </w:rPr>
      </w:pPr>
      <w:r w:rsidRPr="00A9442C">
        <w:rPr>
          <w:rStyle w:val="FootnoteReference"/>
          <w:rFonts w:ascii="Arial" w:hAnsi="Arial" w:cs="Arial"/>
          <w:sz w:val="18"/>
          <w:szCs w:val="18"/>
        </w:rPr>
        <w:footnoteRef/>
      </w:r>
      <w:r w:rsidRPr="00B626B4">
        <w:rPr>
          <w:rFonts w:ascii="Arial" w:hAnsi="Arial" w:cs="Arial"/>
          <w:sz w:val="18"/>
          <w:szCs w:val="18"/>
        </w:rPr>
        <w:t xml:space="preserve"> Consultation Paper, May 2017</w:t>
      </w:r>
    </w:p>
  </w:footnote>
  <w:footnote w:id="7">
    <w:p w:rsidR="00EC2B28" w:rsidRPr="00B626B4" w:rsidRDefault="00EC2B28" w:rsidP="00EC2B28">
      <w:pPr>
        <w:pStyle w:val="FootnoteText"/>
        <w:rPr>
          <w:rFonts w:ascii="Arial" w:hAnsi="Arial" w:cs="Arial"/>
          <w:sz w:val="18"/>
          <w:szCs w:val="18"/>
        </w:rPr>
      </w:pPr>
      <w:r w:rsidRPr="00B626B4">
        <w:rPr>
          <w:rStyle w:val="FootnoteReference"/>
          <w:rFonts w:ascii="Arial" w:hAnsi="Arial" w:cs="Arial"/>
          <w:sz w:val="18"/>
          <w:szCs w:val="18"/>
        </w:rPr>
        <w:footnoteRef/>
      </w:r>
      <w:r w:rsidRPr="00B626B4">
        <w:rPr>
          <w:rFonts w:ascii="Arial" w:hAnsi="Arial" w:cs="Arial"/>
          <w:sz w:val="18"/>
          <w:szCs w:val="18"/>
        </w:rPr>
        <w:t xml:space="preserve"> </w:t>
      </w:r>
      <w:r w:rsidR="00B540A4">
        <w:rPr>
          <w:rFonts w:ascii="Arial" w:hAnsi="Arial" w:cs="Arial"/>
          <w:sz w:val="18"/>
          <w:szCs w:val="18"/>
        </w:rPr>
        <w:t>Anderson et al</w:t>
      </w:r>
      <w:r w:rsidR="0020654B" w:rsidRPr="00B626B4">
        <w:rPr>
          <w:rFonts w:ascii="Arial" w:hAnsi="Arial" w:cs="Arial"/>
          <w:sz w:val="18"/>
          <w:szCs w:val="18"/>
        </w:rPr>
        <w:t>, pp 51-69</w:t>
      </w:r>
      <w:r w:rsidR="00B540A4">
        <w:rPr>
          <w:rFonts w:ascii="Arial" w:hAnsi="Arial" w:cs="Arial"/>
          <w:sz w:val="18"/>
          <w:szCs w:val="18"/>
        </w:rPr>
        <w:t>.</w:t>
      </w:r>
    </w:p>
    <w:p w:rsidR="00EC2B28" w:rsidRPr="00B626B4" w:rsidRDefault="00EC2B28">
      <w:pPr>
        <w:pStyle w:val="FootnoteText"/>
        <w:rPr>
          <w:rFonts w:ascii="Arial" w:hAnsi="Arial" w:cs="Arial"/>
          <w:sz w:val="18"/>
          <w:szCs w:val="18"/>
        </w:rPr>
      </w:pPr>
    </w:p>
  </w:footnote>
  <w:footnote w:id="8">
    <w:p w:rsidR="00B540A4" w:rsidRPr="00B626B4" w:rsidRDefault="00B540A4">
      <w:pPr>
        <w:pStyle w:val="FootnoteText"/>
        <w:rPr>
          <w:rFonts w:ascii="Arial" w:hAnsi="Arial" w:cs="Arial"/>
          <w:sz w:val="18"/>
          <w:szCs w:val="18"/>
        </w:rPr>
      </w:pPr>
      <w:r w:rsidRPr="0073395C">
        <w:rPr>
          <w:rStyle w:val="FootnoteReference"/>
          <w:rFonts w:ascii="Arial" w:hAnsi="Arial" w:cs="Arial"/>
          <w:sz w:val="18"/>
          <w:szCs w:val="18"/>
        </w:rPr>
        <w:footnoteRef/>
      </w:r>
      <w:r w:rsidRPr="0073395C">
        <w:rPr>
          <w:rFonts w:ascii="Arial" w:hAnsi="Arial" w:cs="Arial"/>
          <w:sz w:val="18"/>
          <w:szCs w:val="18"/>
        </w:rPr>
        <w:t xml:space="preserve"> </w:t>
      </w:r>
      <w:r w:rsidR="00B626B4">
        <w:rPr>
          <w:rFonts w:ascii="Arial" w:hAnsi="Arial" w:cs="Arial"/>
          <w:sz w:val="18"/>
          <w:szCs w:val="18"/>
        </w:rPr>
        <w:t>Anderson et al</w:t>
      </w:r>
      <w:r w:rsidR="00B626B4" w:rsidRPr="00B626B4">
        <w:rPr>
          <w:rFonts w:ascii="Arial" w:hAnsi="Arial" w:cs="Arial"/>
          <w:sz w:val="18"/>
          <w:szCs w:val="18"/>
        </w:rPr>
        <w:t>, pp</w:t>
      </w:r>
      <w:r w:rsidR="00B626B4">
        <w:rPr>
          <w:rFonts w:ascii="Arial" w:hAnsi="Arial" w:cs="Arial"/>
          <w:sz w:val="18"/>
          <w:szCs w:val="18"/>
        </w:rPr>
        <w:t xml:space="preserve">. 2-7 and Andrew Leigh MP, ‘Exposing Dodgy Directors’, May 2017 </w:t>
      </w:r>
    </w:p>
  </w:footnote>
  <w:footnote w:id="9">
    <w:p w:rsidR="00B540A4" w:rsidRPr="00332DF9" w:rsidRDefault="00B540A4" w:rsidP="00B540A4">
      <w:pPr>
        <w:pStyle w:val="FootnoteText"/>
        <w:rPr>
          <w:rFonts w:ascii="Arial" w:hAnsi="Arial" w:cs="Arial"/>
          <w:sz w:val="18"/>
          <w:szCs w:val="18"/>
        </w:rPr>
      </w:pPr>
      <w:r w:rsidRPr="00332DF9">
        <w:rPr>
          <w:rStyle w:val="FootnoteReference"/>
          <w:rFonts w:ascii="Arial" w:hAnsi="Arial" w:cs="Arial"/>
          <w:sz w:val="18"/>
          <w:szCs w:val="18"/>
        </w:rPr>
        <w:footnoteRef/>
      </w:r>
      <w:r w:rsidRPr="00332DF9">
        <w:rPr>
          <w:rFonts w:ascii="Arial" w:hAnsi="Arial" w:cs="Arial"/>
          <w:sz w:val="18"/>
          <w:szCs w:val="18"/>
        </w:rPr>
        <w:t xml:space="preserve"> Anderson</w:t>
      </w:r>
      <w:r w:rsidR="00B626B4">
        <w:rPr>
          <w:rFonts w:ascii="Arial" w:hAnsi="Arial" w:cs="Arial"/>
          <w:sz w:val="18"/>
          <w:szCs w:val="18"/>
        </w:rPr>
        <w:t xml:space="preserve"> et al,</w:t>
      </w:r>
      <w:r w:rsidRPr="00332DF9">
        <w:rPr>
          <w:rFonts w:ascii="Arial" w:hAnsi="Arial" w:cs="Arial"/>
          <w:sz w:val="18"/>
          <w:szCs w:val="18"/>
        </w:rPr>
        <w:t xml:space="preserve"> pp. 21-29, 41-44</w:t>
      </w:r>
    </w:p>
  </w:footnote>
  <w:footnote w:id="10">
    <w:p w:rsidR="00B540A4" w:rsidRDefault="00B540A4">
      <w:pPr>
        <w:pStyle w:val="FootnoteText"/>
      </w:pPr>
      <w:r w:rsidRPr="00B626B4">
        <w:rPr>
          <w:rStyle w:val="FootnoteReference"/>
          <w:rFonts w:ascii="Arial" w:hAnsi="Arial" w:cs="Arial"/>
          <w:sz w:val="18"/>
          <w:szCs w:val="18"/>
        </w:rPr>
        <w:footnoteRef/>
      </w:r>
      <w:r w:rsidRPr="00B626B4">
        <w:rPr>
          <w:rFonts w:ascii="Arial" w:hAnsi="Arial" w:cs="Arial"/>
          <w:sz w:val="18"/>
          <w:szCs w:val="18"/>
        </w:rPr>
        <w:t xml:space="preserve"> </w:t>
      </w:r>
      <w:r>
        <w:rPr>
          <w:rFonts w:ascii="Arial" w:hAnsi="Arial" w:cs="Arial"/>
          <w:sz w:val="18"/>
          <w:szCs w:val="18"/>
        </w:rPr>
        <w:t>Anderson et al, p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322DE"/>
    <w:multiLevelType w:val="hybridMultilevel"/>
    <w:tmpl w:val="12EC5686"/>
    <w:lvl w:ilvl="0" w:tplc="3126F7E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920F69"/>
    <w:multiLevelType w:val="hybridMultilevel"/>
    <w:tmpl w:val="E70A0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DD5B2B"/>
    <w:multiLevelType w:val="hybridMultilevel"/>
    <w:tmpl w:val="37529F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9D319C8"/>
    <w:multiLevelType w:val="hybridMultilevel"/>
    <w:tmpl w:val="95B27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405CB"/>
    <w:multiLevelType w:val="hybridMultilevel"/>
    <w:tmpl w:val="004A53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05523CD"/>
    <w:multiLevelType w:val="hybridMultilevel"/>
    <w:tmpl w:val="3AFAD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F046A9"/>
    <w:multiLevelType w:val="multilevel"/>
    <w:tmpl w:val="CB32F2B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547374"/>
    <w:multiLevelType w:val="hybridMultilevel"/>
    <w:tmpl w:val="D3DA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BA3AB8"/>
    <w:multiLevelType w:val="hybridMultilevel"/>
    <w:tmpl w:val="D4F4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507FE0"/>
    <w:multiLevelType w:val="hybridMultilevel"/>
    <w:tmpl w:val="24820A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F24B2A"/>
    <w:multiLevelType w:val="hybridMultilevel"/>
    <w:tmpl w:val="33C20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9"/>
  </w:num>
  <w:num w:numId="6">
    <w:abstractNumId w:val="3"/>
  </w:num>
  <w:num w:numId="7">
    <w:abstractNumId w:val="5"/>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D6"/>
    <w:rsid w:val="00006924"/>
    <w:rsid w:val="000237C8"/>
    <w:rsid w:val="00025E1B"/>
    <w:rsid w:val="000563C3"/>
    <w:rsid w:val="00057076"/>
    <w:rsid w:val="00123EA6"/>
    <w:rsid w:val="00127615"/>
    <w:rsid w:val="00166CE9"/>
    <w:rsid w:val="00195C85"/>
    <w:rsid w:val="001C26FF"/>
    <w:rsid w:val="001D6D71"/>
    <w:rsid w:val="0020654B"/>
    <w:rsid w:val="00214852"/>
    <w:rsid w:val="00220F8B"/>
    <w:rsid w:val="00223467"/>
    <w:rsid w:val="002839C5"/>
    <w:rsid w:val="00291160"/>
    <w:rsid w:val="002B6ABC"/>
    <w:rsid w:val="00327FC0"/>
    <w:rsid w:val="00342297"/>
    <w:rsid w:val="003B5640"/>
    <w:rsid w:val="004200D6"/>
    <w:rsid w:val="00446CE9"/>
    <w:rsid w:val="004B7FCE"/>
    <w:rsid w:val="004D79D4"/>
    <w:rsid w:val="00501630"/>
    <w:rsid w:val="0052796A"/>
    <w:rsid w:val="005C292A"/>
    <w:rsid w:val="0061465D"/>
    <w:rsid w:val="00633DEC"/>
    <w:rsid w:val="00691B37"/>
    <w:rsid w:val="006A057D"/>
    <w:rsid w:val="00707BAF"/>
    <w:rsid w:val="0073395C"/>
    <w:rsid w:val="00773DA5"/>
    <w:rsid w:val="007B370E"/>
    <w:rsid w:val="00845628"/>
    <w:rsid w:val="008B0DC6"/>
    <w:rsid w:val="009A0A3D"/>
    <w:rsid w:val="009B24B0"/>
    <w:rsid w:val="009E417E"/>
    <w:rsid w:val="009F5344"/>
    <w:rsid w:val="00A035BE"/>
    <w:rsid w:val="00A47C31"/>
    <w:rsid w:val="00A5314C"/>
    <w:rsid w:val="00A53CDA"/>
    <w:rsid w:val="00A60434"/>
    <w:rsid w:val="00A845A7"/>
    <w:rsid w:val="00A9442C"/>
    <w:rsid w:val="00A96E05"/>
    <w:rsid w:val="00AC2CC7"/>
    <w:rsid w:val="00AD15A0"/>
    <w:rsid w:val="00B03D2E"/>
    <w:rsid w:val="00B540A4"/>
    <w:rsid w:val="00B626B4"/>
    <w:rsid w:val="00BB0155"/>
    <w:rsid w:val="00C10839"/>
    <w:rsid w:val="00C300B9"/>
    <w:rsid w:val="00C31F0C"/>
    <w:rsid w:val="00C36B26"/>
    <w:rsid w:val="00C67AD4"/>
    <w:rsid w:val="00CB21B2"/>
    <w:rsid w:val="00CB3590"/>
    <w:rsid w:val="00CC65D5"/>
    <w:rsid w:val="00CE0F40"/>
    <w:rsid w:val="00CF2847"/>
    <w:rsid w:val="00D23E03"/>
    <w:rsid w:val="00D5114A"/>
    <w:rsid w:val="00D7375C"/>
    <w:rsid w:val="00DA2042"/>
    <w:rsid w:val="00DD6520"/>
    <w:rsid w:val="00DF0B17"/>
    <w:rsid w:val="00DF5206"/>
    <w:rsid w:val="00DF642D"/>
    <w:rsid w:val="00E5036C"/>
    <w:rsid w:val="00E70246"/>
    <w:rsid w:val="00E83AC4"/>
    <w:rsid w:val="00E97169"/>
    <w:rsid w:val="00EA3764"/>
    <w:rsid w:val="00EB1DA5"/>
    <w:rsid w:val="00EC2B28"/>
    <w:rsid w:val="00EC70D6"/>
    <w:rsid w:val="00ED6A9E"/>
    <w:rsid w:val="00EF3AB8"/>
    <w:rsid w:val="00F5645F"/>
    <w:rsid w:val="00FE3377"/>
    <w:rsid w:val="00FF3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A099F-A475-446B-8FA2-119EC014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qFormat/>
    <w:rsid w:val="008B0DC6"/>
    <w:pPr>
      <w:keepNext/>
      <w:spacing w:before="300" w:after="180" w:line="240" w:lineRule="auto"/>
      <w:outlineLvl w:val="1"/>
    </w:pPr>
    <w:rPr>
      <w:rFonts w:ascii="Century Gothic" w:eastAsia="Times New Roman" w:hAnsi="Century Gothic" w:cs="Arial"/>
      <w:b/>
      <w:bCs/>
      <w:iCs/>
      <w:smallCaps/>
      <w:color w:val="44546A" w:themeColor="text2"/>
      <w:sz w:val="32"/>
      <w:szCs w:val="28"/>
      <w:lang w:eastAsia="en-AU"/>
    </w:rPr>
  </w:style>
  <w:style w:type="paragraph" w:styleId="Heading3">
    <w:name w:val="heading 3"/>
    <w:basedOn w:val="Normal"/>
    <w:next w:val="Normal"/>
    <w:link w:val="Heading3Char"/>
    <w:qFormat/>
    <w:rsid w:val="008B0DC6"/>
    <w:pPr>
      <w:keepNext/>
      <w:spacing w:before="120" w:after="240" w:line="240" w:lineRule="auto"/>
      <w:outlineLvl w:val="2"/>
    </w:pPr>
    <w:rPr>
      <w:rFonts w:ascii="Century Gothic" w:eastAsia="Times New Roman" w:hAnsi="Century Gothic" w:cs="Arial"/>
      <w:b/>
      <w:bCs/>
      <w:color w:val="44546A" w:themeColor="text2"/>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0D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AC2CC7"/>
    <w:pPr>
      <w:spacing w:after="0" w:line="240" w:lineRule="auto"/>
    </w:pPr>
    <w:rPr>
      <w:sz w:val="20"/>
      <w:szCs w:val="20"/>
    </w:rPr>
  </w:style>
  <w:style w:type="character" w:customStyle="1" w:styleId="FootnoteTextChar">
    <w:name w:val="Footnote Text Char"/>
    <w:basedOn w:val="DefaultParagraphFont"/>
    <w:link w:val="FootnoteText"/>
    <w:uiPriority w:val="99"/>
    <w:rsid w:val="00AC2CC7"/>
    <w:rPr>
      <w:sz w:val="20"/>
      <w:szCs w:val="20"/>
    </w:rPr>
  </w:style>
  <w:style w:type="character" w:styleId="FootnoteReference">
    <w:name w:val="footnote reference"/>
    <w:basedOn w:val="DefaultParagraphFont"/>
    <w:uiPriority w:val="99"/>
    <w:semiHidden/>
    <w:unhideWhenUsed/>
    <w:rsid w:val="00AC2CC7"/>
    <w:rPr>
      <w:vertAlign w:val="superscript"/>
    </w:rPr>
  </w:style>
  <w:style w:type="paragraph" w:styleId="ListParagraph">
    <w:name w:val="List Paragraph"/>
    <w:basedOn w:val="Normal"/>
    <w:uiPriority w:val="34"/>
    <w:qFormat/>
    <w:rsid w:val="00025E1B"/>
    <w:pPr>
      <w:ind w:left="720"/>
      <w:contextualSpacing/>
    </w:pPr>
  </w:style>
  <w:style w:type="paragraph" w:styleId="EndnoteText">
    <w:name w:val="endnote text"/>
    <w:basedOn w:val="Normal"/>
    <w:link w:val="EndnoteTextChar"/>
    <w:uiPriority w:val="99"/>
    <w:semiHidden/>
    <w:unhideWhenUsed/>
    <w:rsid w:val="00327F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7FC0"/>
    <w:rPr>
      <w:sz w:val="20"/>
      <w:szCs w:val="20"/>
    </w:rPr>
  </w:style>
  <w:style w:type="character" w:styleId="EndnoteReference">
    <w:name w:val="endnote reference"/>
    <w:basedOn w:val="DefaultParagraphFont"/>
    <w:uiPriority w:val="99"/>
    <w:semiHidden/>
    <w:unhideWhenUsed/>
    <w:rsid w:val="00327FC0"/>
    <w:rPr>
      <w:vertAlign w:val="superscript"/>
    </w:rPr>
  </w:style>
  <w:style w:type="paragraph" w:styleId="NormalWeb">
    <w:name w:val="Normal (Web)"/>
    <w:basedOn w:val="Normal"/>
    <w:uiPriority w:val="99"/>
    <w:unhideWhenUsed/>
    <w:rsid w:val="00CC65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CC65D5"/>
  </w:style>
  <w:style w:type="character" w:styleId="Hyperlink">
    <w:name w:val="Hyperlink"/>
    <w:basedOn w:val="DefaultParagraphFont"/>
    <w:uiPriority w:val="99"/>
    <w:unhideWhenUsed/>
    <w:rsid w:val="00CC65D5"/>
    <w:rPr>
      <w:color w:val="0000FF"/>
      <w:u w:val="single"/>
    </w:rPr>
  </w:style>
  <w:style w:type="table" w:styleId="TableGrid">
    <w:name w:val="Table Grid"/>
    <w:basedOn w:val="TableNormal"/>
    <w:uiPriority w:val="39"/>
    <w:rsid w:val="0005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B0DC6"/>
    <w:rPr>
      <w:rFonts w:ascii="Century Gothic" w:eastAsia="Times New Roman" w:hAnsi="Century Gothic" w:cs="Arial"/>
      <w:b/>
      <w:bCs/>
      <w:iCs/>
      <w:smallCaps/>
      <w:color w:val="44546A" w:themeColor="text2"/>
      <w:sz w:val="32"/>
      <w:szCs w:val="28"/>
      <w:lang w:eastAsia="en-AU"/>
    </w:rPr>
  </w:style>
  <w:style w:type="character" w:customStyle="1" w:styleId="Heading3Char">
    <w:name w:val="Heading 3 Char"/>
    <w:basedOn w:val="DefaultParagraphFont"/>
    <w:link w:val="Heading3"/>
    <w:rsid w:val="008B0DC6"/>
    <w:rPr>
      <w:rFonts w:ascii="Century Gothic" w:eastAsia="Times New Roman" w:hAnsi="Century Gothic" w:cs="Arial"/>
      <w:b/>
      <w:bCs/>
      <w:color w:val="44546A" w:themeColor="text2"/>
      <w:sz w:val="26"/>
      <w:szCs w:val="26"/>
      <w:lang w:eastAsia="en-AU"/>
    </w:rPr>
  </w:style>
  <w:style w:type="paragraph" w:styleId="Header">
    <w:name w:val="header"/>
    <w:basedOn w:val="Normal"/>
    <w:link w:val="HeaderChar"/>
    <w:uiPriority w:val="99"/>
    <w:unhideWhenUsed/>
    <w:rsid w:val="00B03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D2E"/>
  </w:style>
  <w:style w:type="paragraph" w:styleId="Footer">
    <w:name w:val="footer"/>
    <w:basedOn w:val="Normal"/>
    <w:link w:val="FooterChar"/>
    <w:uiPriority w:val="99"/>
    <w:unhideWhenUsed/>
    <w:rsid w:val="00B03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D2E"/>
  </w:style>
  <w:style w:type="character" w:customStyle="1" w:styleId="Mention1">
    <w:name w:val="Mention1"/>
    <w:basedOn w:val="DefaultParagraphFont"/>
    <w:uiPriority w:val="99"/>
    <w:semiHidden/>
    <w:unhideWhenUsed/>
    <w:rsid w:val="00501630"/>
    <w:rPr>
      <w:color w:val="2B579A"/>
      <w:shd w:val="clear" w:color="auto" w:fill="E6E6E6"/>
    </w:rPr>
  </w:style>
  <w:style w:type="paragraph" w:customStyle="1" w:styleId="Bullet">
    <w:name w:val="Bullet"/>
    <w:basedOn w:val="Normal"/>
    <w:link w:val="BulletChar"/>
    <w:rsid w:val="001D6D71"/>
    <w:pPr>
      <w:numPr>
        <w:numId w:val="8"/>
      </w:numPr>
      <w:spacing w:after="240" w:line="240" w:lineRule="auto"/>
    </w:pPr>
    <w:rPr>
      <w:sz w:val="24"/>
    </w:rPr>
  </w:style>
  <w:style w:type="character" w:customStyle="1" w:styleId="BulletChar">
    <w:name w:val="Bullet Char"/>
    <w:basedOn w:val="DefaultParagraphFont"/>
    <w:link w:val="Bullet"/>
    <w:rsid w:val="001D6D71"/>
    <w:rPr>
      <w:sz w:val="24"/>
    </w:rPr>
  </w:style>
  <w:style w:type="paragraph" w:customStyle="1" w:styleId="Dash">
    <w:name w:val="Dash"/>
    <w:basedOn w:val="Normal"/>
    <w:rsid w:val="001D6D71"/>
    <w:pPr>
      <w:numPr>
        <w:ilvl w:val="1"/>
        <w:numId w:val="8"/>
      </w:numPr>
      <w:spacing w:after="240" w:line="240" w:lineRule="auto"/>
    </w:pPr>
    <w:rPr>
      <w:sz w:val="24"/>
    </w:rPr>
  </w:style>
  <w:style w:type="paragraph" w:customStyle="1" w:styleId="DoubleDot">
    <w:name w:val="Double Dot"/>
    <w:basedOn w:val="Normal"/>
    <w:rsid w:val="001D6D71"/>
    <w:pPr>
      <w:numPr>
        <w:ilvl w:val="2"/>
        <w:numId w:val="8"/>
      </w:numPr>
      <w:spacing w:after="240" w:line="240" w:lineRule="auto"/>
    </w:pPr>
    <w:rPr>
      <w:sz w:val="24"/>
    </w:rPr>
  </w:style>
  <w:style w:type="paragraph" w:styleId="BalloonText">
    <w:name w:val="Balloon Text"/>
    <w:basedOn w:val="Normal"/>
    <w:link w:val="BalloonTextChar"/>
    <w:uiPriority w:val="99"/>
    <w:semiHidden/>
    <w:unhideWhenUsed/>
    <w:rsid w:val="00EA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764"/>
    <w:rPr>
      <w:rFonts w:ascii="Segoe UI" w:hAnsi="Segoe UI" w:cs="Segoe UI"/>
      <w:sz w:val="18"/>
      <w:szCs w:val="18"/>
    </w:rPr>
  </w:style>
  <w:style w:type="character" w:styleId="CommentReference">
    <w:name w:val="annotation reference"/>
    <w:basedOn w:val="DefaultParagraphFont"/>
    <w:uiPriority w:val="99"/>
    <w:semiHidden/>
    <w:unhideWhenUsed/>
    <w:rsid w:val="00AD15A0"/>
    <w:rPr>
      <w:sz w:val="16"/>
      <w:szCs w:val="16"/>
    </w:rPr>
  </w:style>
  <w:style w:type="paragraph" w:styleId="CommentText">
    <w:name w:val="annotation text"/>
    <w:basedOn w:val="Normal"/>
    <w:link w:val="CommentTextChar"/>
    <w:uiPriority w:val="99"/>
    <w:semiHidden/>
    <w:unhideWhenUsed/>
    <w:rsid w:val="00AD15A0"/>
    <w:pPr>
      <w:spacing w:line="240" w:lineRule="auto"/>
    </w:pPr>
    <w:rPr>
      <w:sz w:val="20"/>
      <w:szCs w:val="20"/>
    </w:rPr>
  </w:style>
  <w:style w:type="character" w:customStyle="1" w:styleId="CommentTextChar">
    <w:name w:val="Comment Text Char"/>
    <w:basedOn w:val="DefaultParagraphFont"/>
    <w:link w:val="CommentText"/>
    <w:uiPriority w:val="99"/>
    <w:semiHidden/>
    <w:rsid w:val="00AD15A0"/>
    <w:rPr>
      <w:sz w:val="20"/>
      <w:szCs w:val="20"/>
    </w:rPr>
  </w:style>
  <w:style w:type="paragraph" w:styleId="CommentSubject">
    <w:name w:val="annotation subject"/>
    <w:basedOn w:val="CommentText"/>
    <w:next w:val="CommentText"/>
    <w:link w:val="CommentSubjectChar"/>
    <w:uiPriority w:val="99"/>
    <w:semiHidden/>
    <w:unhideWhenUsed/>
    <w:rsid w:val="00AD15A0"/>
    <w:rPr>
      <w:b/>
      <w:bCs/>
    </w:rPr>
  </w:style>
  <w:style w:type="character" w:customStyle="1" w:styleId="CommentSubjectChar">
    <w:name w:val="Comment Subject Char"/>
    <w:basedOn w:val="CommentTextChar"/>
    <w:link w:val="CommentSubject"/>
    <w:uiPriority w:val="99"/>
    <w:semiHidden/>
    <w:rsid w:val="00AD15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51586">
      <w:bodyDiv w:val="1"/>
      <w:marLeft w:val="0"/>
      <w:marRight w:val="0"/>
      <w:marTop w:val="0"/>
      <w:marBottom w:val="0"/>
      <w:divBdr>
        <w:top w:val="none" w:sz="0" w:space="0" w:color="auto"/>
        <w:left w:val="none" w:sz="0" w:space="0" w:color="auto"/>
        <w:bottom w:val="none" w:sz="0" w:space="0" w:color="auto"/>
        <w:right w:val="none" w:sz="0" w:space="0" w:color="auto"/>
      </w:divBdr>
    </w:div>
    <w:div w:id="201622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ustomXml" Target="../customXml/item7.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2017MG-90-18170</_dlc_DocId>
    <TaxCatchAll xmlns="d4dd4adf-ddb3-46a3-8d7c-fab3fb2a6bc7">
      <Value>2</Value>
    </TaxCatchAll>
    <_dlc_DocIdUrl xmlns="d4dd4adf-ddb3-46a3-8d7c-fab3fb2a6bc7">
      <Url>http://tweb/sites/mg/fsd/_layouts/15/DocIdRedir.aspx?ID=2017MG-90-18170</Url>
      <Description>2017MG-90-18170</Description>
    </_dlc_DocIdUrl>
    <IconOverlay xmlns="http://schemas.microsoft.com/sharepoint/v4" xsi:nil="true"/>
  </documentManagement>
</p:properties>
</file>

<file path=customXml/itemProps1.xml><?xml version="1.0" encoding="utf-8"?>
<ds:datastoreItem xmlns:ds="http://schemas.openxmlformats.org/officeDocument/2006/customXml" ds:itemID="{28BF1CA6-BCFC-403A-9B13-BB3496AB5863}">
  <ds:schemaRefs>
    <ds:schemaRef ds:uri="http://schemas.openxmlformats.org/officeDocument/2006/bibliography"/>
  </ds:schemaRefs>
</ds:datastoreItem>
</file>

<file path=customXml/itemProps2.xml><?xml version="1.0" encoding="utf-8"?>
<ds:datastoreItem xmlns:ds="http://schemas.openxmlformats.org/officeDocument/2006/customXml" ds:itemID="{65D347DC-2E9F-419E-BB20-46B27E5C3C12}"/>
</file>

<file path=customXml/itemProps3.xml><?xml version="1.0" encoding="utf-8"?>
<ds:datastoreItem xmlns:ds="http://schemas.openxmlformats.org/officeDocument/2006/customXml" ds:itemID="{957242A2-8836-4C16-B1AF-4735C6ABE41E}"/>
</file>

<file path=customXml/itemProps4.xml><?xml version="1.0" encoding="utf-8"?>
<ds:datastoreItem xmlns:ds="http://schemas.openxmlformats.org/officeDocument/2006/customXml" ds:itemID="{E902ECFE-609B-496B-AF95-35CE85323065}"/>
</file>

<file path=customXml/itemProps5.xml><?xml version="1.0" encoding="utf-8"?>
<ds:datastoreItem xmlns:ds="http://schemas.openxmlformats.org/officeDocument/2006/customXml" ds:itemID="{E5A4D5AA-E948-45B5-9036-EC7E5CDE154E}"/>
</file>

<file path=customXml/itemProps6.xml><?xml version="1.0" encoding="utf-8"?>
<ds:datastoreItem xmlns:ds="http://schemas.openxmlformats.org/officeDocument/2006/customXml" ds:itemID="{DDE8F587-BF4E-4F79-A64D-6AD8FF69052E}"/>
</file>

<file path=customXml/itemProps7.xml><?xml version="1.0" encoding="utf-8"?>
<ds:datastoreItem xmlns:ds="http://schemas.openxmlformats.org/officeDocument/2006/customXml" ds:itemID="{1634C584-5E09-449D-B786-09222AAB3275}"/>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Palmer</dc:creator>
  <cp:keywords/>
  <dc:description/>
  <cp:lastModifiedBy>Lauren Palmer</cp:lastModifiedBy>
  <cp:revision>2</cp:revision>
  <dcterms:created xsi:type="dcterms:W3CDTF">2017-06-16T08:11:00Z</dcterms:created>
  <dcterms:modified xsi:type="dcterms:W3CDTF">2017-06-16T08:11:00Z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TSYRecordClass">
    <vt:lpwstr>2;#TSY RA-9081 - Retain as national archives|bbf0bcde-1687-4ff2-bc57-f31b5d545d4b</vt:lpwstr>
  </property>
  <property fmtid="{D5CDD505-2E9C-101B-9397-08002B2CF9AE}" pid="4" name="_dlc_DocIdItemGuid">
    <vt:lpwstr>2bdba445-b3aa-4780-b00e-487b897e85de</vt:lpwstr>
  </property>
</Properties>
</file>