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D30C1" w14:textId="77777777" w:rsidR="00145B5C" w:rsidRDefault="00145B5C" w:rsidP="00145B5C">
      <w:pPr>
        <w:spacing w:before="100" w:beforeAutospacing="1" w:after="100" w:afterAutospacing="1" w:line="360" w:lineRule="auto"/>
      </w:pPr>
      <w:bookmarkStart w:id="0" w:name="_GoBack"/>
      <w:bookmarkEnd w:id="0"/>
      <w:r>
        <w:rPr>
          <w:rFonts w:ascii="Arial" w:hAnsi="Arial" w:cs="Arial"/>
          <w:b/>
          <w:bCs/>
        </w:rPr>
        <w:t>Response to ASIC Review of Mortgage Broker Remuneration</w:t>
      </w:r>
    </w:p>
    <w:p w14:paraId="0C544910" w14:textId="77777777" w:rsidR="00145B5C" w:rsidRDefault="00145B5C" w:rsidP="00145B5C">
      <w:pPr>
        <w:spacing w:before="100" w:beforeAutospacing="1" w:after="100" w:afterAutospacing="1" w:line="360" w:lineRule="auto"/>
      </w:pPr>
      <w:r>
        <w:rPr>
          <w:rFonts w:ascii="Arial" w:hAnsi="Arial" w:cs="Arial"/>
        </w:rPr>
        <w:t> </w:t>
      </w:r>
    </w:p>
    <w:p w14:paraId="1883A256" w14:textId="77777777" w:rsidR="00145B5C" w:rsidRDefault="00145B5C" w:rsidP="00145B5C">
      <w:pPr>
        <w:spacing w:before="100" w:beforeAutospacing="1" w:after="100" w:afterAutospacing="1" w:line="360" w:lineRule="auto"/>
      </w:pPr>
      <w:r>
        <w:rPr>
          <w:rFonts w:ascii="Arial" w:hAnsi="Arial" w:cs="Arial"/>
        </w:rPr>
        <w:t> Dear Sir/Madam,</w:t>
      </w:r>
    </w:p>
    <w:p w14:paraId="0CF78793" w14:textId="77777777" w:rsidR="00145B5C" w:rsidRDefault="00145B5C" w:rsidP="00145B5C">
      <w:pPr>
        <w:spacing w:before="100" w:beforeAutospacing="1" w:after="100" w:afterAutospacing="1" w:line="360" w:lineRule="auto"/>
      </w:pPr>
      <w:r>
        <w:rPr>
          <w:rFonts w:ascii="Arial" w:hAnsi="Arial" w:cs="Arial"/>
        </w:rPr>
        <w:t> Loan Market supports regulatory oversight of our industry to deliver quality and objective credit assistance in accordance with the responsible lending obligations. We also support initiatives from the Regulator in relation to gaining further insight and understanding of the interaction with customers in the provision of credit assistance advice.</w:t>
      </w:r>
    </w:p>
    <w:p w14:paraId="0F18CD13" w14:textId="77777777" w:rsidR="00145B5C" w:rsidRDefault="00145B5C" w:rsidP="00145B5C">
      <w:pPr>
        <w:spacing w:before="100" w:beforeAutospacing="1" w:after="100" w:afterAutospacing="1" w:line="360" w:lineRule="auto"/>
      </w:pPr>
      <w:r>
        <w:rPr>
          <w:rFonts w:ascii="Arial" w:hAnsi="Arial" w:cs="Arial"/>
        </w:rPr>
        <w:t> Loan Market recognises that enquiry and review into Mortgage Broking is appropriate given more than half of all residential mortgages in Australia are introduced via Mortgage Brokers.</w:t>
      </w:r>
    </w:p>
    <w:p w14:paraId="45800DFF" w14:textId="77777777" w:rsidR="00145B5C" w:rsidRDefault="00145B5C" w:rsidP="00145B5C">
      <w:pPr>
        <w:spacing w:before="100" w:beforeAutospacing="1" w:after="100" w:afterAutospacing="1" w:line="360" w:lineRule="auto"/>
      </w:pPr>
      <w:r>
        <w:rPr>
          <w:rFonts w:ascii="Arial" w:hAnsi="Arial" w:cs="Arial"/>
        </w:rPr>
        <w:t> We believe optimum outcomes can be achieved via industry self-regulation and feel the best way to achieve this is through broad industry consultation. This has provided the basis for which we have sought to respond to the Review of Mortgage Broker Remuneration.</w:t>
      </w:r>
    </w:p>
    <w:p w14:paraId="5CA5BD09" w14:textId="77777777" w:rsidR="00145B5C" w:rsidRDefault="00145B5C" w:rsidP="00145B5C">
      <w:pPr>
        <w:spacing w:before="100" w:beforeAutospacing="1" w:after="100" w:afterAutospacing="1" w:line="360" w:lineRule="auto"/>
      </w:pPr>
      <w:r>
        <w:rPr>
          <w:rFonts w:ascii="Arial" w:hAnsi="Arial" w:cs="Arial"/>
        </w:rPr>
        <w:t> We have adopted the approach of working with the lead industry association - the Mortgage and Finance Association of Australia (MFAA) which has facilitated discussion across a range of industry stakeholders, representing a large portion of industry participants. The MFAA will present a response that is representative of feedback from various groups in which Loan Market was an active contributor.</w:t>
      </w:r>
    </w:p>
    <w:p w14:paraId="5D51F475" w14:textId="77777777" w:rsidR="00145B5C" w:rsidRDefault="00145B5C" w:rsidP="00145B5C">
      <w:pPr>
        <w:spacing w:before="100" w:beforeAutospacing="1" w:after="100" w:afterAutospacing="1" w:line="360" w:lineRule="auto"/>
      </w:pPr>
      <w:r>
        <w:rPr>
          <w:rFonts w:ascii="Arial" w:hAnsi="Arial" w:cs="Arial"/>
        </w:rPr>
        <w:t> As with any response that incorporates such a wide range of inputs this has been a process of collaboration, compromise and debate. We are confident that the response is both representative of our contributions and representative of the feedback from the community of participants.</w:t>
      </w:r>
    </w:p>
    <w:p w14:paraId="2C1C25D0" w14:textId="77777777" w:rsidR="00145B5C" w:rsidRDefault="00145B5C" w:rsidP="00145B5C">
      <w:pPr>
        <w:spacing w:before="100" w:beforeAutospacing="1" w:after="100" w:afterAutospacing="1" w:line="360" w:lineRule="auto"/>
      </w:pPr>
      <w:r>
        <w:rPr>
          <w:rFonts w:ascii="Arial" w:hAnsi="Arial" w:cs="Arial"/>
        </w:rPr>
        <w:t xml:space="preserve"> We are also aware that some elements of the response are not definitive as they still require further analysis. We look forward to continuing to work with industry stakeholders, the MFAA and ASIC in order to achieve solutions that support good </w:t>
      </w:r>
      <w:r>
        <w:rPr>
          <w:rFonts w:ascii="Arial" w:hAnsi="Arial" w:cs="Arial"/>
        </w:rPr>
        <w:lastRenderedPageBreak/>
        <w:t>customer outcomes and a sustainable mortgage broking industry which has driven tremendous competition and choice for so many Australian consumers.</w:t>
      </w:r>
    </w:p>
    <w:p w14:paraId="4EE37953" w14:textId="77777777" w:rsidR="00145B5C" w:rsidRDefault="00145B5C" w:rsidP="00145B5C">
      <w:pPr>
        <w:spacing w:before="100" w:beforeAutospacing="1" w:after="100" w:afterAutospacing="1" w:line="360" w:lineRule="auto"/>
      </w:pPr>
      <w:r>
        <w:rPr>
          <w:rFonts w:ascii="Arial" w:hAnsi="Arial" w:cs="Arial"/>
        </w:rPr>
        <w:t> We reiterate our commitment to this program of work and extend the invitation to call upon us should you have any queries or require further inputs into this review.</w:t>
      </w:r>
    </w:p>
    <w:p w14:paraId="07B23A0D" w14:textId="77777777" w:rsidR="00145B5C" w:rsidRDefault="00145B5C" w:rsidP="00145B5C">
      <w:pPr>
        <w:spacing w:before="100" w:beforeAutospacing="1" w:after="100" w:afterAutospacing="1" w:line="360" w:lineRule="auto"/>
      </w:pPr>
      <w:r>
        <w:rPr>
          <w:rFonts w:ascii="Arial" w:hAnsi="Arial" w:cs="Arial"/>
        </w:rPr>
        <w:t> Sincerely</w:t>
      </w:r>
    </w:p>
    <w:p w14:paraId="5B69B07B" w14:textId="77777777" w:rsidR="00145B5C" w:rsidRDefault="00145B5C" w:rsidP="00145B5C">
      <w:pPr>
        <w:spacing w:before="100" w:beforeAutospacing="1" w:after="100" w:afterAutospacing="1" w:line="360" w:lineRule="auto"/>
      </w:pPr>
      <w:r>
        <w:rPr>
          <w:rFonts w:ascii="Arial" w:hAnsi="Arial" w:cs="Arial"/>
        </w:rPr>
        <w:t> </w:t>
      </w:r>
    </w:p>
    <w:p w14:paraId="00A43B86" w14:textId="77777777" w:rsidR="00145B5C" w:rsidRDefault="00145B5C" w:rsidP="00145B5C">
      <w:pPr>
        <w:spacing w:before="100" w:beforeAutospacing="1" w:after="100" w:afterAutospacing="1" w:line="360" w:lineRule="auto"/>
      </w:pPr>
      <w:r>
        <w:rPr>
          <w:rFonts w:ascii="Arial" w:hAnsi="Arial" w:cs="Arial"/>
        </w:rPr>
        <w:t xml:space="preserve">Stephen </w:t>
      </w:r>
      <w:proofErr w:type="spellStart"/>
      <w:r>
        <w:rPr>
          <w:rFonts w:ascii="Arial" w:hAnsi="Arial" w:cs="Arial"/>
        </w:rPr>
        <w:t>Scahill</w:t>
      </w:r>
      <w:proofErr w:type="spellEnd"/>
    </w:p>
    <w:p w14:paraId="378C392E" w14:textId="77777777" w:rsidR="00145B5C" w:rsidRDefault="00145B5C" w:rsidP="00145B5C">
      <w:pPr>
        <w:spacing w:before="100" w:beforeAutospacing="1" w:after="100" w:afterAutospacing="1" w:line="360" w:lineRule="auto"/>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6"/>
        <w:gridCol w:w="2400"/>
      </w:tblGrid>
      <w:tr w:rsidR="00145B5C" w14:paraId="27BDD112" w14:textId="77777777" w:rsidTr="00145B5C">
        <w:trPr>
          <w:tblCellSpacing w:w="0" w:type="dxa"/>
        </w:trPr>
        <w:tc>
          <w:tcPr>
            <w:tcW w:w="0" w:type="auto"/>
            <w:tcBorders>
              <w:top w:val="nil"/>
              <w:left w:val="nil"/>
              <w:bottom w:val="single" w:sz="12" w:space="0" w:color="CCCCCC"/>
              <w:right w:val="nil"/>
            </w:tcBorders>
            <w:shd w:val="clear" w:color="auto" w:fill="FFFFFF"/>
            <w:tcMar>
              <w:top w:w="75" w:type="dxa"/>
              <w:left w:w="0" w:type="dxa"/>
              <w:bottom w:w="75" w:type="dxa"/>
              <w:right w:w="0" w:type="dxa"/>
            </w:tcMar>
            <w:vAlign w:val="center"/>
            <w:hideMark/>
          </w:tcPr>
          <w:p w14:paraId="197A67B7" w14:textId="77777777" w:rsidR="00145B5C" w:rsidRDefault="00145B5C">
            <w:pPr>
              <w:rPr>
                <w:sz w:val="17"/>
                <w:szCs w:val="17"/>
                <w:lang w:eastAsia="en-US"/>
              </w:rPr>
            </w:pPr>
            <w:r>
              <w:rPr>
                <w:rStyle w:val="Strong"/>
                <w:rFonts w:ascii="Verdana" w:hAnsi="Verdana"/>
                <w:color w:val="23A8E2"/>
                <w:sz w:val="23"/>
                <w:szCs w:val="23"/>
                <w:lang w:eastAsia="en-US"/>
              </w:rPr>
              <w:t xml:space="preserve">Stephen </w:t>
            </w:r>
            <w:proofErr w:type="spellStart"/>
            <w:r>
              <w:rPr>
                <w:rStyle w:val="Strong"/>
                <w:rFonts w:ascii="Verdana" w:hAnsi="Verdana"/>
                <w:color w:val="23A8E2"/>
                <w:sz w:val="23"/>
                <w:szCs w:val="23"/>
                <w:lang w:eastAsia="en-US"/>
              </w:rPr>
              <w:t>Scahill</w:t>
            </w:r>
            <w:proofErr w:type="spellEnd"/>
            <w:r>
              <w:rPr>
                <w:sz w:val="17"/>
                <w:szCs w:val="17"/>
                <w:lang w:eastAsia="en-US"/>
              </w:rPr>
              <w:t xml:space="preserve"> </w:t>
            </w:r>
            <w:r>
              <w:rPr>
                <w:rFonts w:ascii="Verdana" w:hAnsi="Verdana"/>
                <w:sz w:val="23"/>
                <w:szCs w:val="23"/>
                <w:lang w:eastAsia="en-US"/>
              </w:rPr>
              <w:t>Chief Operating Officer</w:t>
            </w:r>
            <w:r>
              <w:rPr>
                <w:sz w:val="17"/>
                <w:szCs w:val="17"/>
                <w:lang w:eastAsia="en-US"/>
              </w:rPr>
              <w:t xml:space="preserve"> </w:t>
            </w:r>
          </w:p>
        </w:tc>
        <w:tc>
          <w:tcPr>
            <w:tcW w:w="2400" w:type="dxa"/>
            <w:tcBorders>
              <w:top w:val="nil"/>
              <w:left w:val="nil"/>
              <w:bottom w:val="single" w:sz="12" w:space="0" w:color="CCCCCC"/>
              <w:right w:val="nil"/>
            </w:tcBorders>
            <w:shd w:val="clear" w:color="auto" w:fill="FFFFFF"/>
            <w:tcMar>
              <w:top w:w="150" w:type="dxa"/>
              <w:left w:w="0" w:type="dxa"/>
              <w:bottom w:w="150" w:type="dxa"/>
              <w:right w:w="0" w:type="dxa"/>
            </w:tcMar>
            <w:hideMark/>
          </w:tcPr>
          <w:p w14:paraId="07E999CC" w14:textId="77777777" w:rsidR="00145B5C" w:rsidRDefault="00145B5C">
            <w:pPr>
              <w:jc w:val="right"/>
              <w:rPr>
                <w:sz w:val="17"/>
                <w:szCs w:val="17"/>
                <w:lang w:eastAsia="en-US"/>
              </w:rPr>
            </w:pPr>
            <w:r>
              <w:rPr>
                <w:noProof/>
                <w:sz w:val="17"/>
                <w:szCs w:val="17"/>
              </w:rPr>
              <w:drawing>
                <wp:inline distT="0" distB="0" distL="0" distR="0" wp14:anchorId="175B2F06" wp14:editId="2027AA7C">
                  <wp:extent cx="1381125" cy="209550"/>
                  <wp:effectExtent l="0" t="0" r="9525" b="0"/>
                  <wp:docPr id="1" name="Picture 1" descr="Loan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n Mark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209550"/>
                          </a:xfrm>
                          <a:prstGeom prst="rect">
                            <a:avLst/>
                          </a:prstGeom>
                          <a:noFill/>
                          <a:ln>
                            <a:noFill/>
                          </a:ln>
                        </pic:spPr>
                      </pic:pic>
                    </a:graphicData>
                  </a:graphic>
                </wp:inline>
              </w:drawing>
            </w:r>
          </w:p>
        </w:tc>
      </w:tr>
      <w:tr w:rsidR="00145B5C" w14:paraId="51DE5FAE" w14:textId="77777777" w:rsidTr="00145B5C">
        <w:trPr>
          <w:tblCellSpacing w:w="0" w:type="dxa"/>
        </w:trPr>
        <w:tc>
          <w:tcPr>
            <w:tcW w:w="0" w:type="auto"/>
            <w:shd w:val="clear" w:color="auto" w:fill="FFFFFF"/>
            <w:vAlign w:val="center"/>
            <w:hideMark/>
          </w:tcPr>
          <w:p w14:paraId="380A6E97" w14:textId="77777777" w:rsidR="00145B5C" w:rsidRDefault="00145B5C">
            <w:pPr>
              <w:spacing w:line="300" w:lineRule="atLeast"/>
              <w:rPr>
                <w:rFonts w:ascii="Verdana" w:hAnsi="Verdana"/>
                <w:sz w:val="17"/>
                <w:szCs w:val="17"/>
                <w:lang w:eastAsia="en-US"/>
              </w:rPr>
            </w:pPr>
            <w:r>
              <w:rPr>
                <w:rFonts w:ascii="Verdana" w:hAnsi="Verdana"/>
                <w:b/>
                <w:bCs/>
                <w:color w:val="23A8E2"/>
                <w:sz w:val="17"/>
                <w:szCs w:val="17"/>
                <w:lang w:eastAsia="en-US"/>
              </w:rPr>
              <w:t>M</w:t>
            </w:r>
            <w:r>
              <w:rPr>
                <w:rFonts w:ascii="Verdana" w:hAnsi="Verdana"/>
                <w:sz w:val="17"/>
                <w:szCs w:val="17"/>
                <w:lang w:eastAsia="en-US"/>
              </w:rPr>
              <w:t xml:space="preserve"> 0404 007 795   </w:t>
            </w:r>
          </w:p>
          <w:p w14:paraId="03416289" w14:textId="77777777" w:rsidR="00145B5C" w:rsidRDefault="00145B5C">
            <w:pPr>
              <w:rPr>
                <w:rFonts w:ascii="Verdana" w:hAnsi="Verdana"/>
                <w:sz w:val="17"/>
                <w:szCs w:val="17"/>
                <w:lang w:eastAsia="en-US"/>
              </w:rPr>
            </w:pPr>
            <w:r>
              <w:rPr>
                <w:rFonts w:ascii="Verdana" w:hAnsi="Verdana"/>
                <w:b/>
                <w:bCs/>
                <w:color w:val="23A8E2"/>
                <w:sz w:val="17"/>
                <w:szCs w:val="17"/>
                <w:lang w:eastAsia="en-US"/>
              </w:rPr>
              <w:t>W</w:t>
            </w:r>
            <w:r>
              <w:rPr>
                <w:rFonts w:ascii="Verdana" w:hAnsi="Verdana"/>
                <w:sz w:val="17"/>
                <w:szCs w:val="17"/>
                <w:lang w:eastAsia="en-US"/>
              </w:rPr>
              <w:t xml:space="preserve"> </w:t>
            </w:r>
            <w:hyperlink r:id="rId12" w:tgtFrame="_blank" w:history="1">
              <w:r>
                <w:rPr>
                  <w:rStyle w:val="Hyperlink"/>
                  <w:rFonts w:ascii="Verdana" w:hAnsi="Verdana"/>
                  <w:sz w:val="17"/>
                  <w:szCs w:val="17"/>
                  <w:lang w:eastAsia="en-US"/>
                </w:rPr>
                <w:t>http://www.loanmarket.com.au</w:t>
              </w:r>
            </w:hyperlink>
          </w:p>
          <w:p w14:paraId="7E6DE6C6" w14:textId="77777777" w:rsidR="00145B5C" w:rsidRDefault="00145B5C">
            <w:pPr>
              <w:rPr>
                <w:rFonts w:ascii="Verdana" w:hAnsi="Verdana"/>
                <w:sz w:val="17"/>
                <w:szCs w:val="17"/>
                <w:lang w:eastAsia="en-US"/>
              </w:rPr>
            </w:pPr>
            <w:r>
              <w:rPr>
                <w:rFonts w:ascii="Verdana" w:hAnsi="Verdana"/>
                <w:b/>
                <w:bCs/>
                <w:color w:val="23A8E2"/>
                <w:sz w:val="17"/>
                <w:szCs w:val="17"/>
                <w:lang w:eastAsia="en-US"/>
              </w:rPr>
              <w:t>A</w:t>
            </w:r>
            <w:r>
              <w:rPr>
                <w:rFonts w:ascii="Verdana" w:hAnsi="Verdana"/>
                <w:sz w:val="17"/>
                <w:szCs w:val="17"/>
                <w:lang w:eastAsia="en-US"/>
              </w:rPr>
              <w:t xml:space="preserve"> Level 17, 135 King </w:t>
            </w:r>
            <w:proofErr w:type="spellStart"/>
            <w:r>
              <w:rPr>
                <w:rFonts w:ascii="Verdana" w:hAnsi="Verdana"/>
                <w:sz w:val="17"/>
                <w:szCs w:val="17"/>
                <w:lang w:eastAsia="en-US"/>
              </w:rPr>
              <w:t>Street,Sydney</w:t>
            </w:r>
            <w:proofErr w:type="spellEnd"/>
            <w:r>
              <w:rPr>
                <w:rFonts w:ascii="Verdana" w:hAnsi="Verdana"/>
                <w:sz w:val="17"/>
                <w:szCs w:val="17"/>
                <w:lang w:eastAsia="en-US"/>
              </w:rPr>
              <w:t xml:space="preserve">, NSW 2000 </w:t>
            </w:r>
          </w:p>
        </w:tc>
        <w:tc>
          <w:tcPr>
            <w:tcW w:w="0" w:type="auto"/>
            <w:tcBorders>
              <w:top w:val="nil"/>
              <w:left w:val="nil"/>
              <w:bottom w:val="nil"/>
              <w:right w:val="nil"/>
            </w:tcBorders>
            <w:shd w:val="clear" w:color="auto" w:fill="FFFFFF"/>
            <w:tcMar>
              <w:top w:w="0" w:type="dxa"/>
              <w:left w:w="0" w:type="dxa"/>
              <w:bottom w:w="75" w:type="dxa"/>
              <w:right w:w="0" w:type="dxa"/>
            </w:tcMar>
            <w:vAlign w:val="bottom"/>
            <w:hideMark/>
          </w:tcPr>
          <w:p w14:paraId="593B454C" w14:textId="77777777" w:rsidR="00145B5C" w:rsidRDefault="00145B5C">
            <w:pPr>
              <w:rPr>
                <w:rFonts w:asciiTheme="minorHAnsi" w:hAnsiTheme="minorHAnsi"/>
                <w:sz w:val="22"/>
                <w:szCs w:val="22"/>
                <w:lang w:eastAsia="en-US"/>
              </w:rPr>
            </w:pPr>
          </w:p>
        </w:tc>
      </w:tr>
    </w:tbl>
    <w:p w14:paraId="5B0985B4" w14:textId="77777777" w:rsidR="00C6396B" w:rsidRDefault="00C6396B"/>
    <w:sectPr w:rsidR="00C63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5C"/>
    <w:rsid w:val="00145B5C"/>
    <w:rsid w:val="00642945"/>
    <w:rsid w:val="00AA2A10"/>
    <w:rsid w:val="00C63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5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B5C"/>
    <w:rPr>
      <w:color w:val="0000FF"/>
      <w:u w:val="single"/>
    </w:rPr>
  </w:style>
  <w:style w:type="character" w:styleId="Strong">
    <w:name w:val="Strong"/>
    <w:basedOn w:val="DefaultParagraphFont"/>
    <w:uiPriority w:val="22"/>
    <w:qFormat/>
    <w:rsid w:val="00145B5C"/>
    <w:rPr>
      <w:b/>
      <w:bCs/>
    </w:rPr>
  </w:style>
  <w:style w:type="paragraph" w:styleId="BalloonText">
    <w:name w:val="Balloon Text"/>
    <w:basedOn w:val="Normal"/>
    <w:link w:val="BalloonTextChar"/>
    <w:uiPriority w:val="99"/>
    <w:semiHidden/>
    <w:unhideWhenUsed/>
    <w:rsid w:val="00145B5C"/>
    <w:rPr>
      <w:rFonts w:ascii="Tahoma" w:hAnsi="Tahoma" w:cs="Tahoma"/>
      <w:sz w:val="16"/>
      <w:szCs w:val="16"/>
    </w:rPr>
  </w:style>
  <w:style w:type="character" w:customStyle="1" w:styleId="BalloonTextChar">
    <w:name w:val="Balloon Text Char"/>
    <w:basedOn w:val="DefaultParagraphFont"/>
    <w:link w:val="BalloonText"/>
    <w:uiPriority w:val="99"/>
    <w:semiHidden/>
    <w:rsid w:val="00145B5C"/>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B5C"/>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B5C"/>
    <w:rPr>
      <w:color w:val="0000FF"/>
      <w:u w:val="single"/>
    </w:rPr>
  </w:style>
  <w:style w:type="character" w:styleId="Strong">
    <w:name w:val="Strong"/>
    <w:basedOn w:val="DefaultParagraphFont"/>
    <w:uiPriority w:val="22"/>
    <w:qFormat/>
    <w:rsid w:val="00145B5C"/>
    <w:rPr>
      <w:b/>
      <w:bCs/>
    </w:rPr>
  </w:style>
  <w:style w:type="paragraph" w:styleId="BalloonText">
    <w:name w:val="Balloon Text"/>
    <w:basedOn w:val="Normal"/>
    <w:link w:val="BalloonTextChar"/>
    <w:uiPriority w:val="99"/>
    <w:semiHidden/>
    <w:unhideWhenUsed/>
    <w:rsid w:val="00145B5C"/>
    <w:rPr>
      <w:rFonts w:ascii="Tahoma" w:hAnsi="Tahoma" w:cs="Tahoma"/>
      <w:sz w:val="16"/>
      <w:szCs w:val="16"/>
    </w:rPr>
  </w:style>
  <w:style w:type="character" w:customStyle="1" w:styleId="BalloonTextChar">
    <w:name w:val="Balloon Text Char"/>
    <w:basedOn w:val="DefaultParagraphFont"/>
    <w:link w:val="BalloonText"/>
    <w:uiPriority w:val="99"/>
    <w:semiHidden/>
    <w:rsid w:val="00145B5C"/>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6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oanmarket.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4941" ma:contentTypeDescription=" " ma:contentTypeScope="" ma:versionID="9fc1af35344643f57bc1873be59b0955">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2017MG-93-26387</_dlc_DocId>
    <_dlc_DocIdUrl xmlns="d4dd4adf-ddb3-46a3-8d7c-fab3fb2a6bc7">
      <Url>http://tweb/sites/mg/fsd/_layouts/15/DocIdRedir.aspx?ID=2017MG-93-26387</Url>
      <Description>2017MG-93-26387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2E8BE281-A5F3-4102-8613-52D38A67F9D6}">
  <ds:schemaRefs>
    <ds:schemaRef ds:uri="http://schemas.microsoft.com/sharepoint/events"/>
  </ds:schemaRefs>
</ds:datastoreItem>
</file>

<file path=customXml/itemProps2.xml><?xml version="1.0" encoding="utf-8"?>
<ds:datastoreItem xmlns:ds="http://schemas.openxmlformats.org/officeDocument/2006/customXml" ds:itemID="{AC866549-6B65-4E4F-AFFC-1B9B3E9D8A67}">
  <ds:schemaRefs>
    <ds:schemaRef ds:uri="http://schemas.microsoft.com/sharepoint/events"/>
  </ds:schemaRefs>
</ds:datastoreItem>
</file>

<file path=customXml/itemProps3.xml><?xml version="1.0" encoding="utf-8"?>
<ds:datastoreItem xmlns:ds="http://schemas.openxmlformats.org/officeDocument/2006/customXml" ds:itemID="{5802D554-1502-450D-904C-57C165096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406A0-3E32-4FCE-87F2-3C17CE9C1C02}">
  <ds:schemaRefs>
    <ds:schemaRef ds:uri="http://purl.org/dc/terms/"/>
    <ds:schemaRef ds:uri="http://www.w3.org/XML/1998/namespace"/>
    <ds:schemaRef ds:uri="d4dd4adf-ddb3-46a3-8d7c-fab3fb2a6bc7"/>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schemas.microsoft.com/sharepoint/v4"/>
    <ds:schemaRef ds:uri="http://purl.org/dc/dcmitype/"/>
  </ds:schemaRefs>
</ds:datastoreItem>
</file>

<file path=customXml/itemProps5.xml><?xml version="1.0" encoding="utf-8"?>
<ds:datastoreItem xmlns:ds="http://schemas.openxmlformats.org/officeDocument/2006/customXml" ds:itemID="{C2FA4C84-9C5A-4392-8A65-357D19B1C30F}">
  <ds:schemaRefs>
    <ds:schemaRef ds:uri="http://schemas.microsoft.com/sharepoint/v3/contenttype/forms"/>
  </ds:schemaRefs>
</ds:datastoreItem>
</file>

<file path=customXml/itemProps6.xml><?xml version="1.0" encoding="utf-8"?>
<ds:datastoreItem xmlns:ds="http://schemas.openxmlformats.org/officeDocument/2006/customXml" ds:itemID="{81DA0105-B855-4B53-8484-9D87708C3C8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Nitschke, Anna</cp:lastModifiedBy>
  <cp:revision>2</cp:revision>
  <dcterms:created xsi:type="dcterms:W3CDTF">2017-08-24T23:10:00Z</dcterms:created>
  <dcterms:modified xsi:type="dcterms:W3CDTF">2017-08-25T05:52:00Z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0x010100E95D40E5DFEA714B90E88DB5CE07A6B500A4C39F1D50EC0F4EBD06D6A3817BE15D</vt:lpwstr>
  </property>
  <property fmtid="{D5CDD505-2E9C-101B-9397-08002B2CF9AE}" pid="3" name="TSYRecordClass">
    <vt:lpwstr>7;#TSY RA-9072 - Retain as national archives|d71911a4-1e32-4fc6-834f-26c4fc33e217</vt:lpwstr>
  </property>
  <property fmtid="{D5CDD505-2E9C-101B-9397-08002B2CF9AE}" pid="4" name="_dlc_DocIdItemGuid">
    <vt:lpwstr>1f82f8fd-60e8-44c1-89d6-fc5fc3ca189a</vt:lpwstr>
  </property>
</Properties>
</file>