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p>
    <w:p w:rsidR="00EF6F1B" w:rsidRPr="00620D25" w:rsidRDefault="00EF6F1B" w:rsidP="005E7AAA">
      <w:pPr>
        <w:pStyle w:val="Title"/>
        <w:rPr>
          <w:b/>
          <w:color w:val="auto"/>
        </w:rPr>
      </w:pPr>
      <w:bookmarkStart w:id="0" w:name="_GoBack"/>
      <w:bookmarkEnd w:id="0"/>
    </w:p>
    <w:p w:rsidR="00EF6F1B" w:rsidRPr="00620D25" w:rsidRDefault="00491C99" w:rsidP="005E7AAA">
      <w:pPr>
        <w:pStyle w:val="Title"/>
        <w:rPr>
          <w:b/>
          <w:color w:val="auto"/>
        </w:rPr>
      </w:pPr>
      <w:r>
        <w:rPr>
          <w:rFonts w:ascii="Times New Roman" w:hAnsi="Times New Roman"/>
          <w:noProof/>
          <w:color w:val="auto"/>
          <w:sz w:val="24"/>
          <w:szCs w:val="24"/>
          <w:lang w:eastAsia="en-AU"/>
        </w:rPr>
        <mc:AlternateContent>
          <mc:Choice Requires="wps">
            <w:drawing>
              <wp:anchor distT="36576" distB="36576" distL="36576" distR="36576" simplePos="0" relativeHeight="251654656" behindDoc="0" locked="0" layoutInCell="1" allowOverlap="1" wp14:anchorId="287CA439" wp14:editId="50B4D9C0">
                <wp:simplePos x="0" y="0"/>
                <wp:positionH relativeFrom="column">
                  <wp:posOffset>411480</wp:posOffset>
                </wp:positionH>
                <wp:positionV relativeFrom="paragraph">
                  <wp:posOffset>6069330</wp:posOffset>
                </wp:positionV>
                <wp:extent cx="4485640" cy="618490"/>
                <wp:effectExtent l="0" t="444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04F8" w:rsidRDefault="004E04F8"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released up to 8 June 2012.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2.4pt;margin-top:477.9pt;width:353.2pt;height:48.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" filled="f" stroked="f" strokecolor="black [0]" strokeweight="0" insetpen="t">
                <v:textbox inset="2.88pt,2.88pt,2.88pt,2.88pt">
                  <w:txbxContent>
                    <w:p w:rsidR="00191D71" w:rsidRDefault="00191D71"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released up to 8 June 2012.</w:t>
                      </w: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5680" behindDoc="0" locked="0" layoutInCell="1" allowOverlap="1" wp14:anchorId="451279AF" wp14:editId="70D30DBB">
                <wp:simplePos x="0" y="0"/>
                <wp:positionH relativeFrom="column">
                  <wp:posOffset>411480</wp:posOffset>
                </wp:positionH>
                <wp:positionV relativeFrom="paragraph">
                  <wp:posOffset>4464050</wp:posOffset>
                </wp:positionV>
                <wp:extent cx="5936615" cy="84582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04F8" w:rsidRPr="00491C99" w:rsidRDefault="004E04F8"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Economic outlook for 2011-12, 2012-13 and 2013-14</w:t>
                            </w:r>
                          </w:p>
                          <w:p w:rsidR="004E04F8" w:rsidRPr="00491C99" w:rsidRDefault="004E04F8" w:rsidP="004D585F">
                            <w:pPr>
                              <w:pStyle w:val="Title"/>
                              <w:widowControl w:val="0"/>
                              <w:jc w:val="left"/>
                              <w:rPr>
                                <w:color w:val="548DD4" w:themeColor="text2" w:themeTint="99"/>
                                <w:sz w:val="64"/>
                                <w:szCs w:val="6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4pt;margin-top:351.5pt;width:467.45pt;height:66.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DAMAALo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" filled="f" stroked="f" strokecolor="black [0]" strokeweight="0" insetpen="t">
                <v:textbox inset="2.88pt,2.88pt,2.88pt,2.88pt">
                  <w:txbxContent>
                    <w:p w:rsidR="00191D71" w:rsidRPr="00491C99" w:rsidRDefault="00191D71"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Economic outlook for 2011-12, 2012-13 and 2013-14</w:t>
                      </w:r>
                    </w:p>
                    <w:p w:rsidR="00191D71" w:rsidRPr="00491C99" w:rsidRDefault="00191D71" w:rsidP="004D585F">
                      <w:pPr>
                        <w:pStyle w:val="Title"/>
                        <w:widowControl w:val="0"/>
                        <w:jc w:val="left"/>
                        <w:rPr>
                          <w:color w:val="548DD4" w:themeColor="text2" w:themeTint="99"/>
                          <w:sz w:val="64"/>
                          <w:szCs w:val="64"/>
                          <w:lang w:val="en-US"/>
                        </w:rPr>
                      </w:pP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6704" behindDoc="0" locked="0" layoutInCell="1" allowOverlap="1" wp14:anchorId="6BC2B2FF" wp14:editId="2759C86A">
                <wp:simplePos x="0" y="0"/>
                <wp:positionH relativeFrom="column">
                  <wp:posOffset>-290830</wp:posOffset>
                </wp:positionH>
                <wp:positionV relativeFrom="paragraph">
                  <wp:posOffset>-802640</wp:posOffset>
                </wp:positionV>
                <wp:extent cx="638175" cy="93167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9316720"/>
                        </a:xfrm>
                        <a:prstGeom prst="rect">
                          <a:avLst/>
                        </a:prstGeom>
                        <a:solidFill>
                          <a:srgbClr val="8AAFC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9pt;margin-top:-63.2pt;width:50.25pt;height:733.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" fillcolor="#8aafc1"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7728" behindDoc="0" locked="0" layoutInCell="1" allowOverlap="1" wp14:anchorId="3A6A5403" wp14:editId="1C25D833">
                <wp:simplePos x="0" y="0"/>
                <wp:positionH relativeFrom="column">
                  <wp:posOffset>-290830</wp:posOffset>
                </wp:positionH>
                <wp:positionV relativeFrom="paragraph">
                  <wp:posOffset>-1116965</wp:posOffset>
                </wp:positionV>
                <wp:extent cx="638175"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3215"/>
                        </a:xfrm>
                        <a:prstGeom prst="rect">
                          <a:avLst/>
                        </a:prstGeom>
                        <a:solidFill>
                          <a:srgbClr val="00517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pt;margin-top:-87.95pt;width:50.25pt;height:25.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" fillcolor="#00517a"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8752" behindDoc="0" locked="0" layoutInCell="1" allowOverlap="1" wp14:anchorId="72E3DF96" wp14:editId="2B056D23">
                <wp:simplePos x="0" y="0"/>
                <wp:positionH relativeFrom="column">
                  <wp:posOffset>-281940</wp:posOffset>
                </wp:positionH>
                <wp:positionV relativeFrom="paragraph">
                  <wp:posOffset>-812800</wp:posOffset>
                </wp:positionV>
                <wp:extent cx="616585" cy="0"/>
                <wp:effectExtent l="18415" t="18415" r="2222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28575">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2pt,-64pt" to="2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" strokecolor="#069" strokeweight="2.25pt">
                <v:shadow color="#ccc"/>
              </v:line>
            </w:pict>
          </mc:Fallback>
        </mc:AlternateContent>
      </w:r>
      <w:r>
        <w:rPr>
          <w:rFonts w:ascii="Times New Roman" w:hAnsi="Times New Roman"/>
          <w:noProof/>
          <w:color w:val="auto"/>
          <w:sz w:val="24"/>
          <w:szCs w:val="24"/>
          <w:lang w:eastAsia="en-AU"/>
        </w:rPr>
        <w:drawing>
          <wp:anchor distT="36576" distB="36576" distL="36576" distR="36576" simplePos="0" relativeHeight="251659776" behindDoc="0" locked="0" layoutInCell="1" allowOverlap="1" wp14:anchorId="0A38A3EC" wp14:editId="39F53DCC">
            <wp:simplePos x="0" y="0"/>
            <wp:positionH relativeFrom="column">
              <wp:posOffset>415290</wp:posOffset>
            </wp:positionH>
            <wp:positionV relativeFrom="paragraph">
              <wp:posOffset>-1054735</wp:posOffset>
            </wp:positionV>
            <wp:extent cx="2926080" cy="6705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670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F05940" w:rsidRPr="003344B0" w:rsidRDefault="00C5511F" w:rsidP="00F05940">
      <w:pPr>
        <w:pStyle w:val="TOC3"/>
        <w:rPr>
          <w:b w:val="0"/>
        </w:rPr>
      </w:pPr>
      <w:r>
        <w:rPr>
          <w:rFonts w:ascii="Times New Roman" w:hAnsi="Times New Roman"/>
          <w:lang w:eastAsia="en-AU"/>
        </w:rPr>
        <mc:AlternateContent>
          <mc:Choice Requires="wps">
            <w:drawing>
              <wp:anchor distT="36576" distB="36576" distL="36576" distR="36576" simplePos="0" relativeHeight="251660800" behindDoc="0" locked="0" layoutInCell="1" allowOverlap="1" wp14:anchorId="10508345" wp14:editId="7BC89E77">
                <wp:simplePos x="0" y="0"/>
                <wp:positionH relativeFrom="column">
                  <wp:posOffset>418465</wp:posOffset>
                </wp:positionH>
                <wp:positionV relativeFrom="paragraph">
                  <wp:posOffset>165328</wp:posOffset>
                </wp:positionV>
                <wp:extent cx="5582920" cy="21291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2129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E04F8" w:rsidRPr="00491C99" w:rsidRDefault="004E04F8"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xml:space="preserve">FORECASTING </w:t>
                            </w:r>
                            <w:r>
                              <w:rPr>
                                <w:color w:val="548DD4" w:themeColor="text2" w:themeTint="99"/>
                                <w:sz w:val="72"/>
                                <w:szCs w:val="72"/>
                                <w:lang w:val="en-US"/>
                              </w:rPr>
                              <w:t>REPORT</w:t>
                            </w:r>
                          </w:p>
                          <w:p w:rsidR="004E04F8" w:rsidRPr="00491C99" w:rsidRDefault="004E04F8" w:rsidP="003C7D39">
                            <w:pPr>
                              <w:pStyle w:val="Title"/>
                              <w:widowControl w:val="0"/>
                              <w:jc w:val="left"/>
                              <w:rPr>
                                <w:color w:val="548DD4" w:themeColor="text2" w:themeTint="99"/>
                                <w:sz w:val="32"/>
                                <w:szCs w:val="32"/>
                                <w:lang w:val="en-US"/>
                              </w:rPr>
                            </w:pPr>
                            <w:r w:rsidRPr="00491C99">
                              <w:rPr>
                                <w:color w:val="548DD4" w:themeColor="text2" w:themeTint="99"/>
                                <w:sz w:val="72"/>
                                <w:szCs w:val="72"/>
                                <w:lang w:val="en-US"/>
                              </w:rPr>
                              <w:t> </w:t>
                            </w:r>
                            <w:r w:rsidRPr="003C7D39">
                              <w:rPr>
                                <w:color w:val="548DD4" w:themeColor="text2" w:themeTint="99"/>
                                <w:sz w:val="52"/>
                                <w:szCs w:val="32"/>
                                <w:lang w:val="en-US"/>
                              </w:rPr>
                              <w:t>June 2012</w:t>
                            </w:r>
                          </w:p>
                          <w:p w:rsidR="004E04F8" w:rsidRPr="00491C99" w:rsidRDefault="004E04F8" w:rsidP="00491C99">
                            <w:pPr>
                              <w:pStyle w:val="Title"/>
                              <w:widowControl w:val="0"/>
                              <w:jc w:val="left"/>
                              <w:rPr>
                                <w:color w:val="548DD4" w:themeColor="text2" w:themeTint="99"/>
                                <w:sz w:val="72"/>
                                <w:szCs w:val="72"/>
                                <w:lang w:val="en-US"/>
                              </w:rPr>
                            </w:pPr>
                          </w:p>
                          <w:p w:rsidR="004E04F8" w:rsidRPr="00491C99" w:rsidRDefault="004E04F8"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95pt;margin-top:13pt;width:439.6pt;height:167.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" filled="f" stroked="f" strokecolor="black [0]" strokeweight="0" insetpen="t">
                <v:textbox inset="2.88pt,2.88pt,2.88pt,2.88pt">
                  <w:txbxContent>
                    <w:p w:rsidR="00191D71" w:rsidRPr="00491C99" w:rsidRDefault="00191D71"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xml:space="preserve">FORECASTING </w:t>
                      </w:r>
                      <w:r>
                        <w:rPr>
                          <w:color w:val="548DD4" w:themeColor="text2" w:themeTint="99"/>
                          <w:sz w:val="72"/>
                          <w:szCs w:val="72"/>
                          <w:lang w:val="en-US"/>
                        </w:rPr>
                        <w:t>REPORT</w:t>
                      </w:r>
                    </w:p>
                    <w:p w:rsidR="00191D71" w:rsidRPr="00491C99" w:rsidRDefault="00191D71" w:rsidP="003C7D39">
                      <w:pPr>
                        <w:pStyle w:val="Title"/>
                        <w:widowControl w:val="0"/>
                        <w:jc w:val="left"/>
                        <w:rPr>
                          <w:color w:val="548DD4" w:themeColor="text2" w:themeTint="99"/>
                          <w:sz w:val="32"/>
                          <w:szCs w:val="32"/>
                          <w:lang w:val="en-US"/>
                        </w:rPr>
                      </w:pPr>
                      <w:r w:rsidRPr="00491C99">
                        <w:rPr>
                          <w:color w:val="548DD4" w:themeColor="text2" w:themeTint="99"/>
                          <w:sz w:val="72"/>
                          <w:szCs w:val="72"/>
                          <w:lang w:val="en-US"/>
                        </w:rPr>
                        <w:t> </w:t>
                      </w:r>
                      <w:r w:rsidRPr="003C7D39">
                        <w:rPr>
                          <w:color w:val="548DD4" w:themeColor="text2" w:themeTint="99"/>
                          <w:sz w:val="52"/>
                          <w:szCs w:val="32"/>
                          <w:lang w:val="en-US"/>
                        </w:rPr>
                        <w:t>June 2012</w:t>
                      </w:r>
                    </w:p>
                    <w:p w:rsidR="00191D71" w:rsidRPr="00491C99" w:rsidRDefault="00191D71" w:rsidP="00491C99">
                      <w:pPr>
                        <w:pStyle w:val="Title"/>
                        <w:widowControl w:val="0"/>
                        <w:jc w:val="left"/>
                        <w:rPr>
                          <w:color w:val="548DD4" w:themeColor="text2" w:themeTint="99"/>
                          <w:sz w:val="72"/>
                          <w:szCs w:val="72"/>
                          <w:lang w:val="en-US"/>
                        </w:rPr>
                      </w:pPr>
                    </w:p>
                    <w:p w:rsidR="00191D71" w:rsidRPr="00491C99" w:rsidRDefault="00191D71"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v:textbox>
              </v:shape>
            </w:pict>
          </mc:Fallback>
        </mc:AlternateContent>
      </w:r>
      <w:r w:rsidR="00A8671C" w:rsidRPr="003344B0">
        <w:rPr>
          <w:b w:val="0"/>
          <w:highlight w:val="yellow"/>
        </w:rPr>
        <w:br w:type="page"/>
      </w:r>
    </w:p>
    <w:p w:rsidR="005964C3" w:rsidRPr="003344B0" w:rsidRDefault="005964C3" w:rsidP="00A16F7F">
      <w:pPr>
        <w:pStyle w:val="Title"/>
        <w:outlineLvl w:val="0"/>
        <w:rPr>
          <w:b/>
          <w:color w:val="auto"/>
          <w:sz w:val="24"/>
          <w:szCs w:val="24"/>
          <w:highlight w:val="yellow"/>
        </w:rPr>
        <w:sectPr w:rsidR="005964C3" w:rsidRPr="003344B0" w:rsidSect="00412C66">
          <w:headerReference w:type="default" r:id="rId10"/>
          <w:footerReference w:type="even" r:id="rId11"/>
          <w:footerReference w:type="default" r:id="rId12"/>
          <w:pgSz w:w="11907" w:h="16840" w:code="9"/>
          <w:pgMar w:top="1418" w:right="1418" w:bottom="1418" w:left="1418" w:header="567" w:footer="567" w:gutter="0"/>
          <w:cols w:space="720"/>
          <w:titlePg/>
        </w:sectPr>
      </w:pPr>
    </w:p>
    <w:p w:rsidR="00E9529C" w:rsidRPr="00F05940" w:rsidRDefault="00EF6F1B" w:rsidP="00F05940">
      <w:pPr>
        <w:rPr>
          <w:rFonts w:ascii="Tahoma" w:hAnsi="Tahoma"/>
          <w:b/>
          <w:smallCaps/>
          <w:sz w:val="26"/>
        </w:rPr>
      </w:pPr>
      <w:bookmarkStart w:id="1" w:name="_Toc90977883"/>
      <w:bookmarkStart w:id="2" w:name="_Toc185498655"/>
      <w:bookmarkStart w:id="3" w:name="_Toc322100136"/>
      <w:r w:rsidRPr="00F05940">
        <w:rPr>
          <w:rFonts w:ascii="Tahoma" w:hAnsi="Tahoma"/>
          <w:b/>
          <w:smallCaps/>
          <w:sz w:val="26"/>
        </w:rPr>
        <w:lastRenderedPageBreak/>
        <w:t>O</w:t>
      </w:r>
      <w:bookmarkStart w:id="4" w:name="_Toc90977892"/>
      <w:bookmarkEnd w:id="1"/>
      <w:bookmarkEnd w:id="2"/>
      <w:bookmarkEnd w:id="3"/>
      <w:r w:rsidR="00F05940">
        <w:rPr>
          <w:rFonts w:ascii="Tahoma" w:hAnsi="Tahoma"/>
          <w:b/>
          <w:smallCaps/>
          <w:sz w:val="26"/>
        </w:rPr>
        <w:t>VERVIEW</w:t>
      </w:r>
    </w:p>
    <w:p w:rsidR="006F3C5E" w:rsidRDefault="00B14820" w:rsidP="00B14820">
      <w:pPr>
        <w:rPr>
          <w:rFonts w:eastAsia="Times New Roman"/>
          <w:szCs w:val="20"/>
          <w:lang w:eastAsia="en-AU"/>
        </w:rPr>
      </w:pPr>
      <w:r>
        <w:rPr>
          <w:rFonts w:eastAsia="Times New Roman"/>
          <w:szCs w:val="20"/>
          <w:lang w:eastAsia="en-AU"/>
        </w:rPr>
        <w:t xml:space="preserve">The outlook for </w:t>
      </w:r>
      <w:r w:rsidR="00267D6F">
        <w:rPr>
          <w:rFonts w:eastAsia="Times New Roman"/>
          <w:szCs w:val="20"/>
          <w:lang w:eastAsia="en-AU"/>
        </w:rPr>
        <w:t xml:space="preserve">the </w:t>
      </w:r>
      <w:r>
        <w:rPr>
          <w:rFonts w:eastAsia="Times New Roman"/>
          <w:szCs w:val="20"/>
          <w:lang w:eastAsia="en-AU"/>
        </w:rPr>
        <w:t>econom</w:t>
      </w:r>
      <w:r w:rsidR="00267D6F">
        <w:rPr>
          <w:rFonts w:eastAsia="Times New Roman"/>
          <w:szCs w:val="20"/>
          <w:lang w:eastAsia="en-AU"/>
        </w:rPr>
        <w:t xml:space="preserve">y </w:t>
      </w:r>
      <w:r>
        <w:rPr>
          <w:rFonts w:eastAsia="Times New Roman"/>
          <w:szCs w:val="20"/>
          <w:lang w:eastAsia="en-AU"/>
        </w:rPr>
        <w:t xml:space="preserve">is broadly unchanged </w:t>
      </w:r>
      <w:r w:rsidR="00A95879">
        <w:rPr>
          <w:rFonts w:eastAsia="Times New Roman"/>
          <w:szCs w:val="20"/>
          <w:lang w:eastAsia="en-AU"/>
        </w:rPr>
        <w:t>compared with B</w:t>
      </w:r>
      <w:r>
        <w:rPr>
          <w:rFonts w:eastAsia="Times New Roman"/>
          <w:szCs w:val="20"/>
          <w:lang w:eastAsia="en-AU"/>
        </w:rPr>
        <w:t>udget</w:t>
      </w:r>
      <w:r w:rsidR="003C7D39">
        <w:rPr>
          <w:rFonts w:eastAsia="Times New Roman"/>
          <w:szCs w:val="20"/>
          <w:lang w:eastAsia="en-AU"/>
        </w:rPr>
        <w:t>.</w:t>
      </w:r>
      <w:r w:rsidR="00F1068E">
        <w:rPr>
          <w:rFonts w:eastAsia="Times New Roman"/>
          <w:szCs w:val="20"/>
          <w:lang w:eastAsia="en-AU"/>
        </w:rPr>
        <w:t xml:space="preserve"> </w:t>
      </w:r>
      <w:r w:rsidR="003C7D39">
        <w:rPr>
          <w:rFonts w:eastAsia="Times New Roman"/>
          <w:szCs w:val="20"/>
          <w:lang w:eastAsia="en-AU"/>
        </w:rPr>
        <w:t>Real</w:t>
      </w:r>
      <w:r w:rsidR="00A95879">
        <w:rPr>
          <w:rFonts w:eastAsia="Times New Roman"/>
          <w:szCs w:val="20"/>
          <w:lang w:eastAsia="en-AU"/>
        </w:rPr>
        <w:t xml:space="preserve"> GDP is </w:t>
      </w:r>
      <w:r w:rsidR="00267D6F">
        <w:rPr>
          <w:rFonts w:eastAsia="Times New Roman"/>
          <w:szCs w:val="20"/>
          <w:lang w:eastAsia="en-AU"/>
        </w:rPr>
        <w:t xml:space="preserve">now </w:t>
      </w:r>
      <w:r w:rsidR="002E548D">
        <w:rPr>
          <w:rFonts w:eastAsia="Times New Roman"/>
          <w:szCs w:val="20"/>
          <w:lang w:eastAsia="en-AU"/>
        </w:rPr>
        <w:t xml:space="preserve">expected to grow 3¼ per cent in </w:t>
      </w:r>
      <w:r>
        <w:rPr>
          <w:rFonts w:eastAsia="Times New Roman"/>
          <w:szCs w:val="20"/>
          <w:lang w:eastAsia="en-AU"/>
        </w:rPr>
        <w:t>2011-12</w:t>
      </w:r>
      <w:r w:rsidR="00A95879">
        <w:rPr>
          <w:rFonts w:eastAsia="Times New Roman"/>
          <w:szCs w:val="20"/>
          <w:lang w:eastAsia="en-AU"/>
        </w:rPr>
        <w:t xml:space="preserve"> </w:t>
      </w:r>
      <w:r>
        <w:rPr>
          <w:rFonts w:eastAsia="Times New Roman"/>
          <w:szCs w:val="20"/>
          <w:lang w:eastAsia="en-AU"/>
        </w:rPr>
        <w:t xml:space="preserve">following </w:t>
      </w:r>
      <w:r w:rsidR="00A95879">
        <w:rPr>
          <w:rFonts w:eastAsia="Times New Roman"/>
          <w:szCs w:val="20"/>
          <w:lang w:eastAsia="en-AU"/>
        </w:rPr>
        <w:t>the</w:t>
      </w:r>
      <w:r>
        <w:rPr>
          <w:rFonts w:eastAsia="Times New Roman"/>
          <w:szCs w:val="20"/>
          <w:lang w:eastAsia="en-AU"/>
        </w:rPr>
        <w:t xml:space="preserve"> </w:t>
      </w:r>
      <w:r w:rsidR="00FC3CF7">
        <w:rPr>
          <w:rFonts w:eastAsia="Times New Roman"/>
          <w:szCs w:val="20"/>
          <w:lang w:eastAsia="en-AU"/>
        </w:rPr>
        <w:t xml:space="preserve">slightly </w:t>
      </w:r>
      <w:r>
        <w:rPr>
          <w:rFonts w:eastAsia="Times New Roman"/>
          <w:szCs w:val="20"/>
          <w:lang w:eastAsia="en-AU"/>
        </w:rPr>
        <w:t>stronger-than-expected March quarter outcome</w:t>
      </w:r>
      <w:r w:rsidR="00A95879">
        <w:rPr>
          <w:rFonts w:eastAsia="Times New Roman"/>
          <w:szCs w:val="20"/>
          <w:lang w:eastAsia="en-AU"/>
        </w:rPr>
        <w:t xml:space="preserve"> and</w:t>
      </w:r>
      <w:r w:rsidR="00FC3CF7">
        <w:rPr>
          <w:rFonts w:eastAsia="Times New Roman"/>
          <w:szCs w:val="20"/>
          <w:lang w:eastAsia="en-AU"/>
        </w:rPr>
        <w:t xml:space="preserve"> upward revisions to previous quarters</w:t>
      </w:r>
      <w:r w:rsidR="00612ED8">
        <w:rPr>
          <w:rFonts w:eastAsia="Times New Roman"/>
          <w:szCs w:val="20"/>
          <w:lang w:eastAsia="en-AU"/>
        </w:rPr>
        <w:t xml:space="preserve">. </w:t>
      </w:r>
      <w:r w:rsidR="00FC3CF7">
        <w:rPr>
          <w:rFonts w:eastAsia="Times New Roman"/>
          <w:szCs w:val="20"/>
          <w:lang w:eastAsia="en-AU"/>
        </w:rPr>
        <w:t>W</w:t>
      </w:r>
      <w:r w:rsidR="00A95879">
        <w:rPr>
          <w:rFonts w:eastAsia="Times New Roman"/>
          <w:szCs w:val="20"/>
          <w:lang w:eastAsia="en-AU"/>
        </w:rPr>
        <w:t>ith r</w:t>
      </w:r>
      <w:r w:rsidR="00267D6F">
        <w:rPr>
          <w:rFonts w:eastAsia="Times New Roman"/>
          <w:szCs w:val="20"/>
          <w:lang w:eastAsia="en-AU"/>
        </w:rPr>
        <w:t>obust recent outcomes in the labour market</w:t>
      </w:r>
      <w:r w:rsidR="00A95879">
        <w:rPr>
          <w:rFonts w:eastAsia="Times New Roman"/>
          <w:szCs w:val="20"/>
          <w:lang w:eastAsia="en-AU"/>
        </w:rPr>
        <w:t>,</w:t>
      </w:r>
      <w:r w:rsidR="00267D6F">
        <w:rPr>
          <w:rFonts w:eastAsia="Times New Roman"/>
          <w:szCs w:val="20"/>
          <w:lang w:eastAsia="en-AU"/>
        </w:rPr>
        <w:t xml:space="preserve"> employment growth </w:t>
      </w:r>
      <w:r w:rsidR="00A95879">
        <w:rPr>
          <w:rFonts w:eastAsia="Times New Roman"/>
          <w:szCs w:val="20"/>
          <w:lang w:eastAsia="en-AU"/>
        </w:rPr>
        <w:t xml:space="preserve">is expected to be slightly stronger </w:t>
      </w:r>
      <w:r w:rsidR="00267D6F">
        <w:rPr>
          <w:rFonts w:eastAsia="Times New Roman"/>
          <w:szCs w:val="20"/>
          <w:lang w:eastAsia="en-AU"/>
        </w:rPr>
        <w:t xml:space="preserve">and </w:t>
      </w:r>
      <w:r w:rsidR="00A95879">
        <w:rPr>
          <w:rFonts w:eastAsia="Times New Roman"/>
          <w:szCs w:val="20"/>
          <w:lang w:eastAsia="en-AU"/>
        </w:rPr>
        <w:t xml:space="preserve">the unemployment rate slightly </w:t>
      </w:r>
      <w:r w:rsidR="00267D6F">
        <w:rPr>
          <w:rFonts w:eastAsia="Times New Roman"/>
          <w:szCs w:val="20"/>
          <w:lang w:eastAsia="en-AU"/>
        </w:rPr>
        <w:t>lower</w:t>
      </w:r>
      <w:r w:rsidR="005E7FE3">
        <w:rPr>
          <w:rFonts w:eastAsia="Times New Roman"/>
          <w:szCs w:val="20"/>
          <w:lang w:eastAsia="en-AU"/>
        </w:rPr>
        <w:t xml:space="preserve"> </w:t>
      </w:r>
      <w:r w:rsidR="00FC3CF7">
        <w:rPr>
          <w:rFonts w:eastAsia="Times New Roman"/>
          <w:szCs w:val="20"/>
          <w:lang w:eastAsia="en-AU"/>
        </w:rPr>
        <w:t xml:space="preserve">in 2011-12 </w:t>
      </w:r>
      <w:r w:rsidR="005E7FE3">
        <w:rPr>
          <w:rFonts w:eastAsia="Times New Roman"/>
          <w:szCs w:val="20"/>
          <w:lang w:eastAsia="en-AU"/>
        </w:rPr>
        <w:t xml:space="preserve">than </w:t>
      </w:r>
      <w:r w:rsidR="003C7D39">
        <w:rPr>
          <w:rFonts w:eastAsia="Times New Roman"/>
          <w:szCs w:val="20"/>
          <w:lang w:eastAsia="en-AU"/>
        </w:rPr>
        <w:t xml:space="preserve">was </w:t>
      </w:r>
      <w:r w:rsidR="005E7FE3">
        <w:rPr>
          <w:rFonts w:eastAsia="Times New Roman"/>
          <w:szCs w:val="20"/>
          <w:lang w:eastAsia="en-AU"/>
        </w:rPr>
        <w:t>anticipated</w:t>
      </w:r>
      <w:r w:rsidR="00FC3CF7">
        <w:rPr>
          <w:rFonts w:eastAsia="Times New Roman"/>
          <w:szCs w:val="20"/>
          <w:lang w:eastAsia="en-AU"/>
        </w:rPr>
        <w:t xml:space="preserve"> at Budget</w:t>
      </w:r>
      <w:r w:rsidR="00612ED8">
        <w:rPr>
          <w:rFonts w:eastAsia="Times New Roman"/>
          <w:szCs w:val="20"/>
          <w:lang w:eastAsia="en-AU"/>
        </w:rPr>
        <w:t xml:space="preserve">. </w:t>
      </w:r>
      <w:r w:rsidR="0028329D">
        <w:t xml:space="preserve">Notwithstanding the positive recent GDP growth </w:t>
      </w:r>
      <w:r w:rsidR="00FC3CF7">
        <w:t xml:space="preserve">and labour market </w:t>
      </w:r>
      <w:r w:rsidR="0028329D">
        <w:t xml:space="preserve">outcomes, the </w:t>
      </w:r>
      <w:r w:rsidR="0028329D" w:rsidRPr="00FC3CF7">
        <w:t xml:space="preserve">economic </w:t>
      </w:r>
      <w:r w:rsidR="0028329D" w:rsidRPr="00FC3CF7">
        <w:rPr>
          <w:rFonts w:cs="Tahoma"/>
        </w:rPr>
        <w:t xml:space="preserve">outlook </w:t>
      </w:r>
      <w:r w:rsidR="00267D6F" w:rsidRPr="00FC3CF7">
        <w:rPr>
          <w:rFonts w:eastAsia="Times New Roman"/>
          <w:szCs w:val="20"/>
          <w:lang w:eastAsia="en-AU"/>
        </w:rPr>
        <w:t xml:space="preserve">is </w:t>
      </w:r>
      <w:r w:rsidR="00A95879" w:rsidRPr="00FC3CF7">
        <w:rPr>
          <w:rFonts w:eastAsia="Times New Roman"/>
          <w:szCs w:val="20"/>
          <w:lang w:eastAsia="en-AU"/>
        </w:rPr>
        <w:t>largely</w:t>
      </w:r>
      <w:r w:rsidR="00A95879">
        <w:rPr>
          <w:rFonts w:eastAsia="Times New Roman"/>
          <w:szCs w:val="20"/>
          <w:lang w:eastAsia="en-AU"/>
        </w:rPr>
        <w:t xml:space="preserve"> </w:t>
      </w:r>
      <w:r w:rsidR="00267D6F">
        <w:rPr>
          <w:rFonts w:eastAsia="Times New Roman"/>
          <w:szCs w:val="20"/>
          <w:lang w:eastAsia="en-AU"/>
        </w:rPr>
        <w:t>unchanged</w:t>
      </w:r>
      <w:r w:rsidR="00A95879">
        <w:rPr>
          <w:rFonts w:eastAsia="Times New Roman"/>
          <w:szCs w:val="20"/>
          <w:lang w:eastAsia="en-AU"/>
        </w:rPr>
        <w:t xml:space="preserve"> </w:t>
      </w:r>
      <w:r w:rsidR="003C7D39">
        <w:rPr>
          <w:rFonts w:eastAsia="Times New Roman"/>
          <w:szCs w:val="20"/>
          <w:lang w:eastAsia="en-AU"/>
        </w:rPr>
        <w:t>for</w:t>
      </w:r>
      <w:r w:rsidR="005E7FE3">
        <w:rPr>
          <w:rFonts w:eastAsia="Times New Roman"/>
          <w:szCs w:val="20"/>
          <w:lang w:eastAsia="en-AU"/>
        </w:rPr>
        <w:t xml:space="preserve"> 2012-13 and 2013-14</w:t>
      </w:r>
      <w:r w:rsidR="00267D6F">
        <w:rPr>
          <w:rFonts w:eastAsia="Times New Roman"/>
          <w:szCs w:val="20"/>
          <w:lang w:eastAsia="en-AU"/>
        </w:rPr>
        <w:t>,</w:t>
      </w:r>
      <w:r>
        <w:rPr>
          <w:rFonts w:eastAsia="Times New Roman"/>
          <w:szCs w:val="20"/>
          <w:lang w:eastAsia="en-AU"/>
        </w:rPr>
        <w:t xml:space="preserve"> with slightly stronger expected growth in </w:t>
      </w:r>
      <w:r w:rsidR="00AD6547">
        <w:rPr>
          <w:rFonts w:eastAsia="Times New Roman"/>
          <w:szCs w:val="20"/>
          <w:lang w:eastAsia="en-AU"/>
        </w:rPr>
        <w:t>e</w:t>
      </w:r>
      <w:r>
        <w:rPr>
          <w:rFonts w:eastAsia="Times New Roman"/>
          <w:szCs w:val="20"/>
          <w:lang w:eastAsia="en-AU"/>
        </w:rPr>
        <w:t xml:space="preserve">xport volumes offset by slightly weaker expected growth </w:t>
      </w:r>
      <w:r w:rsidR="002E548D">
        <w:rPr>
          <w:rFonts w:eastAsia="Times New Roman"/>
          <w:szCs w:val="20"/>
          <w:lang w:eastAsia="en-AU"/>
        </w:rPr>
        <w:t>in</w:t>
      </w:r>
      <w:r w:rsidR="00267D6F">
        <w:rPr>
          <w:rFonts w:eastAsia="Times New Roman"/>
          <w:szCs w:val="20"/>
          <w:lang w:eastAsia="en-AU"/>
        </w:rPr>
        <w:t xml:space="preserve"> new business investment</w:t>
      </w:r>
      <w:r w:rsidR="00612ED8">
        <w:rPr>
          <w:rFonts w:eastAsia="Times New Roman"/>
          <w:szCs w:val="20"/>
          <w:lang w:eastAsia="en-AU"/>
        </w:rPr>
        <w:t xml:space="preserve">. </w:t>
      </w:r>
      <w:r w:rsidR="006F3C5E">
        <w:rPr>
          <w:rFonts w:eastAsia="Times New Roman"/>
          <w:szCs w:val="20"/>
          <w:lang w:eastAsia="en-AU"/>
        </w:rPr>
        <w:t xml:space="preserve">However, downward </w:t>
      </w:r>
      <w:r w:rsidR="006F3C5E" w:rsidRPr="006F3C5E">
        <w:rPr>
          <w:rFonts w:eastAsia="Times New Roman"/>
          <w:szCs w:val="20"/>
          <w:lang w:eastAsia="en-AU"/>
        </w:rPr>
        <w:t>historical revisions to the level of the terms of trade</w:t>
      </w:r>
      <w:r w:rsidR="006F3C5E">
        <w:rPr>
          <w:rFonts w:eastAsia="Times New Roman"/>
          <w:szCs w:val="20"/>
          <w:lang w:eastAsia="en-AU"/>
        </w:rPr>
        <w:t xml:space="preserve"> </w:t>
      </w:r>
      <w:r w:rsidR="006F3C5E" w:rsidRPr="006F3C5E">
        <w:rPr>
          <w:rFonts w:eastAsia="Times New Roman"/>
          <w:szCs w:val="20"/>
          <w:lang w:eastAsia="en-AU"/>
        </w:rPr>
        <w:t>result</w:t>
      </w:r>
      <w:r w:rsidR="006F3C5E">
        <w:rPr>
          <w:rFonts w:eastAsia="Times New Roman"/>
          <w:szCs w:val="20"/>
          <w:lang w:eastAsia="en-AU"/>
        </w:rPr>
        <w:t>ing</w:t>
      </w:r>
      <w:r w:rsidR="006F3C5E" w:rsidRPr="006F3C5E">
        <w:rPr>
          <w:rFonts w:eastAsia="Times New Roman"/>
          <w:szCs w:val="20"/>
          <w:lang w:eastAsia="en-AU"/>
        </w:rPr>
        <w:t xml:space="preserve"> in a weaker increase in 2011-12</w:t>
      </w:r>
      <w:r w:rsidR="006F3C5E">
        <w:rPr>
          <w:rFonts w:eastAsia="Times New Roman"/>
          <w:szCs w:val="20"/>
          <w:lang w:eastAsia="en-AU"/>
        </w:rPr>
        <w:t xml:space="preserve"> and </w:t>
      </w:r>
      <w:r w:rsidR="006F3C5E" w:rsidRPr="006F3C5E">
        <w:rPr>
          <w:rFonts w:eastAsia="Times New Roman"/>
          <w:szCs w:val="20"/>
          <w:lang w:eastAsia="en-AU"/>
        </w:rPr>
        <w:t xml:space="preserve">a softening in expectations for domestic price growth have led to a downgrade in nominal GDP growth over the forecast period </w:t>
      </w:r>
      <w:r w:rsidR="006F3C5E">
        <w:rPr>
          <w:rFonts w:eastAsia="Times New Roman"/>
          <w:szCs w:val="20"/>
          <w:lang w:eastAsia="en-AU"/>
        </w:rPr>
        <w:t>(Table 1)</w:t>
      </w:r>
      <w:r w:rsidR="00612ED8">
        <w:rPr>
          <w:rFonts w:eastAsia="Times New Roman"/>
          <w:szCs w:val="20"/>
          <w:lang w:eastAsia="en-AU"/>
        </w:rPr>
        <w:t xml:space="preserve">. </w:t>
      </w:r>
    </w:p>
    <w:p w:rsidR="002F6F21" w:rsidRPr="0031671C" w:rsidRDefault="002F6F21" w:rsidP="002F6F21">
      <w:pPr>
        <w:rPr>
          <w:highlight w:val="yellow"/>
        </w:rPr>
      </w:pPr>
      <w:r>
        <w:rPr>
          <w:color w:val="000000" w:themeColor="text1"/>
        </w:rPr>
        <w:t>Internationally the euro area sovereign debt crisis continues to cast a shadow over the global economic outlook, with the Greek debt crisis yet to be resolved even as new concerns are emerging regarding the fragility of the Spanish banking system</w:t>
      </w:r>
      <w:r w:rsidR="00612ED8">
        <w:rPr>
          <w:color w:val="000000" w:themeColor="text1"/>
        </w:rPr>
        <w:t xml:space="preserve">. </w:t>
      </w:r>
      <w:r>
        <w:rPr>
          <w:color w:val="000000" w:themeColor="text1"/>
        </w:rPr>
        <w:t xml:space="preserve">Nevertheless, the central forecasts for global growth are unchanged, with the ongoing euro area </w:t>
      </w:r>
      <w:r w:rsidR="00C53FCF">
        <w:rPr>
          <w:color w:val="000000" w:themeColor="text1"/>
        </w:rPr>
        <w:t>weakness</w:t>
      </w:r>
      <w:r>
        <w:rPr>
          <w:color w:val="000000" w:themeColor="text1"/>
        </w:rPr>
        <w:t xml:space="preserve"> </w:t>
      </w:r>
      <w:r w:rsidR="00D77EA1">
        <w:rPr>
          <w:color w:val="000000" w:themeColor="text1"/>
        </w:rPr>
        <w:t xml:space="preserve">largely </w:t>
      </w:r>
      <w:r>
        <w:rPr>
          <w:color w:val="000000" w:themeColor="text1"/>
        </w:rPr>
        <w:t>factored in at Budget</w:t>
      </w:r>
      <w:r w:rsidR="00612ED8">
        <w:rPr>
          <w:color w:val="000000" w:themeColor="text1"/>
        </w:rPr>
        <w:t xml:space="preserve">. </w:t>
      </w:r>
      <w:r>
        <w:rPr>
          <w:color w:val="000000" w:themeColor="text1"/>
        </w:rPr>
        <w:t>Notwithstanding some s</w:t>
      </w:r>
      <w:r w:rsidR="0028329D">
        <w:rPr>
          <w:color w:val="000000" w:themeColor="text1"/>
        </w:rPr>
        <w:t xml:space="preserve">oftness in recent economic data out of </w:t>
      </w:r>
      <w:r>
        <w:rPr>
          <w:color w:val="000000" w:themeColor="text1"/>
        </w:rPr>
        <w:t xml:space="preserve">China, </w:t>
      </w:r>
      <w:r w:rsidR="00F05940">
        <w:rPr>
          <w:color w:val="000000" w:themeColor="text1"/>
        </w:rPr>
        <w:t xml:space="preserve">growth </w:t>
      </w:r>
      <w:r>
        <w:rPr>
          <w:color w:val="000000" w:themeColor="text1"/>
        </w:rPr>
        <w:t>forecasts for Australia’s major trading part</w:t>
      </w:r>
      <w:r w:rsidR="00F05940">
        <w:rPr>
          <w:color w:val="000000" w:themeColor="text1"/>
        </w:rPr>
        <w:t>ners (export weighted) have</w:t>
      </w:r>
      <w:r>
        <w:rPr>
          <w:color w:val="000000" w:themeColor="text1"/>
        </w:rPr>
        <w:t xml:space="preserve"> been upgraded slightly to 4½ per cent in 2012, reflecting a slightly improved near-term outlook for our region, but are unchanged in 2</w:t>
      </w:r>
      <w:r w:rsidRPr="0031671C">
        <w:t>013 and 2014</w:t>
      </w:r>
      <w:r w:rsidR="00612ED8">
        <w:t xml:space="preserve">. </w:t>
      </w:r>
    </w:p>
    <w:p w:rsidR="003C412C" w:rsidRDefault="00437E16" w:rsidP="00267D6F">
      <w:pPr>
        <w:rPr>
          <w:color w:val="0000FF"/>
        </w:rPr>
      </w:pPr>
      <w:r>
        <w:rPr>
          <w:color w:val="000000" w:themeColor="text1"/>
        </w:rPr>
        <w:t xml:space="preserve">Although the outlook for the Australian economy remains positive, </w:t>
      </w:r>
      <w:r w:rsidR="003C412C">
        <w:rPr>
          <w:color w:val="000000" w:themeColor="text1"/>
        </w:rPr>
        <w:t xml:space="preserve">the potential for the situation in the euro area to </w:t>
      </w:r>
      <w:r w:rsidR="007672D9">
        <w:rPr>
          <w:color w:val="000000" w:themeColor="text1"/>
        </w:rPr>
        <w:t>escalate</w:t>
      </w:r>
      <w:r w:rsidR="003C412C">
        <w:rPr>
          <w:color w:val="000000" w:themeColor="text1"/>
        </w:rPr>
        <w:t xml:space="preserve"> into a major financial crisis will continue to pose a </w:t>
      </w:r>
      <w:r w:rsidR="00FC3CF7">
        <w:rPr>
          <w:color w:val="000000" w:themeColor="text1"/>
        </w:rPr>
        <w:t xml:space="preserve">downside </w:t>
      </w:r>
      <w:r w:rsidR="003C412C">
        <w:rPr>
          <w:color w:val="000000" w:themeColor="text1"/>
        </w:rPr>
        <w:t>risk to the domestic and international outlook</w:t>
      </w:r>
      <w:r w:rsidR="00612ED8">
        <w:rPr>
          <w:color w:val="000000" w:themeColor="text1"/>
        </w:rPr>
        <w:t xml:space="preserve">. </w:t>
      </w:r>
      <w:r w:rsidR="003C412C">
        <w:rPr>
          <w:color w:val="000000" w:themeColor="text1"/>
        </w:rPr>
        <w:t xml:space="preserve">Domestically, the </w:t>
      </w:r>
      <w:r w:rsidR="006E14C3">
        <w:rPr>
          <w:color w:val="000000" w:themeColor="text1"/>
        </w:rPr>
        <w:t xml:space="preserve">structural </w:t>
      </w:r>
      <w:r w:rsidR="003C412C">
        <w:rPr>
          <w:color w:val="000000" w:themeColor="text1"/>
        </w:rPr>
        <w:t xml:space="preserve">transition taking place in the economy </w:t>
      </w:r>
      <w:r w:rsidR="006E14C3">
        <w:rPr>
          <w:color w:val="000000" w:themeColor="text1"/>
        </w:rPr>
        <w:t xml:space="preserve">will </w:t>
      </w:r>
      <w:r w:rsidR="003C412C">
        <w:rPr>
          <w:color w:val="000000" w:themeColor="text1"/>
        </w:rPr>
        <w:t xml:space="preserve">continue to pose a </w:t>
      </w:r>
      <w:r>
        <w:rPr>
          <w:color w:val="000000" w:themeColor="text1"/>
        </w:rPr>
        <w:t xml:space="preserve">particular </w:t>
      </w:r>
      <w:r w:rsidR="003C412C">
        <w:rPr>
          <w:color w:val="000000" w:themeColor="text1"/>
        </w:rPr>
        <w:t>risk for the labour market</w:t>
      </w:r>
      <w:r w:rsidR="006E14C3">
        <w:rPr>
          <w:color w:val="000000" w:themeColor="text1"/>
        </w:rPr>
        <w:t xml:space="preserve"> </w:t>
      </w:r>
      <w:r>
        <w:rPr>
          <w:color w:val="000000" w:themeColor="text1"/>
        </w:rPr>
        <w:t>via</w:t>
      </w:r>
      <w:r w:rsidR="006E14C3">
        <w:rPr>
          <w:color w:val="000000" w:themeColor="text1"/>
        </w:rPr>
        <w:t xml:space="preserve"> the potential for changing and uneven patterns of labour demand to generate temporarily higher unemployment</w:t>
      </w:r>
      <w:r w:rsidR="00FC3CF7">
        <w:rPr>
          <w:color w:val="000000" w:themeColor="text1"/>
        </w:rPr>
        <w:t>,</w:t>
      </w:r>
      <w:r w:rsidR="006E14C3">
        <w:rPr>
          <w:color w:val="000000" w:themeColor="text1"/>
        </w:rPr>
        <w:t xml:space="preserve"> particularly in sectors and regions not benefiting from the mining boom.</w:t>
      </w:r>
    </w:p>
    <w:p w:rsidR="00EF0187" w:rsidRPr="00691ADF" w:rsidRDefault="00EF0187" w:rsidP="00B14820">
      <w:pPr>
        <w:rPr>
          <w:rFonts w:ascii="Tahoma" w:hAnsi="Tahoma" w:cs="Tahoma"/>
          <w:b/>
        </w:rPr>
      </w:pPr>
      <w:r w:rsidRPr="00691ADF">
        <w:rPr>
          <w:rFonts w:ascii="Tahoma" w:hAnsi="Tahoma" w:cs="Tahoma"/>
          <w:b/>
        </w:rPr>
        <w:t>Table 1: Key Domestic Forecasts</w:t>
      </w:r>
      <w:r w:rsidR="00673FAD" w:rsidRPr="00673FAD">
        <w:rPr>
          <w:rFonts w:ascii="Tahoma" w:hAnsi="Tahoma" w:cs="Tahoma"/>
          <w:b/>
          <w:vertAlign w:val="superscript"/>
        </w:rPr>
        <w:t>(a)</w:t>
      </w:r>
      <w:r w:rsidRPr="00691ADF">
        <w:rPr>
          <w:rFonts w:ascii="Tahoma" w:hAnsi="Tahoma" w:cs="Tahoma"/>
          <w:b/>
        </w:rPr>
        <w:t xml:space="preserve"> – </w:t>
      </w:r>
      <w:r w:rsidR="00EA4D3B">
        <w:rPr>
          <w:rFonts w:ascii="Tahoma" w:hAnsi="Tahoma" w:cs="Tahoma"/>
          <w:b/>
        </w:rPr>
        <w:t>June</w:t>
      </w:r>
      <w:r w:rsidRPr="00691ADF">
        <w:rPr>
          <w:rFonts w:ascii="Tahoma" w:hAnsi="Tahoma" w:cs="Tahoma"/>
          <w:b/>
        </w:rPr>
        <w:t xml:space="preserve"> compared with </w:t>
      </w:r>
      <w:r w:rsidR="00EA4D3B">
        <w:rPr>
          <w:rFonts w:ascii="Tahoma" w:hAnsi="Tahoma" w:cs="Tahoma"/>
          <w:b/>
        </w:rPr>
        <w:t>Budget</w:t>
      </w:r>
      <w:r w:rsidR="006F3C5E">
        <w:rPr>
          <w:rFonts w:ascii="Tahoma" w:hAnsi="Tahoma" w:cs="Tahoma"/>
          <w:b/>
        </w:rPr>
        <w:t xml:space="preserve"> </w:t>
      </w:r>
    </w:p>
    <w:p w:rsidR="0077297F" w:rsidRPr="003D05DE" w:rsidRDefault="004355A5" w:rsidP="0018497A">
      <w:pPr>
        <w:pStyle w:val="ChartandTableFootnoteAlpha"/>
        <w:tabs>
          <w:tab w:val="clear" w:pos="283"/>
        </w:tabs>
        <w:spacing w:line="240" w:lineRule="auto"/>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5pt;height:135.6pt">
            <v:imagedata r:id="rId13" o:title=""/>
          </v:shape>
        </w:pict>
      </w:r>
      <w:r w:rsidR="003D05DE" w:rsidRPr="0018497A">
        <w:rPr>
          <w:szCs w:val="16"/>
        </w:rPr>
        <w:t>a) Real GDP, nominal GDP and the terms of trade are year average growth. Employment, CPI and the WPI are through</w:t>
      </w:r>
      <w:r w:rsidR="00773B6F">
        <w:rPr>
          <w:szCs w:val="16"/>
        </w:rPr>
        <w:noBreakHyphen/>
      </w:r>
      <w:r w:rsidR="003D05DE" w:rsidRPr="0018497A">
        <w:rPr>
          <w:szCs w:val="16"/>
        </w:rPr>
        <w:t>the</w:t>
      </w:r>
      <w:r w:rsidR="00773B6F">
        <w:rPr>
          <w:szCs w:val="16"/>
        </w:rPr>
        <w:noBreakHyphen/>
      </w:r>
      <w:r w:rsidR="003D05DE" w:rsidRPr="0018497A">
        <w:rPr>
          <w:szCs w:val="16"/>
        </w:rPr>
        <w:t xml:space="preserve">year growth to the June quarter. The unemployment rate is the </w:t>
      </w:r>
      <w:r w:rsidR="00773B6F">
        <w:rPr>
          <w:szCs w:val="16"/>
        </w:rPr>
        <w:t xml:space="preserve">average </w:t>
      </w:r>
      <w:r w:rsidR="003D05DE" w:rsidRPr="0018497A">
        <w:rPr>
          <w:szCs w:val="16"/>
        </w:rPr>
        <w:t>rate in the June quarter.</w:t>
      </w:r>
    </w:p>
    <w:p w:rsidR="006E14C3" w:rsidRDefault="006E14C3" w:rsidP="006E14C3">
      <w:pPr>
        <w:rPr>
          <w:color w:val="0000FF"/>
        </w:rPr>
      </w:pPr>
      <w:bookmarkStart w:id="5" w:name="_Toc185498657"/>
    </w:p>
    <w:p w:rsidR="006E14C3" w:rsidRDefault="006E14C3">
      <w:pPr>
        <w:spacing w:after="0" w:line="240" w:lineRule="auto"/>
        <w:jc w:val="left"/>
        <w:rPr>
          <w:rFonts w:ascii="Tahoma" w:hAnsi="Tahoma"/>
          <w:b/>
          <w:smallCaps/>
          <w:sz w:val="26"/>
        </w:rPr>
      </w:pPr>
      <w:r>
        <w:rPr>
          <w:rFonts w:ascii="Tahoma" w:hAnsi="Tahoma"/>
          <w:b/>
          <w:smallCaps/>
          <w:sz w:val="26"/>
        </w:rPr>
        <w:br w:type="page"/>
      </w:r>
    </w:p>
    <w:p w:rsidR="006E14C3" w:rsidRPr="006E14C3" w:rsidRDefault="006E14C3" w:rsidP="006E14C3">
      <w:pPr>
        <w:rPr>
          <w:rFonts w:ascii="Tahoma" w:hAnsi="Tahoma"/>
          <w:b/>
          <w:smallCaps/>
          <w:sz w:val="26"/>
        </w:rPr>
      </w:pPr>
      <w:r w:rsidRPr="006E14C3">
        <w:rPr>
          <w:rFonts w:ascii="Tahoma" w:hAnsi="Tahoma"/>
          <w:b/>
          <w:smallCaps/>
          <w:sz w:val="26"/>
        </w:rPr>
        <w:lastRenderedPageBreak/>
        <w:t>INTERNATIONAL ECONOMIC OUTLOOK</w:t>
      </w:r>
    </w:p>
    <w:p w:rsidR="0031671C" w:rsidRDefault="006E14C3" w:rsidP="006E14C3">
      <w:pPr>
        <w:rPr>
          <w:color w:val="000000" w:themeColor="text1"/>
        </w:rPr>
      </w:pPr>
      <w:r>
        <w:rPr>
          <w:color w:val="000000" w:themeColor="text1"/>
        </w:rPr>
        <w:t xml:space="preserve">While </w:t>
      </w:r>
      <w:r w:rsidR="0031671C">
        <w:rPr>
          <w:color w:val="000000" w:themeColor="text1"/>
        </w:rPr>
        <w:t xml:space="preserve">highly </w:t>
      </w:r>
      <w:r>
        <w:rPr>
          <w:color w:val="000000" w:themeColor="text1"/>
        </w:rPr>
        <w:t xml:space="preserve">uncertain, the </w:t>
      </w:r>
      <w:r w:rsidR="0031671C">
        <w:rPr>
          <w:color w:val="000000" w:themeColor="text1"/>
        </w:rPr>
        <w:t>central</w:t>
      </w:r>
      <w:r w:rsidR="0028329D">
        <w:rPr>
          <w:color w:val="000000" w:themeColor="text1"/>
        </w:rPr>
        <w:t>-</w:t>
      </w:r>
      <w:r w:rsidR="0031671C">
        <w:rPr>
          <w:color w:val="000000" w:themeColor="text1"/>
        </w:rPr>
        <w:t xml:space="preserve">case forecast </w:t>
      </w:r>
      <w:r w:rsidR="0028329D">
        <w:rPr>
          <w:color w:val="000000" w:themeColor="text1"/>
        </w:rPr>
        <w:t xml:space="preserve">for </w:t>
      </w:r>
      <w:r>
        <w:rPr>
          <w:color w:val="000000" w:themeColor="text1"/>
        </w:rPr>
        <w:t xml:space="preserve">global </w:t>
      </w:r>
      <w:r w:rsidR="0031671C">
        <w:rPr>
          <w:color w:val="000000" w:themeColor="text1"/>
        </w:rPr>
        <w:t xml:space="preserve">growth is largely </w:t>
      </w:r>
      <w:r>
        <w:rPr>
          <w:color w:val="000000" w:themeColor="text1"/>
        </w:rPr>
        <w:t>unchanged from Budget</w:t>
      </w:r>
      <w:r w:rsidR="00612ED8">
        <w:rPr>
          <w:color w:val="000000" w:themeColor="text1"/>
        </w:rPr>
        <w:t xml:space="preserve">. </w:t>
      </w:r>
      <w:r>
        <w:rPr>
          <w:color w:val="000000" w:themeColor="text1"/>
        </w:rPr>
        <w:t xml:space="preserve">World GDP growth is expected to pick up over the forecast horizon, albeit from a position of weakness, as strong </w:t>
      </w:r>
      <w:r w:rsidR="0031671C">
        <w:rPr>
          <w:color w:val="000000" w:themeColor="text1"/>
        </w:rPr>
        <w:t xml:space="preserve">expected </w:t>
      </w:r>
      <w:r>
        <w:rPr>
          <w:color w:val="000000" w:themeColor="text1"/>
        </w:rPr>
        <w:t xml:space="preserve">growth in emerging economies moderates and </w:t>
      </w:r>
      <w:r w:rsidR="0031671C">
        <w:rPr>
          <w:color w:val="000000" w:themeColor="text1"/>
        </w:rPr>
        <w:t>the expected recovery in the large advanced economies gathers momentum.</w:t>
      </w:r>
      <w:r w:rsidR="00F1068E">
        <w:rPr>
          <w:color w:val="000000" w:themeColor="text1"/>
        </w:rPr>
        <w:t xml:space="preserve"> </w:t>
      </w:r>
      <w:r w:rsidR="0031671C">
        <w:rPr>
          <w:color w:val="000000" w:themeColor="text1"/>
        </w:rPr>
        <w:t>The world economy is still forecast to grow 3½</w:t>
      </w:r>
      <w:r w:rsidR="0028329D">
        <w:rPr>
          <w:color w:val="000000" w:themeColor="text1"/>
        </w:rPr>
        <w:t> </w:t>
      </w:r>
      <w:r w:rsidR="0031671C">
        <w:rPr>
          <w:color w:val="000000" w:themeColor="text1"/>
        </w:rPr>
        <w:t>per</w:t>
      </w:r>
      <w:r w:rsidR="00612ED8">
        <w:rPr>
          <w:color w:val="000000" w:themeColor="text1"/>
        </w:rPr>
        <w:t> </w:t>
      </w:r>
      <w:r w:rsidR="0031671C">
        <w:rPr>
          <w:color w:val="000000" w:themeColor="text1"/>
        </w:rPr>
        <w:t>cent in 2012, 4 per cent in 2013 and 4¼ per cent in 2014</w:t>
      </w:r>
      <w:r w:rsidR="00F1068E">
        <w:rPr>
          <w:color w:val="000000" w:themeColor="text1"/>
        </w:rPr>
        <w:t>. Following a slight upgrade to near</w:t>
      </w:r>
      <w:r w:rsidR="00612ED8">
        <w:rPr>
          <w:color w:val="000000" w:themeColor="text1"/>
        </w:rPr>
        <w:noBreakHyphen/>
      </w:r>
      <w:r w:rsidR="00F1068E">
        <w:rPr>
          <w:color w:val="000000" w:themeColor="text1"/>
        </w:rPr>
        <w:t>term growth forecasts, major trading partners are expected to grow a solid 4½ per cent in 2012 and a robust 5 per cent in both 2013 and 2014 (Table 2).</w:t>
      </w:r>
    </w:p>
    <w:p w:rsidR="006E14C3" w:rsidRDefault="006E14C3" w:rsidP="005E7FE3">
      <w:pPr>
        <w:pStyle w:val="TableHeadingCharChar"/>
        <w:spacing w:before="0" w:after="240"/>
        <w:rPr>
          <w:rFonts w:cs="Tahoma"/>
          <w:bCs/>
          <w:szCs w:val="22"/>
          <w:vertAlign w:val="superscript"/>
        </w:rPr>
      </w:pPr>
      <w:r w:rsidRPr="000314E3">
        <w:t xml:space="preserve">Table </w:t>
      </w:r>
      <w:r>
        <w:t>2</w:t>
      </w:r>
      <w:r w:rsidRPr="000314E3">
        <w:t>: International GDP growth forecasts</w:t>
      </w:r>
      <w:r w:rsidRPr="000314E3">
        <w:rPr>
          <w:rFonts w:cs="Tahoma"/>
          <w:bCs/>
          <w:szCs w:val="22"/>
          <w:vertAlign w:val="superscript"/>
        </w:rPr>
        <w:t>(a)</w:t>
      </w:r>
    </w:p>
    <w:p w:rsidR="0018497A" w:rsidRPr="0018497A" w:rsidRDefault="004355A5" w:rsidP="00612ED8">
      <w:pPr>
        <w:pStyle w:val="TableGraphic0"/>
        <w:ind w:right="-1"/>
        <w:rPr>
          <w:rFonts w:ascii="Arial" w:eastAsia="SimSun" w:hAnsi="Arial" w:cs="Arial"/>
          <w:sz w:val="16"/>
          <w:szCs w:val="16"/>
          <w:lang w:eastAsia="en-US"/>
        </w:rPr>
      </w:pPr>
      <w:r>
        <w:rPr>
          <w:rFonts w:ascii="Arial" w:hAnsi="Arial" w:cs="Arial"/>
          <w:sz w:val="16"/>
          <w:szCs w:val="16"/>
        </w:rPr>
        <w:pict>
          <v:shape id="_x0000_i1026" type="#_x0000_t75" style="width:454.55pt;height:134.3pt">
            <v:imagedata r:id="rId14" o:title=""/>
          </v:shape>
        </w:pict>
      </w:r>
      <w:r w:rsidR="0018497A" w:rsidRPr="0018497A">
        <w:rPr>
          <w:rFonts w:ascii="Arial" w:hAnsi="Arial" w:cs="Arial"/>
          <w:sz w:val="16"/>
          <w:szCs w:val="16"/>
        </w:rPr>
        <w:t>(a</w:t>
      </w:r>
      <w:r w:rsidR="0018497A" w:rsidRPr="0018497A">
        <w:rPr>
          <w:rFonts w:ascii="Arial" w:eastAsia="SimSun" w:hAnsi="Arial" w:cs="Arial"/>
          <w:sz w:val="16"/>
          <w:szCs w:val="16"/>
          <w:lang w:eastAsia="en-US"/>
        </w:rPr>
        <w:t>) Calculations for World, euro area and other East Asia growth rates use GDP weights b</w:t>
      </w:r>
      <w:r w:rsidR="00612ED8">
        <w:rPr>
          <w:rFonts w:ascii="Arial" w:eastAsia="SimSun" w:hAnsi="Arial" w:cs="Arial"/>
          <w:sz w:val="16"/>
          <w:szCs w:val="16"/>
          <w:lang w:eastAsia="en-US"/>
        </w:rPr>
        <w:t>ased on purchasing power parity </w:t>
      </w:r>
      <w:r w:rsidR="0018497A" w:rsidRPr="0018497A">
        <w:rPr>
          <w:rFonts w:ascii="Arial" w:eastAsia="SimSun" w:hAnsi="Arial" w:cs="Arial"/>
          <w:sz w:val="16"/>
          <w:szCs w:val="16"/>
          <w:lang w:eastAsia="en-US"/>
        </w:rPr>
        <w:t>(PPP). Calculations for Major Trading Partners use export trade weights.</w:t>
      </w:r>
    </w:p>
    <w:p w:rsidR="0018497A" w:rsidRPr="0018497A" w:rsidRDefault="0018497A" w:rsidP="00191D71">
      <w:pPr>
        <w:spacing w:after="0" w:line="240" w:lineRule="auto"/>
        <w:rPr>
          <w:rFonts w:ascii="Arial" w:hAnsi="Arial" w:cs="Arial"/>
          <w:sz w:val="16"/>
          <w:szCs w:val="16"/>
        </w:rPr>
      </w:pPr>
      <w:r w:rsidRPr="0018497A">
        <w:rPr>
          <w:rFonts w:ascii="Arial" w:hAnsi="Arial" w:cs="Arial"/>
          <w:sz w:val="16"/>
          <w:szCs w:val="16"/>
        </w:rPr>
        <w:t>(b) Production-based measure of GDP.</w:t>
      </w:r>
    </w:p>
    <w:p w:rsidR="0018497A" w:rsidRPr="0018497A" w:rsidRDefault="0018497A" w:rsidP="00191D71">
      <w:pPr>
        <w:spacing w:after="0" w:line="240" w:lineRule="auto"/>
        <w:rPr>
          <w:rFonts w:ascii="Arial" w:hAnsi="Arial" w:cs="Arial"/>
          <w:sz w:val="16"/>
          <w:szCs w:val="16"/>
        </w:rPr>
      </w:pPr>
      <w:r w:rsidRPr="0018497A">
        <w:rPr>
          <w:rFonts w:ascii="Arial" w:hAnsi="Arial" w:cs="Arial"/>
          <w:sz w:val="16"/>
          <w:szCs w:val="16"/>
        </w:rPr>
        <w:t>(c) Other East Asia comprises the newly industrialised economies (NIEs) of Hong Kong, South Korea, Singapore and Taiwan and the Association of Southeast Asian Nations group of five (ASEAN-5), which comprises Indonesia, Malaysia, the Philippines, Thailand and Vietnam.</w:t>
      </w:r>
    </w:p>
    <w:p w:rsidR="0018497A" w:rsidRPr="0018497A" w:rsidRDefault="0018497A" w:rsidP="00191D71">
      <w:pPr>
        <w:spacing w:after="0" w:line="240" w:lineRule="auto"/>
        <w:rPr>
          <w:rFonts w:ascii="Arial" w:hAnsi="Arial" w:cs="Arial"/>
          <w:sz w:val="16"/>
          <w:szCs w:val="16"/>
        </w:rPr>
      </w:pPr>
      <w:r w:rsidRPr="0018497A">
        <w:rPr>
          <w:rFonts w:ascii="Arial" w:hAnsi="Arial" w:cs="Arial"/>
          <w:sz w:val="16"/>
          <w:szCs w:val="16"/>
        </w:rPr>
        <w:t>Source: National statistical publications, IMF World Economic Outlook April 2012, Thomson Reuters and Treasury.</w:t>
      </w:r>
    </w:p>
    <w:p w:rsidR="00191D71" w:rsidRPr="00686B3B" w:rsidRDefault="00182A81" w:rsidP="00191D71">
      <w:pPr>
        <w:spacing w:before="120"/>
      </w:pPr>
      <w:r w:rsidRPr="00182A81">
        <w:t xml:space="preserve">At Budget, Treasury had a more pessimistic view on the outlook for the euro area than the IMF and Consensus. Events since Budget confirm our views at that time but also suggest that the weakness in </w:t>
      </w:r>
      <w:r w:rsidRPr="00AE0B5B">
        <w:t>the euro area is likely to be even more protracted</w:t>
      </w:r>
      <w:r w:rsidR="00612ED8">
        <w:t xml:space="preserve">. </w:t>
      </w:r>
      <w:r w:rsidRPr="00AE0B5B">
        <w:t xml:space="preserve">As such, </w:t>
      </w:r>
      <w:r w:rsidR="00AE0B5B" w:rsidRPr="00AE0B5B">
        <w:t>growth forecasts for the euro area have been downgraded by a ¼ of a percentage point to ½ per cent in 2013.</w:t>
      </w:r>
      <w:r w:rsidRPr="00182A81">
        <w:t xml:space="preserve"> </w:t>
      </w:r>
      <w:r w:rsidR="00773B6F">
        <w:t xml:space="preserve">  </w:t>
      </w:r>
      <w:r w:rsidR="00A429D7" w:rsidRPr="00AE0B5B">
        <w:t xml:space="preserve">The </w:t>
      </w:r>
      <w:r w:rsidR="00191D71" w:rsidRPr="00AE0B5B">
        <w:t xml:space="preserve">euro area </w:t>
      </w:r>
      <w:r w:rsidR="005E7FE3" w:rsidRPr="00AE0B5B">
        <w:t xml:space="preserve">sovereign debt crisis </w:t>
      </w:r>
      <w:r w:rsidR="00DD49C3" w:rsidRPr="00AE0B5B">
        <w:t>c</w:t>
      </w:r>
      <w:r w:rsidR="0081068F" w:rsidRPr="00AE0B5B">
        <w:t>ontinues to pose a major threat to the global</w:t>
      </w:r>
      <w:r w:rsidRPr="00AE0B5B">
        <w:t xml:space="preserve"> outlook</w:t>
      </w:r>
      <w:r w:rsidR="00612ED8">
        <w:t xml:space="preserve">. </w:t>
      </w:r>
      <w:r w:rsidR="00A429D7" w:rsidRPr="00AE0B5B">
        <w:t xml:space="preserve">The </w:t>
      </w:r>
      <w:r w:rsidR="00DD49C3" w:rsidRPr="00AE0B5B">
        <w:t xml:space="preserve">potential for </w:t>
      </w:r>
      <w:r w:rsidR="00A429D7" w:rsidRPr="00AE0B5B">
        <w:t xml:space="preserve">a tumultuous Greek exit from the </w:t>
      </w:r>
      <w:r w:rsidR="00FC3CF7" w:rsidRPr="00AE0B5B">
        <w:t xml:space="preserve">euro </w:t>
      </w:r>
      <w:r w:rsidR="00A429D7" w:rsidRPr="00AE0B5B">
        <w:t xml:space="preserve">area has receded in the near term following the election of </w:t>
      </w:r>
      <w:r w:rsidR="006F3C5E" w:rsidRPr="00AE0B5B">
        <w:t xml:space="preserve">a </w:t>
      </w:r>
      <w:r w:rsidR="0081068F" w:rsidRPr="00AE0B5B">
        <w:t>pro</w:t>
      </w:r>
      <w:r w:rsidR="006F3C5E" w:rsidRPr="00AE0B5B">
        <w:t>-bailout</w:t>
      </w:r>
      <w:r w:rsidR="00A429D7" w:rsidRPr="00AE0B5B">
        <w:t xml:space="preserve"> minority government</w:t>
      </w:r>
      <w:r w:rsidR="00612ED8">
        <w:t xml:space="preserve">. </w:t>
      </w:r>
      <w:r w:rsidR="0081068F" w:rsidRPr="00AE0B5B">
        <w:t xml:space="preserve">However, </w:t>
      </w:r>
      <w:r w:rsidR="006F3C5E" w:rsidRPr="00AE0B5B">
        <w:t xml:space="preserve">with the </w:t>
      </w:r>
      <w:r w:rsidR="00DD49C3" w:rsidRPr="00AE0B5B">
        <w:t>new government</w:t>
      </w:r>
      <w:r w:rsidR="006F3C5E" w:rsidRPr="00AE0B5B">
        <w:t xml:space="preserve"> seeking to renegotiate the b</w:t>
      </w:r>
      <w:r w:rsidR="0081068F" w:rsidRPr="00AE0B5B">
        <w:t xml:space="preserve">ailout plan </w:t>
      </w:r>
      <w:r w:rsidR="006F3C5E" w:rsidRPr="00AE0B5B">
        <w:t>t</w:t>
      </w:r>
      <w:r w:rsidR="0081068F" w:rsidRPr="00AE0B5B">
        <w:t>here is considerable uncertainty</w:t>
      </w:r>
      <w:r w:rsidR="000337DC" w:rsidRPr="00AE0B5B">
        <w:t xml:space="preserve"> around Greece’s future financial position</w:t>
      </w:r>
      <w:r w:rsidR="00612ED8">
        <w:t xml:space="preserve">. </w:t>
      </w:r>
      <w:r w:rsidR="00DD49C3" w:rsidRPr="00AE0B5B">
        <w:t xml:space="preserve">Elsewhere, euro area finance ministers have agreed </w:t>
      </w:r>
      <w:r w:rsidR="0028329D" w:rsidRPr="00AE0B5B">
        <w:t xml:space="preserve">to an injection of </w:t>
      </w:r>
      <w:r w:rsidR="00DD49C3" w:rsidRPr="00AE0B5B">
        <w:t xml:space="preserve">up to €100 billion into Spain’s </w:t>
      </w:r>
      <w:r w:rsidR="0028329D" w:rsidRPr="00AE0B5B">
        <w:t xml:space="preserve">ailing </w:t>
      </w:r>
      <w:r w:rsidR="00DD49C3" w:rsidRPr="00AE0B5B">
        <w:t>banking sector</w:t>
      </w:r>
      <w:r w:rsidR="00612ED8">
        <w:t xml:space="preserve">. </w:t>
      </w:r>
      <w:r w:rsidR="00DD49C3" w:rsidRPr="00AE0B5B">
        <w:t xml:space="preserve">However, </w:t>
      </w:r>
      <w:r w:rsidR="000337DC" w:rsidRPr="00AE0B5B">
        <w:t xml:space="preserve">many of </w:t>
      </w:r>
      <w:r w:rsidR="00DD49C3" w:rsidRPr="00AE0B5B">
        <w:t xml:space="preserve">the </w:t>
      </w:r>
      <w:r w:rsidR="006E14C3" w:rsidRPr="00AE0B5B">
        <w:t>details</w:t>
      </w:r>
      <w:r w:rsidR="007672D9" w:rsidRPr="00AE0B5B">
        <w:t xml:space="preserve"> of this injection</w:t>
      </w:r>
      <w:r w:rsidR="00DD49C3" w:rsidRPr="00AE0B5B">
        <w:t xml:space="preserve"> have not </w:t>
      </w:r>
      <w:r w:rsidR="0028329D" w:rsidRPr="00AE0B5B">
        <w:t xml:space="preserve">yet </w:t>
      </w:r>
      <w:r w:rsidR="00DD49C3" w:rsidRPr="00AE0B5B">
        <w:t xml:space="preserve">been agreed and the Spanish government itself </w:t>
      </w:r>
      <w:r w:rsidR="0028329D" w:rsidRPr="00AE0B5B">
        <w:t xml:space="preserve">may </w:t>
      </w:r>
      <w:r w:rsidR="00F05940" w:rsidRPr="00AE0B5B">
        <w:t xml:space="preserve">ultimately </w:t>
      </w:r>
      <w:r w:rsidR="00DD49C3" w:rsidRPr="00AE0B5B">
        <w:t>require a bail out</w:t>
      </w:r>
      <w:r w:rsidR="00612ED8">
        <w:t xml:space="preserve">. </w:t>
      </w:r>
    </w:p>
    <w:p w:rsidR="00047EB7" w:rsidRPr="00BD69B4" w:rsidRDefault="006E14C3" w:rsidP="006E14C3">
      <w:r w:rsidRPr="00BD69B4">
        <w:t xml:space="preserve">The </w:t>
      </w:r>
      <w:r w:rsidR="00BD69B4" w:rsidRPr="00BD69B4">
        <w:t xml:space="preserve">recovery in the </w:t>
      </w:r>
      <w:r w:rsidR="00047EB7" w:rsidRPr="00BD69B4">
        <w:t>United States economy is slowly taking hold</w:t>
      </w:r>
      <w:r w:rsidR="00BD69B4" w:rsidRPr="00BD69B4">
        <w:t xml:space="preserve"> </w:t>
      </w:r>
      <w:r w:rsidR="00047EB7" w:rsidRPr="00BD69B4">
        <w:t>as expected</w:t>
      </w:r>
      <w:r w:rsidR="00BD69B4">
        <w:t xml:space="preserve"> and </w:t>
      </w:r>
      <w:r w:rsidR="0050138A">
        <w:t xml:space="preserve">the </w:t>
      </w:r>
      <w:r w:rsidR="00BD69B4">
        <w:t>outlook is largely unchanged</w:t>
      </w:r>
      <w:r w:rsidR="00612ED8">
        <w:t xml:space="preserve">. </w:t>
      </w:r>
      <w:r w:rsidR="00DD49C3" w:rsidRPr="00BD69B4">
        <w:t xml:space="preserve">However, </w:t>
      </w:r>
      <w:r w:rsidR="00047EB7" w:rsidRPr="00BD69B4">
        <w:t xml:space="preserve">the </w:t>
      </w:r>
      <w:r w:rsidR="00BD69B4" w:rsidRPr="00BD69B4">
        <w:t xml:space="preserve">large </w:t>
      </w:r>
      <w:r w:rsidR="00047EB7" w:rsidRPr="00BD69B4">
        <w:t>fiscal contraction legislated to take place at the end of 2012 poses a significant risk to this recovery.</w:t>
      </w:r>
      <w:r w:rsidR="00F1068E">
        <w:t xml:space="preserve"> </w:t>
      </w:r>
      <w:r w:rsidR="00BD69B4" w:rsidRPr="00BD69B4">
        <w:t>While t</w:t>
      </w:r>
      <w:r w:rsidR="00047EB7" w:rsidRPr="00BD69B4">
        <w:t xml:space="preserve">he legislated </w:t>
      </w:r>
      <w:r w:rsidR="00686B3B">
        <w:t xml:space="preserve">expenditure reductions and the </w:t>
      </w:r>
      <w:r w:rsidR="00047EB7" w:rsidRPr="00BD69B4">
        <w:t xml:space="preserve">expiration of tax cuts is expected to </w:t>
      </w:r>
      <w:r w:rsidR="00BD69B4" w:rsidRPr="00BD69B4">
        <w:t>be partly or wholly deferred</w:t>
      </w:r>
      <w:r w:rsidR="0050138A">
        <w:t>,</w:t>
      </w:r>
      <w:r w:rsidR="00BD69B4" w:rsidRPr="00BD69B4">
        <w:t xml:space="preserve"> this is yet to be agreed by legislators</w:t>
      </w:r>
      <w:r w:rsidR="000337DC">
        <w:t xml:space="preserve"> and could lead to further instability as the deadline approaches</w:t>
      </w:r>
      <w:r w:rsidR="00BD69B4" w:rsidRPr="00BD69B4">
        <w:t>.</w:t>
      </w:r>
      <w:r w:rsidR="00047EB7" w:rsidRPr="00BD69B4">
        <w:t xml:space="preserve"> </w:t>
      </w:r>
    </w:p>
    <w:p w:rsidR="006E14C3" w:rsidRPr="00FD4E32" w:rsidRDefault="005E7FE3" w:rsidP="005E7FE3">
      <w:pPr>
        <w:rPr>
          <w:rFonts w:ascii="Tahoma" w:hAnsi="Tahoma" w:cs="Tahoma"/>
          <w:b/>
        </w:rPr>
      </w:pPr>
      <w:r w:rsidRPr="00773B6F">
        <w:t>The outlook for the Chinese economy is also broadly unchanged</w:t>
      </w:r>
      <w:r w:rsidR="00612ED8" w:rsidRPr="00773B6F">
        <w:t xml:space="preserve">. </w:t>
      </w:r>
      <w:r w:rsidR="00BD69B4" w:rsidRPr="00773B6F">
        <w:t>Weaker</w:t>
      </w:r>
      <w:r w:rsidR="00BD69B4" w:rsidRPr="00773B6F">
        <w:noBreakHyphen/>
        <w:t>than</w:t>
      </w:r>
      <w:r w:rsidR="00BD69B4" w:rsidRPr="00773B6F">
        <w:noBreakHyphen/>
        <w:t xml:space="preserve">expected production and consumption data in China suggest that economic growth is </w:t>
      </w:r>
      <w:r w:rsidR="006E14C3" w:rsidRPr="00773B6F">
        <w:t>moderati</w:t>
      </w:r>
      <w:r w:rsidR="00BD69B4" w:rsidRPr="00773B6F">
        <w:t>ng slightly faster than anticipated</w:t>
      </w:r>
      <w:r w:rsidR="00612ED8" w:rsidRPr="00773B6F">
        <w:t xml:space="preserve">. </w:t>
      </w:r>
      <w:r w:rsidR="005F1D47" w:rsidRPr="00773B6F">
        <w:t>However, i</w:t>
      </w:r>
      <w:r w:rsidRPr="00773B6F">
        <w:t>n</w:t>
      </w:r>
      <w:r w:rsidR="006E14C3" w:rsidRPr="00773B6F">
        <w:t xml:space="preserve"> response</w:t>
      </w:r>
      <w:r w:rsidR="00BD69B4" w:rsidRPr="00773B6F">
        <w:t>,</w:t>
      </w:r>
      <w:r w:rsidR="006E14C3" w:rsidRPr="00773B6F">
        <w:t xml:space="preserve"> the Chinese </w:t>
      </w:r>
      <w:r w:rsidR="00F1068E" w:rsidRPr="00773B6F">
        <w:t>g</w:t>
      </w:r>
      <w:r w:rsidR="006E14C3" w:rsidRPr="00773B6F">
        <w:t xml:space="preserve">overnment is accelerating the implementation of </w:t>
      </w:r>
      <w:r w:rsidR="00BD69B4" w:rsidRPr="00773B6F">
        <w:t xml:space="preserve">the </w:t>
      </w:r>
      <w:r w:rsidR="006E14C3" w:rsidRPr="00773B6F">
        <w:t xml:space="preserve">infrastructure projects outlined </w:t>
      </w:r>
      <w:r w:rsidR="00BD69B4" w:rsidRPr="00773B6F">
        <w:t xml:space="preserve">in its </w:t>
      </w:r>
      <w:r w:rsidR="006E14C3" w:rsidRPr="00773B6F">
        <w:t>12</w:t>
      </w:r>
      <w:r w:rsidR="006E14C3" w:rsidRPr="00773B6F">
        <w:rPr>
          <w:vertAlign w:val="superscript"/>
        </w:rPr>
        <w:t>th </w:t>
      </w:r>
      <w:r w:rsidR="006E14C3" w:rsidRPr="00773B6F">
        <w:t>five</w:t>
      </w:r>
      <w:r w:rsidR="006E14C3" w:rsidRPr="00773B6F">
        <w:noBreakHyphen/>
        <w:t>year plan</w:t>
      </w:r>
      <w:r w:rsidR="000337DC" w:rsidRPr="00773B6F">
        <w:t>, easing monetary conditions and providing subsid</w:t>
      </w:r>
      <w:r w:rsidR="00F1068E" w:rsidRPr="00773B6F">
        <w:t>i</w:t>
      </w:r>
      <w:r w:rsidR="000337DC" w:rsidRPr="00773B6F">
        <w:t>es to households to support consumption</w:t>
      </w:r>
      <w:r w:rsidR="00612ED8" w:rsidRPr="00773B6F">
        <w:t xml:space="preserve">. </w:t>
      </w:r>
      <w:r w:rsidR="005C0E56" w:rsidRPr="00773B6F">
        <w:t xml:space="preserve">These measures are expected to maintain growth as </w:t>
      </w:r>
      <w:r w:rsidR="005C0E56" w:rsidRPr="00773B6F">
        <w:lastRenderedPageBreak/>
        <w:t>forecast at Budget</w:t>
      </w:r>
      <w:r w:rsidR="00612ED8" w:rsidRPr="00773B6F">
        <w:t xml:space="preserve">. </w:t>
      </w:r>
      <w:r w:rsidR="005C0E56" w:rsidRPr="00773B6F">
        <w:t>While the Chinese government has further capacity to support growth as required potential downside risks have increased</w:t>
      </w:r>
      <w:r w:rsidR="00612ED8" w:rsidRPr="00773B6F">
        <w:t xml:space="preserve">. </w:t>
      </w:r>
    </w:p>
    <w:p w:rsidR="007C0282" w:rsidRPr="006E14C3" w:rsidRDefault="007C0282" w:rsidP="007C0282">
      <w:pPr>
        <w:rPr>
          <w:rFonts w:ascii="Tahoma" w:hAnsi="Tahoma"/>
          <w:b/>
          <w:smallCaps/>
          <w:sz w:val="26"/>
        </w:rPr>
      </w:pPr>
      <w:r>
        <w:rPr>
          <w:rFonts w:ascii="Tahoma" w:hAnsi="Tahoma"/>
          <w:b/>
          <w:smallCaps/>
          <w:sz w:val="26"/>
        </w:rPr>
        <w:t xml:space="preserve">DOMESTIC </w:t>
      </w:r>
      <w:r w:rsidRPr="006E14C3">
        <w:rPr>
          <w:rFonts w:ascii="Tahoma" w:hAnsi="Tahoma"/>
          <w:b/>
          <w:smallCaps/>
          <w:sz w:val="26"/>
        </w:rPr>
        <w:t>ECONOMIC OUTLOOK</w:t>
      </w:r>
    </w:p>
    <w:p w:rsidR="000B7ADD" w:rsidRDefault="009A7DED" w:rsidP="00A87412">
      <w:pPr>
        <w:spacing w:after="0" w:line="240" w:lineRule="auto"/>
        <w:rPr>
          <w:rFonts w:cs="Tahoma"/>
        </w:rPr>
      </w:pPr>
      <w:r>
        <w:rPr>
          <w:rFonts w:cs="Tahoma"/>
        </w:rPr>
        <w:t xml:space="preserve">Australia’s economic outlook is </w:t>
      </w:r>
      <w:r w:rsidR="00A87412">
        <w:rPr>
          <w:rFonts w:cs="Tahoma"/>
        </w:rPr>
        <w:t>broadly unchanged since B</w:t>
      </w:r>
      <w:r>
        <w:rPr>
          <w:rFonts w:cs="Tahoma"/>
        </w:rPr>
        <w:t xml:space="preserve">udget, notwithstanding some </w:t>
      </w:r>
      <w:r w:rsidR="000B7ADD">
        <w:rPr>
          <w:rFonts w:cs="Tahoma"/>
        </w:rPr>
        <w:t xml:space="preserve">slight </w:t>
      </w:r>
      <w:r>
        <w:rPr>
          <w:rFonts w:cs="Tahoma"/>
        </w:rPr>
        <w:t>differences in the components</w:t>
      </w:r>
      <w:r w:rsidR="00E36691">
        <w:rPr>
          <w:rFonts w:cs="Tahoma"/>
        </w:rPr>
        <w:t xml:space="preserve"> of growth</w:t>
      </w:r>
      <w:r>
        <w:rPr>
          <w:rFonts w:cs="Tahoma"/>
        </w:rPr>
        <w:t>.</w:t>
      </w:r>
    </w:p>
    <w:p w:rsidR="0077304D" w:rsidRDefault="0077304D" w:rsidP="009A7DED">
      <w:pPr>
        <w:spacing w:after="0" w:line="240" w:lineRule="auto"/>
        <w:jc w:val="left"/>
        <w:rPr>
          <w:rFonts w:cs="Tahoma"/>
        </w:rPr>
      </w:pPr>
    </w:p>
    <w:p w:rsidR="00321C13" w:rsidRPr="0084387E" w:rsidRDefault="0077304D" w:rsidP="006004B7">
      <w:pPr>
        <w:rPr>
          <w:rFonts w:cs="Tahoma"/>
        </w:rPr>
      </w:pPr>
      <w:r>
        <w:rPr>
          <w:rFonts w:cs="Tahoma"/>
        </w:rPr>
        <w:t>R</w:t>
      </w:r>
      <w:r w:rsidR="001B3F76" w:rsidRPr="00E863A7">
        <w:rPr>
          <w:rFonts w:cs="Tahoma"/>
        </w:rPr>
        <w:t xml:space="preserve">eal GDP growth for 2011-12 has been upgraded by </w:t>
      </w:r>
      <w:r w:rsidR="00FD4E32" w:rsidRPr="00E863A7">
        <w:rPr>
          <w:rFonts w:cs="Tahoma"/>
        </w:rPr>
        <w:t xml:space="preserve">¼ </w:t>
      </w:r>
      <w:r w:rsidR="001B3F76" w:rsidRPr="00E863A7">
        <w:rPr>
          <w:rFonts w:cs="Tahoma"/>
        </w:rPr>
        <w:t xml:space="preserve">of a percentage </w:t>
      </w:r>
      <w:r w:rsidR="00FD4E32" w:rsidRPr="00E863A7">
        <w:rPr>
          <w:rFonts w:cs="Tahoma"/>
        </w:rPr>
        <w:t xml:space="preserve">point </w:t>
      </w:r>
      <w:r w:rsidR="001B3F76" w:rsidRPr="00E863A7">
        <w:rPr>
          <w:rFonts w:cs="Tahoma"/>
        </w:rPr>
        <w:t xml:space="preserve">to 3¼ per cent, </w:t>
      </w:r>
      <w:r w:rsidR="00FD4E32" w:rsidRPr="00E863A7">
        <w:rPr>
          <w:rFonts w:cs="Tahoma"/>
        </w:rPr>
        <w:t>largely reflect</w:t>
      </w:r>
      <w:r w:rsidR="0028329D">
        <w:rPr>
          <w:rFonts w:cs="Tahoma"/>
        </w:rPr>
        <w:t>ing</w:t>
      </w:r>
      <w:r w:rsidR="00FD4E32" w:rsidRPr="00E863A7">
        <w:rPr>
          <w:rFonts w:cs="Tahoma"/>
        </w:rPr>
        <w:t xml:space="preserve"> the </w:t>
      </w:r>
      <w:r>
        <w:rPr>
          <w:rFonts w:cs="Tahoma"/>
        </w:rPr>
        <w:t xml:space="preserve">slightly </w:t>
      </w:r>
      <w:r w:rsidR="00FD4E32" w:rsidRPr="00E863A7">
        <w:rPr>
          <w:rFonts w:cs="Tahoma"/>
        </w:rPr>
        <w:t>strong</w:t>
      </w:r>
      <w:r w:rsidR="0028329D">
        <w:rPr>
          <w:rFonts w:cs="Tahoma"/>
        </w:rPr>
        <w:t>er</w:t>
      </w:r>
      <w:r w:rsidR="00FD4E32" w:rsidRPr="00E863A7">
        <w:rPr>
          <w:rFonts w:cs="Tahoma"/>
        </w:rPr>
        <w:t xml:space="preserve">-than-expected </w:t>
      </w:r>
      <w:r w:rsidR="007C457B" w:rsidRPr="00E863A7">
        <w:rPr>
          <w:rFonts w:cs="Tahoma"/>
        </w:rPr>
        <w:t xml:space="preserve">March quarter </w:t>
      </w:r>
      <w:r w:rsidR="00FD4E32" w:rsidRPr="00E863A7">
        <w:rPr>
          <w:rFonts w:cs="Tahoma"/>
        </w:rPr>
        <w:t>outcome</w:t>
      </w:r>
      <w:r>
        <w:rPr>
          <w:rFonts w:cs="Tahoma"/>
        </w:rPr>
        <w:t xml:space="preserve"> and upward revisions</w:t>
      </w:r>
      <w:r w:rsidR="00C53FCF">
        <w:rPr>
          <w:rFonts w:cs="Tahoma"/>
        </w:rPr>
        <w:t xml:space="preserve"> to earlier quarters</w:t>
      </w:r>
      <w:r w:rsidR="007C457B" w:rsidRPr="00E863A7">
        <w:rPr>
          <w:rFonts w:cs="Tahoma"/>
        </w:rPr>
        <w:t>.</w:t>
      </w:r>
      <w:r w:rsidR="00F1068E">
        <w:rPr>
          <w:rFonts w:cs="Tahoma"/>
        </w:rPr>
        <w:t xml:space="preserve"> </w:t>
      </w:r>
      <w:r w:rsidR="00FD4E32" w:rsidRPr="0084387E">
        <w:rPr>
          <w:rFonts w:cs="Tahoma"/>
        </w:rPr>
        <w:t>The Australian economy grew 1.3</w:t>
      </w:r>
      <w:r w:rsidRPr="0084387E">
        <w:rPr>
          <w:rFonts w:cs="Tahoma"/>
        </w:rPr>
        <w:t> </w:t>
      </w:r>
      <w:r w:rsidR="00FD4E32" w:rsidRPr="0084387E">
        <w:rPr>
          <w:rFonts w:cs="Tahoma"/>
        </w:rPr>
        <w:t>per</w:t>
      </w:r>
      <w:r w:rsidRPr="0084387E">
        <w:rPr>
          <w:rFonts w:cs="Tahoma"/>
        </w:rPr>
        <w:t> </w:t>
      </w:r>
      <w:r w:rsidR="00FD4E32" w:rsidRPr="0084387E">
        <w:rPr>
          <w:rFonts w:cs="Tahoma"/>
        </w:rPr>
        <w:t>cent in the March</w:t>
      </w:r>
      <w:r w:rsidR="0028329D" w:rsidRPr="0084387E">
        <w:rPr>
          <w:rFonts w:cs="Tahoma"/>
        </w:rPr>
        <w:t xml:space="preserve"> quarter</w:t>
      </w:r>
      <w:r w:rsidR="001B3F76" w:rsidRPr="0084387E">
        <w:rPr>
          <w:rFonts w:cs="Tahoma"/>
        </w:rPr>
        <w:t>,</w:t>
      </w:r>
      <w:r w:rsidR="00FD4E32" w:rsidRPr="0084387E">
        <w:rPr>
          <w:rFonts w:cs="Tahoma"/>
        </w:rPr>
        <w:t xml:space="preserve"> driven by stronger</w:t>
      </w:r>
      <w:r w:rsidR="00612ED8">
        <w:rPr>
          <w:rFonts w:cs="Tahoma"/>
        </w:rPr>
        <w:noBreakHyphen/>
      </w:r>
      <w:r w:rsidR="00FD4E32" w:rsidRPr="0084387E">
        <w:rPr>
          <w:rFonts w:cs="Tahoma"/>
        </w:rPr>
        <w:t>than</w:t>
      </w:r>
      <w:r w:rsidR="00612ED8">
        <w:rPr>
          <w:rFonts w:cs="Tahoma"/>
        </w:rPr>
        <w:noBreakHyphen/>
      </w:r>
      <w:r w:rsidR="00FD4E32" w:rsidRPr="0084387E">
        <w:rPr>
          <w:rFonts w:cs="Tahoma"/>
        </w:rPr>
        <w:t>expected growth in both business investment and household consumption, part</w:t>
      </w:r>
      <w:r w:rsidR="001B3F76" w:rsidRPr="0084387E">
        <w:rPr>
          <w:rFonts w:cs="Tahoma"/>
        </w:rPr>
        <w:t>ly</w:t>
      </w:r>
      <w:r w:rsidR="00FD4E32" w:rsidRPr="0084387E">
        <w:rPr>
          <w:rFonts w:cs="Tahoma"/>
        </w:rPr>
        <w:t xml:space="preserve"> offset by negative contributions from net exports and dwelling investment</w:t>
      </w:r>
      <w:r w:rsidR="00612ED8">
        <w:rPr>
          <w:rFonts w:cs="Tahoma"/>
        </w:rPr>
        <w:t xml:space="preserve">. </w:t>
      </w:r>
      <w:r w:rsidR="00FD4E32" w:rsidRPr="0084387E">
        <w:rPr>
          <w:rFonts w:cs="Tahoma"/>
        </w:rPr>
        <w:t>Public final demand rose marginally in the quarter, but was weaker than expected at Budget</w:t>
      </w:r>
      <w:r w:rsidR="001B3F76" w:rsidRPr="0084387E">
        <w:rPr>
          <w:rFonts w:cs="Tahoma"/>
        </w:rPr>
        <w:t xml:space="preserve">, with </w:t>
      </w:r>
      <w:r w:rsidR="00FD4E32" w:rsidRPr="0084387E">
        <w:rPr>
          <w:rFonts w:cs="Tahoma"/>
        </w:rPr>
        <w:t xml:space="preserve">state and local government expenditure </w:t>
      </w:r>
      <w:r w:rsidR="001B3F76" w:rsidRPr="0084387E">
        <w:rPr>
          <w:rFonts w:cs="Tahoma"/>
        </w:rPr>
        <w:t xml:space="preserve">particularly </w:t>
      </w:r>
      <w:r w:rsidR="00FD4E32" w:rsidRPr="0084387E">
        <w:rPr>
          <w:rFonts w:cs="Tahoma"/>
        </w:rPr>
        <w:t>weak</w:t>
      </w:r>
      <w:r w:rsidR="00612ED8">
        <w:rPr>
          <w:rFonts w:cs="Tahoma"/>
        </w:rPr>
        <w:t xml:space="preserve">. </w:t>
      </w:r>
      <w:r w:rsidR="006004B7" w:rsidRPr="0084387E">
        <w:rPr>
          <w:rFonts w:cs="Tahoma"/>
        </w:rPr>
        <w:t>The near</w:t>
      </w:r>
      <w:r w:rsidR="00F05940">
        <w:rPr>
          <w:rFonts w:cs="Tahoma"/>
        </w:rPr>
        <w:t>-</w:t>
      </w:r>
      <w:r w:rsidR="006004B7" w:rsidRPr="0084387E">
        <w:rPr>
          <w:rFonts w:cs="Tahoma"/>
        </w:rPr>
        <w:t xml:space="preserve">term labour market outlook has </w:t>
      </w:r>
      <w:r w:rsidR="00BD2815" w:rsidRPr="0084387E">
        <w:rPr>
          <w:rFonts w:cs="Tahoma"/>
        </w:rPr>
        <w:t xml:space="preserve">also </w:t>
      </w:r>
      <w:r w:rsidR="006004B7" w:rsidRPr="0084387E">
        <w:rPr>
          <w:rFonts w:cs="Tahoma"/>
        </w:rPr>
        <w:t>improved slightly since Budget, with stronger-than-expected employment growth over the past few months</w:t>
      </w:r>
      <w:r w:rsidR="00612ED8">
        <w:rPr>
          <w:rFonts w:cs="Tahoma"/>
        </w:rPr>
        <w:t xml:space="preserve">. </w:t>
      </w:r>
      <w:r w:rsidR="006004B7" w:rsidRPr="0084387E">
        <w:rPr>
          <w:rFonts w:cs="Tahoma"/>
        </w:rPr>
        <w:t>Employment growth forecasts have been upgraded by ¼ of a percentage point to ¾ of a per cent through the year to the June quarter of 2012</w:t>
      </w:r>
      <w:r w:rsidR="00FD027E" w:rsidRPr="0084387E">
        <w:rPr>
          <w:rFonts w:cs="Tahoma"/>
        </w:rPr>
        <w:t xml:space="preserve"> and the unemployment rate is now forecast to be 5 per cent</w:t>
      </w:r>
      <w:r w:rsidR="00612ED8">
        <w:rPr>
          <w:rFonts w:cs="Tahoma"/>
        </w:rPr>
        <w:t xml:space="preserve">. </w:t>
      </w:r>
    </w:p>
    <w:p w:rsidR="007E56D9" w:rsidRPr="0084387E" w:rsidRDefault="00321C13" w:rsidP="006004B7">
      <w:pPr>
        <w:rPr>
          <w:rFonts w:cs="Tahoma"/>
        </w:rPr>
      </w:pPr>
      <w:r w:rsidRPr="0084387E">
        <w:rPr>
          <w:rFonts w:cs="Tahoma"/>
        </w:rPr>
        <w:t>N</w:t>
      </w:r>
      <w:r w:rsidR="00BD2815" w:rsidRPr="0084387E">
        <w:rPr>
          <w:rFonts w:cs="Tahoma"/>
        </w:rPr>
        <w:t xml:space="preserve">otwithstanding the positive recent labour market and </w:t>
      </w:r>
      <w:r w:rsidR="0077304D" w:rsidRPr="0084387E">
        <w:rPr>
          <w:rFonts w:cs="Tahoma"/>
        </w:rPr>
        <w:t xml:space="preserve">real </w:t>
      </w:r>
      <w:r w:rsidR="00BD2815" w:rsidRPr="0084387E">
        <w:rPr>
          <w:rFonts w:cs="Tahoma"/>
        </w:rPr>
        <w:t>GDP growth outcomes</w:t>
      </w:r>
      <w:r w:rsidRPr="0084387E">
        <w:rPr>
          <w:rFonts w:cs="Tahoma"/>
        </w:rPr>
        <w:t>,</w:t>
      </w:r>
      <w:r w:rsidR="00BD2815" w:rsidRPr="0084387E">
        <w:rPr>
          <w:rFonts w:cs="Tahoma"/>
        </w:rPr>
        <w:t xml:space="preserve"> the </w:t>
      </w:r>
      <w:r w:rsidR="003E7631" w:rsidRPr="0028329D">
        <w:rPr>
          <w:rFonts w:cs="Tahoma"/>
        </w:rPr>
        <w:t>outlook beyond</w:t>
      </w:r>
      <w:r w:rsidR="0077304D">
        <w:rPr>
          <w:rFonts w:cs="Tahoma"/>
        </w:rPr>
        <w:t xml:space="preserve"> 2011-12 is largely unchanged.</w:t>
      </w:r>
    </w:p>
    <w:p w:rsidR="00F05940" w:rsidRDefault="00F05940" w:rsidP="006004B7">
      <w:r w:rsidRPr="00E863A7">
        <w:rPr>
          <w:rFonts w:cs="Tahoma"/>
        </w:rPr>
        <w:t xml:space="preserve">Australia’s </w:t>
      </w:r>
      <w:r w:rsidRPr="00E863A7">
        <w:rPr>
          <w:rFonts w:cs="Tahoma"/>
          <w:b/>
        </w:rPr>
        <w:t>real GDP growth</w:t>
      </w:r>
      <w:r w:rsidRPr="00E863A7">
        <w:rPr>
          <w:rFonts w:cs="Tahoma"/>
        </w:rPr>
        <w:t xml:space="preserve"> is forecast to be 3¼ per cent in 2012-13 before easing slightly to 3 per cent in 2013-14, underpinned by strong growth in resources-related business investment and solid growth in exports and consumption</w:t>
      </w:r>
      <w:r w:rsidR="00612ED8">
        <w:rPr>
          <w:rFonts w:cs="Tahoma"/>
        </w:rPr>
        <w:t xml:space="preserve">. </w:t>
      </w:r>
      <w:r w:rsidRPr="00E863A7">
        <w:rPr>
          <w:rFonts w:cs="Tahoma"/>
        </w:rPr>
        <w:t xml:space="preserve">However, as at Budget, public final demand and dwelling investment is expected to remain </w:t>
      </w:r>
      <w:r>
        <w:rPr>
          <w:rFonts w:cs="Tahoma"/>
        </w:rPr>
        <w:t>subdued</w:t>
      </w:r>
      <w:r w:rsidR="00612ED8">
        <w:rPr>
          <w:rFonts w:cs="Tahoma"/>
        </w:rPr>
        <w:t xml:space="preserve">. </w:t>
      </w:r>
      <w:r>
        <w:rPr>
          <w:rFonts w:cs="Tahoma"/>
        </w:rPr>
        <w:t>Similarly, the outlook for the labour</w:t>
      </w:r>
      <w:r w:rsidR="00A87412">
        <w:rPr>
          <w:rFonts w:cs="Tahoma"/>
        </w:rPr>
        <w:t xml:space="preserve"> market is largely unchanged</w:t>
      </w:r>
      <w:r w:rsidR="00612ED8">
        <w:rPr>
          <w:rFonts w:cs="Tahoma"/>
        </w:rPr>
        <w:t xml:space="preserve">. </w:t>
      </w:r>
      <w:r w:rsidR="009D1564">
        <w:rPr>
          <w:rFonts w:cs="Tahoma"/>
        </w:rPr>
        <w:t>E</w:t>
      </w:r>
      <w:r>
        <w:rPr>
          <w:rFonts w:cs="Tahoma"/>
        </w:rPr>
        <w:t xml:space="preserve">mployment growth is expected to be </w:t>
      </w:r>
      <w:r>
        <w:t>1¼ per cent through the year to the June quarter of 2013</w:t>
      </w:r>
      <w:r w:rsidR="00C53FCF">
        <w:t xml:space="preserve"> and</w:t>
      </w:r>
      <w:r>
        <w:t xml:space="preserve"> </w:t>
      </w:r>
      <w:r w:rsidR="009D1564">
        <w:t xml:space="preserve">1½ per cent </w:t>
      </w:r>
      <w:r>
        <w:t>June quarter of 2014 and the unemployment rate is expected to be 5½ per cent in the June quarter of both 2013 and 2014.</w:t>
      </w:r>
    </w:p>
    <w:p w:rsidR="005F1D47" w:rsidRDefault="005F1D47" w:rsidP="005F1D47">
      <w:r w:rsidRPr="00773B6F">
        <w:rPr>
          <w:rFonts w:cs="Tahoma"/>
        </w:rPr>
        <w:t xml:space="preserve">However, while the outlook for real GDP growth is largely unchanged, nominal </w:t>
      </w:r>
      <w:r w:rsidRPr="00773B6F">
        <w:rPr>
          <w:rFonts w:eastAsia="Times New Roman"/>
          <w:szCs w:val="20"/>
          <w:lang w:eastAsia="en-AU"/>
        </w:rPr>
        <w:t xml:space="preserve">GDP growth has been downgraded over the forecast </w:t>
      </w:r>
      <w:r w:rsidRPr="00773B6F">
        <w:t>horizon</w:t>
      </w:r>
      <w:r w:rsidR="00612ED8" w:rsidRPr="00773B6F">
        <w:t xml:space="preserve">. </w:t>
      </w:r>
      <w:r w:rsidRPr="00773B6F">
        <w:t xml:space="preserve">This reflects </w:t>
      </w:r>
      <w:r w:rsidRPr="00773B6F">
        <w:rPr>
          <w:rFonts w:eastAsia="Times New Roman"/>
          <w:szCs w:val="20"/>
          <w:lang w:eastAsia="en-AU"/>
        </w:rPr>
        <w:t>downward historical revisions to the level of the terms of trade, resulting in a weaker increase in 2011-12, and a softening in expectations for domestic price growth, particularly in household and government consumption deflators.</w:t>
      </w:r>
      <w:r w:rsidR="009D1564" w:rsidRPr="00773B6F">
        <w:rPr>
          <w:rFonts w:eastAsia="Times New Roman"/>
          <w:szCs w:val="20"/>
          <w:lang w:eastAsia="en-AU"/>
        </w:rPr>
        <w:t xml:space="preserve"> </w:t>
      </w:r>
      <w:r w:rsidRPr="00773B6F">
        <w:t>Nominal GDP growth is forecast to be 4¾ per cent in both 2011-12 and 2012-13 and 5 per cent in 2013-14</w:t>
      </w:r>
      <w:r w:rsidR="00612ED8" w:rsidRPr="00773B6F">
        <w:t xml:space="preserve">. </w:t>
      </w:r>
      <w:r w:rsidRPr="00773B6F">
        <w:t>Compared with Budget, forecast growth in nominal GDP has been revised down ¾ of a percentage point in 2011</w:t>
      </w:r>
      <w:r w:rsidR="009D1564" w:rsidRPr="00773B6F">
        <w:noBreakHyphen/>
      </w:r>
      <w:r w:rsidRPr="00773B6F">
        <w:t>12 and ¼ of a percentage point in both 2012-13 and 2013-14</w:t>
      </w:r>
      <w:r w:rsidR="00612ED8" w:rsidRPr="00773B6F">
        <w:t xml:space="preserve">. </w:t>
      </w:r>
      <w:r w:rsidRPr="00773B6F">
        <w:t>The level of the GDP deflator has also been revised down by 1 percentage point across the forecast period</w:t>
      </w:r>
      <w:r w:rsidR="00612ED8" w:rsidRPr="00773B6F">
        <w:t xml:space="preserve">. </w:t>
      </w:r>
      <w:r w:rsidRPr="00773B6F">
        <w:t>(Further details on implications for the components of nominal GDP are provided at Attachment A.)</w:t>
      </w:r>
    </w:p>
    <w:p w:rsidR="00BE0986" w:rsidRDefault="004E04F8" w:rsidP="00E36691">
      <w:r>
        <w:rPr>
          <w:b/>
        </w:rPr>
        <w:t>H</w:t>
      </w:r>
      <w:r w:rsidR="00BE0986" w:rsidRPr="00D86F55">
        <w:rPr>
          <w:b/>
        </w:rPr>
        <w:t>ousehold consumption</w:t>
      </w:r>
      <w:r w:rsidR="00BE0986">
        <w:t xml:space="preserve"> </w:t>
      </w:r>
      <w:r>
        <w:t xml:space="preserve">growth </w:t>
      </w:r>
      <w:r w:rsidR="00BE0986">
        <w:t>forecasts have been upgraded slightly since Budget</w:t>
      </w:r>
      <w:r w:rsidR="00773B6F">
        <w:t xml:space="preserve">, </w:t>
      </w:r>
      <w:r w:rsidR="00F05940">
        <w:t>following t</w:t>
      </w:r>
      <w:r w:rsidR="00BE0986">
        <w:t>he surprisingly strong March quarter outcome</w:t>
      </w:r>
      <w:r w:rsidR="00612ED8">
        <w:t xml:space="preserve">. </w:t>
      </w:r>
      <w:r w:rsidR="00BE0986">
        <w:t xml:space="preserve">Growth of 1.6 per cent in the quarter was underpinned by strong growth in real incomes over the year to the March quarter which allowed households to boost consumption while at the same time continue </w:t>
      </w:r>
      <w:r w:rsidR="00B36E77">
        <w:t xml:space="preserve">to </w:t>
      </w:r>
      <w:r w:rsidR="00BE0986">
        <w:t>sav</w:t>
      </w:r>
      <w:r w:rsidR="00B36E77">
        <w:t>e</w:t>
      </w:r>
      <w:r w:rsidR="00BE0986">
        <w:t xml:space="preserve"> at historically high rates. Ho</w:t>
      </w:r>
      <w:r w:rsidR="00F05940">
        <w:t>wever, looking beyond</w:t>
      </w:r>
      <w:r w:rsidR="00BE0986">
        <w:t xml:space="preserve"> </w:t>
      </w:r>
      <w:r w:rsidR="00F05940">
        <w:t>2011-12</w:t>
      </w:r>
      <w:r w:rsidR="00BE0986">
        <w:t xml:space="preserve">, the outlook for consumption growth </w:t>
      </w:r>
      <w:r>
        <w:t xml:space="preserve">is </w:t>
      </w:r>
      <w:r w:rsidR="00AD6547">
        <w:t xml:space="preserve">largely unchanged </w:t>
      </w:r>
      <w:r w:rsidR="00BE0986">
        <w:t>since Budget</w:t>
      </w:r>
      <w:r w:rsidR="00612ED8">
        <w:t xml:space="preserve">. </w:t>
      </w:r>
      <w:r w:rsidR="00BE0986">
        <w:t>Household real net worth remains lower than in early 2011, with ongoing weakness in the housing market and the share market</w:t>
      </w:r>
      <w:r w:rsidR="00612ED8">
        <w:t xml:space="preserve">. </w:t>
      </w:r>
      <w:r w:rsidR="00A64F6B">
        <w:t xml:space="preserve">Household consumption is expected to grow broadly in line with disposable incomes resulting in </w:t>
      </w:r>
      <w:r w:rsidR="00BE0986">
        <w:t>the saving rate remain</w:t>
      </w:r>
      <w:r w:rsidR="00A64F6B">
        <w:t>ing</w:t>
      </w:r>
      <w:r w:rsidR="00BE0986">
        <w:t xml:space="preserve"> elevated</w:t>
      </w:r>
      <w:r w:rsidR="00612ED8">
        <w:t xml:space="preserve">. </w:t>
      </w:r>
      <w:r w:rsidR="00BE0986">
        <w:t>Household consumption is forecast to grow 3½ per cent in 2011-12, 3¼</w:t>
      </w:r>
      <w:r w:rsidR="0084387E">
        <w:t xml:space="preserve"> per cent in </w:t>
      </w:r>
      <w:r w:rsidR="009D1564">
        <w:t xml:space="preserve">both </w:t>
      </w:r>
      <w:r w:rsidR="0084387E">
        <w:t xml:space="preserve">2012-13 and </w:t>
      </w:r>
      <w:r w:rsidR="00BE0986">
        <w:t>2013-14.</w:t>
      </w:r>
    </w:p>
    <w:p w:rsidR="00E36691" w:rsidRDefault="00E36691" w:rsidP="00E36691">
      <w:r>
        <w:t xml:space="preserve">The outlook for </w:t>
      </w:r>
      <w:r w:rsidRPr="00E749DA">
        <w:rPr>
          <w:b/>
        </w:rPr>
        <w:t>dwelling investment</w:t>
      </w:r>
      <w:r>
        <w:t xml:space="preserve"> has deteriorated somewhat since Budget, with downgrades </w:t>
      </w:r>
      <w:r w:rsidR="00FD027E">
        <w:t xml:space="preserve">to </w:t>
      </w:r>
      <w:r>
        <w:t>growth forecasts for 2011-12 and 2012-13</w:t>
      </w:r>
      <w:r w:rsidR="00FD027E">
        <w:t>,</w:t>
      </w:r>
      <w:r>
        <w:t xml:space="preserve"> only partly offset b</w:t>
      </w:r>
      <w:r w:rsidR="00FD027E">
        <w:t>y</w:t>
      </w:r>
      <w:r>
        <w:t xml:space="preserve"> an upgrade in 2013-14.</w:t>
      </w:r>
      <w:r w:rsidR="009D1564">
        <w:t xml:space="preserve"> </w:t>
      </w:r>
      <w:r>
        <w:t xml:space="preserve">Near-term </w:t>
      </w:r>
      <w:r>
        <w:lastRenderedPageBreak/>
        <w:t xml:space="preserve">forecasts have been downgraded in line with weak commencements and a continued deterioration in building approvals </w:t>
      </w:r>
      <w:r w:rsidR="0062315D">
        <w:t xml:space="preserve">data released </w:t>
      </w:r>
      <w:r w:rsidR="00BE0986">
        <w:t>since Budget</w:t>
      </w:r>
      <w:r>
        <w:t>.</w:t>
      </w:r>
      <w:r w:rsidR="009D1564">
        <w:t xml:space="preserve"> </w:t>
      </w:r>
      <w:r>
        <w:t>While housing finance commitments for new dwellings improve</w:t>
      </w:r>
      <w:r w:rsidR="004D480E">
        <w:t>d</w:t>
      </w:r>
      <w:r>
        <w:t xml:space="preserve"> marginally in the March quarter, they remain well below levels seen before the </w:t>
      </w:r>
      <w:r w:rsidR="00BE0986">
        <w:t xml:space="preserve">global financial crisis </w:t>
      </w:r>
      <w:r>
        <w:t>as continuing consumer caution to</w:t>
      </w:r>
      <w:r w:rsidR="00400DEC">
        <w:t xml:space="preserve">wards </w:t>
      </w:r>
      <w:r>
        <w:t>debt</w:t>
      </w:r>
      <w:r w:rsidR="00400DEC">
        <w:t xml:space="preserve"> </w:t>
      </w:r>
      <w:r w:rsidR="004D480E">
        <w:t>moderates</w:t>
      </w:r>
      <w:r>
        <w:t xml:space="preserve"> demand for new houses</w:t>
      </w:r>
      <w:r w:rsidR="00612ED8">
        <w:t xml:space="preserve">. </w:t>
      </w:r>
      <w:r w:rsidR="0062315D">
        <w:t>Recent interest rate</w:t>
      </w:r>
      <w:r>
        <w:t xml:space="preserve"> cuts are expected to boost </w:t>
      </w:r>
      <w:r w:rsidR="00B36E77">
        <w:t xml:space="preserve">dwelling </w:t>
      </w:r>
      <w:r>
        <w:t xml:space="preserve">investment over coming years but any substantial recovery </w:t>
      </w:r>
      <w:r w:rsidR="004D480E">
        <w:t xml:space="preserve">is unlikely before </w:t>
      </w:r>
      <w:r>
        <w:t>2013-14.</w:t>
      </w:r>
      <w:r w:rsidR="009D1564">
        <w:t xml:space="preserve"> </w:t>
      </w:r>
      <w:r>
        <w:t>Dwelling investment i</w:t>
      </w:r>
      <w:r w:rsidR="0062315D">
        <w:t>s now forecast to contract 3</w:t>
      </w:r>
      <w:r w:rsidR="0084387E">
        <w:t> </w:t>
      </w:r>
      <w:r>
        <w:t>per</w:t>
      </w:r>
      <w:r w:rsidR="0084387E">
        <w:t> </w:t>
      </w:r>
      <w:r>
        <w:t>cent in 2011-12</w:t>
      </w:r>
      <w:r w:rsidR="0062315D">
        <w:t xml:space="preserve">, remain flat </w:t>
      </w:r>
      <w:r>
        <w:t xml:space="preserve">in 2012-13 </w:t>
      </w:r>
      <w:r w:rsidR="009D1564">
        <w:t xml:space="preserve">and </w:t>
      </w:r>
      <w:r>
        <w:t>grow 4½ per cent in 2013-14.</w:t>
      </w:r>
    </w:p>
    <w:p w:rsidR="00BE0986" w:rsidRDefault="00BE0986" w:rsidP="00BE0986">
      <w:r>
        <w:t xml:space="preserve">The outlook for new </w:t>
      </w:r>
      <w:r w:rsidRPr="00E525A6">
        <w:rPr>
          <w:b/>
        </w:rPr>
        <w:t>private business investment</w:t>
      </w:r>
      <w:r>
        <w:t xml:space="preserve"> is largely unchanged, with forecast growth of 20½ per cent in 2011-12, 11 per cent in 2012-13 and 6 per cent in 2013-14 resulting in investment reaching record highs as a share of GDP</w:t>
      </w:r>
      <w:r w:rsidR="00612ED8">
        <w:t xml:space="preserve">. </w:t>
      </w:r>
      <w:r>
        <w:t>The forecasts continue to be underpinned by surging resources investment, with the most recent CAPEX survey again demonstrating the resilience of investment intentions in the sector despite ongoing global uncertainty and easing commodity prices</w:t>
      </w:r>
      <w:r w:rsidR="00612ED8">
        <w:t xml:space="preserve">. </w:t>
      </w:r>
      <w:r>
        <w:t>However, the latest CAPEX survey highlights further weakness in the non-mining parts of the economy, which continue to track below trend.</w:t>
      </w:r>
    </w:p>
    <w:p w:rsidR="00BE0986" w:rsidRPr="00773B6F" w:rsidRDefault="004D480E" w:rsidP="00BE0986">
      <w:r w:rsidRPr="00773B6F">
        <w:t>The outlook for b</w:t>
      </w:r>
      <w:r w:rsidR="00BE0986" w:rsidRPr="00773B6F">
        <w:t xml:space="preserve">usiness investment </w:t>
      </w:r>
      <w:r w:rsidRPr="00773B6F">
        <w:t xml:space="preserve">is broadly unchanged since Budget, with higher expected growth in </w:t>
      </w:r>
      <w:r w:rsidR="00BE0986" w:rsidRPr="00773B6F">
        <w:t xml:space="preserve">2011-12 </w:t>
      </w:r>
      <w:r w:rsidRPr="00773B6F">
        <w:t>largely offset by lower expected growth in 20</w:t>
      </w:r>
      <w:r w:rsidR="00BE0986" w:rsidRPr="00773B6F">
        <w:t>12-13 and 2013-14. The upgrade to 2011-12 reflects stronger-than-expected engineering construction investment over recent quarters</w:t>
      </w:r>
      <w:r w:rsidR="00612ED8" w:rsidRPr="00773B6F">
        <w:t xml:space="preserve">. </w:t>
      </w:r>
      <w:r w:rsidR="00BE0986" w:rsidRPr="00773B6F">
        <w:t>While the aggregate expenditure of major resources projects continues to track broadly in line with our expectations, the allocation of investment appears to have been more heavily weighted towards engineering construction in recent quarters than previously expected.</w:t>
      </w:r>
      <w:r w:rsidR="009D1564" w:rsidRPr="00773B6F">
        <w:t xml:space="preserve"> E</w:t>
      </w:r>
      <w:r w:rsidR="00BE0986" w:rsidRPr="00773B6F">
        <w:t xml:space="preserve">ngineering construction investment </w:t>
      </w:r>
      <w:r w:rsidR="00170B40" w:rsidRPr="00773B6F">
        <w:t xml:space="preserve">growth </w:t>
      </w:r>
      <w:r w:rsidR="009D1564" w:rsidRPr="00773B6F">
        <w:t xml:space="preserve">forecasts </w:t>
      </w:r>
      <w:r w:rsidR="00BE0986" w:rsidRPr="00773B6F">
        <w:t>ha</w:t>
      </w:r>
      <w:r w:rsidR="009D1564" w:rsidRPr="00773B6F">
        <w:t>ve</w:t>
      </w:r>
      <w:r w:rsidR="00BE0986" w:rsidRPr="00773B6F">
        <w:t xml:space="preserve"> been upgraded in 2011-12 </w:t>
      </w:r>
      <w:r w:rsidR="00170B40" w:rsidRPr="00773B6F">
        <w:t>and downgraded</w:t>
      </w:r>
      <w:r w:rsidR="00BE0986" w:rsidRPr="00773B6F">
        <w:t xml:space="preserve"> in </w:t>
      </w:r>
      <w:r w:rsidR="005632FC" w:rsidRPr="00773B6F">
        <w:t xml:space="preserve">2012-13 and </w:t>
      </w:r>
      <w:r w:rsidR="00BE0986" w:rsidRPr="00773B6F">
        <w:t>2013</w:t>
      </w:r>
      <w:r w:rsidR="00170B40" w:rsidRPr="00773B6F">
        <w:noBreakHyphen/>
      </w:r>
      <w:r w:rsidR="00BE0986" w:rsidRPr="00773B6F">
        <w:t>14</w:t>
      </w:r>
      <w:r w:rsidR="009D1564" w:rsidRPr="00773B6F">
        <w:t xml:space="preserve"> accordingly</w:t>
      </w:r>
      <w:r w:rsidR="00BE0986" w:rsidRPr="00773B6F">
        <w:t xml:space="preserve">. This </w:t>
      </w:r>
      <w:r w:rsidRPr="00773B6F">
        <w:t>realignment</w:t>
      </w:r>
      <w:r w:rsidR="00BE0986" w:rsidRPr="00773B6F">
        <w:t>, along with weakness in the latest CAPEX estimate for machinery and equipment outside the resources sector, has resulted in downgrades to machinery and equipment investment growth in 2011-12 and 2012-13. Forecasts for non-residential building investment continue to remain weak and are broadly unchanged since Budget</w:t>
      </w:r>
      <w:r w:rsidR="00612ED8" w:rsidRPr="00773B6F">
        <w:t xml:space="preserve">. </w:t>
      </w:r>
    </w:p>
    <w:p w:rsidR="005924FC" w:rsidRDefault="000B7ADD" w:rsidP="00F743D4">
      <w:r w:rsidRPr="00773B6F">
        <w:t xml:space="preserve">Total </w:t>
      </w:r>
      <w:r w:rsidRPr="00773B6F">
        <w:rPr>
          <w:b/>
        </w:rPr>
        <w:t>exports</w:t>
      </w:r>
      <w:r w:rsidRPr="00773B6F">
        <w:t xml:space="preserve"> are expected to grow 3½ per cent in 2011-12 and </w:t>
      </w:r>
      <w:r w:rsidR="00FD027E" w:rsidRPr="00773B6F">
        <w:t>5</w:t>
      </w:r>
      <w:r w:rsidRPr="00773B6F">
        <w:t xml:space="preserve"> per cent in both 2012-13 and 2013-14</w:t>
      </w:r>
      <w:r w:rsidR="00170B40" w:rsidRPr="00773B6F">
        <w:t>, representing a downgrade in 2011-12 and an upgrade in 2012-13</w:t>
      </w:r>
      <w:r w:rsidR="00612ED8" w:rsidRPr="00773B6F">
        <w:t xml:space="preserve">. </w:t>
      </w:r>
      <w:r w:rsidRPr="00773B6F">
        <w:t xml:space="preserve">Forecast growth in 2011-12 has been downgraded since Budget </w:t>
      </w:r>
      <w:r w:rsidR="005924FC" w:rsidRPr="00773B6F">
        <w:t xml:space="preserve">largely </w:t>
      </w:r>
      <w:r w:rsidRPr="00773B6F">
        <w:t>due to weaker</w:t>
      </w:r>
      <w:r w:rsidR="00AE48BC" w:rsidRPr="00773B6F">
        <w:t xml:space="preserve"> crude oil and</w:t>
      </w:r>
      <w:r w:rsidRPr="00773B6F">
        <w:t xml:space="preserve"> coal export volumes.</w:t>
      </w:r>
      <w:r w:rsidR="009D1564" w:rsidRPr="00773B6F">
        <w:t xml:space="preserve"> </w:t>
      </w:r>
      <w:r w:rsidRPr="00773B6F">
        <w:t>Industrial</w:t>
      </w:r>
      <w:r>
        <w:t xml:space="preserve"> disputes, particularly in Queensland, are likely to continue affecting coal export volumes over coming quarters with the</w:t>
      </w:r>
      <w:r w:rsidRPr="00A40337">
        <w:t xml:space="preserve"> </w:t>
      </w:r>
      <w:r w:rsidR="00400DEC">
        <w:t xml:space="preserve">recent </w:t>
      </w:r>
      <w:r>
        <w:t xml:space="preserve">significant run down of coal inventories, combined with the closure of the Norwich Park coal mine, expected to result in subdued exports </w:t>
      </w:r>
      <w:r w:rsidR="00170B40">
        <w:t xml:space="preserve">this year </w:t>
      </w:r>
      <w:r>
        <w:t>even if industrial disputes were to cease</w:t>
      </w:r>
      <w:r w:rsidR="00612ED8">
        <w:t xml:space="preserve">. </w:t>
      </w:r>
      <w:r>
        <w:t>This is expected to have a flow</w:t>
      </w:r>
      <w:r w:rsidR="00A87412">
        <w:t>-</w:t>
      </w:r>
      <w:r>
        <w:t>on effect on new capacity coming online, in addition to delays already experienced due to the slower-than-expected recovery from the 2011 floods, lowering estimated coal exports growth over the forecast horizon</w:t>
      </w:r>
      <w:r w:rsidR="00612ED8">
        <w:t xml:space="preserve">. </w:t>
      </w:r>
    </w:p>
    <w:p w:rsidR="00F743D4" w:rsidRDefault="00400DEC" w:rsidP="00F743D4">
      <w:r>
        <w:t>T</w:t>
      </w:r>
      <w:r w:rsidR="005924FC">
        <w:t>he outlook for elaborately transformed manufactures export volumes i</w:t>
      </w:r>
      <w:r>
        <w:t>s broadly unchanged from Budget</w:t>
      </w:r>
      <w:r w:rsidR="00170B40">
        <w:t>, while growth forecasts for rural goods and non-bulk non-rural commodities have been upgraded</w:t>
      </w:r>
      <w:r w:rsidR="00612ED8">
        <w:t xml:space="preserve">. </w:t>
      </w:r>
      <w:r w:rsidR="00170B40">
        <w:t>However, s</w:t>
      </w:r>
      <w:r w:rsidR="005924FC">
        <w:t xml:space="preserve">ervices </w:t>
      </w:r>
      <w:r w:rsidR="00192B8C">
        <w:t>export volume forecasts have been downgraded</w:t>
      </w:r>
      <w:r w:rsidR="00170B40">
        <w:t xml:space="preserve"> in line with </w:t>
      </w:r>
      <w:r w:rsidR="00192B8C">
        <w:t xml:space="preserve">the high </w:t>
      </w:r>
      <w:r w:rsidR="00170B40">
        <w:t xml:space="preserve">Australian dollar </w:t>
      </w:r>
      <w:r w:rsidR="00192B8C">
        <w:t xml:space="preserve">and weak </w:t>
      </w:r>
      <w:r w:rsidR="00170B40">
        <w:t xml:space="preserve">growth in </w:t>
      </w:r>
      <w:r w:rsidR="00192B8C">
        <w:t>advanced econom</w:t>
      </w:r>
      <w:r w:rsidR="00170B40">
        <w:t>ies</w:t>
      </w:r>
      <w:r w:rsidR="00192B8C">
        <w:t xml:space="preserve"> leading to continued weakness in tourist arrivals and education-related travel services</w:t>
      </w:r>
      <w:r w:rsidR="00612ED8">
        <w:t xml:space="preserve">. </w:t>
      </w:r>
    </w:p>
    <w:p w:rsidR="003178C5" w:rsidRDefault="003178C5" w:rsidP="003178C5">
      <w:r>
        <w:t xml:space="preserve">Total </w:t>
      </w:r>
      <w:r w:rsidRPr="00FD027E">
        <w:rPr>
          <w:b/>
        </w:rPr>
        <w:t>import</w:t>
      </w:r>
      <w:r w:rsidR="00FD027E">
        <w:t xml:space="preserve"> volumes</w:t>
      </w:r>
      <w:r>
        <w:t xml:space="preserve"> growth forecasts have been downgraded slightly over the forecast horizon</w:t>
      </w:r>
      <w:r w:rsidR="002D5CAD">
        <w:t xml:space="preserve">, albeit from a high rate, </w:t>
      </w:r>
      <w:r>
        <w:t>in line with the recent depreciation of the Australian dollar</w:t>
      </w:r>
      <w:r w:rsidR="00612ED8">
        <w:t xml:space="preserve">. </w:t>
      </w:r>
      <w:r w:rsidRPr="00755D46">
        <w:t>Total imports are expected to grow 12</w:t>
      </w:r>
      <w:r w:rsidR="0084387E">
        <w:t> </w:t>
      </w:r>
      <w:r w:rsidRPr="00755D46">
        <w:t>per</w:t>
      </w:r>
      <w:r w:rsidR="0084387E">
        <w:t> </w:t>
      </w:r>
      <w:r w:rsidRPr="00755D46">
        <w:t>cent in 2011-12, 7 per cent in 2012-13 and 5½ per cent in 2013-14</w:t>
      </w:r>
      <w:r>
        <w:t xml:space="preserve">, with the level of imports now expected to be lower across all years than </w:t>
      </w:r>
      <w:r w:rsidR="00400DEC">
        <w:t>forecast</w:t>
      </w:r>
      <w:r>
        <w:t xml:space="preserve"> at Budget</w:t>
      </w:r>
      <w:r w:rsidR="00612ED8">
        <w:t xml:space="preserve">. </w:t>
      </w:r>
    </w:p>
    <w:p w:rsidR="000B7ADD" w:rsidRDefault="000B7ADD" w:rsidP="000B7ADD">
      <w:r>
        <w:t xml:space="preserve">With higher forecast growth in exports and weaker imports growth, </w:t>
      </w:r>
      <w:r w:rsidRPr="004E58D7">
        <w:rPr>
          <w:b/>
        </w:rPr>
        <w:t>net exports</w:t>
      </w:r>
      <w:r>
        <w:t xml:space="preserve"> are now expected to detract </w:t>
      </w:r>
      <w:r w:rsidRPr="00CA76C8">
        <w:t xml:space="preserve">1¾ percentage points from real GDP growth in 2011-12, ¾ of a percentage point in 2012-13 and </w:t>
      </w:r>
      <w:r w:rsidRPr="00CA76C8">
        <w:lastRenderedPageBreak/>
        <w:t xml:space="preserve">¼ of a percentage point in 2013-14. This is a slightly smaller detraction in 2011-12 and 2013-14 than forecast at Budget. </w:t>
      </w:r>
      <w:r w:rsidR="001B3F76">
        <w:t xml:space="preserve">Forecasts for the </w:t>
      </w:r>
      <w:r w:rsidR="001B3F76" w:rsidRPr="00755D46">
        <w:rPr>
          <w:b/>
        </w:rPr>
        <w:t>current account deficit</w:t>
      </w:r>
      <w:r w:rsidR="001B3F76">
        <w:t xml:space="preserve"> remain in line with Budget.</w:t>
      </w:r>
    </w:p>
    <w:p w:rsidR="007E56D9" w:rsidRDefault="000B7ADD" w:rsidP="000B7ADD">
      <w:r>
        <w:t xml:space="preserve">Forecasts for the </w:t>
      </w:r>
      <w:r w:rsidRPr="00755D46">
        <w:rPr>
          <w:b/>
        </w:rPr>
        <w:t>terms of trade</w:t>
      </w:r>
      <w:r>
        <w:t xml:space="preserve"> have been downgraded since Budget, with the level of the terms of trade now expected to be around 2 per cent lower across the forecast period. The terms of trade </w:t>
      </w:r>
      <w:r w:rsidR="00C53FCF">
        <w:t>are</w:t>
      </w:r>
      <w:r>
        <w:t xml:space="preserve"> forecast to increase 1¼ per cent in 2011-12, followed by declines of 5½ per cent in 2012-13 and 3¾</w:t>
      </w:r>
      <w:r w:rsidR="0084387E">
        <w:t> </w:t>
      </w:r>
      <w:r>
        <w:t>per</w:t>
      </w:r>
      <w:r w:rsidR="0084387E">
        <w:t> </w:t>
      </w:r>
      <w:r>
        <w:t>cent in 2013-14</w:t>
      </w:r>
      <w:r w:rsidR="00612ED8">
        <w:t xml:space="preserve">. </w:t>
      </w:r>
      <w:r w:rsidRPr="007F5E5B">
        <w:t xml:space="preserve">The forecast downgrade reflects </w:t>
      </w:r>
      <w:r w:rsidR="001B3F76" w:rsidRPr="007F5E5B">
        <w:t xml:space="preserve">revisions to the </w:t>
      </w:r>
      <w:r w:rsidRPr="007F5E5B">
        <w:t xml:space="preserve">historical </w:t>
      </w:r>
      <w:r w:rsidR="001B3F76" w:rsidRPr="007F5E5B">
        <w:t xml:space="preserve">series </w:t>
      </w:r>
      <w:r w:rsidR="00773B6F">
        <w:t xml:space="preserve">(due to an ABS methodological change to how coal export prices are seasonally adjusted) </w:t>
      </w:r>
      <w:r w:rsidR="007F5E5B" w:rsidRPr="007F5E5B">
        <w:t>combined with</w:t>
      </w:r>
      <w:r w:rsidR="001B3F76" w:rsidRPr="007F5E5B">
        <w:t xml:space="preserve"> higher </w:t>
      </w:r>
      <w:r w:rsidRPr="007F5E5B">
        <w:t>import prices</w:t>
      </w:r>
      <w:r w:rsidR="002D5CAD">
        <w:t>,</w:t>
      </w:r>
      <w:r w:rsidRPr="007F5E5B">
        <w:t xml:space="preserve"> </w:t>
      </w:r>
      <w:r w:rsidR="00302CA3">
        <w:t xml:space="preserve">partly </w:t>
      </w:r>
      <w:r w:rsidR="007F5E5B" w:rsidRPr="007F5E5B">
        <w:t>offset</w:t>
      </w:r>
      <w:r w:rsidR="00302CA3">
        <w:t xml:space="preserve"> by</w:t>
      </w:r>
      <w:r w:rsidR="007F5E5B" w:rsidRPr="007F5E5B">
        <w:t xml:space="preserve"> </w:t>
      </w:r>
      <w:r w:rsidRPr="007F5E5B">
        <w:t>higher export prices.</w:t>
      </w:r>
      <w:r w:rsidR="009D1564">
        <w:t xml:space="preserve"> </w:t>
      </w:r>
      <w:r w:rsidRPr="007F5E5B">
        <w:t>For</w:t>
      </w:r>
      <w:r>
        <w:t xml:space="preserve"> bulk commodity prices, the outlook remains broadly unchanged since Budget, with iron ore prices relatively stable over recent months, while weakness in thermal coal prices driven by</w:t>
      </w:r>
      <w:r w:rsidRPr="0001316D">
        <w:t xml:space="preserve"> low </w:t>
      </w:r>
      <w:r>
        <w:t xml:space="preserve">natural </w:t>
      </w:r>
      <w:r w:rsidRPr="0001316D">
        <w:t>gas prices in the United States</w:t>
      </w:r>
      <w:r>
        <w:t xml:space="preserve"> has been offset by higher m</w:t>
      </w:r>
      <w:r w:rsidRPr="0001316D">
        <w:t>etallurgical coal prices</w:t>
      </w:r>
      <w:r>
        <w:t xml:space="preserve"> due to the </w:t>
      </w:r>
      <w:r w:rsidRPr="0001316D">
        <w:t xml:space="preserve">ongoing industrial action across many </w:t>
      </w:r>
      <w:r w:rsidR="00FD027E">
        <w:t xml:space="preserve">parts of the </w:t>
      </w:r>
      <w:r w:rsidRPr="0001316D">
        <w:t xml:space="preserve">Queensland </w:t>
      </w:r>
      <w:r w:rsidR="00FD027E">
        <w:t>coal chain</w:t>
      </w:r>
      <w:r w:rsidR="00612ED8">
        <w:t xml:space="preserve">. </w:t>
      </w:r>
    </w:p>
    <w:p w:rsidR="007E7569" w:rsidRPr="00BA3F82" w:rsidRDefault="007E56D9" w:rsidP="007E56D9">
      <w:r w:rsidRPr="00BA3F82">
        <w:t xml:space="preserve">The outlook for inflation is slightly weaker </w:t>
      </w:r>
      <w:r w:rsidR="00BA3F82">
        <w:t xml:space="preserve">than Budget </w:t>
      </w:r>
      <w:r w:rsidRPr="00BA3F82">
        <w:t xml:space="preserve">owing to </w:t>
      </w:r>
      <w:r w:rsidR="00BA3F82">
        <w:t>further indications of weak prices across the economy.</w:t>
      </w:r>
      <w:r w:rsidR="009D1564">
        <w:t xml:space="preserve"> </w:t>
      </w:r>
      <w:r w:rsidR="00F743D4" w:rsidRPr="00BA3F82">
        <w:rPr>
          <w:b/>
        </w:rPr>
        <w:t>H</w:t>
      </w:r>
      <w:r w:rsidRPr="00BA3F82">
        <w:rPr>
          <w:b/>
        </w:rPr>
        <w:t>eadline inflation</w:t>
      </w:r>
      <w:r w:rsidRPr="00BA3F82">
        <w:t xml:space="preserve"> is forecast to be 1¼ per cent through the year to the June quarter of 2012, and 3</w:t>
      </w:r>
      <w:r w:rsidR="0084387E" w:rsidRPr="00BA3F82">
        <w:t> </w:t>
      </w:r>
      <w:r w:rsidRPr="00BA3F82">
        <w:t>per</w:t>
      </w:r>
      <w:r w:rsidR="0084387E" w:rsidRPr="00BA3F82">
        <w:t> </w:t>
      </w:r>
      <w:r w:rsidRPr="00BA3F82">
        <w:t>cent through the year to the June quarter of 2013</w:t>
      </w:r>
      <w:r w:rsidR="00F743D4" w:rsidRPr="00BA3F82">
        <w:t xml:space="preserve">, </w:t>
      </w:r>
      <w:r w:rsidRPr="00BA3F82">
        <w:t>before easing to 2½</w:t>
      </w:r>
      <w:r w:rsidR="007F4EBE" w:rsidRPr="00BA3F82">
        <w:t> </w:t>
      </w:r>
      <w:r w:rsidRPr="00BA3F82">
        <w:t>per</w:t>
      </w:r>
      <w:r w:rsidR="007F4EBE" w:rsidRPr="00BA3F82">
        <w:t> </w:t>
      </w:r>
      <w:r w:rsidRPr="00BA3F82">
        <w:t>cent through the year to the June quarter of 2014</w:t>
      </w:r>
      <w:r w:rsidR="00612ED8">
        <w:t xml:space="preserve">. </w:t>
      </w:r>
      <w:r w:rsidRPr="00BA3F82">
        <w:rPr>
          <w:b/>
        </w:rPr>
        <w:t>Underlying inflation</w:t>
      </w:r>
      <w:r w:rsidRPr="00BA3F82">
        <w:t xml:space="preserve"> is forecast to be 1¾</w:t>
      </w:r>
      <w:r w:rsidR="00A87412">
        <w:t> </w:t>
      </w:r>
      <w:r w:rsidRPr="00BA3F82">
        <w:t>per</w:t>
      </w:r>
      <w:r w:rsidR="00A87412">
        <w:t> </w:t>
      </w:r>
      <w:r w:rsidRPr="00BA3F82">
        <w:t>cent through the year to the June quarter of 2012, and 2</w:t>
      </w:r>
      <w:r w:rsidR="007F4EBE" w:rsidRPr="00BA3F82">
        <w:t xml:space="preserve">½ </w:t>
      </w:r>
      <w:r w:rsidRPr="00BA3F82">
        <w:t xml:space="preserve">per cent through the year to the June quarter of </w:t>
      </w:r>
      <w:r w:rsidR="002D5CAD">
        <w:t xml:space="preserve">both </w:t>
      </w:r>
      <w:r w:rsidRPr="00BA3F82">
        <w:t>2013</w:t>
      </w:r>
      <w:r w:rsidR="00D07974" w:rsidRPr="00BA3F82">
        <w:t xml:space="preserve"> and </w:t>
      </w:r>
      <w:r w:rsidRPr="00BA3F82">
        <w:t>2014</w:t>
      </w:r>
      <w:r w:rsidR="00612ED8">
        <w:t xml:space="preserve">. </w:t>
      </w:r>
    </w:p>
    <w:p w:rsidR="007E56D9" w:rsidRDefault="00D07974" w:rsidP="007E56D9">
      <w:r w:rsidRPr="007E7569">
        <w:t xml:space="preserve">Forecast growth in the </w:t>
      </w:r>
      <w:r w:rsidRPr="009D1564">
        <w:rPr>
          <w:b/>
        </w:rPr>
        <w:t>Wage Price Index</w:t>
      </w:r>
      <w:r w:rsidRPr="007E7569">
        <w:t xml:space="preserve"> has been downgraded</w:t>
      </w:r>
      <w:r w:rsidR="007F4EBE" w:rsidRPr="007E7569">
        <w:t xml:space="preserve"> ¼ of a percentage point to 3½ per cent </w:t>
      </w:r>
      <w:r w:rsidR="00A87412">
        <w:t>through the year to</w:t>
      </w:r>
      <w:r w:rsidR="007F4EBE" w:rsidRPr="007E7569">
        <w:t xml:space="preserve"> the June quarter of 2013</w:t>
      </w:r>
      <w:r w:rsidRPr="007E7569">
        <w:t>, i</w:t>
      </w:r>
      <w:r w:rsidR="00F743D4" w:rsidRPr="007E7569">
        <w:t>n line with the slight downgrade to inflation forecasts</w:t>
      </w:r>
      <w:r w:rsidR="002D5CAD">
        <w:t>,</w:t>
      </w:r>
      <w:r w:rsidR="007E7569" w:rsidRPr="007E7569">
        <w:t xml:space="preserve"> but remains unchanged at </w:t>
      </w:r>
      <w:r w:rsidR="007E56D9" w:rsidRPr="007E7569">
        <w:t xml:space="preserve">3¾ per cent </w:t>
      </w:r>
      <w:r w:rsidR="007F4EBE" w:rsidRPr="007E7569">
        <w:t xml:space="preserve">through the year to the </w:t>
      </w:r>
      <w:r w:rsidR="007E56D9" w:rsidRPr="007E7569">
        <w:t xml:space="preserve">June </w:t>
      </w:r>
      <w:r w:rsidR="007F4EBE" w:rsidRPr="007E7569">
        <w:t xml:space="preserve">quarter of </w:t>
      </w:r>
      <w:r w:rsidR="007E56D9" w:rsidRPr="007E7569">
        <w:t>2014.</w:t>
      </w:r>
    </w:p>
    <w:p w:rsidR="00EC017E" w:rsidRDefault="00443D9B" w:rsidP="00B36E77">
      <w:r w:rsidRPr="00241259">
        <w:t>W</w:t>
      </w:r>
      <w:r w:rsidR="00886A29" w:rsidRPr="00241259">
        <w:t xml:space="preserve">hile the outlook remains positive, </w:t>
      </w:r>
      <w:r w:rsidR="0050138A" w:rsidRPr="00241259">
        <w:t xml:space="preserve">the potential for a major financial crisis emanating from the euro area poses a </w:t>
      </w:r>
      <w:r w:rsidR="0050138A" w:rsidRPr="00773B6F">
        <w:t xml:space="preserve">significant downside risk for the </w:t>
      </w:r>
      <w:r w:rsidR="00886A29" w:rsidRPr="00773B6F">
        <w:t xml:space="preserve">domestic </w:t>
      </w:r>
      <w:r w:rsidR="0050138A" w:rsidRPr="00773B6F">
        <w:t>economy</w:t>
      </w:r>
      <w:r w:rsidR="00886A29" w:rsidRPr="00773B6F">
        <w:t xml:space="preserve"> and recent events </w:t>
      </w:r>
      <w:r w:rsidR="00241259" w:rsidRPr="00773B6F">
        <w:t xml:space="preserve">have </w:t>
      </w:r>
      <w:r w:rsidRPr="00773B6F">
        <w:t xml:space="preserve">done little to </w:t>
      </w:r>
      <w:r w:rsidR="00886A29" w:rsidRPr="00773B6F">
        <w:t>alleviate this risk</w:t>
      </w:r>
      <w:r w:rsidR="00612ED8" w:rsidRPr="00773B6F">
        <w:t xml:space="preserve">. </w:t>
      </w:r>
      <w:r w:rsidR="001D17A8" w:rsidRPr="00773B6F">
        <w:t>Australia’s trade is primarily with Asia</w:t>
      </w:r>
      <w:r w:rsidR="00B36E77" w:rsidRPr="00773B6F">
        <w:t>, h</w:t>
      </w:r>
      <w:r w:rsidR="001D17A8" w:rsidRPr="00773B6F">
        <w:t xml:space="preserve">owever, Australia has significant financial links with the weaker advanced world economies and negative events in the euro area and United States have been shown to pass rapidly through to </w:t>
      </w:r>
      <w:r w:rsidR="002D5CAD" w:rsidRPr="00773B6F">
        <w:t>financial asset prices and confidence in Australia</w:t>
      </w:r>
      <w:r w:rsidR="00612ED8" w:rsidRPr="00773B6F">
        <w:t xml:space="preserve">. </w:t>
      </w:r>
      <w:r w:rsidR="00EC017E" w:rsidRPr="00773B6F">
        <w:t>In addition, even Australian trade would not be expected to be immune from a sharp deterioration since the euro area itself is a major export market f</w:t>
      </w:r>
      <w:r w:rsidR="00B87D62" w:rsidRPr="00773B6F">
        <w:t>or the economies of our region</w:t>
      </w:r>
      <w:r w:rsidR="00612ED8" w:rsidRPr="00773B6F">
        <w:t xml:space="preserve">. </w:t>
      </w:r>
      <w:r w:rsidR="00EC017E" w:rsidRPr="00773B6F">
        <w:t xml:space="preserve">Commodity prices would be </w:t>
      </w:r>
      <w:r w:rsidR="002D5CAD" w:rsidRPr="00773B6F">
        <w:t xml:space="preserve">a </w:t>
      </w:r>
      <w:r w:rsidR="00EC017E" w:rsidRPr="00773B6F">
        <w:t>likely casualty of such a slowdown and the fall could be significant</w:t>
      </w:r>
      <w:r w:rsidR="00612ED8" w:rsidRPr="00773B6F">
        <w:t xml:space="preserve">. </w:t>
      </w:r>
      <w:r w:rsidR="00EC017E" w:rsidRPr="00773B6F">
        <w:t xml:space="preserve">For example, during the global financial crisis </w:t>
      </w:r>
      <w:r w:rsidR="002D5CAD" w:rsidRPr="00773B6F">
        <w:t xml:space="preserve">bulk </w:t>
      </w:r>
      <w:r w:rsidR="00EC017E" w:rsidRPr="00773B6F">
        <w:t xml:space="preserve">commodity prices fell </w:t>
      </w:r>
      <w:r w:rsidR="00EB1851" w:rsidRPr="00773B6F">
        <w:t>around 5</w:t>
      </w:r>
      <w:r w:rsidR="00EC017E" w:rsidRPr="00773B6F">
        <w:t xml:space="preserve">0 per cent </w:t>
      </w:r>
      <w:r w:rsidR="00EB1851" w:rsidRPr="00773B6F">
        <w:t>in Australia</w:t>
      </w:r>
      <w:r w:rsidR="00773B6F">
        <w:t>n</w:t>
      </w:r>
      <w:r w:rsidR="00EB1851" w:rsidRPr="00773B6F">
        <w:t xml:space="preserve"> dollar terms </w:t>
      </w:r>
      <w:r w:rsidR="00EC017E" w:rsidRPr="00773B6F">
        <w:t xml:space="preserve">over a </w:t>
      </w:r>
      <w:r w:rsidR="00241259" w:rsidRPr="00773B6F">
        <w:t xml:space="preserve">nine </w:t>
      </w:r>
      <w:r w:rsidR="00EC017E" w:rsidRPr="00773B6F">
        <w:t>month period.</w:t>
      </w:r>
    </w:p>
    <w:p w:rsidR="007C457B" w:rsidRPr="00241259" w:rsidRDefault="00443D9B" w:rsidP="00191D71">
      <w:r w:rsidRPr="00241259">
        <w:t xml:space="preserve">Domestically, the transition taking place in the economy </w:t>
      </w:r>
      <w:r w:rsidR="00F743D4" w:rsidRPr="00241259">
        <w:t xml:space="preserve">continues to </w:t>
      </w:r>
      <w:r w:rsidRPr="00241259">
        <w:t>pose a particular risk for the labour market</w:t>
      </w:r>
      <w:r w:rsidR="00F743D4" w:rsidRPr="00241259">
        <w:t xml:space="preserve">. </w:t>
      </w:r>
      <w:r w:rsidR="00F743D4">
        <w:t xml:space="preserve">There were further declines in employment in the manufacturing and construction industries in the </w:t>
      </w:r>
      <w:r w:rsidR="00241259">
        <w:t xml:space="preserve">three </w:t>
      </w:r>
      <w:r w:rsidR="00F743D4">
        <w:t>months to May, while employment growth in the retail sector was subdued</w:t>
      </w:r>
      <w:r w:rsidR="00612ED8">
        <w:t xml:space="preserve">. </w:t>
      </w:r>
      <w:r w:rsidR="00F743D4">
        <w:t xml:space="preserve">With </w:t>
      </w:r>
      <w:r w:rsidR="00A44111">
        <w:t>this transition</w:t>
      </w:r>
      <w:r w:rsidR="00F743D4">
        <w:t xml:space="preserve"> expected to continue, there remains an ongoing </w:t>
      </w:r>
      <w:r w:rsidRPr="00241259">
        <w:t>risk that employment growth in the rapidly expanding, but less labour</w:t>
      </w:r>
      <w:r w:rsidR="009D1564">
        <w:t xml:space="preserve"> </w:t>
      </w:r>
      <w:r w:rsidRPr="00241259">
        <w:t>intensive resources and resources</w:t>
      </w:r>
      <w:r w:rsidR="00B87D62">
        <w:noBreakHyphen/>
      </w:r>
      <w:r w:rsidRPr="00241259">
        <w:t>related sector</w:t>
      </w:r>
      <w:r w:rsidR="00B87D62">
        <w:t>s</w:t>
      </w:r>
      <w:r w:rsidRPr="00241259">
        <w:t xml:space="preserve"> </w:t>
      </w:r>
      <w:r w:rsidR="00A44111">
        <w:t>will</w:t>
      </w:r>
      <w:r w:rsidRPr="00241259">
        <w:t xml:space="preserve"> not be sufficient to offset the weakness in employment in other parts of the economy.</w:t>
      </w:r>
    </w:p>
    <w:p w:rsidR="00310025" w:rsidRPr="00241259" w:rsidRDefault="00310025">
      <w:pPr>
        <w:spacing w:after="0" w:line="240" w:lineRule="auto"/>
        <w:jc w:val="left"/>
      </w:pPr>
      <w:r w:rsidRPr="00241259">
        <w:br w:type="page"/>
      </w:r>
    </w:p>
    <w:p w:rsidR="00201ED5" w:rsidRDefault="009A79E9" w:rsidP="00DA5499">
      <w:pPr>
        <w:pStyle w:val="TableGraphic"/>
        <w:widowControl w:val="0"/>
        <w:spacing w:after="120"/>
        <w:rPr>
          <w:rFonts w:cs="Tahoma"/>
        </w:rPr>
      </w:pPr>
      <w:r w:rsidRPr="00691ADF">
        <w:rPr>
          <w:rFonts w:cs="Tahoma"/>
        </w:rPr>
        <w:lastRenderedPageBreak/>
        <w:t xml:space="preserve">Table </w:t>
      </w:r>
      <w:r w:rsidR="003178C5">
        <w:rPr>
          <w:rFonts w:cs="Tahoma"/>
        </w:rPr>
        <w:t>3</w:t>
      </w:r>
      <w:r w:rsidRPr="00691ADF">
        <w:rPr>
          <w:rFonts w:cs="Tahoma"/>
        </w:rPr>
        <w:t xml:space="preserve"> – Domestic economy forecasts</w:t>
      </w:r>
      <w:r w:rsidR="00C2799E" w:rsidRPr="00C2799E">
        <w:rPr>
          <w:rFonts w:cs="Tahoma"/>
          <w:vertAlign w:val="superscript"/>
        </w:rPr>
        <w:t>(a)</w:t>
      </w:r>
    </w:p>
    <w:p w:rsidR="00CF05B4" w:rsidRPr="00CF05B4" w:rsidRDefault="004355A5">
      <w:pPr>
        <w:pStyle w:val="ChartGraphic0"/>
      </w:pPr>
      <w:r>
        <w:pict>
          <v:shape id="_x0000_i1027" type="#_x0000_t75" style="width:454.1pt;height:459.85pt">
            <v:imagedata r:id="rId15" o:title=""/>
          </v:shape>
        </w:pict>
      </w:r>
    </w:p>
    <w:p w:rsidR="00DA5499" w:rsidRDefault="00DA5499" w:rsidP="00C2799E">
      <w:pPr>
        <w:pStyle w:val="ChartandTableFootnoteAlpha"/>
        <w:numPr>
          <w:ilvl w:val="0"/>
          <w:numId w:val="46"/>
        </w:numPr>
        <w:spacing w:line="240" w:lineRule="auto"/>
      </w:pPr>
      <w:r>
        <w:t>Percentage change on preceding year unless otherwise indicated.</w:t>
      </w:r>
    </w:p>
    <w:p w:rsidR="00DA5499" w:rsidRDefault="00DA5499" w:rsidP="00C2799E">
      <w:pPr>
        <w:pStyle w:val="ChartandTableFootnoteAlpha"/>
        <w:numPr>
          <w:ilvl w:val="0"/>
          <w:numId w:val="46"/>
        </w:numPr>
        <w:spacing w:line="240" w:lineRule="auto"/>
      </w:pPr>
      <w:r>
        <w:t>Calculated using original data unless otherwise indicated.</w:t>
      </w:r>
    </w:p>
    <w:p w:rsidR="00DA5499" w:rsidRDefault="00DA5499" w:rsidP="00C2799E">
      <w:pPr>
        <w:pStyle w:val="ChartandTableFootnoteAlpha"/>
        <w:numPr>
          <w:ilvl w:val="0"/>
          <w:numId w:val="46"/>
        </w:numPr>
        <w:spacing w:line="240" w:lineRule="auto"/>
      </w:pPr>
      <w:r>
        <w:t>Chain volume measures except for nominal gross domestic product which is in current prices.</w:t>
      </w:r>
    </w:p>
    <w:p w:rsidR="00DA5499" w:rsidRDefault="00DA5499" w:rsidP="00C2799E">
      <w:pPr>
        <w:pStyle w:val="ChartandTableFootnoteAlpha"/>
        <w:numPr>
          <w:ilvl w:val="0"/>
          <w:numId w:val="46"/>
        </w:numPr>
        <w:spacing w:line="240" w:lineRule="auto"/>
      </w:pPr>
      <w:r>
        <w:t>Excluding second</w:t>
      </w:r>
      <w:r>
        <w:noBreakHyphen/>
        <w:t>hand asset sales from the public sector to the private sector.</w:t>
      </w:r>
    </w:p>
    <w:p w:rsidR="00DA5499" w:rsidRDefault="00DA5499" w:rsidP="00C2799E">
      <w:pPr>
        <w:pStyle w:val="ChartandTableFootnoteAlpha"/>
        <w:numPr>
          <w:ilvl w:val="0"/>
          <w:numId w:val="46"/>
        </w:numPr>
        <w:spacing w:line="240" w:lineRule="auto"/>
      </w:pPr>
      <w:r>
        <w:t xml:space="preserve">Percentage point contribution to growth in GDP. </w:t>
      </w:r>
    </w:p>
    <w:p w:rsidR="00DA5499" w:rsidRDefault="00DA5499" w:rsidP="00C2799E">
      <w:pPr>
        <w:pStyle w:val="ChartandTableFootnoteAlpha"/>
        <w:numPr>
          <w:ilvl w:val="0"/>
          <w:numId w:val="46"/>
        </w:numPr>
        <w:spacing w:line="240" w:lineRule="auto"/>
      </w:pPr>
      <w:r>
        <w:t>Seasonally adjusted, through</w:t>
      </w:r>
      <w:r>
        <w:noBreakHyphen/>
        <w:t>the</w:t>
      </w:r>
      <w:r>
        <w:noBreakHyphen/>
        <w:t>year growth rate to the June quarter.</w:t>
      </w:r>
    </w:p>
    <w:p w:rsidR="00DA5499" w:rsidRDefault="00DA5499" w:rsidP="00C2799E">
      <w:pPr>
        <w:pStyle w:val="ChartandTableFootnoteAlpha"/>
        <w:numPr>
          <w:ilvl w:val="0"/>
          <w:numId w:val="46"/>
        </w:numPr>
        <w:spacing w:line="240" w:lineRule="auto"/>
      </w:pPr>
      <w:r>
        <w:t>Seasonally adjusted rate in the June quarter.</w:t>
      </w:r>
    </w:p>
    <w:p w:rsidR="00DA5499" w:rsidRDefault="00DA5499" w:rsidP="00C2799E">
      <w:pPr>
        <w:pStyle w:val="ChartandTableFootnoteAlpha"/>
        <w:numPr>
          <w:ilvl w:val="0"/>
          <w:numId w:val="46"/>
        </w:numPr>
        <w:spacing w:line="240" w:lineRule="auto"/>
      </w:pPr>
      <w:r>
        <w:t>Through</w:t>
      </w:r>
      <w:r>
        <w:noBreakHyphen/>
        <w:t>the</w:t>
      </w:r>
      <w:r>
        <w:noBreakHyphen/>
        <w:t>year growth rate to the June quarter.</w:t>
      </w:r>
    </w:p>
    <w:p w:rsidR="00DA5499" w:rsidRPr="003178C5" w:rsidRDefault="00DA5499" w:rsidP="00DA5499">
      <w:pPr>
        <w:pStyle w:val="ChartandTableFootnoteAlpha"/>
        <w:tabs>
          <w:tab w:val="clear" w:pos="283"/>
        </w:tabs>
        <w:spacing w:line="240" w:lineRule="auto"/>
        <w:ind w:left="0" w:firstLine="0"/>
      </w:pPr>
      <w:r w:rsidRPr="003178C5">
        <w:t>Note: The forecasts for the domestic economy are based on several technical assumptions. The exchange rate is assumed to remain around its recent average level — a trade</w:t>
      </w:r>
      <w:r w:rsidRPr="003178C5">
        <w:noBreakHyphen/>
        <w:t xml:space="preserve">weighted index of around </w:t>
      </w:r>
      <w:r w:rsidR="00571A68" w:rsidRPr="003178C5">
        <w:t>7</w:t>
      </w:r>
      <w:r w:rsidR="003178C5" w:rsidRPr="003178C5">
        <w:t>4</w:t>
      </w:r>
      <w:r w:rsidR="00571A68" w:rsidRPr="003178C5">
        <w:t xml:space="preserve"> </w:t>
      </w:r>
      <w:r w:rsidRPr="003178C5">
        <w:t xml:space="preserve">and a $US exchange rate of around </w:t>
      </w:r>
      <w:r w:rsidR="003178C5" w:rsidRPr="003178C5">
        <w:t>98</w:t>
      </w:r>
      <w:r w:rsidR="00571A68" w:rsidRPr="003178C5">
        <w:t xml:space="preserve"> </w:t>
      </w:r>
      <w:r w:rsidRPr="003178C5">
        <w:t>US cents. Interest rates are assumed to move broadly in line with market expectations. World oil prices (Malaysian Tapis) a</w:t>
      </w:r>
      <w:r w:rsidR="00D07A2A" w:rsidRPr="003178C5">
        <w:t>re assumed to remain around US$</w:t>
      </w:r>
      <w:r w:rsidR="00571A68" w:rsidRPr="003178C5">
        <w:t>1</w:t>
      </w:r>
      <w:r w:rsidR="003178C5" w:rsidRPr="003178C5">
        <w:t>08</w:t>
      </w:r>
      <w:r w:rsidR="00571A68" w:rsidRPr="003178C5">
        <w:t xml:space="preserve"> </w:t>
      </w:r>
      <w:r w:rsidRPr="003178C5">
        <w:t>per barrel. The farm sector forecasts are based on average seasonal conditions in 2012</w:t>
      </w:r>
      <w:r w:rsidRPr="003178C5">
        <w:noBreakHyphen/>
        <w:t>13</w:t>
      </w:r>
      <w:r w:rsidR="00D07A2A" w:rsidRPr="003178C5">
        <w:t xml:space="preserve"> and 2013-14</w:t>
      </w:r>
      <w:r w:rsidRPr="003178C5">
        <w:t>.</w:t>
      </w:r>
    </w:p>
    <w:p w:rsidR="00D11D57" w:rsidRDefault="0077297F" w:rsidP="00DA5499">
      <w:pPr>
        <w:pStyle w:val="Source"/>
        <w:rPr>
          <w:rFonts w:cs="Arial"/>
        </w:rPr>
      </w:pPr>
      <w:r w:rsidRPr="003178C5">
        <w:rPr>
          <w:rFonts w:cs="Arial"/>
        </w:rPr>
        <w:t>Source: ABS</w:t>
      </w:r>
      <w:r w:rsidR="00DA5499" w:rsidRPr="003178C5">
        <w:rPr>
          <w:rFonts w:cs="Arial"/>
        </w:rPr>
        <w:t xml:space="preserve"> </w:t>
      </w:r>
      <w:r w:rsidR="00D07A2A" w:rsidRPr="003178C5">
        <w:rPr>
          <w:rFonts w:cs="Arial"/>
        </w:rPr>
        <w:t>cat. no.</w:t>
      </w:r>
      <w:r w:rsidR="00DA5499" w:rsidRPr="003178C5">
        <w:rPr>
          <w:rFonts w:cs="Arial"/>
        </w:rPr>
        <w:t xml:space="preserve"> 5206.0, 5302.0, 6202.0, 6345.0, 6401.0, unpublished ABS data and Treasury.</w:t>
      </w:r>
    </w:p>
    <w:p w:rsidR="0077297F" w:rsidRPr="005257C1" w:rsidRDefault="0077297F" w:rsidP="00DA5499">
      <w:pPr>
        <w:pStyle w:val="Source"/>
        <w:sectPr w:rsidR="0077297F" w:rsidRPr="005257C1" w:rsidSect="0013229B">
          <w:headerReference w:type="even" r:id="rId16"/>
          <w:headerReference w:type="default" r:id="rId17"/>
          <w:footerReference w:type="default" r:id="rId18"/>
          <w:pgSz w:w="11907" w:h="16840" w:code="9"/>
          <w:pgMar w:top="1418" w:right="1418" w:bottom="1418" w:left="1418" w:header="567" w:footer="567" w:gutter="0"/>
          <w:cols w:space="720"/>
        </w:sectPr>
      </w:pPr>
    </w:p>
    <w:bookmarkEnd w:id="4"/>
    <w:bookmarkEnd w:id="5"/>
    <w:p w:rsidR="00D929A9" w:rsidRDefault="00D929A9" w:rsidP="00D929A9">
      <w:r>
        <w:rPr>
          <w:b/>
          <w:bCs/>
          <w:sz w:val="26"/>
          <w:szCs w:val="26"/>
        </w:rPr>
        <w:lastRenderedPageBreak/>
        <w:t>A</w:t>
      </w:r>
      <w:r>
        <w:rPr>
          <w:b/>
          <w:bCs/>
          <w:sz w:val="21"/>
          <w:szCs w:val="21"/>
        </w:rPr>
        <w:t xml:space="preserve">TTACHMENT </w:t>
      </w:r>
      <w:r>
        <w:rPr>
          <w:b/>
          <w:bCs/>
          <w:sz w:val="26"/>
          <w:szCs w:val="26"/>
        </w:rPr>
        <w:t>A: F</w:t>
      </w:r>
      <w:r>
        <w:rPr>
          <w:b/>
          <w:bCs/>
          <w:sz w:val="21"/>
          <w:szCs w:val="21"/>
        </w:rPr>
        <w:t xml:space="preserve">ORECAST </w:t>
      </w:r>
      <w:r>
        <w:rPr>
          <w:b/>
          <w:bCs/>
          <w:sz w:val="26"/>
          <w:szCs w:val="26"/>
        </w:rPr>
        <w:t>G</w:t>
      </w:r>
      <w:r>
        <w:rPr>
          <w:b/>
          <w:bCs/>
          <w:sz w:val="21"/>
          <w:szCs w:val="21"/>
        </w:rPr>
        <w:t xml:space="preserve">ROWTH IN </w:t>
      </w:r>
      <w:r>
        <w:rPr>
          <w:b/>
          <w:bCs/>
          <w:sz w:val="26"/>
          <w:szCs w:val="26"/>
        </w:rPr>
        <w:t>N</w:t>
      </w:r>
      <w:r>
        <w:rPr>
          <w:b/>
          <w:bCs/>
          <w:sz w:val="21"/>
          <w:szCs w:val="21"/>
        </w:rPr>
        <w:t xml:space="preserve">OMINAL </w:t>
      </w:r>
      <w:r>
        <w:rPr>
          <w:b/>
          <w:bCs/>
          <w:sz w:val="26"/>
          <w:szCs w:val="26"/>
        </w:rPr>
        <w:t>GDP</w:t>
      </w:r>
    </w:p>
    <w:p w:rsidR="00D929A9" w:rsidRDefault="00D929A9" w:rsidP="00D929A9">
      <w:r>
        <w:t>Nominal GDP is forecast to grow 4¾ per cent in 2011-12 and 2012-13 and 5 per cent in 2013-14. These forecasts are weaker than Budget due to softer domestic price growth, particularly for consumption goods and services, and the impact of historical revisions to the terms of trade (due to an ABS methodological change to how coal export prices are seasonally adjusted). The forecast for nominal GDP growth in 2011-12 is ¾ of a percentage point lower than Budget, with the weaker terms of trade and domestic prices partly offset by higher forecast growth in real GDP</w:t>
      </w:r>
      <w:r w:rsidR="00612ED8">
        <w:t xml:space="preserve">. </w:t>
      </w:r>
      <w:r>
        <w:t>The forecast for</w:t>
      </w:r>
      <w:r w:rsidR="00C53FCF">
        <w:t xml:space="preserve"> nominal GDP</w:t>
      </w:r>
      <w:r>
        <w:t xml:space="preserve"> growth in 2012-13 is ¼ of a percentage point lower than Budget driven by softer domestic price growth. Forecast growth in 2013-14 is ¼ of a percentage point lower due to a slightly larger fall in the terms of trade.</w:t>
      </w:r>
    </w:p>
    <w:p w:rsidR="00F1068E" w:rsidRDefault="00F1068E" w:rsidP="00D929A9">
      <w:r w:rsidRPr="00F1068E">
        <w:t>Abstracting from the 2011-12 base (given the government has received 11 months of finalised taxation collections in 2011-12), the forecast level of nominal GDP is lower by $5.1 billion in 2012-13 and $5.4</w:t>
      </w:r>
      <w:r w:rsidR="00612ED8">
        <w:t> </w:t>
      </w:r>
      <w:r w:rsidRPr="00F1068E">
        <w:t>billion in 2013-14</w:t>
      </w:r>
      <w:r w:rsidR="00612ED8">
        <w:t xml:space="preserve">. </w:t>
      </w:r>
      <w:r w:rsidRPr="00F1068E">
        <w:t xml:space="preserve">Again abstracting from base effects, the forecast level of GDP at factor cost (which is closer to the tax base for revenue forecasting purposes) is lower by $2.0 billion in 2012-13 and $3.5 billion in 2013-14. </w:t>
      </w:r>
    </w:p>
    <w:p w:rsidR="00D929A9" w:rsidRDefault="00D929A9" w:rsidP="00D929A9">
      <w:r>
        <w:t xml:space="preserve">Total </w:t>
      </w:r>
      <w:r w:rsidRPr="00E70099">
        <w:t>corporate gross operating surplus (GOS) is expected t</w:t>
      </w:r>
      <w:r w:rsidR="0084650B" w:rsidRPr="00E70099">
        <w:t>o grow 2¾ per cent in 2011-12, 3¾</w:t>
      </w:r>
      <w:r w:rsidRPr="00E70099">
        <w:t xml:space="preserve"> per cent</w:t>
      </w:r>
      <w:r w:rsidR="0084650B" w:rsidRPr="00E70099">
        <w:t xml:space="preserve"> in 2012-13 and 5½ </w:t>
      </w:r>
      <w:r w:rsidRPr="00E70099">
        <w:t>per cent in</w:t>
      </w:r>
      <w:r>
        <w:t xml:space="preserve"> 2013-14. Forecast growth in GOS for 2011-12 has been revised down since Budget due to weakness in the March quarter National Accounts outcome and </w:t>
      </w:r>
      <w:r w:rsidR="001D31A1">
        <w:br/>
      </w:r>
      <w:r>
        <w:t xml:space="preserve">weaker-than-expected growth in mining sector profits due to the lower terms of trade. Forecast GOS growth in 2012-13 is ¼ of a percentage point weaker than Budget forecasts while growth in 2013-14 has been revised upwards by ¾ of a percentage point. However, </w:t>
      </w:r>
      <w:r w:rsidR="009D1564">
        <w:t xml:space="preserve">compared with 2011-12, the level of </w:t>
      </w:r>
      <w:r>
        <w:t xml:space="preserve">GOS </w:t>
      </w:r>
      <w:r w:rsidR="009D1564">
        <w:t xml:space="preserve">is expected to be </w:t>
      </w:r>
      <w:r w:rsidRPr="00191D71">
        <w:t>around $</w:t>
      </w:r>
      <w:r w:rsidR="00191D71" w:rsidRPr="00191D71">
        <w:t>1.9</w:t>
      </w:r>
      <w:r w:rsidRPr="00191D71">
        <w:t> billion lower</w:t>
      </w:r>
      <w:r>
        <w:t xml:space="preserve"> </w:t>
      </w:r>
      <w:r w:rsidR="009D1564">
        <w:t xml:space="preserve">in 2013-14 </w:t>
      </w:r>
      <w:r>
        <w:t xml:space="preserve">than </w:t>
      </w:r>
      <w:r w:rsidR="009D1564">
        <w:t xml:space="preserve">anticipated </w:t>
      </w:r>
      <w:r>
        <w:t>at Budget.</w:t>
      </w:r>
    </w:p>
    <w:p w:rsidR="00D929A9" w:rsidRDefault="00D929A9" w:rsidP="00D929A9">
      <w:r>
        <w:t xml:space="preserve">Compensation of employees is forecast to grow 7¼ per cent in 2011-12, 5½ per cent in </w:t>
      </w:r>
      <w:r>
        <w:br/>
        <w:t xml:space="preserve">2012-13 and 4¾ per cent in 2013-14. </w:t>
      </w:r>
      <w:r w:rsidRPr="00E70099">
        <w:t>This growth is ¾ and ½ of a percentage point higher in 2011-12 and 2012-13 reflecting stronger</w:t>
      </w:r>
      <w:r w:rsidR="00151E29" w:rsidRPr="00E70099">
        <w:t>-</w:t>
      </w:r>
      <w:r w:rsidRPr="00E70099">
        <w:t>than</w:t>
      </w:r>
      <w:r w:rsidR="00151E29" w:rsidRPr="00E70099">
        <w:t>-</w:t>
      </w:r>
      <w:r w:rsidRPr="00E70099">
        <w:t xml:space="preserve">expected employment growth over recent months and the strong March quarter National Accounts outcome. Forecast growth in 2013-14 has been revised down </w:t>
      </w:r>
      <w:r w:rsidR="001D31A1" w:rsidRPr="00E70099">
        <w:br/>
      </w:r>
      <w:r w:rsidRPr="00E70099">
        <w:t xml:space="preserve">½ of a percentage point reflecting softer </w:t>
      </w:r>
      <w:r w:rsidR="00151E29" w:rsidRPr="00E70099">
        <w:t xml:space="preserve">forecast </w:t>
      </w:r>
      <w:r w:rsidRPr="00E70099">
        <w:t>wage growth combined with slower</w:t>
      </w:r>
      <w:r w:rsidR="00151E29" w:rsidRPr="00E70099">
        <w:t xml:space="preserve"> forecast</w:t>
      </w:r>
      <w:r w:rsidRPr="00E70099">
        <w:t xml:space="preserve"> employment growth.</w:t>
      </w:r>
    </w:p>
    <w:p w:rsidR="00D929A9" w:rsidRDefault="00D929A9" w:rsidP="00D929A9">
      <w:r>
        <w:t xml:space="preserve">Gross mixed </w:t>
      </w:r>
      <w:r w:rsidRPr="00E70099">
        <w:t>income which includes the wages and profits of farm and other unincorporated enterprises, is forecast to experience flat growth in 2011-12 and 2012-13 before growing by 3¼ per cent in 2013-14. These growth forecasts represent a downgrade to Budget estimates across all forecast years due to extended weakness in profit growth for non-farm enterprises and a lower expected level o</w:t>
      </w:r>
      <w:r w:rsidR="001D31A1" w:rsidRPr="00E70099">
        <w:t>f farm profits in 2012-13 and 2013</w:t>
      </w:r>
      <w:r w:rsidRPr="00E70099">
        <w:t xml:space="preserve">-14 arising from </w:t>
      </w:r>
      <w:r w:rsidR="00151E29" w:rsidRPr="00E70099">
        <w:t xml:space="preserve">expected </w:t>
      </w:r>
      <w:r w:rsidRPr="00E70099">
        <w:t>lower world</w:t>
      </w:r>
      <w:r>
        <w:t xml:space="preserve"> agricultural prices.</w:t>
      </w:r>
    </w:p>
    <w:p w:rsidR="00F355E8" w:rsidRPr="005D232E" w:rsidRDefault="00F355E8" w:rsidP="009246E0">
      <w:pPr>
        <w:pStyle w:val="Heading3"/>
      </w:pPr>
    </w:p>
    <w:sectPr w:rsidR="00F355E8" w:rsidRPr="005D232E" w:rsidSect="00D929A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F8" w:rsidRDefault="004E04F8">
      <w:r>
        <w:separator/>
      </w:r>
    </w:p>
  </w:endnote>
  <w:endnote w:type="continuationSeparator" w:id="0">
    <w:p w:rsidR="004E04F8" w:rsidRDefault="004E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F8" w:rsidRDefault="004E04F8"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04F8" w:rsidRDefault="004E04F8" w:rsidP="0060744E">
    <w:pPr>
      <w:pStyle w:val="Footer"/>
      <w:ind w:right="360" w:firstLine="360"/>
      <w:jc w:val="center"/>
    </w:pPr>
    <w:r>
      <w:t>PROTECTED</w:t>
    </w:r>
    <w:r>
      <w:fldChar w:fldCharType="begin"/>
    </w:r>
    <w:r>
      <w:instrText xml:space="preserve"> COMMENTS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F8" w:rsidRDefault="004E04F8"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04F8" w:rsidRPr="00704E0D" w:rsidRDefault="004E04F8" w:rsidP="00704E0D">
    <w:pPr>
      <w:pStyle w:val="Classification"/>
    </w:pPr>
    <w:r w:rsidRPr="00704E0D">
      <w:t>PROTECTED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F8" w:rsidRDefault="004E04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55A5">
      <w:rPr>
        <w:rStyle w:val="PageNumber"/>
        <w:noProof/>
      </w:rPr>
      <w:t>2</w:t>
    </w:r>
    <w:r>
      <w:rPr>
        <w:rStyle w:val="PageNumber"/>
      </w:rPr>
      <w:fldChar w:fldCharType="end"/>
    </w:r>
  </w:p>
  <w:p w:rsidR="004E04F8" w:rsidRDefault="004E04F8">
    <w:pPr>
      <w:pStyle w:val="Footer"/>
      <w:ind w:right="360"/>
      <w:jc w:val="right"/>
    </w:pPr>
    <w:r>
      <w:fldChar w:fldCharType="begin"/>
    </w:r>
    <w:r>
      <w:instrText xml:space="preserve"> COMMENTS  \* MERGEFORMAT </w:instrText>
    </w:r>
    <w:r>
      <w:fldChar w:fldCharType="end"/>
    </w:r>
  </w:p>
  <w:p w:rsidR="004E04F8" w:rsidRDefault="004E04F8"/>
  <w:p w:rsidR="004E04F8" w:rsidRDefault="004E04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F8" w:rsidRDefault="004E04F8">
      <w:pPr>
        <w:pStyle w:val="TableBodyText"/>
        <w:spacing w:before="120" w:after="120"/>
      </w:pPr>
      <w:r>
        <w:separator/>
      </w:r>
    </w:p>
  </w:footnote>
  <w:footnote w:type="continuationSeparator" w:id="0">
    <w:p w:rsidR="004E04F8" w:rsidRDefault="004E0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F8" w:rsidRPr="00704E0D" w:rsidRDefault="004E04F8" w:rsidP="00704E0D">
    <w:pPr>
      <w:pStyle w:val="StatementContentsHeading"/>
      <w:rPr>
        <w:sz w:val="20"/>
        <w:szCs w:val="20"/>
      </w:rPr>
    </w:pPr>
    <w:r w:rsidRPr="00704E0D">
      <w:rPr>
        <w:sz w:val="20"/>
        <w:szCs w:val="20"/>
      </w:rPr>
      <w:t xml:space="preserve">PROTECTED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F8" w:rsidRDefault="004E04F8" w:rsidP="003F6407">
    <w:pPr>
      <w:pStyle w:val="Header"/>
      <w:jc w:val="center"/>
    </w:pPr>
    <w:r>
      <w:rPr>
        <w:rStyle w:val="FramedHeader"/>
      </w:rPr>
      <w:t>PROTECTED</w:t>
    </w:r>
  </w:p>
  <w:p w:rsidR="004E04F8" w:rsidRDefault="004E04F8"/>
  <w:p w:rsidR="004E04F8" w:rsidRDefault="004E04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F8" w:rsidRDefault="004E04F8"/>
  <w:p w:rsidR="004E04F8" w:rsidRDefault="004E04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82E3003"/>
    <w:multiLevelType w:val="multilevel"/>
    <w:tmpl w:val="6C9CFC8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1">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2">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B2E19AC"/>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5">
    <w:nsid w:val="3B8B757B"/>
    <w:multiLevelType w:val="singleLevel"/>
    <w:tmpl w:val="3D8230E8"/>
    <w:lvl w:ilvl="0">
      <w:start w:val="2"/>
      <w:numFmt w:val="decimal"/>
      <w:lvlText w:val="%1."/>
      <w:lvlJc w:val="left"/>
      <w:pPr>
        <w:tabs>
          <w:tab w:val="num" w:pos="567"/>
        </w:tabs>
        <w:ind w:left="0" w:firstLine="0"/>
      </w:pPr>
    </w:lvl>
  </w:abstractNum>
  <w:abstractNum w:abstractNumId="26">
    <w:nsid w:val="3CF65E56"/>
    <w:multiLevelType w:val="multilevel"/>
    <w:tmpl w:val="736EC11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30">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1">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2">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3">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E8E299C"/>
    <w:multiLevelType w:val="multilevel"/>
    <w:tmpl w:val="9FCE46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8">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9">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4">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5"/>
  </w:num>
  <w:num w:numId="2">
    <w:abstractNumId w:val="30"/>
  </w:num>
  <w:num w:numId="3">
    <w:abstractNumId w:val="20"/>
  </w:num>
  <w:num w:numId="4">
    <w:abstractNumId w:val="44"/>
  </w:num>
  <w:num w:numId="5">
    <w:abstractNumId w:val="11"/>
  </w:num>
  <w:num w:numId="6">
    <w:abstractNumId w:val="15"/>
  </w:num>
  <w:num w:numId="7">
    <w:abstractNumId w:val="19"/>
  </w:num>
  <w:num w:numId="8">
    <w:abstractNumId w:val="37"/>
  </w:num>
  <w:num w:numId="9">
    <w:abstractNumId w:val="40"/>
  </w:num>
  <w:num w:numId="10">
    <w:abstractNumId w:val="16"/>
  </w:num>
  <w:num w:numId="11">
    <w:abstractNumId w:val="36"/>
  </w:num>
  <w:num w:numId="12">
    <w:abstractNumId w:val="21"/>
  </w:num>
  <w:num w:numId="13">
    <w:abstractNumId w:val="43"/>
  </w:num>
  <w:num w:numId="14">
    <w:abstractNumId w:val="13"/>
  </w:num>
  <w:num w:numId="15">
    <w:abstractNumId w:val="1"/>
  </w:num>
  <w:num w:numId="16">
    <w:abstractNumId w:val="7"/>
  </w:num>
  <w:num w:numId="17">
    <w:abstractNumId w:val="33"/>
  </w:num>
  <w:num w:numId="18">
    <w:abstractNumId w:val="4"/>
  </w:num>
  <w:num w:numId="19">
    <w:abstractNumId w:val="28"/>
  </w:num>
  <w:num w:numId="20">
    <w:abstractNumId w:val="2"/>
  </w:num>
  <w:num w:numId="21">
    <w:abstractNumId w:val="6"/>
  </w:num>
  <w:num w:numId="22">
    <w:abstractNumId w:val="8"/>
  </w:num>
  <w:num w:numId="23">
    <w:abstractNumId w:val="23"/>
  </w:num>
  <w:num w:numId="24">
    <w:abstractNumId w:val="45"/>
  </w:num>
  <w:num w:numId="25">
    <w:abstractNumId w:val="17"/>
  </w:num>
  <w:num w:numId="26">
    <w:abstractNumId w:val="41"/>
  </w:num>
  <w:num w:numId="27">
    <w:abstractNumId w:val="3"/>
  </w:num>
  <w:num w:numId="28">
    <w:abstractNumId w:val="22"/>
  </w:num>
  <w:num w:numId="29">
    <w:abstractNumId w:val="18"/>
  </w:num>
  <w:num w:numId="30">
    <w:abstractNumId w:val="27"/>
  </w:num>
  <w:num w:numId="31">
    <w:abstractNumId w:val="42"/>
  </w:num>
  <w:num w:numId="32">
    <w:abstractNumId w:val="10"/>
  </w:num>
  <w:num w:numId="33">
    <w:abstractNumId w:val="32"/>
  </w:num>
  <w:num w:numId="34">
    <w:abstractNumId w:val="9"/>
  </w:num>
  <w:num w:numId="35">
    <w:abstractNumId w:val="5"/>
  </w:num>
  <w:num w:numId="36">
    <w:abstractNumId w:val="0"/>
  </w:num>
  <w:num w:numId="37">
    <w:abstractNumId w:val="12"/>
  </w:num>
  <w:num w:numId="38">
    <w:abstractNumId w:val="39"/>
  </w:num>
  <w:num w:numId="39">
    <w:abstractNumId w:val="38"/>
  </w:num>
  <w:num w:numId="40">
    <w:abstractNumId w:val="31"/>
  </w:num>
  <w:num w:numId="41">
    <w:abstractNumId w:val="25"/>
  </w:num>
  <w:num w:numId="42">
    <w:abstractNumId w:val="14"/>
  </w:num>
  <w:num w:numId="43">
    <w:abstractNumId w:val="26"/>
  </w:num>
  <w:num w:numId="4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98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7E9"/>
    <w:rsid w:val="00000E3B"/>
    <w:rsid w:val="00000F89"/>
    <w:rsid w:val="0000168C"/>
    <w:rsid w:val="00001847"/>
    <w:rsid w:val="00001ECA"/>
    <w:rsid w:val="00001ED7"/>
    <w:rsid w:val="00001F20"/>
    <w:rsid w:val="000024DE"/>
    <w:rsid w:val="00002B6E"/>
    <w:rsid w:val="000032D9"/>
    <w:rsid w:val="0000336A"/>
    <w:rsid w:val="00003654"/>
    <w:rsid w:val="0000396B"/>
    <w:rsid w:val="00003AB4"/>
    <w:rsid w:val="00003D87"/>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38"/>
    <w:rsid w:val="0000744F"/>
    <w:rsid w:val="00007475"/>
    <w:rsid w:val="0000776A"/>
    <w:rsid w:val="00007813"/>
    <w:rsid w:val="0000785F"/>
    <w:rsid w:val="00007DA9"/>
    <w:rsid w:val="0001006B"/>
    <w:rsid w:val="00010FD8"/>
    <w:rsid w:val="00011C71"/>
    <w:rsid w:val="00012704"/>
    <w:rsid w:val="00012A49"/>
    <w:rsid w:val="00012B6C"/>
    <w:rsid w:val="00012B77"/>
    <w:rsid w:val="00012D40"/>
    <w:rsid w:val="00013369"/>
    <w:rsid w:val="000133E2"/>
    <w:rsid w:val="000144FD"/>
    <w:rsid w:val="0001469E"/>
    <w:rsid w:val="00014D9D"/>
    <w:rsid w:val="00014F14"/>
    <w:rsid w:val="00015306"/>
    <w:rsid w:val="000154D0"/>
    <w:rsid w:val="0001590F"/>
    <w:rsid w:val="00015E50"/>
    <w:rsid w:val="000164DE"/>
    <w:rsid w:val="00016578"/>
    <w:rsid w:val="0001662D"/>
    <w:rsid w:val="00016694"/>
    <w:rsid w:val="00016799"/>
    <w:rsid w:val="000168A0"/>
    <w:rsid w:val="00017156"/>
    <w:rsid w:val="0001742B"/>
    <w:rsid w:val="000179D9"/>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50E5"/>
    <w:rsid w:val="00025281"/>
    <w:rsid w:val="000258BF"/>
    <w:rsid w:val="000258CC"/>
    <w:rsid w:val="00025946"/>
    <w:rsid w:val="00025AF2"/>
    <w:rsid w:val="00026305"/>
    <w:rsid w:val="0002670C"/>
    <w:rsid w:val="000268F1"/>
    <w:rsid w:val="00026F4A"/>
    <w:rsid w:val="00027E91"/>
    <w:rsid w:val="0003024F"/>
    <w:rsid w:val="00030895"/>
    <w:rsid w:val="00030A75"/>
    <w:rsid w:val="00030FEC"/>
    <w:rsid w:val="000312DD"/>
    <w:rsid w:val="000313E0"/>
    <w:rsid w:val="00031628"/>
    <w:rsid w:val="00031965"/>
    <w:rsid w:val="00031BB7"/>
    <w:rsid w:val="00031BF9"/>
    <w:rsid w:val="00032191"/>
    <w:rsid w:val="00032A80"/>
    <w:rsid w:val="000337DC"/>
    <w:rsid w:val="000339CA"/>
    <w:rsid w:val="00033B05"/>
    <w:rsid w:val="00033D2A"/>
    <w:rsid w:val="00033DDD"/>
    <w:rsid w:val="0003423D"/>
    <w:rsid w:val="00034450"/>
    <w:rsid w:val="00034755"/>
    <w:rsid w:val="00034B13"/>
    <w:rsid w:val="00034D5E"/>
    <w:rsid w:val="000353BA"/>
    <w:rsid w:val="00035C48"/>
    <w:rsid w:val="00035D8E"/>
    <w:rsid w:val="00035EA0"/>
    <w:rsid w:val="00035F2D"/>
    <w:rsid w:val="00035F8B"/>
    <w:rsid w:val="00035FCB"/>
    <w:rsid w:val="000360C1"/>
    <w:rsid w:val="000364AD"/>
    <w:rsid w:val="0003672D"/>
    <w:rsid w:val="00036879"/>
    <w:rsid w:val="00036EEC"/>
    <w:rsid w:val="000373FA"/>
    <w:rsid w:val="0003768F"/>
    <w:rsid w:val="0003784F"/>
    <w:rsid w:val="00037DDD"/>
    <w:rsid w:val="000401BC"/>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533"/>
    <w:rsid w:val="0004566C"/>
    <w:rsid w:val="000458F6"/>
    <w:rsid w:val="00045976"/>
    <w:rsid w:val="000459F5"/>
    <w:rsid w:val="00046D2C"/>
    <w:rsid w:val="00047449"/>
    <w:rsid w:val="00047EB7"/>
    <w:rsid w:val="00047F8E"/>
    <w:rsid w:val="0005012C"/>
    <w:rsid w:val="000501BB"/>
    <w:rsid w:val="000501DE"/>
    <w:rsid w:val="00050FB5"/>
    <w:rsid w:val="0005100D"/>
    <w:rsid w:val="000510A0"/>
    <w:rsid w:val="00051203"/>
    <w:rsid w:val="000516B9"/>
    <w:rsid w:val="00051A70"/>
    <w:rsid w:val="00052210"/>
    <w:rsid w:val="000523D3"/>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748"/>
    <w:rsid w:val="00064AB4"/>
    <w:rsid w:val="00065168"/>
    <w:rsid w:val="000656FF"/>
    <w:rsid w:val="000657E9"/>
    <w:rsid w:val="00065811"/>
    <w:rsid w:val="00065CCB"/>
    <w:rsid w:val="00065D28"/>
    <w:rsid w:val="000660EC"/>
    <w:rsid w:val="000664B6"/>
    <w:rsid w:val="00066565"/>
    <w:rsid w:val="00066F39"/>
    <w:rsid w:val="00066F40"/>
    <w:rsid w:val="00067383"/>
    <w:rsid w:val="000679BF"/>
    <w:rsid w:val="00067CA6"/>
    <w:rsid w:val="00070767"/>
    <w:rsid w:val="000707BB"/>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C7"/>
    <w:rsid w:val="00083DC9"/>
    <w:rsid w:val="00083EB5"/>
    <w:rsid w:val="00083EC2"/>
    <w:rsid w:val="00084887"/>
    <w:rsid w:val="00084AA3"/>
    <w:rsid w:val="00085741"/>
    <w:rsid w:val="00085D16"/>
    <w:rsid w:val="00085FEA"/>
    <w:rsid w:val="00086191"/>
    <w:rsid w:val="0008641A"/>
    <w:rsid w:val="000868D7"/>
    <w:rsid w:val="00086BDC"/>
    <w:rsid w:val="00086D25"/>
    <w:rsid w:val="00086D69"/>
    <w:rsid w:val="00087675"/>
    <w:rsid w:val="00090E63"/>
    <w:rsid w:val="00090F1C"/>
    <w:rsid w:val="0009108E"/>
    <w:rsid w:val="000911BE"/>
    <w:rsid w:val="000912DF"/>
    <w:rsid w:val="0009171F"/>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7A8"/>
    <w:rsid w:val="00096846"/>
    <w:rsid w:val="00096D8E"/>
    <w:rsid w:val="0009720F"/>
    <w:rsid w:val="00097478"/>
    <w:rsid w:val="0009771A"/>
    <w:rsid w:val="00097B8F"/>
    <w:rsid w:val="00097EE8"/>
    <w:rsid w:val="000A00EB"/>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E00"/>
    <w:rsid w:val="000A5F56"/>
    <w:rsid w:val="000A620D"/>
    <w:rsid w:val="000A6C7C"/>
    <w:rsid w:val="000A6E3C"/>
    <w:rsid w:val="000A7696"/>
    <w:rsid w:val="000A77F9"/>
    <w:rsid w:val="000A79FB"/>
    <w:rsid w:val="000B00A1"/>
    <w:rsid w:val="000B1226"/>
    <w:rsid w:val="000B1CCF"/>
    <w:rsid w:val="000B1DBB"/>
    <w:rsid w:val="000B1DEF"/>
    <w:rsid w:val="000B1FEF"/>
    <w:rsid w:val="000B2079"/>
    <w:rsid w:val="000B2636"/>
    <w:rsid w:val="000B2788"/>
    <w:rsid w:val="000B286A"/>
    <w:rsid w:val="000B2CCF"/>
    <w:rsid w:val="000B3011"/>
    <w:rsid w:val="000B3C04"/>
    <w:rsid w:val="000B3ED5"/>
    <w:rsid w:val="000B413C"/>
    <w:rsid w:val="000B4418"/>
    <w:rsid w:val="000B4B20"/>
    <w:rsid w:val="000B5084"/>
    <w:rsid w:val="000B5C5B"/>
    <w:rsid w:val="000B5ED5"/>
    <w:rsid w:val="000B62E0"/>
    <w:rsid w:val="000B65B3"/>
    <w:rsid w:val="000B679B"/>
    <w:rsid w:val="000B67AB"/>
    <w:rsid w:val="000B6D16"/>
    <w:rsid w:val="000B6E9D"/>
    <w:rsid w:val="000B74B0"/>
    <w:rsid w:val="000B7ADD"/>
    <w:rsid w:val="000C05BC"/>
    <w:rsid w:val="000C0C48"/>
    <w:rsid w:val="000C13C7"/>
    <w:rsid w:val="000C191E"/>
    <w:rsid w:val="000C1AF1"/>
    <w:rsid w:val="000C1EE1"/>
    <w:rsid w:val="000C212D"/>
    <w:rsid w:val="000C2181"/>
    <w:rsid w:val="000C218E"/>
    <w:rsid w:val="000C29AB"/>
    <w:rsid w:val="000C2E96"/>
    <w:rsid w:val="000C3083"/>
    <w:rsid w:val="000C30AE"/>
    <w:rsid w:val="000C3B3D"/>
    <w:rsid w:val="000C3CCF"/>
    <w:rsid w:val="000C3E1D"/>
    <w:rsid w:val="000C3F0A"/>
    <w:rsid w:val="000C487A"/>
    <w:rsid w:val="000C4B88"/>
    <w:rsid w:val="000C4E37"/>
    <w:rsid w:val="000C4FF9"/>
    <w:rsid w:val="000C5211"/>
    <w:rsid w:val="000C54DC"/>
    <w:rsid w:val="000C596E"/>
    <w:rsid w:val="000C5A7B"/>
    <w:rsid w:val="000C61DD"/>
    <w:rsid w:val="000C6596"/>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6F30"/>
    <w:rsid w:val="000D73E5"/>
    <w:rsid w:val="000D79EB"/>
    <w:rsid w:val="000D7D91"/>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E1A"/>
    <w:rsid w:val="000E6EE6"/>
    <w:rsid w:val="000E7334"/>
    <w:rsid w:val="000E7D54"/>
    <w:rsid w:val="000F024D"/>
    <w:rsid w:val="000F0522"/>
    <w:rsid w:val="000F139B"/>
    <w:rsid w:val="000F18A2"/>
    <w:rsid w:val="000F1C6E"/>
    <w:rsid w:val="000F212F"/>
    <w:rsid w:val="000F2232"/>
    <w:rsid w:val="000F246A"/>
    <w:rsid w:val="000F2749"/>
    <w:rsid w:val="000F2994"/>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C13"/>
    <w:rsid w:val="00100C44"/>
    <w:rsid w:val="00100CC8"/>
    <w:rsid w:val="0010113D"/>
    <w:rsid w:val="00101870"/>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7297"/>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6D7"/>
    <w:rsid w:val="00121AC6"/>
    <w:rsid w:val="00122236"/>
    <w:rsid w:val="00122747"/>
    <w:rsid w:val="00122CFE"/>
    <w:rsid w:val="00122EFA"/>
    <w:rsid w:val="00123AF5"/>
    <w:rsid w:val="00123C56"/>
    <w:rsid w:val="00123F25"/>
    <w:rsid w:val="00124243"/>
    <w:rsid w:val="001255A6"/>
    <w:rsid w:val="0012560B"/>
    <w:rsid w:val="00125CC7"/>
    <w:rsid w:val="00125E26"/>
    <w:rsid w:val="001260CC"/>
    <w:rsid w:val="00126623"/>
    <w:rsid w:val="0012674A"/>
    <w:rsid w:val="00126C9C"/>
    <w:rsid w:val="00126EEE"/>
    <w:rsid w:val="001270BC"/>
    <w:rsid w:val="0012767B"/>
    <w:rsid w:val="00130221"/>
    <w:rsid w:val="0013065D"/>
    <w:rsid w:val="00131171"/>
    <w:rsid w:val="001311BF"/>
    <w:rsid w:val="001314FE"/>
    <w:rsid w:val="00131818"/>
    <w:rsid w:val="00132233"/>
    <w:rsid w:val="0013229B"/>
    <w:rsid w:val="00132619"/>
    <w:rsid w:val="00132C59"/>
    <w:rsid w:val="001334AE"/>
    <w:rsid w:val="0013377E"/>
    <w:rsid w:val="001338A1"/>
    <w:rsid w:val="00133985"/>
    <w:rsid w:val="001339AC"/>
    <w:rsid w:val="00133E4A"/>
    <w:rsid w:val="00133FE3"/>
    <w:rsid w:val="00134230"/>
    <w:rsid w:val="00134299"/>
    <w:rsid w:val="00134486"/>
    <w:rsid w:val="0013465B"/>
    <w:rsid w:val="00134663"/>
    <w:rsid w:val="001348EC"/>
    <w:rsid w:val="00134AEA"/>
    <w:rsid w:val="00135047"/>
    <w:rsid w:val="0013558E"/>
    <w:rsid w:val="001355E1"/>
    <w:rsid w:val="00135FBC"/>
    <w:rsid w:val="0013654B"/>
    <w:rsid w:val="001368E2"/>
    <w:rsid w:val="00136BFF"/>
    <w:rsid w:val="001370DE"/>
    <w:rsid w:val="001373BC"/>
    <w:rsid w:val="001376F7"/>
    <w:rsid w:val="00137B03"/>
    <w:rsid w:val="00137DB7"/>
    <w:rsid w:val="00137E4E"/>
    <w:rsid w:val="00137FBF"/>
    <w:rsid w:val="00140023"/>
    <w:rsid w:val="001404B4"/>
    <w:rsid w:val="00140C94"/>
    <w:rsid w:val="00141DEC"/>
    <w:rsid w:val="00142CB5"/>
    <w:rsid w:val="00142CCD"/>
    <w:rsid w:val="00142CE6"/>
    <w:rsid w:val="001440B4"/>
    <w:rsid w:val="00144455"/>
    <w:rsid w:val="00144866"/>
    <w:rsid w:val="0014491F"/>
    <w:rsid w:val="00145115"/>
    <w:rsid w:val="0014581D"/>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1E29"/>
    <w:rsid w:val="00152144"/>
    <w:rsid w:val="00152592"/>
    <w:rsid w:val="001527DC"/>
    <w:rsid w:val="0015290B"/>
    <w:rsid w:val="00153069"/>
    <w:rsid w:val="00153940"/>
    <w:rsid w:val="00154110"/>
    <w:rsid w:val="001543A4"/>
    <w:rsid w:val="00154807"/>
    <w:rsid w:val="0015540F"/>
    <w:rsid w:val="001561EB"/>
    <w:rsid w:val="001571E2"/>
    <w:rsid w:val="001577EB"/>
    <w:rsid w:val="001578A8"/>
    <w:rsid w:val="00157F35"/>
    <w:rsid w:val="00160830"/>
    <w:rsid w:val="00160A54"/>
    <w:rsid w:val="00160EFE"/>
    <w:rsid w:val="00161069"/>
    <w:rsid w:val="00161A99"/>
    <w:rsid w:val="00162046"/>
    <w:rsid w:val="001625F1"/>
    <w:rsid w:val="00162649"/>
    <w:rsid w:val="0016298D"/>
    <w:rsid w:val="00162B76"/>
    <w:rsid w:val="0016342F"/>
    <w:rsid w:val="00163ABD"/>
    <w:rsid w:val="00163E47"/>
    <w:rsid w:val="00164316"/>
    <w:rsid w:val="001647A1"/>
    <w:rsid w:val="001648FE"/>
    <w:rsid w:val="00164AE8"/>
    <w:rsid w:val="00164C98"/>
    <w:rsid w:val="001652F2"/>
    <w:rsid w:val="001654A9"/>
    <w:rsid w:val="00165860"/>
    <w:rsid w:val="00165CDE"/>
    <w:rsid w:val="00166576"/>
    <w:rsid w:val="001669BB"/>
    <w:rsid w:val="001672F6"/>
    <w:rsid w:val="00167EA5"/>
    <w:rsid w:val="0017044D"/>
    <w:rsid w:val="00170868"/>
    <w:rsid w:val="00170B40"/>
    <w:rsid w:val="0017192A"/>
    <w:rsid w:val="00171930"/>
    <w:rsid w:val="00171A03"/>
    <w:rsid w:val="001720C8"/>
    <w:rsid w:val="001724FC"/>
    <w:rsid w:val="00172A53"/>
    <w:rsid w:val="00172A57"/>
    <w:rsid w:val="001734AE"/>
    <w:rsid w:val="00173AFD"/>
    <w:rsid w:val="001740DF"/>
    <w:rsid w:val="00174314"/>
    <w:rsid w:val="00174351"/>
    <w:rsid w:val="001743CB"/>
    <w:rsid w:val="00174563"/>
    <w:rsid w:val="001747C0"/>
    <w:rsid w:val="00174BCA"/>
    <w:rsid w:val="00174D62"/>
    <w:rsid w:val="00175934"/>
    <w:rsid w:val="00175C6B"/>
    <w:rsid w:val="0017614D"/>
    <w:rsid w:val="001763B9"/>
    <w:rsid w:val="00176700"/>
    <w:rsid w:val="001769D4"/>
    <w:rsid w:val="00176D21"/>
    <w:rsid w:val="001771F7"/>
    <w:rsid w:val="00177899"/>
    <w:rsid w:val="00177A89"/>
    <w:rsid w:val="00180213"/>
    <w:rsid w:val="00180BC5"/>
    <w:rsid w:val="001814C4"/>
    <w:rsid w:val="0018175C"/>
    <w:rsid w:val="0018269D"/>
    <w:rsid w:val="00182A81"/>
    <w:rsid w:val="00182BE5"/>
    <w:rsid w:val="00182FEC"/>
    <w:rsid w:val="00183791"/>
    <w:rsid w:val="001839A5"/>
    <w:rsid w:val="00183BE1"/>
    <w:rsid w:val="00183CCA"/>
    <w:rsid w:val="00184161"/>
    <w:rsid w:val="0018431A"/>
    <w:rsid w:val="001844AA"/>
    <w:rsid w:val="0018497A"/>
    <w:rsid w:val="00184C5F"/>
    <w:rsid w:val="00184E3D"/>
    <w:rsid w:val="00184FBD"/>
    <w:rsid w:val="00184FF7"/>
    <w:rsid w:val="001850CB"/>
    <w:rsid w:val="001850FF"/>
    <w:rsid w:val="00185794"/>
    <w:rsid w:val="00185BEE"/>
    <w:rsid w:val="00185DA7"/>
    <w:rsid w:val="00185FEA"/>
    <w:rsid w:val="00186A5A"/>
    <w:rsid w:val="00186B21"/>
    <w:rsid w:val="00186D1D"/>
    <w:rsid w:val="001902A1"/>
    <w:rsid w:val="00190428"/>
    <w:rsid w:val="0019086F"/>
    <w:rsid w:val="001908CC"/>
    <w:rsid w:val="00190BEC"/>
    <w:rsid w:val="00190C8D"/>
    <w:rsid w:val="00190D6F"/>
    <w:rsid w:val="0019163C"/>
    <w:rsid w:val="00191D10"/>
    <w:rsid w:val="00191D71"/>
    <w:rsid w:val="00191E76"/>
    <w:rsid w:val="001928FD"/>
    <w:rsid w:val="00192B8C"/>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8C2"/>
    <w:rsid w:val="001A6DA3"/>
    <w:rsid w:val="001A71B5"/>
    <w:rsid w:val="001A7540"/>
    <w:rsid w:val="001A7754"/>
    <w:rsid w:val="001A7EE0"/>
    <w:rsid w:val="001B0055"/>
    <w:rsid w:val="001B0169"/>
    <w:rsid w:val="001B046D"/>
    <w:rsid w:val="001B08FF"/>
    <w:rsid w:val="001B0E64"/>
    <w:rsid w:val="001B0FCC"/>
    <w:rsid w:val="001B127E"/>
    <w:rsid w:val="001B175E"/>
    <w:rsid w:val="001B22DE"/>
    <w:rsid w:val="001B29DC"/>
    <w:rsid w:val="001B2C06"/>
    <w:rsid w:val="001B2D0A"/>
    <w:rsid w:val="001B353B"/>
    <w:rsid w:val="001B372F"/>
    <w:rsid w:val="001B3F76"/>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DBD"/>
    <w:rsid w:val="001B70D9"/>
    <w:rsid w:val="001B7970"/>
    <w:rsid w:val="001B7B5E"/>
    <w:rsid w:val="001C0049"/>
    <w:rsid w:val="001C0875"/>
    <w:rsid w:val="001C0A89"/>
    <w:rsid w:val="001C0C34"/>
    <w:rsid w:val="001C0EEA"/>
    <w:rsid w:val="001C13C2"/>
    <w:rsid w:val="001C16A0"/>
    <w:rsid w:val="001C1AF3"/>
    <w:rsid w:val="001C1B89"/>
    <w:rsid w:val="001C1CC6"/>
    <w:rsid w:val="001C1DD8"/>
    <w:rsid w:val="001C2299"/>
    <w:rsid w:val="001C2373"/>
    <w:rsid w:val="001C2A96"/>
    <w:rsid w:val="001C3896"/>
    <w:rsid w:val="001C3D6E"/>
    <w:rsid w:val="001C3E87"/>
    <w:rsid w:val="001C4277"/>
    <w:rsid w:val="001C43DD"/>
    <w:rsid w:val="001C4BB4"/>
    <w:rsid w:val="001C4CF6"/>
    <w:rsid w:val="001C4D67"/>
    <w:rsid w:val="001C4F40"/>
    <w:rsid w:val="001C520E"/>
    <w:rsid w:val="001C5CC5"/>
    <w:rsid w:val="001C64DA"/>
    <w:rsid w:val="001C6DA8"/>
    <w:rsid w:val="001C726F"/>
    <w:rsid w:val="001C7606"/>
    <w:rsid w:val="001C79F3"/>
    <w:rsid w:val="001D034C"/>
    <w:rsid w:val="001D0350"/>
    <w:rsid w:val="001D052C"/>
    <w:rsid w:val="001D06F2"/>
    <w:rsid w:val="001D0BC0"/>
    <w:rsid w:val="001D1223"/>
    <w:rsid w:val="001D122E"/>
    <w:rsid w:val="001D15C4"/>
    <w:rsid w:val="001D170A"/>
    <w:rsid w:val="001D17A8"/>
    <w:rsid w:val="001D1D4F"/>
    <w:rsid w:val="001D1DAA"/>
    <w:rsid w:val="001D1EC1"/>
    <w:rsid w:val="001D3124"/>
    <w:rsid w:val="001D318D"/>
    <w:rsid w:val="001D31A1"/>
    <w:rsid w:val="001D35AA"/>
    <w:rsid w:val="001D372E"/>
    <w:rsid w:val="001D3749"/>
    <w:rsid w:val="001D3CC0"/>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EF3"/>
    <w:rsid w:val="001E5878"/>
    <w:rsid w:val="001E5917"/>
    <w:rsid w:val="001E6493"/>
    <w:rsid w:val="001E68AE"/>
    <w:rsid w:val="001E6967"/>
    <w:rsid w:val="001E6E6B"/>
    <w:rsid w:val="001E6FAD"/>
    <w:rsid w:val="001E723F"/>
    <w:rsid w:val="001E79AA"/>
    <w:rsid w:val="001E7E88"/>
    <w:rsid w:val="001F0384"/>
    <w:rsid w:val="001F099D"/>
    <w:rsid w:val="001F0AF0"/>
    <w:rsid w:val="001F0B75"/>
    <w:rsid w:val="001F100E"/>
    <w:rsid w:val="001F1298"/>
    <w:rsid w:val="001F133A"/>
    <w:rsid w:val="001F1719"/>
    <w:rsid w:val="001F18CE"/>
    <w:rsid w:val="001F1C53"/>
    <w:rsid w:val="001F23AE"/>
    <w:rsid w:val="001F4E9F"/>
    <w:rsid w:val="001F5F51"/>
    <w:rsid w:val="001F64A6"/>
    <w:rsid w:val="001F65E0"/>
    <w:rsid w:val="001F6A86"/>
    <w:rsid w:val="001F6B2C"/>
    <w:rsid w:val="001F6BC4"/>
    <w:rsid w:val="001F7193"/>
    <w:rsid w:val="001F72DE"/>
    <w:rsid w:val="001F783E"/>
    <w:rsid w:val="001F79AC"/>
    <w:rsid w:val="001F79DF"/>
    <w:rsid w:val="00201146"/>
    <w:rsid w:val="00201224"/>
    <w:rsid w:val="00201370"/>
    <w:rsid w:val="002019E6"/>
    <w:rsid w:val="00201C28"/>
    <w:rsid w:val="00201C89"/>
    <w:rsid w:val="00201ED5"/>
    <w:rsid w:val="002020D5"/>
    <w:rsid w:val="0020347C"/>
    <w:rsid w:val="002035E5"/>
    <w:rsid w:val="00203901"/>
    <w:rsid w:val="00203AF4"/>
    <w:rsid w:val="00203B13"/>
    <w:rsid w:val="0020425D"/>
    <w:rsid w:val="0020472F"/>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CA0"/>
    <w:rsid w:val="00221CCD"/>
    <w:rsid w:val="00221DD8"/>
    <w:rsid w:val="00221EFB"/>
    <w:rsid w:val="00222746"/>
    <w:rsid w:val="0022289A"/>
    <w:rsid w:val="002229F6"/>
    <w:rsid w:val="002234D3"/>
    <w:rsid w:val="002237FE"/>
    <w:rsid w:val="002238A2"/>
    <w:rsid w:val="0022412C"/>
    <w:rsid w:val="002241D9"/>
    <w:rsid w:val="00224407"/>
    <w:rsid w:val="0022440C"/>
    <w:rsid w:val="00224762"/>
    <w:rsid w:val="00224D22"/>
    <w:rsid w:val="00225149"/>
    <w:rsid w:val="002256E7"/>
    <w:rsid w:val="002259EA"/>
    <w:rsid w:val="00226397"/>
    <w:rsid w:val="0022679D"/>
    <w:rsid w:val="002267E4"/>
    <w:rsid w:val="00226951"/>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784"/>
    <w:rsid w:val="0023378D"/>
    <w:rsid w:val="002344D1"/>
    <w:rsid w:val="00234998"/>
    <w:rsid w:val="00234C45"/>
    <w:rsid w:val="00234D4B"/>
    <w:rsid w:val="00235237"/>
    <w:rsid w:val="00235280"/>
    <w:rsid w:val="0023557E"/>
    <w:rsid w:val="00235759"/>
    <w:rsid w:val="00235DC0"/>
    <w:rsid w:val="002366BD"/>
    <w:rsid w:val="00236852"/>
    <w:rsid w:val="002369A3"/>
    <w:rsid w:val="00236B0C"/>
    <w:rsid w:val="00237635"/>
    <w:rsid w:val="00237A1E"/>
    <w:rsid w:val="00237B5E"/>
    <w:rsid w:val="00237BA9"/>
    <w:rsid w:val="00240A1D"/>
    <w:rsid w:val="00240AF9"/>
    <w:rsid w:val="00241259"/>
    <w:rsid w:val="002418F9"/>
    <w:rsid w:val="00241B19"/>
    <w:rsid w:val="00241BB5"/>
    <w:rsid w:val="00242470"/>
    <w:rsid w:val="002425BE"/>
    <w:rsid w:val="002426CB"/>
    <w:rsid w:val="0024287D"/>
    <w:rsid w:val="00242CEE"/>
    <w:rsid w:val="00243506"/>
    <w:rsid w:val="00243964"/>
    <w:rsid w:val="00243B7C"/>
    <w:rsid w:val="00243C9D"/>
    <w:rsid w:val="00243EC4"/>
    <w:rsid w:val="002446F9"/>
    <w:rsid w:val="00244FF9"/>
    <w:rsid w:val="00245046"/>
    <w:rsid w:val="002451FA"/>
    <w:rsid w:val="00245339"/>
    <w:rsid w:val="00245C33"/>
    <w:rsid w:val="002460DD"/>
    <w:rsid w:val="002462F1"/>
    <w:rsid w:val="00246F35"/>
    <w:rsid w:val="002471EC"/>
    <w:rsid w:val="0024743D"/>
    <w:rsid w:val="002478FF"/>
    <w:rsid w:val="002501F1"/>
    <w:rsid w:val="002502F9"/>
    <w:rsid w:val="00250634"/>
    <w:rsid w:val="0025082F"/>
    <w:rsid w:val="00250ADF"/>
    <w:rsid w:val="0025101E"/>
    <w:rsid w:val="002516B1"/>
    <w:rsid w:val="00251CAC"/>
    <w:rsid w:val="00251E31"/>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E"/>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CC1"/>
    <w:rsid w:val="0026247A"/>
    <w:rsid w:val="0026297E"/>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A48"/>
    <w:rsid w:val="00267BD5"/>
    <w:rsid w:val="00267D6F"/>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1C2"/>
    <w:rsid w:val="0027461D"/>
    <w:rsid w:val="0027465D"/>
    <w:rsid w:val="00274997"/>
    <w:rsid w:val="002749BA"/>
    <w:rsid w:val="00274A9B"/>
    <w:rsid w:val="00274BA3"/>
    <w:rsid w:val="002750F9"/>
    <w:rsid w:val="00275399"/>
    <w:rsid w:val="00275740"/>
    <w:rsid w:val="002766ED"/>
    <w:rsid w:val="00276BD4"/>
    <w:rsid w:val="00276D87"/>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29D"/>
    <w:rsid w:val="00283701"/>
    <w:rsid w:val="00283C45"/>
    <w:rsid w:val="00284338"/>
    <w:rsid w:val="00284409"/>
    <w:rsid w:val="00284707"/>
    <w:rsid w:val="00284724"/>
    <w:rsid w:val="00284812"/>
    <w:rsid w:val="00284FA5"/>
    <w:rsid w:val="00285FDE"/>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79F"/>
    <w:rsid w:val="00293562"/>
    <w:rsid w:val="002936DE"/>
    <w:rsid w:val="002940D6"/>
    <w:rsid w:val="00294545"/>
    <w:rsid w:val="002946B0"/>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0B33"/>
    <w:rsid w:val="002A158B"/>
    <w:rsid w:val="002A1687"/>
    <w:rsid w:val="002A1833"/>
    <w:rsid w:val="002A18A0"/>
    <w:rsid w:val="002A18E4"/>
    <w:rsid w:val="002A1C98"/>
    <w:rsid w:val="002A264C"/>
    <w:rsid w:val="002A2950"/>
    <w:rsid w:val="002A30C2"/>
    <w:rsid w:val="002A3483"/>
    <w:rsid w:val="002A3AF2"/>
    <w:rsid w:val="002A45F6"/>
    <w:rsid w:val="002A4E24"/>
    <w:rsid w:val="002A5297"/>
    <w:rsid w:val="002A5A73"/>
    <w:rsid w:val="002A6204"/>
    <w:rsid w:val="002A629C"/>
    <w:rsid w:val="002A649C"/>
    <w:rsid w:val="002A6AAC"/>
    <w:rsid w:val="002A6B09"/>
    <w:rsid w:val="002A6DC4"/>
    <w:rsid w:val="002A6EC6"/>
    <w:rsid w:val="002A7173"/>
    <w:rsid w:val="002A71FE"/>
    <w:rsid w:val="002A7345"/>
    <w:rsid w:val="002B0236"/>
    <w:rsid w:val="002B025E"/>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8E2"/>
    <w:rsid w:val="002B2951"/>
    <w:rsid w:val="002B2A67"/>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B33"/>
    <w:rsid w:val="002B6C55"/>
    <w:rsid w:val="002B79DF"/>
    <w:rsid w:val="002C001B"/>
    <w:rsid w:val="002C065E"/>
    <w:rsid w:val="002C0705"/>
    <w:rsid w:val="002C0B45"/>
    <w:rsid w:val="002C1997"/>
    <w:rsid w:val="002C1B0D"/>
    <w:rsid w:val="002C207D"/>
    <w:rsid w:val="002C24C8"/>
    <w:rsid w:val="002C3123"/>
    <w:rsid w:val="002C3A5A"/>
    <w:rsid w:val="002C4092"/>
    <w:rsid w:val="002C4620"/>
    <w:rsid w:val="002C4771"/>
    <w:rsid w:val="002C4ACB"/>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3066"/>
    <w:rsid w:val="002D3BED"/>
    <w:rsid w:val="002D3D0F"/>
    <w:rsid w:val="002D4433"/>
    <w:rsid w:val="002D4CB3"/>
    <w:rsid w:val="002D4E04"/>
    <w:rsid w:val="002D4F40"/>
    <w:rsid w:val="002D5269"/>
    <w:rsid w:val="002D54A5"/>
    <w:rsid w:val="002D5CAD"/>
    <w:rsid w:val="002D5EBC"/>
    <w:rsid w:val="002D5ED8"/>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5132"/>
    <w:rsid w:val="002E548D"/>
    <w:rsid w:val="002E5576"/>
    <w:rsid w:val="002E5742"/>
    <w:rsid w:val="002E5A20"/>
    <w:rsid w:val="002E5AC5"/>
    <w:rsid w:val="002E6D48"/>
    <w:rsid w:val="002E6E9B"/>
    <w:rsid w:val="002E6FB8"/>
    <w:rsid w:val="002E73FB"/>
    <w:rsid w:val="002E757D"/>
    <w:rsid w:val="002E77F4"/>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406A"/>
    <w:rsid w:val="002F4544"/>
    <w:rsid w:val="002F49DE"/>
    <w:rsid w:val="002F5249"/>
    <w:rsid w:val="002F5A20"/>
    <w:rsid w:val="002F629B"/>
    <w:rsid w:val="002F6550"/>
    <w:rsid w:val="002F65C6"/>
    <w:rsid w:val="002F6658"/>
    <w:rsid w:val="002F66E9"/>
    <w:rsid w:val="002F67DC"/>
    <w:rsid w:val="002F6AD9"/>
    <w:rsid w:val="002F6C56"/>
    <w:rsid w:val="002F6F21"/>
    <w:rsid w:val="002F70A3"/>
    <w:rsid w:val="002F77A3"/>
    <w:rsid w:val="002F7DE5"/>
    <w:rsid w:val="002F7F30"/>
    <w:rsid w:val="002F7F34"/>
    <w:rsid w:val="002F7F4A"/>
    <w:rsid w:val="003001E5"/>
    <w:rsid w:val="00300B2B"/>
    <w:rsid w:val="00300EA9"/>
    <w:rsid w:val="00301020"/>
    <w:rsid w:val="00301274"/>
    <w:rsid w:val="00301560"/>
    <w:rsid w:val="00301670"/>
    <w:rsid w:val="00301EE2"/>
    <w:rsid w:val="003022B5"/>
    <w:rsid w:val="00302435"/>
    <w:rsid w:val="00302446"/>
    <w:rsid w:val="00302831"/>
    <w:rsid w:val="0030297A"/>
    <w:rsid w:val="00302CA3"/>
    <w:rsid w:val="0030305C"/>
    <w:rsid w:val="00303B2D"/>
    <w:rsid w:val="00304B0A"/>
    <w:rsid w:val="00304FBB"/>
    <w:rsid w:val="0030573E"/>
    <w:rsid w:val="003059FF"/>
    <w:rsid w:val="00305E5E"/>
    <w:rsid w:val="0030604E"/>
    <w:rsid w:val="00306292"/>
    <w:rsid w:val="00306357"/>
    <w:rsid w:val="003069D5"/>
    <w:rsid w:val="00306D87"/>
    <w:rsid w:val="003075E9"/>
    <w:rsid w:val="00310025"/>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364D"/>
    <w:rsid w:val="00314453"/>
    <w:rsid w:val="003144ED"/>
    <w:rsid w:val="00314A22"/>
    <w:rsid w:val="00314C61"/>
    <w:rsid w:val="003150C0"/>
    <w:rsid w:val="0031510F"/>
    <w:rsid w:val="00315490"/>
    <w:rsid w:val="003156B1"/>
    <w:rsid w:val="00315B07"/>
    <w:rsid w:val="00315D18"/>
    <w:rsid w:val="00315D88"/>
    <w:rsid w:val="0031671C"/>
    <w:rsid w:val="00316A38"/>
    <w:rsid w:val="00316BCA"/>
    <w:rsid w:val="00316CFC"/>
    <w:rsid w:val="00316EEF"/>
    <w:rsid w:val="00316FB5"/>
    <w:rsid w:val="00317596"/>
    <w:rsid w:val="003175C3"/>
    <w:rsid w:val="003178C5"/>
    <w:rsid w:val="0031793F"/>
    <w:rsid w:val="0031794F"/>
    <w:rsid w:val="00317CB1"/>
    <w:rsid w:val="00317D8F"/>
    <w:rsid w:val="0032069A"/>
    <w:rsid w:val="003208D8"/>
    <w:rsid w:val="00320C0F"/>
    <w:rsid w:val="0032157D"/>
    <w:rsid w:val="003219D3"/>
    <w:rsid w:val="00321A1C"/>
    <w:rsid w:val="00321B44"/>
    <w:rsid w:val="00321C13"/>
    <w:rsid w:val="00321DD4"/>
    <w:rsid w:val="00322523"/>
    <w:rsid w:val="0032271A"/>
    <w:rsid w:val="00322BB5"/>
    <w:rsid w:val="0032410C"/>
    <w:rsid w:val="00324679"/>
    <w:rsid w:val="00324795"/>
    <w:rsid w:val="00324923"/>
    <w:rsid w:val="00324B7A"/>
    <w:rsid w:val="003252CD"/>
    <w:rsid w:val="00325B0C"/>
    <w:rsid w:val="003265A8"/>
    <w:rsid w:val="00326804"/>
    <w:rsid w:val="003268B8"/>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6DAE"/>
    <w:rsid w:val="003573C9"/>
    <w:rsid w:val="00357630"/>
    <w:rsid w:val="00357D5B"/>
    <w:rsid w:val="00360468"/>
    <w:rsid w:val="003604B1"/>
    <w:rsid w:val="00360B06"/>
    <w:rsid w:val="003611E0"/>
    <w:rsid w:val="003614B0"/>
    <w:rsid w:val="0036156F"/>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8D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7423"/>
    <w:rsid w:val="00397653"/>
    <w:rsid w:val="0039780D"/>
    <w:rsid w:val="003979E8"/>
    <w:rsid w:val="00397AEC"/>
    <w:rsid w:val="003A08E5"/>
    <w:rsid w:val="003A1956"/>
    <w:rsid w:val="003A1F2E"/>
    <w:rsid w:val="003A1F4D"/>
    <w:rsid w:val="003A1FAE"/>
    <w:rsid w:val="003A2A86"/>
    <w:rsid w:val="003A341D"/>
    <w:rsid w:val="003A3887"/>
    <w:rsid w:val="003A3AFB"/>
    <w:rsid w:val="003A3FD7"/>
    <w:rsid w:val="003A4C6E"/>
    <w:rsid w:val="003A5505"/>
    <w:rsid w:val="003A5B80"/>
    <w:rsid w:val="003A5D91"/>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12C"/>
    <w:rsid w:val="003C4408"/>
    <w:rsid w:val="003C4D13"/>
    <w:rsid w:val="003C519E"/>
    <w:rsid w:val="003C5528"/>
    <w:rsid w:val="003C55E4"/>
    <w:rsid w:val="003C57C0"/>
    <w:rsid w:val="003C588C"/>
    <w:rsid w:val="003C6A94"/>
    <w:rsid w:val="003C6E0B"/>
    <w:rsid w:val="003C7224"/>
    <w:rsid w:val="003C73B6"/>
    <w:rsid w:val="003C7D39"/>
    <w:rsid w:val="003D0585"/>
    <w:rsid w:val="003D05DE"/>
    <w:rsid w:val="003D0970"/>
    <w:rsid w:val="003D0A09"/>
    <w:rsid w:val="003D0B0A"/>
    <w:rsid w:val="003D16F6"/>
    <w:rsid w:val="003D188D"/>
    <w:rsid w:val="003D18BA"/>
    <w:rsid w:val="003D1A27"/>
    <w:rsid w:val="003D1C26"/>
    <w:rsid w:val="003D2633"/>
    <w:rsid w:val="003D26D2"/>
    <w:rsid w:val="003D2E26"/>
    <w:rsid w:val="003D34C0"/>
    <w:rsid w:val="003D3648"/>
    <w:rsid w:val="003D397E"/>
    <w:rsid w:val="003D5200"/>
    <w:rsid w:val="003D579B"/>
    <w:rsid w:val="003D5868"/>
    <w:rsid w:val="003D59D1"/>
    <w:rsid w:val="003D5A65"/>
    <w:rsid w:val="003D5B58"/>
    <w:rsid w:val="003D5BA0"/>
    <w:rsid w:val="003D622E"/>
    <w:rsid w:val="003D69BE"/>
    <w:rsid w:val="003D7409"/>
    <w:rsid w:val="003D7CAA"/>
    <w:rsid w:val="003D7E44"/>
    <w:rsid w:val="003E02A0"/>
    <w:rsid w:val="003E0308"/>
    <w:rsid w:val="003E0833"/>
    <w:rsid w:val="003E0C86"/>
    <w:rsid w:val="003E10EE"/>
    <w:rsid w:val="003E1459"/>
    <w:rsid w:val="003E176F"/>
    <w:rsid w:val="003E1E5F"/>
    <w:rsid w:val="003E1F3A"/>
    <w:rsid w:val="003E20D0"/>
    <w:rsid w:val="003E21CE"/>
    <w:rsid w:val="003E2554"/>
    <w:rsid w:val="003E297C"/>
    <w:rsid w:val="003E3686"/>
    <w:rsid w:val="003E3EDE"/>
    <w:rsid w:val="003E46AF"/>
    <w:rsid w:val="003E4AC5"/>
    <w:rsid w:val="003E528C"/>
    <w:rsid w:val="003E5766"/>
    <w:rsid w:val="003E57A6"/>
    <w:rsid w:val="003E6258"/>
    <w:rsid w:val="003E663C"/>
    <w:rsid w:val="003E6B2F"/>
    <w:rsid w:val="003E6C4F"/>
    <w:rsid w:val="003E7631"/>
    <w:rsid w:val="003E785E"/>
    <w:rsid w:val="003F00CC"/>
    <w:rsid w:val="003F0187"/>
    <w:rsid w:val="003F069D"/>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3F7AB1"/>
    <w:rsid w:val="0040020E"/>
    <w:rsid w:val="004003F0"/>
    <w:rsid w:val="0040085F"/>
    <w:rsid w:val="00400984"/>
    <w:rsid w:val="00400DEC"/>
    <w:rsid w:val="004012A4"/>
    <w:rsid w:val="0040136A"/>
    <w:rsid w:val="0040156C"/>
    <w:rsid w:val="00401602"/>
    <w:rsid w:val="004017FB"/>
    <w:rsid w:val="0040199C"/>
    <w:rsid w:val="00401F86"/>
    <w:rsid w:val="0040267F"/>
    <w:rsid w:val="00402C7B"/>
    <w:rsid w:val="004036D1"/>
    <w:rsid w:val="00404D4F"/>
    <w:rsid w:val="00404F12"/>
    <w:rsid w:val="004050AA"/>
    <w:rsid w:val="004052B3"/>
    <w:rsid w:val="00405AAA"/>
    <w:rsid w:val="00405DE2"/>
    <w:rsid w:val="004070DA"/>
    <w:rsid w:val="004073B6"/>
    <w:rsid w:val="00407C5C"/>
    <w:rsid w:val="00407E3D"/>
    <w:rsid w:val="00407ECB"/>
    <w:rsid w:val="0041007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D0"/>
    <w:rsid w:val="00413668"/>
    <w:rsid w:val="00413E01"/>
    <w:rsid w:val="00414D56"/>
    <w:rsid w:val="00414E38"/>
    <w:rsid w:val="00415DB9"/>
    <w:rsid w:val="00415F7C"/>
    <w:rsid w:val="00416762"/>
    <w:rsid w:val="00416A70"/>
    <w:rsid w:val="00416E67"/>
    <w:rsid w:val="0041715A"/>
    <w:rsid w:val="004202E7"/>
    <w:rsid w:val="0042030F"/>
    <w:rsid w:val="004205AC"/>
    <w:rsid w:val="004214C0"/>
    <w:rsid w:val="004216FE"/>
    <w:rsid w:val="00421D33"/>
    <w:rsid w:val="0042264F"/>
    <w:rsid w:val="004235B8"/>
    <w:rsid w:val="00423837"/>
    <w:rsid w:val="004239E1"/>
    <w:rsid w:val="00423A2A"/>
    <w:rsid w:val="00423ADE"/>
    <w:rsid w:val="0042408A"/>
    <w:rsid w:val="00424E37"/>
    <w:rsid w:val="00425A64"/>
    <w:rsid w:val="00425BCC"/>
    <w:rsid w:val="00425F0B"/>
    <w:rsid w:val="004262C0"/>
    <w:rsid w:val="004268EB"/>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55A5"/>
    <w:rsid w:val="004362B5"/>
    <w:rsid w:val="004363CD"/>
    <w:rsid w:val="00436534"/>
    <w:rsid w:val="004365FD"/>
    <w:rsid w:val="00436AC8"/>
    <w:rsid w:val="00436DF4"/>
    <w:rsid w:val="00437518"/>
    <w:rsid w:val="004376CA"/>
    <w:rsid w:val="004378D9"/>
    <w:rsid w:val="00437E16"/>
    <w:rsid w:val="00440B6C"/>
    <w:rsid w:val="00440B9E"/>
    <w:rsid w:val="00440E10"/>
    <w:rsid w:val="00440E81"/>
    <w:rsid w:val="00440EDC"/>
    <w:rsid w:val="00441337"/>
    <w:rsid w:val="00441812"/>
    <w:rsid w:val="004421A7"/>
    <w:rsid w:val="0044237F"/>
    <w:rsid w:val="00442483"/>
    <w:rsid w:val="00442C6E"/>
    <w:rsid w:val="00442CDB"/>
    <w:rsid w:val="0044312A"/>
    <w:rsid w:val="004432ED"/>
    <w:rsid w:val="00443443"/>
    <w:rsid w:val="00443D9B"/>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7D3"/>
    <w:rsid w:val="00451C82"/>
    <w:rsid w:val="00452510"/>
    <w:rsid w:val="0045274A"/>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729"/>
    <w:rsid w:val="00462FB7"/>
    <w:rsid w:val="00463219"/>
    <w:rsid w:val="0046322E"/>
    <w:rsid w:val="0046333F"/>
    <w:rsid w:val="00463EF9"/>
    <w:rsid w:val="004642C0"/>
    <w:rsid w:val="00464400"/>
    <w:rsid w:val="004646EB"/>
    <w:rsid w:val="00464833"/>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D97"/>
    <w:rsid w:val="00472FA0"/>
    <w:rsid w:val="00472FAA"/>
    <w:rsid w:val="004739BF"/>
    <w:rsid w:val="004740D8"/>
    <w:rsid w:val="004746B5"/>
    <w:rsid w:val="004748BE"/>
    <w:rsid w:val="004748DA"/>
    <w:rsid w:val="00474BCF"/>
    <w:rsid w:val="00474C3B"/>
    <w:rsid w:val="00474D83"/>
    <w:rsid w:val="004755A7"/>
    <w:rsid w:val="004755DC"/>
    <w:rsid w:val="00475A90"/>
    <w:rsid w:val="00475CA3"/>
    <w:rsid w:val="0047686B"/>
    <w:rsid w:val="00476903"/>
    <w:rsid w:val="00476983"/>
    <w:rsid w:val="00477D09"/>
    <w:rsid w:val="00477D6E"/>
    <w:rsid w:val="00477F08"/>
    <w:rsid w:val="004801B1"/>
    <w:rsid w:val="00480AF7"/>
    <w:rsid w:val="00480D56"/>
    <w:rsid w:val="0048121F"/>
    <w:rsid w:val="00481452"/>
    <w:rsid w:val="0048178D"/>
    <w:rsid w:val="00481947"/>
    <w:rsid w:val="00481B00"/>
    <w:rsid w:val="00481E7A"/>
    <w:rsid w:val="00481F3B"/>
    <w:rsid w:val="004828C9"/>
    <w:rsid w:val="004832C5"/>
    <w:rsid w:val="004832E5"/>
    <w:rsid w:val="004838EC"/>
    <w:rsid w:val="00483D71"/>
    <w:rsid w:val="004840E9"/>
    <w:rsid w:val="004842C8"/>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EBA"/>
    <w:rsid w:val="004902A5"/>
    <w:rsid w:val="00490304"/>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B0755"/>
    <w:rsid w:val="004B0896"/>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CA3"/>
    <w:rsid w:val="004C5DFD"/>
    <w:rsid w:val="004C6155"/>
    <w:rsid w:val="004C644C"/>
    <w:rsid w:val="004C6E83"/>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480E"/>
    <w:rsid w:val="004D5414"/>
    <w:rsid w:val="004D5757"/>
    <w:rsid w:val="004D5819"/>
    <w:rsid w:val="004D585F"/>
    <w:rsid w:val="004D5A97"/>
    <w:rsid w:val="004D6046"/>
    <w:rsid w:val="004D61FA"/>
    <w:rsid w:val="004D6EC1"/>
    <w:rsid w:val="004D6F04"/>
    <w:rsid w:val="004D739B"/>
    <w:rsid w:val="004D7910"/>
    <w:rsid w:val="004E04F8"/>
    <w:rsid w:val="004E094D"/>
    <w:rsid w:val="004E0BA0"/>
    <w:rsid w:val="004E0CA7"/>
    <w:rsid w:val="004E1021"/>
    <w:rsid w:val="004E112B"/>
    <w:rsid w:val="004E14B0"/>
    <w:rsid w:val="004E1562"/>
    <w:rsid w:val="004E15C9"/>
    <w:rsid w:val="004E1829"/>
    <w:rsid w:val="004E19C9"/>
    <w:rsid w:val="004E1C22"/>
    <w:rsid w:val="004E1DFA"/>
    <w:rsid w:val="004E1F3A"/>
    <w:rsid w:val="004E215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525"/>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138A"/>
    <w:rsid w:val="0050197A"/>
    <w:rsid w:val="00501DBB"/>
    <w:rsid w:val="00501F6F"/>
    <w:rsid w:val="005023B0"/>
    <w:rsid w:val="005023E8"/>
    <w:rsid w:val="0050250C"/>
    <w:rsid w:val="00502686"/>
    <w:rsid w:val="00502F45"/>
    <w:rsid w:val="00502F5E"/>
    <w:rsid w:val="005030CF"/>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307"/>
    <w:rsid w:val="005063B9"/>
    <w:rsid w:val="00506AC0"/>
    <w:rsid w:val="00506D31"/>
    <w:rsid w:val="00506E9C"/>
    <w:rsid w:val="0050711A"/>
    <w:rsid w:val="005072C9"/>
    <w:rsid w:val="00507D19"/>
    <w:rsid w:val="00510395"/>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718"/>
    <w:rsid w:val="005257C1"/>
    <w:rsid w:val="00525808"/>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E7C"/>
    <w:rsid w:val="00531176"/>
    <w:rsid w:val="00531311"/>
    <w:rsid w:val="00531533"/>
    <w:rsid w:val="00531694"/>
    <w:rsid w:val="00531CD8"/>
    <w:rsid w:val="00531E0C"/>
    <w:rsid w:val="00532043"/>
    <w:rsid w:val="0053251E"/>
    <w:rsid w:val="0053293F"/>
    <w:rsid w:val="00532952"/>
    <w:rsid w:val="00532D4A"/>
    <w:rsid w:val="00532E3F"/>
    <w:rsid w:val="00532E69"/>
    <w:rsid w:val="00533A87"/>
    <w:rsid w:val="005343AC"/>
    <w:rsid w:val="00534B65"/>
    <w:rsid w:val="00534D9A"/>
    <w:rsid w:val="00534DA0"/>
    <w:rsid w:val="00534E42"/>
    <w:rsid w:val="00534E63"/>
    <w:rsid w:val="00535588"/>
    <w:rsid w:val="00535CED"/>
    <w:rsid w:val="00535D79"/>
    <w:rsid w:val="0053617A"/>
    <w:rsid w:val="005364CB"/>
    <w:rsid w:val="00536916"/>
    <w:rsid w:val="00537566"/>
    <w:rsid w:val="00537AF3"/>
    <w:rsid w:val="00537D58"/>
    <w:rsid w:val="00540013"/>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BE5"/>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4D9E"/>
    <w:rsid w:val="00554F69"/>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5FE"/>
    <w:rsid w:val="00560866"/>
    <w:rsid w:val="00560A05"/>
    <w:rsid w:val="00561599"/>
    <w:rsid w:val="0056194B"/>
    <w:rsid w:val="00561A73"/>
    <w:rsid w:val="005628FA"/>
    <w:rsid w:val="0056297B"/>
    <w:rsid w:val="00562A3F"/>
    <w:rsid w:val="005632FC"/>
    <w:rsid w:val="005633A7"/>
    <w:rsid w:val="00563825"/>
    <w:rsid w:val="00563DC0"/>
    <w:rsid w:val="00563FEC"/>
    <w:rsid w:val="00564419"/>
    <w:rsid w:val="00564A71"/>
    <w:rsid w:val="00564E8E"/>
    <w:rsid w:val="00565027"/>
    <w:rsid w:val="005650C9"/>
    <w:rsid w:val="00565336"/>
    <w:rsid w:val="005658D4"/>
    <w:rsid w:val="00565B24"/>
    <w:rsid w:val="005662B2"/>
    <w:rsid w:val="005664AD"/>
    <w:rsid w:val="005668E0"/>
    <w:rsid w:val="00566A8E"/>
    <w:rsid w:val="00566D89"/>
    <w:rsid w:val="00566EDA"/>
    <w:rsid w:val="005674C3"/>
    <w:rsid w:val="00567C72"/>
    <w:rsid w:val="00567DA3"/>
    <w:rsid w:val="005706BA"/>
    <w:rsid w:val="0057083F"/>
    <w:rsid w:val="005709A3"/>
    <w:rsid w:val="00570F1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56C7"/>
    <w:rsid w:val="00576310"/>
    <w:rsid w:val="005768C1"/>
    <w:rsid w:val="0057732F"/>
    <w:rsid w:val="00577F9F"/>
    <w:rsid w:val="005801BF"/>
    <w:rsid w:val="0058028B"/>
    <w:rsid w:val="005803F7"/>
    <w:rsid w:val="00580E78"/>
    <w:rsid w:val="00581002"/>
    <w:rsid w:val="00581081"/>
    <w:rsid w:val="00581084"/>
    <w:rsid w:val="00581295"/>
    <w:rsid w:val="00581BEB"/>
    <w:rsid w:val="00582373"/>
    <w:rsid w:val="00582B4B"/>
    <w:rsid w:val="005836E4"/>
    <w:rsid w:val="00583EFE"/>
    <w:rsid w:val="00584084"/>
    <w:rsid w:val="005843AD"/>
    <w:rsid w:val="0058486B"/>
    <w:rsid w:val="00584997"/>
    <w:rsid w:val="00584BE7"/>
    <w:rsid w:val="00584CC2"/>
    <w:rsid w:val="00584DEA"/>
    <w:rsid w:val="00585195"/>
    <w:rsid w:val="0058526A"/>
    <w:rsid w:val="00585865"/>
    <w:rsid w:val="00585F10"/>
    <w:rsid w:val="00586097"/>
    <w:rsid w:val="005868C6"/>
    <w:rsid w:val="00586A3D"/>
    <w:rsid w:val="00586D76"/>
    <w:rsid w:val="005875B2"/>
    <w:rsid w:val="00587EC3"/>
    <w:rsid w:val="00587FEB"/>
    <w:rsid w:val="005903D6"/>
    <w:rsid w:val="005909A9"/>
    <w:rsid w:val="00590AF4"/>
    <w:rsid w:val="00590E7E"/>
    <w:rsid w:val="005914E3"/>
    <w:rsid w:val="00591CDB"/>
    <w:rsid w:val="00591D26"/>
    <w:rsid w:val="00591D8F"/>
    <w:rsid w:val="005924B9"/>
    <w:rsid w:val="005924CF"/>
    <w:rsid w:val="005924FC"/>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6C41"/>
    <w:rsid w:val="00597060"/>
    <w:rsid w:val="005972D0"/>
    <w:rsid w:val="00597309"/>
    <w:rsid w:val="00597516"/>
    <w:rsid w:val="00597915"/>
    <w:rsid w:val="00597D52"/>
    <w:rsid w:val="00597DC0"/>
    <w:rsid w:val="005A024A"/>
    <w:rsid w:val="005A08DF"/>
    <w:rsid w:val="005A1086"/>
    <w:rsid w:val="005A1E0F"/>
    <w:rsid w:val="005A2168"/>
    <w:rsid w:val="005A2798"/>
    <w:rsid w:val="005A2D06"/>
    <w:rsid w:val="005A2D42"/>
    <w:rsid w:val="005A2D4A"/>
    <w:rsid w:val="005A2D9F"/>
    <w:rsid w:val="005A35D6"/>
    <w:rsid w:val="005A3F69"/>
    <w:rsid w:val="005A4467"/>
    <w:rsid w:val="005A44FB"/>
    <w:rsid w:val="005A4725"/>
    <w:rsid w:val="005A56F0"/>
    <w:rsid w:val="005A5713"/>
    <w:rsid w:val="005A5747"/>
    <w:rsid w:val="005A5977"/>
    <w:rsid w:val="005A643D"/>
    <w:rsid w:val="005A6538"/>
    <w:rsid w:val="005A68F9"/>
    <w:rsid w:val="005A6B65"/>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9B5"/>
    <w:rsid w:val="005B2A90"/>
    <w:rsid w:val="005B2E64"/>
    <w:rsid w:val="005B354C"/>
    <w:rsid w:val="005B376B"/>
    <w:rsid w:val="005B389D"/>
    <w:rsid w:val="005B3C03"/>
    <w:rsid w:val="005B3CD5"/>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9E3"/>
    <w:rsid w:val="005C0013"/>
    <w:rsid w:val="005C01EF"/>
    <w:rsid w:val="005C06B5"/>
    <w:rsid w:val="005C089D"/>
    <w:rsid w:val="005C0E56"/>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708F"/>
    <w:rsid w:val="005C766D"/>
    <w:rsid w:val="005C7750"/>
    <w:rsid w:val="005D007D"/>
    <w:rsid w:val="005D0198"/>
    <w:rsid w:val="005D0CEC"/>
    <w:rsid w:val="005D0CFF"/>
    <w:rsid w:val="005D148D"/>
    <w:rsid w:val="005D1828"/>
    <w:rsid w:val="005D206F"/>
    <w:rsid w:val="005D2233"/>
    <w:rsid w:val="005D225C"/>
    <w:rsid w:val="005D2266"/>
    <w:rsid w:val="005D232E"/>
    <w:rsid w:val="005D24E7"/>
    <w:rsid w:val="005D2D11"/>
    <w:rsid w:val="005D2DDE"/>
    <w:rsid w:val="005D323A"/>
    <w:rsid w:val="005D32CB"/>
    <w:rsid w:val="005D34E7"/>
    <w:rsid w:val="005D3EAB"/>
    <w:rsid w:val="005D452F"/>
    <w:rsid w:val="005D47E7"/>
    <w:rsid w:val="005D4CB8"/>
    <w:rsid w:val="005D4D47"/>
    <w:rsid w:val="005D52B3"/>
    <w:rsid w:val="005D5A8D"/>
    <w:rsid w:val="005D5D7D"/>
    <w:rsid w:val="005D6798"/>
    <w:rsid w:val="005D6990"/>
    <w:rsid w:val="005D6CD1"/>
    <w:rsid w:val="005D7849"/>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871"/>
    <w:rsid w:val="005E4A87"/>
    <w:rsid w:val="005E4ABB"/>
    <w:rsid w:val="005E4F69"/>
    <w:rsid w:val="005E4FFB"/>
    <w:rsid w:val="005E520B"/>
    <w:rsid w:val="005E53E1"/>
    <w:rsid w:val="005E6551"/>
    <w:rsid w:val="005E7AAA"/>
    <w:rsid w:val="005E7FE3"/>
    <w:rsid w:val="005F0650"/>
    <w:rsid w:val="005F0982"/>
    <w:rsid w:val="005F0A18"/>
    <w:rsid w:val="005F0A88"/>
    <w:rsid w:val="005F0F33"/>
    <w:rsid w:val="005F15B6"/>
    <w:rsid w:val="005F1D47"/>
    <w:rsid w:val="005F2026"/>
    <w:rsid w:val="005F2937"/>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700D"/>
    <w:rsid w:val="005F7AA0"/>
    <w:rsid w:val="005F7BC0"/>
    <w:rsid w:val="005F7DAE"/>
    <w:rsid w:val="0060045C"/>
    <w:rsid w:val="006004B7"/>
    <w:rsid w:val="00600570"/>
    <w:rsid w:val="006005BC"/>
    <w:rsid w:val="006008E4"/>
    <w:rsid w:val="00600CD3"/>
    <w:rsid w:val="006013C6"/>
    <w:rsid w:val="006013E9"/>
    <w:rsid w:val="00601FC5"/>
    <w:rsid w:val="00602445"/>
    <w:rsid w:val="006028EF"/>
    <w:rsid w:val="00602BA3"/>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DED"/>
    <w:rsid w:val="00612ED8"/>
    <w:rsid w:val="00613622"/>
    <w:rsid w:val="00613827"/>
    <w:rsid w:val="00614081"/>
    <w:rsid w:val="00614863"/>
    <w:rsid w:val="00614BD9"/>
    <w:rsid w:val="00614D36"/>
    <w:rsid w:val="00614D6C"/>
    <w:rsid w:val="0061517A"/>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D25"/>
    <w:rsid w:val="0062116B"/>
    <w:rsid w:val="0062124A"/>
    <w:rsid w:val="006213E6"/>
    <w:rsid w:val="006218B8"/>
    <w:rsid w:val="00621A66"/>
    <w:rsid w:val="00621E9F"/>
    <w:rsid w:val="006225CF"/>
    <w:rsid w:val="006226D2"/>
    <w:rsid w:val="00622908"/>
    <w:rsid w:val="00622FF3"/>
    <w:rsid w:val="00623133"/>
    <w:rsid w:val="0062315D"/>
    <w:rsid w:val="00623456"/>
    <w:rsid w:val="00623B3A"/>
    <w:rsid w:val="00623BB0"/>
    <w:rsid w:val="00623CBD"/>
    <w:rsid w:val="00623E53"/>
    <w:rsid w:val="00623F5F"/>
    <w:rsid w:val="0062404D"/>
    <w:rsid w:val="00624180"/>
    <w:rsid w:val="0062432D"/>
    <w:rsid w:val="006246D5"/>
    <w:rsid w:val="00624827"/>
    <w:rsid w:val="00625123"/>
    <w:rsid w:val="00625553"/>
    <w:rsid w:val="00625953"/>
    <w:rsid w:val="00625A27"/>
    <w:rsid w:val="00625DE8"/>
    <w:rsid w:val="00625E4D"/>
    <w:rsid w:val="00625EC8"/>
    <w:rsid w:val="00625F55"/>
    <w:rsid w:val="00626031"/>
    <w:rsid w:val="00626681"/>
    <w:rsid w:val="0062704E"/>
    <w:rsid w:val="0062774D"/>
    <w:rsid w:val="00627DE2"/>
    <w:rsid w:val="00630839"/>
    <w:rsid w:val="00630BCC"/>
    <w:rsid w:val="00630E44"/>
    <w:rsid w:val="0063102B"/>
    <w:rsid w:val="0063165E"/>
    <w:rsid w:val="00631766"/>
    <w:rsid w:val="00631E91"/>
    <w:rsid w:val="006322DA"/>
    <w:rsid w:val="0063266B"/>
    <w:rsid w:val="00632A99"/>
    <w:rsid w:val="00632CAB"/>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6CE"/>
    <w:rsid w:val="00640D70"/>
    <w:rsid w:val="00640E6B"/>
    <w:rsid w:val="006414B8"/>
    <w:rsid w:val="0064163F"/>
    <w:rsid w:val="00641705"/>
    <w:rsid w:val="006419FE"/>
    <w:rsid w:val="00641A39"/>
    <w:rsid w:val="00641FD7"/>
    <w:rsid w:val="0064248A"/>
    <w:rsid w:val="00642B65"/>
    <w:rsid w:val="006436AA"/>
    <w:rsid w:val="00643889"/>
    <w:rsid w:val="00643DB1"/>
    <w:rsid w:val="00643F65"/>
    <w:rsid w:val="00644083"/>
    <w:rsid w:val="00644138"/>
    <w:rsid w:val="00644708"/>
    <w:rsid w:val="00644EE6"/>
    <w:rsid w:val="0064528D"/>
    <w:rsid w:val="0064580D"/>
    <w:rsid w:val="006458CB"/>
    <w:rsid w:val="00645983"/>
    <w:rsid w:val="00645A33"/>
    <w:rsid w:val="00645BC1"/>
    <w:rsid w:val="00646367"/>
    <w:rsid w:val="00646383"/>
    <w:rsid w:val="00646487"/>
    <w:rsid w:val="00646545"/>
    <w:rsid w:val="00646851"/>
    <w:rsid w:val="00646E33"/>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082"/>
    <w:rsid w:val="0065243D"/>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14"/>
    <w:rsid w:val="0066769C"/>
    <w:rsid w:val="006679B2"/>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E3"/>
    <w:rsid w:val="0068202D"/>
    <w:rsid w:val="006831C1"/>
    <w:rsid w:val="0068368A"/>
    <w:rsid w:val="00684022"/>
    <w:rsid w:val="00684167"/>
    <w:rsid w:val="006842E5"/>
    <w:rsid w:val="00684734"/>
    <w:rsid w:val="0068481F"/>
    <w:rsid w:val="0068494F"/>
    <w:rsid w:val="00684D55"/>
    <w:rsid w:val="00685973"/>
    <w:rsid w:val="00685A4B"/>
    <w:rsid w:val="00685C43"/>
    <w:rsid w:val="00685D7D"/>
    <w:rsid w:val="0068635D"/>
    <w:rsid w:val="00686B3B"/>
    <w:rsid w:val="00686E57"/>
    <w:rsid w:val="00686F13"/>
    <w:rsid w:val="0068755D"/>
    <w:rsid w:val="00687596"/>
    <w:rsid w:val="00687947"/>
    <w:rsid w:val="006879C4"/>
    <w:rsid w:val="0069048A"/>
    <w:rsid w:val="00690DF0"/>
    <w:rsid w:val="00690F8C"/>
    <w:rsid w:val="006915CB"/>
    <w:rsid w:val="00691ADF"/>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C19"/>
    <w:rsid w:val="006A22FA"/>
    <w:rsid w:val="006A230B"/>
    <w:rsid w:val="006A2DB8"/>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BA1"/>
    <w:rsid w:val="006A7E8D"/>
    <w:rsid w:val="006B0116"/>
    <w:rsid w:val="006B0689"/>
    <w:rsid w:val="006B0FB4"/>
    <w:rsid w:val="006B1665"/>
    <w:rsid w:val="006B19B5"/>
    <w:rsid w:val="006B1C72"/>
    <w:rsid w:val="006B22E8"/>
    <w:rsid w:val="006B2B19"/>
    <w:rsid w:val="006B2D6D"/>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9DA"/>
    <w:rsid w:val="006C4089"/>
    <w:rsid w:val="006C4813"/>
    <w:rsid w:val="006C4B0B"/>
    <w:rsid w:val="006C4EE4"/>
    <w:rsid w:val="006C4F23"/>
    <w:rsid w:val="006C5332"/>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BD8"/>
    <w:rsid w:val="006E0252"/>
    <w:rsid w:val="006E0B5E"/>
    <w:rsid w:val="006E1007"/>
    <w:rsid w:val="006E12F7"/>
    <w:rsid w:val="006E14C3"/>
    <w:rsid w:val="006E1862"/>
    <w:rsid w:val="006E1ECF"/>
    <w:rsid w:val="006E1FF6"/>
    <w:rsid w:val="006E2260"/>
    <w:rsid w:val="006E2B7D"/>
    <w:rsid w:val="006E3ACE"/>
    <w:rsid w:val="006E3B0B"/>
    <w:rsid w:val="006E4296"/>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770"/>
    <w:rsid w:val="006F3849"/>
    <w:rsid w:val="006F3A57"/>
    <w:rsid w:val="006F3ADF"/>
    <w:rsid w:val="006F3C5E"/>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97B"/>
    <w:rsid w:val="00704E0D"/>
    <w:rsid w:val="0070529C"/>
    <w:rsid w:val="00705400"/>
    <w:rsid w:val="00705A22"/>
    <w:rsid w:val="00705F1D"/>
    <w:rsid w:val="007060B5"/>
    <w:rsid w:val="0070611B"/>
    <w:rsid w:val="00706203"/>
    <w:rsid w:val="007066CB"/>
    <w:rsid w:val="00707129"/>
    <w:rsid w:val="00707591"/>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B01"/>
    <w:rsid w:val="00713E7C"/>
    <w:rsid w:val="00714AB3"/>
    <w:rsid w:val="00714C81"/>
    <w:rsid w:val="00714D0C"/>
    <w:rsid w:val="00715628"/>
    <w:rsid w:val="00715BB5"/>
    <w:rsid w:val="00715F8C"/>
    <w:rsid w:val="007163BB"/>
    <w:rsid w:val="00716BA0"/>
    <w:rsid w:val="00716C92"/>
    <w:rsid w:val="007170E0"/>
    <w:rsid w:val="00717710"/>
    <w:rsid w:val="00717F58"/>
    <w:rsid w:val="00720A9A"/>
    <w:rsid w:val="00720AD9"/>
    <w:rsid w:val="00720D39"/>
    <w:rsid w:val="00720D6E"/>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672"/>
    <w:rsid w:val="0072485A"/>
    <w:rsid w:val="00724A08"/>
    <w:rsid w:val="0072540A"/>
    <w:rsid w:val="00725423"/>
    <w:rsid w:val="0072590B"/>
    <w:rsid w:val="00725A3D"/>
    <w:rsid w:val="00725D34"/>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716"/>
    <w:rsid w:val="0073293E"/>
    <w:rsid w:val="007331A9"/>
    <w:rsid w:val="00733423"/>
    <w:rsid w:val="00733810"/>
    <w:rsid w:val="00733D67"/>
    <w:rsid w:val="007340C7"/>
    <w:rsid w:val="00734238"/>
    <w:rsid w:val="007346F6"/>
    <w:rsid w:val="00734A59"/>
    <w:rsid w:val="0073584B"/>
    <w:rsid w:val="007358DC"/>
    <w:rsid w:val="007359BF"/>
    <w:rsid w:val="00735DED"/>
    <w:rsid w:val="00735F82"/>
    <w:rsid w:val="007363DD"/>
    <w:rsid w:val="00736A29"/>
    <w:rsid w:val="00736BAC"/>
    <w:rsid w:val="00736EB3"/>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B91"/>
    <w:rsid w:val="00746D8B"/>
    <w:rsid w:val="0074740E"/>
    <w:rsid w:val="00747CDD"/>
    <w:rsid w:val="00747FC8"/>
    <w:rsid w:val="00750A72"/>
    <w:rsid w:val="00750F54"/>
    <w:rsid w:val="00751528"/>
    <w:rsid w:val="00751618"/>
    <w:rsid w:val="007518CB"/>
    <w:rsid w:val="007519CB"/>
    <w:rsid w:val="00752394"/>
    <w:rsid w:val="00752499"/>
    <w:rsid w:val="007525CC"/>
    <w:rsid w:val="00752EA4"/>
    <w:rsid w:val="0075342F"/>
    <w:rsid w:val="00754689"/>
    <w:rsid w:val="00754983"/>
    <w:rsid w:val="00754A69"/>
    <w:rsid w:val="00754D6C"/>
    <w:rsid w:val="00754E5E"/>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9F2"/>
    <w:rsid w:val="007632B2"/>
    <w:rsid w:val="007634B2"/>
    <w:rsid w:val="007637DF"/>
    <w:rsid w:val="00763EB1"/>
    <w:rsid w:val="00763F66"/>
    <w:rsid w:val="00764154"/>
    <w:rsid w:val="0076448E"/>
    <w:rsid w:val="00764907"/>
    <w:rsid w:val="00764CB7"/>
    <w:rsid w:val="00764F43"/>
    <w:rsid w:val="0076515E"/>
    <w:rsid w:val="00765181"/>
    <w:rsid w:val="007652E9"/>
    <w:rsid w:val="007653FA"/>
    <w:rsid w:val="00765437"/>
    <w:rsid w:val="0076565E"/>
    <w:rsid w:val="00765909"/>
    <w:rsid w:val="00765E2C"/>
    <w:rsid w:val="007663C8"/>
    <w:rsid w:val="00766762"/>
    <w:rsid w:val="00766B7A"/>
    <w:rsid w:val="00766F6D"/>
    <w:rsid w:val="007672D9"/>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97F"/>
    <w:rsid w:val="00772B18"/>
    <w:rsid w:val="0077304D"/>
    <w:rsid w:val="00773413"/>
    <w:rsid w:val="00773537"/>
    <w:rsid w:val="007736B4"/>
    <w:rsid w:val="007737E8"/>
    <w:rsid w:val="00773B6F"/>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A28"/>
    <w:rsid w:val="00777E59"/>
    <w:rsid w:val="00777F11"/>
    <w:rsid w:val="00780223"/>
    <w:rsid w:val="0078028D"/>
    <w:rsid w:val="007802AC"/>
    <w:rsid w:val="007811D0"/>
    <w:rsid w:val="007815CE"/>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EDA"/>
    <w:rsid w:val="00795310"/>
    <w:rsid w:val="00795586"/>
    <w:rsid w:val="00795660"/>
    <w:rsid w:val="00795770"/>
    <w:rsid w:val="0079594B"/>
    <w:rsid w:val="00795C5D"/>
    <w:rsid w:val="007965DA"/>
    <w:rsid w:val="00796708"/>
    <w:rsid w:val="007970E4"/>
    <w:rsid w:val="00797D4B"/>
    <w:rsid w:val="007A0A4D"/>
    <w:rsid w:val="007A0CFD"/>
    <w:rsid w:val="007A0D65"/>
    <w:rsid w:val="007A0EC1"/>
    <w:rsid w:val="007A1ACC"/>
    <w:rsid w:val="007A1E35"/>
    <w:rsid w:val="007A1E96"/>
    <w:rsid w:val="007A2225"/>
    <w:rsid w:val="007A2354"/>
    <w:rsid w:val="007A26AC"/>
    <w:rsid w:val="007A26BA"/>
    <w:rsid w:val="007A2B2A"/>
    <w:rsid w:val="007A2D52"/>
    <w:rsid w:val="007A2F3D"/>
    <w:rsid w:val="007A3714"/>
    <w:rsid w:val="007A3D29"/>
    <w:rsid w:val="007A40AD"/>
    <w:rsid w:val="007A40E3"/>
    <w:rsid w:val="007A4456"/>
    <w:rsid w:val="007A45A3"/>
    <w:rsid w:val="007A4EF1"/>
    <w:rsid w:val="007A5017"/>
    <w:rsid w:val="007A507A"/>
    <w:rsid w:val="007A513F"/>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2AE"/>
    <w:rsid w:val="007B68CB"/>
    <w:rsid w:val="007B6ACA"/>
    <w:rsid w:val="007B6DF8"/>
    <w:rsid w:val="007B6E0D"/>
    <w:rsid w:val="007B7096"/>
    <w:rsid w:val="007B710E"/>
    <w:rsid w:val="007B7DC8"/>
    <w:rsid w:val="007C01C2"/>
    <w:rsid w:val="007C0282"/>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57B"/>
    <w:rsid w:val="007C47C7"/>
    <w:rsid w:val="007C49C3"/>
    <w:rsid w:val="007C4FDD"/>
    <w:rsid w:val="007C55E2"/>
    <w:rsid w:val="007C5781"/>
    <w:rsid w:val="007C579D"/>
    <w:rsid w:val="007C5B34"/>
    <w:rsid w:val="007C5D3D"/>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3E"/>
    <w:rsid w:val="007D44FA"/>
    <w:rsid w:val="007D48CA"/>
    <w:rsid w:val="007D4ABB"/>
    <w:rsid w:val="007D4B10"/>
    <w:rsid w:val="007D4D0B"/>
    <w:rsid w:val="007D5AC1"/>
    <w:rsid w:val="007D5DE9"/>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5C7"/>
    <w:rsid w:val="007E2719"/>
    <w:rsid w:val="007E2724"/>
    <w:rsid w:val="007E2AA2"/>
    <w:rsid w:val="007E3599"/>
    <w:rsid w:val="007E382D"/>
    <w:rsid w:val="007E3C76"/>
    <w:rsid w:val="007E3CAB"/>
    <w:rsid w:val="007E4053"/>
    <w:rsid w:val="007E4954"/>
    <w:rsid w:val="007E4A5D"/>
    <w:rsid w:val="007E4BEE"/>
    <w:rsid w:val="007E4E69"/>
    <w:rsid w:val="007E56D9"/>
    <w:rsid w:val="007E56DF"/>
    <w:rsid w:val="007E5865"/>
    <w:rsid w:val="007E59B2"/>
    <w:rsid w:val="007E5B25"/>
    <w:rsid w:val="007E6CE6"/>
    <w:rsid w:val="007E6F97"/>
    <w:rsid w:val="007E74F8"/>
    <w:rsid w:val="007E7569"/>
    <w:rsid w:val="007E7AE5"/>
    <w:rsid w:val="007E7D9E"/>
    <w:rsid w:val="007F055B"/>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EBE"/>
    <w:rsid w:val="007F4F9B"/>
    <w:rsid w:val="007F531A"/>
    <w:rsid w:val="007F53EE"/>
    <w:rsid w:val="007F548A"/>
    <w:rsid w:val="007F588D"/>
    <w:rsid w:val="007F58AA"/>
    <w:rsid w:val="007F5A4C"/>
    <w:rsid w:val="007F5B11"/>
    <w:rsid w:val="007F5C32"/>
    <w:rsid w:val="007F5E5B"/>
    <w:rsid w:val="007F63A6"/>
    <w:rsid w:val="007F67A6"/>
    <w:rsid w:val="007F6D2C"/>
    <w:rsid w:val="007F6E29"/>
    <w:rsid w:val="007F7324"/>
    <w:rsid w:val="007F7B19"/>
    <w:rsid w:val="007F7BC2"/>
    <w:rsid w:val="00800627"/>
    <w:rsid w:val="00800AB0"/>
    <w:rsid w:val="008011B9"/>
    <w:rsid w:val="008011E0"/>
    <w:rsid w:val="008012FF"/>
    <w:rsid w:val="008014A4"/>
    <w:rsid w:val="00801601"/>
    <w:rsid w:val="00801A02"/>
    <w:rsid w:val="00801D67"/>
    <w:rsid w:val="00801D89"/>
    <w:rsid w:val="0080252F"/>
    <w:rsid w:val="008028B6"/>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68F"/>
    <w:rsid w:val="00810EB3"/>
    <w:rsid w:val="00810FE7"/>
    <w:rsid w:val="008110D9"/>
    <w:rsid w:val="0081119C"/>
    <w:rsid w:val="008120DF"/>
    <w:rsid w:val="008124CA"/>
    <w:rsid w:val="00812C0B"/>
    <w:rsid w:val="00812E15"/>
    <w:rsid w:val="00812E7B"/>
    <w:rsid w:val="00813083"/>
    <w:rsid w:val="00813288"/>
    <w:rsid w:val="008132D0"/>
    <w:rsid w:val="0081366E"/>
    <w:rsid w:val="008138B6"/>
    <w:rsid w:val="00813DF8"/>
    <w:rsid w:val="0081446E"/>
    <w:rsid w:val="00814983"/>
    <w:rsid w:val="00815018"/>
    <w:rsid w:val="008155F2"/>
    <w:rsid w:val="0081576E"/>
    <w:rsid w:val="00816124"/>
    <w:rsid w:val="008162B3"/>
    <w:rsid w:val="008165D5"/>
    <w:rsid w:val="00816710"/>
    <w:rsid w:val="008169C0"/>
    <w:rsid w:val="00816B1A"/>
    <w:rsid w:val="0081739D"/>
    <w:rsid w:val="008176F4"/>
    <w:rsid w:val="008177D1"/>
    <w:rsid w:val="00817940"/>
    <w:rsid w:val="00817F63"/>
    <w:rsid w:val="008207ED"/>
    <w:rsid w:val="00821313"/>
    <w:rsid w:val="00821326"/>
    <w:rsid w:val="00821560"/>
    <w:rsid w:val="00821BC3"/>
    <w:rsid w:val="00822B06"/>
    <w:rsid w:val="00823198"/>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27EC1"/>
    <w:rsid w:val="00830600"/>
    <w:rsid w:val="00830638"/>
    <w:rsid w:val="008311C4"/>
    <w:rsid w:val="00831A49"/>
    <w:rsid w:val="00831D5C"/>
    <w:rsid w:val="00831DF0"/>
    <w:rsid w:val="00831E7A"/>
    <w:rsid w:val="008337B5"/>
    <w:rsid w:val="008339F3"/>
    <w:rsid w:val="00833A5D"/>
    <w:rsid w:val="00834236"/>
    <w:rsid w:val="008359F2"/>
    <w:rsid w:val="00835BC5"/>
    <w:rsid w:val="00835C0E"/>
    <w:rsid w:val="008364C3"/>
    <w:rsid w:val="0083657F"/>
    <w:rsid w:val="00836C79"/>
    <w:rsid w:val="00837204"/>
    <w:rsid w:val="00837930"/>
    <w:rsid w:val="00837AE6"/>
    <w:rsid w:val="00837AF8"/>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87E"/>
    <w:rsid w:val="00843993"/>
    <w:rsid w:val="008439C9"/>
    <w:rsid w:val="0084405D"/>
    <w:rsid w:val="008441C7"/>
    <w:rsid w:val="008450A8"/>
    <w:rsid w:val="008454C4"/>
    <w:rsid w:val="00845F1E"/>
    <w:rsid w:val="008461CF"/>
    <w:rsid w:val="00846481"/>
    <w:rsid w:val="0084650B"/>
    <w:rsid w:val="00846862"/>
    <w:rsid w:val="00846C16"/>
    <w:rsid w:val="0084741D"/>
    <w:rsid w:val="00847467"/>
    <w:rsid w:val="00847AC0"/>
    <w:rsid w:val="00847EB8"/>
    <w:rsid w:val="00850138"/>
    <w:rsid w:val="00850B25"/>
    <w:rsid w:val="00850C98"/>
    <w:rsid w:val="00850D65"/>
    <w:rsid w:val="00850F2D"/>
    <w:rsid w:val="00851132"/>
    <w:rsid w:val="00851C2E"/>
    <w:rsid w:val="00851D4D"/>
    <w:rsid w:val="00852137"/>
    <w:rsid w:val="0085214D"/>
    <w:rsid w:val="008528CD"/>
    <w:rsid w:val="00852904"/>
    <w:rsid w:val="008533B7"/>
    <w:rsid w:val="00853485"/>
    <w:rsid w:val="00853666"/>
    <w:rsid w:val="00853CFB"/>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D87"/>
    <w:rsid w:val="00862F48"/>
    <w:rsid w:val="0086331D"/>
    <w:rsid w:val="008638BD"/>
    <w:rsid w:val="00863AC1"/>
    <w:rsid w:val="00864A42"/>
    <w:rsid w:val="00865007"/>
    <w:rsid w:val="0086506E"/>
    <w:rsid w:val="0086526F"/>
    <w:rsid w:val="008653BB"/>
    <w:rsid w:val="00865B6E"/>
    <w:rsid w:val="00865C92"/>
    <w:rsid w:val="008662BA"/>
    <w:rsid w:val="008665D6"/>
    <w:rsid w:val="00866667"/>
    <w:rsid w:val="00866981"/>
    <w:rsid w:val="00866A7D"/>
    <w:rsid w:val="00866FB2"/>
    <w:rsid w:val="00867010"/>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BB3"/>
    <w:rsid w:val="00872D5A"/>
    <w:rsid w:val="0087345A"/>
    <w:rsid w:val="0087351F"/>
    <w:rsid w:val="0087363C"/>
    <w:rsid w:val="008738E4"/>
    <w:rsid w:val="00873EF2"/>
    <w:rsid w:val="00874096"/>
    <w:rsid w:val="008746E8"/>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25A"/>
    <w:rsid w:val="00881418"/>
    <w:rsid w:val="008814EC"/>
    <w:rsid w:val="0088177D"/>
    <w:rsid w:val="008821CC"/>
    <w:rsid w:val="008825D3"/>
    <w:rsid w:val="00882BF0"/>
    <w:rsid w:val="008833DF"/>
    <w:rsid w:val="00883A05"/>
    <w:rsid w:val="0088426B"/>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29"/>
    <w:rsid w:val="00886A4E"/>
    <w:rsid w:val="00886C57"/>
    <w:rsid w:val="008871E3"/>
    <w:rsid w:val="00887223"/>
    <w:rsid w:val="008873A7"/>
    <w:rsid w:val="008879AB"/>
    <w:rsid w:val="00887A37"/>
    <w:rsid w:val="00887CCD"/>
    <w:rsid w:val="00887EEB"/>
    <w:rsid w:val="0089003C"/>
    <w:rsid w:val="00890681"/>
    <w:rsid w:val="008909E4"/>
    <w:rsid w:val="00891215"/>
    <w:rsid w:val="00891360"/>
    <w:rsid w:val="00891807"/>
    <w:rsid w:val="00891992"/>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761"/>
    <w:rsid w:val="008A1964"/>
    <w:rsid w:val="008A1CB0"/>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12D5"/>
    <w:rsid w:val="008D196A"/>
    <w:rsid w:val="008D1970"/>
    <w:rsid w:val="008D1D09"/>
    <w:rsid w:val="008D1F6F"/>
    <w:rsid w:val="008D27DE"/>
    <w:rsid w:val="008D3179"/>
    <w:rsid w:val="008D3D2C"/>
    <w:rsid w:val="008D3D4B"/>
    <w:rsid w:val="008D3DF2"/>
    <w:rsid w:val="008D40F6"/>
    <w:rsid w:val="008D4B8E"/>
    <w:rsid w:val="008D55A3"/>
    <w:rsid w:val="008D5B11"/>
    <w:rsid w:val="008D5DEC"/>
    <w:rsid w:val="008D5FD4"/>
    <w:rsid w:val="008D61B6"/>
    <w:rsid w:val="008D61EB"/>
    <w:rsid w:val="008D64FA"/>
    <w:rsid w:val="008D6501"/>
    <w:rsid w:val="008D6788"/>
    <w:rsid w:val="008D6BBA"/>
    <w:rsid w:val="008D7386"/>
    <w:rsid w:val="008D76C0"/>
    <w:rsid w:val="008D7784"/>
    <w:rsid w:val="008E0000"/>
    <w:rsid w:val="008E063A"/>
    <w:rsid w:val="008E1385"/>
    <w:rsid w:val="008E15E4"/>
    <w:rsid w:val="008E1744"/>
    <w:rsid w:val="008E183D"/>
    <w:rsid w:val="008E1C53"/>
    <w:rsid w:val="008E23C7"/>
    <w:rsid w:val="008E264E"/>
    <w:rsid w:val="008E28DB"/>
    <w:rsid w:val="008E2947"/>
    <w:rsid w:val="008E2A47"/>
    <w:rsid w:val="008E3A8E"/>
    <w:rsid w:val="008E3C3F"/>
    <w:rsid w:val="008E441F"/>
    <w:rsid w:val="008E4646"/>
    <w:rsid w:val="008E4870"/>
    <w:rsid w:val="008E4BBA"/>
    <w:rsid w:val="008E4D7E"/>
    <w:rsid w:val="008E519E"/>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656"/>
    <w:rsid w:val="008F686F"/>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81E"/>
    <w:rsid w:val="009116C4"/>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5B4"/>
    <w:rsid w:val="009245EB"/>
    <w:rsid w:val="009246E0"/>
    <w:rsid w:val="00924981"/>
    <w:rsid w:val="00924A32"/>
    <w:rsid w:val="00924F92"/>
    <w:rsid w:val="00925222"/>
    <w:rsid w:val="00925619"/>
    <w:rsid w:val="00926132"/>
    <w:rsid w:val="0092613B"/>
    <w:rsid w:val="00927110"/>
    <w:rsid w:val="009273C7"/>
    <w:rsid w:val="00927749"/>
    <w:rsid w:val="0092785F"/>
    <w:rsid w:val="00927C01"/>
    <w:rsid w:val="00927DE2"/>
    <w:rsid w:val="00930260"/>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B5A"/>
    <w:rsid w:val="00933CAD"/>
    <w:rsid w:val="0093479D"/>
    <w:rsid w:val="00934829"/>
    <w:rsid w:val="00934A2E"/>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DB9"/>
    <w:rsid w:val="00942543"/>
    <w:rsid w:val="00942730"/>
    <w:rsid w:val="0094291F"/>
    <w:rsid w:val="00942BB9"/>
    <w:rsid w:val="00942BBE"/>
    <w:rsid w:val="0094363D"/>
    <w:rsid w:val="00943A2E"/>
    <w:rsid w:val="00944110"/>
    <w:rsid w:val="009442CC"/>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22F5"/>
    <w:rsid w:val="00952B16"/>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20C"/>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350"/>
    <w:rsid w:val="009717C0"/>
    <w:rsid w:val="00971B20"/>
    <w:rsid w:val="00971EC9"/>
    <w:rsid w:val="00971F61"/>
    <w:rsid w:val="0097202B"/>
    <w:rsid w:val="0097216D"/>
    <w:rsid w:val="00972467"/>
    <w:rsid w:val="0097292A"/>
    <w:rsid w:val="00972BF5"/>
    <w:rsid w:val="00972E3F"/>
    <w:rsid w:val="00973D63"/>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776AD"/>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6953"/>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AB"/>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AC1"/>
    <w:rsid w:val="009A0DAB"/>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50FF"/>
    <w:rsid w:val="009A6110"/>
    <w:rsid w:val="009A657E"/>
    <w:rsid w:val="009A6676"/>
    <w:rsid w:val="009A6DB4"/>
    <w:rsid w:val="009A79E9"/>
    <w:rsid w:val="009A7DED"/>
    <w:rsid w:val="009B0933"/>
    <w:rsid w:val="009B0B08"/>
    <w:rsid w:val="009B0C53"/>
    <w:rsid w:val="009B0E66"/>
    <w:rsid w:val="009B0F02"/>
    <w:rsid w:val="009B10AA"/>
    <w:rsid w:val="009B12EB"/>
    <w:rsid w:val="009B173F"/>
    <w:rsid w:val="009B26CA"/>
    <w:rsid w:val="009B29B5"/>
    <w:rsid w:val="009B2A48"/>
    <w:rsid w:val="009B2D98"/>
    <w:rsid w:val="009B2E69"/>
    <w:rsid w:val="009B2FF4"/>
    <w:rsid w:val="009B3306"/>
    <w:rsid w:val="009B39D1"/>
    <w:rsid w:val="009B3AA1"/>
    <w:rsid w:val="009B43D0"/>
    <w:rsid w:val="009B4B61"/>
    <w:rsid w:val="009B5ADE"/>
    <w:rsid w:val="009B5B3F"/>
    <w:rsid w:val="009B63D1"/>
    <w:rsid w:val="009B6736"/>
    <w:rsid w:val="009B695C"/>
    <w:rsid w:val="009B6BD3"/>
    <w:rsid w:val="009B714D"/>
    <w:rsid w:val="009B756A"/>
    <w:rsid w:val="009B7591"/>
    <w:rsid w:val="009B77F2"/>
    <w:rsid w:val="009B7ABF"/>
    <w:rsid w:val="009B7BA7"/>
    <w:rsid w:val="009C08BD"/>
    <w:rsid w:val="009C0BAB"/>
    <w:rsid w:val="009C0BBE"/>
    <w:rsid w:val="009C0F2C"/>
    <w:rsid w:val="009C0F43"/>
    <w:rsid w:val="009C1D69"/>
    <w:rsid w:val="009C1EAD"/>
    <w:rsid w:val="009C223D"/>
    <w:rsid w:val="009C246A"/>
    <w:rsid w:val="009C2625"/>
    <w:rsid w:val="009C281D"/>
    <w:rsid w:val="009C2837"/>
    <w:rsid w:val="009C2FF5"/>
    <w:rsid w:val="009C30E9"/>
    <w:rsid w:val="009C34DD"/>
    <w:rsid w:val="009C3590"/>
    <w:rsid w:val="009C399F"/>
    <w:rsid w:val="009C3B3D"/>
    <w:rsid w:val="009C3CD5"/>
    <w:rsid w:val="009C3DF9"/>
    <w:rsid w:val="009C49BA"/>
    <w:rsid w:val="009C4B28"/>
    <w:rsid w:val="009C514D"/>
    <w:rsid w:val="009C5C87"/>
    <w:rsid w:val="009C5ED3"/>
    <w:rsid w:val="009C692C"/>
    <w:rsid w:val="009C71E4"/>
    <w:rsid w:val="009C7500"/>
    <w:rsid w:val="009C7650"/>
    <w:rsid w:val="009C76C8"/>
    <w:rsid w:val="009C7809"/>
    <w:rsid w:val="009C7C5C"/>
    <w:rsid w:val="009C7C9A"/>
    <w:rsid w:val="009D0732"/>
    <w:rsid w:val="009D0D33"/>
    <w:rsid w:val="009D1366"/>
    <w:rsid w:val="009D1564"/>
    <w:rsid w:val="009D1912"/>
    <w:rsid w:val="009D19ED"/>
    <w:rsid w:val="009D1B2F"/>
    <w:rsid w:val="009D21E6"/>
    <w:rsid w:val="009D2BE8"/>
    <w:rsid w:val="009D2EC9"/>
    <w:rsid w:val="009D321F"/>
    <w:rsid w:val="009D35BC"/>
    <w:rsid w:val="009D3669"/>
    <w:rsid w:val="009D378C"/>
    <w:rsid w:val="009D3926"/>
    <w:rsid w:val="009D4D7B"/>
    <w:rsid w:val="009D5719"/>
    <w:rsid w:val="009D64B3"/>
    <w:rsid w:val="009D6610"/>
    <w:rsid w:val="009D6A07"/>
    <w:rsid w:val="009D6A3A"/>
    <w:rsid w:val="009D6AA8"/>
    <w:rsid w:val="009D6B0E"/>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315"/>
    <w:rsid w:val="009E6787"/>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0F4C"/>
    <w:rsid w:val="00A0128F"/>
    <w:rsid w:val="00A012F4"/>
    <w:rsid w:val="00A01B7B"/>
    <w:rsid w:val="00A02038"/>
    <w:rsid w:val="00A023DE"/>
    <w:rsid w:val="00A02996"/>
    <w:rsid w:val="00A02C1A"/>
    <w:rsid w:val="00A031C0"/>
    <w:rsid w:val="00A033D4"/>
    <w:rsid w:val="00A034F9"/>
    <w:rsid w:val="00A03CF2"/>
    <w:rsid w:val="00A043AB"/>
    <w:rsid w:val="00A043FD"/>
    <w:rsid w:val="00A04402"/>
    <w:rsid w:val="00A049AE"/>
    <w:rsid w:val="00A04AB5"/>
    <w:rsid w:val="00A05A87"/>
    <w:rsid w:val="00A06086"/>
    <w:rsid w:val="00A060ED"/>
    <w:rsid w:val="00A064D8"/>
    <w:rsid w:val="00A064D9"/>
    <w:rsid w:val="00A06546"/>
    <w:rsid w:val="00A06AA5"/>
    <w:rsid w:val="00A06EA7"/>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40F"/>
    <w:rsid w:val="00A20F9A"/>
    <w:rsid w:val="00A21102"/>
    <w:rsid w:val="00A216F0"/>
    <w:rsid w:val="00A219EB"/>
    <w:rsid w:val="00A22190"/>
    <w:rsid w:val="00A22430"/>
    <w:rsid w:val="00A231C6"/>
    <w:rsid w:val="00A2358E"/>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316"/>
    <w:rsid w:val="00A33AE0"/>
    <w:rsid w:val="00A33DD4"/>
    <w:rsid w:val="00A347FA"/>
    <w:rsid w:val="00A34D96"/>
    <w:rsid w:val="00A34F40"/>
    <w:rsid w:val="00A35202"/>
    <w:rsid w:val="00A35963"/>
    <w:rsid w:val="00A35FC0"/>
    <w:rsid w:val="00A36315"/>
    <w:rsid w:val="00A363B0"/>
    <w:rsid w:val="00A363C6"/>
    <w:rsid w:val="00A36572"/>
    <w:rsid w:val="00A365D9"/>
    <w:rsid w:val="00A36DC1"/>
    <w:rsid w:val="00A370C5"/>
    <w:rsid w:val="00A372E8"/>
    <w:rsid w:val="00A37539"/>
    <w:rsid w:val="00A37748"/>
    <w:rsid w:val="00A37CCD"/>
    <w:rsid w:val="00A37F5F"/>
    <w:rsid w:val="00A40C4F"/>
    <w:rsid w:val="00A4143E"/>
    <w:rsid w:val="00A4187E"/>
    <w:rsid w:val="00A41A89"/>
    <w:rsid w:val="00A428D1"/>
    <w:rsid w:val="00A42956"/>
    <w:rsid w:val="00A429D7"/>
    <w:rsid w:val="00A42B48"/>
    <w:rsid w:val="00A42FEC"/>
    <w:rsid w:val="00A4368F"/>
    <w:rsid w:val="00A4391A"/>
    <w:rsid w:val="00A43CB7"/>
    <w:rsid w:val="00A43DCA"/>
    <w:rsid w:val="00A440BE"/>
    <w:rsid w:val="00A44111"/>
    <w:rsid w:val="00A44162"/>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4F6B"/>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5E9"/>
    <w:rsid w:val="00A776BC"/>
    <w:rsid w:val="00A77A1E"/>
    <w:rsid w:val="00A77EB2"/>
    <w:rsid w:val="00A8031F"/>
    <w:rsid w:val="00A804DA"/>
    <w:rsid w:val="00A804FE"/>
    <w:rsid w:val="00A80869"/>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C13"/>
    <w:rsid w:val="00A85C63"/>
    <w:rsid w:val="00A85FD5"/>
    <w:rsid w:val="00A86221"/>
    <w:rsid w:val="00A864CE"/>
    <w:rsid w:val="00A8671C"/>
    <w:rsid w:val="00A86EC7"/>
    <w:rsid w:val="00A87003"/>
    <w:rsid w:val="00A87105"/>
    <w:rsid w:val="00A87412"/>
    <w:rsid w:val="00A87EDA"/>
    <w:rsid w:val="00A90753"/>
    <w:rsid w:val="00A90A45"/>
    <w:rsid w:val="00A90F36"/>
    <w:rsid w:val="00A91507"/>
    <w:rsid w:val="00A91C99"/>
    <w:rsid w:val="00A921C8"/>
    <w:rsid w:val="00A92885"/>
    <w:rsid w:val="00A92AE2"/>
    <w:rsid w:val="00A92F66"/>
    <w:rsid w:val="00A932CE"/>
    <w:rsid w:val="00A937B9"/>
    <w:rsid w:val="00A93CFA"/>
    <w:rsid w:val="00A93FF2"/>
    <w:rsid w:val="00A9438C"/>
    <w:rsid w:val="00A94C6C"/>
    <w:rsid w:val="00A94DFB"/>
    <w:rsid w:val="00A94FF6"/>
    <w:rsid w:val="00A951DB"/>
    <w:rsid w:val="00A95879"/>
    <w:rsid w:val="00A95B4D"/>
    <w:rsid w:val="00A96474"/>
    <w:rsid w:val="00A964ED"/>
    <w:rsid w:val="00A969D1"/>
    <w:rsid w:val="00A9729B"/>
    <w:rsid w:val="00A9792F"/>
    <w:rsid w:val="00A97AB6"/>
    <w:rsid w:val="00A97BE3"/>
    <w:rsid w:val="00A97F8E"/>
    <w:rsid w:val="00AA03BC"/>
    <w:rsid w:val="00AA0905"/>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583"/>
    <w:rsid w:val="00AB0E2B"/>
    <w:rsid w:val="00AB0EA3"/>
    <w:rsid w:val="00AB104A"/>
    <w:rsid w:val="00AB18D9"/>
    <w:rsid w:val="00AB1BA8"/>
    <w:rsid w:val="00AB1C6B"/>
    <w:rsid w:val="00AB1E50"/>
    <w:rsid w:val="00AB20DE"/>
    <w:rsid w:val="00AB2666"/>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D92"/>
    <w:rsid w:val="00AB75CA"/>
    <w:rsid w:val="00AB75D4"/>
    <w:rsid w:val="00AB767F"/>
    <w:rsid w:val="00AB76CC"/>
    <w:rsid w:val="00AB79A2"/>
    <w:rsid w:val="00AC02EA"/>
    <w:rsid w:val="00AC047B"/>
    <w:rsid w:val="00AC09F0"/>
    <w:rsid w:val="00AC0EAB"/>
    <w:rsid w:val="00AC1616"/>
    <w:rsid w:val="00AC19B3"/>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D0501"/>
    <w:rsid w:val="00AD0BC2"/>
    <w:rsid w:val="00AD0CDE"/>
    <w:rsid w:val="00AD0CED"/>
    <w:rsid w:val="00AD0DD4"/>
    <w:rsid w:val="00AD1595"/>
    <w:rsid w:val="00AD1CF7"/>
    <w:rsid w:val="00AD2D11"/>
    <w:rsid w:val="00AD2FB7"/>
    <w:rsid w:val="00AD2FED"/>
    <w:rsid w:val="00AD380A"/>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547"/>
    <w:rsid w:val="00AD6D50"/>
    <w:rsid w:val="00AD6E06"/>
    <w:rsid w:val="00AD6F71"/>
    <w:rsid w:val="00AD72E8"/>
    <w:rsid w:val="00AD747B"/>
    <w:rsid w:val="00AD74F4"/>
    <w:rsid w:val="00AD7549"/>
    <w:rsid w:val="00AD7703"/>
    <w:rsid w:val="00AD773F"/>
    <w:rsid w:val="00AD7762"/>
    <w:rsid w:val="00AD7961"/>
    <w:rsid w:val="00AD7A24"/>
    <w:rsid w:val="00AE0691"/>
    <w:rsid w:val="00AE0B5B"/>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4122"/>
    <w:rsid w:val="00AE43E5"/>
    <w:rsid w:val="00AE45E3"/>
    <w:rsid w:val="00AE48BC"/>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F4"/>
    <w:rsid w:val="00AE7957"/>
    <w:rsid w:val="00AE7C3A"/>
    <w:rsid w:val="00AE7E12"/>
    <w:rsid w:val="00AE7E1F"/>
    <w:rsid w:val="00AE7EC5"/>
    <w:rsid w:val="00AF0172"/>
    <w:rsid w:val="00AF038D"/>
    <w:rsid w:val="00AF0A5A"/>
    <w:rsid w:val="00AF0B5C"/>
    <w:rsid w:val="00AF101F"/>
    <w:rsid w:val="00AF15D2"/>
    <w:rsid w:val="00AF19B7"/>
    <w:rsid w:val="00AF1D19"/>
    <w:rsid w:val="00AF1E0B"/>
    <w:rsid w:val="00AF24A3"/>
    <w:rsid w:val="00AF33E2"/>
    <w:rsid w:val="00AF3413"/>
    <w:rsid w:val="00AF3475"/>
    <w:rsid w:val="00AF3628"/>
    <w:rsid w:val="00AF3E3A"/>
    <w:rsid w:val="00AF4084"/>
    <w:rsid w:val="00AF48D7"/>
    <w:rsid w:val="00AF48F5"/>
    <w:rsid w:val="00AF4C4E"/>
    <w:rsid w:val="00AF55BC"/>
    <w:rsid w:val="00AF57FF"/>
    <w:rsid w:val="00AF7497"/>
    <w:rsid w:val="00AF7DED"/>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C22"/>
    <w:rsid w:val="00B11E54"/>
    <w:rsid w:val="00B11E9F"/>
    <w:rsid w:val="00B12933"/>
    <w:rsid w:val="00B12D84"/>
    <w:rsid w:val="00B12FF7"/>
    <w:rsid w:val="00B12FFA"/>
    <w:rsid w:val="00B13EB6"/>
    <w:rsid w:val="00B13F3D"/>
    <w:rsid w:val="00B14820"/>
    <w:rsid w:val="00B149F3"/>
    <w:rsid w:val="00B149F8"/>
    <w:rsid w:val="00B15289"/>
    <w:rsid w:val="00B1549B"/>
    <w:rsid w:val="00B1577B"/>
    <w:rsid w:val="00B15D39"/>
    <w:rsid w:val="00B15D73"/>
    <w:rsid w:val="00B160EA"/>
    <w:rsid w:val="00B162C1"/>
    <w:rsid w:val="00B16CB7"/>
    <w:rsid w:val="00B1710C"/>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3BE8"/>
    <w:rsid w:val="00B24559"/>
    <w:rsid w:val="00B24A16"/>
    <w:rsid w:val="00B24C6D"/>
    <w:rsid w:val="00B24DD8"/>
    <w:rsid w:val="00B25416"/>
    <w:rsid w:val="00B2551A"/>
    <w:rsid w:val="00B25B2B"/>
    <w:rsid w:val="00B25B4F"/>
    <w:rsid w:val="00B260AE"/>
    <w:rsid w:val="00B27030"/>
    <w:rsid w:val="00B27A68"/>
    <w:rsid w:val="00B3078E"/>
    <w:rsid w:val="00B30AAD"/>
    <w:rsid w:val="00B310D4"/>
    <w:rsid w:val="00B31276"/>
    <w:rsid w:val="00B31885"/>
    <w:rsid w:val="00B323F7"/>
    <w:rsid w:val="00B326AD"/>
    <w:rsid w:val="00B32D6B"/>
    <w:rsid w:val="00B33273"/>
    <w:rsid w:val="00B33700"/>
    <w:rsid w:val="00B33C88"/>
    <w:rsid w:val="00B33EC4"/>
    <w:rsid w:val="00B34444"/>
    <w:rsid w:val="00B3493A"/>
    <w:rsid w:val="00B34AAC"/>
    <w:rsid w:val="00B34E13"/>
    <w:rsid w:val="00B3506C"/>
    <w:rsid w:val="00B35588"/>
    <w:rsid w:val="00B363D8"/>
    <w:rsid w:val="00B365E4"/>
    <w:rsid w:val="00B36A7B"/>
    <w:rsid w:val="00B36B86"/>
    <w:rsid w:val="00B36E77"/>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9A3"/>
    <w:rsid w:val="00B42DB1"/>
    <w:rsid w:val="00B430E0"/>
    <w:rsid w:val="00B442B0"/>
    <w:rsid w:val="00B443D0"/>
    <w:rsid w:val="00B4465B"/>
    <w:rsid w:val="00B4467D"/>
    <w:rsid w:val="00B446BD"/>
    <w:rsid w:val="00B449AD"/>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44E"/>
    <w:rsid w:val="00B5358E"/>
    <w:rsid w:val="00B536B7"/>
    <w:rsid w:val="00B53730"/>
    <w:rsid w:val="00B53AE5"/>
    <w:rsid w:val="00B53B21"/>
    <w:rsid w:val="00B53BB2"/>
    <w:rsid w:val="00B53BE3"/>
    <w:rsid w:val="00B53D89"/>
    <w:rsid w:val="00B545A2"/>
    <w:rsid w:val="00B54EF7"/>
    <w:rsid w:val="00B55069"/>
    <w:rsid w:val="00B5556F"/>
    <w:rsid w:val="00B5562C"/>
    <w:rsid w:val="00B5584A"/>
    <w:rsid w:val="00B55CCC"/>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47D"/>
    <w:rsid w:val="00B706C8"/>
    <w:rsid w:val="00B70886"/>
    <w:rsid w:val="00B7091D"/>
    <w:rsid w:val="00B70B1A"/>
    <w:rsid w:val="00B71112"/>
    <w:rsid w:val="00B7210F"/>
    <w:rsid w:val="00B72520"/>
    <w:rsid w:val="00B72ABA"/>
    <w:rsid w:val="00B72EA7"/>
    <w:rsid w:val="00B72FAF"/>
    <w:rsid w:val="00B73974"/>
    <w:rsid w:val="00B74987"/>
    <w:rsid w:val="00B74DD4"/>
    <w:rsid w:val="00B753E0"/>
    <w:rsid w:val="00B75A5D"/>
    <w:rsid w:val="00B75FB9"/>
    <w:rsid w:val="00B7613C"/>
    <w:rsid w:val="00B766B9"/>
    <w:rsid w:val="00B768DA"/>
    <w:rsid w:val="00B772C4"/>
    <w:rsid w:val="00B7764E"/>
    <w:rsid w:val="00B77CBB"/>
    <w:rsid w:val="00B77F2F"/>
    <w:rsid w:val="00B8091A"/>
    <w:rsid w:val="00B80AA5"/>
    <w:rsid w:val="00B80E1F"/>
    <w:rsid w:val="00B81937"/>
    <w:rsid w:val="00B81B65"/>
    <w:rsid w:val="00B81C67"/>
    <w:rsid w:val="00B81ED1"/>
    <w:rsid w:val="00B81FA8"/>
    <w:rsid w:val="00B81FD5"/>
    <w:rsid w:val="00B82086"/>
    <w:rsid w:val="00B82350"/>
    <w:rsid w:val="00B82D50"/>
    <w:rsid w:val="00B83369"/>
    <w:rsid w:val="00B834D5"/>
    <w:rsid w:val="00B83AAC"/>
    <w:rsid w:val="00B8412B"/>
    <w:rsid w:val="00B8421F"/>
    <w:rsid w:val="00B845F5"/>
    <w:rsid w:val="00B8519A"/>
    <w:rsid w:val="00B85354"/>
    <w:rsid w:val="00B85359"/>
    <w:rsid w:val="00B860FF"/>
    <w:rsid w:val="00B86547"/>
    <w:rsid w:val="00B867CF"/>
    <w:rsid w:val="00B86885"/>
    <w:rsid w:val="00B86B07"/>
    <w:rsid w:val="00B86E63"/>
    <w:rsid w:val="00B8717B"/>
    <w:rsid w:val="00B87A2B"/>
    <w:rsid w:val="00B87D62"/>
    <w:rsid w:val="00B87E38"/>
    <w:rsid w:val="00B90393"/>
    <w:rsid w:val="00B9119C"/>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C41"/>
    <w:rsid w:val="00B9712D"/>
    <w:rsid w:val="00B9797F"/>
    <w:rsid w:val="00B97D07"/>
    <w:rsid w:val="00B97D9A"/>
    <w:rsid w:val="00BA08C9"/>
    <w:rsid w:val="00BA0BFB"/>
    <w:rsid w:val="00BA11F2"/>
    <w:rsid w:val="00BA12E8"/>
    <w:rsid w:val="00BA152B"/>
    <w:rsid w:val="00BA1678"/>
    <w:rsid w:val="00BA1EF2"/>
    <w:rsid w:val="00BA23E1"/>
    <w:rsid w:val="00BA246A"/>
    <w:rsid w:val="00BA340C"/>
    <w:rsid w:val="00BA376F"/>
    <w:rsid w:val="00BA3ABD"/>
    <w:rsid w:val="00BA3B80"/>
    <w:rsid w:val="00BA3F82"/>
    <w:rsid w:val="00BA3FAA"/>
    <w:rsid w:val="00BA423C"/>
    <w:rsid w:val="00BA45C7"/>
    <w:rsid w:val="00BA45EB"/>
    <w:rsid w:val="00BA46A9"/>
    <w:rsid w:val="00BA48C5"/>
    <w:rsid w:val="00BA4E06"/>
    <w:rsid w:val="00BA50EA"/>
    <w:rsid w:val="00BA52BC"/>
    <w:rsid w:val="00BA539D"/>
    <w:rsid w:val="00BA53F3"/>
    <w:rsid w:val="00BA54CB"/>
    <w:rsid w:val="00BA5A1C"/>
    <w:rsid w:val="00BA5B9E"/>
    <w:rsid w:val="00BA60D1"/>
    <w:rsid w:val="00BA6308"/>
    <w:rsid w:val="00BA651B"/>
    <w:rsid w:val="00BA667B"/>
    <w:rsid w:val="00BA72BC"/>
    <w:rsid w:val="00BA7B99"/>
    <w:rsid w:val="00BA7CC6"/>
    <w:rsid w:val="00BB0029"/>
    <w:rsid w:val="00BB09AA"/>
    <w:rsid w:val="00BB0A68"/>
    <w:rsid w:val="00BB0C4F"/>
    <w:rsid w:val="00BB0FEB"/>
    <w:rsid w:val="00BB1209"/>
    <w:rsid w:val="00BB1301"/>
    <w:rsid w:val="00BB1479"/>
    <w:rsid w:val="00BB15C1"/>
    <w:rsid w:val="00BB192A"/>
    <w:rsid w:val="00BB1CC8"/>
    <w:rsid w:val="00BB2616"/>
    <w:rsid w:val="00BB2CE9"/>
    <w:rsid w:val="00BB2D45"/>
    <w:rsid w:val="00BB2F6A"/>
    <w:rsid w:val="00BB305D"/>
    <w:rsid w:val="00BB3961"/>
    <w:rsid w:val="00BB3E97"/>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06"/>
    <w:rsid w:val="00BC1FF8"/>
    <w:rsid w:val="00BC2405"/>
    <w:rsid w:val="00BC2868"/>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4A5"/>
    <w:rsid w:val="00BC6640"/>
    <w:rsid w:val="00BC68FB"/>
    <w:rsid w:val="00BC76D7"/>
    <w:rsid w:val="00BC7923"/>
    <w:rsid w:val="00BD08E5"/>
    <w:rsid w:val="00BD11FA"/>
    <w:rsid w:val="00BD1380"/>
    <w:rsid w:val="00BD14F5"/>
    <w:rsid w:val="00BD1DFE"/>
    <w:rsid w:val="00BD257E"/>
    <w:rsid w:val="00BD2815"/>
    <w:rsid w:val="00BD2833"/>
    <w:rsid w:val="00BD295A"/>
    <w:rsid w:val="00BD2BE6"/>
    <w:rsid w:val="00BD2E27"/>
    <w:rsid w:val="00BD2FC5"/>
    <w:rsid w:val="00BD3483"/>
    <w:rsid w:val="00BD3BCF"/>
    <w:rsid w:val="00BD3D97"/>
    <w:rsid w:val="00BD4341"/>
    <w:rsid w:val="00BD43F5"/>
    <w:rsid w:val="00BD4551"/>
    <w:rsid w:val="00BD46CF"/>
    <w:rsid w:val="00BD4924"/>
    <w:rsid w:val="00BD52EE"/>
    <w:rsid w:val="00BD536A"/>
    <w:rsid w:val="00BD5701"/>
    <w:rsid w:val="00BD63DE"/>
    <w:rsid w:val="00BD65DA"/>
    <w:rsid w:val="00BD69B4"/>
    <w:rsid w:val="00BD6C2F"/>
    <w:rsid w:val="00BD6C8C"/>
    <w:rsid w:val="00BD6D77"/>
    <w:rsid w:val="00BD6E45"/>
    <w:rsid w:val="00BD70DE"/>
    <w:rsid w:val="00BD7F86"/>
    <w:rsid w:val="00BE0465"/>
    <w:rsid w:val="00BE05DD"/>
    <w:rsid w:val="00BE0986"/>
    <w:rsid w:val="00BE1007"/>
    <w:rsid w:val="00BE1482"/>
    <w:rsid w:val="00BE154C"/>
    <w:rsid w:val="00BE2C46"/>
    <w:rsid w:val="00BE3471"/>
    <w:rsid w:val="00BE3BFC"/>
    <w:rsid w:val="00BE40AB"/>
    <w:rsid w:val="00BE4809"/>
    <w:rsid w:val="00BE48B9"/>
    <w:rsid w:val="00BE4BE9"/>
    <w:rsid w:val="00BE5148"/>
    <w:rsid w:val="00BE5E67"/>
    <w:rsid w:val="00BE6061"/>
    <w:rsid w:val="00BE6B3B"/>
    <w:rsid w:val="00BE787D"/>
    <w:rsid w:val="00BE7935"/>
    <w:rsid w:val="00BE7B50"/>
    <w:rsid w:val="00BE7C72"/>
    <w:rsid w:val="00BE7E7F"/>
    <w:rsid w:val="00BF1AF4"/>
    <w:rsid w:val="00BF1BBA"/>
    <w:rsid w:val="00BF21CA"/>
    <w:rsid w:val="00BF224A"/>
    <w:rsid w:val="00BF2262"/>
    <w:rsid w:val="00BF34C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BF1"/>
    <w:rsid w:val="00C01E4A"/>
    <w:rsid w:val="00C021B0"/>
    <w:rsid w:val="00C02301"/>
    <w:rsid w:val="00C02A89"/>
    <w:rsid w:val="00C035BF"/>
    <w:rsid w:val="00C041B8"/>
    <w:rsid w:val="00C0425B"/>
    <w:rsid w:val="00C04261"/>
    <w:rsid w:val="00C04319"/>
    <w:rsid w:val="00C05066"/>
    <w:rsid w:val="00C05258"/>
    <w:rsid w:val="00C05369"/>
    <w:rsid w:val="00C057C4"/>
    <w:rsid w:val="00C059FB"/>
    <w:rsid w:val="00C05ED2"/>
    <w:rsid w:val="00C060DA"/>
    <w:rsid w:val="00C06860"/>
    <w:rsid w:val="00C068B2"/>
    <w:rsid w:val="00C06939"/>
    <w:rsid w:val="00C06B8B"/>
    <w:rsid w:val="00C06FEC"/>
    <w:rsid w:val="00C07206"/>
    <w:rsid w:val="00C07566"/>
    <w:rsid w:val="00C07717"/>
    <w:rsid w:val="00C077C5"/>
    <w:rsid w:val="00C07A94"/>
    <w:rsid w:val="00C07E4C"/>
    <w:rsid w:val="00C1023F"/>
    <w:rsid w:val="00C1042E"/>
    <w:rsid w:val="00C106CC"/>
    <w:rsid w:val="00C1166A"/>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586D"/>
    <w:rsid w:val="00C26980"/>
    <w:rsid w:val="00C26FB5"/>
    <w:rsid w:val="00C278D0"/>
    <w:rsid w:val="00C2799E"/>
    <w:rsid w:val="00C27F01"/>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3F6B"/>
    <w:rsid w:val="00C33FBE"/>
    <w:rsid w:val="00C34435"/>
    <w:rsid w:val="00C34607"/>
    <w:rsid w:val="00C3485A"/>
    <w:rsid w:val="00C34DB1"/>
    <w:rsid w:val="00C34DEE"/>
    <w:rsid w:val="00C35905"/>
    <w:rsid w:val="00C35D05"/>
    <w:rsid w:val="00C35E4C"/>
    <w:rsid w:val="00C36479"/>
    <w:rsid w:val="00C36574"/>
    <w:rsid w:val="00C36796"/>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83A"/>
    <w:rsid w:val="00C46055"/>
    <w:rsid w:val="00C462A2"/>
    <w:rsid w:val="00C469EB"/>
    <w:rsid w:val="00C46D85"/>
    <w:rsid w:val="00C46F39"/>
    <w:rsid w:val="00C471D9"/>
    <w:rsid w:val="00C472FB"/>
    <w:rsid w:val="00C474A3"/>
    <w:rsid w:val="00C474C7"/>
    <w:rsid w:val="00C47572"/>
    <w:rsid w:val="00C47782"/>
    <w:rsid w:val="00C47DEC"/>
    <w:rsid w:val="00C502E1"/>
    <w:rsid w:val="00C5076C"/>
    <w:rsid w:val="00C50874"/>
    <w:rsid w:val="00C50BD9"/>
    <w:rsid w:val="00C50F5E"/>
    <w:rsid w:val="00C50FB3"/>
    <w:rsid w:val="00C517E4"/>
    <w:rsid w:val="00C518A4"/>
    <w:rsid w:val="00C51D21"/>
    <w:rsid w:val="00C52BC1"/>
    <w:rsid w:val="00C52C5A"/>
    <w:rsid w:val="00C533EA"/>
    <w:rsid w:val="00C53420"/>
    <w:rsid w:val="00C5388D"/>
    <w:rsid w:val="00C53E34"/>
    <w:rsid w:val="00C53FCF"/>
    <w:rsid w:val="00C5424B"/>
    <w:rsid w:val="00C542D0"/>
    <w:rsid w:val="00C5469A"/>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3C2"/>
    <w:rsid w:val="00C62787"/>
    <w:rsid w:val="00C630F8"/>
    <w:rsid w:val="00C63B8A"/>
    <w:rsid w:val="00C63C44"/>
    <w:rsid w:val="00C6410E"/>
    <w:rsid w:val="00C641A1"/>
    <w:rsid w:val="00C64FD5"/>
    <w:rsid w:val="00C653B2"/>
    <w:rsid w:val="00C655B9"/>
    <w:rsid w:val="00C657F0"/>
    <w:rsid w:val="00C65AB3"/>
    <w:rsid w:val="00C65AE5"/>
    <w:rsid w:val="00C66116"/>
    <w:rsid w:val="00C664C9"/>
    <w:rsid w:val="00C667D9"/>
    <w:rsid w:val="00C701D6"/>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0B89"/>
    <w:rsid w:val="00C81115"/>
    <w:rsid w:val="00C81228"/>
    <w:rsid w:val="00C818C4"/>
    <w:rsid w:val="00C81A02"/>
    <w:rsid w:val="00C81EA7"/>
    <w:rsid w:val="00C822B2"/>
    <w:rsid w:val="00C825B7"/>
    <w:rsid w:val="00C82C01"/>
    <w:rsid w:val="00C82EEF"/>
    <w:rsid w:val="00C82F1F"/>
    <w:rsid w:val="00C8300C"/>
    <w:rsid w:val="00C83018"/>
    <w:rsid w:val="00C833CA"/>
    <w:rsid w:val="00C83450"/>
    <w:rsid w:val="00C836B8"/>
    <w:rsid w:val="00C84430"/>
    <w:rsid w:val="00C84856"/>
    <w:rsid w:val="00C84882"/>
    <w:rsid w:val="00C8488F"/>
    <w:rsid w:val="00C84C2D"/>
    <w:rsid w:val="00C84CF7"/>
    <w:rsid w:val="00C8521E"/>
    <w:rsid w:val="00C85397"/>
    <w:rsid w:val="00C85596"/>
    <w:rsid w:val="00C855A6"/>
    <w:rsid w:val="00C85C6A"/>
    <w:rsid w:val="00C85CDC"/>
    <w:rsid w:val="00C86C34"/>
    <w:rsid w:val="00C870C0"/>
    <w:rsid w:val="00C870E8"/>
    <w:rsid w:val="00C8728B"/>
    <w:rsid w:val="00C873D7"/>
    <w:rsid w:val="00C876AA"/>
    <w:rsid w:val="00C87946"/>
    <w:rsid w:val="00C87B77"/>
    <w:rsid w:val="00C9024D"/>
    <w:rsid w:val="00C904FD"/>
    <w:rsid w:val="00C9050F"/>
    <w:rsid w:val="00C9076B"/>
    <w:rsid w:val="00C907D6"/>
    <w:rsid w:val="00C90857"/>
    <w:rsid w:val="00C90BAA"/>
    <w:rsid w:val="00C910D2"/>
    <w:rsid w:val="00C91128"/>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05D4"/>
    <w:rsid w:val="00CA11B9"/>
    <w:rsid w:val="00CA1401"/>
    <w:rsid w:val="00CA310D"/>
    <w:rsid w:val="00CA343D"/>
    <w:rsid w:val="00CA38F0"/>
    <w:rsid w:val="00CA3919"/>
    <w:rsid w:val="00CA3FB1"/>
    <w:rsid w:val="00CA40A3"/>
    <w:rsid w:val="00CA4244"/>
    <w:rsid w:val="00CA4D3B"/>
    <w:rsid w:val="00CA5B55"/>
    <w:rsid w:val="00CA6032"/>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379"/>
    <w:rsid w:val="00CC53CC"/>
    <w:rsid w:val="00CC58BA"/>
    <w:rsid w:val="00CC5DA6"/>
    <w:rsid w:val="00CC5DC9"/>
    <w:rsid w:val="00CC638E"/>
    <w:rsid w:val="00CC6564"/>
    <w:rsid w:val="00CC6F49"/>
    <w:rsid w:val="00CC7915"/>
    <w:rsid w:val="00CC79FB"/>
    <w:rsid w:val="00CC7C10"/>
    <w:rsid w:val="00CD00E9"/>
    <w:rsid w:val="00CD017D"/>
    <w:rsid w:val="00CD0287"/>
    <w:rsid w:val="00CD030B"/>
    <w:rsid w:val="00CD0641"/>
    <w:rsid w:val="00CD07C1"/>
    <w:rsid w:val="00CD09F8"/>
    <w:rsid w:val="00CD134F"/>
    <w:rsid w:val="00CD14C3"/>
    <w:rsid w:val="00CD1653"/>
    <w:rsid w:val="00CD1696"/>
    <w:rsid w:val="00CD1909"/>
    <w:rsid w:val="00CD199C"/>
    <w:rsid w:val="00CD1E75"/>
    <w:rsid w:val="00CD1EA2"/>
    <w:rsid w:val="00CD2DF7"/>
    <w:rsid w:val="00CD30F6"/>
    <w:rsid w:val="00CD3211"/>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999"/>
    <w:rsid w:val="00CD7D71"/>
    <w:rsid w:val="00CD7FDD"/>
    <w:rsid w:val="00CE0A68"/>
    <w:rsid w:val="00CE0B07"/>
    <w:rsid w:val="00CE0C1B"/>
    <w:rsid w:val="00CE150D"/>
    <w:rsid w:val="00CE1669"/>
    <w:rsid w:val="00CE1823"/>
    <w:rsid w:val="00CE193F"/>
    <w:rsid w:val="00CE1BE3"/>
    <w:rsid w:val="00CE1FDA"/>
    <w:rsid w:val="00CE2DCE"/>
    <w:rsid w:val="00CE2F3B"/>
    <w:rsid w:val="00CE2F58"/>
    <w:rsid w:val="00CE3CB9"/>
    <w:rsid w:val="00CE3E0F"/>
    <w:rsid w:val="00CE4447"/>
    <w:rsid w:val="00CE4BAF"/>
    <w:rsid w:val="00CE4CB1"/>
    <w:rsid w:val="00CE5479"/>
    <w:rsid w:val="00CE5636"/>
    <w:rsid w:val="00CE5C00"/>
    <w:rsid w:val="00CE606B"/>
    <w:rsid w:val="00CE60D2"/>
    <w:rsid w:val="00CE62CA"/>
    <w:rsid w:val="00CE6E3F"/>
    <w:rsid w:val="00CE734B"/>
    <w:rsid w:val="00CE7AE6"/>
    <w:rsid w:val="00CF05B4"/>
    <w:rsid w:val="00CF0B69"/>
    <w:rsid w:val="00CF0D20"/>
    <w:rsid w:val="00CF0D8A"/>
    <w:rsid w:val="00CF0DC9"/>
    <w:rsid w:val="00CF121C"/>
    <w:rsid w:val="00CF1250"/>
    <w:rsid w:val="00CF1409"/>
    <w:rsid w:val="00CF1446"/>
    <w:rsid w:val="00CF160C"/>
    <w:rsid w:val="00CF289F"/>
    <w:rsid w:val="00CF2B74"/>
    <w:rsid w:val="00CF3451"/>
    <w:rsid w:val="00CF3506"/>
    <w:rsid w:val="00CF3ACC"/>
    <w:rsid w:val="00CF3B0B"/>
    <w:rsid w:val="00CF3DDF"/>
    <w:rsid w:val="00CF3E29"/>
    <w:rsid w:val="00CF3EE6"/>
    <w:rsid w:val="00CF45ED"/>
    <w:rsid w:val="00CF4D12"/>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1D"/>
    <w:rsid w:val="00D05AEC"/>
    <w:rsid w:val="00D05FCF"/>
    <w:rsid w:val="00D06456"/>
    <w:rsid w:val="00D064C0"/>
    <w:rsid w:val="00D068E0"/>
    <w:rsid w:val="00D06945"/>
    <w:rsid w:val="00D071B5"/>
    <w:rsid w:val="00D07423"/>
    <w:rsid w:val="00D07494"/>
    <w:rsid w:val="00D0749E"/>
    <w:rsid w:val="00D07794"/>
    <w:rsid w:val="00D0797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180"/>
    <w:rsid w:val="00D202CC"/>
    <w:rsid w:val="00D20932"/>
    <w:rsid w:val="00D209B3"/>
    <w:rsid w:val="00D20B78"/>
    <w:rsid w:val="00D20BF5"/>
    <w:rsid w:val="00D20C8B"/>
    <w:rsid w:val="00D21065"/>
    <w:rsid w:val="00D213AB"/>
    <w:rsid w:val="00D21424"/>
    <w:rsid w:val="00D21739"/>
    <w:rsid w:val="00D21745"/>
    <w:rsid w:val="00D21CA8"/>
    <w:rsid w:val="00D21F84"/>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775"/>
    <w:rsid w:val="00D328A5"/>
    <w:rsid w:val="00D32FE0"/>
    <w:rsid w:val="00D33840"/>
    <w:rsid w:val="00D3399D"/>
    <w:rsid w:val="00D33DDE"/>
    <w:rsid w:val="00D340B7"/>
    <w:rsid w:val="00D347DE"/>
    <w:rsid w:val="00D349D5"/>
    <w:rsid w:val="00D34A59"/>
    <w:rsid w:val="00D34E03"/>
    <w:rsid w:val="00D34F5A"/>
    <w:rsid w:val="00D359F3"/>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4C8"/>
    <w:rsid w:val="00D4374F"/>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DAB"/>
    <w:rsid w:val="00D52E91"/>
    <w:rsid w:val="00D52F43"/>
    <w:rsid w:val="00D53201"/>
    <w:rsid w:val="00D538F9"/>
    <w:rsid w:val="00D53983"/>
    <w:rsid w:val="00D53F25"/>
    <w:rsid w:val="00D54208"/>
    <w:rsid w:val="00D5438A"/>
    <w:rsid w:val="00D54925"/>
    <w:rsid w:val="00D54FE9"/>
    <w:rsid w:val="00D55797"/>
    <w:rsid w:val="00D55924"/>
    <w:rsid w:val="00D55CCE"/>
    <w:rsid w:val="00D56042"/>
    <w:rsid w:val="00D5604E"/>
    <w:rsid w:val="00D560B6"/>
    <w:rsid w:val="00D56256"/>
    <w:rsid w:val="00D5653F"/>
    <w:rsid w:val="00D56F89"/>
    <w:rsid w:val="00D5788F"/>
    <w:rsid w:val="00D579BA"/>
    <w:rsid w:val="00D57CC9"/>
    <w:rsid w:val="00D57E26"/>
    <w:rsid w:val="00D57FD6"/>
    <w:rsid w:val="00D6012F"/>
    <w:rsid w:val="00D60A04"/>
    <w:rsid w:val="00D6126E"/>
    <w:rsid w:val="00D61346"/>
    <w:rsid w:val="00D61400"/>
    <w:rsid w:val="00D615EA"/>
    <w:rsid w:val="00D617C2"/>
    <w:rsid w:val="00D61CDD"/>
    <w:rsid w:val="00D61D01"/>
    <w:rsid w:val="00D620A1"/>
    <w:rsid w:val="00D6235A"/>
    <w:rsid w:val="00D62467"/>
    <w:rsid w:val="00D62674"/>
    <w:rsid w:val="00D62788"/>
    <w:rsid w:val="00D629E0"/>
    <w:rsid w:val="00D62CF9"/>
    <w:rsid w:val="00D63675"/>
    <w:rsid w:val="00D64419"/>
    <w:rsid w:val="00D64A78"/>
    <w:rsid w:val="00D654C2"/>
    <w:rsid w:val="00D659F8"/>
    <w:rsid w:val="00D65A3F"/>
    <w:rsid w:val="00D65C7B"/>
    <w:rsid w:val="00D660C4"/>
    <w:rsid w:val="00D664C7"/>
    <w:rsid w:val="00D66ADE"/>
    <w:rsid w:val="00D66C6B"/>
    <w:rsid w:val="00D66F7E"/>
    <w:rsid w:val="00D67B90"/>
    <w:rsid w:val="00D67CDB"/>
    <w:rsid w:val="00D67D25"/>
    <w:rsid w:val="00D67F40"/>
    <w:rsid w:val="00D7007F"/>
    <w:rsid w:val="00D70142"/>
    <w:rsid w:val="00D704DE"/>
    <w:rsid w:val="00D70506"/>
    <w:rsid w:val="00D70623"/>
    <w:rsid w:val="00D70939"/>
    <w:rsid w:val="00D70D0C"/>
    <w:rsid w:val="00D7149A"/>
    <w:rsid w:val="00D71B39"/>
    <w:rsid w:val="00D71D21"/>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BC"/>
    <w:rsid w:val="00D74BA0"/>
    <w:rsid w:val="00D74D03"/>
    <w:rsid w:val="00D759F2"/>
    <w:rsid w:val="00D75C77"/>
    <w:rsid w:val="00D75EDB"/>
    <w:rsid w:val="00D75F97"/>
    <w:rsid w:val="00D76D50"/>
    <w:rsid w:val="00D77278"/>
    <w:rsid w:val="00D77887"/>
    <w:rsid w:val="00D77EA1"/>
    <w:rsid w:val="00D804E8"/>
    <w:rsid w:val="00D80799"/>
    <w:rsid w:val="00D808FF"/>
    <w:rsid w:val="00D809CD"/>
    <w:rsid w:val="00D80A99"/>
    <w:rsid w:val="00D80F04"/>
    <w:rsid w:val="00D8123C"/>
    <w:rsid w:val="00D8165A"/>
    <w:rsid w:val="00D81675"/>
    <w:rsid w:val="00D81C1E"/>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941"/>
    <w:rsid w:val="00D91A3C"/>
    <w:rsid w:val="00D9201A"/>
    <w:rsid w:val="00D92093"/>
    <w:rsid w:val="00D92233"/>
    <w:rsid w:val="00D92981"/>
    <w:rsid w:val="00D929A9"/>
    <w:rsid w:val="00D93234"/>
    <w:rsid w:val="00D93493"/>
    <w:rsid w:val="00D93832"/>
    <w:rsid w:val="00D938F0"/>
    <w:rsid w:val="00D93A1D"/>
    <w:rsid w:val="00D93BA0"/>
    <w:rsid w:val="00D9420E"/>
    <w:rsid w:val="00D9445F"/>
    <w:rsid w:val="00D946B8"/>
    <w:rsid w:val="00D946F7"/>
    <w:rsid w:val="00D947B0"/>
    <w:rsid w:val="00D948A2"/>
    <w:rsid w:val="00D948FF"/>
    <w:rsid w:val="00D9490C"/>
    <w:rsid w:val="00D949B3"/>
    <w:rsid w:val="00D94CCC"/>
    <w:rsid w:val="00D9547F"/>
    <w:rsid w:val="00D95573"/>
    <w:rsid w:val="00D955A8"/>
    <w:rsid w:val="00D95691"/>
    <w:rsid w:val="00D95A52"/>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6308"/>
    <w:rsid w:val="00DA6FCA"/>
    <w:rsid w:val="00DA7195"/>
    <w:rsid w:val="00DA7380"/>
    <w:rsid w:val="00DA768F"/>
    <w:rsid w:val="00DA7784"/>
    <w:rsid w:val="00DB0009"/>
    <w:rsid w:val="00DB00A2"/>
    <w:rsid w:val="00DB01B4"/>
    <w:rsid w:val="00DB031E"/>
    <w:rsid w:val="00DB0811"/>
    <w:rsid w:val="00DB0EDB"/>
    <w:rsid w:val="00DB1370"/>
    <w:rsid w:val="00DB13A7"/>
    <w:rsid w:val="00DB152E"/>
    <w:rsid w:val="00DB1B8E"/>
    <w:rsid w:val="00DB1E1C"/>
    <w:rsid w:val="00DB240A"/>
    <w:rsid w:val="00DB2481"/>
    <w:rsid w:val="00DB2687"/>
    <w:rsid w:val="00DB2695"/>
    <w:rsid w:val="00DB37FA"/>
    <w:rsid w:val="00DB3A1B"/>
    <w:rsid w:val="00DB3A9E"/>
    <w:rsid w:val="00DB3BF0"/>
    <w:rsid w:val="00DB3E41"/>
    <w:rsid w:val="00DB3FCF"/>
    <w:rsid w:val="00DB423A"/>
    <w:rsid w:val="00DB43E1"/>
    <w:rsid w:val="00DB448A"/>
    <w:rsid w:val="00DB4636"/>
    <w:rsid w:val="00DB493E"/>
    <w:rsid w:val="00DB4C40"/>
    <w:rsid w:val="00DB4CDA"/>
    <w:rsid w:val="00DB4CED"/>
    <w:rsid w:val="00DB4D21"/>
    <w:rsid w:val="00DB53C5"/>
    <w:rsid w:val="00DB595F"/>
    <w:rsid w:val="00DB5B2F"/>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E44"/>
    <w:rsid w:val="00DC4521"/>
    <w:rsid w:val="00DC458A"/>
    <w:rsid w:val="00DC46FA"/>
    <w:rsid w:val="00DC4B2F"/>
    <w:rsid w:val="00DC4E24"/>
    <w:rsid w:val="00DC4F70"/>
    <w:rsid w:val="00DC517E"/>
    <w:rsid w:val="00DC5187"/>
    <w:rsid w:val="00DC54D5"/>
    <w:rsid w:val="00DC5532"/>
    <w:rsid w:val="00DC5B09"/>
    <w:rsid w:val="00DC6B05"/>
    <w:rsid w:val="00DC7079"/>
    <w:rsid w:val="00DC7804"/>
    <w:rsid w:val="00DC7906"/>
    <w:rsid w:val="00DC792E"/>
    <w:rsid w:val="00DC7948"/>
    <w:rsid w:val="00DC7AA4"/>
    <w:rsid w:val="00DC7C5B"/>
    <w:rsid w:val="00DC7C88"/>
    <w:rsid w:val="00DC7E43"/>
    <w:rsid w:val="00DD0918"/>
    <w:rsid w:val="00DD0EEF"/>
    <w:rsid w:val="00DD10CD"/>
    <w:rsid w:val="00DD1EE3"/>
    <w:rsid w:val="00DD2235"/>
    <w:rsid w:val="00DD255E"/>
    <w:rsid w:val="00DD2C0F"/>
    <w:rsid w:val="00DD3007"/>
    <w:rsid w:val="00DD3039"/>
    <w:rsid w:val="00DD316B"/>
    <w:rsid w:val="00DD35AF"/>
    <w:rsid w:val="00DD3A4D"/>
    <w:rsid w:val="00DD3CFE"/>
    <w:rsid w:val="00DD3FEE"/>
    <w:rsid w:val="00DD4911"/>
    <w:rsid w:val="00DD49C3"/>
    <w:rsid w:val="00DD4BA9"/>
    <w:rsid w:val="00DD4FD8"/>
    <w:rsid w:val="00DD5592"/>
    <w:rsid w:val="00DD5714"/>
    <w:rsid w:val="00DD5C5B"/>
    <w:rsid w:val="00DD5CB6"/>
    <w:rsid w:val="00DD6056"/>
    <w:rsid w:val="00DD6301"/>
    <w:rsid w:val="00DD647C"/>
    <w:rsid w:val="00DD67EC"/>
    <w:rsid w:val="00DD69A6"/>
    <w:rsid w:val="00DD6B9B"/>
    <w:rsid w:val="00DD6D4F"/>
    <w:rsid w:val="00DD6F35"/>
    <w:rsid w:val="00DD70F3"/>
    <w:rsid w:val="00DE0045"/>
    <w:rsid w:val="00DE008C"/>
    <w:rsid w:val="00DE0248"/>
    <w:rsid w:val="00DE03AD"/>
    <w:rsid w:val="00DE0558"/>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DEB"/>
    <w:rsid w:val="00DE4E51"/>
    <w:rsid w:val="00DE52C2"/>
    <w:rsid w:val="00DE5856"/>
    <w:rsid w:val="00DE58DC"/>
    <w:rsid w:val="00DE5E33"/>
    <w:rsid w:val="00DE5FC9"/>
    <w:rsid w:val="00DE6B12"/>
    <w:rsid w:val="00DE6D8A"/>
    <w:rsid w:val="00DE7483"/>
    <w:rsid w:val="00DE7486"/>
    <w:rsid w:val="00DE756E"/>
    <w:rsid w:val="00DE7765"/>
    <w:rsid w:val="00DE77E6"/>
    <w:rsid w:val="00DE798A"/>
    <w:rsid w:val="00DE7E17"/>
    <w:rsid w:val="00DE7EA9"/>
    <w:rsid w:val="00DE7F21"/>
    <w:rsid w:val="00DE7FC6"/>
    <w:rsid w:val="00DF006A"/>
    <w:rsid w:val="00DF06BE"/>
    <w:rsid w:val="00DF074B"/>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C49"/>
    <w:rsid w:val="00DF6C9C"/>
    <w:rsid w:val="00DF72A5"/>
    <w:rsid w:val="00DF7301"/>
    <w:rsid w:val="00DF79B1"/>
    <w:rsid w:val="00E00078"/>
    <w:rsid w:val="00E003BE"/>
    <w:rsid w:val="00E00A15"/>
    <w:rsid w:val="00E01271"/>
    <w:rsid w:val="00E0167B"/>
    <w:rsid w:val="00E0174C"/>
    <w:rsid w:val="00E018FC"/>
    <w:rsid w:val="00E01C12"/>
    <w:rsid w:val="00E01D87"/>
    <w:rsid w:val="00E01E9F"/>
    <w:rsid w:val="00E01F86"/>
    <w:rsid w:val="00E02058"/>
    <w:rsid w:val="00E020A8"/>
    <w:rsid w:val="00E0247A"/>
    <w:rsid w:val="00E024F4"/>
    <w:rsid w:val="00E029B8"/>
    <w:rsid w:val="00E02CB4"/>
    <w:rsid w:val="00E02D57"/>
    <w:rsid w:val="00E02E51"/>
    <w:rsid w:val="00E03470"/>
    <w:rsid w:val="00E0349E"/>
    <w:rsid w:val="00E0389C"/>
    <w:rsid w:val="00E03BE2"/>
    <w:rsid w:val="00E03EE0"/>
    <w:rsid w:val="00E0428D"/>
    <w:rsid w:val="00E042C5"/>
    <w:rsid w:val="00E044EC"/>
    <w:rsid w:val="00E045E2"/>
    <w:rsid w:val="00E046F6"/>
    <w:rsid w:val="00E04D15"/>
    <w:rsid w:val="00E058B1"/>
    <w:rsid w:val="00E05995"/>
    <w:rsid w:val="00E05E1A"/>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AAB"/>
    <w:rsid w:val="00E20AB6"/>
    <w:rsid w:val="00E20B8E"/>
    <w:rsid w:val="00E20E79"/>
    <w:rsid w:val="00E20EAB"/>
    <w:rsid w:val="00E21079"/>
    <w:rsid w:val="00E21759"/>
    <w:rsid w:val="00E21A27"/>
    <w:rsid w:val="00E21B5F"/>
    <w:rsid w:val="00E22373"/>
    <w:rsid w:val="00E22FC8"/>
    <w:rsid w:val="00E230A0"/>
    <w:rsid w:val="00E232D7"/>
    <w:rsid w:val="00E2345D"/>
    <w:rsid w:val="00E235B7"/>
    <w:rsid w:val="00E23DD4"/>
    <w:rsid w:val="00E23E1D"/>
    <w:rsid w:val="00E241F5"/>
    <w:rsid w:val="00E24A05"/>
    <w:rsid w:val="00E2518B"/>
    <w:rsid w:val="00E25CC4"/>
    <w:rsid w:val="00E25D2B"/>
    <w:rsid w:val="00E25D40"/>
    <w:rsid w:val="00E26010"/>
    <w:rsid w:val="00E2603F"/>
    <w:rsid w:val="00E26116"/>
    <w:rsid w:val="00E26307"/>
    <w:rsid w:val="00E2683D"/>
    <w:rsid w:val="00E2689B"/>
    <w:rsid w:val="00E269AF"/>
    <w:rsid w:val="00E2726E"/>
    <w:rsid w:val="00E2782B"/>
    <w:rsid w:val="00E27AE1"/>
    <w:rsid w:val="00E27D16"/>
    <w:rsid w:val="00E27D8C"/>
    <w:rsid w:val="00E30644"/>
    <w:rsid w:val="00E308CB"/>
    <w:rsid w:val="00E31143"/>
    <w:rsid w:val="00E31658"/>
    <w:rsid w:val="00E31720"/>
    <w:rsid w:val="00E3192C"/>
    <w:rsid w:val="00E31A95"/>
    <w:rsid w:val="00E32227"/>
    <w:rsid w:val="00E3264D"/>
    <w:rsid w:val="00E327F2"/>
    <w:rsid w:val="00E32D8D"/>
    <w:rsid w:val="00E336B6"/>
    <w:rsid w:val="00E33775"/>
    <w:rsid w:val="00E33A23"/>
    <w:rsid w:val="00E344C7"/>
    <w:rsid w:val="00E345F8"/>
    <w:rsid w:val="00E346FA"/>
    <w:rsid w:val="00E34ABC"/>
    <w:rsid w:val="00E34C7F"/>
    <w:rsid w:val="00E34D08"/>
    <w:rsid w:val="00E3508B"/>
    <w:rsid w:val="00E3552F"/>
    <w:rsid w:val="00E3566A"/>
    <w:rsid w:val="00E35A52"/>
    <w:rsid w:val="00E35BB2"/>
    <w:rsid w:val="00E3662F"/>
    <w:rsid w:val="00E36691"/>
    <w:rsid w:val="00E36798"/>
    <w:rsid w:val="00E3701A"/>
    <w:rsid w:val="00E372F3"/>
    <w:rsid w:val="00E372FD"/>
    <w:rsid w:val="00E37A5E"/>
    <w:rsid w:val="00E37A72"/>
    <w:rsid w:val="00E37EB3"/>
    <w:rsid w:val="00E40070"/>
    <w:rsid w:val="00E4013A"/>
    <w:rsid w:val="00E4029B"/>
    <w:rsid w:val="00E4086A"/>
    <w:rsid w:val="00E41547"/>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F05"/>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714"/>
    <w:rsid w:val="00E57AC7"/>
    <w:rsid w:val="00E57B25"/>
    <w:rsid w:val="00E57EEE"/>
    <w:rsid w:val="00E60843"/>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495"/>
    <w:rsid w:val="00E637C0"/>
    <w:rsid w:val="00E63D60"/>
    <w:rsid w:val="00E63E2E"/>
    <w:rsid w:val="00E645E0"/>
    <w:rsid w:val="00E64C33"/>
    <w:rsid w:val="00E64F73"/>
    <w:rsid w:val="00E657AB"/>
    <w:rsid w:val="00E660DE"/>
    <w:rsid w:val="00E66839"/>
    <w:rsid w:val="00E6685C"/>
    <w:rsid w:val="00E6732A"/>
    <w:rsid w:val="00E67ABE"/>
    <w:rsid w:val="00E67B9A"/>
    <w:rsid w:val="00E70099"/>
    <w:rsid w:val="00E707F5"/>
    <w:rsid w:val="00E7128F"/>
    <w:rsid w:val="00E71D15"/>
    <w:rsid w:val="00E72270"/>
    <w:rsid w:val="00E7245F"/>
    <w:rsid w:val="00E725A5"/>
    <w:rsid w:val="00E727B5"/>
    <w:rsid w:val="00E729B1"/>
    <w:rsid w:val="00E72B47"/>
    <w:rsid w:val="00E72E0D"/>
    <w:rsid w:val="00E737EF"/>
    <w:rsid w:val="00E73D4F"/>
    <w:rsid w:val="00E73D60"/>
    <w:rsid w:val="00E74097"/>
    <w:rsid w:val="00E74C3B"/>
    <w:rsid w:val="00E74DFC"/>
    <w:rsid w:val="00E74E47"/>
    <w:rsid w:val="00E758A5"/>
    <w:rsid w:val="00E758B1"/>
    <w:rsid w:val="00E75DED"/>
    <w:rsid w:val="00E75E36"/>
    <w:rsid w:val="00E75F22"/>
    <w:rsid w:val="00E75F71"/>
    <w:rsid w:val="00E75FE3"/>
    <w:rsid w:val="00E76467"/>
    <w:rsid w:val="00E76759"/>
    <w:rsid w:val="00E7680E"/>
    <w:rsid w:val="00E76ACF"/>
    <w:rsid w:val="00E76C23"/>
    <w:rsid w:val="00E76E85"/>
    <w:rsid w:val="00E77048"/>
    <w:rsid w:val="00E7705F"/>
    <w:rsid w:val="00E77102"/>
    <w:rsid w:val="00E772FD"/>
    <w:rsid w:val="00E7783C"/>
    <w:rsid w:val="00E77963"/>
    <w:rsid w:val="00E77B9D"/>
    <w:rsid w:val="00E77F51"/>
    <w:rsid w:val="00E77FC7"/>
    <w:rsid w:val="00E80191"/>
    <w:rsid w:val="00E80998"/>
    <w:rsid w:val="00E80DEE"/>
    <w:rsid w:val="00E818A2"/>
    <w:rsid w:val="00E81B0C"/>
    <w:rsid w:val="00E8202E"/>
    <w:rsid w:val="00E82043"/>
    <w:rsid w:val="00E82BA7"/>
    <w:rsid w:val="00E82E1F"/>
    <w:rsid w:val="00E82F35"/>
    <w:rsid w:val="00E83192"/>
    <w:rsid w:val="00E8328F"/>
    <w:rsid w:val="00E83720"/>
    <w:rsid w:val="00E839F3"/>
    <w:rsid w:val="00E845A0"/>
    <w:rsid w:val="00E84DA0"/>
    <w:rsid w:val="00E84DC8"/>
    <w:rsid w:val="00E84FAD"/>
    <w:rsid w:val="00E853B9"/>
    <w:rsid w:val="00E8570A"/>
    <w:rsid w:val="00E85839"/>
    <w:rsid w:val="00E85CC2"/>
    <w:rsid w:val="00E85F10"/>
    <w:rsid w:val="00E86007"/>
    <w:rsid w:val="00E863A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50C"/>
    <w:rsid w:val="00E9297C"/>
    <w:rsid w:val="00E92994"/>
    <w:rsid w:val="00E92C77"/>
    <w:rsid w:val="00E92C99"/>
    <w:rsid w:val="00E9301C"/>
    <w:rsid w:val="00E93D36"/>
    <w:rsid w:val="00E940DB"/>
    <w:rsid w:val="00E94310"/>
    <w:rsid w:val="00E94A6A"/>
    <w:rsid w:val="00E9529C"/>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10E"/>
    <w:rsid w:val="00EA34C0"/>
    <w:rsid w:val="00EA3B33"/>
    <w:rsid w:val="00EA3F07"/>
    <w:rsid w:val="00EA47FA"/>
    <w:rsid w:val="00EA4D3B"/>
    <w:rsid w:val="00EA4D58"/>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851"/>
    <w:rsid w:val="00EB1BB4"/>
    <w:rsid w:val="00EB202D"/>
    <w:rsid w:val="00EB2C4E"/>
    <w:rsid w:val="00EB2C70"/>
    <w:rsid w:val="00EB2F70"/>
    <w:rsid w:val="00EB30BF"/>
    <w:rsid w:val="00EB32C0"/>
    <w:rsid w:val="00EB47A7"/>
    <w:rsid w:val="00EB47E3"/>
    <w:rsid w:val="00EB47F0"/>
    <w:rsid w:val="00EB5080"/>
    <w:rsid w:val="00EB5850"/>
    <w:rsid w:val="00EB599B"/>
    <w:rsid w:val="00EB6474"/>
    <w:rsid w:val="00EB6747"/>
    <w:rsid w:val="00EB721B"/>
    <w:rsid w:val="00EB73A7"/>
    <w:rsid w:val="00EB7516"/>
    <w:rsid w:val="00EB753F"/>
    <w:rsid w:val="00EB7966"/>
    <w:rsid w:val="00EB79F8"/>
    <w:rsid w:val="00EC0038"/>
    <w:rsid w:val="00EC017E"/>
    <w:rsid w:val="00EC06EB"/>
    <w:rsid w:val="00EC0BC9"/>
    <w:rsid w:val="00EC0D48"/>
    <w:rsid w:val="00EC0E0A"/>
    <w:rsid w:val="00EC1110"/>
    <w:rsid w:val="00EC1575"/>
    <w:rsid w:val="00EC1948"/>
    <w:rsid w:val="00EC1AAA"/>
    <w:rsid w:val="00EC1BDB"/>
    <w:rsid w:val="00EC26D0"/>
    <w:rsid w:val="00EC2729"/>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6542"/>
    <w:rsid w:val="00EC6C08"/>
    <w:rsid w:val="00EC714A"/>
    <w:rsid w:val="00EC7750"/>
    <w:rsid w:val="00EC79EA"/>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3C25"/>
    <w:rsid w:val="00EE41D9"/>
    <w:rsid w:val="00EE4673"/>
    <w:rsid w:val="00EE5755"/>
    <w:rsid w:val="00EE5A39"/>
    <w:rsid w:val="00EE614D"/>
    <w:rsid w:val="00EE6710"/>
    <w:rsid w:val="00EE75DB"/>
    <w:rsid w:val="00EE7A74"/>
    <w:rsid w:val="00EE7C1C"/>
    <w:rsid w:val="00EF0187"/>
    <w:rsid w:val="00EF0456"/>
    <w:rsid w:val="00EF06D1"/>
    <w:rsid w:val="00EF07B1"/>
    <w:rsid w:val="00EF0BB6"/>
    <w:rsid w:val="00EF0DA4"/>
    <w:rsid w:val="00EF10E9"/>
    <w:rsid w:val="00EF1816"/>
    <w:rsid w:val="00EF1D6C"/>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703"/>
    <w:rsid w:val="00F04BA9"/>
    <w:rsid w:val="00F04E82"/>
    <w:rsid w:val="00F0537E"/>
    <w:rsid w:val="00F05543"/>
    <w:rsid w:val="00F057E1"/>
    <w:rsid w:val="00F05831"/>
    <w:rsid w:val="00F05940"/>
    <w:rsid w:val="00F05A99"/>
    <w:rsid w:val="00F05CCD"/>
    <w:rsid w:val="00F05E66"/>
    <w:rsid w:val="00F062B3"/>
    <w:rsid w:val="00F064A2"/>
    <w:rsid w:val="00F06744"/>
    <w:rsid w:val="00F06D7D"/>
    <w:rsid w:val="00F072E0"/>
    <w:rsid w:val="00F07433"/>
    <w:rsid w:val="00F0769E"/>
    <w:rsid w:val="00F1068E"/>
    <w:rsid w:val="00F10F9E"/>
    <w:rsid w:val="00F11011"/>
    <w:rsid w:val="00F11081"/>
    <w:rsid w:val="00F1112F"/>
    <w:rsid w:val="00F111E2"/>
    <w:rsid w:val="00F11392"/>
    <w:rsid w:val="00F117B0"/>
    <w:rsid w:val="00F11D3B"/>
    <w:rsid w:val="00F11ECE"/>
    <w:rsid w:val="00F1200B"/>
    <w:rsid w:val="00F123C8"/>
    <w:rsid w:val="00F12C97"/>
    <w:rsid w:val="00F12E78"/>
    <w:rsid w:val="00F14603"/>
    <w:rsid w:val="00F15330"/>
    <w:rsid w:val="00F154C8"/>
    <w:rsid w:val="00F1574D"/>
    <w:rsid w:val="00F1587F"/>
    <w:rsid w:val="00F15F98"/>
    <w:rsid w:val="00F160CF"/>
    <w:rsid w:val="00F163B1"/>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09"/>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75"/>
    <w:rsid w:val="00F320C3"/>
    <w:rsid w:val="00F32219"/>
    <w:rsid w:val="00F3260D"/>
    <w:rsid w:val="00F3279F"/>
    <w:rsid w:val="00F328C4"/>
    <w:rsid w:val="00F3297B"/>
    <w:rsid w:val="00F32C94"/>
    <w:rsid w:val="00F32E74"/>
    <w:rsid w:val="00F33EFE"/>
    <w:rsid w:val="00F3461A"/>
    <w:rsid w:val="00F34CE7"/>
    <w:rsid w:val="00F35093"/>
    <w:rsid w:val="00F355E8"/>
    <w:rsid w:val="00F3585E"/>
    <w:rsid w:val="00F35A90"/>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A5B"/>
    <w:rsid w:val="00F45AD4"/>
    <w:rsid w:val="00F45E4E"/>
    <w:rsid w:val="00F45F37"/>
    <w:rsid w:val="00F4683F"/>
    <w:rsid w:val="00F46D44"/>
    <w:rsid w:val="00F46DD8"/>
    <w:rsid w:val="00F47BA0"/>
    <w:rsid w:val="00F47C4B"/>
    <w:rsid w:val="00F50368"/>
    <w:rsid w:val="00F50371"/>
    <w:rsid w:val="00F509DC"/>
    <w:rsid w:val="00F51188"/>
    <w:rsid w:val="00F51B70"/>
    <w:rsid w:val="00F51DAE"/>
    <w:rsid w:val="00F51E78"/>
    <w:rsid w:val="00F5272D"/>
    <w:rsid w:val="00F53321"/>
    <w:rsid w:val="00F53403"/>
    <w:rsid w:val="00F5340A"/>
    <w:rsid w:val="00F536C7"/>
    <w:rsid w:val="00F5396A"/>
    <w:rsid w:val="00F53DA3"/>
    <w:rsid w:val="00F53DCC"/>
    <w:rsid w:val="00F53EDB"/>
    <w:rsid w:val="00F54016"/>
    <w:rsid w:val="00F5490C"/>
    <w:rsid w:val="00F54CAB"/>
    <w:rsid w:val="00F54DC1"/>
    <w:rsid w:val="00F5525B"/>
    <w:rsid w:val="00F55322"/>
    <w:rsid w:val="00F55361"/>
    <w:rsid w:val="00F55412"/>
    <w:rsid w:val="00F5549F"/>
    <w:rsid w:val="00F55A5C"/>
    <w:rsid w:val="00F55AE6"/>
    <w:rsid w:val="00F55B9E"/>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71E"/>
    <w:rsid w:val="00F637A0"/>
    <w:rsid w:val="00F63B54"/>
    <w:rsid w:val="00F63BF0"/>
    <w:rsid w:val="00F64222"/>
    <w:rsid w:val="00F642C8"/>
    <w:rsid w:val="00F64B5B"/>
    <w:rsid w:val="00F64E25"/>
    <w:rsid w:val="00F652D5"/>
    <w:rsid w:val="00F653CC"/>
    <w:rsid w:val="00F655D0"/>
    <w:rsid w:val="00F65691"/>
    <w:rsid w:val="00F6622A"/>
    <w:rsid w:val="00F66251"/>
    <w:rsid w:val="00F66590"/>
    <w:rsid w:val="00F6687B"/>
    <w:rsid w:val="00F66FE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3D4"/>
    <w:rsid w:val="00F7453E"/>
    <w:rsid w:val="00F74CA4"/>
    <w:rsid w:val="00F754FA"/>
    <w:rsid w:val="00F75672"/>
    <w:rsid w:val="00F757D9"/>
    <w:rsid w:val="00F75DF4"/>
    <w:rsid w:val="00F7605B"/>
    <w:rsid w:val="00F76104"/>
    <w:rsid w:val="00F76668"/>
    <w:rsid w:val="00F76974"/>
    <w:rsid w:val="00F76FDD"/>
    <w:rsid w:val="00F7733B"/>
    <w:rsid w:val="00F77654"/>
    <w:rsid w:val="00F77746"/>
    <w:rsid w:val="00F77B23"/>
    <w:rsid w:val="00F80C37"/>
    <w:rsid w:val="00F81256"/>
    <w:rsid w:val="00F81462"/>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1AF"/>
    <w:rsid w:val="00F8534F"/>
    <w:rsid w:val="00F8553E"/>
    <w:rsid w:val="00F85F20"/>
    <w:rsid w:val="00F862B7"/>
    <w:rsid w:val="00F86AA6"/>
    <w:rsid w:val="00F86BD2"/>
    <w:rsid w:val="00F870FD"/>
    <w:rsid w:val="00F872A3"/>
    <w:rsid w:val="00F8753E"/>
    <w:rsid w:val="00F87960"/>
    <w:rsid w:val="00F87CE2"/>
    <w:rsid w:val="00F90162"/>
    <w:rsid w:val="00F90D93"/>
    <w:rsid w:val="00F91842"/>
    <w:rsid w:val="00F91B11"/>
    <w:rsid w:val="00F91D50"/>
    <w:rsid w:val="00F92573"/>
    <w:rsid w:val="00F926B6"/>
    <w:rsid w:val="00F932A9"/>
    <w:rsid w:val="00F937FA"/>
    <w:rsid w:val="00F93A1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7E5"/>
    <w:rsid w:val="00FA3B22"/>
    <w:rsid w:val="00FA44F4"/>
    <w:rsid w:val="00FA45B2"/>
    <w:rsid w:val="00FA5762"/>
    <w:rsid w:val="00FA5BCB"/>
    <w:rsid w:val="00FA62E1"/>
    <w:rsid w:val="00FA6AC6"/>
    <w:rsid w:val="00FA6D4B"/>
    <w:rsid w:val="00FA6EE7"/>
    <w:rsid w:val="00FA6EF2"/>
    <w:rsid w:val="00FA72D0"/>
    <w:rsid w:val="00FA7451"/>
    <w:rsid w:val="00FA796D"/>
    <w:rsid w:val="00FB0457"/>
    <w:rsid w:val="00FB09F4"/>
    <w:rsid w:val="00FB0C59"/>
    <w:rsid w:val="00FB0DAF"/>
    <w:rsid w:val="00FB12FA"/>
    <w:rsid w:val="00FB135C"/>
    <w:rsid w:val="00FB1F66"/>
    <w:rsid w:val="00FB22E2"/>
    <w:rsid w:val="00FB2A92"/>
    <w:rsid w:val="00FB2C42"/>
    <w:rsid w:val="00FB2F77"/>
    <w:rsid w:val="00FB329B"/>
    <w:rsid w:val="00FB42D0"/>
    <w:rsid w:val="00FB448E"/>
    <w:rsid w:val="00FB4575"/>
    <w:rsid w:val="00FB45A9"/>
    <w:rsid w:val="00FB4753"/>
    <w:rsid w:val="00FB4CF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CF7"/>
    <w:rsid w:val="00FC3D0B"/>
    <w:rsid w:val="00FC3FAB"/>
    <w:rsid w:val="00FC4C6B"/>
    <w:rsid w:val="00FC4EEF"/>
    <w:rsid w:val="00FC585C"/>
    <w:rsid w:val="00FC5A1D"/>
    <w:rsid w:val="00FC5EEA"/>
    <w:rsid w:val="00FC5FC3"/>
    <w:rsid w:val="00FC6175"/>
    <w:rsid w:val="00FC62C7"/>
    <w:rsid w:val="00FC6851"/>
    <w:rsid w:val="00FC6896"/>
    <w:rsid w:val="00FC6C23"/>
    <w:rsid w:val="00FC6D10"/>
    <w:rsid w:val="00FC71FA"/>
    <w:rsid w:val="00FC7243"/>
    <w:rsid w:val="00FC743C"/>
    <w:rsid w:val="00FC7682"/>
    <w:rsid w:val="00FD027E"/>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E32"/>
    <w:rsid w:val="00FD4F94"/>
    <w:rsid w:val="00FD5229"/>
    <w:rsid w:val="00FD531C"/>
    <w:rsid w:val="00FD54FD"/>
    <w:rsid w:val="00FD56CB"/>
    <w:rsid w:val="00FD5760"/>
    <w:rsid w:val="00FD589D"/>
    <w:rsid w:val="00FD5C97"/>
    <w:rsid w:val="00FD6285"/>
    <w:rsid w:val="00FD6952"/>
    <w:rsid w:val="00FD6C16"/>
    <w:rsid w:val="00FD6EBB"/>
    <w:rsid w:val="00FD7633"/>
    <w:rsid w:val="00FE02A1"/>
    <w:rsid w:val="00FE0321"/>
    <w:rsid w:val="00FE0849"/>
    <w:rsid w:val="00FE0C7B"/>
    <w:rsid w:val="00FE0C9F"/>
    <w:rsid w:val="00FE108B"/>
    <w:rsid w:val="00FE1183"/>
    <w:rsid w:val="00FE1502"/>
    <w:rsid w:val="00FE1643"/>
    <w:rsid w:val="00FE1665"/>
    <w:rsid w:val="00FE1D1C"/>
    <w:rsid w:val="00FE1EA1"/>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904"/>
    <w:rsid w:val="00FF4EE8"/>
    <w:rsid w:val="00FF517C"/>
    <w:rsid w:val="00FF53C3"/>
    <w:rsid w:val="00FF5A92"/>
    <w:rsid w:val="00FF6044"/>
    <w:rsid w:val="00FF6706"/>
    <w:rsid w:val="00FF68F6"/>
    <w:rsid w:val="00FF69C5"/>
    <w:rsid w:val="00FF6AC7"/>
    <w:rsid w:val="00FF6B60"/>
    <w:rsid w:val="00FF6B6F"/>
    <w:rsid w:val="00FF72EE"/>
    <w:rsid w:val="00FF73B6"/>
    <w:rsid w:val="00FF7449"/>
    <w:rsid w:val="00FF770E"/>
    <w:rsid w:val="00FF773D"/>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8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caption" w:qFormat="1"/>
    <w:lsdException w:name="annotation reference" w:uiPriority="99"/>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uiPriority w:val="99"/>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link w:val="DefaultChar"/>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customStyle="1" w:styleId="DefaultChar">
    <w:name w:val="Default Char"/>
    <w:basedOn w:val="DefaultParagraphFont"/>
    <w:link w:val="Default"/>
    <w:locked/>
    <w:rsid w:val="00EA4D3B"/>
    <w:rPr>
      <w:rFonts w:ascii="Book Antiqua" w:eastAsia="Calibri" w:hAnsi="Book Antiqua"/>
      <w:color w:val="000000"/>
      <w:sz w:val="24"/>
      <w:szCs w:val="24"/>
      <w:lang w:eastAsia="en-US"/>
    </w:rPr>
  </w:style>
  <w:style w:type="character" w:customStyle="1" w:styleId="CommentTextChar">
    <w:name w:val="Comment Text Char"/>
    <w:basedOn w:val="DefaultParagraphFont"/>
    <w:link w:val="CommentText"/>
    <w:uiPriority w:val="99"/>
    <w:semiHidden/>
    <w:rsid w:val="00224762"/>
    <w:rPr>
      <w:rFonts w:ascii="Book Antiqua" w:hAnsi="Book Antiqu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caption" w:qFormat="1"/>
    <w:lsdException w:name="annotation reference" w:uiPriority="99"/>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uiPriority w:val="99"/>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link w:val="DefaultChar"/>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customStyle="1" w:styleId="DefaultChar">
    <w:name w:val="Default Char"/>
    <w:basedOn w:val="DefaultParagraphFont"/>
    <w:link w:val="Default"/>
    <w:locked/>
    <w:rsid w:val="00EA4D3B"/>
    <w:rPr>
      <w:rFonts w:ascii="Book Antiqua" w:eastAsia="Calibri" w:hAnsi="Book Antiqua"/>
      <w:color w:val="000000"/>
      <w:sz w:val="24"/>
      <w:szCs w:val="24"/>
      <w:lang w:eastAsia="en-US"/>
    </w:rPr>
  </w:style>
  <w:style w:type="character" w:customStyle="1" w:styleId="CommentTextChar">
    <w:name w:val="Comment Text Char"/>
    <w:basedOn w:val="DefaultParagraphFont"/>
    <w:link w:val="CommentText"/>
    <w:uiPriority w:val="99"/>
    <w:semiHidden/>
    <w:rsid w:val="00224762"/>
    <w:rPr>
      <w:rFonts w:ascii="Book Antiqua" w:hAnsi="Book Antiqu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37641276">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585649717">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1364298">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6482">
      <w:bodyDiv w:val="1"/>
      <w:marLeft w:val="0"/>
      <w:marRight w:val="0"/>
      <w:marTop w:val="0"/>
      <w:marBottom w:val="0"/>
      <w:divBdr>
        <w:top w:val="none" w:sz="0" w:space="0" w:color="auto"/>
        <w:left w:val="none" w:sz="0" w:space="0" w:color="auto"/>
        <w:bottom w:val="none" w:sz="0" w:space="0" w:color="auto"/>
        <w:right w:val="none" w:sz="0" w:space="0" w:color="auto"/>
      </w:divBdr>
    </w:div>
    <w:div w:id="1170146203">
      <w:bodyDiv w:val="1"/>
      <w:marLeft w:val="0"/>
      <w:marRight w:val="0"/>
      <w:marTop w:val="0"/>
      <w:marBottom w:val="0"/>
      <w:divBdr>
        <w:top w:val="none" w:sz="0" w:space="0" w:color="auto"/>
        <w:left w:val="none" w:sz="0" w:space="0" w:color="auto"/>
        <w:bottom w:val="none" w:sz="0" w:space="0" w:color="auto"/>
        <w:right w:val="none" w:sz="0" w:space="0" w:color="auto"/>
      </w:divBdr>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14897700">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20473643">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64830431">
      <w:bodyDiv w:val="1"/>
      <w:marLeft w:val="0"/>
      <w:marRight w:val="0"/>
      <w:marTop w:val="0"/>
      <w:marBottom w:val="0"/>
      <w:divBdr>
        <w:top w:val="none" w:sz="0" w:space="0" w:color="auto"/>
        <w:left w:val="none" w:sz="0" w:space="0" w:color="auto"/>
        <w:bottom w:val="none" w:sz="0" w:space="0" w:color="auto"/>
        <w:right w:val="none" w:sz="0" w:space="0" w:color="auto"/>
      </w:divBdr>
    </w:div>
    <w:div w:id="1875582368">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91DCEF2-DFCB-4445-8902-EA933EA9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3389</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Forecasting Report</vt:lpstr>
    </vt:vector>
  </TitlesOfParts>
  <Manager/>
  <Company/>
  <LinksUpToDate>false</LinksUpToDate>
  <CharactersWithSpaces>21322</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Forecasting Report</dc:title>
  <dc:subject>June 2012</dc:subject>
  <dc:creator/>
  <cp:keywords/>
  <cp:lastModifiedBy/>
  <cp:revision>1</cp:revision>
  <dcterms:created xsi:type="dcterms:W3CDTF">2015-05-28T03:27:00Z</dcterms:created>
  <dcterms:modified xsi:type="dcterms:W3CDTF">2015-05-28T03:45:00Z</dcterms:modified>
</cp:coreProperties>
</file>