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5E7AAA">
      <w:pPr>
        <w:pStyle w:val="Title"/>
        <w:rPr>
          <w:b/>
          <w:color w:val="auto"/>
        </w:rPr>
      </w:pPr>
      <w:bookmarkStart w:id="0" w:name="_GoBack"/>
      <w:bookmarkEnd w:id="0"/>
    </w:p>
    <w:p w:rsidR="00EF6F1B" w:rsidRPr="00620D25" w:rsidRDefault="00EF6F1B" w:rsidP="005E7AAA">
      <w:pPr>
        <w:pStyle w:val="Title"/>
        <w:rPr>
          <w:b/>
          <w:color w:val="auto"/>
        </w:rPr>
      </w:pPr>
    </w:p>
    <w:p w:rsidR="00EF6F1B" w:rsidRPr="00620D25" w:rsidRDefault="00491C99" w:rsidP="005E7AAA">
      <w:pPr>
        <w:pStyle w:val="Title"/>
        <w:rPr>
          <w:b/>
          <w:color w:val="auto"/>
        </w:rPr>
      </w:pPr>
      <w:r>
        <w:rPr>
          <w:rFonts w:ascii="Times New Roman" w:hAnsi="Times New Roman"/>
          <w:noProof/>
          <w:color w:val="auto"/>
          <w:sz w:val="24"/>
          <w:szCs w:val="24"/>
          <w:lang w:eastAsia="en-AU"/>
        </w:rPr>
        <mc:AlternateContent>
          <mc:Choice Requires="wps">
            <w:drawing>
              <wp:anchor distT="36576" distB="36576" distL="36576" distR="36576" simplePos="0" relativeHeight="251654656" behindDoc="0" locked="0" layoutInCell="1" allowOverlap="1" wp14:anchorId="5360B88A" wp14:editId="40946AC3">
                <wp:simplePos x="0" y="0"/>
                <wp:positionH relativeFrom="column">
                  <wp:posOffset>411480</wp:posOffset>
                </wp:positionH>
                <wp:positionV relativeFrom="paragraph">
                  <wp:posOffset>6069330</wp:posOffset>
                </wp:positionV>
                <wp:extent cx="4485640" cy="618490"/>
                <wp:effectExtent l="0" t="444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618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545A2" w:rsidRDefault="00B545A2" w:rsidP="00491C99">
                            <w:pPr>
                              <w:pStyle w:val="BodyText3"/>
                              <w:widowControl w:val="0"/>
                              <w:rPr>
                                <w:lang w:val="en-US"/>
                                <w14:ligatures w14:val="none"/>
                              </w:rPr>
                            </w:pPr>
                            <w:r>
                              <w:rPr>
                                <w:lang w:val="en-US"/>
                                <w14:ligatures w14:val="none"/>
                              </w:rPr>
                              <w:t xml:space="preserve">This report incorporates Domestic and International data </w:t>
                            </w:r>
                            <w:r>
                              <w:rPr>
                                <w:lang w:val="en-US"/>
                                <w14:ligatures w14:val="none"/>
                              </w:rPr>
                              <w:br/>
                              <w:t>released up to 12 April 2012.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2.4pt;margin-top:477.9pt;width:353.2pt;height:48.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" filled="f" stroked="f" strokecolor="black [0]" strokeweight="0" insetpen="t">
                <v:textbox inset="2.88pt,2.88pt,2.88pt,2.88pt">
                  <w:txbxContent>
                    <w:p w:rsidR="00B545A2" w:rsidRDefault="00B545A2" w:rsidP="00491C99">
                      <w:pPr>
                        <w:pStyle w:val="BodyText3"/>
                        <w:widowControl w:val="0"/>
                        <w:rPr>
                          <w:lang w:val="en-US"/>
                          <w14:ligatures w14:val="none"/>
                        </w:rPr>
                      </w:pPr>
                      <w:r>
                        <w:rPr>
                          <w:lang w:val="en-US"/>
                          <w14:ligatures w14:val="none"/>
                        </w:rPr>
                        <w:t xml:space="preserve">This report incorporates Domestic and International data </w:t>
                      </w:r>
                      <w:r>
                        <w:rPr>
                          <w:lang w:val="en-US"/>
                          <w14:ligatures w14:val="none"/>
                        </w:rPr>
                        <w:br/>
                        <w:t>released up to 12 April 2012.</w:t>
                      </w: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5680" behindDoc="0" locked="0" layoutInCell="1" allowOverlap="1" wp14:anchorId="18D09282" wp14:editId="14914CA3">
                <wp:simplePos x="0" y="0"/>
                <wp:positionH relativeFrom="column">
                  <wp:posOffset>411480</wp:posOffset>
                </wp:positionH>
                <wp:positionV relativeFrom="paragraph">
                  <wp:posOffset>4464050</wp:posOffset>
                </wp:positionV>
                <wp:extent cx="5936615" cy="84582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84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545A2" w:rsidRPr="00491C99" w:rsidRDefault="00B545A2"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Economic outlook for 2011-12, 2012-13 and 2013-14</w:t>
                            </w:r>
                          </w:p>
                          <w:p w:rsidR="00B545A2" w:rsidRPr="00491C99" w:rsidRDefault="00B545A2"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March 2012</w:t>
                            </w:r>
                          </w:p>
                          <w:p w:rsidR="00B545A2" w:rsidRPr="00491C99" w:rsidRDefault="00B545A2" w:rsidP="004D585F">
                            <w:pPr>
                              <w:pStyle w:val="Title"/>
                              <w:widowControl w:val="0"/>
                              <w:jc w:val="left"/>
                              <w:rPr>
                                <w:color w:val="548DD4" w:themeColor="text2" w:themeTint="99"/>
                                <w:sz w:val="64"/>
                                <w:szCs w:val="6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2.4pt;margin-top:351.5pt;width:467.45pt;height:66.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tDAMAALo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" filled="f" stroked="f" strokecolor="black [0]" strokeweight="0" insetpen="t">
                <v:textbox inset="2.88pt,2.88pt,2.88pt,2.88pt">
                  <w:txbxContent>
                    <w:p w:rsidR="00B545A2" w:rsidRPr="00491C99" w:rsidRDefault="00B545A2"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Economic outlook for 2011-12, 2012-13 and 2013-14</w:t>
                      </w:r>
                    </w:p>
                    <w:p w:rsidR="00B545A2" w:rsidRPr="00491C99" w:rsidRDefault="00B545A2"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March 2012</w:t>
                      </w:r>
                    </w:p>
                    <w:p w:rsidR="00B545A2" w:rsidRPr="00491C99" w:rsidRDefault="00B545A2" w:rsidP="004D585F">
                      <w:pPr>
                        <w:pStyle w:val="Title"/>
                        <w:widowControl w:val="0"/>
                        <w:jc w:val="left"/>
                        <w:rPr>
                          <w:color w:val="548DD4" w:themeColor="text2" w:themeTint="99"/>
                          <w:sz w:val="64"/>
                          <w:szCs w:val="64"/>
                          <w:lang w:val="en-US"/>
                        </w:rPr>
                      </w:pP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6704" behindDoc="0" locked="0" layoutInCell="1" allowOverlap="1" wp14:anchorId="2535C0AA" wp14:editId="1A2CFD1F">
                <wp:simplePos x="0" y="0"/>
                <wp:positionH relativeFrom="column">
                  <wp:posOffset>-290830</wp:posOffset>
                </wp:positionH>
                <wp:positionV relativeFrom="paragraph">
                  <wp:posOffset>-802640</wp:posOffset>
                </wp:positionV>
                <wp:extent cx="638175" cy="93167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316720"/>
                        </a:xfrm>
                        <a:prstGeom prst="rect">
                          <a:avLst/>
                        </a:prstGeom>
                        <a:solidFill>
                          <a:srgbClr val="8AAFC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9pt;margin-top:-63.2pt;width:50.25pt;height:733.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" fillcolor="#8aafc1"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7728" behindDoc="0" locked="0" layoutInCell="1" allowOverlap="1" wp14:anchorId="4AF74D0D" wp14:editId="0C53CDCF">
                <wp:simplePos x="0" y="0"/>
                <wp:positionH relativeFrom="column">
                  <wp:posOffset>-290830</wp:posOffset>
                </wp:positionH>
                <wp:positionV relativeFrom="paragraph">
                  <wp:posOffset>-1116965</wp:posOffset>
                </wp:positionV>
                <wp:extent cx="638175" cy="32321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23215"/>
                        </a:xfrm>
                        <a:prstGeom prst="rect">
                          <a:avLst/>
                        </a:prstGeom>
                        <a:solidFill>
                          <a:srgbClr val="00517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9pt;margin-top:-87.95pt;width:50.25pt;height:25.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" fillcolor="#00517a"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8752" behindDoc="0" locked="0" layoutInCell="1" allowOverlap="1" wp14:anchorId="060B28C3" wp14:editId="75277AE8">
                <wp:simplePos x="0" y="0"/>
                <wp:positionH relativeFrom="column">
                  <wp:posOffset>-281940</wp:posOffset>
                </wp:positionH>
                <wp:positionV relativeFrom="paragraph">
                  <wp:posOffset>-812800</wp:posOffset>
                </wp:positionV>
                <wp:extent cx="616585" cy="0"/>
                <wp:effectExtent l="18415" t="18415" r="2222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line">
                          <a:avLst/>
                        </a:prstGeom>
                        <a:noFill/>
                        <a:ln w="28575">
                          <a:solidFill>
                            <a:srgbClr val="0066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2pt,-64pt" to="26.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" strokecolor="#069" strokeweight="2.25pt">
                <v:shadow color="#ccc"/>
              </v:line>
            </w:pict>
          </mc:Fallback>
        </mc:AlternateContent>
      </w:r>
      <w:r>
        <w:rPr>
          <w:rFonts w:ascii="Times New Roman" w:hAnsi="Times New Roman"/>
          <w:noProof/>
          <w:color w:val="auto"/>
          <w:sz w:val="24"/>
          <w:szCs w:val="24"/>
          <w:lang w:eastAsia="en-AU"/>
        </w:rPr>
        <w:drawing>
          <wp:anchor distT="36576" distB="36576" distL="36576" distR="36576" simplePos="0" relativeHeight="251659776" behindDoc="0" locked="0" layoutInCell="1" allowOverlap="1" wp14:anchorId="06A30DB9" wp14:editId="385213DA">
            <wp:simplePos x="0" y="0"/>
            <wp:positionH relativeFrom="column">
              <wp:posOffset>415290</wp:posOffset>
            </wp:positionH>
            <wp:positionV relativeFrom="paragraph">
              <wp:posOffset>-1054735</wp:posOffset>
            </wp:positionV>
            <wp:extent cx="2926080" cy="6705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670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C86C34" w:rsidRDefault="00C5511F">
      <w:pPr>
        <w:pStyle w:val="TOC3"/>
      </w:pPr>
      <w:r>
        <w:rPr>
          <w:rFonts w:ascii="Times New Roman" w:hAnsi="Times New Roman"/>
          <w:lang w:eastAsia="en-AU"/>
        </w:rPr>
        <mc:AlternateContent>
          <mc:Choice Requires="wps">
            <w:drawing>
              <wp:anchor distT="36576" distB="36576" distL="36576" distR="36576" simplePos="0" relativeHeight="251660800" behindDoc="0" locked="0" layoutInCell="1" allowOverlap="1" wp14:anchorId="3FD05B07" wp14:editId="3740E44D">
                <wp:simplePos x="0" y="0"/>
                <wp:positionH relativeFrom="column">
                  <wp:posOffset>418465</wp:posOffset>
                </wp:positionH>
                <wp:positionV relativeFrom="paragraph">
                  <wp:posOffset>165328</wp:posOffset>
                </wp:positionV>
                <wp:extent cx="5582920" cy="21291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2129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545A2" w:rsidRPr="00491C99" w:rsidRDefault="00B545A2"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JOINT ECONOMIC FORECASTING GROUP</w:t>
                            </w:r>
                          </w:p>
                          <w:p w:rsidR="00B545A2" w:rsidRPr="00491C99" w:rsidRDefault="00B545A2"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p w:rsidR="00B545A2" w:rsidRPr="00491C99" w:rsidRDefault="00B545A2"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2.95pt;margin-top:13pt;width:439.6pt;height:167.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" filled="f" stroked="f" strokecolor="black [0]" strokeweight="0" insetpen="t">
                <v:textbox inset="2.88pt,2.88pt,2.88pt,2.88pt">
                  <w:txbxContent>
                    <w:p w:rsidR="00B545A2" w:rsidRPr="00491C99" w:rsidRDefault="00B545A2"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JOINT ECONOMIC FORECASTING GROUP</w:t>
                      </w:r>
                    </w:p>
                    <w:p w:rsidR="00B545A2" w:rsidRPr="00491C99" w:rsidRDefault="00B545A2"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p w:rsidR="00B545A2" w:rsidRPr="00491C99" w:rsidRDefault="00B545A2"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v:textbox>
              </v:shape>
            </w:pict>
          </mc:Fallback>
        </mc:AlternateContent>
      </w:r>
      <w:r w:rsidR="00A8671C" w:rsidRPr="003344B0">
        <w:rPr>
          <w:b w:val="0"/>
          <w:highlight w:val="yellow"/>
        </w:rPr>
        <w:br w:type="page"/>
      </w:r>
      <w:r w:rsidR="004D4273" w:rsidRPr="00CA05D4">
        <w:rPr>
          <w:b w:val="0"/>
        </w:rPr>
        <w:fldChar w:fldCharType="begin"/>
      </w:r>
      <w:r w:rsidR="00C825B7" w:rsidRPr="00CA05D4">
        <w:rPr>
          <w:b w:val="0"/>
        </w:rPr>
        <w:instrText xml:space="preserve"> TOC \o "1-4" \h \z \u </w:instrText>
      </w:r>
      <w:r w:rsidR="004D4273" w:rsidRPr="00CA05D4">
        <w:rPr>
          <w:b w:val="0"/>
        </w:rPr>
        <w:fldChar w:fldCharType="separate"/>
      </w:r>
    </w:p>
    <w:p w:rsidR="00C86C34" w:rsidRDefault="00E01808">
      <w:pPr>
        <w:pStyle w:val="TOC3"/>
        <w:rPr>
          <w:rFonts w:asciiTheme="minorHAnsi" w:eastAsiaTheme="minorEastAsia" w:hAnsiTheme="minorHAnsi" w:cstheme="minorBidi"/>
          <w:b w:val="0"/>
          <w:sz w:val="22"/>
          <w:szCs w:val="22"/>
          <w:lang w:eastAsia="en-AU"/>
        </w:rPr>
      </w:pPr>
      <w:hyperlink w:anchor="_Toc322100136" w:history="1">
        <w:r w:rsidR="00C86C34" w:rsidRPr="002F1837">
          <w:rPr>
            <w:rStyle w:val="Hyperlink"/>
          </w:rPr>
          <w:t>Overview</w:t>
        </w:r>
        <w:r w:rsidR="00C86C34">
          <w:rPr>
            <w:webHidden/>
          </w:rPr>
          <w:tab/>
        </w:r>
        <w:r w:rsidR="00C86C34">
          <w:rPr>
            <w:webHidden/>
          </w:rPr>
          <w:fldChar w:fldCharType="begin"/>
        </w:r>
        <w:r w:rsidR="00C86C34">
          <w:rPr>
            <w:webHidden/>
          </w:rPr>
          <w:instrText xml:space="preserve"> PAGEREF _Toc322100136 \h </w:instrText>
        </w:r>
        <w:r w:rsidR="00C86C34">
          <w:rPr>
            <w:webHidden/>
          </w:rPr>
        </w:r>
        <w:r w:rsidR="00C86C34">
          <w:rPr>
            <w:webHidden/>
          </w:rPr>
          <w:fldChar w:fldCharType="separate"/>
        </w:r>
        <w:r w:rsidR="00A26253">
          <w:rPr>
            <w:webHidden/>
          </w:rPr>
          <w:t>3</w:t>
        </w:r>
        <w:r w:rsidR="00C86C34">
          <w:rPr>
            <w:webHidden/>
          </w:rPr>
          <w:fldChar w:fldCharType="end"/>
        </w:r>
      </w:hyperlink>
    </w:p>
    <w:p w:rsidR="00C86C34" w:rsidRDefault="00E01808">
      <w:pPr>
        <w:pStyle w:val="TOC3"/>
        <w:rPr>
          <w:rFonts w:asciiTheme="minorHAnsi" w:eastAsiaTheme="minorEastAsia" w:hAnsiTheme="minorHAnsi" w:cstheme="minorBidi"/>
          <w:b w:val="0"/>
          <w:sz w:val="22"/>
          <w:szCs w:val="22"/>
          <w:lang w:eastAsia="en-AU"/>
        </w:rPr>
      </w:pPr>
      <w:hyperlink w:anchor="_Toc322100137" w:history="1">
        <w:r w:rsidR="00C86C34" w:rsidRPr="002F1837">
          <w:rPr>
            <w:rStyle w:val="Hyperlink"/>
          </w:rPr>
          <w:t>Outlook for the domestic economy</w:t>
        </w:r>
        <w:r w:rsidR="00C86C34">
          <w:rPr>
            <w:webHidden/>
          </w:rPr>
          <w:tab/>
        </w:r>
        <w:r w:rsidR="00C86C34">
          <w:rPr>
            <w:webHidden/>
          </w:rPr>
          <w:fldChar w:fldCharType="begin"/>
        </w:r>
        <w:r w:rsidR="00C86C34">
          <w:rPr>
            <w:webHidden/>
          </w:rPr>
          <w:instrText xml:space="preserve"> PAGEREF _Toc322100137 \h </w:instrText>
        </w:r>
        <w:r w:rsidR="00C86C34">
          <w:rPr>
            <w:webHidden/>
          </w:rPr>
        </w:r>
        <w:r w:rsidR="00C86C34">
          <w:rPr>
            <w:webHidden/>
          </w:rPr>
          <w:fldChar w:fldCharType="separate"/>
        </w:r>
        <w:r w:rsidR="00A26253">
          <w:rPr>
            <w:webHidden/>
          </w:rPr>
          <w:t>7</w:t>
        </w:r>
        <w:r w:rsidR="00C86C34">
          <w:rPr>
            <w:webHidden/>
          </w:rPr>
          <w:fldChar w:fldCharType="end"/>
        </w:r>
      </w:hyperlink>
    </w:p>
    <w:p w:rsidR="00C86C34" w:rsidRDefault="00E01808">
      <w:pPr>
        <w:pStyle w:val="TOC4"/>
        <w:rPr>
          <w:rFonts w:asciiTheme="minorHAnsi" w:eastAsiaTheme="minorEastAsia" w:hAnsiTheme="minorHAnsi" w:cstheme="minorBidi"/>
          <w:i w:val="0"/>
          <w:sz w:val="22"/>
          <w:szCs w:val="22"/>
          <w:lang w:eastAsia="en-AU"/>
        </w:rPr>
      </w:pPr>
      <w:hyperlink w:anchor="_Toc322100138" w:history="1">
        <w:r w:rsidR="00C86C34" w:rsidRPr="002F1837">
          <w:rPr>
            <w:rStyle w:val="Hyperlink"/>
          </w:rPr>
          <w:t>Household consumption</w:t>
        </w:r>
        <w:r w:rsidR="00C86C34">
          <w:rPr>
            <w:webHidden/>
          </w:rPr>
          <w:tab/>
        </w:r>
        <w:r w:rsidR="00C86C34">
          <w:rPr>
            <w:webHidden/>
          </w:rPr>
          <w:fldChar w:fldCharType="begin"/>
        </w:r>
        <w:r w:rsidR="00C86C34">
          <w:rPr>
            <w:webHidden/>
          </w:rPr>
          <w:instrText xml:space="preserve"> PAGEREF _Toc322100138 \h </w:instrText>
        </w:r>
        <w:r w:rsidR="00C86C34">
          <w:rPr>
            <w:webHidden/>
          </w:rPr>
        </w:r>
        <w:r w:rsidR="00C86C34">
          <w:rPr>
            <w:webHidden/>
          </w:rPr>
          <w:fldChar w:fldCharType="separate"/>
        </w:r>
        <w:r w:rsidR="00A26253">
          <w:rPr>
            <w:webHidden/>
          </w:rPr>
          <w:t>7</w:t>
        </w:r>
        <w:r w:rsidR="00C86C34">
          <w:rPr>
            <w:webHidden/>
          </w:rPr>
          <w:fldChar w:fldCharType="end"/>
        </w:r>
      </w:hyperlink>
    </w:p>
    <w:p w:rsidR="00C86C34" w:rsidRDefault="00E01808">
      <w:pPr>
        <w:pStyle w:val="TOC4"/>
        <w:rPr>
          <w:rFonts w:asciiTheme="minorHAnsi" w:eastAsiaTheme="minorEastAsia" w:hAnsiTheme="minorHAnsi" w:cstheme="minorBidi"/>
          <w:i w:val="0"/>
          <w:sz w:val="22"/>
          <w:szCs w:val="22"/>
          <w:lang w:eastAsia="en-AU"/>
        </w:rPr>
      </w:pPr>
      <w:hyperlink w:anchor="_Toc322100139" w:history="1">
        <w:r w:rsidR="00C86C34" w:rsidRPr="002F1837">
          <w:rPr>
            <w:rStyle w:val="Hyperlink"/>
          </w:rPr>
          <w:t>Dwelling investment</w:t>
        </w:r>
        <w:r w:rsidR="00C86C34">
          <w:rPr>
            <w:webHidden/>
          </w:rPr>
          <w:tab/>
        </w:r>
        <w:r w:rsidR="00C86C34">
          <w:rPr>
            <w:webHidden/>
          </w:rPr>
          <w:fldChar w:fldCharType="begin"/>
        </w:r>
        <w:r w:rsidR="00C86C34">
          <w:rPr>
            <w:webHidden/>
          </w:rPr>
          <w:instrText xml:space="preserve"> PAGEREF _Toc322100139 \h </w:instrText>
        </w:r>
        <w:r w:rsidR="00C86C34">
          <w:rPr>
            <w:webHidden/>
          </w:rPr>
        </w:r>
        <w:r w:rsidR="00C86C34">
          <w:rPr>
            <w:webHidden/>
          </w:rPr>
          <w:fldChar w:fldCharType="separate"/>
        </w:r>
        <w:r w:rsidR="00A26253">
          <w:rPr>
            <w:webHidden/>
          </w:rPr>
          <w:t>8</w:t>
        </w:r>
        <w:r w:rsidR="00C86C34">
          <w:rPr>
            <w:webHidden/>
          </w:rPr>
          <w:fldChar w:fldCharType="end"/>
        </w:r>
      </w:hyperlink>
    </w:p>
    <w:p w:rsidR="00C86C34" w:rsidRDefault="00E01808">
      <w:pPr>
        <w:pStyle w:val="TOC4"/>
        <w:rPr>
          <w:rFonts w:asciiTheme="minorHAnsi" w:eastAsiaTheme="minorEastAsia" w:hAnsiTheme="minorHAnsi" w:cstheme="minorBidi"/>
          <w:i w:val="0"/>
          <w:sz w:val="22"/>
          <w:szCs w:val="22"/>
          <w:lang w:eastAsia="en-AU"/>
        </w:rPr>
      </w:pPr>
      <w:hyperlink w:anchor="_Toc322100140" w:history="1">
        <w:r w:rsidR="00C86C34" w:rsidRPr="002F1837">
          <w:rPr>
            <w:rStyle w:val="Hyperlink"/>
          </w:rPr>
          <w:t>Business investment</w:t>
        </w:r>
        <w:r w:rsidR="00C86C34">
          <w:rPr>
            <w:webHidden/>
          </w:rPr>
          <w:tab/>
        </w:r>
        <w:r w:rsidR="00C86C34">
          <w:rPr>
            <w:webHidden/>
          </w:rPr>
          <w:fldChar w:fldCharType="begin"/>
        </w:r>
        <w:r w:rsidR="00C86C34">
          <w:rPr>
            <w:webHidden/>
          </w:rPr>
          <w:instrText xml:space="preserve"> PAGEREF _Toc322100140 \h </w:instrText>
        </w:r>
        <w:r w:rsidR="00C86C34">
          <w:rPr>
            <w:webHidden/>
          </w:rPr>
        </w:r>
        <w:r w:rsidR="00C86C34">
          <w:rPr>
            <w:webHidden/>
          </w:rPr>
          <w:fldChar w:fldCharType="separate"/>
        </w:r>
        <w:r w:rsidR="00A26253">
          <w:rPr>
            <w:webHidden/>
          </w:rPr>
          <w:t>9</w:t>
        </w:r>
        <w:r w:rsidR="00C86C34">
          <w:rPr>
            <w:webHidden/>
          </w:rPr>
          <w:fldChar w:fldCharType="end"/>
        </w:r>
      </w:hyperlink>
    </w:p>
    <w:p w:rsidR="00C86C34" w:rsidRDefault="00E01808">
      <w:pPr>
        <w:pStyle w:val="TOC4"/>
        <w:rPr>
          <w:rFonts w:asciiTheme="minorHAnsi" w:eastAsiaTheme="minorEastAsia" w:hAnsiTheme="minorHAnsi" w:cstheme="minorBidi"/>
          <w:i w:val="0"/>
          <w:sz w:val="22"/>
          <w:szCs w:val="22"/>
          <w:lang w:eastAsia="en-AU"/>
        </w:rPr>
      </w:pPr>
      <w:hyperlink w:anchor="_Toc322100141" w:history="1">
        <w:r w:rsidR="00C86C34" w:rsidRPr="002F1837">
          <w:rPr>
            <w:rStyle w:val="Hyperlink"/>
          </w:rPr>
          <w:t>Public final demand</w:t>
        </w:r>
        <w:r w:rsidR="00C86C34">
          <w:rPr>
            <w:webHidden/>
          </w:rPr>
          <w:tab/>
        </w:r>
        <w:r w:rsidR="00C86C34">
          <w:rPr>
            <w:webHidden/>
          </w:rPr>
          <w:fldChar w:fldCharType="begin"/>
        </w:r>
        <w:r w:rsidR="00C86C34">
          <w:rPr>
            <w:webHidden/>
          </w:rPr>
          <w:instrText xml:space="preserve"> PAGEREF _Toc322100141 \h </w:instrText>
        </w:r>
        <w:r w:rsidR="00C86C34">
          <w:rPr>
            <w:webHidden/>
          </w:rPr>
        </w:r>
        <w:r w:rsidR="00C86C34">
          <w:rPr>
            <w:webHidden/>
          </w:rPr>
          <w:fldChar w:fldCharType="separate"/>
        </w:r>
        <w:r w:rsidR="00A26253">
          <w:rPr>
            <w:webHidden/>
          </w:rPr>
          <w:t>10</w:t>
        </w:r>
        <w:r w:rsidR="00C86C34">
          <w:rPr>
            <w:webHidden/>
          </w:rPr>
          <w:fldChar w:fldCharType="end"/>
        </w:r>
      </w:hyperlink>
    </w:p>
    <w:p w:rsidR="00C86C34" w:rsidRDefault="00E01808">
      <w:pPr>
        <w:pStyle w:val="TOC4"/>
        <w:rPr>
          <w:rFonts w:asciiTheme="minorHAnsi" w:eastAsiaTheme="minorEastAsia" w:hAnsiTheme="minorHAnsi" w:cstheme="minorBidi"/>
          <w:i w:val="0"/>
          <w:sz w:val="22"/>
          <w:szCs w:val="22"/>
          <w:lang w:eastAsia="en-AU"/>
        </w:rPr>
      </w:pPr>
      <w:hyperlink w:anchor="_Toc322100142" w:history="1">
        <w:r w:rsidR="00C86C34" w:rsidRPr="002F1837">
          <w:rPr>
            <w:rStyle w:val="Hyperlink"/>
          </w:rPr>
          <w:t>Exports, imports and the current account deficit</w:t>
        </w:r>
        <w:r w:rsidR="00C86C34">
          <w:rPr>
            <w:webHidden/>
          </w:rPr>
          <w:tab/>
        </w:r>
        <w:r w:rsidR="00C86C34">
          <w:rPr>
            <w:webHidden/>
          </w:rPr>
          <w:fldChar w:fldCharType="begin"/>
        </w:r>
        <w:r w:rsidR="00C86C34">
          <w:rPr>
            <w:webHidden/>
          </w:rPr>
          <w:instrText xml:space="preserve"> PAGEREF _Toc322100142 \h </w:instrText>
        </w:r>
        <w:r w:rsidR="00C86C34">
          <w:rPr>
            <w:webHidden/>
          </w:rPr>
        </w:r>
        <w:r w:rsidR="00C86C34">
          <w:rPr>
            <w:webHidden/>
          </w:rPr>
          <w:fldChar w:fldCharType="separate"/>
        </w:r>
        <w:r w:rsidR="00A26253">
          <w:rPr>
            <w:webHidden/>
          </w:rPr>
          <w:t>11</w:t>
        </w:r>
        <w:r w:rsidR="00C86C34">
          <w:rPr>
            <w:webHidden/>
          </w:rPr>
          <w:fldChar w:fldCharType="end"/>
        </w:r>
      </w:hyperlink>
    </w:p>
    <w:p w:rsidR="00C86C34" w:rsidRDefault="00E01808">
      <w:pPr>
        <w:pStyle w:val="TOC4"/>
        <w:rPr>
          <w:rFonts w:asciiTheme="minorHAnsi" w:eastAsiaTheme="minorEastAsia" w:hAnsiTheme="minorHAnsi" w:cstheme="minorBidi"/>
          <w:i w:val="0"/>
          <w:sz w:val="22"/>
          <w:szCs w:val="22"/>
          <w:lang w:eastAsia="en-AU"/>
        </w:rPr>
      </w:pPr>
      <w:hyperlink w:anchor="_Toc322100143" w:history="1">
        <w:r w:rsidR="00C86C34" w:rsidRPr="002F1837">
          <w:rPr>
            <w:rStyle w:val="Hyperlink"/>
          </w:rPr>
          <w:t>Employment, wages and inflation</w:t>
        </w:r>
        <w:r w:rsidR="00C86C34">
          <w:rPr>
            <w:webHidden/>
          </w:rPr>
          <w:tab/>
        </w:r>
        <w:r w:rsidR="00C86C34">
          <w:rPr>
            <w:webHidden/>
          </w:rPr>
          <w:fldChar w:fldCharType="begin"/>
        </w:r>
        <w:r w:rsidR="00C86C34">
          <w:rPr>
            <w:webHidden/>
          </w:rPr>
          <w:instrText xml:space="preserve"> PAGEREF _Toc322100143 \h </w:instrText>
        </w:r>
        <w:r w:rsidR="00C86C34">
          <w:rPr>
            <w:webHidden/>
          </w:rPr>
        </w:r>
        <w:r w:rsidR="00C86C34">
          <w:rPr>
            <w:webHidden/>
          </w:rPr>
          <w:fldChar w:fldCharType="separate"/>
        </w:r>
        <w:r w:rsidR="00A26253">
          <w:rPr>
            <w:webHidden/>
          </w:rPr>
          <w:t>13</w:t>
        </w:r>
        <w:r w:rsidR="00C86C34">
          <w:rPr>
            <w:webHidden/>
          </w:rPr>
          <w:fldChar w:fldCharType="end"/>
        </w:r>
      </w:hyperlink>
    </w:p>
    <w:p w:rsidR="00C86C34" w:rsidRDefault="00E01808">
      <w:pPr>
        <w:pStyle w:val="TOC4"/>
        <w:rPr>
          <w:rFonts w:asciiTheme="minorHAnsi" w:eastAsiaTheme="minorEastAsia" w:hAnsiTheme="minorHAnsi" w:cstheme="minorBidi"/>
          <w:i w:val="0"/>
          <w:sz w:val="22"/>
          <w:szCs w:val="22"/>
          <w:lang w:eastAsia="en-AU"/>
        </w:rPr>
      </w:pPr>
      <w:hyperlink w:anchor="_Toc322100144" w:history="1">
        <w:r w:rsidR="00C86C34" w:rsidRPr="002F1837">
          <w:rPr>
            <w:rStyle w:val="Hyperlink"/>
          </w:rPr>
          <w:t>Box 1: The impact of the rise of emerging Asia on Australian exporters</w:t>
        </w:r>
        <w:r w:rsidR="00C86C34">
          <w:rPr>
            <w:webHidden/>
          </w:rPr>
          <w:tab/>
        </w:r>
        <w:r w:rsidR="00C86C34">
          <w:rPr>
            <w:webHidden/>
          </w:rPr>
          <w:fldChar w:fldCharType="begin"/>
        </w:r>
        <w:r w:rsidR="00C86C34">
          <w:rPr>
            <w:webHidden/>
          </w:rPr>
          <w:instrText xml:space="preserve"> PAGEREF _Toc322100144 \h </w:instrText>
        </w:r>
        <w:r w:rsidR="00C86C34">
          <w:rPr>
            <w:webHidden/>
          </w:rPr>
        </w:r>
        <w:r w:rsidR="00C86C34">
          <w:rPr>
            <w:webHidden/>
          </w:rPr>
          <w:fldChar w:fldCharType="separate"/>
        </w:r>
        <w:r w:rsidR="00A26253">
          <w:rPr>
            <w:webHidden/>
          </w:rPr>
          <w:t>16</w:t>
        </w:r>
        <w:r w:rsidR="00C86C34">
          <w:rPr>
            <w:webHidden/>
          </w:rPr>
          <w:fldChar w:fldCharType="end"/>
        </w:r>
      </w:hyperlink>
    </w:p>
    <w:p w:rsidR="00C86C34" w:rsidRDefault="00E01808">
      <w:pPr>
        <w:pStyle w:val="TOC3"/>
        <w:rPr>
          <w:rFonts w:asciiTheme="minorHAnsi" w:eastAsiaTheme="minorEastAsia" w:hAnsiTheme="minorHAnsi" w:cstheme="minorBidi"/>
          <w:b w:val="0"/>
          <w:sz w:val="22"/>
          <w:szCs w:val="22"/>
          <w:lang w:eastAsia="en-AU"/>
        </w:rPr>
      </w:pPr>
      <w:hyperlink w:anchor="_Toc322100145" w:history="1">
        <w:r w:rsidR="00C86C34" w:rsidRPr="002F1837">
          <w:rPr>
            <w:rStyle w:val="Hyperlink"/>
          </w:rPr>
          <w:t>Outlook for the international economy</w:t>
        </w:r>
        <w:r w:rsidR="00C86C34">
          <w:rPr>
            <w:webHidden/>
          </w:rPr>
          <w:tab/>
        </w:r>
        <w:r w:rsidR="00C86C34">
          <w:rPr>
            <w:webHidden/>
          </w:rPr>
          <w:fldChar w:fldCharType="begin"/>
        </w:r>
        <w:r w:rsidR="00C86C34">
          <w:rPr>
            <w:webHidden/>
          </w:rPr>
          <w:instrText xml:space="preserve"> PAGEREF _Toc322100145 \h </w:instrText>
        </w:r>
        <w:r w:rsidR="00C86C34">
          <w:rPr>
            <w:webHidden/>
          </w:rPr>
        </w:r>
        <w:r w:rsidR="00C86C34">
          <w:rPr>
            <w:webHidden/>
          </w:rPr>
          <w:fldChar w:fldCharType="separate"/>
        </w:r>
        <w:r w:rsidR="00A26253">
          <w:rPr>
            <w:webHidden/>
          </w:rPr>
          <w:t>18</w:t>
        </w:r>
        <w:r w:rsidR="00C86C34">
          <w:rPr>
            <w:webHidden/>
          </w:rPr>
          <w:fldChar w:fldCharType="end"/>
        </w:r>
      </w:hyperlink>
    </w:p>
    <w:p w:rsidR="00C86C34" w:rsidRDefault="00E01808">
      <w:pPr>
        <w:pStyle w:val="TOC4"/>
        <w:rPr>
          <w:rFonts w:asciiTheme="minorHAnsi" w:eastAsiaTheme="minorEastAsia" w:hAnsiTheme="minorHAnsi" w:cstheme="minorBidi"/>
          <w:i w:val="0"/>
          <w:sz w:val="22"/>
          <w:szCs w:val="22"/>
          <w:lang w:eastAsia="en-AU"/>
        </w:rPr>
      </w:pPr>
      <w:hyperlink w:anchor="_Toc322100146" w:history="1">
        <w:r w:rsidR="00C86C34" w:rsidRPr="002F1837">
          <w:rPr>
            <w:rStyle w:val="Hyperlink"/>
          </w:rPr>
          <w:t>World outlook and risks</w:t>
        </w:r>
        <w:r w:rsidR="00C86C34">
          <w:rPr>
            <w:webHidden/>
          </w:rPr>
          <w:tab/>
        </w:r>
        <w:r w:rsidR="00C86C34">
          <w:rPr>
            <w:webHidden/>
          </w:rPr>
          <w:fldChar w:fldCharType="begin"/>
        </w:r>
        <w:r w:rsidR="00C86C34">
          <w:rPr>
            <w:webHidden/>
          </w:rPr>
          <w:instrText xml:space="preserve"> PAGEREF _Toc322100146 \h </w:instrText>
        </w:r>
        <w:r w:rsidR="00C86C34">
          <w:rPr>
            <w:webHidden/>
          </w:rPr>
        </w:r>
        <w:r w:rsidR="00C86C34">
          <w:rPr>
            <w:webHidden/>
          </w:rPr>
          <w:fldChar w:fldCharType="separate"/>
        </w:r>
        <w:r w:rsidR="00A26253">
          <w:rPr>
            <w:webHidden/>
          </w:rPr>
          <w:t>18</w:t>
        </w:r>
        <w:r w:rsidR="00C86C34">
          <w:rPr>
            <w:webHidden/>
          </w:rPr>
          <w:fldChar w:fldCharType="end"/>
        </w:r>
      </w:hyperlink>
    </w:p>
    <w:p w:rsidR="005964C3" w:rsidRPr="003344B0" w:rsidRDefault="004D4273" w:rsidP="00A16F7F">
      <w:pPr>
        <w:pStyle w:val="Title"/>
        <w:outlineLvl w:val="0"/>
        <w:rPr>
          <w:b/>
          <w:color w:val="auto"/>
          <w:sz w:val="24"/>
          <w:szCs w:val="24"/>
          <w:highlight w:val="yellow"/>
        </w:rPr>
        <w:sectPr w:rsidR="005964C3" w:rsidRPr="003344B0" w:rsidSect="00412C66">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567" w:footer="567" w:gutter="0"/>
          <w:cols w:space="720"/>
          <w:titlePg/>
        </w:sectPr>
      </w:pPr>
      <w:r w:rsidRPr="00CA05D4">
        <w:rPr>
          <w:color w:val="auto"/>
        </w:rPr>
        <w:fldChar w:fldCharType="end"/>
      </w:r>
    </w:p>
    <w:p w:rsidR="00E9529C" w:rsidRPr="007C33A9" w:rsidRDefault="00EF6F1B" w:rsidP="00BE6061">
      <w:pPr>
        <w:pStyle w:val="Heading3"/>
      </w:pPr>
      <w:bookmarkStart w:id="1" w:name="_Toc90977883"/>
      <w:bookmarkStart w:id="2" w:name="_Toc185498655"/>
      <w:bookmarkStart w:id="3" w:name="_Toc322100136"/>
      <w:r w:rsidRPr="007C33A9">
        <w:lastRenderedPageBreak/>
        <w:t>Overview</w:t>
      </w:r>
      <w:bookmarkStart w:id="4" w:name="_Toc90977892"/>
      <w:bookmarkEnd w:id="1"/>
      <w:bookmarkEnd w:id="2"/>
      <w:bookmarkEnd w:id="3"/>
    </w:p>
    <w:p w:rsidR="0014581D" w:rsidRDefault="006756F1" w:rsidP="001C726F">
      <w:r w:rsidRPr="009C7500">
        <w:rPr>
          <w:rFonts w:eastAsia="Times New Roman"/>
          <w:szCs w:val="20"/>
          <w:lang w:eastAsia="en-AU"/>
        </w:rPr>
        <w:t xml:space="preserve">The outlook for the </w:t>
      </w:r>
      <w:r>
        <w:rPr>
          <w:rFonts w:eastAsia="Times New Roman"/>
          <w:szCs w:val="20"/>
          <w:lang w:eastAsia="en-AU"/>
        </w:rPr>
        <w:t xml:space="preserve">Australian </w:t>
      </w:r>
      <w:r w:rsidRPr="009C7500">
        <w:rPr>
          <w:rFonts w:eastAsia="Times New Roman"/>
          <w:szCs w:val="20"/>
          <w:lang w:eastAsia="en-AU"/>
        </w:rPr>
        <w:t xml:space="preserve">economy </w:t>
      </w:r>
      <w:r>
        <w:rPr>
          <w:rFonts w:eastAsia="Times New Roman"/>
          <w:szCs w:val="20"/>
          <w:lang w:eastAsia="en-AU"/>
        </w:rPr>
        <w:t xml:space="preserve">is </w:t>
      </w:r>
      <w:r w:rsidR="00273759">
        <w:rPr>
          <w:rFonts w:eastAsia="Times New Roman"/>
          <w:szCs w:val="20"/>
          <w:lang w:eastAsia="en-AU"/>
        </w:rPr>
        <w:t xml:space="preserve">broadly unchanged from </w:t>
      </w:r>
      <w:r>
        <w:rPr>
          <w:rFonts w:eastAsia="Times New Roman"/>
          <w:szCs w:val="20"/>
          <w:lang w:eastAsia="en-AU"/>
        </w:rPr>
        <w:t>December JEFG</w:t>
      </w:r>
      <w:r w:rsidR="00273759">
        <w:rPr>
          <w:rFonts w:eastAsia="Times New Roman"/>
          <w:szCs w:val="20"/>
          <w:lang w:eastAsia="en-AU"/>
        </w:rPr>
        <w:t xml:space="preserve">.  </w:t>
      </w:r>
      <w:r>
        <w:rPr>
          <w:rFonts w:eastAsia="Times New Roman"/>
          <w:szCs w:val="20"/>
          <w:lang w:eastAsia="en-AU"/>
        </w:rPr>
        <w:t>T</w:t>
      </w:r>
      <w:r w:rsidRPr="00AA0B4E">
        <w:t>he Australian</w:t>
      </w:r>
      <w:r w:rsidRPr="00931880">
        <w:t xml:space="preserve"> economy </w:t>
      </w:r>
      <w:r>
        <w:t>i</w:t>
      </w:r>
      <w:r w:rsidRPr="00931880">
        <w:t>s expected to grow at around</w:t>
      </w:r>
      <w:r w:rsidR="00267E41">
        <w:t xml:space="preserve"> </w:t>
      </w:r>
      <w:r w:rsidRPr="00931880">
        <w:t xml:space="preserve">trend </w:t>
      </w:r>
      <w:r>
        <w:t xml:space="preserve">over </w:t>
      </w:r>
      <w:r w:rsidRPr="00931880">
        <w:t xml:space="preserve">the </w:t>
      </w:r>
      <w:r>
        <w:t>next two years</w:t>
      </w:r>
      <w:r w:rsidRPr="00931880">
        <w:t>, underpinned by a record pipeline of resource</w:t>
      </w:r>
      <w:r>
        <w:t xml:space="preserve">s investment and strong </w:t>
      </w:r>
      <w:r w:rsidRPr="00931880">
        <w:t xml:space="preserve">growth in </w:t>
      </w:r>
      <w:r>
        <w:t xml:space="preserve">non-rural </w:t>
      </w:r>
      <w:r w:rsidRPr="00931880">
        <w:t>commodity exports</w:t>
      </w:r>
      <w:r>
        <w:t xml:space="preserve"> associated with ongoing demand from emerging Asia</w:t>
      </w:r>
      <w:r w:rsidRPr="00931880">
        <w:t>.</w:t>
      </w:r>
      <w:r>
        <w:t xml:space="preserve">  </w:t>
      </w:r>
      <w:r w:rsidR="00D07A2A">
        <w:t xml:space="preserve">Real GDP </w:t>
      </w:r>
      <w:r w:rsidR="00D07A2A" w:rsidRPr="00936461">
        <w:rPr>
          <w:rFonts w:eastAsia="Times New Roman"/>
          <w:szCs w:val="20"/>
          <w:lang w:eastAsia="en-AU"/>
        </w:rPr>
        <w:t xml:space="preserve">is forecast to </w:t>
      </w:r>
      <w:r w:rsidR="00D07A2A">
        <w:rPr>
          <w:rFonts w:eastAsia="Times New Roman"/>
          <w:szCs w:val="20"/>
          <w:lang w:eastAsia="en-AU"/>
        </w:rPr>
        <w:t>grow</w:t>
      </w:r>
      <w:r w:rsidR="00D07A2A" w:rsidRPr="00936461">
        <w:rPr>
          <w:rFonts w:eastAsia="Times New Roman"/>
          <w:szCs w:val="20"/>
          <w:lang w:eastAsia="en-AU"/>
        </w:rPr>
        <w:t xml:space="preserve"> 3¼ per cent in 2012-13 and</w:t>
      </w:r>
      <w:r w:rsidR="0014581D">
        <w:rPr>
          <w:rFonts w:eastAsia="Times New Roman"/>
          <w:szCs w:val="20"/>
          <w:lang w:eastAsia="en-AU"/>
        </w:rPr>
        <w:t xml:space="preserve"> </w:t>
      </w:r>
      <w:r w:rsidR="00D07A2A" w:rsidRPr="00936461">
        <w:rPr>
          <w:rFonts w:eastAsia="Times New Roman"/>
          <w:szCs w:val="20"/>
          <w:lang w:eastAsia="en-AU"/>
        </w:rPr>
        <w:t>3</w:t>
      </w:r>
      <w:r w:rsidR="0014581D">
        <w:rPr>
          <w:rFonts w:eastAsia="Times New Roman"/>
          <w:szCs w:val="20"/>
          <w:lang w:eastAsia="en-AU"/>
        </w:rPr>
        <w:t> </w:t>
      </w:r>
      <w:r w:rsidR="00D07A2A" w:rsidRPr="00936461">
        <w:rPr>
          <w:rFonts w:eastAsia="Times New Roman"/>
          <w:szCs w:val="20"/>
          <w:lang w:eastAsia="en-AU"/>
        </w:rPr>
        <w:t>per</w:t>
      </w:r>
      <w:r w:rsidR="00FC3D0B">
        <w:rPr>
          <w:rFonts w:eastAsia="Times New Roman"/>
          <w:szCs w:val="20"/>
          <w:lang w:eastAsia="en-AU"/>
        </w:rPr>
        <w:t> </w:t>
      </w:r>
      <w:r w:rsidR="00D07A2A" w:rsidRPr="00936461">
        <w:rPr>
          <w:rFonts w:eastAsia="Times New Roman"/>
          <w:szCs w:val="20"/>
          <w:lang w:eastAsia="en-AU"/>
        </w:rPr>
        <w:t>cent in 2013-14</w:t>
      </w:r>
      <w:r w:rsidR="008F1D9C">
        <w:rPr>
          <w:rFonts w:eastAsia="Times New Roman"/>
          <w:szCs w:val="20"/>
          <w:lang w:eastAsia="en-AU"/>
        </w:rPr>
        <w:t xml:space="preserve"> (Table 1)</w:t>
      </w:r>
      <w:r w:rsidR="00D07A2A">
        <w:rPr>
          <w:rFonts w:eastAsia="Times New Roman"/>
          <w:szCs w:val="20"/>
          <w:lang w:eastAsia="en-AU"/>
        </w:rPr>
        <w:t xml:space="preserve">. </w:t>
      </w:r>
      <w:r w:rsidR="0014581D">
        <w:rPr>
          <w:rFonts w:eastAsia="Times New Roman"/>
          <w:szCs w:val="20"/>
          <w:lang w:eastAsia="en-AU"/>
        </w:rPr>
        <w:t xml:space="preserve"> </w:t>
      </w:r>
      <w:r>
        <w:t>While household</w:t>
      </w:r>
      <w:r w:rsidR="002F406A">
        <w:t>s</w:t>
      </w:r>
      <w:r>
        <w:t xml:space="preserve"> are expected to remain cautious in their spending decisions, consumption growth is also expected to support around-trend economic growth. </w:t>
      </w:r>
      <w:r w:rsidR="0014581D">
        <w:t xml:space="preserve"> </w:t>
      </w:r>
      <w:r>
        <w:t>However, conditions are expected to remain uneven: global soft</w:t>
      </w:r>
      <w:r w:rsidRPr="00931880">
        <w:t xml:space="preserve">ness </w:t>
      </w:r>
      <w:r>
        <w:t xml:space="preserve">and </w:t>
      </w:r>
      <w:r w:rsidR="00174BCA">
        <w:t xml:space="preserve">the </w:t>
      </w:r>
      <w:r>
        <w:t xml:space="preserve">high </w:t>
      </w:r>
      <w:r w:rsidRPr="00931880">
        <w:t>Australian dollar</w:t>
      </w:r>
      <w:r>
        <w:t xml:space="preserve"> will </w:t>
      </w:r>
      <w:r w:rsidRPr="00931880">
        <w:t xml:space="preserve">weigh heavily </w:t>
      </w:r>
      <w:r w:rsidR="002F406A">
        <w:t>on the non</w:t>
      </w:r>
      <w:r w:rsidR="002F406A">
        <w:noBreakHyphen/>
      </w:r>
      <w:r>
        <w:t>resource</w:t>
      </w:r>
      <w:r w:rsidR="001E0180">
        <w:t>s</w:t>
      </w:r>
      <w:r>
        <w:t>-related sector</w:t>
      </w:r>
      <w:r w:rsidR="00821313">
        <w:t xml:space="preserve">s of the economy where the </w:t>
      </w:r>
      <w:r>
        <w:t xml:space="preserve">majority of workers are </w:t>
      </w:r>
      <w:r w:rsidR="00106AE7">
        <w:t>employed.  Reflecting the uneven economic outlook</w:t>
      </w:r>
      <w:r w:rsidRPr="00950A26">
        <w:t xml:space="preserve">, and </w:t>
      </w:r>
      <w:r w:rsidR="006A6467">
        <w:t xml:space="preserve">a </w:t>
      </w:r>
      <w:r w:rsidRPr="005706BA">
        <w:t>weak</w:t>
      </w:r>
      <w:r w:rsidR="006A6467">
        <w:t>er</w:t>
      </w:r>
      <w:r w:rsidR="001E0180">
        <w:t>-than-</w:t>
      </w:r>
      <w:r w:rsidR="006A6467">
        <w:t>expected March quarter outcome</w:t>
      </w:r>
      <w:r w:rsidRPr="005706BA">
        <w:t xml:space="preserve">, </w:t>
      </w:r>
      <w:r w:rsidR="00221EFB" w:rsidRPr="005706BA">
        <w:t xml:space="preserve">forecast </w:t>
      </w:r>
      <w:r w:rsidRPr="005706BA">
        <w:t>employment growth has been downgraded</w:t>
      </w:r>
      <w:r w:rsidR="00273759">
        <w:t xml:space="preserve"> slightly </w:t>
      </w:r>
      <w:r w:rsidR="00DE4DEB" w:rsidRPr="005706BA">
        <w:t>in 2011-12</w:t>
      </w:r>
      <w:r w:rsidR="00273759">
        <w:t xml:space="preserve"> and 2012-13</w:t>
      </w:r>
      <w:r w:rsidR="00DE4DEB" w:rsidRPr="005706BA">
        <w:t xml:space="preserve">.  </w:t>
      </w:r>
      <w:r w:rsidR="00273759">
        <w:t>W</w:t>
      </w:r>
      <w:r w:rsidR="00DE4DEB" w:rsidRPr="005706BA">
        <w:t xml:space="preserve">eaker growth in employment </w:t>
      </w:r>
      <w:r w:rsidR="005474C7" w:rsidRPr="005706BA">
        <w:t>is expected to lead to a slight upward drift in the unemployment rate to 5½</w:t>
      </w:r>
      <w:r w:rsidR="00BA376F">
        <w:t> </w:t>
      </w:r>
      <w:r w:rsidR="005474C7" w:rsidRPr="005706BA">
        <w:t xml:space="preserve">per </w:t>
      </w:r>
      <w:r w:rsidR="00273759">
        <w:t>cent in the June quarter of 2013</w:t>
      </w:r>
      <w:r w:rsidR="005474C7" w:rsidRPr="005706BA">
        <w:t xml:space="preserve">.  </w:t>
      </w:r>
    </w:p>
    <w:p w:rsidR="0014581D" w:rsidRDefault="0014581D" w:rsidP="0014581D">
      <w:pPr>
        <w:rPr>
          <w:color w:val="000000"/>
        </w:rPr>
      </w:pPr>
      <w:r>
        <w:t xml:space="preserve">Although the outlook for the Australian economy is positive, downside risks remain substantial. </w:t>
      </w:r>
      <w:r w:rsidR="007E25C7">
        <w:t xml:space="preserve"> </w:t>
      </w:r>
      <w:r>
        <w:t xml:space="preserve">The key international risk is the potential for a re-escalation of the European sovereign debt crisis. </w:t>
      </w:r>
      <w:r w:rsidR="007E25C7">
        <w:t xml:space="preserve"> </w:t>
      </w:r>
      <w:r>
        <w:t xml:space="preserve">With large fiscal consolidations in train and monetary policy settings near zero, the capacity of many advanced economies to respond would be limited and any further weakness would likely flow through to the emerging economies of Asia and to Australia.  Domestically, the transition taking place in the economy poses a particular risk for the labour market with the risk that employment growth in the </w:t>
      </w:r>
      <w:r>
        <w:rPr>
          <w:color w:val="000000"/>
        </w:rPr>
        <w:t>rapidly expanding, but less labour-intensive resources and resources-related sector, may not be enough to offset the weakness in employment in other parts of the economy.</w:t>
      </w:r>
    </w:p>
    <w:p w:rsidR="00EF0187" w:rsidRPr="00691ADF" w:rsidRDefault="00EF0187" w:rsidP="006F2A4F">
      <w:pPr>
        <w:pStyle w:val="Dash"/>
        <w:keepNext/>
        <w:spacing w:line="240" w:lineRule="auto"/>
        <w:ind w:left="0" w:firstLine="0"/>
        <w:jc w:val="left"/>
        <w:rPr>
          <w:rFonts w:ascii="Tahoma" w:hAnsi="Tahoma" w:cs="Tahoma"/>
          <w:b/>
        </w:rPr>
      </w:pPr>
      <w:r w:rsidRPr="00691ADF">
        <w:rPr>
          <w:rFonts w:ascii="Tahoma" w:hAnsi="Tahoma" w:cs="Tahoma"/>
          <w:b/>
        </w:rPr>
        <w:t>Table 1: Key Domestic Forecasts</w:t>
      </w:r>
      <w:r w:rsidR="00673FAD" w:rsidRPr="00673FAD">
        <w:rPr>
          <w:rFonts w:ascii="Tahoma" w:hAnsi="Tahoma" w:cs="Tahoma"/>
          <w:b/>
          <w:vertAlign w:val="superscript"/>
        </w:rPr>
        <w:t>(a)</w:t>
      </w:r>
      <w:r w:rsidRPr="00691ADF">
        <w:rPr>
          <w:rFonts w:ascii="Tahoma" w:hAnsi="Tahoma" w:cs="Tahoma"/>
          <w:b/>
        </w:rPr>
        <w:t xml:space="preserve"> – March compared with December</w:t>
      </w:r>
    </w:p>
    <w:p w:rsidR="0049774F" w:rsidRDefault="0076565E" w:rsidP="0076565E">
      <w:pPr>
        <w:pStyle w:val="ChartGraphic0"/>
      </w:pPr>
      <w:r>
        <w:object w:dxaOrig="9172" w:dyaOrig="2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2in" o:ole="">
            <v:imagedata r:id="rId16" o:title=""/>
          </v:shape>
          <o:OLEObject Type="Link" ProgID="Excel.SheetMacroEnabled.12" ShapeID="_x0000_i1025" DrawAspect="Content" r:id="rId17" UpdateMode="Always">
            <o:LinkType>EnhancedMetaFile</o:LinkType>
            <o:LockedField>false</o:LockedField>
          </o:OLEObject>
        </w:object>
      </w:r>
    </w:p>
    <w:p w:rsidR="004E1C22" w:rsidRDefault="004E1C22" w:rsidP="004E1C22">
      <w:pPr>
        <w:pStyle w:val="ChartandTableFootnoteAlpha"/>
        <w:numPr>
          <w:ilvl w:val="0"/>
          <w:numId w:val="45"/>
        </w:numPr>
        <w:spacing w:line="240" w:lineRule="auto"/>
      </w:pPr>
      <w:r w:rsidRPr="004E1C22">
        <w:t>Real</w:t>
      </w:r>
      <w:r w:rsidR="00D20BF5">
        <w:t xml:space="preserve"> GDP</w:t>
      </w:r>
      <w:r w:rsidRPr="004E1C22">
        <w:t xml:space="preserve">, nominal GDP and the </w:t>
      </w:r>
      <w:r w:rsidR="005F2937">
        <w:t>t</w:t>
      </w:r>
      <w:r w:rsidRPr="004E1C22">
        <w:t>erms of trade are year</w:t>
      </w:r>
      <w:r w:rsidR="00174BCA">
        <w:t>-</w:t>
      </w:r>
      <w:r w:rsidRPr="004E1C22">
        <w:t xml:space="preserve">average growth. Employment, CPI, </w:t>
      </w:r>
      <w:r w:rsidR="005F2937">
        <w:t>u</w:t>
      </w:r>
      <w:r w:rsidRPr="004E1C22">
        <w:t xml:space="preserve">nderlying inflation and the WPI are through-the-year growth to the June quarter. The unemployment rate is </w:t>
      </w:r>
      <w:r w:rsidR="00267E41">
        <w:t>for</w:t>
      </w:r>
      <w:r w:rsidRPr="004E1C22">
        <w:t xml:space="preserve"> the June quarter.</w:t>
      </w:r>
    </w:p>
    <w:p w:rsidR="0077297F" w:rsidRDefault="0077297F" w:rsidP="004E1C22">
      <w:pPr>
        <w:pStyle w:val="ChartandTableFootnoteAlpha"/>
        <w:tabs>
          <w:tab w:val="clear" w:pos="283"/>
        </w:tabs>
        <w:spacing w:line="240" w:lineRule="auto"/>
        <w:ind w:left="0" w:firstLine="0"/>
      </w:pPr>
      <w:r>
        <w:t xml:space="preserve">Source: </w:t>
      </w:r>
      <w:r w:rsidRPr="0077297F">
        <w:t xml:space="preserve">ABS </w:t>
      </w:r>
      <w:r w:rsidR="00174BCA">
        <w:t>cat. no.</w:t>
      </w:r>
      <w:r w:rsidRPr="0077297F">
        <w:t xml:space="preserve"> 5206.0, 5302.0, 6202.0, 6345.0, 6401.0 and Treasury.</w:t>
      </w:r>
    </w:p>
    <w:p w:rsidR="0077297F" w:rsidRPr="0077297F" w:rsidRDefault="0077297F" w:rsidP="0077297F">
      <w:pPr>
        <w:pStyle w:val="ChartandTableFootnoteAlpha"/>
        <w:tabs>
          <w:tab w:val="clear" w:pos="283"/>
        </w:tabs>
        <w:spacing w:line="240" w:lineRule="auto"/>
        <w:ind w:left="0" w:firstLine="0"/>
      </w:pPr>
    </w:p>
    <w:p w:rsidR="006756F1" w:rsidRDefault="007E25C7" w:rsidP="006756F1">
      <w:pPr>
        <w:rPr>
          <w:szCs w:val="20"/>
        </w:rPr>
      </w:pPr>
      <w:bookmarkStart w:id="5" w:name="_Toc185498657"/>
      <w:r>
        <w:t>Global economic conditions are weak and uneven and financial markets remain fragile.</w:t>
      </w:r>
      <w:r w:rsidR="00E76467">
        <w:rPr>
          <w:szCs w:val="20"/>
        </w:rPr>
        <w:t xml:space="preserve">  </w:t>
      </w:r>
      <w:r w:rsidR="006756F1">
        <w:rPr>
          <w:szCs w:val="20"/>
        </w:rPr>
        <w:t xml:space="preserve">As expected, the euro area appears to have entered recession and growth in the export-dependent emerging economies has slowed in line with weaker advanced economy demand.  Despite this, </w:t>
      </w:r>
      <w:r w:rsidR="006756F1" w:rsidRPr="005D232E">
        <w:t>China appear</w:t>
      </w:r>
      <w:r w:rsidR="006756F1">
        <w:t xml:space="preserve">s </w:t>
      </w:r>
      <w:r w:rsidR="006756F1" w:rsidRPr="005D232E">
        <w:t>to be on track for a ‘soft landin</w:t>
      </w:r>
      <w:r w:rsidR="006756F1">
        <w:t xml:space="preserve">g’, while </w:t>
      </w:r>
      <w:r w:rsidR="006756F1">
        <w:rPr>
          <w:szCs w:val="20"/>
        </w:rPr>
        <w:t xml:space="preserve">the United States has continued to recover and there have been some </w:t>
      </w:r>
      <w:r w:rsidR="00267E41">
        <w:rPr>
          <w:szCs w:val="20"/>
        </w:rPr>
        <w:t>better</w:t>
      </w:r>
      <w:r w:rsidR="00267E41">
        <w:rPr>
          <w:szCs w:val="20"/>
        </w:rPr>
        <w:noBreakHyphen/>
        <w:t>than</w:t>
      </w:r>
      <w:r w:rsidR="00267E41">
        <w:rPr>
          <w:szCs w:val="20"/>
        </w:rPr>
        <w:noBreakHyphen/>
        <w:t xml:space="preserve">expected </w:t>
      </w:r>
      <w:r w:rsidR="006756F1">
        <w:rPr>
          <w:szCs w:val="20"/>
        </w:rPr>
        <w:t xml:space="preserve">signs in the </w:t>
      </w:r>
      <w:r w:rsidR="00174BCA">
        <w:rPr>
          <w:szCs w:val="20"/>
        </w:rPr>
        <w:t xml:space="preserve">US </w:t>
      </w:r>
      <w:r w:rsidR="001E0180">
        <w:rPr>
          <w:szCs w:val="20"/>
        </w:rPr>
        <w:t>labour market, albeit from a position of considerable weakness. E</w:t>
      </w:r>
      <w:r w:rsidR="006756F1">
        <w:rPr>
          <w:szCs w:val="20"/>
        </w:rPr>
        <w:t>mployment growth</w:t>
      </w:r>
      <w:r w:rsidR="004642C0">
        <w:rPr>
          <w:szCs w:val="20"/>
        </w:rPr>
        <w:t xml:space="preserve"> </w:t>
      </w:r>
      <w:r w:rsidR="001E0180">
        <w:rPr>
          <w:szCs w:val="20"/>
        </w:rPr>
        <w:t>in the US is rising</w:t>
      </w:r>
      <w:r w:rsidR="006756F1">
        <w:rPr>
          <w:szCs w:val="20"/>
        </w:rPr>
        <w:t xml:space="preserve"> and the unemployment rate </w:t>
      </w:r>
      <w:r w:rsidR="001E0180">
        <w:rPr>
          <w:szCs w:val="20"/>
        </w:rPr>
        <w:t>has declined</w:t>
      </w:r>
      <w:r w:rsidR="006756F1">
        <w:rPr>
          <w:szCs w:val="20"/>
        </w:rPr>
        <w:t xml:space="preserve"> in recent months.  In line with December JEFG, the world is expected to slowly return to trend growth over the forecast horizon.  World growth is forecast to increase from 3½ per cent in 2012, to 4 per cent in 2013 and 4¼</w:t>
      </w:r>
      <w:r w:rsidR="00267E41">
        <w:rPr>
          <w:szCs w:val="20"/>
        </w:rPr>
        <w:t> </w:t>
      </w:r>
      <w:r w:rsidR="006756F1">
        <w:rPr>
          <w:szCs w:val="20"/>
        </w:rPr>
        <w:t>per cent in 2014.</w:t>
      </w:r>
    </w:p>
    <w:p w:rsidR="006756F1" w:rsidRPr="00FB1EFC" w:rsidRDefault="006756F1" w:rsidP="006756F1">
      <w:pPr>
        <w:rPr>
          <w:szCs w:val="20"/>
        </w:rPr>
      </w:pPr>
      <w:r w:rsidRPr="00E76467">
        <w:rPr>
          <w:szCs w:val="20"/>
        </w:rPr>
        <w:t>While the central forecast for world growth is largely unchanged, there has been some improvement in the growth outlook for Australia’s major trading partners (weighted by export share)</w:t>
      </w:r>
      <w:r w:rsidR="00E76467" w:rsidRPr="00E76467">
        <w:rPr>
          <w:szCs w:val="20"/>
        </w:rPr>
        <w:t xml:space="preserve"> reflecting </w:t>
      </w:r>
      <w:r w:rsidRPr="00E76467">
        <w:rPr>
          <w:szCs w:val="20"/>
        </w:rPr>
        <w:t xml:space="preserve">an </w:t>
      </w:r>
      <w:r w:rsidRPr="00E76467">
        <w:rPr>
          <w:szCs w:val="20"/>
        </w:rPr>
        <w:lastRenderedPageBreak/>
        <w:t xml:space="preserve">upward revision to </w:t>
      </w:r>
      <w:r w:rsidR="00E76467" w:rsidRPr="00E76467">
        <w:rPr>
          <w:szCs w:val="20"/>
        </w:rPr>
        <w:t xml:space="preserve">the </w:t>
      </w:r>
      <w:r w:rsidRPr="00E76467">
        <w:rPr>
          <w:szCs w:val="20"/>
        </w:rPr>
        <w:t xml:space="preserve">Japan </w:t>
      </w:r>
      <w:r w:rsidR="00E76467" w:rsidRPr="00E76467">
        <w:rPr>
          <w:szCs w:val="20"/>
        </w:rPr>
        <w:t xml:space="preserve">and Other East Asian </w:t>
      </w:r>
      <w:r w:rsidRPr="00E76467">
        <w:rPr>
          <w:szCs w:val="20"/>
        </w:rPr>
        <w:t>growth outlook.  Major trading partner</w:t>
      </w:r>
      <w:r w:rsidRPr="00FB1EFC">
        <w:rPr>
          <w:szCs w:val="20"/>
        </w:rPr>
        <w:t xml:space="preserve"> growth is forecast to </w:t>
      </w:r>
      <w:r>
        <w:rPr>
          <w:szCs w:val="20"/>
        </w:rPr>
        <w:t>be</w:t>
      </w:r>
      <w:r w:rsidRPr="00FB1EFC">
        <w:rPr>
          <w:szCs w:val="20"/>
        </w:rPr>
        <w:t xml:space="preserve"> 4¼ per cent in 20</w:t>
      </w:r>
      <w:r w:rsidR="00C36796">
        <w:rPr>
          <w:szCs w:val="20"/>
        </w:rPr>
        <w:t xml:space="preserve">12, </w:t>
      </w:r>
      <w:r w:rsidR="00F163B1">
        <w:rPr>
          <w:szCs w:val="20"/>
        </w:rPr>
        <w:t xml:space="preserve">rising to </w:t>
      </w:r>
      <w:r w:rsidR="00C36796">
        <w:rPr>
          <w:szCs w:val="20"/>
        </w:rPr>
        <w:t>5 per cent in</w:t>
      </w:r>
      <w:r w:rsidR="00F163B1">
        <w:rPr>
          <w:szCs w:val="20"/>
        </w:rPr>
        <w:t xml:space="preserve"> both</w:t>
      </w:r>
      <w:r w:rsidR="00C36796">
        <w:rPr>
          <w:szCs w:val="20"/>
        </w:rPr>
        <w:t xml:space="preserve"> 2013 </w:t>
      </w:r>
      <w:r w:rsidR="00F163B1">
        <w:rPr>
          <w:szCs w:val="20"/>
        </w:rPr>
        <w:t xml:space="preserve">and </w:t>
      </w:r>
      <w:r w:rsidRPr="00FB1EFC">
        <w:rPr>
          <w:szCs w:val="20"/>
        </w:rPr>
        <w:t>2014</w:t>
      </w:r>
      <w:r>
        <w:rPr>
          <w:szCs w:val="20"/>
        </w:rPr>
        <w:t xml:space="preserve">, considerably </w:t>
      </w:r>
      <w:r w:rsidRPr="00FB1EFC">
        <w:rPr>
          <w:szCs w:val="20"/>
        </w:rPr>
        <w:t>faster tha</w:t>
      </w:r>
      <w:r>
        <w:rPr>
          <w:szCs w:val="20"/>
        </w:rPr>
        <w:t>n the world as a whole.</w:t>
      </w:r>
    </w:p>
    <w:p w:rsidR="006756F1" w:rsidRDefault="006756F1" w:rsidP="006756F1">
      <w:pPr>
        <w:rPr>
          <w:szCs w:val="20"/>
        </w:rPr>
      </w:pPr>
      <w:r>
        <w:rPr>
          <w:szCs w:val="20"/>
        </w:rPr>
        <w:t xml:space="preserve">The relative strength of Australia’s major trading partners continues to provide impetus to export growth.  Notwithstanding this, the outlook for export growth has been downgraded since December JEFG, largely reflecting resource industry capacity issues.  </w:t>
      </w:r>
      <w:r w:rsidRPr="00AB1BA8">
        <w:rPr>
          <w:szCs w:val="20"/>
        </w:rPr>
        <w:t>Total exports are expected to grow 4</w:t>
      </w:r>
      <w:r w:rsidR="00D07A2A">
        <w:rPr>
          <w:szCs w:val="20"/>
        </w:rPr>
        <w:t> </w:t>
      </w:r>
      <w:r w:rsidRPr="00AB1BA8">
        <w:rPr>
          <w:szCs w:val="20"/>
        </w:rPr>
        <w:t>per</w:t>
      </w:r>
      <w:r w:rsidR="00D07A2A">
        <w:rPr>
          <w:szCs w:val="20"/>
        </w:rPr>
        <w:t> </w:t>
      </w:r>
      <w:r w:rsidRPr="00AB1BA8">
        <w:rPr>
          <w:szCs w:val="20"/>
        </w:rPr>
        <w:t xml:space="preserve">cent in 2011-12 and 4½ per cent in </w:t>
      </w:r>
      <w:r w:rsidR="00F163B1">
        <w:rPr>
          <w:szCs w:val="20"/>
        </w:rPr>
        <w:t xml:space="preserve">both </w:t>
      </w:r>
      <w:r w:rsidRPr="00AB1BA8">
        <w:rPr>
          <w:szCs w:val="20"/>
        </w:rPr>
        <w:t>2012-13 and 2013-14.</w:t>
      </w:r>
    </w:p>
    <w:p w:rsidR="006756F1" w:rsidRDefault="006756F1" w:rsidP="006756F1">
      <w:pPr>
        <w:rPr>
          <w:szCs w:val="20"/>
        </w:rPr>
      </w:pPr>
      <w:r>
        <w:rPr>
          <w:szCs w:val="20"/>
        </w:rPr>
        <w:t>The main downward revision to export growth has been to n</w:t>
      </w:r>
      <w:r w:rsidRPr="00AB1BA8">
        <w:rPr>
          <w:szCs w:val="20"/>
        </w:rPr>
        <w:t>on-rural export volume</w:t>
      </w:r>
      <w:r>
        <w:rPr>
          <w:szCs w:val="20"/>
        </w:rPr>
        <w:t>s</w:t>
      </w:r>
      <w:r w:rsidRPr="00AB1BA8">
        <w:rPr>
          <w:szCs w:val="20"/>
        </w:rPr>
        <w:t xml:space="preserve"> due to revised assessments of system operating rates and new capacity coming online, particularly </w:t>
      </w:r>
      <w:r w:rsidR="00F163B1">
        <w:rPr>
          <w:szCs w:val="20"/>
        </w:rPr>
        <w:t>for</w:t>
      </w:r>
      <w:r w:rsidRPr="00087587">
        <w:rPr>
          <w:rFonts w:eastAsia="Times New Roman"/>
          <w:szCs w:val="20"/>
          <w:lang w:eastAsia="en-AU"/>
        </w:rPr>
        <w:t xml:space="preserve"> coal exports</w:t>
      </w:r>
      <w:r>
        <w:rPr>
          <w:rFonts w:eastAsia="Times New Roman"/>
          <w:szCs w:val="20"/>
          <w:lang w:eastAsia="en-AU"/>
        </w:rPr>
        <w:t xml:space="preserve">.  </w:t>
      </w:r>
      <w:r w:rsidRPr="00A84C35">
        <w:rPr>
          <w:szCs w:val="20"/>
        </w:rPr>
        <w:t>Coal exports ha</w:t>
      </w:r>
      <w:r>
        <w:rPr>
          <w:szCs w:val="20"/>
        </w:rPr>
        <w:t>ve</w:t>
      </w:r>
      <w:r w:rsidRPr="00A84C35">
        <w:rPr>
          <w:szCs w:val="20"/>
        </w:rPr>
        <w:t xml:space="preserve"> underperformed relative to expectations throughout 2011, </w:t>
      </w:r>
      <w:r>
        <w:rPr>
          <w:szCs w:val="20"/>
        </w:rPr>
        <w:t xml:space="preserve">as the industry struggled to recover from the 2011 Queensland floods.  The floods were responsible for </w:t>
      </w:r>
      <w:r w:rsidR="00763EB1">
        <w:rPr>
          <w:szCs w:val="20"/>
        </w:rPr>
        <w:t xml:space="preserve">the majority of the 9.7 per cent fall in </w:t>
      </w:r>
      <w:r>
        <w:rPr>
          <w:szCs w:val="20"/>
        </w:rPr>
        <w:t>coal, coke and briquette</w:t>
      </w:r>
      <w:r w:rsidR="00794EDA">
        <w:rPr>
          <w:szCs w:val="20"/>
        </w:rPr>
        <w:t xml:space="preserve">s </w:t>
      </w:r>
      <w:r w:rsidR="00763EB1">
        <w:rPr>
          <w:szCs w:val="20"/>
        </w:rPr>
        <w:t>export</w:t>
      </w:r>
      <w:r w:rsidR="00B41475">
        <w:rPr>
          <w:szCs w:val="20"/>
        </w:rPr>
        <w:t xml:space="preserve"> volumes </w:t>
      </w:r>
      <w:r w:rsidR="00763EB1">
        <w:rPr>
          <w:szCs w:val="20"/>
        </w:rPr>
        <w:t>in 2011.</w:t>
      </w:r>
    </w:p>
    <w:p w:rsidR="006756F1" w:rsidRDefault="006756F1" w:rsidP="006756F1">
      <w:pPr>
        <w:rPr>
          <w:szCs w:val="20"/>
        </w:rPr>
      </w:pPr>
      <w:r>
        <w:rPr>
          <w:szCs w:val="20"/>
        </w:rPr>
        <w:t xml:space="preserve">Although the Queensland coal industry is no longer constrained by the 2011 floods, exports from Queensland are still down around 15 per cent from their pre-flood peak in mid-2010.  </w:t>
      </w:r>
      <w:r w:rsidR="00794EDA">
        <w:rPr>
          <w:szCs w:val="20"/>
        </w:rPr>
        <w:t>A</w:t>
      </w:r>
      <w:r w:rsidR="00F04BA9">
        <w:rPr>
          <w:szCs w:val="20"/>
        </w:rPr>
        <w:t xml:space="preserve"> combination of </w:t>
      </w:r>
      <w:r w:rsidR="00794EDA">
        <w:rPr>
          <w:szCs w:val="20"/>
        </w:rPr>
        <w:t xml:space="preserve">industrial relations disputes and </w:t>
      </w:r>
      <w:r>
        <w:rPr>
          <w:szCs w:val="20"/>
        </w:rPr>
        <w:t>wet weather in the first quarter of 2012 continue</w:t>
      </w:r>
      <w:r w:rsidR="00794EDA">
        <w:rPr>
          <w:szCs w:val="20"/>
        </w:rPr>
        <w:t>s</w:t>
      </w:r>
      <w:r>
        <w:rPr>
          <w:szCs w:val="20"/>
        </w:rPr>
        <w:t xml:space="preserve"> to weigh on output from the broader coal industry.  Recent rainfall briefly closed a number of rail lines in Queensland, while earlier wet weather in New South Wales hindered operations and likely led to several days of lost production.</w:t>
      </w:r>
      <w:r w:rsidR="00F04BA9">
        <w:rPr>
          <w:szCs w:val="20"/>
        </w:rPr>
        <w:t xml:space="preserve"> </w:t>
      </w:r>
      <w:r>
        <w:rPr>
          <w:szCs w:val="20"/>
        </w:rPr>
        <w:t xml:space="preserve"> In addition, escalating industrial disputes, particularly in Queensland, are expected to have a more significant impact on export volumes than in 2011.  These factors, combined with delays to new capacity coming online due to the slower-than-expected recovery from the 2011 floods, are expected to lower coal exports growth, particularly metallurgical coal, across the forecast horizon.  </w:t>
      </w:r>
      <w:r w:rsidRPr="00B65D8B">
        <w:rPr>
          <w:szCs w:val="20"/>
        </w:rPr>
        <w:t xml:space="preserve">Partly offsetting this, </w:t>
      </w:r>
      <w:r>
        <w:rPr>
          <w:szCs w:val="20"/>
        </w:rPr>
        <w:t>the outlook for iron ore exports has</w:t>
      </w:r>
      <w:r w:rsidRPr="00B65D8B">
        <w:rPr>
          <w:szCs w:val="20"/>
        </w:rPr>
        <w:t xml:space="preserve"> been upgraded, reflecting the strong growth and demonstrated capability of the sector to produce to capacity</w:t>
      </w:r>
      <w:r>
        <w:rPr>
          <w:szCs w:val="20"/>
        </w:rPr>
        <w:t xml:space="preserve"> targets in recent quarters.  </w:t>
      </w:r>
      <w:r w:rsidRPr="00B65D8B">
        <w:rPr>
          <w:szCs w:val="20"/>
        </w:rPr>
        <w:t xml:space="preserve">Overall, non-rural exports are still expected to grow solidly over the next two years as high investment in the sector continues to translate into export output.  </w:t>
      </w:r>
      <w:r w:rsidRPr="00FB1EFC">
        <w:rPr>
          <w:szCs w:val="20"/>
        </w:rPr>
        <w:t xml:space="preserve"> </w:t>
      </w:r>
    </w:p>
    <w:p w:rsidR="006756F1" w:rsidRPr="00572419" w:rsidRDefault="006756F1" w:rsidP="006756F1">
      <w:pPr>
        <w:rPr>
          <w:rFonts w:eastAsia="Times New Roman"/>
          <w:szCs w:val="20"/>
          <w:lang w:eastAsia="en-AU"/>
        </w:rPr>
      </w:pPr>
      <w:r w:rsidRPr="00D67C3D">
        <w:rPr>
          <w:rFonts w:eastAsia="Times New Roman"/>
          <w:szCs w:val="20"/>
          <w:lang w:eastAsia="en-AU"/>
        </w:rPr>
        <w:t xml:space="preserve">The outlook for dwelling investment has </w:t>
      </w:r>
      <w:r>
        <w:rPr>
          <w:rFonts w:eastAsia="Times New Roman"/>
          <w:szCs w:val="20"/>
          <w:lang w:eastAsia="en-AU"/>
        </w:rPr>
        <w:t xml:space="preserve">also </w:t>
      </w:r>
      <w:r w:rsidRPr="00D67C3D">
        <w:rPr>
          <w:rFonts w:eastAsia="Times New Roman"/>
          <w:szCs w:val="20"/>
          <w:lang w:eastAsia="en-AU"/>
        </w:rPr>
        <w:t>weakened significantly since December JEFG</w:t>
      </w:r>
      <w:r>
        <w:rPr>
          <w:rFonts w:eastAsia="Times New Roman"/>
          <w:szCs w:val="20"/>
          <w:lang w:eastAsia="en-AU"/>
        </w:rPr>
        <w:t>,</w:t>
      </w:r>
      <w:r w:rsidRPr="00D67C3D">
        <w:rPr>
          <w:rFonts w:eastAsia="Times New Roman"/>
          <w:szCs w:val="20"/>
          <w:lang w:eastAsia="en-AU"/>
        </w:rPr>
        <w:t xml:space="preserve"> with forecast</w:t>
      </w:r>
      <w:r w:rsidR="00B40A36">
        <w:rPr>
          <w:rFonts w:eastAsia="Times New Roman"/>
          <w:szCs w:val="20"/>
          <w:lang w:eastAsia="en-AU"/>
        </w:rPr>
        <w:t xml:space="preserve"> growth</w:t>
      </w:r>
      <w:r w:rsidRPr="00D67C3D">
        <w:rPr>
          <w:rFonts w:eastAsia="Times New Roman"/>
          <w:szCs w:val="20"/>
          <w:lang w:eastAsia="en-AU"/>
        </w:rPr>
        <w:t xml:space="preserve"> downgraded 2 percentage points in 2011-12</w:t>
      </w:r>
      <w:r>
        <w:rPr>
          <w:rFonts w:eastAsia="Times New Roman"/>
          <w:szCs w:val="20"/>
          <w:lang w:eastAsia="en-AU"/>
        </w:rPr>
        <w:t xml:space="preserve"> and </w:t>
      </w:r>
      <w:r w:rsidRPr="00D67C3D">
        <w:rPr>
          <w:rFonts w:eastAsia="Times New Roman"/>
          <w:szCs w:val="20"/>
          <w:lang w:eastAsia="en-AU"/>
        </w:rPr>
        <w:t>1½ percentage points in 2012-13.  This reflects a much weaker</w:t>
      </w:r>
      <w:r>
        <w:rPr>
          <w:rFonts w:eastAsia="Times New Roman"/>
          <w:szCs w:val="20"/>
          <w:lang w:eastAsia="en-AU"/>
        </w:rPr>
        <w:t>-</w:t>
      </w:r>
      <w:r w:rsidRPr="00D67C3D">
        <w:rPr>
          <w:rFonts w:eastAsia="Times New Roman"/>
          <w:szCs w:val="20"/>
          <w:lang w:eastAsia="en-AU"/>
        </w:rPr>
        <w:t>than</w:t>
      </w:r>
      <w:r>
        <w:rPr>
          <w:rFonts w:eastAsia="Times New Roman"/>
          <w:szCs w:val="20"/>
          <w:lang w:eastAsia="en-AU"/>
        </w:rPr>
        <w:t>-</w:t>
      </w:r>
      <w:r w:rsidRPr="00D67C3D">
        <w:rPr>
          <w:rFonts w:eastAsia="Times New Roman"/>
          <w:szCs w:val="20"/>
          <w:lang w:eastAsia="en-AU"/>
        </w:rPr>
        <w:t>expected December quarter outcome and continued weakness in forward indicators, suggesting that the Victorian housing market will moderate faster</w:t>
      </w:r>
      <w:r w:rsidR="009D2EC9">
        <w:rPr>
          <w:rFonts w:eastAsia="Times New Roman"/>
          <w:szCs w:val="20"/>
          <w:lang w:eastAsia="en-AU"/>
        </w:rPr>
        <w:t xml:space="preserve"> than previously anticipated</w:t>
      </w:r>
      <w:r>
        <w:rPr>
          <w:rFonts w:eastAsia="Times New Roman"/>
          <w:szCs w:val="20"/>
          <w:lang w:eastAsia="en-AU"/>
        </w:rPr>
        <w:t>,</w:t>
      </w:r>
      <w:r w:rsidRPr="00D67C3D">
        <w:rPr>
          <w:rFonts w:eastAsia="Times New Roman"/>
          <w:szCs w:val="20"/>
          <w:lang w:eastAsia="en-AU"/>
        </w:rPr>
        <w:t xml:space="preserve"> </w:t>
      </w:r>
      <w:r>
        <w:rPr>
          <w:rFonts w:eastAsia="Times New Roman"/>
          <w:szCs w:val="20"/>
          <w:lang w:eastAsia="en-AU"/>
        </w:rPr>
        <w:t>after the boom in recent years</w:t>
      </w:r>
      <w:r w:rsidRPr="00D67C3D">
        <w:rPr>
          <w:rFonts w:eastAsia="Times New Roman"/>
          <w:szCs w:val="20"/>
          <w:lang w:eastAsia="en-AU"/>
        </w:rPr>
        <w:t xml:space="preserve">.  </w:t>
      </w:r>
      <w:r>
        <w:rPr>
          <w:rFonts w:eastAsia="Times New Roman"/>
          <w:szCs w:val="20"/>
          <w:lang w:eastAsia="en-AU"/>
        </w:rPr>
        <w:t xml:space="preserve">Reflecting this slowdown and </w:t>
      </w:r>
      <w:r w:rsidRPr="00572419">
        <w:rPr>
          <w:rFonts w:eastAsia="Times New Roman"/>
          <w:szCs w:val="20"/>
          <w:lang w:eastAsia="en-AU"/>
        </w:rPr>
        <w:t>the ongoing caution of households to spending and borrowing since the global financial crisis, d</w:t>
      </w:r>
      <w:r w:rsidRPr="00D67C3D">
        <w:rPr>
          <w:rFonts w:eastAsia="Times New Roman"/>
          <w:szCs w:val="20"/>
          <w:lang w:eastAsia="en-AU"/>
        </w:rPr>
        <w:t xml:space="preserve">welling investment is forecast to contract </w:t>
      </w:r>
      <w:r>
        <w:rPr>
          <w:rFonts w:eastAsia="Times New Roman"/>
          <w:szCs w:val="20"/>
          <w:lang w:eastAsia="en-AU"/>
        </w:rPr>
        <w:t xml:space="preserve">in </w:t>
      </w:r>
      <w:r w:rsidRPr="00D67C3D">
        <w:rPr>
          <w:rFonts w:eastAsia="Times New Roman"/>
          <w:szCs w:val="20"/>
          <w:lang w:eastAsia="en-AU"/>
        </w:rPr>
        <w:t>2011-12</w:t>
      </w:r>
      <w:r w:rsidR="00D07A2A">
        <w:rPr>
          <w:rFonts w:eastAsia="Times New Roman"/>
          <w:szCs w:val="20"/>
          <w:lang w:eastAsia="en-AU"/>
        </w:rPr>
        <w:t>,</w:t>
      </w:r>
      <w:r w:rsidRPr="00D67C3D">
        <w:rPr>
          <w:rFonts w:eastAsia="Times New Roman"/>
          <w:szCs w:val="20"/>
          <w:lang w:eastAsia="en-AU"/>
        </w:rPr>
        <w:t xml:space="preserve"> </w:t>
      </w:r>
      <w:r>
        <w:rPr>
          <w:rFonts w:eastAsia="Times New Roman"/>
          <w:szCs w:val="20"/>
          <w:lang w:eastAsia="en-AU"/>
        </w:rPr>
        <w:t xml:space="preserve">remain flat in </w:t>
      </w:r>
      <w:r w:rsidRPr="00D67C3D">
        <w:rPr>
          <w:rFonts w:eastAsia="Times New Roman"/>
          <w:szCs w:val="20"/>
          <w:lang w:eastAsia="en-AU"/>
        </w:rPr>
        <w:t>2012-13</w:t>
      </w:r>
      <w:r>
        <w:rPr>
          <w:rFonts w:eastAsia="Times New Roman"/>
          <w:szCs w:val="20"/>
          <w:lang w:eastAsia="en-AU"/>
        </w:rPr>
        <w:t xml:space="preserve"> and </w:t>
      </w:r>
      <w:r w:rsidRPr="00D67C3D">
        <w:rPr>
          <w:rFonts w:eastAsia="Times New Roman"/>
          <w:szCs w:val="20"/>
          <w:lang w:eastAsia="en-AU"/>
        </w:rPr>
        <w:t>grow modest</w:t>
      </w:r>
      <w:r>
        <w:rPr>
          <w:rFonts w:eastAsia="Times New Roman"/>
          <w:szCs w:val="20"/>
          <w:lang w:eastAsia="en-AU"/>
        </w:rPr>
        <w:t xml:space="preserve">ly </w:t>
      </w:r>
      <w:r w:rsidRPr="00D67C3D">
        <w:rPr>
          <w:rFonts w:eastAsia="Times New Roman"/>
          <w:szCs w:val="20"/>
          <w:lang w:eastAsia="en-AU"/>
        </w:rPr>
        <w:t>in 2013</w:t>
      </w:r>
      <w:r w:rsidRPr="00D67C3D">
        <w:rPr>
          <w:rFonts w:eastAsia="Times New Roman"/>
          <w:szCs w:val="20"/>
          <w:lang w:eastAsia="en-AU"/>
        </w:rPr>
        <w:noBreakHyphen/>
        <w:t>14.</w:t>
      </w:r>
      <w:r w:rsidRPr="00572419">
        <w:rPr>
          <w:rFonts w:eastAsia="Times New Roman"/>
          <w:szCs w:val="20"/>
          <w:lang w:eastAsia="en-AU"/>
        </w:rPr>
        <w:t xml:space="preserve"> </w:t>
      </w:r>
    </w:p>
    <w:p w:rsidR="006756F1" w:rsidRPr="00936461" w:rsidRDefault="006756F1" w:rsidP="006756F1">
      <w:pPr>
        <w:rPr>
          <w:rFonts w:eastAsia="Times New Roman"/>
          <w:szCs w:val="20"/>
          <w:lang w:eastAsia="en-AU"/>
        </w:rPr>
      </w:pPr>
      <w:r w:rsidRPr="00936461">
        <w:rPr>
          <w:rFonts w:eastAsia="Times New Roman"/>
          <w:szCs w:val="20"/>
          <w:lang w:eastAsia="en-AU"/>
        </w:rPr>
        <w:t>Mining investment is expected to be a key driver of growth over the forecast horizon</w:t>
      </w:r>
      <w:r w:rsidR="006E2260">
        <w:rPr>
          <w:rFonts w:eastAsia="Times New Roman"/>
          <w:szCs w:val="20"/>
          <w:lang w:eastAsia="en-AU"/>
        </w:rPr>
        <w:t xml:space="preserve"> along with solid non-rural commodity exports growth</w:t>
      </w:r>
      <w:r w:rsidRPr="00936461">
        <w:rPr>
          <w:rFonts w:eastAsia="Times New Roman"/>
          <w:szCs w:val="20"/>
          <w:lang w:eastAsia="en-AU"/>
        </w:rPr>
        <w:t>,</w:t>
      </w:r>
      <w:r w:rsidR="006E2260">
        <w:rPr>
          <w:rFonts w:eastAsia="Times New Roman"/>
          <w:szCs w:val="20"/>
          <w:lang w:eastAsia="en-AU"/>
        </w:rPr>
        <w:t xml:space="preserve"> despite the downgrade to coal export volumes</w:t>
      </w:r>
      <w:r w:rsidRPr="00936461">
        <w:rPr>
          <w:rFonts w:eastAsia="Times New Roman"/>
          <w:szCs w:val="20"/>
          <w:lang w:eastAsia="en-AU"/>
        </w:rPr>
        <w:t xml:space="preserve">.  Led by </w:t>
      </w:r>
      <w:r w:rsidR="00586A3D">
        <w:rPr>
          <w:rFonts w:eastAsia="Times New Roman"/>
          <w:szCs w:val="20"/>
          <w:lang w:eastAsia="en-AU"/>
        </w:rPr>
        <w:t>l</w:t>
      </w:r>
      <w:r w:rsidRPr="00936461">
        <w:rPr>
          <w:rFonts w:eastAsia="Times New Roman"/>
          <w:szCs w:val="20"/>
          <w:lang w:eastAsia="en-AU"/>
        </w:rPr>
        <w:t xml:space="preserve">iquefied </w:t>
      </w:r>
      <w:r w:rsidR="00586A3D">
        <w:rPr>
          <w:rFonts w:eastAsia="Times New Roman"/>
          <w:szCs w:val="20"/>
          <w:lang w:eastAsia="en-AU"/>
        </w:rPr>
        <w:t>n</w:t>
      </w:r>
      <w:r w:rsidR="00586A3D" w:rsidRPr="00936461">
        <w:rPr>
          <w:rFonts w:eastAsia="Times New Roman"/>
          <w:szCs w:val="20"/>
          <w:lang w:eastAsia="en-AU"/>
        </w:rPr>
        <w:t xml:space="preserve">atural </w:t>
      </w:r>
      <w:r w:rsidR="00586A3D">
        <w:rPr>
          <w:rFonts w:eastAsia="Times New Roman"/>
          <w:szCs w:val="20"/>
          <w:lang w:eastAsia="en-AU"/>
        </w:rPr>
        <w:t>g</w:t>
      </w:r>
      <w:r w:rsidR="00586A3D" w:rsidRPr="00936461">
        <w:rPr>
          <w:rFonts w:eastAsia="Times New Roman"/>
          <w:szCs w:val="20"/>
          <w:lang w:eastAsia="en-AU"/>
        </w:rPr>
        <w:t xml:space="preserve">as </w:t>
      </w:r>
      <w:r w:rsidRPr="00936461">
        <w:rPr>
          <w:rFonts w:eastAsia="Times New Roman"/>
          <w:szCs w:val="20"/>
          <w:lang w:eastAsia="en-AU"/>
        </w:rPr>
        <w:t xml:space="preserve">investment in Western Australia and Queensland, December quarter CAPEX and </w:t>
      </w:r>
      <w:r w:rsidR="00294545">
        <w:rPr>
          <w:rFonts w:eastAsia="Times New Roman"/>
          <w:szCs w:val="20"/>
          <w:lang w:eastAsia="en-AU"/>
        </w:rPr>
        <w:t>project-by-project</w:t>
      </w:r>
      <w:r w:rsidRPr="00936461">
        <w:rPr>
          <w:rFonts w:eastAsia="Times New Roman"/>
          <w:szCs w:val="20"/>
          <w:lang w:eastAsia="en-AU"/>
        </w:rPr>
        <w:t xml:space="preserve"> analysis suggest that mining investment remains on track to reach record highs as a percentage of GDP in 2012-13.  However, the CAPEX survey suggests that, outside the resource</w:t>
      </w:r>
      <w:r w:rsidR="002F1602">
        <w:rPr>
          <w:rFonts w:eastAsia="Times New Roman"/>
          <w:szCs w:val="20"/>
          <w:lang w:eastAsia="en-AU"/>
        </w:rPr>
        <w:t>s</w:t>
      </w:r>
      <w:r w:rsidRPr="00936461">
        <w:rPr>
          <w:rFonts w:eastAsia="Times New Roman"/>
          <w:szCs w:val="20"/>
          <w:lang w:eastAsia="en-AU"/>
        </w:rPr>
        <w:t xml:space="preserve"> and resource</w:t>
      </w:r>
      <w:r w:rsidR="002F1602">
        <w:rPr>
          <w:rFonts w:eastAsia="Times New Roman"/>
          <w:szCs w:val="20"/>
          <w:lang w:eastAsia="en-AU"/>
        </w:rPr>
        <w:t>s</w:t>
      </w:r>
      <w:r w:rsidRPr="00936461">
        <w:rPr>
          <w:rFonts w:eastAsia="Times New Roman"/>
          <w:szCs w:val="20"/>
          <w:lang w:eastAsia="en-AU"/>
        </w:rPr>
        <w:t xml:space="preserve">-related sectors, firms remain cautious in their investment plans.  </w:t>
      </w:r>
    </w:p>
    <w:p w:rsidR="006756F1" w:rsidRPr="00CE4ECF" w:rsidRDefault="006756F1" w:rsidP="006756F1">
      <w:r w:rsidRPr="00CE4ECF">
        <w:t>Recent business su</w:t>
      </w:r>
      <w:r w:rsidR="00D82E89">
        <w:t xml:space="preserve">rvey results also highlight this </w:t>
      </w:r>
      <w:r w:rsidR="00106AE7">
        <w:t xml:space="preserve">divergence across the economy.  </w:t>
      </w:r>
      <w:r w:rsidRPr="00CE4ECF">
        <w:t xml:space="preserve">The December NAB Quarterly Business Survey suggests that conditions in the mining industry are </w:t>
      </w:r>
      <w:r w:rsidR="00294545">
        <w:t>significantly stronger than their long-run average</w:t>
      </w:r>
      <w:r w:rsidRPr="00CE4ECF">
        <w:t xml:space="preserve">, while conditions in the manufacturing, construction and retail industries are </w:t>
      </w:r>
      <w:r w:rsidR="00294545">
        <w:t>significantly weaker</w:t>
      </w:r>
      <w:r>
        <w:t xml:space="preserve">.  </w:t>
      </w:r>
      <w:r w:rsidRPr="00CE4ECF">
        <w:t>Similarly, the latest ACCI-Westpac Survey of Industrial Trends reported weak actual and expected conditions in the manufacturing sector in the December quarter</w:t>
      </w:r>
      <w:r w:rsidR="00FB4575">
        <w:t xml:space="preserve">. </w:t>
      </w:r>
      <w:r w:rsidRPr="00CE4ECF">
        <w:t>Meanwhile, the AIG</w:t>
      </w:r>
      <w:r w:rsidRPr="00CE4ECF">
        <w:noBreakHyphen/>
        <w:t xml:space="preserve">Commonwealth Bank Performance of Services Index reported that </w:t>
      </w:r>
      <w:r w:rsidR="00586A3D">
        <w:t xml:space="preserve">activity in </w:t>
      </w:r>
      <w:r w:rsidRPr="00CE4ECF">
        <w:t xml:space="preserve">the services </w:t>
      </w:r>
      <w:r w:rsidRPr="000F5CD5">
        <w:t xml:space="preserve">sector contracted in </w:t>
      </w:r>
      <w:r w:rsidR="000F5CD5" w:rsidRPr="000F5CD5">
        <w:t>March</w:t>
      </w:r>
      <w:r w:rsidRPr="000F5CD5">
        <w:t xml:space="preserve">, </w:t>
      </w:r>
      <w:r w:rsidR="00935520">
        <w:t>as it did</w:t>
      </w:r>
      <w:r w:rsidR="00D82E89" w:rsidRPr="000F5CD5">
        <w:t xml:space="preserve"> in 8</w:t>
      </w:r>
      <w:r w:rsidRPr="000F5CD5">
        <w:t xml:space="preserve"> of the past 12 months.  Likewise, the AIG</w:t>
      </w:r>
      <w:r w:rsidRPr="000F5CD5">
        <w:noBreakHyphen/>
        <w:t xml:space="preserve">HIA Performance of Construction Index </w:t>
      </w:r>
      <w:r w:rsidR="000F5CD5" w:rsidRPr="000F5CD5">
        <w:t>remained in contractionary territory</w:t>
      </w:r>
      <w:r w:rsidRPr="000F5CD5">
        <w:t xml:space="preserve"> for the </w:t>
      </w:r>
      <w:r w:rsidR="00D82E89" w:rsidRPr="000F5CD5">
        <w:t>twenty-</w:t>
      </w:r>
      <w:r w:rsidR="00FB4575">
        <w:t>second</w:t>
      </w:r>
      <w:r w:rsidR="00FB4575" w:rsidRPr="000F5CD5">
        <w:t xml:space="preserve"> </w:t>
      </w:r>
      <w:r w:rsidRPr="000F5CD5">
        <w:t xml:space="preserve">consecutive month in </w:t>
      </w:r>
      <w:r w:rsidR="00FB4575">
        <w:t>March</w:t>
      </w:r>
      <w:r w:rsidRPr="000F5CD5">
        <w:t>.</w:t>
      </w:r>
      <w:r w:rsidRPr="00CE4ECF">
        <w:t xml:space="preserve"> </w:t>
      </w:r>
    </w:p>
    <w:p w:rsidR="00EA4D58" w:rsidRDefault="006E2260" w:rsidP="006756F1">
      <w:pPr>
        <w:rPr>
          <w:szCs w:val="20"/>
        </w:rPr>
      </w:pPr>
      <w:r>
        <w:rPr>
          <w:rFonts w:eastAsia="Times New Roman"/>
          <w:szCs w:val="20"/>
          <w:lang w:eastAsia="en-AU"/>
        </w:rPr>
        <w:lastRenderedPageBreak/>
        <w:t>O</w:t>
      </w:r>
      <w:r w:rsidR="006756F1" w:rsidRPr="00936461">
        <w:rPr>
          <w:rFonts w:eastAsia="Times New Roman"/>
          <w:szCs w:val="20"/>
          <w:lang w:eastAsia="en-AU"/>
        </w:rPr>
        <w:t>verall economic growth has been downgraded by ¼ of a percentage point in 2011-12</w:t>
      </w:r>
      <w:r w:rsidR="00D07A2A">
        <w:rPr>
          <w:rFonts w:eastAsia="Times New Roman"/>
          <w:szCs w:val="20"/>
          <w:lang w:eastAsia="en-AU"/>
        </w:rPr>
        <w:t xml:space="preserve"> and there are downside risks to the 2012-13 forecasts</w:t>
      </w:r>
      <w:r w:rsidR="006756F1" w:rsidRPr="00936461">
        <w:rPr>
          <w:rFonts w:eastAsia="Times New Roman"/>
          <w:szCs w:val="20"/>
          <w:lang w:eastAsia="en-AU"/>
        </w:rPr>
        <w:t>.  Nevertheless, economic growth is forecast to strengthen to 3¼</w:t>
      </w:r>
      <w:r w:rsidR="00644138">
        <w:rPr>
          <w:rFonts w:eastAsia="Times New Roman"/>
          <w:szCs w:val="20"/>
          <w:lang w:eastAsia="en-AU"/>
        </w:rPr>
        <w:t> </w:t>
      </w:r>
      <w:r w:rsidR="006756F1" w:rsidRPr="00936461">
        <w:rPr>
          <w:rFonts w:eastAsia="Times New Roman"/>
          <w:szCs w:val="20"/>
          <w:lang w:eastAsia="en-AU"/>
        </w:rPr>
        <w:t>per cent in 2012-13 and then ease slightly to 3 per cent in 2013-14 largely reflecting</w:t>
      </w:r>
      <w:r w:rsidR="006756F1">
        <w:rPr>
          <w:szCs w:val="20"/>
        </w:rPr>
        <w:t xml:space="preserve"> slowing</w:t>
      </w:r>
      <w:r w:rsidR="00D07A2A">
        <w:rPr>
          <w:szCs w:val="20"/>
        </w:rPr>
        <w:t>, albeit still strong,</w:t>
      </w:r>
      <w:r w:rsidR="006756F1">
        <w:rPr>
          <w:szCs w:val="20"/>
        </w:rPr>
        <w:t xml:space="preserve"> business investment growth</w:t>
      </w:r>
      <w:r w:rsidR="006756F1" w:rsidRPr="00572419">
        <w:rPr>
          <w:szCs w:val="20"/>
        </w:rPr>
        <w:t xml:space="preserve">.  </w:t>
      </w:r>
      <w:r w:rsidR="006756F1" w:rsidRPr="00AE4C0A">
        <w:rPr>
          <w:szCs w:val="20"/>
        </w:rPr>
        <w:t xml:space="preserve">Forecast growth in nominal GDP is </w:t>
      </w:r>
      <w:r w:rsidR="006756F1">
        <w:rPr>
          <w:szCs w:val="20"/>
        </w:rPr>
        <w:t>also</w:t>
      </w:r>
      <w:r w:rsidR="006756F1" w:rsidRPr="00AE4C0A">
        <w:rPr>
          <w:szCs w:val="20"/>
        </w:rPr>
        <w:t xml:space="preserve"> lower in 2011-</w:t>
      </w:r>
      <w:r w:rsidR="00D07A2A">
        <w:rPr>
          <w:szCs w:val="20"/>
        </w:rPr>
        <w:t>12 in line with the downgrade to</w:t>
      </w:r>
      <w:r w:rsidR="006756F1" w:rsidRPr="00AE4C0A">
        <w:rPr>
          <w:szCs w:val="20"/>
        </w:rPr>
        <w:t xml:space="preserve"> real GDP growth and </w:t>
      </w:r>
      <w:r w:rsidR="00594937">
        <w:rPr>
          <w:szCs w:val="20"/>
        </w:rPr>
        <w:t xml:space="preserve">lower </w:t>
      </w:r>
      <w:r w:rsidR="00EA310E">
        <w:rPr>
          <w:szCs w:val="20"/>
        </w:rPr>
        <w:t>domestic price growth</w:t>
      </w:r>
      <w:r w:rsidR="006756F1" w:rsidRPr="00AE4C0A">
        <w:rPr>
          <w:szCs w:val="20"/>
        </w:rPr>
        <w:t xml:space="preserve">, partly offset by </w:t>
      </w:r>
      <w:r w:rsidR="002F1602">
        <w:rPr>
          <w:szCs w:val="20"/>
        </w:rPr>
        <w:t>a</w:t>
      </w:r>
      <w:r w:rsidR="006756F1" w:rsidRPr="00AE4C0A">
        <w:rPr>
          <w:szCs w:val="20"/>
        </w:rPr>
        <w:t xml:space="preserve"> </w:t>
      </w:r>
      <w:r w:rsidR="002F1602">
        <w:rPr>
          <w:szCs w:val="20"/>
        </w:rPr>
        <w:t xml:space="preserve">higher </w:t>
      </w:r>
      <w:r w:rsidR="00594937">
        <w:rPr>
          <w:szCs w:val="20"/>
        </w:rPr>
        <w:t>forecast</w:t>
      </w:r>
      <w:r w:rsidR="002F1602">
        <w:rPr>
          <w:szCs w:val="20"/>
        </w:rPr>
        <w:t xml:space="preserve"> rise in the</w:t>
      </w:r>
      <w:r w:rsidR="00594937">
        <w:rPr>
          <w:szCs w:val="20"/>
        </w:rPr>
        <w:t xml:space="preserve"> </w:t>
      </w:r>
      <w:r w:rsidR="006756F1">
        <w:rPr>
          <w:szCs w:val="20"/>
        </w:rPr>
        <w:t>terms of trade</w:t>
      </w:r>
      <w:r w:rsidR="006756F1" w:rsidRPr="00AE4C0A">
        <w:rPr>
          <w:szCs w:val="20"/>
        </w:rPr>
        <w:t xml:space="preserve">.  The higher terms of trade forecast </w:t>
      </w:r>
      <w:r w:rsidR="00594937">
        <w:rPr>
          <w:szCs w:val="20"/>
        </w:rPr>
        <w:t>is</w:t>
      </w:r>
      <w:r w:rsidR="00D07A2A">
        <w:rPr>
          <w:szCs w:val="20"/>
        </w:rPr>
        <w:t xml:space="preserve"> largely the result of lower</w:t>
      </w:r>
      <w:r w:rsidR="00D07A2A">
        <w:rPr>
          <w:szCs w:val="20"/>
        </w:rPr>
        <w:noBreakHyphen/>
        <w:t>than</w:t>
      </w:r>
      <w:r w:rsidR="00D07A2A">
        <w:rPr>
          <w:szCs w:val="20"/>
        </w:rPr>
        <w:noBreakHyphen/>
      </w:r>
      <w:r w:rsidR="006756F1" w:rsidRPr="00AE4C0A">
        <w:rPr>
          <w:szCs w:val="20"/>
        </w:rPr>
        <w:t xml:space="preserve">expected import prices.  </w:t>
      </w:r>
    </w:p>
    <w:p w:rsidR="00EA4D58" w:rsidRDefault="00EA4D58" w:rsidP="006756F1">
      <w:pPr>
        <w:rPr>
          <w:szCs w:val="20"/>
        </w:rPr>
      </w:pPr>
      <w:r>
        <w:t>The terms of trade are forecast to increase 3¼</w:t>
      </w:r>
      <w:r w:rsidRPr="008E370E">
        <w:t xml:space="preserve"> per cent in 2011-12, followed by decline</w:t>
      </w:r>
      <w:r>
        <w:t>s</w:t>
      </w:r>
      <w:r w:rsidRPr="008E370E">
        <w:t xml:space="preserve"> of 5¾ per cent in 2012-13 and 3</w:t>
      </w:r>
      <w:r>
        <w:t>¼ </w:t>
      </w:r>
      <w:r w:rsidRPr="008E370E">
        <w:t>per</w:t>
      </w:r>
      <w:r>
        <w:t> </w:t>
      </w:r>
      <w:r w:rsidRPr="008E370E">
        <w:t>cent in 2013-14, as growing global supply of iron ore and coal, particularly out of Australia, weighs on commodity prices.</w:t>
      </w:r>
      <w:r w:rsidRPr="00EA4D58">
        <w:t xml:space="preserve"> </w:t>
      </w:r>
      <w:r>
        <w:t xml:space="preserve"> The anticipated falls in 2012-13 and 2013-14 are expected to be marginally larger </w:t>
      </w:r>
      <w:r w:rsidR="00E63495">
        <w:t xml:space="preserve">than December JEFG, </w:t>
      </w:r>
      <w:r>
        <w:t>resulting in the level of the terms of trade at the end of the period remaining broadly unchanged.</w:t>
      </w:r>
    </w:p>
    <w:p w:rsidR="006756F1" w:rsidRPr="00730A87" w:rsidRDefault="006756F1" w:rsidP="006756F1">
      <w:pPr>
        <w:rPr>
          <w:szCs w:val="20"/>
        </w:rPr>
      </w:pPr>
      <w:r>
        <w:rPr>
          <w:szCs w:val="20"/>
        </w:rPr>
        <w:t>With the economy growing around trend and some weakness in the labour market</w:t>
      </w:r>
      <w:r w:rsidR="006E2260">
        <w:rPr>
          <w:szCs w:val="20"/>
        </w:rPr>
        <w:t>,</w:t>
      </w:r>
      <w:r>
        <w:rPr>
          <w:szCs w:val="20"/>
        </w:rPr>
        <w:t xml:space="preserve"> inflation and wages </w:t>
      </w:r>
      <w:r w:rsidR="00594937">
        <w:rPr>
          <w:szCs w:val="20"/>
        </w:rPr>
        <w:t xml:space="preserve">growth </w:t>
      </w:r>
      <w:r>
        <w:rPr>
          <w:szCs w:val="20"/>
        </w:rPr>
        <w:t xml:space="preserve">are expected to remain contained, notwithstanding a temporary spike associated with the introduction of the Government’s carbon price in 2012-13.  </w:t>
      </w:r>
      <w:r w:rsidRPr="00AE4C0A">
        <w:rPr>
          <w:szCs w:val="20"/>
        </w:rPr>
        <w:t>Nominal GDP is expected to</w:t>
      </w:r>
      <w:r>
        <w:rPr>
          <w:szCs w:val="20"/>
        </w:rPr>
        <w:t xml:space="preserve"> grow 5½</w:t>
      </w:r>
      <w:r w:rsidR="00BA376F">
        <w:rPr>
          <w:szCs w:val="20"/>
        </w:rPr>
        <w:t> </w:t>
      </w:r>
      <w:r>
        <w:rPr>
          <w:szCs w:val="20"/>
        </w:rPr>
        <w:t>per cent in 2011</w:t>
      </w:r>
      <w:r>
        <w:rPr>
          <w:szCs w:val="20"/>
        </w:rPr>
        <w:noBreakHyphen/>
        <w:t>12, 5</w:t>
      </w:r>
      <w:r w:rsidR="002F406A">
        <w:rPr>
          <w:szCs w:val="20"/>
        </w:rPr>
        <w:t xml:space="preserve"> per cent in 2012-13 and 5¼ </w:t>
      </w:r>
      <w:r w:rsidRPr="00AE4C0A">
        <w:rPr>
          <w:szCs w:val="20"/>
        </w:rPr>
        <w:t>per</w:t>
      </w:r>
      <w:r w:rsidR="002F406A">
        <w:rPr>
          <w:szCs w:val="20"/>
        </w:rPr>
        <w:t> </w:t>
      </w:r>
      <w:r w:rsidRPr="00AE4C0A">
        <w:rPr>
          <w:szCs w:val="20"/>
        </w:rPr>
        <w:t>cent in 2013-14.</w:t>
      </w:r>
    </w:p>
    <w:p w:rsidR="00A42B48" w:rsidRPr="00DB3E41" w:rsidRDefault="006756F1" w:rsidP="006756F1">
      <w:pPr>
        <w:rPr>
          <w:szCs w:val="20"/>
        </w:rPr>
      </w:pPr>
      <w:r>
        <w:rPr>
          <w:color w:val="000000"/>
          <w:szCs w:val="20"/>
          <w:lang w:eastAsia="en-AU"/>
        </w:rPr>
        <w:t>Employment growth is expected to slowly recover over the next two years</w:t>
      </w:r>
      <w:r w:rsidRPr="00F54710">
        <w:rPr>
          <w:color w:val="000000"/>
          <w:szCs w:val="20"/>
          <w:lang w:eastAsia="en-AU"/>
        </w:rPr>
        <w:t xml:space="preserve"> and the unemployment </w:t>
      </w:r>
      <w:r w:rsidRPr="00DB3E41">
        <w:rPr>
          <w:szCs w:val="20"/>
        </w:rPr>
        <w:t>rate is expected to rise to 5</w:t>
      </w:r>
      <w:r w:rsidR="00BC1F06">
        <w:rPr>
          <w:szCs w:val="20"/>
        </w:rPr>
        <w:t xml:space="preserve">½ </w:t>
      </w:r>
      <w:r w:rsidRPr="00DB3E41">
        <w:rPr>
          <w:szCs w:val="20"/>
        </w:rPr>
        <w:t>per cent.  Employment is e</w:t>
      </w:r>
      <w:r w:rsidR="003B76F3">
        <w:rPr>
          <w:szCs w:val="20"/>
        </w:rPr>
        <w:t>xpected to grow 1¼</w:t>
      </w:r>
      <w:r w:rsidRPr="00DB3E41">
        <w:rPr>
          <w:szCs w:val="20"/>
        </w:rPr>
        <w:t xml:space="preserve"> per cent through the year to the June quarter of 2013 and </w:t>
      </w:r>
      <w:r w:rsidR="003B76F3">
        <w:rPr>
          <w:szCs w:val="20"/>
        </w:rPr>
        <w:t>1½</w:t>
      </w:r>
      <w:r w:rsidR="003B76F3" w:rsidRPr="00DB3E41">
        <w:rPr>
          <w:szCs w:val="20"/>
        </w:rPr>
        <w:t> per cent through the year to the June quarter of 201</w:t>
      </w:r>
      <w:r w:rsidRPr="00DB3E41">
        <w:rPr>
          <w:szCs w:val="20"/>
        </w:rPr>
        <w:t>4.  A key source of weakness and risk to the labour market outlook is the divergent performance of the economy</w:t>
      </w:r>
      <w:r>
        <w:rPr>
          <w:szCs w:val="20"/>
        </w:rPr>
        <w:t>,</w:t>
      </w:r>
      <w:r w:rsidRPr="00DB3E41">
        <w:rPr>
          <w:szCs w:val="20"/>
        </w:rPr>
        <w:t xml:space="preserve"> with the vast majority of workers employed outside the resource</w:t>
      </w:r>
      <w:r w:rsidR="005030CF">
        <w:rPr>
          <w:szCs w:val="20"/>
        </w:rPr>
        <w:t>s</w:t>
      </w:r>
      <w:r w:rsidRPr="00DB3E41">
        <w:rPr>
          <w:szCs w:val="20"/>
        </w:rPr>
        <w:t xml:space="preserve"> and related sectors. </w:t>
      </w:r>
      <w:r w:rsidR="00A42B48" w:rsidRPr="00DB3E41">
        <w:rPr>
          <w:szCs w:val="20"/>
        </w:rPr>
        <w:t xml:space="preserve"> </w:t>
      </w:r>
    </w:p>
    <w:p w:rsidR="00201ED5" w:rsidRDefault="009A79E9" w:rsidP="00DA5499">
      <w:pPr>
        <w:pStyle w:val="TableGraphic"/>
        <w:widowControl w:val="0"/>
        <w:spacing w:after="120"/>
        <w:rPr>
          <w:rFonts w:cs="Tahoma"/>
        </w:rPr>
      </w:pPr>
      <w:r w:rsidRPr="00691ADF">
        <w:rPr>
          <w:rFonts w:cs="Tahoma"/>
        </w:rPr>
        <w:lastRenderedPageBreak/>
        <w:t>Table 2 – Domestic economy forecasts</w:t>
      </w:r>
      <w:r w:rsidR="00C2799E" w:rsidRPr="00C2799E">
        <w:rPr>
          <w:rFonts w:cs="Tahoma"/>
          <w:vertAlign w:val="superscript"/>
        </w:rPr>
        <w:t>(a)</w:t>
      </w:r>
    </w:p>
    <w:p w:rsidR="00CF05B4" w:rsidRPr="00CF05B4" w:rsidRDefault="0076565E">
      <w:pPr>
        <w:pStyle w:val="ChartGraphic0"/>
      </w:pPr>
      <w:r>
        <w:object w:dxaOrig="9078" w:dyaOrig="9655">
          <v:shape id="_x0000_i1026" type="#_x0000_t75" style="width:454.55pt;height:482.5pt" o:ole="">
            <v:imagedata r:id="rId18" o:title=""/>
          </v:shape>
          <o:OLEObject Type="Link" ProgID="Excel.SheetMacroEnabled.12" ShapeID="_x0000_i1026" DrawAspect="Content" r:id="rId19" UpdateMode="Always">
            <o:LinkType>EnhancedMetaFile</o:LinkType>
            <o:LockedField>false</o:LockedField>
          </o:OLEObject>
        </w:object>
      </w:r>
    </w:p>
    <w:p w:rsidR="00DA5499" w:rsidRDefault="00DA5499" w:rsidP="00C2799E">
      <w:pPr>
        <w:pStyle w:val="ChartandTableFootnoteAlpha"/>
        <w:numPr>
          <w:ilvl w:val="0"/>
          <w:numId w:val="46"/>
        </w:numPr>
        <w:spacing w:line="240" w:lineRule="auto"/>
      </w:pPr>
      <w:r>
        <w:t>Percentage change on preceding year unless otherwise indicated.</w:t>
      </w:r>
    </w:p>
    <w:p w:rsidR="00DA5499" w:rsidRDefault="00DA5499" w:rsidP="00C2799E">
      <w:pPr>
        <w:pStyle w:val="ChartandTableFootnoteAlpha"/>
        <w:numPr>
          <w:ilvl w:val="0"/>
          <w:numId w:val="46"/>
        </w:numPr>
        <w:spacing w:line="240" w:lineRule="auto"/>
      </w:pPr>
      <w:r>
        <w:t>Calculated using original data unless otherwise indicated.</w:t>
      </w:r>
    </w:p>
    <w:p w:rsidR="00DA5499" w:rsidRDefault="00DA5499" w:rsidP="00C2799E">
      <w:pPr>
        <w:pStyle w:val="ChartandTableFootnoteAlpha"/>
        <w:numPr>
          <w:ilvl w:val="0"/>
          <w:numId w:val="46"/>
        </w:numPr>
        <w:spacing w:line="240" w:lineRule="auto"/>
      </w:pPr>
      <w:r>
        <w:t>Chain volume measures except for nominal gross domestic product which is in current prices.</w:t>
      </w:r>
    </w:p>
    <w:p w:rsidR="00DA5499" w:rsidRDefault="00DA5499" w:rsidP="00C2799E">
      <w:pPr>
        <w:pStyle w:val="ChartandTableFootnoteAlpha"/>
        <w:numPr>
          <w:ilvl w:val="0"/>
          <w:numId w:val="46"/>
        </w:numPr>
        <w:spacing w:line="240" w:lineRule="auto"/>
      </w:pPr>
      <w:r>
        <w:t>Excluding second</w:t>
      </w:r>
      <w:r>
        <w:noBreakHyphen/>
        <w:t>hand asset sales from the public sector to the private sector.</w:t>
      </w:r>
    </w:p>
    <w:p w:rsidR="00DA5499" w:rsidRDefault="00DA5499" w:rsidP="00C2799E">
      <w:pPr>
        <w:pStyle w:val="ChartandTableFootnoteAlpha"/>
        <w:numPr>
          <w:ilvl w:val="0"/>
          <w:numId w:val="46"/>
        </w:numPr>
        <w:spacing w:line="240" w:lineRule="auto"/>
      </w:pPr>
      <w:r>
        <w:t xml:space="preserve">Percentage point contribution to growth in GDP. </w:t>
      </w:r>
    </w:p>
    <w:p w:rsidR="00DA5499" w:rsidRDefault="00DA5499" w:rsidP="00C2799E">
      <w:pPr>
        <w:pStyle w:val="ChartandTableFootnoteAlpha"/>
        <w:numPr>
          <w:ilvl w:val="0"/>
          <w:numId w:val="46"/>
        </w:numPr>
        <w:spacing w:line="240" w:lineRule="auto"/>
      </w:pPr>
      <w:r>
        <w:t>Seasonally adjusted, through</w:t>
      </w:r>
      <w:r>
        <w:noBreakHyphen/>
        <w:t>the</w:t>
      </w:r>
      <w:r>
        <w:noBreakHyphen/>
        <w:t>year growth rate to the June quarter.</w:t>
      </w:r>
    </w:p>
    <w:p w:rsidR="00DA5499" w:rsidRDefault="00DA5499" w:rsidP="00C2799E">
      <w:pPr>
        <w:pStyle w:val="ChartandTableFootnoteAlpha"/>
        <w:numPr>
          <w:ilvl w:val="0"/>
          <w:numId w:val="46"/>
        </w:numPr>
        <w:spacing w:line="240" w:lineRule="auto"/>
      </w:pPr>
      <w:r>
        <w:t>Seasonally adjusted rate in the June quarter.</w:t>
      </w:r>
    </w:p>
    <w:p w:rsidR="00DA5499" w:rsidRDefault="00DA5499" w:rsidP="00C2799E">
      <w:pPr>
        <w:pStyle w:val="ChartandTableFootnoteAlpha"/>
        <w:numPr>
          <w:ilvl w:val="0"/>
          <w:numId w:val="46"/>
        </w:numPr>
        <w:spacing w:line="240" w:lineRule="auto"/>
      </w:pPr>
      <w:r>
        <w:t>Through</w:t>
      </w:r>
      <w:r>
        <w:noBreakHyphen/>
        <w:t>the</w:t>
      </w:r>
      <w:r>
        <w:noBreakHyphen/>
        <w:t>year growth rate to the June quarter.</w:t>
      </w:r>
    </w:p>
    <w:p w:rsidR="00DA5499" w:rsidRPr="00DA5499" w:rsidRDefault="00DA5499" w:rsidP="00DA5499">
      <w:pPr>
        <w:pStyle w:val="ChartandTableFootnoteAlpha"/>
        <w:tabs>
          <w:tab w:val="clear" w:pos="283"/>
        </w:tabs>
        <w:spacing w:line="240" w:lineRule="auto"/>
        <w:ind w:left="0" w:firstLine="0"/>
      </w:pPr>
      <w:r w:rsidRPr="00DA5499">
        <w:t>Note: The forecasts for the domestic economy are based on several technical assumptions. The exchange rate is assumed to remain around its recent average level — a trade</w:t>
      </w:r>
      <w:r w:rsidRPr="00DA5499">
        <w:noBreakHyphen/>
        <w:t xml:space="preserve">weighted index of around </w:t>
      </w:r>
      <w:r w:rsidR="00571A68">
        <w:t>76</w:t>
      </w:r>
      <w:r w:rsidR="00571A68" w:rsidRPr="00DA5499">
        <w:t xml:space="preserve"> </w:t>
      </w:r>
      <w:r w:rsidRPr="00DA5499">
        <w:t xml:space="preserve">and a $US exchange rate of around </w:t>
      </w:r>
      <w:r w:rsidR="00571A68" w:rsidRPr="00DA5499">
        <w:t>10</w:t>
      </w:r>
      <w:r w:rsidR="00571A68">
        <w:t>3</w:t>
      </w:r>
      <w:r w:rsidR="00571A68" w:rsidRPr="00DA5499">
        <w:t xml:space="preserve"> </w:t>
      </w:r>
      <w:r w:rsidRPr="00DA5499">
        <w:t>US cents. Interest rates are assumed to move broadly in line with market expectations. World oil prices (Malaysian Tapis) a</w:t>
      </w:r>
      <w:r w:rsidR="00D07A2A">
        <w:t>re assumed to remain around US$</w:t>
      </w:r>
      <w:r w:rsidR="00571A68" w:rsidRPr="00DA5499">
        <w:t>1</w:t>
      </w:r>
      <w:r w:rsidR="00571A68">
        <w:t>30</w:t>
      </w:r>
      <w:r w:rsidR="00571A68" w:rsidRPr="00DA5499">
        <w:t xml:space="preserve"> </w:t>
      </w:r>
      <w:r w:rsidRPr="00DA5499">
        <w:t>per barrel. The farm sector forecasts are based on average seasonal conditions in 2012</w:t>
      </w:r>
      <w:r w:rsidRPr="00DA5499">
        <w:noBreakHyphen/>
        <w:t>13</w:t>
      </w:r>
      <w:r w:rsidR="00D07A2A">
        <w:t xml:space="preserve"> and 2013-14</w:t>
      </w:r>
      <w:r w:rsidRPr="00DA5499">
        <w:t>.</w:t>
      </w:r>
    </w:p>
    <w:p w:rsidR="00D11D57" w:rsidRDefault="0077297F" w:rsidP="00DA5499">
      <w:pPr>
        <w:pStyle w:val="Source"/>
        <w:rPr>
          <w:rFonts w:cs="Arial"/>
        </w:rPr>
      </w:pPr>
      <w:r>
        <w:rPr>
          <w:rFonts w:cs="Arial"/>
        </w:rPr>
        <w:t>Source: ABS</w:t>
      </w:r>
      <w:r w:rsidR="00DA5499">
        <w:rPr>
          <w:rFonts w:cs="Arial"/>
        </w:rPr>
        <w:t xml:space="preserve"> </w:t>
      </w:r>
      <w:r w:rsidR="00D07A2A">
        <w:rPr>
          <w:rFonts w:cs="Arial"/>
        </w:rPr>
        <w:t>cat. no.</w:t>
      </w:r>
      <w:r w:rsidR="00DA5499">
        <w:rPr>
          <w:rFonts w:cs="Arial"/>
        </w:rPr>
        <w:t xml:space="preserve"> 5206.0, 5302.0, 6202.0, 6345.0, 6401.0, unpublished ABS data and Treasury.</w:t>
      </w:r>
    </w:p>
    <w:p w:rsidR="0077297F" w:rsidRPr="005257C1" w:rsidRDefault="0077297F" w:rsidP="00DA5499">
      <w:pPr>
        <w:pStyle w:val="Source"/>
        <w:sectPr w:rsidR="0077297F" w:rsidRPr="005257C1" w:rsidSect="0013229B">
          <w:headerReference w:type="even" r:id="rId20"/>
          <w:headerReference w:type="default" r:id="rId21"/>
          <w:footerReference w:type="default" r:id="rId22"/>
          <w:pgSz w:w="11907" w:h="16840" w:code="9"/>
          <w:pgMar w:top="1418" w:right="1418" w:bottom="1418" w:left="1418" w:header="567" w:footer="567" w:gutter="0"/>
          <w:cols w:space="720"/>
        </w:sectPr>
      </w:pPr>
    </w:p>
    <w:p w:rsidR="00C825B7" w:rsidRPr="003344B0" w:rsidRDefault="002C5A92" w:rsidP="00C61FA2">
      <w:pPr>
        <w:pStyle w:val="Heading3"/>
      </w:pPr>
      <w:bookmarkStart w:id="6" w:name="_Toc322100137"/>
      <w:r>
        <w:lastRenderedPageBreak/>
        <w:t>O</w:t>
      </w:r>
      <w:r w:rsidR="00991D21" w:rsidRPr="003344B0">
        <w:t>utlook for the domestic economy</w:t>
      </w:r>
      <w:bookmarkEnd w:id="5"/>
      <w:bookmarkEnd w:id="6"/>
    </w:p>
    <w:p w:rsidR="00BB3961" w:rsidRPr="002A0B33" w:rsidRDefault="00D57CC9" w:rsidP="00BB3961">
      <w:pPr>
        <w:pStyle w:val="NormalWeb"/>
        <w:shd w:val="clear" w:color="auto" w:fill="FFFFFF"/>
        <w:jc w:val="both"/>
        <w:rPr>
          <w:rFonts w:ascii="Book Antiqua" w:eastAsia="SimSun" w:hAnsi="Book Antiqua"/>
          <w:sz w:val="20"/>
          <w:szCs w:val="20"/>
          <w:lang w:eastAsia="en-US"/>
        </w:rPr>
      </w:pPr>
      <w:bookmarkStart w:id="7" w:name="_Toc180222111"/>
      <w:bookmarkStart w:id="8" w:name="_Toc185498660"/>
      <w:r w:rsidRPr="009B0E66">
        <w:rPr>
          <w:rFonts w:ascii="Book Antiqua" w:eastAsia="SimSun" w:hAnsi="Book Antiqua"/>
          <w:sz w:val="20"/>
          <w:szCs w:val="20"/>
          <w:lang w:eastAsia="en-US"/>
        </w:rPr>
        <w:t xml:space="preserve">Australia’s economic growth is forecast to be 3 per cent in </w:t>
      </w:r>
      <w:r w:rsidR="00866667">
        <w:rPr>
          <w:rFonts w:ascii="Book Antiqua" w:eastAsia="SimSun" w:hAnsi="Book Antiqua"/>
          <w:sz w:val="20"/>
          <w:szCs w:val="20"/>
          <w:lang w:eastAsia="en-US"/>
        </w:rPr>
        <w:t xml:space="preserve">2011-12, </w:t>
      </w:r>
      <w:r w:rsidR="00C132AB">
        <w:rPr>
          <w:rFonts w:ascii="Book Antiqua" w:eastAsia="SimSun" w:hAnsi="Book Antiqua"/>
          <w:sz w:val="20"/>
          <w:szCs w:val="20"/>
          <w:lang w:eastAsia="en-US"/>
        </w:rPr>
        <w:t xml:space="preserve">3¼ per cent in </w:t>
      </w:r>
      <w:r w:rsidRPr="009B0E66">
        <w:rPr>
          <w:rFonts w:ascii="Book Antiqua" w:eastAsia="SimSun" w:hAnsi="Book Antiqua"/>
          <w:sz w:val="20"/>
          <w:szCs w:val="20"/>
          <w:lang w:eastAsia="en-US"/>
        </w:rPr>
        <w:t xml:space="preserve">2012-13 and </w:t>
      </w:r>
      <w:r w:rsidR="008879AB">
        <w:rPr>
          <w:rFonts w:ascii="Book Antiqua" w:eastAsia="SimSun" w:hAnsi="Book Antiqua"/>
          <w:sz w:val="20"/>
          <w:szCs w:val="20"/>
          <w:lang w:eastAsia="en-US"/>
        </w:rPr>
        <w:t xml:space="preserve">3 per cent in </w:t>
      </w:r>
      <w:r w:rsidRPr="009B0E66">
        <w:rPr>
          <w:rFonts w:ascii="Book Antiqua" w:eastAsia="SimSun" w:hAnsi="Book Antiqua"/>
          <w:sz w:val="20"/>
          <w:szCs w:val="20"/>
          <w:lang w:eastAsia="en-US"/>
        </w:rPr>
        <w:t>2013</w:t>
      </w:r>
      <w:r w:rsidRPr="009B0E66">
        <w:rPr>
          <w:rFonts w:ascii="Book Antiqua" w:eastAsia="SimSun" w:hAnsi="Book Antiqua"/>
          <w:sz w:val="20"/>
          <w:szCs w:val="20"/>
          <w:lang w:eastAsia="en-US"/>
        </w:rPr>
        <w:noBreakHyphen/>
        <w:t>14</w:t>
      </w:r>
      <w:r w:rsidR="00752499" w:rsidRPr="009B0E66">
        <w:rPr>
          <w:rFonts w:ascii="Book Antiqua" w:eastAsia="SimSun" w:hAnsi="Book Antiqua"/>
          <w:sz w:val="20"/>
          <w:szCs w:val="20"/>
          <w:lang w:eastAsia="en-US"/>
        </w:rPr>
        <w:t xml:space="preserve">. </w:t>
      </w:r>
      <w:r w:rsidR="00B35588">
        <w:rPr>
          <w:rFonts w:ascii="Book Antiqua" w:eastAsia="SimSun" w:hAnsi="Book Antiqua"/>
          <w:sz w:val="20"/>
          <w:szCs w:val="20"/>
          <w:lang w:eastAsia="en-US"/>
        </w:rPr>
        <w:t xml:space="preserve"> </w:t>
      </w:r>
      <w:r w:rsidRPr="009B0E66">
        <w:rPr>
          <w:rFonts w:ascii="Book Antiqua" w:eastAsia="SimSun" w:hAnsi="Book Antiqua"/>
          <w:sz w:val="20"/>
          <w:szCs w:val="20"/>
          <w:lang w:eastAsia="en-US"/>
        </w:rPr>
        <w:t>Compared with December, real GDP growth forecasts have b</w:t>
      </w:r>
      <w:r w:rsidR="00951D3D" w:rsidRPr="009B0E66">
        <w:rPr>
          <w:rFonts w:ascii="Book Antiqua" w:eastAsia="SimSun" w:hAnsi="Book Antiqua"/>
          <w:sz w:val="20"/>
          <w:szCs w:val="20"/>
          <w:lang w:eastAsia="en-US"/>
        </w:rPr>
        <w:t xml:space="preserve">een downgraded by </w:t>
      </w:r>
      <w:r w:rsidR="008879AB">
        <w:rPr>
          <w:rFonts w:ascii="Book Antiqua" w:eastAsia="SimSun" w:hAnsi="Book Antiqua"/>
          <w:sz w:val="20"/>
          <w:szCs w:val="20"/>
          <w:lang w:eastAsia="en-US"/>
        </w:rPr>
        <w:t xml:space="preserve">a </w:t>
      </w:r>
      <w:r w:rsidR="00951D3D" w:rsidRPr="009B0E66">
        <w:rPr>
          <w:rFonts w:ascii="Book Antiqua" w:eastAsia="SimSun" w:hAnsi="Book Antiqua"/>
          <w:sz w:val="20"/>
          <w:szCs w:val="20"/>
          <w:lang w:eastAsia="en-US"/>
        </w:rPr>
        <w:t xml:space="preserve">¼ </w:t>
      </w:r>
      <w:r w:rsidRPr="009B0E66">
        <w:rPr>
          <w:rFonts w:ascii="Book Antiqua" w:eastAsia="SimSun" w:hAnsi="Book Antiqua"/>
          <w:sz w:val="20"/>
          <w:szCs w:val="20"/>
          <w:lang w:eastAsia="en-US"/>
        </w:rPr>
        <w:t xml:space="preserve">of a percentage point in </w:t>
      </w:r>
      <w:r w:rsidR="00DC0456">
        <w:rPr>
          <w:rFonts w:ascii="Book Antiqua" w:eastAsia="SimSun" w:hAnsi="Book Antiqua"/>
          <w:sz w:val="20"/>
          <w:szCs w:val="20"/>
          <w:lang w:eastAsia="en-US"/>
        </w:rPr>
        <w:t>2011-12</w:t>
      </w:r>
      <w:r w:rsidR="00752499">
        <w:rPr>
          <w:rFonts w:ascii="Book Antiqua" w:eastAsia="SimSun" w:hAnsi="Book Antiqua"/>
          <w:sz w:val="20"/>
          <w:szCs w:val="20"/>
          <w:lang w:eastAsia="en-US"/>
        </w:rPr>
        <w:t>.</w:t>
      </w:r>
      <w:r w:rsidR="00C80B89" w:rsidRPr="009B0E66">
        <w:rPr>
          <w:rFonts w:ascii="Book Antiqua" w:eastAsia="SimSun" w:hAnsi="Book Antiqua"/>
          <w:sz w:val="20"/>
          <w:szCs w:val="20"/>
          <w:lang w:eastAsia="en-US"/>
        </w:rPr>
        <w:t xml:space="preserve"> </w:t>
      </w:r>
      <w:r w:rsidR="00B35588">
        <w:rPr>
          <w:rFonts w:ascii="Book Antiqua" w:eastAsia="SimSun" w:hAnsi="Book Antiqua"/>
          <w:sz w:val="20"/>
          <w:szCs w:val="20"/>
          <w:lang w:eastAsia="en-US"/>
        </w:rPr>
        <w:t xml:space="preserve"> </w:t>
      </w:r>
      <w:r w:rsidR="00C80B89" w:rsidRPr="009B0E66">
        <w:rPr>
          <w:rFonts w:ascii="Book Antiqua" w:eastAsia="SimSun" w:hAnsi="Book Antiqua"/>
          <w:sz w:val="20"/>
          <w:szCs w:val="20"/>
          <w:lang w:eastAsia="en-US"/>
        </w:rPr>
        <w:t>G</w:t>
      </w:r>
      <w:r w:rsidR="00BB3961" w:rsidRPr="009B0E66">
        <w:rPr>
          <w:rFonts w:ascii="Book Antiqua" w:eastAsia="SimSun" w:hAnsi="Book Antiqua"/>
          <w:sz w:val="20"/>
          <w:szCs w:val="20"/>
          <w:lang w:eastAsia="en-US"/>
        </w:rPr>
        <w:t>ro</w:t>
      </w:r>
      <w:r w:rsidR="008879AB">
        <w:rPr>
          <w:rFonts w:ascii="Book Antiqua" w:eastAsia="SimSun" w:hAnsi="Book Antiqua"/>
          <w:sz w:val="20"/>
          <w:szCs w:val="20"/>
          <w:lang w:eastAsia="en-US"/>
        </w:rPr>
        <w:t xml:space="preserve">wth in resources investment, </w:t>
      </w:r>
      <w:r w:rsidR="00BB3961" w:rsidRPr="009B0E66">
        <w:rPr>
          <w:rFonts w:ascii="Book Antiqua" w:eastAsia="SimSun" w:hAnsi="Book Antiqua"/>
          <w:sz w:val="20"/>
          <w:szCs w:val="20"/>
          <w:lang w:eastAsia="en-US"/>
        </w:rPr>
        <w:t xml:space="preserve">non-rural commodity exports </w:t>
      </w:r>
      <w:r w:rsidR="008879AB">
        <w:rPr>
          <w:rFonts w:ascii="Book Antiqua" w:eastAsia="SimSun" w:hAnsi="Book Antiqua"/>
          <w:sz w:val="20"/>
          <w:szCs w:val="20"/>
          <w:lang w:eastAsia="en-US"/>
        </w:rPr>
        <w:t xml:space="preserve">and consumption </w:t>
      </w:r>
      <w:r w:rsidR="00C47DEC" w:rsidRPr="009B0E66">
        <w:rPr>
          <w:rFonts w:ascii="Book Antiqua" w:eastAsia="SimSun" w:hAnsi="Book Antiqua"/>
          <w:sz w:val="20"/>
          <w:szCs w:val="20"/>
          <w:lang w:eastAsia="en-US"/>
        </w:rPr>
        <w:t xml:space="preserve">continues to </w:t>
      </w:r>
      <w:r w:rsidR="00BB3961" w:rsidRPr="009B0E66">
        <w:rPr>
          <w:rFonts w:ascii="Book Antiqua" w:eastAsia="SimSun" w:hAnsi="Book Antiqua"/>
          <w:sz w:val="20"/>
          <w:szCs w:val="20"/>
          <w:lang w:eastAsia="en-US"/>
        </w:rPr>
        <w:t>underpin</w:t>
      </w:r>
      <w:r w:rsidR="00C47DEC" w:rsidRPr="009B0E66">
        <w:rPr>
          <w:rFonts w:ascii="Book Antiqua" w:eastAsia="SimSun" w:hAnsi="Book Antiqua"/>
          <w:sz w:val="20"/>
          <w:szCs w:val="20"/>
          <w:lang w:eastAsia="en-US"/>
        </w:rPr>
        <w:t xml:space="preserve"> </w:t>
      </w:r>
      <w:r w:rsidR="00BB3961" w:rsidRPr="009B0E66">
        <w:rPr>
          <w:rFonts w:ascii="Book Antiqua" w:eastAsia="SimSun" w:hAnsi="Book Antiqua"/>
          <w:sz w:val="20"/>
          <w:szCs w:val="20"/>
          <w:lang w:eastAsia="en-US"/>
        </w:rPr>
        <w:t xml:space="preserve">real GDP </w:t>
      </w:r>
      <w:r w:rsidR="00865C92">
        <w:rPr>
          <w:rFonts w:ascii="Book Antiqua" w:eastAsia="SimSun" w:hAnsi="Book Antiqua"/>
          <w:sz w:val="20"/>
          <w:szCs w:val="20"/>
          <w:lang w:eastAsia="en-US"/>
        </w:rPr>
        <w:t xml:space="preserve">growth </w:t>
      </w:r>
      <w:r w:rsidR="00BB3961" w:rsidRPr="009B0E66">
        <w:rPr>
          <w:rFonts w:ascii="Book Antiqua" w:eastAsia="SimSun" w:hAnsi="Book Antiqua"/>
          <w:sz w:val="20"/>
          <w:szCs w:val="20"/>
          <w:lang w:eastAsia="en-US"/>
        </w:rPr>
        <w:t xml:space="preserve">in </w:t>
      </w:r>
      <w:r w:rsidR="00242CEE" w:rsidRPr="009B0E66">
        <w:rPr>
          <w:rFonts w:ascii="Book Antiqua" w:eastAsia="SimSun" w:hAnsi="Book Antiqua"/>
          <w:sz w:val="20"/>
          <w:szCs w:val="20"/>
          <w:lang w:eastAsia="en-US"/>
        </w:rPr>
        <w:t xml:space="preserve">both </w:t>
      </w:r>
      <w:r w:rsidR="00B60863" w:rsidRPr="009B0E66">
        <w:rPr>
          <w:rFonts w:ascii="Book Antiqua" w:eastAsia="SimSun" w:hAnsi="Book Antiqua"/>
          <w:sz w:val="20"/>
          <w:szCs w:val="20"/>
          <w:lang w:eastAsia="en-US"/>
        </w:rPr>
        <w:t>201</w:t>
      </w:r>
      <w:r w:rsidR="00C80B89" w:rsidRPr="009B0E66">
        <w:rPr>
          <w:rFonts w:ascii="Book Antiqua" w:eastAsia="SimSun" w:hAnsi="Book Antiqua"/>
          <w:sz w:val="20"/>
          <w:szCs w:val="20"/>
          <w:lang w:eastAsia="en-US"/>
        </w:rPr>
        <w:t>2</w:t>
      </w:r>
      <w:r w:rsidR="00B60863" w:rsidRPr="009B0E66">
        <w:rPr>
          <w:rFonts w:ascii="Book Antiqua" w:eastAsia="SimSun" w:hAnsi="Book Antiqua"/>
          <w:sz w:val="20"/>
          <w:szCs w:val="20"/>
          <w:lang w:eastAsia="en-US"/>
        </w:rPr>
        <w:t>-1</w:t>
      </w:r>
      <w:r w:rsidR="00C80B89" w:rsidRPr="009B0E66">
        <w:rPr>
          <w:rFonts w:ascii="Book Antiqua" w:eastAsia="SimSun" w:hAnsi="Book Antiqua"/>
          <w:sz w:val="20"/>
          <w:szCs w:val="20"/>
          <w:lang w:eastAsia="en-US"/>
        </w:rPr>
        <w:t>3</w:t>
      </w:r>
      <w:r w:rsidR="00B60863" w:rsidRPr="009B0E66">
        <w:rPr>
          <w:rFonts w:ascii="Book Antiqua" w:eastAsia="SimSun" w:hAnsi="Book Antiqua"/>
          <w:sz w:val="20"/>
          <w:szCs w:val="20"/>
          <w:lang w:eastAsia="en-US"/>
        </w:rPr>
        <w:t xml:space="preserve"> and 201</w:t>
      </w:r>
      <w:r w:rsidR="00C80B89" w:rsidRPr="009B0E66">
        <w:rPr>
          <w:rFonts w:ascii="Book Antiqua" w:eastAsia="SimSun" w:hAnsi="Book Antiqua"/>
          <w:sz w:val="20"/>
          <w:szCs w:val="20"/>
          <w:lang w:eastAsia="en-US"/>
        </w:rPr>
        <w:t>3</w:t>
      </w:r>
      <w:r w:rsidR="00B60863" w:rsidRPr="009B0E66">
        <w:rPr>
          <w:rFonts w:ascii="Book Antiqua" w:eastAsia="SimSun" w:hAnsi="Book Antiqua"/>
          <w:sz w:val="20"/>
          <w:szCs w:val="20"/>
          <w:lang w:eastAsia="en-US"/>
        </w:rPr>
        <w:noBreakHyphen/>
      </w:r>
      <w:r w:rsidR="00BB3961" w:rsidRPr="009B0E66">
        <w:rPr>
          <w:rFonts w:ascii="Book Antiqua" w:eastAsia="SimSun" w:hAnsi="Book Antiqua"/>
          <w:sz w:val="20"/>
          <w:szCs w:val="20"/>
          <w:lang w:eastAsia="en-US"/>
        </w:rPr>
        <w:t>1</w:t>
      </w:r>
      <w:r w:rsidR="00C80B89" w:rsidRPr="009B0E66">
        <w:rPr>
          <w:rFonts w:ascii="Book Antiqua" w:eastAsia="SimSun" w:hAnsi="Book Antiqua"/>
          <w:sz w:val="20"/>
          <w:szCs w:val="20"/>
          <w:lang w:eastAsia="en-US"/>
        </w:rPr>
        <w:t>4</w:t>
      </w:r>
      <w:r w:rsidR="00BB3961" w:rsidRPr="009B0E66">
        <w:rPr>
          <w:rFonts w:ascii="Book Antiqua" w:eastAsia="SimSun" w:hAnsi="Book Antiqua"/>
          <w:sz w:val="20"/>
          <w:szCs w:val="20"/>
          <w:lang w:eastAsia="en-US"/>
        </w:rPr>
        <w:t>.</w:t>
      </w:r>
      <w:r w:rsidR="00865C92">
        <w:rPr>
          <w:rFonts w:ascii="Book Antiqua" w:eastAsia="SimSun" w:hAnsi="Book Antiqua"/>
          <w:sz w:val="20"/>
          <w:szCs w:val="20"/>
          <w:lang w:eastAsia="en-US"/>
        </w:rPr>
        <w:t xml:space="preserve"> </w:t>
      </w:r>
      <w:r w:rsidR="00B35588">
        <w:rPr>
          <w:rFonts w:ascii="Book Antiqua" w:eastAsia="SimSun" w:hAnsi="Book Antiqua"/>
          <w:sz w:val="20"/>
          <w:szCs w:val="20"/>
          <w:lang w:eastAsia="en-US"/>
        </w:rPr>
        <w:t xml:space="preserve"> </w:t>
      </w:r>
      <w:r w:rsidR="00865C92">
        <w:rPr>
          <w:rFonts w:ascii="Book Antiqua" w:eastAsia="SimSun" w:hAnsi="Book Antiqua"/>
          <w:sz w:val="20"/>
          <w:szCs w:val="20"/>
          <w:lang w:eastAsia="en-US"/>
        </w:rPr>
        <w:t xml:space="preserve">All forecasts in this report are </w:t>
      </w:r>
      <w:r w:rsidR="00865C92" w:rsidRPr="009B0E66">
        <w:rPr>
          <w:rFonts w:ascii="Book Antiqua" w:eastAsia="SimSun" w:hAnsi="Book Antiqua"/>
          <w:sz w:val="20"/>
          <w:szCs w:val="20"/>
          <w:lang w:eastAsia="en-US"/>
        </w:rPr>
        <w:t>inclusive of the estimated impact of the Government’s carbon price policy</w:t>
      </w:r>
      <w:r w:rsidR="00243EC4">
        <w:rPr>
          <w:rFonts w:ascii="Book Antiqua" w:eastAsia="SimSun" w:hAnsi="Book Antiqua"/>
          <w:sz w:val="20"/>
          <w:szCs w:val="20"/>
          <w:lang w:eastAsia="en-US"/>
        </w:rPr>
        <w:t>.</w:t>
      </w:r>
    </w:p>
    <w:p w:rsidR="006B4DF6" w:rsidRPr="002A0B33" w:rsidRDefault="006B4DF6" w:rsidP="002A0B33">
      <w:pPr>
        <w:pStyle w:val="Heading4"/>
      </w:pPr>
      <w:bookmarkStart w:id="9" w:name="_Toc322100138"/>
      <w:r w:rsidRPr="002A0B33">
        <w:t>Household consumption</w:t>
      </w:r>
      <w:bookmarkEnd w:id="9"/>
    </w:p>
    <w:bookmarkEnd w:id="7"/>
    <w:p w:rsidR="00EE3C25" w:rsidRPr="00EE3C25" w:rsidRDefault="00EE3C25" w:rsidP="00EE3C25">
      <w:pPr>
        <w:autoSpaceDE w:val="0"/>
        <w:autoSpaceDN w:val="0"/>
        <w:rPr>
          <w:szCs w:val="20"/>
        </w:rPr>
      </w:pPr>
      <w:r w:rsidRPr="00EE3C25">
        <w:rPr>
          <w:szCs w:val="20"/>
        </w:rPr>
        <w:t xml:space="preserve">The outlook for </w:t>
      </w:r>
      <w:r w:rsidRPr="00450877">
        <w:rPr>
          <w:b/>
          <w:szCs w:val="20"/>
        </w:rPr>
        <w:t>household consumption</w:t>
      </w:r>
      <w:r w:rsidRPr="00EE3C25">
        <w:rPr>
          <w:szCs w:val="20"/>
        </w:rPr>
        <w:t xml:space="preserve"> is broadly unchanged since the December JEFG.  While household wealth has begun to grow, it remains well below the levels of early 2011 and the outlook for e</w:t>
      </w:r>
      <w:r w:rsidR="00B35588">
        <w:rPr>
          <w:szCs w:val="20"/>
        </w:rPr>
        <w:t xml:space="preserve">mployment and wages </w:t>
      </w:r>
      <w:r w:rsidR="00106AE7">
        <w:rPr>
          <w:szCs w:val="20"/>
        </w:rPr>
        <w:t xml:space="preserve">growth </w:t>
      </w:r>
      <w:r w:rsidR="00B35588">
        <w:rPr>
          <w:szCs w:val="20"/>
        </w:rPr>
        <w:t>remains modest</w:t>
      </w:r>
      <w:r w:rsidRPr="00EE3C25">
        <w:rPr>
          <w:szCs w:val="20"/>
        </w:rPr>
        <w:t>.</w:t>
      </w:r>
      <w:r w:rsidR="00763F66">
        <w:rPr>
          <w:szCs w:val="20"/>
        </w:rPr>
        <w:t xml:space="preserve">  With household consumption </w:t>
      </w:r>
      <w:r w:rsidRPr="00EE3C25">
        <w:rPr>
          <w:szCs w:val="20"/>
        </w:rPr>
        <w:t>expected to grow broadly in line with disposable incomes</w:t>
      </w:r>
      <w:r w:rsidR="00547703">
        <w:rPr>
          <w:szCs w:val="20"/>
        </w:rPr>
        <w:t>,</w:t>
      </w:r>
      <w:r w:rsidR="00547703" w:rsidRPr="00547703">
        <w:rPr>
          <w:szCs w:val="20"/>
        </w:rPr>
        <w:t xml:space="preserve"> </w:t>
      </w:r>
      <w:r w:rsidR="00547703" w:rsidRPr="00EE3C25">
        <w:rPr>
          <w:szCs w:val="20"/>
        </w:rPr>
        <w:t xml:space="preserve">the saving rate </w:t>
      </w:r>
      <w:r w:rsidR="00547703">
        <w:rPr>
          <w:szCs w:val="20"/>
        </w:rPr>
        <w:t xml:space="preserve">is </w:t>
      </w:r>
      <w:r w:rsidR="00547703" w:rsidRPr="00EE3C25">
        <w:rPr>
          <w:szCs w:val="20"/>
        </w:rPr>
        <w:t>expected to remain elevated</w:t>
      </w:r>
      <w:r w:rsidRPr="00EE3C25">
        <w:rPr>
          <w:szCs w:val="20"/>
        </w:rPr>
        <w:t>.  Consumption is forecast</w:t>
      </w:r>
      <w:r w:rsidR="00B35588">
        <w:rPr>
          <w:szCs w:val="20"/>
        </w:rPr>
        <w:t xml:space="preserve"> to grow 3¼ per cent in 2011-12 and </w:t>
      </w:r>
      <w:r w:rsidRPr="00EE3C25">
        <w:rPr>
          <w:szCs w:val="20"/>
        </w:rPr>
        <w:t>3</w:t>
      </w:r>
      <w:r w:rsidR="00987838">
        <w:rPr>
          <w:szCs w:val="20"/>
        </w:rPr>
        <w:t> </w:t>
      </w:r>
      <w:r w:rsidRPr="00EE3C25">
        <w:rPr>
          <w:szCs w:val="20"/>
        </w:rPr>
        <w:t>per</w:t>
      </w:r>
      <w:r w:rsidR="00987838">
        <w:rPr>
          <w:szCs w:val="20"/>
        </w:rPr>
        <w:t> </w:t>
      </w:r>
      <w:r w:rsidRPr="00EE3C25">
        <w:rPr>
          <w:szCs w:val="20"/>
        </w:rPr>
        <w:t>cent in 2012</w:t>
      </w:r>
      <w:r w:rsidR="00987838">
        <w:rPr>
          <w:szCs w:val="20"/>
        </w:rPr>
        <w:noBreakHyphen/>
      </w:r>
      <w:r w:rsidRPr="00EE3C25">
        <w:rPr>
          <w:szCs w:val="20"/>
        </w:rPr>
        <w:t xml:space="preserve">13 and </w:t>
      </w:r>
      <w:r w:rsidR="00B35588">
        <w:rPr>
          <w:szCs w:val="20"/>
        </w:rPr>
        <w:t>2013-14</w:t>
      </w:r>
      <w:r w:rsidRPr="00EE3C25">
        <w:rPr>
          <w:szCs w:val="20"/>
        </w:rPr>
        <w:t xml:space="preserve"> (Chart 1).  </w:t>
      </w:r>
    </w:p>
    <w:p w:rsidR="005C089D" w:rsidRDefault="00EE3C25" w:rsidP="0021594E">
      <w:pPr>
        <w:autoSpaceDE w:val="0"/>
        <w:autoSpaceDN w:val="0"/>
        <w:jc w:val="center"/>
        <w:rPr>
          <w:b/>
          <w:szCs w:val="20"/>
        </w:rPr>
      </w:pPr>
      <w:r w:rsidRPr="00E50F05">
        <w:rPr>
          <w:b/>
          <w:szCs w:val="20"/>
        </w:rPr>
        <w:t>Chart 1: Household consumption</w:t>
      </w:r>
    </w:p>
    <w:p w:rsidR="00EE3C25" w:rsidRPr="00987838" w:rsidRDefault="00C81A02" w:rsidP="002F406A">
      <w:pPr>
        <w:pStyle w:val="ChartGraphic0"/>
        <w:jc w:val="left"/>
        <w:rPr>
          <w:rFonts w:ascii="Tahoma" w:hAnsi="Tahoma" w:cs="Tahoma"/>
          <w:sz w:val="16"/>
          <w:szCs w:val="16"/>
        </w:rPr>
      </w:pPr>
      <w:r>
        <w:object w:dxaOrig="4230" w:dyaOrig="4230">
          <v:shape id="_x0000_i1027" type="#_x0000_t75" style="width:212.8pt;height:212.8pt" o:ole="">
            <v:imagedata r:id="rId23" o:title=""/>
          </v:shape>
          <o:OLEObject Type="Link" ProgID="Excel.Sheet.12" ShapeID="_x0000_i1027" DrawAspect="Content" r:id="rId24" UpdateMode="Always">
            <o:LinkType>EnhancedMetaFile</o:LinkType>
            <o:LockedField>false</o:LockedField>
          </o:OLEObject>
        </w:object>
      </w:r>
      <w:r w:rsidR="00EE3C25" w:rsidRPr="00987838">
        <w:rPr>
          <w:rFonts w:ascii="Tahoma" w:hAnsi="Tahoma" w:cs="Tahoma"/>
          <w:sz w:val="16"/>
          <w:szCs w:val="16"/>
        </w:rPr>
        <w:t xml:space="preserve">Source:  ABS </w:t>
      </w:r>
      <w:r w:rsidR="00EC0E0A">
        <w:rPr>
          <w:rFonts w:ascii="Tahoma" w:hAnsi="Tahoma" w:cs="Tahoma"/>
          <w:sz w:val="16"/>
          <w:szCs w:val="16"/>
        </w:rPr>
        <w:t>c</w:t>
      </w:r>
      <w:r w:rsidR="00EE3C25" w:rsidRPr="001B4965">
        <w:rPr>
          <w:rFonts w:ascii="Tahoma" w:hAnsi="Tahoma" w:cs="Tahoma"/>
          <w:sz w:val="16"/>
          <w:szCs w:val="16"/>
        </w:rPr>
        <w:t>at</w:t>
      </w:r>
      <w:r w:rsidR="00EC0E0A">
        <w:rPr>
          <w:rFonts w:ascii="Tahoma" w:hAnsi="Tahoma" w:cs="Tahoma"/>
          <w:sz w:val="16"/>
          <w:szCs w:val="16"/>
        </w:rPr>
        <w:t>.</w:t>
      </w:r>
      <w:r w:rsidR="00EE3C25" w:rsidRPr="00987838">
        <w:rPr>
          <w:rFonts w:ascii="Tahoma" w:hAnsi="Tahoma" w:cs="Tahoma"/>
          <w:sz w:val="16"/>
          <w:szCs w:val="16"/>
        </w:rPr>
        <w:t xml:space="preserve"> </w:t>
      </w:r>
      <w:r w:rsidR="00EC0E0A">
        <w:rPr>
          <w:rFonts w:ascii="Tahoma" w:hAnsi="Tahoma" w:cs="Tahoma"/>
          <w:sz w:val="16"/>
          <w:szCs w:val="16"/>
        </w:rPr>
        <w:t>no.</w:t>
      </w:r>
      <w:r w:rsidR="00EE3C25" w:rsidRPr="00987838">
        <w:rPr>
          <w:rFonts w:ascii="Tahoma" w:hAnsi="Tahoma" w:cs="Tahoma"/>
          <w:sz w:val="16"/>
          <w:szCs w:val="16"/>
        </w:rPr>
        <w:t xml:space="preserve"> 5206.0 and Treasury.</w:t>
      </w:r>
    </w:p>
    <w:p w:rsidR="00EE3C25" w:rsidRPr="00EE3C25" w:rsidRDefault="00EE3C25" w:rsidP="00EE3C25">
      <w:pPr>
        <w:autoSpaceDE w:val="0"/>
        <w:autoSpaceDN w:val="0"/>
        <w:rPr>
          <w:szCs w:val="20"/>
        </w:rPr>
      </w:pPr>
    </w:p>
    <w:p w:rsidR="00EE3C25" w:rsidRPr="00B9119C" w:rsidRDefault="00EE3C25" w:rsidP="00EE3C25">
      <w:pPr>
        <w:autoSpaceDE w:val="0"/>
        <w:autoSpaceDN w:val="0"/>
        <w:rPr>
          <w:szCs w:val="20"/>
        </w:rPr>
      </w:pPr>
      <w:r w:rsidRPr="00EE3C25">
        <w:rPr>
          <w:szCs w:val="20"/>
        </w:rPr>
        <w:t xml:space="preserve">Near-term indicators suggest ongoing weakness in the </w:t>
      </w:r>
      <w:r w:rsidR="004115AE">
        <w:rPr>
          <w:szCs w:val="20"/>
        </w:rPr>
        <w:t>household goods</w:t>
      </w:r>
      <w:r w:rsidRPr="00EE3C25">
        <w:rPr>
          <w:szCs w:val="20"/>
        </w:rPr>
        <w:t xml:space="preserve"> sector, with </w:t>
      </w:r>
      <w:r w:rsidRPr="00EE3C25">
        <w:rPr>
          <w:szCs w:val="20"/>
        </w:rPr>
        <w:lastRenderedPageBreak/>
        <w:t>motor vehicles sales remaining</w:t>
      </w:r>
      <w:r w:rsidR="00F12C97">
        <w:rPr>
          <w:szCs w:val="20"/>
        </w:rPr>
        <w:t xml:space="preserve"> broadly </w:t>
      </w:r>
      <w:r w:rsidRPr="00EE3C25">
        <w:rPr>
          <w:szCs w:val="20"/>
        </w:rPr>
        <w:t>flat</w:t>
      </w:r>
      <w:r w:rsidR="00F12C97">
        <w:rPr>
          <w:szCs w:val="20"/>
        </w:rPr>
        <w:t>,</w:t>
      </w:r>
      <w:r w:rsidRPr="00EE3C25">
        <w:rPr>
          <w:szCs w:val="20"/>
        </w:rPr>
        <w:t xml:space="preserve"> and retail sales rising only </w:t>
      </w:r>
      <w:r w:rsidR="00F12C97">
        <w:rPr>
          <w:szCs w:val="20"/>
        </w:rPr>
        <w:t xml:space="preserve">moderately </w:t>
      </w:r>
      <w:r w:rsidRPr="00EE3C25">
        <w:rPr>
          <w:szCs w:val="20"/>
        </w:rPr>
        <w:t xml:space="preserve">in </w:t>
      </w:r>
      <w:r w:rsidR="00F12C97">
        <w:rPr>
          <w:szCs w:val="20"/>
        </w:rPr>
        <w:t xml:space="preserve">January and February </w:t>
      </w:r>
      <w:r w:rsidRPr="00F12C97">
        <w:rPr>
          <w:szCs w:val="20"/>
        </w:rPr>
        <w:t>following</w:t>
      </w:r>
      <w:r w:rsidRPr="00EE3C25">
        <w:rPr>
          <w:szCs w:val="20"/>
        </w:rPr>
        <w:t xml:space="preserve"> </w:t>
      </w:r>
      <w:r w:rsidR="00F12C97">
        <w:rPr>
          <w:szCs w:val="20"/>
        </w:rPr>
        <w:t>a series of weak outcomes in late 2011</w:t>
      </w:r>
      <w:r w:rsidRPr="00EE3C25">
        <w:rPr>
          <w:szCs w:val="20"/>
        </w:rPr>
        <w:t>.</w:t>
      </w:r>
      <w:r w:rsidR="00B35588">
        <w:rPr>
          <w:szCs w:val="20"/>
        </w:rPr>
        <w:t xml:space="preserve"> </w:t>
      </w:r>
      <w:r w:rsidRPr="00EE3C25">
        <w:rPr>
          <w:szCs w:val="20"/>
        </w:rPr>
        <w:t xml:space="preserve"> </w:t>
      </w:r>
      <w:r w:rsidRPr="00CD0641">
        <w:rPr>
          <w:szCs w:val="20"/>
        </w:rPr>
        <w:t xml:space="preserve">However, these </w:t>
      </w:r>
      <w:r w:rsidR="009130CD" w:rsidRPr="00CD0641">
        <w:rPr>
          <w:szCs w:val="20"/>
        </w:rPr>
        <w:t>partial</w:t>
      </w:r>
      <w:r w:rsidRPr="00CD0641">
        <w:rPr>
          <w:szCs w:val="20"/>
        </w:rPr>
        <w:t xml:space="preserve"> indicators do not capture the anticipated growth in the consumption of services, which represent around </w:t>
      </w:r>
      <w:r w:rsidR="002A18A0">
        <w:rPr>
          <w:szCs w:val="20"/>
        </w:rPr>
        <w:t>two-thirds of the</w:t>
      </w:r>
      <w:r w:rsidRPr="00CD0641">
        <w:rPr>
          <w:szCs w:val="20"/>
        </w:rPr>
        <w:t xml:space="preserve"> consumption basket and contributed around two</w:t>
      </w:r>
      <w:r w:rsidR="001068FA">
        <w:rPr>
          <w:szCs w:val="20"/>
        </w:rPr>
        <w:t>-</w:t>
      </w:r>
      <w:r w:rsidRPr="00CD0641">
        <w:rPr>
          <w:szCs w:val="20"/>
        </w:rPr>
        <w:t>thirds of the</w:t>
      </w:r>
      <w:r w:rsidR="00987838" w:rsidRPr="00CD0641">
        <w:rPr>
          <w:szCs w:val="20"/>
        </w:rPr>
        <w:t xml:space="preserve"> </w:t>
      </w:r>
      <w:r w:rsidRPr="00CD0641">
        <w:rPr>
          <w:szCs w:val="20"/>
        </w:rPr>
        <w:t>3.5</w:t>
      </w:r>
      <w:r w:rsidR="002F406A">
        <w:rPr>
          <w:szCs w:val="20"/>
        </w:rPr>
        <w:t> </w:t>
      </w:r>
      <w:r w:rsidRPr="00CD0641">
        <w:rPr>
          <w:szCs w:val="20"/>
        </w:rPr>
        <w:t>per cent growth in overall household consumption in 2011</w:t>
      </w:r>
      <w:r w:rsidR="002F406A">
        <w:rPr>
          <w:szCs w:val="20"/>
        </w:rPr>
        <w:t xml:space="preserve">.  Some of this strength </w:t>
      </w:r>
      <w:r w:rsidRPr="00CD0641">
        <w:rPr>
          <w:szCs w:val="20"/>
        </w:rPr>
        <w:t xml:space="preserve">is expected to </w:t>
      </w:r>
      <w:r w:rsidR="00CD0641" w:rsidRPr="00CD0641">
        <w:rPr>
          <w:szCs w:val="20"/>
        </w:rPr>
        <w:t>continue over the forecast horizon</w:t>
      </w:r>
      <w:r w:rsidRPr="00CD0641">
        <w:rPr>
          <w:szCs w:val="20"/>
        </w:rPr>
        <w:t>.</w:t>
      </w:r>
      <w:r w:rsidRPr="00B9119C">
        <w:rPr>
          <w:szCs w:val="20"/>
        </w:rPr>
        <w:t xml:space="preserve"> </w:t>
      </w:r>
    </w:p>
    <w:p w:rsidR="00090F1C" w:rsidRDefault="00EE3C25" w:rsidP="00EE3C25">
      <w:pPr>
        <w:autoSpaceDE w:val="0"/>
        <w:autoSpaceDN w:val="0"/>
        <w:rPr>
          <w:szCs w:val="20"/>
        </w:rPr>
      </w:pPr>
      <w:r w:rsidRPr="00090F1C">
        <w:rPr>
          <w:szCs w:val="20"/>
        </w:rPr>
        <w:t xml:space="preserve">Also not captured by </w:t>
      </w:r>
      <w:r w:rsidR="009130CD" w:rsidRPr="00090F1C">
        <w:rPr>
          <w:szCs w:val="20"/>
        </w:rPr>
        <w:t>partial</w:t>
      </w:r>
      <w:r w:rsidRPr="00090F1C">
        <w:rPr>
          <w:szCs w:val="20"/>
        </w:rPr>
        <w:t xml:space="preserve"> indicators is the consumption</w:t>
      </w:r>
      <w:r w:rsidR="00EA3F07">
        <w:rPr>
          <w:szCs w:val="20"/>
        </w:rPr>
        <w:t xml:space="preserve"> </w:t>
      </w:r>
      <w:r w:rsidRPr="00090F1C">
        <w:rPr>
          <w:szCs w:val="20"/>
        </w:rPr>
        <w:t>by Australian tourists</w:t>
      </w:r>
      <w:r w:rsidRPr="00B9119C">
        <w:rPr>
          <w:szCs w:val="20"/>
        </w:rPr>
        <w:t xml:space="preserve"> </w:t>
      </w:r>
      <w:r w:rsidR="00EA3F07">
        <w:rPr>
          <w:szCs w:val="20"/>
        </w:rPr>
        <w:t xml:space="preserve">overseas, </w:t>
      </w:r>
      <w:r w:rsidRPr="00B9119C">
        <w:rPr>
          <w:szCs w:val="20"/>
        </w:rPr>
        <w:t>taking advantage of the high Australian dollar.  This category also made a significant contribution to consumption during 2011 and is also expected to remain strong in the near</w:t>
      </w:r>
      <w:r w:rsidR="00B35588">
        <w:rPr>
          <w:szCs w:val="20"/>
        </w:rPr>
        <w:noBreakHyphen/>
      </w:r>
      <w:r w:rsidRPr="00B9119C">
        <w:rPr>
          <w:szCs w:val="20"/>
        </w:rPr>
        <w:t xml:space="preserve">term.  </w:t>
      </w:r>
      <w:r w:rsidR="00090F1C">
        <w:rPr>
          <w:szCs w:val="20"/>
        </w:rPr>
        <w:t xml:space="preserve">(While this type of spending boosts household consumption it is netted off through imports and therefore has no </w:t>
      </w:r>
      <w:r w:rsidR="00106AE7">
        <w:rPr>
          <w:szCs w:val="20"/>
        </w:rPr>
        <w:t xml:space="preserve">direct </w:t>
      </w:r>
      <w:r w:rsidR="00090F1C">
        <w:rPr>
          <w:szCs w:val="20"/>
        </w:rPr>
        <w:t xml:space="preserve">impact on </w:t>
      </w:r>
      <w:r w:rsidR="00EA3F07">
        <w:rPr>
          <w:szCs w:val="20"/>
        </w:rPr>
        <w:t xml:space="preserve">Australian </w:t>
      </w:r>
      <w:r w:rsidR="00090F1C">
        <w:rPr>
          <w:szCs w:val="20"/>
        </w:rPr>
        <w:t xml:space="preserve">GDP.) </w:t>
      </w:r>
    </w:p>
    <w:p w:rsidR="00EE3C25" w:rsidRPr="00B9119C" w:rsidRDefault="00EE3C25" w:rsidP="00EE3C25">
      <w:pPr>
        <w:autoSpaceDE w:val="0"/>
        <w:autoSpaceDN w:val="0"/>
        <w:rPr>
          <w:szCs w:val="20"/>
        </w:rPr>
      </w:pPr>
      <w:r w:rsidRPr="00B9119C">
        <w:rPr>
          <w:szCs w:val="20"/>
        </w:rPr>
        <w:t>Nevertheless, with consumer sentiment having remained belo</w:t>
      </w:r>
      <w:r w:rsidR="00B72FAF">
        <w:rPr>
          <w:szCs w:val="20"/>
        </w:rPr>
        <w:t>w its long-run average for the p</w:t>
      </w:r>
      <w:r w:rsidRPr="00B9119C">
        <w:rPr>
          <w:szCs w:val="20"/>
        </w:rPr>
        <w:t xml:space="preserve">ast </w:t>
      </w:r>
      <w:r w:rsidR="006C29CC">
        <w:rPr>
          <w:szCs w:val="20"/>
        </w:rPr>
        <w:t>five</w:t>
      </w:r>
      <w:r w:rsidR="006C29CC" w:rsidRPr="00B9119C">
        <w:rPr>
          <w:szCs w:val="20"/>
        </w:rPr>
        <w:t xml:space="preserve"> </w:t>
      </w:r>
      <w:r w:rsidRPr="00B9119C">
        <w:rPr>
          <w:szCs w:val="20"/>
        </w:rPr>
        <w:t>months, overall consumption growth is still expected to be modest in the March and June quarters.</w:t>
      </w:r>
    </w:p>
    <w:p w:rsidR="00EE3C25" w:rsidRPr="00EE3C25" w:rsidRDefault="00D955A8" w:rsidP="00EE3C25">
      <w:pPr>
        <w:autoSpaceDE w:val="0"/>
        <w:autoSpaceDN w:val="0"/>
        <w:rPr>
          <w:szCs w:val="20"/>
        </w:rPr>
      </w:pPr>
      <w:r w:rsidRPr="00D955A8">
        <w:rPr>
          <w:szCs w:val="20"/>
        </w:rPr>
        <w:t>Over the entire forecast period</w:t>
      </w:r>
      <w:r w:rsidR="00E35A52">
        <w:rPr>
          <w:szCs w:val="20"/>
        </w:rPr>
        <w:t>,</w:t>
      </w:r>
      <w:r w:rsidRPr="00D955A8">
        <w:rPr>
          <w:szCs w:val="20"/>
        </w:rPr>
        <w:t xml:space="preserve"> consumption growth is expected to be supported by growing incomes and wealth.  </w:t>
      </w:r>
      <w:r w:rsidR="00EE3C25" w:rsidRPr="00D955A8">
        <w:rPr>
          <w:szCs w:val="20"/>
        </w:rPr>
        <w:t>Household net worth</w:t>
      </w:r>
      <w:r w:rsidR="00EA3F07">
        <w:rPr>
          <w:szCs w:val="20"/>
        </w:rPr>
        <w:t xml:space="preserve"> remains considerably lower than a year ago, but</w:t>
      </w:r>
      <w:r w:rsidR="00EE3C25" w:rsidRPr="00D955A8">
        <w:rPr>
          <w:szCs w:val="20"/>
        </w:rPr>
        <w:t xml:space="preserve"> is showing </w:t>
      </w:r>
      <w:r w:rsidR="00B72FAF" w:rsidRPr="00D955A8">
        <w:rPr>
          <w:szCs w:val="20"/>
        </w:rPr>
        <w:t>early</w:t>
      </w:r>
      <w:r w:rsidR="00EE3C25" w:rsidRPr="00D955A8">
        <w:rPr>
          <w:szCs w:val="20"/>
        </w:rPr>
        <w:t xml:space="preserve"> signs of recovery</w:t>
      </w:r>
      <w:r w:rsidR="00EE3C25" w:rsidRPr="00EE3C25">
        <w:rPr>
          <w:szCs w:val="20"/>
        </w:rPr>
        <w:t xml:space="preserve"> following share market gains in recent months and </w:t>
      </w:r>
      <w:r w:rsidR="00763F66">
        <w:rPr>
          <w:szCs w:val="20"/>
        </w:rPr>
        <w:t>tentative signs that house prices might be stabilising</w:t>
      </w:r>
      <w:r w:rsidR="00EE3C25" w:rsidRPr="00EE3C25">
        <w:rPr>
          <w:szCs w:val="20"/>
        </w:rPr>
        <w:t xml:space="preserve">.  Consumption growth is expected to grow </w:t>
      </w:r>
      <w:r w:rsidR="00106AE7">
        <w:rPr>
          <w:szCs w:val="20"/>
        </w:rPr>
        <w:t>modestly</w:t>
      </w:r>
      <w:r w:rsidR="00EE3C25" w:rsidRPr="00EE3C25">
        <w:rPr>
          <w:szCs w:val="20"/>
        </w:rPr>
        <w:t xml:space="preserve"> in 2012-13</w:t>
      </w:r>
      <w:r w:rsidR="00B35588">
        <w:rPr>
          <w:szCs w:val="20"/>
        </w:rPr>
        <w:t xml:space="preserve"> and 2013-14</w:t>
      </w:r>
      <w:r w:rsidR="00EE3C25" w:rsidRPr="00EE3C25">
        <w:rPr>
          <w:szCs w:val="20"/>
        </w:rPr>
        <w:t xml:space="preserve">, in line with </w:t>
      </w:r>
      <w:r w:rsidR="00106AE7">
        <w:rPr>
          <w:szCs w:val="20"/>
        </w:rPr>
        <w:t xml:space="preserve">the outlook for </w:t>
      </w:r>
      <w:r w:rsidR="00EE3C25" w:rsidRPr="00EE3C25">
        <w:rPr>
          <w:szCs w:val="20"/>
        </w:rPr>
        <w:t xml:space="preserve">employment and wages growth. </w:t>
      </w:r>
    </w:p>
    <w:p w:rsidR="00F04032" w:rsidRDefault="00F04032" w:rsidP="002940D6">
      <w:pPr>
        <w:pStyle w:val="Heading4"/>
        <w:keepNext w:val="0"/>
      </w:pPr>
    </w:p>
    <w:p w:rsidR="00F04032" w:rsidRDefault="00F04032" w:rsidP="002940D6">
      <w:pPr>
        <w:pStyle w:val="Heading4"/>
        <w:keepNext w:val="0"/>
      </w:pPr>
    </w:p>
    <w:p w:rsidR="002F406A" w:rsidRDefault="002F406A" w:rsidP="002940D6">
      <w:pPr>
        <w:pStyle w:val="Heading4"/>
        <w:keepNext w:val="0"/>
      </w:pPr>
    </w:p>
    <w:p w:rsidR="003F1470" w:rsidRDefault="00FD7633" w:rsidP="002940D6">
      <w:pPr>
        <w:pStyle w:val="Heading4"/>
        <w:keepNext w:val="0"/>
      </w:pPr>
      <w:r>
        <w:br w:type="column"/>
      </w:r>
      <w:bookmarkStart w:id="10" w:name="_Toc322100139"/>
      <w:r w:rsidR="003F1470" w:rsidRPr="001B55FE">
        <w:lastRenderedPageBreak/>
        <w:t>Dwelling investment</w:t>
      </w:r>
      <w:bookmarkEnd w:id="10"/>
    </w:p>
    <w:p w:rsidR="00EE3C25" w:rsidRDefault="00EE3C25" w:rsidP="00EE3C25">
      <w:r>
        <w:t xml:space="preserve">The outlook for </w:t>
      </w:r>
      <w:r w:rsidRPr="00450877">
        <w:rPr>
          <w:b/>
        </w:rPr>
        <w:t>dwelling investment</w:t>
      </w:r>
      <w:r>
        <w:t xml:space="preserve"> has weakened significantly since December JEFG, with</w:t>
      </w:r>
      <w:r w:rsidR="00B40A36">
        <w:t xml:space="preserve"> growth</w:t>
      </w:r>
      <w:r>
        <w:t xml:space="preserve"> forecasts downgraded </w:t>
      </w:r>
      <w:r w:rsidR="00564E8E">
        <w:t>2</w:t>
      </w:r>
      <w:r w:rsidR="006B7351">
        <w:t> </w:t>
      </w:r>
      <w:r>
        <w:t>percentage point</w:t>
      </w:r>
      <w:r w:rsidR="00564E8E">
        <w:t>s</w:t>
      </w:r>
      <w:r w:rsidR="00B35588">
        <w:t xml:space="preserve"> in 2011-12 and </w:t>
      </w:r>
      <w:r w:rsidR="00564E8E">
        <w:t>1½</w:t>
      </w:r>
      <w:r w:rsidR="006B7351">
        <w:t> </w:t>
      </w:r>
      <w:r>
        <w:t>pe</w:t>
      </w:r>
      <w:r w:rsidR="00564E8E">
        <w:t>rcentage points in 2012-13</w:t>
      </w:r>
      <w:r w:rsidR="006B7351">
        <w:t xml:space="preserve">. </w:t>
      </w:r>
      <w:r>
        <w:t xml:space="preserve">This </w:t>
      </w:r>
      <w:r w:rsidR="00B35588">
        <w:t xml:space="preserve">downgrade </w:t>
      </w:r>
      <w:r>
        <w:t xml:space="preserve">reflects a much </w:t>
      </w:r>
      <w:r w:rsidR="00B72FAF">
        <w:t>weaker</w:t>
      </w:r>
      <w:r w:rsidR="006B7351">
        <w:noBreakHyphen/>
      </w:r>
      <w:r w:rsidR="00B72FAF">
        <w:t>than</w:t>
      </w:r>
      <w:r w:rsidR="006B7351">
        <w:noBreakHyphen/>
      </w:r>
      <w:r>
        <w:t>expected December quarter outcome and continued weakness in forward indicators, suggesting that the Victorian housing market will moderate faster than previously anticipated.  Dwelling investment is forecast to contract 1</w:t>
      </w:r>
      <w:r w:rsidR="00B01707">
        <w:t> </w:t>
      </w:r>
      <w:r>
        <w:t>per cent in 2011-12 and</w:t>
      </w:r>
      <w:r w:rsidR="00B35588">
        <w:t xml:space="preserve"> remain flat </w:t>
      </w:r>
      <w:r>
        <w:t>in 20</w:t>
      </w:r>
      <w:r w:rsidR="00B35588">
        <w:t>12-13 before growing 2½</w:t>
      </w:r>
      <w:r w:rsidR="002F406A">
        <w:t> </w:t>
      </w:r>
      <w:r>
        <w:t>per</w:t>
      </w:r>
      <w:r w:rsidR="002F406A">
        <w:t> </w:t>
      </w:r>
      <w:r>
        <w:t>cent in 2013</w:t>
      </w:r>
      <w:r w:rsidR="00B01707">
        <w:noBreakHyphen/>
      </w:r>
      <w:r>
        <w:t>14.</w:t>
      </w:r>
    </w:p>
    <w:p w:rsidR="00106AE7" w:rsidRDefault="00EE3C25" w:rsidP="00EE3C25">
      <w:r>
        <w:t xml:space="preserve">New dwelling investment grew 5.3 per cent in 2010-11, the strongest growth in eight years. This was underpinned by </w:t>
      </w:r>
      <w:r w:rsidR="00B35588">
        <w:t xml:space="preserve">strong growth in </w:t>
      </w:r>
      <w:r>
        <w:t xml:space="preserve">construction activity in Victoria, where new dwelling investment grew at a double-digit rate for the third year in a row </w:t>
      </w:r>
      <w:r w:rsidR="00FA45B2">
        <w:t xml:space="preserve">(Chart </w:t>
      </w:r>
      <w:r w:rsidR="000E3F46">
        <w:t>2</w:t>
      </w:r>
      <w:r>
        <w:t xml:space="preserve">).  December JEFG forecasts had factored in a mild easing in the Victorian market over the forecast period.  However, </w:t>
      </w:r>
      <w:r w:rsidR="00D0508A">
        <w:t>N</w:t>
      </w:r>
      <w:r>
        <w:t xml:space="preserve">ational </w:t>
      </w:r>
      <w:r w:rsidR="00D0508A">
        <w:t>A</w:t>
      </w:r>
      <w:r>
        <w:t xml:space="preserve">ccounts data for the December quarter suggest that the moderation is occurring faster than expected.  </w:t>
      </w:r>
      <w:r w:rsidR="006F3ADF">
        <w:t>New</w:t>
      </w:r>
      <w:r w:rsidR="00D56042">
        <w:t xml:space="preserve"> </w:t>
      </w:r>
      <w:r>
        <w:t>dw</w:t>
      </w:r>
      <w:r w:rsidR="00B72FAF">
        <w:t xml:space="preserve">elling investment contracted </w:t>
      </w:r>
      <w:r>
        <w:t>3.9</w:t>
      </w:r>
      <w:r w:rsidR="00B02E36">
        <w:t> </w:t>
      </w:r>
      <w:r>
        <w:t>per</w:t>
      </w:r>
      <w:r w:rsidR="00B02E36">
        <w:t> </w:t>
      </w:r>
      <w:r>
        <w:t xml:space="preserve">cent in the December quarter, led by </w:t>
      </w:r>
      <w:r w:rsidR="005706BA">
        <w:t>a</w:t>
      </w:r>
      <w:r>
        <w:t xml:space="preserve"> </w:t>
      </w:r>
      <w:r w:rsidR="001A4B9F">
        <w:t xml:space="preserve">7.9 </w:t>
      </w:r>
      <w:r>
        <w:t>per cent fall in the Victorian market, while national housing commencements fell 1</w:t>
      </w:r>
      <w:r w:rsidR="001A4B9F">
        <w:t>0.9</w:t>
      </w:r>
      <w:r w:rsidR="00B02E36">
        <w:t> </w:t>
      </w:r>
      <w:r>
        <w:t>per</w:t>
      </w:r>
      <w:r w:rsidR="00B02E36">
        <w:t> </w:t>
      </w:r>
      <w:r>
        <w:t xml:space="preserve">cent over 2011. </w:t>
      </w:r>
      <w:r w:rsidR="007E25C7">
        <w:t xml:space="preserve"> </w:t>
      </w:r>
    </w:p>
    <w:p w:rsidR="00EE3C25" w:rsidRDefault="007E25C7" w:rsidP="00EE3C25">
      <w:r>
        <w:t>Outside Victoria, ongoing supply constraints associated with onerous planning and approval processes, as well as high costs of development and land release restrictions, particularly in the Sydney market, are also expected to continue to weigh on dwelling investment growth.</w:t>
      </w:r>
    </w:p>
    <w:p w:rsidR="002F406A" w:rsidRDefault="002F406A" w:rsidP="0021594E">
      <w:pPr>
        <w:autoSpaceDE w:val="0"/>
        <w:autoSpaceDN w:val="0"/>
        <w:jc w:val="center"/>
        <w:rPr>
          <w:b/>
          <w:szCs w:val="20"/>
        </w:rPr>
      </w:pPr>
    </w:p>
    <w:p w:rsidR="002F406A" w:rsidRDefault="002F406A" w:rsidP="0021594E">
      <w:pPr>
        <w:autoSpaceDE w:val="0"/>
        <w:autoSpaceDN w:val="0"/>
        <w:jc w:val="center"/>
        <w:rPr>
          <w:b/>
          <w:szCs w:val="20"/>
        </w:rPr>
      </w:pPr>
    </w:p>
    <w:p w:rsidR="002F406A" w:rsidRDefault="002F406A" w:rsidP="0021594E">
      <w:pPr>
        <w:autoSpaceDE w:val="0"/>
        <w:autoSpaceDN w:val="0"/>
        <w:jc w:val="center"/>
        <w:rPr>
          <w:b/>
          <w:szCs w:val="20"/>
        </w:rPr>
      </w:pPr>
    </w:p>
    <w:p w:rsidR="002F406A" w:rsidRDefault="002F406A" w:rsidP="0021594E">
      <w:pPr>
        <w:autoSpaceDE w:val="0"/>
        <w:autoSpaceDN w:val="0"/>
        <w:jc w:val="center"/>
        <w:rPr>
          <w:b/>
          <w:szCs w:val="20"/>
        </w:rPr>
      </w:pPr>
    </w:p>
    <w:p w:rsidR="002F406A" w:rsidRDefault="002F406A" w:rsidP="0021594E">
      <w:pPr>
        <w:autoSpaceDE w:val="0"/>
        <w:autoSpaceDN w:val="0"/>
        <w:jc w:val="center"/>
        <w:rPr>
          <w:b/>
          <w:szCs w:val="20"/>
        </w:rPr>
      </w:pPr>
    </w:p>
    <w:p w:rsidR="001348EC" w:rsidRPr="0021594E" w:rsidRDefault="001348EC" w:rsidP="0021594E">
      <w:pPr>
        <w:autoSpaceDE w:val="0"/>
        <w:autoSpaceDN w:val="0"/>
        <w:jc w:val="center"/>
        <w:rPr>
          <w:b/>
          <w:szCs w:val="20"/>
        </w:rPr>
      </w:pPr>
      <w:r w:rsidRPr="00E50F05">
        <w:rPr>
          <w:b/>
          <w:szCs w:val="20"/>
        </w:rPr>
        <w:t xml:space="preserve">Chart </w:t>
      </w:r>
      <w:r w:rsidR="000E3F46">
        <w:rPr>
          <w:b/>
          <w:szCs w:val="20"/>
        </w:rPr>
        <w:t>2</w:t>
      </w:r>
      <w:r w:rsidRPr="00E50F05">
        <w:rPr>
          <w:b/>
          <w:szCs w:val="20"/>
        </w:rPr>
        <w:t xml:space="preserve">: </w:t>
      </w:r>
      <w:r>
        <w:rPr>
          <w:b/>
          <w:szCs w:val="20"/>
        </w:rPr>
        <w:t>New dwelling investment</w:t>
      </w:r>
    </w:p>
    <w:p w:rsidR="003D579B" w:rsidRDefault="00FB0457" w:rsidP="003D579B">
      <w:pPr>
        <w:pStyle w:val="ChartGraphic0"/>
      </w:pPr>
      <w:r>
        <w:object w:dxaOrig="3991" w:dyaOrig="3961">
          <v:shape id="_x0000_i1028" type="#_x0000_t75" style="width:196.65pt;height:198.8pt" o:ole="">
            <v:imagedata r:id="rId25" o:title=""/>
          </v:shape>
          <o:OLEObject Type="Link" ProgID="Excel.Sheet.12" ShapeID="_x0000_i1028" DrawAspect="Content" r:id="rId26" UpdateMode="Always">
            <o:LinkType>EnhancedMetaFile</o:LinkType>
            <o:LockedField/>
          </o:OLEObject>
        </w:object>
      </w:r>
    </w:p>
    <w:p w:rsidR="001348EC" w:rsidRPr="001348EC" w:rsidRDefault="001348EC" w:rsidP="001B4965">
      <w:pPr>
        <w:keepNext/>
        <w:spacing w:line="240" w:lineRule="auto"/>
        <w:jc w:val="left"/>
      </w:pPr>
      <w:r w:rsidRPr="001B4965">
        <w:rPr>
          <w:rFonts w:ascii="Tahoma" w:hAnsi="Tahoma" w:cs="Tahoma"/>
          <w:sz w:val="16"/>
          <w:szCs w:val="16"/>
        </w:rPr>
        <w:t>Source</w:t>
      </w:r>
      <w:r>
        <w:t>:</w:t>
      </w:r>
      <w:r w:rsidR="00F653CC">
        <w:t xml:space="preserve"> </w:t>
      </w:r>
      <w:r w:rsidR="00F653CC" w:rsidRPr="00987838">
        <w:rPr>
          <w:rFonts w:ascii="Tahoma" w:hAnsi="Tahoma" w:cs="Tahoma"/>
          <w:sz w:val="16"/>
          <w:szCs w:val="16"/>
        </w:rPr>
        <w:t xml:space="preserve">ABS </w:t>
      </w:r>
      <w:r w:rsidR="00B72FAF">
        <w:rPr>
          <w:rFonts w:ascii="Tahoma" w:hAnsi="Tahoma" w:cs="Tahoma"/>
          <w:sz w:val="16"/>
          <w:szCs w:val="16"/>
        </w:rPr>
        <w:t>cat. no.</w:t>
      </w:r>
      <w:r w:rsidR="00F653CC" w:rsidRPr="00987838">
        <w:rPr>
          <w:rFonts w:ascii="Tahoma" w:hAnsi="Tahoma" w:cs="Tahoma"/>
          <w:sz w:val="16"/>
          <w:szCs w:val="16"/>
        </w:rPr>
        <w:t xml:space="preserve"> 5206.0 and Treasury.</w:t>
      </w:r>
    </w:p>
    <w:p w:rsidR="00EE3C25" w:rsidRDefault="00EE3C25" w:rsidP="00EE3C25">
      <w:r>
        <w:t xml:space="preserve">This moderation in activity has occurred despite a sizable stock of work in the pipeline. This </w:t>
      </w:r>
      <w:r w:rsidR="00106AE7">
        <w:t xml:space="preserve">suggests </w:t>
      </w:r>
      <w:r>
        <w:t xml:space="preserve">that property developers are reluctant to </w:t>
      </w:r>
      <w:r w:rsidR="002F406A">
        <w:t>proceed with</w:t>
      </w:r>
      <w:r>
        <w:t xml:space="preserve"> projects in the context of insufficient demand for new housing, with new </w:t>
      </w:r>
      <w:r w:rsidRPr="009F2A84">
        <w:t xml:space="preserve">home sales at their lowest level in more than a decade (Chart </w:t>
      </w:r>
      <w:r w:rsidR="000E3F46">
        <w:t>3</w:t>
      </w:r>
      <w:r w:rsidRPr="009F2A84">
        <w:t xml:space="preserve">). </w:t>
      </w:r>
      <w:r w:rsidR="005A5747">
        <w:t xml:space="preserve"> </w:t>
      </w:r>
      <w:r w:rsidRPr="009F2A84">
        <w:t>The weak outlook for dwelling investment</w:t>
      </w:r>
      <w:r>
        <w:t xml:space="preserve"> also reflects the more cautious approach of households to spending and borrowing since the global financial crisis, which has seen a greater tendency</w:t>
      </w:r>
      <w:r w:rsidR="00B72FAF">
        <w:t xml:space="preserve"> for households</w:t>
      </w:r>
      <w:r>
        <w:t xml:space="preserve"> to pay down existing housing debt and </w:t>
      </w:r>
      <w:r w:rsidR="00B72FAF">
        <w:t xml:space="preserve">a reluctance to take on </w:t>
      </w:r>
      <w:r>
        <w:t xml:space="preserve">new </w:t>
      </w:r>
      <w:r w:rsidR="00765181">
        <w:t>borrowing</w:t>
      </w:r>
      <w:r w:rsidRPr="009F2A84">
        <w:t>.</w:t>
      </w:r>
    </w:p>
    <w:p w:rsidR="007E25C7" w:rsidRDefault="007E25C7" w:rsidP="00FD7633">
      <w:pPr>
        <w:jc w:val="center"/>
        <w:rPr>
          <w:b/>
        </w:rPr>
      </w:pPr>
    </w:p>
    <w:p w:rsidR="007E25C7" w:rsidRDefault="007E25C7" w:rsidP="00FD7633">
      <w:pPr>
        <w:jc w:val="center"/>
        <w:rPr>
          <w:b/>
        </w:rPr>
      </w:pPr>
    </w:p>
    <w:p w:rsidR="007E25C7" w:rsidRDefault="007E25C7" w:rsidP="00FD7633">
      <w:pPr>
        <w:jc w:val="center"/>
        <w:rPr>
          <w:b/>
        </w:rPr>
      </w:pPr>
    </w:p>
    <w:p w:rsidR="007E25C7" w:rsidRDefault="007E25C7" w:rsidP="00FD7633">
      <w:pPr>
        <w:jc w:val="center"/>
        <w:rPr>
          <w:b/>
        </w:rPr>
      </w:pPr>
    </w:p>
    <w:p w:rsidR="007E25C7" w:rsidRDefault="007E25C7" w:rsidP="00FD7633">
      <w:pPr>
        <w:jc w:val="center"/>
        <w:rPr>
          <w:b/>
        </w:rPr>
      </w:pPr>
    </w:p>
    <w:p w:rsidR="007E25C7" w:rsidRDefault="007E25C7" w:rsidP="00FD7633">
      <w:pPr>
        <w:jc w:val="center"/>
        <w:rPr>
          <w:b/>
        </w:rPr>
      </w:pPr>
    </w:p>
    <w:p w:rsidR="007E25C7" w:rsidRDefault="007E25C7" w:rsidP="00FD7633">
      <w:pPr>
        <w:jc w:val="center"/>
        <w:rPr>
          <w:b/>
        </w:rPr>
      </w:pPr>
    </w:p>
    <w:p w:rsidR="007E25C7" w:rsidRDefault="007E25C7" w:rsidP="00FD7633">
      <w:pPr>
        <w:jc w:val="center"/>
        <w:rPr>
          <w:b/>
        </w:rPr>
      </w:pPr>
    </w:p>
    <w:p w:rsidR="007E25C7" w:rsidRDefault="007E25C7" w:rsidP="00FD7633">
      <w:pPr>
        <w:jc w:val="center"/>
        <w:rPr>
          <w:b/>
        </w:rPr>
      </w:pPr>
    </w:p>
    <w:p w:rsidR="001348EC" w:rsidRPr="00110B97" w:rsidRDefault="001348EC" w:rsidP="00FD7633">
      <w:pPr>
        <w:jc w:val="center"/>
        <w:rPr>
          <w:b/>
        </w:rPr>
      </w:pPr>
      <w:r w:rsidRPr="00110B97">
        <w:rPr>
          <w:b/>
        </w:rPr>
        <w:t>Chart</w:t>
      </w:r>
      <w:r w:rsidR="000E3F46">
        <w:rPr>
          <w:b/>
        </w:rPr>
        <w:t xml:space="preserve"> 3</w:t>
      </w:r>
      <w:r w:rsidRPr="00110B97">
        <w:rPr>
          <w:b/>
        </w:rPr>
        <w:t>: New home sales</w:t>
      </w:r>
      <w:r w:rsidR="006C29CC">
        <w:rPr>
          <w:b/>
        </w:rPr>
        <w:t xml:space="preserve"> (annualised)</w:t>
      </w:r>
    </w:p>
    <w:p w:rsidR="00F653CC" w:rsidRDefault="00FE59CD" w:rsidP="00C2586D">
      <w:pPr>
        <w:pStyle w:val="ChartGraphic0"/>
        <w:jc w:val="left"/>
        <w:rPr>
          <w:b/>
        </w:rPr>
      </w:pPr>
      <w:r>
        <w:object w:dxaOrig="4245" w:dyaOrig="4230">
          <v:shape id="_x0000_i1029" type="#_x0000_t75" style="width:212.8pt;height:212.8pt" o:ole="">
            <v:imagedata r:id="rId27" o:title=""/>
          </v:shape>
          <o:OLEObject Type="Link" ProgID="Excel.Sheet.12" ShapeID="_x0000_i1029" DrawAspect="Content" r:id="rId28" UpdateMode="Always">
            <o:LinkType>EnhancedMetaFile</o:LinkType>
            <o:LockedField>false</o:LockedField>
          </o:OLEObject>
        </w:object>
      </w:r>
      <w:r w:rsidR="001348EC" w:rsidRPr="001B4965">
        <w:rPr>
          <w:rFonts w:ascii="Tahoma" w:hAnsi="Tahoma" w:cs="Tahoma"/>
          <w:sz w:val="16"/>
          <w:szCs w:val="16"/>
        </w:rPr>
        <w:t>Source</w:t>
      </w:r>
      <w:r w:rsidR="001348EC">
        <w:t>:</w:t>
      </w:r>
      <w:r w:rsidR="00F653CC" w:rsidRPr="00F653CC">
        <w:rPr>
          <w:rFonts w:ascii="Tahoma" w:hAnsi="Tahoma" w:cs="Tahoma"/>
          <w:sz w:val="16"/>
          <w:szCs w:val="16"/>
        </w:rPr>
        <w:t xml:space="preserve"> </w:t>
      </w:r>
      <w:r w:rsidR="00F653CC">
        <w:rPr>
          <w:rFonts w:ascii="Tahoma" w:hAnsi="Tahoma" w:cs="Tahoma"/>
          <w:sz w:val="16"/>
          <w:szCs w:val="16"/>
        </w:rPr>
        <w:t>HIA.</w:t>
      </w:r>
      <w:r w:rsidR="00F653CC" w:rsidRPr="00F653CC">
        <w:rPr>
          <w:b/>
        </w:rPr>
        <w:t xml:space="preserve"> </w:t>
      </w:r>
    </w:p>
    <w:p w:rsidR="00AF3475" w:rsidRPr="00DC081B" w:rsidRDefault="00AF3475" w:rsidP="00CB416D">
      <w:pPr>
        <w:pStyle w:val="Heading4"/>
      </w:pPr>
      <w:bookmarkStart w:id="11" w:name="_Toc187553173"/>
      <w:bookmarkStart w:id="12" w:name="_Toc322100140"/>
      <w:bookmarkEnd w:id="8"/>
      <w:r w:rsidRPr="00DC081B">
        <w:t>Business investment</w:t>
      </w:r>
      <w:bookmarkEnd w:id="11"/>
      <w:bookmarkEnd w:id="12"/>
    </w:p>
    <w:p w:rsidR="009B7BA7" w:rsidRDefault="00E065BC" w:rsidP="0054364A">
      <w:bookmarkStart w:id="13" w:name="_Toc195517449"/>
      <w:bookmarkStart w:id="14" w:name="_Toc185498664"/>
      <w:bookmarkStart w:id="15" w:name="_Toc185498663"/>
      <w:r>
        <w:t xml:space="preserve">The outlook for </w:t>
      </w:r>
      <w:r w:rsidRPr="00D634B2">
        <w:rPr>
          <w:b/>
        </w:rPr>
        <w:t>new business investment</w:t>
      </w:r>
      <w:r>
        <w:t xml:space="preserve"> remains strong and</w:t>
      </w:r>
      <w:r w:rsidR="009B7BA7">
        <w:t>, with the exception of some re-profiling,</w:t>
      </w:r>
      <w:r>
        <w:t xml:space="preserve"> is broadly unchanged since December JEFG. </w:t>
      </w:r>
      <w:r w:rsidR="00474BCF">
        <w:t xml:space="preserve"> </w:t>
      </w:r>
      <w:r w:rsidRPr="00DC081B">
        <w:t xml:space="preserve">Despite </w:t>
      </w:r>
      <w:r>
        <w:t xml:space="preserve">the </w:t>
      </w:r>
      <w:r w:rsidR="0030573E">
        <w:t xml:space="preserve">uncertainty and </w:t>
      </w:r>
      <w:r>
        <w:t xml:space="preserve">volatility in commodity markets in the later part of 2011, </w:t>
      </w:r>
      <w:r w:rsidR="00D56042">
        <w:t xml:space="preserve">the latest </w:t>
      </w:r>
      <w:r>
        <w:t>CAP</w:t>
      </w:r>
      <w:r w:rsidR="00C833CA">
        <w:t>E</w:t>
      </w:r>
      <w:r>
        <w:t xml:space="preserve">X survey data </w:t>
      </w:r>
      <w:r w:rsidR="00D56042">
        <w:t>imply increased</w:t>
      </w:r>
      <w:r>
        <w:t xml:space="preserve"> investment intentions i</w:t>
      </w:r>
      <w:r w:rsidR="00474BCF">
        <w:t>n the resources sector</w:t>
      </w:r>
      <w:r w:rsidR="00D56042">
        <w:t xml:space="preserve">. </w:t>
      </w:r>
      <w:r w:rsidR="00106AE7">
        <w:t xml:space="preserve"> </w:t>
      </w:r>
      <w:r w:rsidR="00D56042">
        <w:t>O</w:t>
      </w:r>
      <w:r w:rsidR="009B7BA7">
        <w:t xml:space="preserve">ffsetting this rise </w:t>
      </w:r>
      <w:r w:rsidR="00B545A2">
        <w:t>is</w:t>
      </w:r>
      <w:r w:rsidR="009B7BA7">
        <w:t xml:space="preserve"> a decrease in </w:t>
      </w:r>
      <w:r w:rsidRPr="00DC081B">
        <w:t>non-mining investment intentions</w:t>
      </w:r>
      <w:r w:rsidR="00E446D2">
        <w:t xml:space="preserve">. </w:t>
      </w:r>
      <w:r>
        <w:t xml:space="preserve"> </w:t>
      </w:r>
    </w:p>
    <w:p w:rsidR="0054364A" w:rsidRPr="00DC081B" w:rsidRDefault="00066F40" w:rsidP="0054364A">
      <w:r>
        <w:t>New business i</w:t>
      </w:r>
      <w:r w:rsidR="00E065BC">
        <w:t>nvestment g</w:t>
      </w:r>
      <w:r w:rsidR="0054364A">
        <w:t>rowth fore</w:t>
      </w:r>
      <w:r w:rsidR="00474BCF">
        <w:t>casts have been upgraded 1½ per</w:t>
      </w:r>
      <w:r w:rsidR="0054364A">
        <w:t>cent</w:t>
      </w:r>
      <w:r w:rsidR="00474BCF">
        <w:t>age points</w:t>
      </w:r>
      <w:r w:rsidR="0054364A">
        <w:t xml:space="preserve"> in 2011-12, </w:t>
      </w:r>
      <w:r w:rsidR="00D56042">
        <w:t xml:space="preserve">but </w:t>
      </w:r>
      <w:r w:rsidR="0054364A">
        <w:t xml:space="preserve">downgraded </w:t>
      </w:r>
      <w:r w:rsidR="00474BCF">
        <w:t>1 per</w:t>
      </w:r>
      <w:r w:rsidR="0054364A">
        <w:t>cent</w:t>
      </w:r>
      <w:r w:rsidR="00474BCF">
        <w:t>age point</w:t>
      </w:r>
      <w:r w:rsidR="0054364A">
        <w:t xml:space="preserve"> in 20</w:t>
      </w:r>
      <w:r w:rsidR="00885589">
        <w:t xml:space="preserve">12-13 and </w:t>
      </w:r>
      <w:r w:rsidR="00D34E03">
        <w:t>1½</w:t>
      </w:r>
      <w:r w:rsidR="002F406A">
        <w:t> </w:t>
      </w:r>
      <w:r w:rsidR="00474BCF">
        <w:t>per</w:t>
      </w:r>
      <w:r w:rsidR="0054364A">
        <w:t>cent</w:t>
      </w:r>
      <w:r w:rsidR="00474BCF">
        <w:t>age</w:t>
      </w:r>
      <w:r w:rsidR="001E5917">
        <w:t> </w:t>
      </w:r>
      <w:r w:rsidR="00474BCF">
        <w:t>point</w:t>
      </w:r>
      <w:r w:rsidR="00D34E03">
        <w:t>s</w:t>
      </w:r>
      <w:r w:rsidR="0054364A">
        <w:t xml:space="preserve"> in 2013</w:t>
      </w:r>
      <w:r w:rsidR="00474BCF">
        <w:noBreakHyphen/>
      </w:r>
      <w:r w:rsidR="0054364A">
        <w:t>14</w:t>
      </w:r>
      <w:r w:rsidR="00AF48D7">
        <w:t>.</w:t>
      </w:r>
      <w:r w:rsidR="00E065BC">
        <w:t xml:space="preserve"> </w:t>
      </w:r>
      <w:r w:rsidR="005A5747">
        <w:t xml:space="preserve"> </w:t>
      </w:r>
      <w:r w:rsidR="0054364A" w:rsidRPr="00DC081B">
        <w:t>New business in</w:t>
      </w:r>
      <w:r w:rsidR="0030573E">
        <w:t xml:space="preserve">vestment is forecast to grow </w:t>
      </w:r>
      <w:r w:rsidR="0054364A" w:rsidRPr="00DC081B">
        <w:t>18</w:t>
      </w:r>
      <w:r w:rsidR="00644138">
        <w:t> </w:t>
      </w:r>
      <w:r w:rsidR="00474BCF">
        <w:t>per</w:t>
      </w:r>
      <w:r w:rsidR="00644138">
        <w:t> </w:t>
      </w:r>
      <w:r w:rsidR="00474BCF">
        <w:t>cent in 2011-12, 12</w:t>
      </w:r>
      <w:r w:rsidR="0017614D">
        <w:t xml:space="preserve">½ </w:t>
      </w:r>
      <w:r w:rsidR="00474BCF">
        <w:t>per cent in 2012-13 and 8</w:t>
      </w:r>
      <w:r w:rsidR="002F406A">
        <w:t> </w:t>
      </w:r>
      <w:r w:rsidR="0054364A" w:rsidRPr="00DC081B">
        <w:t>per cent in 2013-14.</w:t>
      </w:r>
    </w:p>
    <w:p w:rsidR="00C27F01" w:rsidRDefault="00C27F01" w:rsidP="00C27F01">
      <w:r w:rsidRPr="005706BA">
        <w:t>The resilience of investment intentions in the resources sector has also been confirmed in updated company announcements.  The latest CAPEX survey reported new highs for mining investment intentions in both 2011-12 and 2012-13</w:t>
      </w:r>
      <w:r w:rsidR="009B63D1" w:rsidRPr="005706BA">
        <w:t xml:space="preserve">.  Based on these survey results, Treasury estimates that </w:t>
      </w:r>
      <w:r w:rsidRPr="005706BA">
        <w:t xml:space="preserve">mining investment </w:t>
      </w:r>
      <w:r w:rsidR="009B63D1" w:rsidRPr="005706BA">
        <w:t>will a</w:t>
      </w:r>
      <w:r w:rsidRPr="005706BA">
        <w:t xml:space="preserve">ccount for </w:t>
      </w:r>
      <w:r w:rsidR="009B63D1" w:rsidRPr="005706BA">
        <w:t xml:space="preserve">around </w:t>
      </w:r>
      <w:r w:rsidRPr="005706BA">
        <w:t>60 per cent of total CAPEX in 2012</w:t>
      </w:r>
      <w:r w:rsidRPr="005706BA">
        <w:noBreakHyphen/>
        <w:t xml:space="preserve">13 (Chart 4).  Treasury analysis of individual major resource projects indicates that most mining investment planned to be undertaken over the forecast horizon is already committed </w:t>
      </w:r>
      <w:r w:rsidR="00B40A36" w:rsidRPr="005706BA">
        <w:t xml:space="preserve">to </w:t>
      </w:r>
      <w:r w:rsidRPr="005706BA">
        <w:t>or under construction.</w:t>
      </w:r>
      <w:r>
        <w:t xml:space="preserve"> </w:t>
      </w:r>
    </w:p>
    <w:p w:rsidR="00E065BC" w:rsidRPr="00C02A89" w:rsidRDefault="00E065BC" w:rsidP="00E065BC">
      <w:pPr>
        <w:rPr>
          <w:b/>
        </w:rPr>
      </w:pPr>
      <w:r w:rsidRPr="00C02A89">
        <w:rPr>
          <w:b/>
        </w:rPr>
        <w:t xml:space="preserve">Chart </w:t>
      </w:r>
      <w:r w:rsidR="001B2D0A">
        <w:rPr>
          <w:b/>
        </w:rPr>
        <w:t>4</w:t>
      </w:r>
      <w:r w:rsidRPr="00C02A89">
        <w:rPr>
          <w:b/>
        </w:rPr>
        <w:t>: Mining and non-mining investment</w:t>
      </w:r>
    </w:p>
    <w:p w:rsidR="00B03079" w:rsidRDefault="003301C2" w:rsidP="00B03079">
      <w:pPr>
        <w:pStyle w:val="ChartGraphic0"/>
      </w:pPr>
      <w:r>
        <w:object w:dxaOrig="3945" w:dyaOrig="3961">
          <v:shape id="_x0000_i1030" type="#_x0000_t75" style="width:198.8pt;height:198.8pt" o:ole="">
            <v:imagedata r:id="rId29" o:title=""/>
          </v:shape>
          <o:OLEObject Type="Link" ProgID="Excel.Sheet.12" ShapeID="_x0000_i1030" DrawAspect="Content" r:id="rId30" UpdateMode="Always">
            <o:LinkType>EnhancedMetaFile</o:LinkType>
            <o:LockedField>false</o:LockedField>
          </o:OLEObject>
        </w:object>
      </w:r>
    </w:p>
    <w:p w:rsidR="00B03079" w:rsidRDefault="00B03079" w:rsidP="00B03079">
      <w:pPr>
        <w:pStyle w:val="ChartGraphic0"/>
        <w:jc w:val="left"/>
      </w:pPr>
      <w:r w:rsidRPr="00B03079">
        <w:rPr>
          <w:rFonts w:ascii="Tahoma" w:hAnsi="Tahoma" w:cs="Tahoma"/>
          <w:sz w:val="16"/>
          <w:szCs w:val="16"/>
        </w:rPr>
        <w:t xml:space="preserve">Note: Estimates for 2011-12 and 2012-13 are from the ABS CAPEX survey, and based </w:t>
      </w:r>
      <w:r w:rsidR="00586A3D">
        <w:rPr>
          <w:rFonts w:ascii="Tahoma" w:hAnsi="Tahoma" w:cs="Tahoma"/>
          <w:sz w:val="16"/>
          <w:szCs w:val="16"/>
        </w:rPr>
        <w:t xml:space="preserve">on </w:t>
      </w:r>
      <w:r w:rsidR="00C27F01">
        <w:rPr>
          <w:rFonts w:ascii="Tahoma" w:hAnsi="Tahoma" w:cs="Tahoma"/>
          <w:sz w:val="16"/>
          <w:szCs w:val="16"/>
        </w:rPr>
        <w:t xml:space="preserve">Treasury estimated </w:t>
      </w:r>
      <w:r w:rsidRPr="00B03079">
        <w:rPr>
          <w:rFonts w:ascii="Tahoma" w:hAnsi="Tahoma" w:cs="Tahoma"/>
          <w:sz w:val="16"/>
          <w:szCs w:val="16"/>
        </w:rPr>
        <w:t>realisation ratios.</w:t>
      </w:r>
    </w:p>
    <w:p w:rsidR="00586A3D" w:rsidRPr="0014581D" w:rsidRDefault="00E065BC" w:rsidP="0014581D">
      <w:r w:rsidRPr="00C02A89">
        <w:rPr>
          <w:rFonts w:ascii="Tahoma" w:hAnsi="Tahoma" w:cs="Tahoma"/>
          <w:sz w:val="16"/>
          <w:szCs w:val="16"/>
        </w:rPr>
        <w:t xml:space="preserve">Source: ABS </w:t>
      </w:r>
      <w:r w:rsidR="00B72FAF">
        <w:rPr>
          <w:rFonts w:ascii="Tahoma" w:hAnsi="Tahoma" w:cs="Tahoma"/>
          <w:sz w:val="16"/>
          <w:szCs w:val="16"/>
        </w:rPr>
        <w:t>cat. no.</w:t>
      </w:r>
      <w:r w:rsidRPr="00C02A89">
        <w:rPr>
          <w:rFonts w:ascii="Tahoma" w:hAnsi="Tahoma" w:cs="Tahoma"/>
          <w:sz w:val="16"/>
          <w:szCs w:val="16"/>
        </w:rPr>
        <w:t xml:space="preserve"> </w:t>
      </w:r>
      <w:r w:rsidR="00B03079">
        <w:rPr>
          <w:rFonts w:ascii="Tahoma" w:hAnsi="Tahoma" w:cs="Tahoma"/>
          <w:sz w:val="16"/>
          <w:szCs w:val="16"/>
        </w:rPr>
        <w:t xml:space="preserve">5206.0, </w:t>
      </w:r>
      <w:r w:rsidRPr="00C02A89">
        <w:rPr>
          <w:rFonts w:ascii="Tahoma" w:hAnsi="Tahoma" w:cs="Tahoma"/>
          <w:sz w:val="16"/>
          <w:szCs w:val="16"/>
        </w:rPr>
        <w:t>5625.0 and Treasury.</w:t>
      </w:r>
      <w:r w:rsidRPr="00C02A89">
        <w:t xml:space="preserve"> </w:t>
      </w:r>
    </w:p>
    <w:p w:rsidR="00E065BC" w:rsidRDefault="00DC081B" w:rsidP="00DC081B">
      <w:r w:rsidRPr="00E065BC">
        <w:rPr>
          <w:b/>
        </w:rPr>
        <w:t>Engineering construction</w:t>
      </w:r>
      <w:r w:rsidRPr="00DC081B">
        <w:t xml:space="preserve"> investment forecasts have been upgrade</w:t>
      </w:r>
      <w:r w:rsidR="00D92981">
        <w:t>d in 2011-12 following stronger-than-</w:t>
      </w:r>
      <w:r w:rsidRPr="00DC081B">
        <w:t>expected inv</w:t>
      </w:r>
      <w:r w:rsidR="006A6467">
        <w:t>estment over the first half of 2011-12</w:t>
      </w:r>
      <w:r w:rsidRPr="00DC081B">
        <w:t xml:space="preserve">. </w:t>
      </w:r>
      <w:r w:rsidR="00474BCF">
        <w:t xml:space="preserve"> </w:t>
      </w:r>
      <w:r w:rsidR="00D92981">
        <w:t xml:space="preserve">Progress </w:t>
      </w:r>
      <w:r w:rsidRPr="00DC081B">
        <w:t>at a number of major projects has been quicker than expected</w:t>
      </w:r>
      <w:r w:rsidR="00A01B7B">
        <w:t>,</w:t>
      </w:r>
      <w:r w:rsidRPr="00DC081B">
        <w:t xml:space="preserve"> but growth rates are expected to moderate </w:t>
      </w:r>
      <w:r w:rsidR="00474BCF">
        <w:t xml:space="preserve">somewhat </w:t>
      </w:r>
      <w:r w:rsidRPr="00DC081B">
        <w:t xml:space="preserve">over coming quarters. </w:t>
      </w:r>
      <w:r w:rsidR="00474BCF">
        <w:t xml:space="preserve"> </w:t>
      </w:r>
      <w:r w:rsidRPr="00DC081B">
        <w:t xml:space="preserve">Growth in 2012-13 and 2013-14 </w:t>
      </w:r>
      <w:r w:rsidR="00D92981">
        <w:t>is</w:t>
      </w:r>
      <w:r w:rsidR="00474BCF">
        <w:t xml:space="preserve"> </w:t>
      </w:r>
      <w:r w:rsidR="00D92981">
        <w:t xml:space="preserve">expected to be </w:t>
      </w:r>
      <w:r w:rsidR="00474BCF">
        <w:t>slightly weaker</w:t>
      </w:r>
      <w:r w:rsidR="00763F66">
        <w:t xml:space="preserve"> than at December JEFG</w:t>
      </w:r>
      <w:r w:rsidR="00D92981">
        <w:t>,</w:t>
      </w:r>
      <w:r w:rsidR="00474BCF">
        <w:t xml:space="preserve"> </w:t>
      </w:r>
      <w:r w:rsidR="00D92981">
        <w:t xml:space="preserve">based on </w:t>
      </w:r>
      <w:r w:rsidRPr="00DC081B">
        <w:t xml:space="preserve">discussions with major project participants and recent company announcements of revised expenditure profiles. </w:t>
      </w:r>
      <w:r w:rsidR="0017614D">
        <w:t xml:space="preserve"> Despite this</w:t>
      </w:r>
      <w:r w:rsidR="00763F66">
        <w:t>,</w:t>
      </w:r>
      <w:r w:rsidR="0017614D">
        <w:t xml:space="preserve"> the </w:t>
      </w:r>
      <w:r w:rsidR="003301C2">
        <w:t>resources investment pipeline</w:t>
      </w:r>
      <w:r w:rsidR="0017614D">
        <w:t xml:space="preserve"> remains extremely high</w:t>
      </w:r>
      <w:r w:rsidR="00763F66">
        <w:t xml:space="preserve"> (Chart 5)</w:t>
      </w:r>
      <w:r w:rsidR="0017614D">
        <w:t>.</w:t>
      </w:r>
    </w:p>
    <w:p w:rsidR="00DC081B" w:rsidRPr="00DC081B" w:rsidRDefault="00DC081B" w:rsidP="00DC081B">
      <w:r w:rsidRPr="0017614D">
        <w:t xml:space="preserve">With </w:t>
      </w:r>
      <w:r w:rsidR="0077487C" w:rsidRPr="0017614D">
        <w:t>investment intentions</w:t>
      </w:r>
      <w:r w:rsidR="0077487C">
        <w:t xml:space="preserve"> at record highs, there is expected to be </w:t>
      </w:r>
      <w:r w:rsidRPr="00DC081B">
        <w:t xml:space="preserve">significant competition between major resource projects for specialised resources </w:t>
      </w:r>
      <w:r w:rsidR="0077487C">
        <w:t xml:space="preserve">and </w:t>
      </w:r>
      <w:r w:rsidR="0017614D">
        <w:t xml:space="preserve">therefore </w:t>
      </w:r>
      <w:r w:rsidR="0077487C">
        <w:t>not all pr</w:t>
      </w:r>
      <w:r w:rsidRPr="00DC081B">
        <w:t xml:space="preserve">ojects </w:t>
      </w:r>
      <w:r w:rsidR="0077487C">
        <w:t xml:space="preserve">are expected to </w:t>
      </w:r>
      <w:r w:rsidRPr="00DC081B">
        <w:t xml:space="preserve">meet </w:t>
      </w:r>
      <w:r w:rsidR="00D92981">
        <w:t>planned</w:t>
      </w:r>
      <w:r w:rsidRPr="00DC081B">
        <w:t xml:space="preserve"> levels of capital expenditure</w:t>
      </w:r>
      <w:r w:rsidR="000E3F46">
        <w:t xml:space="preserve"> </w:t>
      </w:r>
      <w:r w:rsidR="00763F66">
        <w:t>within announced timeframes</w:t>
      </w:r>
      <w:r w:rsidR="0077487C">
        <w:t xml:space="preserve">.  For this reason, </w:t>
      </w:r>
      <w:r w:rsidR="00E065BC">
        <w:t xml:space="preserve">a conservative approach </w:t>
      </w:r>
      <w:r w:rsidR="007629F2">
        <w:t xml:space="preserve">has been </w:t>
      </w:r>
      <w:r w:rsidR="00D92981">
        <w:t xml:space="preserve">used </w:t>
      </w:r>
      <w:r w:rsidR="00E065BC">
        <w:t xml:space="preserve">when </w:t>
      </w:r>
      <w:r w:rsidRPr="00DC081B">
        <w:t>translat</w:t>
      </w:r>
      <w:r w:rsidR="00E065BC">
        <w:t>ing CAPEX investment intentions into investment outcomes</w:t>
      </w:r>
      <w:r w:rsidRPr="00DC081B">
        <w:t xml:space="preserve">. </w:t>
      </w:r>
      <w:r w:rsidR="006A6467">
        <w:t xml:space="preserve"> </w:t>
      </w:r>
      <w:r w:rsidRPr="00DC081B">
        <w:t>New engineering construction is forecast to gro</w:t>
      </w:r>
      <w:r w:rsidR="003301C2">
        <w:t>w</w:t>
      </w:r>
      <w:r w:rsidRPr="00DC081B">
        <w:t xml:space="preserve"> 36 per cent in 2011</w:t>
      </w:r>
      <w:r w:rsidR="00C161FD">
        <w:noBreakHyphen/>
      </w:r>
      <w:r w:rsidRPr="00DC081B">
        <w:t>12</w:t>
      </w:r>
      <w:r w:rsidR="0017614D">
        <w:t>, 20½</w:t>
      </w:r>
      <w:r w:rsidR="002F406A">
        <w:t> </w:t>
      </w:r>
      <w:r w:rsidR="0017614D">
        <w:t>per cent in 2012</w:t>
      </w:r>
      <w:r w:rsidR="00C161FD">
        <w:noBreakHyphen/>
      </w:r>
      <w:r w:rsidR="0017614D">
        <w:t>13 and 9</w:t>
      </w:r>
      <w:r w:rsidRPr="00DC081B">
        <w:t xml:space="preserve"> per cent in 2013</w:t>
      </w:r>
      <w:r w:rsidR="00C161FD">
        <w:noBreakHyphen/>
      </w:r>
      <w:r w:rsidRPr="00DC081B">
        <w:t>14.</w:t>
      </w:r>
    </w:p>
    <w:p w:rsidR="00E065BC" w:rsidRPr="00AE72CF" w:rsidRDefault="00E065BC" w:rsidP="00E065BC">
      <w:pPr>
        <w:jc w:val="center"/>
        <w:rPr>
          <w:b/>
        </w:rPr>
      </w:pPr>
      <w:r w:rsidRPr="00AE72CF">
        <w:rPr>
          <w:b/>
        </w:rPr>
        <w:t xml:space="preserve">Chart </w:t>
      </w:r>
      <w:r w:rsidR="000E3F46">
        <w:rPr>
          <w:b/>
        </w:rPr>
        <w:t>5</w:t>
      </w:r>
      <w:r w:rsidRPr="00AE72CF">
        <w:rPr>
          <w:b/>
        </w:rPr>
        <w:t>: Estimates of the resource</w:t>
      </w:r>
      <w:r w:rsidR="00B545A2">
        <w:rPr>
          <w:b/>
        </w:rPr>
        <w:t>s</w:t>
      </w:r>
      <w:r w:rsidRPr="00AE72CF">
        <w:rPr>
          <w:b/>
        </w:rPr>
        <w:t xml:space="preserve"> </w:t>
      </w:r>
      <w:r w:rsidR="00590AF4">
        <w:rPr>
          <w:b/>
        </w:rPr>
        <w:t xml:space="preserve">investment </w:t>
      </w:r>
      <w:r w:rsidRPr="00AE72CF">
        <w:rPr>
          <w:b/>
        </w:rPr>
        <w:t>pipeline</w:t>
      </w:r>
    </w:p>
    <w:p w:rsidR="00270CEF" w:rsidRDefault="00270CEF" w:rsidP="00270CEF">
      <w:pPr>
        <w:pStyle w:val="ChartGraphic0"/>
      </w:pPr>
      <w:r>
        <w:object w:dxaOrig="3961" w:dyaOrig="3961">
          <v:shape id="_x0000_i1031" type="#_x0000_t75" style="width:198.8pt;height:198.8pt" o:ole="">
            <v:imagedata r:id="rId31" o:title=""/>
          </v:shape>
          <o:OLEObject Type="Link" ProgID="Excel.Sheet.12" ShapeID="_x0000_i1031" DrawAspect="Content" r:id="rId32" UpdateMode="Always">
            <o:LinkType>EnhancedMetaFile</o:LinkType>
            <o:LockedField/>
            <o:FieldCodes>\* MERGEFORMAT</o:FieldCodes>
          </o:OLEObject>
        </w:object>
      </w:r>
    </w:p>
    <w:p w:rsidR="00E065BC" w:rsidRDefault="00E065BC" w:rsidP="00270CEF">
      <w:pPr>
        <w:pStyle w:val="ChartGraphic0"/>
        <w:jc w:val="left"/>
        <w:rPr>
          <w:rFonts w:ascii="Tahoma" w:hAnsi="Tahoma" w:cs="Tahoma"/>
          <w:sz w:val="16"/>
          <w:szCs w:val="16"/>
        </w:rPr>
      </w:pPr>
      <w:r w:rsidRPr="008C129D">
        <w:rPr>
          <w:rFonts w:ascii="Tahoma" w:hAnsi="Tahoma" w:cs="Tahoma"/>
          <w:sz w:val="16"/>
          <w:szCs w:val="16"/>
        </w:rPr>
        <w:t xml:space="preserve">Source: </w:t>
      </w:r>
      <w:r w:rsidR="00F757D9">
        <w:rPr>
          <w:rFonts w:ascii="Tahoma" w:hAnsi="Tahoma" w:cs="Tahoma"/>
          <w:sz w:val="16"/>
          <w:szCs w:val="16"/>
        </w:rPr>
        <w:t>ABARES and BREE.</w:t>
      </w:r>
    </w:p>
    <w:p w:rsidR="00590AF4" w:rsidRDefault="00590AF4" w:rsidP="00DB3E41"/>
    <w:p w:rsidR="0077487C" w:rsidRDefault="00D92981" w:rsidP="00DB3E41">
      <w:r>
        <w:t>Forecasts for i</w:t>
      </w:r>
      <w:r w:rsidR="00DC081B" w:rsidRPr="00DC081B">
        <w:t>nvestment in</w:t>
      </w:r>
      <w:r w:rsidR="00132619">
        <w:t xml:space="preserve"> new</w:t>
      </w:r>
      <w:r w:rsidR="00DC081B" w:rsidRPr="00DC081B">
        <w:t xml:space="preserve"> </w:t>
      </w:r>
      <w:r w:rsidR="00DC081B" w:rsidRPr="00132619">
        <w:rPr>
          <w:b/>
        </w:rPr>
        <w:t>machinery and equipment</w:t>
      </w:r>
      <w:r w:rsidR="00DC081B" w:rsidRPr="00DC081B">
        <w:t xml:space="preserve"> </w:t>
      </w:r>
      <w:r w:rsidR="00763F66">
        <w:t>remain</w:t>
      </w:r>
      <w:r w:rsidR="0017614D">
        <w:t xml:space="preserve"> broadly unchanged since </w:t>
      </w:r>
      <w:r w:rsidR="00DC081B" w:rsidRPr="00DC081B">
        <w:t xml:space="preserve">December JEFG. </w:t>
      </w:r>
      <w:r w:rsidR="0017614D">
        <w:t xml:space="preserve"> </w:t>
      </w:r>
      <w:r w:rsidR="00DC081B" w:rsidRPr="00DC081B">
        <w:t xml:space="preserve">While </w:t>
      </w:r>
      <w:r w:rsidR="0049110A">
        <w:t xml:space="preserve">the </w:t>
      </w:r>
      <w:r w:rsidR="00DC081B" w:rsidRPr="00DC081B">
        <w:t>forecast for 2011-12</w:t>
      </w:r>
      <w:r w:rsidR="00FC3D0B">
        <w:t xml:space="preserve"> of 16½ per cent growth</w:t>
      </w:r>
      <w:r w:rsidR="00DC081B" w:rsidRPr="00DC081B">
        <w:t xml:space="preserve"> </w:t>
      </w:r>
      <w:r w:rsidR="00FC3D0B">
        <w:t>is</w:t>
      </w:r>
      <w:r w:rsidR="0017614D">
        <w:t xml:space="preserve"> slightly weaker</w:t>
      </w:r>
      <w:r>
        <w:t>,</w:t>
      </w:r>
      <w:r w:rsidR="0017614D">
        <w:t xml:space="preserve"> reflecting the December quarter outcome</w:t>
      </w:r>
      <w:r w:rsidR="003301C2">
        <w:t xml:space="preserve">, </w:t>
      </w:r>
      <w:r w:rsidR="00DC081B" w:rsidRPr="00DC081B">
        <w:t xml:space="preserve">expected investment </w:t>
      </w:r>
      <w:r w:rsidR="00B40A36">
        <w:t xml:space="preserve">growth </w:t>
      </w:r>
      <w:r w:rsidR="00DC081B" w:rsidRPr="00DC081B">
        <w:t xml:space="preserve">in </w:t>
      </w:r>
      <w:r w:rsidR="007629F2">
        <w:t xml:space="preserve">both </w:t>
      </w:r>
      <w:r w:rsidR="00DC081B" w:rsidRPr="00DC081B">
        <w:t xml:space="preserve">2012-13 and 2013-14 </w:t>
      </w:r>
      <w:r w:rsidR="0017614D">
        <w:t>remains unchanged</w:t>
      </w:r>
      <w:r w:rsidR="007629F2">
        <w:t>,</w:t>
      </w:r>
      <w:r w:rsidR="0017614D">
        <w:t xml:space="preserve"> growing 12</w:t>
      </w:r>
      <w:r w:rsidR="00DC081B" w:rsidRPr="00DC081B">
        <w:t>½</w:t>
      </w:r>
      <w:r w:rsidR="00083EB5">
        <w:t> </w:t>
      </w:r>
      <w:r w:rsidR="00DC081B" w:rsidRPr="00DC081B">
        <w:t>per</w:t>
      </w:r>
      <w:r w:rsidR="00083EB5">
        <w:t> </w:t>
      </w:r>
      <w:r w:rsidR="002F406A">
        <w:t>cent and 8½ per </w:t>
      </w:r>
      <w:r w:rsidR="00DC081B" w:rsidRPr="00DC081B">
        <w:t>cent</w:t>
      </w:r>
      <w:r w:rsidR="00FC3D0B">
        <w:t xml:space="preserve"> respectively</w:t>
      </w:r>
      <w:r w:rsidR="00DC081B" w:rsidRPr="00DC081B">
        <w:t xml:space="preserve">. </w:t>
      </w:r>
    </w:p>
    <w:p w:rsidR="00DC081B" w:rsidRPr="00DC081B" w:rsidRDefault="00DC081B" w:rsidP="00DC081B">
      <w:r w:rsidRPr="00DC081B">
        <w:t xml:space="preserve">Machinery and equipment investment in the non-mining </w:t>
      </w:r>
      <w:r w:rsidR="006A6467">
        <w:t xml:space="preserve">related </w:t>
      </w:r>
      <w:r w:rsidRPr="00DC081B">
        <w:t xml:space="preserve">parts of the economy is expected to </w:t>
      </w:r>
      <w:r w:rsidR="00D92981">
        <w:t>be weak</w:t>
      </w:r>
      <w:r w:rsidRPr="00DC081B">
        <w:t xml:space="preserve"> over the forecast horizon as these sectors </w:t>
      </w:r>
      <w:r w:rsidR="00D92981">
        <w:t xml:space="preserve">struggle with the high exchange rate, </w:t>
      </w:r>
      <w:r w:rsidR="00D45209" w:rsidRPr="00D45209">
        <w:t>cautious consumer spending</w:t>
      </w:r>
      <w:r w:rsidR="00D45209">
        <w:t xml:space="preserve"> and changing spending habits</w:t>
      </w:r>
      <w:r w:rsidRPr="00D45209">
        <w:t>.</w:t>
      </w:r>
      <w:r w:rsidR="00586A3D">
        <w:t xml:space="preserve"> </w:t>
      </w:r>
      <w:r w:rsidR="002F406A">
        <w:t>However, booming mining</w:t>
      </w:r>
      <w:r w:rsidR="002F406A">
        <w:noBreakHyphen/>
      </w:r>
      <w:r w:rsidRPr="00DC081B">
        <w:t>related investment in machinery and equipment is expected to more than offset this weakness and drive solid growth over the forecast period.</w:t>
      </w:r>
    </w:p>
    <w:p w:rsidR="00474C3B" w:rsidRPr="00B96C41" w:rsidRDefault="00DC081B" w:rsidP="00DC081B">
      <w:pPr>
        <w:rPr>
          <w:highlight w:val="yellow"/>
        </w:rPr>
      </w:pPr>
      <w:r w:rsidRPr="00DC081B">
        <w:t xml:space="preserve">The outlook for </w:t>
      </w:r>
      <w:r w:rsidRPr="00C85596">
        <w:rPr>
          <w:b/>
        </w:rPr>
        <w:t>non-residential building</w:t>
      </w:r>
      <w:r w:rsidRPr="00DC081B">
        <w:t xml:space="preserve"> remain</w:t>
      </w:r>
      <w:r w:rsidR="002E20E6">
        <w:t>s</w:t>
      </w:r>
      <w:r w:rsidRPr="00DC081B">
        <w:t xml:space="preserve"> weak despite recent strength in mining-related accommodation</w:t>
      </w:r>
      <w:r w:rsidR="002E20E6">
        <w:t xml:space="preserve"> (which is expected to fade)</w:t>
      </w:r>
      <w:r w:rsidRPr="00DC081B">
        <w:t xml:space="preserve"> and hospital construction.</w:t>
      </w:r>
      <w:r w:rsidR="00D45209">
        <w:t xml:space="preserve"> </w:t>
      </w:r>
      <w:r w:rsidRPr="00DC081B">
        <w:t xml:space="preserve"> </w:t>
      </w:r>
      <w:r w:rsidR="00D45209">
        <w:t xml:space="preserve"> </w:t>
      </w:r>
      <w:r w:rsidR="002E20E6">
        <w:t xml:space="preserve"> More generally</w:t>
      </w:r>
      <w:r w:rsidRPr="00DC081B">
        <w:t>, underlying demand in the non</w:t>
      </w:r>
      <w:r w:rsidR="002E20E6">
        <w:noBreakHyphen/>
      </w:r>
      <w:r w:rsidRPr="00DC081B">
        <w:t xml:space="preserve">residential building sector remains weak with </w:t>
      </w:r>
      <w:r w:rsidR="00D45209">
        <w:t xml:space="preserve">a modest </w:t>
      </w:r>
      <w:r w:rsidRPr="00DC081B">
        <w:t xml:space="preserve">employment outlook and </w:t>
      </w:r>
      <w:r w:rsidR="002E20E6">
        <w:t>modest</w:t>
      </w:r>
      <w:r w:rsidRPr="00DC081B">
        <w:t xml:space="preserve"> consumer </w:t>
      </w:r>
      <w:r w:rsidR="002E20E6">
        <w:t>spending</w:t>
      </w:r>
      <w:r w:rsidRPr="00DC081B">
        <w:t xml:space="preserve"> weighing on </w:t>
      </w:r>
      <w:r w:rsidR="00D45209">
        <w:t xml:space="preserve">new construction of </w:t>
      </w:r>
      <w:r w:rsidRPr="00DC081B">
        <w:t xml:space="preserve">commercial offices and retail space. </w:t>
      </w:r>
      <w:r w:rsidR="00D45209">
        <w:t xml:space="preserve"> </w:t>
      </w:r>
      <w:r w:rsidRPr="00DC081B">
        <w:t xml:space="preserve">With limited new investment currently in the pipeline, non-residential </w:t>
      </w:r>
      <w:r w:rsidR="002E20E6">
        <w:t>building is forecast to grow 4 per cent in 2011-12, fall</w:t>
      </w:r>
      <w:r w:rsidR="00D7236C">
        <w:t> </w:t>
      </w:r>
      <w:r w:rsidRPr="00DC081B">
        <w:t xml:space="preserve"> ½</w:t>
      </w:r>
      <w:r w:rsidR="002F406A">
        <w:t> </w:t>
      </w:r>
      <w:r w:rsidR="00D7236C">
        <w:t xml:space="preserve">of a </w:t>
      </w:r>
      <w:r w:rsidRPr="00DC081B">
        <w:t>per cent</w:t>
      </w:r>
      <w:r w:rsidR="002E20E6">
        <w:t xml:space="preserve"> in 2012-13 and rise</w:t>
      </w:r>
      <w:r w:rsidRPr="00DC081B">
        <w:t xml:space="preserve"> 3½</w:t>
      </w:r>
      <w:r w:rsidR="00506E9C">
        <w:t xml:space="preserve"> per cent</w:t>
      </w:r>
      <w:r w:rsidRPr="00DC081B">
        <w:t xml:space="preserve"> in 2013-14.</w:t>
      </w:r>
    </w:p>
    <w:p w:rsidR="009D7882" w:rsidRDefault="006B4DF6" w:rsidP="002940D6">
      <w:pPr>
        <w:pStyle w:val="Heading4"/>
        <w:keepNext w:val="0"/>
      </w:pPr>
      <w:bookmarkStart w:id="16" w:name="_Toc322100141"/>
      <w:r w:rsidRPr="00B845F5">
        <w:lastRenderedPageBreak/>
        <w:t>Public final demand</w:t>
      </w:r>
      <w:bookmarkEnd w:id="13"/>
      <w:bookmarkEnd w:id="16"/>
    </w:p>
    <w:p w:rsidR="00EE3C25" w:rsidRPr="00DB493E" w:rsidRDefault="00DB493E" w:rsidP="00EE3C25">
      <w:pPr>
        <w:rPr>
          <w:color w:val="1F497D"/>
        </w:rPr>
      </w:pPr>
      <w:r w:rsidRPr="00DB493E">
        <w:rPr>
          <w:b/>
        </w:rPr>
        <w:t>Public final demand</w:t>
      </w:r>
      <w:r w:rsidRPr="00DB493E">
        <w:t xml:space="preserve"> is forecast to grow at below-average rate</w:t>
      </w:r>
      <w:r>
        <w:t>s</w:t>
      </w:r>
      <w:r w:rsidRPr="00DB493E">
        <w:t xml:space="preserve"> in 2011-12 and 2012-13 as governments at all levels undertake fiscal consolidation.  </w:t>
      </w:r>
      <w:r w:rsidR="00D45209" w:rsidRPr="00EE3C25">
        <w:t xml:space="preserve">Public final demand is forecast to grow 1½ per cent in 2011-12, </w:t>
      </w:r>
      <w:r w:rsidR="00733D67">
        <w:t>before falling ½</w:t>
      </w:r>
      <w:r w:rsidR="0070529C">
        <w:t xml:space="preserve"> of</w:t>
      </w:r>
      <w:r w:rsidR="00733D67">
        <w:t xml:space="preserve"> a per cent</w:t>
      </w:r>
      <w:r w:rsidR="00D45209">
        <w:t xml:space="preserve"> in 2012-13</w:t>
      </w:r>
      <w:r w:rsidR="00733D67">
        <w:t>.</w:t>
      </w:r>
      <w:r w:rsidR="006A6467">
        <w:t xml:space="preserve"> </w:t>
      </w:r>
      <w:r w:rsidR="00D45209">
        <w:t xml:space="preserve"> </w:t>
      </w:r>
      <w:r w:rsidR="00733D67">
        <w:t xml:space="preserve">Public final demand is forecast to remain flat in </w:t>
      </w:r>
      <w:r w:rsidR="00D45209">
        <w:t>2013-14.  R</w:t>
      </w:r>
      <w:r w:rsidR="00EE3C25" w:rsidRPr="00EE3C25">
        <w:t xml:space="preserve">ecent state budget updates </w:t>
      </w:r>
      <w:r w:rsidR="00D45209">
        <w:t xml:space="preserve">suggest </w:t>
      </w:r>
      <w:r w:rsidR="00EE3C25" w:rsidRPr="00EE3C25">
        <w:t>higher expen</w:t>
      </w:r>
      <w:r w:rsidR="00D45209">
        <w:t>diture over the forecast period</w:t>
      </w:r>
      <w:r w:rsidR="00EE3C25" w:rsidRPr="00EE3C25">
        <w:t>, particularly with respect to investment expenditure in 2012-13</w:t>
      </w:r>
      <w:r w:rsidR="00E046F6">
        <w:t>, offsetting a slightly larger fall i</w:t>
      </w:r>
      <w:r w:rsidR="00BA376F">
        <w:t>n commonwealth spending in 2012</w:t>
      </w:r>
      <w:r w:rsidR="00BA376F">
        <w:noBreakHyphen/>
      </w:r>
      <w:r w:rsidR="00E046F6">
        <w:t>13</w:t>
      </w:r>
      <w:r w:rsidR="00AD55D2">
        <w:t xml:space="preserve"> (Chart 6)</w:t>
      </w:r>
      <w:r w:rsidR="00EE3C25" w:rsidRPr="00EE3C25">
        <w:t xml:space="preserve">.  </w:t>
      </w:r>
      <w:r w:rsidR="00235237">
        <w:t xml:space="preserve">The forecast for </w:t>
      </w:r>
      <w:r w:rsidR="00B40A36">
        <w:t xml:space="preserve">growth in </w:t>
      </w:r>
      <w:r w:rsidR="00235237">
        <w:t>2013-14 has been downgraded reflect</w:t>
      </w:r>
      <w:r w:rsidR="00D45209">
        <w:t xml:space="preserve">ing higher </w:t>
      </w:r>
      <w:r w:rsidR="006F3A57">
        <w:t>expenditure</w:t>
      </w:r>
      <w:r w:rsidR="00D45209">
        <w:t xml:space="preserve"> in </w:t>
      </w:r>
      <w:r w:rsidR="00235237">
        <w:t>2012-13.</w:t>
      </w:r>
    </w:p>
    <w:p w:rsidR="00AD55D2" w:rsidRPr="00AE72CF" w:rsidRDefault="00AD55D2" w:rsidP="00AD55D2">
      <w:pPr>
        <w:spacing w:after="120"/>
        <w:jc w:val="center"/>
        <w:rPr>
          <w:b/>
        </w:rPr>
      </w:pPr>
      <w:r w:rsidRPr="00AE72CF">
        <w:rPr>
          <w:b/>
        </w:rPr>
        <w:t xml:space="preserve">Chart </w:t>
      </w:r>
      <w:r w:rsidR="00F04032">
        <w:rPr>
          <w:b/>
        </w:rPr>
        <w:t>6</w:t>
      </w:r>
      <w:r w:rsidRPr="00AE72CF">
        <w:rPr>
          <w:b/>
        </w:rPr>
        <w:t xml:space="preserve">: </w:t>
      </w:r>
      <w:r w:rsidRPr="00AD55D2">
        <w:rPr>
          <w:b/>
        </w:rPr>
        <w:t>Growth in real State and Local Government Expenditure</w:t>
      </w:r>
    </w:p>
    <w:p w:rsidR="00AD55D2" w:rsidRDefault="0096420C" w:rsidP="00AD55D2">
      <w:pPr>
        <w:pStyle w:val="ChartGraphic0"/>
      </w:pPr>
      <w:r>
        <w:object w:dxaOrig="3961" w:dyaOrig="3961">
          <v:shape id="_x0000_i1032" type="#_x0000_t75" style="width:198.8pt;height:198.8pt" o:ole="">
            <v:imagedata r:id="rId33" o:title=""/>
          </v:shape>
          <o:OLEObject Type="Link" ProgID="Excel.Sheet.12" ShapeID="_x0000_i1032" DrawAspect="Content" r:id="rId34" UpdateMode="Always">
            <o:LinkType>EnhancedMetaFile</o:LinkType>
            <o:LockedField>false</o:LockedField>
          </o:OLEObject>
        </w:object>
      </w:r>
    </w:p>
    <w:p w:rsidR="0022679D" w:rsidRDefault="00F3585E" w:rsidP="00F3585E">
      <w:pPr>
        <w:pStyle w:val="ChartandTableFootnoteAlpha"/>
        <w:tabs>
          <w:tab w:val="clear" w:pos="283"/>
        </w:tabs>
        <w:spacing w:line="240" w:lineRule="auto"/>
      </w:pPr>
      <w:r>
        <w:t>Note: Excluding second</w:t>
      </w:r>
      <w:r>
        <w:noBreakHyphen/>
        <w:t>h</w:t>
      </w:r>
      <w:r w:rsidR="0022679D">
        <w:t>and asset sales from the public</w:t>
      </w:r>
    </w:p>
    <w:p w:rsidR="00DB3BF0" w:rsidRDefault="00F3585E" w:rsidP="00F3585E">
      <w:pPr>
        <w:pStyle w:val="ChartandTableFootnoteAlpha"/>
        <w:tabs>
          <w:tab w:val="clear" w:pos="283"/>
        </w:tabs>
        <w:spacing w:line="240" w:lineRule="auto"/>
      </w:pPr>
      <w:r>
        <w:t>sector to the private sector.</w:t>
      </w:r>
    </w:p>
    <w:p w:rsidR="0022679D" w:rsidRDefault="0022679D" w:rsidP="0022679D">
      <w:pPr>
        <w:pStyle w:val="ChartGraphic0"/>
        <w:jc w:val="left"/>
      </w:pPr>
      <w:r w:rsidRPr="008C129D">
        <w:rPr>
          <w:rFonts w:ascii="Tahoma" w:hAnsi="Tahoma" w:cs="Tahoma"/>
          <w:sz w:val="16"/>
          <w:szCs w:val="16"/>
        </w:rPr>
        <w:t xml:space="preserve">Source: </w:t>
      </w:r>
      <w:r>
        <w:rPr>
          <w:rFonts w:ascii="Tahoma" w:hAnsi="Tahoma" w:cs="Tahoma"/>
          <w:sz w:val="16"/>
          <w:szCs w:val="16"/>
        </w:rPr>
        <w:t>ABS cat. no. 5206.0 and Treasury.</w:t>
      </w:r>
    </w:p>
    <w:p w:rsidR="0022679D" w:rsidRDefault="0022679D" w:rsidP="00F3585E">
      <w:pPr>
        <w:pStyle w:val="ChartandTableFootnoteAlpha"/>
        <w:tabs>
          <w:tab w:val="clear" w:pos="283"/>
        </w:tabs>
        <w:spacing w:line="240" w:lineRule="auto"/>
      </w:pPr>
    </w:p>
    <w:p w:rsidR="00BA376F" w:rsidRPr="00BA376F" w:rsidRDefault="00BA376F" w:rsidP="00BA376F"/>
    <w:p w:rsidR="00BA376F" w:rsidRPr="00BA376F" w:rsidRDefault="00BA376F" w:rsidP="00BA376F"/>
    <w:p w:rsidR="005B389D" w:rsidRDefault="005B389D" w:rsidP="003D5B58">
      <w:pPr>
        <w:pStyle w:val="Heading4"/>
        <w:keepNext w:val="0"/>
        <w:spacing w:before="0"/>
        <w:jc w:val="both"/>
      </w:pPr>
      <w:bookmarkStart w:id="17" w:name="_Toc322100142"/>
      <w:r w:rsidRPr="00B0461A">
        <w:t>Exports, imports and the current account deficit</w:t>
      </w:r>
      <w:bookmarkEnd w:id="17"/>
    </w:p>
    <w:p w:rsidR="00830638" w:rsidRPr="00830638" w:rsidRDefault="00D202CC" w:rsidP="00830638">
      <w:r>
        <w:rPr>
          <w:szCs w:val="20"/>
        </w:rPr>
        <w:t>The outlook for export growth has been downgraded since December JEFG, largely reflecting resource industry capacity issues, weak global demand and a high Australia</w:t>
      </w:r>
      <w:r w:rsidR="003C588C">
        <w:rPr>
          <w:szCs w:val="20"/>
        </w:rPr>
        <w:t>n</w:t>
      </w:r>
      <w:r>
        <w:rPr>
          <w:szCs w:val="20"/>
        </w:rPr>
        <w:t xml:space="preserve"> dollar.  </w:t>
      </w:r>
      <w:r w:rsidR="00830638" w:rsidRPr="00450877">
        <w:rPr>
          <w:b/>
        </w:rPr>
        <w:t>Net exports</w:t>
      </w:r>
      <w:r w:rsidR="00830638" w:rsidRPr="00830638">
        <w:t xml:space="preserve"> are expected to detract 2</w:t>
      </w:r>
      <w:r w:rsidR="00912EF6">
        <w:t> </w:t>
      </w:r>
      <w:r w:rsidR="00830638" w:rsidRPr="00830638">
        <w:t>percentage points fro</w:t>
      </w:r>
      <w:r w:rsidR="00D45209">
        <w:t xml:space="preserve">m real GDP growth in 2011-12, </w:t>
      </w:r>
      <w:r w:rsidR="00495C13">
        <w:t xml:space="preserve">¾ of a </w:t>
      </w:r>
      <w:r w:rsidR="00D45209">
        <w:t>percentage point</w:t>
      </w:r>
      <w:r w:rsidR="00830638" w:rsidRPr="00830638">
        <w:t xml:space="preserve"> in 2012-13 and ½</w:t>
      </w:r>
      <w:r w:rsidR="00912EF6">
        <w:t> </w:t>
      </w:r>
      <w:r w:rsidR="00D45209">
        <w:t>of</w:t>
      </w:r>
      <w:r w:rsidR="00912EF6">
        <w:t> </w:t>
      </w:r>
      <w:r w:rsidR="00830638" w:rsidRPr="00830638">
        <w:t xml:space="preserve">a percentage point in 2013-14. </w:t>
      </w:r>
      <w:r w:rsidR="00D45209">
        <w:t xml:space="preserve"> </w:t>
      </w:r>
      <w:r w:rsidR="00830638" w:rsidRPr="00830638">
        <w:t xml:space="preserve">This is a </w:t>
      </w:r>
      <w:r w:rsidR="00830638" w:rsidRPr="00830638">
        <w:lastRenderedPageBreak/>
        <w:t>slightly larger detraction in 2011-12</w:t>
      </w:r>
      <w:r w:rsidR="00495C13">
        <w:t xml:space="preserve"> </w:t>
      </w:r>
      <w:r w:rsidR="00830638" w:rsidRPr="00830638">
        <w:t xml:space="preserve">than forecast in December JEFG, reflecting weaker export growth </w:t>
      </w:r>
      <w:r w:rsidR="00495C13">
        <w:t>in that year</w:t>
      </w:r>
      <w:r w:rsidR="00830638" w:rsidRPr="00830638">
        <w:t>.</w:t>
      </w:r>
    </w:p>
    <w:p w:rsidR="00830638" w:rsidRDefault="00830638" w:rsidP="00830638">
      <w:r w:rsidRPr="00450877">
        <w:rPr>
          <w:b/>
        </w:rPr>
        <w:t>Total exports</w:t>
      </w:r>
      <w:r w:rsidRPr="00830638">
        <w:t xml:space="preserve"> forecasts in 2011-12 and 2012-13 have bee</w:t>
      </w:r>
      <w:r w:rsidR="00B81C67">
        <w:t>n downgraded from December JEFG</w:t>
      </w:r>
      <w:r w:rsidRPr="00830638">
        <w:t xml:space="preserve">.  </w:t>
      </w:r>
      <w:r w:rsidR="000B1CCF">
        <w:t>T</w:t>
      </w:r>
      <w:r w:rsidRPr="00830638">
        <w:t>his largely reflects a downgrade to non</w:t>
      </w:r>
      <w:r w:rsidR="00D45209">
        <w:noBreakHyphen/>
      </w:r>
      <w:r w:rsidRPr="00830638">
        <w:t xml:space="preserve">rural commodities, </w:t>
      </w:r>
      <w:r w:rsidR="00B81C67">
        <w:t>with services and rural exports also weaker</w:t>
      </w:r>
      <w:r w:rsidRPr="00830638">
        <w:t xml:space="preserve">.  </w:t>
      </w:r>
      <w:r w:rsidR="00B81C67">
        <w:t>Export growth in 2013-14 has been upgraded from December</w:t>
      </w:r>
      <w:r w:rsidR="00D82E89">
        <w:t xml:space="preserve"> JEFG reflecting an upgrade to </w:t>
      </w:r>
      <w:r w:rsidR="00D202CC">
        <w:t>MTP</w:t>
      </w:r>
      <w:r w:rsidR="00B81C67">
        <w:t xml:space="preserve"> growth.  T</w:t>
      </w:r>
      <w:r w:rsidRPr="00830638">
        <w:t>otal exports are expected to gro</w:t>
      </w:r>
      <w:r w:rsidR="00B81C67">
        <w:t>w 4</w:t>
      </w:r>
      <w:r w:rsidR="00E17BF7">
        <w:t> </w:t>
      </w:r>
      <w:r w:rsidR="00B81C67">
        <w:t>per cent in 2011-12 and 4½</w:t>
      </w:r>
      <w:r w:rsidR="002F406A">
        <w:t> </w:t>
      </w:r>
      <w:r w:rsidR="00B81C67">
        <w:t>per cent in</w:t>
      </w:r>
      <w:r w:rsidR="007629F2">
        <w:t xml:space="preserve"> both</w:t>
      </w:r>
      <w:r w:rsidRPr="00830638">
        <w:t xml:space="preserve"> 2012</w:t>
      </w:r>
      <w:r w:rsidR="00E17BF7">
        <w:noBreakHyphen/>
      </w:r>
      <w:r w:rsidRPr="00830638">
        <w:t>13 and 2013-14.</w:t>
      </w:r>
    </w:p>
    <w:p w:rsidR="00830638" w:rsidRDefault="00830638" w:rsidP="00830638">
      <w:r w:rsidRPr="00450877">
        <w:rPr>
          <w:b/>
        </w:rPr>
        <w:t>Non-rural export</w:t>
      </w:r>
      <w:r w:rsidRPr="00830638">
        <w:t xml:space="preserve"> volume forecasts have been downgraded since December JEFG due to revised assessments of new capacity coming online, particularly with respe</w:t>
      </w:r>
      <w:r w:rsidR="006C5332">
        <w:t>ct to coal exports.  Despite this downgrade</w:t>
      </w:r>
      <w:r w:rsidR="00DB3BF0">
        <w:t>,</w:t>
      </w:r>
      <w:r w:rsidR="006C5332">
        <w:t xml:space="preserve"> </w:t>
      </w:r>
      <w:r w:rsidR="00D202CC">
        <w:t xml:space="preserve">non-rural exports </w:t>
      </w:r>
      <w:r w:rsidR="006C5332">
        <w:t xml:space="preserve">volumes </w:t>
      </w:r>
      <w:r w:rsidRPr="00830638">
        <w:t xml:space="preserve">are still expected to grow solidly over the next two </w:t>
      </w:r>
      <w:r w:rsidRPr="006C5332">
        <w:t>years as current strong investment translates into enhanced production and export capacity</w:t>
      </w:r>
      <w:r w:rsidR="00D50DFC">
        <w:t xml:space="preserve"> (Chart </w:t>
      </w:r>
      <w:r w:rsidR="00AD55D2">
        <w:t>7</w:t>
      </w:r>
      <w:r w:rsidR="00D50DFC">
        <w:t>)</w:t>
      </w:r>
      <w:r w:rsidRPr="00830638">
        <w:t xml:space="preserve">.  </w:t>
      </w:r>
    </w:p>
    <w:p w:rsidR="00C2586D" w:rsidRPr="00486FBD" w:rsidRDefault="00C2586D" w:rsidP="0021594E">
      <w:pPr>
        <w:keepNext/>
        <w:jc w:val="center"/>
        <w:rPr>
          <w:b/>
        </w:rPr>
      </w:pPr>
      <w:r w:rsidRPr="00486FBD">
        <w:rPr>
          <w:b/>
        </w:rPr>
        <w:t xml:space="preserve">Chart </w:t>
      </w:r>
      <w:r w:rsidR="00AD55D2">
        <w:rPr>
          <w:b/>
        </w:rPr>
        <w:t>7</w:t>
      </w:r>
      <w:r w:rsidRPr="00486FBD">
        <w:rPr>
          <w:b/>
        </w:rPr>
        <w:t>: Non-rural com</w:t>
      </w:r>
      <w:r w:rsidR="00763F66">
        <w:rPr>
          <w:b/>
        </w:rPr>
        <w:t>modity exports and</w:t>
      </w:r>
      <w:r w:rsidRPr="00486FBD">
        <w:rPr>
          <w:b/>
        </w:rPr>
        <w:t xml:space="preserve"> business investment</w:t>
      </w:r>
    </w:p>
    <w:p w:rsidR="00C2586D" w:rsidRDefault="007B710E" w:rsidP="00C2586D">
      <w:pPr>
        <w:keepNext/>
        <w:spacing w:line="240" w:lineRule="auto"/>
        <w:jc w:val="left"/>
      </w:pPr>
      <w:r>
        <w:rPr>
          <w:rFonts w:ascii="Tahoma" w:hAnsi="Tahoma" w:cs="Tahoma"/>
          <w:sz w:val="16"/>
          <w:szCs w:val="16"/>
        </w:rPr>
        <w:object w:dxaOrig="3961" w:dyaOrig="3961">
          <v:shape id="_x0000_i1033" type="#_x0000_t75" style="width:198.8pt;height:198.8pt" o:ole="">
            <v:imagedata r:id="rId35" o:title=""/>
          </v:shape>
          <o:OLEObject Type="Link" ProgID="Excel.Sheet.12" ShapeID="_x0000_i1033" DrawAspect="Content" r:id="rId36" UpdateMode="Always">
            <o:LinkType>EnhancedMetaFile</o:LinkType>
            <o:LockedField/>
          </o:OLEObject>
        </w:object>
      </w:r>
      <w:r w:rsidR="00C2586D" w:rsidRPr="008C129D">
        <w:rPr>
          <w:rFonts w:ascii="Tahoma" w:hAnsi="Tahoma" w:cs="Tahoma"/>
          <w:sz w:val="16"/>
          <w:szCs w:val="16"/>
        </w:rPr>
        <w:t xml:space="preserve">Source: ABS </w:t>
      </w:r>
      <w:r w:rsidR="00B72FAF">
        <w:rPr>
          <w:rFonts w:ascii="Tahoma" w:hAnsi="Tahoma" w:cs="Tahoma"/>
          <w:sz w:val="16"/>
          <w:szCs w:val="16"/>
        </w:rPr>
        <w:t xml:space="preserve">cat. no. </w:t>
      </w:r>
      <w:r w:rsidR="00C2586D">
        <w:rPr>
          <w:rFonts w:ascii="Tahoma" w:hAnsi="Tahoma" w:cs="Tahoma"/>
          <w:sz w:val="16"/>
          <w:szCs w:val="16"/>
        </w:rPr>
        <w:t>5206.0</w:t>
      </w:r>
      <w:r w:rsidR="00C2586D" w:rsidRPr="008C129D">
        <w:rPr>
          <w:rFonts w:ascii="Tahoma" w:hAnsi="Tahoma" w:cs="Tahoma"/>
          <w:sz w:val="16"/>
          <w:szCs w:val="16"/>
        </w:rPr>
        <w:t xml:space="preserve"> and Treasury.</w:t>
      </w:r>
    </w:p>
    <w:p w:rsidR="00B81C67" w:rsidRDefault="00160A54" w:rsidP="00830638">
      <w:r w:rsidRPr="00A84C35">
        <w:rPr>
          <w:szCs w:val="20"/>
        </w:rPr>
        <w:t>Coal exports ha</w:t>
      </w:r>
      <w:r>
        <w:rPr>
          <w:szCs w:val="20"/>
        </w:rPr>
        <w:t>ve</w:t>
      </w:r>
      <w:r w:rsidRPr="00A84C35">
        <w:rPr>
          <w:szCs w:val="20"/>
        </w:rPr>
        <w:t xml:space="preserve"> underperformed relative to expectations throughout 2011, </w:t>
      </w:r>
      <w:r>
        <w:rPr>
          <w:szCs w:val="20"/>
        </w:rPr>
        <w:t xml:space="preserve">as the industry has struggled to recover from the 2011 Queensland floods. </w:t>
      </w:r>
      <w:r w:rsidR="00830638" w:rsidRPr="00830638">
        <w:t xml:space="preserve"> While Queensland coal exports had largely recovered from the 2011 floods in the month of</w:t>
      </w:r>
      <w:r w:rsidR="00D202CC">
        <w:t xml:space="preserve"> December, recent data indicate</w:t>
      </w:r>
      <w:r w:rsidR="00830638" w:rsidRPr="00830638">
        <w:t xml:space="preserve"> that wet weather and industrial relations disputes will reduce growth in the March quarter</w:t>
      </w:r>
      <w:r w:rsidR="00D202CC">
        <w:t xml:space="preserve">.  In addition, the </w:t>
      </w:r>
      <w:r w:rsidR="00D202CC">
        <w:lastRenderedPageBreak/>
        <w:t>slower</w:t>
      </w:r>
      <w:r w:rsidR="00D202CC">
        <w:noBreakHyphen/>
        <w:t>than</w:t>
      </w:r>
      <w:r w:rsidR="00D202CC">
        <w:noBreakHyphen/>
      </w:r>
      <w:r w:rsidR="00830638" w:rsidRPr="00830638">
        <w:t>expected recovery in 2011 is expected to have a flow</w:t>
      </w:r>
      <w:r w:rsidR="00D202CC">
        <w:t>-</w:t>
      </w:r>
      <w:r w:rsidR="00830638" w:rsidRPr="00830638">
        <w:t>on impact o</w:t>
      </w:r>
      <w:r w:rsidR="00D202CC">
        <w:t>n</w:t>
      </w:r>
      <w:r w:rsidR="00830638" w:rsidRPr="00830638">
        <w:t xml:space="preserve"> industry expansion plans and outp</w:t>
      </w:r>
      <w:r w:rsidR="00B81C67">
        <w:t>ut over the forecast horizon.</w:t>
      </w:r>
    </w:p>
    <w:p w:rsidR="00830638" w:rsidRDefault="00830638" w:rsidP="00830638">
      <w:r w:rsidRPr="00830638">
        <w:t xml:space="preserve">Partly offsetting this, </w:t>
      </w:r>
      <w:r w:rsidR="00710033">
        <w:t xml:space="preserve">forecasts of </w:t>
      </w:r>
      <w:r w:rsidRPr="00830638">
        <w:t xml:space="preserve">iron ore exports have been upgraded over the </w:t>
      </w:r>
      <w:r w:rsidR="00710033">
        <w:t>next two years</w:t>
      </w:r>
      <w:r w:rsidRPr="00830638">
        <w:t xml:space="preserve">, reflecting the strong growth and demonstrated capability of the sector to produce to capacity targets in recent quarters.  Overall, non-rural exports are expected to grow solidly over the next two years as high investment in the sector continues to translate into </w:t>
      </w:r>
      <w:r w:rsidR="00710033">
        <w:t xml:space="preserve">increased </w:t>
      </w:r>
      <w:r w:rsidRPr="00830638">
        <w:t>export output.  Non-rural volume growth is expected to be strong at 8</w:t>
      </w:r>
      <w:r w:rsidR="002F406A">
        <w:t> </w:t>
      </w:r>
      <w:r w:rsidRPr="00830638">
        <w:t>per cent in 2011-12, 7½</w:t>
      </w:r>
      <w:r w:rsidR="00684022">
        <w:t> </w:t>
      </w:r>
      <w:r w:rsidRPr="00830638">
        <w:t>per</w:t>
      </w:r>
      <w:r w:rsidR="00684022">
        <w:t> </w:t>
      </w:r>
      <w:r w:rsidRPr="00830638">
        <w:t>cent in 2012-13 and 5½ per cent in 2013</w:t>
      </w:r>
      <w:r w:rsidR="00684022">
        <w:noBreakHyphen/>
      </w:r>
      <w:r w:rsidRPr="00830638">
        <w:t xml:space="preserve">14. </w:t>
      </w:r>
    </w:p>
    <w:p w:rsidR="00710033" w:rsidRDefault="00FE108B" w:rsidP="00830638">
      <w:r>
        <w:rPr>
          <w:b/>
          <w:bCs/>
        </w:rPr>
        <w:t>Rural export volumes</w:t>
      </w:r>
      <w:r>
        <w:t xml:space="preserve"> forecasts for 2011-12 have been downgraded, reflecting reduced yield expectations for some summer crops.  Nevertheless, volumes are expected to grow a strong 8 per cent to a record $29.7 billio</w:t>
      </w:r>
      <w:r w:rsidR="00DB3BF0">
        <w:t>n.</w:t>
      </w:r>
      <w:r>
        <w:t xml:space="preserve"> Forecasts for 2012-13 and 2013-14 have been upgraded, reflecting near</w:t>
      </w:r>
      <w:r w:rsidR="00710033">
        <w:noBreakHyphen/>
      </w:r>
      <w:r>
        <w:t>full soil moisture profiles and water storages across most growing regions.  Nevertheless, 2011-12 level</w:t>
      </w:r>
      <w:r w:rsidR="00710033">
        <w:t>s are so high</w:t>
      </w:r>
      <w:r w:rsidRPr="00710033">
        <w:t xml:space="preserve"> </w:t>
      </w:r>
      <w:r w:rsidR="00710033" w:rsidRPr="00710033">
        <w:t>that</w:t>
      </w:r>
      <w:r w:rsidR="006A6467">
        <w:t>, in terms of growth,</w:t>
      </w:r>
      <w:r w:rsidR="00710033" w:rsidRPr="00710033">
        <w:t xml:space="preserve"> </w:t>
      </w:r>
      <w:r>
        <w:t>rural export volumes are expected to be flat in 2012</w:t>
      </w:r>
      <w:r w:rsidR="006A6467">
        <w:noBreakHyphen/>
      </w:r>
      <w:r>
        <w:t>13 and grow just 2</w:t>
      </w:r>
      <w:r w:rsidR="005F700D">
        <w:t> </w:t>
      </w:r>
      <w:r>
        <w:t>per cent in 2013-14, based on an assumption of a return to more normal seasonal conditions.</w:t>
      </w:r>
      <w:r w:rsidR="005A5747">
        <w:t xml:space="preserve"> </w:t>
      </w:r>
      <w:r>
        <w:t xml:space="preserve"> </w:t>
      </w:r>
    </w:p>
    <w:p w:rsidR="00830638" w:rsidRDefault="00FE108B" w:rsidP="00830638">
      <w:r>
        <w:t>Farm GDP growth forecasts have been downgraded by 7</w:t>
      </w:r>
      <w:r w:rsidR="004268EB">
        <w:t> </w:t>
      </w:r>
      <w:r>
        <w:t xml:space="preserve">percentage points in 2011-12 reflecting lower </w:t>
      </w:r>
      <w:r w:rsidR="00705A22">
        <w:t xml:space="preserve">than previously </w:t>
      </w:r>
      <w:r>
        <w:t>expected yields</w:t>
      </w:r>
      <w:r>
        <w:rPr>
          <w:color w:val="1F497D"/>
        </w:rPr>
        <w:t xml:space="preserve"> </w:t>
      </w:r>
      <w:r>
        <w:t>for some summer crops and upgraded in 2012-13 and 2013-14 ref</w:t>
      </w:r>
      <w:r w:rsidR="00710033">
        <w:t>lecting near-</w:t>
      </w:r>
      <w:r>
        <w:t>full soil moisture profiles.</w:t>
      </w:r>
      <w:r w:rsidR="005A5747">
        <w:t xml:space="preserve"> </w:t>
      </w:r>
      <w:r>
        <w:t xml:space="preserve"> Farm GDP is now expected to decline 6 per cent in 2011-12, before rising 2</w:t>
      </w:r>
      <w:r w:rsidR="00BA376F">
        <w:t> </w:t>
      </w:r>
      <w:r>
        <w:t>per cent in 201</w:t>
      </w:r>
      <w:r w:rsidR="006E544E">
        <w:t>2-13 and 1 per cent in 2013-14</w:t>
      </w:r>
      <w:r>
        <w:t>.</w:t>
      </w:r>
    </w:p>
    <w:p w:rsidR="00830638" w:rsidRDefault="00AE20D3" w:rsidP="00226951">
      <w:r w:rsidRPr="00AE20D3">
        <w:rPr>
          <w:bCs/>
        </w:rPr>
        <w:t>The outlook for</w:t>
      </w:r>
      <w:r>
        <w:rPr>
          <w:b/>
          <w:bCs/>
        </w:rPr>
        <w:t xml:space="preserve"> </w:t>
      </w:r>
      <w:r w:rsidR="001368E2" w:rsidRPr="00862FFC">
        <w:rPr>
          <w:b/>
          <w:bCs/>
        </w:rPr>
        <w:t>elaborately</w:t>
      </w:r>
      <w:r w:rsidR="00830638" w:rsidRPr="00862FFC">
        <w:rPr>
          <w:b/>
          <w:bCs/>
        </w:rPr>
        <w:t xml:space="preserve"> transformed manufactures</w:t>
      </w:r>
      <w:r w:rsidR="00830638" w:rsidRPr="00862FFC">
        <w:t xml:space="preserve"> (ETM) export volume</w:t>
      </w:r>
      <w:r>
        <w:t>s</w:t>
      </w:r>
      <w:r w:rsidR="00830638" w:rsidRPr="00862FFC">
        <w:t xml:space="preserve"> </w:t>
      </w:r>
      <w:r>
        <w:t xml:space="preserve">is broadly unchanged from December JEFG. </w:t>
      </w:r>
      <w:r w:rsidR="00830638" w:rsidRPr="00862FFC">
        <w:t xml:space="preserve"> </w:t>
      </w:r>
      <w:r w:rsidR="00710D34">
        <w:t xml:space="preserve">While growth in 2011-12 is </w:t>
      </w:r>
      <w:r w:rsidR="00710033">
        <w:t xml:space="preserve">forecast to be </w:t>
      </w:r>
      <w:r w:rsidR="00710D34">
        <w:t xml:space="preserve">weaker due to </w:t>
      </w:r>
      <w:r w:rsidR="00710033">
        <w:t>the</w:t>
      </w:r>
      <w:r w:rsidR="00710D34">
        <w:t xml:space="preserve"> weaker-than-expected December quarter outcome, growth in 2012-13 is </w:t>
      </w:r>
      <w:r w:rsidR="00710033">
        <w:t xml:space="preserve">likely to be </w:t>
      </w:r>
      <w:r w:rsidR="00710D34">
        <w:t>stronger r</w:t>
      </w:r>
      <w:r w:rsidR="009A6110">
        <w:t xml:space="preserve">eflecting stronger </w:t>
      </w:r>
      <w:r w:rsidR="00710033">
        <w:t xml:space="preserve">forecast </w:t>
      </w:r>
      <w:r w:rsidR="009A6110">
        <w:t>MTP growth</w:t>
      </w:r>
      <w:r w:rsidR="001368E2">
        <w:t>.</w:t>
      </w:r>
      <w:r w:rsidR="00830638" w:rsidRPr="009245A3">
        <w:t xml:space="preserve">  ETM</w:t>
      </w:r>
      <w:r w:rsidR="00830638" w:rsidRPr="00862FFC">
        <w:t xml:space="preserve"> export volumes ar</w:t>
      </w:r>
      <w:r w:rsidR="00710D34">
        <w:t>e expected to grow 2</w:t>
      </w:r>
      <w:r w:rsidR="00830638" w:rsidRPr="00862FFC">
        <w:t>½ per cent in 2011-12</w:t>
      </w:r>
      <w:r w:rsidR="00705A22">
        <w:t xml:space="preserve"> and 2012-13</w:t>
      </w:r>
      <w:r w:rsidR="00830638" w:rsidRPr="00862FFC">
        <w:t>, and 3</w:t>
      </w:r>
      <w:r w:rsidR="00DE7486">
        <w:t> </w:t>
      </w:r>
      <w:r w:rsidR="00830638" w:rsidRPr="00862FFC">
        <w:t>per</w:t>
      </w:r>
      <w:r w:rsidR="00DE7486">
        <w:t> </w:t>
      </w:r>
      <w:r w:rsidR="00830638" w:rsidRPr="00862FFC">
        <w:t xml:space="preserve">cent 2013-14.  </w:t>
      </w:r>
    </w:p>
    <w:p w:rsidR="00830638" w:rsidRPr="004D3530" w:rsidRDefault="00E33A23" w:rsidP="00830638">
      <w:r>
        <w:rPr>
          <w:b/>
          <w:bCs/>
        </w:rPr>
        <w:lastRenderedPageBreak/>
        <w:t>Services</w:t>
      </w:r>
      <w:r w:rsidR="00830638" w:rsidRPr="004D3530">
        <w:rPr>
          <w:b/>
          <w:bCs/>
        </w:rPr>
        <w:t xml:space="preserve"> export</w:t>
      </w:r>
      <w:r w:rsidR="00830638" w:rsidRPr="004D3530">
        <w:t xml:space="preserve"> volume forecasts have been down</w:t>
      </w:r>
      <w:r w:rsidR="00A034F9">
        <w:t xml:space="preserve">graded since the December JEFG. </w:t>
      </w:r>
      <w:r w:rsidR="00830638" w:rsidRPr="004D3530">
        <w:t xml:space="preserve"> The outlook remains subdued, </w:t>
      </w:r>
      <w:r w:rsidR="00536916">
        <w:rPr>
          <w:szCs w:val="20"/>
        </w:rPr>
        <w:t>as the high exchange rate and weak advanced economy growth is leading to con</w:t>
      </w:r>
      <w:r w:rsidR="00536916" w:rsidRPr="00017F5B">
        <w:rPr>
          <w:szCs w:val="20"/>
        </w:rPr>
        <w:t>tinuing weakness in tourist arrivals.</w:t>
      </w:r>
      <w:r w:rsidR="00830638" w:rsidRPr="00041098">
        <w:t xml:space="preserve">  While changes to the student visa regime announced </w:t>
      </w:r>
      <w:r w:rsidR="00830638">
        <w:t xml:space="preserve">as part of </w:t>
      </w:r>
      <w:r w:rsidR="00830638" w:rsidRPr="00B9252F">
        <w:t>the Knight Review in November are expected to have some positive impact</w:t>
      </w:r>
      <w:r w:rsidR="00830638">
        <w:t xml:space="preserve"> over the </w:t>
      </w:r>
      <w:r w:rsidR="00235237">
        <w:t xml:space="preserve">medium </w:t>
      </w:r>
      <w:r w:rsidR="00830638">
        <w:t>term, i</w:t>
      </w:r>
      <w:r w:rsidR="00830638" w:rsidRPr="00041098">
        <w:t>nternational student numbers are expected to remain weak in the near</w:t>
      </w:r>
      <w:r w:rsidR="00235237">
        <w:t xml:space="preserve"> </w:t>
      </w:r>
      <w:r w:rsidR="00830638" w:rsidRPr="00041098">
        <w:t>term.  Service</w:t>
      </w:r>
      <w:r>
        <w:t>s</w:t>
      </w:r>
      <w:r w:rsidR="00830638" w:rsidRPr="00041098">
        <w:t xml:space="preserve"> </w:t>
      </w:r>
      <w:r w:rsidR="00830638" w:rsidRPr="004D3530">
        <w:t>exports are expected to fall 5½</w:t>
      </w:r>
      <w:r w:rsidR="002418F9">
        <w:t> </w:t>
      </w:r>
      <w:r w:rsidR="00830638" w:rsidRPr="004D3530">
        <w:t>per</w:t>
      </w:r>
      <w:r w:rsidR="002418F9">
        <w:t> </w:t>
      </w:r>
      <w:r w:rsidR="00830638" w:rsidRPr="004D3530">
        <w:t xml:space="preserve">cent in 2011-12 </w:t>
      </w:r>
      <w:r w:rsidR="00710D34">
        <w:t>before rising 1</w:t>
      </w:r>
      <w:r w:rsidR="00830638" w:rsidRPr="004D3530">
        <w:t xml:space="preserve">½ per cent in 2012-13, </w:t>
      </w:r>
      <w:r w:rsidR="00710D34">
        <w:t>and 3</w:t>
      </w:r>
      <w:r w:rsidR="00830638" w:rsidRPr="004D3530">
        <w:t xml:space="preserve"> per cent in 2013-14.  </w:t>
      </w:r>
    </w:p>
    <w:p w:rsidR="00830638" w:rsidRPr="00041098" w:rsidRDefault="00830638" w:rsidP="00830638">
      <w:pPr>
        <w:autoSpaceDE w:val="0"/>
        <w:autoSpaceDN w:val="0"/>
      </w:pPr>
      <w:r w:rsidRPr="007B3911">
        <w:rPr>
          <w:b/>
          <w:bCs/>
        </w:rPr>
        <w:t xml:space="preserve">Total imports </w:t>
      </w:r>
      <w:r w:rsidRPr="007B3911">
        <w:t xml:space="preserve">volume forecasts </w:t>
      </w:r>
      <w:r w:rsidR="00F06D7D">
        <w:t xml:space="preserve">are slightly weaker over the forecast period </w:t>
      </w:r>
      <w:r w:rsidR="00536916">
        <w:t xml:space="preserve">than </w:t>
      </w:r>
      <w:r w:rsidR="00763F66">
        <w:t xml:space="preserve">at </w:t>
      </w:r>
      <w:r w:rsidRPr="007B3911">
        <w:t>December JEFG</w:t>
      </w:r>
      <w:r w:rsidR="00F06D7D">
        <w:t xml:space="preserve"> reflecting a much weaker</w:t>
      </w:r>
      <w:r w:rsidR="00F06D7D">
        <w:noBreakHyphen/>
        <w:t>than</w:t>
      </w:r>
      <w:r w:rsidR="00F06D7D">
        <w:noBreakHyphen/>
        <w:t xml:space="preserve">expected December quarter outcome and a slight </w:t>
      </w:r>
      <w:r w:rsidRPr="007B3911">
        <w:t xml:space="preserve">downgrade in </w:t>
      </w:r>
      <w:r w:rsidR="00536916">
        <w:t xml:space="preserve">forecast </w:t>
      </w:r>
      <w:r w:rsidRPr="007B3911">
        <w:t xml:space="preserve">capital goods imports </w:t>
      </w:r>
      <w:r w:rsidR="00763F66">
        <w:t xml:space="preserve">due to </w:t>
      </w:r>
      <w:r w:rsidRPr="007B3911">
        <w:t>expected delays in liquefied natural gas projects.</w:t>
      </w:r>
      <w:r>
        <w:t xml:space="preserve">  Nevertheless, the mining investment boom will continue to fuel significant demand for imports, particularly capital goods imports</w:t>
      </w:r>
      <w:r w:rsidR="003C588C">
        <w:t>,</w:t>
      </w:r>
      <w:r>
        <w:t xml:space="preserve"> over the forecast horizon.  </w:t>
      </w:r>
      <w:r w:rsidRPr="007B3911">
        <w:t>Total</w:t>
      </w:r>
      <w:r w:rsidR="00063E62">
        <w:t xml:space="preserve"> imports are expected to grow 12½ per cent in 2011-12, 7½</w:t>
      </w:r>
      <w:r w:rsidR="002F406A">
        <w:t> p</w:t>
      </w:r>
      <w:r w:rsidR="00063E62">
        <w:t xml:space="preserve">er cent in 2012-13 and 5½ </w:t>
      </w:r>
      <w:r w:rsidRPr="00041098">
        <w:t>per cent in 2013-14.</w:t>
      </w:r>
    </w:p>
    <w:p w:rsidR="00063E62" w:rsidRDefault="00830638" w:rsidP="00830638">
      <w:r w:rsidRPr="008E370E">
        <w:t xml:space="preserve">The </w:t>
      </w:r>
      <w:r w:rsidR="00536916">
        <w:t xml:space="preserve">forecast </w:t>
      </w:r>
      <w:r w:rsidR="00063E62">
        <w:t xml:space="preserve">increase in the </w:t>
      </w:r>
      <w:r w:rsidRPr="008E370E">
        <w:rPr>
          <w:b/>
        </w:rPr>
        <w:t>terms of trade</w:t>
      </w:r>
      <w:r w:rsidRPr="008E370E">
        <w:t xml:space="preserve"> </w:t>
      </w:r>
      <w:r w:rsidR="00DB3BF0">
        <w:t xml:space="preserve">in 2011-12 </w:t>
      </w:r>
      <w:r w:rsidR="00063E62">
        <w:t xml:space="preserve">is marginally stronger than </w:t>
      </w:r>
      <w:r w:rsidR="003914DC">
        <w:t>forecast</w:t>
      </w:r>
      <w:r w:rsidR="00063E62">
        <w:t xml:space="preserve"> in </w:t>
      </w:r>
      <w:r w:rsidRPr="008E370E">
        <w:t>December JEFG</w:t>
      </w:r>
      <w:r w:rsidR="001E68AE">
        <w:t xml:space="preserve">. </w:t>
      </w:r>
      <w:r w:rsidR="00EA4D58">
        <w:t xml:space="preserve"> </w:t>
      </w:r>
      <w:r w:rsidR="001E68AE">
        <w:t xml:space="preserve">However, </w:t>
      </w:r>
      <w:r w:rsidR="00063E62">
        <w:t xml:space="preserve">the </w:t>
      </w:r>
      <w:r w:rsidR="003914DC">
        <w:t xml:space="preserve">anticipated </w:t>
      </w:r>
      <w:r w:rsidR="00063E62">
        <w:t xml:space="preserve">falls in 2012-13 and 2013-14 are </w:t>
      </w:r>
      <w:r w:rsidR="00FE108B">
        <w:t>e</w:t>
      </w:r>
      <w:r w:rsidR="00063E62">
        <w:t xml:space="preserve">xpected to be marginally </w:t>
      </w:r>
      <w:r w:rsidR="003914DC">
        <w:t>larger</w:t>
      </w:r>
      <w:r w:rsidR="00063E62">
        <w:t xml:space="preserve"> resulting in the level of the terms of trade </w:t>
      </w:r>
      <w:r w:rsidR="00DB3BF0">
        <w:t xml:space="preserve">at the end of the period </w:t>
      </w:r>
      <w:r w:rsidR="00063E62">
        <w:t>remaining broadly unchanged</w:t>
      </w:r>
      <w:r w:rsidR="00763F66">
        <w:t xml:space="preserve"> from December JEFG</w:t>
      </w:r>
      <w:r w:rsidR="00063E62">
        <w:t xml:space="preserve">. </w:t>
      </w:r>
      <w:r w:rsidR="002F406A">
        <w:t xml:space="preserve"> The upgrade in 2011</w:t>
      </w:r>
      <w:r w:rsidR="002F406A">
        <w:noBreakHyphen/>
      </w:r>
      <w:r w:rsidRPr="008E370E">
        <w:t xml:space="preserve">12 largely reflects </w:t>
      </w:r>
      <w:r w:rsidR="00FE108B">
        <w:t xml:space="preserve">a </w:t>
      </w:r>
      <w:r w:rsidRPr="008E370E">
        <w:t>weak</w:t>
      </w:r>
      <w:r w:rsidR="00FE108B">
        <w:t xml:space="preserve"> outcome for</w:t>
      </w:r>
      <w:r w:rsidRPr="008E370E">
        <w:t xml:space="preserve"> import prices</w:t>
      </w:r>
      <w:r w:rsidR="00FE108B">
        <w:t xml:space="preserve"> in the December quarter</w:t>
      </w:r>
      <w:r w:rsidR="00086191">
        <w:t xml:space="preserve"> (Chart </w:t>
      </w:r>
      <w:r w:rsidR="00602BA3">
        <w:t>8</w:t>
      </w:r>
      <w:r w:rsidR="00086191">
        <w:t>)</w:t>
      </w:r>
      <w:r w:rsidR="00FE108B">
        <w:t>.</w:t>
      </w:r>
    </w:p>
    <w:p w:rsidR="006F2002" w:rsidRPr="00A35202" w:rsidRDefault="000956B3" w:rsidP="0021594E">
      <w:pPr>
        <w:keepNext/>
        <w:jc w:val="center"/>
        <w:rPr>
          <w:b/>
        </w:rPr>
      </w:pPr>
      <w:r w:rsidRPr="00A35202">
        <w:rPr>
          <w:b/>
        </w:rPr>
        <w:lastRenderedPageBreak/>
        <w:t xml:space="preserve">Chart </w:t>
      </w:r>
      <w:r w:rsidR="00602BA3">
        <w:rPr>
          <w:b/>
        </w:rPr>
        <w:t>8</w:t>
      </w:r>
      <w:r w:rsidR="00A35202" w:rsidRPr="00A35202">
        <w:rPr>
          <w:b/>
        </w:rPr>
        <w:t>:</w:t>
      </w:r>
      <w:r w:rsidRPr="00A35202">
        <w:rPr>
          <w:b/>
        </w:rPr>
        <w:t xml:space="preserve"> The terms of trade</w:t>
      </w:r>
    </w:p>
    <w:p w:rsidR="006F2002" w:rsidRDefault="006226D2" w:rsidP="0021594E">
      <w:pPr>
        <w:pStyle w:val="ChartGraphic0"/>
        <w:jc w:val="left"/>
        <w:rPr>
          <w:rFonts w:ascii="Tahoma" w:hAnsi="Tahoma" w:cs="Tahoma"/>
          <w:sz w:val="16"/>
          <w:szCs w:val="16"/>
        </w:rPr>
      </w:pPr>
      <w:r>
        <w:object w:dxaOrig="3961" w:dyaOrig="3961">
          <v:shape id="_x0000_i1034" type="#_x0000_t75" style="width:198.8pt;height:198.8pt" o:ole="">
            <v:imagedata r:id="rId37" o:title=""/>
          </v:shape>
          <o:OLEObject Type="Link" ProgID="Excel.Sheet.12" ShapeID="_x0000_i1034" DrawAspect="Content" r:id="rId38" UpdateMode="Always">
            <o:LinkType>EnhancedMetaFile</o:LinkType>
            <o:LockedField/>
          </o:OLEObject>
        </w:object>
      </w:r>
      <w:r w:rsidR="000956B3" w:rsidRPr="000956B3">
        <w:rPr>
          <w:rFonts w:ascii="Tahoma" w:hAnsi="Tahoma" w:cs="Tahoma"/>
          <w:sz w:val="16"/>
          <w:szCs w:val="16"/>
        </w:rPr>
        <w:t xml:space="preserve"> </w:t>
      </w:r>
      <w:r w:rsidR="000956B3" w:rsidRPr="008C129D">
        <w:rPr>
          <w:rFonts w:ascii="Tahoma" w:hAnsi="Tahoma" w:cs="Tahoma"/>
          <w:sz w:val="16"/>
          <w:szCs w:val="16"/>
        </w:rPr>
        <w:t xml:space="preserve">Source: ABS </w:t>
      </w:r>
      <w:r w:rsidR="00B72FAF">
        <w:rPr>
          <w:rFonts w:ascii="Tahoma" w:hAnsi="Tahoma" w:cs="Tahoma"/>
          <w:sz w:val="16"/>
          <w:szCs w:val="16"/>
        </w:rPr>
        <w:t xml:space="preserve">cat. no. </w:t>
      </w:r>
      <w:r w:rsidR="000956B3">
        <w:rPr>
          <w:rFonts w:ascii="Tahoma" w:hAnsi="Tahoma" w:cs="Tahoma"/>
          <w:sz w:val="16"/>
          <w:szCs w:val="16"/>
        </w:rPr>
        <w:t>5206.0</w:t>
      </w:r>
      <w:r w:rsidR="000956B3" w:rsidRPr="008C129D">
        <w:rPr>
          <w:rFonts w:ascii="Tahoma" w:hAnsi="Tahoma" w:cs="Tahoma"/>
          <w:sz w:val="16"/>
          <w:szCs w:val="16"/>
        </w:rPr>
        <w:t xml:space="preserve"> and Treasury.</w:t>
      </w:r>
    </w:p>
    <w:p w:rsidR="00DD4FD8" w:rsidRDefault="00DD4FD8" w:rsidP="00830638"/>
    <w:p w:rsidR="00830638" w:rsidRDefault="00FE108B" w:rsidP="00830638">
      <w:r>
        <w:t xml:space="preserve">While the outlook for iron ore prices is </w:t>
      </w:r>
      <w:r w:rsidR="003C588C">
        <w:t xml:space="preserve">broadly </w:t>
      </w:r>
      <w:r>
        <w:t>unchanged from December JEFG, metallurgical and thermal coal contract prices are forecast to be lower than previously anticipated.  The terms of t</w:t>
      </w:r>
      <w:r w:rsidR="003914DC">
        <w:t>rade are forecast to increase</w:t>
      </w:r>
      <w:r>
        <w:t xml:space="preserve"> 3¼</w:t>
      </w:r>
      <w:r w:rsidR="00830638" w:rsidRPr="008E370E">
        <w:t xml:space="preserve"> per cent in 2011-12, followed by decline</w:t>
      </w:r>
      <w:r w:rsidR="00DB3BF0">
        <w:t>s</w:t>
      </w:r>
      <w:r w:rsidR="00830638" w:rsidRPr="008E370E">
        <w:t xml:space="preserve"> of 5¾ per cent in 2012-13 and 3</w:t>
      </w:r>
      <w:r>
        <w:t>¼</w:t>
      </w:r>
      <w:r w:rsidR="00A35202">
        <w:t> </w:t>
      </w:r>
      <w:r w:rsidR="00830638" w:rsidRPr="008E370E">
        <w:t>per</w:t>
      </w:r>
      <w:r w:rsidR="00A35202">
        <w:t> </w:t>
      </w:r>
      <w:r w:rsidR="00830638" w:rsidRPr="008E370E">
        <w:t>cent in 2013-14, as growing global supply of iron ore and coal, particularly out of Australia, weighs on commodity prices.</w:t>
      </w:r>
    </w:p>
    <w:p w:rsidR="00830638" w:rsidRDefault="00830638" w:rsidP="00830638">
      <w:r>
        <w:t xml:space="preserve">The </w:t>
      </w:r>
      <w:r w:rsidRPr="00450877">
        <w:rPr>
          <w:b/>
        </w:rPr>
        <w:t xml:space="preserve">current </w:t>
      </w:r>
      <w:r w:rsidR="00450877">
        <w:rPr>
          <w:b/>
        </w:rPr>
        <w:t xml:space="preserve">account </w:t>
      </w:r>
      <w:r w:rsidRPr="00450877">
        <w:rPr>
          <w:b/>
        </w:rPr>
        <w:t>deficit</w:t>
      </w:r>
      <w:r>
        <w:t xml:space="preserve"> is forecast to widen to a lesser extent than at December JEFG as a result of </w:t>
      </w:r>
      <w:r w:rsidR="00A97F8E">
        <w:t xml:space="preserve">a </w:t>
      </w:r>
      <w:r>
        <w:t xml:space="preserve">narrower net income deficit.  </w:t>
      </w:r>
      <w:r w:rsidRPr="00041098">
        <w:t xml:space="preserve">The </w:t>
      </w:r>
      <w:r w:rsidRPr="00041098">
        <w:rPr>
          <w:b/>
        </w:rPr>
        <w:t>trade balance</w:t>
      </w:r>
      <w:r w:rsidRPr="00041098">
        <w:t xml:space="preserve"> forecasts </w:t>
      </w:r>
      <w:r w:rsidR="00A97F8E">
        <w:t xml:space="preserve">are largely unchanged </w:t>
      </w:r>
      <w:r w:rsidRPr="00041098">
        <w:t xml:space="preserve">since the December </w:t>
      </w:r>
      <w:r>
        <w:t>JEFG</w:t>
      </w:r>
      <w:r w:rsidR="00A97F8E">
        <w:t xml:space="preserve">.  </w:t>
      </w:r>
      <w:r w:rsidRPr="00041098">
        <w:t xml:space="preserve">However, </w:t>
      </w:r>
      <w:r>
        <w:t xml:space="preserve">the </w:t>
      </w:r>
      <w:r w:rsidRPr="00041098">
        <w:rPr>
          <w:b/>
        </w:rPr>
        <w:t>net income deficit</w:t>
      </w:r>
      <w:r w:rsidRPr="00041098">
        <w:t xml:space="preserve"> is expected to </w:t>
      </w:r>
      <w:r w:rsidR="00DB3BF0">
        <w:t>widen by less than previously expected</w:t>
      </w:r>
      <w:r>
        <w:t xml:space="preserve">, largely reflecting an expected reduction in the return on foreign owned mining assets </w:t>
      </w:r>
      <w:r w:rsidR="001F79DF">
        <w:t xml:space="preserve">compared with December JEFG </w:t>
      </w:r>
      <w:r>
        <w:t>due to lower commodity prices</w:t>
      </w:r>
      <w:r w:rsidR="003914DC">
        <w:t xml:space="preserve"> than forecast in December JEFG</w:t>
      </w:r>
      <w:r>
        <w:t xml:space="preserve">.  Nevertheless, the current account deficit </w:t>
      </w:r>
      <w:r w:rsidR="00B11E54">
        <w:t xml:space="preserve">as a per cent of GDP </w:t>
      </w:r>
      <w:r>
        <w:t xml:space="preserve">is expected to double over the next two years, largely as a result of the surge in imports, particularly of capital goods associated with </w:t>
      </w:r>
      <w:r w:rsidR="00D82E89">
        <w:t xml:space="preserve">the </w:t>
      </w:r>
      <w:r>
        <w:t xml:space="preserve">mining investment boom.  Liquefied natural gas investment alone will exceed </w:t>
      </w:r>
      <w:r w:rsidR="00D82E89" w:rsidRPr="00D82E89">
        <w:t>$1</w:t>
      </w:r>
      <w:r w:rsidR="00D82E89">
        <w:t>00</w:t>
      </w:r>
      <w:r>
        <w:t xml:space="preserve"> billion over the next three years and </w:t>
      </w:r>
      <w:r w:rsidR="00D82E89">
        <w:t>two thirds of this will be met through imports</w:t>
      </w:r>
      <w:r>
        <w:t xml:space="preserve">.  The </w:t>
      </w:r>
      <w:r w:rsidRPr="00041098">
        <w:rPr>
          <w:b/>
        </w:rPr>
        <w:t>current account deficit</w:t>
      </w:r>
      <w:r w:rsidRPr="00041098">
        <w:t xml:space="preserve"> </w:t>
      </w:r>
      <w:r>
        <w:t xml:space="preserve">is forecast to widen from </w:t>
      </w:r>
      <w:r w:rsidRPr="00041098">
        <w:t>3</w:t>
      </w:r>
      <w:r w:rsidR="00A35202">
        <w:t> </w:t>
      </w:r>
      <w:r w:rsidRPr="00041098">
        <w:t>per</w:t>
      </w:r>
      <w:r w:rsidR="00A35202">
        <w:t> </w:t>
      </w:r>
      <w:r w:rsidRPr="00041098">
        <w:t xml:space="preserve">cent of GDP in </w:t>
      </w:r>
      <w:r w:rsidRPr="00041098">
        <w:lastRenderedPageBreak/>
        <w:t>2011</w:t>
      </w:r>
      <w:r w:rsidRPr="00041098">
        <w:noBreakHyphen/>
        <w:t xml:space="preserve">12, </w:t>
      </w:r>
      <w:r>
        <w:t xml:space="preserve">to </w:t>
      </w:r>
      <w:r w:rsidR="00495C13">
        <w:t>4¾</w:t>
      </w:r>
      <w:r w:rsidRPr="00041098">
        <w:t xml:space="preserve"> per cent of GDP in 2012</w:t>
      </w:r>
      <w:r w:rsidR="002F406A">
        <w:noBreakHyphen/>
      </w:r>
      <w:r w:rsidRPr="00041098">
        <w:t>13 and 6</w:t>
      </w:r>
      <w:r w:rsidR="00644138">
        <w:t> </w:t>
      </w:r>
      <w:r w:rsidRPr="00041098">
        <w:t>per</w:t>
      </w:r>
      <w:r w:rsidR="00644138">
        <w:t> </w:t>
      </w:r>
      <w:r w:rsidRPr="00041098">
        <w:t>cent of GDP in 2013</w:t>
      </w:r>
      <w:r w:rsidR="00A35202">
        <w:noBreakHyphen/>
      </w:r>
      <w:r w:rsidRPr="00041098">
        <w:t>14.</w:t>
      </w:r>
    </w:p>
    <w:p w:rsidR="005B389D" w:rsidRDefault="005B389D" w:rsidP="009D7882">
      <w:pPr>
        <w:pStyle w:val="Heading4"/>
        <w:keepNext w:val="0"/>
        <w:spacing w:before="0"/>
      </w:pPr>
      <w:bookmarkStart w:id="18" w:name="_Toc322100143"/>
      <w:r w:rsidRPr="00B0461A">
        <w:t>Employment, wages and inflation</w:t>
      </w:r>
      <w:bookmarkEnd w:id="18"/>
    </w:p>
    <w:bookmarkEnd w:id="4"/>
    <w:bookmarkEnd w:id="14"/>
    <w:bookmarkEnd w:id="15"/>
    <w:p w:rsidR="001C1CC6" w:rsidRPr="00160C50" w:rsidRDefault="001C1CC6" w:rsidP="00186D1D">
      <w:pPr>
        <w:pStyle w:val="Heading5"/>
      </w:pPr>
      <w:r w:rsidRPr="00160C50">
        <w:t>Labour market</w:t>
      </w:r>
    </w:p>
    <w:p w:rsidR="004D5414" w:rsidRDefault="001C1CC6" w:rsidP="001C1CC6">
      <w:r w:rsidRPr="00FC7418">
        <w:t xml:space="preserve">The labour market outlook </w:t>
      </w:r>
      <w:r>
        <w:t xml:space="preserve">has </w:t>
      </w:r>
      <w:r w:rsidRPr="00FC7418">
        <w:t>weaken</w:t>
      </w:r>
      <w:r>
        <w:t>ed</w:t>
      </w:r>
      <w:r w:rsidRPr="00FC7418">
        <w:t xml:space="preserve"> </w:t>
      </w:r>
      <w:r>
        <w:t xml:space="preserve">further </w:t>
      </w:r>
      <w:r w:rsidRPr="00FC7418">
        <w:t>since December</w:t>
      </w:r>
      <w:r>
        <w:t xml:space="preserve"> JEFG</w:t>
      </w:r>
      <w:r w:rsidR="00554F69">
        <w:t>, consistent with</w:t>
      </w:r>
      <w:r w:rsidRPr="00FC7418">
        <w:t xml:space="preserve"> </w:t>
      </w:r>
      <w:r w:rsidR="006A6467">
        <w:t xml:space="preserve">the </w:t>
      </w:r>
      <w:r>
        <w:t xml:space="preserve">weaker-than-expected </w:t>
      </w:r>
      <w:r w:rsidR="006A6467">
        <w:t>March quarter</w:t>
      </w:r>
      <w:r>
        <w:t xml:space="preserve"> outcome and </w:t>
      </w:r>
      <w:r w:rsidR="00554F69">
        <w:t xml:space="preserve">the </w:t>
      </w:r>
      <w:r w:rsidRPr="00FC7418">
        <w:t>downgrade to the outlook for economic growth</w:t>
      </w:r>
      <w:r w:rsidR="00327F79">
        <w:t xml:space="preserve"> in </w:t>
      </w:r>
      <w:r w:rsidR="008E3C3F">
        <w:t>2011-12</w:t>
      </w:r>
      <w:r w:rsidRPr="00FC7418">
        <w:t>.</w:t>
      </w:r>
    </w:p>
    <w:p w:rsidR="001C1CC6" w:rsidRDefault="005C766D" w:rsidP="001C1CC6">
      <w:r>
        <w:t xml:space="preserve">Growth in employment over 2011 was subdued, reflecting an unwind of </w:t>
      </w:r>
      <w:r w:rsidR="00F76104">
        <w:t xml:space="preserve">the strong growth over </w:t>
      </w:r>
      <w:r>
        <w:t xml:space="preserve">2010 where employment growth greatly outpaced economic activity. </w:t>
      </w:r>
      <w:r w:rsidR="00D34F5A">
        <w:t xml:space="preserve"> However, the extent of the slowdown has been much greater than anticipated</w:t>
      </w:r>
      <w:r w:rsidR="00A85C63">
        <w:t xml:space="preserve"> </w:t>
      </w:r>
      <w:r w:rsidR="00070767">
        <w:t>at the time of the December JEFG</w:t>
      </w:r>
      <w:r w:rsidR="00A85C63">
        <w:t xml:space="preserve">.  </w:t>
      </w:r>
      <w:r w:rsidR="00070767">
        <w:t>Over the forecast period</w:t>
      </w:r>
      <w:r w:rsidR="000F139B">
        <w:t xml:space="preserve">, </w:t>
      </w:r>
      <w:r w:rsidR="00070767">
        <w:t xml:space="preserve">a </w:t>
      </w:r>
      <w:r w:rsidR="008E3C3F">
        <w:t xml:space="preserve">moderate </w:t>
      </w:r>
      <w:r w:rsidR="00A85C63">
        <w:t>recovery in employment growth is expected, albeit from a low base.  However, with so</w:t>
      </w:r>
      <w:r w:rsidR="001C1CC6">
        <w:t xml:space="preserve">ftness in labour demand outside the mining and related sectors </w:t>
      </w:r>
      <w:r w:rsidR="00070767">
        <w:t xml:space="preserve">expected to </w:t>
      </w:r>
      <w:r w:rsidR="001C1CC6">
        <w:t xml:space="preserve">continue, employment growth </w:t>
      </w:r>
      <w:r w:rsidR="00A85C63">
        <w:t xml:space="preserve">is nevertheless expected </w:t>
      </w:r>
      <w:r w:rsidR="00070767">
        <w:t xml:space="preserve">to be modest </w:t>
      </w:r>
      <w:r w:rsidR="00A90F36">
        <w:t xml:space="preserve">in 2012-13 and 2013-14, </w:t>
      </w:r>
      <w:r w:rsidR="00070767">
        <w:t xml:space="preserve">with </w:t>
      </w:r>
      <w:r w:rsidR="00A85C63">
        <w:t xml:space="preserve">the </w:t>
      </w:r>
      <w:r w:rsidR="001C1CC6">
        <w:t>unemployment rate expected to rise</w:t>
      </w:r>
      <w:r w:rsidR="004D5414">
        <w:t xml:space="preserve"> </w:t>
      </w:r>
      <w:r w:rsidR="00D34F5A">
        <w:t xml:space="preserve">to </w:t>
      </w:r>
      <w:r w:rsidR="001C1CC6">
        <w:t>5</w:t>
      </w:r>
      <w:r w:rsidR="00BC1F06">
        <w:t xml:space="preserve">½ </w:t>
      </w:r>
      <w:r w:rsidR="001C1CC6">
        <w:t>per cent.</w:t>
      </w:r>
    </w:p>
    <w:p w:rsidR="00070767" w:rsidRDefault="00070767" w:rsidP="00070767">
      <w:r w:rsidRPr="00070767">
        <w:t xml:space="preserve">The pace of structural adjustment in the economy is a key risk to the employment outlook. </w:t>
      </w:r>
      <w:r>
        <w:t xml:space="preserve"> </w:t>
      </w:r>
      <w:r w:rsidR="00A06EA7">
        <w:t>Over the p</w:t>
      </w:r>
      <w:r w:rsidRPr="00070767">
        <w:t>ast few years, strong employment growth in the mining and government sectors has largely offset below</w:t>
      </w:r>
      <w:r w:rsidR="00A06EA7">
        <w:noBreakHyphen/>
      </w:r>
      <w:r w:rsidRPr="00070767">
        <w:t>trend growth</w:t>
      </w:r>
      <w:r w:rsidR="00DB3BF0">
        <w:t xml:space="preserve"> (or falls)</w:t>
      </w:r>
      <w:r w:rsidRPr="00070767">
        <w:t xml:space="preserve"> in retail, manufacturing and non-mining construction</w:t>
      </w:r>
      <w:r w:rsidR="00FB4CF3">
        <w:t xml:space="preserve"> (Chart </w:t>
      </w:r>
      <w:r w:rsidR="00602BA3">
        <w:t>9</w:t>
      </w:r>
      <w:r w:rsidR="00FB4CF3">
        <w:t>)</w:t>
      </w:r>
      <w:r w:rsidRPr="00070767">
        <w:t>.</w:t>
      </w:r>
      <w:r>
        <w:t xml:space="preserve"> </w:t>
      </w:r>
      <w:r w:rsidRPr="00070767">
        <w:t xml:space="preserve"> However, </w:t>
      </w:r>
      <w:r w:rsidR="00A06EA7">
        <w:t xml:space="preserve">employment growth in </w:t>
      </w:r>
      <w:r w:rsidR="00DB3BF0">
        <w:t>those previously-strong</w:t>
      </w:r>
      <w:r w:rsidR="00DB3BF0" w:rsidRPr="00070767">
        <w:t xml:space="preserve"> </w:t>
      </w:r>
      <w:r w:rsidRPr="00070767">
        <w:t xml:space="preserve">sectors </w:t>
      </w:r>
      <w:r w:rsidR="00DB3BF0">
        <w:t xml:space="preserve">may </w:t>
      </w:r>
      <w:r w:rsidR="00A06EA7">
        <w:t xml:space="preserve">slow and they </w:t>
      </w:r>
      <w:r w:rsidR="00DB3BF0">
        <w:t xml:space="preserve">may </w:t>
      </w:r>
      <w:r w:rsidR="00A06EA7">
        <w:t xml:space="preserve">not be </w:t>
      </w:r>
      <w:r w:rsidRPr="00070767">
        <w:t xml:space="preserve">able to </w:t>
      </w:r>
      <w:r w:rsidR="00A06EA7">
        <w:t xml:space="preserve">fully </w:t>
      </w:r>
      <w:r w:rsidRPr="00070767">
        <w:t xml:space="preserve">compensate for any acceleration in the decline of retail and manufacturing. </w:t>
      </w:r>
      <w:r>
        <w:t xml:space="preserve"> </w:t>
      </w:r>
      <w:r w:rsidRPr="00070767">
        <w:t>I</w:t>
      </w:r>
      <w:r>
        <w:t>f an acceleration in job losses were to occur</w:t>
      </w:r>
      <w:r w:rsidRPr="00070767">
        <w:t>, that orderly but fast-paced shift of employment between the sectors could very quickly turn into a difficult p</w:t>
      </w:r>
      <w:r>
        <w:t>eriod of higher unemployment.</w:t>
      </w:r>
    </w:p>
    <w:p w:rsidR="00176D21" w:rsidRDefault="00176D21" w:rsidP="008D7784">
      <w:pPr>
        <w:pStyle w:val="ChartGraphic0"/>
      </w:pPr>
    </w:p>
    <w:p w:rsidR="00176D21" w:rsidRPr="00A35202" w:rsidRDefault="00176D21" w:rsidP="00B45A54">
      <w:pPr>
        <w:keepNext/>
        <w:spacing w:after="0"/>
        <w:jc w:val="center"/>
        <w:rPr>
          <w:b/>
        </w:rPr>
      </w:pPr>
      <w:r w:rsidRPr="00A35202">
        <w:rPr>
          <w:b/>
        </w:rPr>
        <w:lastRenderedPageBreak/>
        <w:t xml:space="preserve">Chart </w:t>
      </w:r>
      <w:r w:rsidR="00602BA3">
        <w:rPr>
          <w:b/>
        </w:rPr>
        <w:t>9</w:t>
      </w:r>
      <w:r w:rsidRPr="00A35202">
        <w:rPr>
          <w:b/>
        </w:rPr>
        <w:t xml:space="preserve">: Change in employment </w:t>
      </w:r>
      <w:r w:rsidR="007E6F97">
        <w:rPr>
          <w:b/>
        </w:rPr>
        <w:t xml:space="preserve">for selected industries </w:t>
      </w:r>
      <w:r w:rsidRPr="00A35202">
        <w:rPr>
          <w:b/>
        </w:rPr>
        <w:t>(</w:t>
      </w:r>
      <w:r w:rsidR="00284724">
        <w:rPr>
          <w:b/>
        </w:rPr>
        <w:t>Feb-09 to Feb-12</w:t>
      </w:r>
      <w:r w:rsidRPr="00A35202">
        <w:rPr>
          <w:b/>
        </w:rPr>
        <w:t>)</w:t>
      </w:r>
    </w:p>
    <w:p w:rsidR="00D53983" w:rsidRDefault="00DA15B7" w:rsidP="00D53983">
      <w:pPr>
        <w:pStyle w:val="ChartGraphic0"/>
      </w:pPr>
      <w:r>
        <w:object w:dxaOrig="3961" w:dyaOrig="3961">
          <v:shape id="_x0000_i1035" type="#_x0000_t75" style="width:198.8pt;height:198.8pt" o:ole="">
            <v:imagedata r:id="rId39" o:title=""/>
          </v:shape>
          <o:OLEObject Type="Link" ProgID="Excel.Sheet.12" ShapeID="_x0000_i1035" DrawAspect="Content" r:id="rId40" UpdateMode="Always">
            <o:LinkType>EnhancedMetaFile</o:LinkType>
            <o:LockedField>false</o:LockedField>
          </o:OLEObject>
        </w:object>
      </w:r>
    </w:p>
    <w:p w:rsidR="008D7784" w:rsidRDefault="00176D21" w:rsidP="00D53983">
      <w:pPr>
        <w:pStyle w:val="ChartGraphic0"/>
        <w:jc w:val="left"/>
        <w:rPr>
          <w:rFonts w:ascii="Tahoma" w:hAnsi="Tahoma" w:cs="Tahoma"/>
          <w:sz w:val="16"/>
          <w:szCs w:val="16"/>
        </w:rPr>
      </w:pPr>
      <w:r w:rsidRPr="008C129D">
        <w:rPr>
          <w:rFonts w:ascii="Tahoma" w:hAnsi="Tahoma" w:cs="Tahoma"/>
          <w:sz w:val="16"/>
          <w:szCs w:val="16"/>
        </w:rPr>
        <w:t xml:space="preserve">Source: ABS </w:t>
      </w:r>
      <w:r w:rsidR="00B72FAF">
        <w:rPr>
          <w:rFonts w:ascii="Tahoma" w:hAnsi="Tahoma" w:cs="Tahoma"/>
          <w:sz w:val="16"/>
          <w:szCs w:val="16"/>
        </w:rPr>
        <w:t>cat. no.</w:t>
      </w:r>
      <w:r w:rsidRPr="008C129D">
        <w:rPr>
          <w:rFonts w:ascii="Tahoma" w:hAnsi="Tahoma" w:cs="Tahoma"/>
          <w:sz w:val="16"/>
          <w:szCs w:val="16"/>
        </w:rPr>
        <w:t xml:space="preserve"> </w:t>
      </w:r>
      <w:r>
        <w:rPr>
          <w:rFonts w:ascii="Tahoma" w:hAnsi="Tahoma" w:cs="Tahoma"/>
          <w:sz w:val="16"/>
          <w:szCs w:val="16"/>
        </w:rPr>
        <w:t>6291.0.55.003</w:t>
      </w:r>
      <w:r w:rsidRPr="008C129D">
        <w:rPr>
          <w:rFonts w:ascii="Tahoma" w:hAnsi="Tahoma" w:cs="Tahoma"/>
          <w:sz w:val="16"/>
          <w:szCs w:val="16"/>
        </w:rPr>
        <w:t>.</w:t>
      </w:r>
    </w:p>
    <w:p w:rsidR="00D328A5" w:rsidRPr="00D328A5" w:rsidRDefault="00D328A5" w:rsidP="00D328A5"/>
    <w:p w:rsidR="001C1CC6" w:rsidRDefault="001C1CC6" w:rsidP="001C1CC6">
      <w:r w:rsidRPr="00597096">
        <w:rPr>
          <w:b/>
        </w:rPr>
        <w:t>Employment</w:t>
      </w:r>
      <w:r w:rsidRPr="00597096">
        <w:t xml:space="preserve"> </w:t>
      </w:r>
      <w:r>
        <w:t xml:space="preserve">growth </w:t>
      </w:r>
      <w:r w:rsidRPr="00597096">
        <w:t xml:space="preserve">is forecast to </w:t>
      </w:r>
      <w:r>
        <w:t xml:space="preserve">be </w:t>
      </w:r>
      <w:r w:rsidR="005E4871">
        <w:t xml:space="preserve">½ </w:t>
      </w:r>
      <w:r>
        <w:t>of a</w:t>
      </w:r>
      <w:r w:rsidR="004842C8">
        <w:t> </w:t>
      </w:r>
      <w:r w:rsidRPr="00597096">
        <w:t>per cent through the year</w:t>
      </w:r>
      <w:r w:rsidR="00070767">
        <w:t xml:space="preserve"> to the June quarter of 2012</w:t>
      </w:r>
      <w:r w:rsidR="005E4871">
        <w:t>, 1¼ per cent through the year to the June quarter of 2013</w:t>
      </w:r>
      <w:r w:rsidR="00070767">
        <w:t xml:space="preserve"> and 1½</w:t>
      </w:r>
      <w:r w:rsidRPr="00597096">
        <w:t xml:space="preserve"> per cent through the year to the June quarter</w:t>
      </w:r>
      <w:r w:rsidR="00070767">
        <w:t>s</w:t>
      </w:r>
      <w:r w:rsidRPr="00597096">
        <w:t xml:space="preserve"> of 2014</w:t>
      </w:r>
      <w:r>
        <w:t xml:space="preserve">.  </w:t>
      </w:r>
      <w:r w:rsidR="00273759">
        <w:t>This represents a downgrade of ½ </w:t>
      </w:r>
      <w:r w:rsidR="00273759" w:rsidRPr="00597096">
        <w:t>of</w:t>
      </w:r>
      <w:r w:rsidR="00273759">
        <w:t> </w:t>
      </w:r>
      <w:r w:rsidR="00273759" w:rsidRPr="00597096">
        <w:t>a</w:t>
      </w:r>
      <w:r w:rsidR="00273759">
        <w:t> </w:t>
      </w:r>
      <w:r w:rsidR="00273759" w:rsidRPr="00597096">
        <w:t>percentage</w:t>
      </w:r>
      <w:r w:rsidR="00273759">
        <w:t> </w:t>
      </w:r>
      <w:r w:rsidR="00273759" w:rsidRPr="00597096">
        <w:t xml:space="preserve">point </w:t>
      </w:r>
      <w:r w:rsidR="00273759">
        <w:t xml:space="preserve">for the year to </w:t>
      </w:r>
      <w:r w:rsidR="00273759" w:rsidRPr="00597096">
        <w:t>June 2012</w:t>
      </w:r>
      <w:r w:rsidR="00273759">
        <w:t xml:space="preserve"> and ¼ of a percentage point for the year to June 2013 compared with </w:t>
      </w:r>
      <w:r w:rsidR="00273759" w:rsidRPr="00597096">
        <w:t>December JEFG</w:t>
      </w:r>
      <w:r w:rsidR="00273759">
        <w:t>.</w:t>
      </w:r>
    </w:p>
    <w:p w:rsidR="001C1CC6" w:rsidRPr="002E0A54" w:rsidRDefault="001C1CC6" w:rsidP="001C1CC6">
      <w:r>
        <w:t xml:space="preserve">The </w:t>
      </w:r>
      <w:r w:rsidRPr="00941BD2">
        <w:rPr>
          <w:b/>
        </w:rPr>
        <w:t>participation rate</w:t>
      </w:r>
      <w:r>
        <w:t xml:space="preserve"> has also been downgraded since December JEFG, reflecting weakness in recent outcomes.  </w:t>
      </w:r>
      <w:r w:rsidRPr="00BF3B60">
        <w:t xml:space="preserve">After peaking at 66.0 per cent in November 2010, the </w:t>
      </w:r>
      <w:r w:rsidRPr="00177DFE">
        <w:t xml:space="preserve">participation rate </w:t>
      </w:r>
      <w:r>
        <w:t xml:space="preserve">has since declined to </w:t>
      </w:r>
      <w:r w:rsidRPr="00BF3B60">
        <w:t>65.</w:t>
      </w:r>
      <w:r w:rsidR="005E4871">
        <w:t>4</w:t>
      </w:r>
      <w:r>
        <w:t> </w:t>
      </w:r>
      <w:r w:rsidRPr="00BF3B60">
        <w:t>per</w:t>
      </w:r>
      <w:r>
        <w:t> </w:t>
      </w:r>
      <w:r w:rsidRPr="00BF3B60">
        <w:t xml:space="preserve">cent in </w:t>
      </w:r>
      <w:r w:rsidR="005E4871">
        <w:t>March</w:t>
      </w:r>
      <w:r>
        <w:t xml:space="preserve"> </w:t>
      </w:r>
      <w:r w:rsidRPr="00BF3B60">
        <w:t>201</w:t>
      </w:r>
      <w:r>
        <w:t>2</w:t>
      </w:r>
      <w:r w:rsidRPr="00BF3B60">
        <w:t xml:space="preserve">. </w:t>
      </w:r>
      <w:r w:rsidR="005A5747">
        <w:t xml:space="preserve"> </w:t>
      </w:r>
      <w:r w:rsidRPr="00F33B38">
        <w:t xml:space="preserve">The </w:t>
      </w:r>
      <w:r w:rsidRPr="00F1602F">
        <w:t>participation rate</w:t>
      </w:r>
      <w:r w:rsidRPr="00F33B38">
        <w:t xml:space="preserve"> is forecast to remain broadly stable at 65¼</w:t>
      </w:r>
      <w:r w:rsidR="00BA376F">
        <w:t> </w:t>
      </w:r>
      <w:r w:rsidRPr="00F33B38">
        <w:t xml:space="preserve">per cent over the forecast </w:t>
      </w:r>
      <w:r>
        <w:t>horizon</w:t>
      </w:r>
      <w:r w:rsidRPr="00F33B38">
        <w:t>.</w:t>
      </w:r>
    </w:p>
    <w:p w:rsidR="001C1CC6" w:rsidRPr="00BD007C" w:rsidRDefault="0013065D" w:rsidP="001C1CC6">
      <w:r w:rsidRPr="0013065D">
        <w:t xml:space="preserve">As a consequence of </w:t>
      </w:r>
      <w:r w:rsidR="00A06EA7">
        <w:t xml:space="preserve">the anticipated </w:t>
      </w:r>
      <w:r w:rsidR="0019479D">
        <w:t>weaker short</w:t>
      </w:r>
      <w:r w:rsidR="0019479D">
        <w:noBreakHyphen/>
      </w:r>
      <w:r w:rsidRPr="0013065D">
        <w:t>term employment growth</w:t>
      </w:r>
      <w:r w:rsidR="00B5344E">
        <w:t>,</w:t>
      </w:r>
      <w:r w:rsidRPr="0013065D">
        <w:t xml:space="preserve"> the</w:t>
      </w:r>
      <w:r>
        <w:rPr>
          <w:b/>
        </w:rPr>
        <w:t xml:space="preserve"> u</w:t>
      </w:r>
      <w:r w:rsidR="001C1CC6" w:rsidRPr="00BD007C">
        <w:rPr>
          <w:b/>
        </w:rPr>
        <w:t>nemployment rate</w:t>
      </w:r>
      <w:r w:rsidR="001C1CC6" w:rsidRPr="00BD007C">
        <w:t xml:space="preserve"> </w:t>
      </w:r>
      <w:r>
        <w:t xml:space="preserve">is </w:t>
      </w:r>
      <w:r w:rsidR="001C1CC6" w:rsidRPr="00BD007C">
        <w:t>forecast</w:t>
      </w:r>
      <w:r>
        <w:t xml:space="preserve"> to increase to 5</w:t>
      </w:r>
      <w:r w:rsidR="009D6B0E">
        <w:t xml:space="preserve">½ </w:t>
      </w:r>
      <w:r>
        <w:t>per cent in June 2013 and remain at this level through to June 2014.</w:t>
      </w:r>
      <w:r w:rsidR="0019479D">
        <w:t xml:space="preserve">  Over the p</w:t>
      </w:r>
      <w:r w:rsidR="001C1CC6" w:rsidRPr="00BD007C">
        <w:t>ast 12</w:t>
      </w:r>
      <w:r w:rsidR="002F406A">
        <w:t> </w:t>
      </w:r>
      <w:r w:rsidR="001C1CC6" w:rsidRPr="00BD007C">
        <w:t xml:space="preserve">months, the unemployment rate has increased only slightly, with weakness in employment growth largely </w:t>
      </w:r>
      <w:r w:rsidR="001C1CC6">
        <w:t>offset by</w:t>
      </w:r>
      <w:r w:rsidR="001C1CC6" w:rsidRPr="00BD007C">
        <w:t xml:space="preserve"> a</w:t>
      </w:r>
      <w:r w:rsidR="00A034F9">
        <w:t xml:space="preserve"> decline in the</w:t>
      </w:r>
      <w:r>
        <w:t xml:space="preserve"> participation rate.</w:t>
      </w:r>
    </w:p>
    <w:p w:rsidR="001C1CC6" w:rsidRPr="00BD007C" w:rsidRDefault="001C1CC6" w:rsidP="00186D1D">
      <w:pPr>
        <w:pStyle w:val="Heading5"/>
      </w:pPr>
      <w:r w:rsidRPr="00BD007C">
        <w:t xml:space="preserve">Inflation </w:t>
      </w:r>
    </w:p>
    <w:p w:rsidR="001C1CC6" w:rsidRPr="00BD007C" w:rsidRDefault="001C1CC6" w:rsidP="001C1CC6">
      <w:r w:rsidRPr="00BD007C">
        <w:t xml:space="preserve">The outlook for </w:t>
      </w:r>
      <w:r w:rsidRPr="00186D1D">
        <w:t>inflation</w:t>
      </w:r>
      <w:r w:rsidRPr="00BD007C">
        <w:t xml:space="preserve"> </w:t>
      </w:r>
      <w:r w:rsidR="00267BD5">
        <w:t xml:space="preserve">is broadly unchanged </w:t>
      </w:r>
      <w:r w:rsidRPr="00BD007C">
        <w:t>since December JEFG</w:t>
      </w:r>
      <w:r w:rsidR="00267BD5">
        <w:t xml:space="preserve">.  </w:t>
      </w:r>
      <w:r>
        <w:t>U</w:t>
      </w:r>
      <w:r w:rsidRPr="00BD007C">
        <w:t xml:space="preserve">nderlying price </w:t>
      </w:r>
      <w:r w:rsidRPr="00BD007C">
        <w:lastRenderedPageBreak/>
        <w:t xml:space="preserve">pressures are expected to remain </w:t>
      </w:r>
      <w:r w:rsidR="0019479D">
        <w:t>subdued</w:t>
      </w:r>
      <w:r w:rsidRPr="00BD007C">
        <w:t>, consistent with an economy that is growing around trend</w:t>
      </w:r>
      <w:r>
        <w:t xml:space="preserve"> o</w:t>
      </w:r>
      <w:r w:rsidR="00267BD5">
        <w:t>ver the next two years.  T</w:t>
      </w:r>
      <w:r w:rsidRPr="00BD007C">
        <w:t>he introduction of the carbon price will lead to a temporary spike in inflation in through</w:t>
      </w:r>
      <w:r w:rsidR="00A00F4C">
        <w:noBreakHyphen/>
      </w:r>
      <w:r w:rsidRPr="00BD007C">
        <w:t>the</w:t>
      </w:r>
      <w:r w:rsidR="00A00F4C">
        <w:noBreakHyphen/>
      </w:r>
      <w:r w:rsidRPr="00BD007C">
        <w:t>year terms to June 2013.</w:t>
      </w:r>
    </w:p>
    <w:p w:rsidR="001C1CC6" w:rsidRDefault="001C1CC6" w:rsidP="001C1CC6">
      <w:pPr>
        <w:rPr>
          <w:rFonts w:eastAsia="Calibri"/>
          <w:szCs w:val="22"/>
        </w:rPr>
      </w:pPr>
      <w:r w:rsidRPr="00186D1D">
        <w:rPr>
          <w:rFonts w:eastAsia="Calibri"/>
          <w:b/>
          <w:szCs w:val="22"/>
        </w:rPr>
        <w:t>Headline inflation</w:t>
      </w:r>
      <w:r w:rsidRPr="00BD007C">
        <w:rPr>
          <w:rFonts w:eastAsia="Calibri"/>
          <w:szCs w:val="22"/>
        </w:rPr>
        <w:t xml:space="preserve"> is forecast to be 2 per cent through the year to the June quarter of 2012, and 3¼ per cent through the year to the June quarter of 2013 with the introduction of the carbon price</w:t>
      </w:r>
      <w:r w:rsidR="00DC7C88">
        <w:rPr>
          <w:rFonts w:eastAsia="Calibri"/>
          <w:szCs w:val="22"/>
        </w:rPr>
        <w:t xml:space="preserve"> adding ¾ of a </w:t>
      </w:r>
      <w:r w:rsidR="0019479D">
        <w:rPr>
          <w:rFonts w:eastAsia="Calibri"/>
          <w:szCs w:val="22"/>
        </w:rPr>
        <w:t>percentage point</w:t>
      </w:r>
      <w:r w:rsidRPr="00BD007C">
        <w:rPr>
          <w:rFonts w:eastAsia="Calibri"/>
          <w:szCs w:val="22"/>
        </w:rPr>
        <w:t>, bef</w:t>
      </w:r>
      <w:r w:rsidR="00596C41">
        <w:rPr>
          <w:rFonts w:eastAsia="Calibri"/>
          <w:szCs w:val="22"/>
        </w:rPr>
        <w:t>ore easing to 2½</w:t>
      </w:r>
      <w:r w:rsidRPr="00BD007C">
        <w:rPr>
          <w:rFonts w:eastAsia="Calibri"/>
          <w:szCs w:val="22"/>
        </w:rPr>
        <w:t xml:space="preserve"> per cent through the year to </w:t>
      </w:r>
      <w:r w:rsidR="007D0AA7">
        <w:rPr>
          <w:rFonts w:eastAsia="Calibri"/>
          <w:szCs w:val="22"/>
        </w:rPr>
        <w:t xml:space="preserve">the </w:t>
      </w:r>
      <w:r w:rsidRPr="00BD007C">
        <w:rPr>
          <w:rFonts w:eastAsia="Calibri"/>
          <w:szCs w:val="22"/>
        </w:rPr>
        <w:t>June</w:t>
      </w:r>
      <w:r w:rsidR="007D0AA7">
        <w:rPr>
          <w:rFonts w:eastAsia="Calibri"/>
          <w:szCs w:val="22"/>
        </w:rPr>
        <w:t xml:space="preserve"> quarter of</w:t>
      </w:r>
      <w:r w:rsidRPr="00BD007C">
        <w:rPr>
          <w:rFonts w:eastAsia="Calibri"/>
          <w:szCs w:val="22"/>
        </w:rPr>
        <w:t xml:space="preserve"> 2014. </w:t>
      </w:r>
      <w:r w:rsidR="00267BD5">
        <w:rPr>
          <w:rFonts w:eastAsia="Calibri"/>
          <w:szCs w:val="22"/>
        </w:rPr>
        <w:t xml:space="preserve"> </w:t>
      </w:r>
      <w:r w:rsidRPr="00186D1D">
        <w:rPr>
          <w:rFonts w:eastAsia="Calibri"/>
          <w:b/>
          <w:szCs w:val="22"/>
        </w:rPr>
        <w:t>Underlying inflation</w:t>
      </w:r>
      <w:r w:rsidRPr="00BD007C">
        <w:rPr>
          <w:rFonts w:eastAsia="Calibri"/>
          <w:szCs w:val="22"/>
        </w:rPr>
        <w:t xml:space="preserve"> is forecast to be 2¼ per cent through the year to the June quarter of 2012, and 2¾ per cent through the year to the June quarter of 2013 with the introduction of the carbon price</w:t>
      </w:r>
      <w:r w:rsidR="00DC7C88">
        <w:rPr>
          <w:rFonts w:eastAsia="Calibri"/>
          <w:szCs w:val="22"/>
        </w:rPr>
        <w:t xml:space="preserve"> adding a ¼ of a percentage point</w:t>
      </w:r>
      <w:r w:rsidR="00596C41">
        <w:rPr>
          <w:rFonts w:eastAsia="Calibri"/>
          <w:szCs w:val="22"/>
        </w:rPr>
        <w:t>, before easing to 2½</w:t>
      </w:r>
      <w:r w:rsidRPr="00BD007C">
        <w:rPr>
          <w:rFonts w:eastAsia="Calibri"/>
          <w:szCs w:val="22"/>
        </w:rPr>
        <w:t xml:space="preserve"> per cent</w:t>
      </w:r>
      <w:r>
        <w:rPr>
          <w:rFonts w:eastAsia="Calibri"/>
          <w:szCs w:val="22"/>
        </w:rPr>
        <w:t xml:space="preserve"> through the year to </w:t>
      </w:r>
      <w:r w:rsidR="007D0AA7">
        <w:rPr>
          <w:rFonts w:eastAsia="Calibri"/>
          <w:szCs w:val="22"/>
        </w:rPr>
        <w:t xml:space="preserve">the </w:t>
      </w:r>
      <w:r>
        <w:rPr>
          <w:rFonts w:eastAsia="Calibri"/>
          <w:szCs w:val="22"/>
        </w:rPr>
        <w:t>June</w:t>
      </w:r>
      <w:r w:rsidR="007D0AA7">
        <w:rPr>
          <w:rFonts w:eastAsia="Calibri"/>
          <w:szCs w:val="22"/>
        </w:rPr>
        <w:t xml:space="preserve"> quarter of</w:t>
      </w:r>
      <w:r>
        <w:rPr>
          <w:rFonts w:eastAsia="Calibri"/>
          <w:szCs w:val="22"/>
        </w:rPr>
        <w:t xml:space="preserve"> 2014 (Chart </w:t>
      </w:r>
      <w:r w:rsidR="00602BA3">
        <w:rPr>
          <w:rFonts w:eastAsia="Calibri"/>
          <w:szCs w:val="22"/>
        </w:rPr>
        <w:t>10</w:t>
      </w:r>
      <w:r>
        <w:rPr>
          <w:rFonts w:eastAsia="Calibri"/>
          <w:szCs w:val="22"/>
        </w:rPr>
        <w:t>).</w:t>
      </w:r>
    </w:p>
    <w:p w:rsidR="00474C3B" w:rsidRPr="003A3FD7" w:rsidRDefault="00474C3B" w:rsidP="00D328A5">
      <w:pPr>
        <w:keepNext/>
        <w:jc w:val="center"/>
        <w:rPr>
          <w:b/>
        </w:rPr>
      </w:pPr>
      <w:r w:rsidRPr="003A3FD7">
        <w:rPr>
          <w:b/>
        </w:rPr>
        <w:t xml:space="preserve">Chart </w:t>
      </w:r>
      <w:r w:rsidR="00602BA3">
        <w:rPr>
          <w:b/>
        </w:rPr>
        <w:t>10</w:t>
      </w:r>
      <w:r w:rsidRPr="003A3FD7">
        <w:rPr>
          <w:b/>
        </w:rPr>
        <w:t>: Inflation</w:t>
      </w:r>
    </w:p>
    <w:p w:rsidR="00474C3B" w:rsidRPr="0014581D" w:rsidRDefault="00C14479" w:rsidP="008F1D9C">
      <w:pPr>
        <w:keepNext/>
        <w:spacing w:line="240" w:lineRule="auto"/>
        <w:jc w:val="left"/>
        <w:rPr>
          <w:rFonts w:ascii="Tahoma" w:hAnsi="Tahoma" w:cs="Tahoma"/>
          <w:sz w:val="16"/>
          <w:szCs w:val="16"/>
        </w:rPr>
      </w:pPr>
      <w:r>
        <w:rPr>
          <w:noProof/>
          <w:lang w:eastAsia="en-AU"/>
        </w:rPr>
        <w:object w:dxaOrig="3961" w:dyaOrig="3961">
          <v:shape id="_x0000_i1036" type="#_x0000_t75" style="width:198.8pt;height:198.8pt" o:ole="">
            <v:imagedata r:id="rId41" o:title=""/>
          </v:shape>
          <o:OLEObject Type="Link" ProgID="Excel.Sheet.12" ShapeID="_x0000_i1036" DrawAspect="Content" r:id="rId42" UpdateMode="Always">
            <o:LinkType>EnhancedMetaFile</o:LinkType>
            <o:LockedField/>
          </o:OLEObject>
        </w:object>
      </w:r>
      <w:r w:rsidR="00474C3B" w:rsidRPr="0014581D">
        <w:rPr>
          <w:rFonts w:ascii="Tahoma" w:hAnsi="Tahoma" w:cs="Tahoma"/>
          <w:sz w:val="16"/>
          <w:szCs w:val="16"/>
        </w:rPr>
        <w:t xml:space="preserve">Source:  ABS </w:t>
      </w:r>
      <w:r w:rsidR="00B72FAF" w:rsidRPr="0014581D">
        <w:rPr>
          <w:rFonts w:ascii="Tahoma" w:hAnsi="Tahoma" w:cs="Tahoma"/>
          <w:sz w:val="16"/>
          <w:szCs w:val="16"/>
        </w:rPr>
        <w:t>cat. no.</w:t>
      </w:r>
      <w:r w:rsidR="00474C3B" w:rsidRPr="0014581D">
        <w:rPr>
          <w:rFonts w:ascii="Tahoma" w:hAnsi="Tahoma" w:cs="Tahoma"/>
          <w:sz w:val="16"/>
          <w:szCs w:val="16"/>
        </w:rPr>
        <w:t xml:space="preserve"> 6401.0 and Treasury.</w:t>
      </w:r>
    </w:p>
    <w:p w:rsidR="001C1CC6" w:rsidRPr="003A3FD7" w:rsidRDefault="001C1CC6" w:rsidP="00186D1D">
      <w:pPr>
        <w:pStyle w:val="Heading5"/>
      </w:pPr>
      <w:r w:rsidRPr="003A3FD7">
        <w:t>Wages</w:t>
      </w:r>
    </w:p>
    <w:p w:rsidR="001C1CC6" w:rsidRPr="003A3FD7" w:rsidRDefault="001C1CC6" w:rsidP="001C1CC6">
      <w:pPr>
        <w:spacing w:line="240" w:lineRule="auto"/>
      </w:pPr>
      <w:r w:rsidRPr="003A3FD7">
        <w:t xml:space="preserve">The outlook for wages </w:t>
      </w:r>
      <w:r w:rsidR="00596C41">
        <w:t xml:space="preserve">growth </w:t>
      </w:r>
      <w:r w:rsidRPr="003A3FD7">
        <w:t xml:space="preserve">has been downgraded slightly since December JEFG.  </w:t>
      </w:r>
      <w:r w:rsidRPr="003A3FD7">
        <w:lastRenderedPageBreak/>
        <w:t xml:space="preserve">This largely reflects </w:t>
      </w:r>
      <w:r w:rsidR="00596C41">
        <w:t>the weaker labour market</w:t>
      </w:r>
      <w:r w:rsidR="00DC7C88">
        <w:t xml:space="preserve"> outlook</w:t>
      </w:r>
      <w:r w:rsidR="00596C41">
        <w:t>.</w:t>
      </w:r>
      <w:r w:rsidRPr="003A3FD7">
        <w:t xml:space="preserve">  However, it a</w:t>
      </w:r>
      <w:r w:rsidR="00596C41">
        <w:t>lso takes account of the faster</w:t>
      </w:r>
      <w:r w:rsidR="00596C41">
        <w:noBreakHyphen/>
      </w:r>
      <w:r w:rsidRPr="003A3FD7">
        <w:t xml:space="preserve">than-anticipated slowdown in public sector wages growth associated with the fiscal consolidations taking place at all levels of </w:t>
      </w:r>
      <w:r w:rsidR="00B40A36">
        <w:t>g</w:t>
      </w:r>
      <w:r w:rsidRPr="003A3FD7">
        <w:t xml:space="preserve">overnment.  Wage Price Index growth forecasts have been downgraded by ¼ of </w:t>
      </w:r>
      <w:r w:rsidR="00A034F9">
        <w:t>a percentage point in 2011-12.</w:t>
      </w:r>
    </w:p>
    <w:p w:rsidR="001C1CC6" w:rsidRDefault="001C1CC6" w:rsidP="001C1CC6">
      <w:pPr>
        <w:spacing w:line="240" w:lineRule="auto"/>
      </w:pPr>
      <w:r w:rsidRPr="003A3FD7">
        <w:rPr>
          <w:b/>
        </w:rPr>
        <w:t>Wages growth</w:t>
      </w:r>
      <w:r w:rsidRPr="003A3FD7">
        <w:t xml:space="preserve"> slowed in the second half of 2011, largely reflecting the decline in pub</w:t>
      </w:r>
      <w:r w:rsidR="001E4C74">
        <w:t>lic sector wage growth</w:t>
      </w:r>
      <w:r w:rsidR="00BA45EB">
        <w:t xml:space="preserve"> (Chart 1</w:t>
      </w:r>
      <w:r w:rsidR="00602BA3">
        <w:t>1</w:t>
      </w:r>
      <w:r w:rsidR="00BA45EB">
        <w:t>)</w:t>
      </w:r>
      <w:r w:rsidRPr="003A3FD7">
        <w:t>.  Public sector wages grew at their slowest rate in almost a decade</w:t>
      </w:r>
      <w:r w:rsidR="00DC7C88" w:rsidRPr="00DC7C88">
        <w:t xml:space="preserve"> </w:t>
      </w:r>
      <w:r w:rsidR="00DC7C88" w:rsidRPr="003A3FD7">
        <w:t>in the</w:t>
      </w:r>
      <w:r w:rsidR="00F91842">
        <w:t xml:space="preserve"> year to the</w:t>
      </w:r>
      <w:r w:rsidR="00DC7C88" w:rsidRPr="003A3FD7">
        <w:t xml:space="preserve"> December quarter 2011</w:t>
      </w:r>
      <w:r w:rsidR="00F91842">
        <w:t>. In aggregate,</w:t>
      </w:r>
      <w:r w:rsidR="000F139B" w:rsidRPr="003A3FD7">
        <w:t xml:space="preserve"> th</w:t>
      </w:r>
      <w:r w:rsidRPr="003A3FD7">
        <w:t xml:space="preserve">e Wage Price Index (WPI) increased 3.6 per cent through the year to December 2011, </w:t>
      </w:r>
      <w:r w:rsidR="000F139B" w:rsidRPr="003A3FD7">
        <w:t xml:space="preserve">a little </w:t>
      </w:r>
      <w:r w:rsidRPr="003A3FD7">
        <w:t>below its 10</w:t>
      </w:r>
      <w:r w:rsidR="00596C41">
        <w:noBreakHyphen/>
      </w:r>
      <w:r w:rsidRPr="003A3FD7">
        <w:t xml:space="preserve">year average of </w:t>
      </w:r>
      <w:r w:rsidR="000F139B" w:rsidRPr="003A3FD7">
        <w:t>3.8 per cent</w:t>
      </w:r>
      <w:r w:rsidRPr="003A3FD7">
        <w:t>.</w:t>
      </w:r>
    </w:p>
    <w:p w:rsidR="000C30AE" w:rsidRPr="00E230A0" w:rsidRDefault="000C30AE" w:rsidP="00D328A5">
      <w:pPr>
        <w:keepNext/>
        <w:jc w:val="center"/>
        <w:rPr>
          <w:b/>
          <w:color w:val="FF0000"/>
        </w:rPr>
      </w:pPr>
      <w:r w:rsidRPr="00E230A0">
        <w:rPr>
          <w:b/>
        </w:rPr>
        <w:t>Chart 1</w:t>
      </w:r>
      <w:r w:rsidR="00602BA3">
        <w:rPr>
          <w:b/>
        </w:rPr>
        <w:t>1</w:t>
      </w:r>
      <w:r w:rsidRPr="00E230A0">
        <w:rPr>
          <w:b/>
        </w:rPr>
        <w:t>: Wage Price Index growth</w:t>
      </w:r>
    </w:p>
    <w:p w:rsidR="000C30AE" w:rsidRPr="00E230A0" w:rsidRDefault="004E1DFA" w:rsidP="000C30AE">
      <w:pPr>
        <w:pStyle w:val="ChartGraphic0"/>
        <w:rPr>
          <w:color w:val="FF0000"/>
        </w:rPr>
      </w:pPr>
      <w:r w:rsidRPr="00E230A0">
        <w:object w:dxaOrig="3961" w:dyaOrig="3961">
          <v:shape id="_x0000_i1037" type="#_x0000_t75" style="width:198.8pt;height:198.8pt" o:ole="">
            <v:imagedata r:id="rId43" o:title=""/>
          </v:shape>
          <o:OLEObject Type="Link" ProgID="Excel.Sheet.8" ShapeID="_x0000_i1037" DrawAspect="Content" r:id="rId44" UpdateMode="Always">
            <o:LinkType>EnhancedMetaFile</o:LinkType>
            <o:LockedField/>
            <o:FieldCodes>\* MERGEFORMAT</o:FieldCodes>
          </o:OLEObject>
        </w:object>
      </w:r>
    </w:p>
    <w:p w:rsidR="000C30AE" w:rsidRPr="008C129D" w:rsidRDefault="000C30AE" w:rsidP="000C30AE">
      <w:pPr>
        <w:keepNext/>
        <w:spacing w:line="240" w:lineRule="auto"/>
        <w:jc w:val="left"/>
        <w:rPr>
          <w:b/>
          <w:szCs w:val="20"/>
        </w:rPr>
      </w:pPr>
      <w:r w:rsidRPr="00E230A0">
        <w:rPr>
          <w:rFonts w:ascii="Tahoma" w:hAnsi="Tahoma" w:cs="Tahoma"/>
          <w:sz w:val="16"/>
          <w:szCs w:val="16"/>
        </w:rPr>
        <w:t xml:space="preserve">Source: ABS </w:t>
      </w:r>
      <w:r w:rsidR="00B72FAF">
        <w:rPr>
          <w:rFonts w:ascii="Tahoma" w:hAnsi="Tahoma" w:cs="Tahoma"/>
          <w:sz w:val="16"/>
          <w:szCs w:val="16"/>
        </w:rPr>
        <w:t>cat. no.</w:t>
      </w:r>
      <w:r w:rsidRPr="008C129D">
        <w:rPr>
          <w:rFonts w:ascii="Tahoma" w:hAnsi="Tahoma" w:cs="Tahoma"/>
          <w:sz w:val="16"/>
          <w:szCs w:val="16"/>
        </w:rPr>
        <w:t xml:space="preserve"> 6345.0 and Treasury.</w:t>
      </w:r>
    </w:p>
    <w:p w:rsidR="00BC1F06" w:rsidRDefault="001C1CC6" w:rsidP="00BC1F06">
      <w:pPr>
        <w:spacing w:line="240" w:lineRule="auto"/>
      </w:pPr>
      <w:r w:rsidRPr="003A3FD7">
        <w:t xml:space="preserve">The Wage Price Index is expected to </w:t>
      </w:r>
      <w:r w:rsidR="00644138">
        <w:t>grow 3½</w:t>
      </w:r>
      <w:r w:rsidR="008A1CB0">
        <w:t> </w:t>
      </w:r>
      <w:r w:rsidR="00644138">
        <w:t>per cent</w:t>
      </w:r>
      <w:r w:rsidR="00BC1F06">
        <w:t xml:space="preserve"> through</w:t>
      </w:r>
      <w:r w:rsidR="009A42C5">
        <w:t xml:space="preserve"> </w:t>
      </w:r>
      <w:r w:rsidR="00BC1F06">
        <w:t>the</w:t>
      </w:r>
      <w:r w:rsidR="009A42C5">
        <w:t xml:space="preserve"> </w:t>
      </w:r>
      <w:r w:rsidR="00BC1F06">
        <w:t xml:space="preserve">year to the June quarter of 2012, </w:t>
      </w:r>
      <w:r w:rsidR="009A42C5">
        <w:t xml:space="preserve">and 3¾ per cent through the </w:t>
      </w:r>
      <w:r w:rsidR="005E4871">
        <w:t xml:space="preserve">year to the June quarters of </w:t>
      </w:r>
      <w:r w:rsidR="00BC1F06">
        <w:t>2013 and 2014.</w:t>
      </w:r>
    </w:p>
    <w:p w:rsidR="00405DE2" w:rsidRPr="00644138" w:rsidRDefault="00405DE2" w:rsidP="00644138">
      <w:pPr>
        <w:spacing w:line="240" w:lineRule="auto"/>
        <w:sectPr w:rsidR="00405DE2" w:rsidRPr="00644138" w:rsidSect="00736A29">
          <w:headerReference w:type="even" r:id="rId45"/>
          <w:footerReference w:type="default" r:id="rId46"/>
          <w:type w:val="continuous"/>
          <w:pgSz w:w="11907" w:h="16840" w:code="9"/>
          <w:pgMar w:top="1418" w:right="1418" w:bottom="1418" w:left="1418" w:header="567" w:footer="567" w:gutter="0"/>
          <w:cols w:num="2" w:space="720"/>
        </w:sectPr>
      </w:pPr>
    </w:p>
    <w:p w:rsidR="00AC2E0A" w:rsidRPr="001404B4" w:rsidRDefault="00150650" w:rsidP="001404B4">
      <w:pPr>
        <w:pStyle w:val="Heading4"/>
        <w:rPr>
          <w:sz w:val="26"/>
          <w:szCs w:val="26"/>
        </w:rPr>
      </w:pPr>
      <w:r w:rsidRPr="001404B4">
        <w:rPr>
          <w:sz w:val="26"/>
          <w:szCs w:val="26"/>
        </w:rPr>
        <w:lastRenderedPageBreak/>
        <w:br w:type="page"/>
      </w:r>
      <w:bookmarkStart w:id="19" w:name="_Toc322100144"/>
      <w:r w:rsidR="00AC2E0A" w:rsidRPr="001404B4">
        <w:rPr>
          <w:sz w:val="26"/>
          <w:szCs w:val="26"/>
        </w:rPr>
        <w:lastRenderedPageBreak/>
        <w:t xml:space="preserve">Box 1: </w:t>
      </w:r>
      <w:r w:rsidR="000024DE">
        <w:rPr>
          <w:sz w:val="26"/>
          <w:szCs w:val="26"/>
        </w:rPr>
        <w:t>The impact of the rise of e</w:t>
      </w:r>
      <w:r w:rsidR="007518CB" w:rsidRPr="001404B4">
        <w:rPr>
          <w:sz w:val="26"/>
          <w:szCs w:val="26"/>
        </w:rPr>
        <w:t>merging Asia on Australian exporters</w:t>
      </w:r>
      <w:bookmarkEnd w:id="19"/>
    </w:p>
    <w:p w:rsidR="00AC2E0A" w:rsidRDefault="00AC2E0A" w:rsidP="00AC2E0A">
      <w:r>
        <w:t xml:space="preserve">Australia’s natural resource base and </w:t>
      </w:r>
      <w:r w:rsidR="00F91842">
        <w:t xml:space="preserve">location </w:t>
      </w:r>
      <w:r>
        <w:t>in the Asian region has meant that that our exporters have been able to take advantage of the expanding markets of emerging Asia at a time of relative weakness in th</w:t>
      </w:r>
      <w:r w:rsidR="00E446D2">
        <w:t>e world’s advanced economies.</w:t>
      </w:r>
    </w:p>
    <w:p w:rsidR="00AC2E0A" w:rsidRDefault="00AC2E0A" w:rsidP="00AC2E0A">
      <w:r>
        <w:t xml:space="preserve">In the past decade, emerging economies, primarily those in Asia, have become the engine room of growth in the global economy (Chart 1). </w:t>
      </w:r>
    </w:p>
    <w:p w:rsidR="00AC2E0A" w:rsidRDefault="00AC2E0A" w:rsidP="002C1997">
      <w:pPr>
        <w:pStyle w:val="ChartHeading"/>
        <w:spacing w:before="0" w:after="120"/>
      </w:pPr>
      <w:r>
        <w:t>Chart 1: Contributions to global growth (5-yr-average)</w:t>
      </w:r>
    </w:p>
    <w:p w:rsidR="00AC2E0A" w:rsidRDefault="00AC2E0A" w:rsidP="00AC2E0A">
      <w:pPr>
        <w:pStyle w:val="ChartGraphic0"/>
        <w:jc w:val="both"/>
      </w:pPr>
      <w:r>
        <w:t xml:space="preserve"> </w:t>
      </w:r>
      <w:r w:rsidR="00A35FC0">
        <w:object w:dxaOrig="3975" w:dyaOrig="3960">
          <v:shape id="_x0000_i1038" type="#_x0000_t75" style="width:197.75pt;height:198.8pt" o:ole="">
            <v:imagedata r:id="rId47" o:title=""/>
          </v:shape>
          <o:OLEObject Type="Link" ProgID="Excel.Sheet.12" ShapeID="_x0000_i1038" DrawAspect="Content" r:id="rId48" UpdateMode="Always">
            <o:LinkType>EnhancedMetaFile</o:LinkType>
            <o:LockedField>false</o:LockedField>
          </o:OLEObject>
        </w:object>
      </w:r>
    </w:p>
    <w:p w:rsidR="000401BC" w:rsidRPr="000401BC" w:rsidRDefault="00AC2E0A" w:rsidP="000401BC">
      <w:pPr>
        <w:spacing w:after="0"/>
        <w:rPr>
          <w:rFonts w:ascii="Arial" w:eastAsia="Times New Roman" w:hAnsi="Arial" w:cs="Arial"/>
          <w:sz w:val="16"/>
          <w:szCs w:val="16"/>
          <w:lang w:eastAsia="en-AU"/>
        </w:rPr>
      </w:pPr>
      <w:r w:rsidRPr="000401BC">
        <w:rPr>
          <w:rFonts w:ascii="Arial" w:eastAsia="Times New Roman" w:hAnsi="Arial" w:cs="Arial"/>
          <w:sz w:val="16"/>
          <w:szCs w:val="16"/>
          <w:lang w:eastAsia="en-AU"/>
        </w:rPr>
        <w:t>Note: IMF forecasts 2012-16.</w:t>
      </w:r>
    </w:p>
    <w:p w:rsidR="00AC2E0A" w:rsidRPr="000401BC" w:rsidRDefault="00AC2E0A" w:rsidP="00AC2E0A">
      <w:r w:rsidRPr="000401BC">
        <w:rPr>
          <w:rFonts w:ascii="Arial" w:eastAsia="Times New Roman" w:hAnsi="Arial" w:cs="Arial"/>
          <w:sz w:val="16"/>
          <w:szCs w:val="16"/>
          <w:lang w:eastAsia="en-AU"/>
        </w:rPr>
        <w:t>Source: IMF</w:t>
      </w:r>
      <w:r w:rsidR="00D53201">
        <w:rPr>
          <w:rFonts w:ascii="Arial" w:eastAsia="Times New Roman" w:hAnsi="Arial" w:cs="Arial"/>
          <w:sz w:val="16"/>
          <w:szCs w:val="16"/>
          <w:lang w:eastAsia="en-AU"/>
        </w:rPr>
        <w:t xml:space="preserve"> </w:t>
      </w:r>
      <w:r w:rsidRPr="000401BC">
        <w:rPr>
          <w:rFonts w:ascii="Arial" w:eastAsia="Times New Roman" w:hAnsi="Arial" w:cs="Arial"/>
          <w:sz w:val="16"/>
          <w:szCs w:val="16"/>
          <w:lang w:eastAsia="en-AU"/>
        </w:rPr>
        <w:t>and Treasury.</w:t>
      </w:r>
    </w:p>
    <w:p w:rsidR="00AC2E0A" w:rsidRDefault="00AC2E0A" w:rsidP="00AC2E0A">
      <w:r>
        <w:t>While China has been a significant contributor, due to its size and strong growth, all the key emerging economies of Asia, India, Indonesia, Malaysia, Vietnam, have grown more rapidly than their European an</w:t>
      </w:r>
      <w:r w:rsidR="00E446D2">
        <w:t xml:space="preserve">d North American counterparts. </w:t>
      </w:r>
    </w:p>
    <w:p w:rsidR="00AC2E0A" w:rsidRDefault="00AC2E0A" w:rsidP="00AC2E0A">
      <w:r>
        <w:t>Australian exporters have been steadily re</w:t>
      </w:r>
      <w:r w:rsidR="001F79DF">
        <w:noBreakHyphen/>
      </w:r>
      <w:r>
        <w:t xml:space="preserve">orientating </w:t>
      </w:r>
      <w:r w:rsidR="00267A48">
        <w:t xml:space="preserve">their exports </w:t>
      </w:r>
      <w:r>
        <w:t>toward emer</w:t>
      </w:r>
      <w:r w:rsidR="00267A48">
        <w:t>ging Asia for many years and this</w:t>
      </w:r>
      <w:r>
        <w:t xml:space="preserve"> shift has been even more marked since the global financial crisis (Chart 2).</w:t>
      </w:r>
    </w:p>
    <w:p w:rsidR="00AC2E0A" w:rsidRDefault="00AC2E0A" w:rsidP="002C1997">
      <w:pPr>
        <w:pStyle w:val="ChartHeading"/>
        <w:spacing w:before="0" w:after="120"/>
      </w:pPr>
      <w:r>
        <w:lastRenderedPageBreak/>
        <w:t>Chart 2: Merchandise export shares</w:t>
      </w:r>
    </w:p>
    <w:p w:rsidR="00AC2E0A" w:rsidRDefault="00D97DC5" w:rsidP="004E1DFA">
      <w:pPr>
        <w:pStyle w:val="ChartGraphic0"/>
      </w:pPr>
      <w:r>
        <w:object w:dxaOrig="3961" w:dyaOrig="3961">
          <v:shape id="_x0000_i1039" type="#_x0000_t75" style="width:198.8pt;height:198.8pt" o:ole="">
            <v:imagedata r:id="rId49" o:title=""/>
          </v:shape>
          <o:OLEObject Type="Link" ProgID="Excel.Sheet.12" ShapeID="_x0000_i1039" DrawAspect="Content" r:id="rId50" UpdateMode="Always">
            <o:LinkType>EnhancedMetaFile</o:LinkType>
            <o:LockedField>false</o:LockedField>
          </o:OLEObject>
        </w:object>
      </w:r>
    </w:p>
    <w:p w:rsidR="00AC2E0A" w:rsidRPr="00D24B0D" w:rsidRDefault="00E446D2" w:rsidP="00AC2E0A">
      <w:pPr>
        <w:pStyle w:val="BoxText"/>
        <w:rPr>
          <w:rFonts w:ascii="Arial" w:hAnsi="Arial" w:cs="Arial"/>
          <w:sz w:val="16"/>
          <w:szCs w:val="16"/>
        </w:rPr>
      </w:pPr>
      <w:r>
        <w:rPr>
          <w:rFonts w:ascii="Arial" w:hAnsi="Arial" w:cs="Arial"/>
          <w:sz w:val="16"/>
          <w:szCs w:val="16"/>
        </w:rPr>
        <w:t>Source:</w:t>
      </w:r>
      <w:r w:rsidR="00AC2E0A" w:rsidRPr="00D24B0D">
        <w:rPr>
          <w:rFonts w:ascii="Arial" w:hAnsi="Arial" w:cs="Arial"/>
          <w:sz w:val="16"/>
          <w:szCs w:val="16"/>
        </w:rPr>
        <w:t xml:space="preserve"> ABS </w:t>
      </w:r>
      <w:r w:rsidR="00AC2E0A">
        <w:rPr>
          <w:rFonts w:ascii="Arial" w:hAnsi="Arial" w:cs="Arial"/>
          <w:sz w:val="16"/>
          <w:szCs w:val="16"/>
        </w:rPr>
        <w:t>c</w:t>
      </w:r>
      <w:r w:rsidR="00AC2E0A" w:rsidRPr="00D24B0D">
        <w:rPr>
          <w:rFonts w:ascii="Arial" w:hAnsi="Arial" w:cs="Arial"/>
          <w:sz w:val="16"/>
          <w:szCs w:val="16"/>
        </w:rPr>
        <w:t xml:space="preserve">at. </w:t>
      </w:r>
      <w:r w:rsidR="00AC2E0A">
        <w:rPr>
          <w:rFonts w:ascii="Arial" w:hAnsi="Arial" w:cs="Arial"/>
          <w:sz w:val="16"/>
          <w:szCs w:val="16"/>
        </w:rPr>
        <w:t>n</w:t>
      </w:r>
      <w:r w:rsidR="00AC2E0A" w:rsidRPr="00D24B0D">
        <w:rPr>
          <w:rFonts w:ascii="Arial" w:hAnsi="Arial" w:cs="Arial"/>
          <w:sz w:val="16"/>
          <w:szCs w:val="16"/>
        </w:rPr>
        <w:t>o. 5368.0 and Treasury</w:t>
      </w:r>
    </w:p>
    <w:p w:rsidR="00AC2E0A" w:rsidRDefault="00AC2E0A" w:rsidP="00AC2E0A">
      <w:pPr>
        <w:pStyle w:val="BoxText"/>
      </w:pPr>
      <w:r>
        <w:t xml:space="preserve">The re-alignment is most stark </w:t>
      </w:r>
      <w:r w:rsidR="00F91842">
        <w:t>for</w:t>
      </w:r>
      <w:r>
        <w:t xml:space="preserve"> commodities but is evident in all major export classes (Chart 3).</w:t>
      </w:r>
    </w:p>
    <w:p w:rsidR="00AC2E0A" w:rsidRPr="002C1997" w:rsidRDefault="00AC2E0A" w:rsidP="002C1997">
      <w:pPr>
        <w:pStyle w:val="ChartHeading"/>
        <w:spacing w:before="0" w:after="120"/>
      </w:pPr>
      <w:r w:rsidRPr="002C1997">
        <w:t xml:space="preserve">Chart 3: Emerging Asia share of </w:t>
      </w:r>
      <w:r w:rsidR="00082A9F">
        <w:t>exports</w:t>
      </w:r>
    </w:p>
    <w:p w:rsidR="00AC2E0A" w:rsidRPr="00095839" w:rsidRDefault="00D97DC5" w:rsidP="005706BA">
      <w:pPr>
        <w:pStyle w:val="ChartGraphic0"/>
      </w:pPr>
      <w:r>
        <w:object w:dxaOrig="3961" w:dyaOrig="3961">
          <v:shape id="_x0000_i1040" type="#_x0000_t75" style="width:198.8pt;height:198.8pt" o:ole="">
            <v:imagedata r:id="rId51" o:title=""/>
          </v:shape>
          <o:OLEObject Type="Link" ProgID="Excel.Sheet.12" ShapeID="_x0000_i1040" DrawAspect="Content" r:id="rId52" UpdateMode="Always">
            <o:LinkType>EnhancedMetaFile</o:LinkType>
            <o:LockedField>false</o:LockedField>
            <o:FieldCodes>\* MERGEFORMAT</o:FieldCodes>
          </o:OLEObject>
        </w:object>
      </w:r>
    </w:p>
    <w:p w:rsidR="00AC2E0A" w:rsidRPr="005706BA" w:rsidRDefault="00AC2E0A" w:rsidP="00AC2E0A">
      <w:pPr>
        <w:pStyle w:val="ChartHeading"/>
        <w:jc w:val="both"/>
        <w:rPr>
          <w:rFonts w:ascii="Arial" w:hAnsi="Arial" w:cs="Arial"/>
          <w:b w:val="0"/>
          <w:sz w:val="16"/>
          <w:szCs w:val="16"/>
        </w:rPr>
      </w:pPr>
      <w:r w:rsidRPr="005706BA">
        <w:rPr>
          <w:rFonts w:ascii="Arial" w:hAnsi="Arial" w:cs="Arial"/>
          <w:b w:val="0"/>
          <w:sz w:val="16"/>
          <w:szCs w:val="16"/>
        </w:rPr>
        <w:t>Source: Department of Fo</w:t>
      </w:r>
      <w:r w:rsidR="00875210" w:rsidRPr="005706BA">
        <w:rPr>
          <w:rFonts w:ascii="Arial" w:hAnsi="Arial" w:cs="Arial"/>
          <w:b w:val="0"/>
          <w:sz w:val="16"/>
          <w:szCs w:val="16"/>
        </w:rPr>
        <w:t>reign Affairs and Trade and ABS </w:t>
      </w:r>
      <w:r w:rsidRPr="005706BA">
        <w:rPr>
          <w:rFonts w:ascii="Arial" w:hAnsi="Arial" w:cs="Arial"/>
          <w:b w:val="0"/>
          <w:sz w:val="16"/>
          <w:szCs w:val="16"/>
        </w:rPr>
        <w:t>cat. no. 5368.0</w:t>
      </w:r>
      <w:r w:rsidR="00D82E89" w:rsidRPr="005706BA">
        <w:rPr>
          <w:rFonts w:ascii="Arial" w:hAnsi="Arial" w:cs="Arial"/>
          <w:b w:val="0"/>
          <w:sz w:val="16"/>
          <w:szCs w:val="16"/>
        </w:rPr>
        <w:t>.</w:t>
      </w:r>
      <w:r w:rsidR="008F14E1" w:rsidRPr="005706BA">
        <w:rPr>
          <w:rFonts w:ascii="Arial" w:hAnsi="Arial" w:cs="Arial"/>
          <w:b w:val="0"/>
          <w:sz w:val="16"/>
          <w:szCs w:val="16"/>
        </w:rPr>
        <w:t>55</w:t>
      </w:r>
      <w:r w:rsidRPr="005706BA">
        <w:rPr>
          <w:rFonts w:ascii="Arial" w:hAnsi="Arial" w:cs="Arial"/>
          <w:b w:val="0"/>
          <w:sz w:val="16"/>
          <w:szCs w:val="16"/>
        </w:rPr>
        <w:t>.003.</w:t>
      </w:r>
    </w:p>
    <w:p w:rsidR="005C7750" w:rsidRPr="005C7750" w:rsidRDefault="005C7750" w:rsidP="005C7750">
      <w:pPr>
        <w:pStyle w:val="Chartgraphic"/>
      </w:pPr>
    </w:p>
    <w:p w:rsidR="00BA246A" w:rsidRDefault="00BA246A">
      <w:pPr>
        <w:spacing w:after="0" w:line="240" w:lineRule="auto"/>
        <w:jc w:val="left"/>
      </w:pPr>
      <w:r>
        <w:br w:type="page"/>
      </w:r>
    </w:p>
    <w:p w:rsidR="00887223" w:rsidRDefault="00887223" w:rsidP="00AC2E0A">
      <w:pPr>
        <w:sectPr w:rsidR="00887223" w:rsidSect="00201C28">
          <w:type w:val="continuous"/>
          <w:pgSz w:w="11907" w:h="16840" w:code="9"/>
          <w:pgMar w:top="1418" w:right="1418" w:bottom="1418" w:left="1418" w:header="567" w:footer="567" w:gutter="0"/>
          <w:pgBorders w:offsetFrom="page">
            <w:top w:val="double" w:sz="4" w:space="24" w:color="auto"/>
            <w:left w:val="double" w:sz="4" w:space="24" w:color="auto"/>
            <w:bottom w:val="double" w:sz="4" w:space="24" w:color="auto"/>
            <w:right w:val="double" w:sz="4" w:space="24" w:color="auto"/>
          </w:pgBorders>
          <w:cols w:num="2" w:space="720"/>
        </w:sectPr>
      </w:pPr>
    </w:p>
    <w:p w:rsidR="00BA246A" w:rsidRDefault="00BA246A" w:rsidP="00887223">
      <w:pPr>
        <w:ind w:right="4960"/>
      </w:pPr>
      <w:r w:rsidRPr="00BA246A">
        <w:lastRenderedPageBreak/>
        <w:t xml:space="preserve">This shift towards </w:t>
      </w:r>
      <w:r w:rsidR="001F79DF">
        <w:t xml:space="preserve">strongly growing </w:t>
      </w:r>
      <w:r w:rsidRPr="00BA246A">
        <w:t>emerging Asia</w:t>
      </w:r>
      <w:r w:rsidR="001F79DF">
        <w:t xml:space="preserve"> away from </w:t>
      </w:r>
      <w:r w:rsidR="00F91842">
        <w:t>weakly</w:t>
      </w:r>
      <w:r w:rsidR="001F79DF">
        <w:t xml:space="preserve"> growing advanced economies </w:t>
      </w:r>
      <w:r w:rsidRPr="00BA246A">
        <w:t xml:space="preserve">has meant that since 2009, </w:t>
      </w:r>
      <w:r w:rsidR="00E457BA">
        <w:t xml:space="preserve">growth in </w:t>
      </w:r>
      <w:r w:rsidRPr="00BA246A">
        <w:t xml:space="preserve">Australia’s major trading partners (by export weight) </w:t>
      </w:r>
      <w:r w:rsidR="001F79DF">
        <w:t>has exceeded w</w:t>
      </w:r>
      <w:r w:rsidR="00E457BA">
        <w:t>orld growth by around</w:t>
      </w:r>
      <w:r w:rsidR="00C6410E">
        <w:t xml:space="preserve"> </w:t>
      </w:r>
      <w:r w:rsidR="00AB41EC">
        <w:t>1</w:t>
      </w:r>
      <w:r w:rsidR="00E457BA">
        <w:t> </w:t>
      </w:r>
      <w:r w:rsidR="003768DC">
        <w:t>percentage point per year</w:t>
      </w:r>
      <w:r w:rsidR="008A1761">
        <w:t>, on average</w:t>
      </w:r>
      <w:r w:rsidRPr="00BA246A">
        <w:t xml:space="preserve"> (Chart 4).</w:t>
      </w:r>
    </w:p>
    <w:p w:rsidR="009442CC" w:rsidRDefault="009442CC" w:rsidP="00887223">
      <w:pPr>
        <w:pStyle w:val="ChartHeading"/>
        <w:spacing w:before="0" w:after="120"/>
        <w:ind w:right="4960"/>
      </w:pPr>
      <w:r>
        <w:t xml:space="preserve">Chart 4: </w:t>
      </w:r>
      <w:r w:rsidR="00FF0550">
        <w:t>Major trading partners and World</w:t>
      </w:r>
      <w:r>
        <w:t xml:space="preserve"> GDP growth</w:t>
      </w:r>
    </w:p>
    <w:p w:rsidR="009442CC" w:rsidRDefault="00476983" w:rsidP="00887223">
      <w:pPr>
        <w:pStyle w:val="ChartGraphic0"/>
        <w:ind w:right="4960"/>
      </w:pPr>
      <w:r>
        <w:object w:dxaOrig="3961" w:dyaOrig="3961">
          <v:shape id="_x0000_i1041" type="#_x0000_t75" style="width:198.8pt;height:198.8pt" o:ole="">
            <v:imagedata r:id="rId53" o:title=""/>
          </v:shape>
          <o:OLEObject Type="Link" ProgID="Excel.Sheet.12" ShapeID="_x0000_i1041" DrawAspect="Content" r:id="rId54" UpdateMode="OnCall">
            <o:LinkType>EnhancedMetaFile</o:LinkType>
            <o:LockedField/>
          </o:OLEObject>
        </w:object>
      </w:r>
    </w:p>
    <w:p w:rsidR="005D1828" w:rsidRDefault="005D1828" w:rsidP="005D1828">
      <w:pPr>
        <w:pStyle w:val="BoxText"/>
        <w:ind w:right="4960"/>
        <w:rPr>
          <w:rFonts w:ascii="Tahoma" w:eastAsia="SimSun" w:hAnsi="Tahoma" w:cs="Arial"/>
          <w:sz w:val="16"/>
          <w:szCs w:val="16"/>
          <w:lang w:eastAsia="en-US"/>
        </w:rPr>
      </w:pPr>
      <w:r w:rsidRPr="00840D76">
        <w:rPr>
          <w:rFonts w:ascii="Tahoma" w:eastAsia="SimSun" w:hAnsi="Tahoma" w:cs="Arial"/>
          <w:sz w:val="16"/>
          <w:szCs w:val="16"/>
          <w:lang w:eastAsia="en-US"/>
        </w:rPr>
        <w:t>Source: IMF and Treasury.</w:t>
      </w:r>
    </w:p>
    <w:p w:rsidR="00135047" w:rsidRPr="00111227" w:rsidRDefault="001F79DF" w:rsidP="00887223">
      <w:pPr>
        <w:ind w:right="4960"/>
        <w:sectPr w:rsidR="00135047" w:rsidRPr="00111227" w:rsidSect="00887223">
          <w:type w:val="continuous"/>
          <w:pgSz w:w="11907" w:h="16840" w:code="9"/>
          <w:pgMar w:top="1418" w:right="1418" w:bottom="1418" w:left="1418" w:header="567" w:footer="567" w:gutter="0"/>
          <w:pgBorders w:offsetFrom="page">
            <w:top w:val="double" w:sz="4" w:space="24" w:color="auto"/>
            <w:left w:val="double" w:sz="4" w:space="24" w:color="auto"/>
            <w:bottom w:val="double" w:sz="4" w:space="24" w:color="auto"/>
            <w:right w:val="double" w:sz="4" w:space="24" w:color="auto"/>
          </w:pgBorders>
          <w:cols w:space="720"/>
        </w:sectPr>
      </w:pPr>
      <w:r w:rsidRPr="00DD4FD8">
        <w:t>The gap should</w:t>
      </w:r>
      <w:r w:rsidR="00BA246A" w:rsidRPr="00DD4FD8">
        <w:t xml:space="preserve"> narrow </w:t>
      </w:r>
      <w:r w:rsidR="008A1761">
        <w:t xml:space="preserve">marginally </w:t>
      </w:r>
      <w:r w:rsidR="00BA246A" w:rsidRPr="00DD4FD8">
        <w:t xml:space="preserve">over the next three years as emerging economy growth moderates slightly and the recovery in the large advanced economies slowly gathers momentum.  However, major trading partner growth will nevertheless remain strong, helping to support our exporters at a time of a high exchange rate and </w:t>
      </w:r>
      <w:r w:rsidR="00267A48">
        <w:t>weak</w:t>
      </w:r>
      <w:r w:rsidR="00BA246A" w:rsidRPr="00DD4FD8">
        <w:t xml:space="preserve"> global </w:t>
      </w:r>
      <w:r w:rsidR="00267A48">
        <w:t>activity</w:t>
      </w:r>
      <w:r w:rsidR="00BA246A" w:rsidRPr="00DD4FD8">
        <w:t>.</w:t>
      </w:r>
    </w:p>
    <w:p w:rsidR="00887223" w:rsidRDefault="00887223" w:rsidP="005D232E">
      <w:pPr>
        <w:pStyle w:val="Heading3"/>
        <w:sectPr w:rsidR="00887223" w:rsidSect="00887223">
          <w:headerReference w:type="even" r:id="rId55"/>
          <w:headerReference w:type="default" r:id="rId56"/>
          <w:footerReference w:type="default" r:id="rId57"/>
          <w:type w:val="continuous"/>
          <w:pgSz w:w="11907" w:h="16840" w:code="9"/>
          <w:pgMar w:top="1418" w:right="1418" w:bottom="1418" w:left="1418" w:header="567" w:footer="567" w:gutter="0"/>
          <w:cols w:space="720"/>
        </w:sectPr>
      </w:pPr>
      <w:bookmarkStart w:id="20" w:name="_Toc90808266"/>
      <w:bookmarkStart w:id="21" w:name="_Toc116366080"/>
      <w:bookmarkStart w:id="22" w:name="OLE_LINK1"/>
      <w:bookmarkStart w:id="23" w:name="_Toc90808267"/>
    </w:p>
    <w:p w:rsidR="005D232E" w:rsidRPr="005D232E" w:rsidRDefault="008D7784" w:rsidP="005D232E">
      <w:pPr>
        <w:pStyle w:val="Heading3"/>
        <w:sectPr w:rsidR="005D232E" w:rsidRPr="005D232E">
          <w:type w:val="continuous"/>
          <w:pgSz w:w="11907" w:h="16840" w:code="9"/>
          <w:pgMar w:top="1418" w:right="1418" w:bottom="1418" w:left="1418" w:header="567" w:footer="567" w:gutter="0"/>
          <w:cols w:space="720"/>
        </w:sectPr>
      </w:pPr>
      <w:r>
        <w:lastRenderedPageBreak/>
        <w:br w:type="column"/>
      </w:r>
      <w:bookmarkStart w:id="24" w:name="_Toc322100145"/>
      <w:r w:rsidR="005D232E" w:rsidRPr="005D232E">
        <w:lastRenderedPageBreak/>
        <w:t>Outlook for the international economy</w:t>
      </w:r>
      <w:bookmarkStart w:id="25" w:name="_Toc90977891"/>
      <w:bookmarkEnd w:id="20"/>
      <w:bookmarkEnd w:id="21"/>
      <w:bookmarkEnd w:id="24"/>
    </w:p>
    <w:bookmarkEnd w:id="25"/>
    <w:p w:rsidR="005D232E" w:rsidRPr="005D232E" w:rsidRDefault="005D232E" w:rsidP="005D232E">
      <w:pPr>
        <w:pStyle w:val="TableHeadingCharChar"/>
      </w:pPr>
      <w:r w:rsidRPr="005D232E">
        <w:lastRenderedPageBreak/>
        <w:t xml:space="preserve">Table </w:t>
      </w:r>
      <w:r w:rsidR="00875210">
        <w:t>3</w:t>
      </w:r>
      <w:r w:rsidRPr="005D232E">
        <w:t>: International GDP growth forecasts</w:t>
      </w:r>
      <w:r w:rsidRPr="005D232E">
        <w:rPr>
          <w:rFonts w:cs="Tahoma"/>
          <w:bCs/>
          <w:szCs w:val="22"/>
          <w:vertAlign w:val="superscript"/>
        </w:rPr>
        <w:t>(a)</w:t>
      </w:r>
    </w:p>
    <w:p w:rsidR="005D232E" w:rsidRPr="005D232E" w:rsidRDefault="00BD46CF" w:rsidP="001747C0">
      <w:pPr>
        <w:pStyle w:val="TableGraphic0"/>
      </w:pPr>
      <w:r>
        <w:rPr>
          <w:noProof/>
        </w:rPr>
        <w:object w:dxaOrig="14904" w:dyaOrig="5695">
          <v:shape id="_x0000_i1042" type="#_x0000_t75" style="width:449.2pt;height:168.7pt" o:ole="">
            <v:imagedata r:id="rId58" o:title=""/>
          </v:shape>
          <o:OLEObject Type="Link" ProgID="Excel.Sheet.12" ShapeID="_x0000_i1042" DrawAspect="Content" r:id="rId59" UpdateMode="Always">
            <o:LinkType>EnhancedMetaFile</o:LinkType>
            <o:LockedField>false</o:LockedField>
          </o:OLEObject>
        </w:object>
      </w:r>
    </w:p>
    <w:p w:rsidR="005D232E" w:rsidRPr="005D232E" w:rsidRDefault="005D232E" w:rsidP="005D232E">
      <w:pPr>
        <w:spacing w:line="240" w:lineRule="auto"/>
        <w:ind w:right="-142"/>
        <w:jc w:val="left"/>
        <w:rPr>
          <w:rFonts w:cs="Arial"/>
          <w:sz w:val="16"/>
          <w:szCs w:val="16"/>
        </w:rPr>
        <w:sectPr w:rsidR="005D232E" w:rsidRPr="005D232E">
          <w:headerReference w:type="default" r:id="rId60"/>
          <w:footerReference w:type="even" r:id="rId61"/>
          <w:footerReference w:type="default" r:id="rId62"/>
          <w:type w:val="continuous"/>
          <w:pgSz w:w="11907" w:h="16840" w:code="9"/>
          <w:pgMar w:top="1418" w:right="1418" w:bottom="1418" w:left="1418" w:header="567" w:footer="567" w:gutter="0"/>
          <w:cols w:space="709"/>
        </w:sectPr>
      </w:pPr>
    </w:p>
    <w:p w:rsidR="005D232E" w:rsidRPr="005D232E" w:rsidRDefault="005D232E" w:rsidP="005D232E">
      <w:pPr>
        <w:pStyle w:val="Heading4"/>
        <w:spacing w:after="120"/>
      </w:pPr>
      <w:bookmarkStart w:id="26" w:name="_Toc322100146"/>
      <w:r w:rsidRPr="005D232E">
        <w:lastRenderedPageBreak/>
        <w:t>World outlook and risks</w:t>
      </w:r>
      <w:bookmarkEnd w:id="26"/>
    </w:p>
    <w:p w:rsidR="00094F7A" w:rsidRPr="005706BA" w:rsidRDefault="00094F7A" w:rsidP="00094F7A">
      <w:pPr>
        <w:autoSpaceDE w:val="0"/>
        <w:autoSpaceDN w:val="0"/>
        <w:spacing w:after="0"/>
      </w:pPr>
      <w:r w:rsidRPr="005706BA">
        <w:t xml:space="preserve">Although global conditions have stabilised somewhat since December JEFG, markets </w:t>
      </w:r>
      <w:r w:rsidR="00BA7CC6">
        <w:t xml:space="preserve">continue to be volatile and </w:t>
      </w:r>
      <w:r w:rsidRPr="005706BA">
        <w:t>remain aler</w:t>
      </w:r>
      <w:r>
        <w:t>t to any signs of deterioration</w:t>
      </w:r>
      <w:r w:rsidRPr="005706BA">
        <w:t xml:space="preserve"> in the outlook for the euro area, especially surrounding the debt sustainability of Spain, Italy, and Portugal.</w:t>
      </w:r>
      <w:r w:rsidR="00BA7CC6">
        <w:t xml:space="preserve">  O</w:t>
      </w:r>
      <w:r w:rsidRPr="005706BA">
        <w:t>n the upside, economic activity in the United States has continued to gain traction.</w:t>
      </w:r>
    </w:p>
    <w:p w:rsidR="00094F7A" w:rsidRPr="005706BA" w:rsidRDefault="00094F7A" w:rsidP="00094F7A">
      <w:pPr>
        <w:autoSpaceDE w:val="0"/>
        <w:autoSpaceDN w:val="0"/>
        <w:spacing w:after="0"/>
      </w:pPr>
      <w:r w:rsidRPr="005706BA">
        <w:t xml:space="preserve"> </w:t>
      </w:r>
    </w:p>
    <w:p w:rsidR="00094F7A" w:rsidRPr="005706BA" w:rsidRDefault="00094F7A" w:rsidP="00094F7A">
      <w:r w:rsidRPr="005706BA">
        <w:t>As forecast in December, the euro area appears to have re</w:t>
      </w:r>
      <w:r w:rsidRPr="005706BA">
        <w:noBreakHyphen/>
        <w:t>entered recession.  In the absence of a major shock, the recession is expected to be relatively mild, but with the subsequent recovery modest at best. Growth in export</w:t>
      </w:r>
      <w:r w:rsidRPr="005706BA">
        <w:noBreakHyphen/>
        <w:t>dependent emerging economies has been impacted by the weakness in Europe and the subdued recovery in the US. However, growth in the emerging economies as a whole remains relatively robust, with China appearing to be on track for a ‘soft landing’, as expected at December JEFG.</w:t>
      </w:r>
    </w:p>
    <w:p w:rsidR="00094F7A" w:rsidRPr="005706BA" w:rsidRDefault="00094F7A" w:rsidP="00094F7A">
      <w:pPr>
        <w:autoSpaceDE w:val="0"/>
        <w:autoSpaceDN w:val="0"/>
        <w:spacing w:after="0"/>
      </w:pPr>
      <w:r w:rsidRPr="005706BA">
        <w:t>A re</w:t>
      </w:r>
      <w:r w:rsidRPr="005706BA">
        <w:noBreakHyphen/>
        <w:t>escalation in the euro area sovereign debt crisis remains the key risk to the global recovery. The European Central Bank’s (ECB) injection of around €1 trillion of liquidity into the euro area’s financial system calmed markets at the beginning of 2012.</w:t>
      </w:r>
      <w:r w:rsidR="005A2168">
        <w:t xml:space="preserve"> </w:t>
      </w:r>
      <w:r w:rsidRPr="005706BA">
        <w:t xml:space="preserve"> However, in recent weeks data show that Spanish, Italian, and Portuguese banks have used the additional liquidity from the ECB to purchase the debt of their governments in record amounts.  This has increased the exposures of these banks to </w:t>
      </w:r>
      <w:r w:rsidR="00183CCA">
        <w:t>their countries’ sovereign debt,</w:t>
      </w:r>
      <w:r w:rsidRPr="005706BA">
        <w:t xml:space="preserve"> triggering renewed market anxiety about the </w:t>
      </w:r>
      <w:r w:rsidRPr="005706BA">
        <w:lastRenderedPageBreak/>
        <w:t xml:space="preserve">adverse impact a likely decline in the value of these sovereign bonds will have on the financial sector of these countries and the rest of the region. The sustainability of Spain’s sovereign debt arising from slippages in Spain’s 2011 fiscal targets has also contributed to the renewed market uncertainty. </w:t>
      </w:r>
      <w:r w:rsidR="00940DB9">
        <w:t xml:space="preserve">In addition, </w:t>
      </w:r>
      <w:r w:rsidR="00183CCA">
        <w:t xml:space="preserve">markets are not convinced that </w:t>
      </w:r>
      <w:r w:rsidR="00940DB9">
        <w:t>the increase in</w:t>
      </w:r>
      <w:r w:rsidRPr="005706BA">
        <w:t xml:space="preserve"> the size of the euro area’s bailout funds</w:t>
      </w:r>
      <w:r w:rsidR="00183CCA">
        <w:t>,</w:t>
      </w:r>
      <w:r w:rsidRPr="005706BA">
        <w:t xml:space="preserve"> </w:t>
      </w:r>
      <w:r w:rsidR="00183CCA">
        <w:t xml:space="preserve">as </w:t>
      </w:r>
      <w:r w:rsidRPr="005706BA">
        <w:t>announced on 30 March</w:t>
      </w:r>
      <w:r w:rsidR="00183CCA">
        <w:t>,</w:t>
      </w:r>
      <w:r w:rsidRPr="005706BA">
        <w:t xml:space="preserve"> </w:t>
      </w:r>
      <w:r w:rsidR="00183CCA">
        <w:t xml:space="preserve">will </w:t>
      </w:r>
      <w:r w:rsidRPr="005706BA">
        <w:t>comprehensively deal with the crisis.</w:t>
      </w:r>
      <w:r w:rsidR="00183CCA">
        <w:t xml:space="preserve"> </w:t>
      </w:r>
      <w:r w:rsidRPr="005706BA">
        <w:t xml:space="preserve"> Questions also remain over the political will to implement agreed austerity measures in a number of euro area countries. Accordingly, the threat of contagion from the euro area sovereign debt crisis persists. </w:t>
      </w:r>
    </w:p>
    <w:p w:rsidR="00AA0905" w:rsidRDefault="00AA0905" w:rsidP="00AA0905">
      <w:pPr>
        <w:autoSpaceDE w:val="0"/>
        <w:autoSpaceDN w:val="0"/>
        <w:spacing w:after="0"/>
      </w:pPr>
    </w:p>
    <w:p w:rsidR="00AA0905" w:rsidRPr="00A80D87" w:rsidRDefault="005706BA" w:rsidP="00AA0905">
      <w:pPr>
        <w:autoSpaceDE w:val="0"/>
        <w:autoSpaceDN w:val="0"/>
        <w:spacing w:after="0"/>
      </w:pPr>
      <w:r w:rsidRPr="00A80D87">
        <w:t>Aside from a re</w:t>
      </w:r>
      <w:r>
        <w:t>-</w:t>
      </w:r>
      <w:r w:rsidRPr="00A80D87">
        <w:t>intensification of the European sovereign debt crisis, another risk that has emerged since December JEFG is the rising tensions between Iran and the West which, if they were to escalate, would result in an oil price shock which would negatively impact global growth.</w:t>
      </w:r>
    </w:p>
    <w:p w:rsidR="00094F7A" w:rsidRPr="005706BA" w:rsidRDefault="00094F7A" w:rsidP="00094F7A">
      <w:pPr>
        <w:autoSpaceDE w:val="0"/>
        <w:autoSpaceDN w:val="0"/>
        <w:spacing w:after="0"/>
      </w:pPr>
    </w:p>
    <w:p w:rsidR="005D232E" w:rsidRPr="00094F7A" w:rsidRDefault="00094F7A" w:rsidP="005D232E">
      <w:r w:rsidRPr="005706BA">
        <w:t>The international growth forecasts continue to be predicated on the euro area avoiding a disorderly resolution to its sovereign debt crisis. In conjunction with the broad stabilisation in global conditions in recent months, the forecasts for 2012 and 2013 global growth remain unchanged at 3½ per cent and 4 per cent</w:t>
      </w:r>
      <w:r>
        <w:t xml:space="preserve"> (Chart 12)</w:t>
      </w:r>
      <w:r w:rsidRPr="005706BA">
        <w:t>.</w:t>
      </w:r>
    </w:p>
    <w:p w:rsidR="004C6E83" w:rsidRPr="00E230A0" w:rsidRDefault="004C6E83" w:rsidP="004C6E83">
      <w:pPr>
        <w:keepNext/>
        <w:jc w:val="center"/>
        <w:rPr>
          <w:b/>
          <w:color w:val="FF0000"/>
        </w:rPr>
      </w:pPr>
      <w:r w:rsidRPr="00E230A0">
        <w:rPr>
          <w:b/>
        </w:rPr>
        <w:lastRenderedPageBreak/>
        <w:t>Chart 1</w:t>
      </w:r>
      <w:r w:rsidR="00602BA3">
        <w:rPr>
          <w:b/>
        </w:rPr>
        <w:t>2</w:t>
      </w:r>
      <w:r w:rsidRPr="00E230A0">
        <w:rPr>
          <w:b/>
        </w:rPr>
        <w:t xml:space="preserve">: </w:t>
      </w:r>
      <w:r>
        <w:rPr>
          <w:b/>
        </w:rPr>
        <w:t>World GDP growth</w:t>
      </w:r>
    </w:p>
    <w:p w:rsidR="004C6E83" w:rsidRDefault="00CE0A68" w:rsidP="00CE0A68">
      <w:pPr>
        <w:pStyle w:val="ChartGraphic0"/>
      </w:pPr>
      <w:r>
        <w:object w:dxaOrig="3975" w:dyaOrig="3961">
          <v:shape id="_x0000_i1043" type="#_x0000_t75" style="width:200.95pt;height:198.8pt" o:ole="">
            <v:imagedata r:id="rId63" o:title=""/>
          </v:shape>
          <o:OLEObject Type="Link" ProgID="Excel.Sheet.12" ShapeID="_x0000_i1043" DrawAspect="Content" r:id="rId64" UpdateMode="Always">
            <o:LinkType>EnhancedMetaFile</o:LinkType>
            <o:LockedField/>
          </o:OLEObject>
        </w:object>
      </w:r>
    </w:p>
    <w:p w:rsidR="004C6E83" w:rsidRPr="004C6E83" w:rsidRDefault="004C6E83" w:rsidP="004C6E83">
      <w:pPr>
        <w:rPr>
          <w:rFonts w:ascii="Tahoma" w:hAnsi="Tahoma" w:cs="Arial"/>
          <w:sz w:val="16"/>
          <w:szCs w:val="16"/>
        </w:rPr>
      </w:pPr>
      <w:r w:rsidRPr="004C6E83">
        <w:rPr>
          <w:rFonts w:ascii="Tahoma" w:hAnsi="Tahoma" w:cs="Arial"/>
          <w:sz w:val="16"/>
          <w:szCs w:val="16"/>
        </w:rPr>
        <w:t>Source: IMF and Treasury.</w:t>
      </w:r>
    </w:p>
    <w:p w:rsidR="00094F7A" w:rsidRPr="005706BA" w:rsidRDefault="00094F7A" w:rsidP="00094F7A">
      <w:r w:rsidRPr="005706BA">
        <w:t xml:space="preserve">With much of Australia’s MTP basket consisting of robustly growing Asian economies, growth rates for Australia’s major trading partners (MTPs) as a whole are expected to remain relatively healthy. </w:t>
      </w:r>
      <w:r w:rsidR="00A530DF">
        <w:t xml:space="preserve"> </w:t>
      </w:r>
      <w:r w:rsidRPr="005706BA">
        <w:t xml:space="preserve">The upward revision to the forecasts for MTP growth also reflects the ongoing and rapid increase in the share of Australia’s merchandise exports that are consumed by China. </w:t>
      </w:r>
    </w:p>
    <w:p w:rsidR="009A6110" w:rsidRPr="008717C0" w:rsidRDefault="00AA0905" w:rsidP="009A6110">
      <w:r>
        <w:t>The March JEFG MTP forecasts include t</w:t>
      </w:r>
      <w:r w:rsidR="00094F7A" w:rsidRPr="005706BA">
        <w:t>he latest annual update to MTP weights, incorporating Australia’s 2011 calendar year merchandise export outcomes</w:t>
      </w:r>
      <w:r>
        <w:t>.</w:t>
      </w:r>
      <w:r w:rsidR="00094F7A" w:rsidRPr="005706BA">
        <w:t xml:space="preserve"> </w:t>
      </w:r>
      <w:r w:rsidR="00A530DF">
        <w:t xml:space="preserve"> </w:t>
      </w:r>
      <w:r>
        <w:t>However,</w:t>
      </w:r>
      <w:r w:rsidR="00094F7A" w:rsidRPr="005706BA">
        <w:t xml:space="preserve"> </w:t>
      </w:r>
      <w:r>
        <w:t xml:space="preserve">the </w:t>
      </w:r>
      <w:r w:rsidR="00094F7A" w:rsidRPr="005706BA">
        <w:t>forecast for 2012 remain</w:t>
      </w:r>
      <w:r>
        <w:t>s</w:t>
      </w:r>
      <w:r w:rsidR="00094F7A" w:rsidRPr="005706BA">
        <w:t xml:space="preserve"> unchanged at 4¼ per cent. </w:t>
      </w:r>
      <w:r w:rsidR="00A530DF">
        <w:t xml:space="preserve"> </w:t>
      </w:r>
      <w:r w:rsidR="00094F7A" w:rsidRPr="005706BA">
        <w:t xml:space="preserve">This reflects China’s increased contribution being partly offset by </w:t>
      </w:r>
      <w:r w:rsidR="002B5888">
        <w:t>the cumulative effects of</w:t>
      </w:r>
      <w:r w:rsidR="00094F7A" w:rsidRPr="005706BA">
        <w:t xml:space="preserve"> downward revision</w:t>
      </w:r>
      <w:r w:rsidR="002B5888">
        <w:t>s</w:t>
      </w:r>
      <w:r w:rsidR="00094F7A" w:rsidRPr="005706BA">
        <w:t xml:space="preserve"> to growth in India and New Zealand, and a slight downward revision to other East Asia’s aggregate growth. </w:t>
      </w:r>
      <w:r w:rsidR="00A530DF">
        <w:t xml:space="preserve"> </w:t>
      </w:r>
      <w:r w:rsidR="00094F7A" w:rsidRPr="005706BA">
        <w:t>MTP growth in 2013 has been revised up by a ½ of a percentage point</w:t>
      </w:r>
      <w:r w:rsidR="00A530DF">
        <w:t xml:space="preserve"> to 5 per cent, reflecting </w:t>
      </w:r>
      <w:r w:rsidR="00A530DF" w:rsidRPr="005706BA">
        <w:t xml:space="preserve">an upward revision to Japanese </w:t>
      </w:r>
      <w:r w:rsidR="00A530DF">
        <w:t xml:space="preserve">and other East Asia’s </w:t>
      </w:r>
      <w:r w:rsidR="00A530DF" w:rsidRPr="005706BA">
        <w:t>GDP growth</w:t>
      </w:r>
      <w:r w:rsidR="00A530DF">
        <w:t xml:space="preserve"> rates and</w:t>
      </w:r>
      <w:r w:rsidR="00A530DF" w:rsidRPr="005706BA">
        <w:t xml:space="preserve"> </w:t>
      </w:r>
      <w:r w:rsidR="00094F7A" w:rsidRPr="005706BA">
        <w:t>China’s increa</w:t>
      </w:r>
      <w:r w:rsidR="00A530DF">
        <w:t>sed share of the MTP basket</w:t>
      </w:r>
      <w:r w:rsidR="00094F7A" w:rsidRPr="005706BA">
        <w:t>.</w:t>
      </w:r>
      <w:r w:rsidR="005A5747" w:rsidRPr="008717C0">
        <w:t xml:space="preserve"> </w:t>
      </w:r>
    </w:p>
    <w:p w:rsidR="00094F7A" w:rsidRPr="005706BA" w:rsidRDefault="00094F7A" w:rsidP="00094F7A">
      <w:r w:rsidRPr="005706BA">
        <w:t xml:space="preserve">The recovery in the </w:t>
      </w:r>
      <w:r w:rsidRPr="005706BA">
        <w:rPr>
          <w:b/>
        </w:rPr>
        <w:t>United States</w:t>
      </w:r>
      <w:r w:rsidRPr="005706BA">
        <w:t xml:space="preserve"> is evolving in line with expectations and the forecasts for US growth are unchanged from the December JEFG round at 2 per cent in 2012 and 2¼ per cent in 2013.  The temporary factors that impinged on growth in the first half of </w:t>
      </w:r>
      <w:r w:rsidRPr="005706BA">
        <w:lastRenderedPageBreak/>
        <w:t xml:space="preserve">2011, for example the impact on supply chains from the Japanese earthquake and tsunami, have now fully abated. However, the US recovery nevertheless remains vulnerable due to the deep underlying weaknesses in the labour and housing markets mitigating the potential for a faster paced recovery. </w:t>
      </w:r>
    </w:p>
    <w:p w:rsidR="005D232E" w:rsidRPr="008717C0" w:rsidRDefault="00094F7A">
      <w:r w:rsidRPr="005706BA">
        <w:t>There have been some encouraging signs that the long</w:t>
      </w:r>
      <w:r w:rsidRPr="005706BA">
        <w:noBreakHyphen/>
        <w:t>awaited recovery in the labour market may finally be getting underway, with employment growth strengthening and the unemployment rate falling in recent months.  However, unemployment in the US is still historically high, and is composed of a large number of long</w:t>
      </w:r>
      <w:r w:rsidRPr="005706BA">
        <w:noBreakHyphen/>
        <w:t xml:space="preserve">term unemployed (Chart 13). Further, a contributing factor to recent falls in the unemployment rate has been a labour force participation </w:t>
      </w:r>
      <w:r w:rsidR="00560A05">
        <w:t xml:space="preserve">rate </w:t>
      </w:r>
      <w:r w:rsidRPr="005706BA">
        <w:t>which remains around a 30</w:t>
      </w:r>
      <w:r w:rsidRPr="005706BA">
        <w:noBreakHyphen/>
        <w:t xml:space="preserve">year low.  The historically low participation rate suggests that the labour market still has a long way to go before it </w:t>
      </w:r>
      <w:r w:rsidR="002B5888">
        <w:t>returns to</w:t>
      </w:r>
      <w:r w:rsidRPr="005706BA">
        <w:t xml:space="preserve"> reasonable health. </w:t>
      </w:r>
    </w:p>
    <w:p w:rsidR="000B65B3" w:rsidRPr="008717C0" w:rsidRDefault="000B65B3" w:rsidP="000B65B3">
      <w:pPr>
        <w:keepNext/>
        <w:jc w:val="center"/>
        <w:rPr>
          <w:b/>
        </w:rPr>
      </w:pPr>
      <w:r w:rsidRPr="008717C0">
        <w:rPr>
          <w:b/>
        </w:rPr>
        <w:t>Chart 1</w:t>
      </w:r>
      <w:r w:rsidR="00602BA3" w:rsidRPr="008717C0">
        <w:rPr>
          <w:b/>
        </w:rPr>
        <w:t>3</w:t>
      </w:r>
      <w:r w:rsidRPr="008717C0">
        <w:rPr>
          <w:b/>
        </w:rPr>
        <w:t xml:space="preserve">: </w:t>
      </w:r>
      <w:r w:rsidR="00793EF7" w:rsidRPr="008717C0">
        <w:rPr>
          <w:b/>
        </w:rPr>
        <w:t>Unemployment rates</w:t>
      </w:r>
    </w:p>
    <w:p w:rsidR="004C6E83" w:rsidRPr="005706BA" w:rsidRDefault="0076565E" w:rsidP="004C6E83">
      <w:pPr>
        <w:pStyle w:val="ChartGraphic0"/>
        <w:rPr>
          <w:color w:val="auto"/>
        </w:rPr>
      </w:pPr>
      <w:r>
        <w:rPr>
          <w:color w:val="auto"/>
        </w:rPr>
        <w:object w:dxaOrig="3961" w:dyaOrig="3945">
          <v:shape id="_x0000_i1044" type="#_x0000_t75" style="width:198.8pt;height:198.8pt" o:ole="">
            <v:imagedata r:id="rId65" o:title=""/>
          </v:shape>
          <o:OLEObject Type="Link" ProgID="Excel.Sheet.12" ShapeID="_x0000_i1044" DrawAspect="Content" r:id="rId66" UpdateMode="Always">
            <o:LinkType>EnhancedMetaFile</o:LinkType>
            <o:LockedField>false</o:LockedField>
          </o:OLEObject>
        </w:object>
      </w:r>
    </w:p>
    <w:p w:rsidR="000B65B3" w:rsidRPr="008717C0" w:rsidRDefault="000B65B3" w:rsidP="000B65B3">
      <w:pPr>
        <w:rPr>
          <w:rFonts w:ascii="Tahoma" w:hAnsi="Tahoma" w:cs="Arial"/>
          <w:sz w:val="16"/>
          <w:szCs w:val="16"/>
        </w:rPr>
      </w:pPr>
      <w:r w:rsidRPr="008717C0">
        <w:rPr>
          <w:rFonts w:ascii="Tahoma" w:hAnsi="Tahoma" w:cs="Arial"/>
          <w:sz w:val="16"/>
          <w:szCs w:val="16"/>
        </w:rPr>
        <w:t>Source:</w:t>
      </w:r>
      <w:r w:rsidR="00793EF7" w:rsidRPr="008717C0">
        <w:rPr>
          <w:rFonts w:ascii="Tahoma" w:hAnsi="Tahoma" w:cs="Arial"/>
          <w:sz w:val="16"/>
          <w:szCs w:val="16"/>
        </w:rPr>
        <w:t xml:space="preserve"> ABS </w:t>
      </w:r>
      <w:r w:rsidR="00526CEA" w:rsidRPr="008717C0">
        <w:rPr>
          <w:rFonts w:ascii="Tahoma" w:hAnsi="Tahoma" w:cs="Arial"/>
          <w:sz w:val="16"/>
          <w:szCs w:val="16"/>
        </w:rPr>
        <w:t>cat. no.</w:t>
      </w:r>
      <w:r w:rsidR="00793EF7" w:rsidRPr="008717C0">
        <w:rPr>
          <w:rFonts w:ascii="Tahoma" w:hAnsi="Tahoma" w:cs="Arial"/>
          <w:sz w:val="16"/>
          <w:szCs w:val="16"/>
        </w:rPr>
        <w:t xml:space="preserve"> </w:t>
      </w:r>
      <w:r w:rsidR="0036620C" w:rsidRPr="008717C0">
        <w:rPr>
          <w:rFonts w:ascii="Tahoma" w:hAnsi="Tahoma" w:cs="Arial"/>
          <w:sz w:val="16"/>
          <w:szCs w:val="16"/>
        </w:rPr>
        <w:t>6202.0, national statistical agencies and Thomson Reuters.</w:t>
      </w:r>
    </w:p>
    <w:p w:rsidR="008717C0" w:rsidRPr="005706BA" w:rsidRDefault="008717C0" w:rsidP="008717C0">
      <w:r w:rsidRPr="005706BA">
        <w:t>The depressed housing market</w:t>
      </w:r>
      <w:r w:rsidR="002B5888">
        <w:t xml:space="preserve"> also</w:t>
      </w:r>
      <w:r w:rsidRPr="005706BA">
        <w:t xml:space="preserve"> remains a constraint on growth, with a recovery still some way off as the US’ large housing inventory is slowly absorbed.</w:t>
      </w:r>
    </w:p>
    <w:p w:rsidR="005D232E" w:rsidRPr="008717C0" w:rsidRDefault="008717C0" w:rsidP="005D232E">
      <w:r w:rsidRPr="005706BA">
        <w:t xml:space="preserve">The US also faces risks from fiscal policy uncertainty. This risk has been removed for 2012 with the extension to the end of the year of the payroll tax cut and unemployment </w:t>
      </w:r>
      <w:r w:rsidRPr="005706BA">
        <w:lastRenderedPageBreak/>
        <w:t>benefits which were originally legislated to expire at the end of 2011. However, in late 2012 a ‘lame duck’ session of Congress will face some difficult fiscal policy decisions that could have a large bearing on 2013 and beyond.</w:t>
      </w:r>
      <w:r w:rsidR="005D232E" w:rsidRPr="008717C0">
        <w:t xml:space="preserve"> </w:t>
      </w:r>
    </w:p>
    <w:p w:rsidR="008717C0" w:rsidRPr="005706BA" w:rsidRDefault="008717C0" w:rsidP="008717C0">
      <w:r w:rsidRPr="005706BA">
        <w:t xml:space="preserve">Firstly, Congress will have to decide on the future of the ‘Bush era’ tax cuts, which are currently legislated to expire on 1 January 2013.  Secondly, Congress will need to decide whether </w:t>
      </w:r>
      <w:r w:rsidR="002B5888">
        <w:t xml:space="preserve">to </w:t>
      </w:r>
      <w:r w:rsidRPr="005706BA">
        <w:t>amend or abolish the discretionary spending cuts that are scheduled to commence in fiscal year 2013 (which starts on 1 October 2012), that result from the November 2011 failure of the ‘Super Committee’ to agree to a medium</w:t>
      </w:r>
      <w:r w:rsidRPr="005706BA">
        <w:noBreakHyphen/>
        <w:t xml:space="preserve">term deficit reduction plan. Accordingly, there is a risk of a substantial fiscal tightening in 2013, which would undermine what will still be only a moderate recovery. On current projections, it is also possible that a further increase in the US’ legislated public debt ceiling may be necessary </w:t>
      </w:r>
      <w:r w:rsidR="002B5888">
        <w:t>later in 2012</w:t>
      </w:r>
      <w:r w:rsidRPr="005706BA">
        <w:t>, risking another protracted and damaging debate on this issue.</w:t>
      </w:r>
    </w:p>
    <w:p w:rsidR="008717C0" w:rsidRPr="005706BA" w:rsidRDefault="008717C0" w:rsidP="008717C0">
      <w:r w:rsidRPr="005706BA">
        <w:t>A further complication for the US outlook beyond 2012 is</w:t>
      </w:r>
      <w:r w:rsidR="002B5888">
        <w:t xml:space="preserve"> ensuring </w:t>
      </w:r>
      <w:r w:rsidRPr="005706BA">
        <w:t>an appropriate balance between the need for short</w:t>
      </w:r>
      <w:r w:rsidRPr="005706BA">
        <w:noBreakHyphen/>
        <w:t>term fiscal support and medium</w:t>
      </w:r>
      <w:r w:rsidRPr="005706BA">
        <w:noBreakHyphen/>
        <w:t>term fiscal consolidation. For example, if the ‘Bush era’ tax cuts are extended and the discretionary spending cuts are watered down or removed entirely, this would help support short</w:t>
      </w:r>
      <w:r w:rsidRPr="005706BA">
        <w:noBreakHyphen/>
        <w:t>term growth but could prove detrimental to market confidence in the longer term if a medium</w:t>
      </w:r>
      <w:r w:rsidRPr="005706BA">
        <w:noBreakHyphen/>
        <w:t>term fiscal consolidation plan is not forthcoming. For the time being markets remain sanguine about the ability of the US to pay its sovereign debt obligations, with the yield on 10</w:t>
      </w:r>
      <w:r w:rsidRPr="005706BA">
        <w:noBreakHyphen/>
        <w:t>year US Treasuries around a 60</w:t>
      </w:r>
      <w:r w:rsidRPr="005706BA">
        <w:noBreakHyphen/>
        <w:t>year low. However, as long as there is an absence of a credible and substantive medium</w:t>
      </w:r>
      <w:r w:rsidRPr="005706BA">
        <w:noBreakHyphen/>
        <w:t xml:space="preserve">term fiscal consolidation plan, the US will remain exposed to a shift in market sentiment.  </w:t>
      </w:r>
    </w:p>
    <w:p w:rsidR="008717C0" w:rsidRPr="005706BA" w:rsidRDefault="008717C0" w:rsidP="008717C0">
      <w:r w:rsidRPr="005706BA">
        <w:t xml:space="preserve">The forecasts for Chinese growth also remain unchanged from December JEFG, with economic conditions in </w:t>
      </w:r>
      <w:r w:rsidRPr="005706BA">
        <w:rPr>
          <w:b/>
        </w:rPr>
        <w:t>China</w:t>
      </w:r>
      <w:r w:rsidRPr="005706BA">
        <w:t xml:space="preserve"> remaining solid, despite weakening domestic activity and the deterioration in external demand, especially from the European Union (EU), China’s largest single export market. Activity is generally moderating in line with expectations, with inflation having eased noticeably since </w:t>
      </w:r>
      <w:r w:rsidRPr="005706BA">
        <w:lastRenderedPageBreak/>
        <w:t>mid</w:t>
      </w:r>
      <w:r w:rsidRPr="005706BA">
        <w:noBreakHyphen/>
        <w:t xml:space="preserve">2011. With inflationary pressure likely to continue easing, particularly in the first half of </w:t>
      </w:r>
      <w:r w:rsidR="00013369">
        <w:t>2012</w:t>
      </w:r>
      <w:r w:rsidRPr="005706BA">
        <w:t xml:space="preserve">, policy makers are turning their attention to supporting growth with an eye to economic reforms. </w:t>
      </w:r>
    </w:p>
    <w:p w:rsidR="008717C0" w:rsidRPr="005706BA" w:rsidRDefault="008717C0" w:rsidP="008717C0">
      <w:r w:rsidRPr="005706BA">
        <w:t>In recent years, domestic demand, particularly investment, has accounted for the bulk of Chinese growth. With China recognising the need to shift towards a more sustainable economic model, the announcement of a lower growth target of 7.5 per cent for this year (from 8 per cent previously) and in the current Five</w:t>
      </w:r>
      <w:r w:rsidRPr="005706BA">
        <w:noBreakHyphen/>
        <w:t xml:space="preserve">Year plan (7 per cent, from 7.5 per cent previously) provides room for China to support its rebalancing efforts. </w:t>
      </w:r>
    </w:p>
    <w:p w:rsidR="008717C0" w:rsidRPr="005706BA" w:rsidRDefault="008717C0" w:rsidP="008717C0">
      <w:pPr>
        <w:pStyle w:val="Bullet"/>
        <w:ind w:left="0" w:firstLine="0"/>
      </w:pPr>
      <w:r w:rsidRPr="005706BA">
        <w:t xml:space="preserve">In particular, </w:t>
      </w:r>
      <w:r w:rsidR="002B5888">
        <w:t>in future</w:t>
      </w:r>
      <w:r w:rsidRPr="005706BA">
        <w:t xml:space="preserve">, the economy is likely to be characterised by a gradual shift towards greater household consumption, with investment contributing less to growth. This </w:t>
      </w:r>
      <w:r w:rsidR="00560A05">
        <w:t xml:space="preserve">shift is expected to </w:t>
      </w:r>
      <w:r w:rsidRPr="005706BA">
        <w:t>be supported by strong wage and jobs growth and increased spending on social services.</w:t>
      </w:r>
      <w:r w:rsidR="00560A05">
        <w:t xml:space="preserve"> </w:t>
      </w:r>
      <w:r w:rsidRPr="005706BA">
        <w:t xml:space="preserve"> However, rebalancing efforts are likely to remain modest without more substantive reforms, particularly within the financial sector. Furthermore, in a transition year for China’s political leaders, stability </w:t>
      </w:r>
      <w:r w:rsidRPr="005706BA">
        <w:rPr>
          <w:iCs/>
        </w:rPr>
        <w:t>is again likely to take precedence</w:t>
      </w:r>
      <w:r w:rsidRPr="005706BA">
        <w:t xml:space="preserve">. </w:t>
      </w:r>
    </w:p>
    <w:p w:rsidR="008717C0" w:rsidRPr="005706BA" w:rsidRDefault="008717C0" w:rsidP="008717C0">
      <w:r w:rsidRPr="005706BA">
        <w:t xml:space="preserve">The major headwinds to growth in 2012 </w:t>
      </w:r>
      <w:r w:rsidR="00560A05">
        <w:t xml:space="preserve">are likely to </w:t>
      </w:r>
      <w:r w:rsidRPr="005706BA">
        <w:t xml:space="preserve">stem from </w:t>
      </w:r>
      <w:r w:rsidR="00560A05">
        <w:t xml:space="preserve">the </w:t>
      </w:r>
      <w:r w:rsidRPr="005706BA">
        <w:t xml:space="preserve">weak external environment and a fragile </w:t>
      </w:r>
      <w:r w:rsidR="00560A05">
        <w:t xml:space="preserve">domestic </w:t>
      </w:r>
      <w:r w:rsidRPr="005706BA">
        <w:t xml:space="preserve">property sector. Trade outcomes so far this year confirm that it will be a challenging year on the trade front, with growth in exports to the EU especially muted. The property sector has also been weakening under the weight of administrative restrictions on purchases as well as tight credit conditions for developers, posing risks to the overall investment outlook. </w:t>
      </w:r>
    </w:p>
    <w:p w:rsidR="008717C0" w:rsidRPr="005706BA" w:rsidRDefault="008717C0" w:rsidP="008717C0">
      <w:r w:rsidRPr="005706BA">
        <w:t>Should external or domestic conditions</w:t>
      </w:r>
      <w:r w:rsidR="002B5888">
        <w:t xml:space="preserve"> deteriorate, China retains ample</w:t>
      </w:r>
      <w:r w:rsidRPr="005706BA">
        <w:t xml:space="preserve"> capacity to use macroeconomic policy to stimulate growth, although the Chinese Government would be more cautious now in funding stimulus through the banking system.  Any further fiscal stimulus, if necessary, would likely be different to the stimulus package of 2009, with a lower weighting on investment and a greater focus on boosting consumption. Monetary policy has already tentatively shifted towards supporting growth. Selective </w:t>
      </w:r>
      <w:r w:rsidRPr="005706BA">
        <w:lastRenderedPageBreak/>
        <w:t>monetary easing and an increase in credit to relieve stress amongst small and medium</w:t>
      </w:r>
      <w:r w:rsidRPr="005706BA">
        <w:noBreakHyphen/>
        <w:t>sized enterprises (SMEs) is already underway while the extension of new yuan loans is likely to be somewhat higher than last year, supported by reserve requirement ratio cuts.</w:t>
      </w:r>
    </w:p>
    <w:p w:rsidR="008717C0" w:rsidRPr="005706BA" w:rsidRDefault="008717C0" w:rsidP="008717C0">
      <w:r w:rsidRPr="005706BA">
        <w:t>While global growth forecasts are for the most part unchanged, risks to the outlook nonetheless remain firmly to the downside. Renewed instability in Europe remains a risk to global financial markets. The debt swap between Greece and its private creditors was finalised without causing any significant negative financial shocks, and the European Commission</w:t>
      </w:r>
      <w:r w:rsidR="005D7849">
        <w:t>/</w:t>
      </w:r>
      <w:r w:rsidRPr="005706BA">
        <w:t>IMF</w:t>
      </w:r>
      <w:r w:rsidR="005D7849">
        <w:t>/</w:t>
      </w:r>
      <w:r w:rsidRPr="005706BA">
        <w:t>ECB troika signed off on the second Greek bailout package in the first half of March. As welcome as such developments are, further measures need to be taken towards resolving the euro</w:t>
      </w:r>
      <w:r w:rsidR="00D2451A">
        <w:t xml:space="preserve"> area sovereign debt crisis</w:t>
      </w:r>
      <w:r w:rsidR="00560A05">
        <w:t xml:space="preserve"> as</w:t>
      </w:r>
      <w:r w:rsidRPr="005706BA">
        <w:t xml:space="preserve"> fresh fears surrounding the sustainability of </w:t>
      </w:r>
      <w:r w:rsidR="00013369">
        <w:t>Spanish, Italian and Portuguese</w:t>
      </w:r>
      <w:r w:rsidRPr="005706BA">
        <w:t xml:space="preserve"> sovereign debt threaten </w:t>
      </w:r>
      <w:r w:rsidR="007A45A3">
        <w:t xml:space="preserve">to derail the </w:t>
      </w:r>
      <w:r w:rsidRPr="005706BA">
        <w:t>progress achieved to date.</w:t>
      </w:r>
    </w:p>
    <w:p w:rsidR="008717C0" w:rsidRPr="005706BA" w:rsidRDefault="008717C0" w:rsidP="008717C0">
      <w:r w:rsidRPr="005706BA">
        <w:t xml:space="preserve">The forthcoming Greek elections, scheduled for </w:t>
      </w:r>
      <w:r w:rsidR="00013369">
        <w:t>6</w:t>
      </w:r>
      <w:r w:rsidRPr="005706BA">
        <w:t xml:space="preserve"> May, may be another potential flashpoint that could undermine confidence if the newly</w:t>
      </w:r>
      <w:r w:rsidRPr="005706BA">
        <w:noBreakHyphen/>
        <w:t xml:space="preserve">elected Greek authorities back away </w:t>
      </w:r>
      <w:r w:rsidR="00D2451A" w:rsidRPr="005706BA">
        <w:t>from the</w:t>
      </w:r>
      <w:r w:rsidRPr="005706BA">
        <w:t xml:space="preserve"> </w:t>
      </w:r>
      <w:r w:rsidR="00D2451A" w:rsidRPr="005706BA">
        <w:t>agreed reforms</w:t>
      </w:r>
      <w:r w:rsidRPr="005706BA">
        <w:t xml:space="preserve"> that </w:t>
      </w:r>
      <w:r w:rsidR="00D2451A" w:rsidRPr="005706BA">
        <w:t>were required to</w:t>
      </w:r>
      <w:r w:rsidRPr="005706BA">
        <w:t xml:space="preserve"> receive funding under the conditions of the second bailout.  Further, the recent announcement of an increase in the combined capacity of the European Financial Stability Facility (EFSF) and its successor, the European Stability Mechanism (ESM) to €700 billion is regarded as inadequate</w:t>
      </w:r>
      <w:r w:rsidR="007A45A3">
        <w:t xml:space="preserve"> </w:t>
      </w:r>
      <w:r w:rsidRPr="005706BA">
        <w:t xml:space="preserve">to prevent the </w:t>
      </w:r>
      <w:r w:rsidRPr="005706BA">
        <w:lastRenderedPageBreak/>
        <w:t>contagion that would stem from a re</w:t>
      </w:r>
      <w:r w:rsidRPr="005706BA">
        <w:noBreakHyphen/>
        <w:t xml:space="preserve">escalation of the crisis. </w:t>
      </w:r>
    </w:p>
    <w:p w:rsidR="008717C0" w:rsidRPr="005706BA" w:rsidRDefault="008717C0" w:rsidP="008717C0">
      <w:r w:rsidRPr="005706BA">
        <w:t xml:space="preserve">A further, nascent risk to the global recovery is the potential for another spike in global oil prices. Tensions have been growing between Iran and the US and EU over embargoes on Iranian oil, with Iran threatening to block the Strait of Hormuz, the key oil shipping channel in the Persian Gulf. </w:t>
      </w:r>
    </w:p>
    <w:p w:rsidR="008717C0" w:rsidRPr="005706BA" w:rsidRDefault="008717C0" w:rsidP="008717C0">
      <w:r w:rsidRPr="005706BA">
        <w:t xml:space="preserve">Global oil prices have been drifting upwards recently, although it is difficult to disentangle how much of this reflects political tensions between Iran and the West, and how much reflects other relevant factors. For example, the rise in oil prices seen in 2012 to date may also reflect improving sentiment over US and global economic prospects, and oil supply disruptions in Syria, Yemen and Sudan. Nonetheless, Iran accounts for around 5 per cent of global oil production and exports approximately 2.6 million barrels of oil per day.  Accordingly, if tensions escalate, a substantive rise in oil prices is entirely plausible.  </w:t>
      </w:r>
    </w:p>
    <w:p w:rsidR="005D232E" w:rsidRPr="008717C0" w:rsidRDefault="008717C0" w:rsidP="005D232E">
      <w:r w:rsidRPr="005706BA">
        <w:t>Amongst all the downside risks, there is the occasional upside. If activity in the US were to exceed expectations, particularly growth in employment, the large amount of cash currently stockpiled by US banks and corporates could finally find its way into a boost in investment and a virtuous circle of self-sustaining recovery may finally get underway.</w:t>
      </w:r>
      <w:r w:rsidR="005D232E" w:rsidRPr="008717C0">
        <w:t xml:space="preserve"> </w:t>
      </w:r>
    </w:p>
    <w:bookmarkEnd w:id="22"/>
    <w:bookmarkEnd w:id="23"/>
    <w:p w:rsidR="005D232E" w:rsidRPr="008717C0" w:rsidRDefault="005D232E" w:rsidP="005D232E"/>
    <w:p w:rsidR="00DF4A51" w:rsidRPr="008717C0" w:rsidRDefault="00DF4A51" w:rsidP="00DF4A51">
      <w:pPr>
        <w:sectPr w:rsidR="00DF4A51" w:rsidRPr="008717C0" w:rsidSect="00F355E8">
          <w:headerReference w:type="default" r:id="rId67"/>
          <w:footerReference w:type="even" r:id="rId68"/>
          <w:footerReference w:type="default" r:id="rId69"/>
          <w:type w:val="continuous"/>
          <w:pgSz w:w="11907" w:h="16840" w:code="9"/>
          <w:pgMar w:top="1418" w:right="1418" w:bottom="1418" w:left="1418" w:header="567" w:footer="567" w:gutter="0"/>
          <w:cols w:num="2" w:space="709"/>
        </w:sectPr>
      </w:pPr>
    </w:p>
    <w:p w:rsidR="00F355E8" w:rsidRPr="005D232E" w:rsidRDefault="00F355E8" w:rsidP="00F355E8">
      <w:pPr>
        <w:rPr>
          <w:vanish/>
        </w:rPr>
      </w:pPr>
      <w:r w:rsidRPr="005D232E">
        <w:rPr>
          <w:vanish/>
        </w:rPr>
        <w:lastRenderedPageBreak/>
        <w:t>Source for table &amp; charts:</w:t>
      </w:r>
    </w:p>
    <w:p w:rsidR="00F355E8" w:rsidRPr="005D232E" w:rsidRDefault="00F355E8" w:rsidP="00F355E8">
      <w:r w:rsidRPr="005D232E">
        <w:rPr>
          <w:vanish/>
        </w:rPr>
        <w:t>H:\IED\Forecasting\1 JEFG-Budget material\DAT - World - GDP - IED - Forecasts - Dec JEFG 2009 - final (JP revision) - RS - 091214.xlsH:\IED\Forecasting\DAT - World - GDP - IED - Forecasts - Current.xls</w:t>
      </w:r>
      <w:hyperlink r:id="rId70" w:history="1">
        <w:r w:rsidRPr="005D232E">
          <w:rPr>
            <w:rStyle w:val="Hyperlink"/>
            <w:vanish/>
            <w:color w:val="auto"/>
          </w:rPr>
          <w:t>H:\IED\Forecasting\1 JEFG-Budget material\DAT - World - GDP - IED - Forecasts - MYEFO Oct 09 final - RS - 091026.xls</w:t>
        </w:r>
      </w:hyperlink>
    </w:p>
    <w:sectPr w:rsidR="00F355E8" w:rsidRPr="005D232E" w:rsidSect="00F355E8">
      <w:headerReference w:type="default" r:id="rId71"/>
      <w:footerReference w:type="even" r:id="rId72"/>
      <w:footerReference w:type="default" r:id="rId73"/>
      <w:type w:val="continuous"/>
      <w:pgSz w:w="11907" w:h="16840" w:code="9"/>
      <w:pgMar w:top="1418" w:right="1418" w:bottom="1418" w:left="1418"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A2" w:rsidRDefault="00B545A2">
      <w:r>
        <w:separator/>
      </w:r>
    </w:p>
  </w:endnote>
  <w:endnote w:type="continuationSeparator" w:id="0">
    <w:p w:rsidR="00B545A2" w:rsidRDefault="00B5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45A2" w:rsidRDefault="00892639" w:rsidP="00762768">
    <w:pPr>
      <w:pStyle w:val="SecurityClassificationFooter"/>
    </w:pPr>
    <w:fldSimple w:instr=" DOCPROPERTY SecurityClassification \* MERGEFORMAT ">
      <w:r w:rsidR="00A26253">
        <w:t>In Confidence</w:t>
      </w:r>
    </w:fldSimple>
    <w:r w:rsidR="00B545A2">
      <w:fldChar w:fldCharType="begin"/>
    </w:r>
    <w:r w:rsidR="00B545A2">
      <w:instrText xml:space="preserve"> COMMENTS  \* MERGEFORMAT </w:instrText>
    </w:r>
    <w:r w:rsidR="00B545A2">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6B4">
      <w:rPr>
        <w:rStyle w:val="PageNumber"/>
        <w:noProof/>
      </w:rPr>
      <w:t>20</w:t>
    </w:r>
    <w:r>
      <w:rPr>
        <w:rStyle w:val="PageNumber"/>
      </w:rPr>
      <w:fldChar w:fldCharType="end"/>
    </w:r>
  </w:p>
  <w:p w:rsidR="00B545A2" w:rsidRDefault="00B545A2">
    <w:pPr>
      <w:pStyle w:val="Footer"/>
      <w:ind w:right="360"/>
      <w:jc w:val="right"/>
    </w:pPr>
    <w:r>
      <w:fldChar w:fldCharType="begin"/>
    </w:r>
    <w:r>
      <w:instrText xml:space="preserve"> COMMENTS  \* MERGEFORMAT </w:instrTex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545A2" w:rsidRDefault="00892639" w:rsidP="00762768">
    <w:pPr>
      <w:pStyle w:val="SecurityClassificationFooter"/>
    </w:pPr>
    <w:fldSimple w:instr=" DOCPROPERTY SecurityClassification \* MERGEFORMAT ">
      <w:r w:rsidR="00A26253">
        <w:t>In Confidence</w:t>
      </w:r>
    </w:fldSimple>
    <w:r w:rsidR="00B545A2">
      <w:fldChar w:fldCharType="begin"/>
    </w:r>
    <w:r w:rsidR="00B545A2">
      <w:instrText xml:space="preserve"> COMMENTS  \* MERGEFORMAT </w:instrText>
    </w:r>
    <w:r w:rsidR="00B545A2">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B545A2" w:rsidRDefault="00892639" w:rsidP="00762768">
    <w:pPr>
      <w:pStyle w:val="SecurityClassificationFooter"/>
    </w:pPr>
    <w:fldSimple w:instr=" DOCPROPERTY SecurityClassification \* MERGEFORMAT ">
      <w:r w:rsidR="00A26253">
        <w:t>In Confidence</w:t>
      </w:r>
    </w:fldSimple>
    <w:r w:rsidR="00B545A2">
      <w:fldChar w:fldCharType="begin"/>
    </w:r>
    <w:r w:rsidR="00B545A2">
      <w:instrText xml:space="preserve"> COMMENTS  \* MERGEFORMAT </w:instrText>
    </w:r>
    <w:r w:rsidR="00B545A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1808">
      <w:rPr>
        <w:rStyle w:val="PageNumber"/>
        <w:noProof/>
      </w:rPr>
      <w:t>2</w:t>
    </w:r>
    <w:r>
      <w:rPr>
        <w:rStyle w:val="PageNumber"/>
      </w:rPr>
      <w:fldChar w:fldCharType="end"/>
    </w:r>
  </w:p>
  <w:p w:rsidR="00B545A2" w:rsidRPr="00704E0D" w:rsidRDefault="00B545A2" w:rsidP="000856B4">
    <w:pPr>
      <w:pStyle w:val="SecurityClassification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08" w:rsidRDefault="00E018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1808">
      <w:rPr>
        <w:rStyle w:val="PageNumber"/>
        <w:noProof/>
      </w:rPr>
      <w:t>6</w:t>
    </w:r>
    <w:r>
      <w:rPr>
        <w:rStyle w:val="PageNumber"/>
      </w:rPr>
      <w:fldChar w:fldCharType="end"/>
    </w:r>
  </w:p>
  <w:p w:rsidR="00B545A2" w:rsidRDefault="00B545A2">
    <w:pPr>
      <w:pStyle w:val="Footer"/>
      <w:ind w:right="360"/>
      <w:jc w:val="right"/>
    </w:pPr>
    <w:r>
      <w:fldChar w:fldCharType="begin"/>
    </w:r>
    <w:r>
      <w:instrText xml:space="preserve"> COMMENTS  \* MERGEFORMAT </w:instrText>
    </w:r>
    <w:r>
      <w:fldChar w:fldCharType="end"/>
    </w:r>
  </w:p>
  <w:p w:rsidR="00B545A2" w:rsidRDefault="00B545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pPr>
      <w:pStyle w:val="Footer"/>
      <w:jc w:val="right"/>
    </w:pPr>
    <w:r>
      <w:fldChar w:fldCharType="begin"/>
    </w:r>
    <w:r>
      <w:instrText xml:space="preserve"> PAGE   \* MERGEFORMAT </w:instrText>
    </w:r>
    <w:r>
      <w:fldChar w:fldCharType="separate"/>
    </w:r>
    <w:r w:rsidR="000856B4">
      <w:rPr>
        <w:noProof/>
      </w:rPr>
      <w:t>16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6B4">
      <w:rPr>
        <w:rStyle w:val="PageNumber"/>
        <w:noProof/>
      </w:rPr>
      <w:t>17</w:t>
    </w:r>
    <w:r>
      <w:rPr>
        <w:rStyle w:val="PageNumber"/>
      </w:rPr>
      <w:fldChar w:fldCharType="end"/>
    </w:r>
  </w:p>
  <w:p w:rsidR="00B545A2" w:rsidRDefault="00B545A2" w:rsidP="000856B4">
    <w:pPr>
      <w:pStyle w:val="SecurityClassification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45A2" w:rsidRDefault="00892639" w:rsidP="00762768">
    <w:pPr>
      <w:pStyle w:val="SecurityClassificationFooter"/>
    </w:pPr>
    <w:fldSimple w:instr=" DOCPROPERTY SecurityClassification \* MERGEFORMAT ">
      <w:r w:rsidR="00A26253">
        <w:t>In Confidence</w:t>
      </w:r>
    </w:fldSimple>
    <w:r w:rsidR="00B545A2">
      <w:fldChar w:fldCharType="begin"/>
    </w:r>
    <w:r w:rsidR="00B545A2">
      <w:instrText xml:space="preserve"> COMMENTS  \* MERGEFORMAT </w:instrText>
    </w:r>
    <w:r w:rsidR="00B545A2">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B545A2" w:rsidRDefault="00892639" w:rsidP="00762768">
    <w:pPr>
      <w:pStyle w:val="SecurityClassificationFooter"/>
    </w:pPr>
    <w:fldSimple w:instr=" DOCPROPERTY SecurityClassification \* MERGEFORMAT ">
      <w:r w:rsidR="00A26253">
        <w:t>In Confidence</w:t>
      </w:r>
    </w:fldSimple>
    <w:r w:rsidR="00B545A2">
      <w:fldChar w:fldCharType="begin"/>
    </w:r>
    <w:r w:rsidR="00B545A2">
      <w:instrText xml:space="preserve"> COMMENTS  \* MERGEFORMAT </w:instrText>
    </w:r>
    <w:r w:rsidR="00B545A2">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545A2" w:rsidRDefault="00B545A2">
    <w:pPr>
      <w:pStyle w:val="Footer"/>
      <w:ind w:right="360"/>
      <w:jc w:val="right"/>
    </w:pPr>
    <w:r>
      <w:fldChar w:fldCharType="begin"/>
    </w:r>
    <w:r>
      <w:instrText xml:space="preserve"> COMMENTS  \* MERGEFORMAT </w:instrText>
    </w:r>
    <w:r>
      <w:fldChar w:fldCharType="end"/>
    </w:r>
  </w:p>
  <w:p w:rsidR="00B545A2" w:rsidRDefault="00892639" w:rsidP="00762768">
    <w:pPr>
      <w:pStyle w:val="SecurityClassificationFooter"/>
    </w:pPr>
    <w:fldSimple w:instr=" DOCPROPERTY SecurityClassification \* MERGEFORMAT ">
      <w:r w:rsidR="00A26253">
        <w:t>In Confidence</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A2" w:rsidRDefault="00B545A2">
      <w:pPr>
        <w:pStyle w:val="TableBodyText"/>
        <w:spacing w:before="120" w:after="120"/>
      </w:pPr>
      <w:r>
        <w:separator/>
      </w:r>
    </w:p>
  </w:footnote>
  <w:footnote w:type="continuationSeparator" w:id="0">
    <w:p w:rsidR="00B545A2" w:rsidRDefault="00B54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68" w:rsidRDefault="00892639" w:rsidP="00762768">
    <w:pPr>
      <w:pStyle w:val="SecurityClassificationHeader"/>
    </w:pPr>
    <w:fldSimple w:instr=" DOCPROPERTY SecurityClassification \* MERGEFORMAT ">
      <w:r w:rsidR="00A26253">
        <w:t>In Confidence</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892639">
    <w:pPr>
      <w:framePr w:wrap="around" w:vAnchor="page" w:hAnchor="margin" w:x="14460" w:y="7939" w:anchorLock="1"/>
      <w:rPr>
        <w:rStyle w:val="FramedHeader"/>
      </w:rPr>
    </w:pPr>
    <w:fldSimple w:instr=" TITLE  \* MERGEFORMAT ">
      <w:r w:rsidR="00A26253" w:rsidRPr="00A26253">
        <w:rPr>
          <w:rStyle w:val="FramedHeader"/>
        </w:rPr>
        <w:t>March 06 Forecasting Report</w:t>
      </w:r>
    </w:fldSimple>
  </w:p>
  <w:p w:rsidR="00B545A2" w:rsidRDefault="00B545A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68" w:rsidRDefault="00892639" w:rsidP="00762768">
    <w:pPr>
      <w:pStyle w:val="SecurityClassificationHeader"/>
    </w:pPr>
    <w:fldSimple w:instr=" DOCPROPERTY SecurityClassification \* MERGEFORMAT ">
      <w:r w:rsidR="00A26253">
        <w:t>In Confidence</w:t>
      </w:r>
    </w:fldSimple>
  </w:p>
  <w:p w:rsidR="00B545A2" w:rsidRDefault="00892639">
    <w:pPr>
      <w:framePr w:wrap="around" w:vAnchor="page" w:hAnchor="margin" w:x="14460" w:y="7939" w:anchorLock="1"/>
      <w:rPr>
        <w:rStyle w:val="FramedHeader"/>
      </w:rPr>
    </w:pPr>
    <w:fldSimple w:instr=" TITLE  \* MERGEFORMAT ">
      <w:r w:rsidR="00A26253" w:rsidRPr="00A26253">
        <w:rPr>
          <w:rStyle w:val="FramedHeader"/>
        </w:rPr>
        <w:t>March 06 Forecasting Report</w:t>
      </w:r>
    </w:fldSimple>
  </w:p>
  <w:p w:rsidR="00B545A2" w:rsidRDefault="00B545A2">
    <w:pPr>
      <w:pStyle w:val="Header"/>
      <w:jc w:val="center"/>
      <w:rPr>
        <w:b/>
        <w:sz w:val="24"/>
      </w:rPr>
    </w:pPr>
    <w:r>
      <w:rPr>
        <w:rStyle w:val="FramedHeader"/>
      </w:rPr>
      <w:t>PROTECTED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Pr="00704E0D" w:rsidRDefault="00B545A2" w:rsidP="00762768">
    <w:pPr>
      <w:pStyle w:val="StatementContentsHeading"/>
      <w:jc w:val="both"/>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08" w:rsidRDefault="00E01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892639" w:rsidP="00762768">
    <w:pPr>
      <w:pStyle w:val="SecurityClassificationHeader"/>
    </w:pPr>
    <w:fldSimple w:instr=" DOCPROPERTY SecurityClassification \* MERGEFORMAT ">
      <w:r w:rsidR="00A26253">
        <w:t>In Confidence</w:t>
      </w:r>
    </w:fldSimple>
  </w:p>
  <w:p w:rsidR="00B545A2" w:rsidRDefault="00B545A2"/>
  <w:p w:rsidR="00B545A2" w:rsidRDefault="00B545A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B545A2"/>
  <w:p w:rsidR="00B545A2" w:rsidRDefault="00B545A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892639" w:rsidP="00762768">
    <w:pPr>
      <w:pStyle w:val="SecurityClassificationHeader"/>
    </w:pPr>
    <w:fldSimple w:instr=" DOCPROPERTY SecurityClassification \* MERGEFORMAT ">
      <w:r w:rsidR="00A26253">
        <w:t>In Confidence</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Default="00892639" w:rsidP="00762768">
    <w:pPr>
      <w:pStyle w:val="SecurityClassificationHeader"/>
    </w:pPr>
    <w:fldSimple w:instr=" DOCPROPERTY SecurityClassification \* MERGEFORMAT ">
      <w:r w:rsidR="00A26253">
        <w:t>In Confidence</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A2" w:rsidRPr="000856B4" w:rsidRDefault="00B545A2" w:rsidP="000856B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68" w:rsidRDefault="00892639" w:rsidP="00762768">
    <w:pPr>
      <w:pStyle w:val="SecurityClassificationHeader"/>
    </w:pPr>
    <w:fldSimple w:instr=" DOCPROPERTY SecurityClassification \* MERGEFORMAT ">
      <w:r w:rsidR="00A26253">
        <w:t>In Confidence</w:t>
      </w:r>
    </w:fldSimple>
  </w:p>
  <w:p w:rsidR="00B545A2" w:rsidRDefault="00892639">
    <w:pPr>
      <w:framePr w:wrap="around" w:vAnchor="page" w:hAnchor="margin" w:x="14460" w:y="7939" w:anchorLock="1"/>
      <w:rPr>
        <w:rStyle w:val="FramedHeader"/>
      </w:rPr>
    </w:pPr>
    <w:fldSimple w:instr=" TITLE  \* MERGEFORMAT ">
      <w:r w:rsidR="00A26253" w:rsidRPr="00A26253">
        <w:rPr>
          <w:rStyle w:val="FramedHeader"/>
        </w:rPr>
        <w:t>March 06 Forecasting Report</w:t>
      </w:r>
    </w:fldSimple>
  </w:p>
  <w:p w:rsidR="00B545A2" w:rsidRDefault="00B545A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lvlText w:val=""/>
      <w:lvlJc w:val="left"/>
      <w:pPr>
        <w:tabs>
          <w:tab w:val="num" w:pos="646"/>
        </w:tabs>
        <w:ind w:left="283" w:firstLine="0"/>
      </w:pPr>
      <w:rPr>
        <w:rFonts w:ascii="Symbol" w:hAnsi="Symbol"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8">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9">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4CF4120"/>
    <w:multiLevelType w:val="singleLevel"/>
    <w:tmpl w:val="5492F112"/>
    <w:lvl w:ilvl="0">
      <w:start w:val="1"/>
      <w:numFmt w:val="bullet"/>
      <w:lvlText w:val=":"/>
      <w:lvlJc w:val="left"/>
      <w:pPr>
        <w:tabs>
          <w:tab w:val="num" w:pos="357"/>
        </w:tabs>
        <w:ind w:left="283" w:hanging="283"/>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82E3003"/>
    <w:multiLevelType w:val="multilevel"/>
    <w:tmpl w:val="6C9CFC8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7">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1">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2">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B2E19AC"/>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25">
    <w:nsid w:val="3B8B757B"/>
    <w:multiLevelType w:val="singleLevel"/>
    <w:tmpl w:val="3D8230E8"/>
    <w:lvl w:ilvl="0">
      <w:start w:val="2"/>
      <w:numFmt w:val="decimal"/>
      <w:lvlText w:val="%1."/>
      <w:lvlJc w:val="left"/>
      <w:pPr>
        <w:tabs>
          <w:tab w:val="num" w:pos="567"/>
        </w:tabs>
        <w:ind w:left="0" w:firstLine="0"/>
      </w:pPr>
    </w:lvl>
  </w:abstractNum>
  <w:abstractNum w:abstractNumId="26">
    <w:nsid w:val="3CF65E56"/>
    <w:multiLevelType w:val="multilevel"/>
    <w:tmpl w:val="736EC11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30">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31">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32">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33">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E8E299C"/>
    <w:multiLevelType w:val="multilevel"/>
    <w:tmpl w:val="9FCE46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8">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9">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44">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5"/>
  </w:num>
  <w:num w:numId="2">
    <w:abstractNumId w:val="30"/>
  </w:num>
  <w:num w:numId="3">
    <w:abstractNumId w:val="20"/>
  </w:num>
  <w:num w:numId="4">
    <w:abstractNumId w:val="44"/>
  </w:num>
  <w:num w:numId="5">
    <w:abstractNumId w:val="11"/>
  </w:num>
  <w:num w:numId="6">
    <w:abstractNumId w:val="15"/>
  </w:num>
  <w:num w:numId="7">
    <w:abstractNumId w:val="19"/>
  </w:num>
  <w:num w:numId="8">
    <w:abstractNumId w:val="37"/>
  </w:num>
  <w:num w:numId="9">
    <w:abstractNumId w:val="40"/>
  </w:num>
  <w:num w:numId="10">
    <w:abstractNumId w:val="16"/>
  </w:num>
  <w:num w:numId="11">
    <w:abstractNumId w:val="36"/>
  </w:num>
  <w:num w:numId="12">
    <w:abstractNumId w:val="21"/>
  </w:num>
  <w:num w:numId="13">
    <w:abstractNumId w:val="43"/>
  </w:num>
  <w:num w:numId="14">
    <w:abstractNumId w:val="13"/>
  </w:num>
  <w:num w:numId="15">
    <w:abstractNumId w:val="1"/>
  </w:num>
  <w:num w:numId="16">
    <w:abstractNumId w:val="7"/>
  </w:num>
  <w:num w:numId="17">
    <w:abstractNumId w:val="33"/>
  </w:num>
  <w:num w:numId="18">
    <w:abstractNumId w:val="4"/>
  </w:num>
  <w:num w:numId="19">
    <w:abstractNumId w:val="28"/>
  </w:num>
  <w:num w:numId="20">
    <w:abstractNumId w:val="2"/>
  </w:num>
  <w:num w:numId="21">
    <w:abstractNumId w:val="6"/>
  </w:num>
  <w:num w:numId="22">
    <w:abstractNumId w:val="8"/>
  </w:num>
  <w:num w:numId="23">
    <w:abstractNumId w:val="23"/>
  </w:num>
  <w:num w:numId="24">
    <w:abstractNumId w:val="45"/>
  </w:num>
  <w:num w:numId="25">
    <w:abstractNumId w:val="17"/>
  </w:num>
  <w:num w:numId="26">
    <w:abstractNumId w:val="41"/>
  </w:num>
  <w:num w:numId="27">
    <w:abstractNumId w:val="3"/>
  </w:num>
  <w:num w:numId="28">
    <w:abstractNumId w:val="22"/>
  </w:num>
  <w:num w:numId="29">
    <w:abstractNumId w:val="18"/>
  </w:num>
  <w:num w:numId="30">
    <w:abstractNumId w:val="27"/>
  </w:num>
  <w:num w:numId="31">
    <w:abstractNumId w:val="42"/>
  </w:num>
  <w:num w:numId="32">
    <w:abstractNumId w:val="10"/>
  </w:num>
  <w:num w:numId="33">
    <w:abstractNumId w:val="32"/>
  </w:num>
  <w:num w:numId="34">
    <w:abstractNumId w:val="9"/>
  </w:num>
  <w:num w:numId="35">
    <w:abstractNumId w:val="5"/>
  </w:num>
  <w:num w:numId="36">
    <w:abstractNumId w:val="0"/>
  </w:num>
  <w:num w:numId="37">
    <w:abstractNumId w:val="12"/>
  </w:num>
  <w:num w:numId="38">
    <w:abstractNumId w:val="39"/>
  </w:num>
  <w:num w:numId="39">
    <w:abstractNumId w:val="38"/>
  </w:num>
  <w:num w:numId="40">
    <w:abstractNumId w:val="31"/>
  </w:num>
  <w:num w:numId="41">
    <w:abstractNumId w:val="25"/>
  </w:num>
  <w:num w:numId="42">
    <w:abstractNumId w:val="14"/>
  </w:num>
  <w:num w:numId="43">
    <w:abstractNumId w:val="26"/>
  </w:num>
  <w:num w:numId="44">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368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981EE6"/>
    <w:rsid w:val="000007E9"/>
    <w:rsid w:val="00000E3B"/>
    <w:rsid w:val="00000F89"/>
    <w:rsid w:val="0000168C"/>
    <w:rsid w:val="00001847"/>
    <w:rsid w:val="00001ECA"/>
    <w:rsid w:val="00001ED7"/>
    <w:rsid w:val="00001F20"/>
    <w:rsid w:val="000024DE"/>
    <w:rsid w:val="00002B6E"/>
    <w:rsid w:val="000032D9"/>
    <w:rsid w:val="0000336A"/>
    <w:rsid w:val="00003654"/>
    <w:rsid w:val="0000396B"/>
    <w:rsid w:val="00003AB4"/>
    <w:rsid w:val="00003D87"/>
    <w:rsid w:val="0000421E"/>
    <w:rsid w:val="000044D9"/>
    <w:rsid w:val="000048F1"/>
    <w:rsid w:val="00004D90"/>
    <w:rsid w:val="00004F72"/>
    <w:rsid w:val="000051F3"/>
    <w:rsid w:val="0000520C"/>
    <w:rsid w:val="00005608"/>
    <w:rsid w:val="000058E4"/>
    <w:rsid w:val="00005A9F"/>
    <w:rsid w:val="00005D3C"/>
    <w:rsid w:val="00006587"/>
    <w:rsid w:val="00006910"/>
    <w:rsid w:val="00006A6A"/>
    <w:rsid w:val="00006E4D"/>
    <w:rsid w:val="00007037"/>
    <w:rsid w:val="00007138"/>
    <w:rsid w:val="0000744F"/>
    <w:rsid w:val="00007475"/>
    <w:rsid w:val="0000776A"/>
    <w:rsid w:val="00007813"/>
    <w:rsid w:val="0000785F"/>
    <w:rsid w:val="00007DA9"/>
    <w:rsid w:val="0001006B"/>
    <w:rsid w:val="00010FD8"/>
    <w:rsid w:val="00011C71"/>
    <w:rsid w:val="00012704"/>
    <w:rsid w:val="00012A49"/>
    <w:rsid w:val="00012B6C"/>
    <w:rsid w:val="00012B77"/>
    <w:rsid w:val="00012D40"/>
    <w:rsid w:val="00013369"/>
    <w:rsid w:val="000133E2"/>
    <w:rsid w:val="000144FD"/>
    <w:rsid w:val="0001469E"/>
    <w:rsid w:val="00014D9D"/>
    <w:rsid w:val="00014F14"/>
    <w:rsid w:val="00015306"/>
    <w:rsid w:val="000154D0"/>
    <w:rsid w:val="0001590F"/>
    <w:rsid w:val="00015E50"/>
    <w:rsid w:val="000164DE"/>
    <w:rsid w:val="00016578"/>
    <w:rsid w:val="0001662D"/>
    <w:rsid w:val="00016694"/>
    <w:rsid w:val="00016799"/>
    <w:rsid w:val="000168A0"/>
    <w:rsid w:val="00017156"/>
    <w:rsid w:val="0001742B"/>
    <w:rsid w:val="000179D9"/>
    <w:rsid w:val="00017A31"/>
    <w:rsid w:val="00017BF6"/>
    <w:rsid w:val="00017C34"/>
    <w:rsid w:val="00017F7B"/>
    <w:rsid w:val="00020529"/>
    <w:rsid w:val="000209D4"/>
    <w:rsid w:val="00020A12"/>
    <w:rsid w:val="00020BE0"/>
    <w:rsid w:val="00020C26"/>
    <w:rsid w:val="00020EF0"/>
    <w:rsid w:val="000215D4"/>
    <w:rsid w:val="00021D40"/>
    <w:rsid w:val="00021FD2"/>
    <w:rsid w:val="00022821"/>
    <w:rsid w:val="00022ABD"/>
    <w:rsid w:val="00022BBD"/>
    <w:rsid w:val="00022DE1"/>
    <w:rsid w:val="00023203"/>
    <w:rsid w:val="00023403"/>
    <w:rsid w:val="0002345B"/>
    <w:rsid w:val="000237FC"/>
    <w:rsid w:val="000250E5"/>
    <w:rsid w:val="00025281"/>
    <w:rsid w:val="000258BF"/>
    <w:rsid w:val="000258CC"/>
    <w:rsid w:val="00025946"/>
    <w:rsid w:val="00025AF2"/>
    <w:rsid w:val="00026305"/>
    <w:rsid w:val="0002670C"/>
    <w:rsid w:val="000268F1"/>
    <w:rsid w:val="00026F4A"/>
    <w:rsid w:val="00027E91"/>
    <w:rsid w:val="0003024F"/>
    <w:rsid w:val="00030895"/>
    <w:rsid w:val="00030A75"/>
    <w:rsid w:val="00030FEC"/>
    <w:rsid w:val="000312DD"/>
    <w:rsid w:val="000313E0"/>
    <w:rsid w:val="00031628"/>
    <w:rsid w:val="00031965"/>
    <w:rsid w:val="00031BB7"/>
    <w:rsid w:val="00031BF9"/>
    <w:rsid w:val="00032191"/>
    <w:rsid w:val="00032A80"/>
    <w:rsid w:val="000339CA"/>
    <w:rsid w:val="00033B05"/>
    <w:rsid w:val="00033D2A"/>
    <w:rsid w:val="00033DDD"/>
    <w:rsid w:val="0003423D"/>
    <w:rsid w:val="00034450"/>
    <w:rsid w:val="00034755"/>
    <w:rsid w:val="00034B13"/>
    <w:rsid w:val="00034D5E"/>
    <w:rsid w:val="000353BA"/>
    <w:rsid w:val="00035C48"/>
    <w:rsid w:val="00035D8E"/>
    <w:rsid w:val="00035EA0"/>
    <w:rsid w:val="00035F2D"/>
    <w:rsid w:val="00035F8B"/>
    <w:rsid w:val="00035FCB"/>
    <w:rsid w:val="000360C1"/>
    <w:rsid w:val="000364AD"/>
    <w:rsid w:val="0003672D"/>
    <w:rsid w:val="00036879"/>
    <w:rsid w:val="00036EEC"/>
    <w:rsid w:val="000373FA"/>
    <w:rsid w:val="0003768F"/>
    <w:rsid w:val="0003784F"/>
    <w:rsid w:val="00037DDD"/>
    <w:rsid w:val="000401BC"/>
    <w:rsid w:val="000401DE"/>
    <w:rsid w:val="000403CD"/>
    <w:rsid w:val="000405C7"/>
    <w:rsid w:val="0004081C"/>
    <w:rsid w:val="0004100A"/>
    <w:rsid w:val="000410EF"/>
    <w:rsid w:val="000419A9"/>
    <w:rsid w:val="00041AA5"/>
    <w:rsid w:val="000426EA"/>
    <w:rsid w:val="00042D41"/>
    <w:rsid w:val="00042E8C"/>
    <w:rsid w:val="000430A2"/>
    <w:rsid w:val="00043EBF"/>
    <w:rsid w:val="00044569"/>
    <w:rsid w:val="00044A73"/>
    <w:rsid w:val="0004510F"/>
    <w:rsid w:val="00045533"/>
    <w:rsid w:val="0004566C"/>
    <w:rsid w:val="000458F6"/>
    <w:rsid w:val="00045976"/>
    <w:rsid w:val="000459F5"/>
    <w:rsid w:val="00046D2C"/>
    <w:rsid w:val="00047449"/>
    <w:rsid w:val="00047F8E"/>
    <w:rsid w:val="0005012C"/>
    <w:rsid w:val="000501BB"/>
    <w:rsid w:val="000501DE"/>
    <w:rsid w:val="00050FB5"/>
    <w:rsid w:val="0005100D"/>
    <w:rsid w:val="000510A0"/>
    <w:rsid w:val="00051203"/>
    <w:rsid w:val="000516B9"/>
    <w:rsid w:val="00051A70"/>
    <w:rsid w:val="00052210"/>
    <w:rsid w:val="000523D3"/>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5F8E"/>
    <w:rsid w:val="000561D9"/>
    <w:rsid w:val="0005639B"/>
    <w:rsid w:val="000566BD"/>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A9F"/>
    <w:rsid w:val="00063E62"/>
    <w:rsid w:val="00063FE2"/>
    <w:rsid w:val="00064071"/>
    <w:rsid w:val="00064179"/>
    <w:rsid w:val="00064748"/>
    <w:rsid w:val="00064AB4"/>
    <w:rsid w:val="00065168"/>
    <w:rsid w:val="000656FF"/>
    <w:rsid w:val="000657E9"/>
    <w:rsid w:val="00065811"/>
    <w:rsid w:val="00065CCB"/>
    <w:rsid w:val="00065D28"/>
    <w:rsid w:val="000660EC"/>
    <w:rsid w:val="000664B6"/>
    <w:rsid w:val="00066565"/>
    <w:rsid w:val="00066F39"/>
    <w:rsid w:val="00066F40"/>
    <w:rsid w:val="00067383"/>
    <w:rsid w:val="000679BF"/>
    <w:rsid w:val="00067CA6"/>
    <w:rsid w:val="00070767"/>
    <w:rsid w:val="000707BB"/>
    <w:rsid w:val="00070B41"/>
    <w:rsid w:val="00070E1C"/>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B12"/>
    <w:rsid w:val="00076B2B"/>
    <w:rsid w:val="00076EF4"/>
    <w:rsid w:val="0007712B"/>
    <w:rsid w:val="000773F4"/>
    <w:rsid w:val="000779E7"/>
    <w:rsid w:val="0008026B"/>
    <w:rsid w:val="00080673"/>
    <w:rsid w:val="0008103D"/>
    <w:rsid w:val="00081333"/>
    <w:rsid w:val="0008183C"/>
    <w:rsid w:val="00081C5A"/>
    <w:rsid w:val="00082638"/>
    <w:rsid w:val="00082A9F"/>
    <w:rsid w:val="00082E6A"/>
    <w:rsid w:val="00083320"/>
    <w:rsid w:val="000839C7"/>
    <w:rsid w:val="00083DC9"/>
    <w:rsid w:val="00083EB5"/>
    <w:rsid w:val="00083EC2"/>
    <w:rsid w:val="00084887"/>
    <w:rsid w:val="00084AA3"/>
    <w:rsid w:val="000856B4"/>
    <w:rsid w:val="00085741"/>
    <w:rsid w:val="00085D16"/>
    <w:rsid w:val="00085FEA"/>
    <w:rsid w:val="00086191"/>
    <w:rsid w:val="0008641A"/>
    <w:rsid w:val="000868D7"/>
    <w:rsid w:val="00086BDC"/>
    <w:rsid w:val="00086D25"/>
    <w:rsid w:val="00086D69"/>
    <w:rsid w:val="00087675"/>
    <w:rsid w:val="00090E63"/>
    <w:rsid w:val="00090F1C"/>
    <w:rsid w:val="0009108E"/>
    <w:rsid w:val="000911BE"/>
    <w:rsid w:val="000912DF"/>
    <w:rsid w:val="0009171F"/>
    <w:rsid w:val="000919AA"/>
    <w:rsid w:val="00091E39"/>
    <w:rsid w:val="00092818"/>
    <w:rsid w:val="00092E11"/>
    <w:rsid w:val="00092EFD"/>
    <w:rsid w:val="00093064"/>
    <w:rsid w:val="0009345A"/>
    <w:rsid w:val="000935EE"/>
    <w:rsid w:val="00093778"/>
    <w:rsid w:val="00093BC7"/>
    <w:rsid w:val="00094375"/>
    <w:rsid w:val="00094ABB"/>
    <w:rsid w:val="00094F7A"/>
    <w:rsid w:val="000956B3"/>
    <w:rsid w:val="00095781"/>
    <w:rsid w:val="00095839"/>
    <w:rsid w:val="00095F2B"/>
    <w:rsid w:val="000962B5"/>
    <w:rsid w:val="000967A8"/>
    <w:rsid w:val="00096846"/>
    <w:rsid w:val="00096D8E"/>
    <w:rsid w:val="0009720F"/>
    <w:rsid w:val="00097478"/>
    <w:rsid w:val="0009771A"/>
    <w:rsid w:val="00097B8F"/>
    <w:rsid w:val="00097EE8"/>
    <w:rsid w:val="000A00EB"/>
    <w:rsid w:val="000A0B46"/>
    <w:rsid w:val="000A1CA8"/>
    <w:rsid w:val="000A1E38"/>
    <w:rsid w:val="000A2F3B"/>
    <w:rsid w:val="000A3014"/>
    <w:rsid w:val="000A341E"/>
    <w:rsid w:val="000A351A"/>
    <w:rsid w:val="000A35C5"/>
    <w:rsid w:val="000A3E05"/>
    <w:rsid w:val="000A4079"/>
    <w:rsid w:val="000A4C88"/>
    <w:rsid w:val="000A52FF"/>
    <w:rsid w:val="000A53A4"/>
    <w:rsid w:val="000A541C"/>
    <w:rsid w:val="000A5514"/>
    <w:rsid w:val="000A5E00"/>
    <w:rsid w:val="000A5F56"/>
    <w:rsid w:val="000A620D"/>
    <w:rsid w:val="000A6C7C"/>
    <w:rsid w:val="000A6E3C"/>
    <w:rsid w:val="000A7696"/>
    <w:rsid w:val="000A77F9"/>
    <w:rsid w:val="000A79FB"/>
    <w:rsid w:val="000B00A1"/>
    <w:rsid w:val="000B1226"/>
    <w:rsid w:val="000B1CCF"/>
    <w:rsid w:val="000B1DBB"/>
    <w:rsid w:val="000B1DEF"/>
    <w:rsid w:val="000B1FEF"/>
    <w:rsid w:val="000B2079"/>
    <w:rsid w:val="000B2636"/>
    <w:rsid w:val="000B2788"/>
    <w:rsid w:val="000B286A"/>
    <w:rsid w:val="000B2CCF"/>
    <w:rsid w:val="000B3011"/>
    <w:rsid w:val="000B3C04"/>
    <w:rsid w:val="000B3ED5"/>
    <w:rsid w:val="000B413C"/>
    <w:rsid w:val="000B4418"/>
    <w:rsid w:val="000B4B20"/>
    <w:rsid w:val="000B5084"/>
    <w:rsid w:val="000B5C5B"/>
    <w:rsid w:val="000B5ED5"/>
    <w:rsid w:val="000B62E0"/>
    <w:rsid w:val="000B65B3"/>
    <w:rsid w:val="000B679B"/>
    <w:rsid w:val="000B67AB"/>
    <w:rsid w:val="000B6D16"/>
    <w:rsid w:val="000B6E9D"/>
    <w:rsid w:val="000B74B0"/>
    <w:rsid w:val="000C05BC"/>
    <w:rsid w:val="000C0C48"/>
    <w:rsid w:val="000C13C7"/>
    <w:rsid w:val="000C191E"/>
    <w:rsid w:val="000C1AF1"/>
    <w:rsid w:val="000C1EE1"/>
    <w:rsid w:val="000C212D"/>
    <w:rsid w:val="000C2181"/>
    <w:rsid w:val="000C218E"/>
    <w:rsid w:val="000C29AB"/>
    <w:rsid w:val="000C2E96"/>
    <w:rsid w:val="000C3083"/>
    <w:rsid w:val="000C30AE"/>
    <w:rsid w:val="000C3B3D"/>
    <w:rsid w:val="000C3CCF"/>
    <w:rsid w:val="000C3E1D"/>
    <w:rsid w:val="000C3F0A"/>
    <w:rsid w:val="000C487A"/>
    <w:rsid w:val="000C4B88"/>
    <w:rsid w:val="000C4E37"/>
    <w:rsid w:val="000C4FF9"/>
    <w:rsid w:val="000C5211"/>
    <w:rsid w:val="000C54DC"/>
    <w:rsid w:val="000C596E"/>
    <w:rsid w:val="000C5A7B"/>
    <w:rsid w:val="000C61DD"/>
    <w:rsid w:val="000C6596"/>
    <w:rsid w:val="000C6D74"/>
    <w:rsid w:val="000C740B"/>
    <w:rsid w:val="000C78F1"/>
    <w:rsid w:val="000C7B2E"/>
    <w:rsid w:val="000C7B94"/>
    <w:rsid w:val="000C7E81"/>
    <w:rsid w:val="000C7FCE"/>
    <w:rsid w:val="000D01E9"/>
    <w:rsid w:val="000D12E7"/>
    <w:rsid w:val="000D2038"/>
    <w:rsid w:val="000D21D4"/>
    <w:rsid w:val="000D27F6"/>
    <w:rsid w:val="000D2A4B"/>
    <w:rsid w:val="000D335F"/>
    <w:rsid w:val="000D3F3F"/>
    <w:rsid w:val="000D48F2"/>
    <w:rsid w:val="000D4A23"/>
    <w:rsid w:val="000D59D3"/>
    <w:rsid w:val="000D5CA0"/>
    <w:rsid w:val="000D5F9F"/>
    <w:rsid w:val="000D63AD"/>
    <w:rsid w:val="000D63DA"/>
    <w:rsid w:val="000D6430"/>
    <w:rsid w:val="000D66DB"/>
    <w:rsid w:val="000D6AA5"/>
    <w:rsid w:val="000D6D5A"/>
    <w:rsid w:val="000D6F29"/>
    <w:rsid w:val="000D6F30"/>
    <w:rsid w:val="000D73E5"/>
    <w:rsid w:val="000D79EB"/>
    <w:rsid w:val="000D7D91"/>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46B"/>
    <w:rsid w:val="000E4560"/>
    <w:rsid w:val="000E457E"/>
    <w:rsid w:val="000E4649"/>
    <w:rsid w:val="000E4655"/>
    <w:rsid w:val="000E4ECF"/>
    <w:rsid w:val="000E531D"/>
    <w:rsid w:val="000E5DD8"/>
    <w:rsid w:val="000E60BD"/>
    <w:rsid w:val="000E6802"/>
    <w:rsid w:val="000E6E1A"/>
    <w:rsid w:val="000E6EE6"/>
    <w:rsid w:val="000E7334"/>
    <w:rsid w:val="000E7D54"/>
    <w:rsid w:val="000F024D"/>
    <w:rsid w:val="000F0522"/>
    <w:rsid w:val="000F139B"/>
    <w:rsid w:val="000F18A2"/>
    <w:rsid w:val="000F1C6E"/>
    <w:rsid w:val="000F212F"/>
    <w:rsid w:val="000F2232"/>
    <w:rsid w:val="000F246A"/>
    <w:rsid w:val="000F2749"/>
    <w:rsid w:val="000F2994"/>
    <w:rsid w:val="000F303D"/>
    <w:rsid w:val="000F30C2"/>
    <w:rsid w:val="000F3549"/>
    <w:rsid w:val="000F369B"/>
    <w:rsid w:val="000F3B9E"/>
    <w:rsid w:val="000F3DE4"/>
    <w:rsid w:val="000F40BE"/>
    <w:rsid w:val="000F4480"/>
    <w:rsid w:val="000F4AC6"/>
    <w:rsid w:val="000F4C12"/>
    <w:rsid w:val="000F5299"/>
    <w:rsid w:val="000F5600"/>
    <w:rsid w:val="000F59C1"/>
    <w:rsid w:val="000F59DC"/>
    <w:rsid w:val="000F5C54"/>
    <w:rsid w:val="000F5CD5"/>
    <w:rsid w:val="000F5DFE"/>
    <w:rsid w:val="000F608E"/>
    <w:rsid w:val="000F7767"/>
    <w:rsid w:val="000F7B6B"/>
    <w:rsid w:val="001002BA"/>
    <w:rsid w:val="00100C13"/>
    <w:rsid w:val="00100C44"/>
    <w:rsid w:val="00100CC8"/>
    <w:rsid w:val="0010113D"/>
    <w:rsid w:val="00101870"/>
    <w:rsid w:val="00101A29"/>
    <w:rsid w:val="00101C87"/>
    <w:rsid w:val="00101DE7"/>
    <w:rsid w:val="00101FBE"/>
    <w:rsid w:val="001020BD"/>
    <w:rsid w:val="001022E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300"/>
    <w:rsid w:val="00105306"/>
    <w:rsid w:val="001058A9"/>
    <w:rsid w:val="001068FA"/>
    <w:rsid w:val="00106AE7"/>
    <w:rsid w:val="00107297"/>
    <w:rsid w:val="00107593"/>
    <w:rsid w:val="00107901"/>
    <w:rsid w:val="00107C65"/>
    <w:rsid w:val="00110B97"/>
    <w:rsid w:val="00110E11"/>
    <w:rsid w:val="00110E60"/>
    <w:rsid w:val="00110F33"/>
    <w:rsid w:val="00111018"/>
    <w:rsid w:val="00111227"/>
    <w:rsid w:val="0011147D"/>
    <w:rsid w:val="001116C7"/>
    <w:rsid w:val="00111721"/>
    <w:rsid w:val="00111C85"/>
    <w:rsid w:val="00111EBC"/>
    <w:rsid w:val="0011200D"/>
    <w:rsid w:val="001121DD"/>
    <w:rsid w:val="001121E2"/>
    <w:rsid w:val="00112274"/>
    <w:rsid w:val="00112576"/>
    <w:rsid w:val="00112D4D"/>
    <w:rsid w:val="00113390"/>
    <w:rsid w:val="00113519"/>
    <w:rsid w:val="00113590"/>
    <w:rsid w:val="001138AE"/>
    <w:rsid w:val="00114BBB"/>
    <w:rsid w:val="00115129"/>
    <w:rsid w:val="0011517C"/>
    <w:rsid w:val="001156FC"/>
    <w:rsid w:val="001157E3"/>
    <w:rsid w:val="00115AD5"/>
    <w:rsid w:val="00115F68"/>
    <w:rsid w:val="00116561"/>
    <w:rsid w:val="00116D4D"/>
    <w:rsid w:val="00116F5A"/>
    <w:rsid w:val="00116F8E"/>
    <w:rsid w:val="00117382"/>
    <w:rsid w:val="00117D6D"/>
    <w:rsid w:val="00117EFB"/>
    <w:rsid w:val="00120E68"/>
    <w:rsid w:val="001216D7"/>
    <w:rsid w:val="00121AC6"/>
    <w:rsid w:val="00122236"/>
    <w:rsid w:val="00122747"/>
    <w:rsid w:val="00122CFE"/>
    <w:rsid w:val="00122EFA"/>
    <w:rsid w:val="00123AF5"/>
    <w:rsid w:val="00123C56"/>
    <w:rsid w:val="00123F25"/>
    <w:rsid w:val="00124243"/>
    <w:rsid w:val="001255A6"/>
    <w:rsid w:val="0012560B"/>
    <w:rsid w:val="00125CC7"/>
    <w:rsid w:val="00125E26"/>
    <w:rsid w:val="001260CC"/>
    <w:rsid w:val="00126623"/>
    <w:rsid w:val="0012674A"/>
    <w:rsid w:val="00126C9C"/>
    <w:rsid w:val="00126EEE"/>
    <w:rsid w:val="001270BC"/>
    <w:rsid w:val="0012767B"/>
    <w:rsid w:val="00130221"/>
    <w:rsid w:val="0013065D"/>
    <w:rsid w:val="00131171"/>
    <w:rsid w:val="001311BF"/>
    <w:rsid w:val="001314FE"/>
    <w:rsid w:val="00131818"/>
    <w:rsid w:val="00132233"/>
    <w:rsid w:val="0013229B"/>
    <w:rsid w:val="00132619"/>
    <w:rsid w:val="00132C59"/>
    <w:rsid w:val="001334AE"/>
    <w:rsid w:val="0013377E"/>
    <w:rsid w:val="001338A1"/>
    <w:rsid w:val="00133985"/>
    <w:rsid w:val="001339AC"/>
    <w:rsid w:val="00133E4A"/>
    <w:rsid w:val="00133FE3"/>
    <w:rsid w:val="00134230"/>
    <w:rsid w:val="00134299"/>
    <w:rsid w:val="00134486"/>
    <w:rsid w:val="0013465B"/>
    <w:rsid w:val="00134663"/>
    <w:rsid w:val="001348EC"/>
    <w:rsid w:val="00134AEA"/>
    <w:rsid w:val="00135047"/>
    <w:rsid w:val="0013558E"/>
    <w:rsid w:val="001355E1"/>
    <w:rsid w:val="00135FBC"/>
    <w:rsid w:val="0013654B"/>
    <w:rsid w:val="001368E2"/>
    <w:rsid w:val="00136BFF"/>
    <w:rsid w:val="001370DE"/>
    <w:rsid w:val="001373BC"/>
    <w:rsid w:val="001376F7"/>
    <w:rsid w:val="00137B03"/>
    <w:rsid w:val="00137DB7"/>
    <w:rsid w:val="00137E4E"/>
    <w:rsid w:val="00137FBF"/>
    <w:rsid w:val="00140023"/>
    <w:rsid w:val="001404B4"/>
    <w:rsid w:val="00140C94"/>
    <w:rsid w:val="00141DEC"/>
    <w:rsid w:val="00142CB5"/>
    <w:rsid w:val="00142CCD"/>
    <w:rsid w:val="00142CE6"/>
    <w:rsid w:val="001440B4"/>
    <w:rsid w:val="00144455"/>
    <w:rsid w:val="00144866"/>
    <w:rsid w:val="0014491F"/>
    <w:rsid w:val="00145115"/>
    <w:rsid w:val="0014581D"/>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3069"/>
    <w:rsid w:val="00153940"/>
    <w:rsid w:val="00154110"/>
    <w:rsid w:val="001543A4"/>
    <w:rsid w:val="00154807"/>
    <w:rsid w:val="0015540F"/>
    <w:rsid w:val="001561EB"/>
    <w:rsid w:val="001571E2"/>
    <w:rsid w:val="001577EB"/>
    <w:rsid w:val="001578A8"/>
    <w:rsid w:val="00157F35"/>
    <w:rsid w:val="00160830"/>
    <w:rsid w:val="00160A54"/>
    <w:rsid w:val="00160EFE"/>
    <w:rsid w:val="00161069"/>
    <w:rsid w:val="00161A99"/>
    <w:rsid w:val="00162046"/>
    <w:rsid w:val="001625F1"/>
    <w:rsid w:val="00162649"/>
    <w:rsid w:val="0016298D"/>
    <w:rsid w:val="00162B76"/>
    <w:rsid w:val="0016342F"/>
    <w:rsid w:val="00163ABD"/>
    <w:rsid w:val="00163E47"/>
    <w:rsid w:val="00164316"/>
    <w:rsid w:val="001647A1"/>
    <w:rsid w:val="001648FE"/>
    <w:rsid w:val="00164AE8"/>
    <w:rsid w:val="00164C98"/>
    <w:rsid w:val="001652F2"/>
    <w:rsid w:val="001654A9"/>
    <w:rsid w:val="00165860"/>
    <w:rsid w:val="00165CDE"/>
    <w:rsid w:val="00166576"/>
    <w:rsid w:val="001669BB"/>
    <w:rsid w:val="001672F6"/>
    <w:rsid w:val="00167EA5"/>
    <w:rsid w:val="0017044D"/>
    <w:rsid w:val="00170868"/>
    <w:rsid w:val="0017192A"/>
    <w:rsid w:val="00171930"/>
    <w:rsid w:val="00171A03"/>
    <w:rsid w:val="001720C8"/>
    <w:rsid w:val="001724FC"/>
    <w:rsid w:val="00172A53"/>
    <w:rsid w:val="00172A57"/>
    <w:rsid w:val="001734AE"/>
    <w:rsid w:val="00173AFD"/>
    <w:rsid w:val="001740DF"/>
    <w:rsid w:val="00174314"/>
    <w:rsid w:val="00174351"/>
    <w:rsid w:val="001743CB"/>
    <w:rsid w:val="00174563"/>
    <w:rsid w:val="001747C0"/>
    <w:rsid w:val="00174BCA"/>
    <w:rsid w:val="00174D62"/>
    <w:rsid w:val="00175934"/>
    <w:rsid w:val="00175C6B"/>
    <w:rsid w:val="0017614D"/>
    <w:rsid w:val="001763B9"/>
    <w:rsid w:val="00176700"/>
    <w:rsid w:val="001769D4"/>
    <w:rsid w:val="00176D21"/>
    <w:rsid w:val="001771F7"/>
    <w:rsid w:val="00177899"/>
    <w:rsid w:val="00177A89"/>
    <w:rsid w:val="00180213"/>
    <w:rsid w:val="00180BC5"/>
    <w:rsid w:val="001814C4"/>
    <w:rsid w:val="0018175C"/>
    <w:rsid w:val="0018269D"/>
    <w:rsid w:val="00182BE5"/>
    <w:rsid w:val="00182FEC"/>
    <w:rsid w:val="00183791"/>
    <w:rsid w:val="001839A5"/>
    <w:rsid w:val="00183BE1"/>
    <w:rsid w:val="00183CCA"/>
    <w:rsid w:val="00184161"/>
    <w:rsid w:val="0018431A"/>
    <w:rsid w:val="001844AA"/>
    <w:rsid w:val="00184C5F"/>
    <w:rsid w:val="00184E3D"/>
    <w:rsid w:val="00184FBD"/>
    <w:rsid w:val="00184FF7"/>
    <w:rsid w:val="001850CB"/>
    <w:rsid w:val="001850FF"/>
    <w:rsid w:val="00185794"/>
    <w:rsid w:val="00185BEE"/>
    <w:rsid w:val="00185DA7"/>
    <w:rsid w:val="00185FEA"/>
    <w:rsid w:val="00186A5A"/>
    <w:rsid w:val="00186B21"/>
    <w:rsid w:val="00186D1D"/>
    <w:rsid w:val="001902A1"/>
    <w:rsid w:val="00190428"/>
    <w:rsid w:val="0019086F"/>
    <w:rsid w:val="001908CC"/>
    <w:rsid w:val="00190BEC"/>
    <w:rsid w:val="00190C8D"/>
    <w:rsid w:val="00190D6F"/>
    <w:rsid w:val="0019163C"/>
    <w:rsid w:val="00191D10"/>
    <w:rsid w:val="00191E76"/>
    <w:rsid w:val="001928FD"/>
    <w:rsid w:val="00192B96"/>
    <w:rsid w:val="00192EC8"/>
    <w:rsid w:val="00192F45"/>
    <w:rsid w:val="001937D4"/>
    <w:rsid w:val="001937F9"/>
    <w:rsid w:val="00193846"/>
    <w:rsid w:val="00193BA0"/>
    <w:rsid w:val="00194364"/>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8C2"/>
    <w:rsid w:val="001A6DA3"/>
    <w:rsid w:val="001A71B5"/>
    <w:rsid w:val="001A7540"/>
    <w:rsid w:val="001A7754"/>
    <w:rsid w:val="001A7EE0"/>
    <w:rsid w:val="001B0055"/>
    <w:rsid w:val="001B0169"/>
    <w:rsid w:val="001B046D"/>
    <w:rsid w:val="001B08FF"/>
    <w:rsid w:val="001B0E64"/>
    <w:rsid w:val="001B0FCC"/>
    <w:rsid w:val="001B127E"/>
    <w:rsid w:val="001B175E"/>
    <w:rsid w:val="001B22DE"/>
    <w:rsid w:val="001B29DC"/>
    <w:rsid w:val="001B2C06"/>
    <w:rsid w:val="001B2D0A"/>
    <w:rsid w:val="001B353B"/>
    <w:rsid w:val="001B372F"/>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DBD"/>
    <w:rsid w:val="001B70D9"/>
    <w:rsid w:val="001B7970"/>
    <w:rsid w:val="001B7B5E"/>
    <w:rsid w:val="001C0049"/>
    <w:rsid w:val="001C0875"/>
    <w:rsid w:val="001C0A89"/>
    <w:rsid w:val="001C0C34"/>
    <w:rsid w:val="001C0EEA"/>
    <w:rsid w:val="001C13C2"/>
    <w:rsid w:val="001C16A0"/>
    <w:rsid w:val="001C1AF3"/>
    <w:rsid w:val="001C1B89"/>
    <w:rsid w:val="001C1CC6"/>
    <w:rsid w:val="001C1DD8"/>
    <w:rsid w:val="001C2299"/>
    <w:rsid w:val="001C2373"/>
    <w:rsid w:val="001C2A96"/>
    <w:rsid w:val="001C3896"/>
    <w:rsid w:val="001C3D6E"/>
    <w:rsid w:val="001C3E87"/>
    <w:rsid w:val="001C4277"/>
    <w:rsid w:val="001C43DD"/>
    <w:rsid w:val="001C4BB4"/>
    <w:rsid w:val="001C4CF6"/>
    <w:rsid w:val="001C4D67"/>
    <w:rsid w:val="001C4F40"/>
    <w:rsid w:val="001C520E"/>
    <w:rsid w:val="001C5CC5"/>
    <w:rsid w:val="001C64DA"/>
    <w:rsid w:val="001C6DA8"/>
    <w:rsid w:val="001C726F"/>
    <w:rsid w:val="001C7606"/>
    <w:rsid w:val="001C79F3"/>
    <w:rsid w:val="001D034C"/>
    <w:rsid w:val="001D0350"/>
    <w:rsid w:val="001D052C"/>
    <w:rsid w:val="001D06F2"/>
    <w:rsid w:val="001D0BC0"/>
    <w:rsid w:val="001D1223"/>
    <w:rsid w:val="001D122E"/>
    <w:rsid w:val="001D15C4"/>
    <w:rsid w:val="001D170A"/>
    <w:rsid w:val="001D1D4F"/>
    <w:rsid w:val="001D1DAA"/>
    <w:rsid w:val="001D1EC1"/>
    <w:rsid w:val="001D3124"/>
    <w:rsid w:val="001D318D"/>
    <w:rsid w:val="001D35AA"/>
    <w:rsid w:val="001D372E"/>
    <w:rsid w:val="001D3749"/>
    <w:rsid w:val="001D3CC0"/>
    <w:rsid w:val="001D4E61"/>
    <w:rsid w:val="001D4E67"/>
    <w:rsid w:val="001D505A"/>
    <w:rsid w:val="001D56BF"/>
    <w:rsid w:val="001D5775"/>
    <w:rsid w:val="001D5A2A"/>
    <w:rsid w:val="001D5ADC"/>
    <w:rsid w:val="001D5C7B"/>
    <w:rsid w:val="001D5EA6"/>
    <w:rsid w:val="001D6453"/>
    <w:rsid w:val="001D749E"/>
    <w:rsid w:val="001D7A21"/>
    <w:rsid w:val="001E0180"/>
    <w:rsid w:val="001E01BD"/>
    <w:rsid w:val="001E02C4"/>
    <w:rsid w:val="001E02EC"/>
    <w:rsid w:val="001E06F7"/>
    <w:rsid w:val="001E098E"/>
    <w:rsid w:val="001E1202"/>
    <w:rsid w:val="001E12A8"/>
    <w:rsid w:val="001E16CF"/>
    <w:rsid w:val="001E1860"/>
    <w:rsid w:val="001E1A5B"/>
    <w:rsid w:val="001E1D32"/>
    <w:rsid w:val="001E21DB"/>
    <w:rsid w:val="001E234F"/>
    <w:rsid w:val="001E2971"/>
    <w:rsid w:val="001E2DFD"/>
    <w:rsid w:val="001E31BA"/>
    <w:rsid w:val="001E3D6E"/>
    <w:rsid w:val="001E41D6"/>
    <w:rsid w:val="001E47F3"/>
    <w:rsid w:val="001E4C74"/>
    <w:rsid w:val="001E4D11"/>
    <w:rsid w:val="001E4EF3"/>
    <w:rsid w:val="001E5878"/>
    <w:rsid w:val="001E5917"/>
    <w:rsid w:val="001E6493"/>
    <w:rsid w:val="001E68AE"/>
    <w:rsid w:val="001E6967"/>
    <w:rsid w:val="001E6E6B"/>
    <w:rsid w:val="001E723F"/>
    <w:rsid w:val="001E79AA"/>
    <w:rsid w:val="001E7E88"/>
    <w:rsid w:val="001F0384"/>
    <w:rsid w:val="001F099D"/>
    <w:rsid w:val="001F0AF0"/>
    <w:rsid w:val="001F0B75"/>
    <w:rsid w:val="001F100E"/>
    <w:rsid w:val="001F1298"/>
    <w:rsid w:val="001F133A"/>
    <w:rsid w:val="001F1719"/>
    <w:rsid w:val="001F18CE"/>
    <w:rsid w:val="001F1C53"/>
    <w:rsid w:val="001F23AE"/>
    <w:rsid w:val="001F4E9F"/>
    <w:rsid w:val="001F5F51"/>
    <w:rsid w:val="001F64A6"/>
    <w:rsid w:val="001F6A86"/>
    <w:rsid w:val="001F6B2C"/>
    <w:rsid w:val="001F6BC4"/>
    <w:rsid w:val="001F7193"/>
    <w:rsid w:val="001F72DE"/>
    <w:rsid w:val="001F783E"/>
    <w:rsid w:val="001F79AC"/>
    <w:rsid w:val="001F79DF"/>
    <w:rsid w:val="00201146"/>
    <w:rsid w:val="00201224"/>
    <w:rsid w:val="00201370"/>
    <w:rsid w:val="002019E6"/>
    <w:rsid w:val="00201C28"/>
    <w:rsid w:val="00201C89"/>
    <w:rsid w:val="00201ED5"/>
    <w:rsid w:val="002020D5"/>
    <w:rsid w:val="0020347C"/>
    <w:rsid w:val="002035E5"/>
    <w:rsid w:val="00203901"/>
    <w:rsid w:val="00203AF4"/>
    <w:rsid w:val="00203B13"/>
    <w:rsid w:val="0020425D"/>
    <w:rsid w:val="00204936"/>
    <w:rsid w:val="00204DD1"/>
    <w:rsid w:val="00205469"/>
    <w:rsid w:val="002057EB"/>
    <w:rsid w:val="00205831"/>
    <w:rsid w:val="002059DC"/>
    <w:rsid w:val="00206663"/>
    <w:rsid w:val="00206876"/>
    <w:rsid w:val="00206D9B"/>
    <w:rsid w:val="00207323"/>
    <w:rsid w:val="00207765"/>
    <w:rsid w:val="00207AE5"/>
    <w:rsid w:val="00207D99"/>
    <w:rsid w:val="00210019"/>
    <w:rsid w:val="00210627"/>
    <w:rsid w:val="00210C3C"/>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767"/>
    <w:rsid w:val="002169C5"/>
    <w:rsid w:val="00216C30"/>
    <w:rsid w:val="00217722"/>
    <w:rsid w:val="002179EA"/>
    <w:rsid w:val="00217B46"/>
    <w:rsid w:val="00220229"/>
    <w:rsid w:val="002203F0"/>
    <w:rsid w:val="00220690"/>
    <w:rsid w:val="0022086A"/>
    <w:rsid w:val="00220DA7"/>
    <w:rsid w:val="0022108D"/>
    <w:rsid w:val="00221519"/>
    <w:rsid w:val="0022163F"/>
    <w:rsid w:val="00221CA0"/>
    <w:rsid w:val="00221CCD"/>
    <w:rsid w:val="00221DD8"/>
    <w:rsid w:val="00221EFB"/>
    <w:rsid w:val="00222746"/>
    <w:rsid w:val="0022289A"/>
    <w:rsid w:val="002234D3"/>
    <w:rsid w:val="002237FE"/>
    <w:rsid w:val="002238A2"/>
    <w:rsid w:val="0022412C"/>
    <w:rsid w:val="002241D9"/>
    <w:rsid w:val="00224407"/>
    <w:rsid w:val="0022440C"/>
    <w:rsid w:val="00224D22"/>
    <w:rsid w:val="00225149"/>
    <w:rsid w:val="002256E7"/>
    <w:rsid w:val="002259EA"/>
    <w:rsid w:val="00226397"/>
    <w:rsid w:val="0022679D"/>
    <w:rsid w:val="002267E4"/>
    <w:rsid w:val="00226951"/>
    <w:rsid w:val="00226CB5"/>
    <w:rsid w:val="00226EBA"/>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784"/>
    <w:rsid w:val="0023378D"/>
    <w:rsid w:val="002344D1"/>
    <w:rsid w:val="00234998"/>
    <w:rsid w:val="00234C45"/>
    <w:rsid w:val="00234D4B"/>
    <w:rsid w:val="00235237"/>
    <w:rsid w:val="00235280"/>
    <w:rsid w:val="0023557E"/>
    <w:rsid w:val="00235759"/>
    <w:rsid w:val="00235DC0"/>
    <w:rsid w:val="002366BD"/>
    <w:rsid w:val="00236852"/>
    <w:rsid w:val="002369A3"/>
    <w:rsid w:val="00236B0C"/>
    <w:rsid w:val="00237635"/>
    <w:rsid w:val="00237A1E"/>
    <w:rsid w:val="00237B5E"/>
    <w:rsid w:val="00237BA9"/>
    <w:rsid w:val="00240A1D"/>
    <w:rsid w:val="00240AF9"/>
    <w:rsid w:val="002418F9"/>
    <w:rsid w:val="00241B19"/>
    <w:rsid w:val="00241BB5"/>
    <w:rsid w:val="00242470"/>
    <w:rsid w:val="002425BE"/>
    <w:rsid w:val="002426CB"/>
    <w:rsid w:val="0024287D"/>
    <w:rsid w:val="00242CEE"/>
    <w:rsid w:val="00243506"/>
    <w:rsid w:val="00243964"/>
    <w:rsid w:val="00243B7C"/>
    <w:rsid w:val="00243C9D"/>
    <w:rsid w:val="00243EC4"/>
    <w:rsid w:val="002446F9"/>
    <w:rsid w:val="00244FF9"/>
    <w:rsid w:val="00245046"/>
    <w:rsid w:val="002451FA"/>
    <w:rsid w:val="00245339"/>
    <w:rsid w:val="00245C33"/>
    <w:rsid w:val="002460DD"/>
    <w:rsid w:val="002462F1"/>
    <w:rsid w:val="00246F35"/>
    <w:rsid w:val="002471EC"/>
    <w:rsid w:val="0024743D"/>
    <w:rsid w:val="002478FF"/>
    <w:rsid w:val="002501F1"/>
    <w:rsid w:val="002502F9"/>
    <w:rsid w:val="00250634"/>
    <w:rsid w:val="0025082F"/>
    <w:rsid w:val="00250ADF"/>
    <w:rsid w:val="0025101E"/>
    <w:rsid w:val="002516B1"/>
    <w:rsid w:val="00251CAC"/>
    <w:rsid w:val="00251E31"/>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E"/>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8C9"/>
    <w:rsid w:val="00260AFE"/>
    <w:rsid w:val="00261200"/>
    <w:rsid w:val="00261478"/>
    <w:rsid w:val="0026167C"/>
    <w:rsid w:val="00261CC1"/>
    <w:rsid w:val="0026247A"/>
    <w:rsid w:val="0026297E"/>
    <w:rsid w:val="00263767"/>
    <w:rsid w:val="00263B3E"/>
    <w:rsid w:val="00263DF0"/>
    <w:rsid w:val="002643BE"/>
    <w:rsid w:val="00264992"/>
    <w:rsid w:val="00264BF5"/>
    <w:rsid w:val="00264F69"/>
    <w:rsid w:val="00265379"/>
    <w:rsid w:val="00265494"/>
    <w:rsid w:val="00265C5F"/>
    <w:rsid w:val="0026606D"/>
    <w:rsid w:val="002660ED"/>
    <w:rsid w:val="0026620E"/>
    <w:rsid w:val="00266315"/>
    <w:rsid w:val="0026661D"/>
    <w:rsid w:val="00266C59"/>
    <w:rsid w:val="002670A4"/>
    <w:rsid w:val="00267168"/>
    <w:rsid w:val="00267A48"/>
    <w:rsid w:val="00267BD5"/>
    <w:rsid w:val="00267E41"/>
    <w:rsid w:val="0027087A"/>
    <w:rsid w:val="00270CEF"/>
    <w:rsid w:val="00270F5E"/>
    <w:rsid w:val="00271494"/>
    <w:rsid w:val="002714BA"/>
    <w:rsid w:val="0027160A"/>
    <w:rsid w:val="00271C65"/>
    <w:rsid w:val="00272246"/>
    <w:rsid w:val="00272443"/>
    <w:rsid w:val="002726FA"/>
    <w:rsid w:val="002728E7"/>
    <w:rsid w:val="00272A1D"/>
    <w:rsid w:val="00272A51"/>
    <w:rsid w:val="00272F28"/>
    <w:rsid w:val="0027352A"/>
    <w:rsid w:val="00273759"/>
    <w:rsid w:val="002739C4"/>
    <w:rsid w:val="00273A21"/>
    <w:rsid w:val="002741C2"/>
    <w:rsid w:val="0027461D"/>
    <w:rsid w:val="0027465D"/>
    <w:rsid w:val="00274997"/>
    <w:rsid w:val="002749BA"/>
    <w:rsid w:val="00274A9B"/>
    <w:rsid w:val="00274BA3"/>
    <w:rsid w:val="002750F9"/>
    <w:rsid w:val="00275399"/>
    <w:rsid w:val="00275740"/>
    <w:rsid w:val="002766ED"/>
    <w:rsid w:val="00276BD4"/>
    <w:rsid w:val="00276D87"/>
    <w:rsid w:val="002775DA"/>
    <w:rsid w:val="002779E9"/>
    <w:rsid w:val="00280408"/>
    <w:rsid w:val="002807E3"/>
    <w:rsid w:val="00280EEC"/>
    <w:rsid w:val="0028117F"/>
    <w:rsid w:val="00281343"/>
    <w:rsid w:val="00281466"/>
    <w:rsid w:val="00281543"/>
    <w:rsid w:val="00281BDD"/>
    <w:rsid w:val="00281D69"/>
    <w:rsid w:val="0028263C"/>
    <w:rsid w:val="002827A1"/>
    <w:rsid w:val="00282DF2"/>
    <w:rsid w:val="00282F6A"/>
    <w:rsid w:val="002831FB"/>
    <w:rsid w:val="00283701"/>
    <w:rsid w:val="00283C45"/>
    <w:rsid w:val="00284338"/>
    <w:rsid w:val="00284409"/>
    <w:rsid w:val="00284707"/>
    <w:rsid w:val="00284724"/>
    <w:rsid w:val="00284812"/>
    <w:rsid w:val="00284FA5"/>
    <w:rsid w:val="00285FDE"/>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2048"/>
    <w:rsid w:val="0029279F"/>
    <w:rsid w:val="00293562"/>
    <w:rsid w:val="002936DE"/>
    <w:rsid w:val="002940D6"/>
    <w:rsid w:val="00294545"/>
    <w:rsid w:val="00294889"/>
    <w:rsid w:val="00294BBD"/>
    <w:rsid w:val="00295181"/>
    <w:rsid w:val="0029529A"/>
    <w:rsid w:val="00295641"/>
    <w:rsid w:val="00295A99"/>
    <w:rsid w:val="002964B0"/>
    <w:rsid w:val="002965DF"/>
    <w:rsid w:val="00296DCF"/>
    <w:rsid w:val="002975BA"/>
    <w:rsid w:val="002978F0"/>
    <w:rsid w:val="00297A54"/>
    <w:rsid w:val="00297ED0"/>
    <w:rsid w:val="002A01CB"/>
    <w:rsid w:val="002A04A4"/>
    <w:rsid w:val="002A07FB"/>
    <w:rsid w:val="002A0B33"/>
    <w:rsid w:val="002A158B"/>
    <w:rsid w:val="002A1687"/>
    <w:rsid w:val="002A18A0"/>
    <w:rsid w:val="002A18E4"/>
    <w:rsid w:val="002A1C98"/>
    <w:rsid w:val="002A264C"/>
    <w:rsid w:val="002A2950"/>
    <w:rsid w:val="002A30C2"/>
    <w:rsid w:val="002A3483"/>
    <w:rsid w:val="002A3AF2"/>
    <w:rsid w:val="002A45F6"/>
    <w:rsid w:val="002A4E24"/>
    <w:rsid w:val="002A5297"/>
    <w:rsid w:val="002A5A73"/>
    <w:rsid w:val="002A6204"/>
    <w:rsid w:val="002A629C"/>
    <w:rsid w:val="002A649C"/>
    <w:rsid w:val="002A6AAC"/>
    <w:rsid w:val="002A6B09"/>
    <w:rsid w:val="002A6DC4"/>
    <w:rsid w:val="002A6EC6"/>
    <w:rsid w:val="002A7173"/>
    <w:rsid w:val="002A71FE"/>
    <w:rsid w:val="002A7345"/>
    <w:rsid w:val="002B0236"/>
    <w:rsid w:val="002B025E"/>
    <w:rsid w:val="002B0374"/>
    <w:rsid w:val="002B06F6"/>
    <w:rsid w:val="002B0946"/>
    <w:rsid w:val="002B0D0E"/>
    <w:rsid w:val="002B0D75"/>
    <w:rsid w:val="002B0E50"/>
    <w:rsid w:val="002B12C4"/>
    <w:rsid w:val="002B12F4"/>
    <w:rsid w:val="002B1FBB"/>
    <w:rsid w:val="002B21B1"/>
    <w:rsid w:val="002B22C7"/>
    <w:rsid w:val="002B2422"/>
    <w:rsid w:val="002B24D2"/>
    <w:rsid w:val="002B270C"/>
    <w:rsid w:val="002B28E2"/>
    <w:rsid w:val="002B2951"/>
    <w:rsid w:val="002B2A67"/>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C001B"/>
    <w:rsid w:val="002C065E"/>
    <w:rsid w:val="002C0705"/>
    <w:rsid w:val="002C0B45"/>
    <w:rsid w:val="002C1997"/>
    <w:rsid w:val="002C1B0D"/>
    <w:rsid w:val="002C207D"/>
    <w:rsid w:val="002C24C8"/>
    <w:rsid w:val="002C3123"/>
    <w:rsid w:val="002C3A5A"/>
    <w:rsid w:val="002C4092"/>
    <w:rsid w:val="002C4620"/>
    <w:rsid w:val="002C4771"/>
    <w:rsid w:val="002C4ACB"/>
    <w:rsid w:val="002C4E32"/>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788"/>
    <w:rsid w:val="002D283B"/>
    <w:rsid w:val="002D2A0A"/>
    <w:rsid w:val="002D3066"/>
    <w:rsid w:val="002D3BED"/>
    <w:rsid w:val="002D3D0F"/>
    <w:rsid w:val="002D4433"/>
    <w:rsid w:val="002D4CB3"/>
    <w:rsid w:val="002D4E04"/>
    <w:rsid w:val="002D4F40"/>
    <w:rsid w:val="002D5269"/>
    <w:rsid w:val="002D54A5"/>
    <w:rsid w:val="002D5EBC"/>
    <w:rsid w:val="002D5ED8"/>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0E6"/>
    <w:rsid w:val="002E2444"/>
    <w:rsid w:val="002E2DE1"/>
    <w:rsid w:val="002E2E14"/>
    <w:rsid w:val="002E315F"/>
    <w:rsid w:val="002E31A0"/>
    <w:rsid w:val="002E39F6"/>
    <w:rsid w:val="002E4119"/>
    <w:rsid w:val="002E446C"/>
    <w:rsid w:val="002E465C"/>
    <w:rsid w:val="002E4735"/>
    <w:rsid w:val="002E4D36"/>
    <w:rsid w:val="002E4D3D"/>
    <w:rsid w:val="002E4E77"/>
    <w:rsid w:val="002E5132"/>
    <w:rsid w:val="002E5576"/>
    <w:rsid w:val="002E5742"/>
    <w:rsid w:val="002E5A20"/>
    <w:rsid w:val="002E5AC5"/>
    <w:rsid w:val="002E6D48"/>
    <w:rsid w:val="002E6E9B"/>
    <w:rsid w:val="002E6FB8"/>
    <w:rsid w:val="002E73FB"/>
    <w:rsid w:val="002E757D"/>
    <w:rsid w:val="002E77F4"/>
    <w:rsid w:val="002E7D04"/>
    <w:rsid w:val="002E7D46"/>
    <w:rsid w:val="002F004C"/>
    <w:rsid w:val="002F0A49"/>
    <w:rsid w:val="002F0AC7"/>
    <w:rsid w:val="002F1275"/>
    <w:rsid w:val="002F1396"/>
    <w:rsid w:val="002F1602"/>
    <w:rsid w:val="002F1742"/>
    <w:rsid w:val="002F1D6E"/>
    <w:rsid w:val="002F271E"/>
    <w:rsid w:val="002F27FE"/>
    <w:rsid w:val="002F2837"/>
    <w:rsid w:val="002F28A7"/>
    <w:rsid w:val="002F3952"/>
    <w:rsid w:val="002F406A"/>
    <w:rsid w:val="002F4544"/>
    <w:rsid w:val="002F49DE"/>
    <w:rsid w:val="002F5249"/>
    <w:rsid w:val="002F5A20"/>
    <w:rsid w:val="002F629B"/>
    <w:rsid w:val="002F6550"/>
    <w:rsid w:val="002F65C6"/>
    <w:rsid w:val="002F6658"/>
    <w:rsid w:val="002F66E9"/>
    <w:rsid w:val="002F67DC"/>
    <w:rsid w:val="002F6AD9"/>
    <w:rsid w:val="002F6C56"/>
    <w:rsid w:val="002F70A3"/>
    <w:rsid w:val="002F77A3"/>
    <w:rsid w:val="002F7DE5"/>
    <w:rsid w:val="002F7F30"/>
    <w:rsid w:val="002F7F34"/>
    <w:rsid w:val="002F7F4A"/>
    <w:rsid w:val="003001E5"/>
    <w:rsid w:val="00300B2B"/>
    <w:rsid w:val="00300EA9"/>
    <w:rsid w:val="00301020"/>
    <w:rsid w:val="00301274"/>
    <w:rsid w:val="00301560"/>
    <w:rsid w:val="00301670"/>
    <w:rsid w:val="00301EE2"/>
    <w:rsid w:val="003022B5"/>
    <w:rsid w:val="00302435"/>
    <w:rsid w:val="00302446"/>
    <w:rsid w:val="00302831"/>
    <w:rsid w:val="0030297A"/>
    <w:rsid w:val="0030305C"/>
    <w:rsid w:val="00303B2D"/>
    <w:rsid w:val="00304B0A"/>
    <w:rsid w:val="00304FBB"/>
    <w:rsid w:val="0030573E"/>
    <w:rsid w:val="003059FF"/>
    <w:rsid w:val="00305E5E"/>
    <w:rsid w:val="0030604E"/>
    <w:rsid w:val="00306292"/>
    <w:rsid w:val="00306357"/>
    <w:rsid w:val="003069D5"/>
    <w:rsid w:val="00306D87"/>
    <w:rsid w:val="003075E9"/>
    <w:rsid w:val="003103E6"/>
    <w:rsid w:val="003107CF"/>
    <w:rsid w:val="003108EE"/>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39E"/>
    <w:rsid w:val="003133B8"/>
    <w:rsid w:val="0031364D"/>
    <w:rsid w:val="00314453"/>
    <w:rsid w:val="003144ED"/>
    <w:rsid w:val="00314A22"/>
    <w:rsid w:val="00314C61"/>
    <w:rsid w:val="003150C0"/>
    <w:rsid w:val="0031510F"/>
    <w:rsid w:val="00315490"/>
    <w:rsid w:val="003156B1"/>
    <w:rsid w:val="00315B07"/>
    <w:rsid w:val="00315D18"/>
    <w:rsid w:val="00315D88"/>
    <w:rsid w:val="00316A38"/>
    <w:rsid w:val="00316BCA"/>
    <w:rsid w:val="00316CFC"/>
    <w:rsid w:val="00316EEF"/>
    <w:rsid w:val="00316FB5"/>
    <w:rsid w:val="00317596"/>
    <w:rsid w:val="003175C3"/>
    <w:rsid w:val="0031793F"/>
    <w:rsid w:val="0031794F"/>
    <w:rsid w:val="00317CB1"/>
    <w:rsid w:val="00317D8F"/>
    <w:rsid w:val="0032069A"/>
    <w:rsid w:val="003208D8"/>
    <w:rsid w:val="00320C0F"/>
    <w:rsid w:val="0032157D"/>
    <w:rsid w:val="003219D3"/>
    <w:rsid w:val="00321A1C"/>
    <w:rsid w:val="00321B44"/>
    <w:rsid w:val="00321DD4"/>
    <w:rsid w:val="00322523"/>
    <w:rsid w:val="0032271A"/>
    <w:rsid w:val="00322BB5"/>
    <w:rsid w:val="0032410C"/>
    <w:rsid w:val="00324679"/>
    <w:rsid w:val="00324795"/>
    <w:rsid w:val="00324923"/>
    <w:rsid w:val="00324B7A"/>
    <w:rsid w:val="003252CD"/>
    <w:rsid w:val="00325B0C"/>
    <w:rsid w:val="003265A8"/>
    <w:rsid w:val="00326804"/>
    <w:rsid w:val="003268B8"/>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5539"/>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617"/>
    <w:rsid w:val="00344EF7"/>
    <w:rsid w:val="0034513D"/>
    <w:rsid w:val="003468EB"/>
    <w:rsid w:val="003469B5"/>
    <w:rsid w:val="00346B70"/>
    <w:rsid w:val="00347078"/>
    <w:rsid w:val="003472B7"/>
    <w:rsid w:val="00347564"/>
    <w:rsid w:val="003477B2"/>
    <w:rsid w:val="003477EB"/>
    <w:rsid w:val="003478C2"/>
    <w:rsid w:val="0035048A"/>
    <w:rsid w:val="00350764"/>
    <w:rsid w:val="00350802"/>
    <w:rsid w:val="00350955"/>
    <w:rsid w:val="003510F3"/>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5740"/>
    <w:rsid w:val="00355CC0"/>
    <w:rsid w:val="00355DA5"/>
    <w:rsid w:val="003563C2"/>
    <w:rsid w:val="003565DD"/>
    <w:rsid w:val="00356850"/>
    <w:rsid w:val="00356CFF"/>
    <w:rsid w:val="00356DAE"/>
    <w:rsid w:val="003573C9"/>
    <w:rsid w:val="00357630"/>
    <w:rsid w:val="00357D5B"/>
    <w:rsid w:val="00360468"/>
    <w:rsid w:val="003604B1"/>
    <w:rsid w:val="00360B06"/>
    <w:rsid w:val="003611E0"/>
    <w:rsid w:val="003614B0"/>
    <w:rsid w:val="0036156F"/>
    <w:rsid w:val="003628AD"/>
    <w:rsid w:val="00362988"/>
    <w:rsid w:val="003629D7"/>
    <w:rsid w:val="00362B16"/>
    <w:rsid w:val="00362D9D"/>
    <w:rsid w:val="00362F86"/>
    <w:rsid w:val="0036388B"/>
    <w:rsid w:val="00363A4F"/>
    <w:rsid w:val="00364425"/>
    <w:rsid w:val="00364472"/>
    <w:rsid w:val="0036449F"/>
    <w:rsid w:val="0036504F"/>
    <w:rsid w:val="0036522A"/>
    <w:rsid w:val="0036528D"/>
    <w:rsid w:val="00365836"/>
    <w:rsid w:val="00365A93"/>
    <w:rsid w:val="00365C11"/>
    <w:rsid w:val="0036620C"/>
    <w:rsid w:val="0036635A"/>
    <w:rsid w:val="00366661"/>
    <w:rsid w:val="00366A80"/>
    <w:rsid w:val="00366C32"/>
    <w:rsid w:val="00366C38"/>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68DC"/>
    <w:rsid w:val="0037700A"/>
    <w:rsid w:val="00377BB7"/>
    <w:rsid w:val="00377F0B"/>
    <w:rsid w:val="00377F1E"/>
    <w:rsid w:val="003803A1"/>
    <w:rsid w:val="003806BA"/>
    <w:rsid w:val="00380DD5"/>
    <w:rsid w:val="003810FE"/>
    <w:rsid w:val="0038125C"/>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FB7"/>
    <w:rsid w:val="00386615"/>
    <w:rsid w:val="0038758E"/>
    <w:rsid w:val="003876AF"/>
    <w:rsid w:val="00387D5A"/>
    <w:rsid w:val="003907CE"/>
    <w:rsid w:val="0039093B"/>
    <w:rsid w:val="00390AE8"/>
    <w:rsid w:val="003914DC"/>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86B"/>
    <w:rsid w:val="003948F1"/>
    <w:rsid w:val="00394A52"/>
    <w:rsid w:val="00394E9A"/>
    <w:rsid w:val="00395164"/>
    <w:rsid w:val="00395AAA"/>
    <w:rsid w:val="0039627A"/>
    <w:rsid w:val="003963B6"/>
    <w:rsid w:val="003963E9"/>
    <w:rsid w:val="003965D3"/>
    <w:rsid w:val="00397423"/>
    <w:rsid w:val="00397653"/>
    <w:rsid w:val="0039780D"/>
    <w:rsid w:val="003979E8"/>
    <w:rsid w:val="00397AEC"/>
    <w:rsid w:val="003A08E5"/>
    <w:rsid w:val="003A1956"/>
    <w:rsid w:val="003A1F2E"/>
    <w:rsid w:val="003A1F4D"/>
    <w:rsid w:val="003A1FAE"/>
    <w:rsid w:val="003A2A86"/>
    <w:rsid w:val="003A341D"/>
    <w:rsid w:val="003A3887"/>
    <w:rsid w:val="003A3AFB"/>
    <w:rsid w:val="003A3FD7"/>
    <w:rsid w:val="003A4C6E"/>
    <w:rsid w:val="003A5505"/>
    <w:rsid w:val="003A5B80"/>
    <w:rsid w:val="003A5D91"/>
    <w:rsid w:val="003A6C18"/>
    <w:rsid w:val="003A7C56"/>
    <w:rsid w:val="003A7DBE"/>
    <w:rsid w:val="003B03C9"/>
    <w:rsid w:val="003B04DE"/>
    <w:rsid w:val="003B0A76"/>
    <w:rsid w:val="003B0BB8"/>
    <w:rsid w:val="003B0C33"/>
    <w:rsid w:val="003B0D8F"/>
    <w:rsid w:val="003B0EA4"/>
    <w:rsid w:val="003B0FC8"/>
    <w:rsid w:val="003B1284"/>
    <w:rsid w:val="003B1759"/>
    <w:rsid w:val="003B178E"/>
    <w:rsid w:val="003B1B69"/>
    <w:rsid w:val="003B1EB3"/>
    <w:rsid w:val="003B22FE"/>
    <w:rsid w:val="003B2480"/>
    <w:rsid w:val="003B2AA1"/>
    <w:rsid w:val="003B2DDE"/>
    <w:rsid w:val="003B2F1F"/>
    <w:rsid w:val="003B34AF"/>
    <w:rsid w:val="003B4052"/>
    <w:rsid w:val="003B437B"/>
    <w:rsid w:val="003B4AD0"/>
    <w:rsid w:val="003B5183"/>
    <w:rsid w:val="003B535D"/>
    <w:rsid w:val="003B536B"/>
    <w:rsid w:val="003B5489"/>
    <w:rsid w:val="003B550E"/>
    <w:rsid w:val="003B5867"/>
    <w:rsid w:val="003B5B3C"/>
    <w:rsid w:val="003B645E"/>
    <w:rsid w:val="003B6E79"/>
    <w:rsid w:val="003B6F0F"/>
    <w:rsid w:val="003B6FC1"/>
    <w:rsid w:val="003B76F3"/>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408"/>
    <w:rsid w:val="003C4D13"/>
    <w:rsid w:val="003C519E"/>
    <w:rsid w:val="003C5528"/>
    <w:rsid w:val="003C55E4"/>
    <w:rsid w:val="003C57C0"/>
    <w:rsid w:val="003C588C"/>
    <w:rsid w:val="003C6A94"/>
    <w:rsid w:val="003C6E0B"/>
    <w:rsid w:val="003C7224"/>
    <w:rsid w:val="003C73B6"/>
    <w:rsid w:val="003D0585"/>
    <w:rsid w:val="003D0970"/>
    <w:rsid w:val="003D0A09"/>
    <w:rsid w:val="003D0B0A"/>
    <w:rsid w:val="003D16F6"/>
    <w:rsid w:val="003D188D"/>
    <w:rsid w:val="003D18BA"/>
    <w:rsid w:val="003D1A27"/>
    <w:rsid w:val="003D1C26"/>
    <w:rsid w:val="003D2633"/>
    <w:rsid w:val="003D26D2"/>
    <w:rsid w:val="003D2E26"/>
    <w:rsid w:val="003D34C0"/>
    <w:rsid w:val="003D3648"/>
    <w:rsid w:val="003D397E"/>
    <w:rsid w:val="003D5200"/>
    <w:rsid w:val="003D579B"/>
    <w:rsid w:val="003D5868"/>
    <w:rsid w:val="003D59D1"/>
    <w:rsid w:val="003D5A65"/>
    <w:rsid w:val="003D5B58"/>
    <w:rsid w:val="003D5BA0"/>
    <w:rsid w:val="003D622E"/>
    <w:rsid w:val="003D69BE"/>
    <w:rsid w:val="003D7409"/>
    <w:rsid w:val="003D7CAA"/>
    <w:rsid w:val="003D7E44"/>
    <w:rsid w:val="003E02A0"/>
    <w:rsid w:val="003E0308"/>
    <w:rsid w:val="003E0833"/>
    <w:rsid w:val="003E0C86"/>
    <w:rsid w:val="003E10EE"/>
    <w:rsid w:val="003E1459"/>
    <w:rsid w:val="003E176F"/>
    <w:rsid w:val="003E1E5F"/>
    <w:rsid w:val="003E1F3A"/>
    <w:rsid w:val="003E20D0"/>
    <w:rsid w:val="003E21CE"/>
    <w:rsid w:val="003E2554"/>
    <w:rsid w:val="003E297C"/>
    <w:rsid w:val="003E3686"/>
    <w:rsid w:val="003E3EDE"/>
    <w:rsid w:val="003E46AF"/>
    <w:rsid w:val="003E4AC5"/>
    <w:rsid w:val="003E528C"/>
    <w:rsid w:val="003E5766"/>
    <w:rsid w:val="003E57A6"/>
    <w:rsid w:val="003E6258"/>
    <w:rsid w:val="003E663C"/>
    <w:rsid w:val="003E6B2F"/>
    <w:rsid w:val="003E6C4F"/>
    <w:rsid w:val="003E785E"/>
    <w:rsid w:val="003F00CC"/>
    <w:rsid w:val="003F0187"/>
    <w:rsid w:val="003F069D"/>
    <w:rsid w:val="003F129A"/>
    <w:rsid w:val="003F1470"/>
    <w:rsid w:val="003F168F"/>
    <w:rsid w:val="003F18A5"/>
    <w:rsid w:val="003F18A9"/>
    <w:rsid w:val="003F31C9"/>
    <w:rsid w:val="003F3315"/>
    <w:rsid w:val="003F33A5"/>
    <w:rsid w:val="003F3446"/>
    <w:rsid w:val="003F35ED"/>
    <w:rsid w:val="003F36D3"/>
    <w:rsid w:val="003F37D5"/>
    <w:rsid w:val="003F3B46"/>
    <w:rsid w:val="003F3C5E"/>
    <w:rsid w:val="003F40AC"/>
    <w:rsid w:val="003F44F2"/>
    <w:rsid w:val="003F45E1"/>
    <w:rsid w:val="003F45F3"/>
    <w:rsid w:val="003F473B"/>
    <w:rsid w:val="003F4F81"/>
    <w:rsid w:val="003F4FA1"/>
    <w:rsid w:val="003F59D4"/>
    <w:rsid w:val="003F6407"/>
    <w:rsid w:val="003F70B4"/>
    <w:rsid w:val="003F7143"/>
    <w:rsid w:val="003F76AF"/>
    <w:rsid w:val="003F7AB1"/>
    <w:rsid w:val="0040020E"/>
    <w:rsid w:val="004003F0"/>
    <w:rsid w:val="0040085F"/>
    <w:rsid w:val="00400984"/>
    <w:rsid w:val="004012A4"/>
    <w:rsid w:val="0040136A"/>
    <w:rsid w:val="0040156C"/>
    <w:rsid w:val="00401602"/>
    <w:rsid w:val="004017FB"/>
    <w:rsid w:val="0040199C"/>
    <w:rsid w:val="00401F86"/>
    <w:rsid w:val="0040267F"/>
    <w:rsid w:val="00402C7B"/>
    <w:rsid w:val="004036D1"/>
    <w:rsid w:val="00404D4F"/>
    <w:rsid w:val="00404F12"/>
    <w:rsid w:val="004050AA"/>
    <w:rsid w:val="004052B3"/>
    <w:rsid w:val="00405AAA"/>
    <w:rsid w:val="00405DE2"/>
    <w:rsid w:val="004070DA"/>
    <w:rsid w:val="004073B6"/>
    <w:rsid w:val="00407C5C"/>
    <w:rsid w:val="00407E3D"/>
    <w:rsid w:val="00407ECB"/>
    <w:rsid w:val="00410070"/>
    <w:rsid w:val="0041062E"/>
    <w:rsid w:val="0041076E"/>
    <w:rsid w:val="0041089F"/>
    <w:rsid w:val="00410A22"/>
    <w:rsid w:val="00410B5D"/>
    <w:rsid w:val="0041121B"/>
    <w:rsid w:val="004112CA"/>
    <w:rsid w:val="0041159C"/>
    <w:rsid w:val="004115AE"/>
    <w:rsid w:val="00411B10"/>
    <w:rsid w:val="00412563"/>
    <w:rsid w:val="00412877"/>
    <w:rsid w:val="00412A18"/>
    <w:rsid w:val="00412C66"/>
    <w:rsid w:val="00413524"/>
    <w:rsid w:val="004135D0"/>
    <w:rsid w:val="00413668"/>
    <w:rsid w:val="00413E01"/>
    <w:rsid w:val="00414D56"/>
    <w:rsid w:val="00414E38"/>
    <w:rsid w:val="00415DB9"/>
    <w:rsid w:val="00415F7C"/>
    <w:rsid w:val="00416762"/>
    <w:rsid w:val="00416A70"/>
    <w:rsid w:val="00416E67"/>
    <w:rsid w:val="0041715A"/>
    <w:rsid w:val="004202E7"/>
    <w:rsid w:val="0042030F"/>
    <w:rsid w:val="004205AC"/>
    <w:rsid w:val="004214C0"/>
    <w:rsid w:val="004216FE"/>
    <w:rsid w:val="00421D33"/>
    <w:rsid w:val="0042264F"/>
    <w:rsid w:val="004235B8"/>
    <w:rsid w:val="00423837"/>
    <w:rsid w:val="004239E1"/>
    <w:rsid w:val="00423A2A"/>
    <w:rsid w:val="00423ADE"/>
    <w:rsid w:val="0042408A"/>
    <w:rsid w:val="00424E37"/>
    <w:rsid w:val="00425A64"/>
    <w:rsid w:val="00425BCC"/>
    <w:rsid w:val="00425F0B"/>
    <w:rsid w:val="004262C0"/>
    <w:rsid w:val="004268EB"/>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AC8"/>
    <w:rsid w:val="00436DF4"/>
    <w:rsid w:val="00437518"/>
    <w:rsid w:val="004376CA"/>
    <w:rsid w:val="004378D9"/>
    <w:rsid w:val="00440B6C"/>
    <w:rsid w:val="00440B9E"/>
    <w:rsid w:val="00440E10"/>
    <w:rsid w:val="00440E81"/>
    <w:rsid w:val="00440EDC"/>
    <w:rsid w:val="00441337"/>
    <w:rsid w:val="00441812"/>
    <w:rsid w:val="004421A7"/>
    <w:rsid w:val="0044237F"/>
    <w:rsid w:val="00442483"/>
    <w:rsid w:val="00442C6E"/>
    <w:rsid w:val="00442CDB"/>
    <w:rsid w:val="0044312A"/>
    <w:rsid w:val="004432ED"/>
    <w:rsid w:val="00443443"/>
    <w:rsid w:val="004440EE"/>
    <w:rsid w:val="004444E7"/>
    <w:rsid w:val="004445C7"/>
    <w:rsid w:val="004445CF"/>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877"/>
    <w:rsid w:val="00450D66"/>
    <w:rsid w:val="0045113B"/>
    <w:rsid w:val="004517D3"/>
    <w:rsid w:val="00451C82"/>
    <w:rsid w:val="00452510"/>
    <w:rsid w:val="0045274A"/>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60EF3"/>
    <w:rsid w:val="00460F96"/>
    <w:rsid w:val="00461095"/>
    <w:rsid w:val="004618A5"/>
    <w:rsid w:val="00462729"/>
    <w:rsid w:val="00462FB7"/>
    <w:rsid w:val="00463219"/>
    <w:rsid w:val="0046322E"/>
    <w:rsid w:val="0046333F"/>
    <w:rsid w:val="00463EF9"/>
    <w:rsid w:val="004642C0"/>
    <w:rsid w:val="00464400"/>
    <w:rsid w:val="004646EB"/>
    <w:rsid w:val="00464833"/>
    <w:rsid w:val="00464B24"/>
    <w:rsid w:val="00465098"/>
    <w:rsid w:val="00465134"/>
    <w:rsid w:val="00465DD7"/>
    <w:rsid w:val="00465E01"/>
    <w:rsid w:val="00465FDE"/>
    <w:rsid w:val="004660F8"/>
    <w:rsid w:val="004662DC"/>
    <w:rsid w:val="004664F1"/>
    <w:rsid w:val="00466741"/>
    <w:rsid w:val="00466956"/>
    <w:rsid w:val="00466DAD"/>
    <w:rsid w:val="00466EC0"/>
    <w:rsid w:val="0046707B"/>
    <w:rsid w:val="004671AB"/>
    <w:rsid w:val="00467C6B"/>
    <w:rsid w:val="00467FCF"/>
    <w:rsid w:val="004700D7"/>
    <w:rsid w:val="0047026A"/>
    <w:rsid w:val="004706A5"/>
    <w:rsid w:val="00471471"/>
    <w:rsid w:val="00471750"/>
    <w:rsid w:val="00471B0A"/>
    <w:rsid w:val="00471CF3"/>
    <w:rsid w:val="0047218A"/>
    <w:rsid w:val="004722D4"/>
    <w:rsid w:val="0047255E"/>
    <w:rsid w:val="004726BB"/>
    <w:rsid w:val="0047271B"/>
    <w:rsid w:val="00472D97"/>
    <w:rsid w:val="00472FA0"/>
    <w:rsid w:val="00472FAA"/>
    <w:rsid w:val="004739BF"/>
    <w:rsid w:val="004740D8"/>
    <w:rsid w:val="004746B5"/>
    <w:rsid w:val="004748BE"/>
    <w:rsid w:val="004748DA"/>
    <w:rsid w:val="00474BCF"/>
    <w:rsid w:val="00474C3B"/>
    <w:rsid w:val="00474D83"/>
    <w:rsid w:val="004755A7"/>
    <w:rsid w:val="004755DC"/>
    <w:rsid w:val="00475A90"/>
    <w:rsid w:val="0047686B"/>
    <w:rsid w:val="00476903"/>
    <w:rsid w:val="00476983"/>
    <w:rsid w:val="00477D09"/>
    <w:rsid w:val="00477D6E"/>
    <w:rsid w:val="00477F08"/>
    <w:rsid w:val="004801B1"/>
    <w:rsid w:val="00480AF7"/>
    <w:rsid w:val="00480D56"/>
    <w:rsid w:val="0048121F"/>
    <w:rsid w:val="00481452"/>
    <w:rsid w:val="0048178D"/>
    <w:rsid w:val="00481947"/>
    <w:rsid w:val="00481B00"/>
    <w:rsid w:val="00481E7A"/>
    <w:rsid w:val="00481F3B"/>
    <w:rsid w:val="004828C9"/>
    <w:rsid w:val="004832C5"/>
    <w:rsid w:val="004832E5"/>
    <w:rsid w:val="004838EC"/>
    <w:rsid w:val="00483D71"/>
    <w:rsid w:val="004840E9"/>
    <w:rsid w:val="004842C8"/>
    <w:rsid w:val="00484377"/>
    <w:rsid w:val="0048443B"/>
    <w:rsid w:val="00484CAF"/>
    <w:rsid w:val="00484FA7"/>
    <w:rsid w:val="00485970"/>
    <w:rsid w:val="00485B66"/>
    <w:rsid w:val="00485BE6"/>
    <w:rsid w:val="004864EF"/>
    <w:rsid w:val="00486FBD"/>
    <w:rsid w:val="00487131"/>
    <w:rsid w:val="0048743C"/>
    <w:rsid w:val="0048755A"/>
    <w:rsid w:val="00487C12"/>
    <w:rsid w:val="00487CA0"/>
    <w:rsid w:val="00487EBA"/>
    <w:rsid w:val="004902A5"/>
    <w:rsid w:val="00490304"/>
    <w:rsid w:val="00490E20"/>
    <w:rsid w:val="0049110A"/>
    <w:rsid w:val="00491189"/>
    <w:rsid w:val="0049140D"/>
    <w:rsid w:val="004917AA"/>
    <w:rsid w:val="00491C99"/>
    <w:rsid w:val="00491D57"/>
    <w:rsid w:val="004922CC"/>
    <w:rsid w:val="004923D6"/>
    <w:rsid w:val="00492A91"/>
    <w:rsid w:val="00492C22"/>
    <w:rsid w:val="00493D49"/>
    <w:rsid w:val="00493E85"/>
    <w:rsid w:val="00493FAF"/>
    <w:rsid w:val="004947C5"/>
    <w:rsid w:val="004956B4"/>
    <w:rsid w:val="004956FB"/>
    <w:rsid w:val="00495B8D"/>
    <w:rsid w:val="00495C13"/>
    <w:rsid w:val="00495C42"/>
    <w:rsid w:val="00496377"/>
    <w:rsid w:val="00496AA1"/>
    <w:rsid w:val="00496BCA"/>
    <w:rsid w:val="00496FEF"/>
    <w:rsid w:val="00497693"/>
    <w:rsid w:val="0049774F"/>
    <w:rsid w:val="00497786"/>
    <w:rsid w:val="004978A0"/>
    <w:rsid w:val="00497A7E"/>
    <w:rsid w:val="00497D67"/>
    <w:rsid w:val="00497D68"/>
    <w:rsid w:val="004A03F3"/>
    <w:rsid w:val="004A0513"/>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885"/>
    <w:rsid w:val="004A6A27"/>
    <w:rsid w:val="004A6DED"/>
    <w:rsid w:val="004A6E71"/>
    <w:rsid w:val="004A71BC"/>
    <w:rsid w:val="004A72CC"/>
    <w:rsid w:val="004A739C"/>
    <w:rsid w:val="004A73ED"/>
    <w:rsid w:val="004A758A"/>
    <w:rsid w:val="004A76A0"/>
    <w:rsid w:val="004A76E4"/>
    <w:rsid w:val="004A77DB"/>
    <w:rsid w:val="004A7946"/>
    <w:rsid w:val="004B0755"/>
    <w:rsid w:val="004B0896"/>
    <w:rsid w:val="004B1686"/>
    <w:rsid w:val="004B1BB0"/>
    <w:rsid w:val="004B1E25"/>
    <w:rsid w:val="004B1F38"/>
    <w:rsid w:val="004B2217"/>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21"/>
    <w:rsid w:val="004B4FE1"/>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335"/>
    <w:rsid w:val="004C1430"/>
    <w:rsid w:val="004C17DF"/>
    <w:rsid w:val="004C1BFA"/>
    <w:rsid w:val="004C238D"/>
    <w:rsid w:val="004C308B"/>
    <w:rsid w:val="004C30A9"/>
    <w:rsid w:val="004C351F"/>
    <w:rsid w:val="004C353D"/>
    <w:rsid w:val="004C354D"/>
    <w:rsid w:val="004C38D7"/>
    <w:rsid w:val="004C39EA"/>
    <w:rsid w:val="004C3A81"/>
    <w:rsid w:val="004C3EEC"/>
    <w:rsid w:val="004C3F1E"/>
    <w:rsid w:val="004C43D4"/>
    <w:rsid w:val="004C457E"/>
    <w:rsid w:val="004C4AE1"/>
    <w:rsid w:val="004C537F"/>
    <w:rsid w:val="004C5875"/>
    <w:rsid w:val="004C5CA3"/>
    <w:rsid w:val="004C5DFD"/>
    <w:rsid w:val="004C6155"/>
    <w:rsid w:val="004C644C"/>
    <w:rsid w:val="004C6E83"/>
    <w:rsid w:val="004C7A05"/>
    <w:rsid w:val="004C7A39"/>
    <w:rsid w:val="004C7E07"/>
    <w:rsid w:val="004C7E8D"/>
    <w:rsid w:val="004C7F01"/>
    <w:rsid w:val="004C7F6D"/>
    <w:rsid w:val="004D0F00"/>
    <w:rsid w:val="004D101E"/>
    <w:rsid w:val="004D115F"/>
    <w:rsid w:val="004D1283"/>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5414"/>
    <w:rsid w:val="004D5757"/>
    <w:rsid w:val="004D5819"/>
    <w:rsid w:val="004D585F"/>
    <w:rsid w:val="004D5A97"/>
    <w:rsid w:val="004D6046"/>
    <w:rsid w:val="004D61FA"/>
    <w:rsid w:val="004D6EC1"/>
    <w:rsid w:val="004D6F04"/>
    <w:rsid w:val="004D739B"/>
    <w:rsid w:val="004D7910"/>
    <w:rsid w:val="004E094D"/>
    <w:rsid w:val="004E0BA0"/>
    <w:rsid w:val="004E0CA7"/>
    <w:rsid w:val="004E1021"/>
    <w:rsid w:val="004E112B"/>
    <w:rsid w:val="004E14B0"/>
    <w:rsid w:val="004E1562"/>
    <w:rsid w:val="004E15C9"/>
    <w:rsid w:val="004E1829"/>
    <w:rsid w:val="004E19C9"/>
    <w:rsid w:val="004E1C22"/>
    <w:rsid w:val="004E1DFA"/>
    <w:rsid w:val="004E1F3A"/>
    <w:rsid w:val="004E2153"/>
    <w:rsid w:val="004E43A0"/>
    <w:rsid w:val="004E4558"/>
    <w:rsid w:val="004E4846"/>
    <w:rsid w:val="004E4C4F"/>
    <w:rsid w:val="004E5002"/>
    <w:rsid w:val="004E51C8"/>
    <w:rsid w:val="004E5830"/>
    <w:rsid w:val="004E5C50"/>
    <w:rsid w:val="004E5D60"/>
    <w:rsid w:val="004E5E7A"/>
    <w:rsid w:val="004E66ED"/>
    <w:rsid w:val="004E67ED"/>
    <w:rsid w:val="004E6815"/>
    <w:rsid w:val="004E6B4D"/>
    <w:rsid w:val="004E7007"/>
    <w:rsid w:val="004E70AA"/>
    <w:rsid w:val="004E7386"/>
    <w:rsid w:val="004E7516"/>
    <w:rsid w:val="004E7EB0"/>
    <w:rsid w:val="004F07D9"/>
    <w:rsid w:val="004F0AC5"/>
    <w:rsid w:val="004F0D23"/>
    <w:rsid w:val="004F103C"/>
    <w:rsid w:val="004F10E7"/>
    <w:rsid w:val="004F1525"/>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AC8"/>
    <w:rsid w:val="004F6EE4"/>
    <w:rsid w:val="004F713A"/>
    <w:rsid w:val="004F79CB"/>
    <w:rsid w:val="004F7A2F"/>
    <w:rsid w:val="004F7E84"/>
    <w:rsid w:val="00500002"/>
    <w:rsid w:val="00500463"/>
    <w:rsid w:val="00500817"/>
    <w:rsid w:val="00500A0E"/>
    <w:rsid w:val="0050197A"/>
    <w:rsid w:val="00501DBB"/>
    <w:rsid w:val="00501F6F"/>
    <w:rsid w:val="005023B0"/>
    <w:rsid w:val="005023E8"/>
    <w:rsid w:val="0050250C"/>
    <w:rsid w:val="00502686"/>
    <w:rsid w:val="00502F45"/>
    <w:rsid w:val="005030CF"/>
    <w:rsid w:val="005033C2"/>
    <w:rsid w:val="0050344B"/>
    <w:rsid w:val="005038F6"/>
    <w:rsid w:val="00503B5F"/>
    <w:rsid w:val="00504156"/>
    <w:rsid w:val="0050460A"/>
    <w:rsid w:val="005047E1"/>
    <w:rsid w:val="00504882"/>
    <w:rsid w:val="00505551"/>
    <w:rsid w:val="0050566D"/>
    <w:rsid w:val="00505A53"/>
    <w:rsid w:val="00505F4C"/>
    <w:rsid w:val="0050609C"/>
    <w:rsid w:val="005060CB"/>
    <w:rsid w:val="00506307"/>
    <w:rsid w:val="005063B9"/>
    <w:rsid w:val="00506AC0"/>
    <w:rsid w:val="00506D31"/>
    <w:rsid w:val="00506E9C"/>
    <w:rsid w:val="0050711A"/>
    <w:rsid w:val="005072C9"/>
    <w:rsid w:val="00507D19"/>
    <w:rsid w:val="00510395"/>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9AB"/>
    <w:rsid w:val="00512BD9"/>
    <w:rsid w:val="00512E29"/>
    <w:rsid w:val="0051322E"/>
    <w:rsid w:val="005134D6"/>
    <w:rsid w:val="005137A4"/>
    <w:rsid w:val="00513822"/>
    <w:rsid w:val="00513E16"/>
    <w:rsid w:val="00513F68"/>
    <w:rsid w:val="005142DD"/>
    <w:rsid w:val="00515AA5"/>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DE0"/>
    <w:rsid w:val="00524EE5"/>
    <w:rsid w:val="00524F2B"/>
    <w:rsid w:val="0052501C"/>
    <w:rsid w:val="00525718"/>
    <w:rsid w:val="005257C1"/>
    <w:rsid w:val="00525808"/>
    <w:rsid w:val="00525E77"/>
    <w:rsid w:val="00525F10"/>
    <w:rsid w:val="005263BC"/>
    <w:rsid w:val="0052658B"/>
    <w:rsid w:val="005265EA"/>
    <w:rsid w:val="005266AE"/>
    <w:rsid w:val="00526791"/>
    <w:rsid w:val="00526CEA"/>
    <w:rsid w:val="00527048"/>
    <w:rsid w:val="0052762C"/>
    <w:rsid w:val="00527D14"/>
    <w:rsid w:val="00527DCF"/>
    <w:rsid w:val="00527EB8"/>
    <w:rsid w:val="005303A3"/>
    <w:rsid w:val="0053091D"/>
    <w:rsid w:val="00530E7C"/>
    <w:rsid w:val="00531176"/>
    <w:rsid w:val="00531311"/>
    <w:rsid w:val="00531533"/>
    <w:rsid w:val="00531694"/>
    <w:rsid w:val="00531CD8"/>
    <w:rsid w:val="00531E0C"/>
    <w:rsid w:val="00532043"/>
    <w:rsid w:val="0053251E"/>
    <w:rsid w:val="0053293F"/>
    <w:rsid w:val="00532952"/>
    <w:rsid w:val="00532D4A"/>
    <w:rsid w:val="00532E3F"/>
    <w:rsid w:val="00532E69"/>
    <w:rsid w:val="00533A87"/>
    <w:rsid w:val="005343AC"/>
    <w:rsid w:val="00534B65"/>
    <w:rsid w:val="00534D9A"/>
    <w:rsid w:val="00534DA0"/>
    <w:rsid w:val="00534E42"/>
    <w:rsid w:val="00534E63"/>
    <w:rsid w:val="00535588"/>
    <w:rsid w:val="00535CED"/>
    <w:rsid w:val="00535D79"/>
    <w:rsid w:val="0053617A"/>
    <w:rsid w:val="005364CB"/>
    <w:rsid w:val="00536916"/>
    <w:rsid w:val="00537566"/>
    <w:rsid w:val="00537AF3"/>
    <w:rsid w:val="00537D58"/>
    <w:rsid w:val="00540013"/>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41D8"/>
    <w:rsid w:val="0054427E"/>
    <w:rsid w:val="00544BE5"/>
    <w:rsid w:val="00545045"/>
    <w:rsid w:val="0054523E"/>
    <w:rsid w:val="00545EA4"/>
    <w:rsid w:val="00546EDE"/>
    <w:rsid w:val="005474C7"/>
    <w:rsid w:val="00547703"/>
    <w:rsid w:val="00547782"/>
    <w:rsid w:val="005479CA"/>
    <w:rsid w:val="00547A76"/>
    <w:rsid w:val="00547B58"/>
    <w:rsid w:val="00547B8B"/>
    <w:rsid w:val="00547E4A"/>
    <w:rsid w:val="00547F9D"/>
    <w:rsid w:val="005504DA"/>
    <w:rsid w:val="0055068A"/>
    <w:rsid w:val="0055079F"/>
    <w:rsid w:val="00551813"/>
    <w:rsid w:val="00551945"/>
    <w:rsid w:val="005522E4"/>
    <w:rsid w:val="00552407"/>
    <w:rsid w:val="00552827"/>
    <w:rsid w:val="00552CBF"/>
    <w:rsid w:val="00553773"/>
    <w:rsid w:val="005539BF"/>
    <w:rsid w:val="00553A2F"/>
    <w:rsid w:val="005543CC"/>
    <w:rsid w:val="00554541"/>
    <w:rsid w:val="00554CA0"/>
    <w:rsid w:val="00554D9E"/>
    <w:rsid w:val="00554F69"/>
    <w:rsid w:val="00555471"/>
    <w:rsid w:val="00556835"/>
    <w:rsid w:val="005568EC"/>
    <w:rsid w:val="00556C93"/>
    <w:rsid w:val="005571CA"/>
    <w:rsid w:val="005571F3"/>
    <w:rsid w:val="0055723B"/>
    <w:rsid w:val="0055771B"/>
    <w:rsid w:val="00557A13"/>
    <w:rsid w:val="00557A8B"/>
    <w:rsid w:val="00557F2F"/>
    <w:rsid w:val="00557FE0"/>
    <w:rsid w:val="005601EF"/>
    <w:rsid w:val="0056036E"/>
    <w:rsid w:val="005605FE"/>
    <w:rsid w:val="00560866"/>
    <w:rsid w:val="00560A05"/>
    <w:rsid w:val="00561599"/>
    <w:rsid w:val="0056194B"/>
    <w:rsid w:val="00561A73"/>
    <w:rsid w:val="005628FA"/>
    <w:rsid w:val="0056297B"/>
    <w:rsid w:val="00562A3F"/>
    <w:rsid w:val="005633A7"/>
    <w:rsid w:val="00563825"/>
    <w:rsid w:val="00563DC0"/>
    <w:rsid w:val="00563FEC"/>
    <w:rsid w:val="00564419"/>
    <w:rsid w:val="00564A71"/>
    <w:rsid w:val="00564E8E"/>
    <w:rsid w:val="00565027"/>
    <w:rsid w:val="005650C9"/>
    <w:rsid w:val="00565336"/>
    <w:rsid w:val="005658D4"/>
    <w:rsid w:val="005662B2"/>
    <w:rsid w:val="005664AD"/>
    <w:rsid w:val="005668E0"/>
    <w:rsid w:val="00566A8E"/>
    <w:rsid w:val="00566D89"/>
    <w:rsid w:val="00566EDA"/>
    <w:rsid w:val="005674C3"/>
    <w:rsid w:val="00567C72"/>
    <w:rsid w:val="00567DA3"/>
    <w:rsid w:val="005706BA"/>
    <w:rsid w:val="0057083F"/>
    <w:rsid w:val="005709A3"/>
    <w:rsid w:val="00570F1F"/>
    <w:rsid w:val="00571772"/>
    <w:rsid w:val="005719AE"/>
    <w:rsid w:val="00571A68"/>
    <w:rsid w:val="00572362"/>
    <w:rsid w:val="005726F8"/>
    <w:rsid w:val="00573493"/>
    <w:rsid w:val="0057368F"/>
    <w:rsid w:val="0057393F"/>
    <w:rsid w:val="00573AC2"/>
    <w:rsid w:val="00573BA3"/>
    <w:rsid w:val="00574246"/>
    <w:rsid w:val="005745F1"/>
    <w:rsid w:val="0057469C"/>
    <w:rsid w:val="005748A0"/>
    <w:rsid w:val="00574AF2"/>
    <w:rsid w:val="00574BF1"/>
    <w:rsid w:val="00575164"/>
    <w:rsid w:val="005756C7"/>
    <w:rsid w:val="00576310"/>
    <w:rsid w:val="005768C1"/>
    <w:rsid w:val="0057732F"/>
    <w:rsid w:val="00577F9F"/>
    <w:rsid w:val="005801BF"/>
    <w:rsid w:val="0058028B"/>
    <w:rsid w:val="005803F7"/>
    <w:rsid w:val="00580E78"/>
    <w:rsid w:val="00581002"/>
    <w:rsid w:val="00581081"/>
    <w:rsid w:val="00581084"/>
    <w:rsid w:val="00581295"/>
    <w:rsid w:val="00581BEB"/>
    <w:rsid w:val="00582373"/>
    <w:rsid w:val="00582B4B"/>
    <w:rsid w:val="005836E4"/>
    <w:rsid w:val="00583EFE"/>
    <w:rsid w:val="00584084"/>
    <w:rsid w:val="005843AD"/>
    <w:rsid w:val="0058486B"/>
    <w:rsid w:val="00584997"/>
    <w:rsid w:val="00584BE7"/>
    <w:rsid w:val="00584CC2"/>
    <w:rsid w:val="00584DEA"/>
    <w:rsid w:val="00585195"/>
    <w:rsid w:val="0058526A"/>
    <w:rsid w:val="00585865"/>
    <w:rsid w:val="00585F10"/>
    <w:rsid w:val="00586097"/>
    <w:rsid w:val="005868C6"/>
    <w:rsid w:val="00586A3D"/>
    <w:rsid w:val="00586D76"/>
    <w:rsid w:val="005875B2"/>
    <w:rsid w:val="00587EC3"/>
    <w:rsid w:val="00587FEB"/>
    <w:rsid w:val="005903D6"/>
    <w:rsid w:val="005909A9"/>
    <w:rsid w:val="00590AF4"/>
    <w:rsid w:val="00590E7E"/>
    <w:rsid w:val="005914E3"/>
    <w:rsid w:val="00591CDB"/>
    <w:rsid w:val="00591D26"/>
    <w:rsid w:val="00591D8F"/>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66"/>
    <w:rsid w:val="00596063"/>
    <w:rsid w:val="005964C3"/>
    <w:rsid w:val="00596551"/>
    <w:rsid w:val="00596948"/>
    <w:rsid w:val="00596C41"/>
    <w:rsid w:val="00597060"/>
    <w:rsid w:val="005972D0"/>
    <w:rsid w:val="00597309"/>
    <w:rsid w:val="00597516"/>
    <w:rsid w:val="00597915"/>
    <w:rsid w:val="00597D52"/>
    <w:rsid w:val="00597DC0"/>
    <w:rsid w:val="005A024A"/>
    <w:rsid w:val="005A08DF"/>
    <w:rsid w:val="005A1086"/>
    <w:rsid w:val="005A1E0F"/>
    <w:rsid w:val="005A2168"/>
    <w:rsid w:val="005A2798"/>
    <w:rsid w:val="005A2D06"/>
    <w:rsid w:val="005A2D42"/>
    <w:rsid w:val="005A2D4A"/>
    <w:rsid w:val="005A2D9F"/>
    <w:rsid w:val="005A3F69"/>
    <w:rsid w:val="005A4467"/>
    <w:rsid w:val="005A44FB"/>
    <w:rsid w:val="005A4725"/>
    <w:rsid w:val="005A56F0"/>
    <w:rsid w:val="005A5713"/>
    <w:rsid w:val="005A5747"/>
    <w:rsid w:val="005A5977"/>
    <w:rsid w:val="005A643D"/>
    <w:rsid w:val="005A6538"/>
    <w:rsid w:val="005A68F9"/>
    <w:rsid w:val="005A6B65"/>
    <w:rsid w:val="005A6D61"/>
    <w:rsid w:val="005A7019"/>
    <w:rsid w:val="005A7134"/>
    <w:rsid w:val="005A71D0"/>
    <w:rsid w:val="005A7276"/>
    <w:rsid w:val="005A76BA"/>
    <w:rsid w:val="005A7EAA"/>
    <w:rsid w:val="005B0603"/>
    <w:rsid w:val="005B103B"/>
    <w:rsid w:val="005B10F6"/>
    <w:rsid w:val="005B130B"/>
    <w:rsid w:val="005B1562"/>
    <w:rsid w:val="005B18EA"/>
    <w:rsid w:val="005B1BB7"/>
    <w:rsid w:val="005B26D6"/>
    <w:rsid w:val="005B29B5"/>
    <w:rsid w:val="005B2A90"/>
    <w:rsid w:val="005B2E64"/>
    <w:rsid w:val="005B354C"/>
    <w:rsid w:val="005B376B"/>
    <w:rsid w:val="005B389D"/>
    <w:rsid w:val="005B3C03"/>
    <w:rsid w:val="005B3CD5"/>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9E3"/>
    <w:rsid w:val="005C0013"/>
    <w:rsid w:val="005C01EF"/>
    <w:rsid w:val="005C06B5"/>
    <w:rsid w:val="005C089D"/>
    <w:rsid w:val="005C11B4"/>
    <w:rsid w:val="005C143D"/>
    <w:rsid w:val="005C1756"/>
    <w:rsid w:val="005C1BCF"/>
    <w:rsid w:val="005C2127"/>
    <w:rsid w:val="005C2309"/>
    <w:rsid w:val="005C23CF"/>
    <w:rsid w:val="005C257E"/>
    <w:rsid w:val="005C2F7E"/>
    <w:rsid w:val="005C3B77"/>
    <w:rsid w:val="005C4306"/>
    <w:rsid w:val="005C46B1"/>
    <w:rsid w:val="005C5586"/>
    <w:rsid w:val="005C56DE"/>
    <w:rsid w:val="005C5761"/>
    <w:rsid w:val="005C667B"/>
    <w:rsid w:val="005C6885"/>
    <w:rsid w:val="005C6C33"/>
    <w:rsid w:val="005C708F"/>
    <w:rsid w:val="005C766D"/>
    <w:rsid w:val="005C7750"/>
    <w:rsid w:val="005D007D"/>
    <w:rsid w:val="005D0198"/>
    <w:rsid w:val="005D0CEC"/>
    <w:rsid w:val="005D0CFF"/>
    <w:rsid w:val="005D148D"/>
    <w:rsid w:val="005D1828"/>
    <w:rsid w:val="005D206F"/>
    <w:rsid w:val="005D2233"/>
    <w:rsid w:val="005D225C"/>
    <w:rsid w:val="005D2266"/>
    <w:rsid w:val="005D232E"/>
    <w:rsid w:val="005D24E7"/>
    <w:rsid w:val="005D2D11"/>
    <w:rsid w:val="005D2DDE"/>
    <w:rsid w:val="005D323A"/>
    <w:rsid w:val="005D32CB"/>
    <w:rsid w:val="005D34E7"/>
    <w:rsid w:val="005D3EAB"/>
    <w:rsid w:val="005D452F"/>
    <w:rsid w:val="005D47E7"/>
    <w:rsid w:val="005D4CB8"/>
    <w:rsid w:val="005D4D47"/>
    <w:rsid w:val="005D52B3"/>
    <w:rsid w:val="005D5A8D"/>
    <w:rsid w:val="005D5D7D"/>
    <w:rsid w:val="005D6798"/>
    <w:rsid w:val="005D6990"/>
    <w:rsid w:val="005D6CD1"/>
    <w:rsid w:val="005D7849"/>
    <w:rsid w:val="005E045B"/>
    <w:rsid w:val="005E0FBD"/>
    <w:rsid w:val="005E1672"/>
    <w:rsid w:val="005E2079"/>
    <w:rsid w:val="005E2957"/>
    <w:rsid w:val="005E2CA6"/>
    <w:rsid w:val="005E2D6F"/>
    <w:rsid w:val="005E2D77"/>
    <w:rsid w:val="005E3137"/>
    <w:rsid w:val="005E316F"/>
    <w:rsid w:val="005E3181"/>
    <w:rsid w:val="005E346F"/>
    <w:rsid w:val="005E355F"/>
    <w:rsid w:val="005E3724"/>
    <w:rsid w:val="005E37D8"/>
    <w:rsid w:val="005E4518"/>
    <w:rsid w:val="005E4871"/>
    <w:rsid w:val="005E4A87"/>
    <w:rsid w:val="005E4ABB"/>
    <w:rsid w:val="005E4F69"/>
    <w:rsid w:val="005E4FFB"/>
    <w:rsid w:val="005E520B"/>
    <w:rsid w:val="005E53E1"/>
    <w:rsid w:val="005E6551"/>
    <w:rsid w:val="005E7AAA"/>
    <w:rsid w:val="005F0650"/>
    <w:rsid w:val="005F0982"/>
    <w:rsid w:val="005F0A18"/>
    <w:rsid w:val="005F0A88"/>
    <w:rsid w:val="005F0F33"/>
    <w:rsid w:val="005F15B6"/>
    <w:rsid w:val="005F2026"/>
    <w:rsid w:val="005F2937"/>
    <w:rsid w:val="005F2D7D"/>
    <w:rsid w:val="005F2DCE"/>
    <w:rsid w:val="005F3364"/>
    <w:rsid w:val="005F371B"/>
    <w:rsid w:val="005F3AB5"/>
    <w:rsid w:val="005F3D56"/>
    <w:rsid w:val="005F3F59"/>
    <w:rsid w:val="005F4450"/>
    <w:rsid w:val="005F467C"/>
    <w:rsid w:val="005F471E"/>
    <w:rsid w:val="005F48F3"/>
    <w:rsid w:val="005F4CA7"/>
    <w:rsid w:val="005F503B"/>
    <w:rsid w:val="005F5688"/>
    <w:rsid w:val="005F591B"/>
    <w:rsid w:val="005F59AE"/>
    <w:rsid w:val="005F60DC"/>
    <w:rsid w:val="005F669E"/>
    <w:rsid w:val="005F66A1"/>
    <w:rsid w:val="005F700D"/>
    <w:rsid w:val="005F7AA0"/>
    <w:rsid w:val="005F7BC0"/>
    <w:rsid w:val="005F7DAE"/>
    <w:rsid w:val="0060045C"/>
    <w:rsid w:val="00600570"/>
    <w:rsid w:val="006005BC"/>
    <w:rsid w:val="006008E4"/>
    <w:rsid w:val="00600CD3"/>
    <w:rsid w:val="006013C6"/>
    <w:rsid w:val="006013E9"/>
    <w:rsid w:val="00601FC5"/>
    <w:rsid w:val="00602445"/>
    <w:rsid w:val="006028EF"/>
    <w:rsid w:val="00602BA3"/>
    <w:rsid w:val="00603003"/>
    <w:rsid w:val="0060341F"/>
    <w:rsid w:val="006039C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D7F"/>
    <w:rsid w:val="006100D1"/>
    <w:rsid w:val="006101FD"/>
    <w:rsid w:val="006104E4"/>
    <w:rsid w:val="00610580"/>
    <w:rsid w:val="00610E0C"/>
    <w:rsid w:val="00611300"/>
    <w:rsid w:val="006118E9"/>
    <w:rsid w:val="00611971"/>
    <w:rsid w:val="006119D4"/>
    <w:rsid w:val="00611AEA"/>
    <w:rsid w:val="00611D49"/>
    <w:rsid w:val="00611DD7"/>
    <w:rsid w:val="0061214C"/>
    <w:rsid w:val="00612DED"/>
    <w:rsid w:val="00613622"/>
    <w:rsid w:val="00613827"/>
    <w:rsid w:val="00614081"/>
    <w:rsid w:val="00614863"/>
    <w:rsid w:val="00614BD9"/>
    <w:rsid w:val="00614D36"/>
    <w:rsid w:val="00614D6C"/>
    <w:rsid w:val="0061517A"/>
    <w:rsid w:val="00615344"/>
    <w:rsid w:val="00615527"/>
    <w:rsid w:val="006157BF"/>
    <w:rsid w:val="00615CFE"/>
    <w:rsid w:val="00615DB2"/>
    <w:rsid w:val="00616838"/>
    <w:rsid w:val="00616864"/>
    <w:rsid w:val="0061719F"/>
    <w:rsid w:val="006171D1"/>
    <w:rsid w:val="006175B3"/>
    <w:rsid w:val="00617869"/>
    <w:rsid w:val="0061789D"/>
    <w:rsid w:val="006179AC"/>
    <w:rsid w:val="006179D7"/>
    <w:rsid w:val="006204B7"/>
    <w:rsid w:val="0062084A"/>
    <w:rsid w:val="00620D25"/>
    <w:rsid w:val="0062116B"/>
    <w:rsid w:val="0062124A"/>
    <w:rsid w:val="006213E6"/>
    <w:rsid w:val="006218B8"/>
    <w:rsid w:val="00621A66"/>
    <w:rsid w:val="00621E9F"/>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6D5"/>
    <w:rsid w:val="00624827"/>
    <w:rsid w:val="00625123"/>
    <w:rsid w:val="00625553"/>
    <w:rsid w:val="00625953"/>
    <w:rsid w:val="00625A27"/>
    <w:rsid w:val="00625DE8"/>
    <w:rsid w:val="00625E4D"/>
    <w:rsid w:val="00625EC8"/>
    <w:rsid w:val="00625F55"/>
    <w:rsid w:val="00626031"/>
    <w:rsid w:val="00626681"/>
    <w:rsid w:val="0062704E"/>
    <w:rsid w:val="0062774D"/>
    <w:rsid w:val="00627DE2"/>
    <w:rsid w:val="00630839"/>
    <w:rsid w:val="00630BCC"/>
    <w:rsid w:val="00630E44"/>
    <w:rsid w:val="0063102B"/>
    <w:rsid w:val="0063165E"/>
    <w:rsid w:val="00631766"/>
    <w:rsid w:val="00631E91"/>
    <w:rsid w:val="006322DA"/>
    <w:rsid w:val="0063266B"/>
    <w:rsid w:val="00632A99"/>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CBE"/>
    <w:rsid w:val="00637E2D"/>
    <w:rsid w:val="006404AC"/>
    <w:rsid w:val="006406CE"/>
    <w:rsid w:val="00640D70"/>
    <w:rsid w:val="00640E6B"/>
    <w:rsid w:val="006414B8"/>
    <w:rsid w:val="0064163F"/>
    <w:rsid w:val="00641705"/>
    <w:rsid w:val="006419FE"/>
    <w:rsid w:val="00641A39"/>
    <w:rsid w:val="00641FD7"/>
    <w:rsid w:val="0064248A"/>
    <w:rsid w:val="00642B65"/>
    <w:rsid w:val="006436AA"/>
    <w:rsid w:val="00643889"/>
    <w:rsid w:val="00643DB1"/>
    <w:rsid w:val="00643F65"/>
    <w:rsid w:val="00644083"/>
    <w:rsid w:val="00644138"/>
    <w:rsid w:val="00644708"/>
    <w:rsid w:val="00644EE6"/>
    <w:rsid w:val="0064528D"/>
    <w:rsid w:val="0064580D"/>
    <w:rsid w:val="006458CB"/>
    <w:rsid w:val="00645983"/>
    <w:rsid w:val="00645A33"/>
    <w:rsid w:val="00645BC1"/>
    <w:rsid w:val="00646367"/>
    <w:rsid w:val="00646383"/>
    <w:rsid w:val="00646487"/>
    <w:rsid w:val="00646545"/>
    <w:rsid w:val="00646851"/>
    <w:rsid w:val="00646E33"/>
    <w:rsid w:val="00647574"/>
    <w:rsid w:val="00647BDC"/>
    <w:rsid w:val="00647CD7"/>
    <w:rsid w:val="00647F60"/>
    <w:rsid w:val="00650112"/>
    <w:rsid w:val="0065012A"/>
    <w:rsid w:val="006506F8"/>
    <w:rsid w:val="006509F2"/>
    <w:rsid w:val="00650B2D"/>
    <w:rsid w:val="00650EFC"/>
    <w:rsid w:val="00651256"/>
    <w:rsid w:val="006519EA"/>
    <w:rsid w:val="00651C88"/>
    <w:rsid w:val="00651D3C"/>
    <w:rsid w:val="00651DF1"/>
    <w:rsid w:val="00652082"/>
    <w:rsid w:val="0065243D"/>
    <w:rsid w:val="0065279F"/>
    <w:rsid w:val="00652CF3"/>
    <w:rsid w:val="00653424"/>
    <w:rsid w:val="006535F8"/>
    <w:rsid w:val="00653748"/>
    <w:rsid w:val="00653762"/>
    <w:rsid w:val="006538C5"/>
    <w:rsid w:val="00653AF8"/>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B84"/>
    <w:rsid w:val="006615DF"/>
    <w:rsid w:val="00661CC7"/>
    <w:rsid w:val="00661F1E"/>
    <w:rsid w:val="00662458"/>
    <w:rsid w:val="006624E3"/>
    <w:rsid w:val="00662DC3"/>
    <w:rsid w:val="00663457"/>
    <w:rsid w:val="006636A4"/>
    <w:rsid w:val="00663A6F"/>
    <w:rsid w:val="00663C54"/>
    <w:rsid w:val="00663F8B"/>
    <w:rsid w:val="006640CF"/>
    <w:rsid w:val="006640EA"/>
    <w:rsid w:val="0066423F"/>
    <w:rsid w:val="00664545"/>
    <w:rsid w:val="00664AB1"/>
    <w:rsid w:val="00664ADF"/>
    <w:rsid w:val="00664C44"/>
    <w:rsid w:val="00664D95"/>
    <w:rsid w:val="006650E5"/>
    <w:rsid w:val="006653DD"/>
    <w:rsid w:val="00665730"/>
    <w:rsid w:val="00666C2A"/>
    <w:rsid w:val="00666D89"/>
    <w:rsid w:val="00667614"/>
    <w:rsid w:val="0066769C"/>
    <w:rsid w:val="006679B2"/>
    <w:rsid w:val="006704B4"/>
    <w:rsid w:val="006710AC"/>
    <w:rsid w:val="006710CC"/>
    <w:rsid w:val="00671334"/>
    <w:rsid w:val="0067148E"/>
    <w:rsid w:val="0067193F"/>
    <w:rsid w:val="00671977"/>
    <w:rsid w:val="00671B86"/>
    <w:rsid w:val="00671CB2"/>
    <w:rsid w:val="00671ED7"/>
    <w:rsid w:val="006723D7"/>
    <w:rsid w:val="00672479"/>
    <w:rsid w:val="006726B6"/>
    <w:rsid w:val="00672B14"/>
    <w:rsid w:val="00672D4C"/>
    <w:rsid w:val="00672FBB"/>
    <w:rsid w:val="006732C2"/>
    <w:rsid w:val="006734B0"/>
    <w:rsid w:val="006734B3"/>
    <w:rsid w:val="00673C3C"/>
    <w:rsid w:val="00673FAD"/>
    <w:rsid w:val="006740BF"/>
    <w:rsid w:val="006742EE"/>
    <w:rsid w:val="00674F90"/>
    <w:rsid w:val="006756F1"/>
    <w:rsid w:val="00675B28"/>
    <w:rsid w:val="006761A5"/>
    <w:rsid w:val="006766EA"/>
    <w:rsid w:val="006775AB"/>
    <w:rsid w:val="006777F6"/>
    <w:rsid w:val="00677B1C"/>
    <w:rsid w:val="00680205"/>
    <w:rsid w:val="00680273"/>
    <w:rsid w:val="00680747"/>
    <w:rsid w:val="00680DA1"/>
    <w:rsid w:val="00680E41"/>
    <w:rsid w:val="00681653"/>
    <w:rsid w:val="0068166A"/>
    <w:rsid w:val="00681751"/>
    <w:rsid w:val="00681EE3"/>
    <w:rsid w:val="0068202D"/>
    <w:rsid w:val="006831C1"/>
    <w:rsid w:val="0068368A"/>
    <w:rsid w:val="00684022"/>
    <w:rsid w:val="00684167"/>
    <w:rsid w:val="006842E5"/>
    <w:rsid w:val="00684734"/>
    <w:rsid w:val="0068481F"/>
    <w:rsid w:val="0068494F"/>
    <w:rsid w:val="00684D55"/>
    <w:rsid w:val="00685973"/>
    <w:rsid w:val="00685A4B"/>
    <w:rsid w:val="00685C43"/>
    <w:rsid w:val="00685D7D"/>
    <w:rsid w:val="0068635D"/>
    <w:rsid w:val="00686E57"/>
    <w:rsid w:val="00686F13"/>
    <w:rsid w:val="0068755D"/>
    <w:rsid w:val="00687596"/>
    <w:rsid w:val="00687947"/>
    <w:rsid w:val="006879C4"/>
    <w:rsid w:val="0069048A"/>
    <w:rsid w:val="00690DF0"/>
    <w:rsid w:val="00690F8C"/>
    <w:rsid w:val="006915CB"/>
    <w:rsid w:val="00691ADF"/>
    <w:rsid w:val="00691B50"/>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5FB"/>
    <w:rsid w:val="006956D5"/>
    <w:rsid w:val="006957D5"/>
    <w:rsid w:val="006958C2"/>
    <w:rsid w:val="00695EFF"/>
    <w:rsid w:val="00695F3B"/>
    <w:rsid w:val="00696298"/>
    <w:rsid w:val="006965BA"/>
    <w:rsid w:val="0069694D"/>
    <w:rsid w:val="00697082"/>
    <w:rsid w:val="00697273"/>
    <w:rsid w:val="00697483"/>
    <w:rsid w:val="006978ED"/>
    <w:rsid w:val="006979D2"/>
    <w:rsid w:val="00697B8D"/>
    <w:rsid w:val="00697C21"/>
    <w:rsid w:val="00697FE0"/>
    <w:rsid w:val="006A0055"/>
    <w:rsid w:val="006A0B7F"/>
    <w:rsid w:val="006A1C19"/>
    <w:rsid w:val="006A22FA"/>
    <w:rsid w:val="006A230B"/>
    <w:rsid w:val="006A2DB8"/>
    <w:rsid w:val="006A34E1"/>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BA1"/>
    <w:rsid w:val="006A7E8D"/>
    <w:rsid w:val="006B0116"/>
    <w:rsid w:val="006B0689"/>
    <w:rsid w:val="006B0FB4"/>
    <w:rsid w:val="006B1665"/>
    <w:rsid w:val="006B19B5"/>
    <w:rsid w:val="006B1C72"/>
    <w:rsid w:val="006B22E8"/>
    <w:rsid w:val="006B2B19"/>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351"/>
    <w:rsid w:val="006B75E4"/>
    <w:rsid w:val="006C0075"/>
    <w:rsid w:val="006C061C"/>
    <w:rsid w:val="006C0AF8"/>
    <w:rsid w:val="006C1303"/>
    <w:rsid w:val="006C1B20"/>
    <w:rsid w:val="006C1CDF"/>
    <w:rsid w:val="006C1E52"/>
    <w:rsid w:val="006C1EB3"/>
    <w:rsid w:val="006C2561"/>
    <w:rsid w:val="006C257B"/>
    <w:rsid w:val="006C29CC"/>
    <w:rsid w:val="006C2BD6"/>
    <w:rsid w:val="006C2C3D"/>
    <w:rsid w:val="006C39DA"/>
    <w:rsid w:val="006C4089"/>
    <w:rsid w:val="006C4813"/>
    <w:rsid w:val="006C4B0B"/>
    <w:rsid w:val="006C4EE4"/>
    <w:rsid w:val="006C4F23"/>
    <w:rsid w:val="006C5332"/>
    <w:rsid w:val="006C56F7"/>
    <w:rsid w:val="006C597C"/>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BD8"/>
    <w:rsid w:val="006E0252"/>
    <w:rsid w:val="006E0B5E"/>
    <w:rsid w:val="006E1007"/>
    <w:rsid w:val="006E12F7"/>
    <w:rsid w:val="006E1862"/>
    <w:rsid w:val="006E1ECF"/>
    <w:rsid w:val="006E1FF6"/>
    <w:rsid w:val="006E2260"/>
    <w:rsid w:val="006E2B7D"/>
    <w:rsid w:val="006E3ACE"/>
    <w:rsid w:val="006E3B0B"/>
    <w:rsid w:val="006E4296"/>
    <w:rsid w:val="006E530F"/>
    <w:rsid w:val="006E544E"/>
    <w:rsid w:val="006E57CB"/>
    <w:rsid w:val="006E5A32"/>
    <w:rsid w:val="006E5A96"/>
    <w:rsid w:val="006E5D53"/>
    <w:rsid w:val="006E5EF9"/>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649"/>
    <w:rsid w:val="006F1982"/>
    <w:rsid w:val="006F1FB9"/>
    <w:rsid w:val="006F2002"/>
    <w:rsid w:val="006F2237"/>
    <w:rsid w:val="006F2292"/>
    <w:rsid w:val="006F23A2"/>
    <w:rsid w:val="006F23AC"/>
    <w:rsid w:val="006F2870"/>
    <w:rsid w:val="006F2A4F"/>
    <w:rsid w:val="006F3770"/>
    <w:rsid w:val="006F3849"/>
    <w:rsid w:val="006F3A57"/>
    <w:rsid w:val="006F3ADF"/>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45E"/>
    <w:rsid w:val="007008C8"/>
    <w:rsid w:val="00700D19"/>
    <w:rsid w:val="00700FB0"/>
    <w:rsid w:val="00701309"/>
    <w:rsid w:val="007019D3"/>
    <w:rsid w:val="00701C64"/>
    <w:rsid w:val="00701E44"/>
    <w:rsid w:val="007021E8"/>
    <w:rsid w:val="00703043"/>
    <w:rsid w:val="00703B5C"/>
    <w:rsid w:val="00703D43"/>
    <w:rsid w:val="007040D1"/>
    <w:rsid w:val="0070418D"/>
    <w:rsid w:val="0070497B"/>
    <w:rsid w:val="00704E0D"/>
    <w:rsid w:val="0070529C"/>
    <w:rsid w:val="00705400"/>
    <w:rsid w:val="00705A22"/>
    <w:rsid w:val="00705F1D"/>
    <w:rsid w:val="007060B5"/>
    <w:rsid w:val="0070611B"/>
    <w:rsid w:val="00706203"/>
    <w:rsid w:val="007066CB"/>
    <w:rsid w:val="00707129"/>
    <w:rsid w:val="00707591"/>
    <w:rsid w:val="00707D7B"/>
    <w:rsid w:val="00707FED"/>
    <w:rsid w:val="00710033"/>
    <w:rsid w:val="00710095"/>
    <w:rsid w:val="00710201"/>
    <w:rsid w:val="00710D34"/>
    <w:rsid w:val="00711548"/>
    <w:rsid w:val="007116A7"/>
    <w:rsid w:val="00711F96"/>
    <w:rsid w:val="00712524"/>
    <w:rsid w:val="007127F4"/>
    <w:rsid w:val="00712D7A"/>
    <w:rsid w:val="007131AB"/>
    <w:rsid w:val="00713328"/>
    <w:rsid w:val="00713578"/>
    <w:rsid w:val="0071371E"/>
    <w:rsid w:val="007137B3"/>
    <w:rsid w:val="00713B01"/>
    <w:rsid w:val="00713E7C"/>
    <w:rsid w:val="00714AB3"/>
    <w:rsid w:val="00714C81"/>
    <w:rsid w:val="00714D0C"/>
    <w:rsid w:val="00715628"/>
    <w:rsid w:val="00715BB5"/>
    <w:rsid w:val="00715F8C"/>
    <w:rsid w:val="007163BB"/>
    <w:rsid w:val="00716BA0"/>
    <w:rsid w:val="00716C92"/>
    <w:rsid w:val="007170E0"/>
    <w:rsid w:val="00717710"/>
    <w:rsid w:val="00717F58"/>
    <w:rsid w:val="00720A9A"/>
    <w:rsid w:val="00720AD9"/>
    <w:rsid w:val="00720D39"/>
    <w:rsid w:val="00720D6E"/>
    <w:rsid w:val="00721085"/>
    <w:rsid w:val="0072111B"/>
    <w:rsid w:val="0072121B"/>
    <w:rsid w:val="00721988"/>
    <w:rsid w:val="00722142"/>
    <w:rsid w:val="0072289D"/>
    <w:rsid w:val="00722D31"/>
    <w:rsid w:val="00722E09"/>
    <w:rsid w:val="0072338D"/>
    <w:rsid w:val="007235DD"/>
    <w:rsid w:val="00724109"/>
    <w:rsid w:val="00724112"/>
    <w:rsid w:val="00724409"/>
    <w:rsid w:val="00724440"/>
    <w:rsid w:val="0072453A"/>
    <w:rsid w:val="00724672"/>
    <w:rsid w:val="0072485A"/>
    <w:rsid w:val="00724A08"/>
    <w:rsid w:val="0072540A"/>
    <w:rsid w:val="00725423"/>
    <w:rsid w:val="0072590B"/>
    <w:rsid w:val="00725A3D"/>
    <w:rsid w:val="00725D34"/>
    <w:rsid w:val="0072625C"/>
    <w:rsid w:val="00726682"/>
    <w:rsid w:val="007267C5"/>
    <w:rsid w:val="00726B4C"/>
    <w:rsid w:val="00727767"/>
    <w:rsid w:val="007300EA"/>
    <w:rsid w:val="0073046A"/>
    <w:rsid w:val="00730546"/>
    <w:rsid w:val="007308CA"/>
    <w:rsid w:val="00730E45"/>
    <w:rsid w:val="007310C3"/>
    <w:rsid w:val="00731111"/>
    <w:rsid w:val="007313C9"/>
    <w:rsid w:val="00731B84"/>
    <w:rsid w:val="00731D7F"/>
    <w:rsid w:val="00731F48"/>
    <w:rsid w:val="0073246D"/>
    <w:rsid w:val="007324A9"/>
    <w:rsid w:val="00732716"/>
    <w:rsid w:val="0073293E"/>
    <w:rsid w:val="007331A9"/>
    <w:rsid w:val="00733423"/>
    <w:rsid w:val="00733810"/>
    <w:rsid w:val="00733D67"/>
    <w:rsid w:val="007340C7"/>
    <w:rsid w:val="00734238"/>
    <w:rsid w:val="007346F6"/>
    <w:rsid w:val="00734A59"/>
    <w:rsid w:val="0073584B"/>
    <w:rsid w:val="007358DC"/>
    <w:rsid w:val="007359BF"/>
    <w:rsid w:val="00735DED"/>
    <w:rsid w:val="00735F82"/>
    <w:rsid w:val="007363DD"/>
    <w:rsid w:val="00736A29"/>
    <w:rsid w:val="00736BAC"/>
    <w:rsid w:val="00736EB3"/>
    <w:rsid w:val="00737151"/>
    <w:rsid w:val="00737238"/>
    <w:rsid w:val="007372D9"/>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83"/>
    <w:rsid w:val="007456E8"/>
    <w:rsid w:val="00745939"/>
    <w:rsid w:val="007459B2"/>
    <w:rsid w:val="00745F71"/>
    <w:rsid w:val="00745FB1"/>
    <w:rsid w:val="00746B91"/>
    <w:rsid w:val="00746D8B"/>
    <w:rsid w:val="0074740E"/>
    <w:rsid w:val="00747CDD"/>
    <w:rsid w:val="00747FC8"/>
    <w:rsid w:val="00750A72"/>
    <w:rsid w:val="00750F54"/>
    <w:rsid w:val="00751528"/>
    <w:rsid w:val="00751618"/>
    <w:rsid w:val="007518CB"/>
    <w:rsid w:val="007519CB"/>
    <w:rsid w:val="00752394"/>
    <w:rsid w:val="00752499"/>
    <w:rsid w:val="007525CC"/>
    <w:rsid w:val="00752EA4"/>
    <w:rsid w:val="0075342F"/>
    <w:rsid w:val="00754689"/>
    <w:rsid w:val="00754983"/>
    <w:rsid w:val="00754A69"/>
    <w:rsid w:val="00754D6C"/>
    <w:rsid w:val="00754E5E"/>
    <w:rsid w:val="00755198"/>
    <w:rsid w:val="007552A7"/>
    <w:rsid w:val="007559C2"/>
    <w:rsid w:val="00755A00"/>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D1D"/>
    <w:rsid w:val="007622AE"/>
    <w:rsid w:val="00762768"/>
    <w:rsid w:val="007629F2"/>
    <w:rsid w:val="007632B2"/>
    <w:rsid w:val="007634B2"/>
    <w:rsid w:val="007637DF"/>
    <w:rsid w:val="00763EB1"/>
    <w:rsid w:val="00763F66"/>
    <w:rsid w:val="00764154"/>
    <w:rsid w:val="0076448E"/>
    <w:rsid w:val="00764907"/>
    <w:rsid w:val="00764CB7"/>
    <w:rsid w:val="00764F43"/>
    <w:rsid w:val="0076515E"/>
    <w:rsid w:val="00765181"/>
    <w:rsid w:val="007652E9"/>
    <w:rsid w:val="007653FA"/>
    <w:rsid w:val="00765437"/>
    <w:rsid w:val="0076565E"/>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759"/>
    <w:rsid w:val="007728F1"/>
    <w:rsid w:val="0077297F"/>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64"/>
    <w:rsid w:val="0077633C"/>
    <w:rsid w:val="007764FF"/>
    <w:rsid w:val="007766EB"/>
    <w:rsid w:val="007768BC"/>
    <w:rsid w:val="007772AC"/>
    <w:rsid w:val="007776F0"/>
    <w:rsid w:val="00777A28"/>
    <w:rsid w:val="00777E59"/>
    <w:rsid w:val="00777F11"/>
    <w:rsid w:val="00780223"/>
    <w:rsid w:val="0078028D"/>
    <w:rsid w:val="007802AC"/>
    <w:rsid w:val="007811D0"/>
    <w:rsid w:val="007815CE"/>
    <w:rsid w:val="00781F92"/>
    <w:rsid w:val="00782680"/>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87A78"/>
    <w:rsid w:val="0079057E"/>
    <w:rsid w:val="007905BF"/>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5AF"/>
    <w:rsid w:val="00794EDA"/>
    <w:rsid w:val="00795310"/>
    <w:rsid w:val="00795586"/>
    <w:rsid w:val="00795660"/>
    <w:rsid w:val="00795770"/>
    <w:rsid w:val="0079594B"/>
    <w:rsid w:val="00795C5D"/>
    <w:rsid w:val="007965DA"/>
    <w:rsid w:val="00796708"/>
    <w:rsid w:val="007970E4"/>
    <w:rsid w:val="00797D4B"/>
    <w:rsid w:val="007A0A4D"/>
    <w:rsid w:val="007A0CFD"/>
    <w:rsid w:val="007A0D65"/>
    <w:rsid w:val="007A0EC1"/>
    <w:rsid w:val="007A1ACC"/>
    <w:rsid w:val="007A1E35"/>
    <w:rsid w:val="007A1E96"/>
    <w:rsid w:val="007A2225"/>
    <w:rsid w:val="007A2354"/>
    <w:rsid w:val="007A26AC"/>
    <w:rsid w:val="007A26BA"/>
    <w:rsid w:val="007A2B2A"/>
    <w:rsid w:val="007A2D52"/>
    <w:rsid w:val="007A2F3D"/>
    <w:rsid w:val="007A3714"/>
    <w:rsid w:val="007A3D29"/>
    <w:rsid w:val="007A40AD"/>
    <w:rsid w:val="007A40E3"/>
    <w:rsid w:val="007A4456"/>
    <w:rsid w:val="007A45A3"/>
    <w:rsid w:val="007A4EF1"/>
    <w:rsid w:val="007A5017"/>
    <w:rsid w:val="007A507A"/>
    <w:rsid w:val="007A513F"/>
    <w:rsid w:val="007A5548"/>
    <w:rsid w:val="007A5C5E"/>
    <w:rsid w:val="007A5D63"/>
    <w:rsid w:val="007A6553"/>
    <w:rsid w:val="007A6C8A"/>
    <w:rsid w:val="007A6D9A"/>
    <w:rsid w:val="007A6E35"/>
    <w:rsid w:val="007A729E"/>
    <w:rsid w:val="007A79F1"/>
    <w:rsid w:val="007A7A7B"/>
    <w:rsid w:val="007A7CD8"/>
    <w:rsid w:val="007B00CD"/>
    <w:rsid w:val="007B0439"/>
    <w:rsid w:val="007B0881"/>
    <w:rsid w:val="007B08B5"/>
    <w:rsid w:val="007B13E7"/>
    <w:rsid w:val="007B15B0"/>
    <w:rsid w:val="007B15C9"/>
    <w:rsid w:val="007B1647"/>
    <w:rsid w:val="007B1E26"/>
    <w:rsid w:val="007B1E93"/>
    <w:rsid w:val="007B2134"/>
    <w:rsid w:val="007B3074"/>
    <w:rsid w:val="007B3B76"/>
    <w:rsid w:val="007B3DB4"/>
    <w:rsid w:val="007B41DD"/>
    <w:rsid w:val="007B47D5"/>
    <w:rsid w:val="007B4CDA"/>
    <w:rsid w:val="007B4F8F"/>
    <w:rsid w:val="007B52C3"/>
    <w:rsid w:val="007B57B7"/>
    <w:rsid w:val="007B5A5F"/>
    <w:rsid w:val="007B62AE"/>
    <w:rsid w:val="007B68CB"/>
    <w:rsid w:val="007B6ACA"/>
    <w:rsid w:val="007B6DF8"/>
    <w:rsid w:val="007B6E0D"/>
    <w:rsid w:val="007B7096"/>
    <w:rsid w:val="007B710E"/>
    <w:rsid w:val="007B7DC8"/>
    <w:rsid w:val="007C01C2"/>
    <w:rsid w:val="007C0655"/>
    <w:rsid w:val="007C0784"/>
    <w:rsid w:val="007C09B4"/>
    <w:rsid w:val="007C0D8D"/>
    <w:rsid w:val="007C0E3C"/>
    <w:rsid w:val="007C0E9A"/>
    <w:rsid w:val="007C1042"/>
    <w:rsid w:val="007C1562"/>
    <w:rsid w:val="007C1B81"/>
    <w:rsid w:val="007C1DA8"/>
    <w:rsid w:val="007C230B"/>
    <w:rsid w:val="007C25C9"/>
    <w:rsid w:val="007C3220"/>
    <w:rsid w:val="007C322F"/>
    <w:rsid w:val="007C3298"/>
    <w:rsid w:val="007C33A9"/>
    <w:rsid w:val="007C3517"/>
    <w:rsid w:val="007C3D9A"/>
    <w:rsid w:val="007C3E8A"/>
    <w:rsid w:val="007C412E"/>
    <w:rsid w:val="007C47C7"/>
    <w:rsid w:val="007C49C3"/>
    <w:rsid w:val="007C4FDD"/>
    <w:rsid w:val="007C55E2"/>
    <w:rsid w:val="007C5781"/>
    <w:rsid w:val="007C579D"/>
    <w:rsid w:val="007C5B34"/>
    <w:rsid w:val="007C5D3D"/>
    <w:rsid w:val="007C5F5B"/>
    <w:rsid w:val="007C6010"/>
    <w:rsid w:val="007C65A0"/>
    <w:rsid w:val="007C6EA0"/>
    <w:rsid w:val="007C6EA5"/>
    <w:rsid w:val="007C7058"/>
    <w:rsid w:val="007C77E8"/>
    <w:rsid w:val="007C7830"/>
    <w:rsid w:val="007C7F3F"/>
    <w:rsid w:val="007D0590"/>
    <w:rsid w:val="007D05E3"/>
    <w:rsid w:val="007D0AA7"/>
    <w:rsid w:val="007D1255"/>
    <w:rsid w:val="007D1A9F"/>
    <w:rsid w:val="007D2A1D"/>
    <w:rsid w:val="007D2A53"/>
    <w:rsid w:val="007D3697"/>
    <w:rsid w:val="007D443E"/>
    <w:rsid w:val="007D44FA"/>
    <w:rsid w:val="007D48CA"/>
    <w:rsid w:val="007D4ABB"/>
    <w:rsid w:val="007D4B10"/>
    <w:rsid w:val="007D4D0B"/>
    <w:rsid w:val="007D5AC1"/>
    <w:rsid w:val="007D5DE9"/>
    <w:rsid w:val="007D6192"/>
    <w:rsid w:val="007D68D1"/>
    <w:rsid w:val="007D6B49"/>
    <w:rsid w:val="007D7561"/>
    <w:rsid w:val="007D75BA"/>
    <w:rsid w:val="007D789B"/>
    <w:rsid w:val="007D7B43"/>
    <w:rsid w:val="007D7B53"/>
    <w:rsid w:val="007D7BFD"/>
    <w:rsid w:val="007D7E0B"/>
    <w:rsid w:val="007E00B4"/>
    <w:rsid w:val="007E02F6"/>
    <w:rsid w:val="007E08BA"/>
    <w:rsid w:val="007E08DE"/>
    <w:rsid w:val="007E168A"/>
    <w:rsid w:val="007E1A9A"/>
    <w:rsid w:val="007E1D51"/>
    <w:rsid w:val="007E1F32"/>
    <w:rsid w:val="007E25C7"/>
    <w:rsid w:val="007E2719"/>
    <w:rsid w:val="007E2724"/>
    <w:rsid w:val="007E2AA2"/>
    <w:rsid w:val="007E3599"/>
    <w:rsid w:val="007E382D"/>
    <w:rsid w:val="007E3C76"/>
    <w:rsid w:val="007E3CAB"/>
    <w:rsid w:val="007E4053"/>
    <w:rsid w:val="007E4954"/>
    <w:rsid w:val="007E4A5D"/>
    <w:rsid w:val="007E4BEE"/>
    <w:rsid w:val="007E4E69"/>
    <w:rsid w:val="007E56DF"/>
    <w:rsid w:val="007E5865"/>
    <w:rsid w:val="007E59B2"/>
    <w:rsid w:val="007E5B25"/>
    <w:rsid w:val="007E6CE6"/>
    <w:rsid w:val="007E6F97"/>
    <w:rsid w:val="007E74F8"/>
    <w:rsid w:val="007E7AE5"/>
    <w:rsid w:val="007E7D9E"/>
    <w:rsid w:val="007F055B"/>
    <w:rsid w:val="007F10D6"/>
    <w:rsid w:val="007F10EC"/>
    <w:rsid w:val="007F1275"/>
    <w:rsid w:val="007F1E59"/>
    <w:rsid w:val="007F1FF2"/>
    <w:rsid w:val="007F2197"/>
    <w:rsid w:val="007F288B"/>
    <w:rsid w:val="007F2D99"/>
    <w:rsid w:val="007F379B"/>
    <w:rsid w:val="007F3EC4"/>
    <w:rsid w:val="007F3F7E"/>
    <w:rsid w:val="007F4456"/>
    <w:rsid w:val="007F4B36"/>
    <w:rsid w:val="007F4C05"/>
    <w:rsid w:val="007F4C2E"/>
    <w:rsid w:val="007F4F9B"/>
    <w:rsid w:val="007F531A"/>
    <w:rsid w:val="007F53EE"/>
    <w:rsid w:val="007F548A"/>
    <w:rsid w:val="007F588D"/>
    <w:rsid w:val="007F58AA"/>
    <w:rsid w:val="007F5A4C"/>
    <w:rsid w:val="007F5B11"/>
    <w:rsid w:val="007F5C32"/>
    <w:rsid w:val="007F63A6"/>
    <w:rsid w:val="007F67A6"/>
    <w:rsid w:val="007F6D2C"/>
    <w:rsid w:val="007F6E29"/>
    <w:rsid w:val="007F7324"/>
    <w:rsid w:val="007F7B19"/>
    <w:rsid w:val="007F7BC2"/>
    <w:rsid w:val="00800627"/>
    <w:rsid w:val="00800AB0"/>
    <w:rsid w:val="008011B9"/>
    <w:rsid w:val="008011E0"/>
    <w:rsid w:val="008012FF"/>
    <w:rsid w:val="008014A4"/>
    <w:rsid w:val="00801601"/>
    <w:rsid w:val="00801A02"/>
    <w:rsid w:val="00801D67"/>
    <w:rsid w:val="00801D89"/>
    <w:rsid w:val="0080252F"/>
    <w:rsid w:val="008028B6"/>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AEA"/>
    <w:rsid w:val="00810EB3"/>
    <w:rsid w:val="00810FE7"/>
    <w:rsid w:val="008110D9"/>
    <w:rsid w:val="0081119C"/>
    <w:rsid w:val="008120DF"/>
    <w:rsid w:val="008124CA"/>
    <w:rsid w:val="00812C0B"/>
    <w:rsid w:val="00812E15"/>
    <w:rsid w:val="00812E7B"/>
    <w:rsid w:val="00813083"/>
    <w:rsid w:val="00813288"/>
    <w:rsid w:val="008132D0"/>
    <w:rsid w:val="0081366E"/>
    <w:rsid w:val="008138B6"/>
    <w:rsid w:val="00813DF8"/>
    <w:rsid w:val="0081446E"/>
    <w:rsid w:val="00814983"/>
    <w:rsid w:val="00815018"/>
    <w:rsid w:val="008155F2"/>
    <w:rsid w:val="0081576E"/>
    <w:rsid w:val="00816124"/>
    <w:rsid w:val="008162B3"/>
    <w:rsid w:val="008165D5"/>
    <w:rsid w:val="00816710"/>
    <w:rsid w:val="008169C0"/>
    <w:rsid w:val="00816B1A"/>
    <w:rsid w:val="0081739D"/>
    <w:rsid w:val="008176F4"/>
    <w:rsid w:val="008177D1"/>
    <w:rsid w:val="00817940"/>
    <w:rsid w:val="00817F63"/>
    <w:rsid w:val="008207ED"/>
    <w:rsid w:val="00821313"/>
    <w:rsid w:val="00821326"/>
    <w:rsid w:val="00821560"/>
    <w:rsid w:val="00821BC3"/>
    <w:rsid w:val="00822B06"/>
    <w:rsid w:val="00823198"/>
    <w:rsid w:val="00823868"/>
    <w:rsid w:val="00823F1E"/>
    <w:rsid w:val="0082426E"/>
    <w:rsid w:val="00824412"/>
    <w:rsid w:val="0082443B"/>
    <w:rsid w:val="0082456C"/>
    <w:rsid w:val="0082480C"/>
    <w:rsid w:val="00825476"/>
    <w:rsid w:val="008257D2"/>
    <w:rsid w:val="0082592D"/>
    <w:rsid w:val="00825B08"/>
    <w:rsid w:val="00826650"/>
    <w:rsid w:val="00826DE5"/>
    <w:rsid w:val="008272BB"/>
    <w:rsid w:val="00827742"/>
    <w:rsid w:val="008279A9"/>
    <w:rsid w:val="00827EC1"/>
    <w:rsid w:val="00830600"/>
    <w:rsid w:val="00830638"/>
    <w:rsid w:val="008311C4"/>
    <w:rsid w:val="00831A49"/>
    <w:rsid w:val="00831D5C"/>
    <w:rsid w:val="00831DF0"/>
    <w:rsid w:val="00831E7A"/>
    <w:rsid w:val="008337B5"/>
    <w:rsid w:val="008339F3"/>
    <w:rsid w:val="00833A5D"/>
    <w:rsid w:val="00834236"/>
    <w:rsid w:val="008359F2"/>
    <w:rsid w:val="00835BC5"/>
    <w:rsid w:val="00835C0E"/>
    <w:rsid w:val="008364C3"/>
    <w:rsid w:val="0083657F"/>
    <w:rsid w:val="00836C79"/>
    <w:rsid w:val="00837204"/>
    <w:rsid w:val="00837930"/>
    <w:rsid w:val="00837AE6"/>
    <w:rsid w:val="00837AF8"/>
    <w:rsid w:val="00840805"/>
    <w:rsid w:val="00840908"/>
    <w:rsid w:val="008409C0"/>
    <w:rsid w:val="008409E5"/>
    <w:rsid w:val="00840D65"/>
    <w:rsid w:val="00840D76"/>
    <w:rsid w:val="00841198"/>
    <w:rsid w:val="0084125B"/>
    <w:rsid w:val="00841780"/>
    <w:rsid w:val="0084243D"/>
    <w:rsid w:val="00842500"/>
    <w:rsid w:val="00842DE7"/>
    <w:rsid w:val="00842DF2"/>
    <w:rsid w:val="00842E14"/>
    <w:rsid w:val="008436BA"/>
    <w:rsid w:val="00843993"/>
    <w:rsid w:val="008439C9"/>
    <w:rsid w:val="0084405D"/>
    <w:rsid w:val="008441C7"/>
    <w:rsid w:val="008450A8"/>
    <w:rsid w:val="008454C4"/>
    <w:rsid w:val="00845F1E"/>
    <w:rsid w:val="008461CF"/>
    <w:rsid w:val="00846481"/>
    <w:rsid w:val="00846862"/>
    <w:rsid w:val="00846C16"/>
    <w:rsid w:val="0084741D"/>
    <w:rsid w:val="00847467"/>
    <w:rsid w:val="00847AC0"/>
    <w:rsid w:val="00847EB8"/>
    <w:rsid w:val="00850138"/>
    <w:rsid w:val="00850B25"/>
    <w:rsid w:val="00850C98"/>
    <w:rsid w:val="00850D65"/>
    <w:rsid w:val="00850F2D"/>
    <w:rsid w:val="00851132"/>
    <w:rsid w:val="00851C2E"/>
    <w:rsid w:val="00851D4D"/>
    <w:rsid w:val="00852137"/>
    <w:rsid w:val="0085214D"/>
    <w:rsid w:val="008528CD"/>
    <w:rsid w:val="00852904"/>
    <w:rsid w:val="008533B7"/>
    <w:rsid w:val="00853485"/>
    <w:rsid w:val="00853666"/>
    <w:rsid w:val="00853CFB"/>
    <w:rsid w:val="008540E2"/>
    <w:rsid w:val="008547A1"/>
    <w:rsid w:val="0085534B"/>
    <w:rsid w:val="0085537A"/>
    <w:rsid w:val="008555A9"/>
    <w:rsid w:val="00855DBC"/>
    <w:rsid w:val="00855F82"/>
    <w:rsid w:val="0085605A"/>
    <w:rsid w:val="008565BC"/>
    <w:rsid w:val="00856909"/>
    <w:rsid w:val="00856BF5"/>
    <w:rsid w:val="00856EF6"/>
    <w:rsid w:val="008570BC"/>
    <w:rsid w:val="008570E1"/>
    <w:rsid w:val="00857813"/>
    <w:rsid w:val="00857873"/>
    <w:rsid w:val="00857980"/>
    <w:rsid w:val="00860568"/>
    <w:rsid w:val="0086089A"/>
    <w:rsid w:val="00860CD2"/>
    <w:rsid w:val="00860E30"/>
    <w:rsid w:val="008616B1"/>
    <w:rsid w:val="008617CE"/>
    <w:rsid w:val="008619F0"/>
    <w:rsid w:val="0086264D"/>
    <w:rsid w:val="00862784"/>
    <w:rsid w:val="00862D87"/>
    <w:rsid w:val="00862F48"/>
    <w:rsid w:val="0086331D"/>
    <w:rsid w:val="008638BD"/>
    <w:rsid w:val="00863AC1"/>
    <w:rsid w:val="00864A42"/>
    <w:rsid w:val="00865007"/>
    <w:rsid w:val="0086506E"/>
    <w:rsid w:val="0086526F"/>
    <w:rsid w:val="008653BB"/>
    <w:rsid w:val="00865B6E"/>
    <w:rsid w:val="00865C92"/>
    <w:rsid w:val="008662BA"/>
    <w:rsid w:val="008665D6"/>
    <w:rsid w:val="00866667"/>
    <w:rsid w:val="00866981"/>
    <w:rsid w:val="00866A7D"/>
    <w:rsid w:val="00866FB2"/>
    <w:rsid w:val="00867010"/>
    <w:rsid w:val="00867369"/>
    <w:rsid w:val="008676CD"/>
    <w:rsid w:val="00867889"/>
    <w:rsid w:val="00867B5F"/>
    <w:rsid w:val="00867E3F"/>
    <w:rsid w:val="00867F5F"/>
    <w:rsid w:val="00870A8B"/>
    <w:rsid w:val="00871073"/>
    <w:rsid w:val="008717C0"/>
    <w:rsid w:val="00871ED9"/>
    <w:rsid w:val="00872443"/>
    <w:rsid w:val="008724F8"/>
    <w:rsid w:val="00872811"/>
    <w:rsid w:val="008728F2"/>
    <w:rsid w:val="00872BB3"/>
    <w:rsid w:val="00872D5A"/>
    <w:rsid w:val="0087345A"/>
    <w:rsid w:val="0087351F"/>
    <w:rsid w:val="0087363C"/>
    <w:rsid w:val="008738E4"/>
    <w:rsid w:val="00873EF2"/>
    <w:rsid w:val="00874096"/>
    <w:rsid w:val="008746E8"/>
    <w:rsid w:val="008748DD"/>
    <w:rsid w:val="00874C95"/>
    <w:rsid w:val="00874DFD"/>
    <w:rsid w:val="00875210"/>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D51"/>
    <w:rsid w:val="00880D71"/>
    <w:rsid w:val="0088125A"/>
    <w:rsid w:val="00881418"/>
    <w:rsid w:val="008814EC"/>
    <w:rsid w:val="0088177D"/>
    <w:rsid w:val="008821CC"/>
    <w:rsid w:val="008825D3"/>
    <w:rsid w:val="00882BF0"/>
    <w:rsid w:val="008833DF"/>
    <w:rsid w:val="00883A05"/>
    <w:rsid w:val="0088426B"/>
    <w:rsid w:val="00885129"/>
    <w:rsid w:val="00885161"/>
    <w:rsid w:val="00885305"/>
    <w:rsid w:val="008853EA"/>
    <w:rsid w:val="00885589"/>
    <w:rsid w:val="00885764"/>
    <w:rsid w:val="00885784"/>
    <w:rsid w:val="008857CF"/>
    <w:rsid w:val="00885807"/>
    <w:rsid w:val="00885987"/>
    <w:rsid w:val="00885A8D"/>
    <w:rsid w:val="00885DAA"/>
    <w:rsid w:val="00885DE9"/>
    <w:rsid w:val="00886002"/>
    <w:rsid w:val="008860CF"/>
    <w:rsid w:val="0088611C"/>
    <w:rsid w:val="008864C4"/>
    <w:rsid w:val="008864ED"/>
    <w:rsid w:val="0088653D"/>
    <w:rsid w:val="00886971"/>
    <w:rsid w:val="00886A4E"/>
    <w:rsid w:val="00886C57"/>
    <w:rsid w:val="008871E3"/>
    <w:rsid w:val="00887223"/>
    <w:rsid w:val="008873A7"/>
    <w:rsid w:val="008879AB"/>
    <w:rsid w:val="00887A37"/>
    <w:rsid w:val="00887CCD"/>
    <w:rsid w:val="00887EEB"/>
    <w:rsid w:val="0089003C"/>
    <w:rsid w:val="00890681"/>
    <w:rsid w:val="008909E4"/>
    <w:rsid w:val="00891215"/>
    <w:rsid w:val="00891360"/>
    <w:rsid w:val="00891807"/>
    <w:rsid w:val="00891992"/>
    <w:rsid w:val="00892639"/>
    <w:rsid w:val="00892D54"/>
    <w:rsid w:val="008930B9"/>
    <w:rsid w:val="00893AC9"/>
    <w:rsid w:val="008941DE"/>
    <w:rsid w:val="00894524"/>
    <w:rsid w:val="0089481C"/>
    <w:rsid w:val="00894C98"/>
    <w:rsid w:val="00894D2F"/>
    <w:rsid w:val="00895691"/>
    <w:rsid w:val="00895807"/>
    <w:rsid w:val="00895DF3"/>
    <w:rsid w:val="008964EA"/>
    <w:rsid w:val="008967D1"/>
    <w:rsid w:val="00896907"/>
    <w:rsid w:val="00896E2D"/>
    <w:rsid w:val="008971F8"/>
    <w:rsid w:val="00897852"/>
    <w:rsid w:val="00897E6E"/>
    <w:rsid w:val="008A03BC"/>
    <w:rsid w:val="008A08F5"/>
    <w:rsid w:val="008A1761"/>
    <w:rsid w:val="008A1964"/>
    <w:rsid w:val="008A1CB0"/>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6DC6"/>
    <w:rsid w:val="008A70C6"/>
    <w:rsid w:val="008A71CC"/>
    <w:rsid w:val="008A7371"/>
    <w:rsid w:val="008A7848"/>
    <w:rsid w:val="008B0C13"/>
    <w:rsid w:val="008B123E"/>
    <w:rsid w:val="008B14F2"/>
    <w:rsid w:val="008B218E"/>
    <w:rsid w:val="008B27AF"/>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8AF"/>
    <w:rsid w:val="008B7729"/>
    <w:rsid w:val="008B78B7"/>
    <w:rsid w:val="008B7D99"/>
    <w:rsid w:val="008C06EF"/>
    <w:rsid w:val="008C09DD"/>
    <w:rsid w:val="008C1229"/>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12D5"/>
    <w:rsid w:val="008D196A"/>
    <w:rsid w:val="008D1970"/>
    <w:rsid w:val="008D1D09"/>
    <w:rsid w:val="008D1F6F"/>
    <w:rsid w:val="008D27DE"/>
    <w:rsid w:val="008D3179"/>
    <w:rsid w:val="008D3D2C"/>
    <w:rsid w:val="008D3D4B"/>
    <w:rsid w:val="008D3DF2"/>
    <w:rsid w:val="008D40F6"/>
    <w:rsid w:val="008D4B8E"/>
    <w:rsid w:val="008D55A3"/>
    <w:rsid w:val="008D5B11"/>
    <w:rsid w:val="008D5DEC"/>
    <w:rsid w:val="008D5FD4"/>
    <w:rsid w:val="008D61B6"/>
    <w:rsid w:val="008D61EB"/>
    <w:rsid w:val="008D64FA"/>
    <w:rsid w:val="008D6501"/>
    <w:rsid w:val="008D6788"/>
    <w:rsid w:val="008D6BBA"/>
    <w:rsid w:val="008D7386"/>
    <w:rsid w:val="008D76C0"/>
    <w:rsid w:val="008D7784"/>
    <w:rsid w:val="008E0000"/>
    <w:rsid w:val="008E063A"/>
    <w:rsid w:val="008E1385"/>
    <w:rsid w:val="008E15E4"/>
    <w:rsid w:val="008E1744"/>
    <w:rsid w:val="008E183D"/>
    <w:rsid w:val="008E1C53"/>
    <w:rsid w:val="008E23C7"/>
    <w:rsid w:val="008E264E"/>
    <w:rsid w:val="008E28DB"/>
    <w:rsid w:val="008E2947"/>
    <w:rsid w:val="008E2A47"/>
    <w:rsid w:val="008E3A8E"/>
    <w:rsid w:val="008E3C3F"/>
    <w:rsid w:val="008E441F"/>
    <w:rsid w:val="008E4646"/>
    <w:rsid w:val="008E4870"/>
    <w:rsid w:val="008E4BBA"/>
    <w:rsid w:val="008E4D7E"/>
    <w:rsid w:val="008E519E"/>
    <w:rsid w:val="008E58F1"/>
    <w:rsid w:val="008E5ADF"/>
    <w:rsid w:val="008E5DFF"/>
    <w:rsid w:val="008E65A1"/>
    <w:rsid w:val="008E6A40"/>
    <w:rsid w:val="008E6FBD"/>
    <w:rsid w:val="008E7284"/>
    <w:rsid w:val="008E7348"/>
    <w:rsid w:val="008E74BF"/>
    <w:rsid w:val="008E7948"/>
    <w:rsid w:val="008E7FD6"/>
    <w:rsid w:val="008F0229"/>
    <w:rsid w:val="008F025D"/>
    <w:rsid w:val="008F02A1"/>
    <w:rsid w:val="008F043B"/>
    <w:rsid w:val="008F07C0"/>
    <w:rsid w:val="008F1225"/>
    <w:rsid w:val="008F13CC"/>
    <w:rsid w:val="008F1425"/>
    <w:rsid w:val="008F14E1"/>
    <w:rsid w:val="008F16B2"/>
    <w:rsid w:val="008F1A28"/>
    <w:rsid w:val="008F1D9C"/>
    <w:rsid w:val="008F20F1"/>
    <w:rsid w:val="008F280C"/>
    <w:rsid w:val="008F2B23"/>
    <w:rsid w:val="008F2DE8"/>
    <w:rsid w:val="008F307F"/>
    <w:rsid w:val="008F3B21"/>
    <w:rsid w:val="008F3F92"/>
    <w:rsid w:val="008F424A"/>
    <w:rsid w:val="008F4947"/>
    <w:rsid w:val="008F4BC6"/>
    <w:rsid w:val="008F526E"/>
    <w:rsid w:val="008F52AD"/>
    <w:rsid w:val="008F5D23"/>
    <w:rsid w:val="008F6555"/>
    <w:rsid w:val="008F6656"/>
    <w:rsid w:val="008F686F"/>
    <w:rsid w:val="008F6973"/>
    <w:rsid w:val="008F72BF"/>
    <w:rsid w:val="008F77AD"/>
    <w:rsid w:val="008F7C5A"/>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081E"/>
    <w:rsid w:val="009116C4"/>
    <w:rsid w:val="0091223F"/>
    <w:rsid w:val="00912EF6"/>
    <w:rsid w:val="00912F2F"/>
    <w:rsid w:val="009130CD"/>
    <w:rsid w:val="009137A4"/>
    <w:rsid w:val="009137EE"/>
    <w:rsid w:val="00913C45"/>
    <w:rsid w:val="009146FE"/>
    <w:rsid w:val="00914853"/>
    <w:rsid w:val="00914D5F"/>
    <w:rsid w:val="00915036"/>
    <w:rsid w:val="00915064"/>
    <w:rsid w:val="009150BD"/>
    <w:rsid w:val="009150F0"/>
    <w:rsid w:val="00915DCF"/>
    <w:rsid w:val="00916B39"/>
    <w:rsid w:val="00920588"/>
    <w:rsid w:val="009206EA"/>
    <w:rsid w:val="00920A18"/>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5B4"/>
    <w:rsid w:val="009245EB"/>
    <w:rsid w:val="00924981"/>
    <w:rsid w:val="00924A32"/>
    <w:rsid w:val="00924F92"/>
    <w:rsid w:val="00925222"/>
    <w:rsid w:val="00925619"/>
    <w:rsid w:val="00926132"/>
    <w:rsid w:val="0092613B"/>
    <w:rsid w:val="00927110"/>
    <w:rsid w:val="009273C7"/>
    <w:rsid w:val="00927749"/>
    <w:rsid w:val="00927C01"/>
    <w:rsid w:val="00927DE2"/>
    <w:rsid w:val="00930260"/>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E57"/>
    <w:rsid w:val="0093351D"/>
    <w:rsid w:val="00933B5A"/>
    <w:rsid w:val="00933CAD"/>
    <w:rsid w:val="0093479D"/>
    <w:rsid w:val="00934829"/>
    <w:rsid w:val="00934A2E"/>
    <w:rsid w:val="00935520"/>
    <w:rsid w:val="00935840"/>
    <w:rsid w:val="00935896"/>
    <w:rsid w:val="00935897"/>
    <w:rsid w:val="00936095"/>
    <w:rsid w:val="00936461"/>
    <w:rsid w:val="00936B35"/>
    <w:rsid w:val="0093709D"/>
    <w:rsid w:val="009371BB"/>
    <w:rsid w:val="00937399"/>
    <w:rsid w:val="00937935"/>
    <w:rsid w:val="009379AF"/>
    <w:rsid w:val="009379F4"/>
    <w:rsid w:val="009401DE"/>
    <w:rsid w:val="009401ED"/>
    <w:rsid w:val="00940453"/>
    <w:rsid w:val="009404DA"/>
    <w:rsid w:val="00940523"/>
    <w:rsid w:val="009407F9"/>
    <w:rsid w:val="00940DB9"/>
    <w:rsid w:val="00942543"/>
    <w:rsid w:val="00942730"/>
    <w:rsid w:val="0094291F"/>
    <w:rsid w:val="00942BB9"/>
    <w:rsid w:val="00942BBE"/>
    <w:rsid w:val="0094363D"/>
    <w:rsid w:val="00943A2E"/>
    <w:rsid w:val="00944110"/>
    <w:rsid w:val="009442CC"/>
    <w:rsid w:val="009442D0"/>
    <w:rsid w:val="009447A6"/>
    <w:rsid w:val="00944FC2"/>
    <w:rsid w:val="0094529B"/>
    <w:rsid w:val="009452DF"/>
    <w:rsid w:val="00945330"/>
    <w:rsid w:val="00945365"/>
    <w:rsid w:val="0094580E"/>
    <w:rsid w:val="00946027"/>
    <w:rsid w:val="009462D4"/>
    <w:rsid w:val="00946A41"/>
    <w:rsid w:val="00946B9D"/>
    <w:rsid w:val="0094725A"/>
    <w:rsid w:val="00950096"/>
    <w:rsid w:val="00950433"/>
    <w:rsid w:val="009508B3"/>
    <w:rsid w:val="00950A26"/>
    <w:rsid w:val="00950C97"/>
    <w:rsid w:val="00950E17"/>
    <w:rsid w:val="00950FDD"/>
    <w:rsid w:val="009513B7"/>
    <w:rsid w:val="009514F5"/>
    <w:rsid w:val="0095154B"/>
    <w:rsid w:val="00951BD0"/>
    <w:rsid w:val="00951D3D"/>
    <w:rsid w:val="009522F5"/>
    <w:rsid w:val="00952B16"/>
    <w:rsid w:val="009531B9"/>
    <w:rsid w:val="00953840"/>
    <w:rsid w:val="00953B74"/>
    <w:rsid w:val="009549CC"/>
    <w:rsid w:val="00954D0A"/>
    <w:rsid w:val="00955465"/>
    <w:rsid w:val="009557F2"/>
    <w:rsid w:val="00955E59"/>
    <w:rsid w:val="00956577"/>
    <w:rsid w:val="0095677B"/>
    <w:rsid w:val="009567CF"/>
    <w:rsid w:val="00956E7A"/>
    <w:rsid w:val="0095727F"/>
    <w:rsid w:val="00960064"/>
    <w:rsid w:val="009606C6"/>
    <w:rsid w:val="00960AC0"/>
    <w:rsid w:val="009617BD"/>
    <w:rsid w:val="00961831"/>
    <w:rsid w:val="0096202B"/>
    <w:rsid w:val="009626DB"/>
    <w:rsid w:val="009627EF"/>
    <w:rsid w:val="0096294B"/>
    <w:rsid w:val="00963177"/>
    <w:rsid w:val="0096351E"/>
    <w:rsid w:val="0096420C"/>
    <w:rsid w:val="00964A51"/>
    <w:rsid w:val="00964EF8"/>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AD"/>
    <w:rsid w:val="00971350"/>
    <w:rsid w:val="009717C0"/>
    <w:rsid w:val="00971B20"/>
    <w:rsid w:val="00971EC9"/>
    <w:rsid w:val="00971F61"/>
    <w:rsid w:val="0097202B"/>
    <w:rsid w:val="0097216D"/>
    <w:rsid w:val="00972467"/>
    <w:rsid w:val="0097292A"/>
    <w:rsid w:val="00972BF5"/>
    <w:rsid w:val="00972E3F"/>
    <w:rsid w:val="00973D63"/>
    <w:rsid w:val="00974531"/>
    <w:rsid w:val="00974623"/>
    <w:rsid w:val="009747AA"/>
    <w:rsid w:val="00974E04"/>
    <w:rsid w:val="009752BD"/>
    <w:rsid w:val="00975560"/>
    <w:rsid w:val="0097558A"/>
    <w:rsid w:val="009759FF"/>
    <w:rsid w:val="00975A03"/>
    <w:rsid w:val="00975A8C"/>
    <w:rsid w:val="00975AAD"/>
    <w:rsid w:val="00976272"/>
    <w:rsid w:val="009769B3"/>
    <w:rsid w:val="00976C29"/>
    <w:rsid w:val="009806A3"/>
    <w:rsid w:val="00980DD9"/>
    <w:rsid w:val="00981253"/>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6019"/>
    <w:rsid w:val="00986514"/>
    <w:rsid w:val="00986953"/>
    <w:rsid w:val="00986F5A"/>
    <w:rsid w:val="00987172"/>
    <w:rsid w:val="0098734C"/>
    <w:rsid w:val="00987543"/>
    <w:rsid w:val="00987838"/>
    <w:rsid w:val="00987A06"/>
    <w:rsid w:val="00990C1B"/>
    <w:rsid w:val="00990F4F"/>
    <w:rsid w:val="00991A15"/>
    <w:rsid w:val="00991D21"/>
    <w:rsid w:val="00991E93"/>
    <w:rsid w:val="00992158"/>
    <w:rsid w:val="00992499"/>
    <w:rsid w:val="009924E5"/>
    <w:rsid w:val="00992CA8"/>
    <w:rsid w:val="00992F50"/>
    <w:rsid w:val="009935AB"/>
    <w:rsid w:val="00993A64"/>
    <w:rsid w:val="00993ADA"/>
    <w:rsid w:val="00994547"/>
    <w:rsid w:val="00994654"/>
    <w:rsid w:val="009949A7"/>
    <w:rsid w:val="0099500B"/>
    <w:rsid w:val="00995893"/>
    <w:rsid w:val="00995CE3"/>
    <w:rsid w:val="009961E4"/>
    <w:rsid w:val="00996304"/>
    <w:rsid w:val="0099716C"/>
    <w:rsid w:val="00997561"/>
    <w:rsid w:val="009975DC"/>
    <w:rsid w:val="00997D2B"/>
    <w:rsid w:val="00997DD1"/>
    <w:rsid w:val="009A05A3"/>
    <w:rsid w:val="009A0AC1"/>
    <w:rsid w:val="009A0DAB"/>
    <w:rsid w:val="009A210D"/>
    <w:rsid w:val="009A2385"/>
    <w:rsid w:val="009A23CD"/>
    <w:rsid w:val="009A28FA"/>
    <w:rsid w:val="009A2BA4"/>
    <w:rsid w:val="009A2E43"/>
    <w:rsid w:val="009A38A4"/>
    <w:rsid w:val="009A394C"/>
    <w:rsid w:val="009A3B1E"/>
    <w:rsid w:val="009A3D37"/>
    <w:rsid w:val="009A3D4E"/>
    <w:rsid w:val="009A42C5"/>
    <w:rsid w:val="009A4470"/>
    <w:rsid w:val="009A44D2"/>
    <w:rsid w:val="009A4A9A"/>
    <w:rsid w:val="009A4AAD"/>
    <w:rsid w:val="009A4B3A"/>
    <w:rsid w:val="009A50FF"/>
    <w:rsid w:val="009A6110"/>
    <w:rsid w:val="009A657E"/>
    <w:rsid w:val="009A6676"/>
    <w:rsid w:val="009A6DB4"/>
    <w:rsid w:val="009A79E9"/>
    <w:rsid w:val="009B0933"/>
    <w:rsid w:val="009B0B08"/>
    <w:rsid w:val="009B0C53"/>
    <w:rsid w:val="009B0E66"/>
    <w:rsid w:val="009B0F02"/>
    <w:rsid w:val="009B10AA"/>
    <w:rsid w:val="009B12EB"/>
    <w:rsid w:val="009B173F"/>
    <w:rsid w:val="009B26CA"/>
    <w:rsid w:val="009B29B5"/>
    <w:rsid w:val="009B2D98"/>
    <w:rsid w:val="009B2E69"/>
    <w:rsid w:val="009B2FF4"/>
    <w:rsid w:val="009B3306"/>
    <w:rsid w:val="009B39D1"/>
    <w:rsid w:val="009B3AA1"/>
    <w:rsid w:val="009B43D0"/>
    <w:rsid w:val="009B4B61"/>
    <w:rsid w:val="009B5ADE"/>
    <w:rsid w:val="009B5B3F"/>
    <w:rsid w:val="009B63D1"/>
    <w:rsid w:val="009B6736"/>
    <w:rsid w:val="009B695C"/>
    <w:rsid w:val="009B6BD3"/>
    <w:rsid w:val="009B714D"/>
    <w:rsid w:val="009B756A"/>
    <w:rsid w:val="009B7591"/>
    <w:rsid w:val="009B77F2"/>
    <w:rsid w:val="009B7ABF"/>
    <w:rsid w:val="009B7BA7"/>
    <w:rsid w:val="009C08BD"/>
    <w:rsid w:val="009C0BAB"/>
    <w:rsid w:val="009C0BBE"/>
    <w:rsid w:val="009C0F2C"/>
    <w:rsid w:val="009C0F43"/>
    <w:rsid w:val="009C1D69"/>
    <w:rsid w:val="009C1EAD"/>
    <w:rsid w:val="009C223D"/>
    <w:rsid w:val="009C246A"/>
    <w:rsid w:val="009C2625"/>
    <w:rsid w:val="009C281D"/>
    <w:rsid w:val="009C2837"/>
    <w:rsid w:val="009C2FF5"/>
    <w:rsid w:val="009C30E9"/>
    <w:rsid w:val="009C34DD"/>
    <w:rsid w:val="009C3590"/>
    <w:rsid w:val="009C399F"/>
    <w:rsid w:val="009C3B3D"/>
    <w:rsid w:val="009C3CD5"/>
    <w:rsid w:val="009C3DF9"/>
    <w:rsid w:val="009C49BA"/>
    <w:rsid w:val="009C4B28"/>
    <w:rsid w:val="009C514D"/>
    <w:rsid w:val="009C5C87"/>
    <w:rsid w:val="009C5ED3"/>
    <w:rsid w:val="009C692C"/>
    <w:rsid w:val="009C71E4"/>
    <w:rsid w:val="009C7500"/>
    <w:rsid w:val="009C7650"/>
    <w:rsid w:val="009C76C8"/>
    <w:rsid w:val="009C7809"/>
    <w:rsid w:val="009C7C5C"/>
    <w:rsid w:val="009C7C9A"/>
    <w:rsid w:val="009D0732"/>
    <w:rsid w:val="009D0D33"/>
    <w:rsid w:val="009D1366"/>
    <w:rsid w:val="009D1912"/>
    <w:rsid w:val="009D19ED"/>
    <w:rsid w:val="009D1B2F"/>
    <w:rsid w:val="009D21E6"/>
    <w:rsid w:val="009D2BE8"/>
    <w:rsid w:val="009D2EC9"/>
    <w:rsid w:val="009D321F"/>
    <w:rsid w:val="009D35BC"/>
    <w:rsid w:val="009D3669"/>
    <w:rsid w:val="009D378C"/>
    <w:rsid w:val="009D3926"/>
    <w:rsid w:val="009D4D7B"/>
    <w:rsid w:val="009D5719"/>
    <w:rsid w:val="009D64B3"/>
    <w:rsid w:val="009D6610"/>
    <w:rsid w:val="009D6A07"/>
    <w:rsid w:val="009D6A3A"/>
    <w:rsid w:val="009D6AA8"/>
    <w:rsid w:val="009D6B0E"/>
    <w:rsid w:val="009D6BB3"/>
    <w:rsid w:val="009D7552"/>
    <w:rsid w:val="009D75AE"/>
    <w:rsid w:val="009D7882"/>
    <w:rsid w:val="009D78C7"/>
    <w:rsid w:val="009D78FA"/>
    <w:rsid w:val="009D7C02"/>
    <w:rsid w:val="009D7DF9"/>
    <w:rsid w:val="009D7E94"/>
    <w:rsid w:val="009E03C0"/>
    <w:rsid w:val="009E0963"/>
    <w:rsid w:val="009E0C31"/>
    <w:rsid w:val="009E0D19"/>
    <w:rsid w:val="009E0D2B"/>
    <w:rsid w:val="009E0EC3"/>
    <w:rsid w:val="009E0F24"/>
    <w:rsid w:val="009E118C"/>
    <w:rsid w:val="009E1263"/>
    <w:rsid w:val="009E1B89"/>
    <w:rsid w:val="009E24BB"/>
    <w:rsid w:val="009E2B57"/>
    <w:rsid w:val="009E31A2"/>
    <w:rsid w:val="009E32BE"/>
    <w:rsid w:val="009E3373"/>
    <w:rsid w:val="009E348B"/>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0D5"/>
    <w:rsid w:val="009E6315"/>
    <w:rsid w:val="009E6787"/>
    <w:rsid w:val="009E6E4D"/>
    <w:rsid w:val="009E7271"/>
    <w:rsid w:val="009E72ED"/>
    <w:rsid w:val="009E77E1"/>
    <w:rsid w:val="009E7F55"/>
    <w:rsid w:val="009F011A"/>
    <w:rsid w:val="009F0286"/>
    <w:rsid w:val="009F036F"/>
    <w:rsid w:val="009F040F"/>
    <w:rsid w:val="009F12CC"/>
    <w:rsid w:val="009F1931"/>
    <w:rsid w:val="009F1BE6"/>
    <w:rsid w:val="009F1CE1"/>
    <w:rsid w:val="009F2A72"/>
    <w:rsid w:val="009F2A84"/>
    <w:rsid w:val="009F2DE4"/>
    <w:rsid w:val="009F30FB"/>
    <w:rsid w:val="009F312E"/>
    <w:rsid w:val="009F33C3"/>
    <w:rsid w:val="009F366F"/>
    <w:rsid w:val="009F3AE5"/>
    <w:rsid w:val="009F455B"/>
    <w:rsid w:val="009F4BB0"/>
    <w:rsid w:val="009F4E0D"/>
    <w:rsid w:val="009F4E89"/>
    <w:rsid w:val="009F53E8"/>
    <w:rsid w:val="009F55AD"/>
    <w:rsid w:val="009F5D43"/>
    <w:rsid w:val="009F705E"/>
    <w:rsid w:val="009F70A8"/>
    <w:rsid w:val="009F7390"/>
    <w:rsid w:val="009F749F"/>
    <w:rsid w:val="009F75D5"/>
    <w:rsid w:val="009F7676"/>
    <w:rsid w:val="009F7CAC"/>
    <w:rsid w:val="00A00C3F"/>
    <w:rsid w:val="00A00DC8"/>
    <w:rsid w:val="00A00F4C"/>
    <w:rsid w:val="00A0128F"/>
    <w:rsid w:val="00A012F4"/>
    <w:rsid w:val="00A01B7B"/>
    <w:rsid w:val="00A02038"/>
    <w:rsid w:val="00A023DE"/>
    <w:rsid w:val="00A02996"/>
    <w:rsid w:val="00A02C1A"/>
    <w:rsid w:val="00A031C0"/>
    <w:rsid w:val="00A033D4"/>
    <w:rsid w:val="00A034F9"/>
    <w:rsid w:val="00A03CF2"/>
    <w:rsid w:val="00A043AB"/>
    <w:rsid w:val="00A043FD"/>
    <w:rsid w:val="00A04402"/>
    <w:rsid w:val="00A049AE"/>
    <w:rsid w:val="00A04AB5"/>
    <w:rsid w:val="00A05A87"/>
    <w:rsid w:val="00A06086"/>
    <w:rsid w:val="00A060ED"/>
    <w:rsid w:val="00A064D8"/>
    <w:rsid w:val="00A064D9"/>
    <w:rsid w:val="00A06546"/>
    <w:rsid w:val="00A06AA5"/>
    <w:rsid w:val="00A06EA7"/>
    <w:rsid w:val="00A06F58"/>
    <w:rsid w:val="00A075BA"/>
    <w:rsid w:val="00A07715"/>
    <w:rsid w:val="00A079AA"/>
    <w:rsid w:val="00A07ABC"/>
    <w:rsid w:val="00A07CD2"/>
    <w:rsid w:val="00A10445"/>
    <w:rsid w:val="00A10847"/>
    <w:rsid w:val="00A1193E"/>
    <w:rsid w:val="00A11A8C"/>
    <w:rsid w:val="00A11F96"/>
    <w:rsid w:val="00A123DC"/>
    <w:rsid w:val="00A1246A"/>
    <w:rsid w:val="00A12637"/>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8D4"/>
    <w:rsid w:val="00A17908"/>
    <w:rsid w:val="00A17919"/>
    <w:rsid w:val="00A17AA8"/>
    <w:rsid w:val="00A20204"/>
    <w:rsid w:val="00A2040F"/>
    <w:rsid w:val="00A20F9A"/>
    <w:rsid w:val="00A21102"/>
    <w:rsid w:val="00A216F0"/>
    <w:rsid w:val="00A219EB"/>
    <w:rsid w:val="00A22190"/>
    <w:rsid w:val="00A22430"/>
    <w:rsid w:val="00A231C6"/>
    <w:rsid w:val="00A2358E"/>
    <w:rsid w:val="00A247ED"/>
    <w:rsid w:val="00A2490D"/>
    <w:rsid w:val="00A24931"/>
    <w:rsid w:val="00A24FC3"/>
    <w:rsid w:val="00A25300"/>
    <w:rsid w:val="00A2543E"/>
    <w:rsid w:val="00A25BD9"/>
    <w:rsid w:val="00A26253"/>
    <w:rsid w:val="00A262F2"/>
    <w:rsid w:val="00A263DF"/>
    <w:rsid w:val="00A26793"/>
    <w:rsid w:val="00A267F3"/>
    <w:rsid w:val="00A26A5B"/>
    <w:rsid w:val="00A26B95"/>
    <w:rsid w:val="00A274F7"/>
    <w:rsid w:val="00A2770B"/>
    <w:rsid w:val="00A27F33"/>
    <w:rsid w:val="00A30063"/>
    <w:rsid w:val="00A301FE"/>
    <w:rsid w:val="00A310A7"/>
    <w:rsid w:val="00A310F0"/>
    <w:rsid w:val="00A31704"/>
    <w:rsid w:val="00A31718"/>
    <w:rsid w:val="00A32042"/>
    <w:rsid w:val="00A32173"/>
    <w:rsid w:val="00A323E3"/>
    <w:rsid w:val="00A324E2"/>
    <w:rsid w:val="00A32672"/>
    <w:rsid w:val="00A33AE0"/>
    <w:rsid w:val="00A33DD4"/>
    <w:rsid w:val="00A347FA"/>
    <w:rsid w:val="00A34D96"/>
    <w:rsid w:val="00A34F40"/>
    <w:rsid w:val="00A35202"/>
    <w:rsid w:val="00A35963"/>
    <w:rsid w:val="00A35FC0"/>
    <w:rsid w:val="00A36315"/>
    <w:rsid w:val="00A363B0"/>
    <w:rsid w:val="00A363C6"/>
    <w:rsid w:val="00A36572"/>
    <w:rsid w:val="00A365D9"/>
    <w:rsid w:val="00A36DC1"/>
    <w:rsid w:val="00A370C5"/>
    <w:rsid w:val="00A372E8"/>
    <w:rsid w:val="00A37539"/>
    <w:rsid w:val="00A37748"/>
    <w:rsid w:val="00A37CCD"/>
    <w:rsid w:val="00A40C4F"/>
    <w:rsid w:val="00A4143E"/>
    <w:rsid w:val="00A4187E"/>
    <w:rsid w:val="00A41A89"/>
    <w:rsid w:val="00A428D1"/>
    <w:rsid w:val="00A42956"/>
    <w:rsid w:val="00A42B48"/>
    <w:rsid w:val="00A42FEC"/>
    <w:rsid w:val="00A4368F"/>
    <w:rsid w:val="00A4391A"/>
    <w:rsid w:val="00A43CB7"/>
    <w:rsid w:val="00A43DCA"/>
    <w:rsid w:val="00A440BE"/>
    <w:rsid w:val="00A448E1"/>
    <w:rsid w:val="00A44E7B"/>
    <w:rsid w:val="00A452B3"/>
    <w:rsid w:val="00A45DD8"/>
    <w:rsid w:val="00A46223"/>
    <w:rsid w:val="00A463DF"/>
    <w:rsid w:val="00A4643E"/>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8CF"/>
    <w:rsid w:val="00A51C1E"/>
    <w:rsid w:val="00A51CFB"/>
    <w:rsid w:val="00A51E3C"/>
    <w:rsid w:val="00A52155"/>
    <w:rsid w:val="00A52401"/>
    <w:rsid w:val="00A52A7B"/>
    <w:rsid w:val="00A52EB3"/>
    <w:rsid w:val="00A53012"/>
    <w:rsid w:val="00A530DF"/>
    <w:rsid w:val="00A5313B"/>
    <w:rsid w:val="00A533A3"/>
    <w:rsid w:val="00A5396B"/>
    <w:rsid w:val="00A53993"/>
    <w:rsid w:val="00A5411F"/>
    <w:rsid w:val="00A542A2"/>
    <w:rsid w:val="00A544FD"/>
    <w:rsid w:val="00A54663"/>
    <w:rsid w:val="00A54766"/>
    <w:rsid w:val="00A5492D"/>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2DA"/>
    <w:rsid w:val="00A64748"/>
    <w:rsid w:val="00A647D5"/>
    <w:rsid w:val="00A65160"/>
    <w:rsid w:val="00A652C0"/>
    <w:rsid w:val="00A65490"/>
    <w:rsid w:val="00A65F2E"/>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B0D"/>
    <w:rsid w:val="00A730F7"/>
    <w:rsid w:val="00A731FC"/>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5E9"/>
    <w:rsid w:val="00A776BC"/>
    <w:rsid w:val="00A77A1E"/>
    <w:rsid w:val="00A77EB2"/>
    <w:rsid w:val="00A8031F"/>
    <w:rsid w:val="00A804DA"/>
    <w:rsid w:val="00A804FE"/>
    <w:rsid w:val="00A819C2"/>
    <w:rsid w:val="00A81CA0"/>
    <w:rsid w:val="00A81DF5"/>
    <w:rsid w:val="00A82404"/>
    <w:rsid w:val="00A827BB"/>
    <w:rsid w:val="00A829C4"/>
    <w:rsid w:val="00A8311A"/>
    <w:rsid w:val="00A832B0"/>
    <w:rsid w:val="00A8334E"/>
    <w:rsid w:val="00A8359A"/>
    <w:rsid w:val="00A83DAF"/>
    <w:rsid w:val="00A83E41"/>
    <w:rsid w:val="00A83EF4"/>
    <w:rsid w:val="00A8403D"/>
    <w:rsid w:val="00A84205"/>
    <w:rsid w:val="00A842C6"/>
    <w:rsid w:val="00A8436F"/>
    <w:rsid w:val="00A84FCC"/>
    <w:rsid w:val="00A85C13"/>
    <w:rsid w:val="00A85C63"/>
    <w:rsid w:val="00A85FD5"/>
    <w:rsid w:val="00A86221"/>
    <w:rsid w:val="00A864CE"/>
    <w:rsid w:val="00A8671C"/>
    <w:rsid w:val="00A86EC7"/>
    <w:rsid w:val="00A87003"/>
    <w:rsid w:val="00A87105"/>
    <w:rsid w:val="00A87EDA"/>
    <w:rsid w:val="00A90753"/>
    <w:rsid w:val="00A90A45"/>
    <w:rsid w:val="00A90F36"/>
    <w:rsid w:val="00A91507"/>
    <w:rsid w:val="00A91C99"/>
    <w:rsid w:val="00A921C8"/>
    <w:rsid w:val="00A92885"/>
    <w:rsid w:val="00A92AE2"/>
    <w:rsid w:val="00A92F66"/>
    <w:rsid w:val="00A932CE"/>
    <w:rsid w:val="00A937B9"/>
    <w:rsid w:val="00A93CFA"/>
    <w:rsid w:val="00A93FF2"/>
    <w:rsid w:val="00A9438C"/>
    <w:rsid w:val="00A94C6C"/>
    <w:rsid w:val="00A94DFB"/>
    <w:rsid w:val="00A94FF6"/>
    <w:rsid w:val="00A951DB"/>
    <w:rsid w:val="00A95B4D"/>
    <w:rsid w:val="00A96474"/>
    <w:rsid w:val="00A964ED"/>
    <w:rsid w:val="00A969D1"/>
    <w:rsid w:val="00A9729B"/>
    <w:rsid w:val="00A9792F"/>
    <w:rsid w:val="00A97AB6"/>
    <w:rsid w:val="00A97BE3"/>
    <w:rsid w:val="00A97F8E"/>
    <w:rsid w:val="00AA03BC"/>
    <w:rsid w:val="00AA0905"/>
    <w:rsid w:val="00AA28E8"/>
    <w:rsid w:val="00AA2958"/>
    <w:rsid w:val="00AA393E"/>
    <w:rsid w:val="00AA39B5"/>
    <w:rsid w:val="00AA430F"/>
    <w:rsid w:val="00AA4571"/>
    <w:rsid w:val="00AA462B"/>
    <w:rsid w:val="00AA4B8D"/>
    <w:rsid w:val="00AA4CBA"/>
    <w:rsid w:val="00AA4DD2"/>
    <w:rsid w:val="00AA5053"/>
    <w:rsid w:val="00AA506F"/>
    <w:rsid w:val="00AA6C60"/>
    <w:rsid w:val="00AA6EF2"/>
    <w:rsid w:val="00AA6F15"/>
    <w:rsid w:val="00AA78B9"/>
    <w:rsid w:val="00AA7A07"/>
    <w:rsid w:val="00AA7C6D"/>
    <w:rsid w:val="00AB0583"/>
    <w:rsid w:val="00AB0E2B"/>
    <w:rsid w:val="00AB0EA3"/>
    <w:rsid w:val="00AB104A"/>
    <w:rsid w:val="00AB18D9"/>
    <w:rsid w:val="00AB1BA8"/>
    <w:rsid w:val="00AB1C6B"/>
    <w:rsid w:val="00AB1E50"/>
    <w:rsid w:val="00AB20DE"/>
    <w:rsid w:val="00AB2666"/>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CF"/>
    <w:rsid w:val="00AB5193"/>
    <w:rsid w:val="00AB5FB8"/>
    <w:rsid w:val="00AB60E5"/>
    <w:rsid w:val="00AB617F"/>
    <w:rsid w:val="00AB64FC"/>
    <w:rsid w:val="00AB6592"/>
    <w:rsid w:val="00AB67CA"/>
    <w:rsid w:val="00AB6918"/>
    <w:rsid w:val="00AB6D92"/>
    <w:rsid w:val="00AB75CA"/>
    <w:rsid w:val="00AB767F"/>
    <w:rsid w:val="00AB76CC"/>
    <w:rsid w:val="00AB79A2"/>
    <w:rsid w:val="00AC02EA"/>
    <w:rsid w:val="00AC047B"/>
    <w:rsid w:val="00AC09F0"/>
    <w:rsid w:val="00AC0EAB"/>
    <w:rsid w:val="00AC1616"/>
    <w:rsid w:val="00AC19B3"/>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2C4"/>
    <w:rsid w:val="00AC72AF"/>
    <w:rsid w:val="00AC7550"/>
    <w:rsid w:val="00AC78BB"/>
    <w:rsid w:val="00AC7C30"/>
    <w:rsid w:val="00AD0501"/>
    <w:rsid w:val="00AD0BC2"/>
    <w:rsid w:val="00AD0CDE"/>
    <w:rsid w:val="00AD0CED"/>
    <w:rsid w:val="00AD0DD4"/>
    <w:rsid w:val="00AD1595"/>
    <w:rsid w:val="00AD1CF7"/>
    <w:rsid w:val="00AD2D11"/>
    <w:rsid w:val="00AD2FB7"/>
    <w:rsid w:val="00AD2FED"/>
    <w:rsid w:val="00AD380A"/>
    <w:rsid w:val="00AD3D7E"/>
    <w:rsid w:val="00AD3FA2"/>
    <w:rsid w:val="00AD4780"/>
    <w:rsid w:val="00AD4877"/>
    <w:rsid w:val="00AD4C81"/>
    <w:rsid w:val="00AD5190"/>
    <w:rsid w:val="00AD52E7"/>
    <w:rsid w:val="00AD5439"/>
    <w:rsid w:val="00AD54A1"/>
    <w:rsid w:val="00AD55D2"/>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1F71"/>
    <w:rsid w:val="00AE20D3"/>
    <w:rsid w:val="00AE22FF"/>
    <w:rsid w:val="00AE2B41"/>
    <w:rsid w:val="00AE2F26"/>
    <w:rsid w:val="00AE309A"/>
    <w:rsid w:val="00AE334F"/>
    <w:rsid w:val="00AE354E"/>
    <w:rsid w:val="00AE3745"/>
    <w:rsid w:val="00AE3859"/>
    <w:rsid w:val="00AE3C29"/>
    <w:rsid w:val="00AE4122"/>
    <w:rsid w:val="00AE43E5"/>
    <w:rsid w:val="00AE45E3"/>
    <w:rsid w:val="00AE4970"/>
    <w:rsid w:val="00AE4C0A"/>
    <w:rsid w:val="00AE55D2"/>
    <w:rsid w:val="00AE59C8"/>
    <w:rsid w:val="00AE5A70"/>
    <w:rsid w:val="00AE5B12"/>
    <w:rsid w:val="00AE5B4E"/>
    <w:rsid w:val="00AE5FB4"/>
    <w:rsid w:val="00AE608B"/>
    <w:rsid w:val="00AE6152"/>
    <w:rsid w:val="00AE651F"/>
    <w:rsid w:val="00AE653F"/>
    <w:rsid w:val="00AE6543"/>
    <w:rsid w:val="00AE72CF"/>
    <w:rsid w:val="00AE73F4"/>
    <w:rsid w:val="00AE7419"/>
    <w:rsid w:val="00AE7704"/>
    <w:rsid w:val="00AE78F4"/>
    <w:rsid w:val="00AE7957"/>
    <w:rsid w:val="00AE7C3A"/>
    <w:rsid w:val="00AE7E12"/>
    <w:rsid w:val="00AE7E1F"/>
    <w:rsid w:val="00AE7EC5"/>
    <w:rsid w:val="00AF0172"/>
    <w:rsid w:val="00AF038D"/>
    <w:rsid w:val="00AF0A5A"/>
    <w:rsid w:val="00AF0B5C"/>
    <w:rsid w:val="00AF101F"/>
    <w:rsid w:val="00AF15D2"/>
    <w:rsid w:val="00AF19B7"/>
    <w:rsid w:val="00AF1D19"/>
    <w:rsid w:val="00AF1E0B"/>
    <w:rsid w:val="00AF24A3"/>
    <w:rsid w:val="00AF33E2"/>
    <w:rsid w:val="00AF3413"/>
    <w:rsid w:val="00AF3475"/>
    <w:rsid w:val="00AF3628"/>
    <w:rsid w:val="00AF3E3A"/>
    <w:rsid w:val="00AF4084"/>
    <w:rsid w:val="00AF48D7"/>
    <w:rsid w:val="00AF48F5"/>
    <w:rsid w:val="00AF4C4E"/>
    <w:rsid w:val="00AF55BC"/>
    <w:rsid w:val="00AF57FF"/>
    <w:rsid w:val="00AF7497"/>
    <w:rsid w:val="00AF7DED"/>
    <w:rsid w:val="00AF7FC9"/>
    <w:rsid w:val="00B000CD"/>
    <w:rsid w:val="00B001D9"/>
    <w:rsid w:val="00B007E9"/>
    <w:rsid w:val="00B00998"/>
    <w:rsid w:val="00B01707"/>
    <w:rsid w:val="00B01C0A"/>
    <w:rsid w:val="00B01FB2"/>
    <w:rsid w:val="00B027F0"/>
    <w:rsid w:val="00B02A99"/>
    <w:rsid w:val="00B02B00"/>
    <w:rsid w:val="00B02E36"/>
    <w:rsid w:val="00B03079"/>
    <w:rsid w:val="00B031BB"/>
    <w:rsid w:val="00B031E9"/>
    <w:rsid w:val="00B032B7"/>
    <w:rsid w:val="00B03A76"/>
    <w:rsid w:val="00B03B24"/>
    <w:rsid w:val="00B04570"/>
    <w:rsid w:val="00B0461A"/>
    <w:rsid w:val="00B05EDF"/>
    <w:rsid w:val="00B06B38"/>
    <w:rsid w:val="00B06BD5"/>
    <w:rsid w:val="00B06F6A"/>
    <w:rsid w:val="00B10500"/>
    <w:rsid w:val="00B106D9"/>
    <w:rsid w:val="00B10ED8"/>
    <w:rsid w:val="00B11651"/>
    <w:rsid w:val="00B11933"/>
    <w:rsid w:val="00B11C22"/>
    <w:rsid w:val="00B11E54"/>
    <w:rsid w:val="00B11E9F"/>
    <w:rsid w:val="00B12933"/>
    <w:rsid w:val="00B12D84"/>
    <w:rsid w:val="00B12FF7"/>
    <w:rsid w:val="00B12FFA"/>
    <w:rsid w:val="00B13EB6"/>
    <w:rsid w:val="00B13F3D"/>
    <w:rsid w:val="00B149F3"/>
    <w:rsid w:val="00B149F8"/>
    <w:rsid w:val="00B15289"/>
    <w:rsid w:val="00B1549B"/>
    <w:rsid w:val="00B1577B"/>
    <w:rsid w:val="00B15D39"/>
    <w:rsid w:val="00B15D73"/>
    <w:rsid w:val="00B160EA"/>
    <w:rsid w:val="00B162C1"/>
    <w:rsid w:val="00B16CB7"/>
    <w:rsid w:val="00B1710C"/>
    <w:rsid w:val="00B171A6"/>
    <w:rsid w:val="00B17382"/>
    <w:rsid w:val="00B17CBD"/>
    <w:rsid w:val="00B17DC6"/>
    <w:rsid w:val="00B17E12"/>
    <w:rsid w:val="00B20790"/>
    <w:rsid w:val="00B208D8"/>
    <w:rsid w:val="00B20B9F"/>
    <w:rsid w:val="00B20D78"/>
    <w:rsid w:val="00B20F2E"/>
    <w:rsid w:val="00B2136D"/>
    <w:rsid w:val="00B2194D"/>
    <w:rsid w:val="00B21DF9"/>
    <w:rsid w:val="00B21F02"/>
    <w:rsid w:val="00B2283A"/>
    <w:rsid w:val="00B229CC"/>
    <w:rsid w:val="00B234C4"/>
    <w:rsid w:val="00B23540"/>
    <w:rsid w:val="00B237EE"/>
    <w:rsid w:val="00B23BE8"/>
    <w:rsid w:val="00B24559"/>
    <w:rsid w:val="00B24A16"/>
    <w:rsid w:val="00B24C6D"/>
    <w:rsid w:val="00B24DD8"/>
    <w:rsid w:val="00B25416"/>
    <w:rsid w:val="00B2551A"/>
    <w:rsid w:val="00B25B2B"/>
    <w:rsid w:val="00B25B4F"/>
    <w:rsid w:val="00B260AE"/>
    <w:rsid w:val="00B27030"/>
    <w:rsid w:val="00B3078E"/>
    <w:rsid w:val="00B30AAD"/>
    <w:rsid w:val="00B310D4"/>
    <w:rsid w:val="00B31276"/>
    <w:rsid w:val="00B31885"/>
    <w:rsid w:val="00B323F7"/>
    <w:rsid w:val="00B326AD"/>
    <w:rsid w:val="00B32D6B"/>
    <w:rsid w:val="00B33273"/>
    <w:rsid w:val="00B33700"/>
    <w:rsid w:val="00B33C88"/>
    <w:rsid w:val="00B33EC4"/>
    <w:rsid w:val="00B34444"/>
    <w:rsid w:val="00B34AAC"/>
    <w:rsid w:val="00B34E13"/>
    <w:rsid w:val="00B3506C"/>
    <w:rsid w:val="00B35588"/>
    <w:rsid w:val="00B363D8"/>
    <w:rsid w:val="00B365E4"/>
    <w:rsid w:val="00B36A7B"/>
    <w:rsid w:val="00B36B86"/>
    <w:rsid w:val="00B370E8"/>
    <w:rsid w:val="00B37904"/>
    <w:rsid w:val="00B37BCF"/>
    <w:rsid w:val="00B37C34"/>
    <w:rsid w:val="00B40204"/>
    <w:rsid w:val="00B4064E"/>
    <w:rsid w:val="00B407CD"/>
    <w:rsid w:val="00B40A36"/>
    <w:rsid w:val="00B40AA4"/>
    <w:rsid w:val="00B40EEA"/>
    <w:rsid w:val="00B41347"/>
    <w:rsid w:val="00B41475"/>
    <w:rsid w:val="00B42036"/>
    <w:rsid w:val="00B424D3"/>
    <w:rsid w:val="00B429A3"/>
    <w:rsid w:val="00B42DB1"/>
    <w:rsid w:val="00B430E0"/>
    <w:rsid w:val="00B442B0"/>
    <w:rsid w:val="00B443D0"/>
    <w:rsid w:val="00B4465B"/>
    <w:rsid w:val="00B4467D"/>
    <w:rsid w:val="00B446BD"/>
    <w:rsid w:val="00B449AD"/>
    <w:rsid w:val="00B451D3"/>
    <w:rsid w:val="00B453A2"/>
    <w:rsid w:val="00B456A3"/>
    <w:rsid w:val="00B45A54"/>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52D"/>
    <w:rsid w:val="00B5073C"/>
    <w:rsid w:val="00B5080B"/>
    <w:rsid w:val="00B51022"/>
    <w:rsid w:val="00B51129"/>
    <w:rsid w:val="00B51840"/>
    <w:rsid w:val="00B51AF0"/>
    <w:rsid w:val="00B51D59"/>
    <w:rsid w:val="00B51E29"/>
    <w:rsid w:val="00B52294"/>
    <w:rsid w:val="00B52D5C"/>
    <w:rsid w:val="00B52FE9"/>
    <w:rsid w:val="00B5344E"/>
    <w:rsid w:val="00B5358E"/>
    <w:rsid w:val="00B536B7"/>
    <w:rsid w:val="00B53730"/>
    <w:rsid w:val="00B53AE5"/>
    <w:rsid w:val="00B53B21"/>
    <w:rsid w:val="00B53BB2"/>
    <w:rsid w:val="00B53BE3"/>
    <w:rsid w:val="00B53D89"/>
    <w:rsid w:val="00B545A2"/>
    <w:rsid w:val="00B54EF7"/>
    <w:rsid w:val="00B55069"/>
    <w:rsid w:val="00B5556F"/>
    <w:rsid w:val="00B5562C"/>
    <w:rsid w:val="00B5584A"/>
    <w:rsid w:val="00B55CCC"/>
    <w:rsid w:val="00B56C44"/>
    <w:rsid w:val="00B571EB"/>
    <w:rsid w:val="00B57277"/>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47D"/>
    <w:rsid w:val="00B706C8"/>
    <w:rsid w:val="00B70886"/>
    <w:rsid w:val="00B7091D"/>
    <w:rsid w:val="00B70B1A"/>
    <w:rsid w:val="00B71112"/>
    <w:rsid w:val="00B7210F"/>
    <w:rsid w:val="00B72520"/>
    <w:rsid w:val="00B72ABA"/>
    <w:rsid w:val="00B72EA7"/>
    <w:rsid w:val="00B72FAF"/>
    <w:rsid w:val="00B73974"/>
    <w:rsid w:val="00B74987"/>
    <w:rsid w:val="00B74DD4"/>
    <w:rsid w:val="00B753E0"/>
    <w:rsid w:val="00B75A5D"/>
    <w:rsid w:val="00B75FB9"/>
    <w:rsid w:val="00B7613C"/>
    <w:rsid w:val="00B766B9"/>
    <w:rsid w:val="00B768DA"/>
    <w:rsid w:val="00B772C4"/>
    <w:rsid w:val="00B7764E"/>
    <w:rsid w:val="00B77CBB"/>
    <w:rsid w:val="00B77F2F"/>
    <w:rsid w:val="00B8091A"/>
    <w:rsid w:val="00B80AA5"/>
    <w:rsid w:val="00B80E1F"/>
    <w:rsid w:val="00B81937"/>
    <w:rsid w:val="00B81B65"/>
    <w:rsid w:val="00B81C67"/>
    <w:rsid w:val="00B81ED1"/>
    <w:rsid w:val="00B81FA8"/>
    <w:rsid w:val="00B81FD5"/>
    <w:rsid w:val="00B82086"/>
    <w:rsid w:val="00B82350"/>
    <w:rsid w:val="00B82D50"/>
    <w:rsid w:val="00B83369"/>
    <w:rsid w:val="00B834D5"/>
    <w:rsid w:val="00B83AAC"/>
    <w:rsid w:val="00B8412B"/>
    <w:rsid w:val="00B8421F"/>
    <w:rsid w:val="00B845F5"/>
    <w:rsid w:val="00B8519A"/>
    <w:rsid w:val="00B85354"/>
    <w:rsid w:val="00B85359"/>
    <w:rsid w:val="00B860FF"/>
    <w:rsid w:val="00B86547"/>
    <w:rsid w:val="00B867CF"/>
    <w:rsid w:val="00B86885"/>
    <w:rsid w:val="00B86B07"/>
    <w:rsid w:val="00B86E63"/>
    <w:rsid w:val="00B8717B"/>
    <w:rsid w:val="00B87A2B"/>
    <w:rsid w:val="00B87E38"/>
    <w:rsid w:val="00B90393"/>
    <w:rsid w:val="00B9119C"/>
    <w:rsid w:val="00B919E5"/>
    <w:rsid w:val="00B91D51"/>
    <w:rsid w:val="00B91E3E"/>
    <w:rsid w:val="00B9252F"/>
    <w:rsid w:val="00B9256A"/>
    <w:rsid w:val="00B93ABA"/>
    <w:rsid w:val="00B93B03"/>
    <w:rsid w:val="00B93B9D"/>
    <w:rsid w:val="00B93C54"/>
    <w:rsid w:val="00B94015"/>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6C41"/>
    <w:rsid w:val="00B9712D"/>
    <w:rsid w:val="00B9797F"/>
    <w:rsid w:val="00B97D07"/>
    <w:rsid w:val="00B97D9A"/>
    <w:rsid w:val="00BA08C9"/>
    <w:rsid w:val="00BA0BFB"/>
    <w:rsid w:val="00BA11F2"/>
    <w:rsid w:val="00BA12E8"/>
    <w:rsid w:val="00BA152B"/>
    <w:rsid w:val="00BA1678"/>
    <w:rsid w:val="00BA1EF2"/>
    <w:rsid w:val="00BA23E1"/>
    <w:rsid w:val="00BA246A"/>
    <w:rsid w:val="00BA340C"/>
    <w:rsid w:val="00BA376F"/>
    <w:rsid w:val="00BA3ABD"/>
    <w:rsid w:val="00BA3B80"/>
    <w:rsid w:val="00BA3FAA"/>
    <w:rsid w:val="00BA423C"/>
    <w:rsid w:val="00BA45C7"/>
    <w:rsid w:val="00BA45EB"/>
    <w:rsid w:val="00BA46A9"/>
    <w:rsid w:val="00BA48C5"/>
    <w:rsid w:val="00BA4E06"/>
    <w:rsid w:val="00BA50EA"/>
    <w:rsid w:val="00BA52BC"/>
    <w:rsid w:val="00BA539D"/>
    <w:rsid w:val="00BA53F3"/>
    <w:rsid w:val="00BA54CB"/>
    <w:rsid w:val="00BA5A1C"/>
    <w:rsid w:val="00BA5B9E"/>
    <w:rsid w:val="00BA60D1"/>
    <w:rsid w:val="00BA6308"/>
    <w:rsid w:val="00BA651B"/>
    <w:rsid w:val="00BA667B"/>
    <w:rsid w:val="00BA72BC"/>
    <w:rsid w:val="00BA7B99"/>
    <w:rsid w:val="00BA7CC6"/>
    <w:rsid w:val="00BB0029"/>
    <w:rsid w:val="00BB09AA"/>
    <w:rsid w:val="00BB0A68"/>
    <w:rsid w:val="00BB0C4F"/>
    <w:rsid w:val="00BB0FEB"/>
    <w:rsid w:val="00BB1209"/>
    <w:rsid w:val="00BB1301"/>
    <w:rsid w:val="00BB1479"/>
    <w:rsid w:val="00BB15C1"/>
    <w:rsid w:val="00BB192A"/>
    <w:rsid w:val="00BB1CC8"/>
    <w:rsid w:val="00BB2616"/>
    <w:rsid w:val="00BB2CE9"/>
    <w:rsid w:val="00BB2D45"/>
    <w:rsid w:val="00BB2F6A"/>
    <w:rsid w:val="00BB305D"/>
    <w:rsid w:val="00BB3961"/>
    <w:rsid w:val="00BB3E97"/>
    <w:rsid w:val="00BB4DC4"/>
    <w:rsid w:val="00BB4E3E"/>
    <w:rsid w:val="00BB4FFA"/>
    <w:rsid w:val="00BB53D9"/>
    <w:rsid w:val="00BB55F2"/>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06"/>
    <w:rsid w:val="00BC1FF8"/>
    <w:rsid w:val="00BC2405"/>
    <w:rsid w:val="00BC2868"/>
    <w:rsid w:val="00BC2D22"/>
    <w:rsid w:val="00BC2FD9"/>
    <w:rsid w:val="00BC310E"/>
    <w:rsid w:val="00BC3327"/>
    <w:rsid w:val="00BC41F2"/>
    <w:rsid w:val="00BC450E"/>
    <w:rsid w:val="00BC47A6"/>
    <w:rsid w:val="00BC4AE8"/>
    <w:rsid w:val="00BC4B41"/>
    <w:rsid w:val="00BC4C8D"/>
    <w:rsid w:val="00BC55E5"/>
    <w:rsid w:val="00BC58B6"/>
    <w:rsid w:val="00BC59B9"/>
    <w:rsid w:val="00BC5ABE"/>
    <w:rsid w:val="00BC5C7E"/>
    <w:rsid w:val="00BC5E3E"/>
    <w:rsid w:val="00BC64A5"/>
    <w:rsid w:val="00BC6640"/>
    <w:rsid w:val="00BC68FB"/>
    <w:rsid w:val="00BC76D7"/>
    <w:rsid w:val="00BC7923"/>
    <w:rsid w:val="00BD08E5"/>
    <w:rsid w:val="00BD11FA"/>
    <w:rsid w:val="00BD1380"/>
    <w:rsid w:val="00BD14F5"/>
    <w:rsid w:val="00BD1DFE"/>
    <w:rsid w:val="00BD257E"/>
    <w:rsid w:val="00BD2833"/>
    <w:rsid w:val="00BD295A"/>
    <w:rsid w:val="00BD2BE6"/>
    <w:rsid w:val="00BD2E27"/>
    <w:rsid w:val="00BD2FC5"/>
    <w:rsid w:val="00BD3483"/>
    <w:rsid w:val="00BD3BCF"/>
    <w:rsid w:val="00BD3D97"/>
    <w:rsid w:val="00BD4341"/>
    <w:rsid w:val="00BD43F5"/>
    <w:rsid w:val="00BD46CF"/>
    <w:rsid w:val="00BD4924"/>
    <w:rsid w:val="00BD52EE"/>
    <w:rsid w:val="00BD536A"/>
    <w:rsid w:val="00BD5701"/>
    <w:rsid w:val="00BD63DE"/>
    <w:rsid w:val="00BD65DA"/>
    <w:rsid w:val="00BD6C2F"/>
    <w:rsid w:val="00BD6C8C"/>
    <w:rsid w:val="00BD6D77"/>
    <w:rsid w:val="00BD6E45"/>
    <w:rsid w:val="00BD70DE"/>
    <w:rsid w:val="00BD7F86"/>
    <w:rsid w:val="00BE0465"/>
    <w:rsid w:val="00BE05DD"/>
    <w:rsid w:val="00BE1007"/>
    <w:rsid w:val="00BE1482"/>
    <w:rsid w:val="00BE154C"/>
    <w:rsid w:val="00BE2C46"/>
    <w:rsid w:val="00BE3BFC"/>
    <w:rsid w:val="00BE40AB"/>
    <w:rsid w:val="00BE4809"/>
    <w:rsid w:val="00BE48B9"/>
    <w:rsid w:val="00BE4BE9"/>
    <w:rsid w:val="00BE5148"/>
    <w:rsid w:val="00BE5E67"/>
    <w:rsid w:val="00BE6061"/>
    <w:rsid w:val="00BE6B3B"/>
    <w:rsid w:val="00BE787D"/>
    <w:rsid w:val="00BE7935"/>
    <w:rsid w:val="00BE7B50"/>
    <w:rsid w:val="00BE7C72"/>
    <w:rsid w:val="00BE7E7F"/>
    <w:rsid w:val="00BF1AF4"/>
    <w:rsid w:val="00BF1BBA"/>
    <w:rsid w:val="00BF21CA"/>
    <w:rsid w:val="00BF224A"/>
    <w:rsid w:val="00BF2262"/>
    <w:rsid w:val="00BF34C0"/>
    <w:rsid w:val="00BF4ADF"/>
    <w:rsid w:val="00BF4F7A"/>
    <w:rsid w:val="00BF4FF6"/>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AB9"/>
    <w:rsid w:val="00C00BFB"/>
    <w:rsid w:val="00C01486"/>
    <w:rsid w:val="00C01BF1"/>
    <w:rsid w:val="00C01E4A"/>
    <w:rsid w:val="00C021B0"/>
    <w:rsid w:val="00C02301"/>
    <w:rsid w:val="00C02A89"/>
    <w:rsid w:val="00C035BF"/>
    <w:rsid w:val="00C041B8"/>
    <w:rsid w:val="00C0425B"/>
    <w:rsid w:val="00C04261"/>
    <w:rsid w:val="00C04319"/>
    <w:rsid w:val="00C05066"/>
    <w:rsid w:val="00C05258"/>
    <w:rsid w:val="00C05369"/>
    <w:rsid w:val="00C057C4"/>
    <w:rsid w:val="00C059FB"/>
    <w:rsid w:val="00C05ED2"/>
    <w:rsid w:val="00C060DA"/>
    <w:rsid w:val="00C06860"/>
    <w:rsid w:val="00C068B2"/>
    <w:rsid w:val="00C06939"/>
    <w:rsid w:val="00C06B8B"/>
    <w:rsid w:val="00C06FEC"/>
    <w:rsid w:val="00C07206"/>
    <w:rsid w:val="00C07566"/>
    <w:rsid w:val="00C07717"/>
    <w:rsid w:val="00C077C5"/>
    <w:rsid w:val="00C07A94"/>
    <w:rsid w:val="00C07E4C"/>
    <w:rsid w:val="00C1023F"/>
    <w:rsid w:val="00C1042E"/>
    <w:rsid w:val="00C106CC"/>
    <w:rsid w:val="00C1166A"/>
    <w:rsid w:val="00C118D7"/>
    <w:rsid w:val="00C11BBC"/>
    <w:rsid w:val="00C124F7"/>
    <w:rsid w:val="00C127CC"/>
    <w:rsid w:val="00C12C6C"/>
    <w:rsid w:val="00C12E79"/>
    <w:rsid w:val="00C1329F"/>
    <w:rsid w:val="00C132AB"/>
    <w:rsid w:val="00C136DE"/>
    <w:rsid w:val="00C13A3C"/>
    <w:rsid w:val="00C13E58"/>
    <w:rsid w:val="00C13E68"/>
    <w:rsid w:val="00C1411E"/>
    <w:rsid w:val="00C14207"/>
    <w:rsid w:val="00C143AC"/>
    <w:rsid w:val="00C143E2"/>
    <w:rsid w:val="00C14479"/>
    <w:rsid w:val="00C146F0"/>
    <w:rsid w:val="00C1535E"/>
    <w:rsid w:val="00C15ABB"/>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CD9"/>
    <w:rsid w:val="00C210FA"/>
    <w:rsid w:val="00C21550"/>
    <w:rsid w:val="00C21789"/>
    <w:rsid w:val="00C217B8"/>
    <w:rsid w:val="00C218E4"/>
    <w:rsid w:val="00C21E95"/>
    <w:rsid w:val="00C227EE"/>
    <w:rsid w:val="00C2311E"/>
    <w:rsid w:val="00C235AD"/>
    <w:rsid w:val="00C238C3"/>
    <w:rsid w:val="00C23ABF"/>
    <w:rsid w:val="00C23B71"/>
    <w:rsid w:val="00C24063"/>
    <w:rsid w:val="00C24B39"/>
    <w:rsid w:val="00C24D90"/>
    <w:rsid w:val="00C24FBC"/>
    <w:rsid w:val="00C25260"/>
    <w:rsid w:val="00C253E6"/>
    <w:rsid w:val="00C25475"/>
    <w:rsid w:val="00C2586D"/>
    <w:rsid w:val="00C26980"/>
    <w:rsid w:val="00C26FB5"/>
    <w:rsid w:val="00C278D0"/>
    <w:rsid w:val="00C2799E"/>
    <w:rsid w:val="00C27F01"/>
    <w:rsid w:val="00C30604"/>
    <w:rsid w:val="00C3067B"/>
    <w:rsid w:val="00C3081C"/>
    <w:rsid w:val="00C3092B"/>
    <w:rsid w:val="00C30993"/>
    <w:rsid w:val="00C30C3F"/>
    <w:rsid w:val="00C30D15"/>
    <w:rsid w:val="00C30D36"/>
    <w:rsid w:val="00C30E7D"/>
    <w:rsid w:val="00C310A7"/>
    <w:rsid w:val="00C312FB"/>
    <w:rsid w:val="00C3153E"/>
    <w:rsid w:val="00C315CA"/>
    <w:rsid w:val="00C3185F"/>
    <w:rsid w:val="00C3186B"/>
    <w:rsid w:val="00C31B83"/>
    <w:rsid w:val="00C31D37"/>
    <w:rsid w:val="00C3206C"/>
    <w:rsid w:val="00C32224"/>
    <w:rsid w:val="00C324B1"/>
    <w:rsid w:val="00C32B3A"/>
    <w:rsid w:val="00C3395D"/>
    <w:rsid w:val="00C33F6B"/>
    <w:rsid w:val="00C33FBE"/>
    <w:rsid w:val="00C34435"/>
    <w:rsid w:val="00C34607"/>
    <w:rsid w:val="00C3485A"/>
    <w:rsid w:val="00C34DB1"/>
    <w:rsid w:val="00C34DEE"/>
    <w:rsid w:val="00C35905"/>
    <w:rsid w:val="00C35D05"/>
    <w:rsid w:val="00C35E4C"/>
    <w:rsid w:val="00C36479"/>
    <w:rsid w:val="00C36574"/>
    <w:rsid w:val="00C36796"/>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83A"/>
    <w:rsid w:val="00C46055"/>
    <w:rsid w:val="00C462A2"/>
    <w:rsid w:val="00C469EB"/>
    <w:rsid w:val="00C46D85"/>
    <w:rsid w:val="00C46F39"/>
    <w:rsid w:val="00C471D9"/>
    <w:rsid w:val="00C472FB"/>
    <w:rsid w:val="00C474A3"/>
    <w:rsid w:val="00C474C7"/>
    <w:rsid w:val="00C47572"/>
    <w:rsid w:val="00C47782"/>
    <w:rsid w:val="00C47DEC"/>
    <w:rsid w:val="00C502E1"/>
    <w:rsid w:val="00C5076C"/>
    <w:rsid w:val="00C50874"/>
    <w:rsid w:val="00C50BD9"/>
    <w:rsid w:val="00C50F5E"/>
    <w:rsid w:val="00C50FB3"/>
    <w:rsid w:val="00C517E4"/>
    <w:rsid w:val="00C518A4"/>
    <w:rsid w:val="00C51D21"/>
    <w:rsid w:val="00C52BC1"/>
    <w:rsid w:val="00C52C5A"/>
    <w:rsid w:val="00C533EA"/>
    <w:rsid w:val="00C53420"/>
    <w:rsid w:val="00C5388D"/>
    <w:rsid w:val="00C53E34"/>
    <w:rsid w:val="00C5424B"/>
    <w:rsid w:val="00C542D0"/>
    <w:rsid w:val="00C5469A"/>
    <w:rsid w:val="00C54BCC"/>
    <w:rsid w:val="00C54C6F"/>
    <w:rsid w:val="00C5506D"/>
    <w:rsid w:val="00C5511F"/>
    <w:rsid w:val="00C55179"/>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AB8"/>
    <w:rsid w:val="00C61FA2"/>
    <w:rsid w:val="00C6222D"/>
    <w:rsid w:val="00C623C2"/>
    <w:rsid w:val="00C62787"/>
    <w:rsid w:val="00C630F8"/>
    <w:rsid w:val="00C63B8A"/>
    <w:rsid w:val="00C63C44"/>
    <w:rsid w:val="00C6410E"/>
    <w:rsid w:val="00C641A1"/>
    <w:rsid w:val="00C64FD5"/>
    <w:rsid w:val="00C653B2"/>
    <w:rsid w:val="00C655B9"/>
    <w:rsid w:val="00C657F0"/>
    <w:rsid w:val="00C65AB3"/>
    <w:rsid w:val="00C65AE5"/>
    <w:rsid w:val="00C66116"/>
    <w:rsid w:val="00C664C9"/>
    <w:rsid w:val="00C667D9"/>
    <w:rsid w:val="00C701D6"/>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80E"/>
    <w:rsid w:val="00C76A1A"/>
    <w:rsid w:val="00C77232"/>
    <w:rsid w:val="00C77BE9"/>
    <w:rsid w:val="00C80029"/>
    <w:rsid w:val="00C801FC"/>
    <w:rsid w:val="00C803D5"/>
    <w:rsid w:val="00C808A1"/>
    <w:rsid w:val="00C80B89"/>
    <w:rsid w:val="00C81115"/>
    <w:rsid w:val="00C81228"/>
    <w:rsid w:val="00C818C4"/>
    <w:rsid w:val="00C81A02"/>
    <w:rsid w:val="00C81EA7"/>
    <w:rsid w:val="00C822B2"/>
    <w:rsid w:val="00C825B7"/>
    <w:rsid w:val="00C82C01"/>
    <w:rsid w:val="00C82EEF"/>
    <w:rsid w:val="00C82F1F"/>
    <w:rsid w:val="00C8300C"/>
    <w:rsid w:val="00C83018"/>
    <w:rsid w:val="00C833CA"/>
    <w:rsid w:val="00C83450"/>
    <w:rsid w:val="00C836B8"/>
    <w:rsid w:val="00C84430"/>
    <w:rsid w:val="00C84856"/>
    <w:rsid w:val="00C84882"/>
    <w:rsid w:val="00C8488F"/>
    <w:rsid w:val="00C84C2D"/>
    <w:rsid w:val="00C84CF7"/>
    <w:rsid w:val="00C8521E"/>
    <w:rsid w:val="00C85397"/>
    <w:rsid w:val="00C85596"/>
    <w:rsid w:val="00C855A6"/>
    <w:rsid w:val="00C85C6A"/>
    <w:rsid w:val="00C85CDC"/>
    <w:rsid w:val="00C86C34"/>
    <w:rsid w:val="00C870C0"/>
    <w:rsid w:val="00C870E8"/>
    <w:rsid w:val="00C8728B"/>
    <w:rsid w:val="00C873D7"/>
    <w:rsid w:val="00C876AA"/>
    <w:rsid w:val="00C87946"/>
    <w:rsid w:val="00C87B77"/>
    <w:rsid w:val="00C9024D"/>
    <w:rsid w:val="00C904FD"/>
    <w:rsid w:val="00C9050F"/>
    <w:rsid w:val="00C9076B"/>
    <w:rsid w:val="00C907D6"/>
    <w:rsid w:val="00C90857"/>
    <w:rsid w:val="00C90BAA"/>
    <w:rsid w:val="00C910D2"/>
    <w:rsid w:val="00C91128"/>
    <w:rsid w:val="00C913A5"/>
    <w:rsid w:val="00C9178F"/>
    <w:rsid w:val="00C920B1"/>
    <w:rsid w:val="00C92262"/>
    <w:rsid w:val="00C9289F"/>
    <w:rsid w:val="00C9406D"/>
    <w:rsid w:val="00C94135"/>
    <w:rsid w:val="00C942A9"/>
    <w:rsid w:val="00C945DA"/>
    <w:rsid w:val="00C95715"/>
    <w:rsid w:val="00C960DD"/>
    <w:rsid w:val="00C960E5"/>
    <w:rsid w:val="00C960F2"/>
    <w:rsid w:val="00C96211"/>
    <w:rsid w:val="00C963E5"/>
    <w:rsid w:val="00C9645A"/>
    <w:rsid w:val="00C96936"/>
    <w:rsid w:val="00C96F22"/>
    <w:rsid w:val="00C973E3"/>
    <w:rsid w:val="00C97A46"/>
    <w:rsid w:val="00C97DBC"/>
    <w:rsid w:val="00CA05D4"/>
    <w:rsid w:val="00CA11B9"/>
    <w:rsid w:val="00CA1401"/>
    <w:rsid w:val="00CA310D"/>
    <w:rsid w:val="00CA343D"/>
    <w:rsid w:val="00CA38F0"/>
    <w:rsid w:val="00CA3919"/>
    <w:rsid w:val="00CA3FB1"/>
    <w:rsid w:val="00CA40A3"/>
    <w:rsid w:val="00CA4244"/>
    <w:rsid w:val="00CA4D3B"/>
    <w:rsid w:val="00CA5B55"/>
    <w:rsid w:val="00CA6032"/>
    <w:rsid w:val="00CA6A2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4D"/>
    <w:rsid w:val="00CB416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FD"/>
    <w:rsid w:val="00CC2CE5"/>
    <w:rsid w:val="00CC2FFB"/>
    <w:rsid w:val="00CC34E0"/>
    <w:rsid w:val="00CC36E4"/>
    <w:rsid w:val="00CC38C8"/>
    <w:rsid w:val="00CC3967"/>
    <w:rsid w:val="00CC3CE9"/>
    <w:rsid w:val="00CC3D3B"/>
    <w:rsid w:val="00CC417D"/>
    <w:rsid w:val="00CC42CA"/>
    <w:rsid w:val="00CC42DA"/>
    <w:rsid w:val="00CC5379"/>
    <w:rsid w:val="00CC58BA"/>
    <w:rsid w:val="00CC5DA6"/>
    <w:rsid w:val="00CC5DC9"/>
    <w:rsid w:val="00CC638E"/>
    <w:rsid w:val="00CC6564"/>
    <w:rsid w:val="00CC6F49"/>
    <w:rsid w:val="00CC7915"/>
    <w:rsid w:val="00CC79FB"/>
    <w:rsid w:val="00CC7C10"/>
    <w:rsid w:val="00CD00E9"/>
    <w:rsid w:val="00CD017D"/>
    <w:rsid w:val="00CD0287"/>
    <w:rsid w:val="00CD030B"/>
    <w:rsid w:val="00CD0641"/>
    <w:rsid w:val="00CD07C1"/>
    <w:rsid w:val="00CD09F8"/>
    <w:rsid w:val="00CD134F"/>
    <w:rsid w:val="00CD14C3"/>
    <w:rsid w:val="00CD1653"/>
    <w:rsid w:val="00CD1696"/>
    <w:rsid w:val="00CD1909"/>
    <w:rsid w:val="00CD199C"/>
    <w:rsid w:val="00CD1E75"/>
    <w:rsid w:val="00CD1EA2"/>
    <w:rsid w:val="00CD2DF7"/>
    <w:rsid w:val="00CD30F6"/>
    <w:rsid w:val="00CD3211"/>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78"/>
    <w:rsid w:val="00CD7009"/>
    <w:rsid w:val="00CD7223"/>
    <w:rsid w:val="00CD7999"/>
    <w:rsid w:val="00CD7D71"/>
    <w:rsid w:val="00CD7FDD"/>
    <w:rsid w:val="00CE0A68"/>
    <w:rsid w:val="00CE0B07"/>
    <w:rsid w:val="00CE0C1B"/>
    <w:rsid w:val="00CE150D"/>
    <w:rsid w:val="00CE1669"/>
    <w:rsid w:val="00CE1823"/>
    <w:rsid w:val="00CE193F"/>
    <w:rsid w:val="00CE1BE3"/>
    <w:rsid w:val="00CE1FDA"/>
    <w:rsid w:val="00CE2DCE"/>
    <w:rsid w:val="00CE2F3B"/>
    <w:rsid w:val="00CE2F58"/>
    <w:rsid w:val="00CE3CB9"/>
    <w:rsid w:val="00CE3E0F"/>
    <w:rsid w:val="00CE4447"/>
    <w:rsid w:val="00CE4BAF"/>
    <w:rsid w:val="00CE4CB1"/>
    <w:rsid w:val="00CE5479"/>
    <w:rsid w:val="00CE5636"/>
    <w:rsid w:val="00CE5C00"/>
    <w:rsid w:val="00CE606B"/>
    <w:rsid w:val="00CE60D2"/>
    <w:rsid w:val="00CE62CA"/>
    <w:rsid w:val="00CE6E3F"/>
    <w:rsid w:val="00CE734B"/>
    <w:rsid w:val="00CE7AE6"/>
    <w:rsid w:val="00CF05B4"/>
    <w:rsid w:val="00CF0B69"/>
    <w:rsid w:val="00CF0D20"/>
    <w:rsid w:val="00CF0D8A"/>
    <w:rsid w:val="00CF0DC9"/>
    <w:rsid w:val="00CF121C"/>
    <w:rsid w:val="00CF1250"/>
    <w:rsid w:val="00CF1409"/>
    <w:rsid w:val="00CF1446"/>
    <w:rsid w:val="00CF160C"/>
    <w:rsid w:val="00CF289F"/>
    <w:rsid w:val="00CF2B74"/>
    <w:rsid w:val="00CF3451"/>
    <w:rsid w:val="00CF3506"/>
    <w:rsid w:val="00CF3ACC"/>
    <w:rsid w:val="00CF3B0B"/>
    <w:rsid w:val="00CF3DDF"/>
    <w:rsid w:val="00CF3E29"/>
    <w:rsid w:val="00CF3EE6"/>
    <w:rsid w:val="00CF45ED"/>
    <w:rsid w:val="00CF4D12"/>
    <w:rsid w:val="00CF4F58"/>
    <w:rsid w:val="00CF5562"/>
    <w:rsid w:val="00CF5C6A"/>
    <w:rsid w:val="00CF6AF0"/>
    <w:rsid w:val="00CF71A3"/>
    <w:rsid w:val="00CF72F1"/>
    <w:rsid w:val="00CF7B77"/>
    <w:rsid w:val="00CF7C07"/>
    <w:rsid w:val="00D00090"/>
    <w:rsid w:val="00D00473"/>
    <w:rsid w:val="00D006F9"/>
    <w:rsid w:val="00D007AB"/>
    <w:rsid w:val="00D009DC"/>
    <w:rsid w:val="00D00C8B"/>
    <w:rsid w:val="00D0166C"/>
    <w:rsid w:val="00D01783"/>
    <w:rsid w:val="00D01881"/>
    <w:rsid w:val="00D01E2E"/>
    <w:rsid w:val="00D02059"/>
    <w:rsid w:val="00D02172"/>
    <w:rsid w:val="00D030E8"/>
    <w:rsid w:val="00D0317C"/>
    <w:rsid w:val="00D0332E"/>
    <w:rsid w:val="00D037CE"/>
    <w:rsid w:val="00D03C69"/>
    <w:rsid w:val="00D03DF1"/>
    <w:rsid w:val="00D04475"/>
    <w:rsid w:val="00D04486"/>
    <w:rsid w:val="00D048D2"/>
    <w:rsid w:val="00D04B1A"/>
    <w:rsid w:val="00D0508A"/>
    <w:rsid w:val="00D051E3"/>
    <w:rsid w:val="00D05AEC"/>
    <w:rsid w:val="00D05FCF"/>
    <w:rsid w:val="00D06456"/>
    <w:rsid w:val="00D064C0"/>
    <w:rsid w:val="00D068E0"/>
    <w:rsid w:val="00D06945"/>
    <w:rsid w:val="00D071B5"/>
    <w:rsid w:val="00D07423"/>
    <w:rsid w:val="00D07494"/>
    <w:rsid w:val="00D0749E"/>
    <w:rsid w:val="00D07794"/>
    <w:rsid w:val="00D079C2"/>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BAD"/>
    <w:rsid w:val="00D1406B"/>
    <w:rsid w:val="00D1426E"/>
    <w:rsid w:val="00D1498E"/>
    <w:rsid w:val="00D14E0B"/>
    <w:rsid w:val="00D15151"/>
    <w:rsid w:val="00D15710"/>
    <w:rsid w:val="00D15914"/>
    <w:rsid w:val="00D16137"/>
    <w:rsid w:val="00D163FC"/>
    <w:rsid w:val="00D1665C"/>
    <w:rsid w:val="00D16B07"/>
    <w:rsid w:val="00D16F25"/>
    <w:rsid w:val="00D16F74"/>
    <w:rsid w:val="00D1731B"/>
    <w:rsid w:val="00D17404"/>
    <w:rsid w:val="00D1783B"/>
    <w:rsid w:val="00D20180"/>
    <w:rsid w:val="00D202CC"/>
    <w:rsid w:val="00D20932"/>
    <w:rsid w:val="00D209B3"/>
    <w:rsid w:val="00D20B78"/>
    <w:rsid w:val="00D20BF5"/>
    <w:rsid w:val="00D20C8B"/>
    <w:rsid w:val="00D21065"/>
    <w:rsid w:val="00D213AB"/>
    <w:rsid w:val="00D21424"/>
    <w:rsid w:val="00D21739"/>
    <w:rsid w:val="00D21745"/>
    <w:rsid w:val="00D21CA8"/>
    <w:rsid w:val="00D21F84"/>
    <w:rsid w:val="00D220EB"/>
    <w:rsid w:val="00D22B3C"/>
    <w:rsid w:val="00D22FB0"/>
    <w:rsid w:val="00D23131"/>
    <w:rsid w:val="00D232B8"/>
    <w:rsid w:val="00D23300"/>
    <w:rsid w:val="00D23610"/>
    <w:rsid w:val="00D23871"/>
    <w:rsid w:val="00D24236"/>
    <w:rsid w:val="00D2451A"/>
    <w:rsid w:val="00D24924"/>
    <w:rsid w:val="00D24979"/>
    <w:rsid w:val="00D24A33"/>
    <w:rsid w:val="00D24AC5"/>
    <w:rsid w:val="00D24E0C"/>
    <w:rsid w:val="00D25646"/>
    <w:rsid w:val="00D256C1"/>
    <w:rsid w:val="00D256F0"/>
    <w:rsid w:val="00D25822"/>
    <w:rsid w:val="00D2608C"/>
    <w:rsid w:val="00D26FE3"/>
    <w:rsid w:val="00D27B52"/>
    <w:rsid w:val="00D3000D"/>
    <w:rsid w:val="00D30703"/>
    <w:rsid w:val="00D30755"/>
    <w:rsid w:val="00D31A56"/>
    <w:rsid w:val="00D32163"/>
    <w:rsid w:val="00D322AB"/>
    <w:rsid w:val="00D32315"/>
    <w:rsid w:val="00D32775"/>
    <w:rsid w:val="00D328A5"/>
    <w:rsid w:val="00D32FE0"/>
    <w:rsid w:val="00D33840"/>
    <w:rsid w:val="00D3399D"/>
    <w:rsid w:val="00D33DDE"/>
    <w:rsid w:val="00D340B7"/>
    <w:rsid w:val="00D347DE"/>
    <w:rsid w:val="00D349D5"/>
    <w:rsid w:val="00D34A59"/>
    <w:rsid w:val="00D34E03"/>
    <w:rsid w:val="00D34F5A"/>
    <w:rsid w:val="00D359F3"/>
    <w:rsid w:val="00D36D1A"/>
    <w:rsid w:val="00D36D25"/>
    <w:rsid w:val="00D371E0"/>
    <w:rsid w:val="00D37278"/>
    <w:rsid w:val="00D375F9"/>
    <w:rsid w:val="00D37E8A"/>
    <w:rsid w:val="00D4080D"/>
    <w:rsid w:val="00D409F6"/>
    <w:rsid w:val="00D40E29"/>
    <w:rsid w:val="00D4118C"/>
    <w:rsid w:val="00D41771"/>
    <w:rsid w:val="00D4208C"/>
    <w:rsid w:val="00D4234C"/>
    <w:rsid w:val="00D4249B"/>
    <w:rsid w:val="00D42B03"/>
    <w:rsid w:val="00D434C8"/>
    <w:rsid w:val="00D4374F"/>
    <w:rsid w:val="00D441F7"/>
    <w:rsid w:val="00D44276"/>
    <w:rsid w:val="00D444C7"/>
    <w:rsid w:val="00D44E24"/>
    <w:rsid w:val="00D45209"/>
    <w:rsid w:val="00D454ED"/>
    <w:rsid w:val="00D45C1D"/>
    <w:rsid w:val="00D45C6E"/>
    <w:rsid w:val="00D45CAB"/>
    <w:rsid w:val="00D4604A"/>
    <w:rsid w:val="00D465A2"/>
    <w:rsid w:val="00D466C4"/>
    <w:rsid w:val="00D467DD"/>
    <w:rsid w:val="00D46C9D"/>
    <w:rsid w:val="00D46FF8"/>
    <w:rsid w:val="00D4796D"/>
    <w:rsid w:val="00D50021"/>
    <w:rsid w:val="00D503B1"/>
    <w:rsid w:val="00D50DFC"/>
    <w:rsid w:val="00D50F8F"/>
    <w:rsid w:val="00D51012"/>
    <w:rsid w:val="00D51179"/>
    <w:rsid w:val="00D51DAB"/>
    <w:rsid w:val="00D52E91"/>
    <w:rsid w:val="00D52F43"/>
    <w:rsid w:val="00D53201"/>
    <w:rsid w:val="00D538F9"/>
    <w:rsid w:val="00D53983"/>
    <w:rsid w:val="00D53F25"/>
    <w:rsid w:val="00D54208"/>
    <w:rsid w:val="00D5438A"/>
    <w:rsid w:val="00D54925"/>
    <w:rsid w:val="00D54FE9"/>
    <w:rsid w:val="00D55797"/>
    <w:rsid w:val="00D55924"/>
    <w:rsid w:val="00D55CCE"/>
    <w:rsid w:val="00D56042"/>
    <w:rsid w:val="00D5604E"/>
    <w:rsid w:val="00D560B6"/>
    <w:rsid w:val="00D56256"/>
    <w:rsid w:val="00D5653F"/>
    <w:rsid w:val="00D56F89"/>
    <w:rsid w:val="00D5788F"/>
    <w:rsid w:val="00D579BA"/>
    <w:rsid w:val="00D57CC9"/>
    <w:rsid w:val="00D57E26"/>
    <w:rsid w:val="00D57FD6"/>
    <w:rsid w:val="00D6012F"/>
    <w:rsid w:val="00D60A04"/>
    <w:rsid w:val="00D6126E"/>
    <w:rsid w:val="00D61346"/>
    <w:rsid w:val="00D61400"/>
    <w:rsid w:val="00D615EA"/>
    <w:rsid w:val="00D617C2"/>
    <w:rsid w:val="00D61CDD"/>
    <w:rsid w:val="00D61D01"/>
    <w:rsid w:val="00D620A1"/>
    <w:rsid w:val="00D6235A"/>
    <w:rsid w:val="00D62467"/>
    <w:rsid w:val="00D62674"/>
    <w:rsid w:val="00D62788"/>
    <w:rsid w:val="00D629E0"/>
    <w:rsid w:val="00D62CF9"/>
    <w:rsid w:val="00D63675"/>
    <w:rsid w:val="00D64419"/>
    <w:rsid w:val="00D64A78"/>
    <w:rsid w:val="00D654C2"/>
    <w:rsid w:val="00D659F8"/>
    <w:rsid w:val="00D65A3F"/>
    <w:rsid w:val="00D65C7B"/>
    <w:rsid w:val="00D660C4"/>
    <w:rsid w:val="00D664C7"/>
    <w:rsid w:val="00D66ADE"/>
    <w:rsid w:val="00D66C6B"/>
    <w:rsid w:val="00D66F7E"/>
    <w:rsid w:val="00D67B90"/>
    <w:rsid w:val="00D67CDB"/>
    <w:rsid w:val="00D67D25"/>
    <w:rsid w:val="00D67F40"/>
    <w:rsid w:val="00D7007F"/>
    <w:rsid w:val="00D70142"/>
    <w:rsid w:val="00D704DE"/>
    <w:rsid w:val="00D70506"/>
    <w:rsid w:val="00D70623"/>
    <w:rsid w:val="00D70939"/>
    <w:rsid w:val="00D70D0C"/>
    <w:rsid w:val="00D7149A"/>
    <w:rsid w:val="00D71B39"/>
    <w:rsid w:val="00D71D21"/>
    <w:rsid w:val="00D71F0E"/>
    <w:rsid w:val="00D71F48"/>
    <w:rsid w:val="00D72027"/>
    <w:rsid w:val="00D7236C"/>
    <w:rsid w:val="00D725EA"/>
    <w:rsid w:val="00D72804"/>
    <w:rsid w:val="00D72AF9"/>
    <w:rsid w:val="00D72C2A"/>
    <w:rsid w:val="00D72E60"/>
    <w:rsid w:val="00D7339C"/>
    <w:rsid w:val="00D73563"/>
    <w:rsid w:val="00D73AE0"/>
    <w:rsid w:val="00D73E26"/>
    <w:rsid w:val="00D73FA3"/>
    <w:rsid w:val="00D742BC"/>
    <w:rsid w:val="00D74BA0"/>
    <w:rsid w:val="00D74D03"/>
    <w:rsid w:val="00D759F2"/>
    <w:rsid w:val="00D75C77"/>
    <w:rsid w:val="00D75EDB"/>
    <w:rsid w:val="00D75F97"/>
    <w:rsid w:val="00D76D50"/>
    <w:rsid w:val="00D77278"/>
    <w:rsid w:val="00D77887"/>
    <w:rsid w:val="00D804E8"/>
    <w:rsid w:val="00D80799"/>
    <w:rsid w:val="00D808FF"/>
    <w:rsid w:val="00D809CD"/>
    <w:rsid w:val="00D80A99"/>
    <w:rsid w:val="00D80F04"/>
    <w:rsid w:val="00D8123C"/>
    <w:rsid w:val="00D8165A"/>
    <w:rsid w:val="00D81675"/>
    <w:rsid w:val="00D81C1E"/>
    <w:rsid w:val="00D8215F"/>
    <w:rsid w:val="00D826E1"/>
    <w:rsid w:val="00D82C98"/>
    <w:rsid w:val="00D82D7B"/>
    <w:rsid w:val="00D82E89"/>
    <w:rsid w:val="00D83314"/>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81F"/>
    <w:rsid w:val="00D869B2"/>
    <w:rsid w:val="00D86AEF"/>
    <w:rsid w:val="00D86B93"/>
    <w:rsid w:val="00D86F6B"/>
    <w:rsid w:val="00D87866"/>
    <w:rsid w:val="00D87AB4"/>
    <w:rsid w:val="00D906BE"/>
    <w:rsid w:val="00D90941"/>
    <w:rsid w:val="00D91A3C"/>
    <w:rsid w:val="00D9201A"/>
    <w:rsid w:val="00D92093"/>
    <w:rsid w:val="00D92233"/>
    <w:rsid w:val="00D92981"/>
    <w:rsid w:val="00D93234"/>
    <w:rsid w:val="00D93493"/>
    <w:rsid w:val="00D93832"/>
    <w:rsid w:val="00D938F0"/>
    <w:rsid w:val="00D93A1D"/>
    <w:rsid w:val="00D93BA0"/>
    <w:rsid w:val="00D9420E"/>
    <w:rsid w:val="00D9445F"/>
    <w:rsid w:val="00D946B8"/>
    <w:rsid w:val="00D946F7"/>
    <w:rsid w:val="00D947B0"/>
    <w:rsid w:val="00D948A2"/>
    <w:rsid w:val="00D948FF"/>
    <w:rsid w:val="00D9490C"/>
    <w:rsid w:val="00D949B3"/>
    <w:rsid w:val="00D94CCC"/>
    <w:rsid w:val="00D9547F"/>
    <w:rsid w:val="00D95573"/>
    <w:rsid w:val="00D955A8"/>
    <w:rsid w:val="00D95691"/>
    <w:rsid w:val="00D95A52"/>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15B7"/>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499"/>
    <w:rsid w:val="00DA5702"/>
    <w:rsid w:val="00DA6308"/>
    <w:rsid w:val="00DA6FCA"/>
    <w:rsid w:val="00DA7195"/>
    <w:rsid w:val="00DA7380"/>
    <w:rsid w:val="00DA768F"/>
    <w:rsid w:val="00DA7784"/>
    <w:rsid w:val="00DB0009"/>
    <w:rsid w:val="00DB00A2"/>
    <w:rsid w:val="00DB01B4"/>
    <w:rsid w:val="00DB031E"/>
    <w:rsid w:val="00DB0811"/>
    <w:rsid w:val="00DB0EDB"/>
    <w:rsid w:val="00DB1370"/>
    <w:rsid w:val="00DB13A7"/>
    <w:rsid w:val="00DB152E"/>
    <w:rsid w:val="00DB1B8E"/>
    <w:rsid w:val="00DB1E1C"/>
    <w:rsid w:val="00DB240A"/>
    <w:rsid w:val="00DB2481"/>
    <w:rsid w:val="00DB2687"/>
    <w:rsid w:val="00DB2695"/>
    <w:rsid w:val="00DB37FA"/>
    <w:rsid w:val="00DB3A9E"/>
    <w:rsid w:val="00DB3BF0"/>
    <w:rsid w:val="00DB3E41"/>
    <w:rsid w:val="00DB3FCF"/>
    <w:rsid w:val="00DB423A"/>
    <w:rsid w:val="00DB43E1"/>
    <w:rsid w:val="00DB448A"/>
    <w:rsid w:val="00DB4636"/>
    <w:rsid w:val="00DB493E"/>
    <w:rsid w:val="00DB4C40"/>
    <w:rsid w:val="00DB4CDA"/>
    <w:rsid w:val="00DB4CED"/>
    <w:rsid w:val="00DB4D21"/>
    <w:rsid w:val="00DB53C5"/>
    <w:rsid w:val="00DB595F"/>
    <w:rsid w:val="00DB5B2F"/>
    <w:rsid w:val="00DB5EC6"/>
    <w:rsid w:val="00DB5F08"/>
    <w:rsid w:val="00DB6843"/>
    <w:rsid w:val="00DB6DE3"/>
    <w:rsid w:val="00DB73AB"/>
    <w:rsid w:val="00DB789B"/>
    <w:rsid w:val="00DB7D20"/>
    <w:rsid w:val="00DB7E66"/>
    <w:rsid w:val="00DB7FBD"/>
    <w:rsid w:val="00DC00DF"/>
    <w:rsid w:val="00DC0155"/>
    <w:rsid w:val="00DC0456"/>
    <w:rsid w:val="00DC0745"/>
    <w:rsid w:val="00DC081B"/>
    <w:rsid w:val="00DC0D4E"/>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E44"/>
    <w:rsid w:val="00DC4521"/>
    <w:rsid w:val="00DC458A"/>
    <w:rsid w:val="00DC46FA"/>
    <w:rsid w:val="00DC4B2F"/>
    <w:rsid w:val="00DC4E24"/>
    <w:rsid w:val="00DC4F70"/>
    <w:rsid w:val="00DC517E"/>
    <w:rsid w:val="00DC5187"/>
    <w:rsid w:val="00DC54D5"/>
    <w:rsid w:val="00DC5532"/>
    <w:rsid w:val="00DC5B09"/>
    <w:rsid w:val="00DC6B05"/>
    <w:rsid w:val="00DC7079"/>
    <w:rsid w:val="00DC7906"/>
    <w:rsid w:val="00DC792E"/>
    <w:rsid w:val="00DC7948"/>
    <w:rsid w:val="00DC7AA4"/>
    <w:rsid w:val="00DC7C5B"/>
    <w:rsid w:val="00DC7C88"/>
    <w:rsid w:val="00DC7E43"/>
    <w:rsid w:val="00DD0918"/>
    <w:rsid w:val="00DD0EEF"/>
    <w:rsid w:val="00DD10CD"/>
    <w:rsid w:val="00DD1EE3"/>
    <w:rsid w:val="00DD2235"/>
    <w:rsid w:val="00DD255E"/>
    <w:rsid w:val="00DD2C0F"/>
    <w:rsid w:val="00DD3007"/>
    <w:rsid w:val="00DD3039"/>
    <w:rsid w:val="00DD316B"/>
    <w:rsid w:val="00DD35AF"/>
    <w:rsid w:val="00DD3A4D"/>
    <w:rsid w:val="00DD3CFE"/>
    <w:rsid w:val="00DD3FEE"/>
    <w:rsid w:val="00DD4911"/>
    <w:rsid w:val="00DD4BA9"/>
    <w:rsid w:val="00DD4FD8"/>
    <w:rsid w:val="00DD5592"/>
    <w:rsid w:val="00DD5714"/>
    <w:rsid w:val="00DD5C5B"/>
    <w:rsid w:val="00DD5CB6"/>
    <w:rsid w:val="00DD6056"/>
    <w:rsid w:val="00DD6301"/>
    <w:rsid w:val="00DD647C"/>
    <w:rsid w:val="00DD67EC"/>
    <w:rsid w:val="00DD69A6"/>
    <w:rsid w:val="00DD6B9B"/>
    <w:rsid w:val="00DD6D4F"/>
    <w:rsid w:val="00DD6F35"/>
    <w:rsid w:val="00DD70F3"/>
    <w:rsid w:val="00DE0045"/>
    <w:rsid w:val="00DE008C"/>
    <w:rsid w:val="00DE0248"/>
    <w:rsid w:val="00DE03AD"/>
    <w:rsid w:val="00DE0558"/>
    <w:rsid w:val="00DE13FA"/>
    <w:rsid w:val="00DE16E0"/>
    <w:rsid w:val="00DE1A91"/>
    <w:rsid w:val="00DE1A95"/>
    <w:rsid w:val="00DE1CAC"/>
    <w:rsid w:val="00DE1D23"/>
    <w:rsid w:val="00DE2197"/>
    <w:rsid w:val="00DE2DED"/>
    <w:rsid w:val="00DE2EF3"/>
    <w:rsid w:val="00DE3231"/>
    <w:rsid w:val="00DE376F"/>
    <w:rsid w:val="00DE3A5D"/>
    <w:rsid w:val="00DE3C42"/>
    <w:rsid w:val="00DE3D19"/>
    <w:rsid w:val="00DE4678"/>
    <w:rsid w:val="00DE4791"/>
    <w:rsid w:val="00DE49DE"/>
    <w:rsid w:val="00DE4C3F"/>
    <w:rsid w:val="00DE4DEB"/>
    <w:rsid w:val="00DE4E51"/>
    <w:rsid w:val="00DE52C2"/>
    <w:rsid w:val="00DE5856"/>
    <w:rsid w:val="00DE58DC"/>
    <w:rsid w:val="00DE5E33"/>
    <w:rsid w:val="00DE5FC9"/>
    <w:rsid w:val="00DE6B12"/>
    <w:rsid w:val="00DE6D8A"/>
    <w:rsid w:val="00DE7483"/>
    <w:rsid w:val="00DE7486"/>
    <w:rsid w:val="00DE756E"/>
    <w:rsid w:val="00DE7765"/>
    <w:rsid w:val="00DE77E6"/>
    <w:rsid w:val="00DE798A"/>
    <w:rsid w:val="00DE7E17"/>
    <w:rsid w:val="00DE7EA9"/>
    <w:rsid w:val="00DE7F21"/>
    <w:rsid w:val="00DE7FC6"/>
    <w:rsid w:val="00DF006A"/>
    <w:rsid w:val="00DF06BE"/>
    <w:rsid w:val="00DF074B"/>
    <w:rsid w:val="00DF07EB"/>
    <w:rsid w:val="00DF08DB"/>
    <w:rsid w:val="00DF09D0"/>
    <w:rsid w:val="00DF0D21"/>
    <w:rsid w:val="00DF0F15"/>
    <w:rsid w:val="00DF1D51"/>
    <w:rsid w:val="00DF205E"/>
    <w:rsid w:val="00DF206B"/>
    <w:rsid w:val="00DF2523"/>
    <w:rsid w:val="00DF2A81"/>
    <w:rsid w:val="00DF2BAE"/>
    <w:rsid w:val="00DF2D97"/>
    <w:rsid w:val="00DF3461"/>
    <w:rsid w:val="00DF37A2"/>
    <w:rsid w:val="00DF3C47"/>
    <w:rsid w:val="00DF43FF"/>
    <w:rsid w:val="00DF480E"/>
    <w:rsid w:val="00DF49AE"/>
    <w:rsid w:val="00DF4A3D"/>
    <w:rsid w:val="00DF4A51"/>
    <w:rsid w:val="00DF4E1B"/>
    <w:rsid w:val="00DF4E3D"/>
    <w:rsid w:val="00DF4EEC"/>
    <w:rsid w:val="00DF4F4D"/>
    <w:rsid w:val="00DF563E"/>
    <w:rsid w:val="00DF5AF0"/>
    <w:rsid w:val="00DF5F7E"/>
    <w:rsid w:val="00DF6263"/>
    <w:rsid w:val="00DF6C49"/>
    <w:rsid w:val="00DF6C9C"/>
    <w:rsid w:val="00DF72A5"/>
    <w:rsid w:val="00DF7301"/>
    <w:rsid w:val="00DF79B1"/>
    <w:rsid w:val="00E00078"/>
    <w:rsid w:val="00E003BE"/>
    <w:rsid w:val="00E00A15"/>
    <w:rsid w:val="00E01271"/>
    <w:rsid w:val="00E0167B"/>
    <w:rsid w:val="00E0174C"/>
    <w:rsid w:val="00E01808"/>
    <w:rsid w:val="00E018FC"/>
    <w:rsid w:val="00E01C12"/>
    <w:rsid w:val="00E01D87"/>
    <w:rsid w:val="00E01E9F"/>
    <w:rsid w:val="00E01F86"/>
    <w:rsid w:val="00E02058"/>
    <w:rsid w:val="00E020A8"/>
    <w:rsid w:val="00E0247A"/>
    <w:rsid w:val="00E024F4"/>
    <w:rsid w:val="00E029B8"/>
    <w:rsid w:val="00E02CB4"/>
    <w:rsid w:val="00E02D57"/>
    <w:rsid w:val="00E02E51"/>
    <w:rsid w:val="00E03470"/>
    <w:rsid w:val="00E0349E"/>
    <w:rsid w:val="00E0389C"/>
    <w:rsid w:val="00E03BE2"/>
    <w:rsid w:val="00E03EE0"/>
    <w:rsid w:val="00E0428D"/>
    <w:rsid w:val="00E042C5"/>
    <w:rsid w:val="00E044EC"/>
    <w:rsid w:val="00E045E2"/>
    <w:rsid w:val="00E046F6"/>
    <w:rsid w:val="00E04D15"/>
    <w:rsid w:val="00E058B1"/>
    <w:rsid w:val="00E05995"/>
    <w:rsid w:val="00E05E1A"/>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A8"/>
    <w:rsid w:val="00E11D41"/>
    <w:rsid w:val="00E11D63"/>
    <w:rsid w:val="00E13A26"/>
    <w:rsid w:val="00E13C81"/>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17BF7"/>
    <w:rsid w:val="00E205AA"/>
    <w:rsid w:val="00E20AAB"/>
    <w:rsid w:val="00E20AB6"/>
    <w:rsid w:val="00E20B8E"/>
    <w:rsid w:val="00E20E79"/>
    <w:rsid w:val="00E20EAB"/>
    <w:rsid w:val="00E21079"/>
    <w:rsid w:val="00E21759"/>
    <w:rsid w:val="00E21B5F"/>
    <w:rsid w:val="00E22373"/>
    <w:rsid w:val="00E22FC8"/>
    <w:rsid w:val="00E230A0"/>
    <w:rsid w:val="00E232D7"/>
    <w:rsid w:val="00E2345D"/>
    <w:rsid w:val="00E235B7"/>
    <w:rsid w:val="00E23DD4"/>
    <w:rsid w:val="00E23E1D"/>
    <w:rsid w:val="00E241F5"/>
    <w:rsid w:val="00E24A05"/>
    <w:rsid w:val="00E2518B"/>
    <w:rsid w:val="00E25CC4"/>
    <w:rsid w:val="00E25D2B"/>
    <w:rsid w:val="00E25D40"/>
    <w:rsid w:val="00E26010"/>
    <w:rsid w:val="00E2603F"/>
    <w:rsid w:val="00E26116"/>
    <w:rsid w:val="00E26307"/>
    <w:rsid w:val="00E2683D"/>
    <w:rsid w:val="00E2689B"/>
    <w:rsid w:val="00E269AF"/>
    <w:rsid w:val="00E2726E"/>
    <w:rsid w:val="00E2782B"/>
    <w:rsid w:val="00E27AE1"/>
    <w:rsid w:val="00E27D16"/>
    <w:rsid w:val="00E27D8C"/>
    <w:rsid w:val="00E30644"/>
    <w:rsid w:val="00E308CB"/>
    <w:rsid w:val="00E31143"/>
    <w:rsid w:val="00E31658"/>
    <w:rsid w:val="00E3192C"/>
    <w:rsid w:val="00E31A95"/>
    <w:rsid w:val="00E32227"/>
    <w:rsid w:val="00E3264D"/>
    <w:rsid w:val="00E327F2"/>
    <w:rsid w:val="00E32D8D"/>
    <w:rsid w:val="00E336B6"/>
    <w:rsid w:val="00E33775"/>
    <w:rsid w:val="00E33A23"/>
    <w:rsid w:val="00E344C7"/>
    <w:rsid w:val="00E345F8"/>
    <w:rsid w:val="00E346FA"/>
    <w:rsid w:val="00E34ABC"/>
    <w:rsid w:val="00E34C7F"/>
    <w:rsid w:val="00E34D08"/>
    <w:rsid w:val="00E3508B"/>
    <w:rsid w:val="00E3552F"/>
    <w:rsid w:val="00E3566A"/>
    <w:rsid w:val="00E35A52"/>
    <w:rsid w:val="00E35BB2"/>
    <w:rsid w:val="00E3662F"/>
    <w:rsid w:val="00E36798"/>
    <w:rsid w:val="00E3701A"/>
    <w:rsid w:val="00E372F3"/>
    <w:rsid w:val="00E372FD"/>
    <w:rsid w:val="00E37A5E"/>
    <w:rsid w:val="00E37A72"/>
    <w:rsid w:val="00E37EB3"/>
    <w:rsid w:val="00E40070"/>
    <w:rsid w:val="00E4013A"/>
    <w:rsid w:val="00E4029B"/>
    <w:rsid w:val="00E4086A"/>
    <w:rsid w:val="00E41547"/>
    <w:rsid w:val="00E41A35"/>
    <w:rsid w:val="00E41B0E"/>
    <w:rsid w:val="00E41B7B"/>
    <w:rsid w:val="00E41DFB"/>
    <w:rsid w:val="00E42280"/>
    <w:rsid w:val="00E428BA"/>
    <w:rsid w:val="00E429FB"/>
    <w:rsid w:val="00E42B15"/>
    <w:rsid w:val="00E433E9"/>
    <w:rsid w:val="00E435BB"/>
    <w:rsid w:val="00E436D9"/>
    <w:rsid w:val="00E438B2"/>
    <w:rsid w:val="00E44045"/>
    <w:rsid w:val="00E443CC"/>
    <w:rsid w:val="00E446D2"/>
    <w:rsid w:val="00E449D1"/>
    <w:rsid w:val="00E44B05"/>
    <w:rsid w:val="00E44E40"/>
    <w:rsid w:val="00E44E99"/>
    <w:rsid w:val="00E457BA"/>
    <w:rsid w:val="00E45955"/>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0F05"/>
    <w:rsid w:val="00E51711"/>
    <w:rsid w:val="00E518DB"/>
    <w:rsid w:val="00E527B7"/>
    <w:rsid w:val="00E527C9"/>
    <w:rsid w:val="00E52A9E"/>
    <w:rsid w:val="00E52E13"/>
    <w:rsid w:val="00E52F4E"/>
    <w:rsid w:val="00E53097"/>
    <w:rsid w:val="00E5409C"/>
    <w:rsid w:val="00E54445"/>
    <w:rsid w:val="00E54838"/>
    <w:rsid w:val="00E54A47"/>
    <w:rsid w:val="00E553AA"/>
    <w:rsid w:val="00E55B96"/>
    <w:rsid w:val="00E55E7F"/>
    <w:rsid w:val="00E56EDC"/>
    <w:rsid w:val="00E57714"/>
    <w:rsid w:val="00E57AC7"/>
    <w:rsid w:val="00E57B25"/>
    <w:rsid w:val="00E57EEE"/>
    <w:rsid w:val="00E60843"/>
    <w:rsid w:val="00E60979"/>
    <w:rsid w:val="00E60998"/>
    <w:rsid w:val="00E60ACF"/>
    <w:rsid w:val="00E60B1E"/>
    <w:rsid w:val="00E60CBA"/>
    <w:rsid w:val="00E6149F"/>
    <w:rsid w:val="00E61A31"/>
    <w:rsid w:val="00E61A83"/>
    <w:rsid w:val="00E61CD7"/>
    <w:rsid w:val="00E62063"/>
    <w:rsid w:val="00E621C3"/>
    <w:rsid w:val="00E62873"/>
    <w:rsid w:val="00E62D29"/>
    <w:rsid w:val="00E62D6A"/>
    <w:rsid w:val="00E63495"/>
    <w:rsid w:val="00E637C0"/>
    <w:rsid w:val="00E63D60"/>
    <w:rsid w:val="00E63E2E"/>
    <w:rsid w:val="00E645E0"/>
    <w:rsid w:val="00E64C33"/>
    <w:rsid w:val="00E64F73"/>
    <w:rsid w:val="00E657AB"/>
    <w:rsid w:val="00E660DE"/>
    <w:rsid w:val="00E66839"/>
    <w:rsid w:val="00E6685C"/>
    <w:rsid w:val="00E6732A"/>
    <w:rsid w:val="00E67ABE"/>
    <w:rsid w:val="00E67B9A"/>
    <w:rsid w:val="00E707F5"/>
    <w:rsid w:val="00E7128F"/>
    <w:rsid w:val="00E71D15"/>
    <w:rsid w:val="00E72270"/>
    <w:rsid w:val="00E7245F"/>
    <w:rsid w:val="00E725A5"/>
    <w:rsid w:val="00E727B5"/>
    <w:rsid w:val="00E729B1"/>
    <w:rsid w:val="00E72B47"/>
    <w:rsid w:val="00E72E0D"/>
    <w:rsid w:val="00E737EF"/>
    <w:rsid w:val="00E73D4F"/>
    <w:rsid w:val="00E73D60"/>
    <w:rsid w:val="00E74097"/>
    <w:rsid w:val="00E74C3B"/>
    <w:rsid w:val="00E74DFC"/>
    <w:rsid w:val="00E74E47"/>
    <w:rsid w:val="00E758A5"/>
    <w:rsid w:val="00E758B1"/>
    <w:rsid w:val="00E75DED"/>
    <w:rsid w:val="00E75E36"/>
    <w:rsid w:val="00E75F22"/>
    <w:rsid w:val="00E75F71"/>
    <w:rsid w:val="00E75FE3"/>
    <w:rsid w:val="00E76467"/>
    <w:rsid w:val="00E76759"/>
    <w:rsid w:val="00E7680E"/>
    <w:rsid w:val="00E76ACF"/>
    <w:rsid w:val="00E76C23"/>
    <w:rsid w:val="00E76E85"/>
    <w:rsid w:val="00E77048"/>
    <w:rsid w:val="00E7705F"/>
    <w:rsid w:val="00E77102"/>
    <w:rsid w:val="00E772FD"/>
    <w:rsid w:val="00E7783C"/>
    <w:rsid w:val="00E77963"/>
    <w:rsid w:val="00E77B9D"/>
    <w:rsid w:val="00E77F51"/>
    <w:rsid w:val="00E77FC7"/>
    <w:rsid w:val="00E80191"/>
    <w:rsid w:val="00E80998"/>
    <w:rsid w:val="00E80DEE"/>
    <w:rsid w:val="00E818A2"/>
    <w:rsid w:val="00E81B0C"/>
    <w:rsid w:val="00E8202E"/>
    <w:rsid w:val="00E82043"/>
    <w:rsid w:val="00E82BA7"/>
    <w:rsid w:val="00E82E1F"/>
    <w:rsid w:val="00E82F35"/>
    <w:rsid w:val="00E83192"/>
    <w:rsid w:val="00E8328F"/>
    <w:rsid w:val="00E83720"/>
    <w:rsid w:val="00E839F3"/>
    <w:rsid w:val="00E845A0"/>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987"/>
    <w:rsid w:val="00E87F8A"/>
    <w:rsid w:val="00E87FCD"/>
    <w:rsid w:val="00E903A8"/>
    <w:rsid w:val="00E90B6F"/>
    <w:rsid w:val="00E911C0"/>
    <w:rsid w:val="00E9122F"/>
    <w:rsid w:val="00E918E6"/>
    <w:rsid w:val="00E91C58"/>
    <w:rsid w:val="00E9250C"/>
    <w:rsid w:val="00E9297C"/>
    <w:rsid w:val="00E92994"/>
    <w:rsid w:val="00E92C77"/>
    <w:rsid w:val="00E92C99"/>
    <w:rsid w:val="00E9301C"/>
    <w:rsid w:val="00E93D36"/>
    <w:rsid w:val="00E940DB"/>
    <w:rsid w:val="00E94310"/>
    <w:rsid w:val="00E94A6A"/>
    <w:rsid w:val="00E9529C"/>
    <w:rsid w:val="00E957F8"/>
    <w:rsid w:val="00E95B5A"/>
    <w:rsid w:val="00E96231"/>
    <w:rsid w:val="00E968E3"/>
    <w:rsid w:val="00E96997"/>
    <w:rsid w:val="00E96B5F"/>
    <w:rsid w:val="00E97660"/>
    <w:rsid w:val="00E977CB"/>
    <w:rsid w:val="00E97B57"/>
    <w:rsid w:val="00E97D3C"/>
    <w:rsid w:val="00EA03CF"/>
    <w:rsid w:val="00EA0505"/>
    <w:rsid w:val="00EA08C9"/>
    <w:rsid w:val="00EA1051"/>
    <w:rsid w:val="00EA1872"/>
    <w:rsid w:val="00EA1BA0"/>
    <w:rsid w:val="00EA1BCF"/>
    <w:rsid w:val="00EA2375"/>
    <w:rsid w:val="00EA251B"/>
    <w:rsid w:val="00EA270D"/>
    <w:rsid w:val="00EA2871"/>
    <w:rsid w:val="00EA2A22"/>
    <w:rsid w:val="00EA2B3B"/>
    <w:rsid w:val="00EA2C9B"/>
    <w:rsid w:val="00EA2FD5"/>
    <w:rsid w:val="00EA300A"/>
    <w:rsid w:val="00EA310E"/>
    <w:rsid w:val="00EA34C0"/>
    <w:rsid w:val="00EA3F07"/>
    <w:rsid w:val="00EA47FA"/>
    <w:rsid w:val="00EA4D58"/>
    <w:rsid w:val="00EA5512"/>
    <w:rsid w:val="00EA5834"/>
    <w:rsid w:val="00EA5972"/>
    <w:rsid w:val="00EA5DCA"/>
    <w:rsid w:val="00EA6427"/>
    <w:rsid w:val="00EA6565"/>
    <w:rsid w:val="00EA658B"/>
    <w:rsid w:val="00EA68C9"/>
    <w:rsid w:val="00EA7112"/>
    <w:rsid w:val="00EA74E8"/>
    <w:rsid w:val="00EA760B"/>
    <w:rsid w:val="00EA77E8"/>
    <w:rsid w:val="00EA7912"/>
    <w:rsid w:val="00EB003F"/>
    <w:rsid w:val="00EB011D"/>
    <w:rsid w:val="00EB088F"/>
    <w:rsid w:val="00EB0A3C"/>
    <w:rsid w:val="00EB0F69"/>
    <w:rsid w:val="00EB1067"/>
    <w:rsid w:val="00EB176E"/>
    <w:rsid w:val="00EB1BB4"/>
    <w:rsid w:val="00EB202D"/>
    <w:rsid w:val="00EB2C4E"/>
    <w:rsid w:val="00EB2C70"/>
    <w:rsid w:val="00EB2F70"/>
    <w:rsid w:val="00EB30BF"/>
    <w:rsid w:val="00EB32C0"/>
    <w:rsid w:val="00EB47A7"/>
    <w:rsid w:val="00EB47E3"/>
    <w:rsid w:val="00EB47F0"/>
    <w:rsid w:val="00EB5080"/>
    <w:rsid w:val="00EB5850"/>
    <w:rsid w:val="00EB599B"/>
    <w:rsid w:val="00EB6474"/>
    <w:rsid w:val="00EB6747"/>
    <w:rsid w:val="00EB721B"/>
    <w:rsid w:val="00EB73A7"/>
    <w:rsid w:val="00EB7516"/>
    <w:rsid w:val="00EB753F"/>
    <w:rsid w:val="00EB7966"/>
    <w:rsid w:val="00EB79F8"/>
    <w:rsid w:val="00EC0038"/>
    <w:rsid w:val="00EC06EB"/>
    <w:rsid w:val="00EC0BC9"/>
    <w:rsid w:val="00EC0D48"/>
    <w:rsid w:val="00EC0E0A"/>
    <w:rsid w:val="00EC1110"/>
    <w:rsid w:val="00EC1575"/>
    <w:rsid w:val="00EC1948"/>
    <w:rsid w:val="00EC1AAA"/>
    <w:rsid w:val="00EC1BDB"/>
    <w:rsid w:val="00EC26D0"/>
    <w:rsid w:val="00EC2729"/>
    <w:rsid w:val="00EC2846"/>
    <w:rsid w:val="00EC2888"/>
    <w:rsid w:val="00EC29A2"/>
    <w:rsid w:val="00EC2EB5"/>
    <w:rsid w:val="00EC3861"/>
    <w:rsid w:val="00EC3D93"/>
    <w:rsid w:val="00EC4079"/>
    <w:rsid w:val="00EC422F"/>
    <w:rsid w:val="00EC4242"/>
    <w:rsid w:val="00EC424D"/>
    <w:rsid w:val="00EC432F"/>
    <w:rsid w:val="00EC4C0F"/>
    <w:rsid w:val="00EC51A6"/>
    <w:rsid w:val="00EC5358"/>
    <w:rsid w:val="00EC5F54"/>
    <w:rsid w:val="00EC6542"/>
    <w:rsid w:val="00EC6C08"/>
    <w:rsid w:val="00EC714A"/>
    <w:rsid w:val="00EC7750"/>
    <w:rsid w:val="00EC79EA"/>
    <w:rsid w:val="00ED04B3"/>
    <w:rsid w:val="00ED0AD2"/>
    <w:rsid w:val="00ED0E48"/>
    <w:rsid w:val="00ED16DD"/>
    <w:rsid w:val="00ED20D3"/>
    <w:rsid w:val="00ED20E2"/>
    <w:rsid w:val="00ED21E1"/>
    <w:rsid w:val="00ED22A3"/>
    <w:rsid w:val="00ED2F02"/>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D5F"/>
    <w:rsid w:val="00EE1DC3"/>
    <w:rsid w:val="00EE21F2"/>
    <w:rsid w:val="00EE35C6"/>
    <w:rsid w:val="00EE3632"/>
    <w:rsid w:val="00EE368C"/>
    <w:rsid w:val="00EE3C25"/>
    <w:rsid w:val="00EE41D9"/>
    <w:rsid w:val="00EE4673"/>
    <w:rsid w:val="00EE5755"/>
    <w:rsid w:val="00EE5A39"/>
    <w:rsid w:val="00EE614D"/>
    <w:rsid w:val="00EE6710"/>
    <w:rsid w:val="00EE75DB"/>
    <w:rsid w:val="00EE7A74"/>
    <w:rsid w:val="00EE7C1C"/>
    <w:rsid w:val="00EF0187"/>
    <w:rsid w:val="00EF0456"/>
    <w:rsid w:val="00EF06D1"/>
    <w:rsid w:val="00EF07B1"/>
    <w:rsid w:val="00EF0BB6"/>
    <w:rsid w:val="00EF0DA4"/>
    <w:rsid w:val="00EF10E9"/>
    <w:rsid w:val="00EF1816"/>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51D"/>
    <w:rsid w:val="00EF5AA8"/>
    <w:rsid w:val="00EF5EED"/>
    <w:rsid w:val="00EF6357"/>
    <w:rsid w:val="00EF658E"/>
    <w:rsid w:val="00EF6811"/>
    <w:rsid w:val="00EF6E1A"/>
    <w:rsid w:val="00EF6E6C"/>
    <w:rsid w:val="00EF6F1B"/>
    <w:rsid w:val="00EF6F42"/>
    <w:rsid w:val="00EF78DC"/>
    <w:rsid w:val="00EF79FA"/>
    <w:rsid w:val="00EF7EA6"/>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032"/>
    <w:rsid w:val="00F042F3"/>
    <w:rsid w:val="00F0438C"/>
    <w:rsid w:val="00F04703"/>
    <w:rsid w:val="00F04BA9"/>
    <w:rsid w:val="00F04E82"/>
    <w:rsid w:val="00F0537E"/>
    <w:rsid w:val="00F05543"/>
    <w:rsid w:val="00F057E1"/>
    <w:rsid w:val="00F05831"/>
    <w:rsid w:val="00F05A99"/>
    <w:rsid w:val="00F05CCD"/>
    <w:rsid w:val="00F062B3"/>
    <w:rsid w:val="00F064A2"/>
    <w:rsid w:val="00F06744"/>
    <w:rsid w:val="00F06D7D"/>
    <w:rsid w:val="00F072E0"/>
    <w:rsid w:val="00F07433"/>
    <w:rsid w:val="00F0769E"/>
    <w:rsid w:val="00F10F9E"/>
    <w:rsid w:val="00F11011"/>
    <w:rsid w:val="00F11081"/>
    <w:rsid w:val="00F1112F"/>
    <w:rsid w:val="00F111E2"/>
    <w:rsid w:val="00F11392"/>
    <w:rsid w:val="00F117B0"/>
    <w:rsid w:val="00F11D3B"/>
    <w:rsid w:val="00F11ECE"/>
    <w:rsid w:val="00F1200B"/>
    <w:rsid w:val="00F123C8"/>
    <w:rsid w:val="00F12C97"/>
    <w:rsid w:val="00F12E78"/>
    <w:rsid w:val="00F14603"/>
    <w:rsid w:val="00F15330"/>
    <w:rsid w:val="00F154C8"/>
    <w:rsid w:val="00F1574D"/>
    <w:rsid w:val="00F1587F"/>
    <w:rsid w:val="00F15F98"/>
    <w:rsid w:val="00F160CF"/>
    <w:rsid w:val="00F163B1"/>
    <w:rsid w:val="00F16407"/>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D"/>
    <w:rsid w:val="00F24111"/>
    <w:rsid w:val="00F24186"/>
    <w:rsid w:val="00F24309"/>
    <w:rsid w:val="00F24374"/>
    <w:rsid w:val="00F24A47"/>
    <w:rsid w:val="00F251CD"/>
    <w:rsid w:val="00F2541D"/>
    <w:rsid w:val="00F25428"/>
    <w:rsid w:val="00F255D2"/>
    <w:rsid w:val="00F260C9"/>
    <w:rsid w:val="00F26CCB"/>
    <w:rsid w:val="00F26CED"/>
    <w:rsid w:val="00F26EB6"/>
    <w:rsid w:val="00F27814"/>
    <w:rsid w:val="00F301C3"/>
    <w:rsid w:val="00F306C2"/>
    <w:rsid w:val="00F307FD"/>
    <w:rsid w:val="00F30DA5"/>
    <w:rsid w:val="00F31350"/>
    <w:rsid w:val="00F3178D"/>
    <w:rsid w:val="00F317E7"/>
    <w:rsid w:val="00F31973"/>
    <w:rsid w:val="00F32075"/>
    <w:rsid w:val="00F320C3"/>
    <w:rsid w:val="00F32219"/>
    <w:rsid w:val="00F3260D"/>
    <w:rsid w:val="00F3279F"/>
    <w:rsid w:val="00F328C4"/>
    <w:rsid w:val="00F3297B"/>
    <w:rsid w:val="00F32C94"/>
    <w:rsid w:val="00F32E74"/>
    <w:rsid w:val="00F33EFE"/>
    <w:rsid w:val="00F3461A"/>
    <w:rsid w:val="00F34CE7"/>
    <w:rsid w:val="00F35093"/>
    <w:rsid w:val="00F355E8"/>
    <w:rsid w:val="00F3585E"/>
    <w:rsid w:val="00F35A90"/>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636"/>
    <w:rsid w:val="00F44B4B"/>
    <w:rsid w:val="00F44B76"/>
    <w:rsid w:val="00F44B83"/>
    <w:rsid w:val="00F44BF4"/>
    <w:rsid w:val="00F44E52"/>
    <w:rsid w:val="00F44F05"/>
    <w:rsid w:val="00F4501D"/>
    <w:rsid w:val="00F45622"/>
    <w:rsid w:val="00F45A5B"/>
    <w:rsid w:val="00F45AD4"/>
    <w:rsid w:val="00F45E4E"/>
    <w:rsid w:val="00F45F37"/>
    <w:rsid w:val="00F4683F"/>
    <w:rsid w:val="00F46D44"/>
    <w:rsid w:val="00F46DD8"/>
    <w:rsid w:val="00F47BA0"/>
    <w:rsid w:val="00F47C4B"/>
    <w:rsid w:val="00F50368"/>
    <w:rsid w:val="00F50371"/>
    <w:rsid w:val="00F509DC"/>
    <w:rsid w:val="00F51188"/>
    <w:rsid w:val="00F51B70"/>
    <w:rsid w:val="00F51DAE"/>
    <w:rsid w:val="00F51E78"/>
    <w:rsid w:val="00F5272D"/>
    <w:rsid w:val="00F53321"/>
    <w:rsid w:val="00F53403"/>
    <w:rsid w:val="00F5340A"/>
    <w:rsid w:val="00F536C7"/>
    <w:rsid w:val="00F5396A"/>
    <w:rsid w:val="00F53DA3"/>
    <w:rsid w:val="00F53DCC"/>
    <w:rsid w:val="00F53EDB"/>
    <w:rsid w:val="00F54016"/>
    <w:rsid w:val="00F5490C"/>
    <w:rsid w:val="00F54CAB"/>
    <w:rsid w:val="00F54DC1"/>
    <w:rsid w:val="00F5525B"/>
    <w:rsid w:val="00F55322"/>
    <w:rsid w:val="00F55361"/>
    <w:rsid w:val="00F55412"/>
    <w:rsid w:val="00F5549F"/>
    <w:rsid w:val="00F55A5C"/>
    <w:rsid w:val="00F55AE6"/>
    <w:rsid w:val="00F55B9E"/>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906"/>
    <w:rsid w:val="00F62A7A"/>
    <w:rsid w:val="00F63250"/>
    <w:rsid w:val="00F632E7"/>
    <w:rsid w:val="00F6371E"/>
    <w:rsid w:val="00F637A0"/>
    <w:rsid w:val="00F63B54"/>
    <w:rsid w:val="00F63BF0"/>
    <w:rsid w:val="00F64222"/>
    <w:rsid w:val="00F642C8"/>
    <w:rsid w:val="00F64B5B"/>
    <w:rsid w:val="00F64E25"/>
    <w:rsid w:val="00F652D5"/>
    <w:rsid w:val="00F653CC"/>
    <w:rsid w:val="00F655D0"/>
    <w:rsid w:val="00F65691"/>
    <w:rsid w:val="00F6622A"/>
    <w:rsid w:val="00F66251"/>
    <w:rsid w:val="00F66590"/>
    <w:rsid w:val="00F6687B"/>
    <w:rsid w:val="00F66FE3"/>
    <w:rsid w:val="00F67827"/>
    <w:rsid w:val="00F67A2D"/>
    <w:rsid w:val="00F67BF1"/>
    <w:rsid w:val="00F67C54"/>
    <w:rsid w:val="00F70095"/>
    <w:rsid w:val="00F70A23"/>
    <w:rsid w:val="00F71661"/>
    <w:rsid w:val="00F72031"/>
    <w:rsid w:val="00F7215D"/>
    <w:rsid w:val="00F72261"/>
    <w:rsid w:val="00F72288"/>
    <w:rsid w:val="00F72E13"/>
    <w:rsid w:val="00F733FE"/>
    <w:rsid w:val="00F73731"/>
    <w:rsid w:val="00F73CAB"/>
    <w:rsid w:val="00F74099"/>
    <w:rsid w:val="00F7453E"/>
    <w:rsid w:val="00F74CA4"/>
    <w:rsid w:val="00F754FA"/>
    <w:rsid w:val="00F75672"/>
    <w:rsid w:val="00F757D9"/>
    <w:rsid w:val="00F75DF4"/>
    <w:rsid w:val="00F7605B"/>
    <w:rsid w:val="00F76104"/>
    <w:rsid w:val="00F76668"/>
    <w:rsid w:val="00F76974"/>
    <w:rsid w:val="00F76FDD"/>
    <w:rsid w:val="00F7733B"/>
    <w:rsid w:val="00F77654"/>
    <w:rsid w:val="00F77746"/>
    <w:rsid w:val="00F77B23"/>
    <w:rsid w:val="00F80C37"/>
    <w:rsid w:val="00F81256"/>
    <w:rsid w:val="00F81462"/>
    <w:rsid w:val="00F8147B"/>
    <w:rsid w:val="00F81563"/>
    <w:rsid w:val="00F81ADC"/>
    <w:rsid w:val="00F81D85"/>
    <w:rsid w:val="00F8201E"/>
    <w:rsid w:val="00F82430"/>
    <w:rsid w:val="00F82506"/>
    <w:rsid w:val="00F82763"/>
    <w:rsid w:val="00F827E5"/>
    <w:rsid w:val="00F82E4A"/>
    <w:rsid w:val="00F8385D"/>
    <w:rsid w:val="00F8426F"/>
    <w:rsid w:val="00F84412"/>
    <w:rsid w:val="00F849F7"/>
    <w:rsid w:val="00F84F4F"/>
    <w:rsid w:val="00F851AF"/>
    <w:rsid w:val="00F8534F"/>
    <w:rsid w:val="00F8553E"/>
    <w:rsid w:val="00F85F20"/>
    <w:rsid w:val="00F862B7"/>
    <w:rsid w:val="00F86AA6"/>
    <w:rsid w:val="00F86BD2"/>
    <w:rsid w:val="00F870FD"/>
    <w:rsid w:val="00F872A3"/>
    <w:rsid w:val="00F8753E"/>
    <w:rsid w:val="00F87960"/>
    <w:rsid w:val="00F87CE2"/>
    <w:rsid w:val="00F90162"/>
    <w:rsid w:val="00F90D93"/>
    <w:rsid w:val="00F91842"/>
    <w:rsid w:val="00F91B11"/>
    <w:rsid w:val="00F91D50"/>
    <w:rsid w:val="00F92573"/>
    <w:rsid w:val="00F926B6"/>
    <w:rsid w:val="00F932A9"/>
    <w:rsid w:val="00F937FA"/>
    <w:rsid w:val="00F93A1C"/>
    <w:rsid w:val="00F93FFC"/>
    <w:rsid w:val="00F94127"/>
    <w:rsid w:val="00F9445B"/>
    <w:rsid w:val="00F94EF2"/>
    <w:rsid w:val="00F95216"/>
    <w:rsid w:val="00F953BD"/>
    <w:rsid w:val="00F95609"/>
    <w:rsid w:val="00F95A1F"/>
    <w:rsid w:val="00F95D16"/>
    <w:rsid w:val="00F95DFF"/>
    <w:rsid w:val="00F95F37"/>
    <w:rsid w:val="00F96308"/>
    <w:rsid w:val="00F9690D"/>
    <w:rsid w:val="00F96984"/>
    <w:rsid w:val="00F96D9C"/>
    <w:rsid w:val="00F973AF"/>
    <w:rsid w:val="00F978E1"/>
    <w:rsid w:val="00F97B76"/>
    <w:rsid w:val="00F97BB7"/>
    <w:rsid w:val="00F97CD2"/>
    <w:rsid w:val="00F97E15"/>
    <w:rsid w:val="00FA0496"/>
    <w:rsid w:val="00FA0780"/>
    <w:rsid w:val="00FA0B5E"/>
    <w:rsid w:val="00FA1CAA"/>
    <w:rsid w:val="00FA1CED"/>
    <w:rsid w:val="00FA3120"/>
    <w:rsid w:val="00FA3578"/>
    <w:rsid w:val="00FA372B"/>
    <w:rsid w:val="00FA37E5"/>
    <w:rsid w:val="00FA3B22"/>
    <w:rsid w:val="00FA44F4"/>
    <w:rsid w:val="00FA45B2"/>
    <w:rsid w:val="00FA5762"/>
    <w:rsid w:val="00FA5BCB"/>
    <w:rsid w:val="00FA62E1"/>
    <w:rsid w:val="00FA6AC6"/>
    <w:rsid w:val="00FA6D4B"/>
    <w:rsid w:val="00FA6EE7"/>
    <w:rsid w:val="00FA6EF2"/>
    <w:rsid w:val="00FA72D0"/>
    <w:rsid w:val="00FA7451"/>
    <w:rsid w:val="00FA796D"/>
    <w:rsid w:val="00FB0457"/>
    <w:rsid w:val="00FB09F4"/>
    <w:rsid w:val="00FB0C59"/>
    <w:rsid w:val="00FB0DAF"/>
    <w:rsid w:val="00FB12FA"/>
    <w:rsid w:val="00FB135C"/>
    <w:rsid w:val="00FB1F66"/>
    <w:rsid w:val="00FB22E2"/>
    <w:rsid w:val="00FB2A92"/>
    <w:rsid w:val="00FB2C42"/>
    <w:rsid w:val="00FB2F77"/>
    <w:rsid w:val="00FB329B"/>
    <w:rsid w:val="00FB42D0"/>
    <w:rsid w:val="00FB448E"/>
    <w:rsid w:val="00FB4575"/>
    <w:rsid w:val="00FB45A9"/>
    <w:rsid w:val="00FB4753"/>
    <w:rsid w:val="00FB4CF3"/>
    <w:rsid w:val="00FB4EFF"/>
    <w:rsid w:val="00FB55F6"/>
    <w:rsid w:val="00FB5937"/>
    <w:rsid w:val="00FB5BD9"/>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8ED"/>
    <w:rsid w:val="00FC3D0B"/>
    <w:rsid w:val="00FC3FAB"/>
    <w:rsid w:val="00FC4C6B"/>
    <w:rsid w:val="00FC4EEF"/>
    <w:rsid w:val="00FC585C"/>
    <w:rsid w:val="00FC5A1D"/>
    <w:rsid w:val="00FC5EEA"/>
    <w:rsid w:val="00FC5FC3"/>
    <w:rsid w:val="00FC6175"/>
    <w:rsid w:val="00FC62C7"/>
    <w:rsid w:val="00FC6851"/>
    <w:rsid w:val="00FC6896"/>
    <w:rsid w:val="00FC6C23"/>
    <w:rsid w:val="00FC6D10"/>
    <w:rsid w:val="00FC71FA"/>
    <w:rsid w:val="00FC7243"/>
    <w:rsid w:val="00FC743C"/>
    <w:rsid w:val="00FC7682"/>
    <w:rsid w:val="00FD0405"/>
    <w:rsid w:val="00FD0600"/>
    <w:rsid w:val="00FD089A"/>
    <w:rsid w:val="00FD0A9C"/>
    <w:rsid w:val="00FD0D74"/>
    <w:rsid w:val="00FD1287"/>
    <w:rsid w:val="00FD16D5"/>
    <w:rsid w:val="00FD1BA7"/>
    <w:rsid w:val="00FD23E7"/>
    <w:rsid w:val="00FD2EC0"/>
    <w:rsid w:val="00FD2FFE"/>
    <w:rsid w:val="00FD3510"/>
    <w:rsid w:val="00FD3C23"/>
    <w:rsid w:val="00FD40CB"/>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633"/>
    <w:rsid w:val="00FE02A1"/>
    <w:rsid w:val="00FE0321"/>
    <w:rsid w:val="00FE0849"/>
    <w:rsid w:val="00FE0C7B"/>
    <w:rsid w:val="00FE0C9F"/>
    <w:rsid w:val="00FE108B"/>
    <w:rsid w:val="00FE1183"/>
    <w:rsid w:val="00FE1502"/>
    <w:rsid w:val="00FE1643"/>
    <w:rsid w:val="00FE1665"/>
    <w:rsid w:val="00FE1D1C"/>
    <w:rsid w:val="00FE1EA1"/>
    <w:rsid w:val="00FE200B"/>
    <w:rsid w:val="00FE20D5"/>
    <w:rsid w:val="00FE243B"/>
    <w:rsid w:val="00FE2A9D"/>
    <w:rsid w:val="00FE2B06"/>
    <w:rsid w:val="00FE33B6"/>
    <w:rsid w:val="00FE377B"/>
    <w:rsid w:val="00FE388A"/>
    <w:rsid w:val="00FE3A8B"/>
    <w:rsid w:val="00FE3D82"/>
    <w:rsid w:val="00FE4661"/>
    <w:rsid w:val="00FE47BA"/>
    <w:rsid w:val="00FE48F6"/>
    <w:rsid w:val="00FE4DC8"/>
    <w:rsid w:val="00FE4E1F"/>
    <w:rsid w:val="00FE59CD"/>
    <w:rsid w:val="00FE5E8B"/>
    <w:rsid w:val="00FE5F31"/>
    <w:rsid w:val="00FE661A"/>
    <w:rsid w:val="00FE6E5B"/>
    <w:rsid w:val="00FE728C"/>
    <w:rsid w:val="00FE72C8"/>
    <w:rsid w:val="00FE72E8"/>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904"/>
    <w:rsid w:val="00FF4EE8"/>
    <w:rsid w:val="00FF517C"/>
    <w:rsid w:val="00FF53C3"/>
    <w:rsid w:val="00FF5A92"/>
    <w:rsid w:val="00FF6044"/>
    <w:rsid w:val="00FF6706"/>
    <w:rsid w:val="00FF68F6"/>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ind w:left="283" w:hanging="283"/>
    </w:pPr>
  </w:style>
  <w:style w:type="character" w:customStyle="1" w:styleId="BulletChar">
    <w:name w:val="Bullet Char"/>
    <w:aliases w:val="b Char,b + line Char Char,b Char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paragraph" w:customStyle="1" w:styleId="SecurityClassificationHeader">
    <w:name w:val="Security Classification Header"/>
    <w:link w:val="SecurityClassificationHeaderChar"/>
    <w:rsid w:val="00762768"/>
    <w:pPr>
      <w:spacing w:after="240"/>
      <w:jc w:val="center"/>
    </w:pPr>
    <w:rPr>
      <w:rFonts w:ascii="Tahoma" w:hAnsi="Tahoma"/>
      <w:b/>
      <w:caps/>
      <w:sz w:val="24"/>
      <w:szCs w:val="24"/>
      <w:lang w:eastAsia="en-US"/>
    </w:rPr>
  </w:style>
  <w:style w:type="character" w:customStyle="1" w:styleId="SecurityClassificationHeaderChar">
    <w:name w:val="Security Classification Header Char"/>
    <w:basedOn w:val="HeaderChar"/>
    <w:link w:val="SecurityClassificationHeader"/>
    <w:rsid w:val="00762768"/>
    <w:rPr>
      <w:rFonts w:ascii="Tahoma" w:hAnsi="Tahoma"/>
      <w:b/>
      <w:caps/>
      <w:sz w:val="24"/>
      <w:szCs w:val="24"/>
      <w:lang w:eastAsia="en-US"/>
    </w:rPr>
  </w:style>
  <w:style w:type="paragraph" w:customStyle="1" w:styleId="SecurityClassificationFooter">
    <w:name w:val="Security Classification Footer"/>
    <w:link w:val="SecurityClassificationFooterChar"/>
    <w:rsid w:val="00762768"/>
    <w:pPr>
      <w:spacing w:before="240"/>
      <w:jc w:val="center"/>
    </w:pPr>
    <w:rPr>
      <w:rFonts w:ascii="Tahoma" w:hAnsi="Tahoma"/>
      <w:b/>
      <w:caps/>
      <w:sz w:val="24"/>
      <w:szCs w:val="24"/>
      <w:lang w:eastAsia="en-US"/>
    </w:rPr>
  </w:style>
  <w:style w:type="character" w:customStyle="1" w:styleId="SecurityClassificationFooterChar">
    <w:name w:val="Security Classification Footer Char"/>
    <w:basedOn w:val="HeaderChar"/>
    <w:link w:val="SecurityClassificationFooter"/>
    <w:rsid w:val="00762768"/>
    <w:rPr>
      <w:rFonts w:ascii="Tahoma" w:hAnsi="Tahoma"/>
      <w:b/>
      <w:cap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ind w:left="283" w:hanging="283"/>
    </w:pPr>
  </w:style>
  <w:style w:type="character" w:customStyle="1" w:styleId="BulletChar">
    <w:name w:val="Bullet Char"/>
    <w:aliases w:val="b Char,b + line Char Char,b Char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paragraph" w:customStyle="1" w:styleId="SecurityClassificationHeader">
    <w:name w:val="Security Classification Header"/>
    <w:link w:val="SecurityClassificationHeaderChar"/>
    <w:rsid w:val="00762768"/>
    <w:pPr>
      <w:spacing w:after="240"/>
      <w:jc w:val="center"/>
    </w:pPr>
    <w:rPr>
      <w:rFonts w:ascii="Tahoma" w:hAnsi="Tahoma"/>
      <w:b/>
      <w:caps/>
      <w:sz w:val="24"/>
      <w:szCs w:val="24"/>
      <w:lang w:eastAsia="en-US"/>
    </w:rPr>
  </w:style>
  <w:style w:type="character" w:customStyle="1" w:styleId="SecurityClassificationHeaderChar">
    <w:name w:val="Security Classification Header Char"/>
    <w:basedOn w:val="HeaderChar"/>
    <w:link w:val="SecurityClassificationHeader"/>
    <w:rsid w:val="00762768"/>
    <w:rPr>
      <w:rFonts w:ascii="Tahoma" w:hAnsi="Tahoma"/>
      <w:b/>
      <w:caps/>
      <w:sz w:val="24"/>
      <w:szCs w:val="24"/>
      <w:lang w:eastAsia="en-US"/>
    </w:rPr>
  </w:style>
  <w:style w:type="paragraph" w:customStyle="1" w:styleId="SecurityClassificationFooter">
    <w:name w:val="Security Classification Footer"/>
    <w:link w:val="SecurityClassificationFooterChar"/>
    <w:rsid w:val="00762768"/>
    <w:pPr>
      <w:spacing w:before="240"/>
      <w:jc w:val="center"/>
    </w:pPr>
    <w:rPr>
      <w:rFonts w:ascii="Tahoma" w:hAnsi="Tahoma"/>
      <w:b/>
      <w:caps/>
      <w:sz w:val="24"/>
      <w:szCs w:val="24"/>
      <w:lang w:eastAsia="en-US"/>
    </w:rPr>
  </w:style>
  <w:style w:type="character" w:customStyle="1" w:styleId="SecurityClassificationFooterChar">
    <w:name w:val="Security Classification Footer Char"/>
    <w:basedOn w:val="HeaderChar"/>
    <w:link w:val="SecurityClassificationFooter"/>
    <w:rsid w:val="00762768"/>
    <w:rPr>
      <w:rFonts w:ascii="Tahoma" w:hAnsi="Tahoma"/>
      <w:b/>
      <w: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oleObject" Target="file:///\\romulus\ECD_PRO$\JEFG\Filing\JEFG\2012\March\NAFF\JEFG%20report\Team%20inputs\Sector%20inputs\Dwelling%20-%20Housing%20investment%20charts.xlsx!IND%20Vic%20v%20Rest%20of%20Aus!%5bDwelling%20-%20Housing%20investment%20charts.xlsx%5dIND%20Vic%20v%20Rest%20of%20Aus%20Chart%202" TargetMode="External"/><Relationship Id="rId39" Type="http://schemas.openxmlformats.org/officeDocument/2006/relationships/image" Target="media/image12.emf"/><Relationship Id="rId21" Type="http://schemas.openxmlformats.org/officeDocument/2006/relationships/header" Target="header5.xml"/><Relationship Id="rId34" Type="http://schemas.openxmlformats.org/officeDocument/2006/relationships/oleObject" Target="file:///\\romulus\ECD_PRO$\JEFG\Filing\JEFG\2012\March\NAFF\JEFG%20report\Team%20inputs\Sector%20inputs\Formatted%20State%20and%20local%20expenditure.xlsx!Sheet1!%5bFormatted%20State%20and%20local%20expenditure.xlsx%5dSheet1%20Chart%205" TargetMode="External"/><Relationship Id="rId42" Type="http://schemas.openxmlformats.org/officeDocument/2006/relationships/oleObject" Target="file:///\\romulus\ECD_PRO$\JEFG\Filing\JEFG\2012\March\NAFF\JEFG%20report\Team%20inputs\Sector%20inputs\FC%20-%20Prices%20-%20Forecasts%20-%20formatted.xlsx!Sheet1!%5bFC%20-%20Prices%20-%20Forecasts%20-%20formatted.xlsx%5dSheet1%20Chart%202" TargetMode="External"/><Relationship Id="rId47" Type="http://schemas.openxmlformats.org/officeDocument/2006/relationships/image" Target="media/image15.wmf"/><Relationship Id="rId50" Type="http://schemas.openxmlformats.org/officeDocument/2006/relationships/oleObject" Target="file:///\\romulus\ECD_PRO$\JEFG\Filing\JEFG\2012\March\NAFF\JEFG%20report\Team%20inputs\Sector%20inputs\BP1%20BS2%20-%20Export%20shares%20-%20Copy.xlsx!Chart!%5bBP1%20BS2%20-%20Export%20shares%20-%20Copy.xlsx%5dChart%20Chart%201" TargetMode="External"/><Relationship Id="rId55" Type="http://schemas.openxmlformats.org/officeDocument/2006/relationships/header" Target="header7.xml"/><Relationship Id="rId63" Type="http://schemas.openxmlformats.org/officeDocument/2006/relationships/image" Target="media/image20.emf"/><Relationship Id="rId68" Type="http://schemas.openxmlformats.org/officeDocument/2006/relationships/footer" Target="footer9.xml"/><Relationship Id="rId7" Type="http://schemas.openxmlformats.org/officeDocument/2006/relationships/footnotes" Target="foot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image" Target="media/image7.emf"/><Relationship Id="rId11" Type="http://schemas.openxmlformats.org/officeDocument/2006/relationships/header" Target="header2.xml"/><Relationship Id="rId24" Type="http://schemas.openxmlformats.org/officeDocument/2006/relationships/oleObject" Target="file:///\\romulus\ECD_PRO$\JEFG\Filing\JEFG\2012\March\NAFF\JEFG%20report\Charts\DAT%20-%20Cons%20chart%20March%20JEFG.xlsx!Sheet1!%5bDAT%20-%20Cons%20chart%20March%20JEFG.xlsx%5dSheet1%20Chart%201" TargetMode="External"/><Relationship Id="rId32" Type="http://schemas.openxmlformats.org/officeDocument/2006/relationships/oleObject" Target="file:///\\romulus\ECD_PRO$\JEFG\Filing\JEFG\2012\March\NAFF\JEFG%20report\Team%20inputs\Sector%20inputs\BI%20JEFG%20Charts%20-%20pipeline%20and%20bus%20confidence.xlsx!Resource%20Pipeline!%5bBI%20JEFG%20Charts%20-%20pipeline%20and%20bus%20confidence.xlsx%5dResource%20Pipeline%20Chart%201" TargetMode="External"/><Relationship Id="rId37" Type="http://schemas.openxmlformats.org/officeDocument/2006/relationships/image" Target="media/image11.emf"/><Relationship Id="rId40" Type="http://schemas.openxmlformats.org/officeDocument/2006/relationships/oleObject" Target="file:///\\romulus\ECD_PRO$\JEFG\Filing\JEFG\2012\March\NAFF\JEFG%20report\Charts\BP1%20BS2%20-%20Employment%20change%20by%20industry.xlsx!Chart!%5bBP1%20BS2%20-%20Employment%20change%20by%20industry.xlsx%5dChart%20Chart%206" TargetMode="External"/><Relationship Id="rId45" Type="http://schemas.openxmlformats.org/officeDocument/2006/relationships/header" Target="header6.xml"/><Relationship Id="rId53" Type="http://schemas.openxmlformats.org/officeDocument/2006/relationships/image" Target="media/image18.emf"/><Relationship Id="rId58" Type="http://schemas.openxmlformats.org/officeDocument/2006/relationships/image" Target="media/image19.wmf"/><Relationship Id="rId66" Type="http://schemas.openxmlformats.org/officeDocument/2006/relationships/oleObject" Target="file:///\\romulus\ECD_PRO$\JEFG\Filing\JEFG\2012\March\NAFF\JEFG%20report\Team%20inputs\Sector%20inputs\BP1%20BS2%20Unemployment%20rates.xlsx!Chart!%5bBP1%20BS2%20Unemployment%20rates.xlsx%5dChart%20Unemp%20chart%20ex%20UK"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oleObject" Target="file:///\\romulus\ECD_PRO$\JEFG\Filing\JEFG\2012\March\NAFF\JEFG%20report\Team%20inputs\Sector%20inputs\Dwelling%20-%20Housing%20investment%20charts.xlsx!New%20home%20sales!%5bDwelling%20-%20Housing%20investment%20charts.xlsx%5dNew%20home%20sales%20Chart%201" TargetMode="External"/><Relationship Id="rId36" Type="http://schemas.openxmlformats.org/officeDocument/2006/relationships/oleObject" Target="file:///\\romulus\ECD_PRO$\JEFG\Filing\JEFG\2012\March\NAFF\JEFG%20report\Team%20inputs\Sector%20inputs\Investment%20cap%20imp.xlsx!Data!%5bInvestment%20cap%20imp.xlsx%5dData%20Chart%201" TargetMode="External"/><Relationship Id="rId49" Type="http://schemas.openxmlformats.org/officeDocument/2006/relationships/image" Target="media/image16.emf"/><Relationship Id="rId57" Type="http://schemas.openxmlformats.org/officeDocument/2006/relationships/footer" Target="footer6.xml"/><Relationship Id="rId61" Type="http://schemas.openxmlformats.org/officeDocument/2006/relationships/footer" Target="footer7.xml"/><Relationship Id="rId10" Type="http://schemas.openxmlformats.org/officeDocument/2006/relationships/header" Target="header1.xml"/><Relationship Id="rId19" Type="http://schemas.openxmlformats.org/officeDocument/2006/relationships/oleObject" Target="file:///\\romulus\ECD_PRO$\JEFG\Filing\JEFG\2012\March\NAFF\JEFG%20report\Main%20Summary%20Tables.xlsm!JEFG!R9C2:R56C9" TargetMode="External"/><Relationship Id="rId31" Type="http://schemas.openxmlformats.org/officeDocument/2006/relationships/image" Target="media/image8.emf"/><Relationship Id="rId44" Type="http://schemas.openxmlformats.org/officeDocument/2006/relationships/oleObject" Target="file:///\\romulus\ECDNOTE$\Prices%20and%20Wages\Wages\Labour%20Price%20Index\DAT%20-LPI%20Spreadsheet.xls!JEFG!%5bDAT%20-LPI%20Spreadsheet.xls%5dJEFG%20Chart%206" TargetMode="External"/><Relationship Id="rId52" Type="http://schemas.openxmlformats.org/officeDocument/2006/relationships/oleObject" Target="file:///\\romulus\ECD_PRO$\JEFG\Filing\JEFG\2012\March\NAFF\JEFG%20report\Team%20inputs\Sector%20inputs\BOP%20-%20DAT%20-%20MTP%20Budget%20Box%20-%20Asia%20share%20of%20trade.xlsx!Chart!%5bBOP%20-%20DAT%20-%20MTP%20Budget%20Box%20-%20Asia%20share%20of%20trade.xlsx%5dChart%20Chart%201" TargetMode="External"/><Relationship Id="rId60" Type="http://schemas.openxmlformats.org/officeDocument/2006/relationships/header" Target="header9.xml"/><Relationship Id="rId65" Type="http://schemas.openxmlformats.org/officeDocument/2006/relationships/image" Target="media/image21.emf"/><Relationship Id="rId73"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6.emf"/><Relationship Id="rId30" Type="http://schemas.openxmlformats.org/officeDocument/2006/relationships/oleObject" Target="file:///\\romulus\ECD_PRO$\JEFG\Filing\JEFG\2012\March\NAFF\JEFG%20report\Team%20inputs\Sector%20inputs\ODY%20-%20BPE%20-%20mining%20and%20non-mining.xlsx!Estimate%205%20and%201!%5bODY%20-%20BPE%20-%20mining%20and%20non-mining.xlsx%5dEstimate%205%20and%201%20DecNA" TargetMode="External"/><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file:///\\romulus\ECD_PRO$\JEFG\Filing\JEFG\2012\March\NAFF\JEFG%20report\Team%20inputs\Sector%20inputs\BOP%20-MTP%20Budget%20box%20chart%20-%20cont%20to%20global%20growth.xlsx!Data!%5bBOP%20-MTP%20Budget%20box%20chart%20-%20cont%20to%20global%20growth.xlsx%5dData%20Chart%204" TargetMode="External"/><Relationship Id="rId56" Type="http://schemas.openxmlformats.org/officeDocument/2006/relationships/header" Target="header8.xml"/><Relationship Id="rId64" Type="http://schemas.openxmlformats.org/officeDocument/2006/relationships/oleObject" Target="file:///\\romulus\ECD_PRO$\JEFG\Filing\JEFG\2012\March\NAFF\JEFG%20report\Team%20inputs\Sector%20inputs\BP1%20BS2%20-%20World%20GDP%20growth.xlsx!Chart!%5bBP1%20BS2%20-%20World%20GDP%20growth.xlsx%5dChart%20World%20GDP%20growth" TargetMode="External"/><Relationship Id="rId69"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image" Target="media/image17.emf"/><Relationship Id="rId72" Type="http://schemas.openxmlformats.org/officeDocument/2006/relationships/footer" Target="footer1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file:///\\romulus\ECD_PRO$\JEFG\Filing\JEFG\2012\March\NAFF\JEFG%20report\Main%20Summary%20Tables.xlsm!JEFG%20(small)!R8C2:R27C18" TargetMode="Externa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file:///\\romulus\ECD_PRO$\JEFG\Filing\JEFG\2012\March\NAFF\JEFG%20report\Team%20inputs\Sector%20inputs\DAT%20-%20BOP%20-%20TOTchart.xlsx!Sheet1!%5bDAT%20-%20BOP%20-%20TOTchart.xlsx%5dSheet1%20Chart%201" TargetMode="External"/><Relationship Id="rId46" Type="http://schemas.openxmlformats.org/officeDocument/2006/relationships/footer" Target="footer5.xml"/><Relationship Id="rId59" Type="http://schemas.openxmlformats.org/officeDocument/2006/relationships/oleObject" Target="file:///\\romulus\ECD_PRO$\JEFG\Filing\JEFG\2012\March\NAFF\JEFG%20report\Team%20inputs\Sector%20inputs\DAT%20-%20World%20-%20IG20D%20-%20March%202012%20JEFG%20Table%20-%20JO%20-%20120404.xlsx!Table!R19C2:R36C15" TargetMode="External"/><Relationship Id="rId67" Type="http://schemas.openxmlformats.org/officeDocument/2006/relationships/header" Target="header10.xml"/><Relationship Id="rId20" Type="http://schemas.openxmlformats.org/officeDocument/2006/relationships/header" Target="header4.xml"/><Relationship Id="rId41" Type="http://schemas.openxmlformats.org/officeDocument/2006/relationships/image" Target="media/image13.emf"/><Relationship Id="rId54" Type="http://schemas.openxmlformats.org/officeDocument/2006/relationships/oleObject" Target="file:///\\romulus\ECD_PRO$\JEFG\Filing\JEFG\2012\March\NAFF\JEFG%20report\Team%20inputs\Sector%20inputs\BOP%20-%20MTP%20budget%20box%20-%20MTP%20vs%20World.xlsx!Sheet1!%5bBOP%20-%20MTP%20budget%20box%20-%20MTP%20vs%20World.xlsx%5dSheet1%20Chart%202" TargetMode="External"/><Relationship Id="rId62" Type="http://schemas.openxmlformats.org/officeDocument/2006/relationships/footer" Target="footer8.xml"/><Relationship Id="rId70" Type="http://schemas.openxmlformats.org/officeDocument/2006/relationships/hyperlink" Target="file:///\\remus\indiv$\JEO\TRIM5\Offline%20Records%20(PO)\INTERNATIONAL%20ECONOMIC%20AFFAIRS%20-%20FORECASTING%20-%20JOINT%20ECONOMIC%20FORECASTING%20GROUP%20(JEFG)%20&amp;%20~%202010\DAT%20-%20World%20-%20GDP%20-%20IED%20-%20Forecasts%20-%20MYEFO%20Oct%2009%20final%20-%20RS%20-%20091026.xl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C7A59BC-9BBD-4C2D-8669-76A42661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7449</Words>
  <Characters>45972</Characters>
  <Application>Microsoft Office Word</Application>
  <DocSecurity>0</DocSecurity>
  <Lines>383</Lines>
  <Paragraphs>106</Paragraphs>
  <ScaleCrop>false</ScaleCrop>
  <HeadingPairs>
    <vt:vector size="2" baseType="variant">
      <vt:variant>
        <vt:lpstr>Title</vt:lpstr>
      </vt:variant>
      <vt:variant>
        <vt:i4>1</vt:i4>
      </vt:variant>
    </vt:vector>
  </HeadingPairs>
  <TitlesOfParts>
    <vt:vector size="1" baseType="lpstr">
      <vt:lpstr>Joint Economic Forecasting Group Report - </vt:lpstr>
    </vt:vector>
  </TitlesOfParts>
  <Manager/>
  <Company/>
  <LinksUpToDate>false</LinksUpToDate>
  <CharactersWithSpaces>53315</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Economic Forecasting Group Report - </dc:title>
  <dc:subject/>
  <dc:creator/>
  <cp:keywords/>
  <cp:lastModifiedBy/>
  <cp:revision>1</cp:revision>
  <dcterms:created xsi:type="dcterms:W3CDTF">2015-02-11T22:32:00Z</dcterms:created>
  <dcterms:modified xsi:type="dcterms:W3CDTF">2015-02-11T22:32:00Z</dcterms:modified>
</cp:coreProperties>
</file>