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B81B65" w:rsidP="005E7AAA">
      <w:pPr>
        <w:pStyle w:val="Title"/>
        <w:rPr>
          <w:b/>
          <w:color w:val="auto"/>
        </w:rPr>
      </w:pPr>
      <w:bookmarkStart w:id="0" w:name="_GoBack"/>
      <w:bookmarkEnd w:id="0"/>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620D25" w:rsidRDefault="00EF6F1B" w:rsidP="005E7AAA">
      <w:pPr>
        <w:pStyle w:val="Title"/>
        <w:rPr>
          <w:b/>
          <w:color w:val="auto"/>
        </w:rPr>
      </w:pPr>
    </w:p>
    <w:p w:rsidR="00EF6F1B" w:rsidRPr="00B0461A" w:rsidRDefault="00EF6F1B" w:rsidP="00184FBD">
      <w:pPr>
        <w:pStyle w:val="Title"/>
        <w:rPr>
          <w:b/>
          <w:color w:val="auto"/>
        </w:rPr>
      </w:pPr>
      <w:bookmarkStart w:id="1" w:name="_Toc90808381"/>
      <w:bookmarkStart w:id="2" w:name="_Toc90808817"/>
      <w:bookmarkStart w:id="3" w:name="_Toc90957458"/>
      <w:bookmarkStart w:id="4" w:name="_Toc90977878"/>
      <w:bookmarkStart w:id="5" w:name="_Toc91318581"/>
      <w:bookmarkStart w:id="6" w:name="_Toc91390382"/>
      <w:bookmarkStart w:id="7" w:name="_Toc101073463"/>
      <w:bookmarkStart w:id="8" w:name="_Toc101073686"/>
      <w:bookmarkStart w:id="9" w:name="_Toc101254962"/>
      <w:bookmarkStart w:id="10" w:name="_Toc115841645"/>
      <w:bookmarkStart w:id="11" w:name="_Toc115841910"/>
      <w:bookmarkStart w:id="12" w:name="_Toc116366073"/>
      <w:bookmarkStart w:id="13" w:name="_Toc124925294"/>
      <w:bookmarkStart w:id="14" w:name="_Toc131378785"/>
      <w:r w:rsidRPr="00B0461A">
        <w:rPr>
          <w:b/>
          <w:color w:val="auto"/>
        </w:rPr>
        <w:t xml:space="preserve">Economic outlook for </w:t>
      </w:r>
      <w:bookmarkEnd w:id="1"/>
      <w:bookmarkEnd w:id="2"/>
      <w:bookmarkEnd w:id="3"/>
      <w:bookmarkEnd w:id="4"/>
      <w:bookmarkEnd w:id="5"/>
      <w:bookmarkEnd w:id="6"/>
      <w:bookmarkEnd w:id="7"/>
      <w:bookmarkEnd w:id="8"/>
      <w:bookmarkEnd w:id="9"/>
      <w:bookmarkEnd w:id="10"/>
      <w:bookmarkEnd w:id="11"/>
      <w:bookmarkEnd w:id="12"/>
      <w:bookmarkEnd w:id="13"/>
      <w:bookmarkEnd w:id="14"/>
      <w:r w:rsidR="00CD56CB">
        <w:rPr>
          <w:b/>
          <w:color w:val="auto"/>
        </w:rPr>
        <w:t>2011-12</w:t>
      </w:r>
      <w:r w:rsidR="002F291C">
        <w:rPr>
          <w:b/>
          <w:color w:val="auto"/>
        </w:rPr>
        <w:t>, 2012-13</w:t>
      </w:r>
      <w:r w:rsidR="004E1829" w:rsidRPr="00B0461A">
        <w:rPr>
          <w:b/>
          <w:color w:val="auto"/>
        </w:rPr>
        <w:t xml:space="preserve"> and 201</w:t>
      </w:r>
      <w:r w:rsidR="002F291C">
        <w:rPr>
          <w:b/>
          <w:color w:val="auto"/>
        </w:rPr>
        <w:t>3</w:t>
      </w:r>
      <w:r w:rsidR="004E1829" w:rsidRPr="00B0461A">
        <w:rPr>
          <w:b/>
          <w:color w:val="auto"/>
        </w:rPr>
        <w:t>-1</w:t>
      </w:r>
      <w:r w:rsidR="002F291C">
        <w:rPr>
          <w:b/>
          <w:color w:val="auto"/>
        </w:rPr>
        <w:t>4</w:t>
      </w:r>
    </w:p>
    <w:p w:rsidR="00D86180" w:rsidRPr="00B0461A" w:rsidRDefault="008E0632" w:rsidP="00184FBD">
      <w:pPr>
        <w:pStyle w:val="Title"/>
        <w:rPr>
          <w:b/>
          <w:color w:val="auto"/>
        </w:rPr>
      </w:pPr>
      <w:bookmarkStart w:id="15" w:name="_Toc115841647"/>
      <w:bookmarkStart w:id="16" w:name="_Toc115841912"/>
      <w:bookmarkStart w:id="17" w:name="_Toc116366075"/>
      <w:bookmarkStart w:id="18" w:name="_Toc124925296"/>
      <w:bookmarkStart w:id="19" w:name="_Toc131378787"/>
      <w:r>
        <w:rPr>
          <w:b/>
          <w:color w:val="auto"/>
        </w:rPr>
        <w:t>December</w:t>
      </w:r>
      <w:r w:rsidR="00CD56CB">
        <w:rPr>
          <w:b/>
          <w:color w:val="auto"/>
        </w:rPr>
        <w:t xml:space="preserve"> </w:t>
      </w:r>
      <w:r w:rsidR="00C960F2">
        <w:rPr>
          <w:b/>
          <w:color w:val="auto"/>
        </w:rPr>
        <w:t>2011</w:t>
      </w:r>
    </w:p>
    <w:p w:rsidR="00C825B7" w:rsidRPr="00FB09F4" w:rsidRDefault="00EF6F1B" w:rsidP="00184FBD">
      <w:pPr>
        <w:pStyle w:val="Title"/>
        <w:rPr>
          <w:color w:val="auto"/>
          <w:sz w:val="24"/>
          <w:szCs w:val="24"/>
        </w:rPr>
      </w:pPr>
      <w:bookmarkStart w:id="20" w:name="_Toc185499305"/>
      <w:r w:rsidRPr="00FB09F4">
        <w:rPr>
          <w:color w:val="auto"/>
          <w:sz w:val="24"/>
          <w:szCs w:val="24"/>
        </w:rPr>
        <w:t>(</w:t>
      </w:r>
      <w:r w:rsidR="00804C8B" w:rsidRPr="00FB09F4">
        <w:rPr>
          <w:color w:val="auto"/>
          <w:sz w:val="24"/>
          <w:szCs w:val="24"/>
        </w:rPr>
        <w:t>t</w:t>
      </w:r>
      <w:r w:rsidRPr="00FB09F4">
        <w:rPr>
          <w:color w:val="auto"/>
          <w:sz w:val="24"/>
          <w:szCs w:val="24"/>
        </w:rPr>
        <w:t>his report incorpora</w:t>
      </w:r>
      <w:r w:rsidR="001A4888" w:rsidRPr="00FB09F4">
        <w:rPr>
          <w:color w:val="auto"/>
          <w:sz w:val="24"/>
          <w:szCs w:val="24"/>
        </w:rPr>
        <w:t xml:space="preserve">tes </w:t>
      </w:r>
      <w:r w:rsidR="008A69FA" w:rsidRPr="00FB09F4">
        <w:rPr>
          <w:color w:val="auto"/>
          <w:sz w:val="24"/>
          <w:szCs w:val="24"/>
        </w:rPr>
        <w:t xml:space="preserve">domestic </w:t>
      </w:r>
      <w:r w:rsidR="009137A4" w:rsidRPr="00FB09F4">
        <w:rPr>
          <w:color w:val="auto"/>
          <w:sz w:val="24"/>
          <w:szCs w:val="24"/>
        </w:rPr>
        <w:t xml:space="preserve">and international </w:t>
      </w:r>
      <w:r w:rsidR="001A4888" w:rsidRPr="00FB09F4">
        <w:rPr>
          <w:color w:val="auto"/>
          <w:sz w:val="24"/>
          <w:szCs w:val="24"/>
        </w:rPr>
        <w:t>data released up</w:t>
      </w:r>
      <w:r w:rsidR="000510A0" w:rsidRPr="00FB09F4">
        <w:rPr>
          <w:color w:val="auto"/>
          <w:sz w:val="24"/>
          <w:szCs w:val="24"/>
        </w:rPr>
        <w:t xml:space="preserve"> </w:t>
      </w:r>
      <w:r w:rsidR="00234D4B" w:rsidRPr="00FB09F4">
        <w:rPr>
          <w:color w:val="auto"/>
          <w:sz w:val="24"/>
          <w:szCs w:val="24"/>
        </w:rPr>
        <w:t xml:space="preserve">to </w:t>
      </w:r>
      <w:bookmarkStart w:id="21" w:name="OLE_LINK8"/>
      <w:bookmarkStart w:id="22" w:name="OLE_LINK9"/>
      <w:r w:rsidR="00E72B47" w:rsidRPr="00FB09F4">
        <w:rPr>
          <w:color w:val="auto"/>
          <w:sz w:val="24"/>
          <w:szCs w:val="24"/>
        </w:rPr>
        <w:br/>
      </w:r>
      <w:r w:rsidR="002F291C">
        <w:rPr>
          <w:color w:val="auto"/>
          <w:sz w:val="24"/>
          <w:szCs w:val="24"/>
        </w:rPr>
        <w:t>14</w:t>
      </w:r>
      <w:r w:rsidR="00E72B47" w:rsidRPr="00FB09F4">
        <w:rPr>
          <w:color w:val="auto"/>
          <w:sz w:val="24"/>
          <w:szCs w:val="24"/>
        </w:rPr>
        <w:t xml:space="preserve"> </w:t>
      </w:r>
      <w:r w:rsidR="002F291C">
        <w:rPr>
          <w:color w:val="auto"/>
          <w:sz w:val="24"/>
          <w:szCs w:val="24"/>
        </w:rPr>
        <w:t>December</w:t>
      </w:r>
      <w:r w:rsidR="008043A8" w:rsidRPr="00FB09F4">
        <w:rPr>
          <w:color w:val="auto"/>
          <w:sz w:val="24"/>
          <w:szCs w:val="24"/>
        </w:rPr>
        <w:t xml:space="preserve"> </w:t>
      </w:r>
      <w:r w:rsidR="000510A0" w:rsidRPr="00FB09F4">
        <w:rPr>
          <w:color w:val="auto"/>
          <w:sz w:val="24"/>
          <w:szCs w:val="24"/>
        </w:rPr>
        <w:t>20</w:t>
      </w:r>
      <w:bookmarkEnd w:id="21"/>
      <w:bookmarkEnd w:id="22"/>
      <w:r w:rsidR="00C960F2">
        <w:rPr>
          <w:color w:val="auto"/>
          <w:sz w:val="24"/>
          <w:szCs w:val="24"/>
        </w:rPr>
        <w:t>11</w:t>
      </w:r>
      <w:r w:rsidRPr="00FB09F4">
        <w:rPr>
          <w:color w:val="auto"/>
          <w:sz w:val="24"/>
          <w:szCs w:val="24"/>
        </w:rPr>
        <w:t>)</w:t>
      </w:r>
      <w:bookmarkEnd w:id="15"/>
      <w:bookmarkEnd w:id="16"/>
      <w:bookmarkEnd w:id="17"/>
      <w:bookmarkEnd w:id="18"/>
      <w:bookmarkEnd w:id="19"/>
      <w:bookmarkEnd w:id="20"/>
    </w:p>
    <w:p w:rsidR="00AA68A1" w:rsidRDefault="00A8671C" w:rsidP="00C1152F">
      <w:pPr>
        <w:pStyle w:val="TOC3"/>
      </w:pPr>
      <w:r w:rsidRPr="003344B0">
        <w:rPr>
          <w:highlight w:val="yellow"/>
        </w:rPr>
        <w:br w:type="page"/>
      </w:r>
      <w:r w:rsidR="004D4273" w:rsidRPr="003344B0">
        <w:rPr>
          <w:highlight w:val="yellow"/>
        </w:rPr>
        <w:fldChar w:fldCharType="begin"/>
      </w:r>
      <w:r w:rsidR="00C825B7" w:rsidRPr="003344B0">
        <w:rPr>
          <w:highlight w:val="yellow"/>
        </w:rPr>
        <w:instrText xml:space="preserve"> TOC \o "1-4" \h \z \u </w:instrText>
      </w:r>
      <w:r w:rsidR="004D4273" w:rsidRPr="003344B0">
        <w:rPr>
          <w:highlight w:val="yellow"/>
        </w:rPr>
        <w:fldChar w:fldCharType="separate"/>
      </w:r>
    </w:p>
    <w:p w:rsidR="00AA68A1" w:rsidRDefault="00CF7D70">
      <w:pPr>
        <w:pStyle w:val="TOC3"/>
        <w:rPr>
          <w:rFonts w:asciiTheme="minorHAnsi" w:eastAsiaTheme="minorEastAsia" w:hAnsiTheme="minorHAnsi" w:cstheme="minorBidi"/>
          <w:b w:val="0"/>
          <w:sz w:val="22"/>
          <w:szCs w:val="22"/>
          <w:lang w:eastAsia="en-AU"/>
        </w:rPr>
      </w:pPr>
      <w:hyperlink w:anchor="_Toc312151007" w:history="1">
        <w:r w:rsidR="00AA68A1" w:rsidRPr="00DC35A0">
          <w:rPr>
            <w:rStyle w:val="Hyperlink"/>
          </w:rPr>
          <w:t>Overview</w:t>
        </w:r>
        <w:r w:rsidR="00AA68A1">
          <w:rPr>
            <w:webHidden/>
          </w:rPr>
          <w:tab/>
        </w:r>
        <w:r w:rsidR="00AA68A1">
          <w:rPr>
            <w:webHidden/>
          </w:rPr>
          <w:fldChar w:fldCharType="begin"/>
        </w:r>
        <w:r w:rsidR="00AA68A1">
          <w:rPr>
            <w:webHidden/>
          </w:rPr>
          <w:instrText xml:space="preserve"> PAGEREF _Toc312151007 \h </w:instrText>
        </w:r>
        <w:r w:rsidR="00AA68A1">
          <w:rPr>
            <w:webHidden/>
          </w:rPr>
        </w:r>
        <w:r w:rsidR="00AA68A1">
          <w:rPr>
            <w:webHidden/>
          </w:rPr>
          <w:fldChar w:fldCharType="separate"/>
        </w:r>
        <w:r w:rsidR="00416B87">
          <w:rPr>
            <w:webHidden/>
          </w:rPr>
          <w:t>3</w:t>
        </w:r>
        <w:r w:rsidR="00AA68A1">
          <w:rPr>
            <w:webHidden/>
          </w:rPr>
          <w:fldChar w:fldCharType="end"/>
        </w:r>
      </w:hyperlink>
    </w:p>
    <w:p w:rsidR="00AA68A1" w:rsidRDefault="00CF7D70">
      <w:pPr>
        <w:pStyle w:val="TOC3"/>
        <w:rPr>
          <w:rFonts w:asciiTheme="minorHAnsi" w:eastAsiaTheme="minorEastAsia" w:hAnsiTheme="minorHAnsi" w:cstheme="minorBidi"/>
          <w:b w:val="0"/>
          <w:sz w:val="22"/>
          <w:szCs w:val="22"/>
          <w:lang w:eastAsia="en-AU"/>
        </w:rPr>
      </w:pPr>
      <w:hyperlink w:anchor="_Toc312151008" w:history="1">
        <w:r w:rsidR="00AA68A1" w:rsidRPr="00DC35A0">
          <w:rPr>
            <w:rStyle w:val="Hyperlink"/>
          </w:rPr>
          <w:t>MYEFO Forecast Update</w:t>
        </w:r>
        <w:r w:rsidR="00AA68A1">
          <w:rPr>
            <w:webHidden/>
          </w:rPr>
          <w:tab/>
        </w:r>
        <w:r w:rsidR="00AA68A1">
          <w:rPr>
            <w:webHidden/>
          </w:rPr>
          <w:fldChar w:fldCharType="begin"/>
        </w:r>
        <w:r w:rsidR="00AA68A1">
          <w:rPr>
            <w:webHidden/>
          </w:rPr>
          <w:instrText xml:space="preserve"> PAGEREF _Toc312151008 \h </w:instrText>
        </w:r>
        <w:r w:rsidR="00AA68A1">
          <w:rPr>
            <w:webHidden/>
          </w:rPr>
        </w:r>
        <w:r w:rsidR="00AA68A1">
          <w:rPr>
            <w:webHidden/>
          </w:rPr>
          <w:fldChar w:fldCharType="separate"/>
        </w:r>
        <w:r w:rsidR="00416B87">
          <w:rPr>
            <w:webHidden/>
          </w:rPr>
          <w:t>4</w:t>
        </w:r>
        <w:r w:rsidR="00AA68A1">
          <w:rPr>
            <w:webHidden/>
          </w:rPr>
          <w:fldChar w:fldCharType="end"/>
        </w:r>
      </w:hyperlink>
    </w:p>
    <w:p w:rsidR="00AA68A1" w:rsidRDefault="00CF7D70">
      <w:pPr>
        <w:pStyle w:val="TOC3"/>
        <w:rPr>
          <w:rFonts w:asciiTheme="minorHAnsi" w:eastAsiaTheme="minorEastAsia" w:hAnsiTheme="minorHAnsi" w:cstheme="minorBidi"/>
          <w:b w:val="0"/>
          <w:sz w:val="22"/>
          <w:szCs w:val="22"/>
          <w:lang w:eastAsia="en-AU"/>
        </w:rPr>
      </w:pPr>
      <w:hyperlink w:anchor="_Toc312151009" w:history="1">
        <w:r w:rsidR="00AA68A1" w:rsidRPr="00DC35A0">
          <w:rPr>
            <w:rStyle w:val="Hyperlink"/>
          </w:rPr>
          <w:t>International Economic Outlook</w:t>
        </w:r>
        <w:r w:rsidR="00AA68A1">
          <w:rPr>
            <w:webHidden/>
          </w:rPr>
          <w:tab/>
        </w:r>
        <w:r w:rsidR="00AA68A1">
          <w:rPr>
            <w:webHidden/>
          </w:rPr>
          <w:fldChar w:fldCharType="begin"/>
        </w:r>
        <w:r w:rsidR="00AA68A1">
          <w:rPr>
            <w:webHidden/>
          </w:rPr>
          <w:instrText xml:space="preserve"> PAGEREF _Toc312151009 \h </w:instrText>
        </w:r>
        <w:r w:rsidR="00AA68A1">
          <w:rPr>
            <w:webHidden/>
          </w:rPr>
        </w:r>
        <w:r w:rsidR="00AA68A1">
          <w:rPr>
            <w:webHidden/>
          </w:rPr>
          <w:fldChar w:fldCharType="separate"/>
        </w:r>
        <w:r w:rsidR="00416B87">
          <w:rPr>
            <w:webHidden/>
          </w:rPr>
          <w:t>4</w:t>
        </w:r>
        <w:r w:rsidR="00AA68A1">
          <w:rPr>
            <w:webHidden/>
          </w:rPr>
          <w:fldChar w:fldCharType="end"/>
        </w:r>
      </w:hyperlink>
    </w:p>
    <w:p w:rsidR="00AA68A1" w:rsidRDefault="00CF7D70">
      <w:pPr>
        <w:pStyle w:val="TOC3"/>
        <w:rPr>
          <w:rFonts w:asciiTheme="minorHAnsi" w:eastAsiaTheme="minorEastAsia" w:hAnsiTheme="minorHAnsi" w:cstheme="minorBidi"/>
          <w:b w:val="0"/>
          <w:sz w:val="22"/>
          <w:szCs w:val="22"/>
          <w:lang w:eastAsia="en-AU"/>
        </w:rPr>
      </w:pPr>
      <w:hyperlink w:anchor="_Toc312151010" w:history="1">
        <w:r w:rsidR="00AA68A1" w:rsidRPr="00DC35A0">
          <w:rPr>
            <w:rStyle w:val="Hyperlink"/>
          </w:rPr>
          <w:t>Domestic Economic Outlook</w:t>
        </w:r>
        <w:r w:rsidR="00AA68A1">
          <w:rPr>
            <w:webHidden/>
          </w:rPr>
          <w:tab/>
        </w:r>
        <w:r w:rsidR="00AA68A1">
          <w:rPr>
            <w:webHidden/>
          </w:rPr>
          <w:fldChar w:fldCharType="begin"/>
        </w:r>
        <w:r w:rsidR="00AA68A1">
          <w:rPr>
            <w:webHidden/>
          </w:rPr>
          <w:instrText xml:space="preserve"> PAGEREF _Toc312151010 \h </w:instrText>
        </w:r>
        <w:r w:rsidR="00AA68A1">
          <w:rPr>
            <w:webHidden/>
          </w:rPr>
        </w:r>
        <w:r w:rsidR="00AA68A1">
          <w:rPr>
            <w:webHidden/>
          </w:rPr>
          <w:fldChar w:fldCharType="separate"/>
        </w:r>
        <w:r w:rsidR="00416B87">
          <w:rPr>
            <w:webHidden/>
          </w:rPr>
          <w:t>5</w:t>
        </w:r>
        <w:r w:rsidR="00AA68A1">
          <w:rPr>
            <w:webHidden/>
          </w:rPr>
          <w:fldChar w:fldCharType="end"/>
        </w:r>
      </w:hyperlink>
    </w:p>
    <w:p w:rsidR="007956D3" w:rsidRPr="00C1152F" w:rsidRDefault="004D4273" w:rsidP="00C1152F">
      <w:pPr>
        <w:pStyle w:val="TOC3"/>
        <w:rPr>
          <w:rStyle w:val="Hyperlink"/>
          <w:color w:val="auto"/>
        </w:rPr>
      </w:pPr>
      <w:r w:rsidRPr="003344B0">
        <w:rPr>
          <w:highlight w:val="yellow"/>
        </w:rPr>
        <w:fldChar w:fldCharType="end"/>
      </w:r>
    </w:p>
    <w:p w:rsidR="009B43B7" w:rsidRDefault="009B43B7">
      <w:pPr>
        <w:spacing w:after="0" w:line="240" w:lineRule="auto"/>
        <w:jc w:val="left"/>
        <w:rPr>
          <w:rFonts w:ascii="Tahoma" w:hAnsi="Tahoma"/>
          <w:b/>
          <w:smallCaps/>
          <w:sz w:val="24"/>
          <w:highlight w:val="yellow"/>
        </w:rPr>
      </w:pPr>
      <w:r>
        <w:rPr>
          <w:b/>
          <w:sz w:val="24"/>
          <w:highlight w:val="yellow"/>
        </w:rPr>
        <w:br w:type="page"/>
      </w:r>
    </w:p>
    <w:p w:rsidR="005964C3" w:rsidRPr="00090436" w:rsidRDefault="005964C3" w:rsidP="00090436">
      <w:pPr>
        <w:pStyle w:val="Title"/>
        <w:spacing w:after="0"/>
        <w:outlineLvl w:val="0"/>
        <w:rPr>
          <w:b/>
          <w:color w:val="auto"/>
          <w:sz w:val="16"/>
          <w:szCs w:val="16"/>
          <w:highlight w:val="yellow"/>
        </w:rPr>
      </w:pPr>
    </w:p>
    <w:p w:rsidR="007956D3" w:rsidRPr="003344B0" w:rsidRDefault="007956D3" w:rsidP="00090436">
      <w:pPr>
        <w:pStyle w:val="Title"/>
        <w:spacing w:after="0"/>
        <w:outlineLvl w:val="0"/>
        <w:rPr>
          <w:b/>
          <w:color w:val="auto"/>
          <w:sz w:val="24"/>
          <w:szCs w:val="24"/>
          <w:highlight w:val="yellow"/>
        </w:rPr>
        <w:sectPr w:rsidR="007956D3" w:rsidRPr="003344B0" w:rsidSect="002A3175">
          <w:headerReference w:type="even" r:id="rId9"/>
          <w:headerReference w:type="default" r:id="rId10"/>
          <w:footerReference w:type="even" r:id="rId11"/>
          <w:footerReference w:type="default" r:id="rId12"/>
          <w:headerReference w:type="first" r:id="rId13"/>
          <w:footerReference w:type="first" r:id="rId14"/>
          <w:pgSz w:w="11907" w:h="16840" w:code="9"/>
          <w:pgMar w:top="1240" w:right="1418" w:bottom="1418" w:left="1418" w:header="567" w:footer="442" w:gutter="0"/>
          <w:cols w:space="720"/>
          <w:titlePg/>
        </w:sectPr>
      </w:pPr>
    </w:p>
    <w:p w:rsidR="00E9529C" w:rsidRPr="00F61A2D" w:rsidRDefault="00EF6F1B" w:rsidP="00090436">
      <w:pPr>
        <w:pStyle w:val="Heading3"/>
        <w:spacing w:before="0"/>
      </w:pPr>
      <w:bookmarkStart w:id="23" w:name="_Toc90977883"/>
      <w:bookmarkStart w:id="24" w:name="_Toc185498655"/>
      <w:bookmarkStart w:id="25" w:name="_Toc312151007"/>
      <w:r w:rsidRPr="00F61A2D">
        <w:lastRenderedPageBreak/>
        <w:t>Overview</w:t>
      </w:r>
      <w:bookmarkStart w:id="26" w:name="_Toc90977892"/>
      <w:bookmarkEnd w:id="23"/>
      <w:bookmarkEnd w:id="24"/>
      <w:bookmarkEnd w:id="25"/>
    </w:p>
    <w:p w:rsidR="00121123" w:rsidRDefault="00016B80" w:rsidP="00320E09">
      <w:pPr>
        <w:tabs>
          <w:tab w:val="num" w:pos="0"/>
        </w:tabs>
      </w:pPr>
      <w:bookmarkStart w:id="27" w:name="_Toc185498657"/>
      <w:r>
        <w:t xml:space="preserve">The economic outlook is broadly unchanged from </w:t>
      </w:r>
      <w:r w:rsidR="0096186E" w:rsidRPr="0096186E">
        <w:t>the September JEFG and M</w:t>
      </w:r>
      <w:r w:rsidR="0096186E">
        <w:t xml:space="preserve">id-Year </w:t>
      </w:r>
      <w:r w:rsidR="009014CD">
        <w:t xml:space="preserve">Economic and </w:t>
      </w:r>
      <w:r w:rsidR="0096186E">
        <w:t>Fiscal</w:t>
      </w:r>
      <w:r w:rsidR="009014CD">
        <w:t xml:space="preserve"> </w:t>
      </w:r>
      <w:r w:rsidR="0096186E">
        <w:t>Outlook (M</w:t>
      </w:r>
      <w:r w:rsidR="0096186E" w:rsidRPr="0096186E">
        <w:t>YEFO</w:t>
      </w:r>
      <w:r w:rsidR="0096186E">
        <w:t>)</w:t>
      </w:r>
      <w:r w:rsidR="0081582B">
        <w:t xml:space="preserve"> updates</w:t>
      </w:r>
      <w:r w:rsidR="00307D9B">
        <w:t xml:space="preserve">.  </w:t>
      </w:r>
    </w:p>
    <w:p w:rsidR="00121123" w:rsidRDefault="0078357B" w:rsidP="00320E09">
      <w:pPr>
        <w:tabs>
          <w:tab w:val="num" w:pos="0"/>
        </w:tabs>
      </w:pPr>
      <w:r>
        <w:t>International growth prospects remain highly uncertain</w:t>
      </w:r>
      <w:r w:rsidR="00121123">
        <w:t xml:space="preserve">. </w:t>
      </w:r>
      <w:r w:rsidR="00C23FC1">
        <w:t xml:space="preserve"> </w:t>
      </w:r>
      <w:r w:rsidR="00121123">
        <w:t>T</w:t>
      </w:r>
      <w:r>
        <w:t>he European sovereign debt crisis continu</w:t>
      </w:r>
      <w:r w:rsidR="00121123">
        <w:t>es</w:t>
      </w:r>
      <w:r>
        <w:t xml:space="preserve"> to </w:t>
      </w:r>
      <w:r w:rsidR="0096186E" w:rsidRPr="0096186E">
        <w:t>pose considerable risk</w:t>
      </w:r>
      <w:r>
        <w:t>s</w:t>
      </w:r>
      <w:r w:rsidR="0096186E" w:rsidRPr="0096186E">
        <w:t xml:space="preserve"> to</w:t>
      </w:r>
      <w:r>
        <w:t xml:space="preserve"> financial stability</w:t>
      </w:r>
      <w:r w:rsidR="0081582B">
        <w:t xml:space="preserve"> and </w:t>
      </w:r>
      <w:r w:rsidR="00320A94">
        <w:t xml:space="preserve">is </w:t>
      </w:r>
      <w:r w:rsidR="0067742F">
        <w:t>undermin</w:t>
      </w:r>
      <w:r w:rsidR="00320A94">
        <w:t>ing</w:t>
      </w:r>
      <w:r w:rsidR="00876AFE">
        <w:t xml:space="preserve"> </w:t>
      </w:r>
      <w:r w:rsidR="00121123">
        <w:t xml:space="preserve">global </w:t>
      </w:r>
      <w:r w:rsidR="0067742F">
        <w:t>confidence</w:t>
      </w:r>
      <w:r w:rsidR="00EC2CE9">
        <w:t xml:space="preserve">.  Economic indicators have improved recently in the US, although </w:t>
      </w:r>
      <w:r w:rsidR="008030F0">
        <w:t xml:space="preserve">the prospect of substantial near-term fiscal tightening </w:t>
      </w:r>
      <w:r w:rsidR="00EC2CE9">
        <w:t>remains a</w:t>
      </w:r>
      <w:r w:rsidR="00600285">
        <w:t xml:space="preserve"> threat</w:t>
      </w:r>
      <w:r w:rsidR="008030F0">
        <w:t xml:space="preserve"> </w:t>
      </w:r>
      <w:r w:rsidR="00416B87">
        <w:t xml:space="preserve">to </w:t>
      </w:r>
      <w:r w:rsidR="008030F0">
        <w:t>the strength of the US recovery</w:t>
      </w:r>
      <w:r>
        <w:t xml:space="preserve">. </w:t>
      </w:r>
      <w:r w:rsidR="0096186E" w:rsidRPr="0096186E">
        <w:t xml:space="preserve"> </w:t>
      </w:r>
      <w:r w:rsidR="00A03587">
        <w:t>Growth in emerging Asia remains robust, although weak external demand and deleveraging by European financial institutions are starting to weigh on industrial activity and affect the availability of trade finance, contributing to weakness in global commodities markets.</w:t>
      </w:r>
      <w:r w:rsidR="00876AFE">
        <w:t xml:space="preserve"> </w:t>
      </w:r>
    </w:p>
    <w:p w:rsidR="00121123" w:rsidRDefault="00121123" w:rsidP="00320E09">
      <w:pPr>
        <w:tabs>
          <w:tab w:val="num" w:pos="0"/>
        </w:tabs>
      </w:pPr>
      <w:r>
        <w:t xml:space="preserve">These developments are being transmitted to the Australian economy through a number of channels, including considerable volatility of the exchange rate, </w:t>
      </w:r>
      <w:r w:rsidR="000C153C">
        <w:t>reductions</w:t>
      </w:r>
      <w:r>
        <w:t xml:space="preserve"> in equity prices, </w:t>
      </w:r>
      <w:r w:rsidR="00EC2CE9">
        <w:t>lower</w:t>
      </w:r>
      <w:r>
        <w:t xml:space="preserve"> prices of some of Australia’s key export commodities – particularly iron ore and coal – and weaker consumer and business confidence.  </w:t>
      </w:r>
      <w:r w:rsidR="00713AB3">
        <w:t>T</w:t>
      </w:r>
      <w:r>
        <w:t xml:space="preserve">his has contributed to a reduction in momentum in some parts of the Australian economy and a slowdown in employment growth. </w:t>
      </w:r>
    </w:p>
    <w:p w:rsidR="00E3542A" w:rsidRDefault="000C153C" w:rsidP="00C312D6">
      <w:pPr>
        <w:tabs>
          <w:tab w:val="num" w:pos="0"/>
        </w:tabs>
      </w:pPr>
      <w:r>
        <w:t>Still</w:t>
      </w:r>
      <w:r w:rsidR="00C312D6">
        <w:t xml:space="preserve">, </w:t>
      </w:r>
      <w:r w:rsidR="0096186E" w:rsidRPr="0096186E">
        <w:t>the Australian economy is expected to grow at around its trend rate over the next three years</w:t>
      </w:r>
      <w:r w:rsidR="00C312D6">
        <w:t xml:space="preserve">.  Growth is expected to be driven by mining-related activity, with no evidence as yet that the deterioration in international conditions has dented the record pipeline of resources investment. </w:t>
      </w:r>
      <w:r w:rsidR="0096186E" w:rsidRPr="0096186E">
        <w:t xml:space="preserve">Conditions are, however, expected to remain uneven across the economy, with global weakness and the high Australian dollar </w:t>
      </w:r>
      <w:r w:rsidR="00121123">
        <w:t xml:space="preserve">continuing to </w:t>
      </w:r>
      <w:r w:rsidR="0096186E" w:rsidRPr="0096186E">
        <w:t>weigh heavily on some sectors.</w:t>
      </w:r>
    </w:p>
    <w:p w:rsidR="00BB50BB" w:rsidRDefault="00112E5F" w:rsidP="00C312D6">
      <w:pPr>
        <w:tabs>
          <w:tab w:val="num" w:pos="0"/>
        </w:tabs>
      </w:pPr>
      <w:r>
        <w:t xml:space="preserve">Consistent with the MYEFO, </w:t>
      </w:r>
      <w:r w:rsidR="000C153C">
        <w:t>the Australian economy</w:t>
      </w:r>
      <w:r w:rsidR="00BB50BB">
        <w:t xml:space="preserve"> is forecast to grow</w:t>
      </w:r>
      <w:r w:rsidR="00BB50BB" w:rsidRPr="0009652C">
        <w:t xml:space="preserve"> 3¼</w:t>
      </w:r>
      <w:r w:rsidR="00BB50BB">
        <w:t> </w:t>
      </w:r>
      <w:r w:rsidR="00BB50BB" w:rsidRPr="0009652C">
        <w:t>per</w:t>
      </w:r>
      <w:r w:rsidR="00BB50BB">
        <w:t> </w:t>
      </w:r>
      <w:r>
        <w:t>cent in 2011-12 and 2012</w:t>
      </w:r>
      <w:r>
        <w:noBreakHyphen/>
      </w:r>
      <w:r w:rsidR="00BB50BB" w:rsidRPr="0009652C">
        <w:t>13</w:t>
      </w:r>
      <w:r w:rsidR="00BB50BB">
        <w:t xml:space="preserve"> (Table 1)</w:t>
      </w:r>
      <w:r w:rsidR="00BB50BB" w:rsidRPr="0009652C">
        <w:t>.</w:t>
      </w:r>
      <w:r w:rsidR="00BB50BB" w:rsidRPr="00007125">
        <w:t xml:space="preserve"> </w:t>
      </w:r>
      <w:r w:rsidR="00BB50BB">
        <w:t xml:space="preserve"> </w:t>
      </w:r>
      <w:r w:rsidR="00BB50BB" w:rsidRPr="00007125">
        <w:t>Employment is foreca</w:t>
      </w:r>
      <w:r w:rsidR="00BB50BB">
        <w:t>st to grow 1 per </w:t>
      </w:r>
      <w:r w:rsidR="00BB50BB" w:rsidRPr="00007125">
        <w:t>cent through the year to the June quarter of 2012 a</w:t>
      </w:r>
      <w:r w:rsidR="00BB50BB">
        <w:t>nd 1½ per </w:t>
      </w:r>
      <w:r w:rsidR="00BB50BB" w:rsidRPr="00007125">
        <w:t xml:space="preserve">cent through the year to the June quarter of 2013. The unemployment rate is </w:t>
      </w:r>
      <w:r w:rsidR="009B43B7">
        <w:t xml:space="preserve">forecast </w:t>
      </w:r>
      <w:r w:rsidR="00B9571C">
        <w:t>increase</w:t>
      </w:r>
      <w:r w:rsidR="009B43B7">
        <w:t xml:space="preserve"> to 5½ </w:t>
      </w:r>
      <w:r w:rsidR="00BB50BB" w:rsidRPr="00007125">
        <w:t xml:space="preserve">per cent by the June quarter of 2012, </w:t>
      </w:r>
      <w:r w:rsidR="000C153C">
        <w:t xml:space="preserve">before </w:t>
      </w:r>
      <w:r w:rsidR="00BB50BB" w:rsidRPr="00007125">
        <w:t>remaining broadly unchan</w:t>
      </w:r>
      <w:r w:rsidR="00BB50BB">
        <w:t>ged through to the June quarter</w:t>
      </w:r>
      <w:r w:rsidR="00BB50BB" w:rsidRPr="00007125">
        <w:t xml:space="preserve"> of 201</w:t>
      </w:r>
      <w:r w:rsidR="0081582B">
        <w:t>3</w:t>
      </w:r>
      <w:r w:rsidR="00BB50BB" w:rsidRPr="00007125">
        <w:t>.</w:t>
      </w:r>
    </w:p>
    <w:p w:rsidR="000C153C" w:rsidRDefault="00D975B5" w:rsidP="002A3175">
      <w:pPr>
        <w:pStyle w:val="TableHeadingCharChar"/>
        <w:spacing w:before="0" w:after="0"/>
      </w:pPr>
      <w:r w:rsidRPr="00D975B5">
        <w:rPr>
          <w:noProof/>
          <w:lang w:eastAsia="en-AU"/>
        </w:rPr>
        <w:drawing>
          <wp:anchor distT="0" distB="0" distL="114300" distR="114300" simplePos="0" relativeHeight="251668480" behindDoc="0" locked="0" layoutInCell="1" allowOverlap="1" wp14:anchorId="0F9278E3" wp14:editId="01345BA2">
            <wp:simplePos x="0" y="0"/>
            <wp:positionH relativeFrom="column">
              <wp:posOffset>4445</wp:posOffset>
            </wp:positionH>
            <wp:positionV relativeFrom="paragraph">
              <wp:posOffset>243840</wp:posOffset>
            </wp:positionV>
            <wp:extent cx="4953000" cy="27051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00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153C" w:rsidRPr="0077024A">
        <w:rPr>
          <w:rFonts w:ascii="Book Antiqua" w:hAnsi="Book Antiqua"/>
        </w:rPr>
        <w:t>Table 1: Key Domestic Forecasts</w:t>
      </w:r>
      <w:r w:rsidR="000C153C" w:rsidRPr="0096186E">
        <w:rPr>
          <w:rFonts w:cs="Tahoma"/>
          <w:b w:val="0"/>
          <w:color w:val="FF0000"/>
        </w:rPr>
        <w:br/>
      </w:r>
    </w:p>
    <w:p w:rsidR="00546CBD" w:rsidRDefault="00546CBD" w:rsidP="00C312D6">
      <w:pPr>
        <w:tabs>
          <w:tab w:val="num" w:pos="0"/>
        </w:tabs>
      </w:pPr>
      <w:r w:rsidRPr="001635CD">
        <w:t xml:space="preserve">The December JEFG report includes 2013-14 as a forecast year for the first time, with real GDP growth expected to moderate slightly to 3 per cent, </w:t>
      </w:r>
      <w:r w:rsidR="00713AB3">
        <w:t xml:space="preserve">or around trend.  </w:t>
      </w:r>
      <w:r w:rsidR="00EC2CE9">
        <w:t xml:space="preserve">Following exceptional growth in resources investment and non-rural commodities exports in 2011-12 and 2012-13, the mining sector is also expected to make a substantial contribution to growth in 2013-14, but less than in the previous two years.  Trend economic growth </w:t>
      </w:r>
      <w:r w:rsidR="00713AB3">
        <w:t xml:space="preserve">would be </w:t>
      </w:r>
      <w:r w:rsidRPr="00546CBD">
        <w:t xml:space="preserve">consistent with </w:t>
      </w:r>
      <w:r>
        <w:t xml:space="preserve">a </w:t>
      </w:r>
      <w:r w:rsidRPr="00546CBD">
        <w:t xml:space="preserve">steady unemployment rate and inflation of around 2½ per cent.  </w:t>
      </w:r>
      <w:r>
        <w:lastRenderedPageBreak/>
        <w:t>T</w:t>
      </w:r>
      <w:r w:rsidRPr="001635CD">
        <w:t>he world economy is expected to grow at an around</w:t>
      </w:r>
      <w:r w:rsidRPr="001635CD">
        <w:noBreakHyphen/>
        <w:t>trend 4</w:t>
      </w:r>
      <w:r>
        <w:t xml:space="preserve">¼ </w:t>
      </w:r>
      <w:r w:rsidRPr="001635CD">
        <w:t xml:space="preserve">per cent in 2014, supported by a continued moderate recovery in the US, robust growth in emerging Asia and </w:t>
      </w:r>
      <w:r w:rsidR="00713AB3">
        <w:t xml:space="preserve">an assumption that there will be a return to </w:t>
      </w:r>
      <w:r w:rsidRPr="001635CD">
        <w:t>weak</w:t>
      </w:r>
      <w:r w:rsidR="00713AB3">
        <w:t>,</w:t>
      </w:r>
      <w:r w:rsidRPr="001635CD">
        <w:t xml:space="preserve"> but positive</w:t>
      </w:r>
      <w:r w:rsidR="00713AB3">
        <w:t>,</w:t>
      </w:r>
      <w:r w:rsidRPr="001635CD">
        <w:t xml:space="preserve"> growth in Europe.  </w:t>
      </w:r>
    </w:p>
    <w:p w:rsidR="00FB0E4C" w:rsidRDefault="00FB0E4C" w:rsidP="005D1D77">
      <w:pPr>
        <w:tabs>
          <w:tab w:val="num" w:pos="0"/>
        </w:tabs>
      </w:pPr>
      <w:r>
        <w:t xml:space="preserve">The possibility of a </w:t>
      </w:r>
      <w:r w:rsidR="00EC2CE9">
        <w:t>major financial collapse in Europe</w:t>
      </w:r>
      <w:r>
        <w:t xml:space="preserve"> represents a significant downside risk to the forecasts.  While Australia’s trade is primarily with Asia and direct exposures to European financial institutions are low, the past few months have again highlighted the importance of financial market and confidence channels.  </w:t>
      </w:r>
      <w:r>
        <w:rPr>
          <w:rFonts w:eastAsia="Times New Roman"/>
          <w:szCs w:val="20"/>
          <w:lang w:eastAsia="en-AU"/>
        </w:rPr>
        <w:t>It is also likely that growth in the Asian region</w:t>
      </w:r>
      <w:r w:rsidR="00257257">
        <w:rPr>
          <w:rFonts w:eastAsia="Times New Roman"/>
          <w:szCs w:val="20"/>
          <w:lang w:eastAsia="en-AU"/>
        </w:rPr>
        <w:t>,</w:t>
      </w:r>
      <w:r>
        <w:rPr>
          <w:rFonts w:eastAsia="Times New Roman"/>
          <w:szCs w:val="20"/>
          <w:lang w:eastAsia="en-AU"/>
        </w:rPr>
        <w:t xml:space="preserve"> and therefore our trade with emerging Asia</w:t>
      </w:r>
      <w:r w:rsidR="00257257">
        <w:rPr>
          <w:rFonts w:eastAsia="Times New Roman"/>
          <w:szCs w:val="20"/>
          <w:lang w:eastAsia="en-AU"/>
        </w:rPr>
        <w:t>,</w:t>
      </w:r>
      <w:r>
        <w:rPr>
          <w:rFonts w:eastAsia="Times New Roman"/>
          <w:szCs w:val="20"/>
          <w:lang w:eastAsia="en-AU"/>
        </w:rPr>
        <w:t xml:space="preserve"> would be affected by a sharp deterioration in Europe</w:t>
      </w:r>
      <w:r>
        <w:t>.  Events in Europe are evolving rapidly, posing a risk that the economic outlook could deteriorate quickly.</w:t>
      </w:r>
    </w:p>
    <w:p w:rsidR="00E750E9" w:rsidRPr="00E750E9" w:rsidRDefault="00E750E9" w:rsidP="00090436">
      <w:pPr>
        <w:pStyle w:val="Heading3"/>
        <w:spacing w:before="0"/>
      </w:pPr>
      <w:bookmarkStart w:id="28" w:name="_Toc312151008"/>
      <w:r w:rsidRPr="00E750E9">
        <w:t>MYEFO</w:t>
      </w:r>
      <w:r>
        <w:t xml:space="preserve"> </w:t>
      </w:r>
      <w:r w:rsidR="000C153C">
        <w:t xml:space="preserve">Forecast </w:t>
      </w:r>
      <w:r w:rsidR="00E2748C">
        <w:t>Update</w:t>
      </w:r>
      <w:bookmarkEnd w:id="28"/>
    </w:p>
    <w:p w:rsidR="00B9571C" w:rsidRDefault="00C312D6" w:rsidP="0096186E">
      <w:pPr>
        <w:tabs>
          <w:tab w:val="num" w:pos="0"/>
        </w:tabs>
      </w:pPr>
      <w:r>
        <w:t xml:space="preserve">Subsequent to the September JEFG, Treasury’s economic forecasts </w:t>
      </w:r>
      <w:r w:rsidR="0096186E" w:rsidRPr="007E1890">
        <w:t xml:space="preserve">were updated </w:t>
      </w:r>
      <w:r>
        <w:t xml:space="preserve">in November </w:t>
      </w:r>
      <w:r w:rsidR="0096186E" w:rsidRPr="007E1890">
        <w:t>for the Mid-Year Economic and Fiscal Outlook</w:t>
      </w:r>
      <w:r>
        <w:t xml:space="preserve"> (MYEFO)</w:t>
      </w:r>
      <w:r w:rsidR="004B4C55">
        <w:t xml:space="preserve">.  </w:t>
      </w:r>
      <w:r w:rsidR="00EC2CE9">
        <w:t xml:space="preserve">Treasury’s forecasts for euro area growth were downgraded at that time, </w:t>
      </w:r>
      <w:r w:rsidR="00DA44D9">
        <w:t xml:space="preserve">with the prospect of a recession in 2012 elevated from a risk at September JEFG to the central forecast at MYEFO.  </w:t>
      </w:r>
      <w:r w:rsidR="00EC2CE9">
        <w:t xml:space="preserve">This was partly offset by a minor upgrade to forecast growth in the US, leaving world GDP growth ¼ of a percentage point weaker in 2012 than forecast at September JEFG.  </w:t>
      </w:r>
      <w:r w:rsidR="004B4C55">
        <w:t xml:space="preserve">The MYEFO also captured the </w:t>
      </w:r>
      <w:r w:rsidR="00AA23D5">
        <w:t xml:space="preserve">significant </w:t>
      </w:r>
      <w:r w:rsidR="004B4C55">
        <w:t xml:space="preserve">decline in </w:t>
      </w:r>
      <w:r w:rsidR="00AA23D5">
        <w:t>iron ore</w:t>
      </w:r>
      <w:r w:rsidR="004B4C55">
        <w:t xml:space="preserve"> prices between</w:t>
      </w:r>
      <w:r w:rsidR="00AC741A" w:rsidRPr="007E1890">
        <w:t xml:space="preserve"> </w:t>
      </w:r>
      <w:r w:rsidR="004B4C55">
        <w:t>September</w:t>
      </w:r>
      <w:r w:rsidR="004B4C55" w:rsidRPr="007E1890">
        <w:t xml:space="preserve"> </w:t>
      </w:r>
      <w:r w:rsidR="0096186E" w:rsidRPr="00007125">
        <w:t xml:space="preserve">and November, leading to a </w:t>
      </w:r>
      <w:r w:rsidR="00AA23D5">
        <w:t xml:space="preserve">reprofiling of </w:t>
      </w:r>
      <w:r w:rsidR="00911718">
        <w:t>Treasury’s</w:t>
      </w:r>
      <w:r w:rsidR="00E750E9">
        <w:t xml:space="preserve"> </w:t>
      </w:r>
      <w:r w:rsidR="0096186E" w:rsidRPr="00007125">
        <w:t>terms of trade</w:t>
      </w:r>
      <w:r w:rsidR="00E750E9">
        <w:t xml:space="preserve"> forecast</w:t>
      </w:r>
      <w:r w:rsidR="00911718">
        <w:t>s</w:t>
      </w:r>
      <w:r w:rsidR="0096186E" w:rsidRPr="00007125">
        <w:t>.  In response to unfolding events, the Reserve Bank of Australia reduced the official cash rate by 25</w:t>
      </w:r>
      <w:r w:rsidR="000C153C">
        <w:t> </w:t>
      </w:r>
      <w:r w:rsidR="0096186E" w:rsidRPr="00007125">
        <w:t xml:space="preserve">basis points in November and market economists </w:t>
      </w:r>
      <w:r w:rsidR="004B4C55">
        <w:t xml:space="preserve">adjusted their </w:t>
      </w:r>
      <w:r w:rsidR="0096186E" w:rsidRPr="00007125">
        <w:t>interest rate expectations</w:t>
      </w:r>
      <w:r w:rsidR="004B4C55">
        <w:t xml:space="preserve">, factoring in a </w:t>
      </w:r>
      <w:r w:rsidR="0096186E" w:rsidRPr="00007125">
        <w:t>further 25 basis point</w:t>
      </w:r>
      <w:r w:rsidR="00911718">
        <w:t xml:space="preserve"> reduction in the official cash rate </w:t>
      </w:r>
      <w:r w:rsidR="00DA44D9">
        <w:t>by</w:t>
      </w:r>
      <w:r w:rsidR="00911718">
        <w:t xml:space="preserve"> the first quarter of 2012</w:t>
      </w:r>
      <w:r w:rsidR="00EC2CE9">
        <w:t xml:space="preserve"> (realised in December)</w:t>
      </w:r>
      <w:r w:rsidR="0096186E" w:rsidRPr="00007125">
        <w:t xml:space="preserve">.  </w:t>
      </w:r>
    </w:p>
    <w:p w:rsidR="0096186E" w:rsidRDefault="00713AB3" w:rsidP="0096186E">
      <w:pPr>
        <w:tabs>
          <w:tab w:val="num" w:pos="0"/>
        </w:tabs>
      </w:pPr>
      <w:r>
        <w:t xml:space="preserve">Notwithstanding the deterioration in international conditions, </w:t>
      </w:r>
      <w:r w:rsidR="000C153C">
        <w:t>a</w:t>
      </w:r>
      <w:r w:rsidR="0096186E" w:rsidRPr="00007125">
        <w:t xml:space="preserve"> lower interest rate profile, </w:t>
      </w:r>
      <w:r w:rsidR="00201BDE">
        <w:t>further growth in the resources investment pipeline</w:t>
      </w:r>
      <w:r w:rsidR="00AA23D5">
        <w:t xml:space="preserve"> (including the final investment decision on the $29 billion Wheatstone LNG project)</w:t>
      </w:r>
      <w:r w:rsidR="00201BDE">
        <w:t xml:space="preserve">, </w:t>
      </w:r>
      <w:r w:rsidR="0096186E" w:rsidRPr="00007125">
        <w:t xml:space="preserve">and </w:t>
      </w:r>
      <w:r w:rsidR="00911718">
        <w:t xml:space="preserve">survey data pointing to </w:t>
      </w:r>
      <w:r w:rsidR="0096186E" w:rsidRPr="00007125">
        <w:t xml:space="preserve">a </w:t>
      </w:r>
      <w:r w:rsidR="00911718" w:rsidRPr="00007125">
        <w:t>stabilis</w:t>
      </w:r>
      <w:r w:rsidR="00911718">
        <w:t>ation of</w:t>
      </w:r>
      <w:r w:rsidR="00911718" w:rsidRPr="00007125">
        <w:t xml:space="preserve"> </w:t>
      </w:r>
      <w:r w:rsidR="0096186E" w:rsidRPr="00007125">
        <w:t xml:space="preserve">business </w:t>
      </w:r>
      <w:r w:rsidR="00911718">
        <w:t xml:space="preserve">conditions </w:t>
      </w:r>
      <w:r w:rsidR="0096186E" w:rsidRPr="00007125">
        <w:t xml:space="preserve">and consumer sentiment, </w:t>
      </w:r>
      <w:r w:rsidR="00EC2CE9">
        <w:t xml:space="preserve">underpinned a minor upgrade to Treasury’s economic forecasts in 2012-13.  </w:t>
      </w:r>
      <w:r w:rsidR="00911718">
        <w:t>Treasury’s real GDP</w:t>
      </w:r>
      <w:r w:rsidR="00911718" w:rsidRPr="00007125">
        <w:t xml:space="preserve"> </w:t>
      </w:r>
      <w:r w:rsidR="0096186E" w:rsidRPr="00007125">
        <w:t xml:space="preserve">and employment </w:t>
      </w:r>
      <w:r w:rsidR="00911718">
        <w:t xml:space="preserve">growth </w:t>
      </w:r>
      <w:r w:rsidR="0096186E" w:rsidRPr="00007125">
        <w:t xml:space="preserve">forecasts were </w:t>
      </w:r>
      <w:r w:rsidR="00EC2CE9">
        <w:t>increased</w:t>
      </w:r>
      <w:r w:rsidR="0096186E" w:rsidRPr="00007125">
        <w:t xml:space="preserve"> </w:t>
      </w:r>
      <w:r>
        <w:t xml:space="preserve">at MYEFO </w:t>
      </w:r>
      <w:r w:rsidR="00AA23D5">
        <w:t>by ¼ of a percentage point</w:t>
      </w:r>
      <w:r w:rsidR="00AA23D5" w:rsidRPr="00007125">
        <w:t xml:space="preserve"> </w:t>
      </w:r>
      <w:r w:rsidR="00AA23D5">
        <w:t>in 2012-13</w:t>
      </w:r>
      <w:r w:rsidR="00EC2CE9">
        <w:t xml:space="preserve">, reducing the </w:t>
      </w:r>
      <w:r w:rsidR="000C153C">
        <w:t xml:space="preserve">forecast </w:t>
      </w:r>
      <w:r w:rsidR="0096186E" w:rsidRPr="00007125">
        <w:t xml:space="preserve">unemployment rate </w:t>
      </w:r>
      <w:r w:rsidR="00AA23D5">
        <w:t>to 5½ per cent in the June quarter 2013.</w:t>
      </w:r>
      <w:r w:rsidR="001E6AD2">
        <w:t xml:space="preserve">  There have been no material changes to the economic forecasts since that time.</w:t>
      </w:r>
    </w:p>
    <w:p w:rsidR="00E750E9" w:rsidRPr="00E750E9" w:rsidRDefault="009B43B7" w:rsidP="00090436">
      <w:pPr>
        <w:pStyle w:val="Heading3"/>
        <w:spacing w:before="0"/>
      </w:pPr>
      <w:bookmarkStart w:id="29" w:name="_Toc312151009"/>
      <w:r w:rsidRPr="00135881">
        <w:t>International</w:t>
      </w:r>
      <w:r w:rsidR="00AA68A1">
        <w:t xml:space="preserve"> Economic Outlook</w:t>
      </w:r>
      <w:bookmarkEnd w:id="29"/>
    </w:p>
    <w:p w:rsidR="009B43B7" w:rsidRDefault="00EC2CE9" w:rsidP="004201B3">
      <w:pPr>
        <w:tabs>
          <w:tab w:val="num" w:pos="0"/>
        </w:tabs>
        <w:spacing w:after="120"/>
      </w:pPr>
      <w:r>
        <w:t>T</w:t>
      </w:r>
      <w:r w:rsidR="009B43B7" w:rsidRPr="00090436">
        <w:t>he international growth outlook is largely unchanged</w:t>
      </w:r>
      <w:r>
        <w:t xml:space="preserve"> from MYEFO</w:t>
      </w:r>
      <w:r w:rsidR="009B43B7" w:rsidRPr="00090436">
        <w:t xml:space="preserve">.  World GDP growth forecasts have been downgraded by ¼ of a percentage point in 2011 since MYEFO to 3¾ per cent, reflecting </w:t>
      </w:r>
      <w:r w:rsidR="0081582B">
        <w:t>additional weakness in Japan</w:t>
      </w:r>
      <w:r w:rsidR="009B43B7" w:rsidRPr="00090436">
        <w:t xml:space="preserve">, but are unchanged at 3½ per cent in 2012 and 4 per cent in 2013.  </w:t>
      </w:r>
      <w:r w:rsidR="000C153C" w:rsidRPr="000C153C">
        <w:t>W</w:t>
      </w:r>
      <w:r w:rsidR="000C153C">
        <w:t xml:space="preserve">orld GDP growth is forecast to strengthen </w:t>
      </w:r>
      <w:r w:rsidR="00B9571C">
        <w:t xml:space="preserve">slightly </w:t>
      </w:r>
      <w:r w:rsidR="000C153C">
        <w:t xml:space="preserve">to </w:t>
      </w:r>
      <w:r w:rsidR="0081582B">
        <w:t xml:space="preserve">4¼ per cent in 2014, underpinned by continued robust growth in the emerging market economies and </w:t>
      </w:r>
      <w:r w:rsidR="00594923">
        <w:t>a slight pickup in</w:t>
      </w:r>
      <w:r w:rsidR="002851E5">
        <w:t xml:space="preserve"> </w:t>
      </w:r>
      <w:r w:rsidR="0081582B">
        <w:t>growth in the US and Europe</w:t>
      </w:r>
      <w:r w:rsidR="00594923">
        <w:t xml:space="preserve">.  While the forecasts are for growth in the major advanced economies to strengthen somewhat, the </w:t>
      </w:r>
      <w:r w:rsidR="00B9571C">
        <w:t xml:space="preserve">forecast </w:t>
      </w:r>
      <w:r w:rsidR="00594923">
        <w:t>growth rates</w:t>
      </w:r>
      <w:r w:rsidR="00713AB3">
        <w:t xml:space="preserve"> would not be sufficient to make substantial inroads into high</w:t>
      </w:r>
      <w:r w:rsidR="00B9571C">
        <w:t xml:space="preserve"> unemployment</w:t>
      </w:r>
      <w:r w:rsidR="002851E5">
        <w:t>.</w:t>
      </w:r>
    </w:p>
    <w:p w:rsidR="009B43B7" w:rsidRDefault="009B43B7" w:rsidP="009B43B7">
      <w:pPr>
        <w:pStyle w:val="TableGraphic"/>
        <w:widowControl w:val="0"/>
        <w:spacing w:after="0"/>
      </w:pPr>
      <w:r w:rsidRPr="009D44EE">
        <w:rPr>
          <w:rFonts w:ascii="Book Antiqua" w:hAnsi="Book Antiqua"/>
        </w:rPr>
        <w:t xml:space="preserve">Table </w:t>
      </w:r>
      <w:r>
        <w:rPr>
          <w:rFonts w:ascii="Book Antiqua" w:hAnsi="Book Antiqua"/>
        </w:rPr>
        <w:t>2</w:t>
      </w:r>
      <w:r w:rsidRPr="009D44EE">
        <w:rPr>
          <w:rFonts w:ascii="Book Antiqua" w:hAnsi="Book Antiqua"/>
        </w:rPr>
        <w:t>: International GDP growth forecasts</w:t>
      </w:r>
      <w:r w:rsidRPr="001B61B7">
        <w:rPr>
          <w:rFonts w:cs="Tahoma"/>
          <w:bCs/>
          <w:szCs w:val="22"/>
          <w:vertAlign w:val="superscript"/>
        </w:rPr>
        <w:t>(a)</w:t>
      </w:r>
    </w:p>
    <w:p w:rsidR="009B43B7" w:rsidRDefault="000A475A" w:rsidP="009B43B7">
      <w:pPr>
        <w:pStyle w:val="ChartGraphic0"/>
      </w:pPr>
      <w:r w:rsidRPr="000A475A">
        <w:rPr>
          <w:noProof/>
          <w:lang w:eastAsia="en-AU"/>
        </w:rPr>
        <w:drawing>
          <wp:anchor distT="0" distB="0" distL="114300" distR="114300" simplePos="0" relativeHeight="251670528" behindDoc="0" locked="0" layoutInCell="1" allowOverlap="1" wp14:anchorId="74A73D3D" wp14:editId="4EE54E56">
            <wp:simplePos x="0" y="0"/>
            <wp:positionH relativeFrom="column">
              <wp:posOffset>113030</wp:posOffset>
            </wp:positionH>
            <wp:positionV relativeFrom="paragraph">
              <wp:posOffset>163830</wp:posOffset>
            </wp:positionV>
            <wp:extent cx="5760085" cy="23158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2315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923" w:rsidRPr="00594923" w:rsidRDefault="00594923" w:rsidP="00594923">
      <w:pPr>
        <w:spacing w:after="120"/>
      </w:pPr>
    </w:p>
    <w:p w:rsidR="002851E5" w:rsidRPr="008C3C0E" w:rsidRDefault="009B43B7" w:rsidP="002851E5">
      <w:pPr>
        <w:rPr>
          <w:color w:val="000000" w:themeColor="text1"/>
        </w:rPr>
      </w:pPr>
      <w:r w:rsidRPr="008C3C0E">
        <w:rPr>
          <w:color w:val="000000" w:themeColor="text1"/>
        </w:rPr>
        <w:t>Notwithstanding two major summits in October and December, the threat of financial contagion from the euro area sovereign debt crisis has continued to rise.  Market concerns remain focused on Italy, with its high debt levels, weak growth prospects, and its poor economic reform record. The shape of further financial assistance to Greece, and the degree of sovereign debt write</w:t>
      </w:r>
      <w:r w:rsidRPr="008C3C0E">
        <w:rPr>
          <w:color w:val="000000" w:themeColor="text1"/>
        </w:rPr>
        <w:noBreakHyphen/>
        <w:t xml:space="preserve">down required, both remain unresolved, leaving open the possibility of a disorderly Greek default. </w:t>
      </w:r>
      <w:r w:rsidR="002851E5" w:rsidRPr="008C3C0E">
        <w:rPr>
          <w:color w:val="000000" w:themeColor="text1"/>
        </w:rPr>
        <w:t xml:space="preserve">Fiscal austerity implemented in response to the crisis will drag on euro area growth in 2012, and will be exacerbated if increased bank capital requirements are met by deleveraging. With the ongoing inability of European policymakers to </w:t>
      </w:r>
      <w:r w:rsidR="00B9571C">
        <w:rPr>
          <w:color w:val="000000" w:themeColor="text1"/>
        </w:rPr>
        <w:t xml:space="preserve">adequately </w:t>
      </w:r>
      <w:r w:rsidR="002851E5" w:rsidRPr="008C3C0E">
        <w:rPr>
          <w:color w:val="000000" w:themeColor="text1"/>
        </w:rPr>
        <w:t>address the crisis and restore market confidence, the euro area is expected to return to recession in 2012.</w:t>
      </w:r>
    </w:p>
    <w:p w:rsidR="009B43B7" w:rsidRPr="008C3C0E" w:rsidRDefault="009B43B7" w:rsidP="009B43B7">
      <w:pPr>
        <w:rPr>
          <w:color w:val="000000" w:themeColor="text1"/>
        </w:rPr>
      </w:pPr>
      <w:r w:rsidRPr="008C3C0E">
        <w:rPr>
          <w:color w:val="000000" w:themeColor="text1"/>
        </w:rPr>
        <w:t xml:space="preserve">Growth in the </w:t>
      </w:r>
      <w:r w:rsidR="00B9571C">
        <w:rPr>
          <w:color w:val="000000" w:themeColor="text1"/>
        </w:rPr>
        <w:t>US</w:t>
      </w:r>
      <w:r w:rsidRPr="008C3C0E">
        <w:rPr>
          <w:color w:val="000000" w:themeColor="text1"/>
        </w:rPr>
        <w:t xml:space="preserve"> has picked up as the temporary factors </w:t>
      </w:r>
      <w:r w:rsidR="00594923">
        <w:rPr>
          <w:color w:val="000000" w:themeColor="text1"/>
        </w:rPr>
        <w:t>impeding</w:t>
      </w:r>
      <w:r w:rsidRPr="008C3C0E">
        <w:rPr>
          <w:color w:val="000000" w:themeColor="text1"/>
        </w:rPr>
        <w:t xml:space="preserve"> activity in the first half of the year abated. While </w:t>
      </w:r>
      <w:r w:rsidR="00594923">
        <w:rPr>
          <w:color w:val="000000" w:themeColor="text1"/>
        </w:rPr>
        <w:t>the US GDP growth forecasts</w:t>
      </w:r>
      <w:r w:rsidRPr="008C3C0E">
        <w:rPr>
          <w:color w:val="000000" w:themeColor="text1"/>
        </w:rPr>
        <w:t xml:space="preserve"> for 2011 and 2012 </w:t>
      </w:r>
      <w:r w:rsidR="002851E5">
        <w:rPr>
          <w:color w:val="000000" w:themeColor="text1"/>
        </w:rPr>
        <w:t>were</w:t>
      </w:r>
      <w:r w:rsidRPr="008C3C0E">
        <w:rPr>
          <w:color w:val="000000" w:themeColor="text1"/>
        </w:rPr>
        <w:t xml:space="preserve"> revised up by ¼ of a percentage point</w:t>
      </w:r>
      <w:r w:rsidR="002851E5">
        <w:rPr>
          <w:color w:val="000000" w:themeColor="text1"/>
        </w:rPr>
        <w:t xml:space="preserve"> between September JEFG and MYEFO</w:t>
      </w:r>
      <w:r w:rsidRPr="008C3C0E">
        <w:rPr>
          <w:color w:val="000000" w:themeColor="text1"/>
        </w:rPr>
        <w:t>, the US recovery remains sluggish and vulnerable to further shocks. The failure of the ‘Super Committee’ to agree to a medium</w:t>
      </w:r>
      <w:r w:rsidRPr="008C3C0E">
        <w:rPr>
          <w:color w:val="000000" w:themeColor="text1"/>
        </w:rPr>
        <w:noBreakHyphen/>
        <w:t xml:space="preserve">term deficit reduction plan means the fiscal support measures passed in December 2010 may not be extended into 2012. Accordingly, there </w:t>
      </w:r>
      <w:r w:rsidR="00713AB3">
        <w:rPr>
          <w:color w:val="000000" w:themeColor="text1"/>
        </w:rPr>
        <w:t>is a risk of a substantial near</w:t>
      </w:r>
      <w:r w:rsidR="00713AB3">
        <w:rPr>
          <w:color w:val="000000" w:themeColor="text1"/>
        </w:rPr>
        <w:noBreakHyphen/>
      </w:r>
      <w:r w:rsidRPr="008C3C0E">
        <w:rPr>
          <w:color w:val="000000" w:themeColor="text1"/>
        </w:rPr>
        <w:t>term fiscal tightening, undermining the still fragile recovery.</w:t>
      </w:r>
    </w:p>
    <w:p w:rsidR="009B43B7" w:rsidRPr="008C3C0E" w:rsidRDefault="009B43B7" w:rsidP="009B43B7">
      <w:pPr>
        <w:rPr>
          <w:color w:val="000000" w:themeColor="text1"/>
          <w:highlight w:val="yellow"/>
        </w:rPr>
      </w:pPr>
      <w:r w:rsidRPr="008C3C0E">
        <w:rPr>
          <w:color w:val="000000" w:themeColor="text1"/>
        </w:rPr>
        <w:t xml:space="preserve">Japan’s growth forecast for 2011 has been revised </w:t>
      </w:r>
      <w:r w:rsidR="0081582B">
        <w:rPr>
          <w:color w:val="000000" w:themeColor="text1"/>
        </w:rPr>
        <w:t>down</w:t>
      </w:r>
      <w:r w:rsidRPr="008C3C0E">
        <w:rPr>
          <w:color w:val="000000" w:themeColor="text1"/>
        </w:rPr>
        <w:t xml:space="preserve"> </w:t>
      </w:r>
      <w:r w:rsidR="0081582B">
        <w:rPr>
          <w:color w:val="000000" w:themeColor="text1"/>
        </w:rPr>
        <w:t xml:space="preserve">from a ¼ of a percentage point contraction at MYEFO </w:t>
      </w:r>
      <w:r w:rsidRPr="008C3C0E">
        <w:rPr>
          <w:color w:val="000000" w:themeColor="text1"/>
        </w:rPr>
        <w:t>to a ¾ of a percentage point</w:t>
      </w:r>
      <w:r w:rsidR="0081582B">
        <w:rPr>
          <w:color w:val="000000" w:themeColor="text1"/>
        </w:rPr>
        <w:t xml:space="preserve"> contraction at December JEFG</w:t>
      </w:r>
      <w:r w:rsidRPr="008C3C0E">
        <w:rPr>
          <w:color w:val="000000" w:themeColor="text1"/>
        </w:rPr>
        <w:t xml:space="preserve">, </w:t>
      </w:r>
      <w:r w:rsidR="0081582B">
        <w:rPr>
          <w:color w:val="000000" w:themeColor="text1"/>
        </w:rPr>
        <w:t xml:space="preserve">reflecting </w:t>
      </w:r>
      <w:r w:rsidR="00320A94">
        <w:rPr>
          <w:color w:val="000000" w:themeColor="text1"/>
        </w:rPr>
        <w:t>downward revisions to real GDP in the first half of 2011.</w:t>
      </w:r>
      <w:r w:rsidRPr="008C3C0E">
        <w:rPr>
          <w:color w:val="000000" w:themeColor="text1"/>
        </w:rPr>
        <w:t xml:space="preserve"> Earthquake reconstruction will boost growth in 2012, but once this has flowed through, growth is expected to return to </w:t>
      </w:r>
      <w:r w:rsidR="00B9571C">
        <w:rPr>
          <w:color w:val="000000" w:themeColor="text1"/>
        </w:rPr>
        <w:t>the</w:t>
      </w:r>
      <w:r w:rsidRPr="008C3C0E">
        <w:rPr>
          <w:color w:val="000000" w:themeColor="text1"/>
        </w:rPr>
        <w:t xml:space="preserve"> weak </w:t>
      </w:r>
      <w:r w:rsidR="00B9571C">
        <w:rPr>
          <w:color w:val="000000" w:themeColor="text1"/>
        </w:rPr>
        <w:t>growth</w:t>
      </w:r>
      <w:r w:rsidRPr="008C3C0E">
        <w:rPr>
          <w:color w:val="000000" w:themeColor="text1"/>
        </w:rPr>
        <w:t xml:space="preserve"> rates</w:t>
      </w:r>
      <w:r w:rsidR="00B9571C">
        <w:rPr>
          <w:color w:val="000000" w:themeColor="text1"/>
        </w:rPr>
        <w:t xml:space="preserve"> experienced since the early 1990s</w:t>
      </w:r>
      <w:r w:rsidRPr="008C3C0E">
        <w:rPr>
          <w:color w:val="000000" w:themeColor="text1"/>
        </w:rPr>
        <w:t xml:space="preserve">. </w:t>
      </w:r>
    </w:p>
    <w:p w:rsidR="009B43B7" w:rsidRDefault="009B43B7" w:rsidP="009B43B7">
      <w:pPr>
        <w:rPr>
          <w:color w:val="000000" w:themeColor="text1"/>
        </w:rPr>
      </w:pPr>
      <w:r w:rsidRPr="008C3C0E">
        <w:rPr>
          <w:color w:val="000000" w:themeColor="text1"/>
        </w:rPr>
        <w:t xml:space="preserve">While emerging economies are expected to continue growing at solid rates, growth is still likely to be affected by the weaker outlook for Europe. Partly reflecting this, China’s growth forecast for 2012 </w:t>
      </w:r>
      <w:r w:rsidR="002851E5">
        <w:rPr>
          <w:color w:val="000000" w:themeColor="text1"/>
        </w:rPr>
        <w:t>was</w:t>
      </w:r>
      <w:r w:rsidRPr="008C3C0E">
        <w:rPr>
          <w:color w:val="000000" w:themeColor="text1"/>
        </w:rPr>
        <w:t xml:space="preserve"> revised down to 8¼ per cent</w:t>
      </w:r>
      <w:r w:rsidR="002851E5">
        <w:rPr>
          <w:color w:val="000000" w:themeColor="text1"/>
        </w:rPr>
        <w:t xml:space="preserve"> at MYEFO</w:t>
      </w:r>
      <w:r w:rsidRPr="008C3C0E">
        <w:rPr>
          <w:color w:val="000000" w:themeColor="text1"/>
        </w:rPr>
        <w:t>. Similarly, the expected impacts on export</w:t>
      </w:r>
      <w:r w:rsidRPr="008C3C0E">
        <w:rPr>
          <w:color w:val="000000" w:themeColor="text1"/>
        </w:rPr>
        <w:noBreakHyphen/>
        <w:t xml:space="preserve">dependent Asian economies in the ASEAN-5 and the NIEs resulted in the forecast for other East Asia’s growth for 2012 being revised down to 3¾ per cent.   </w:t>
      </w:r>
    </w:p>
    <w:p w:rsidR="002851E5" w:rsidRDefault="002851E5" w:rsidP="009B43B7">
      <w:pPr>
        <w:rPr>
          <w:color w:val="000000" w:themeColor="text1"/>
        </w:rPr>
      </w:pPr>
      <w:r w:rsidRPr="00305644">
        <w:t xml:space="preserve">While the central forecasts continue to assume that the European sovereign debt crisis will not precipitate a major destabilising event, the risk of </w:t>
      </w:r>
      <w:r w:rsidR="00594923">
        <w:t>such an event</w:t>
      </w:r>
      <w:r w:rsidRPr="00305644">
        <w:t xml:space="preserve"> occurring remain</w:t>
      </w:r>
      <w:r w:rsidR="00594923">
        <w:t>s</w:t>
      </w:r>
      <w:r w:rsidRPr="00305644">
        <w:t xml:space="preserve"> significant and the potential damage to the global economy would be severe.</w:t>
      </w:r>
    </w:p>
    <w:p w:rsidR="009B43B7" w:rsidRPr="00135881" w:rsidRDefault="009B43B7" w:rsidP="00090436">
      <w:pPr>
        <w:pStyle w:val="Heading3"/>
        <w:spacing w:before="0"/>
      </w:pPr>
      <w:bookmarkStart w:id="30" w:name="_Toc312151010"/>
      <w:r w:rsidRPr="00090436">
        <w:t>Do</w:t>
      </w:r>
      <w:r w:rsidR="000C153C" w:rsidRPr="00090436">
        <w:t>mestic Economic Outlook</w:t>
      </w:r>
      <w:bookmarkEnd w:id="30"/>
    </w:p>
    <w:p w:rsidR="00112E5F" w:rsidRDefault="00A71EDC" w:rsidP="00C23FC1">
      <w:pPr>
        <w:tabs>
          <w:tab w:val="num" w:pos="0"/>
        </w:tabs>
      </w:pPr>
      <w:r w:rsidRPr="00007125">
        <w:t xml:space="preserve">Australia’s </w:t>
      </w:r>
      <w:r w:rsidR="00F734DB">
        <w:t>economic</w:t>
      </w:r>
      <w:r w:rsidRPr="00007125">
        <w:t xml:space="preserve"> outlook is </w:t>
      </w:r>
      <w:r w:rsidR="00E3542A">
        <w:t xml:space="preserve">also </w:t>
      </w:r>
      <w:r w:rsidR="00C0462E">
        <w:t>largely</w:t>
      </w:r>
      <w:r w:rsidR="00F156DD">
        <w:t xml:space="preserve"> </w:t>
      </w:r>
      <w:r w:rsidRPr="00007125">
        <w:t>unchanged since MYEFO</w:t>
      </w:r>
      <w:r>
        <w:t xml:space="preserve">.  </w:t>
      </w:r>
      <w:r w:rsidR="00C12FB3">
        <w:t xml:space="preserve">Growth over the forecast horizon is expected to be driven by mining-related activity, underpinned by a record pipeline of resources investment and strong growth in commodity exports.  </w:t>
      </w:r>
      <w:r w:rsidR="00FD2C0B" w:rsidRPr="005757A8">
        <w:t>While global prices for Australia’s key non-rural commodity exports are down</w:t>
      </w:r>
      <w:r w:rsidR="00FD2C0B">
        <w:t xml:space="preserve"> </w:t>
      </w:r>
      <w:r w:rsidR="003907AE">
        <w:t>between 10 and 30</w:t>
      </w:r>
      <w:r w:rsidR="003907AE" w:rsidRPr="005757A8">
        <w:t xml:space="preserve"> </w:t>
      </w:r>
      <w:r w:rsidR="00FD2C0B" w:rsidRPr="005757A8">
        <w:t xml:space="preserve">per cent </w:t>
      </w:r>
      <w:r w:rsidR="00FD2C0B">
        <w:t>from</w:t>
      </w:r>
      <w:r w:rsidR="00FD2C0B" w:rsidRPr="005757A8">
        <w:t xml:space="preserve"> their peak</w:t>
      </w:r>
      <w:r w:rsidR="003907AE">
        <w:t>s</w:t>
      </w:r>
      <w:r w:rsidR="00FD2C0B" w:rsidRPr="005757A8">
        <w:t xml:space="preserve"> </w:t>
      </w:r>
      <w:r w:rsidR="00594923">
        <w:t>in early</w:t>
      </w:r>
      <w:r w:rsidR="00594923">
        <w:noBreakHyphen/>
      </w:r>
      <w:r w:rsidR="00FD2C0B">
        <w:t>September, coal and iron ore prices are still at historically high levels, underpinning high levels of profitability in the resources sector</w:t>
      </w:r>
      <w:r w:rsidR="00FD2C0B" w:rsidRPr="005757A8">
        <w:t xml:space="preserve">.  </w:t>
      </w:r>
      <w:r w:rsidR="00C12FB3">
        <w:t>However, t</w:t>
      </w:r>
      <w:r w:rsidR="00112E5F" w:rsidRPr="00007125">
        <w:t xml:space="preserve">he weak international environment is expected to continue to weigh on Australia’s economic outlook and exacerbate existing pressures on some sectors.  </w:t>
      </w:r>
      <w:r w:rsidR="00112E5F" w:rsidRPr="00D9350B">
        <w:t>The Australian dollar remains elevated, some business</w:t>
      </w:r>
      <w:r w:rsidR="00594923">
        <w:t>es</w:t>
      </w:r>
      <w:r w:rsidR="00112E5F" w:rsidRPr="00D9350B">
        <w:t xml:space="preserve"> continue to have difficulty accessing credit and ongoing consumer caution is expected to see the household saving ratio remain elevated in the face of global instability, declines in </w:t>
      </w:r>
      <w:r w:rsidR="00B15D4A">
        <w:t>household</w:t>
      </w:r>
      <w:r w:rsidR="00112E5F" w:rsidRPr="00D9350B">
        <w:t xml:space="preserve"> wealth and a s</w:t>
      </w:r>
      <w:r w:rsidR="00B15D4A">
        <w:t>lowing domestic labour market.</w:t>
      </w:r>
      <w:r w:rsidR="00B15D4A" w:rsidRPr="00B15D4A">
        <w:t xml:space="preserve"> </w:t>
      </w:r>
      <w:r w:rsidR="00B15D4A">
        <w:t xml:space="preserve"> </w:t>
      </w:r>
    </w:p>
    <w:p w:rsidR="00C23FC1" w:rsidRDefault="00C0462E" w:rsidP="00C23FC1">
      <w:pPr>
        <w:tabs>
          <w:tab w:val="num" w:pos="0"/>
        </w:tabs>
      </w:pPr>
      <w:r>
        <w:t xml:space="preserve">September quarter real GDP growth was broadly in line with the MYEFO forecasts, notwithstanding differences in some of the components.  </w:t>
      </w:r>
      <w:r w:rsidR="00C23FC1">
        <w:t>The Australian economy grew 1.0 </w:t>
      </w:r>
      <w:r w:rsidR="00C23FC1" w:rsidRPr="00007125">
        <w:t>per cent in the September quarter and 2.5 per cent through the year</w:t>
      </w:r>
      <w:r w:rsidR="00C23FC1">
        <w:t xml:space="preserve">.  </w:t>
      </w:r>
      <w:r w:rsidR="00C23FC1" w:rsidRPr="00007125">
        <w:t xml:space="preserve">Growth was </w:t>
      </w:r>
      <w:r w:rsidR="00C23FC1">
        <w:t>driven</w:t>
      </w:r>
      <w:r w:rsidR="00C23FC1" w:rsidRPr="00007125">
        <w:t xml:space="preserve"> by a</w:t>
      </w:r>
      <w:r w:rsidR="00C23FC1">
        <w:t>n unanticipated</w:t>
      </w:r>
      <w:r w:rsidR="00C23FC1" w:rsidRPr="00007125">
        <w:t xml:space="preserve"> surge in </w:t>
      </w:r>
      <w:r w:rsidR="00C23FC1">
        <w:t>resources</w:t>
      </w:r>
      <w:r w:rsidR="00C23FC1" w:rsidRPr="00007125">
        <w:t xml:space="preserve"> investment</w:t>
      </w:r>
      <w:r w:rsidR="00C23FC1">
        <w:t xml:space="preserve"> </w:t>
      </w:r>
      <w:r w:rsidR="00C23FC1" w:rsidRPr="00007125">
        <w:t xml:space="preserve">and </w:t>
      </w:r>
      <w:r w:rsidR="00C23FC1">
        <w:t xml:space="preserve">stronger-than-expected </w:t>
      </w:r>
      <w:r w:rsidR="00C23FC1" w:rsidRPr="00007125">
        <w:t xml:space="preserve">growth in </w:t>
      </w:r>
      <w:r w:rsidR="00C23FC1">
        <w:t xml:space="preserve">household </w:t>
      </w:r>
      <w:r w:rsidR="00C23FC1" w:rsidRPr="00007125">
        <w:t>consumption</w:t>
      </w:r>
      <w:r w:rsidR="00C23FC1">
        <w:t xml:space="preserve">, although the implications for aggregate real GDP growth were </w:t>
      </w:r>
      <w:r w:rsidR="00B15D4A">
        <w:t>offset</w:t>
      </w:r>
      <w:r w:rsidR="00C23FC1">
        <w:t xml:space="preserve"> by related strength in imports</w:t>
      </w:r>
      <w:r w:rsidR="00C23FC1" w:rsidRPr="00007125">
        <w:t xml:space="preserve">.  </w:t>
      </w:r>
      <w:r w:rsidR="00C23FC1">
        <w:t xml:space="preserve">Changes in inventories and public final demand also detracted from growth in the September quarter, with the reduction in public final demand </w:t>
      </w:r>
      <w:r w:rsidR="00C23FC1" w:rsidRPr="00007125">
        <w:t xml:space="preserve">reflecting </w:t>
      </w:r>
      <w:r w:rsidR="00C23FC1">
        <w:t>lower consumption and investment</w:t>
      </w:r>
      <w:r w:rsidR="00C23FC1" w:rsidRPr="00007125">
        <w:t xml:space="preserve"> across all levels of government.</w:t>
      </w:r>
    </w:p>
    <w:p w:rsidR="00E3542A" w:rsidRDefault="00201BDE" w:rsidP="00A71EDC">
      <w:pPr>
        <w:tabs>
          <w:tab w:val="num" w:pos="0"/>
        </w:tabs>
      </w:pPr>
      <w:r>
        <w:t>Recent</w:t>
      </w:r>
      <w:r w:rsidR="00E3542A">
        <w:t xml:space="preserve"> survey data </w:t>
      </w:r>
      <w:r>
        <w:t>suggest</w:t>
      </w:r>
      <w:r w:rsidR="00E3542A">
        <w:t xml:space="preserve"> that b</w:t>
      </w:r>
      <w:r w:rsidR="00C0462E">
        <w:t xml:space="preserve">usiness conditions and consumer sentiment </w:t>
      </w:r>
      <w:r w:rsidR="00565509">
        <w:t>stabilised</w:t>
      </w:r>
      <w:r w:rsidR="00A509FD">
        <w:t xml:space="preserve"> in the December quarter</w:t>
      </w:r>
      <w:r w:rsidR="00565509">
        <w:t xml:space="preserve">, </w:t>
      </w:r>
      <w:r>
        <w:t>but remain</w:t>
      </w:r>
      <w:r w:rsidR="00565509">
        <w:t xml:space="preserve"> below their long</w:t>
      </w:r>
      <w:r w:rsidR="00447CD6">
        <w:noBreakHyphen/>
      </w:r>
      <w:r w:rsidR="00565509">
        <w:t xml:space="preserve">run averages.  </w:t>
      </w:r>
      <w:r w:rsidR="00B74082">
        <w:t xml:space="preserve">Commodity </w:t>
      </w:r>
      <w:r w:rsidR="00A509FD">
        <w:t>markets</w:t>
      </w:r>
      <w:r w:rsidR="00B74082">
        <w:t xml:space="preserve"> have </w:t>
      </w:r>
      <w:r w:rsidR="00E3542A">
        <w:t>been less volatile</w:t>
      </w:r>
      <w:r w:rsidR="00B74082">
        <w:t xml:space="preserve"> in recent weeks, with </w:t>
      </w:r>
      <w:r w:rsidR="00A509FD">
        <w:t xml:space="preserve">iron ore and coal prices currently trading within a relatively narrow band. </w:t>
      </w:r>
      <w:r w:rsidR="00B74082">
        <w:t xml:space="preserve"> </w:t>
      </w:r>
      <w:r w:rsidR="00A509FD">
        <w:t xml:space="preserve">Likewise, the </w:t>
      </w:r>
      <w:r w:rsidR="00A509FD">
        <w:lastRenderedPageBreak/>
        <w:t xml:space="preserve">Australian dollar has </w:t>
      </w:r>
      <w:r w:rsidR="00E3542A">
        <w:t>remained</w:t>
      </w:r>
      <w:r w:rsidR="00A509FD">
        <w:t xml:space="preserve"> within 2-3 per cent of parity with the US dollar since the MYEFO.  Recent labour market outcomes and forward-looking labour demand indicators are </w:t>
      </w:r>
      <w:r w:rsidR="00E3542A">
        <w:t xml:space="preserve">also </w:t>
      </w:r>
      <w:r w:rsidR="00A509FD">
        <w:t xml:space="preserve">consistent with the MYEFO forecasts for a </w:t>
      </w:r>
      <w:r w:rsidR="00C23FC1">
        <w:t>slight</w:t>
      </w:r>
      <w:r w:rsidR="00A509FD">
        <w:t xml:space="preserve"> increase in the unemployment rate</w:t>
      </w:r>
      <w:r w:rsidR="00C23FC1">
        <w:t xml:space="preserve"> in the near term</w:t>
      </w:r>
      <w:r w:rsidR="00A509FD">
        <w:t xml:space="preserve">.  </w:t>
      </w:r>
    </w:p>
    <w:p w:rsidR="00201BDE" w:rsidRDefault="00E3542A" w:rsidP="00A71EDC">
      <w:pPr>
        <w:tabs>
          <w:tab w:val="num" w:pos="0"/>
        </w:tabs>
      </w:pPr>
      <w:r>
        <w:t>T</w:t>
      </w:r>
      <w:r w:rsidR="00B74082">
        <w:t>he Reserve Bank Board reduced official interest rates</w:t>
      </w:r>
      <w:r>
        <w:t xml:space="preserve"> </w:t>
      </w:r>
      <w:r w:rsidR="003907AE">
        <w:t xml:space="preserve">for </w:t>
      </w:r>
      <w:r>
        <w:t>a second time</w:t>
      </w:r>
      <w:r w:rsidR="003907AE">
        <w:t xml:space="preserve"> in 2011</w:t>
      </w:r>
      <w:r w:rsidR="00B74082">
        <w:t xml:space="preserve"> at its December meeting, with </w:t>
      </w:r>
      <w:r w:rsidR="00A509FD">
        <w:t xml:space="preserve">the median expectation of </w:t>
      </w:r>
      <w:r w:rsidR="00B74082">
        <w:t xml:space="preserve">market economists </w:t>
      </w:r>
      <w:r w:rsidR="00A509FD">
        <w:t>predicting</w:t>
      </w:r>
      <w:r w:rsidR="00B74082">
        <w:t xml:space="preserve"> a further 25 basis point reduction in official interest rates in the March quarter of 2012.</w:t>
      </w:r>
      <w:r w:rsidR="00A509FD">
        <w:t xml:space="preserve">  </w:t>
      </w:r>
      <w:r>
        <w:t>While t</w:t>
      </w:r>
      <w:r w:rsidR="00A509FD">
        <w:t>his represent</w:t>
      </w:r>
      <w:r>
        <w:t>s</w:t>
      </w:r>
      <w:r w:rsidR="00A509FD">
        <w:t xml:space="preserve"> an additional 25 </w:t>
      </w:r>
      <w:r w:rsidR="009B3935">
        <w:t> </w:t>
      </w:r>
      <w:r w:rsidR="00A509FD">
        <w:t xml:space="preserve">basis point </w:t>
      </w:r>
      <w:r>
        <w:t xml:space="preserve">cut in official interest rates relative to the MYEFO assumption, the impact is neutralised by the </w:t>
      </w:r>
      <w:r w:rsidR="00D93BE4">
        <w:t>change</w:t>
      </w:r>
      <w:r>
        <w:t xml:space="preserve"> in international and domestic conditions that the Reserve Bank Board is responding to, leaving the aggregate outlook for Australia</w:t>
      </w:r>
      <w:r w:rsidR="00C12FB3">
        <w:t>’s</w:t>
      </w:r>
      <w:r>
        <w:t xml:space="preserve"> </w:t>
      </w:r>
      <w:r w:rsidR="00C12FB3">
        <w:t>economic growth</w:t>
      </w:r>
      <w:r>
        <w:t xml:space="preserve"> </w:t>
      </w:r>
      <w:r w:rsidR="00C12FB3">
        <w:t xml:space="preserve">largely </w:t>
      </w:r>
      <w:r>
        <w:t>unchanged since MYEFO.</w:t>
      </w:r>
    </w:p>
    <w:tbl>
      <w:tblPr>
        <w:tblStyle w:val="TableGrid"/>
        <w:tblW w:w="0" w:type="auto"/>
        <w:tblLook w:val="04A0" w:firstRow="1" w:lastRow="0" w:firstColumn="1" w:lastColumn="0" w:noHBand="0" w:noVBand="1"/>
      </w:tblPr>
      <w:tblGrid>
        <w:gridCol w:w="9287"/>
      </w:tblGrid>
      <w:tr w:rsidR="00135881" w:rsidTr="00135881">
        <w:tc>
          <w:tcPr>
            <w:tcW w:w="9287" w:type="dxa"/>
            <w:shd w:val="clear" w:color="auto" w:fill="D9D9D9" w:themeFill="background1" w:themeFillShade="D9"/>
          </w:tcPr>
          <w:p w:rsidR="00135881" w:rsidRPr="0009652C" w:rsidRDefault="00135881" w:rsidP="00135881">
            <w:pPr>
              <w:spacing w:before="100" w:beforeAutospacing="1" w:after="100" w:afterAutospacing="1" w:line="240" w:lineRule="auto"/>
              <w:rPr>
                <w:rFonts w:eastAsia="Times New Roman"/>
                <w:b/>
                <w:szCs w:val="20"/>
                <w:lang w:eastAsia="en-AU"/>
              </w:rPr>
            </w:pPr>
            <w:r w:rsidRPr="0009652C">
              <w:rPr>
                <w:rFonts w:eastAsia="Times New Roman"/>
                <w:b/>
                <w:szCs w:val="20"/>
                <w:lang w:eastAsia="en-AU"/>
              </w:rPr>
              <w:t>Box 1: Mining and Non-Mining Economy</w:t>
            </w:r>
          </w:p>
          <w:p w:rsidR="00594923" w:rsidRDefault="00135881" w:rsidP="00135881">
            <w:pPr>
              <w:autoSpaceDE w:val="0"/>
              <w:autoSpaceDN w:val="0"/>
            </w:pPr>
            <w:r>
              <w:t>T</w:t>
            </w:r>
            <w:r w:rsidRPr="0009652C">
              <w:t xml:space="preserve">he forecasts </w:t>
            </w:r>
            <w:r>
              <w:t>can also be decomposed</w:t>
            </w:r>
            <w:r w:rsidRPr="0009652C">
              <w:t xml:space="preserve"> on a production basis</w:t>
            </w:r>
            <w:r>
              <w:t xml:space="preserve"> to calculate implied </w:t>
            </w:r>
            <w:r w:rsidRPr="0009652C">
              <w:t>growth in the mining, mining-related and non-mining economies.  Chart 1 shows the 3 year moving average of real GDP growth for these 3 sectors</w:t>
            </w:r>
            <w:r w:rsidR="00713AB3">
              <w:t xml:space="preserve">, highlighting </w:t>
            </w:r>
            <w:r w:rsidR="00594923">
              <w:t xml:space="preserve">the </w:t>
            </w:r>
            <w:r w:rsidR="00713AB3">
              <w:t>sustained weakness in the non</w:t>
            </w:r>
            <w:r w:rsidR="00713AB3">
              <w:noBreakHyphen/>
              <w:t xml:space="preserve">mining economy </w:t>
            </w:r>
            <w:r w:rsidR="00594923">
              <w:t>implied by the forecasts</w:t>
            </w:r>
            <w:r w:rsidRPr="0009652C">
              <w:t xml:space="preserve">. </w:t>
            </w:r>
            <w:r>
              <w:t xml:space="preserve"> </w:t>
            </w:r>
          </w:p>
          <w:p w:rsidR="00135881" w:rsidRDefault="00135881" w:rsidP="00135881">
            <w:pPr>
              <w:autoSpaceDE w:val="0"/>
              <w:autoSpaceDN w:val="0"/>
            </w:pPr>
            <w:r w:rsidRPr="0009652C">
              <w:t>The forecasts imply average annual growth of 5 per cent in mining output</w:t>
            </w:r>
            <w:r>
              <w:t xml:space="preserve"> </w:t>
            </w:r>
            <w:r w:rsidRPr="0009652C">
              <w:t>over the three years 2011-12 to 2013-14, but 20 per cent in mining-related output, driven by the forecast strength in mining-related construction.  By contrast, the forecasts imply average annual growth of around 1½ per cent for those parts of the non-farm economy not benefiting directly from the resources boom over the same three years, which would be the weakest since the 1990s recession. This is a direct consequence of the high exchange rate on the competitiveness of trade</w:t>
            </w:r>
            <w:r w:rsidR="003907AE">
              <w:noBreakHyphen/>
            </w:r>
            <w:r w:rsidRPr="0009652C">
              <w:t xml:space="preserve">exposed industries, </w:t>
            </w:r>
            <w:r w:rsidR="00713AB3">
              <w:t>cautious household spending behaviour</w:t>
            </w:r>
            <w:r w:rsidRPr="0009652C">
              <w:t xml:space="preserve"> and the continuing difficulty some businesses have in accessing finance.</w:t>
            </w:r>
          </w:p>
          <w:p w:rsidR="00C53F5A" w:rsidRDefault="00C53F5A" w:rsidP="00887AAD">
            <w:pPr>
              <w:pStyle w:val="TableHeadingCharChar"/>
              <w:spacing w:before="0" w:after="0"/>
              <w:rPr>
                <w:rFonts w:ascii="Book Antiqua" w:hAnsi="Book Antiqua"/>
              </w:rPr>
            </w:pPr>
            <w:r w:rsidRPr="00C53F5A">
              <w:rPr>
                <w:rFonts w:ascii="Book Antiqua" w:hAnsi="Book Antiqua"/>
              </w:rPr>
              <w:t xml:space="preserve">Chart </w:t>
            </w:r>
            <w:r>
              <w:rPr>
                <w:rFonts w:ascii="Book Antiqua" w:hAnsi="Book Antiqua"/>
              </w:rPr>
              <w:t>1</w:t>
            </w:r>
            <w:r w:rsidRPr="00C53F5A">
              <w:rPr>
                <w:rFonts w:ascii="Book Antiqua" w:hAnsi="Book Antiqua"/>
              </w:rPr>
              <w:t xml:space="preserve">: </w:t>
            </w:r>
            <w:r>
              <w:rPr>
                <w:rFonts w:ascii="Book Antiqua" w:hAnsi="Book Antiqua"/>
              </w:rPr>
              <w:t>Mining and non-mining economic activity</w:t>
            </w:r>
            <w:r w:rsidR="00594923">
              <w:rPr>
                <w:rFonts w:ascii="Book Antiqua" w:hAnsi="Book Antiqua"/>
              </w:rPr>
              <w:t xml:space="preserve"> (three year moving average)</w:t>
            </w:r>
          </w:p>
          <w:p w:rsidR="00887AAD" w:rsidRDefault="00830F2B" w:rsidP="00887AAD">
            <w:pPr>
              <w:pStyle w:val="ChartGraphic0"/>
              <w:keepN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198pt">
                  <v:imagedata r:id="rId17" o:title=""/>
                </v:shape>
              </w:pict>
            </w:r>
          </w:p>
          <w:p w:rsidR="00135881" w:rsidRDefault="00887AAD" w:rsidP="002A2054">
            <w:pPr>
              <w:autoSpaceDE w:val="0"/>
              <w:autoSpaceDN w:val="0"/>
            </w:pPr>
            <w:r w:rsidRPr="002A2054">
              <w:rPr>
                <w:sz w:val="16"/>
                <w:szCs w:val="16"/>
              </w:rPr>
              <w:t>Source:  ABS Catalogue Number 5206.0 and Treasury.</w:t>
            </w:r>
          </w:p>
        </w:tc>
      </w:tr>
    </w:tbl>
    <w:p w:rsidR="00135881" w:rsidRDefault="00135881" w:rsidP="00135881">
      <w:pPr>
        <w:tabs>
          <w:tab w:val="num" w:pos="0"/>
        </w:tabs>
        <w:spacing w:after="120"/>
      </w:pPr>
    </w:p>
    <w:p w:rsidR="00BB50BB" w:rsidRDefault="00B15D4A" w:rsidP="00090436">
      <w:pPr>
        <w:tabs>
          <w:tab w:val="num" w:pos="0"/>
        </w:tabs>
      </w:pPr>
      <w:r>
        <w:t xml:space="preserve">Australia’s </w:t>
      </w:r>
      <w:r w:rsidR="00112E5F" w:rsidRPr="00090436">
        <w:rPr>
          <w:b/>
        </w:rPr>
        <w:t>real GDP</w:t>
      </w:r>
      <w:r w:rsidR="00112E5F">
        <w:t xml:space="preserve"> </w:t>
      </w:r>
      <w:r>
        <w:t xml:space="preserve">is forecast </w:t>
      </w:r>
      <w:r w:rsidR="00112E5F">
        <w:t>to grow 3¼ per cent in 2011-12 and 2012-13</w:t>
      </w:r>
      <w:r>
        <w:t xml:space="preserve">, </w:t>
      </w:r>
      <w:r w:rsidR="00C96A4C">
        <w:t xml:space="preserve">unchanged since MYEFO, </w:t>
      </w:r>
      <w:r w:rsidR="00C12FB3">
        <w:t xml:space="preserve">before moderating to 3 per cent in 2013-14.  </w:t>
      </w:r>
      <w:r w:rsidR="00C96A4C">
        <w:t>However, t</w:t>
      </w:r>
      <w:r w:rsidR="00BB50BB">
        <w:t xml:space="preserve">he composition </w:t>
      </w:r>
      <w:r w:rsidR="00112E5F">
        <w:t xml:space="preserve">of the economic growth forecasts </w:t>
      </w:r>
      <w:r w:rsidR="00BB50BB">
        <w:t>has shifted further towards private business investment and household consumption</w:t>
      </w:r>
      <w:r w:rsidR="00C12FB3">
        <w:t xml:space="preserve"> since MYEFO</w:t>
      </w:r>
      <w:r w:rsidR="00BB50BB">
        <w:t>, offset by higher forecast growth in imports.</w:t>
      </w:r>
    </w:p>
    <w:p w:rsidR="003365F8" w:rsidRDefault="00BB50BB" w:rsidP="003365F8">
      <w:pPr>
        <w:autoSpaceDE w:val="0"/>
        <w:autoSpaceDN w:val="0"/>
        <w:adjustRightInd w:val="0"/>
        <w:spacing w:after="0" w:line="240" w:lineRule="auto"/>
      </w:pPr>
      <w:r w:rsidRPr="00C12FB3">
        <w:t xml:space="preserve">New </w:t>
      </w:r>
      <w:r w:rsidRPr="00090436">
        <w:rPr>
          <w:b/>
        </w:rPr>
        <w:t>private business investment</w:t>
      </w:r>
      <w:r w:rsidRPr="00C12FB3">
        <w:t xml:space="preserve"> is forecast to grow 16½ per cent in 2011-12</w:t>
      </w:r>
      <w:r w:rsidR="00C12FB3" w:rsidRPr="00090436">
        <w:t>,</w:t>
      </w:r>
      <w:r w:rsidRPr="00C12FB3">
        <w:t xml:space="preserve"> 13½ per cent in 2012</w:t>
      </w:r>
      <w:r w:rsidRPr="00C12FB3">
        <w:noBreakHyphen/>
        <w:t>13</w:t>
      </w:r>
      <w:r w:rsidR="00C12FB3" w:rsidRPr="00090436">
        <w:t xml:space="preserve"> and 9½ per cent in 2013-14, reaching record highs as a share of GDP</w:t>
      </w:r>
      <w:r w:rsidRPr="00C12FB3">
        <w:t>.</w:t>
      </w:r>
      <w:r w:rsidRPr="00D9350B">
        <w:t xml:space="preserve">  </w:t>
      </w:r>
      <w:r w:rsidR="00C12FB3">
        <w:t xml:space="preserve">The key driver is </w:t>
      </w:r>
      <w:r w:rsidR="00C12FB3" w:rsidRPr="00881EFE">
        <w:t xml:space="preserve">resources investment, with the </w:t>
      </w:r>
      <w:r w:rsidR="00B832CA" w:rsidRPr="00881EFE">
        <w:t>Bureau of Resources and Energy Economics (BREE) estimating that the</w:t>
      </w:r>
      <w:r w:rsidR="00B832CA">
        <w:t xml:space="preserve"> pipeline of resources investment rose to $455 billion in </w:t>
      </w:r>
      <w:r w:rsidR="00EC1357">
        <w:t>October</w:t>
      </w:r>
      <w:r w:rsidR="00B832CA">
        <w:t xml:space="preserve">, of which $232 billion of projects are at an advanced stage of development.  The resources sector underpinned </w:t>
      </w:r>
      <w:r w:rsidR="00C12FB3">
        <w:t>a</w:t>
      </w:r>
      <w:r w:rsidR="00E73441">
        <w:t xml:space="preserve"> </w:t>
      </w:r>
      <w:r w:rsidR="003365F8" w:rsidRPr="00007125">
        <w:t xml:space="preserve">12.7 per cent </w:t>
      </w:r>
      <w:r w:rsidR="00C12FB3">
        <w:t>surge</w:t>
      </w:r>
      <w:r w:rsidR="00E73441">
        <w:t xml:space="preserve"> in n</w:t>
      </w:r>
      <w:r w:rsidR="00E73441" w:rsidRPr="00007125">
        <w:t xml:space="preserve">ew private business investment </w:t>
      </w:r>
      <w:r w:rsidR="003365F8" w:rsidRPr="00007125">
        <w:t xml:space="preserve">in </w:t>
      </w:r>
      <w:r w:rsidR="003365F8" w:rsidRPr="00007125">
        <w:lastRenderedPageBreak/>
        <w:t>the September quarter</w:t>
      </w:r>
      <w:r w:rsidR="004228FC">
        <w:t>, driv</w:t>
      </w:r>
      <w:r w:rsidR="00112E5F">
        <w:t>en by</w:t>
      </w:r>
      <w:r w:rsidR="00E73441">
        <w:t xml:space="preserve"> 31</w:t>
      </w:r>
      <w:r w:rsidR="003D3165">
        <w:t>.0 per </w:t>
      </w:r>
      <w:r w:rsidR="00E73441">
        <w:t xml:space="preserve">cent </w:t>
      </w:r>
      <w:r w:rsidR="004228FC">
        <w:t>growth</w:t>
      </w:r>
      <w:r w:rsidR="00E73441">
        <w:t xml:space="preserve"> in engineering construction</w:t>
      </w:r>
      <w:r w:rsidR="003D3165">
        <w:t xml:space="preserve"> and </w:t>
      </w:r>
      <w:r w:rsidR="000B12AF">
        <w:t xml:space="preserve">a </w:t>
      </w:r>
      <w:r w:rsidR="00EC1357">
        <w:t>6.7</w:t>
      </w:r>
      <w:r w:rsidR="003D3165">
        <w:t xml:space="preserve"> per cent increase in </w:t>
      </w:r>
      <w:r w:rsidR="00EC1357">
        <w:t xml:space="preserve">new </w:t>
      </w:r>
      <w:r w:rsidR="003D3165">
        <w:t>machinery and equipment investment</w:t>
      </w:r>
      <w:r w:rsidR="00E73441">
        <w:t xml:space="preserve">.  </w:t>
      </w:r>
      <w:r w:rsidR="00B832CA">
        <w:t>However</w:t>
      </w:r>
      <w:r w:rsidR="003D3165">
        <w:t xml:space="preserve">, the September quarter CAPEX survey and project level analysis indicate that </w:t>
      </w:r>
      <w:r w:rsidR="00B832CA">
        <w:t xml:space="preserve">resources investment intentions for 2011-12 have </w:t>
      </w:r>
      <w:r w:rsidR="003D3165">
        <w:t xml:space="preserve">not changed materially since MYEFO, suggesting that the </w:t>
      </w:r>
      <w:r w:rsidR="00B25385">
        <w:t xml:space="preserve">unanticipated strength </w:t>
      </w:r>
      <w:r w:rsidR="003D3165">
        <w:t xml:space="preserve">in the September quarter reflects a </w:t>
      </w:r>
      <w:r w:rsidR="004228FC">
        <w:t>bring</w:t>
      </w:r>
      <w:r w:rsidR="004228FC">
        <w:noBreakHyphen/>
      </w:r>
      <w:r w:rsidR="00E73441">
        <w:t xml:space="preserve">forward of activity.  </w:t>
      </w:r>
      <w:r w:rsidR="003D3165">
        <w:t xml:space="preserve">Consequently, the </w:t>
      </w:r>
      <w:r w:rsidR="00AA647B">
        <w:t xml:space="preserve">outlook </w:t>
      </w:r>
      <w:r w:rsidR="00EC1357">
        <w:t xml:space="preserve">for </w:t>
      </w:r>
      <w:r w:rsidR="003D3165">
        <w:t xml:space="preserve">mining investment </w:t>
      </w:r>
      <w:r w:rsidR="00AA647B">
        <w:t xml:space="preserve">and related non-rural commodity exports </w:t>
      </w:r>
      <w:r w:rsidR="003D3165">
        <w:t>is largely unchanged</w:t>
      </w:r>
      <w:r w:rsidR="00B832CA" w:rsidRPr="00B832CA">
        <w:t xml:space="preserve"> </w:t>
      </w:r>
      <w:r w:rsidR="00B832CA">
        <w:t>from MYEFO</w:t>
      </w:r>
      <w:r w:rsidR="00E73441">
        <w:t>.</w:t>
      </w:r>
    </w:p>
    <w:p w:rsidR="003D3165" w:rsidRDefault="003D3165" w:rsidP="003365F8">
      <w:pPr>
        <w:autoSpaceDE w:val="0"/>
        <w:autoSpaceDN w:val="0"/>
        <w:adjustRightInd w:val="0"/>
        <w:spacing w:after="0" w:line="240" w:lineRule="auto"/>
      </w:pPr>
    </w:p>
    <w:p w:rsidR="000B12AF" w:rsidRDefault="00AA647B" w:rsidP="003365F8">
      <w:pPr>
        <w:autoSpaceDE w:val="0"/>
        <w:autoSpaceDN w:val="0"/>
        <w:adjustRightInd w:val="0"/>
        <w:spacing w:after="0" w:line="240" w:lineRule="auto"/>
      </w:pPr>
      <w:r>
        <w:t xml:space="preserve">Paradoxically, </w:t>
      </w:r>
      <w:r w:rsidR="00447CD6">
        <w:t>f</w:t>
      </w:r>
      <w:r w:rsidR="00F9767D">
        <w:t>orecast</w:t>
      </w:r>
      <w:r w:rsidR="003D3165">
        <w:t xml:space="preserve"> </w:t>
      </w:r>
      <w:r w:rsidR="000B12AF">
        <w:t xml:space="preserve">growth in </w:t>
      </w:r>
      <w:r w:rsidR="003D3165">
        <w:t xml:space="preserve">private business investment has been </w:t>
      </w:r>
      <w:r w:rsidR="00BB50BB">
        <w:t>upgraded</w:t>
      </w:r>
      <w:r w:rsidR="000B12AF">
        <w:t xml:space="preserve"> since MYEFO</w:t>
      </w:r>
      <w:r w:rsidR="004228FC">
        <w:t xml:space="preserve"> due to</w:t>
      </w:r>
      <w:r w:rsidR="000B12AF">
        <w:t xml:space="preserve"> additional strength in </w:t>
      </w:r>
      <w:r w:rsidR="000B12AF" w:rsidRPr="00881EFE">
        <w:t>non-mining investment</w:t>
      </w:r>
      <w:r w:rsidR="000B12AF">
        <w:t>.  Applying long-run realisation ratios to capital expenditure intentions in the September quarter CAPEX survey implies 6.4</w:t>
      </w:r>
      <w:r w:rsidR="00B25385">
        <w:t> </w:t>
      </w:r>
      <w:r w:rsidR="000B12AF">
        <w:t>per cent growth in manufacturing investment and 4.8 per cent growth in investment by ‘other selected industries’</w:t>
      </w:r>
      <w:r w:rsidR="00201BDE" w:rsidRPr="00201BDE">
        <w:t xml:space="preserve"> </w:t>
      </w:r>
      <w:r w:rsidR="00201BDE">
        <w:t>in 2011-12</w:t>
      </w:r>
      <w:r w:rsidR="00594923">
        <w:t xml:space="preserve"> (nominal)</w:t>
      </w:r>
      <w:r w:rsidR="000B12AF">
        <w:t xml:space="preserve">, albeit off a low base.  </w:t>
      </w:r>
      <w:r w:rsidR="00201BDE">
        <w:t>While s</w:t>
      </w:r>
      <w:r w:rsidR="000B12AF">
        <w:t xml:space="preserve">ome of this </w:t>
      </w:r>
      <w:r w:rsidR="00201BDE">
        <w:t>investment</w:t>
      </w:r>
      <w:r w:rsidR="000B12AF">
        <w:t xml:space="preserve"> would appear to be mining-related</w:t>
      </w:r>
      <w:r w:rsidR="00201BDE">
        <w:t xml:space="preserve"> (</w:t>
      </w:r>
      <w:r w:rsidR="000B12AF">
        <w:t xml:space="preserve">around half of the increase in capital expenditure intentions by ‘other selected industries’ in 2011-12 </w:t>
      </w:r>
      <w:r w:rsidR="00594923">
        <w:t xml:space="preserve">is </w:t>
      </w:r>
      <w:r w:rsidR="000B12AF">
        <w:t>attributable to ‘rental, hiring and real estate services’ and ‘professional, scientific and technical services’</w:t>
      </w:r>
      <w:r w:rsidR="00201BDE">
        <w:t>)</w:t>
      </w:r>
      <w:r w:rsidR="000B12AF">
        <w:t xml:space="preserve">, </w:t>
      </w:r>
      <w:r w:rsidR="00B832CA">
        <w:t xml:space="preserve">it also suggests </w:t>
      </w:r>
      <w:r w:rsidR="00B96E5F">
        <w:t>greater</w:t>
      </w:r>
      <w:r w:rsidR="00201BDE">
        <w:t xml:space="preserve"> strength </w:t>
      </w:r>
      <w:r w:rsidR="00B96E5F">
        <w:t xml:space="preserve">in </w:t>
      </w:r>
      <w:r w:rsidR="00BB50BB">
        <w:t>non-mining investment</w:t>
      </w:r>
      <w:r w:rsidR="00B25385">
        <w:t xml:space="preserve"> </w:t>
      </w:r>
      <w:r w:rsidR="00B96E5F">
        <w:t>than was factored into the MYEFO forecasts</w:t>
      </w:r>
      <w:r w:rsidR="00B25385">
        <w:t xml:space="preserve">, </w:t>
      </w:r>
      <w:r w:rsidR="00B96E5F">
        <w:t xml:space="preserve">notwithstanding the generally weak outlook for </w:t>
      </w:r>
      <w:r w:rsidR="004228FC">
        <w:t xml:space="preserve">large parts of </w:t>
      </w:r>
      <w:r w:rsidR="00B96E5F">
        <w:t>the non-mining economy</w:t>
      </w:r>
      <w:r w:rsidR="00B25385">
        <w:t>.</w:t>
      </w:r>
      <w:r w:rsidR="00BB50BB">
        <w:t xml:space="preserve">  </w:t>
      </w:r>
      <w:r w:rsidR="0081582B">
        <w:t xml:space="preserve">Business liaison provides some </w:t>
      </w:r>
      <w:r w:rsidR="0081582B" w:rsidRPr="001E6AD2">
        <w:t xml:space="preserve">evidence of </w:t>
      </w:r>
      <w:r w:rsidR="00B25385" w:rsidRPr="001E6AD2">
        <w:t xml:space="preserve">firms in ailing industries (e.g. manufacturing) </w:t>
      </w:r>
      <w:r w:rsidR="0081582B" w:rsidRPr="00090436">
        <w:t xml:space="preserve">undertaking capital investment to </w:t>
      </w:r>
      <w:r w:rsidR="00B25385" w:rsidRPr="001E6AD2">
        <w:t xml:space="preserve">refocus their </w:t>
      </w:r>
      <w:r w:rsidR="0081582B" w:rsidRPr="00090436">
        <w:t xml:space="preserve">business </w:t>
      </w:r>
      <w:r w:rsidR="00B25385" w:rsidRPr="001E6AD2">
        <w:t>operations.</w:t>
      </w:r>
      <w:r w:rsidR="00B25385">
        <w:t xml:space="preserve">  </w:t>
      </w:r>
    </w:p>
    <w:p w:rsidR="000B12AF" w:rsidRDefault="000B12AF" w:rsidP="003365F8">
      <w:pPr>
        <w:autoSpaceDE w:val="0"/>
        <w:autoSpaceDN w:val="0"/>
        <w:adjustRightInd w:val="0"/>
        <w:spacing w:after="0" w:line="240" w:lineRule="auto"/>
      </w:pPr>
    </w:p>
    <w:p w:rsidR="00E44227" w:rsidRPr="00E44227" w:rsidRDefault="002B57CC" w:rsidP="00090436">
      <w:pPr>
        <w:autoSpaceDE w:val="0"/>
        <w:autoSpaceDN w:val="0"/>
      </w:pPr>
      <w:r w:rsidRPr="00090436">
        <w:rPr>
          <w:b/>
        </w:rPr>
        <w:t>H</w:t>
      </w:r>
      <w:r w:rsidR="00D42F8A" w:rsidRPr="00090436">
        <w:rPr>
          <w:b/>
        </w:rPr>
        <w:t>ousehold consumption</w:t>
      </w:r>
      <w:r w:rsidR="00D42F8A">
        <w:t xml:space="preserve"> growth is also expected to be stronger in 2011-12 than forecast at MYEFO, reflecting unanticipated strength in the September quarter.  Household consumption grew 1.2 per cent in the September quarter</w:t>
      </w:r>
      <w:r>
        <w:t xml:space="preserve"> to be 3.8 per cent higher through the year</w:t>
      </w:r>
      <w:r w:rsidR="00D42F8A">
        <w:t xml:space="preserve">, </w:t>
      </w:r>
      <w:r>
        <w:t xml:space="preserve">with </w:t>
      </w:r>
      <w:r w:rsidRPr="002B57CC">
        <w:t xml:space="preserve">consumption of services such as </w:t>
      </w:r>
      <w:r w:rsidR="00B9571C">
        <w:t xml:space="preserve">international </w:t>
      </w:r>
      <w:r w:rsidRPr="002B57CC">
        <w:t>travel, recreation, accommodation, cafes and restaurants, health and education all growing at very strong rates</w:t>
      </w:r>
      <w:r>
        <w:t xml:space="preserve">.  </w:t>
      </w:r>
      <w:r w:rsidR="00D42F8A" w:rsidRPr="00D42F8A">
        <w:t>A</w:t>
      </w:r>
      <w:r w:rsidR="00E44227">
        <w:t xml:space="preserve"> notable</w:t>
      </w:r>
      <w:r w:rsidR="00D42F8A" w:rsidRPr="00D42F8A">
        <w:t xml:space="preserve"> development in recent quarters has been the increase in the net expenditure overseas component of household consumption, which has added around 1 percentage point to nominal consumption growth over the past year.</w:t>
      </w:r>
      <w:r w:rsidR="00594923" w:rsidRPr="00594923">
        <w:rPr>
          <w:rStyle w:val="FootnoteReference"/>
        </w:rPr>
        <w:t xml:space="preserve"> </w:t>
      </w:r>
      <w:r w:rsidR="00594923">
        <w:rPr>
          <w:rStyle w:val="FootnoteReference"/>
        </w:rPr>
        <w:footnoteReference w:id="1"/>
      </w:r>
      <w:r w:rsidR="00D42F8A" w:rsidRPr="00D42F8A">
        <w:t xml:space="preserve">  Along with the strength of services consumption, this is a factor behind the divergence between </w:t>
      </w:r>
      <w:r w:rsidR="00883683">
        <w:t xml:space="preserve">growth in </w:t>
      </w:r>
      <w:r w:rsidR="00D42F8A" w:rsidRPr="00D42F8A">
        <w:t xml:space="preserve">retail trade and </w:t>
      </w:r>
      <w:r w:rsidR="00E44227">
        <w:t xml:space="preserve">aggregate </w:t>
      </w:r>
      <w:r w:rsidR="00D42F8A" w:rsidRPr="00D42F8A">
        <w:t>household consumption.</w:t>
      </w:r>
      <w:r w:rsidR="00E44227">
        <w:t xml:space="preserve">  </w:t>
      </w:r>
      <w:r w:rsidR="00E44227" w:rsidRPr="00E44227">
        <w:t xml:space="preserve">Consumption growth has been supported by even stronger growth in </w:t>
      </w:r>
      <w:r>
        <w:t xml:space="preserve">gross </w:t>
      </w:r>
      <w:r w:rsidR="00E44227" w:rsidRPr="00E44227">
        <w:t xml:space="preserve">household disposable income, which </w:t>
      </w:r>
      <w:r>
        <w:t>rose</w:t>
      </w:r>
      <w:r w:rsidR="00E44227" w:rsidRPr="00E44227">
        <w:t xml:space="preserve"> 2.4</w:t>
      </w:r>
      <w:r>
        <w:t> </w:t>
      </w:r>
      <w:r w:rsidR="00E44227" w:rsidRPr="00E44227">
        <w:t>per cent in the September quarter</w:t>
      </w:r>
      <w:r>
        <w:t xml:space="preserve"> and 6.8 per cent through the year</w:t>
      </w:r>
      <w:r w:rsidR="00E44227" w:rsidRPr="00E44227">
        <w:t xml:space="preserve">.  Therefore, notwithstanding the strength of consumption growth, the household saving ratio rose from 9.1 to 10.1 per cent in the September quarter.  </w:t>
      </w:r>
    </w:p>
    <w:p w:rsidR="00E44227" w:rsidRPr="00E44227" w:rsidRDefault="002B57CC" w:rsidP="00E44227">
      <w:pPr>
        <w:autoSpaceDE w:val="0"/>
        <w:autoSpaceDN w:val="0"/>
        <w:spacing w:after="0" w:line="240" w:lineRule="auto"/>
      </w:pPr>
      <w:r>
        <w:t xml:space="preserve">The strength of household consumption </w:t>
      </w:r>
      <w:r w:rsidR="00594923">
        <w:t xml:space="preserve">growth </w:t>
      </w:r>
      <w:r w:rsidRPr="00D42F8A">
        <w:t>suggest</w:t>
      </w:r>
      <w:r>
        <w:t>s</w:t>
      </w:r>
      <w:r w:rsidRPr="00D42F8A">
        <w:t xml:space="preserve"> that </w:t>
      </w:r>
      <w:r w:rsidR="00594923">
        <w:t xml:space="preserve">recent </w:t>
      </w:r>
      <w:r w:rsidRPr="00D42F8A">
        <w:t xml:space="preserve">global uncertainty, declining household wealth and </w:t>
      </w:r>
      <w:r>
        <w:t>lower</w:t>
      </w:r>
      <w:r w:rsidRPr="00D42F8A">
        <w:t xml:space="preserve"> </w:t>
      </w:r>
      <w:r>
        <w:t xml:space="preserve">consumer </w:t>
      </w:r>
      <w:r w:rsidRPr="00D42F8A">
        <w:t xml:space="preserve">confidence are yet to have a major bearing on consumer spending decisions.  </w:t>
      </w:r>
      <w:r w:rsidR="00883683">
        <w:t>T</w:t>
      </w:r>
      <w:r w:rsidR="00E44227" w:rsidRPr="00E44227">
        <w:t xml:space="preserve">he strength of consumption growth </w:t>
      </w:r>
      <w:r w:rsidR="00E44227">
        <w:t>in recent</w:t>
      </w:r>
      <w:r w:rsidR="00E44227" w:rsidRPr="00E44227">
        <w:t xml:space="preserve"> quarters has been somewhat surprising</w:t>
      </w:r>
      <w:r w:rsidR="00E44227">
        <w:t>,</w:t>
      </w:r>
      <w:r w:rsidR="00E44227" w:rsidRPr="00E44227">
        <w:t xml:space="preserve"> given the </w:t>
      </w:r>
      <w:r>
        <w:t>falls</w:t>
      </w:r>
      <w:r w:rsidR="00E44227" w:rsidRPr="00E44227">
        <w:t xml:space="preserve"> in </w:t>
      </w:r>
      <w:r>
        <w:t>house and equity prices</w:t>
      </w:r>
      <w:r w:rsidR="00E44227" w:rsidRPr="00E44227">
        <w:t xml:space="preserve"> over this period.  Therefore, consumption growth </w:t>
      </w:r>
      <w:r w:rsidR="00E44227">
        <w:t xml:space="preserve">is expected to weaken </w:t>
      </w:r>
      <w:r w:rsidR="00E44227" w:rsidRPr="00E44227">
        <w:t xml:space="preserve">in the near term – partly in response to </w:t>
      </w:r>
      <w:r w:rsidR="00713AB3">
        <w:t>recent</w:t>
      </w:r>
      <w:r w:rsidR="00E44227" w:rsidRPr="00E44227">
        <w:t xml:space="preserve"> falls in household wealth, but also to reflect weaker labour market conditions and </w:t>
      </w:r>
      <w:r>
        <w:t>forecasts for moderate wages growth</w:t>
      </w:r>
      <w:r w:rsidR="00E44227" w:rsidRPr="00E44227">
        <w:t xml:space="preserve">.  </w:t>
      </w:r>
      <w:r w:rsidR="00E44227">
        <w:t xml:space="preserve">Household consumption </w:t>
      </w:r>
      <w:r w:rsidR="00CC550D">
        <w:t xml:space="preserve">growth is </w:t>
      </w:r>
      <w:r w:rsidR="00E44227">
        <w:t>forecast</w:t>
      </w:r>
      <w:r w:rsidR="00E44227" w:rsidRPr="00E44227">
        <w:t xml:space="preserve"> to </w:t>
      </w:r>
      <w:r w:rsidR="00CC550D">
        <w:t>slow to</w:t>
      </w:r>
      <w:r w:rsidR="00E44227" w:rsidRPr="00E44227">
        <w:t xml:space="preserve"> ½</w:t>
      </w:r>
      <w:r w:rsidR="003C5103">
        <w:t xml:space="preserve"> of a</w:t>
      </w:r>
      <w:r w:rsidR="00E44227" w:rsidRPr="00E44227">
        <w:t xml:space="preserve"> per cent in the December and March quarters before growing in line with household income over the remainder of the forecast period, imply</w:t>
      </w:r>
      <w:r w:rsidR="00E44227">
        <w:t>ing</w:t>
      </w:r>
      <w:r w:rsidR="00E44227" w:rsidRPr="00E44227">
        <w:t xml:space="preserve"> that the household saving ratio will remain </w:t>
      </w:r>
      <w:r w:rsidR="00594923" w:rsidRPr="00E44227">
        <w:t xml:space="preserve">broadly </w:t>
      </w:r>
      <w:r w:rsidR="00E44227" w:rsidRPr="00E44227">
        <w:t xml:space="preserve">steady.  </w:t>
      </w:r>
      <w:r w:rsidR="00CC550D">
        <w:t>In year</w:t>
      </w:r>
      <w:r w:rsidR="00CC550D">
        <w:noBreakHyphen/>
        <w:t>average terms, household consumption is forecast to grow 3¼ per cent in 2011-12, 3 per cent in 2012-13 and 3¼ per cent in 2013</w:t>
      </w:r>
      <w:r w:rsidR="00815E1C">
        <w:noBreakHyphen/>
      </w:r>
      <w:r w:rsidR="00CC550D">
        <w:t xml:space="preserve">14. </w:t>
      </w:r>
    </w:p>
    <w:p w:rsidR="00E44227" w:rsidRDefault="00E44227" w:rsidP="00D42F8A">
      <w:pPr>
        <w:autoSpaceDE w:val="0"/>
        <w:autoSpaceDN w:val="0"/>
        <w:spacing w:after="0" w:line="240" w:lineRule="auto"/>
      </w:pPr>
    </w:p>
    <w:p w:rsidR="007766E4" w:rsidRDefault="00D42F8A">
      <w:pPr>
        <w:autoSpaceDE w:val="0"/>
        <w:autoSpaceDN w:val="0"/>
      </w:pPr>
      <w:r w:rsidRPr="00D42F8A">
        <w:t xml:space="preserve">The counterpart to </w:t>
      </w:r>
      <w:r w:rsidR="00E44227">
        <w:t>strong</w:t>
      </w:r>
      <w:r w:rsidR="002B57CC">
        <w:t>er</w:t>
      </w:r>
      <w:r w:rsidR="00AA647B">
        <w:noBreakHyphen/>
        <w:t>than</w:t>
      </w:r>
      <w:r w:rsidR="00AA647B">
        <w:noBreakHyphen/>
        <w:t>anticipated</w:t>
      </w:r>
      <w:r w:rsidR="002B57CC">
        <w:t xml:space="preserve"> </w:t>
      </w:r>
      <w:r w:rsidR="00E44227">
        <w:t xml:space="preserve">growth in business investment and household consumption </w:t>
      </w:r>
      <w:r w:rsidR="002B57CC">
        <w:t>has been</w:t>
      </w:r>
      <w:r w:rsidRPr="00D42F8A">
        <w:t xml:space="preserve"> strong growth in </w:t>
      </w:r>
      <w:r w:rsidRPr="00090436">
        <w:rPr>
          <w:b/>
        </w:rPr>
        <w:t>imports</w:t>
      </w:r>
      <w:r w:rsidRPr="00D42F8A">
        <w:t xml:space="preserve">.  </w:t>
      </w:r>
      <w:r w:rsidR="00FD2C0B">
        <w:t xml:space="preserve">Imports are forecast to grow 13 per cent in 2011-12, 8 per cent in 2012-13 and 7 per cent in 2013-14, with the level of imports now expected to be higher across the forecast horizon that expected at MYEFO.  This </w:t>
      </w:r>
      <w:r w:rsidR="00F83A24">
        <w:t xml:space="preserve">partly </w:t>
      </w:r>
      <w:r w:rsidR="002B57CC" w:rsidRPr="001635CD">
        <w:t>reflect</w:t>
      </w:r>
      <w:r w:rsidR="00FD2C0B">
        <w:t>s</w:t>
      </w:r>
      <w:r w:rsidR="00F83A24">
        <w:t xml:space="preserve"> the recent strength of </w:t>
      </w:r>
      <w:r w:rsidR="002B57CC" w:rsidRPr="001635CD">
        <w:t xml:space="preserve">capital </w:t>
      </w:r>
      <w:r w:rsidR="00F83A24">
        <w:t xml:space="preserve">and consumption goods </w:t>
      </w:r>
      <w:r w:rsidR="002B57CC" w:rsidRPr="001635CD">
        <w:t>imports</w:t>
      </w:r>
      <w:r w:rsidR="00F83A24">
        <w:t>, but also a reassessment of import penetration ratios in the context of the high Australian dollar</w:t>
      </w:r>
      <w:r w:rsidR="00CC550D">
        <w:t xml:space="preserve"> and significant import content of the resources investment pipeline</w:t>
      </w:r>
      <w:r w:rsidR="002B57CC" w:rsidRPr="001635CD">
        <w:t xml:space="preserve">.  </w:t>
      </w:r>
      <w:r w:rsidR="00F83A24">
        <w:t xml:space="preserve">On average, it is </w:t>
      </w:r>
      <w:r w:rsidR="00AA647B">
        <w:t xml:space="preserve">now </w:t>
      </w:r>
      <w:r w:rsidR="00F83A24">
        <w:t xml:space="preserve">estimated that around </w:t>
      </w:r>
      <w:r w:rsidR="00447CD6">
        <w:t xml:space="preserve">30 </w:t>
      </w:r>
      <w:r w:rsidR="00F83A24">
        <w:t xml:space="preserve">per cent of household consumption and </w:t>
      </w:r>
      <w:r w:rsidR="00447CD6">
        <w:t>around 40</w:t>
      </w:r>
      <w:r w:rsidR="00713AB3">
        <w:t> per </w:t>
      </w:r>
      <w:r w:rsidR="00F83A24">
        <w:t>cent of business investment will be imported</w:t>
      </w:r>
      <w:r w:rsidR="00713AB3">
        <w:t xml:space="preserve"> over the forecast period</w:t>
      </w:r>
      <w:r w:rsidR="00F83A24">
        <w:t xml:space="preserve">, with </w:t>
      </w:r>
      <w:r w:rsidR="003907AE">
        <w:t xml:space="preserve">an </w:t>
      </w:r>
      <w:r w:rsidR="00F83A24">
        <w:t xml:space="preserve">import penetration ratio </w:t>
      </w:r>
      <w:r w:rsidR="003907AE">
        <w:t>of</w:t>
      </w:r>
      <w:r w:rsidR="00F83A24">
        <w:t xml:space="preserve"> around two-thirds for LNG investment.  </w:t>
      </w:r>
    </w:p>
    <w:p w:rsidR="007766E4" w:rsidRDefault="007766E4" w:rsidP="00090436">
      <w:pPr>
        <w:autoSpaceDE w:val="0"/>
        <w:autoSpaceDN w:val="0"/>
      </w:pPr>
      <w:r w:rsidRPr="00090436">
        <w:lastRenderedPageBreak/>
        <w:t xml:space="preserve">Forecast growth in </w:t>
      </w:r>
      <w:r w:rsidRPr="00090436">
        <w:rPr>
          <w:b/>
        </w:rPr>
        <w:t>exports</w:t>
      </w:r>
      <w:r w:rsidRPr="00090436">
        <w:t xml:space="preserve"> is unchanged over the forecast period since MYEFO.  Non-rural commodity exports are forecast to grow around 9 per cent in both 2011-12 and 2012-1</w:t>
      </w:r>
      <w:r w:rsidR="00B9571C">
        <w:t>3</w:t>
      </w:r>
      <w:r w:rsidRPr="00090436">
        <w:t>, followed by 5</w:t>
      </w:r>
      <w:r w:rsidR="00FD2C0B">
        <w:t> </w:t>
      </w:r>
      <w:r w:rsidRPr="00090436">
        <w:t xml:space="preserve">per growth in 2013-14.  The key drivers are expected to be iron ore and coal </w:t>
      </w:r>
      <w:r w:rsidR="003907AE">
        <w:t xml:space="preserve">capacity </w:t>
      </w:r>
      <w:r w:rsidRPr="00090436">
        <w:t xml:space="preserve">expansions, with the export dividend from the substantial LNG investment currently underway expected to </w:t>
      </w:r>
      <w:r w:rsidR="00CC550D">
        <w:t xml:space="preserve">materialise </w:t>
      </w:r>
      <w:r w:rsidRPr="00090436">
        <w:t xml:space="preserve">from 2015-16.  Rural exports are forecast to grow 15 per cent in 2011-12, consistent with </w:t>
      </w:r>
      <w:r w:rsidR="00594923" w:rsidRPr="00090436">
        <w:t xml:space="preserve">forecasts </w:t>
      </w:r>
      <w:r w:rsidR="00594923">
        <w:t>by the Australian Bureau of Agriculture and Resource Economics (</w:t>
      </w:r>
      <w:r w:rsidRPr="00090436">
        <w:t>ABARES</w:t>
      </w:r>
      <w:r w:rsidR="00594923">
        <w:t>)</w:t>
      </w:r>
      <w:r w:rsidRPr="00090436">
        <w:t xml:space="preserve"> for </w:t>
      </w:r>
      <w:r w:rsidR="00CC550D">
        <w:t>a second consecutive</w:t>
      </w:r>
      <w:r w:rsidRPr="00090436">
        <w:t xml:space="preserve"> bumper wheat harvest, before declining in 2012-13 and 2013-14 </w:t>
      </w:r>
      <w:r w:rsidR="00FD2C0B">
        <w:t xml:space="preserve">on the assumption of a </w:t>
      </w:r>
      <w:r w:rsidRPr="00090436">
        <w:t xml:space="preserve">return to more normal seasonal conditions.  </w:t>
      </w:r>
      <w:r w:rsidR="00FD2C0B">
        <w:t>E</w:t>
      </w:r>
      <w:r w:rsidR="00FD2C0B" w:rsidRPr="000806A3">
        <w:t xml:space="preserve">xports of services and manufactures are </w:t>
      </w:r>
      <w:r w:rsidR="00FD2C0B">
        <w:t xml:space="preserve">expected to be weak over the forecast horizon, reflecting the </w:t>
      </w:r>
      <w:r w:rsidRPr="00090436">
        <w:t xml:space="preserve">high exchange rate and weak external environment. </w:t>
      </w:r>
      <w:r w:rsidR="00FD2C0B">
        <w:t xml:space="preserve"> Total exports are forecast to grow</w:t>
      </w:r>
      <w:r w:rsidRPr="00090436">
        <w:t xml:space="preserve"> 6 per cent in </w:t>
      </w:r>
      <w:r w:rsidR="00713AB3">
        <w:t xml:space="preserve">both </w:t>
      </w:r>
      <w:r w:rsidRPr="00090436">
        <w:t>2011-12 and 2012-13 and 4 per cent in 2013-14.</w:t>
      </w:r>
    </w:p>
    <w:p w:rsidR="00FD2C0B" w:rsidRDefault="00FD2C0B" w:rsidP="00FD2C0B">
      <w:pPr>
        <w:autoSpaceDE w:val="0"/>
        <w:autoSpaceDN w:val="0"/>
      </w:pPr>
      <w:r>
        <w:t>With higher forecast growth in imports and the outlook for exports growth unchanged</w:t>
      </w:r>
      <w:r w:rsidRPr="001635CD">
        <w:t xml:space="preserve">, </w:t>
      </w:r>
      <w:r w:rsidRPr="00090436">
        <w:rPr>
          <w:b/>
        </w:rPr>
        <w:t>net exports</w:t>
      </w:r>
      <w:r w:rsidRPr="001635CD">
        <w:t xml:space="preserve"> are now expected to detract 1¾ percentage points from GDP growth in 2011-12 (up from</w:t>
      </w:r>
      <w:r>
        <w:t xml:space="preserve"> 1¼ percentage points at MYEFO), </w:t>
      </w:r>
      <w:r w:rsidRPr="001635CD">
        <w:t xml:space="preserve">¾ of a percentage point in 2012-13 (down from </w:t>
      </w:r>
      <w:r>
        <w:t xml:space="preserve">1 </w:t>
      </w:r>
      <w:r w:rsidRPr="001635CD">
        <w:t>percentage point at MYEFO)</w:t>
      </w:r>
      <w:r>
        <w:t xml:space="preserve"> and 1 percentage point in 2013-14</w:t>
      </w:r>
      <w:r w:rsidRPr="001635CD">
        <w:t>.</w:t>
      </w:r>
      <w:r>
        <w:t xml:space="preserve">  </w:t>
      </w:r>
    </w:p>
    <w:p w:rsidR="00AA647B" w:rsidRPr="00AA647B" w:rsidRDefault="00AA647B" w:rsidP="00AA647B">
      <w:pPr>
        <w:autoSpaceDE w:val="0"/>
        <w:autoSpaceDN w:val="0"/>
      </w:pPr>
      <w:r>
        <w:t xml:space="preserve">The outlook for </w:t>
      </w:r>
      <w:r w:rsidRPr="00090436">
        <w:rPr>
          <w:b/>
        </w:rPr>
        <w:t xml:space="preserve">dwelling </w:t>
      </w:r>
      <w:r w:rsidR="00C96A4C" w:rsidRPr="00090436">
        <w:rPr>
          <w:b/>
        </w:rPr>
        <w:t>investment</w:t>
      </w:r>
      <w:r>
        <w:t xml:space="preserve"> is largely unchanged from MYEFO.  While growth in d</w:t>
      </w:r>
      <w:r w:rsidRPr="00AA647B">
        <w:t xml:space="preserve">welling investment surprised on the upside in the September quarter, </w:t>
      </w:r>
      <w:r>
        <w:t xml:space="preserve">this was offset by </w:t>
      </w:r>
      <w:r w:rsidRPr="00AA647B">
        <w:t>downward revisions to history</w:t>
      </w:r>
      <w:r>
        <w:t xml:space="preserve">, leaving the </w:t>
      </w:r>
      <w:r w:rsidRPr="00AA647B">
        <w:t>level of dwelling investment lower than forecast.</w:t>
      </w:r>
      <w:r>
        <w:t xml:space="preserve">  </w:t>
      </w:r>
      <w:r w:rsidRPr="00AA647B">
        <w:t>Forward indicators also continue to deteriorate</w:t>
      </w:r>
      <w:r>
        <w:t>: b</w:t>
      </w:r>
      <w:r w:rsidRPr="00AA647B">
        <w:t xml:space="preserve">uilding approvals have fallen 30 per cent over the past year; the number of commitments for the construction of new dwellings </w:t>
      </w:r>
      <w:r w:rsidR="00594923">
        <w:t>continues to fall</w:t>
      </w:r>
      <w:r>
        <w:t>;</w:t>
      </w:r>
      <w:r w:rsidRPr="00AA647B">
        <w:t xml:space="preserve"> and housing credit (which </w:t>
      </w:r>
      <w:r>
        <w:t xml:space="preserve">also </w:t>
      </w:r>
      <w:r w:rsidRPr="00AA647B">
        <w:t xml:space="preserve">includes </w:t>
      </w:r>
      <w:r>
        <w:t xml:space="preserve">credit for the </w:t>
      </w:r>
      <w:r w:rsidRPr="00AA647B">
        <w:t xml:space="preserve">purchase of established dwellings and refinancing) is growing at </w:t>
      </w:r>
      <w:r>
        <w:t>the</w:t>
      </w:r>
      <w:r w:rsidRPr="00AA647B">
        <w:t xml:space="preserve"> lowest annual rate since the series began in 1976.  </w:t>
      </w:r>
      <w:r w:rsidR="00B9571C">
        <w:t>Total r</w:t>
      </w:r>
      <w:r w:rsidRPr="00AA647B">
        <w:t xml:space="preserve">eturns on housing investment have also </w:t>
      </w:r>
      <w:r w:rsidR="007766E4">
        <w:t>fallen over the past year</w:t>
      </w:r>
      <w:r w:rsidRPr="00AA647B">
        <w:t xml:space="preserve"> in line with house prices</w:t>
      </w:r>
      <w:r w:rsidR="008030F0">
        <w:t>, notwithstanding solid</w:t>
      </w:r>
      <w:r w:rsidRPr="00AA647B">
        <w:t xml:space="preserve"> growth in rents.  Nonetheless, there</w:t>
      </w:r>
      <w:r w:rsidR="003D241F">
        <w:t xml:space="preserve"> i</w:t>
      </w:r>
      <w:r w:rsidRPr="00AA647B">
        <w:t>s a reasonable pipeline of activity still to be completed in the Victorian medium-</w:t>
      </w:r>
      <w:r w:rsidR="00447CD6">
        <w:t xml:space="preserve"> and high</w:t>
      </w:r>
      <w:r w:rsidR="00447CD6">
        <w:noBreakHyphen/>
      </w:r>
      <w:r w:rsidRPr="00AA647B">
        <w:t>density market</w:t>
      </w:r>
      <w:r w:rsidR="00594923">
        <w:t xml:space="preserve"> that will support activity in the near term.  Moreover, </w:t>
      </w:r>
      <w:r>
        <w:t>t</w:t>
      </w:r>
      <w:r w:rsidRPr="00AA647B">
        <w:t>he flipside to declining house prices is that affordability is improving, helped by lower interest rates</w:t>
      </w:r>
      <w:r w:rsidR="00594923">
        <w:t>, and r</w:t>
      </w:r>
      <w:r w:rsidR="00447CD6">
        <w:t xml:space="preserve">ecent </w:t>
      </w:r>
      <w:r w:rsidR="00447CD6" w:rsidRPr="00AA647B">
        <w:t xml:space="preserve">estimates suggest that most capital cities </w:t>
      </w:r>
      <w:r w:rsidR="00447CD6">
        <w:t>remain</w:t>
      </w:r>
      <w:r w:rsidR="00447CD6" w:rsidRPr="00AA647B">
        <w:t xml:space="preserve"> undersupplied</w:t>
      </w:r>
      <w:r w:rsidR="00594923">
        <w:t>, supporting the outlook for the dwellings sector in the medium term</w:t>
      </w:r>
      <w:r w:rsidRPr="00AA647B">
        <w:t xml:space="preserve">.  Therefore, </w:t>
      </w:r>
      <w:r>
        <w:t xml:space="preserve">growth in dwelling investment is forecast to </w:t>
      </w:r>
      <w:r w:rsidR="00B9571C">
        <w:t>strengthen</w:t>
      </w:r>
      <w:r w:rsidRPr="00AA647B">
        <w:t xml:space="preserve"> </w:t>
      </w:r>
      <w:r>
        <w:t>modestly</w:t>
      </w:r>
      <w:r w:rsidRPr="00AA647B">
        <w:t xml:space="preserve"> </w:t>
      </w:r>
      <w:r w:rsidR="00CC550D">
        <w:t>over</w:t>
      </w:r>
      <w:r w:rsidRPr="00AA647B">
        <w:t xml:space="preserve"> the forecast horizon</w:t>
      </w:r>
      <w:r w:rsidR="00713AB3">
        <w:t>, from 1 per cent in 2011</w:t>
      </w:r>
      <w:r w:rsidR="00713AB3">
        <w:noBreakHyphen/>
      </w:r>
      <w:r w:rsidR="00CC550D">
        <w:t xml:space="preserve">12, </w:t>
      </w:r>
      <w:r w:rsidR="00713AB3">
        <w:t xml:space="preserve"> to </w:t>
      </w:r>
      <w:r w:rsidR="00CC550D">
        <w:t>1½ per cent in 2012-13 and 2½ per cent in 2013-14.</w:t>
      </w:r>
    </w:p>
    <w:p w:rsidR="007766E4" w:rsidRDefault="007766E4" w:rsidP="00090436">
      <w:pPr>
        <w:autoSpaceDE w:val="0"/>
        <w:autoSpaceDN w:val="0"/>
        <w:rPr>
          <w:rFonts w:ascii="BookAntiqua" w:hAnsi="BookAntiqua"/>
          <w:sz w:val="22"/>
          <w:szCs w:val="22"/>
          <w:lang w:eastAsia="en-AU"/>
        </w:rPr>
      </w:pPr>
      <w:r w:rsidRPr="00090436">
        <w:t xml:space="preserve">Forecast growth in </w:t>
      </w:r>
      <w:r w:rsidRPr="00090436">
        <w:rPr>
          <w:b/>
        </w:rPr>
        <w:t>public final demand</w:t>
      </w:r>
      <w:r w:rsidRPr="00090436">
        <w:t xml:space="preserve"> is also unchanged from MYEFO.  Indeed, there has been no material change to the public final demand forecasts since September JEFG.  Some of the MYEFO measures were either transfers to the States or the deferral of tax measures; neither of which affect </w:t>
      </w:r>
      <w:r w:rsidR="00B9571C">
        <w:t xml:space="preserve">the national accounts measure of </w:t>
      </w:r>
      <w:r w:rsidRPr="00090436">
        <w:t>public final demand</w:t>
      </w:r>
      <w:r w:rsidR="00713AB3">
        <w:t xml:space="preserve"> (although they may affect other components of spending)</w:t>
      </w:r>
      <w:r w:rsidRPr="00090436">
        <w:t xml:space="preserve">.  There have also been offsetting changes at the Commonwealth and </w:t>
      </w:r>
      <w:r w:rsidR="00EC1357">
        <w:t>s</w:t>
      </w:r>
      <w:r w:rsidR="00EC1357" w:rsidRPr="00090436">
        <w:t xml:space="preserve">tate </w:t>
      </w:r>
      <w:r w:rsidRPr="00090436">
        <w:t>level</w:t>
      </w:r>
      <w:r w:rsidR="00EC1357">
        <w:t xml:space="preserve"> since the Commonwealth May Budget</w:t>
      </w:r>
      <w:r w:rsidRPr="00090436">
        <w:t xml:space="preserve">, with higher Commonwealth </w:t>
      </w:r>
      <w:r w:rsidR="00EC1357">
        <w:t>consumption</w:t>
      </w:r>
      <w:r w:rsidR="00EC1357" w:rsidRPr="00090436">
        <w:t xml:space="preserve"> </w:t>
      </w:r>
      <w:r w:rsidRPr="00090436">
        <w:t xml:space="preserve">in 2011-12 offset by lower </w:t>
      </w:r>
      <w:r w:rsidR="00EC1357">
        <w:t>s</w:t>
      </w:r>
      <w:r w:rsidR="00EC1357" w:rsidRPr="00090436">
        <w:t xml:space="preserve">tate </w:t>
      </w:r>
      <w:r w:rsidRPr="00090436">
        <w:t xml:space="preserve">consumption and the decrease in Commonwealth spending in 2012-13 offset by higher </w:t>
      </w:r>
      <w:r w:rsidR="00EC1357">
        <w:t>s</w:t>
      </w:r>
      <w:r w:rsidR="00EC1357" w:rsidRPr="00090436">
        <w:t xml:space="preserve">tate </w:t>
      </w:r>
      <w:r w:rsidRPr="00090436">
        <w:t>investment.  The latest Commonwealth and state budget updates suggest modest growth in public final demand in 2013-14, although these estimates are largely based on assumptions rather than forecasts.</w:t>
      </w:r>
      <w:r w:rsidRPr="007766E4">
        <w:rPr>
          <w:rFonts w:ascii="BookAntiqua" w:hAnsi="BookAntiqua"/>
          <w:sz w:val="22"/>
          <w:szCs w:val="22"/>
          <w:lang w:eastAsia="en-AU"/>
        </w:rPr>
        <w:t xml:space="preserve">  </w:t>
      </w:r>
    </w:p>
    <w:p w:rsidR="00C96A4C" w:rsidRDefault="00BB50BB" w:rsidP="00C96A4C">
      <w:pPr>
        <w:tabs>
          <w:tab w:val="num" w:pos="0"/>
        </w:tabs>
      </w:pPr>
      <w:r>
        <w:t>Consistent with</w:t>
      </w:r>
      <w:r w:rsidRPr="005757A8">
        <w:t xml:space="preserve"> MYEFO, the </w:t>
      </w:r>
      <w:r w:rsidRPr="00090436">
        <w:rPr>
          <w:b/>
        </w:rPr>
        <w:t>terms of trade</w:t>
      </w:r>
      <w:r w:rsidRPr="005757A8">
        <w:t xml:space="preserve"> is </w:t>
      </w:r>
      <w:r>
        <w:t>forecast to</w:t>
      </w:r>
      <w:r w:rsidRPr="005757A8">
        <w:t xml:space="preserve"> grow 1</w:t>
      </w:r>
      <w:r>
        <w:t>¾ per </w:t>
      </w:r>
      <w:r w:rsidRPr="005757A8">
        <w:t>cent to a record high in 2011-12, before falling 5</w:t>
      </w:r>
      <w:r>
        <w:t xml:space="preserve">¼ </w:t>
      </w:r>
      <w:r w:rsidRPr="005757A8">
        <w:t xml:space="preserve">per cent in 2012-13 </w:t>
      </w:r>
      <w:r w:rsidR="00C96A4C">
        <w:t xml:space="preserve">and 2¾ per cent in 2013-14 </w:t>
      </w:r>
      <w:r w:rsidRPr="005757A8">
        <w:t xml:space="preserve">as </w:t>
      </w:r>
      <w:r>
        <w:t xml:space="preserve">additional </w:t>
      </w:r>
      <w:r w:rsidRPr="005757A8">
        <w:t>global supply of coal and iron ore</w:t>
      </w:r>
      <w:r>
        <w:t xml:space="preserve"> comes online</w:t>
      </w:r>
      <w:r w:rsidRPr="005757A8">
        <w:t>.</w:t>
      </w:r>
      <w:r w:rsidR="00C96A4C">
        <w:t xml:space="preserve">  T</w:t>
      </w:r>
      <w:r w:rsidR="00C96A4C" w:rsidRPr="00C96A4C">
        <w:t xml:space="preserve">he MYEFO forecasts </w:t>
      </w:r>
      <w:r w:rsidR="00C96A4C">
        <w:t xml:space="preserve">reflected a judgement that </w:t>
      </w:r>
      <w:r w:rsidR="00C96A4C" w:rsidRPr="00C96A4C">
        <w:t xml:space="preserve">iron ore prices had fallen to a level that </w:t>
      </w:r>
      <w:r w:rsidR="00713AB3">
        <w:t>was</w:t>
      </w:r>
      <w:r w:rsidR="00C96A4C" w:rsidRPr="00C96A4C">
        <w:t xml:space="preserve"> not sustainable given the potential implications for global supply.  </w:t>
      </w:r>
      <w:r w:rsidR="00D908AB">
        <w:t>I</w:t>
      </w:r>
      <w:r w:rsidR="00C96A4C">
        <w:t>ron ore prices were forecast to</w:t>
      </w:r>
      <w:r w:rsidR="00C96A4C" w:rsidRPr="00C96A4C">
        <w:t xml:space="preserve"> pick up through to the end of the December quarter.  So far, this has turned out to be </w:t>
      </w:r>
      <w:r w:rsidR="00C96A4C">
        <w:t>the case</w:t>
      </w:r>
      <w:r w:rsidR="00C96A4C" w:rsidRPr="00C96A4C">
        <w:t xml:space="preserve">, with the increase in iron ore prices </w:t>
      </w:r>
      <w:r w:rsidR="00C96A4C">
        <w:t>since the MYEFO forecasts were finalised in mid</w:t>
      </w:r>
      <w:r w:rsidR="00C96A4C">
        <w:noBreakHyphen/>
        <w:t xml:space="preserve">November </w:t>
      </w:r>
      <w:r w:rsidR="00C96A4C" w:rsidRPr="00C96A4C">
        <w:t xml:space="preserve">exceeding </w:t>
      </w:r>
      <w:r w:rsidR="00C96A4C">
        <w:t>expectations</w:t>
      </w:r>
      <w:r w:rsidR="00C96A4C" w:rsidRPr="00C96A4C">
        <w:t xml:space="preserve">.  </w:t>
      </w:r>
      <w:r w:rsidR="008827C0">
        <w:t>H</w:t>
      </w:r>
      <w:r w:rsidR="00C96A4C" w:rsidRPr="00C96A4C">
        <w:t xml:space="preserve">owever, coal </w:t>
      </w:r>
      <w:r w:rsidR="008827C0">
        <w:t xml:space="preserve">spot </w:t>
      </w:r>
      <w:r w:rsidR="00C96A4C" w:rsidRPr="00C96A4C">
        <w:t>prices (both met</w:t>
      </w:r>
      <w:r w:rsidR="00C96A4C">
        <w:t>allurgical</w:t>
      </w:r>
      <w:r w:rsidR="00C96A4C" w:rsidRPr="00C96A4C">
        <w:t xml:space="preserve"> and thermal) are weaker than </w:t>
      </w:r>
      <w:r w:rsidR="00C96A4C">
        <w:t>forecast</w:t>
      </w:r>
      <w:r w:rsidR="008827C0">
        <w:t xml:space="preserve"> at MYEFO</w:t>
      </w:r>
      <w:r w:rsidR="00C96A4C" w:rsidRPr="00C96A4C">
        <w:t xml:space="preserve">, leaving </w:t>
      </w:r>
      <w:r w:rsidR="00C96A4C">
        <w:t>the</w:t>
      </w:r>
      <w:r w:rsidR="00C96A4C" w:rsidRPr="00C96A4C">
        <w:t xml:space="preserve"> aggregate terms of trade forecasts unchanged.  </w:t>
      </w:r>
    </w:p>
    <w:p w:rsidR="00C96A4C" w:rsidRDefault="00C96A4C" w:rsidP="00C96A4C">
      <w:pPr>
        <w:tabs>
          <w:tab w:val="num" w:pos="0"/>
        </w:tabs>
        <w:rPr>
          <w:rFonts w:eastAsia="Times New Roman"/>
          <w:szCs w:val="20"/>
          <w:lang w:eastAsia="en-AU"/>
        </w:rPr>
      </w:pPr>
      <w:r w:rsidRPr="006F025F">
        <w:rPr>
          <w:rFonts w:eastAsia="Times New Roman"/>
          <w:szCs w:val="20"/>
          <w:lang w:eastAsia="en-AU"/>
        </w:rPr>
        <w:t xml:space="preserve">The </w:t>
      </w:r>
      <w:r w:rsidRPr="00C96A4C">
        <w:rPr>
          <w:rFonts w:eastAsia="Times New Roman"/>
          <w:b/>
          <w:szCs w:val="20"/>
          <w:lang w:eastAsia="en-AU"/>
        </w:rPr>
        <w:t>current account deficit</w:t>
      </w:r>
      <w:r w:rsidRPr="00C96A4C">
        <w:rPr>
          <w:rFonts w:eastAsia="Times New Roman"/>
          <w:szCs w:val="20"/>
          <w:lang w:eastAsia="en-AU"/>
        </w:rPr>
        <w:t xml:space="preserve"> is</w:t>
      </w:r>
      <w:r w:rsidRPr="006F025F">
        <w:rPr>
          <w:rFonts w:eastAsia="Times New Roman"/>
          <w:szCs w:val="20"/>
          <w:lang w:eastAsia="en-AU"/>
        </w:rPr>
        <w:t xml:space="preserve"> forecast to widen over the next three years</w:t>
      </w:r>
      <w:r>
        <w:rPr>
          <w:rFonts w:eastAsia="Times New Roman"/>
          <w:szCs w:val="20"/>
          <w:lang w:eastAsia="en-AU"/>
        </w:rPr>
        <w:t>,</w:t>
      </w:r>
      <w:r w:rsidRPr="006F025F">
        <w:rPr>
          <w:rFonts w:eastAsia="Times New Roman"/>
          <w:szCs w:val="20"/>
          <w:lang w:eastAsia="en-AU"/>
        </w:rPr>
        <w:t xml:space="preserve"> reflecting a </w:t>
      </w:r>
      <w:r w:rsidR="008827C0">
        <w:rPr>
          <w:rFonts w:eastAsia="Times New Roman"/>
          <w:szCs w:val="20"/>
          <w:lang w:eastAsia="en-AU"/>
        </w:rPr>
        <w:t>rising</w:t>
      </w:r>
      <w:r w:rsidRPr="006F025F">
        <w:rPr>
          <w:rFonts w:eastAsia="Times New Roman"/>
          <w:szCs w:val="20"/>
          <w:lang w:eastAsia="en-AU"/>
        </w:rPr>
        <w:t xml:space="preserve"> net income deficit associated with </w:t>
      </w:r>
      <w:r w:rsidR="008827C0">
        <w:rPr>
          <w:rFonts w:eastAsia="Times New Roman"/>
          <w:szCs w:val="20"/>
          <w:lang w:eastAsia="en-AU"/>
        </w:rPr>
        <w:t>growing</w:t>
      </w:r>
      <w:r w:rsidRPr="006F025F">
        <w:rPr>
          <w:rFonts w:eastAsia="Times New Roman"/>
          <w:szCs w:val="20"/>
          <w:lang w:eastAsia="en-AU"/>
        </w:rPr>
        <w:t xml:space="preserve"> net </w:t>
      </w:r>
      <w:r>
        <w:rPr>
          <w:rFonts w:eastAsia="Times New Roman"/>
          <w:szCs w:val="20"/>
          <w:lang w:eastAsia="en-AU"/>
        </w:rPr>
        <w:t xml:space="preserve">external </w:t>
      </w:r>
      <w:r w:rsidRPr="006F025F">
        <w:rPr>
          <w:rFonts w:eastAsia="Times New Roman"/>
          <w:szCs w:val="20"/>
          <w:lang w:eastAsia="en-AU"/>
        </w:rPr>
        <w:t xml:space="preserve">liabilities </w:t>
      </w:r>
      <w:r>
        <w:rPr>
          <w:rFonts w:eastAsia="Times New Roman"/>
          <w:szCs w:val="20"/>
          <w:lang w:eastAsia="en-AU"/>
        </w:rPr>
        <w:t>a</w:t>
      </w:r>
      <w:r w:rsidRPr="006F025F">
        <w:rPr>
          <w:rFonts w:eastAsia="Times New Roman"/>
          <w:szCs w:val="20"/>
          <w:lang w:eastAsia="en-AU"/>
        </w:rPr>
        <w:t>nd the movement of the trade balance into deficit.</w:t>
      </w:r>
      <w:r>
        <w:rPr>
          <w:rFonts w:eastAsia="Times New Roman"/>
          <w:szCs w:val="20"/>
          <w:lang w:eastAsia="en-AU"/>
        </w:rPr>
        <w:t xml:space="preserve">  Viewed from a savings and investment perspective, the widening current account deficit reflects the strength of private business investment, more than offsetting expectations of continued high household saving and </w:t>
      </w:r>
      <w:r w:rsidR="008827C0">
        <w:rPr>
          <w:rFonts w:eastAsia="Times New Roman"/>
          <w:szCs w:val="20"/>
          <w:lang w:eastAsia="en-AU"/>
        </w:rPr>
        <w:t>less</w:t>
      </w:r>
      <w:r w:rsidR="00546CBD">
        <w:rPr>
          <w:rFonts w:eastAsia="Times New Roman"/>
          <w:szCs w:val="20"/>
          <w:lang w:eastAsia="en-AU"/>
        </w:rPr>
        <w:t xml:space="preserve"> government </w:t>
      </w:r>
      <w:r w:rsidR="008827C0">
        <w:rPr>
          <w:rFonts w:eastAsia="Times New Roman"/>
          <w:szCs w:val="20"/>
          <w:lang w:eastAsia="en-AU"/>
        </w:rPr>
        <w:t>dis</w:t>
      </w:r>
      <w:r w:rsidR="00546CBD">
        <w:rPr>
          <w:rFonts w:eastAsia="Times New Roman"/>
          <w:szCs w:val="20"/>
          <w:lang w:eastAsia="en-AU"/>
        </w:rPr>
        <w:t xml:space="preserve">saving.  </w:t>
      </w:r>
      <w:r w:rsidRPr="00445B15">
        <w:rPr>
          <w:rFonts w:eastAsia="Times New Roman"/>
          <w:szCs w:val="20"/>
          <w:lang w:eastAsia="en-AU"/>
        </w:rPr>
        <w:t>The current account deficit is expected to be 3¼ per cent of GDP in 2011</w:t>
      </w:r>
      <w:r w:rsidRPr="00445B15">
        <w:rPr>
          <w:rFonts w:eastAsia="Times New Roman"/>
          <w:szCs w:val="20"/>
          <w:lang w:eastAsia="en-AU"/>
        </w:rPr>
        <w:noBreakHyphen/>
        <w:t>12, 5¼ per cent of GDP in 2012</w:t>
      </w:r>
      <w:r w:rsidRPr="00445B15">
        <w:rPr>
          <w:rFonts w:eastAsia="Times New Roman"/>
          <w:szCs w:val="20"/>
          <w:lang w:eastAsia="en-AU"/>
        </w:rPr>
        <w:noBreakHyphen/>
        <w:t>13 and 6¾ per cent of GDP in 2013-14.</w:t>
      </w:r>
    </w:p>
    <w:p w:rsidR="00BE55C9" w:rsidRDefault="004F6185" w:rsidP="004F6185">
      <w:pPr>
        <w:spacing w:before="100" w:beforeAutospacing="1" w:after="100" w:afterAutospacing="1"/>
        <w:rPr>
          <w:rFonts w:eastAsia="Times New Roman"/>
          <w:szCs w:val="20"/>
          <w:lang w:eastAsia="en-AU"/>
        </w:rPr>
      </w:pPr>
      <w:r>
        <w:rPr>
          <w:rFonts w:eastAsia="Times New Roman"/>
          <w:szCs w:val="20"/>
          <w:lang w:eastAsia="en-AU"/>
        </w:rPr>
        <w:lastRenderedPageBreak/>
        <w:t xml:space="preserve">The </w:t>
      </w:r>
      <w:r w:rsidRPr="00090436">
        <w:rPr>
          <w:rFonts w:eastAsia="Times New Roman"/>
          <w:b/>
          <w:szCs w:val="20"/>
          <w:lang w:eastAsia="en-AU"/>
        </w:rPr>
        <w:t>labour market</w:t>
      </w:r>
      <w:r>
        <w:rPr>
          <w:rFonts w:eastAsia="Times New Roman"/>
          <w:szCs w:val="20"/>
          <w:lang w:eastAsia="en-AU"/>
        </w:rPr>
        <w:t xml:space="preserve"> outlook is unchanged from MYEFO.  T</w:t>
      </w:r>
      <w:r w:rsidRPr="004F6185">
        <w:rPr>
          <w:rFonts w:eastAsia="Times New Roman"/>
          <w:szCs w:val="20"/>
        </w:rPr>
        <w:t xml:space="preserve">he </w:t>
      </w:r>
      <w:r w:rsidR="007838D8">
        <w:rPr>
          <w:rFonts w:eastAsia="Times New Roman"/>
          <w:szCs w:val="20"/>
        </w:rPr>
        <w:t>easing in labour market conditions</w:t>
      </w:r>
      <w:r w:rsidRPr="004F6185">
        <w:rPr>
          <w:rFonts w:eastAsia="Times New Roman"/>
          <w:szCs w:val="20"/>
        </w:rPr>
        <w:t xml:space="preserve"> evident </w:t>
      </w:r>
      <w:r w:rsidR="00BE55C9">
        <w:rPr>
          <w:rFonts w:eastAsia="Times New Roman"/>
          <w:szCs w:val="20"/>
        </w:rPr>
        <w:t>since</w:t>
      </w:r>
      <w:r w:rsidRPr="004F6185">
        <w:rPr>
          <w:rFonts w:eastAsia="Times New Roman"/>
          <w:szCs w:val="20"/>
        </w:rPr>
        <w:t xml:space="preserve"> the </w:t>
      </w:r>
      <w:r w:rsidR="00BE55C9">
        <w:rPr>
          <w:rFonts w:eastAsia="Times New Roman"/>
          <w:szCs w:val="20"/>
        </w:rPr>
        <w:t>start</w:t>
      </w:r>
      <w:r w:rsidRPr="004F6185">
        <w:rPr>
          <w:rFonts w:eastAsia="Times New Roman"/>
          <w:szCs w:val="20"/>
        </w:rPr>
        <w:t xml:space="preserve"> of the year has continued through to November</w:t>
      </w:r>
      <w:r w:rsidR="007838D8">
        <w:rPr>
          <w:rFonts w:eastAsia="Times New Roman"/>
          <w:szCs w:val="20"/>
        </w:rPr>
        <w:t>, with e</w:t>
      </w:r>
      <w:r w:rsidRPr="004F6185">
        <w:rPr>
          <w:rFonts w:eastAsia="Times New Roman"/>
          <w:szCs w:val="20"/>
          <w:lang w:eastAsia="en-AU"/>
        </w:rPr>
        <w:t xml:space="preserve">mployment growth </w:t>
      </w:r>
      <w:r w:rsidR="007838D8">
        <w:rPr>
          <w:rFonts w:eastAsia="Times New Roman"/>
          <w:szCs w:val="20"/>
          <w:lang w:eastAsia="en-AU"/>
        </w:rPr>
        <w:t>slowing</w:t>
      </w:r>
      <w:r w:rsidRPr="004F6185">
        <w:rPr>
          <w:rFonts w:eastAsia="Times New Roman"/>
          <w:szCs w:val="20"/>
          <w:lang w:eastAsia="en-AU"/>
        </w:rPr>
        <w:t xml:space="preserve"> from an average monthly pace of 30,000 in the second half of 2010 to 4,000 in 2011.  </w:t>
      </w:r>
      <w:r>
        <w:rPr>
          <w:rFonts w:eastAsia="Times New Roman"/>
          <w:szCs w:val="20"/>
          <w:lang w:eastAsia="en-AU"/>
        </w:rPr>
        <w:t>Empirical</w:t>
      </w:r>
      <w:r w:rsidRPr="004F6185">
        <w:rPr>
          <w:rFonts w:eastAsia="Times New Roman"/>
          <w:szCs w:val="20"/>
          <w:lang w:eastAsia="en-AU"/>
        </w:rPr>
        <w:t xml:space="preserve"> models suggest that the weakness of employment growth in 2011 is partly </w:t>
      </w:r>
      <w:r w:rsidR="002A3175">
        <w:rPr>
          <w:rFonts w:eastAsia="Times New Roman"/>
          <w:szCs w:val="20"/>
          <w:lang w:eastAsia="en-AU"/>
        </w:rPr>
        <w:t>the</w:t>
      </w:r>
      <w:r w:rsidRPr="004F6185">
        <w:rPr>
          <w:rFonts w:eastAsia="Times New Roman"/>
          <w:szCs w:val="20"/>
          <w:lang w:eastAsia="en-AU"/>
        </w:rPr>
        <w:t xml:space="preserve"> </w:t>
      </w:r>
      <w:r w:rsidR="002A3175">
        <w:rPr>
          <w:rFonts w:eastAsia="Times New Roman"/>
          <w:szCs w:val="20"/>
          <w:lang w:eastAsia="en-AU"/>
        </w:rPr>
        <w:t>result</w:t>
      </w:r>
      <w:r w:rsidRPr="004F6185">
        <w:rPr>
          <w:rFonts w:eastAsia="Times New Roman"/>
          <w:szCs w:val="20"/>
          <w:lang w:eastAsia="en-AU"/>
        </w:rPr>
        <w:t xml:space="preserve"> </w:t>
      </w:r>
      <w:r w:rsidR="002A3175">
        <w:rPr>
          <w:rFonts w:eastAsia="Times New Roman"/>
          <w:szCs w:val="20"/>
          <w:lang w:eastAsia="en-AU"/>
        </w:rPr>
        <w:t xml:space="preserve">of </w:t>
      </w:r>
      <w:r w:rsidR="007838D8">
        <w:rPr>
          <w:rFonts w:eastAsia="Times New Roman"/>
          <w:szCs w:val="20"/>
          <w:lang w:eastAsia="en-AU"/>
        </w:rPr>
        <w:t>a significant</w:t>
      </w:r>
      <w:r w:rsidRPr="004F6185">
        <w:rPr>
          <w:rFonts w:eastAsia="Times New Roman"/>
          <w:szCs w:val="20"/>
          <w:lang w:eastAsia="en-AU"/>
        </w:rPr>
        <w:t xml:space="preserve"> </w:t>
      </w:r>
      <w:r w:rsidR="007838D8">
        <w:rPr>
          <w:rFonts w:eastAsia="Times New Roman"/>
          <w:szCs w:val="20"/>
          <w:lang w:eastAsia="en-AU"/>
        </w:rPr>
        <w:t xml:space="preserve">bring-forward of </w:t>
      </w:r>
      <w:r w:rsidRPr="004F6185">
        <w:rPr>
          <w:rFonts w:eastAsia="Times New Roman"/>
          <w:szCs w:val="20"/>
          <w:lang w:eastAsia="en-AU"/>
        </w:rPr>
        <w:t>hiring in</w:t>
      </w:r>
      <w:r w:rsidR="007838D8">
        <w:rPr>
          <w:rFonts w:eastAsia="Times New Roman"/>
          <w:szCs w:val="20"/>
          <w:lang w:eastAsia="en-AU"/>
        </w:rPr>
        <w:t>to</w:t>
      </w:r>
      <w:r w:rsidRPr="004F6185">
        <w:rPr>
          <w:rFonts w:eastAsia="Times New Roman"/>
          <w:szCs w:val="20"/>
          <w:lang w:eastAsia="en-AU"/>
        </w:rPr>
        <w:t xml:space="preserve"> 2010</w:t>
      </w:r>
      <w:r w:rsidR="00BE55C9">
        <w:rPr>
          <w:rFonts w:eastAsia="Times New Roman"/>
          <w:szCs w:val="20"/>
          <w:lang w:eastAsia="en-AU"/>
        </w:rPr>
        <w:t>,</w:t>
      </w:r>
      <w:r w:rsidRPr="004F6185">
        <w:rPr>
          <w:rFonts w:eastAsia="Times New Roman"/>
          <w:szCs w:val="20"/>
          <w:lang w:eastAsia="en-AU"/>
        </w:rPr>
        <w:t xml:space="preserve"> when employment rose by 362,000 persons in the context of relatively weak output growth, </w:t>
      </w:r>
      <w:r>
        <w:rPr>
          <w:rFonts w:eastAsia="Times New Roman"/>
          <w:szCs w:val="20"/>
          <w:lang w:eastAsia="en-AU"/>
        </w:rPr>
        <w:t>perhaps</w:t>
      </w:r>
      <w:r w:rsidRPr="004F6185">
        <w:rPr>
          <w:rFonts w:eastAsia="Times New Roman"/>
          <w:szCs w:val="20"/>
          <w:lang w:eastAsia="en-AU"/>
        </w:rPr>
        <w:t xml:space="preserve"> in anticipation of tighter labour market conditions and greater difficulty sourcing labour in the period ahead.  However, </w:t>
      </w:r>
      <w:r>
        <w:rPr>
          <w:rFonts w:eastAsia="Times New Roman"/>
          <w:szCs w:val="20"/>
          <w:lang w:eastAsia="en-AU"/>
        </w:rPr>
        <w:t xml:space="preserve">business surveys suggest that </w:t>
      </w:r>
      <w:r w:rsidRPr="004F6185">
        <w:rPr>
          <w:rFonts w:eastAsia="Times New Roman"/>
          <w:szCs w:val="20"/>
          <w:lang w:eastAsia="en-AU"/>
        </w:rPr>
        <w:t xml:space="preserve">global </w:t>
      </w:r>
      <w:r w:rsidR="002A3175">
        <w:rPr>
          <w:rFonts w:eastAsia="Times New Roman"/>
          <w:szCs w:val="20"/>
          <w:lang w:eastAsia="en-AU"/>
        </w:rPr>
        <w:t>uncertainty</w:t>
      </w:r>
      <w:r w:rsidRPr="004F6185">
        <w:rPr>
          <w:rFonts w:eastAsia="Times New Roman"/>
          <w:szCs w:val="20"/>
          <w:lang w:eastAsia="en-AU"/>
        </w:rPr>
        <w:t xml:space="preserve"> and </w:t>
      </w:r>
      <w:r w:rsidR="002A3175">
        <w:rPr>
          <w:rFonts w:eastAsia="Times New Roman"/>
          <w:szCs w:val="20"/>
          <w:lang w:eastAsia="en-AU"/>
        </w:rPr>
        <w:t xml:space="preserve">pressures on some of the large employing sectors of the economy – such as manufacturing and retail </w:t>
      </w:r>
      <w:r w:rsidR="002A3175">
        <w:rPr>
          <w:rFonts w:eastAsia="Times New Roman"/>
          <w:szCs w:val="20"/>
          <w:lang w:eastAsia="en-AU"/>
        </w:rPr>
        <w:noBreakHyphen/>
      </w:r>
      <w:r>
        <w:rPr>
          <w:rFonts w:eastAsia="Times New Roman"/>
          <w:szCs w:val="20"/>
          <w:lang w:eastAsia="en-AU"/>
        </w:rPr>
        <w:t xml:space="preserve"> </w:t>
      </w:r>
      <w:r w:rsidR="00BE55C9">
        <w:rPr>
          <w:rFonts w:eastAsia="Times New Roman"/>
          <w:szCs w:val="20"/>
          <w:lang w:eastAsia="en-AU"/>
        </w:rPr>
        <w:t>are</w:t>
      </w:r>
      <w:r w:rsidRPr="004F6185">
        <w:rPr>
          <w:rFonts w:eastAsia="Times New Roman"/>
          <w:szCs w:val="20"/>
          <w:lang w:eastAsia="en-AU"/>
        </w:rPr>
        <w:t xml:space="preserve"> also making employers more cautious about taking on new workers.  One </w:t>
      </w:r>
      <w:r>
        <w:rPr>
          <w:rFonts w:eastAsia="Times New Roman"/>
          <w:szCs w:val="20"/>
          <w:lang w:eastAsia="en-AU"/>
        </w:rPr>
        <w:t>manifestation</w:t>
      </w:r>
      <w:r w:rsidRPr="004F6185">
        <w:rPr>
          <w:rFonts w:eastAsia="Times New Roman"/>
          <w:szCs w:val="20"/>
          <w:lang w:eastAsia="en-AU"/>
        </w:rPr>
        <w:t xml:space="preserve"> of this may be recent </w:t>
      </w:r>
      <w:r>
        <w:rPr>
          <w:rFonts w:eastAsia="Times New Roman"/>
          <w:szCs w:val="20"/>
          <w:lang w:eastAsia="en-AU"/>
        </w:rPr>
        <w:t>increases</w:t>
      </w:r>
      <w:r w:rsidRPr="004F6185">
        <w:rPr>
          <w:rFonts w:eastAsia="Times New Roman"/>
          <w:szCs w:val="20"/>
          <w:lang w:eastAsia="en-AU"/>
        </w:rPr>
        <w:t xml:space="preserve"> </w:t>
      </w:r>
      <w:r>
        <w:rPr>
          <w:rFonts w:eastAsia="Times New Roman"/>
          <w:szCs w:val="20"/>
          <w:lang w:eastAsia="en-AU"/>
        </w:rPr>
        <w:t>in</w:t>
      </w:r>
      <w:r w:rsidRPr="004F6185">
        <w:rPr>
          <w:rFonts w:eastAsia="Times New Roman"/>
          <w:szCs w:val="20"/>
          <w:lang w:eastAsia="en-AU"/>
        </w:rPr>
        <w:t xml:space="preserve"> average </w:t>
      </w:r>
      <w:r w:rsidR="00BE55C9">
        <w:rPr>
          <w:rFonts w:eastAsia="Times New Roman"/>
          <w:szCs w:val="20"/>
          <w:lang w:eastAsia="en-AU"/>
        </w:rPr>
        <w:t xml:space="preserve">work </w:t>
      </w:r>
      <w:r w:rsidRPr="004F6185">
        <w:rPr>
          <w:rFonts w:eastAsia="Times New Roman"/>
          <w:szCs w:val="20"/>
          <w:lang w:eastAsia="en-AU"/>
        </w:rPr>
        <w:t xml:space="preserve">hours, which could suggest that employers </w:t>
      </w:r>
      <w:r w:rsidR="00BE55C9">
        <w:rPr>
          <w:rFonts w:eastAsia="Times New Roman"/>
          <w:szCs w:val="20"/>
          <w:lang w:eastAsia="en-AU"/>
        </w:rPr>
        <w:t>are meeting</w:t>
      </w:r>
      <w:r w:rsidRPr="004F6185">
        <w:rPr>
          <w:rFonts w:eastAsia="Times New Roman"/>
          <w:szCs w:val="20"/>
          <w:lang w:eastAsia="en-AU"/>
        </w:rPr>
        <w:t xml:space="preserve"> demand </w:t>
      </w:r>
      <w:r w:rsidR="002A3175">
        <w:rPr>
          <w:rFonts w:eastAsia="Times New Roman"/>
          <w:szCs w:val="20"/>
          <w:lang w:eastAsia="en-AU"/>
        </w:rPr>
        <w:t xml:space="preserve">with longer hours from their existing workers, </w:t>
      </w:r>
      <w:r w:rsidR="008827C0">
        <w:rPr>
          <w:rFonts w:eastAsia="Times New Roman"/>
          <w:szCs w:val="20"/>
          <w:lang w:eastAsia="en-AU"/>
        </w:rPr>
        <w:t xml:space="preserve">rather </w:t>
      </w:r>
      <w:r w:rsidRPr="004F6185">
        <w:rPr>
          <w:rFonts w:eastAsia="Times New Roman"/>
          <w:szCs w:val="20"/>
          <w:lang w:eastAsia="en-AU"/>
        </w:rPr>
        <w:t xml:space="preserve">than committing to increasing their </w:t>
      </w:r>
      <w:r w:rsidR="002A3175">
        <w:rPr>
          <w:rFonts w:eastAsia="Times New Roman"/>
          <w:szCs w:val="20"/>
          <w:lang w:eastAsia="en-AU"/>
        </w:rPr>
        <w:t>workforce</w:t>
      </w:r>
      <w:r w:rsidRPr="004F6185">
        <w:rPr>
          <w:rFonts w:eastAsia="Times New Roman"/>
          <w:szCs w:val="20"/>
          <w:lang w:eastAsia="en-AU"/>
        </w:rPr>
        <w:t xml:space="preserve">. </w:t>
      </w:r>
      <w:r>
        <w:rPr>
          <w:rFonts w:eastAsia="Times New Roman"/>
          <w:szCs w:val="20"/>
          <w:lang w:eastAsia="en-AU"/>
        </w:rPr>
        <w:t xml:space="preserve"> </w:t>
      </w:r>
    </w:p>
    <w:p w:rsidR="004F6185" w:rsidRPr="004F6185" w:rsidRDefault="007838D8" w:rsidP="004F6185">
      <w:pPr>
        <w:spacing w:before="100" w:beforeAutospacing="1" w:after="100" w:afterAutospacing="1"/>
        <w:rPr>
          <w:rFonts w:eastAsia="Times New Roman"/>
          <w:szCs w:val="20"/>
          <w:lang w:eastAsia="en-AU"/>
        </w:rPr>
      </w:pPr>
      <w:r>
        <w:rPr>
          <w:rFonts w:eastAsia="Times New Roman"/>
          <w:szCs w:val="20"/>
          <w:lang w:eastAsia="en-AU"/>
        </w:rPr>
        <w:t xml:space="preserve">The </w:t>
      </w:r>
      <w:r w:rsidR="004F6185" w:rsidRPr="004F6185">
        <w:rPr>
          <w:rFonts w:eastAsia="Times New Roman"/>
          <w:szCs w:val="20"/>
          <w:lang w:eastAsia="en-AU"/>
        </w:rPr>
        <w:t xml:space="preserve">ANZ job </w:t>
      </w:r>
      <w:r w:rsidR="004F6185">
        <w:rPr>
          <w:rFonts w:eastAsia="Times New Roman"/>
          <w:szCs w:val="20"/>
          <w:lang w:eastAsia="en-AU"/>
        </w:rPr>
        <w:t xml:space="preserve">advertisements series has </w:t>
      </w:r>
      <w:r w:rsidR="004F6185" w:rsidRPr="004F6185">
        <w:rPr>
          <w:rFonts w:eastAsia="Times New Roman"/>
          <w:szCs w:val="20"/>
          <w:lang w:eastAsia="en-AU"/>
        </w:rPr>
        <w:t>fallen</w:t>
      </w:r>
      <w:r w:rsidR="00914E7B">
        <w:rPr>
          <w:rFonts w:eastAsia="Times New Roman"/>
          <w:szCs w:val="20"/>
          <w:lang w:eastAsia="en-AU"/>
        </w:rPr>
        <w:t xml:space="preserve"> over</w:t>
      </w:r>
      <w:r w:rsidR="004F6185" w:rsidRPr="004F6185">
        <w:rPr>
          <w:rFonts w:eastAsia="Times New Roman"/>
          <w:szCs w:val="20"/>
          <w:lang w:eastAsia="en-AU"/>
        </w:rPr>
        <w:t xml:space="preserve"> 2½ per cent over the past 3 months, consistent with </w:t>
      </w:r>
      <w:r w:rsidR="004F6185">
        <w:rPr>
          <w:rFonts w:eastAsia="Times New Roman"/>
          <w:szCs w:val="20"/>
          <w:lang w:eastAsia="en-AU"/>
        </w:rPr>
        <w:t>the</w:t>
      </w:r>
      <w:r w:rsidR="004F6185" w:rsidRPr="004F6185">
        <w:rPr>
          <w:rFonts w:eastAsia="Times New Roman"/>
          <w:szCs w:val="20"/>
          <w:lang w:eastAsia="en-AU"/>
        </w:rPr>
        <w:t xml:space="preserve"> MYEFO forecasts for </w:t>
      </w:r>
      <w:r w:rsidR="008827C0">
        <w:rPr>
          <w:rFonts w:eastAsia="Times New Roman"/>
          <w:szCs w:val="20"/>
          <w:lang w:eastAsia="en-AU"/>
        </w:rPr>
        <w:t xml:space="preserve">continued </w:t>
      </w:r>
      <w:r w:rsidR="00B9571C">
        <w:rPr>
          <w:rFonts w:eastAsia="Times New Roman"/>
          <w:szCs w:val="20"/>
          <w:lang w:eastAsia="en-AU"/>
        </w:rPr>
        <w:t xml:space="preserve">relatively </w:t>
      </w:r>
      <w:r w:rsidR="008827C0">
        <w:rPr>
          <w:rFonts w:eastAsia="Times New Roman"/>
          <w:szCs w:val="20"/>
          <w:lang w:eastAsia="en-AU"/>
        </w:rPr>
        <w:t>weak</w:t>
      </w:r>
      <w:r w:rsidR="004F6185" w:rsidRPr="004F6185">
        <w:rPr>
          <w:rFonts w:eastAsia="Times New Roman"/>
          <w:szCs w:val="20"/>
          <w:lang w:eastAsia="en-AU"/>
        </w:rPr>
        <w:t xml:space="preserve"> employment growth</w:t>
      </w:r>
      <w:r w:rsidR="00914E7B">
        <w:rPr>
          <w:rFonts w:eastAsia="Times New Roman"/>
          <w:szCs w:val="20"/>
          <w:lang w:eastAsia="en-AU"/>
        </w:rPr>
        <w:t xml:space="preserve"> </w:t>
      </w:r>
      <w:r w:rsidR="008827C0">
        <w:rPr>
          <w:rFonts w:eastAsia="Times New Roman"/>
          <w:szCs w:val="20"/>
          <w:lang w:eastAsia="en-AU"/>
        </w:rPr>
        <w:t>in the near term</w:t>
      </w:r>
      <w:r w:rsidR="004F6185" w:rsidRPr="004F6185">
        <w:rPr>
          <w:rFonts w:eastAsia="Times New Roman"/>
          <w:szCs w:val="20"/>
          <w:lang w:eastAsia="en-AU"/>
        </w:rPr>
        <w:t xml:space="preserve"> and a </w:t>
      </w:r>
      <w:r w:rsidR="00B9571C">
        <w:rPr>
          <w:rFonts w:eastAsia="Times New Roman"/>
          <w:szCs w:val="20"/>
          <w:lang w:eastAsia="en-AU"/>
        </w:rPr>
        <w:t>gradual rise</w:t>
      </w:r>
      <w:r w:rsidR="004F6185" w:rsidRPr="004F6185">
        <w:rPr>
          <w:rFonts w:eastAsia="Times New Roman"/>
          <w:szCs w:val="20"/>
          <w:lang w:eastAsia="en-AU"/>
        </w:rPr>
        <w:t xml:space="preserve"> in the unemployment rate to 5½ per cent by June 2012.  </w:t>
      </w:r>
      <w:r w:rsidR="004F6185" w:rsidRPr="00090436">
        <w:rPr>
          <w:rFonts w:eastAsia="Times New Roman"/>
          <w:szCs w:val="20"/>
          <w:lang w:eastAsia="en-AU"/>
        </w:rPr>
        <w:t>Employment growth is</w:t>
      </w:r>
      <w:r w:rsidR="00A30A35">
        <w:rPr>
          <w:rFonts w:eastAsia="Times New Roman"/>
          <w:szCs w:val="20"/>
          <w:lang w:eastAsia="en-AU"/>
        </w:rPr>
        <w:t xml:space="preserve"> forecast to </w:t>
      </w:r>
      <w:r w:rsidR="00B9571C">
        <w:rPr>
          <w:rFonts w:eastAsia="Times New Roman"/>
          <w:szCs w:val="20"/>
          <w:lang w:eastAsia="en-AU"/>
        </w:rPr>
        <w:t>strengthen</w:t>
      </w:r>
      <w:r w:rsidR="00A30A35">
        <w:rPr>
          <w:rFonts w:eastAsia="Times New Roman"/>
          <w:szCs w:val="20"/>
          <w:lang w:eastAsia="en-AU"/>
        </w:rPr>
        <w:t xml:space="preserve"> to 1½ per </w:t>
      </w:r>
      <w:r w:rsidR="004F6185" w:rsidRPr="00BE55C9">
        <w:rPr>
          <w:rFonts w:eastAsia="Times New Roman"/>
          <w:szCs w:val="20"/>
          <w:lang w:eastAsia="en-AU"/>
        </w:rPr>
        <w:t xml:space="preserve">cent through the year to the June quarters of 2013 and 2014, </w:t>
      </w:r>
      <w:r w:rsidR="00A30A35">
        <w:rPr>
          <w:rFonts w:eastAsia="Times New Roman"/>
          <w:szCs w:val="20"/>
          <w:lang w:eastAsia="en-AU"/>
        </w:rPr>
        <w:t xml:space="preserve">which would be consistent </w:t>
      </w:r>
      <w:r w:rsidR="004F6185" w:rsidRPr="00BE55C9">
        <w:rPr>
          <w:rFonts w:eastAsia="Times New Roman"/>
          <w:szCs w:val="20"/>
          <w:lang w:eastAsia="en-AU"/>
        </w:rPr>
        <w:t xml:space="preserve">with the </w:t>
      </w:r>
      <w:r w:rsidR="004F6185" w:rsidRPr="00090436">
        <w:rPr>
          <w:rFonts w:eastAsia="Times New Roman"/>
          <w:szCs w:val="20"/>
          <w:lang w:eastAsia="en-AU"/>
        </w:rPr>
        <w:t xml:space="preserve">unemployment rate </w:t>
      </w:r>
      <w:r w:rsidR="004F6185">
        <w:rPr>
          <w:rFonts w:eastAsia="Times New Roman"/>
          <w:szCs w:val="20"/>
          <w:lang w:eastAsia="en-AU"/>
        </w:rPr>
        <w:t>rem</w:t>
      </w:r>
      <w:r w:rsidR="004F6185" w:rsidRPr="005F4583">
        <w:rPr>
          <w:rFonts w:eastAsia="Times New Roman"/>
          <w:szCs w:val="20"/>
          <w:lang w:eastAsia="en-AU"/>
        </w:rPr>
        <w:t>ain</w:t>
      </w:r>
      <w:r w:rsidR="00A30A35">
        <w:rPr>
          <w:rFonts w:eastAsia="Times New Roman"/>
          <w:szCs w:val="20"/>
          <w:lang w:eastAsia="en-AU"/>
        </w:rPr>
        <w:t>ing steady</w:t>
      </w:r>
      <w:r w:rsidR="004F6185" w:rsidRPr="005F4583">
        <w:rPr>
          <w:rFonts w:eastAsia="Times New Roman"/>
          <w:szCs w:val="20"/>
          <w:lang w:eastAsia="en-AU"/>
        </w:rPr>
        <w:t xml:space="preserve"> </w:t>
      </w:r>
      <w:r w:rsidR="004F6185">
        <w:rPr>
          <w:rFonts w:eastAsia="Times New Roman"/>
          <w:szCs w:val="20"/>
          <w:lang w:eastAsia="en-AU"/>
        </w:rPr>
        <w:t xml:space="preserve">at 5½ per cent through to the </w:t>
      </w:r>
      <w:r w:rsidR="004F6185" w:rsidRPr="005F4583">
        <w:rPr>
          <w:rFonts w:eastAsia="Times New Roman"/>
          <w:szCs w:val="20"/>
          <w:lang w:eastAsia="en-AU"/>
        </w:rPr>
        <w:t xml:space="preserve">June quarter of 2014. </w:t>
      </w:r>
      <w:r w:rsidR="004F6185">
        <w:rPr>
          <w:rFonts w:eastAsia="Times New Roman"/>
          <w:szCs w:val="20"/>
          <w:lang w:eastAsia="en-AU"/>
        </w:rPr>
        <w:t>The forecasts assume</w:t>
      </w:r>
      <w:r w:rsidR="004F6185" w:rsidRPr="004F6185">
        <w:rPr>
          <w:rFonts w:eastAsia="Times New Roman"/>
          <w:szCs w:val="20"/>
          <w:lang w:eastAsia="en-AU"/>
        </w:rPr>
        <w:t xml:space="preserve"> a gradual decline in average </w:t>
      </w:r>
      <w:r w:rsidR="00A30A35">
        <w:rPr>
          <w:rFonts w:eastAsia="Times New Roman"/>
          <w:szCs w:val="20"/>
          <w:lang w:eastAsia="en-AU"/>
        </w:rPr>
        <w:t xml:space="preserve">work </w:t>
      </w:r>
      <w:r w:rsidR="004F6185" w:rsidRPr="004F6185">
        <w:rPr>
          <w:rFonts w:eastAsia="Times New Roman"/>
          <w:szCs w:val="20"/>
          <w:lang w:eastAsia="en-AU"/>
        </w:rPr>
        <w:t>hours over the forecast period</w:t>
      </w:r>
      <w:r w:rsidR="00BE55C9">
        <w:rPr>
          <w:rFonts w:eastAsia="Times New Roman"/>
          <w:szCs w:val="20"/>
          <w:lang w:eastAsia="en-AU"/>
        </w:rPr>
        <w:t>, implying</w:t>
      </w:r>
      <w:r w:rsidR="004F6185" w:rsidRPr="004F6185">
        <w:rPr>
          <w:rFonts w:eastAsia="Times New Roman"/>
          <w:szCs w:val="20"/>
          <w:lang w:eastAsia="en-AU"/>
        </w:rPr>
        <w:t xml:space="preserve"> </w:t>
      </w:r>
      <w:r w:rsidR="00BE55C9">
        <w:rPr>
          <w:rFonts w:eastAsia="Times New Roman"/>
          <w:szCs w:val="20"/>
          <w:lang w:eastAsia="en-AU"/>
        </w:rPr>
        <w:t xml:space="preserve">average annual </w:t>
      </w:r>
      <w:r w:rsidR="004F6185" w:rsidRPr="004F6185">
        <w:rPr>
          <w:rFonts w:eastAsia="Times New Roman"/>
          <w:szCs w:val="20"/>
          <w:lang w:eastAsia="en-AU"/>
        </w:rPr>
        <w:t xml:space="preserve">labour </w:t>
      </w:r>
      <w:r w:rsidR="008827C0">
        <w:rPr>
          <w:rFonts w:eastAsia="Times New Roman"/>
          <w:szCs w:val="20"/>
          <w:lang w:eastAsia="en-AU"/>
        </w:rPr>
        <w:t>productivity growth on an hours</w:t>
      </w:r>
      <w:r w:rsidR="008827C0">
        <w:rPr>
          <w:rFonts w:eastAsia="Times New Roman"/>
          <w:szCs w:val="20"/>
          <w:lang w:eastAsia="en-AU"/>
        </w:rPr>
        <w:noBreakHyphen/>
      </w:r>
      <w:r w:rsidR="00BE55C9">
        <w:rPr>
          <w:rFonts w:eastAsia="Times New Roman"/>
          <w:szCs w:val="20"/>
          <w:lang w:eastAsia="en-AU"/>
        </w:rPr>
        <w:t xml:space="preserve">worked </w:t>
      </w:r>
      <w:r w:rsidR="004F6185" w:rsidRPr="004F6185">
        <w:rPr>
          <w:rFonts w:eastAsia="Times New Roman"/>
          <w:szCs w:val="20"/>
          <w:lang w:eastAsia="en-AU"/>
        </w:rPr>
        <w:t xml:space="preserve">basis </w:t>
      </w:r>
      <w:r w:rsidR="00BE55C9">
        <w:rPr>
          <w:rFonts w:eastAsia="Times New Roman"/>
          <w:szCs w:val="20"/>
          <w:lang w:eastAsia="en-AU"/>
        </w:rPr>
        <w:t>of</w:t>
      </w:r>
      <w:r w:rsidR="004F6185" w:rsidRPr="004F6185">
        <w:rPr>
          <w:rFonts w:eastAsia="Times New Roman"/>
          <w:szCs w:val="20"/>
          <w:lang w:eastAsia="en-AU"/>
        </w:rPr>
        <w:t xml:space="preserve"> around 1¾ per cent over the forecast period.</w:t>
      </w:r>
    </w:p>
    <w:p w:rsidR="00A30A35" w:rsidRPr="00A30A35" w:rsidRDefault="004F6185" w:rsidP="00A30A35">
      <w:pPr>
        <w:autoSpaceDE w:val="0"/>
        <w:autoSpaceDN w:val="0"/>
        <w:adjustRightInd w:val="0"/>
      </w:pPr>
      <w:r>
        <w:rPr>
          <w:rFonts w:eastAsia="Times New Roman"/>
          <w:szCs w:val="20"/>
          <w:lang w:eastAsia="en-AU"/>
        </w:rPr>
        <w:t>W</w:t>
      </w:r>
      <w:r w:rsidRPr="004F6185">
        <w:rPr>
          <w:rFonts w:eastAsia="Times New Roman"/>
          <w:szCs w:val="20"/>
          <w:lang w:eastAsia="en-AU"/>
        </w:rPr>
        <w:t>eake</w:t>
      </w:r>
      <w:r w:rsidR="00BE55C9">
        <w:rPr>
          <w:rFonts w:eastAsia="Times New Roman"/>
          <w:szCs w:val="20"/>
          <w:lang w:eastAsia="en-AU"/>
        </w:rPr>
        <w:t>r</w:t>
      </w:r>
      <w:r w:rsidRPr="004F6185">
        <w:rPr>
          <w:rFonts w:eastAsia="Times New Roman"/>
          <w:szCs w:val="20"/>
          <w:lang w:eastAsia="en-AU"/>
        </w:rPr>
        <w:t xml:space="preserve"> labour market conditions have coincided with a decline in underlying </w:t>
      </w:r>
      <w:r w:rsidRPr="00090436">
        <w:rPr>
          <w:rFonts w:eastAsia="Times New Roman"/>
          <w:b/>
          <w:szCs w:val="20"/>
          <w:lang w:eastAsia="en-AU"/>
        </w:rPr>
        <w:t>inflation</w:t>
      </w:r>
      <w:r w:rsidRPr="004F6185">
        <w:rPr>
          <w:rFonts w:eastAsia="Times New Roman"/>
          <w:szCs w:val="20"/>
          <w:lang w:eastAsia="en-AU"/>
        </w:rPr>
        <w:t xml:space="preserve">, which </w:t>
      </w:r>
      <w:r w:rsidR="008827C0">
        <w:rPr>
          <w:rFonts w:eastAsia="Times New Roman"/>
          <w:szCs w:val="20"/>
          <w:lang w:eastAsia="en-AU"/>
        </w:rPr>
        <w:t>was</w:t>
      </w:r>
      <w:r w:rsidRPr="004F6185">
        <w:rPr>
          <w:rFonts w:eastAsia="Times New Roman"/>
          <w:szCs w:val="20"/>
          <w:lang w:eastAsia="en-AU"/>
        </w:rPr>
        <w:t xml:space="preserve"> 0.3 per cent in the September quarter to be around 2½ per cent through the year.  Upstream price pressures were also weak in the September quarter, with intermediate and preliminary producer prices rising just 0.1 per cent in the September quarter. </w:t>
      </w:r>
      <w:r w:rsidR="004E1660" w:rsidRPr="001635CD">
        <w:t xml:space="preserve">As at MYEFO, </w:t>
      </w:r>
      <w:r w:rsidR="004E1660" w:rsidRPr="00BE55C9">
        <w:t>inflation and wages growth</w:t>
      </w:r>
      <w:r w:rsidR="004E1660" w:rsidRPr="001635CD">
        <w:t xml:space="preserve"> are expected to remain well contained over the next three years</w:t>
      </w:r>
      <w:r w:rsidR="00546CBD">
        <w:t>,</w:t>
      </w:r>
      <w:r w:rsidR="004E1660" w:rsidRPr="001635CD">
        <w:t xml:space="preserve"> in line with the trend growth in the economy and receding capacity pressures.  The Wage Price Index is forecast to increase 3¾ per cent in both 2011-12 and 2012-13, with continued strong wages growth in resources-related industries</w:t>
      </w:r>
      <w:r w:rsidR="008827C0">
        <w:t xml:space="preserve"> partly offset </w:t>
      </w:r>
      <w:r w:rsidR="002A3175">
        <w:t xml:space="preserve">on average </w:t>
      </w:r>
      <w:r w:rsidR="008827C0">
        <w:t xml:space="preserve">by </w:t>
      </w:r>
      <w:r w:rsidR="004E1660" w:rsidRPr="001635CD">
        <w:t xml:space="preserve">more modest increases in other parts of the economy. </w:t>
      </w:r>
      <w:r w:rsidR="00A30A35">
        <w:t xml:space="preserve"> </w:t>
      </w:r>
      <w:r w:rsidR="00A30A35" w:rsidRPr="00A30A35">
        <w:t xml:space="preserve">Abstracting from the one-off temporary impact of the carbon </w:t>
      </w:r>
      <w:r w:rsidR="002A3175">
        <w:t>price</w:t>
      </w:r>
      <w:r w:rsidR="00A30A35" w:rsidRPr="00A30A35">
        <w:t xml:space="preserve">, both headline and underlying inflation are forecast to </w:t>
      </w:r>
      <w:r w:rsidR="00A30A35">
        <w:t>rise from 2¼ per cent through the year to June 2012 to</w:t>
      </w:r>
      <w:r w:rsidR="00A30A35" w:rsidRPr="00A30A35">
        <w:t xml:space="preserve"> 2½ per cent </w:t>
      </w:r>
      <w:r w:rsidR="00A30A35">
        <w:t>through the year to both the June quarter 2013 and the June quarter 20</w:t>
      </w:r>
      <w:r w:rsidR="00A30A35" w:rsidRPr="00A30A35">
        <w:t xml:space="preserve">14. </w:t>
      </w:r>
      <w:r w:rsidR="00A30A35">
        <w:t>I</w:t>
      </w:r>
      <w:r w:rsidR="00A30A35" w:rsidRPr="00DA0707">
        <w:t xml:space="preserve">n the current environment of </w:t>
      </w:r>
      <w:r w:rsidR="00A30A35">
        <w:t>easing capacity pressures, there would seem to be</w:t>
      </w:r>
      <w:r w:rsidR="00A30A35" w:rsidRPr="00DA0707">
        <w:t xml:space="preserve"> little risk of a substantial increase in market-driven inflation over the forecast horizon, although </w:t>
      </w:r>
      <w:r w:rsidR="00A30A35">
        <w:t>growth in</w:t>
      </w:r>
      <w:r w:rsidR="00A30A35" w:rsidRPr="00DA0707">
        <w:t xml:space="preserve"> administered prices</w:t>
      </w:r>
      <w:r w:rsidR="00A30A35">
        <w:t xml:space="preserve"> is expected to remain firm</w:t>
      </w:r>
      <w:r w:rsidR="00A30A35" w:rsidRPr="00DA0707">
        <w:t>.</w:t>
      </w:r>
    </w:p>
    <w:p w:rsidR="00AA23D5" w:rsidRDefault="00AA23D5" w:rsidP="00AA23D5">
      <w:pPr>
        <w:spacing w:before="100" w:beforeAutospacing="1" w:after="100" w:afterAutospacing="1" w:line="240" w:lineRule="auto"/>
        <w:rPr>
          <w:rFonts w:eastAsia="Times New Roman"/>
          <w:szCs w:val="20"/>
          <w:lang w:eastAsia="en-AU"/>
        </w:rPr>
      </w:pPr>
      <w:r w:rsidRPr="006B1710">
        <w:rPr>
          <w:rFonts w:eastAsia="Times New Roman"/>
          <w:b/>
          <w:szCs w:val="20"/>
          <w:lang w:eastAsia="en-AU"/>
        </w:rPr>
        <w:t>Nominal GDP</w:t>
      </w:r>
      <w:r w:rsidRPr="006B1710">
        <w:rPr>
          <w:rFonts w:eastAsia="Times New Roman"/>
          <w:szCs w:val="20"/>
          <w:lang w:eastAsia="en-AU"/>
        </w:rPr>
        <w:t xml:space="preserve"> is forecast to grow </w:t>
      </w:r>
      <w:r w:rsidR="00D975B5">
        <w:rPr>
          <w:rFonts w:eastAsia="Times New Roman"/>
          <w:szCs w:val="20"/>
          <w:lang w:eastAsia="en-AU"/>
        </w:rPr>
        <w:t>6</w:t>
      </w:r>
      <w:r w:rsidRPr="006B1710">
        <w:rPr>
          <w:rFonts w:eastAsia="Times New Roman"/>
          <w:szCs w:val="20"/>
          <w:lang w:eastAsia="en-AU"/>
        </w:rPr>
        <w:t xml:space="preserve"> per cent in 20</w:t>
      </w:r>
      <w:r w:rsidR="007838D8">
        <w:rPr>
          <w:rFonts w:eastAsia="Times New Roman"/>
          <w:szCs w:val="20"/>
          <w:lang w:eastAsia="en-AU"/>
        </w:rPr>
        <w:t>11</w:t>
      </w:r>
      <w:r w:rsidR="007838D8">
        <w:rPr>
          <w:rFonts w:eastAsia="Times New Roman"/>
          <w:szCs w:val="20"/>
          <w:lang w:eastAsia="en-AU"/>
        </w:rPr>
        <w:noBreakHyphen/>
        <w:t xml:space="preserve">12, </w:t>
      </w:r>
      <w:r w:rsidRPr="006B1710">
        <w:rPr>
          <w:rFonts w:eastAsia="Times New Roman"/>
          <w:szCs w:val="20"/>
          <w:lang w:eastAsia="en-AU"/>
        </w:rPr>
        <w:t xml:space="preserve">5¼ per cent in </w:t>
      </w:r>
      <w:r w:rsidR="00B9571C">
        <w:rPr>
          <w:rFonts w:eastAsia="Times New Roman"/>
          <w:szCs w:val="20"/>
          <w:lang w:eastAsia="en-AU"/>
        </w:rPr>
        <w:t xml:space="preserve">both </w:t>
      </w:r>
      <w:r w:rsidRPr="006B1710">
        <w:rPr>
          <w:rFonts w:eastAsia="Times New Roman"/>
          <w:szCs w:val="20"/>
          <w:lang w:eastAsia="en-AU"/>
        </w:rPr>
        <w:t>2012</w:t>
      </w:r>
      <w:r w:rsidRPr="006B1710">
        <w:rPr>
          <w:rFonts w:eastAsia="Times New Roman"/>
          <w:szCs w:val="20"/>
          <w:lang w:eastAsia="en-AU"/>
        </w:rPr>
        <w:noBreakHyphen/>
        <w:t>13</w:t>
      </w:r>
      <w:r w:rsidR="007838D8">
        <w:rPr>
          <w:rFonts w:eastAsia="Times New Roman"/>
          <w:szCs w:val="20"/>
          <w:lang w:eastAsia="en-AU"/>
        </w:rPr>
        <w:t xml:space="preserve"> and 2013-14</w:t>
      </w:r>
      <w:r w:rsidRPr="006B1710">
        <w:rPr>
          <w:rFonts w:eastAsia="Times New Roman"/>
          <w:szCs w:val="20"/>
          <w:lang w:eastAsia="en-AU"/>
        </w:rPr>
        <w:t xml:space="preserve">. </w:t>
      </w:r>
      <w:r w:rsidR="002A3175">
        <w:rPr>
          <w:rFonts w:eastAsia="Times New Roman"/>
          <w:szCs w:val="20"/>
          <w:lang w:eastAsia="en-AU"/>
        </w:rPr>
        <w:t xml:space="preserve">Compared with MYEFO, forecast growth in nominal GDP has been revised down ¼ of a percentage point in 2011-12 and revised up ¼ of a percentage point in 2012-13.  </w:t>
      </w:r>
      <w:r w:rsidR="002A3175">
        <w:rPr>
          <w:rFonts w:eastAsia="Times New Roman"/>
          <w:szCs w:val="20"/>
        </w:rPr>
        <w:t>The downward revision in 2011-12</w:t>
      </w:r>
      <w:r w:rsidR="007838D8">
        <w:rPr>
          <w:rFonts w:eastAsia="Times New Roman"/>
          <w:szCs w:val="20"/>
          <w:lang w:eastAsia="en-AU"/>
        </w:rPr>
        <w:t xml:space="preserve"> reflects an unanticipated </w:t>
      </w:r>
      <w:r w:rsidR="008827C0">
        <w:rPr>
          <w:rFonts w:eastAsia="Times New Roman"/>
          <w:szCs w:val="20"/>
          <w:lang w:eastAsia="en-AU"/>
        </w:rPr>
        <w:t>fall</w:t>
      </w:r>
      <w:r w:rsidR="007838D8">
        <w:rPr>
          <w:rFonts w:eastAsia="Times New Roman"/>
          <w:szCs w:val="20"/>
          <w:lang w:eastAsia="en-AU"/>
        </w:rPr>
        <w:t xml:space="preserve"> in domestic prices</w:t>
      </w:r>
      <w:r w:rsidR="008827C0">
        <w:rPr>
          <w:rFonts w:eastAsia="Times New Roman"/>
          <w:szCs w:val="20"/>
          <w:lang w:eastAsia="en-AU"/>
        </w:rPr>
        <w:t xml:space="preserve"> in the September quarter</w:t>
      </w:r>
      <w:r w:rsidR="007838D8">
        <w:rPr>
          <w:rFonts w:eastAsia="Times New Roman"/>
          <w:szCs w:val="20"/>
          <w:lang w:eastAsia="en-AU"/>
        </w:rPr>
        <w:t xml:space="preserve">, with the gross national expenditure deflator falling 0.1 per cent </w:t>
      </w:r>
      <w:r w:rsidR="007838D8">
        <w:rPr>
          <w:rFonts w:eastAsia="Times New Roman"/>
          <w:szCs w:val="20"/>
          <w:lang w:eastAsia="en-AU"/>
        </w:rPr>
        <w:noBreakHyphen/>
        <w:t xml:space="preserve"> </w:t>
      </w:r>
      <w:r w:rsidR="007838D8" w:rsidRPr="007838D8">
        <w:rPr>
          <w:rFonts w:eastAsia="Times New Roman"/>
          <w:szCs w:val="20"/>
          <w:lang w:eastAsia="en-AU"/>
        </w:rPr>
        <w:t xml:space="preserve">the weakest result since the June quarter </w:t>
      </w:r>
      <w:r w:rsidR="003907AE">
        <w:rPr>
          <w:rFonts w:eastAsia="Times New Roman"/>
          <w:szCs w:val="20"/>
          <w:lang w:eastAsia="en-AU"/>
        </w:rPr>
        <w:t>200</w:t>
      </w:r>
      <w:r w:rsidR="003907AE" w:rsidRPr="007838D8">
        <w:rPr>
          <w:rFonts w:eastAsia="Times New Roman"/>
          <w:szCs w:val="20"/>
          <w:lang w:eastAsia="en-AU"/>
        </w:rPr>
        <w:t>9</w:t>
      </w:r>
      <w:r w:rsidR="003907AE">
        <w:rPr>
          <w:rFonts w:eastAsia="Times New Roman"/>
          <w:szCs w:val="20"/>
          <w:lang w:eastAsia="en-AU"/>
        </w:rPr>
        <w:t xml:space="preserve"> </w:t>
      </w:r>
      <w:r w:rsidR="007838D8">
        <w:rPr>
          <w:rFonts w:eastAsia="Times New Roman"/>
          <w:szCs w:val="20"/>
          <w:lang w:eastAsia="en-AU"/>
        </w:rPr>
        <w:t xml:space="preserve">– due to a decline in the public expenditure deflator.  </w:t>
      </w:r>
      <w:r w:rsidR="00D51854">
        <w:rPr>
          <w:rFonts w:eastAsia="Times New Roman"/>
          <w:szCs w:val="20"/>
          <w:lang w:eastAsia="en-AU"/>
        </w:rPr>
        <w:t xml:space="preserve">The fall in the public expenditure deflator reflected a decline in both the consumption and investment deflators, which </w:t>
      </w:r>
      <w:r w:rsidR="008827C0">
        <w:rPr>
          <w:rFonts w:eastAsia="Times New Roman"/>
          <w:szCs w:val="20"/>
          <w:lang w:eastAsia="en-AU"/>
        </w:rPr>
        <w:t xml:space="preserve">is difficult to reconcile with growth in public sector </w:t>
      </w:r>
      <w:r w:rsidR="004C1947">
        <w:rPr>
          <w:rFonts w:eastAsia="Times New Roman"/>
          <w:szCs w:val="20"/>
          <w:lang w:eastAsia="en-AU"/>
        </w:rPr>
        <w:t>wages</w:t>
      </w:r>
      <w:r w:rsidR="008827C0">
        <w:rPr>
          <w:rFonts w:eastAsia="Times New Roman"/>
          <w:szCs w:val="20"/>
          <w:lang w:eastAsia="en-AU"/>
        </w:rPr>
        <w:t xml:space="preserve"> and </w:t>
      </w:r>
      <w:r w:rsidR="00D51854">
        <w:rPr>
          <w:rFonts w:eastAsia="Times New Roman"/>
          <w:szCs w:val="20"/>
          <w:lang w:eastAsia="en-AU"/>
        </w:rPr>
        <w:t>cost</w:t>
      </w:r>
      <w:r w:rsidR="008827C0">
        <w:rPr>
          <w:rFonts w:eastAsia="Times New Roman"/>
          <w:szCs w:val="20"/>
          <w:lang w:eastAsia="en-AU"/>
        </w:rPr>
        <w:t xml:space="preserve"> pressures</w:t>
      </w:r>
      <w:r w:rsidR="00D51854">
        <w:rPr>
          <w:rFonts w:eastAsia="Times New Roman"/>
          <w:szCs w:val="20"/>
          <w:lang w:eastAsia="en-AU"/>
        </w:rPr>
        <w:t xml:space="preserve"> on government capital budgets</w:t>
      </w:r>
      <w:r w:rsidR="004C1947">
        <w:rPr>
          <w:rFonts w:eastAsia="Times New Roman"/>
          <w:szCs w:val="20"/>
          <w:lang w:eastAsia="en-AU"/>
        </w:rPr>
        <w:t xml:space="preserve">. Therefore, </w:t>
      </w:r>
      <w:r w:rsidR="002A3175">
        <w:rPr>
          <w:rFonts w:eastAsia="Times New Roman"/>
          <w:szCs w:val="20"/>
          <w:lang w:eastAsia="en-AU"/>
        </w:rPr>
        <w:t>the forecasts offset the decline in the September quarter with additional strength in future quarters, resulting in a reprofiling of the nominal GDP growth outlook compared with MYEFO</w:t>
      </w:r>
      <w:r w:rsidR="008827C0">
        <w:rPr>
          <w:rFonts w:eastAsia="Times New Roman"/>
          <w:szCs w:val="20"/>
          <w:lang w:eastAsia="en-AU"/>
        </w:rPr>
        <w:t xml:space="preserve">. </w:t>
      </w:r>
    </w:p>
    <w:p w:rsidR="00FD278B" w:rsidRDefault="00143210" w:rsidP="00416B87">
      <w:pPr>
        <w:spacing w:before="100" w:beforeAutospacing="1" w:after="100" w:afterAutospacing="1" w:line="240" w:lineRule="auto"/>
        <w:rPr>
          <w:b/>
        </w:rPr>
      </w:pPr>
      <w:r>
        <w:rPr>
          <w:rFonts w:eastAsia="Times New Roman"/>
          <w:szCs w:val="20"/>
          <w:lang w:eastAsia="en-AU"/>
        </w:rPr>
        <w:t xml:space="preserve">The possibility of a </w:t>
      </w:r>
      <w:r w:rsidR="002A3175">
        <w:rPr>
          <w:rFonts w:eastAsia="Times New Roman"/>
          <w:szCs w:val="20"/>
          <w:lang w:eastAsia="en-AU"/>
        </w:rPr>
        <w:t>major financial collapse in Europe</w:t>
      </w:r>
      <w:r>
        <w:rPr>
          <w:rFonts w:eastAsia="Times New Roman"/>
          <w:szCs w:val="20"/>
          <w:lang w:eastAsia="en-AU"/>
        </w:rPr>
        <w:t xml:space="preserve"> represents a significant downside risk for the domestic economy.  While Australia’s trade is primarily with Asia and our direct exposure to European financial institutions is low, </w:t>
      </w:r>
      <w:r w:rsidR="00371B7F">
        <w:rPr>
          <w:rFonts w:eastAsia="Times New Roman"/>
          <w:szCs w:val="20"/>
          <w:lang w:eastAsia="en-AU"/>
        </w:rPr>
        <w:t>the past few months have again</w:t>
      </w:r>
      <w:r>
        <w:rPr>
          <w:rFonts w:eastAsia="Times New Roman"/>
          <w:szCs w:val="20"/>
          <w:lang w:eastAsia="en-AU"/>
        </w:rPr>
        <w:t xml:space="preserve"> </w:t>
      </w:r>
      <w:r w:rsidR="00371B7F">
        <w:rPr>
          <w:rFonts w:eastAsia="Times New Roman"/>
          <w:szCs w:val="20"/>
          <w:lang w:eastAsia="en-AU"/>
        </w:rPr>
        <w:t xml:space="preserve">highlighted the importance of financial market and confidence channels.  </w:t>
      </w:r>
      <w:r w:rsidR="00850634">
        <w:rPr>
          <w:rFonts w:eastAsia="Times New Roman"/>
          <w:szCs w:val="20"/>
          <w:lang w:eastAsia="en-AU"/>
        </w:rPr>
        <w:t>Moreover, our trade with e</w:t>
      </w:r>
      <w:r w:rsidR="00C8579E">
        <w:rPr>
          <w:rFonts w:eastAsia="Times New Roman"/>
          <w:szCs w:val="20"/>
          <w:lang w:eastAsia="en-AU"/>
        </w:rPr>
        <w:t xml:space="preserve">merging Asia would not be immune to a sharp deterioration in Europe, with signs that weak external demand and reduced availability of trade finance is already weighing on growth in the region.  </w:t>
      </w:r>
      <w:r w:rsidR="00371B7F">
        <w:rPr>
          <w:rFonts w:eastAsia="Times New Roman"/>
          <w:szCs w:val="20"/>
          <w:lang w:eastAsia="en-AU"/>
        </w:rPr>
        <w:t>Commodity markets could also be expected to weaken, raising the prospect of a sharper decline in Australia’s terms of trade than currently forecast.  While there is a large pipeline of committed LNG projects that would be expected to continue, some planned expansions to coal and iron ore capacity could be delayed, including those that are reliant on external financing.  An additional downside risk concerns the possibility of a second consecutive year of rainfall-induced disruptions to coal and agricultural production, given the emerging La Nina weather pattern.</w:t>
      </w:r>
      <w:r w:rsidR="00FD278B">
        <w:br w:type="page"/>
      </w:r>
    </w:p>
    <w:p w:rsidR="00201ED5" w:rsidRPr="0077024A" w:rsidRDefault="009A79E9" w:rsidP="0077024A">
      <w:pPr>
        <w:pStyle w:val="TableHeadingCharChar"/>
        <w:rPr>
          <w:rFonts w:ascii="Book Antiqua" w:hAnsi="Book Antiqua"/>
        </w:rPr>
      </w:pPr>
      <w:r w:rsidRPr="0077024A">
        <w:rPr>
          <w:rFonts w:ascii="Book Antiqua" w:hAnsi="Book Antiqua"/>
        </w:rPr>
        <w:lastRenderedPageBreak/>
        <w:t xml:space="preserve">Table </w:t>
      </w:r>
      <w:r w:rsidR="00E2748C">
        <w:rPr>
          <w:rFonts w:ascii="Book Antiqua" w:hAnsi="Book Antiqua"/>
        </w:rPr>
        <w:t>3</w:t>
      </w:r>
      <w:r w:rsidR="0030247D" w:rsidRPr="0077024A">
        <w:rPr>
          <w:rFonts w:ascii="Book Antiqua" w:hAnsi="Book Antiqua"/>
        </w:rPr>
        <w:t>:</w:t>
      </w:r>
      <w:r w:rsidRPr="0077024A">
        <w:rPr>
          <w:rFonts w:ascii="Book Antiqua" w:hAnsi="Book Antiqua"/>
        </w:rPr>
        <w:t xml:space="preserve"> Domestic economy forecasts</w:t>
      </w:r>
    </w:p>
    <w:p w:rsidR="007C3517" w:rsidRPr="007C3517" w:rsidRDefault="00D975B5" w:rsidP="00090436">
      <w:pPr>
        <w:pStyle w:val="TableGraphic"/>
        <w:widowControl w:val="0"/>
        <w:spacing w:after="0"/>
      </w:pPr>
      <w:r w:rsidRPr="00D975B5">
        <w:rPr>
          <w:noProof/>
          <w:lang w:eastAsia="en-AU"/>
        </w:rPr>
        <w:drawing>
          <wp:anchor distT="0" distB="0" distL="114300" distR="114300" simplePos="0" relativeHeight="251669504" behindDoc="0" locked="0" layoutInCell="1" allowOverlap="1" wp14:anchorId="6CCAFE66" wp14:editId="428E934E">
            <wp:simplePos x="0" y="0"/>
            <wp:positionH relativeFrom="column">
              <wp:posOffset>7620</wp:posOffset>
            </wp:positionH>
            <wp:positionV relativeFrom="paragraph">
              <wp:posOffset>93345</wp:posOffset>
            </wp:positionV>
            <wp:extent cx="5760085" cy="65735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085" cy="65735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6"/>
      <w:bookmarkEnd w:id="27"/>
    </w:p>
    <w:sectPr w:rsidR="007C3517" w:rsidRPr="007C3517" w:rsidSect="004201B3">
      <w:headerReference w:type="default" r:id="rId19"/>
      <w:footerReference w:type="even" r:id="rId20"/>
      <w:footerReference w:type="default" r:id="rId21"/>
      <w:type w:val="continuous"/>
      <w:pgSz w:w="11907" w:h="16840" w:code="9"/>
      <w:pgMar w:top="1134" w:right="1134" w:bottom="1134" w:left="1134" w:header="567" w:footer="4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57" w:rsidRDefault="00257257">
      <w:r>
        <w:separator/>
      </w:r>
    </w:p>
  </w:endnote>
  <w:endnote w:type="continuationSeparator" w:id="0">
    <w:p w:rsidR="00257257" w:rsidRDefault="0025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Book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257257"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57257" w:rsidRDefault="00416B87" w:rsidP="001B13AC">
    <w:pPr>
      <w:pStyle w:val="SecurityClassificationFooter"/>
    </w:pPr>
    <w:fldSimple w:instr=" DOCPROPERTY SecurityClassification \* MERGEFORMAT ">
      <w:r>
        <w:t>Protected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257257"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D70">
      <w:rPr>
        <w:rStyle w:val="PageNumber"/>
        <w:noProof/>
      </w:rPr>
      <w:t>2</w:t>
    </w:r>
    <w:r>
      <w:rPr>
        <w:rStyle w:val="PageNumber"/>
      </w:rPr>
      <w:fldChar w:fldCharType="end"/>
    </w:r>
  </w:p>
  <w:p w:rsidR="00257257" w:rsidRPr="00090436" w:rsidRDefault="00257257" w:rsidP="00830F2B">
    <w:pPr>
      <w:pStyle w:val="SecurityClassificationFooter"/>
      <w:rPr>
        <w:b w:val="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70" w:rsidRDefault="00CF7D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257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57257" w:rsidRDefault="00416B87" w:rsidP="001B13AC">
    <w:pPr>
      <w:pStyle w:val="SecurityClassificationFooter"/>
    </w:pPr>
    <w:fldSimple w:instr=" DOCPROPERTY SecurityClassification \* MERGEFORMAT ">
      <w:r>
        <w:t>Protected</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257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D70">
      <w:rPr>
        <w:rStyle w:val="PageNumber"/>
        <w:noProof/>
      </w:rPr>
      <w:t>6</w:t>
    </w:r>
    <w:r>
      <w:rPr>
        <w:rStyle w:val="PageNumber"/>
      </w:rPr>
      <w:fldChar w:fldCharType="end"/>
    </w:r>
  </w:p>
  <w:p w:rsidR="00257257" w:rsidRPr="004201B3" w:rsidRDefault="00257257" w:rsidP="00830F2B">
    <w:pPr>
      <w:pStyle w:val="Header"/>
      <w:spacing w:after="0"/>
      <w:jc w:val="center"/>
      <w:rPr>
        <w:rStyle w:val="FramedHeader"/>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57" w:rsidRDefault="00257257">
      <w:pPr>
        <w:pStyle w:val="TableBodyText"/>
        <w:spacing w:before="120" w:after="120"/>
      </w:pPr>
      <w:r>
        <w:separator/>
      </w:r>
    </w:p>
  </w:footnote>
  <w:footnote w:type="continuationSeparator" w:id="0">
    <w:p w:rsidR="00257257" w:rsidRDefault="00257257">
      <w:r>
        <w:continuationSeparator/>
      </w:r>
    </w:p>
  </w:footnote>
  <w:footnote w:id="1">
    <w:p w:rsidR="00257257" w:rsidRDefault="00257257" w:rsidP="00594923">
      <w:pPr>
        <w:pStyle w:val="FootnoteText"/>
        <w:tabs>
          <w:tab w:val="clear" w:pos="284"/>
          <w:tab w:val="left" w:pos="0"/>
        </w:tabs>
        <w:ind w:left="0" w:firstLine="0"/>
      </w:pPr>
      <w:r>
        <w:rPr>
          <w:rStyle w:val="FootnoteReference"/>
        </w:rPr>
        <w:footnoteRef/>
      </w:r>
      <w:r>
        <w:t xml:space="preserve"> </w:t>
      </w:r>
      <w:r w:rsidRPr="00D42F8A">
        <w:t>This is the adjustment that the ABS make</w:t>
      </w:r>
      <w:r>
        <w:t>s</w:t>
      </w:r>
      <w:r w:rsidRPr="00D42F8A">
        <w:t xml:space="preserve"> to account for overseas expenditure by Australian residents travelling </w:t>
      </w:r>
      <w:r>
        <w:t>internationally</w:t>
      </w:r>
      <w:r w:rsidRPr="00D42F8A">
        <w:t xml:space="preserve"> (which counts as household consumption), </w:t>
      </w:r>
      <w:r>
        <w:t>less</w:t>
      </w:r>
      <w:r w:rsidRPr="00D42F8A">
        <w:t xml:space="preserve"> expenditure by foreign residents in Australia (which does</w:t>
      </w:r>
      <w:r>
        <w:t xml:space="preserve"> </w:t>
      </w:r>
      <w:r w:rsidRPr="00D42F8A">
        <w:t>n</w:t>
      </w:r>
      <w:r>
        <w:t>o</w:t>
      </w:r>
      <w:r w:rsidRPr="00D42F8A">
        <w:t>t).</w:t>
      </w:r>
      <w:r>
        <w:t xml:space="preserve">  These adjustments are matched by imports and exports.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416B87" w:rsidP="001B13AC">
    <w:pPr>
      <w:pStyle w:val="SecurityClassificationHeader"/>
    </w:pPr>
    <w:fldSimple w:instr=" DOCPROPERTY SecurityClassification \* MERGEFORMAT ">
      <w:r>
        <w:t>Protected</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70" w:rsidRDefault="00CF7D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D70" w:rsidRDefault="00CF7D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257" w:rsidRDefault="00416B87">
    <w:pPr>
      <w:framePr w:wrap="around" w:vAnchor="page" w:hAnchor="margin" w:x="14460" w:y="7939" w:anchorLock="1"/>
      <w:rPr>
        <w:rStyle w:val="FramedHeader"/>
      </w:rPr>
    </w:pPr>
    <w:fldSimple w:instr=" TITLE  \* MERGEFORMAT ">
      <w:r w:rsidRPr="00416B87">
        <w:rPr>
          <w:rStyle w:val="FramedHeader"/>
        </w:rPr>
        <w:t>March 06 Forecasting Report</w:t>
      </w:r>
    </w:fldSimple>
  </w:p>
  <w:p w:rsidR="00257257" w:rsidRDefault="00257257" w:rsidP="00830F2B">
    <w:pPr>
      <w:pStyle w:val="Header"/>
      <w:spacing w:after="0"/>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A85"/>
    <w:multiLevelType w:val="singleLevel"/>
    <w:tmpl w:val="DCE4D020"/>
    <w:lvl w:ilvl="0">
      <w:start w:val="1"/>
      <w:numFmt w:val="bullet"/>
      <w:lvlText w:val=""/>
      <w:lvlJc w:val="left"/>
      <w:pPr>
        <w:tabs>
          <w:tab w:val="num" w:pos="646"/>
        </w:tabs>
        <w:ind w:left="283" w:firstLine="0"/>
      </w:pPr>
      <w:rPr>
        <w:rFonts w:ascii="Symbol" w:hAnsi="Symbol" w:hint="default"/>
        <w:b w:val="0"/>
        <w:i w:val="0"/>
        <w:caps w:val="0"/>
        <w:small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0329CA"/>
    <w:multiLevelType w:val="multilevel"/>
    <w:tmpl w:val="4B32248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AE7C12"/>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3">
    <w:nsid w:val="08A9749B"/>
    <w:multiLevelType w:val="singleLevel"/>
    <w:tmpl w:val="1AFCA92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EDA661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F223A74"/>
    <w:multiLevelType w:val="singleLevel"/>
    <w:tmpl w:val="6DDCFA48"/>
    <w:lvl w:ilvl="0">
      <w:start w:val="1"/>
      <w:numFmt w:val="bullet"/>
      <w:lvlText w:val=""/>
      <w:lvlJc w:val="left"/>
      <w:pPr>
        <w:tabs>
          <w:tab w:val="num" w:pos="646"/>
        </w:tabs>
        <w:ind w:left="283" w:firstLine="0"/>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76D5FE2"/>
    <w:multiLevelType w:val="singleLevel"/>
    <w:tmpl w:val="34E6B6C8"/>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8437A7E"/>
    <w:multiLevelType w:val="singleLevel"/>
    <w:tmpl w:val="5C7ECCA4"/>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D544A88"/>
    <w:multiLevelType w:val="singleLevel"/>
    <w:tmpl w:val="82520A5E"/>
    <w:lvl w:ilvl="0">
      <w:start w:val="1"/>
      <w:numFmt w:val="bullet"/>
      <w:lvlText w:val=":"/>
      <w:lvlJc w:val="left"/>
      <w:pPr>
        <w:tabs>
          <w:tab w:val="num" w:pos="357"/>
        </w:tabs>
        <w:ind w:left="283" w:hanging="283"/>
      </w:pPr>
      <w:rPr>
        <w:rFonts w:ascii="Times New Roman" w:hAnsi="Times New Roman" w:hint="default"/>
      </w:rPr>
    </w:lvl>
  </w:abstractNum>
  <w:abstractNum w:abstractNumId="9">
    <w:nsid w:val="1DDC458A"/>
    <w:multiLevelType w:val="singleLevel"/>
    <w:tmpl w:val="CEE49C2E"/>
    <w:lvl w:ilvl="0">
      <w:start w:val="1"/>
      <w:numFmt w:val="bullet"/>
      <w:lvlText w:val=""/>
      <w:lvlJc w:val="left"/>
      <w:pPr>
        <w:tabs>
          <w:tab w:val="num" w:pos="646"/>
        </w:tabs>
        <w:ind w:left="283" w:firstLine="0"/>
      </w:pPr>
      <w:rPr>
        <w:rFonts w:ascii="Symbol" w:hAnsi="Symbol" w:hint="default"/>
      </w:rPr>
    </w:lvl>
  </w:abstractNum>
  <w:abstractNum w:abstractNumId="10">
    <w:nsid w:val="1FE37260"/>
    <w:multiLevelType w:val="singleLevel"/>
    <w:tmpl w:val="67BCF81E"/>
    <w:lvl w:ilvl="0">
      <w:start w:val="1"/>
      <w:numFmt w:val="bullet"/>
      <w:lvlText w:val=":"/>
      <w:lvlJc w:val="left"/>
      <w:pPr>
        <w:tabs>
          <w:tab w:val="num" w:pos="357"/>
        </w:tabs>
        <w:ind w:left="283" w:hanging="283"/>
      </w:pPr>
      <w:rPr>
        <w:rFonts w:ascii="Times New Roman" w:hAnsi="Times New Roman" w:hint="default"/>
        <w:b/>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2A1312D"/>
    <w:multiLevelType w:val="singleLevel"/>
    <w:tmpl w:val="8A7C2128"/>
    <w:lvl w:ilvl="0">
      <w:start w:val="1"/>
      <w:numFmt w:val="bullet"/>
      <w:lvlText w:val=""/>
      <w:lvlJc w:val="left"/>
      <w:pPr>
        <w:tabs>
          <w:tab w:val="num" w:pos="357"/>
        </w:tabs>
        <w:ind w:left="283" w:hanging="283"/>
      </w:pPr>
      <w:rPr>
        <w:rFonts w:ascii="Symbol" w:hAnsi="Symbol" w:hint="default"/>
        <w:b/>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4B57EF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4CF4120"/>
    <w:multiLevelType w:val="singleLevel"/>
    <w:tmpl w:val="5492F112"/>
    <w:lvl w:ilvl="0">
      <w:start w:val="1"/>
      <w:numFmt w:val="bullet"/>
      <w:lvlText w:val=":"/>
      <w:lvlJc w:val="left"/>
      <w:pPr>
        <w:tabs>
          <w:tab w:val="num" w:pos="357"/>
        </w:tabs>
        <w:ind w:left="283" w:hanging="283"/>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5C11C65"/>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D0E35FC"/>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D7063CC"/>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17">
    <w:nsid w:val="2E5C45A1"/>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F562DFF"/>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3E807DA"/>
    <w:multiLevelType w:val="multilevel"/>
    <w:tmpl w:val="B2BA1436"/>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42115B6"/>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4821DA8"/>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22">
    <w:nsid w:val="35107270"/>
    <w:multiLevelType w:val="singleLevel"/>
    <w:tmpl w:val="EDD8F7FE"/>
    <w:lvl w:ilvl="0">
      <w:start w:val="1"/>
      <w:numFmt w:val="bullet"/>
      <w:lvlText w:val=""/>
      <w:lvlJc w:val="left"/>
      <w:pPr>
        <w:tabs>
          <w:tab w:val="num" w:pos="646"/>
        </w:tabs>
        <w:ind w:left="283" w:firstLine="0"/>
      </w:pPr>
      <w:rPr>
        <w:rFonts w:ascii="Symbol" w:hAnsi="Symbol" w:hint="default"/>
      </w:rPr>
    </w:lvl>
  </w:abstractNum>
  <w:abstractNum w:abstractNumId="23">
    <w:nsid w:val="370A3197"/>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A564359"/>
    <w:multiLevelType w:val="singleLevel"/>
    <w:tmpl w:val="89B44092"/>
    <w:lvl w:ilvl="0">
      <w:start w:val="1"/>
      <w:numFmt w:val="bullet"/>
      <w:lvlText w:val=":"/>
      <w:lvlJc w:val="left"/>
      <w:pPr>
        <w:tabs>
          <w:tab w:val="num" w:pos="357"/>
        </w:tabs>
        <w:ind w:left="283" w:hanging="283"/>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B8B757B"/>
    <w:multiLevelType w:val="singleLevel"/>
    <w:tmpl w:val="3D8230E8"/>
    <w:lvl w:ilvl="0">
      <w:start w:val="2"/>
      <w:numFmt w:val="decimal"/>
      <w:lvlText w:val="%1."/>
      <w:lvlJc w:val="left"/>
      <w:pPr>
        <w:tabs>
          <w:tab w:val="num" w:pos="567"/>
        </w:tabs>
        <w:ind w:left="0" w:firstLine="0"/>
      </w:pPr>
    </w:lvl>
  </w:abstractNum>
  <w:abstractNum w:abstractNumId="26">
    <w:nsid w:val="3CF65E56"/>
    <w:multiLevelType w:val="multilevel"/>
    <w:tmpl w:val="603449F0"/>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4750E"/>
    <w:multiLevelType w:val="singleLevel"/>
    <w:tmpl w:val="ED9CFA80"/>
    <w:lvl w:ilvl="0">
      <w:start w:val="1"/>
      <w:numFmt w:val="bullet"/>
      <w:lvlText w:val=""/>
      <w:lvlJc w:val="left"/>
      <w:pPr>
        <w:tabs>
          <w:tab w:val="num" w:pos="646"/>
        </w:tabs>
        <w:ind w:left="283" w:firstLine="0"/>
      </w:pPr>
      <w:rPr>
        <w:rFonts w:ascii="Symbol" w:hAnsi="Symbol"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45BD1CE8"/>
    <w:multiLevelType w:val="singleLevel"/>
    <w:tmpl w:val="3A66CC42"/>
    <w:lvl w:ilvl="0">
      <w:start w:val="1"/>
      <w:numFmt w:val="bullet"/>
      <w:lvlText w:val=":"/>
      <w:lvlJc w:val="left"/>
      <w:pPr>
        <w:tabs>
          <w:tab w:val="num" w:pos="357"/>
        </w:tabs>
        <w:ind w:left="283" w:hanging="283"/>
      </w:pPr>
      <w:rPr>
        <w:rFonts w:ascii="Times New Roman" w:hAnsi="Times New Roman"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C5635BF"/>
    <w:multiLevelType w:val="multilevel"/>
    <w:tmpl w:val="880A5BE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EC400C9"/>
    <w:multiLevelType w:val="singleLevel"/>
    <w:tmpl w:val="98F43534"/>
    <w:lvl w:ilvl="0">
      <w:start w:val="1"/>
      <w:numFmt w:val="bullet"/>
      <w:lvlText w:val=""/>
      <w:lvlJc w:val="left"/>
      <w:pPr>
        <w:tabs>
          <w:tab w:val="num" w:pos="644"/>
        </w:tabs>
        <w:ind w:left="284" w:firstLine="0"/>
      </w:pPr>
      <w:rPr>
        <w:rFonts w:ascii="Symbol" w:hAnsi="Symbol" w:hint="default"/>
      </w:rPr>
    </w:lvl>
  </w:abstractNum>
  <w:abstractNum w:abstractNumId="31">
    <w:nsid w:val="5193406B"/>
    <w:multiLevelType w:val="singleLevel"/>
    <w:tmpl w:val="F1CA772E"/>
    <w:lvl w:ilvl="0">
      <w:start w:val="1"/>
      <w:numFmt w:val="decimal"/>
      <w:lvlText w:val="(%1)"/>
      <w:lvlJc w:val="left"/>
      <w:pPr>
        <w:tabs>
          <w:tab w:val="num" w:pos="360"/>
        </w:tabs>
        <w:ind w:left="360" w:hanging="360"/>
      </w:pPr>
      <w:rPr>
        <w:rFonts w:hint="default"/>
      </w:rPr>
    </w:lvl>
  </w:abstractNum>
  <w:abstractNum w:abstractNumId="32">
    <w:nsid w:val="547E38A7"/>
    <w:multiLevelType w:val="singleLevel"/>
    <w:tmpl w:val="84F6721A"/>
    <w:lvl w:ilvl="0">
      <w:start w:val="1"/>
      <w:numFmt w:val="bullet"/>
      <w:lvlText w:val=""/>
      <w:lvlJc w:val="left"/>
      <w:pPr>
        <w:tabs>
          <w:tab w:val="num" w:pos="646"/>
        </w:tabs>
        <w:ind w:left="283" w:firstLine="0"/>
      </w:pPr>
      <w:rPr>
        <w:rFonts w:ascii="Symbol" w:hAnsi="Symbol" w:hint="default"/>
        <w:sz w:val="16"/>
      </w:rPr>
    </w:lvl>
  </w:abstractNum>
  <w:abstractNum w:abstractNumId="33">
    <w:nsid w:val="5B33048F"/>
    <w:multiLevelType w:val="singleLevel"/>
    <w:tmpl w:val="C9986A86"/>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60A30A93"/>
    <w:multiLevelType w:val="singleLevel"/>
    <w:tmpl w:val="5A7493FC"/>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nsid w:val="61AA731F"/>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21C1811"/>
    <w:multiLevelType w:val="singleLevel"/>
    <w:tmpl w:val="3E603EAC"/>
    <w:lvl w:ilvl="0">
      <w:start w:val="1"/>
      <w:numFmt w:val="bullet"/>
      <w:lvlText w:val=""/>
      <w:lvlJc w:val="left"/>
      <w:pPr>
        <w:tabs>
          <w:tab w:val="num" w:pos="644"/>
        </w:tabs>
        <w:ind w:left="284" w:firstLine="0"/>
      </w:pPr>
      <w:rPr>
        <w:rFonts w:ascii="Symbol" w:hAnsi="Symbol" w:hint="default"/>
      </w:rPr>
    </w:lvl>
  </w:abstractNum>
  <w:abstractNum w:abstractNumId="37">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8">
    <w:nsid w:val="688B65E3"/>
    <w:multiLevelType w:val="singleLevel"/>
    <w:tmpl w:val="17D6EA24"/>
    <w:lvl w:ilvl="0">
      <w:start w:val="1"/>
      <w:numFmt w:val="bullet"/>
      <w:lvlText w:val=""/>
      <w:lvlJc w:val="left"/>
      <w:pPr>
        <w:tabs>
          <w:tab w:val="num" w:pos="357"/>
        </w:tabs>
        <w:ind w:left="283" w:hanging="283"/>
      </w:pPr>
      <w:rPr>
        <w:rFonts w:ascii="Symbol" w:hAnsi="Symbol" w:hint="default"/>
        <w:b w:val="0"/>
        <w:i w:val="0"/>
        <w:caps w:val="0"/>
        <w:small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70A07487"/>
    <w:multiLevelType w:val="singleLevel"/>
    <w:tmpl w:val="62FCF180"/>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73E439CC"/>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401214A"/>
    <w:multiLevelType w:val="singleLevel"/>
    <w:tmpl w:val="D4EE6B8A"/>
    <w:lvl w:ilvl="0">
      <w:start w:val="1"/>
      <w:numFmt w:val="bullet"/>
      <w:lvlText w:val=""/>
      <w:lvlJc w:val="left"/>
      <w:pPr>
        <w:tabs>
          <w:tab w:val="num" w:pos="357"/>
        </w:tabs>
        <w:ind w:left="283" w:hanging="283"/>
      </w:pPr>
      <w:rPr>
        <w:rFonts w:ascii="Symbol" w:hAnsi="Symbol" w:hint="default"/>
        <w:caps w:val="0"/>
        <w:small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8BB79EF"/>
    <w:multiLevelType w:val="multilevel"/>
    <w:tmpl w:val="8B907472"/>
    <w:lvl w:ilvl="0">
      <w:start w:val="1"/>
      <w:numFmt w:val="decimal"/>
      <w:lvlText w:val="%1."/>
      <w:lvlJc w:val="left"/>
      <w:pPr>
        <w:tabs>
          <w:tab w:val="num" w:pos="472"/>
        </w:tabs>
        <w:ind w:left="472" w:hanging="472"/>
      </w:pPr>
    </w:lvl>
    <w:lvl w:ilvl="1">
      <w:start w:val="1"/>
      <w:numFmt w:val="decimal"/>
      <w:lvlText w:val="%1.%2."/>
      <w:lvlJc w:val="left"/>
      <w:pPr>
        <w:tabs>
          <w:tab w:val="num" w:pos="944"/>
        </w:tabs>
        <w:ind w:left="944" w:hanging="472"/>
      </w:pPr>
    </w:lvl>
    <w:lvl w:ilvl="2">
      <w:start w:val="1"/>
      <w:numFmt w:val="decimal"/>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9B3620"/>
    <w:multiLevelType w:val="singleLevel"/>
    <w:tmpl w:val="A93E3472"/>
    <w:lvl w:ilvl="0">
      <w:start w:val="1"/>
      <w:numFmt w:val="bullet"/>
      <w:lvlText w:val=":"/>
      <w:lvlJc w:val="left"/>
      <w:pPr>
        <w:tabs>
          <w:tab w:val="num" w:pos="360"/>
        </w:tabs>
        <w:ind w:left="284" w:hanging="284"/>
      </w:pPr>
      <w:rPr>
        <w:rFonts w:ascii="Times New Roman" w:hAnsi="Times New Roman" w:hint="default"/>
      </w:rPr>
    </w:lvl>
  </w:abstractNum>
  <w:abstractNum w:abstractNumId="44">
    <w:nsid w:val="7F2501AC"/>
    <w:multiLevelType w:val="singleLevel"/>
    <w:tmpl w:val="E11C7A36"/>
    <w:lvl w:ilvl="0">
      <w:start w:val="1"/>
      <w:numFmt w:val="bullet"/>
      <w:lvlText w:val=""/>
      <w:lvlJc w:val="left"/>
      <w:pPr>
        <w:tabs>
          <w:tab w:val="num" w:pos="360"/>
        </w:tabs>
        <w:ind w:left="284" w:hanging="284"/>
      </w:pPr>
      <w:rPr>
        <w:rFonts w:ascii="Symbol" w:hAnsi="Symbo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F9E35A3"/>
    <w:multiLevelType w:val="singleLevel"/>
    <w:tmpl w:val="04090019"/>
    <w:lvl w:ilvl="0">
      <w:start w:val="1"/>
      <w:numFmt w:val="lowerLetter"/>
      <w:lvlText w:val="(%1)"/>
      <w:lvlJc w:val="left"/>
      <w:pPr>
        <w:tabs>
          <w:tab w:val="num" w:pos="360"/>
        </w:tabs>
        <w:ind w:left="360" w:hanging="360"/>
      </w:pPr>
      <w:rPr>
        <w:rFonts w:hint="default"/>
      </w:rPr>
    </w:lvl>
  </w:abstractNum>
  <w:num w:numId="1">
    <w:abstractNumId w:val="34"/>
  </w:num>
  <w:num w:numId="2">
    <w:abstractNumId w:val="30"/>
  </w:num>
  <w:num w:numId="3">
    <w:abstractNumId w:val="21"/>
  </w:num>
  <w:num w:numId="4">
    <w:abstractNumId w:val="44"/>
  </w:num>
  <w:num w:numId="5">
    <w:abstractNumId w:val="12"/>
  </w:num>
  <w:num w:numId="6">
    <w:abstractNumId w:val="15"/>
  </w:num>
  <w:num w:numId="7">
    <w:abstractNumId w:val="20"/>
  </w:num>
  <w:num w:numId="8">
    <w:abstractNumId w:val="36"/>
  </w:num>
  <w:num w:numId="9">
    <w:abstractNumId w:val="39"/>
  </w:num>
  <w:num w:numId="10">
    <w:abstractNumId w:val="16"/>
  </w:num>
  <w:num w:numId="11">
    <w:abstractNumId w:val="35"/>
  </w:num>
  <w:num w:numId="12">
    <w:abstractNumId w:val="22"/>
  </w:num>
  <w:num w:numId="13">
    <w:abstractNumId w:val="43"/>
  </w:num>
  <w:num w:numId="14">
    <w:abstractNumId w:val="14"/>
  </w:num>
  <w:num w:numId="15">
    <w:abstractNumId w:val="2"/>
  </w:num>
  <w:num w:numId="16">
    <w:abstractNumId w:val="8"/>
  </w:num>
  <w:num w:numId="17">
    <w:abstractNumId w:val="33"/>
  </w:num>
  <w:num w:numId="18">
    <w:abstractNumId w:val="5"/>
  </w:num>
  <w:num w:numId="19">
    <w:abstractNumId w:val="28"/>
  </w:num>
  <w:num w:numId="20">
    <w:abstractNumId w:val="3"/>
  </w:num>
  <w:num w:numId="21">
    <w:abstractNumId w:val="7"/>
  </w:num>
  <w:num w:numId="22">
    <w:abstractNumId w:val="9"/>
  </w:num>
  <w:num w:numId="23">
    <w:abstractNumId w:val="24"/>
  </w:num>
  <w:num w:numId="24">
    <w:abstractNumId w:val="45"/>
  </w:num>
  <w:num w:numId="25">
    <w:abstractNumId w:val="17"/>
  </w:num>
  <w:num w:numId="26">
    <w:abstractNumId w:val="40"/>
  </w:num>
  <w:num w:numId="27">
    <w:abstractNumId w:val="4"/>
  </w:num>
  <w:num w:numId="28">
    <w:abstractNumId w:val="23"/>
  </w:num>
  <w:num w:numId="29">
    <w:abstractNumId w:val="18"/>
  </w:num>
  <w:num w:numId="30">
    <w:abstractNumId w:val="27"/>
  </w:num>
  <w:num w:numId="31">
    <w:abstractNumId w:val="41"/>
  </w:num>
  <w:num w:numId="32">
    <w:abstractNumId w:val="11"/>
  </w:num>
  <w:num w:numId="33">
    <w:abstractNumId w:val="32"/>
  </w:num>
  <w:num w:numId="34">
    <w:abstractNumId w:val="10"/>
  </w:num>
  <w:num w:numId="35">
    <w:abstractNumId w:val="6"/>
  </w:num>
  <w:num w:numId="36">
    <w:abstractNumId w:val="0"/>
  </w:num>
  <w:num w:numId="37">
    <w:abstractNumId w:val="13"/>
  </w:num>
  <w:num w:numId="38">
    <w:abstractNumId w:val="38"/>
  </w:num>
  <w:num w:numId="39">
    <w:abstractNumId w:val="37"/>
  </w:num>
  <w:num w:numId="40">
    <w:abstractNumId w:val="31"/>
  </w:num>
  <w:num w:numId="41">
    <w:abstractNumId w:val="25"/>
  </w:num>
  <w:num w:numId="42">
    <w:abstractNumId w:val="26"/>
  </w:num>
  <w:num w:numId="43">
    <w:abstractNumId w:val="29"/>
  </w:num>
  <w:num w:numId="44">
    <w:abstractNumId w:val="1"/>
  </w:num>
  <w:num w:numId="45">
    <w:abstractNumId w:val="26"/>
  </w:num>
  <w:num w:numId="46">
    <w:abstractNumId w:val="19"/>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41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True"/>
  </w:docVars>
  <w:rsids>
    <w:rsidRoot w:val="00981EE6"/>
    <w:rsid w:val="00000E3B"/>
    <w:rsid w:val="00000F89"/>
    <w:rsid w:val="0000168C"/>
    <w:rsid w:val="00001847"/>
    <w:rsid w:val="00001ECA"/>
    <w:rsid w:val="00001ED7"/>
    <w:rsid w:val="00001F20"/>
    <w:rsid w:val="00002B6E"/>
    <w:rsid w:val="000032D9"/>
    <w:rsid w:val="0000336A"/>
    <w:rsid w:val="00003654"/>
    <w:rsid w:val="0000396B"/>
    <w:rsid w:val="00003AB4"/>
    <w:rsid w:val="00003C84"/>
    <w:rsid w:val="00003D87"/>
    <w:rsid w:val="0000421E"/>
    <w:rsid w:val="000044D9"/>
    <w:rsid w:val="000048F1"/>
    <w:rsid w:val="00004D90"/>
    <w:rsid w:val="00004F72"/>
    <w:rsid w:val="000051F3"/>
    <w:rsid w:val="0000520C"/>
    <w:rsid w:val="00005608"/>
    <w:rsid w:val="000058E4"/>
    <w:rsid w:val="00005A9F"/>
    <w:rsid w:val="00005D3C"/>
    <w:rsid w:val="00006587"/>
    <w:rsid w:val="00006910"/>
    <w:rsid w:val="00006A6A"/>
    <w:rsid w:val="00006E4D"/>
    <w:rsid w:val="00007037"/>
    <w:rsid w:val="00007125"/>
    <w:rsid w:val="00007138"/>
    <w:rsid w:val="0000744F"/>
    <w:rsid w:val="00007475"/>
    <w:rsid w:val="0000776A"/>
    <w:rsid w:val="00007813"/>
    <w:rsid w:val="0000785F"/>
    <w:rsid w:val="00007DA9"/>
    <w:rsid w:val="0001006B"/>
    <w:rsid w:val="00010FD8"/>
    <w:rsid w:val="00011ADF"/>
    <w:rsid w:val="00011C71"/>
    <w:rsid w:val="000120AF"/>
    <w:rsid w:val="00012264"/>
    <w:rsid w:val="0001236D"/>
    <w:rsid w:val="00012704"/>
    <w:rsid w:val="00012A49"/>
    <w:rsid w:val="00012B6C"/>
    <w:rsid w:val="00012B77"/>
    <w:rsid w:val="00012D40"/>
    <w:rsid w:val="0001312B"/>
    <w:rsid w:val="000133E2"/>
    <w:rsid w:val="000144FD"/>
    <w:rsid w:val="0001469E"/>
    <w:rsid w:val="00014D9D"/>
    <w:rsid w:val="00014F14"/>
    <w:rsid w:val="00015306"/>
    <w:rsid w:val="000154D0"/>
    <w:rsid w:val="0001590F"/>
    <w:rsid w:val="00015E50"/>
    <w:rsid w:val="000164DE"/>
    <w:rsid w:val="00016578"/>
    <w:rsid w:val="0001662D"/>
    <w:rsid w:val="00016694"/>
    <w:rsid w:val="00016799"/>
    <w:rsid w:val="000168A0"/>
    <w:rsid w:val="00016B80"/>
    <w:rsid w:val="00017156"/>
    <w:rsid w:val="0001742B"/>
    <w:rsid w:val="00017A31"/>
    <w:rsid w:val="00017BF6"/>
    <w:rsid w:val="00017C34"/>
    <w:rsid w:val="00017F7B"/>
    <w:rsid w:val="00020529"/>
    <w:rsid w:val="000209D4"/>
    <w:rsid w:val="00020A12"/>
    <w:rsid w:val="00020BE0"/>
    <w:rsid w:val="00020C26"/>
    <w:rsid w:val="00020EF0"/>
    <w:rsid w:val="000215D4"/>
    <w:rsid w:val="00021D40"/>
    <w:rsid w:val="00021FD2"/>
    <w:rsid w:val="00022821"/>
    <w:rsid w:val="00022ABD"/>
    <w:rsid w:val="00022BBD"/>
    <w:rsid w:val="00022DE1"/>
    <w:rsid w:val="00023203"/>
    <w:rsid w:val="00023403"/>
    <w:rsid w:val="0002345B"/>
    <w:rsid w:val="000237FC"/>
    <w:rsid w:val="00025281"/>
    <w:rsid w:val="000258BF"/>
    <w:rsid w:val="000258CC"/>
    <w:rsid w:val="00025946"/>
    <w:rsid w:val="00025AF2"/>
    <w:rsid w:val="00026305"/>
    <w:rsid w:val="0002670C"/>
    <w:rsid w:val="000268F1"/>
    <w:rsid w:val="00026F4A"/>
    <w:rsid w:val="00027FED"/>
    <w:rsid w:val="0003024F"/>
    <w:rsid w:val="000304B6"/>
    <w:rsid w:val="00030895"/>
    <w:rsid w:val="00030A75"/>
    <w:rsid w:val="00030FEC"/>
    <w:rsid w:val="000312DD"/>
    <w:rsid w:val="000313E0"/>
    <w:rsid w:val="00031628"/>
    <w:rsid w:val="00031965"/>
    <w:rsid w:val="00031BB7"/>
    <w:rsid w:val="00031BF9"/>
    <w:rsid w:val="00032191"/>
    <w:rsid w:val="00032A80"/>
    <w:rsid w:val="000339CA"/>
    <w:rsid w:val="00033B05"/>
    <w:rsid w:val="00033D2A"/>
    <w:rsid w:val="00033DDD"/>
    <w:rsid w:val="0003423D"/>
    <w:rsid w:val="00034450"/>
    <w:rsid w:val="00034B13"/>
    <w:rsid w:val="00034D5E"/>
    <w:rsid w:val="000353BA"/>
    <w:rsid w:val="0003595A"/>
    <w:rsid w:val="00035C48"/>
    <w:rsid w:val="00035D8E"/>
    <w:rsid w:val="00035EA0"/>
    <w:rsid w:val="00035F8B"/>
    <w:rsid w:val="00035FCB"/>
    <w:rsid w:val="000360C1"/>
    <w:rsid w:val="000364AD"/>
    <w:rsid w:val="0003672D"/>
    <w:rsid w:val="00036879"/>
    <w:rsid w:val="00036EEC"/>
    <w:rsid w:val="000373FA"/>
    <w:rsid w:val="0003768F"/>
    <w:rsid w:val="0003784F"/>
    <w:rsid w:val="00037DDD"/>
    <w:rsid w:val="000401DE"/>
    <w:rsid w:val="000403CD"/>
    <w:rsid w:val="000405C7"/>
    <w:rsid w:val="0004081C"/>
    <w:rsid w:val="0004100A"/>
    <w:rsid w:val="000410EF"/>
    <w:rsid w:val="000419A9"/>
    <w:rsid w:val="00041AA5"/>
    <w:rsid w:val="000426EA"/>
    <w:rsid w:val="00042D41"/>
    <w:rsid w:val="00042E8C"/>
    <w:rsid w:val="000430A2"/>
    <w:rsid w:val="00043EBF"/>
    <w:rsid w:val="00044569"/>
    <w:rsid w:val="00044A73"/>
    <w:rsid w:val="0004510F"/>
    <w:rsid w:val="0004566C"/>
    <w:rsid w:val="000458F6"/>
    <w:rsid w:val="00045976"/>
    <w:rsid w:val="000459F5"/>
    <w:rsid w:val="00046D2C"/>
    <w:rsid w:val="00047449"/>
    <w:rsid w:val="00047F8E"/>
    <w:rsid w:val="0005012C"/>
    <w:rsid w:val="000501DE"/>
    <w:rsid w:val="0005100D"/>
    <w:rsid w:val="000510A0"/>
    <w:rsid w:val="00051203"/>
    <w:rsid w:val="000516B9"/>
    <w:rsid w:val="00051A70"/>
    <w:rsid w:val="00052210"/>
    <w:rsid w:val="000523D3"/>
    <w:rsid w:val="00052B5D"/>
    <w:rsid w:val="00052D8C"/>
    <w:rsid w:val="00052EAF"/>
    <w:rsid w:val="0005334E"/>
    <w:rsid w:val="000534CA"/>
    <w:rsid w:val="000537A7"/>
    <w:rsid w:val="000537E4"/>
    <w:rsid w:val="0005389A"/>
    <w:rsid w:val="00053DC6"/>
    <w:rsid w:val="00053E4E"/>
    <w:rsid w:val="000544A2"/>
    <w:rsid w:val="00054888"/>
    <w:rsid w:val="000549BC"/>
    <w:rsid w:val="00054D0B"/>
    <w:rsid w:val="00055305"/>
    <w:rsid w:val="00055377"/>
    <w:rsid w:val="000557B6"/>
    <w:rsid w:val="00055F8E"/>
    <w:rsid w:val="000561D9"/>
    <w:rsid w:val="0005639B"/>
    <w:rsid w:val="000566BD"/>
    <w:rsid w:val="000569C4"/>
    <w:rsid w:val="00056D2B"/>
    <w:rsid w:val="00056DD5"/>
    <w:rsid w:val="00056ECD"/>
    <w:rsid w:val="00056FA0"/>
    <w:rsid w:val="000570B8"/>
    <w:rsid w:val="00057219"/>
    <w:rsid w:val="00057619"/>
    <w:rsid w:val="00057FEB"/>
    <w:rsid w:val="000609E9"/>
    <w:rsid w:val="00061239"/>
    <w:rsid w:val="000617F6"/>
    <w:rsid w:val="000618C5"/>
    <w:rsid w:val="000619FA"/>
    <w:rsid w:val="00061E7E"/>
    <w:rsid w:val="00061F06"/>
    <w:rsid w:val="00062179"/>
    <w:rsid w:val="00062296"/>
    <w:rsid w:val="0006236F"/>
    <w:rsid w:val="0006295A"/>
    <w:rsid w:val="00062C40"/>
    <w:rsid w:val="00062DCE"/>
    <w:rsid w:val="00063A9F"/>
    <w:rsid w:val="00063FE2"/>
    <w:rsid w:val="00064071"/>
    <w:rsid w:val="00064179"/>
    <w:rsid w:val="00064748"/>
    <w:rsid w:val="00064AB4"/>
    <w:rsid w:val="00064B1F"/>
    <w:rsid w:val="000656FF"/>
    <w:rsid w:val="000657E9"/>
    <w:rsid w:val="00065811"/>
    <w:rsid w:val="00065CCB"/>
    <w:rsid w:val="00065D28"/>
    <w:rsid w:val="000660EC"/>
    <w:rsid w:val="000664B6"/>
    <w:rsid w:val="00066565"/>
    <w:rsid w:val="0006688D"/>
    <w:rsid w:val="00066B0A"/>
    <w:rsid w:val="00066F39"/>
    <w:rsid w:val="00067383"/>
    <w:rsid w:val="000679BF"/>
    <w:rsid w:val="00067CA6"/>
    <w:rsid w:val="000703C8"/>
    <w:rsid w:val="000707BB"/>
    <w:rsid w:val="00070B41"/>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53F5"/>
    <w:rsid w:val="00075889"/>
    <w:rsid w:val="000763A2"/>
    <w:rsid w:val="00076B12"/>
    <w:rsid w:val="00076B2B"/>
    <w:rsid w:val="00076EF4"/>
    <w:rsid w:val="000773F4"/>
    <w:rsid w:val="000779E7"/>
    <w:rsid w:val="0008026B"/>
    <w:rsid w:val="00080673"/>
    <w:rsid w:val="0008103D"/>
    <w:rsid w:val="00081333"/>
    <w:rsid w:val="0008183C"/>
    <w:rsid w:val="00081C5A"/>
    <w:rsid w:val="00082638"/>
    <w:rsid w:val="00082E6A"/>
    <w:rsid w:val="00083320"/>
    <w:rsid w:val="000839C7"/>
    <w:rsid w:val="00083DC9"/>
    <w:rsid w:val="00083EC2"/>
    <w:rsid w:val="00084887"/>
    <w:rsid w:val="00084AA3"/>
    <w:rsid w:val="00085741"/>
    <w:rsid w:val="00085D16"/>
    <w:rsid w:val="00085FEA"/>
    <w:rsid w:val="0008641A"/>
    <w:rsid w:val="000868D7"/>
    <w:rsid w:val="00086BDC"/>
    <w:rsid w:val="00086D25"/>
    <w:rsid w:val="00086D69"/>
    <w:rsid w:val="00087675"/>
    <w:rsid w:val="00090436"/>
    <w:rsid w:val="00090E63"/>
    <w:rsid w:val="0009108E"/>
    <w:rsid w:val="000911BE"/>
    <w:rsid w:val="000912DF"/>
    <w:rsid w:val="0009171F"/>
    <w:rsid w:val="000919AA"/>
    <w:rsid w:val="00091C2B"/>
    <w:rsid w:val="00091E39"/>
    <w:rsid w:val="00092818"/>
    <w:rsid w:val="00092E11"/>
    <w:rsid w:val="00092EFD"/>
    <w:rsid w:val="00093064"/>
    <w:rsid w:val="0009345A"/>
    <w:rsid w:val="000935EE"/>
    <w:rsid w:val="00093778"/>
    <w:rsid w:val="00093BC7"/>
    <w:rsid w:val="00094375"/>
    <w:rsid w:val="00094ABB"/>
    <w:rsid w:val="00095781"/>
    <w:rsid w:val="00095F2B"/>
    <w:rsid w:val="000962B5"/>
    <w:rsid w:val="0009635D"/>
    <w:rsid w:val="000967A8"/>
    <w:rsid w:val="00096846"/>
    <w:rsid w:val="00096D8E"/>
    <w:rsid w:val="0009720F"/>
    <w:rsid w:val="00097478"/>
    <w:rsid w:val="00097551"/>
    <w:rsid w:val="0009771A"/>
    <w:rsid w:val="00097B8F"/>
    <w:rsid w:val="000A00EB"/>
    <w:rsid w:val="000A0B46"/>
    <w:rsid w:val="000A0FFA"/>
    <w:rsid w:val="000A1249"/>
    <w:rsid w:val="000A1B48"/>
    <w:rsid w:val="000A1CA8"/>
    <w:rsid w:val="000A1E38"/>
    <w:rsid w:val="000A2E59"/>
    <w:rsid w:val="000A2F3B"/>
    <w:rsid w:val="000A3014"/>
    <w:rsid w:val="000A341E"/>
    <w:rsid w:val="000A351A"/>
    <w:rsid w:val="000A35C5"/>
    <w:rsid w:val="000A3E05"/>
    <w:rsid w:val="000A4079"/>
    <w:rsid w:val="000A475A"/>
    <w:rsid w:val="000A4C88"/>
    <w:rsid w:val="000A52FF"/>
    <w:rsid w:val="000A53A4"/>
    <w:rsid w:val="000A541C"/>
    <w:rsid w:val="000A5514"/>
    <w:rsid w:val="000A590A"/>
    <w:rsid w:val="000A59D0"/>
    <w:rsid w:val="000A5E00"/>
    <w:rsid w:val="000A5F56"/>
    <w:rsid w:val="000A620D"/>
    <w:rsid w:val="000A6C7C"/>
    <w:rsid w:val="000A6E3C"/>
    <w:rsid w:val="000A7696"/>
    <w:rsid w:val="000A77F9"/>
    <w:rsid w:val="000A79FB"/>
    <w:rsid w:val="000B00A1"/>
    <w:rsid w:val="000B12AF"/>
    <w:rsid w:val="000B1DBB"/>
    <w:rsid w:val="000B1DEF"/>
    <w:rsid w:val="000B1FEF"/>
    <w:rsid w:val="000B2079"/>
    <w:rsid w:val="000B2636"/>
    <w:rsid w:val="000B2788"/>
    <w:rsid w:val="000B286A"/>
    <w:rsid w:val="000B2CCF"/>
    <w:rsid w:val="000B3011"/>
    <w:rsid w:val="000B3C04"/>
    <w:rsid w:val="000B3ED5"/>
    <w:rsid w:val="000B413C"/>
    <w:rsid w:val="000B4418"/>
    <w:rsid w:val="000B5084"/>
    <w:rsid w:val="000B5C5B"/>
    <w:rsid w:val="000B5ED5"/>
    <w:rsid w:val="000B6229"/>
    <w:rsid w:val="000B62E0"/>
    <w:rsid w:val="000B679B"/>
    <w:rsid w:val="000B67AB"/>
    <w:rsid w:val="000B6D16"/>
    <w:rsid w:val="000B6E9D"/>
    <w:rsid w:val="000B74B0"/>
    <w:rsid w:val="000C05BC"/>
    <w:rsid w:val="000C0C48"/>
    <w:rsid w:val="000C13C7"/>
    <w:rsid w:val="000C153C"/>
    <w:rsid w:val="000C191E"/>
    <w:rsid w:val="000C1AF1"/>
    <w:rsid w:val="000C1EE1"/>
    <w:rsid w:val="000C212D"/>
    <w:rsid w:val="000C2181"/>
    <w:rsid w:val="000C218E"/>
    <w:rsid w:val="000C29AB"/>
    <w:rsid w:val="000C2E96"/>
    <w:rsid w:val="000C3083"/>
    <w:rsid w:val="000C3B3D"/>
    <w:rsid w:val="000C3CCF"/>
    <w:rsid w:val="000C3E1D"/>
    <w:rsid w:val="000C3F0A"/>
    <w:rsid w:val="000C4B88"/>
    <w:rsid w:val="000C4E37"/>
    <w:rsid w:val="000C4FF9"/>
    <w:rsid w:val="000C5211"/>
    <w:rsid w:val="000C54DC"/>
    <w:rsid w:val="000C596E"/>
    <w:rsid w:val="000C5A7B"/>
    <w:rsid w:val="000C5A98"/>
    <w:rsid w:val="000C61DD"/>
    <w:rsid w:val="000C6D74"/>
    <w:rsid w:val="000C740B"/>
    <w:rsid w:val="000C78F1"/>
    <w:rsid w:val="000C7B2E"/>
    <w:rsid w:val="000C7B94"/>
    <w:rsid w:val="000C7E81"/>
    <w:rsid w:val="000C7FCE"/>
    <w:rsid w:val="000D01E9"/>
    <w:rsid w:val="000D12E7"/>
    <w:rsid w:val="000D2038"/>
    <w:rsid w:val="000D21D4"/>
    <w:rsid w:val="000D27F6"/>
    <w:rsid w:val="000D2A4B"/>
    <w:rsid w:val="000D335F"/>
    <w:rsid w:val="000D3F3F"/>
    <w:rsid w:val="000D48F2"/>
    <w:rsid w:val="000D4A23"/>
    <w:rsid w:val="000D59D3"/>
    <w:rsid w:val="000D5CA0"/>
    <w:rsid w:val="000D5F9F"/>
    <w:rsid w:val="000D63AD"/>
    <w:rsid w:val="000D63DA"/>
    <w:rsid w:val="000D6430"/>
    <w:rsid w:val="000D66DB"/>
    <w:rsid w:val="000D6AA5"/>
    <w:rsid w:val="000D6D5A"/>
    <w:rsid w:val="000D6F29"/>
    <w:rsid w:val="000D73E5"/>
    <w:rsid w:val="000D7490"/>
    <w:rsid w:val="000D79EB"/>
    <w:rsid w:val="000D7D91"/>
    <w:rsid w:val="000E0420"/>
    <w:rsid w:val="000E06FF"/>
    <w:rsid w:val="000E08F9"/>
    <w:rsid w:val="000E1586"/>
    <w:rsid w:val="000E1758"/>
    <w:rsid w:val="000E1814"/>
    <w:rsid w:val="000E1BEF"/>
    <w:rsid w:val="000E1F95"/>
    <w:rsid w:val="000E20D7"/>
    <w:rsid w:val="000E23B5"/>
    <w:rsid w:val="000E24C2"/>
    <w:rsid w:val="000E3149"/>
    <w:rsid w:val="000E32E7"/>
    <w:rsid w:val="000E39CB"/>
    <w:rsid w:val="000E446B"/>
    <w:rsid w:val="000E4560"/>
    <w:rsid w:val="000E457E"/>
    <w:rsid w:val="000E4649"/>
    <w:rsid w:val="000E4655"/>
    <w:rsid w:val="000E4ECF"/>
    <w:rsid w:val="000E535E"/>
    <w:rsid w:val="000E5DD8"/>
    <w:rsid w:val="000E60BD"/>
    <w:rsid w:val="000E676F"/>
    <w:rsid w:val="000E6802"/>
    <w:rsid w:val="000E6E1A"/>
    <w:rsid w:val="000E6EE6"/>
    <w:rsid w:val="000E7334"/>
    <w:rsid w:val="000E7D54"/>
    <w:rsid w:val="000F024D"/>
    <w:rsid w:val="000F0522"/>
    <w:rsid w:val="000F18A2"/>
    <w:rsid w:val="000F1C6E"/>
    <w:rsid w:val="000F212F"/>
    <w:rsid w:val="000F2232"/>
    <w:rsid w:val="000F246A"/>
    <w:rsid w:val="000F2749"/>
    <w:rsid w:val="000F2994"/>
    <w:rsid w:val="000F303D"/>
    <w:rsid w:val="000F30C2"/>
    <w:rsid w:val="000F3549"/>
    <w:rsid w:val="000F369B"/>
    <w:rsid w:val="000F3A10"/>
    <w:rsid w:val="000F3B9E"/>
    <w:rsid w:val="000F40BE"/>
    <w:rsid w:val="000F431C"/>
    <w:rsid w:val="000F4480"/>
    <w:rsid w:val="000F4AC6"/>
    <w:rsid w:val="000F4C12"/>
    <w:rsid w:val="000F5299"/>
    <w:rsid w:val="000F53FC"/>
    <w:rsid w:val="000F5600"/>
    <w:rsid w:val="000F59C1"/>
    <w:rsid w:val="000F59DC"/>
    <w:rsid w:val="000F5C54"/>
    <w:rsid w:val="000F5DFE"/>
    <w:rsid w:val="000F608E"/>
    <w:rsid w:val="000F6FBC"/>
    <w:rsid w:val="000F7767"/>
    <w:rsid w:val="000F7B6B"/>
    <w:rsid w:val="001002BA"/>
    <w:rsid w:val="00100C13"/>
    <w:rsid w:val="00100C44"/>
    <w:rsid w:val="00100CC8"/>
    <w:rsid w:val="0010113D"/>
    <w:rsid w:val="00101870"/>
    <w:rsid w:val="00101A29"/>
    <w:rsid w:val="00101C87"/>
    <w:rsid w:val="00101DE7"/>
    <w:rsid w:val="00101FBE"/>
    <w:rsid w:val="001020BD"/>
    <w:rsid w:val="001022EC"/>
    <w:rsid w:val="001028D9"/>
    <w:rsid w:val="00102AC8"/>
    <w:rsid w:val="00102F40"/>
    <w:rsid w:val="0010366A"/>
    <w:rsid w:val="00103CE5"/>
    <w:rsid w:val="001040A3"/>
    <w:rsid w:val="001043FB"/>
    <w:rsid w:val="0010446B"/>
    <w:rsid w:val="0010447D"/>
    <w:rsid w:val="0010466C"/>
    <w:rsid w:val="0010476D"/>
    <w:rsid w:val="001047B5"/>
    <w:rsid w:val="00104C74"/>
    <w:rsid w:val="00104F45"/>
    <w:rsid w:val="00104FD0"/>
    <w:rsid w:val="00105022"/>
    <w:rsid w:val="00105300"/>
    <w:rsid w:val="00105306"/>
    <w:rsid w:val="00105513"/>
    <w:rsid w:val="001058A9"/>
    <w:rsid w:val="00106AD7"/>
    <w:rsid w:val="001070BC"/>
    <w:rsid w:val="00107297"/>
    <w:rsid w:val="00107593"/>
    <w:rsid w:val="00107901"/>
    <w:rsid w:val="00107C65"/>
    <w:rsid w:val="00110E11"/>
    <w:rsid w:val="00110E60"/>
    <w:rsid w:val="00110F33"/>
    <w:rsid w:val="00111018"/>
    <w:rsid w:val="0011147D"/>
    <w:rsid w:val="001116C7"/>
    <w:rsid w:val="00111721"/>
    <w:rsid w:val="00111C85"/>
    <w:rsid w:val="00111EBC"/>
    <w:rsid w:val="0011200D"/>
    <w:rsid w:val="001121DD"/>
    <w:rsid w:val="001121E2"/>
    <w:rsid w:val="00112274"/>
    <w:rsid w:val="00112576"/>
    <w:rsid w:val="0011267F"/>
    <w:rsid w:val="00112D4D"/>
    <w:rsid w:val="00112E5F"/>
    <w:rsid w:val="00113519"/>
    <w:rsid w:val="00113590"/>
    <w:rsid w:val="001138AE"/>
    <w:rsid w:val="00114BBB"/>
    <w:rsid w:val="00115129"/>
    <w:rsid w:val="0011517C"/>
    <w:rsid w:val="001156FC"/>
    <w:rsid w:val="001157E3"/>
    <w:rsid w:val="00115AD5"/>
    <w:rsid w:val="00115F68"/>
    <w:rsid w:val="00116561"/>
    <w:rsid w:val="00116D4D"/>
    <w:rsid w:val="00116F5A"/>
    <w:rsid w:val="00116F8E"/>
    <w:rsid w:val="00117382"/>
    <w:rsid w:val="00117D6D"/>
    <w:rsid w:val="00117EFB"/>
    <w:rsid w:val="00120E68"/>
    <w:rsid w:val="00121123"/>
    <w:rsid w:val="001216D7"/>
    <w:rsid w:val="00121AC6"/>
    <w:rsid w:val="00122236"/>
    <w:rsid w:val="0012267C"/>
    <w:rsid w:val="00122747"/>
    <w:rsid w:val="00122CE8"/>
    <w:rsid w:val="00122CFE"/>
    <w:rsid w:val="00122EFA"/>
    <w:rsid w:val="00123AF5"/>
    <w:rsid w:val="00123C56"/>
    <w:rsid w:val="00123F25"/>
    <w:rsid w:val="00124243"/>
    <w:rsid w:val="00124ED0"/>
    <w:rsid w:val="001255A6"/>
    <w:rsid w:val="0012560B"/>
    <w:rsid w:val="00125CC7"/>
    <w:rsid w:val="00125E26"/>
    <w:rsid w:val="001260CC"/>
    <w:rsid w:val="00126C9C"/>
    <w:rsid w:val="00126EEE"/>
    <w:rsid w:val="001270BC"/>
    <w:rsid w:val="0012767B"/>
    <w:rsid w:val="00130221"/>
    <w:rsid w:val="00131171"/>
    <w:rsid w:val="001311BF"/>
    <w:rsid w:val="00131818"/>
    <w:rsid w:val="00132233"/>
    <w:rsid w:val="0013229B"/>
    <w:rsid w:val="00132839"/>
    <w:rsid w:val="00132C59"/>
    <w:rsid w:val="001334AE"/>
    <w:rsid w:val="001338A1"/>
    <w:rsid w:val="00133985"/>
    <w:rsid w:val="001339AC"/>
    <w:rsid w:val="00133E4A"/>
    <w:rsid w:val="00133FE3"/>
    <w:rsid w:val="00134230"/>
    <w:rsid w:val="0013428E"/>
    <w:rsid w:val="0013465B"/>
    <w:rsid w:val="00134663"/>
    <w:rsid w:val="00134AEA"/>
    <w:rsid w:val="0013558E"/>
    <w:rsid w:val="001355E1"/>
    <w:rsid w:val="00135881"/>
    <w:rsid w:val="00135FBC"/>
    <w:rsid w:val="00136BFF"/>
    <w:rsid w:val="001370DE"/>
    <w:rsid w:val="001373BC"/>
    <w:rsid w:val="001376F7"/>
    <w:rsid w:val="00137B03"/>
    <w:rsid w:val="00137DB7"/>
    <w:rsid w:val="00137E4E"/>
    <w:rsid w:val="00137FBF"/>
    <w:rsid w:val="00140023"/>
    <w:rsid w:val="001409D0"/>
    <w:rsid w:val="00140C94"/>
    <w:rsid w:val="00141451"/>
    <w:rsid w:val="00141DEC"/>
    <w:rsid w:val="00142CB5"/>
    <w:rsid w:val="00142CCD"/>
    <w:rsid w:val="00142CE6"/>
    <w:rsid w:val="00143138"/>
    <w:rsid w:val="00143210"/>
    <w:rsid w:val="001436EB"/>
    <w:rsid w:val="001437D5"/>
    <w:rsid w:val="001440B4"/>
    <w:rsid w:val="00144455"/>
    <w:rsid w:val="00144866"/>
    <w:rsid w:val="0014491F"/>
    <w:rsid w:val="00145115"/>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2F4F"/>
    <w:rsid w:val="00153069"/>
    <w:rsid w:val="00153940"/>
    <w:rsid w:val="00154110"/>
    <w:rsid w:val="00154807"/>
    <w:rsid w:val="0015540F"/>
    <w:rsid w:val="001561EB"/>
    <w:rsid w:val="001571E2"/>
    <w:rsid w:val="00157541"/>
    <w:rsid w:val="001577EB"/>
    <w:rsid w:val="001578A8"/>
    <w:rsid w:val="00157F35"/>
    <w:rsid w:val="00160830"/>
    <w:rsid w:val="00160EFE"/>
    <w:rsid w:val="00161069"/>
    <w:rsid w:val="0016111C"/>
    <w:rsid w:val="00161A99"/>
    <w:rsid w:val="00161F84"/>
    <w:rsid w:val="00162046"/>
    <w:rsid w:val="00162649"/>
    <w:rsid w:val="0016298D"/>
    <w:rsid w:val="00162B76"/>
    <w:rsid w:val="0016342F"/>
    <w:rsid w:val="001635CD"/>
    <w:rsid w:val="0016399F"/>
    <w:rsid w:val="00163ABD"/>
    <w:rsid w:val="00163E47"/>
    <w:rsid w:val="001641BC"/>
    <w:rsid w:val="00164316"/>
    <w:rsid w:val="001647A1"/>
    <w:rsid w:val="001648FE"/>
    <w:rsid w:val="00164AE8"/>
    <w:rsid w:val="00164C98"/>
    <w:rsid w:val="001652F2"/>
    <w:rsid w:val="001654A9"/>
    <w:rsid w:val="00165860"/>
    <w:rsid w:val="00165CDE"/>
    <w:rsid w:val="00166576"/>
    <w:rsid w:val="001672F6"/>
    <w:rsid w:val="00167EA5"/>
    <w:rsid w:val="0017044D"/>
    <w:rsid w:val="00170868"/>
    <w:rsid w:val="0017192A"/>
    <w:rsid w:val="00171930"/>
    <w:rsid w:val="00171A03"/>
    <w:rsid w:val="001720C8"/>
    <w:rsid w:val="001724FC"/>
    <w:rsid w:val="00172A53"/>
    <w:rsid w:val="00172A57"/>
    <w:rsid w:val="001734AE"/>
    <w:rsid w:val="00173AFD"/>
    <w:rsid w:val="001740DF"/>
    <w:rsid w:val="00174351"/>
    <w:rsid w:val="00174563"/>
    <w:rsid w:val="00174D62"/>
    <w:rsid w:val="00175934"/>
    <w:rsid w:val="00175C6B"/>
    <w:rsid w:val="00176100"/>
    <w:rsid w:val="001763B9"/>
    <w:rsid w:val="00176700"/>
    <w:rsid w:val="001769D4"/>
    <w:rsid w:val="00176D3E"/>
    <w:rsid w:val="001771F7"/>
    <w:rsid w:val="00177899"/>
    <w:rsid w:val="00177A89"/>
    <w:rsid w:val="00180213"/>
    <w:rsid w:val="00180A6F"/>
    <w:rsid w:val="00180BC5"/>
    <w:rsid w:val="001814C4"/>
    <w:rsid w:val="0018175C"/>
    <w:rsid w:val="0018269D"/>
    <w:rsid w:val="00182BE5"/>
    <w:rsid w:val="00182FEC"/>
    <w:rsid w:val="00183791"/>
    <w:rsid w:val="001839A5"/>
    <w:rsid w:val="00183BE1"/>
    <w:rsid w:val="00184161"/>
    <w:rsid w:val="0018431A"/>
    <w:rsid w:val="001844AA"/>
    <w:rsid w:val="00184C5F"/>
    <w:rsid w:val="00184E3D"/>
    <w:rsid w:val="00184FBD"/>
    <w:rsid w:val="00184FF7"/>
    <w:rsid w:val="001850CB"/>
    <w:rsid w:val="001850FF"/>
    <w:rsid w:val="00185459"/>
    <w:rsid w:val="00185794"/>
    <w:rsid w:val="0018588F"/>
    <w:rsid w:val="00185DA7"/>
    <w:rsid w:val="00185FEA"/>
    <w:rsid w:val="00186A5A"/>
    <w:rsid w:val="001902A1"/>
    <w:rsid w:val="00190428"/>
    <w:rsid w:val="0019086F"/>
    <w:rsid w:val="001908CC"/>
    <w:rsid w:val="00190BEC"/>
    <w:rsid w:val="00190C8D"/>
    <w:rsid w:val="00190D6F"/>
    <w:rsid w:val="0019163C"/>
    <w:rsid w:val="00191D10"/>
    <w:rsid w:val="00191E76"/>
    <w:rsid w:val="001928FD"/>
    <w:rsid w:val="00192B96"/>
    <w:rsid w:val="00192EC8"/>
    <w:rsid w:val="00192F45"/>
    <w:rsid w:val="00193482"/>
    <w:rsid w:val="001937D4"/>
    <w:rsid w:val="001937F9"/>
    <w:rsid w:val="00193846"/>
    <w:rsid w:val="00193BA0"/>
    <w:rsid w:val="00194364"/>
    <w:rsid w:val="0019482D"/>
    <w:rsid w:val="00194A9B"/>
    <w:rsid w:val="00194B60"/>
    <w:rsid w:val="00194CDC"/>
    <w:rsid w:val="00195060"/>
    <w:rsid w:val="00195218"/>
    <w:rsid w:val="001954D2"/>
    <w:rsid w:val="0019582D"/>
    <w:rsid w:val="00195D78"/>
    <w:rsid w:val="001963AD"/>
    <w:rsid w:val="00196498"/>
    <w:rsid w:val="001966BE"/>
    <w:rsid w:val="00197163"/>
    <w:rsid w:val="001971D5"/>
    <w:rsid w:val="00197F16"/>
    <w:rsid w:val="001A08AA"/>
    <w:rsid w:val="001A0C7E"/>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01"/>
    <w:rsid w:val="001A4888"/>
    <w:rsid w:val="001A6537"/>
    <w:rsid w:val="001A6734"/>
    <w:rsid w:val="001A68C2"/>
    <w:rsid w:val="001A6DA3"/>
    <w:rsid w:val="001A71B5"/>
    <w:rsid w:val="001A7540"/>
    <w:rsid w:val="001A7754"/>
    <w:rsid w:val="001A7EE0"/>
    <w:rsid w:val="001B0055"/>
    <w:rsid w:val="001B0169"/>
    <w:rsid w:val="001B046D"/>
    <w:rsid w:val="001B08FF"/>
    <w:rsid w:val="001B0E64"/>
    <w:rsid w:val="001B0FCC"/>
    <w:rsid w:val="001B127E"/>
    <w:rsid w:val="001B13AC"/>
    <w:rsid w:val="001B175E"/>
    <w:rsid w:val="001B22DE"/>
    <w:rsid w:val="001B29DC"/>
    <w:rsid w:val="001B2C06"/>
    <w:rsid w:val="001B353B"/>
    <w:rsid w:val="001B372F"/>
    <w:rsid w:val="001B3FE1"/>
    <w:rsid w:val="001B4CAC"/>
    <w:rsid w:val="001B4E1C"/>
    <w:rsid w:val="001B4E89"/>
    <w:rsid w:val="001B4F4D"/>
    <w:rsid w:val="001B55F4"/>
    <w:rsid w:val="001B55FE"/>
    <w:rsid w:val="001B573B"/>
    <w:rsid w:val="001B5C13"/>
    <w:rsid w:val="001B5E8C"/>
    <w:rsid w:val="001B5F39"/>
    <w:rsid w:val="001B604C"/>
    <w:rsid w:val="001B61EC"/>
    <w:rsid w:val="001B6400"/>
    <w:rsid w:val="001B6598"/>
    <w:rsid w:val="001B6765"/>
    <w:rsid w:val="001B6DBD"/>
    <w:rsid w:val="001B70D9"/>
    <w:rsid w:val="001B7970"/>
    <w:rsid w:val="001B7B5E"/>
    <w:rsid w:val="001C0875"/>
    <w:rsid w:val="001C0A89"/>
    <w:rsid w:val="001C0C34"/>
    <w:rsid w:val="001C0EEA"/>
    <w:rsid w:val="001C13C2"/>
    <w:rsid w:val="001C16A0"/>
    <w:rsid w:val="001C1AF3"/>
    <w:rsid w:val="001C1B89"/>
    <w:rsid w:val="001C1DD8"/>
    <w:rsid w:val="001C2299"/>
    <w:rsid w:val="001C2A96"/>
    <w:rsid w:val="001C3896"/>
    <w:rsid w:val="001C3D6E"/>
    <w:rsid w:val="001C3E87"/>
    <w:rsid w:val="001C4277"/>
    <w:rsid w:val="001C43DD"/>
    <w:rsid w:val="001C4BB4"/>
    <w:rsid w:val="001C4CF6"/>
    <w:rsid w:val="001C4D67"/>
    <w:rsid w:val="001C4F40"/>
    <w:rsid w:val="001C520E"/>
    <w:rsid w:val="001C5CC5"/>
    <w:rsid w:val="001C64DA"/>
    <w:rsid w:val="001C6861"/>
    <w:rsid w:val="001C6DA8"/>
    <w:rsid w:val="001C7606"/>
    <w:rsid w:val="001C79F3"/>
    <w:rsid w:val="001D034C"/>
    <w:rsid w:val="001D0350"/>
    <w:rsid w:val="001D052C"/>
    <w:rsid w:val="001D06F2"/>
    <w:rsid w:val="001D0BC0"/>
    <w:rsid w:val="001D1223"/>
    <w:rsid w:val="001D122E"/>
    <w:rsid w:val="001D15C4"/>
    <w:rsid w:val="001D170A"/>
    <w:rsid w:val="001D1D4F"/>
    <w:rsid w:val="001D1DAA"/>
    <w:rsid w:val="001D1EC1"/>
    <w:rsid w:val="001D3124"/>
    <w:rsid w:val="001D318D"/>
    <w:rsid w:val="001D35AA"/>
    <w:rsid w:val="001D372E"/>
    <w:rsid w:val="001D3CC0"/>
    <w:rsid w:val="001D4CFA"/>
    <w:rsid w:val="001D4E61"/>
    <w:rsid w:val="001D4E67"/>
    <w:rsid w:val="001D505A"/>
    <w:rsid w:val="001D56BF"/>
    <w:rsid w:val="001D5775"/>
    <w:rsid w:val="001D5A2A"/>
    <w:rsid w:val="001D5ADC"/>
    <w:rsid w:val="001D5C7B"/>
    <w:rsid w:val="001D5EA6"/>
    <w:rsid w:val="001D6453"/>
    <w:rsid w:val="001D749E"/>
    <w:rsid w:val="001D7A21"/>
    <w:rsid w:val="001E01BD"/>
    <w:rsid w:val="001E02C4"/>
    <w:rsid w:val="001E02EC"/>
    <w:rsid w:val="001E06F7"/>
    <w:rsid w:val="001E098E"/>
    <w:rsid w:val="001E1202"/>
    <w:rsid w:val="001E12A8"/>
    <w:rsid w:val="001E16CF"/>
    <w:rsid w:val="001E1860"/>
    <w:rsid w:val="001E1A5B"/>
    <w:rsid w:val="001E1D32"/>
    <w:rsid w:val="001E21DB"/>
    <w:rsid w:val="001E234F"/>
    <w:rsid w:val="001E2971"/>
    <w:rsid w:val="001E2C8C"/>
    <w:rsid w:val="001E2DFD"/>
    <w:rsid w:val="001E31BA"/>
    <w:rsid w:val="001E3D6E"/>
    <w:rsid w:val="001E41D6"/>
    <w:rsid w:val="001E47F3"/>
    <w:rsid w:val="001E4D11"/>
    <w:rsid w:val="001E4EF3"/>
    <w:rsid w:val="001E5878"/>
    <w:rsid w:val="001E5BEB"/>
    <w:rsid w:val="001E6493"/>
    <w:rsid w:val="001E6967"/>
    <w:rsid w:val="001E6AD2"/>
    <w:rsid w:val="001E6E6B"/>
    <w:rsid w:val="001E723F"/>
    <w:rsid w:val="001E79AA"/>
    <w:rsid w:val="001E7E88"/>
    <w:rsid w:val="001E7ED7"/>
    <w:rsid w:val="001F0384"/>
    <w:rsid w:val="001F099D"/>
    <w:rsid w:val="001F0AF0"/>
    <w:rsid w:val="001F0B75"/>
    <w:rsid w:val="001F100E"/>
    <w:rsid w:val="001F1298"/>
    <w:rsid w:val="001F133A"/>
    <w:rsid w:val="001F1719"/>
    <w:rsid w:val="001F17AF"/>
    <w:rsid w:val="001F18CE"/>
    <w:rsid w:val="001F1C53"/>
    <w:rsid w:val="001F23AE"/>
    <w:rsid w:val="001F4E9F"/>
    <w:rsid w:val="001F5F51"/>
    <w:rsid w:val="001F64A6"/>
    <w:rsid w:val="001F6881"/>
    <w:rsid w:val="001F6A86"/>
    <w:rsid w:val="001F6B2C"/>
    <w:rsid w:val="001F6BC4"/>
    <w:rsid w:val="001F7193"/>
    <w:rsid w:val="001F72DE"/>
    <w:rsid w:val="001F783E"/>
    <w:rsid w:val="001F79AC"/>
    <w:rsid w:val="00201146"/>
    <w:rsid w:val="00201224"/>
    <w:rsid w:val="00201370"/>
    <w:rsid w:val="00201932"/>
    <w:rsid w:val="002019E6"/>
    <w:rsid w:val="00201BDE"/>
    <w:rsid w:val="00201C89"/>
    <w:rsid w:val="00201ED5"/>
    <w:rsid w:val="002020D5"/>
    <w:rsid w:val="0020347C"/>
    <w:rsid w:val="00203901"/>
    <w:rsid w:val="00203AF4"/>
    <w:rsid w:val="00203B13"/>
    <w:rsid w:val="0020425D"/>
    <w:rsid w:val="00204936"/>
    <w:rsid w:val="00204DD1"/>
    <w:rsid w:val="00205469"/>
    <w:rsid w:val="002057EB"/>
    <w:rsid w:val="00205831"/>
    <w:rsid w:val="002059DC"/>
    <w:rsid w:val="00206663"/>
    <w:rsid w:val="00206876"/>
    <w:rsid w:val="00206D9B"/>
    <w:rsid w:val="00207323"/>
    <w:rsid w:val="00207765"/>
    <w:rsid w:val="00207AE5"/>
    <w:rsid w:val="00207D99"/>
    <w:rsid w:val="00210019"/>
    <w:rsid w:val="00210627"/>
    <w:rsid w:val="00210C3C"/>
    <w:rsid w:val="0021121D"/>
    <w:rsid w:val="0021228C"/>
    <w:rsid w:val="0021244C"/>
    <w:rsid w:val="002124A9"/>
    <w:rsid w:val="002125DE"/>
    <w:rsid w:val="002128D6"/>
    <w:rsid w:val="00212ADD"/>
    <w:rsid w:val="00212CA9"/>
    <w:rsid w:val="00212F0F"/>
    <w:rsid w:val="002134BC"/>
    <w:rsid w:val="00213B70"/>
    <w:rsid w:val="00213C29"/>
    <w:rsid w:val="00213C62"/>
    <w:rsid w:val="00214453"/>
    <w:rsid w:val="0021508E"/>
    <w:rsid w:val="002155F4"/>
    <w:rsid w:val="0021603A"/>
    <w:rsid w:val="00216767"/>
    <w:rsid w:val="002169C5"/>
    <w:rsid w:val="00216C30"/>
    <w:rsid w:val="00217722"/>
    <w:rsid w:val="002179EA"/>
    <w:rsid w:val="00217B46"/>
    <w:rsid w:val="00220229"/>
    <w:rsid w:val="00220237"/>
    <w:rsid w:val="002203F0"/>
    <w:rsid w:val="00220690"/>
    <w:rsid w:val="0022086A"/>
    <w:rsid w:val="0022108D"/>
    <w:rsid w:val="00221519"/>
    <w:rsid w:val="0022163F"/>
    <w:rsid w:val="00221CCD"/>
    <w:rsid w:val="00221DD8"/>
    <w:rsid w:val="00222746"/>
    <w:rsid w:val="0022289A"/>
    <w:rsid w:val="00223045"/>
    <w:rsid w:val="002234D3"/>
    <w:rsid w:val="002237FE"/>
    <w:rsid w:val="002238A2"/>
    <w:rsid w:val="0022412C"/>
    <w:rsid w:val="002241D9"/>
    <w:rsid w:val="00224407"/>
    <w:rsid w:val="0022440C"/>
    <w:rsid w:val="00224D22"/>
    <w:rsid w:val="00225149"/>
    <w:rsid w:val="002256E7"/>
    <w:rsid w:val="002259EA"/>
    <w:rsid w:val="00226397"/>
    <w:rsid w:val="002267E4"/>
    <w:rsid w:val="00226CB5"/>
    <w:rsid w:val="00226EBA"/>
    <w:rsid w:val="002271E7"/>
    <w:rsid w:val="00227ABC"/>
    <w:rsid w:val="0023006E"/>
    <w:rsid w:val="002308F0"/>
    <w:rsid w:val="00230ED9"/>
    <w:rsid w:val="00231228"/>
    <w:rsid w:val="0023150F"/>
    <w:rsid w:val="00231C43"/>
    <w:rsid w:val="00231CAF"/>
    <w:rsid w:val="00231DAB"/>
    <w:rsid w:val="002320EF"/>
    <w:rsid w:val="00232184"/>
    <w:rsid w:val="00232A93"/>
    <w:rsid w:val="00232B03"/>
    <w:rsid w:val="00233109"/>
    <w:rsid w:val="00233267"/>
    <w:rsid w:val="0023378D"/>
    <w:rsid w:val="002344D1"/>
    <w:rsid w:val="00234998"/>
    <w:rsid w:val="00234D4B"/>
    <w:rsid w:val="0023557E"/>
    <w:rsid w:val="00235759"/>
    <w:rsid w:val="00235DC0"/>
    <w:rsid w:val="002366BD"/>
    <w:rsid w:val="00236852"/>
    <w:rsid w:val="002369A3"/>
    <w:rsid w:val="00236B0C"/>
    <w:rsid w:val="00237635"/>
    <w:rsid w:val="00237A1E"/>
    <w:rsid w:val="00237B5E"/>
    <w:rsid w:val="00237BA9"/>
    <w:rsid w:val="00240155"/>
    <w:rsid w:val="00240A1D"/>
    <w:rsid w:val="00241B19"/>
    <w:rsid w:val="00241BB5"/>
    <w:rsid w:val="00242470"/>
    <w:rsid w:val="002425BE"/>
    <w:rsid w:val="002426CB"/>
    <w:rsid w:val="0024287D"/>
    <w:rsid w:val="00242CEE"/>
    <w:rsid w:val="00243506"/>
    <w:rsid w:val="00243964"/>
    <w:rsid w:val="00243B7C"/>
    <w:rsid w:val="00243C9D"/>
    <w:rsid w:val="002446F9"/>
    <w:rsid w:val="00244FF9"/>
    <w:rsid w:val="00245046"/>
    <w:rsid w:val="002451FA"/>
    <w:rsid w:val="00245211"/>
    <w:rsid w:val="00245339"/>
    <w:rsid w:val="00245C33"/>
    <w:rsid w:val="002460DD"/>
    <w:rsid w:val="002462F1"/>
    <w:rsid w:val="00246F35"/>
    <w:rsid w:val="002471EC"/>
    <w:rsid w:val="002478FF"/>
    <w:rsid w:val="002501F1"/>
    <w:rsid w:val="002502F9"/>
    <w:rsid w:val="00250634"/>
    <w:rsid w:val="0025082F"/>
    <w:rsid w:val="00250ADF"/>
    <w:rsid w:val="0025101E"/>
    <w:rsid w:val="002516B1"/>
    <w:rsid w:val="00251CAC"/>
    <w:rsid w:val="00252704"/>
    <w:rsid w:val="00252A89"/>
    <w:rsid w:val="00252DCD"/>
    <w:rsid w:val="00252E8E"/>
    <w:rsid w:val="00253393"/>
    <w:rsid w:val="00253655"/>
    <w:rsid w:val="00253994"/>
    <w:rsid w:val="00253E0D"/>
    <w:rsid w:val="00253F78"/>
    <w:rsid w:val="00254068"/>
    <w:rsid w:val="00254337"/>
    <w:rsid w:val="002543DA"/>
    <w:rsid w:val="0025454A"/>
    <w:rsid w:val="002546A6"/>
    <w:rsid w:val="0025492C"/>
    <w:rsid w:val="00254ADC"/>
    <w:rsid w:val="00254CFE"/>
    <w:rsid w:val="00254E89"/>
    <w:rsid w:val="002550A9"/>
    <w:rsid w:val="002556B2"/>
    <w:rsid w:val="00255A0A"/>
    <w:rsid w:val="00256279"/>
    <w:rsid w:val="00256573"/>
    <w:rsid w:val="002565B6"/>
    <w:rsid w:val="00256983"/>
    <w:rsid w:val="002571F3"/>
    <w:rsid w:val="00257257"/>
    <w:rsid w:val="0025799B"/>
    <w:rsid w:val="00257A2D"/>
    <w:rsid w:val="00257B0C"/>
    <w:rsid w:val="00257C51"/>
    <w:rsid w:val="00257E74"/>
    <w:rsid w:val="002602DC"/>
    <w:rsid w:val="00260371"/>
    <w:rsid w:val="00260428"/>
    <w:rsid w:val="002608C9"/>
    <w:rsid w:val="00260AFE"/>
    <w:rsid w:val="00260C01"/>
    <w:rsid w:val="00261200"/>
    <w:rsid w:val="00261478"/>
    <w:rsid w:val="0026167C"/>
    <w:rsid w:val="00261CC1"/>
    <w:rsid w:val="0026247A"/>
    <w:rsid w:val="002627BC"/>
    <w:rsid w:val="00263767"/>
    <w:rsid w:val="00263B3E"/>
    <w:rsid w:val="00263DF0"/>
    <w:rsid w:val="002643BE"/>
    <w:rsid w:val="00264992"/>
    <w:rsid w:val="00264BF5"/>
    <w:rsid w:val="00264F69"/>
    <w:rsid w:val="00265379"/>
    <w:rsid w:val="00265494"/>
    <w:rsid w:val="00265C5F"/>
    <w:rsid w:val="0026606D"/>
    <w:rsid w:val="002660ED"/>
    <w:rsid w:val="0026620E"/>
    <w:rsid w:val="0026661D"/>
    <w:rsid w:val="002670A4"/>
    <w:rsid w:val="00267168"/>
    <w:rsid w:val="0027087A"/>
    <w:rsid w:val="00270F5E"/>
    <w:rsid w:val="00271494"/>
    <w:rsid w:val="002714BA"/>
    <w:rsid w:val="0027160A"/>
    <w:rsid w:val="00271C65"/>
    <w:rsid w:val="00272246"/>
    <w:rsid w:val="00272443"/>
    <w:rsid w:val="002726FA"/>
    <w:rsid w:val="002728E7"/>
    <w:rsid w:val="00272A1D"/>
    <w:rsid w:val="00272A51"/>
    <w:rsid w:val="00272F28"/>
    <w:rsid w:val="0027352A"/>
    <w:rsid w:val="002739C4"/>
    <w:rsid w:val="00273A21"/>
    <w:rsid w:val="002741C2"/>
    <w:rsid w:val="0027461D"/>
    <w:rsid w:val="0027465D"/>
    <w:rsid w:val="00274997"/>
    <w:rsid w:val="002749BA"/>
    <w:rsid w:val="00274A9B"/>
    <w:rsid w:val="00274B47"/>
    <w:rsid w:val="00274BA3"/>
    <w:rsid w:val="00274FDD"/>
    <w:rsid w:val="002750F9"/>
    <w:rsid w:val="00275740"/>
    <w:rsid w:val="002766C1"/>
    <w:rsid w:val="002766ED"/>
    <w:rsid w:val="00276BD4"/>
    <w:rsid w:val="00276D87"/>
    <w:rsid w:val="002775DA"/>
    <w:rsid w:val="002779E9"/>
    <w:rsid w:val="00277B03"/>
    <w:rsid w:val="00280408"/>
    <w:rsid w:val="002807E3"/>
    <w:rsid w:val="00280EEC"/>
    <w:rsid w:val="0028117F"/>
    <w:rsid w:val="00281343"/>
    <w:rsid w:val="00281466"/>
    <w:rsid w:val="00281543"/>
    <w:rsid w:val="00281BDD"/>
    <w:rsid w:val="00281D69"/>
    <w:rsid w:val="0028263C"/>
    <w:rsid w:val="002827A1"/>
    <w:rsid w:val="00282DF2"/>
    <w:rsid w:val="00282F6A"/>
    <w:rsid w:val="002831FB"/>
    <w:rsid w:val="00283701"/>
    <w:rsid w:val="00283C45"/>
    <w:rsid w:val="00284330"/>
    <w:rsid w:val="00284338"/>
    <w:rsid w:val="00284409"/>
    <w:rsid w:val="00284707"/>
    <w:rsid w:val="00284812"/>
    <w:rsid w:val="00284FA5"/>
    <w:rsid w:val="002851E5"/>
    <w:rsid w:val="00285FDE"/>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2048"/>
    <w:rsid w:val="0029222B"/>
    <w:rsid w:val="002925CA"/>
    <w:rsid w:val="0029279F"/>
    <w:rsid w:val="00293562"/>
    <w:rsid w:val="002936DE"/>
    <w:rsid w:val="002940D6"/>
    <w:rsid w:val="00294109"/>
    <w:rsid w:val="00294889"/>
    <w:rsid w:val="00294BBD"/>
    <w:rsid w:val="00295181"/>
    <w:rsid w:val="0029529A"/>
    <w:rsid w:val="00295641"/>
    <w:rsid w:val="00295A99"/>
    <w:rsid w:val="002964B0"/>
    <w:rsid w:val="002965DF"/>
    <w:rsid w:val="00296DCF"/>
    <w:rsid w:val="002975BA"/>
    <w:rsid w:val="002978F0"/>
    <w:rsid w:val="00297A54"/>
    <w:rsid w:val="00297ED0"/>
    <w:rsid w:val="002A01CB"/>
    <w:rsid w:val="002A04A4"/>
    <w:rsid w:val="002A07FB"/>
    <w:rsid w:val="002A158B"/>
    <w:rsid w:val="002A1687"/>
    <w:rsid w:val="002A18E4"/>
    <w:rsid w:val="002A1C98"/>
    <w:rsid w:val="002A2054"/>
    <w:rsid w:val="002A264C"/>
    <w:rsid w:val="002A2950"/>
    <w:rsid w:val="002A30C2"/>
    <w:rsid w:val="002A3175"/>
    <w:rsid w:val="002A3483"/>
    <w:rsid w:val="002A3532"/>
    <w:rsid w:val="002A3AF2"/>
    <w:rsid w:val="002A45F6"/>
    <w:rsid w:val="002A4E24"/>
    <w:rsid w:val="002A5297"/>
    <w:rsid w:val="002A5A73"/>
    <w:rsid w:val="002A629C"/>
    <w:rsid w:val="002A649C"/>
    <w:rsid w:val="002A6AAC"/>
    <w:rsid w:val="002A6B09"/>
    <w:rsid w:val="002A6DC4"/>
    <w:rsid w:val="002A6EC6"/>
    <w:rsid w:val="002A7173"/>
    <w:rsid w:val="002A71FE"/>
    <w:rsid w:val="002A7345"/>
    <w:rsid w:val="002A7BE7"/>
    <w:rsid w:val="002B0236"/>
    <w:rsid w:val="002B0374"/>
    <w:rsid w:val="002B06F6"/>
    <w:rsid w:val="002B0946"/>
    <w:rsid w:val="002B0D0E"/>
    <w:rsid w:val="002B0D75"/>
    <w:rsid w:val="002B0E50"/>
    <w:rsid w:val="002B12C4"/>
    <w:rsid w:val="002B12F4"/>
    <w:rsid w:val="002B1FBB"/>
    <w:rsid w:val="002B21B1"/>
    <w:rsid w:val="002B22C7"/>
    <w:rsid w:val="002B2422"/>
    <w:rsid w:val="002B24D2"/>
    <w:rsid w:val="002B270C"/>
    <w:rsid w:val="002B28E2"/>
    <w:rsid w:val="002B2951"/>
    <w:rsid w:val="002B2A67"/>
    <w:rsid w:val="002B2CC6"/>
    <w:rsid w:val="002B2D9B"/>
    <w:rsid w:val="002B2E82"/>
    <w:rsid w:val="002B3249"/>
    <w:rsid w:val="002B336A"/>
    <w:rsid w:val="002B3882"/>
    <w:rsid w:val="002B4975"/>
    <w:rsid w:val="002B50D3"/>
    <w:rsid w:val="002B5111"/>
    <w:rsid w:val="002B512A"/>
    <w:rsid w:val="002B521A"/>
    <w:rsid w:val="002B56D5"/>
    <w:rsid w:val="002B57CC"/>
    <w:rsid w:val="002B5AAE"/>
    <w:rsid w:val="002B6C55"/>
    <w:rsid w:val="002B6E1B"/>
    <w:rsid w:val="002B79DF"/>
    <w:rsid w:val="002C001B"/>
    <w:rsid w:val="002C065E"/>
    <w:rsid w:val="002C0705"/>
    <w:rsid w:val="002C0B45"/>
    <w:rsid w:val="002C1B0D"/>
    <w:rsid w:val="002C207D"/>
    <w:rsid w:val="002C2335"/>
    <w:rsid w:val="002C24C8"/>
    <w:rsid w:val="002C3123"/>
    <w:rsid w:val="002C3A5A"/>
    <w:rsid w:val="002C4092"/>
    <w:rsid w:val="002C4620"/>
    <w:rsid w:val="002C4771"/>
    <w:rsid w:val="002C4E32"/>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29C"/>
    <w:rsid w:val="002D164F"/>
    <w:rsid w:val="002D2788"/>
    <w:rsid w:val="002D283B"/>
    <w:rsid w:val="002D2A0A"/>
    <w:rsid w:val="002D3066"/>
    <w:rsid w:val="002D3BED"/>
    <w:rsid w:val="002D3D0F"/>
    <w:rsid w:val="002D4433"/>
    <w:rsid w:val="002D4627"/>
    <w:rsid w:val="002D4E04"/>
    <w:rsid w:val="002D4F40"/>
    <w:rsid w:val="002D5269"/>
    <w:rsid w:val="002D54A5"/>
    <w:rsid w:val="002D5EBC"/>
    <w:rsid w:val="002D5ED8"/>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DE1"/>
    <w:rsid w:val="002E2E14"/>
    <w:rsid w:val="002E315F"/>
    <w:rsid w:val="002E31A0"/>
    <w:rsid w:val="002E39F6"/>
    <w:rsid w:val="002E4119"/>
    <w:rsid w:val="002E446C"/>
    <w:rsid w:val="002E465C"/>
    <w:rsid w:val="002E4735"/>
    <w:rsid w:val="002E4D36"/>
    <w:rsid w:val="002E4D3D"/>
    <w:rsid w:val="002E4E77"/>
    <w:rsid w:val="002E5132"/>
    <w:rsid w:val="002E5742"/>
    <w:rsid w:val="002E5A20"/>
    <w:rsid w:val="002E5AC5"/>
    <w:rsid w:val="002E668A"/>
    <w:rsid w:val="002E6D48"/>
    <w:rsid w:val="002E6E9B"/>
    <w:rsid w:val="002E6FB8"/>
    <w:rsid w:val="002E73FB"/>
    <w:rsid w:val="002E757D"/>
    <w:rsid w:val="002E77F4"/>
    <w:rsid w:val="002E7D04"/>
    <w:rsid w:val="002E7D46"/>
    <w:rsid w:val="002F004C"/>
    <w:rsid w:val="002F054D"/>
    <w:rsid w:val="002F0A49"/>
    <w:rsid w:val="002F0AC7"/>
    <w:rsid w:val="002F0F83"/>
    <w:rsid w:val="002F1275"/>
    <w:rsid w:val="002F1396"/>
    <w:rsid w:val="002F1742"/>
    <w:rsid w:val="002F1D6E"/>
    <w:rsid w:val="002F20E1"/>
    <w:rsid w:val="002F262A"/>
    <w:rsid w:val="002F271E"/>
    <w:rsid w:val="002F27FE"/>
    <w:rsid w:val="002F2837"/>
    <w:rsid w:val="002F28A7"/>
    <w:rsid w:val="002F291C"/>
    <w:rsid w:val="002F33D8"/>
    <w:rsid w:val="002F3952"/>
    <w:rsid w:val="002F4544"/>
    <w:rsid w:val="002F495F"/>
    <w:rsid w:val="002F49DE"/>
    <w:rsid w:val="002F5249"/>
    <w:rsid w:val="002F5A20"/>
    <w:rsid w:val="002F629B"/>
    <w:rsid w:val="002F6550"/>
    <w:rsid w:val="002F65C6"/>
    <w:rsid w:val="002F6658"/>
    <w:rsid w:val="002F66E9"/>
    <w:rsid w:val="002F67DC"/>
    <w:rsid w:val="002F6AD9"/>
    <w:rsid w:val="002F6C56"/>
    <w:rsid w:val="002F70A3"/>
    <w:rsid w:val="002F75B4"/>
    <w:rsid w:val="002F77A3"/>
    <w:rsid w:val="002F7DE5"/>
    <w:rsid w:val="002F7F30"/>
    <w:rsid w:val="002F7F34"/>
    <w:rsid w:val="002F7F4A"/>
    <w:rsid w:val="003001E5"/>
    <w:rsid w:val="00300EA9"/>
    <w:rsid w:val="00301020"/>
    <w:rsid w:val="00301274"/>
    <w:rsid w:val="00301560"/>
    <w:rsid w:val="00301670"/>
    <w:rsid w:val="00301EE2"/>
    <w:rsid w:val="003022B5"/>
    <w:rsid w:val="00302435"/>
    <w:rsid w:val="00302446"/>
    <w:rsid w:val="0030247D"/>
    <w:rsid w:val="00302831"/>
    <w:rsid w:val="0030297A"/>
    <w:rsid w:val="0030305C"/>
    <w:rsid w:val="00303B2D"/>
    <w:rsid w:val="00304B0A"/>
    <w:rsid w:val="00305E5E"/>
    <w:rsid w:val="0030604E"/>
    <w:rsid w:val="00306292"/>
    <w:rsid w:val="00306357"/>
    <w:rsid w:val="003069D5"/>
    <w:rsid w:val="00306D87"/>
    <w:rsid w:val="003075E9"/>
    <w:rsid w:val="00307D9B"/>
    <w:rsid w:val="003103E6"/>
    <w:rsid w:val="003107CF"/>
    <w:rsid w:val="003108EE"/>
    <w:rsid w:val="0031113A"/>
    <w:rsid w:val="00311556"/>
    <w:rsid w:val="0031167F"/>
    <w:rsid w:val="00311880"/>
    <w:rsid w:val="00311A8F"/>
    <w:rsid w:val="00311D5B"/>
    <w:rsid w:val="00311F6A"/>
    <w:rsid w:val="003121F6"/>
    <w:rsid w:val="00312203"/>
    <w:rsid w:val="0031229F"/>
    <w:rsid w:val="00312873"/>
    <w:rsid w:val="00312925"/>
    <w:rsid w:val="003129C1"/>
    <w:rsid w:val="00312DF6"/>
    <w:rsid w:val="00313172"/>
    <w:rsid w:val="0031339E"/>
    <w:rsid w:val="003133B8"/>
    <w:rsid w:val="00314453"/>
    <w:rsid w:val="003144ED"/>
    <w:rsid w:val="00314A22"/>
    <w:rsid w:val="00314C61"/>
    <w:rsid w:val="003150C0"/>
    <w:rsid w:val="0031510F"/>
    <w:rsid w:val="00315490"/>
    <w:rsid w:val="003156B1"/>
    <w:rsid w:val="00315B07"/>
    <w:rsid w:val="00315D18"/>
    <w:rsid w:val="00315D88"/>
    <w:rsid w:val="00315E81"/>
    <w:rsid w:val="00316A38"/>
    <w:rsid w:val="00316BCA"/>
    <w:rsid w:val="00316CFC"/>
    <w:rsid w:val="00316EEF"/>
    <w:rsid w:val="00316FB5"/>
    <w:rsid w:val="00317596"/>
    <w:rsid w:val="003175C3"/>
    <w:rsid w:val="0031793F"/>
    <w:rsid w:val="0031794F"/>
    <w:rsid w:val="00317D8F"/>
    <w:rsid w:val="003208D8"/>
    <w:rsid w:val="00320A94"/>
    <w:rsid w:val="00320C0F"/>
    <w:rsid w:val="00320E09"/>
    <w:rsid w:val="0032157D"/>
    <w:rsid w:val="003219D3"/>
    <w:rsid w:val="00321A1C"/>
    <w:rsid w:val="00321B44"/>
    <w:rsid w:val="00321DD4"/>
    <w:rsid w:val="00322523"/>
    <w:rsid w:val="0032271A"/>
    <w:rsid w:val="00322BB5"/>
    <w:rsid w:val="00323898"/>
    <w:rsid w:val="0032410C"/>
    <w:rsid w:val="00324679"/>
    <w:rsid w:val="00324795"/>
    <w:rsid w:val="00324923"/>
    <w:rsid w:val="00324B7A"/>
    <w:rsid w:val="003252CD"/>
    <w:rsid w:val="00325B0C"/>
    <w:rsid w:val="003265A8"/>
    <w:rsid w:val="00326804"/>
    <w:rsid w:val="00327789"/>
    <w:rsid w:val="003304CE"/>
    <w:rsid w:val="00330763"/>
    <w:rsid w:val="00330A71"/>
    <w:rsid w:val="00330BA2"/>
    <w:rsid w:val="00330D37"/>
    <w:rsid w:val="00330F6D"/>
    <w:rsid w:val="00331197"/>
    <w:rsid w:val="003312EF"/>
    <w:rsid w:val="0033148A"/>
    <w:rsid w:val="0033153C"/>
    <w:rsid w:val="003319C1"/>
    <w:rsid w:val="00331A1C"/>
    <w:rsid w:val="0033205D"/>
    <w:rsid w:val="00332066"/>
    <w:rsid w:val="0033223F"/>
    <w:rsid w:val="003326A1"/>
    <w:rsid w:val="00332921"/>
    <w:rsid w:val="00333097"/>
    <w:rsid w:val="003335F0"/>
    <w:rsid w:val="00333926"/>
    <w:rsid w:val="00333DE4"/>
    <w:rsid w:val="00334401"/>
    <w:rsid w:val="003344B0"/>
    <w:rsid w:val="00335539"/>
    <w:rsid w:val="0033556D"/>
    <w:rsid w:val="003365F8"/>
    <w:rsid w:val="00336AF3"/>
    <w:rsid w:val="00336E1C"/>
    <w:rsid w:val="00336F88"/>
    <w:rsid w:val="003378E6"/>
    <w:rsid w:val="00337CCA"/>
    <w:rsid w:val="00337E31"/>
    <w:rsid w:val="00340150"/>
    <w:rsid w:val="0034065A"/>
    <w:rsid w:val="00340B9C"/>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EF7"/>
    <w:rsid w:val="003468EB"/>
    <w:rsid w:val="003469B5"/>
    <w:rsid w:val="00346B70"/>
    <w:rsid w:val="00347078"/>
    <w:rsid w:val="00347157"/>
    <w:rsid w:val="003472B7"/>
    <w:rsid w:val="00347564"/>
    <w:rsid w:val="003477B2"/>
    <w:rsid w:val="003477EB"/>
    <w:rsid w:val="0035048A"/>
    <w:rsid w:val="00350802"/>
    <w:rsid w:val="00350955"/>
    <w:rsid w:val="0035112A"/>
    <w:rsid w:val="00351458"/>
    <w:rsid w:val="00351AEA"/>
    <w:rsid w:val="00351BDA"/>
    <w:rsid w:val="00351DC8"/>
    <w:rsid w:val="00352063"/>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5740"/>
    <w:rsid w:val="00355CC0"/>
    <w:rsid w:val="00355DA5"/>
    <w:rsid w:val="003563C2"/>
    <w:rsid w:val="003565DD"/>
    <w:rsid w:val="00356850"/>
    <w:rsid w:val="00356CFF"/>
    <w:rsid w:val="003573C9"/>
    <w:rsid w:val="00357630"/>
    <w:rsid w:val="00357D5B"/>
    <w:rsid w:val="00360468"/>
    <w:rsid w:val="003604B1"/>
    <w:rsid w:val="00360B06"/>
    <w:rsid w:val="003611E0"/>
    <w:rsid w:val="003614B0"/>
    <w:rsid w:val="0036153C"/>
    <w:rsid w:val="0036156F"/>
    <w:rsid w:val="003628AD"/>
    <w:rsid w:val="00362988"/>
    <w:rsid w:val="003629D7"/>
    <w:rsid w:val="00362B16"/>
    <w:rsid w:val="00362D9D"/>
    <w:rsid w:val="00362F86"/>
    <w:rsid w:val="0036388B"/>
    <w:rsid w:val="00363A4F"/>
    <w:rsid w:val="00364425"/>
    <w:rsid w:val="00364472"/>
    <w:rsid w:val="0036504F"/>
    <w:rsid w:val="0036522A"/>
    <w:rsid w:val="0036528D"/>
    <w:rsid w:val="00365836"/>
    <w:rsid w:val="00365A93"/>
    <w:rsid w:val="00365C11"/>
    <w:rsid w:val="0036635A"/>
    <w:rsid w:val="00366661"/>
    <w:rsid w:val="00366A80"/>
    <w:rsid w:val="00366C32"/>
    <w:rsid w:val="00366C38"/>
    <w:rsid w:val="00366E01"/>
    <w:rsid w:val="00367493"/>
    <w:rsid w:val="00367621"/>
    <w:rsid w:val="00367A7C"/>
    <w:rsid w:val="00367E97"/>
    <w:rsid w:val="00370116"/>
    <w:rsid w:val="003707EF"/>
    <w:rsid w:val="00370BBB"/>
    <w:rsid w:val="00370C02"/>
    <w:rsid w:val="00370C21"/>
    <w:rsid w:val="00371038"/>
    <w:rsid w:val="003714BF"/>
    <w:rsid w:val="00371518"/>
    <w:rsid w:val="00371549"/>
    <w:rsid w:val="0037162D"/>
    <w:rsid w:val="00371770"/>
    <w:rsid w:val="00371B7F"/>
    <w:rsid w:val="00371EB5"/>
    <w:rsid w:val="00372189"/>
    <w:rsid w:val="003722A0"/>
    <w:rsid w:val="00372BFA"/>
    <w:rsid w:val="00372D4A"/>
    <w:rsid w:val="00372DB4"/>
    <w:rsid w:val="00372F8E"/>
    <w:rsid w:val="00373087"/>
    <w:rsid w:val="0037375A"/>
    <w:rsid w:val="003738C8"/>
    <w:rsid w:val="00373DCE"/>
    <w:rsid w:val="00374548"/>
    <w:rsid w:val="00374903"/>
    <w:rsid w:val="00374EE0"/>
    <w:rsid w:val="00375108"/>
    <w:rsid w:val="00375201"/>
    <w:rsid w:val="00375D85"/>
    <w:rsid w:val="00375E2A"/>
    <w:rsid w:val="0037665A"/>
    <w:rsid w:val="00376665"/>
    <w:rsid w:val="0037669C"/>
    <w:rsid w:val="0037700A"/>
    <w:rsid w:val="00377BB7"/>
    <w:rsid w:val="00377F0B"/>
    <w:rsid w:val="00377F1E"/>
    <w:rsid w:val="003803A1"/>
    <w:rsid w:val="003806BA"/>
    <w:rsid w:val="00380DD5"/>
    <w:rsid w:val="003810FE"/>
    <w:rsid w:val="0038125C"/>
    <w:rsid w:val="0038129D"/>
    <w:rsid w:val="003818CA"/>
    <w:rsid w:val="00382174"/>
    <w:rsid w:val="0038252A"/>
    <w:rsid w:val="003826D3"/>
    <w:rsid w:val="003829A8"/>
    <w:rsid w:val="00382CEE"/>
    <w:rsid w:val="0038366F"/>
    <w:rsid w:val="00383989"/>
    <w:rsid w:val="00383BF7"/>
    <w:rsid w:val="0038449A"/>
    <w:rsid w:val="00384808"/>
    <w:rsid w:val="003848FB"/>
    <w:rsid w:val="00384A79"/>
    <w:rsid w:val="00384A87"/>
    <w:rsid w:val="00385048"/>
    <w:rsid w:val="00385FB7"/>
    <w:rsid w:val="00386615"/>
    <w:rsid w:val="00386EE2"/>
    <w:rsid w:val="0038758E"/>
    <w:rsid w:val="003876AF"/>
    <w:rsid w:val="00387D5A"/>
    <w:rsid w:val="003907AE"/>
    <w:rsid w:val="003907CE"/>
    <w:rsid w:val="0039093B"/>
    <w:rsid w:val="00390AE8"/>
    <w:rsid w:val="00391792"/>
    <w:rsid w:val="00391ADB"/>
    <w:rsid w:val="00391E08"/>
    <w:rsid w:val="00391FBF"/>
    <w:rsid w:val="0039211C"/>
    <w:rsid w:val="003921C7"/>
    <w:rsid w:val="003923F4"/>
    <w:rsid w:val="003927A5"/>
    <w:rsid w:val="003927EA"/>
    <w:rsid w:val="00392891"/>
    <w:rsid w:val="00393618"/>
    <w:rsid w:val="00393992"/>
    <w:rsid w:val="00393C5F"/>
    <w:rsid w:val="003940DF"/>
    <w:rsid w:val="003946E9"/>
    <w:rsid w:val="0039486B"/>
    <w:rsid w:val="003948F1"/>
    <w:rsid w:val="00394A52"/>
    <w:rsid w:val="00394E9A"/>
    <w:rsid w:val="003950B0"/>
    <w:rsid w:val="00395164"/>
    <w:rsid w:val="00395AAA"/>
    <w:rsid w:val="0039627A"/>
    <w:rsid w:val="003963B6"/>
    <w:rsid w:val="003963E9"/>
    <w:rsid w:val="003965D3"/>
    <w:rsid w:val="00397423"/>
    <w:rsid w:val="00397653"/>
    <w:rsid w:val="00397684"/>
    <w:rsid w:val="0039780D"/>
    <w:rsid w:val="003979E8"/>
    <w:rsid w:val="00397AEC"/>
    <w:rsid w:val="003A08E5"/>
    <w:rsid w:val="003A1956"/>
    <w:rsid w:val="003A1F2E"/>
    <w:rsid w:val="003A1F4D"/>
    <w:rsid w:val="003A1FAE"/>
    <w:rsid w:val="003A2A86"/>
    <w:rsid w:val="003A3887"/>
    <w:rsid w:val="003A3AFB"/>
    <w:rsid w:val="003A3C3E"/>
    <w:rsid w:val="003A4C6E"/>
    <w:rsid w:val="003A520C"/>
    <w:rsid w:val="003A5505"/>
    <w:rsid w:val="003A5D91"/>
    <w:rsid w:val="003A6C18"/>
    <w:rsid w:val="003A7C56"/>
    <w:rsid w:val="003A7DBE"/>
    <w:rsid w:val="003B03C9"/>
    <w:rsid w:val="003B04DE"/>
    <w:rsid w:val="003B0A76"/>
    <w:rsid w:val="003B0BB8"/>
    <w:rsid w:val="003B0C33"/>
    <w:rsid w:val="003B0D8F"/>
    <w:rsid w:val="003B0EA4"/>
    <w:rsid w:val="003B0FC8"/>
    <w:rsid w:val="003B1759"/>
    <w:rsid w:val="003B1B69"/>
    <w:rsid w:val="003B1EB3"/>
    <w:rsid w:val="003B1EF2"/>
    <w:rsid w:val="003B1F4A"/>
    <w:rsid w:val="003B22FE"/>
    <w:rsid w:val="003B2480"/>
    <w:rsid w:val="003B2AA1"/>
    <w:rsid w:val="003B2B52"/>
    <w:rsid w:val="003B2DDE"/>
    <w:rsid w:val="003B2F1F"/>
    <w:rsid w:val="003B34AF"/>
    <w:rsid w:val="003B4052"/>
    <w:rsid w:val="003B437B"/>
    <w:rsid w:val="003B4AD0"/>
    <w:rsid w:val="003B5183"/>
    <w:rsid w:val="003B535D"/>
    <w:rsid w:val="003B536B"/>
    <w:rsid w:val="003B5489"/>
    <w:rsid w:val="003B550E"/>
    <w:rsid w:val="003B5867"/>
    <w:rsid w:val="003B5B3C"/>
    <w:rsid w:val="003B5FAC"/>
    <w:rsid w:val="003B645E"/>
    <w:rsid w:val="003B6E79"/>
    <w:rsid w:val="003B6F0F"/>
    <w:rsid w:val="003B6FC1"/>
    <w:rsid w:val="003B7AD1"/>
    <w:rsid w:val="003B7F63"/>
    <w:rsid w:val="003B7FA6"/>
    <w:rsid w:val="003C094D"/>
    <w:rsid w:val="003C09B6"/>
    <w:rsid w:val="003C1157"/>
    <w:rsid w:val="003C1864"/>
    <w:rsid w:val="003C1E88"/>
    <w:rsid w:val="003C2376"/>
    <w:rsid w:val="003C2378"/>
    <w:rsid w:val="003C280F"/>
    <w:rsid w:val="003C28F8"/>
    <w:rsid w:val="003C293C"/>
    <w:rsid w:val="003C2E18"/>
    <w:rsid w:val="003C2E93"/>
    <w:rsid w:val="003C38D4"/>
    <w:rsid w:val="003C3930"/>
    <w:rsid w:val="003C3BE7"/>
    <w:rsid w:val="003C4110"/>
    <w:rsid w:val="003C42CF"/>
    <w:rsid w:val="003C4408"/>
    <w:rsid w:val="003C4D13"/>
    <w:rsid w:val="003C5103"/>
    <w:rsid w:val="003C519E"/>
    <w:rsid w:val="003C5528"/>
    <w:rsid w:val="003C55E4"/>
    <w:rsid w:val="003C57C0"/>
    <w:rsid w:val="003C5885"/>
    <w:rsid w:val="003C631D"/>
    <w:rsid w:val="003C6A94"/>
    <w:rsid w:val="003C6E0B"/>
    <w:rsid w:val="003C7224"/>
    <w:rsid w:val="003C73B6"/>
    <w:rsid w:val="003D0970"/>
    <w:rsid w:val="003D0A09"/>
    <w:rsid w:val="003D0B0A"/>
    <w:rsid w:val="003D16F6"/>
    <w:rsid w:val="003D188D"/>
    <w:rsid w:val="003D18BA"/>
    <w:rsid w:val="003D18D0"/>
    <w:rsid w:val="003D1A27"/>
    <w:rsid w:val="003D1C26"/>
    <w:rsid w:val="003D241F"/>
    <w:rsid w:val="003D2633"/>
    <w:rsid w:val="003D26D2"/>
    <w:rsid w:val="003D2E26"/>
    <w:rsid w:val="003D3165"/>
    <w:rsid w:val="003D3518"/>
    <w:rsid w:val="003D3648"/>
    <w:rsid w:val="003D397E"/>
    <w:rsid w:val="003D3A60"/>
    <w:rsid w:val="003D3C2A"/>
    <w:rsid w:val="003D5200"/>
    <w:rsid w:val="003D5868"/>
    <w:rsid w:val="003D59D1"/>
    <w:rsid w:val="003D5A65"/>
    <w:rsid w:val="003D5B58"/>
    <w:rsid w:val="003D5BA0"/>
    <w:rsid w:val="003D622E"/>
    <w:rsid w:val="003D64E3"/>
    <w:rsid w:val="003D7409"/>
    <w:rsid w:val="003D7CAA"/>
    <w:rsid w:val="003D7E44"/>
    <w:rsid w:val="003E02A0"/>
    <w:rsid w:val="003E0308"/>
    <w:rsid w:val="003E0833"/>
    <w:rsid w:val="003E0C86"/>
    <w:rsid w:val="003E10EE"/>
    <w:rsid w:val="003E1459"/>
    <w:rsid w:val="003E176F"/>
    <w:rsid w:val="003E1E5F"/>
    <w:rsid w:val="003E1F3A"/>
    <w:rsid w:val="003E20D0"/>
    <w:rsid w:val="003E21CE"/>
    <w:rsid w:val="003E251D"/>
    <w:rsid w:val="003E2554"/>
    <w:rsid w:val="003E297C"/>
    <w:rsid w:val="003E3686"/>
    <w:rsid w:val="003E3DAD"/>
    <w:rsid w:val="003E3EDE"/>
    <w:rsid w:val="003E3FE6"/>
    <w:rsid w:val="003E46AF"/>
    <w:rsid w:val="003E4AC5"/>
    <w:rsid w:val="003E528C"/>
    <w:rsid w:val="003E5766"/>
    <w:rsid w:val="003E57A6"/>
    <w:rsid w:val="003E5E2E"/>
    <w:rsid w:val="003E6258"/>
    <w:rsid w:val="003E663C"/>
    <w:rsid w:val="003E6B2F"/>
    <w:rsid w:val="003E6C4F"/>
    <w:rsid w:val="003E785E"/>
    <w:rsid w:val="003F00CC"/>
    <w:rsid w:val="003F0187"/>
    <w:rsid w:val="003F069D"/>
    <w:rsid w:val="003F129A"/>
    <w:rsid w:val="003F1470"/>
    <w:rsid w:val="003F168F"/>
    <w:rsid w:val="003F18A5"/>
    <w:rsid w:val="003F18A9"/>
    <w:rsid w:val="003F31C9"/>
    <w:rsid w:val="003F3315"/>
    <w:rsid w:val="003F33A5"/>
    <w:rsid w:val="003F3446"/>
    <w:rsid w:val="003F35ED"/>
    <w:rsid w:val="003F36D3"/>
    <w:rsid w:val="003F37D5"/>
    <w:rsid w:val="003F3B46"/>
    <w:rsid w:val="003F3C5E"/>
    <w:rsid w:val="003F40AC"/>
    <w:rsid w:val="003F44F2"/>
    <w:rsid w:val="003F45E1"/>
    <w:rsid w:val="003F45F3"/>
    <w:rsid w:val="003F473B"/>
    <w:rsid w:val="003F4F81"/>
    <w:rsid w:val="003F4FA1"/>
    <w:rsid w:val="003F59D4"/>
    <w:rsid w:val="003F6407"/>
    <w:rsid w:val="003F70B4"/>
    <w:rsid w:val="003F7143"/>
    <w:rsid w:val="003F76AF"/>
    <w:rsid w:val="0040020E"/>
    <w:rsid w:val="004003F0"/>
    <w:rsid w:val="0040085F"/>
    <w:rsid w:val="00400984"/>
    <w:rsid w:val="004012A4"/>
    <w:rsid w:val="0040136A"/>
    <w:rsid w:val="0040156C"/>
    <w:rsid w:val="00401602"/>
    <w:rsid w:val="004017FB"/>
    <w:rsid w:val="00401F86"/>
    <w:rsid w:val="0040267F"/>
    <w:rsid w:val="00402C7B"/>
    <w:rsid w:val="004036D1"/>
    <w:rsid w:val="00404B62"/>
    <w:rsid w:val="00404D4F"/>
    <w:rsid w:val="00404F12"/>
    <w:rsid w:val="004050AA"/>
    <w:rsid w:val="004052B3"/>
    <w:rsid w:val="00405AAA"/>
    <w:rsid w:val="00405DE2"/>
    <w:rsid w:val="004070DA"/>
    <w:rsid w:val="00407202"/>
    <w:rsid w:val="004073B6"/>
    <w:rsid w:val="00407C5C"/>
    <w:rsid w:val="00407ECB"/>
    <w:rsid w:val="00410070"/>
    <w:rsid w:val="0041062E"/>
    <w:rsid w:val="0041089F"/>
    <w:rsid w:val="00410A22"/>
    <w:rsid w:val="00410B5D"/>
    <w:rsid w:val="0041121B"/>
    <w:rsid w:val="00411263"/>
    <w:rsid w:val="004112CA"/>
    <w:rsid w:val="00411B10"/>
    <w:rsid w:val="00412315"/>
    <w:rsid w:val="00412563"/>
    <w:rsid w:val="00412877"/>
    <w:rsid w:val="00412A18"/>
    <w:rsid w:val="00412C66"/>
    <w:rsid w:val="00413524"/>
    <w:rsid w:val="004135D0"/>
    <w:rsid w:val="00413668"/>
    <w:rsid w:val="00413E01"/>
    <w:rsid w:val="00414D56"/>
    <w:rsid w:val="00414E38"/>
    <w:rsid w:val="00415DB9"/>
    <w:rsid w:val="00415F7C"/>
    <w:rsid w:val="00416762"/>
    <w:rsid w:val="00416A70"/>
    <w:rsid w:val="00416B87"/>
    <w:rsid w:val="00416E67"/>
    <w:rsid w:val="0041715A"/>
    <w:rsid w:val="004201B3"/>
    <w:rsid w:val="004202E7"/>
    <w:rsid w:val="0042030F"/>
    <w:rsid w:val="004205A4"/>
    <w:rsid w:val="004205AC"/>
    <w:rsid w:val="004214C0"/>
    <w:rsid w:val="004216FE"/>
    <w:rsid w:val="00421D33"/>
    <w:rsid w:val="0042264F"/>
    <w:rsid w:val="004228FC"/>
    <w:rsid w:val="004235B8"/>
    <w:rsid w:val="00423837"/>
    <w:rsid w:val="004239E1"/>
    <w:rsid w:val="00423A2A"/>
    <w:rsid w:val="00423ADE"/>
    <w:rsid w:val="0042408A"/>
    <w:rsid w:val="00424E37"/>
    <w:rsid w:val="004259C1"/>
    <w:rsid w:val="00425A64"/>
    <w:rsid w:val="00425BCC"/>
    <w:rsid w:val="00425F0B"/>
    <w:rsid w:val="004262C0"/>
    <w:rsid w:val="00426D77"/>
    <w:rsid w:val="0042763F"/>
    <w:rsid w:val="00427697"/>
    <w:rsid w:val="004278A8"/>
    <w:rsid w:val="00427A33"/>
    <w:rsid w:val="00427AB7"/>
    <w:rsid w:val="00427B6A"/>
    <w:rsid w:val="0043045A"/>
    <w:rsid w:val="0043053F"/>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AC8"/>
    <w:rsid w:val="00436DF4"/>
    <w:rsid w:val="00437518"/>
    <w:rsid w:val="004376CA"/>
    <w:rsid w:val="004378D9"/>
    <w:rsid w:val="00440B57"/>
    <w:rsid w:val="00440B6C"/>
    <w:rsid w:val="00440B9E"/>
    <w:rsid w:val="00440E10"/>
    <w:rsid w:val="00440E81"/>
    <w:rsid w:val="00440EDC"/>
    <w:rsid w:val="00441337"/>
    <w:rsid w:val="004416A5"/>
    <w:rsid w:val="00441F13"/>
    <w:rsid w:val="004421A7"/>
    <w:rsid w:val="0044237F"/>
    <w:rsid w:val="00442483"/>
    <w:rsid w:val="00442C6E"/>
    <w:rsid w:val="00442CDB"/>
    <w:rsid w:val="0044305E"/>
    <w:rsid w:val="0044312A"/>
    <w:rsid w:val="004432ED"/>
    <w:rsid w:val="00443443"/>
    <w:rsid w:val="004440EE"/>
    <w:rsid w:val="004444E7"/>
    <w:rsid w:val="004445C7"/>
    <w:rsid w:val="004445CF"/>
    <w:rsid w:val="004445D3"/>
    <w:rsid w:val="00444631"/>
    <w:rsid w:val="00445033"/>
    <w:rsid w:val="00445531"/>
    <w:rsid w:val="00445681"/>
    <w:rsid w:val="00445856"/>
    <w:rsid w:val="00445B15"/>
    <w:rsid w:val="00445B80"/>
    <w:rsid w:val="00445C47"/>
    <w:rsid w:val="00445FE7"/>
    <w:rsid w:val="00446174"/>
    <w:rsid w:val="0044622D"/>
    <w:rsid w:val="0044652B"/>
    <w:rsid w:val="004466C5"/>
    <w:rsid w:val="00446C1B"/>
    <w:rsid w:val="00446C77"/>
    <w:rsid w:val="00446F0D"/>
    <w:rsid w:val="0044702E"/>
    <w:rsid w:val="0044722B"/>
    <w:rsid w:val="00447CD6"/>
    <w:rsid w:val="00447D5B"/>
    <w:rsid w:val="00447F2D"/>
    <w:rsid w:val="00450099"/>
    <w:rsid w:val="00450251"/>
    <w:rsid w:val="004504D4"/>
    <w:rsid w:val="004505F1"/>
    <w:rsid w:val="00450714"/>
    <w:rsid w:val="00450D66"/>
    <w:rsid w:val="0045113B"/>
    <w:rsid w:val="004517D3"/>
    <w:rsid w:val="00451C82"/>
    <w:rsid w:val="004520C4"/>
    <w:rsid w:val="004525E8"/>
    <w:rsid w:val="0045274A"/>
    <w:rsid w:val="00453A46"/>
    <w:rsid w:val="0045438E"/>
    <w:rsid w:val="00454685"/>
    <w:rsid w:val="00454788"/>
    <w:rsid w:val="00454890"/>
    <w:rsid w:val="00455280"/>
    <w:rsid w:val="004554D6"/>
    <w:rsid w:val="00455C1C"/>
    <w:rsid w:val="00455C6C"/>
    <w:rsid w:val="00455CB8"/>
    <w:rsid w:val="004562DB"/>
    <w:rsid w:val="00456C0F"/>
    <w:rsid w:val="00457167"/>
    <w:rsid w:val="004573FB"/>
    <w:rsid w:val="00457654"/>
    <w:rsid w:val="00457ECE"/>
    <w:rsid w:val="00460EF3"/>
    <w:rsid w:val="00460F96"/>
    <w:rsid w:val="00461095"/>
    <w:rsid w:val="004618A5"/>
    <w:rsid w:val="00462729"/>
    <w:rsid w:val="00462FB7"/>
    <w:rsid w:val="00463219"/>
    <w:rsid w:val="0046322E"/>
    <w:rsid w:val="0046333F"/>
    <w:rsid w:val="00463EF9"/>
    <w:rsid w:val="00464400"/>
    <w:rsid w:val="004646EB"/>
    <w:rsid w:val="00464833"/>
    <w:rsid w:val="0046494B"/>
    <w:rsid w:val="00464B24"/>
    <w:rsid w:val="00465098"/>
    <w:rsid w:val="00465134"/>
    <w:rsid w:val="00465DD7"/>
    <w:rsid w:val="00465E01"/>
    <w:rsid w:val="00465FDE"/>
    <w:rsid w:val="004660F8"/>
    <w:rsid w:val="004662DC"/>
    <w:rsid w:val="004664F1"/>
    <w:rsid w:val="00466741"/>
    <w:rsid w:val="00466956"/>
    <w:rsid w:val="00466DAD"/>
    <w:rsid w:val="00466EC0"/>
    <w:rsid w:val="0046707B"/>
    <w:rsid w:val="004671AB"/>
    <w:rsid w:val="00467C6B"/>
    <w:rsid w:val="00467FCF"/>
    <w:rsid w:val="004700D7"/>
    <w:rsid w:val="0047026A"/>
    <w:rsid w:val="004706A5"/>
    <w:rsid w:val="00471471"/>
    <w:rsid w:val="004714EA"/>
    <w:rsid w:val="00471750"/>
    <w:rsid w:val="00471B0A"/>
    <w:rsid w:val="00471CF3"/>
    <w:rsid w:val="0047218A"/>
    <w:rsid w:val="004722D4"/>
    <w:rsid w:val="0047255E"/>
    <w:rsid w:val="004726BB"/>
    <w:rsid w:val="0047271B"/>
    <w:rsid w:val="00472C87"/>
    <w:rsid w:val="00472D97"/>
    <w:rsid w:val="00472FA0"/>
    <w:rsid w:val="00472FAA"/>
    <w:rsid w:val="004730F1"/>
    <w:rsid w:val="004739BF"/>
    <w:rsid w:val="004740D8"/>
    <w:rsid w:val="004746B5"/>
    <w:rsid w:val="004748BE"/>
    <w:rsid w:val="004748DA"/>
    <w:rsid w:val="00474D83"/>
    <w:rsid w:val="004755DC"/>
    <w:rsid w:val="00475A90"/>
    <w:rsid w:val="0047686B"/>
    <w:rsid w:val="00476903"/>
    <w:rsid w:val="00477D09"/>
    <w:rsid w:val="00477D6E"/>
    <w:rsid w:val="00477F08"/>
    <w:rsid w:val="004801B1"/>
    <w:rsid w:val="00480AF7"/>
    <w:rsid w:val="00480D56"/>
    <w:rsid w:val="0048121F"/>
    <w:rsid w:val="00481452"/>
    <w:rsid w:val="0048178D"/>
    <w:rsid w:val="00481947"/>
    <w:rsid w:val="00481B00"/>
    <w:rsid w:val="00481E7A"/>
    <w:rsid w:val="00481F3B"/>
    <w:rsid w:val="004828C9"/>
    <w:rsid w:val="004832E5"/>
    <w:rsid w:val="004838EC"/>
    <w:rsid w:val="00483D71"/>
    <w:rsid w:val="00484377"/>
    <w:rsid w:val="0048443B"/>
    <w:rsid w:val="00484CAF"/>
    <w:rsid w:val="00484FA7"/>
    <w:rsid w:val="00485970"/>
    <w:rsid w:val="00485B66"/>
    <w:rsid w:val="00485BE6"/>
    <w:rsid w:val="004864EF"/>
    <w:rsid w:val="00487131"/>
    <w:rsid w:val="0048743C"/>
    <w:rsid w:val="0048755A"/>
    <w:rsid w:val="00487C12"/>
    <w:rsid w:val="00487CA0"/>
    <w:rsid w:val="00487EBA"/>
    <w:rsid w:val="004902A5"/>
    <w:rsid w:val="00490304"/>
    <w:rsid w:val="00490E20"/>
    <w:rsid w:val="00491189"/>
    <w:rsid w:val="0049140D"/>
    <w:rsid w:val="004917AA"/>
    <w:rsid w:val="00491D57"/>
    <w:rsid w:val="004922CC"/>
    <w:rsid w:val="004923D6"/>
    <w:rsid w:val="004923E7"/>
    <w:rsid w:val="00492A91"/>
    <w:rsid w:val="00492C22"/>
    <w:rsid w:val="00493D49"/>
    <w:rsid w:val="00493E85"/>
    <w:rsid w:val="00493FAF"/>
    <w:rsid w:val="004947C5"/>
    <w:rsid w:val="00494A7F"/>
    <w:rsid w:val="004956B4"/>
    <w:rsid w:val="004956FB"/>
    <w:rsid w:val="00495B8D"/>
    <w:rsid w:val="00495C42"/>
    <w:rsid w:val="00496377"/>
    <w:rsid w:val="00496AA1"/>
    <w:rsid w:val="00496BCA"/>
    <w:rsid w:val="00496FEF"/>
    <w:rsid w:val="00497693"/>
    <w:rsid w:val="0049774F"/>
    <w:rsid w:val="00497786"/>
    <w:rsid w:val="004978A0"/>
    <w:rsid w:val="00497A7E"/>
    <w:rsid w:val="00497D67"/>
    <w:rsid w:val="004A03F3"/>
    <w:rsid w:val="004A0513"/>
    <w:rsid w:val="004A0E04"/>
    <w:rsid w:val="004A0E5D"/>
    <w:rsid w:val="004A1047"/>
    <w:rsid w:val="004A11E2"/>
    <w:rsid w:val="004A16E1"/>
    <w:rsid w:val="004A1DC2"/>
    <w:rsid w:val="004A1F17"/>
    <w:rsid w:val="004A1FCF"/>
    <w:rsid w:val="004A247B"/>
    <w:rsid w:val="004A2B47"/>
    <w:rsid w:val="004A2C74"/>
    <w:rsid w:val="004A2D24"/>
    <w:rsid w:val="004A3211"/>
    <w:rsid w:val="004A3B0E"/>
    <w:rsid w:val="004A3DF7"/>
    <w:rsid w:val="004A3E9A"/>
    <w:rsid w:val="004A3F90"/>
    <w:rsid w:val="004A3FB6"/>
    <w:rsid w:val="004A4276"/>
    <w:rsid w:val="004A42C0"/>
    <w:rsid w:val="004A447F"/>
    <w:rsid w:val="004A4608"/>
    <w:rsid w:val="004A57A9"/>
    <w:rsid w:val="004A5E8A"/>
    <w:rsid w:val="004A6246"/>
    <w:rsid w:val="004A6885"/>
    <w:rsid w:val="004A6DED"/>
    <w:rsid w:val="004A6E71"/>
    <w:rsid w:val="004A71BC"/>
    <w:rsid w:val="004A72CC"/>
    <w:rsid w:val="004A739C"/>
    <w:rsid w:val="004A73ED"/>
    <w:rsid w:val="004A758A"/>
    <w:rsid w:val="004A76A0"/>
    <w:rsid w:val="004A76E4"/>
    <w:rsid w:val="004A7946"/>
    <w:rsid w:val="004A7A20"/>
    <w:rsid w:val="004B0755"/>
    <w:rsid w:val="004B0896"/>
    <w:rsid w:val="004B0A36"/>
    <w:rsid w:val="004B1686"/>
    <w:rsid w:val="004B1BB0"/>
    <w:rsid w:val="004B1E25"/>
    <w:rsid w:val="004B1F38"/>
    <w:rsid w:val="004B2217"/>
    <w:rsid w:val="004B2C4B"/>
    <w:rsid w:val="004B2D20"/>
    <w:rsid w:val="004B2EBD"/>
    <w:rsid w:val="004B30BC"/>
    <w:rsid w:val="004B3132"/>
    <w:rsid w:val="004B3835"/>
    <w:rsid w:val="004B3B35"/>
    <w:rsid w:val="004B3E6A"/>
    <w:rsid w:val="004B42B7"/>
    <w:rsid w:val="004B4464"/>
    <w:rsid w:val="004B44DC"/>
    <w:rsid w:val="004B485C"/>
    <w:rsid w:val="004B49D8"/>
    <w:rsid w:val="004B4A0A"/>
    <w:rsid w:val="004B4C55"/>
    <w:rsid w:val="004B4D2F"/>
    <w:rsid w:val="004B4E21"/>
    <w:rsid w:val="004B4FE1"/>
    <w:rsid w:val="004B530F"/>
    <w:rsid w:val="004B5B04"/>
    <w:rsid w:val="004B607D"/>
    <w:rsid w:val="004B662F"/>
    <w:rsid w:val="004B6712"/>
    <w:rsid w:val="004B7149"/>
    <w:rsid w:val="004B76F0"/>
    <w:rsid w:val="004B779F"/>
    <w:rsid w:val="004B78DC"/>
    <w:rsid w:val="004B797E"/>
    <w:rsid w:val="004B7A52"/>
    <w:rsid w:val="004B7FE9"/>
    <w:rsid w:val="004C03E7"/>
    <w:rsid w:val="004C0813"/>
    <w:rsid w:val="004C0C0B"/>
    <w:rsid w:val="004C10C5"/>
    <w:rsid w:val="004C1430"/>
    <w:rsid w:val="004C17DF"/>
    <w:rsid w:val="004C1947"/>
    <w:rsid w:val="004C1BFA"/>
    <w:rsid w:val="004C238D"/>
    <w:rsid w:val="004C308B"/>
    <w:rsid w:val="004C30A9"/>
    <w:rsid w:val="004C351F"/>
    <w:rsid w:val="004C353D"/>
    <w:rsid w:val="004C354D"/>
    <w:rsid w:val="004C38D7"/>
    <w:rsid w:val="004C39EA"/>
    <w:rsid w:val="004C3A81"/>
    <w:rsid w:val="004C3EEC"/>
    <w:rsid w:val="004C3F1E"/>
    <w:rsid w:val="004C43D4"/>
    <w:rsid w:val="004C43E4"/>
    <w:rsid w:val="004C457E"/>
    <w:rsid w:val="004C4AE1"/>
    <w:rsid w:val="004C537F"/>
    <w:rsid w:val="004C5875"/>
    <w:rsid w:val="004C5CA3"/>
    <w:rsid w:val="004C6155"/>
    <w:rsid w:val="004C644C"/>
    <w:rsid w:val="004C645B"/>
    <w:rsid w:val="004C7A05"/>
    <w:rsid w:val="004C7A39"/>
    <w:rsid w:val="004C7CA6"/>
    <w:rsid w:val="004C7E07"/>
    <w:rsid w:val="004C7E8D"/>
    <w:rsid w:val="004C7F01"/>
    <w:rsid w:val="004C7F6D"/>
    <w:rsid w:val="004D0F00"/>
    <w:rsid w:val="004D101E"/>
    <w:rsid w:val="004D115F"/>
    <w:rsid w:val="004D1283"/>
    <w:rsid w:val="004D1463"/>
    <w:rsid w:val="004D1CB3"/>
    <w:rsid w:val="004D1DE2"/>
    <w:rsid w:val="004D1DF2"/>
    <w:rsid w:val="004D1E24"/>
    <w:rsid w:val="004D20D9"/>
    <w:rsid w:val="004D2159"/>
    <w:rsid w:val="004D21FE"/>
    <w:rsid w:val="004D2950"/>
    <w:rsid w:val="004D2D1D"/>
    <w:rsid w:val="004D2D76"/>
    <w:rsid w:val="004D3379"/>
    <w:rsid w:val="004D3612"/>
    <w:rsid w:val="004D3864"/>
    <w:rsid w:val="004D3A87"/>
    <w:rsid w:val="004D3D53"/>
    <w:rsid w:val="004D4246"/>
    <w:rsid w:val="004D4273"/>
    <w:rsid w:val="004D44A8"/>
    <w:rsid w:val="004D45F6"/>
    <w:rsid w:val="004D47F2"/>
    <w:rsid w:val="004D5681"/>
    <w:rsid w:val="004D5757"/>
    <w:rsid w:val="004D5819"/>
    <w:rsid w:val="004D5A97"/>
    <w:rsid w:val="004D6046"/>
    <w:rsid w:val="004D61FA"/>
    <w:rsid w:val="004D6EC1"/>
    <w:rsid w:val="004D6F04"/>
    <w:rsid w:val="004D739B"/>
    <w:rsid w:val="004D7F1B"/>
    <w:rsid w:val="004E094D"/>
    <w:rsid w:val="004E0BA0"/>
    <w:rsid w:val="004E0CA7"/>
    <w:rsid w:val="004E1021"/>
    <w:rsid w:val="004E112B"/>
    <w:rsid w:val="004E14B0"/>
    <w:rsid w:val="004E1562"/>
    <w:rsid w:val="004E15C9"/>
    <w:rsid w:val="004E1660"/>
    <w:rsid w:val="004E1829"/>
    <w:rsid w:val="004E19C9"/>
    <w:rsid w:val="004E1F3A"/>
    <w:rsid w:val="004E2153"/>
    <w:rsid w:val="004E4163"/>
    <w:rsid w:val="004E43A0"/>
    <w:rsid w:val="004E4558"/>
    <w:rsid w:val="004E4846"/>
    <w:rsid w:val="004E4C4F"/>
    <w:rsid w:val="004E5002"/>
    <w:rsid w:val="004E51C8"/>
    <w:rsid w:val="004E5830"/>
    <w:rsid w:val="004E5C50"/>
    <w:rsid w:val="004E5D60"/>
    <w:rsid w:val="004E5E7A"/>
    <w:rsid w:val="004E66ED"/>
    <w:rsid w:val="004E67ED"/>
    <w:rsid w:val="004E6815"/>
    <w:rsid w:val="004E6B4D"/>
    <w:rsid w:val="004E7007"/>
    <w:rsid w:val="004E70AA"/>
    <w:rsid w:val="004E7386"/>
    <w:rsid w:val="004E7516"/>
    <w:rsid w:val="004E7D1F"/>
    <w:rsid w:val="004E7EB0"/>
    <w:rsid w:val="004F07D9"/>
    <w:rsid w:val="004F0AC5"/>
    <w:rsid w:val="004F0BFB"/>
    <w:rsid w:val="004F0D23"/>
    <w:rsid w:val="004F103C"/>
    <w:rsid w:val="004F10E7"/>
    <w:rsid w:val="004F1843"/>
    <w:rsid w:val="004F1CE0"/>
    <w:rsid w:val="004F2206"/>
    <w:rsid w:val="004F2C6E"/>
    <w:rsid w:val="004F2F86"/>
    <w:rsid w:val="004F3EC5"/>
    <w:rsid w:val="004F3F60"/>
    <w:rsid w:val="004F41FE"/>
    <w:rsid w:val="004F506E"/>
    <w:rsid w:val="004F52BB"/>
    <w:rsid w:val="004F54DC"/>
    <w:rsid w:val="004F5649"/>
    <w:rsid w:val="004F59B0"/>
    <w:rsid w:val="004F60F5"/>
    <w:rsid w:val="004F60FA"/>
    <w:rsid w:val="004F6185"/>
    <w:rsid w:val="004F63A2"/>
    <w:rsid w:val="004F6466"/>
    <w:rsid w:val="004F6EE4"/>
    <w:rsid w:val="004F713A"/>
    <w:rsid w:val="004F796B"/>
    <w:rsid w:val="004F79CB"/>
    <w:rsid w:val="004F7A2F"/>
    <w:rsid w:val="004F7E84"/>
    <w:rsid w:val="00500002"/>
    <w:rsid w:val="00500463"/>
    <w:rsid w:val="00500817"/>
    <w:rsid w:val="00500A99"/>
    <w:rsid w:val="0050197A"/>
    <w:rsid w:val="00501DBB"/>
    <w:rsid w:val="00501F6F"/>
    <w:rsid w:val="005022CE"/>
    <w:rsid w:val="005023B0"/>
    <w:rsid w:val="005023E8"/>
    <w:rsid w:val="0050250C"/>
    <w:rsid w:val="00502686"/>
    <w:rsid w:val="00502F45"/>
    <w:rsid w:val="005033C2"/>
    <w:rsid w:val="0050344B"/>
    <w:rsid w:val="005038F6"/>
    <w:rsid w:val="00503B5F"/>
    <w:rsid w:val="00504156"/>
    <w:rsid w:val="0050460A"/>
    <w:rsid w:val="005047E1"/>
    <w:rsid w:val="00504882"/>
    <w:rsid w:val="00504D7A"/>
    <w:rsid w:val="00505551"/>
    <w:rsid w:val="0050566D"/>
    <w:rsid w:val="00505A53"/>
    <w:rsid w:val="00505F4C"/>
    <w:rsid w:val="0050609C"/>
    <w:rsid w:val="005060CB"/>
    <w:rsid w:val="00506307"/>
    <w:rsid w:val="005063B9"/>
    <w:rsid w:val="00506AC0"/>
    <w:rsid w:val="00506D31"/>
    <w:rsid w:val="0050711A"/>
    <w:rsid w:val="005072C9"/>
    <w:rsid w:val="00507D19"/>
    <w:rsid w:val="00510395"/>
    <w:rsid w:val="00510BB2"/>
    <w:rsid w:val="00510C1E"/>
    <w:rsid w:val="00510D01"/>
    <w:rsid w:val="00510DF0"/>
    <w:rsid w:val="00511321"/>
    <w:rsid w:val="00511600"/>
    <w:rsid w:val="005116EB"/>
    <w:rsid w:val="00511787"/>
    <w:rsid w:val="005119AD"/>
    <w:rsid w:val="00511BA0"/>
    <w:rsid w:val="00511D11"/>
    <w:rsid w:val="00511D31"/>
    <w:rsid w:val="00511E7E"/>
    <w:rsid w:val="00512224"/>
    <w:rsid w:val="00512653"/>
    <w:rsid w:val="005129AB"/>
    <w:rsid w:val="00512BD9"/>
    <w:rsid w:val="00512E29"/>
    <w:rsid w:val="0051322E"/>
    <w:rsid w:val="005134D6"/>
    <w:rsid w:val="005137A4"/>
    <w:rsid w:val="00513822"/>
    <w:rsid w:val="00513E16"/>
    <w:rsid w:val="00513F68"/>
    <w:rsid w:val="005142DD"/>
    <w:rsid w:val="00515329"/>
    <w:rsid w:val="00515AA5"/>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3D22"/>
    <w:rsid w:val="0052463C"/>
    <w:rsid w:val="00524DE0"/>
    <w:rsid w:val="00524F2B"/>
    <w:rsid w:val="0052501C"/>
    <w:rsid w:val="005257C1"/>
    <w:rsid w:val="00525808"/>
    <w:rsid w:val="00525D07"/>
    <w:rsid w:val="00525E77"/>
    <w:rsid w:val="00525F10"/>
    <w:rsid w:val="005263BC"/>
    <w:rsid w:val="0052658B"/>
    <w:rsid w:val="005265EA"/>
    <w:rsid w:val="005266AE"/>
    <w:rsid w:val="00526791"/>
    <w:rsid w:val="00527048"/>
    <w:rsid w:val="005272F1"/>
    <w:rsid w:val="0052762C"/>
    <w:rsid w:val="00527D14"/>
    <w:rsid w:val="00527DCF"/>
    <w:rsid w:val="00527EB8"/>
    <w:rsid w:val="005303A3"/>
    <w:rsid w:val="0053091D"/>
    <w:rsid w:val="00530E7C"/>
    <w:rsid w:val="00531176"/>
    <w:rsid w:val="00531311"/>
    <w:rsid w:val="00531387"/>
    <w:rsid w:val="00531533"/>
    <w:rsid w:val="00531694"/>
    <w:rsid w:val="00531CD8"/>
    <w:rsid w:val="00531E0C"/>
    <w:rsid w:val="00532043"/>
    <w:rsid w:val="0053251E"/>
    <w:rsid w:val="0053293F"/>
    <w:rsid w:val="00532952"/>
    <w:rsid w:val="00532A55"/>
    <w:rsid w:val="00532D4A"/>
    <w:rsid w:val="00532E3F"/>
    <w:rsid w:val="00532E69"/>
    <w:rsid w:val="00533A87"/>
    <w:rsid w:val="005343AC"/>
    <w:rsid w:val="00534B65"/>
    <w:rsid w:val="00534D9A"/>
    <w:rsid w:val="00534DA0"/>
    <w:rsid w:val="00534E63"/>
    <w:rsid w:val="00535588"/>
    <w:rsid w:val="00535CED"/>
    <w:rsid w:val="00535D79"/>
    <w:rsid w:val="0053617A"/>
    <w:rsid w:val="005364CB"/>
    <w:rsid w:val="00537566"/>
    <w:rsid w:val="00537AF3"/>
    <w:rsid w:val="00537D58"/>
    <w:rsid w:val="00540013"/>
    <w:rsid w:val="00540D48"/>
    <w:rsid w:val="00540FE4"/>
    <w:rsid w:val="0054165D"/>
    <w:rsid w:val="005420BC"/>
    <w:rsid w:val="0054262E"/>
    <w:rsid w:val="0054289F"/>
    <w:rsid w:val="00542912"/>
    <w:rsid w:val="0054293C"/>
    <w:rsid w:val="00542C20"/>
    <w:rsid w:val="00543267"/>
    <w:rsid w:val="0054345C"/>
    <w:rsid w:val="005438A2"/>
    <w:rsid w:val="00543FD0"/>
    <w:rsid w:val="005441D8"/>
    <w:rsid w:val="0054427E"/>
    <w:rsid w:val="00544BE5"/>
    <w:rsid w:val="00545045"/>
    <w:rsid w:val="0054523E"/>
    <w:rsid w:val="00545EA4"/>
    <w:rsid w:val="00546CBD"/>
    <w:rsid w:val="00546E51"/>
    <w:rsid w:val="00546EDE"/>
    <w:rsid w:val="00547782"/>
    <w:rsid w:val="005479CA"/>
    <w:rsid w:val="00547A76"/>
    <w:rsid w:val="00547B58"/>
    <w:rsid w:val="00547B8B"/>
    <w:rsid w:val="00547E4A"/>
    <w:rsid w:val="00547F9D"/>
    <w:rsid w:val="005504DA"/>
    <w:rsid w:val="0055068A"/>
    <w:rsid w:val="0055079F"/>
    <w:rsid w:val="00551813"/>
    <w:rsid w:val="00551945"/>
    <w:rsid w:val="005522E4"/>
    <w:rsid w:val="00552407"/>
    <w:rsid w:val="00552827"/>
    <w:rsid w:val="00552CBF"/>
    <w:rsid w:val="00553773"/>
    <w:rsid w:val="005539BF"/>
    <w:rsid w:val="00553A2F"/>
    <w:rsid w:val="005543CC"/>
    <w:rsid w:val="00554541"/>
    <w:rsid w:val="00554CA0"/>
    <w:rsid w:val="00555471"/>
    <w:rsid w:val="00556835"/>
    <w:rsid w:val="005568EC"/>
    <w:rsid w:val="00556C93"/>
    <w:rsid w:val="005571CA"/>
    <w:rsid w:val="005571F3"/>
    <w:rsid w:val="0055723B"/>
    <w:rsid w:val="0055771B"/>
    <w:rsid w:val="00557A13"/>
    <w:rsid w:val="00557A8B"/>
    <w:rsid w:val="00557F2F"/>
    <w:rsid w:val="00557FE0"/>
    <w:rsid w:val="005601EF"/>
    <w:rsid w:val="0056036E"/>
    <w:rsid w:val="00560866"/>
    <w:rsid w:val="00561599"/>
    <w:rsid w:val="0056194B"/>
    <w:rsid w:val="00561A73"/>
    <w:rsid w:val="005628FA"/>
    <w:rsid w:val="0056297B"/>
    <w:rsid w:val="00562A3F"/>
    <w:rsid w:val="00562D9F"/>
    <w:rsid w:val="005633A7"/>
    <w:rsid w:val="00563825"/>
    <w:rsid w:val="00563DC0"/>
    <w:rsid w:val="00563FEC"/>
    <w:rsid w:val="00564419"/>
    <w:rsid w:val="0056479C"/>
    <w:rsid w:val="00564A71"/>
    <w:rsid w:val="00565027"/>
    <w:rsid w:val="005650C9"/>
    <w:rsid w:val="00565336"/>
    <w:rsid w:val="00565509"/>
    <w:rsid w:val="005658D4"/>
    <w:rsid w:val="00565A85"/>
    <w:rsid w:val="005662B2"/>
    <w:rsid w:val="005664AD"/>
    <w:rsid w:val="005668E0"/>
    <w:rsid w:val="00566A8E"/>
    <w:rsid w:val="00566D89"/>
    <w:rsid w:val="00566EDA"/>
    <w:rsid w:val="005674C3"/>
    <w:rsid w:val="00567C72"/>
    <w:rsid w:val="00567DA3"/>
    <w:rsid w:val="0057083F"/>
    <w:rsid w:val="005709A3"/>
    <w:rsid w:val="00570F1F"/>
    <w:rsid w:val="00571772"/>
    <w:rsid w:val="00571881"/>
    <w:rsid w:val="005719AE"/>
    <w:rsid w:val="00572362"/>
    <w:rsid w:val="005726F8"/>
    <w:rsid w:val="00573493"/>
    <w:rsid w:val="0057368F"/>
    <w:rsid w:val="0057393F"/>
    <w:rsid w:val="00573AC2"/>
    <w:rsid w:val="00573BA3"/>
    <w:rsid w:val="00574246"/>
    <w:rsid w:val="005745F1"/>
    <w:rsid w:val="0057469C"/>
    <w:rsid w:val="005748A0"/>
    <w:rsid w:val="00574AF2"/>
    <w:rsid w:val="00574BF1"/>
    <w:rsid w:val="00575164"/>
    <w:rsid w:val="005757A8"/>
    <w:rsid w:val="00576310"/>
    <w:rsid w:val="005768C1"/>
    <w:rsid w:val="0057732F"/>
    <w:rsid w:val="00577F9F"/>
    <w:rsid w:val="005801BF"/>
    <w:rsid w:val="0058028B"/>
    <w:rsid w:val="005803F7"/>
    <w:rsid w:val="00580E78"/>
    <w:rsid w:val="00581002"/>
    <w:rsid w:val="00581081"/>
    <w:rsid w:val="00581084"/>
    <w:rsid w:val="00581295"/>
    <w:rsid w:val="005814ED"/>
    <w:rsid w:val="00581BEB"/>
    <w:rsid w:val="00581D64"/>
    <w:rsid w:val="00582B4B"/>
    <w:rsid w:val="005836E4"/>
    <w:rsid w:val="00584084"/>
    <w:rsid w:val="005843AD"/>
    <w:rsid w:val="0058486B"/>
    <w:rsid w:val="00584997"/>
    <w:rsid w:val="00584BE7"/>
    <w:rsid w:val="00584CC2"/>
    <w:rsid w:val="00584DEA"/>
    <w:rsid w:val="00585195"/>
    <w:rsid w:val="0058526A"/>
    <w:rsid w:val="00585865"/>
    <w:rsid w:val="00585F10"/>
    <w:rsid w:val="00586097"/>
    <w:rsid w:val="005868C6"/>
    <w:rsid w:val="00586D76"/>
    <w:rsid w:val="005875B2"/>
    <w:rsid w:val="00587EC3"/>
    <w:rsid w:val="00587FEB"/>
    <w:rsid w:val="0059032B"/>
    <w:rsid w:val="005903D6"/>
    <w:rsid w:val="005909A9"/>
    <w:rsid w:val="00590E7E"/>
    <w:rsid w:val="005914E3"/>
    <w:rsid w:val="00591CDB"/>
    <w:rsid w:val="00591D26"/>
    <w:rsid w:val="00591D8F"/>
    <w:rsid w:val="005924B9"/>
    <w:rsid w:val="005924CF"/>
    <w:rsid w:val="00592BE3"/>
    <w:rsid w:val="00592C4F"/>
    <w:rsid w:val="0059309A"/>
    <w:rsid w:val="00593C31"/>
    <w:rsid w:val="00593D49"/>
    <w:rsid w:val="00594077"/>
    <w:rsid w:val="005944C9"/>
    <w:rsid w:val="0059455A"/>
    <w:rsid w:val="00594727"/>
    <w:rsid w:val="00594923"/>
    <w:rsid w:val="00594BAD"/>
    <w:rsid w:val="00594C8A"/>
    <w:rsid w:val="00594E64"/>
    <w:rsid w:val="00594FF6"/>
    <w:rsid w:val="005952AB"/>
    <w:rsid w:val="0059533B"/>
    <w:rsid w:val="005953FC"/>
    <w:rsid w:val="00595402"/>
    <w:rsid w:val="005955AB"/>
    <w:rsid w:val="00595613"/>
    <w:rsid w:val="00595D66"/>
    <w:rsid w:val="00596063"/>
    <w:rsid w:val="005964C3"/>
    <w:rsid w:val="00596551"/>
    <w:rsid w:val="00596948"/>
    <w:rsid w:val="00597060"/>
    <w:rsid w:val="005972D0"/>
    <w:rsid w:val="00597309"/>
    <w:rsid w:val="00597516"/>
    <w:rsid w:val="00597915"/>
    <w:rsid w:val="00597D52"/>
    <w:rsid w:val="00597DC0"/>
    <w:rsid w:val="005A024A"/>
    <w:rsid w:val="005A08DF"/>
    <w:rsid w:val="005A1086"/>
    <w:rsid w:val="005A1E0F"/>
    <w:rsid w:val="005A271B"/>
    <w:rsid w:val="005A2798"/>
    <w:rsid w:val="005A2D06"/>
    <w:rsid w:val="005A2D4A"/>
    <w:rsid w:val="005A2D9F"/>
    <w:rsid w:val="005A3F69"/>
    <w:rsid w:val="005A4467"/>
    <w:rsid w:val="005A44FB"/>
    <w:rsid w:val="005A4725"/>
    <w:rsid w:val="005A56F0"/>
    <w:rsid w:val="005A5713"/>
    <w:rsid w:val="005A5977"/>
    <w:rsid w:val="005A643D"/>
    <w:rsid w:val="005A6538"/>
    <w:rsid w:val="005A68F9"/>
    <w:rsid w:val="005A6D61"/>
    <w:rsid w:val="005A7019"/>
    <w:rsid w:val="005A7134"/>
    <w:rsid w:val="005A71D0"/>
    <w:rsid w:val="005A7276"/>
    <w:rsid w:val="005A76BA"/>
    <w:rsid w:val="005A7EAA"/>
    <w:rsid w:val="005B0603"/>
    <w:rsid w:val="005B103B"/>
    <w:rsid w:val="005B10F6"/>
    <w:rsid w:val="005B130B"/>
    <w:rsid w:val="005B1562"/>
    <w:rsid w:val="005B18EA"/>
    <w:rsid w:val="005B1BB7"/>
    <w:rsid w:val="005B26D6"/>
    <w:rsid w:val="005B29B5"/>
    <w:rsid w:val="005B2A90"/>
    <w:rsid w:val="005B2E64"/>
    <w:rsid w:val="005B354C"/>
    <w:rsid w:val="005B376B"/>
    <w:rsid w:val="005B387A"/>
    <w:rsid w:val="005B389D"/>
    <w:rsid w:val="005B3C03"/>
    <w:rsid w:val="005B3CD5"/>
    <w:rsid w:val="005B442B"/>
    <w:rsid w:val="005B4DE2"/>
    <w:rsid w:val="005B4F59"/>
    <w:rsid w:val="005B4F6C"/>
    <w:rsid w:val="005B5027"/>
    <w:rsid w:val="005B5440"/>
    <w:rsid w:val="005B5522"/>
    <w:rsid w:val="005B5B49"/>
    <w:rsid w:val="005B5F38"/>
    <w:rsid w:val="005B62C8"/>
    <w:rsid w:val="005B6636"/>
    <w:rsid w:val="005B6B9C"/>
    <w:rsid w:val="005B6FC4"/>
    <w:rsid w:val="005B7625"/>
    <w:rsid w:val="005B79E3"/>
    <w:rsid w:val="005C0392"/>
    <w:rsid w:val="005C06B5"/>
    <w:rsid w:val="005C11B4"/>
    <w:rsid w:val="005C143D"/>
    <w:rsid w:val="005C1756"/>
    <w:rsid w:val="005C1BCF"/>
    <w:rsid w:val="005C2127"/>
    <w:rsid w:val="005C2309"/>
    <w:rsid w:val="005C23CF"/>
    <w:rsid w:val="005C257E"/>
    <w:rsid w:val="005C2F7E"/>
    <w:rsid w:val="005C3B77"/>
    <w:rsid w:val="005C4306"/>
    <w:rsid w:val="005C46B1"/>
    <w:rsid w:val="005C5586"/>
    <w:rsid w:val="005C56DE"/>
    <w:rsid w:val="005C5761"/>
    <w:rsid w:val="005C667B"/>
    <w:rsid w:val="005C6885"/>
    <w:rsid w:val="005C6C33"/>
    <w:rsid w:val="005C6D38"/>
    <w:rsid w:val="005C708F"/>
    <w:rsid w:val="005C7DDF"/>
    <w:rsid w:val="005D007D"/>
    <w:rsid w:val="005D0198"/>
    <w:rsid w:val="005D0CEC"/>
    <w:rsid w:val="005D0CFF"/>
    <w:rsid w:val="005D148D"/>
    <w:rsid w:val="005D1D77"/>
    <w:rsid w:val="005D206F"/>
    <w:rsid w:val="005D2233"/>
    <w:rsid w:val="005D225C"/>
    <w:rsid w:val="005D2266"/>
    <w:rsid w:val="005D24E7"/>
    <w:rsid w:val="005D2DDE"/>
    <w:rsid w:val="005D323A"/>
    <w:rsid w:val="005D34E7"/>
    <w:rsid w:val="005D3EAB"/>
    <w:rsid w:val="005D452F"/>
    <w:rsid w:val="005D47E7"/>
    <w:rsid w:val="005D4CB8"/>
    <w:rsid w:val="005D4D47"/>
    <w:rsid w:val="005D52B3"/>
    <w:rsid w:val="005D5A8D"/>
    <w:rsid w:val="005D5D7D"/>
    <w:rsid w:val="005D6798"/>
    <w:rsid w:val="005D6990"/>
    <w:rsid w:val="005D6CD1"/>
    <w:rsid w:val="005D7F58"/>
    <w:rsid w:val="005E045B"/>
    <w:rsid w:val="005E0B68"/>
    <w:rsid w:val="005E0FBD"/>
    <w:rsid w:val="005E134F"/>
    <w:rsid w:val="005E1672"/>
    <w:rsid w:val="005E2079"/>
    <w:rsid w:val="005E2957"/>
    <w:rsid w:val="005E2CA6"/>
    <w:rsid w:val="005E2D6F"/>
    <w:rsid w:val="005E2D77"/>
    <w:rsid w:val="005E3137"/>
    <w:rsid w:val="005E316F"/>
    <w:rsid w:val="005E3181"/>
    <w:rsid w:val="005E346F"/>
    <w:rsid w:val="005E355F"/>
    <w:rsid w:val="005E3724"/>
    <w:rsid w:val="005E37D8"/>
    <w:rsid w:val="005E4518"/>
    <w:rsid w:val="005E4A87"/>
    <w:rsid w:val="005E4ABB"/>
    <w:rsid w:val="005E4F69"/>
    <w:rsid w:val="005E4FFB"/>
    <w:rsid w:val="005E520B"/>
    <w:rsid w:val="005E6551"/>
    <w:rsid w:val="005E7339"/>
    <w:rsid w:val="005E7AAA"/>
    <w:rsid w:val="005F0650"/>
    <w:rsid w:val="005F0982"/>
    <w:rsid w:val="005F0A88"/>
    <w:rsid w:val="005F0F33"/>
    <w:rsid w:val="005F15B6"/>
    <w:rsid w:val="005F2026"/>
    <w:rsid w:val="005F2D7D"/>
    <w:rsid w:val="005F2DCE"/>
    <w:rsid w:val="005F3364"/>
    <w:rsid w:val="005F371B"/>
    <w:rsid w:val="005F3AB5"/>
    <w:rsid w:val="005F3D56"/>
    <w:rsid w:val="005F3F59"/>
    <w:rsid w:val="005F4450"/>
    <w:rsid w:val="005F4583"/>
    <w:rsid w:val="005F467C"/>
    <w:rsid w:val="005F471E"/>
    <w:rsid w:val="005F48F3"/>
    <w:rsid w:val="005F4CA7"/>
    <w:rsid w:val="005F503B"/>
    <w:rsid w:val="005F5688"/>
    <w:rsid w:val="005F591B"/>
    <w:rsid w:val="005F59AE"/>
    <w:rsid w:val="005F60DC"/>
    <w:rsid w:val="005F669E"/>
    <w:rsid w:val="005F66A1"/>
    <w:rsid w:val="005F6F25"/>
    <w:rsid w:val="005F7AA0"/>
    <w:rsid w:val="005F7BC0"/>
    <w:rsid w:val="005F7DAE"/>
    <w:rsid w:val="00600285"/>
    <w:rsid w:val="0060045C"/>
    <w:rsid w:val="00600570"/>
    <w:rsid w:val="006005BC"/>
    <w:rsid w:val="006008E4"/>
    <w:rsid w:val="00600CD3"/>
    <w:rsid w:val="006012FF"/>
    <w:rsid w:val="006013C6"/>
    <w:rsid w:val="006013E9"/>
    <w:rsid w:val="00601FC5"/>
    <w:rsid w:val="00602445"/>
    <w:rsid w:val="006028EF"/>
    <w:rsid w:val="00603003"/>
    <w:rsid w:val="0060341F"/>
    <w:rsid w:val="006039C5"/>
    <w:rsid w:val="00603AC0"/>
    <w:rsid w:val="00603D84"/>
    <w:rsid w:val="00603ECB"/>
    <w:rsid w:val="0060438F"/>
    <w:rsid w:val="00604C18"/>
    <w:rsid w:val="00604FE3"/>
    <w:rsid w:val="006053C2"/>
    <w:rsid w:val="0060553E"/>
    <w:rsid w:val="0060569C"/>
    <w:rsid w:val="00605ABA"/>
    <w:rsid w:val="00605BEB"/>
    <w:rsid w:val="00605DFA"/>
    <w:rsid w:val="00605F25"/>
    <w:rsid w:val="00605FFE"/>
    <w:rsid w:val="006065D8"/>
    <w:rsid w:val="00606A15"/>
    <w:rsid w:val="00606CBD"/>
    <w:rsid w:val="0060744E"/>
    <w:rsid w:val="00607D7F"/>
    <w:rsid w:val="006100D1"/>
    <w:rsid w:val="006101FD"/>
    <w:rsid w:val="006104E4"/>
    <w:rsid w:val="00610524"/>
    <w:rsid w:val="00610580"/>
    <w:rsid w:val="00610E0C"/>
    <w:rsid w:val="00611300"/>
    <w:rsid w:val="006118E9"/>
    <w:rsid w:val="00611971"/>
    <w:rsid w:val="006119D4"/>
    <w:rsid w:val="00611AEA"/>
    <w:rsid w:val="00611D49"/>
    <w:rsid w:val="00611DD7"/>
    <w:rsid w:val="0061214C"/>
    <w:rsid w:val="00612DED"/>
    <w:rsid w:val="00613622"/>
    <w:rsid w:val="00613E51"/>
    <w:rsid w:val="00614081"/>
    <w:rsid w:val="00614332"/>
    <w:rsid w:val="00614725"/>
    <w:rsid w:val="00614863"/>
    <w:rsid w:val="00614BD9"/>
    <w:rsid w:val="00614D36"/>
    <w:rsid w:val="00614D6C"/>
    <w:rsid w:val="0061517A"/>
    <w:rsid w:val="00615344"/>
    <w:rsid w:val="00615527"/>
    <w:rsid w:val="00615CFE"/>
    <w:rsid w:val="00615DB2"/>
    <w:rsid w:val="00616838"/>
    <w:rsid w:val="00616864"/>
    <w:rsid w:val="0061719F"/>
    <w:rsid w:val="006171D1"/>
    <w:rsid w:val="006175B3"/>
    <w:rsid w:val="00617869"/>
    <w:rsid w:val="0061789D"/>
    <w:rsid w:val="006179AC"/>
    <w:rsid w:val="006179D7"/>
    <w:rsid w:val="00617AD7"/>
    <w:rsid w:val="006204B7"/>
    <w:rsid w:val="00620D25"/>
    <w:rsid w:val="0062116B"/>
    <w:rsid w:val="0062124A"/>
    <w:rsid w:val="006213E6"/>
    <w:rsid w:val="006213F9"/>
    <w:rsid w:val="006218B8"/>
    <w:rsid w:val="00621A66"/>
    <w:rsid w:val="00621E9F"/>
    <w:rsid w:val="00622908"/>
    <w:rsid w:val="00622FF3"/>
    <w:rsid w:val="00623133"/>
    <w:rsid w:val="006233B1"/>
    <w:rsid w:val="00623B3A"/>
    <w:rsid w:val="00623BB0"/>
    <w:rsid w:val="00623CBD"/>
    <w:rsid w:val="00623E53"/>
    <w:rsid w:val="00623F5F"/>
    <w:rsid w:val="0062404D"/>
    <w:rsid w:val="00624180"/>
    <w:rsid w:val="006246D5"/>
    <w:rsid w:val="00624827"/>
    <w:rsid w:val="00625123"/>
    <w:rsid w:val="00625553"/>
    <w:rsid w:val="00625953"/>
    <w:rsid w:val="00625A27"/>
    <w:rsid w:val="00625DE8"/>
    <w:rsid w:val="00625E4D"/>
    <w:rsid w:val="00625F55"/>
    <w:rsid w:val="00626031"/>
    <w:rsid w:val="00626681"/>
    <w:rsid w:val="00626EC8"/>
    <w:rsid w:val="0062704E"/>
    <w:rsid w:val="0062774D"/>
    <w:rsid w:val="00627DE2"/>
    <w:rsid w:val="00630839"/>
    <w:rsid w:val="00630BCC"/>
    <w:rsid w:val="00630E44"/>
    <w:rsid w:val="0063165E"/>
    <w:rsid w:val="00631766"/>
    <w:rsid w:val="00631E91"/>
    <w:rsid w:val="006322DA"/>
    <w:rsid w:val="0063266B"/>
    <w:rsid w:val="00632A99"/>
    <w:rsid w:val="00633169"/>
    <w:rsid w:val="006331D7"/>
    <w:rsid w:val="006339D2"/>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CBE"/>
    <w:rsid w:val="00637E2D"/>
    <w:rsid w:val="006404AC"/>
    <w:rsid w:val="00640D70"/>
    <w:rsid w:val="00640E6B"/>
    <w:rsid w:val="006414B8"/>
    <w:rsid w:val="0064163F"/>
    <w:rsid w:val="00641705"/>
    <w:rsid w:val="00641A39"/>
    <w:rsid w:val="00641FD7"/>
    <w:rsid w:val="0064248A"/>
    <w:rsid w:val="00642B65"/>
    <w:rsid w:val="006436AA"/>
    <w:rsid w:val="00643889"/>
    <w:rsid w:val="00643DB1"/>
    <w:rsid w:val="00643F65"/>
    <w:rsid w:val="00644083"/>
    <w:rsid w:val="00644708"/>
    <w:rsid w:val="00644EE6"/>
    <w:rsid w:val="0064528D"/>
    <w:rsid w:val="0064580D"/>
    <w:rsid w:val="006458CB"/>
    <w:rsid w:val="00645983"/>
    <w:rsid w:val="00645A33"/>
    <w:rsid w:val="00645BC1"/>
    <w:rsid w:val="00646367"/>
    <w:rsid w:val="00646383"/>
    <w:rsid w:val="00646545"/>
    <w:rsid w:val="00646851"/>
    <w:rsid w:val="00646E33"/>
    <w:rsid w:val="00647574"/>
    <w:rsid w:val="006475DA"/>
    <w:rsid w:val="00647BDC"/>
    <w:rsid w:val="00647CD7"/>
    <w:rsid w:val="00647F60"/>
    <w:rsid w:val="00650112"/>
    <w:rsid w:val="0065012A"/>
    <w:rsid w:val="006506F8"/>
    <w:rsid w:val="006509F2"/>
    <w:rsid w:val="00650B2D"/>
    <w:rsid w:val="00650EFC"/>
    <w:rsid w:val="00651256"/>
    <w:rsid w:val="00651431"/>
    <w:rsid w:val="006519EA"/>
    <w:rsid w:val="00651C88"/>
    <w:rsid w:val="00651D3C"/>
    <w:rsid w:val="00651DF1"/>
    <w:rsid w:val="0065279F"/>
    <w:rsid w:val="00652CF3"/>
    <w:rsid w:val="00653424"/>
    <w:rsid w:val="006535F8"/>
    <w:rsid w:val="00653748"/>
    <w:rsid w:val="00653762"/>
    <w:rsid w:val="006538C5"/>
    <w:rsid w:val="00653AF8"/>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5B"/>
    <w:rsid w:val="00657A4A"/>
    <w:rsid w:val="00660084"/>
    <w:rsid w:val="00660166"/>
    <w:rsid w:val="00660B84"/>
    <w:rsid w:val="006615DF"/>
    <w:rsid w:val="00661CC7"/>
    <w:rsid w:val="00661F1E"/>
    <w:rsid w:val="00662458"/>
    <w:rsid w:val="006624E3"/>
    <w:rsid w:val="00662DC3"/>
    <w:rsid w:val="00663457"/>
    <w:rsid w:val="006636A4"/>
    <w:rsid w:val="00663A6F"/>
    <w:rsid w:val="00663C54"/>
    <w:rsid w:val="00663F8B"/>
    <w:rsid w:val="006640CF"/>
    <w:rsid w:val="006640EA"/>
    <w:rsid w:val="0066423F"/>
    <w:rsid w:val="00664545"/>
    <w:rsid w:val="00664AB1"/>
    <w:rsid w:val="00664ADF"/>
    <w:rsid w:val="00664C44"/>
    <w:rsid w:val="00664D95"/>
    <w:rsid w:val="006650E5"/>
    <w:rsid w:val="006653DD"/>
    <w:rsid w:val="00665730"/>
    <w:rsid w:val="00666C2A"/>
    <w:rsid w:val="00666D89"/>
    <w:rsid w:val="00667318"/>
    <w:rsid w:val="0066769C"/>
    <w:rsid w:val="006679B2"/>
    <w:rsid w:val="006704B4"/>
    <w:rsid w:val="006710AC"/>
    <w:rsid w:val="006710CC"/>
    <w:rsid w:val="00671179"/>
    <w:rsid w:val="00671334"/>
    <w:rsid w:val="0067148E"/>
    <w:rsid w:val="0067193F"/>
    <w:rsid w:val="00671977"/>
    <w:rsid w:val="00671B86"/>
    <w:rsid w:val="00671CB2"/>
    <w:rsid w:val="00671ED7"/>
    <w:rsid w:val="006723D7"/>
    <w:rsid w:val="00672479"/>
    <w:rsid w:val="006726B6"/>
    <w:rsid w:val="00672D4C"/>
    <w:rsid w:val="00672FBB"/>
    <w:rsid w:val="00672FF1"/>
    <w:rsid w:val="006732C2"/>
    <w:rsid w:val="006734B0"/>
    <w:rsid w:val="006734B3"/>
    <w:rsid w:val="00673876"/>
    <w:rsid w:val="00673C3C"/>
    <w:rsid w:val="006740BF"/>
    <w:rsid w:val="006742EE"/>
    <w:rsid w:val="00674F90"/>
    <w:rsid w:val="00675B28"/>
    <w:rsid w:val="006761A5"/>
    <w:rsid w:val="006766EA"/>
    <w:rsid w:val="00676AE3"/>
    <w:rsid w:val="0067742F"/>
    <w:rsid w:val="006775AB"/>
    <w:rsid w:val="006777F6"/>
    <w:rsid w:val="00677B1C"/>
    <w:rsid w:val="00680205"/>
    <w:rsid w:val="00680273"/>
    <w:rsid w:val="00680747"/>
    <w:rsid w:val="00680DA1"/>
    <w:rsid w:val="00680E41"/>
    <w:rsid w:val="006813B2"/>
    <w:rsid w:val="00681610"/>
    <w:rsid w:val="00681653"/>
    <w:rsid w:val="0068166A"/>
    <w:rsid w:val="00681751"/>
    <w:rsid w:val="00681EBE"/>
    <w:rsid w:val="00681EE3"/>
    <w:rsid w:val="0068202D"/>
    <w:rsid w:val="0068222E"/>
    <w:rsid w:val="006831C1"/>
    <w:rsid w:val="0068368A"/>
    <w:rsid w:val="00684167"/>
    <w:rsid w:val="006842E5"/>
    <w:rsid w:val="00684734"/>
    <w:rsid w:val="0068481F"/>
    <w:rsid w:val="0068494F"/>
    <w:rsid w:val="00684D55"/>
    <w:rsid w:val="00685973"/>
    <w:rsid w:val="00685A4B"/>
    <w:rsid w:val="00685C43"/>
    <w:rsid w:val="00685D7D"/>
    <w:rsid w:val="0068635D"/>
    <w:rsid w:val="006869DD"/>
    <w:rsid w:val="00686E57"/>
    <w:rsid w:val="00686F13"/>
    <w:rsid w:val="0068755D"/>
    <w:rsid w:val="00687596"/>
    <w:rsid w:val="00687947"/>
    <w:rsid w:val="006879C4"/>
    <w:rsid w:val="0069048A"/>
    <w:rsid w:val="00690DF0"/>
    <w:rsid w:val="00690F8C"/>
    <w:rsid w:val="006915CB"/>
    <w:rsid w:val="00691B50"/>
    <w:rsid w:val="0069227D"/>
    <w:rsid w:val="00692333"/>
    <w:rsid w:val="0069243E"/>
    <w:rsid w:val="00692A82"/>
    <w:rsid w:val="00692B16"/>
    <w:rsid w:val="00692F4B"/>
    <w:rsid w:val="00693047"/>
    <w:rsid w:val="006932BD"/>
    <w:rsid w:val="006932F3"/>
    <w:rsid w:val="00693467"/>
    <w:rsid w:val="0069391B"/>
    <w:rsid w:val="00693AAB"/>
    <w:rsid w:val="0069424D"/>
    <w:rsid w:val="0069454C"/>
    <w:rsid w:val="00695200"/>
    <w:rsid w:val="00695219"/>
    <w:rsid w:val="006955FB"/>
    <w:rsid w:val="006956D5"/>
    <w:rsid w:val="006957D5"/>
    <w:rsid w:val="006958C2"/>
    <w:rsid w:val="00695EFF"/>
    <w:rsid w:val="00695F3B"/>
    <w:rsid w:val="0069627C"/>
    <w:rsid w:val="00696298"/>
    <w:rsid w:val="006965BA"/>
    <w:rsid w:val="0069694D"/>
    <w:rsid w:val="00697273"/>
    <w:rsid w:val="00697483"/>
    <w:rsid w:val="006978ED"/>
    <w:rsid w:val="006979D2"/>
    <w:rsid w:val="00697B8D"/>
    <w:rsid w:val="00697C21"/>
    <w:rsid w:val="00697FE0"/>
    <w:rsid w:val="006A0055"/>
    <w:rsid w:val="006A0B7F"/>
    <w:rsid w:val="006A1C19"/>
    <w:rsid w:val="006A22FA"/>
    <w:rsid w:val="006A230B"/>
    <w:rsid w:val="006A2B0C"/>
    <w:rsid w:val="006A34E1"/>
    <w:rsid w:val="006A3833"/>
    <w:rsid w:val="006A3D49"/>
    <w:rsid w:val="006A3D51"/>
    <w:rsid w:val="006A41DB"/>
    <w:rsid w:val="006A429C"/>
    <w:rsid w:val="006A4377"/>
    <w:rsid w:val="006A4626"/>
    <w:rsid w:val="006A46E0"/>
    <w:rsid w:val="006A5252"/>
    <w:rsid w:val="006A53D4"/>
    <w:rsid w:val="006A5631"/>
    <w:rsid w:val="006A611E"/>
    <w:rsid w:val="006A69F8"/>
    <w:rsid w:val="006A6C5C"/>
    <w:rsid w:val="006A6F7B"/>
    <w:rsid w:val="006A7BA1"/>
    <w:rsid w:val="006A7E8D"/>
    <w:rsid w:val="006B0116"/>
    <w:rsid w:val="006B0689"/>
    <w:rsid w:val="006B0FB4"/>
    <w:rsid w:val="006B1310"/>
    <w:rsid w:val="006B1665"/>
    <w:rsid w:val="006B1710"/>
    <w:rsid w:val="006B19B5"/>
    <w:rsid w:val="006B22E8"/>
    <w:rsid w:val="006B2B19"/>
    <w:rsid w:val="006B2BE1"/>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5BA2"/>
    <w:rsid w:val="006B60B1"/>
    <w:rsid w:val="006B63C6"/>
    <w:rsid w:val="006B75E4"/>
    <w:rsid w:val="006C0075"/>
    <w:rsid w:val="006C061C"/>
    <w:rsid w:val="006C0AF8"/>
    <w:rsid w:val="006C1303"/>
    <w:rsid w:val="006C1B20"/>
    <w:rsid w:val="006C1CDF"/>
    <w:rsid w:val="006C1E52"/>
    <w:rsid w:val="006C1EB3"/>
    <w:rsid w:val="006C2561"/>
    <w:rsid w:val="006C257B"/>
    <w:rsid w:val="006C2BD6"/>
    <w:rsid w:val="006C2C3D"/>
    <w:rsid w:val="006C39DA"/>
    <w:rsid w:val="006C4089"/>
    <w:rsid w:val="006C4720"/>
    <w:rsid w:val="006C4813"/>
    <w:rsid w:val="006C4B0B"/>
    <w:rsid w:val="006C4EE4"/>
    <w:rsid w:val="006C4F23"/>
    <w:rsid w:val="006C52EA"/>
    <w:rsid w:val="006C56F7"/>
    <w:rsid w:val="006C597C"/>
    <w:rsid w:val="006C652A"/>
    <w:rsid w:val="006C6597"/>
    <w:rsid w:val="006C6C34"/>
    <w:rsid w:val="006C6DE2"/>
    <w:rsid w:val="006C702F"/>
    <w:rsid w:val="006C7B48"/>
    <w:rsid w:val="006C7CB9"/>
    <w:rsid w:val="006C7CE7"/>
    <w:rsid w:val="006C7F42"/>
    <w:rsid w:val="006C7FF7"/>
    <w:rsid w:val="006D01E0"/>
    <w:rsid w:val="006D0297"/>
    <w:rsid w:val="006D0358"/>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321F"/>
    <w:rsid w:val="006D38F1"/>
    <w:rsid w:val="006D420C"/>
    <w:rsid w:val="006D4A06"/>
    <w:rsid w:val="006D4E22"/>
    <w:rsid w:val="006D5041"/>
    <w:rsid w:val="006D50F8"/>
    <w:rsid w:val="006D5323"/>
    <w:rsid w:val="006D5944"/>
    <w:rsid w:val="006D5A6E"/>
    <w:rsid w:val="006D5C44"/>
    <w:rsid w:val="006D5E1F"/>
    <w:rsid w:val="006D5E44"/>
    <w:rsid w:val="006D6145"/>
    <w:rsid w:val="006D6375"/>
    <w:rsid w:val="006D696A"/>
    <w:rsid w:val="006D6AE3"/>
    <w:rsid w:val="006D6BF8"/>
    <w:rsid w:val="006D6D83"/>
    <w:rsid w:val="006D7295"/>
    <w:rsid w:val="006D7A3D"/>
    <w:rsid w:val="006D7BD8"/>
    <w:rsid w:val="006E0252"/>
    <w:rsid w:val="006E0B5E"/>
    <w:rsid w:val="006E1007"/>
    <w:rsid w:val="006E12F7"/>
    <w:rsid w:val="006E1862"/>
    <w:rsid w:val="006E1ECF"/>
    <w:rsid w:val="006E1FF6"/>
    <w:rsid w:val="006E207E"/>
    <w:rsid w:val="006E2B7D"/>
    <w:rsid w:val="006E32F0"/>
    <w:rsid w:val="006E3ACE"/>
    <w:rsid w:val="006E3B0B"/>
    <w:rsid w:val="006E4296"/>
    <w:rsid w:val="006E530F"/>
    <w:rsid w:val="006E57CB"/>
    <w:rsid w:val="006E5A32"/>
    <w:rsid w:val="006E5A96"/>
    <w:rsid w:val="006E5D53"/>
    <w:rsid w:val="006E5EF9"/>
    <w:rsid w:val="006E6019"/>
    <w:rsid w:val="006E6152"/>
    <w:rsid w:val="006E6242"/>
    <w:rsid w:val="006E6CF2"/>
    <w:rsid w:val="006E6E42"/>
    <w:rsid w:val="006E70AF"/>
    <w:rsid w:val="006E72E7"/>
    <w:rsid w:val="006E7640"/>
    <w:rsid w:val="006E7D53"/>
    <w:rsid w:val="006F020B"/>
    <w:rsid w:val="006F025F"/>
    <w:rsid w:val="006F09D0"/>
    <w:rsid w:val="006F0FAA"/>
    <w:rsid w:val="006F1649"/>
    <w:rsid w:val="006F1982"/>
    <w:rsid w:val="006F1FB9"/>
    <w:rsid w:val="006F2237"/>
    <w:rsid w:val="006F2292"/>
    <w:rsid w:val="006F23A2"/>
    <w:rsid w:val="006F23AC"/>
    <w:rsid w:val="006F252D"/>
    <w:rsid w:val="006F2870"/>
    <w:rsid w:val="006F3770"/>
    <w:rsid w:val="006F3849"/>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45E"/>
    <w:rsid w:val="007008C8"/>
    <w:rsid w:val="00700D19"/>
    <w:rsid w:val="00700FB0"/>
    <w:rsid w:val="00701309"/>
    <w:rsid w:val="007019D3"/>
    <w:rsid w:val="00701C64"/>
    <w:rsid w:val="00701E44"/>
    <w:rsid w:val="007021E8"/>
    <w:rsid w:val="007026AD"/>
    <w:rsid w:val="00703043"/>
    <w:rsid w:val="00703B5C"/>
    <w:rsid w:val="007040D1"/>
    <w:rsid w:val="0070418D"/>
    <w:rsid w:val="0070497B"/>
    <w:rsid w:val="00704E0D"/>
    <w:rsid w:val="00705400"/>
    <w:rsid w:val="00705B17"/>
    <w:rsid w:val="00705F1D"/>
    <w:rsid w:val="007060B5"/>
    <w:rsid w:val="0070611B"/>
    <w:rsid w:val="00706203"/>
    <w:rsid w:val="007066CB"/>
    <w:rsid w:val="00707129"/>
    <w:rsid w:val="00707591"/>
    <w:rsid w:val="00707D7B"/>
    <w:rsid w:val="00707FED"/>
    <w:rsid w:val="00710095"/>
    <w:rsid w:val="00710201"/>
    <w:rsid w:val="0071075F"/>
    <w:rsid w:val="00711548"/>
    <w:rsid w:val="007116A7"/>
    <w:rsid w:val="00711F96"/>
    <w:rsid w:val="00712524"/>
    <w:rsid w:val="00712D7A"/>
    <w:rsid w:val="007131AB"/>
    <w:rsid w:val="00713328"/>
    <w:rsid w:val="00713578"/>
    <w:rsid w:val="0071371E"/>
    <w:rsid w:val="007137B3"/>
    <w:rsid w:val="00713AB3"/>
    <w:rsid w:val="00713B01"/>
    <w:rsid w:val="00713E7C"/>
    <w:rsid w:val="00714AB3"/>
    <w:rsid w:val="00714C81"/>
    <w:rsid w:val="00714D0C"/>
    <w:rsid w:val="00715628"/>
    <w:rsid w:val="00715F8C"/>
    <w:rsid w:val="007163BB"/>
    <w:rsid w:val="00716BA0"/>
    <w:rsid w:val="00716C92"/>
    <w:rsid w:val="007170E0"/>
    <w:rsid w:val="00717710"/>
    <w:rsid w:val="00717DA3"/>
    <w:rsid w:val="00717F58"/>
    <w:rsid w:val="00720A9A"/>
    <w:rsid w:val="00720AD9"/>
    <w:rsid w:val="00720D39"/>
    <w:rsid w:val="00721085"/>
    <w:rsid w:val="0072111B"/>
    <w:rsid w:val="0072121B"/>
    <w:rsid w:val="00721988"/>
    <w:rsid w:val="00722142"/>
    <w:rsid w:val="0072289D"/>
    <w:rsid w:val="00722D31"/>
    <w:rsid w:val="00722E09"/>
    <w:rsid w:val="0072338D"/>
    <w:rsid w:val="007235DD"/>
    <w:rsid w:val="00724109"/>
    <w:rsid w:val="00724112"/>
    <w:rsid w:val="00724409"/>
    <w:rsid w:val="00724440"/>
    <w:rsid w:val="0072453A"/>
    <w:rsid w:val="0072485A"/>
    <w:rsid w:val="00724A08"/>
    <w:rsid w:val="0072540A"/>
    <w:rsid w:val="00725423"/>
    <w:rsid w:val="0072590B"/>
    <w:rsid w:val="00725A3D"/>
    <w:rsid w:val="00725D34"/>
    <w:rsid w:val="0072625C"/>
    <w:rsid w:val="00726682"/>
    <w:rsid w:val="007267C5"/>
    <w:rsid w:val="00726B4C"/>
    <w:rsid w:val="00727767"/>
    <w:rsid w:val="0072797D"/>
    <w:rsid w:val="00727D5A"/>
    <w:rsid w:val="007300EA"/>
    <w:rsid w:val="0073046A"/>
    <w:rsid w:val="00730546"/>
    <w:rsid w:val="007308CA"/>
    <w:rsid w:val="00730E45"/>
    <w:rsid w:val="007310C3"/>
    <w:rsid w:val="00731111"/>
    <w:rsid w:val="007313C9"/>
    <w:rsid w:val="00731B84"/>
    <w:rsid w:val="00731D7F"/>
    <w:rsid w:val="00731F48"/>
    <w:rsid w:val="0073246D"/>
    <w:rsid w:val="007324A9"/>
    <w:rsid w:val="0073293E"/>
    <w:rsid w:val="007331A9"/>
    <w:rsid w:val="00733423"/>
    <w:rsid w:val="00733810"/>
    <w:rsid w:val="007340C7"/>
    <w:rsid w:val="00734A59"/>
    <w:rsid w:val="0073584B"/>
    <w:rsid w:val="007359BF"/>
    <w:rsid w:val="00735DED"/>
    <w:rsid w:val="00735F82"/>
    <w:rsid w:val="007363DD"/>
    <w:rsid w:val="00736A29"/>
    <w:rsid w:val="00736B7D"/>
    <w:rsid w:val="00736BAC"/>
    <w:rsid w:val="00736EB3"/>
    <w:rsid w:val="00737151"/>
    <w:rsid w:val="00737238"/>
    <w:rsid w:val="007372D9"/>
    <w:rsid w:val="00737704"/>
    <w:rsid w:val="00737BCD"/>
    <w:rsid w:val="00740894"/>
    <w:rsid w:val="007409C6"/>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9C0"/>
    <w:rsid w:val="00744F45"/>
    <w:rsid w:val="00745280"/>
    <w:rsid w:val="00745453"/>
    <w:rsid w:val="00745583"/>
    <w:rsid w:val="007456E8"/>
    <w:rsid w:val="00745939"/>
    <w:rsid w:val="007459B2"/>
    <w:rsid w:val="00745F71"/>
    <w:rsid w:val="00745FB1"/>
    <w:rsid w:val="00746D8B"/>
    <w:rsid w:val="0074740E"/>
    <w:rsid w:val="0074773B"/>
    <w:rsid w:val="00747CDD"/>
    <w:rsid w:val="00747FC8"/>
    <w:rsid w:val="0075051A"/>
    <w:rsid w:val="00750A72"/>
    <w:rsid w:val="00750F54"/>
    <w:rsid w:val="00751528"/>
    <w:rsid w:val="00751618"/>
    <w:rsid w:val="007519CB"/>
    <w:rsid w:val="00752394"/>
    <w:rsid w:val="007525CC"/>
    <w:rsid w:val="0075272E"/>
    <w:rsid w:val="00752EA4"/>
    <w:rsid w:val="0075342F"/>
    <w:rsid w:val="00754983"/>
    <w:rsid w:val="00754A69"/>
    <w:rsid w:val="00754D6C"/>
    <w:rsid w:val="00755198"/>
    <w:rsid w:val="0075522E"/>
    <w:rsid w:val="007552A7"/>
    <w:rsid w:val="007559C2"/>
    <w:rsid w:val="00755A00"/>
    <w:rsid w:val="00756ABB"/>
    <w:rsid w:val="00756C0A"/>
    <w:rsid w:val="00757112"/>
    <w:rsid w:val="00757399"/>
    <w:rsid w:val="00757833"/>
    <w:rsid w:val="007578AF"/>
    <w:rsid w:val="00757B92"/>
    <w:rsid w:val="00757CAE"/>
    <w:rsid w:val="00757F0A"/>
    <w:rsid w:val="00760371"/>
    <w:rsid w:val="007607A5"/>
    <w:rsid w:val="0076085D"/>
    <w:rsid w:val="00760B26"/>
    <w:rsid w:val="00760BEE"/>
    <w:rsid w:val="0076145C"/>
    <w:rsid w:val="00761B1D"/>
    <w:rsid w:val="00761CFD"/>
    <w:rsid w:val="00761D1D"/>
    <w:rsid w:val="007622AE"/>
    <w:rsid w:val="007631BD"/>
    <w:rsid w:val="007632B2"/>
    <w:rsid w:val="007634B2"/>
    <w:rsid w:val="007637DF"/>
    <w:rsid w:val="00764154"/>
    <w:rsid w:val="0076448E"/>
    <w:rsid w:val="00764907"/>
    <w:rsid w:val="00764CB7"/>
    <w:rsid w:val="00764F43"/>
    <w:rsid w:val="0076515E"/>
    <w:rsid w:val="007652E9"/>
    <w:rsid w:val="007653FA"/>
    <w:rsid w:val="00765437"/>
    <w:rsid w:val="00765909"/>
    <w:rsid w:val="00765E2C"/>
    <w:rsid w:val="007663C8"/>
    <w:rsid w:val="00766762"/>
    <w:rsid w:val="00766B3A"/>
    <w:rsid w:val="00766B7A"/>
    <w:rsid w:val="00766F6D"/>
    <w:rsid w:val="00767494"/>
    <w:rsid w:val="007675D5"/>
    <w:rsid w:val="00767B52"/>
    <w:rsid w:val="00767C30"/>
    <w:rsid w:val="0077024A"/>
    <w:rsid w:val="007708DD"/>
    <w:rsid w:val="00770B5F"/>
    <w:rsid w:val="00770E21"/>
    <w:rsid w:val="007710EE"/>
    <w:rsid w:val="0077119D"/>
    <w:rsid w:val="007711BC"/>
    <w:rsid w:val="007712E3"/>
    <w:rsid w:val="00771375"/>
    <w:rsid w:val="007717B1"/>
    <w:rsid w:val="00771E01"/>
    <w:rsid w:val="00771F47"/>
    <w:rsid w:val="00772759"/>
    <w:rsid w:val="007728F1"/>
    <w:rsid w:val="00772B18"/>
    <w:rsid w:val="00773413"/>
    <w:rsid w:val="00773537"/>
    <w:rsid w:val="007736B4"/>
    <w:rsid w:val="007737E8"/>
    <w:rsid w:val="0077458C"/>
    <w:rsid w:val="0077488B"/>
    <w:rsid w:val="00774A16"/>
    <w:rsid w:val="00775014"/>
    <w:rsid w:val="00775027"/>
    <w:rsid w:val="007755BF"/>
    <w:rsid w:val="00775741"/>
    <w:rsid w:val="007757C8"/>
    <w:rsid w:val="007759D9"/>
    <w:rsid w:val="007759E5"/>
    <w:rsid w:val="00775B43"/>
    <w:rsid w:val="00775F35"/>
    <w:rsid w:val="007760EF"/>
    <w:rsid w:val="00776264"/>
    <w:rsid w:val="007764FF"/>
    <w:rsid w:val="007766E4"/>
    <w:rsid w:val="007766EB"/>
    <w:rsid w:val="007768BC"/>
    <w:rsid w:val="007771CA"/>
    <w:rsid w:val="007772AC"/>
    <w:rsid w:val="007776F0"/>
    <w:rsid w:val="00777A28"/>
    <w:rsid w:val="00777E59"/>
    <w:rsid w:val="00777F11"/>
    <w:rsid w:val="00780223"/>
    <w:rsid w:val="0078028D"/>
    <w:rsid w:val="007802AC"/>
    <w:rsid w:val="007811D0"/>
    <w:rsid w:val="00781F92"/>
    <w:rsid w:val="00782680"/>
    <w:rsid w:val="007830E5"/>
    <w:rsid w:val="0078357B"/>
    <w:rsid w:val="0078387D"/>
    <w:rsid w:val="007838D8"/>
    <w:rsid w:val="007839AD"/>
    <w:rsid w:val="00783C6C"/>
    <w:rsid w:val="00784255"/>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9057E"/>
    <w:rsid w:val="007905BF"/>
    <w:rsid w:val="00790B29"/>
    <w:rsid w:val="007911CF"/>
    <w:rsid w:val="007913FE"/>
    <w:rsid w:val="00791727"/>
    <w:rsid w:val="0079173A"/>
    <w:rsid w:val="0079197F"/>
    <w:rsid w:val="00791F1C"/>
    <w:rsid w:val="00792505"/>
    <w:rsid w:val="00792527"/>
    <w:rsid w:val="007926F9"/>
    <w:rsid w:val="00792A26"/>
    <w:rsid w:val="00792B1A"/>
    <w:rsid w:val="00792C0A"/>
    <w:rsid w:val="0079304A"/>
    <w:rsid w:val="0079375A"/>
    <w:rsid w:val="00793953"/>
    <w:rsid w:val="007939C9"/>
    <w:rsid w:val="00793A3C"/>
    <w:rsid w:val="00793EB3"/>
    <w:rsid w:val="00793FD4"/>
    <w:rsid w:val="007945AF"/>
    <w:rsid w:val="00795310"/>
    <w:rsid w:val="00795586"/>
    <w:rsid w:val="00795660"/>
    <w:rsid w:val="007956D3"/>
    <w:rsid w:val="00795770"/>
    <w:rsid w:val="0079594B"/>
    <w:rsid w:val="00795C5D"/>
    <w:rsid w:val="007965DA"/>
    <w:rsid w:val="00796708"/>
    <w:rsid w:val="007970BE"/>
    <w:rsid w:val="007970E4"/>
    <w:rsid w:val="00797D4B"/>
    <w:rsid w:val="007A0A4D"/>
    <w:rsid w:val="007A0CFD"/>
    <w:rsid w:val="007A0D65"/>
    <w:rsid w:val="007A0EC1"/>
    <w:rsid w:val="007A0EFB"/>
    <w:rsid w:val="007A1ACC"/>
    <w:rsid w:val="007A1E35"/>
    <w:rsid w:val="007A2225"/>
    <w:rsid w:val="007A2354"/>
    <w:rsid w:val="007A26BA"/>
    <w:rsid w:val="007A2B2A"/>
    <w:rsid w:val="007A2D52"/>
    <w:rsid w:val="007A2F3D"/>
    <w:rsid w:val="007A3714"/>
    <w:rsid w:val="007A3D29"/>
    <w:rsid w:val="007A40AD"/>
    <w:rsid w:val="007A40E3"/>
    <w:rsid w:val="007A4456"/>
    <w:rsid w:val="007A4EF1"/>
    <w:rsid w:val="007A5017"/>
    <w:rsid w:val="007A507A"/>
    <w:rsid w:val="007A513F"/>
    <w:rsid w:val="007A5548"/>
    <w:rsid w:val="007A5C5E"/>
    <w:rsid w:val="007A5D63"/>
    <w:rsid w:val="007A5E95"/>
    <w:rsid w:val="007A6553"/>
    <w:rsid w:val="007A6C8A"/>
    <w:rsid w:val="007A6D88"/>
    <w:rsid w:val="007A6D9A"/>
    <w:rsid w:val="007A729E"/>
    <w:rsid w:val="007A79F1"/>
    <w:rsid w:val="007A7A7B"/>
    <w:rsid w:val="007A7CD8"/>
    <w:rsid w:val="007B00CD"/>
    <w:rsid w:val="007B0439"/>
    <w:rsid w:val="007B0881"/>
    <w:rsid w:val="007B08B5"/>
    <w:rsid w:val="007B13E7"/>
    <w:rsid w:val="007B15B0"/>
    <w:rsid w:val="007B15C9"/>
    <w:rsid w:val="007B1647"/>
    <w:rsid w:val="007B1E26"/>
    <w:rsid w:val="007B1E93"/>
    <w:rsid w:val="007B2134"/>
    <w:rsid w:val="007B3074"/>
    <w:rsid w:val="007B32FE"/>
    <w:rsid w:val="007B3B76"/>
    <w:rsid w:val="007B3DB4"/>
    <w:rsid w:val="007B41DD"/>
    <w:rsid w:val="007B47D5"/>
    <w:rsid w:val="007B4CDA"/>
    <w:rsid w:val="007B4F8F"/>
    <w:rsid w:val="007B52C3"/>
    <w:rsid w:val="007B57B7"/>
    <w:rsid w:val="007B5A5F"/>
    <w:rsid w:val="007B68CB"/>
    <w:rsid w:val="007B6ACA"/>
    <w:rsid w:val="007B6DF8"/>
    <w:rsid w:val="007B6E0D"/>
    <w:rsid w:val="007B7096"/>
    <w:rsid w:val="007B7DC8"/>
    <w:rsid w:val="007C01C2"/>
    <w:rsid w:val="007C064D"/>
    <w:rsid w:val="007C0655"/>
    <w:rsid w:val="007C0784"/>
    <w:rsid w:val="007C09B4"/>
    <w:rsid w:val="007C0D8D"/>
    <w:rsid w:val="007C0E3C"/>
    <w:rsid w:val="007C1042"/>
    <w:rsid w:val="007C1562"/>
    <w:rsid w:val="007C1B81"/>
    <w:rsid w:val="007C1DA8"/>
    <w:rsid w:val="007C230B"/>
    <w:rsid w:val="007C3220"/>
    <w:rsid w:val="007C322F"/>
    <w:rsid w:val="007C3298"/>
    <w:rsid w:val="007C3517"/>
    <w:rsid w:val="007C3D9A"/>
    <w:rsid w:val="007C3E8A"/>
    <w:rsid w:val="007C412E"/>
    <w:rsid w:val="007C47C7"/>
    <w:rsid w:val="007C4FDD"/>
    <w:rsid w:val="007C55E2"/>
    <w:rsid w:val="007C5781"/>
    <w:rsid w:val="007C5B34"/>
    <w:rsid w:val="007C5D3D"/>
    <w:rsid w:val="007C5F5B"/>
    <w:rsid w:val="007C6010"/>
    <w:rsid w:val="007C65A0"/>
    <w:rsid w:val="007C6EA0"/>
    <w:rsid w:val="007C6EA5"/>
    <w:rsid w:val="007C7058"/>
    <w:rsid w:val="007C77E8"/>
    <w:rsid w:val="007C7830"/>
    <w:rsid w:val="007C7F3F"/>
    <w:rsid w:val="007D0590"/>
    <w:rsid w:val="007D05E3"/>
    <w:rsid w:val="007D1255"/>
    <w:rsid w:val="007D1A9F"/>
    <w:rsid w:val="007D2A1D"/>
    <w:rsid w:val="007D2A53"/>
    <w:rsid w:val="007D3697"/>
    <w:rsid w:val="007D443E"/>
    <w:rsid w:val="007D44FA"/>
    <w:rsid w:val="007D48CA"/>
    <w:rsid w:val="007D4ABB"/>
    <w:rsid w:val="007D4B10"/>
    <w:rsid w:val="007D4D0B"/>
    <w:rsid w:val="007D4E6D"/>
    <w:rsid w:val="007D5AC1"/>
    <w:rsid w:val="007D5DE9"/>
    <w:rsid w:val="007D6192"/>
    <w:rsid w:val="007D68D1"/>
    <w:rsid w:val="007D6A03"/>
    <w:rsid w:val="007D6B49"/>
    <w:rsid w:val="007D6CAD"/>
    <w:rsid w:val="007D7561"/>
    <w:rsid w:val="007D75BA"/>
    <w:rsid w:val="007D789B"/>
    <w:rsid w:val="007D7B43"/>
    <w:rsid w:val="007D7B53"/>
    <w:rsid w:val="007D7BFD"/>
    <w:rsid w:val="007D7E0B"/>
    <w:rsid w:val="007E00B4"/>
    <w:rsid w:val="007E02F6"/>
    <w:rsid w:val="007E08BA"/>
    <w:rsid w:val="007E08DE"/>
    <w:rsid w:val="007E168A"/>
    <w:rsid w:val="007E1890"/>
    <w:rsid w:val="007E1A9A"/>
    <w:rsid w:val="007E1D51"/>
    <w:rsid w:val="007E1F32"/>
    <w:rsid w:val="007E23A5"/>
    <w:rsid w:val="007E2719"/>
    <w:rsid w:val="007E2724"/>
    <w:rsid w:val="007E2AA2"/>
    <w:rsid w:val="007E3599"/>
    <w:rsid w:val="007E382D"/>
    <w:rsid w:val="007E3C76"/>
    <w:rsid w:val="007E3CAB"/>
    <w:rsid w:val="007E4053"/>
    <w:rsid w:val="007E4954"/>
    <w:rsid w:val="007E4A5D"/>
    <w:rsid w:val="007E4BEE"/>
    <w:rsid w:val="007E4E69"/>
    <w:rsid w:val="007E56DF"/>
    <w:rsid w:val="007E5865"/>
    <w:rsid w:val="007E59B2"/>
    <w:rsid w:val="007E5B25"/>
    <w:rsid w:val="007E6CE6"/>
    <w:rsid w:val="007E74F8"/>
    <w:rsid w:val="007E7AE5"/>
    <w:rsid w:val="007E7D9E"/>
    <w:rsid w:val="007F055B"/>
    <w:rsid w:val="007F0A35"/>
    <w:rsid w:val="007F10D6"/>
    <w:rsid w:val="007F10EC"/>
    <w:rsid w:val="007F1275"/>
    <w:rsid w:val="007F1E59"/>
    <w:rsid w:val="007F1FF2"/>
    <w:rsid w:val="007F2197"/>
    <w:rsid w:val="007F288B"/>
    <w:rsid w:val="007F2D99"/>
    <w:rsid w:val="007F379B"/>
    <w:rsid w:val="007F3EC4"/>
    <w:rsid w:val="007F3F7E"/>
    <w:rsid w:val="007F4456"/>
    <w:rsid w:val="007F4B36"/>
    <w:rsid w:val="007F4C05"/>
    <w:rsid w:val="007F4C2E"/>
    <w:rsid w:val="007F4F9B"/>
    <w:rsid w:val="007F5142"/>
    <w:rsid w:val="007F53EE"/>
    <w:rsid w:val="007F548A"/>
    <w:rsid w:val="007F588D"/>
    <w:rsid w:val="007F58AA"/>
    <w:rsid w:val="007F5A4C"/>
    <w:rsid w:val="007F5B11"/>
    <w:rsid w:val="007F5C32"/>
    <w:rsid w:val="007F63A6"/>
    <w:rsid w:val="007F67A6"/>
    <w:rsid w:val="007F6D2C"/>
    <w:rsid w:val="007F6E29"/>
    <w:rsid w:val="007F7324"/>
    <w:rsid w:val="007F7B19"/>
    <w:rsid w:val="007F7BC2"/>
    <w:rsid w:val="00800627"/>
    <w:rsid w:val="00800AB0"/>
    <w:rsid w:val="00800D50"/>
    <w:rsid w:val="00801022"/>
    <w:rsid w:val="008011B9"/>
    <w:rsid w:val="008011E0"/>
    <w:rsid w:val="008012FF"/>
    <w:rsid w:val="008014A4"/>
    <w:rsid w:val="00801601"/>
    <w:rsid w:val="00801A02"/>
    <w:rsid w:val="00801BD4"/>
    <w:rsid w:val="00801D67"/>
    <w:rsid w:val="00801D89"/>
    <w:rsid w:val="0080252F"/>
    <w:rsid w:val="008028B6"/>
    <w:rsid w:val="00802D61"/>
    <w:rsid w:val="00802DCE"/>
    <w:rsid w:val="008030F0"/>
    <w:rsid w:val="00803464"/>
    <w:rsid w:val="0080367F"/>
    <w:rsid w:val="008043A8"/>
    <w:rsid w:val="00804A3E"/>
    <w:rsid w:val="00804C8B"/>
    <w:rsid w:val="0080524E"/>
    <w:rsid w:val="00805492"/>
    <w:rsid w:val="00805788"/>
    <w:rsid w:val="00805EE7"/>
    <w:rsid w:val="00806414"/>
    <w:rsid w:val="008064E4"/>
    <w:rsid w:val="00806BA9"/>
    <w:rsid w:val="008072A1"/>
    <w:rsid w:val="00807AEA"/>
    <w:rsid w:val="0081079F"/>
    <w:rsid w:val="00810EB3"/>
    <w:rsid w:val="00810FE7"/>
    <w:rsid w:val="008110D9"/>
    <w:rsid w:val="0081119C"/>
    <w:rsid w:val="008120DF"/>
    <w:rsid w:val="008124CA"/>
    <w:rsid w:val="00812C0B"/>
    <w:rsid w:val="00812E15"/>
    <w:rsid w:val="00813083"/>
    <w:rsid w:val="00813288"/>
    <w:rsid w:val="008132D0"/>
    <w:rsid w:val="0081366E"/>
    <w:rsid w:val="008138B6"/>
    <w:rsid w:val="00813DF8"/>
    <w:rsid w:val="0081446E"/>
    <w:rsid w:val="00814983"/>
    <w:rsid w:val="00815018"/>
    <w:rsid w:val="008155F2"/>
    <w:rsid w:val="0081576E"/>
    <w:rsid w:val="0081582B"/>
    <w:rsid w:val="00815E1C"/>
    <w:rsid w:val="00816124"/>
    <w:rsid w:val="008162B3"/>
    <w:rsid w:val="008165D5"/>
    <w:rsid w:val="00816710"/>
    <w:rsid w:val="008169C0"/>
    <w:rsid w:val="00816B1A"/>
    <w:rsid w:val="0081739D"/>
    <w:rsid w:val="008176F4"/>
    <w:rsid w:val="008177D1"/>
    <w:rsid w:val="00817940"/>
    <w:rsid w:val="00817F63"/>
    <w:rsid w:val="0082009C"/>
    <w:rsid w:val="008207ED"/>
    <w:rsid w:val="00821326"/>
    <w:rsid w:val="00821560"/>
    <w:rsid w:val="00821BC3"/>
    <w:rsid w:val="00822950"/>
    <w:rsid w:val="00822B06"/>
    <w:rsid w:val="00823198"/>
    <w:rsid w:val="00823868"/>
    <w:rsid w:val="00823F1E"/>
    <w:rsid w:val="0082426E"/>
    <w:rsid w:val="00824412"/>
    <w:rsid w:val="0082443B"/>
    <w:rsid w:val="0082456C"/>
    <w:rsid w:val="0082480C"/>
    <w:rsid w:val="00825476"/>
    <w:rsid w:val="008257D2"/>
    <w:rsid w:val="0082592D"/>
    <w:rsid w:val="00825B08"/>
    <w:rsid w:val="00826650"/>
    <w:rsid w:val="00826DE5"/>
    <w:rsid w:val="008272BB"/>
    <w:rsid w:val="00827742"/>
    <w:rsid w:val="008279A9"/>
    <w:rsid w:val="00830600"/>
    <w:rsid w:val="00830F2B"/>
    <w:rsid w:val="008311C4"/>
    <w:rsid w:val="00831A49"/>
    <w:rsid w:val="00831D5C"/>
    <w:rsid w:val="00831E7A"/>
    <w:rsid w:val="008337B5"/>
    <w:rsid w:val="008339F3"/>
    <w:rsid w:val="00833A5D"/>
    <w:rsid w:val="00833F2C"/>
    <w:rsid w:val="00834236"/>
    <w:rsid w:val="008359F2"/>
    <w:rsid w:val="00835BC5"/>
    <w:rsid w:val="00835C0E"/>
    <w:rsid w:val="008364C3"/>
    <w:rsid w:val="00836C79"/>
    <w:rsid w:val="00837204"/>
    <w:rsid w:val="00837930"/>
    <w:rsid w:val="00837AE6"/>
    <w:rsid w:val="00837AF8"/>
    <w:rsid w:val="00840805"/>
    <w:rsid w:val="00840908"/>
    <w:rsid w:val="008409C0"/>
    <w:rsid w:val="008409E5"/>
    <w:rsid w:val="00840D65"/>
    <w:rsid w:val="00841005"/>
    <w:rsid w:val="00841198"/>
    <w:rsid w:val="0084125B"/>
    <w:rsid w:val="00841780"/>
    <w:rsid w:val="0084243D"/>
    <w:rsid w:val="00842500"/>
    <w:rsid w:val="00842C81"/>
    <w:rsid w:val="00842DE7"/>
    <w:rsid w:val="00842DF2"/>
    <w:rsid w:val="00842E14"/>
    <w:rsid w:val="008436BA"/>
    <w:rsid w:val="00843993"/>
    <w:rsid w:val="008439C9"/>
    <w:rsid w:val="00843FA1"/>
    <w:rsid w:val="0084405D"/>
    <w:rsid w:val="008441C7"/>
    <w:rsid w:val="008450A8"/>
    <w:rsid w:val="008454C4"/>
    <w:rsid w:val="00845F1E"/>
    <w:rsid w:val="008461CF"/>
    <w:rsid w:val="00846481"/>
    <w:rsid w:val="00846862"/>
    <w:rsid w:val="00846C16"/>
    <w:rsid w:val="0084741D"/>
    <w:rsid w:val="00847467"/>
    <w:rsid w:val="00847AC0"/>
    <w:rsid w:val="00847EB8"/>
    <w:rsid w:val="00850138"/>
    <w:rsid w:val="00850634"/>
    <w:rsid w:val="00850B25"/>
    <w:rsid w:val="00850C98"/>
    <w:rsid w:val="00850D65"/>
    <w:rsid w:val="00850F2D"/>
    <w:rsid w:val="00851132"/>
    <w:rsid w:val="00851D4D"/>
    <w:rsid w:val="00852137"/>
    <w:rsid w:val="0085214D"/>
    <w:rsid w:val="008528CD"/>
    <w:rsid w:val="00852904"/>
    <w:rsid w:val="008533B7"/>
    <w:rsid w:val="00853485"/>
    <w:rsid w:val="00853666"/>
    <w:rsid w:val="00853CFB"/>
    <w:rsid w:val="008547A1"/>
    <w:rsid w:val="0085534B"/>
    <w:rsid w:val="0085537A"/>
    <w:rsid w:val="008555A9"/>
    <w:rsid w:val="00855F82"/>
    <w:rsid w:val="0085605A"/>
    <w:rsid w:val="008565BC"/>
    <w:rsid w:val="00856909"/>
    <w:rsid w:val="00856EF6"/>
    <w:rsid w:val="008570BC"/>
    <w:rsid w:val="008570E1"/>
    <w:rsid w:val="00857813"/>
    <w:rsid w:val="00857873"/>
    <w:rsid w:val="00857980"/>
    <w:rsid w:val="00860568"/>
    <w:rsid w:val="0086089A"/>
    <w:rsid w:val="00860CD2"/>
    <w:rsid w:val="00860E30"/>
    <w:rsid w:val="008616B1"/>
    <w:rsid w:val="008617CE"/>
    <w:rsid w:val="008619F0"/>
    <w:rsid w:val="0086264D"/>
    <w:rsid w:val="00862784"/>
    <w:rsid w:val="00862F48"/>
    <w:rsid w:val="0086331D"/>
    <w:rsid w:val="00863AC1"/>
    <w:rsid w:val="00864A42"/>
    <w:rsid w:val="00865007"/>
    <w:rsid w:val="0086506E"/>
    <w:rsid w:val="0086526F"/>
    <w:rsid w:val="008653BB"/>
    <w:rsid w:val="00865B6E"/>
    <w:rsid w:val="008662BA"/>
    <w:rsid w:val="008665D6"/>
    <w:rsid w:val="0086683E"/>
    <w:rsid w:val="00866981"/>
    <w:rsid w:val="00866A7D"/>
    <w:rsid w:val="00866FB2"/>
    <w:rsid w:val="00867010"/>
    <w:rsid w:val="00867369"/>
    <w:rsid w:val="008676CD"/>
    <w:rsid w:val="00867889"/>
    <w:rsid w:val="00867B5F"/>
    <w:rsid w:val="00867E3F"/>
    <w:rsid w:val="00867F5F"/>
    <w:rsid w:val="00870A8B"/>
    <w:rsid w:val="00871073"/>
    <w:rsid w:val="00871ED9"/>
    <w:rsid w:val="00872443"/>
    <w:rsid w:val="008724F8"/>
    <w:rsid w:val="00872811"/>
    <w:rsid w:val="008728F2"/>
    <w:rsid w:val="00872BB3"/>
    <w:rsid w:val="0087345A"/>
    <w:rsid w:val="0087351F"/>
    <w:rsid w:val="0087363C"/>
    <w:rsid w:val="008738E4"/>
    <w:rsid w:val="00873EF2"/>
    <w:rsid w:val="00874096"/>
    <w:rsid w:val="0087437D"/>
    <w:rsid w:val="008746E8"/>
    <w:rsid w:val="008748DD"/>
    <w:rsid w:val="00874C95"/>
    <w:rsid w:val="00874DFD"/>
    <w:rsid w:val="00875408"/>
    <w:rsid w:val="0087592C"/>
    <w:rsid w:val="00875991"/>
    <w:rsid w:val="00876030"/>
    <w:rsid w:val="0087639C"/>
    <w:rsid w:val="008763EE"/>
    <w:rsid w:val="00876A1F"/>
    <w:rsid w:val="00876AFE"/>
    <w:rsid w:val="00876BC1"/>
    <w:rsid w:val="00877090"/>
    <w:rsid w:val="008775AD"/>
    <w:rsid w:val="00877784"/>
    <w:rsid w:val="008778AE"/>
    <w:rsid w:val="00877948"/>
    <w:rsid w:val="00877A05"/>
    <w:rsid w:val="008805DB"/>
    <w:rsid w:val="008807FE"/>
    <w:rsid w:val="00880D51"/>
    <w:rsid w:val="00880D71"/>
    <w:rsid w:val="00881418"/>
    <w:rsid w:val="008814EC"/>
    <w:rsid w:val="0088177D"/>
    <w:rsid w:val="00881EFE"/>
    <w:rsid w:val="008825D3"/>
    <w:rsid w:val="008827C0"/>
    <w:rsid w:val="00882BF0"/>
    <w:rsid w:val="008833DF"/>
    <w:rsid w:val="00883683"/>
    <w:rsid w:val="00883A05"/>
    <w:rsid w:val="00884033"/>
    <w:rsid w:val="0088426B"/>
    <w:rsid w:val="00885129"/>
    <w:rsid w:val="00885161"/>
    <w:rsid w:val="00885305"/>
    <w:rsid w:val="008853EA"/>
    <w:rsid w:val="00885764"/>
    <w:rsid w:val="00885784"/>
    <w:rsid w:val="008857CF"/>
    <w:rsid w:val="00885807"/>
    <w:rsid w:val="00885987"/>
    <w:rsid w:val="00885DAA"/>
    <w:rsid w:val="00885DE9"/>
    <w:rsid w:val="00886002"/>
    <w:rsid w:val="008860CF"/>
    <w:rsid w:val="0088611C"/>
    <w:rsid w:val="008864C4"/>
    <w:rsid w:val="008864ED"/>
    <w:rsid w:val="0088653D"/>
    <w:rsid w:val="00886971"/>
    <w:rsid w:val="00886A4E"/>
    <w:rsid w:val="00886C57"/>
    <w:rsid w:val="008871E3"/>
    <w:rsid w:val="008873A7"/>
    <w:rsid w:val="00887A37"/>
    <w:rsid w:val="00887AAD"/>
    <w:rsid w:val="00887CCD"/>
    <w:rsid w:val="00887EEB"/>
    <w:rsid w:val="0089003C"/>
    <w:rsid w:val="00890681"/>
    <w:rsid w:val="008909E4"/>
    <w:rsid w:val="00891215"/>
    <w:rsid w:val="00891360"/>
    <w:rsid w:val="00891807"/>
    <w:rsid w:val="00891992"/>
    <w:rsid w:val="00892C38"/>
    <w:rsid w:val="00892D54"/>
    <w:rsid w:val="008930B9"/>
    <w:rsid w:val="00893AC9"/>
    <w:rsid w:val="008941DE"/>
    <w:rsid w:val="00894524"/>
    <w:rsid w:val="0089481C"/>
    <w:rsid w:val="00894C98"/>
    <w:rsid w:val="00894D2F"/>
    <w:rsid w:val="00895691"/>
    <w:rsid w:val="00895807"/>
    <w:rsid w:val="00895DF3"/>
    <w:rsid w:val="008964EA"/>
    <w:rsid w:val="008967D1"/>
    <w:rsid w:val="00896907"/>
    <w:rsid w:val="00896E2D"/>
    <w:rsid w:val="008971F8"/>
    <w:rsid w:val="00897852"/>
    <w:rsid w:val="00897E6E"/>
    <w:rsid w:val="008A03BC"/>
    <w:rsid w:val="008A08F5"/>
    <w:rsid w:val="008A1964"/>
    <w:rsid w:val="008A1D76"/>
    <w:rsid w:val="008A23D6"/>
    <w:rsid w:val="008A2780"/>
    <w:rsid w:val="008A2917"/>
    <w:rsid w:val="008A2C46"/>
    <w:rsid w:val="008A39F8"/>
    <w:rsid w:val="008A4533"/>
    <w:rsid w:val="008A4A43"/>
    <w:rsid w:val="008A4B01"/>
    <w:rsid w:val="008A4CB9"/>
    <w:rsid w:val="008A534D"/>
    <w:rsid w:val="008A69FA"/>
    <w:rsid w:val="008A6C7B"/>
    <w:rsid w:val="008A6D25"/>
    <w:rsid w:val="008A6DC6"/>
    <w:rsid w:val="008A70C6"/>
    <w:rsid w:val="008A71CC"/>
    <w:rsid w:val="008A7371"/>
    <w:rsid w:val="008A7848"/>
    <w:rsid w:val="008B0835"/>
    <w:rsid w:val="008B0C13"/>
    <w:rsid w:val="008B123E"/>
    <w:rsid w:val="008B14F2"/>
    <w:rsid w:val="008B218E"/>
    <w:rsid w:val="008B27AF"/>
    <w:rsid w:val="008B35E0"/>
    <w:rsid w:val="008B364E"/>
    <w:rsid w:val="008B369A"/>
    <w:rsid w:val="008B36E5"/>
    <w:rsid w:val="008B3993"/>
    <w:rsid w:val="008B3A53"/>
    <w:rsid w:val="008B3B2B"/>
    <w:rsid w:val="008B4BD2"/>
    <w:rsid w:val="008B4CD9"/>
    <w:rsid w:val="008B4D90"/>
    <w:rsid w:val="008B51FA"/>
    <w:rsid w:val="008B542E"/>
    <w:rsid w:val="008B5792"/>
    <w:rsid w:val="008B58D3"/>
    <w:rsid w:val="008B58F6"/>
    <w:rsid w:val="008B5C63"/>
    <w:rsid w:val="008B5D90"/>
    <w:rsid w:val="008B68AF"/>
    <w:rsid w:val="008B6C24"/>
    <w:rsid w:val="008B6D86"/>
    <w:rsid w:val="008B7729"/>
    <w:rsid w:val="008B78B7"/>
    <w:rsid w:val="008B7D99"/>
    <w:rsid w:val="008C06EF"/>
    <w:rsid w:val="008C09DD"/>
    <w:rsid w:val="008C1229"/>
    <w:rsid w:val="008C1B16"/>
    <w:rsid w:val="008C1BE5"/>
    <w:rsid w:val="008C1C40"/>
    <w:rsid w:val="008C1F34"/>
    <w:rsid w:val="008C252F"/>
    <w:rsid w:val="008C2981"/>
    <w:rsid w:val="008C3A94"/>
    <w:rsid w:val="008C3C0E"/>
    <w:rsid w:val="008C3C1C"/>
    <w:rsid w:val="008C3D09"/>
    <w:rsid w:val="008C3F37"/>
    <w:rsid w:val="008C4201"/>
    <w:rsid w:val="008C47AE"/>
    <w:rsid w:val="008C497F"/>
    <w:rsid w:val="008C49EB"/>
    <w:rsid w:val="008C4BC8"/>
    <w:rsid w:val="008C4E98"/>
    <w:rsid w:val="008C5251"/>
    <w:rsid w:val="008C58DA"/>
    <w:rsid w:val="008C5E13"/>
    <w:rsid w:val="008C5E68"/>
    <w:rsid w:val="008C6146"/>
    <w:rsid w:val="008C61AE"/>
    <w:rsid w:val="008C6251"/>
    <w:rsid w:val="008C637A"/>
    <w:rsid w:val="008C6601"/>
    <w:rsid w:val="008C6D8F"/>
    <w:rsid w:val="008C74AA"/>
    <w:rsid w:val="008C7533"/>
    <w:rsid w:val="008C7731"/>
    <w:rsid w:val="008C786F"/>
    <w:rsid w:val="008C7DBC"/>
    <w:rsid w:val="008C7E21"/>
    <w:rsid w:val="008C7FE2"/>
    <w:rsid w:val="008D03EB"/>
    <w:rsid w:val="008D0D71"/>
    <w:rsid w:val="008D0D88"/>
    <w:rsid w:val="008D12D5"/>
    <w:rsid w:val="008D196A"/>
    <w:rsid w:val="008D1970"/>
    <w:rsid w:val="008D1D09"/>
    <w:rsid w:val="008D1F6F"/>
    <w:rsid w:val="008D1FDB"/>
    <w:rsid w:val="008D27DE"/>
    <w:rsid w:val="008D3179"/>
    <w:rsid w:val="008D3D2C"/>
    <w:rsid w:val="008D3D4B"/>
    <w:rsid w:val="008D3DF2"/>
    <w:rsid w:val="008D40F6"/>
    <w:rsid w:val="008D4B8E"/>
    <w:rsid w:val="008D55A3"/>
    <w:rsid w:val="008D5DEC"/>
    <w:rsid w:val="008D5FD4"/>
    <w:rsid w:val="008D61B6"/>
    <w:rsid w:val="008D61EB"/>
    <w:rsid w:val="008D64FA"/>
    <w:rsid w:val="008D64FB"/>
    <w:rsid w:val="008D6501"/>
    <w:rsid w:val="008D6788"/>
    <w:rsid w:val="008D6BBA"/>
    <w:rsid w:val="008D7386"/>
    <w:rsid w:val="008D76C0"/>
    <w:rsid w:val="008D7C9D"/>
    <w:rsid w:val="008E0000"/>
    <w:rsid w:val="008E0632"/>
    <w:rsid w:val="008E063A"/>
    <w:rsid w:val="008E1385"/>
    <w:rsid w:val="008E15E4"/>
    <w:rsid w:val="008E1744"/>
    <w:rsid w:val="008E183D"/>
    <w:rsid w:val="008E1C53"/>
    <w:rsid w:val="008E23C7"/>
    <w:rsid w:val="008E264E"/>
    <w:rsid w:val="008E28DB"/>
    <w:rsid w:val="008E2947"/>
    <w:rsid w:val="008E2A47"/>
    <w:rsid w:val="008E3A8E"/>
    <w:rsid w:val="008E441F"/>
    <w:rsid w:val="008E4646"/>
    <w:rsid w:val="008E4870"/>
    <w:rsid w:val="008E4BBA"/>
    <w:rsid w:val="008E4D7E"/>
    <w:rsid w:val="008E519E"/>
    <w:rsid w:val="008E58F1"/>
    <w:rsid w:val="008E5ADF"/>
    <w:rsid w:val="008E5DFF"/>
    <w:rsid w:val="008E65A1"/>
    <w:rsid w:val="008E6A40"/>
    <w:rsid w:val="008E6FBD"/>
    <w:rsid w:val="008E7284"/>
    <w:rsid w:val="008E7348"/>
    <w:rsid w:val="008E74BF"/>
    <w:rsid w:val="008E7948"/>
    <w:rsid w:val="008E7FD6"/>
    <w:rsid w:val="008F0229"/>
    <w:rsid w:val="008F025D"/>
    <w:rsid w:val="008F02A1"/>
    <w:rsid w:val="008F043B"/>
    <w:rsid w:val="008F07C0"/>
    <w:rsid w:val="008F1225"/>
    <w:rsid w:val="008F13CC"/>
    <w:rsid w:val="008F1425"/>
    <w:rsid w:val="008F16B2"/>
    <w:rsid w:val="008F1A28"/>
    <w:rsid w:val="008F20F1"/>
    <w:rsid w:val="008F280C"/>
    <w:rsid w:val="008F2B23"/>
    <w:rsid w:val="008F2DE8"/>
    <w:rsid w:val="008F307F"/>
    <w:rsid w:val="008F3B21"/>
    <w:rsid w:val="008F3F92"/>
    <w:rsid w:val="008F424A"/>
    <w:rsid w:val="008F4947"/>
    <w:rsid w:val="008F4BC6"/>
    <w:rsid w:val="008F526E"/>
    <w:rsid w:val="008F52AD"/>
    <w:rsid w:val="008F5D23"/>
    <w:rsid w:val="008F6555"/>
    <w:rsid w:val="008F686F"/>
    <w:rsid w:val="008F6973"/>
    <w:rsid w:val="008F72BF"/>
    <w:rsid w:val="008F77AD"/>
    <w:rsid w:val="008F7C5A"/>
    <w:rsid w:val="009001C6"/>
    <w:rsid w:val="009001DE"/>
    <w:rsid w:val="00900404"/>
    <w:rsid w:val="009005BC"/>
    <w:rsid w:val="0090076E"/>
    <w:rsid w:val="009008DD"/>
    <w:rsid w:val="00900E60"/>
    <w:rsid w:val="00900FA9"/>
    <w:rsid w:val="0090101C"/>
    <w:rsid w:val="009014CD"/>
    <w:rsid w:val="0090175B"/>
    <w:rsid w:val="00901803"/>
    <w:rsid w:val="00901EDD"/>
    <w:rsid w:val="00902509"/>
    <w:rsid w:val="009026B8"/>
    <w:rsid w:val="0090274D"/>
    <w:rsid w:val="00902805"/>
    <w:rsid w:val="00902E0D"/>
    <w:rsid w:val="00902FD7"/>
    <w:rsid w:val="00903157"/>
    <w:rsid w:val="009034BF"/>
    <w:rsid w:val="00903692"/>
    <w:rsid w:val="00903A01"/>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1023F"/>
    <w:rsid w:val="0091081E"/>
    <w:rsid w:val="00910B47"/>
    <w:rsid w:val="009116C4"/>
    <w:rsid w:val="00911718"/>
    <w:rsid w:val="0091223F"/>
    <w:rsid w:val="00912F2F"/>
    <w:rsid w:val="009137A4"/>
    <w:rsid w:val="009137EE"/>
    <w:rsid w:val="00913C45"/>
    <w:rsid w:val="009146FE"/>
    <w:rsid w:val="00914853"/>
    <w:rsid w:val="00914D5F"/>
    <w:rsid w:val="00914E7B"/>
    <w:rsid w:val="00915036"/>
    <w:rsid w:val="00915064"/>
    <w:rsid w:val="009150BD"/>
    <w:rsid w:val="009150F0"/>
    <w:rsid w:val="00915DCF"/>
    <w:rsid w:val="00916B39"/>
    <w:rsid w:val="00920588"/>
    <w:rsid w:val="009206EA"/>
    <w:rsid w:val="00920DC4"/>
    <w:rsid w:val="00920E50"/>
    <w:rsid w:val="009211FB"/>
    <w:rsid w:val="009213B9"/>
    <w:rsid w:val="00921430"/>
    <w:rsid w:val="00921445"/>
    <w:rsid w:val="00921CA1"/>
    <w:rsid w:val="00921FBE"/>
    <w:rsid w:val="00922022"/>
    <w:rsid w:val="00922ECF"/>
    <w:rsid w:val="00923519"/>
    <w:rsid w:val="009242E9"/>
    <w:rsid w:val="0092433C"/>
    <w:rsid w:val="009245B4"/>
    <w:rsid w:val="009245EB"/>
    <w:rsid w:val="00924981"/>
    <w:rsid w:val="00924A32"/>
    <w:rsid w:val="00924F92"/>
    <w:rsid w:val="00925222"/>
    <w:rsid w:val="00925619"/>
    <w:rsid w:val="00926132"/>
    <w:rsid w:val="0092613B"/>
    <w:rsid w:val="00927110"/>
    <w:rsid w:val="009273B1"/>
    <w:rsid w:val="009273C7"/>
    <w:rsid w:val="00927749"/>
    <w:rsid w:val="00927C01"/>
    <w:rsid w:val="00927DE2"/>
    <w:rsid w:val="00930260"/>
    <w:rsid w:val="0093074A"/>
    <w:rsid w:val="00930A1F"/>
    <w:rsid w:val="00930CF7"/>
    <w:rsid w:val="009313A9"/>
    <w:rsid w:val="009313D7"/>
    <w:rsid w:val="00931653"/>
    <w:rsid w:val="009318E3"/>
    <w:rsid w:val="00931F50"/>
    <w:rsid w:val="00932098"/>
    <w:rsid w:val="00932767"/>
    <w:rsid w:val="00932818"/>
    <w:rsid w:val="009328D0"/>
    <w:rsid w:val="00932985"/>
    <w:rsid w:val="00932E57"/>
    <w:rsid w:val="0093351D"/>
    <w:rsid w:val="00933B5A"/>
    <w:rsid w:val="00933CAD"/>
    <w:rsid w:val="00933DB1"/>
    <w:rsid w:val="0093479D"/>
    <w:rsid w:val="00934829"/>
    <w:rsid w:val="00934A2E"/>
    <w:rsid w:val="00934CDE"/>
    <w:rsid w:val="00935840"/>
    <w:rsid w:val="00935896"/>
    <w:rsid w:val="00935897"/>
    <w:rsid w:val="00936095"/>
    <w:rsid w:val="00936B35"/>
    <w:rsid w:val="0093709D"/>
    <w:rsid w:val="009371BB"/>
    <w:rsid w:val="00937399"/>
    <w:rsid w:val="00937935"/>
    <w:rsid w:val="009379AF"/>
    <w:rsid w:val="009379F4"/>
    <w:rsid w:val="0094015F"/>
    <w:rsid w:val="009401DE"/>
    <w:rsid w:val="009401ED"/>
    <w:rsid w:val="00940453"/>
    <w:rsid w:val="009404DA"/>
    <w:rsid w:val="00940523"/>
    <w:rsid w:val="009407F9"/>
    <w:rsid w:val="00942543"/>
    <w:rsid w:val="00942730"/>
    <w:rsid w:val="0094291F"/>
    <w:rsid w:val="00942BB9"/>
    <w:rsid w:val="00942BBE"/>
    <w:rsid w:val="00942CDE"/>
    <w:rsid w:val="0094363D"/>
    <w:rsid w:val="00943A2E"/>
    <w:rsid w:val="00944110"/>
    <w:rsid w:val="009442D0"/>
    <w:rsid w:val="009447A6"/>
    <w:rsid w:val="00944FC2"/>
    <w:rsid w:val="0094529B"/>
    <w:rsid w:val="009452DF"/>
    <w:rsid w:val="00945330"/>
    <w:rsid w:val="00945365"/>
    <w:rsid w:val="0094580E"/>
    <w:rsid w:val="00946027"/>
    <w:rsid w:val="009462D4"/>
    <w:rsid w:val="00946A41"/>
    <w:rsid w:val="00946B9D"/>
    <w:rsid w:val="0094725A"/>
    <w:rsid w:val="00950096"/>
    <w:rsid w:val="00950433"/>
    <w:rsid w:val="009508B3"/>
    <w:rsid w:val="00950C97"/>
    <w:rsid w:val="00950E17"/>
    <w:rsid w:val="00950FDD"/>
    <w:rsid w:val="009513B7"/>
    <w:rsid w:val="009514F5"/>
    <w:rsid w:val="0095154B"/>
    <w:rsid w:val="00951BD0"/>
    <w:rsid w:val="009522F5"/>
    <w:rsid w:val="00952B16"/>
    <w:rsid w:val="009531B9"/>
    <w:rsid w:val="00953840"/>
    <w:rsid w:val="00953B74"/>
    <w:rsid w:val="009549CC"/>
    <w:rsid w:val="00954D0A"/>
    <w:rsid w:val="00955406"/>
    <w:rsid w:val="00955465"/>
    <w:rsid w:val="009557F2"/>
    <w:rsid w:val="00955E59"/>
    <w:rsid w:val="00956577"/>
    <w:rsid w:val="0095677B"/>
    <w:rsid w:val="009567CF"/>
    <w:rsid w:val="00956E7A"/>
    <w:rsid w:val="0095727F"/>
    <w:rsid w:val="00960064"/>
    <w:rsid w:val="009606C6"/>
    <w:rsid w:val="00960AC0"/>
    <w:rsid w:val="009617BD"/>
    <w:rsid w:val="00961831"/>
    <w:rsid w:val="0096186E"/>
    <w:rsid w:val="00961CB6"/>
    <w:rsid w:val="0096202B"/>
    <w:rsid w:val="009626DB"/>
    <w:rsid w:val="009627EF"/>
    <w:rsid w:val="0096294B"/>
    <w:rsid w:val="00963177"/>
    <w:rsid w:val="0096351E"/>
    <w:rsid w:val="00964A51"/>
    <w:rsid w:val="00964EF8"/>
    <w:rsid w:val="0096530D"/>
    <w:rsid w:val="009654B1"/>
    <w:rsid w:val="009655E8"/>
    <w:rsid w:val="00965735"/>
    <w:rsid w:val="00965FA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AD"/>
    <w:rsid w:val="00971B20"/>
    <w:rsid w:val="00971EC9"/>
    <w:rsid w:val="00971F61"/>
    <w:rsid w:val="0097202B"/>
    <w:rsid w:val="0097216D"/>
    <w:rsid w:val="00972467"/>
    <w:rsid w:val="0097292A"/>
    <w:rsid w:val="00972BF5"/>
    <w:rsid w:val="00972E3F"/>
    <w:rsid w:val="00972E46"/>
    <w:rsid w:val="00973D63"/>
    <w:rsid w:val="00974531"/>
    <w:rsid w:val="00974623"/>
    <w:rsid w:val="009747AA"/>
    <w:rsid w:val="00974E04"/>
    <w:rsid w:val="009752BD"/>
    <w:rsid w:val="00975560"/>
    <w:rsid w:val="0097558A"/>
    <w:rsid w:val="009758EC"/>
    <w:rsid w:val="009759FF"/>
    <w:rsid w:val="00975A03"/>
    <w:rsid w:val="00975A8C"/>
    <w:rsid w:val="00975AAD"/>
    <w:rsid w:val="00976272"/>
    <w:rsid w:val="009769B3"/>
    <w:rsid w:val="00976C29"/>
    <w:rsid w:val="00977205"/>
    <w:rsid w:val="009806A3"/>
    <w:rsid w:val="00980DD9"/>
    <w:rsid w:val="00981253"/>
    <w:rsid w:val="009816FD"/>
    <w:rsid w:val="00981EE6"/>
    <w:rsid w:val="009828EA"/>
    <w:rsid w:val="00982950"/>
    <w:rsid w:val="00982C6B"/>
    <w:rsid w:val="00982EF8"/>
    <w:rsid w:val="0098300A"/>
    <w:rsid w:val="00983354"/>
    <w:rsid w:val="00983B3E"/>
    <w:rsid w:val="00983B5A"/>
    <w:rsid w:val="00983E2C"/>
    <w:rsid w:val="00984065"/>
    <w:rsid w:val="00984256"/>
    <w:rsid w:val="00984D4C"/>
    <w:rsid w:val="00986019"/>
    <w:rsid w:val="00986514"/>
    <w:rsid w:val="00986695"/>
    <w:rsid w:val="00987172"/>
    <w:rsid w:val="0098734C"/>
    <w:rsid w:val="00987543"/>
    <w:rsid w:val="00987A06"/>
    <w:rsid w:val="00987C79"/>
    <w:rsid w:val="00990C1B"/>
    <w:rsid w:val="00990F4F"/>
    <w:rsid w:val="00991A15"/>
    <w:rsid w:val="00991D21"/>
    <w:rsid w:val="00991E93"/>
    <w:rsid w:val="00992158"/>
    <w:rsid w:val="00992499"/>
    <w:rsid w:val="00992CA8"/>
    <w:rsid w:val="00992F50"/>
    <w:rsid w:val="009935AB"/>
    <w:rsid w:val="00993A64"/>
    <w:rsid w:val="00993ADA"/>
    <w:rsid w:val="00994547"/>
    <w:rsid w:val="00994654"/>
    <w:rsid w:val="00994889"/>
    <w:rsid w:val="009949A7"/>
    <w:rsid w:val="0099500B"/>
    <w:rsid w:val="00995893"/>
    <w:rsid w:val="00995CE3"/>
    <w:rsid w:val="009961E4"/>
    <w:rsid w:val="00996304"/>
    <w:rsid w:val="009970EF"/>
    <w:rsid w:val="0099716C"/>
    <w:rsid w:val="00997561"/>
    <w:rsid w:val="009975DC"/>
    <w:rsid w:val="00997D2B"/>
    <w:rsid w:val="00997DD1"/>
    <w:rsid w:val="009A05A3"/>
    <w:rsid w:val="009A0734"/>
    <w:rsid w:val="009A0AC1"/>
    <w:rsid w:val="009A0DAB"/>
    <w:rsid w:val="009A210D"/>
    <w:rsid w:val="009A2385"/>
    <w:rsid w:val="009A23CD"/>
    <w:rsid w:val="009A28FA"/>
    <w:rsid w:val="009A2BA4"/>
    <w:rsid w:val="009A2E43"/>
    <w:rsid w:val="009A394C"/>
    <w:rsid w:val="009A3987"/>
    <w:rsid w:val="009A3B1E"/>
    <w:rsid w:val="009A3D37"/>
    <w:rsid w:val="009A3D4E"/>
    <w:rsid w:val="009A44D2"/>
    <w:rsid w:val="009A4A9A"/>
    <w:rsid w:val="009A4AAD"/>
    <w:rsid w:val="009A4B3A"/>
    <w:rsid w:val="009A50FF"/>
    <w:rsid w:val="009A5548"/>
    <w:rsid w:val="009A657E"/>
    <w:rsid w:val="009A6676"/>
    <w:rsid w:val="009A6DB4"/>
    <w:rsid w:val="009A79E9"/>
    <w:rsid w:val="009B0933"/>
    <w:rsid w:val="009B0B08"/>
    <w:rsid w:val="009B0C53"/>
    <w:rsid w:val="009B0F02"/>
    <w:rsid w:val="009B10AA"/>
    <w:rsid w:val="009B12EB"/>
    <w:rsid w:val="009B173F"/>
    <w:rsid w:val="009B26CA"/>
    <w:rsid w:val="009B29B5"/>
    <w:rsid w:val="009B2D98"/>
    <w:rsid w:val="009B2E69"/>
    <w:rsid w:val="009B2FF4"/>
    <w:rsid w:val="009B3306"/>
    <w:rsid w:val="009B3935"/>
    <w:rsid w:val="009B39D1"/>
    <w:rsid w:val="009B3AA1"/>
    <w:rsid w:val="009B43B7"/>
    <w:rsid w:val="009B43D0"/>
    <w:rsid w:val="009B4B61"/>
    <w:rsid w:val="009B5ADE"/>
    <w:rsid w:val="009B5B3F"/>
    <w:rsid w:val="009B6736"/>
    <w:rsid w:val="009B695C"/>
    <w:rsid w:val="009B6BD3"/>
    <w:rsid w:val="009B714D"/>
    <w:rsid w:val="009B7164"/>
    <w:rsid w:val="009B756A"/>
    <w:rsid w:val="009B7591"/>
    <w:rsid w:val="009B77F2"/>
    <w:rsid w:val="009B7ABF"/>
    <w:rsid w:val="009C08BD"/>
    <w:rsid w:val="009C0BAB"/>
    <w:rsid w:val="009C0BBE"/>
    <w:rsid w:val="009C0F2C"/>
    <w:rsid w:val="009C0F43"/>
    <w:rsid w:val="009C1D69"/>
    <w:rsid w:val="009C1EAD"/>
    <w:rsid w:val="009C223D"/>
    <w:rsid w:val="009C246A"/>
    <w:rsid w:val="009C2625"/>
    <w:rsid w:val="009C281D"/>
    <w:rsid w:val="009C2837"/>
    <w:rsid w:val="009C2EB7"/>
    <w:rsid w:val="009C2FF5"/>
    <w:rsid w:val="009C30E9"/>
    <w:rsid w:val="009C34DD"/>
    <w:rsid w:val="009C3590"/>
    <w:rsid w:val="009C399F"/>
    <w:rsid w:val="009C3B3D"/>
    <w:rsid w:val="009C3DF9"/>
    <w:rsid w:val="009C49BA"/>
    <w:rsid w:val="009C4B28"/>
    <w:rsid w:val="009C514D"/>
    <w:rsid w:val="009C5C87"/>
    <w:rsid w:val="009C5ED3"/>
    <w:rsid w:val="009C692C"/>
    <w:rsid w:val="009C71E4"/>
    <w:rsid w:val="009C7650"/>
    <w:rsid w:val="009C76C8"/>
    <w:rsid w:val="009C7809"/>
    <w:rsid w:val="009C7C5C"/>
    <w:rsid w:val="009C7C9A"/>
    <w:rsid w:val="009D0732"/>
    <w:rsid w:val="009D0D33"/>
    <w:rsid w:val="009D1366"/>
    <w:rsid w:val="009D1912"/>
    <w:rsid w:val="009D19ED"/>
    <w:rsid w:val="009D21E6"/>
    <w:rsid w:val="009D2BE8"/>
    <w:rsid w:val="009D321F"/>
    <w:rsid w:val="009D35BC"/>
    <w:rsid w:val="009D3669"/>
    <w:rsid w:val="009D378C"/>
    <w:rsid w:val="009D3926"/>
    <w:rsid w:val="009D44EE"/>
    <w:rsid w:val="009D4D7B"/>
    <w:rsid w:val="009D5719"/>
    <w:rsid w:val="009D5729"/>
    <w:rsid w:val="009D64B3"/>
    <w:rsid w:val="009D6610"/>
    <w:rsid w:val="009D6A07"/>
    <w:rsid w:val="009D6A3A"/>
    <w:rsid w:val="009D6AA8"/>
    <w:rsid w:val="009D6BB3"/>
    <w:rsid w:val="009D7552"/>
    <w:rsid w:val="009D75AE"/>
    <w:rsid w:val="009D7882"/>
    <w:rsid w:val="009D78C7"/>
    <w:rsid w:val="009D78FA"/>
    <w:rsid w:val="009D7C02"/>
    <w:rsid w:val="009D7DF9"/>
    <w:rsid w:val="009D7E94"/>
    <w:rsid w:val="009E03C0"/>
    <w:rsid w:val="009E0963"/>
    <w:rsid w:val="009E0C31"/>
    <w:rsid w:val="009E0D19"/>
    <w:rsid w:val="009E0D2B"/>
    <w:rsid w:val="009E0EC3"/>
    <w:rsid w:val="009E0F24"/>
    <w:rsid w:val="009E118C"/>
    <w:rsid w:val="009E1263"/>
    <w:rsid w:val="009E1B89"/>
    <w:rsid w:val="009E24BB"/>
    <w:rsid w:val="009E2B57"/>
    <w:rsid w:val="009E31A2"/>
    <w:rsid w:val="009E32BE"/>
    <w:rsid w:val="009E3373"/>
    <w:rsid w:val="009E348B"/>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315"/>
    <w:rsid w:val="009E6E4D"/>
    <w:rsid w:val="009E7271"/>
    <w:rsid w:val="009E72ED"/>
    <w:rsid w:val="009E77E1"/>
    <w:rsid w:val="009E7A2C"/>
    <w:rsid w:val="009E7F55"/>
    <w:rsid w:val="009F011A"/>
    <w:rsid w:val="009F0286"/>
    <w:rsid w:val="009F036F"/>
    <w:rsid w:val="009F040F"/>
    <w:rsid w:val="009F12CC"/>
    <w:rsid w:val="009F1931"/>
    <w:rsid w:val="009F1BE6"/>
    <w:rsid w:val="009F1CE1"/>
    <w:rsid w:val="009F2A72"/>
    <w:rsid w:val="009F2DE4"/>
    <w:rsid w:val="009F30FB"/>
    <w:rsid w:val="009F312E"/>
    <w:rsid w:val="009F33C3"/>
    <w:rsid w:val="009F366F"/>
    <w:rsid w:val="009F3AE5"/>
    <w:rsid w:val="009F455B"/>
    <w:rsid w:val="009F4BB0"/>
    <w:rsid w:val="009F4E0D"/>
    <w:rsid w:val="009F4E89"/>
    <w:rsid w:val="009F53E8"/>
    <w:rsid w:val="009F55AD"/>
    <w:rsid w:val="009F5D43"/>
    <w:rsid w:val="009F705E"/>
    <w:rsid w:val="009F70A8"/>
    <w:rsid w:val="009F7390"/>
    <w:rsid w:val="009F749F"/>
    <w:rsid w:val="009F75D5"/>
    <w:rsid w:val="009F7676"/>
    <w:rsid w:val="009F7C7F"/>
    <w:rsid w:val="009F7CAC"/>
    <w:rsid w:val="00A0035A"/>
    <w:rsid w:val="00A00C3F"/>
    <w:rsid w:val="00A00DC8"/>
    <w:rsid w:val="00A0128F"/>
    <w:rsid w:val="00A012F4"/>
    <w:rsid w:val="00A02038"/>
    <w:rsid w:val="00A023DE"/>
    <w:rsid w:val="00A02996"/>
    <w:rsid w:val="00A02C1A"/>
    <w:rsid w:val="00A031C0"/>
    <w:rsid w:val="00A033D4"/>
    <w:rsid w:val="00A03587"/>
    <w:rsid w:val="00A03CF2"/>
    <w:rsid w:val="00A043AB"/>
    <w:rsid w:val="00A043FD"/>
    <w:rsid w:val="00A04402"/>
    <w:rsid w:val="00A049AE"/>
    <w:rsid w:val="00A04AB5"/>
    <w:rsid w:val="00A05A87"/>
    <w:rsid w:val="00A06086"/>
    <w:rsid w:val="00A060ED"/>
    <w:rsid w:val="00A064D8"/>
    <w:rsid w:val="00A064D9"/>
    <w:rsid w:val="00A06546"/>
    <w:rsid w:val="00A06AA5"/>
    <w:rsid w:val="00A06F58"/>
    <w:rsid w:val="00A075BA"/>
    <w:rsid w:val="00A07715"/>
    <w:rsid w:val="00A079AA"/>
    <w:rsid w:val="00A07ABC"/>
    <w:rsid w:val="00A07CD2"/>
    <w:rsid w:val="00A10445"/>
    <w:rsid w:val="00A10847"/>
    <w:rsid w:val="00A1193E"/>
    <w:rsid w:val="00A11A8C"/>
    <w:rsid w:val="00A11F96"/>
    <w:rsid w:val="00A123DC"/>
    <w:rsid w:val="00A1246A"/>
    <w:rsid w:val="00A12637"/>
    <w:rsid w:val="00A12CAC"/>
    <w:rsid w:val="00A12EA4"/>
    <w:rsid w:val="00A13418"/>
    <w:rsid w:val="00A138CF"/>
    <w:rsid w:val="00A139AE"/>
    <w:rsid w:val="00A14166"/>
    <w:rsid w:val="00A1421B"/>
    <w:rsid w:val="00A144C0"/>
    <w:rsid w:val="00A14660"/>
    <w:rsid w:val="00A14797"/>
    <w:rsid w:val="00A14C9C"/>
    <w:rsid w:val="00A15942"/>
    <w:rsid w:val="00A163D7"/>
    <w:rsid w:val="00A165A3"/>
    <w:rsid w:val="00A16CF7"/>
    <w:rsid w:val="00A16D2B"/>
    <w:rsid w:val="00A16E5F"/>
    <w:rsid w:val="00A16F7F"/>
    <w:rsid w:val="00A17241"/>
    <w:rsid w:val="00A17378"/>
    <w:rsid w:val="00A178D4"/>
    <w:rsid w:val="00A17908"/>
    <w:rsid w:val="00A17919"/>
    <w:rsid w:val="00A17AA8"/>
    <w:rsid w:val="00A20204"/>
    <w:rsid w:val="00A2040F"/>
    <w:rsid w:val="00A20983"/>
    <w:rsid w:val="00A20F9A"/>
    <w:rsid w:val="00A21102"/>
    <w:rsid w:val="00A216F0"/>
    <w:rsid w:val="00A219EB"/>
    <w:rsid w:val="00A22190"/>
    <w:rsid w:val="00A22430"/>
    <w:rsid w:val="00A231C6"/>
    <w:rsid w:val="00A2358E"/>
    <w:rsid w:val="00A24199"/>
    <w:rsid w:val="00A247ED"/>
    <w:rsid w:val="00A2490D"/>
    <w:rsid w:val="00A24931"/>
    <w:rsid w:val="00A24FC3"/>
    <w:rsid w:val="00A25300"/>
    <w:rsid w:val="00A2543E"/>
    <w:rsid w:val="00A25BD9"/>
    <w:rsid w:val="00A262F2"/>
    <w:rsid w:val="00A263DF"/>
    <w:rsid w:val="00A26793"/>
    <w:rsid w:val="00A267F3"/>
    <w:rsid w:val="00A26A5B"/>
    <w:rsid w:val="00A26B95"/>
    <w:rsid w:val="00A274F7"/>
    <w:rsid w:val="00A2770B"/>
    <w:rsid w:val="00A27F33"/>
    <w:rsid w:val="00A30063"/>
    <w:rsid w:val="00A301FE"/>
    <w:rsid w:val="00A30A35"/>
    <w:rsid w:val="00A310A7"/>
    <w:rsid w:val="00A310F0"/>
    <w:rsid w:val="00A31704"/>
    <w:rsid w:val="00A31718"/>
    <w:rsid w:val="00A32042"/>
    <w:rsid w:val="00A32173"/>
    <w:rsid w:val="00A323E3"/>
    <w:rsid w:val="00A324E2"/>
    <w:rsid w:val="00A32672"/>
    <w:rsid w:val="00A33AE0"/>
    <w:rsid w:val="00A347FA"/>
    <w:rsid w:val="00A34D96"/>
    <w:rsid w:val="00A35963"/>
    <w:rsid w:val="00A35ABC"/>
    <w:rsid w:val="00A35BEE"/>
    <w:rsid w:val="00A35FA0"/>
    <w:rsid w:val="00A36315"/>
    <w:rsid w:val="00A363B0"/>
    <w:rsid w:val="00A36572"/>
    <w:rsid w:val="00A365D9"/>
    <w:rsid w:val="00A36CE5"/>
    <w:rsid w:val="00A36DC1"/>
    <w:rsid w:val="00A370C5"/>
    <w:rsid w:val="00A372E8"/>
    <w:rsid w:val="00A37539"/>
    <w:rsid w:val="00A37748"/>
    <w:rsid w:val="00A3779C"/>
    <w:rsid w:val="00A37CCD"/>
    <w:rsid w:val="00A40C4F"/>
    <w:rsid w:val="00A4143E"/>
    <w:rsid w:val="00A4187E"/>
    <w:rsid w:val="00A41A89"/>
    <w:rsid w:val="00A428D1"/>
    <w:rsid w:val="00A42956"/>
    <w:rsid w:val="00A42FEC"/>
    <w:rsid w:val="00A4368F"/>
    <w:rsid w:val="00A4391A"/>
    <w:rsid w:val="00A43CB7"/>
    <w:rsid w:val="00A43DCA"/>
    <w:rsid w:val="00A440BE"/>
    <w:rsid w:val="00A448E1"/>
    <w:rsid w:val="00A44E7B"/>
    <w:rsid w:val="00A452B3"/>
    <w:rsid w:val="00A45DD8"/>
    <w:rsid w:val="00A46223"/>
    <w:rsid w:val="00A463DF"/>
    <w:rsid w:val="00A4643E"/>
    <w:rsid w:val="00A46683"/>
    <w:rsid w:val="00A46CC6"/>
    <w:rsid w:val="00A46EC5"/>
    <w:rsid w:val="00A4721E"/>
    <w:rsid w:val="00A472A1"/>
    <w:rsid w:val="00A473F8"/>
    <w:rsid w:val="00A475F5"/>
    <w:rsid w:val="00A478E8"/>
    <w:rsid w:val="00A500C0"/>
    <w:rsid w:val="00A5076D"/>
    <w:rsid w:val="00A507C2"/>
    <w:rsid w:val="00A5082C"/>
    <w:rsid w:val="00A509FD"/>
    <w:rsid w:val="00A50B2D"/>
    <w:rsid w:val="00A50C94"/>
    <w:rsid w:val="00A5146B"/>
    <w:rsid w:val="00A514F4"/>
    <w:rsid w:val="00A51CFB"/>
    <w:rsid w:val="00A51E3C"/>
    <w:rsid w:val="00A52155"/>
    <w:rsid w:val="00A52401"/>
    <w:rsid w:val="00A52A7B"/>
    <w:rsid w:val="00A52EB3"/>
    <w:rsid w:val="00A53012"/>
    <w:rsid w:val="00A5313B"/>
    <w:rsid w:val="00A533A3"/>
    <w:rsid w:val="00A5396B"/>
    <w:rsid w:val="00A53993"/>
    <w:rsid w:val="00A5411F"/>
    <w:rsid w:val="00A542A2"/>
    <w:rsid w:val="00A54663"/>
    <w:rsid w:val="00A54766"/>
    <w:rsid w:val="00A5492D"/>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C6E"/>
    <w:rsid w:val="00A60E1A"/>
    <w:rsid w:val="00A618DC"/>
    <w:rsid w:val="00A61B79"/>
    <w:rsid w:val="00A61BEA"/>
    <w:rsid w:val="00A62637"/>
    <w:rsid w:val="00A627DA"/>
    <w:rsid w:val="00A62D46"/>
    <w:rsid w:val="00A63156"/>
    <w:rsid w:val="00A63178"/>
    <w:rsid w:val="00A63840"/>
    <w:rsid w:val="00A63B36"/>
    <w:rsid w:val="00A63C3F"/>
    <w:rsid w:val="00A63E68"/>
    <w:rsid w:val="00A640F1"/>
    <w:rsid w:val="00A64748"/>
    <w:rsid w:val="00A647D5"/>
    <w:rsid w:val="00A65160"/>
    <w:rsid w:val="00A652C0"/>
    <w:rsid w:val="00A65490"/>
    <w:rsid w:val="00A65F2E"/>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1EDC"/>
    <w:rsid w:val="00A7215C"/>
    <w:rsid w:val="00A72807"/>
    <w:rsid w:val="00A72B0D"/>
    <w:rsid w:val="00A730F7"/>
    <w:rsid w:val="00A731FC"/>
    <w:rsid w:val="00A74064"/>
    <w:rsid w:val="00A740B8"/>
    <w:rsid w:val="00A74256"/>
    <w:rsid w:val="00A74974"/>
    <w:rsid w:val="00A74B2F"/>
    <w:rsid w:val="00A74FDF"/>
    <w:rsid w:val="00A75396"/>
    <w:rsid w:val="00A7539B"/>
    <w:rsid w:val="00A755C1"/>
    <w:rsid w:val="00A75DE8"/>
    <w:rsid w:val="00A75EF3"/>
    <w:rsid w:val="00A7629F"/>
    <w:rsid w:val="00A7646D"/>
    <w:rsid w:val="00A76851"/>
    <w:rsid w:val="00A775E9"/>
    <w:rsid w:val="00A776BC"/>
    <w:rsid w:val="00A77A1E"/>
    <w:rsid w:val="00A77EB2"/>
    <w:rsid w:val="00A8031F"/>
    <w:rsid w:val="00A804DA"/>
    <w:rsid w:val="00A819C2"/>
    <w:rsid w:val="00A81CA0"/>
    <w:rsid w:val="00A81DF5"/>
    <w:rsid w:val="00A82074"/>
    <w:rsid w:val="00A82404"/>
    <w:rsid w:val="00A82756"/>
    <w:rsid w:val="00A827BB"/>
    <w:rsid w:val="00A829C4"/>
    <w:rsid w:val="00A8311A"/>
    <w:rsid w:val="00A832B0"/>
    <w:rsid w:val="00A8334E"/>
    <w:rsid w:val="00A8359A"/>
    <w:rsid w:val="00A83DAF"/>
    <w:rsid w:val="00A83E41"/>
    <w:rsid w:val="00A83EF4"/>
    <w:rsid w:val="00A8403D"/>
    <w:rsid w:val="00A84205"/>
    <w:rsid w:val="00A84250"/>
    <w:rsid w:val="00A842C6"/>
    <w:rsid w:val="00A8436F"/>
    <w:rsid w:val="00A84FCC"/>
    <w:rsid w:val="00A85FD5"/>
    <w:rsid w:val="00A86221"/>
    <w:rsid w:val="00A864CE"/>
    <w:rsid w:val="00A8671C"/>
    <w:rsid w:val="00A86EC7"/>
    <w:rsid w:val="00A87003"/>
    <w:rsid w:val="00A87171"/>
    <w:rsid w:val="00A87548"/>
    <w:rsid w:val="00A87EDA"/>
    <w:rsid w:val="00A90125"/>
    <w:rsid w:val="00A90753"/>
    <w:rsid w:val="00A90851"/>
    <w:rsid w:val="00A90A45"/>
    <w:rsid w:val="00A91507"/>
    <w:rsid w:val="00A91C99"/>
    <w:rsid w:val="00A921C8"/>
    <w:rsid w:val="00A924A1"/>
    <w:rsid w:val="00A92885"/>
    <w:rsid w:val="00A92AE2"/>
    <w:rsid w:val="00A92F66"/>
    <w:rsid w:val="00A932CE"/>
    <w:rsid w:val="00A937B9"/>
    <w:rsid w:val="00A93CFA"/>
    <w:rsid w:val="00A93FF2"/>
    <w:rsid w:val="00A9438C"/>
    <w:rsid w:val="00A94C6C"/>
    <w:rsid w:val="00A94DFB"/>
    <w:rsid w:val="00A94FF6"/>
    <w:rsid w:val="00A951DB"/>
    <w:rsid w:val="00A95B4D"/>
    <w:rsid w:val="00A96474"/>
    <w:rsid w:val="00A964ED"/>
    <w:rsid w:val="00A965BE"/>
    <w:rsid w:val="00A969D1"/>
    <w:rsid w:val="00A978C8"/>
    <w:rsid w:val="00A9792F"/>
    <w:rsid w:val="00A97AB6"/>
    <w:rsid w:val="00A97BE3"/>
    <w:rsid w:val="00AA03BC"/>
    <w:rsid w:val="00AA23D5"/>
    <w:rsid w:val="00AA28E8"/>
    <w:rsid w:val="00AA2958"/>
    <w:rsid w:val="00AA393E"/>
    <w:rsid w:val="00AA39B5"/>
    <w:rsid w:val="00AA430F"/>
    <w:rsid w:val="00AA43D6"/>
    <w:rsid w:val="00AA4571"/>
    <w:rsid w:val="00AA462B"/>
    <w:rsid w:val="00AA4B8D"/>
    <w:rsid w:val="00AA4CBA"/>
    <w:rsid w:val="00AA4DD2"/>
    <w:rsid w:val="00AA5053"/>
    <w:rsid w:val="00AA506F"/>
    <w:rsid w:val="00AA647B"/>
    <w:rsid w:val="00AA68A1"/>
    <w:rsid w:val="00AA6C60"/>
    <w:rsid w:val="00AA6EF2"/>
    <w:rsid w:val="00AA78B9"/>
    <w:rsid w:val="00AA7A07"/>
    <w:rsid w:val="00AA7C6D"/>
    <w:rsid w:val="00AB0583"/>
    <w:rsid w:val="00AB0E2B"/>
    <w:rsid w:val="00AB0EA3"/>
    <w:rsid w:val="00AB104A"/>
    <w:rsid w:val="00AB18D9"/>
    <w:rsid w:val="00AB1C6B"/>
    <w:rsid w:val="00AB1E50"/>
    <w:rsid w:val="00AB20DE"/>
    <w:rsid w:val="00AB2666"/>
    <w:rsid w:val="00AB2D5F"/>
    <w:rsid w:val="00AB316A"/>
    <w:rsid w:val="00AB31E8"/>
    <w:rsid w:val="00AB344F"/>
    <w:rsid w:val="00AB3527"/>
    <w:rsid w:val="00AB38F0"/>
    <w:rsid w:val="00AB38FB"/>
    <w:rsid w:val="00AB3966"/>
    <w:rsid w:val="00AB3C22"/>
    <w:rsid w:val="00AB3DA2"/>
    <w:rsid w:val="00AB3F3B"/>
    <w:rsid w:val="00AB4A4B"/>
    <w:rsid w:val="00AB4B55"/>
    <w:rsid w:val="00AB5037"/>
    <w:rsid w:val="00AB50CF"/>
    <w:rsid w:val="00AB5193"/>
    <w:rsid w:val="00AB5FB8"/>
    <w:rsid w:val="00AB60E5"/>
    <w:rsid w:val="00AB617F"/>
    <w:rsid w:val="00AB64FC"/>
    <w:rsid w:val="00AB6592"/>
    <w:rsid w:val="00AB67CA"/>
    <w:rsid w:val="00AB6918"/>
    <w:rsid w:val="00AB6D92"/>
    <w:rsid w:val="00AB75CA"/>
    <w:rsid w:val="00AB767F"/>
    <w:rsid w:val="00AB76CC"/>
    <w:rsid w:val="00AB79A2"/>
    <w:rsid w:val="00AC02EA"/>
    <w:rsid w:val="00AC047B"/>
    <w:rsid w:val="00AC09F0"/>
    <w:rsid w:val="00AC0EAB"/>
    <w:rsid w:val="00AC1616"/>
    <w:rsid w:val="00AC19B3"/>
    <w:rsid w:val="00AC26A6"/>
    <w:rsid w:val="00AC2AD6"/>
    <w:rsid w:val="00AC2F3B"/>
    <w:rsid w:val="00AC3241"/>
    <w:rsid w:val="00AC36C4"/>
    <w:rsid w:val="00AC38C1"/>
    <w:rsid w:val="00AC461C"/>
    <w:rsid w:val="00AC49DC"/>
    <w:rsid w:val="00AC49E3"/>
    <w:rsid w:val="00AC4B2A"/>
    <w:rsid w:val="00AC50B4"/>
    <w:rsid w:val="00AC512C"/>
    <w:rsid w:val="00AC5A34"/>
    <w:rsid w:val="00AC5F66"/>
    <w:rsid w:val="00AC62C4"/>
    <w:rsid w:val="00AC72AF"/>
    <w:rsid w:val="00AC741A"/>
    <w:rsid w:val="00AC7550"/>
    <w:rsid w:val="00AC7865"/>
    <w:rsid w:val="00AC78BB"/>
    <w:rsid w:val="00AC7C30"/>
    <w:rsid w:val="00AD0501"/>
    <w:rsid w:val="00AD0BC2"/>
    <w:rsid w:val="00AD0CDE"/>
    <w:rsid w:val="00AD0CED"/>
    <w:rsid w:val="00AD0DD4"/>
    <w:rsid w:val="00AD0EC7"/>
    <w:rsid w:val="00AD1595"/>
    <w:rsid w:val="00AD1CF7"/>
    <w:rsid w:val="00AD2D11"/>
    <w:rsid w:val="00AD2FB7"/>
    <w:rsid w:val="00AD2FED"/>
    <w:rsid w:val="00AD3554"/>
    <w:rsid w:val="00AD380A"/>
    <w:rsid w:val="00AD3D7E"/>
    <w:rsid w:val="00AD3FA2"/>
    <w:rsid w:val="00AD4780"/>
    <w:rsid w:val="00AD4877"/>
    <w:rsid w:val="00AD4C81"/>
    <w:rsid w:val="00AD5190"/>
    <w:rsid w:val="00AD52E7"/>
    <w:rsid w:val="00AD5439"/>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3C"/>
    <w:rsid w:val="00AE22FF"/>
    <w:rsid w:val="00AE2B41"/>
    <w:rsid w:val="00AE2F26"/>
    <w:rsid w:val="00AE309A"/>
    <w:rsid w:val="00AE334F"/>
    <w:rsid w:val="00AE354E"/>
    <w:rsid w:val="00AE3745"/>
    <w:rsid w:val="00AE3859"/>
    <w:rsid w:val="00AE3C29"/>
    <w:rsid w:val="00AE4122"/>
    <w:rsid w:val="00AE43E5"/>
    <w:rsid w:val="00AE45E3"/>
    <w:rsid w:val="00AE4970"/>
    <w:rsid w:val="00AE4A4F"/>
    <w:rsid w:val="00AE55D2"/>
    <w:rsid w:val="00AE59C8"/>
    <w:rsid w:val="00AE5A70"/>
    <w:rsid w:val="00AE5B12"/>
    <w:rsid w:val="00AE5B4E"/>
    <w:rsid w:val="00AE5FB4"/>
    <w:rsid w:val="00AE608B"/>
    <w:rsid w:val="00AE6152"/>
    <w:rsid w:val="00AE651F"/>
    <w:rsid w:val="00AE653F"/>
    <w:rsid w:val="00AE6543"/>
    <w:rsid w:val="00AE73F4"/>
    <w:rsid w:val="00AE7419"/>
    <w:rsid w:val="00AE7704"/>
    <w:rsid w:val="00AE78F4"/>
    <w:rsid w:val="00AE7957"/>
    <w:rsid w:val="00AE7C3A"/>
    <w:rsid w:val="00AE7E1F"/>
    <w:rsid w:val="00AE7EC5"/>
    <w:rsid w:val="00AF038D"/>
    <w:rsid w:val="00AF069D"/>
    <w:rsid w:val="00AF0A5A"/>
    <w:rsid w:val="00AF0B5C"/>
    <w:rsid w:val="00AF101F"/>
    <w:rsid w:val="00AF12F7"/>
    <w:rsid w:val="00AF15D2"/>
    <w:rsid w:val="00AF19B7"/>
    <w:rsid w:val="00AF1D19"/>
    <w:rsid w:val="00AF1E0B"/>
    <w:rsid w:val="00AF24A3"/>
    <w:rsid w:val="00AF33E2"/>
    <w:rsid w:val="00AF3413"/>
    <w:rsid w:val="00AF3475"/>
    <w:rsid w:val="00AF3628"/>
    <w:rsid w:val="00AF3FF8"/>
    <w:rsid w:val="00AF4084"/>
    <w:rsid w:val="00AF48F5"/>
    <w:rsid w:val="00AF4C4E"/>
    <w:rsid w:val="00AF55BC"/>
    <w:rsid w:val="00AF57FF"/>
    <w:rsid w:val="00AF6468"/>
    <w:rsid w:val="00AF6FD3"/>
    <w:rsid w:val="00AF7497"/>
    <w:rsid w:val="00AF7DED"/>
    <w:rsid w:val="00AF7FC9"/>
    <w:rsid w:val="00B000CD"/>
    <w:rsid w:val="00B001D9"/>
    <w:rsid w:val="00B007E9"/>
    <w:rsid w:val="00B00998"/>
    <w:rsid w:val="00B01C0A"/>
    <w:rsid w:val="00B01FB2"/>
    <w:rsid w:val="00B027F0"/>
    <w:rsid w:val="00B02A99"/>
    <w:rsid w:val="00B02B00"/>
    <w:rsid w:val="00B031BB"/>
    <w:rsid w:val="00B031E9"/>
    <w:rsid w:val="00B032B7"/>
    <w:rsid w:val="00B03A76"/>
    <w:rsid w:val="00B03B24"/>
    <w:rsid w:val="00B03F87"/>
    <w:rsid w:val="00B04570"/>
    <w:rsid w:val="00B0461A"/>
    <w:rsid w:val="00B05EDF"/>
    <w:rsid w:val="00B06B38"/>
    <w:rsid w:val="00B06BD5"/>
    <w:rsid w:val="00B06F6A"/>
    <w:rsid w:val="00B10130"/>
    <w:rsid w:val="00B10500"/>
    <w:rsid w:val="00B106D9"/>
    <w:rsid w:val="00B10ED8"/>
    <w:rsid w:val="00B11651"/>
    <w:rsid w:val="00B11933"/>
    <w:rsid w:val="00B11985"/>
    <w:rsid w:val="00B11C22"/>
    <w:rsid w:val="00B11E9F"/>
    <w:rsid w:val="00B12933"/>
    <w:rsid w:val="00B12D84"/>
    <w:rsid w:val="00B12FFA"/>
    <w:rsid w:val="00B13F3D"/>
    <w:rsid w:val="00B149F3"/>
    <w:rsid w:val="00B149F8"/>
    <w:rsid w:val="00B15047"/>
    <w:rsid w:val="00B15289"/>
    <w:rsid w:val="00B1549B"/>
    <w:rsid w:val="00B1577B"/>
    <w:rsid w:val="00B15D39"/>
    <w:rsid w:val="00B15D4A"/>
    <w:rsid w:val="00B15D73"/>
    <w:rsid w:val="00B160EA"/>
    <w:rsid w:val="00B162C1"/>
    <w:rsid w:val="00B16CB7"/>
    <w:rsid w:val="00B171A6"/>
    <w:rsid w:val="00B17382"/>
    <w:rsid w:val="00B17CBD"/>
    <w:rsid w:val="00B17DC6"/>
    <w:rsid w:val="00B17E12"/>
    <w:rsid w:val="00B20790"/>
    <w:rsid w:val="00B208D8"/>
    <w:rsid w:val="00B20B9F"/>
    <w:rsid w:val="00B20D78"/>
    <w:rsid w:val="00B20F2E"/>
    <w:rsid w:val="00B2136D"/>
    <w:rsid w:val="00B2194D"/>
    <w:rsid w:val="00B21DF9"/>
    <w:rsid w:val="00B21F02"/>
    <w:rsid w:val="00B2283A"/>
    <w:rsid w:val="00B229CC"/>
    <w:rsid w:val="00B234C4"/>
    <w:rsid w:val="00B23540"/>
    <w:rsid w:val="00B237EE"/>
    <w:rsid w:val="00B24559"/>
    <w:rsid w:val="00B24A16"/>
    <w:rsid w:val="00B24DD8"/>
    <w:rsid w:val="00B25385"/>
    <w:rsid w:val="00B25416"/>
    <w:rsid w:val="00B25A89"/>
    <w:rsid w:val="00B25B4F"/>
    <w:rsid w:val="00B260AE"/>
    <w:rsid w:val="00B27030"/>
    <w:rsid w:val="00B3078E"/>
    <w:rsid w:val="00B30AAD"/>
    <w:rsid w:val="00B310D4"/>
    <w:rsid w:val="00B31276"/>
    <w:rsid w:val="00B31885"/>
    <w:rsid w:val="00B323F7"/>
    <w:rsid w:val="00B326AD"/>
    <w:rsid w:val="00B32D6B"/>
    <w:rsid w:val="00B33273"/>
    <w:rsid w:val="00B33700"/>
    <w:rsid w:val="00B33C88"/>
    <w:rsid w:val="00B33EC4"/>
    <w:rsid w:val="00B34444"/>
    <w:rsid w:val="00B34AAC"/>
    <w:rsid w:val="00B34E13"/>
    <w:rsid w:val="00B3506C"/>
    <w:rsid w:val="00B363D8"/>
    <w:rsid w:val="00B365E4"/>
    <w:rsid w:val="00B36A7B"/>
    <w:rsid w:val="00B36B86"/>
    <w:rsid w:val="00B370E8"/>
    <w:rsid w:val="00B37904"/>
    <w:rsid w:val="00B37BCF"/>
    <w:rsid w:val="00B37C34"/>
    <w:rsid w:val="00B40204"/>
    <w:rsid w:val="00B4064E"/>
    <w:rsid w:val="00B407CD"/>
    <w:rsid w:val="00B40AA4"/>
    <w:rsid w:val="00B40B78"/>
    <w:rsid w:val="00B40EEA"/>
    <w:rsid w:val="00B41347"/>
    <w:rsid w:val="00B41CF5"/>
    <w:rsid w:val="00B42036"/>
    <w:rsid w:val="00B4216C"/>
    <w:rsid w:val="00B424D3"/>
    <w:rsid w:val="00B429A3"/>
    <w:rsid w:val="00B42DB1"/>
    <w:rsid w:val="00B430E0"/>
    <w:rsid w:val="00B442B0"/>
    <w:rsid w:val="00B443D0"/>
    <w:rsid w:val="00B4465B"/>
    <w:rsid w:val="00B4467D"/>
    <w:rsid w:val="00B446BD"/>
    <w:rsid w:val="00B449AD"/>
    <w:rsid w:val="00B44C1A"/>
    <w:rsid w:val="00B451D3"/>
    <w:rsid w:val="00B453A2"/>
    <w:rsid w:val="00B456A3"/>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3C3"/>
    <w:rsid w:val="00B5052D"/>
    <w:rsid w:val="00B5073C"/>
    <w:rsid w:val="00B5080B"/>
    <w:rsid w:val="00B51022"/>
    <w:rsid w:val="00B51129"/>
    <w:rsid w:val="00B51840"/>
    <w:rsid w:val="00B51AF0"/>
    <w:rsid w:val="00B51D59"/>
    <w:rsid w:val="00B51E29"/>
    <w:rsid w:val="00B52294"/>
    <w:rsid w:val="00B52D5C"/>
    <w:rsid w:val="00B52FE9"/>
    <w:rsid w:val="00B5358E"/>
    <w:rsid w:val="00B536B7"/>
    <w:rsid w:val="00B53730"/>
    <w:rsid w:val="00B53B21"/>
    <w:rsid w:val="00B53BB2"/>
    <w:rsid w:val="00B53BE3"/>
    <w:rsid w:val="00B54EF7"/>
    <w:rsid w:val="00B55069"/>
    <w:rsid w:val="00B5556F"/>
    <w:rsid w:val="00B5562C"/>
    <w:rsid w:val="00B5584A"/>
    <w:rsid w:val="00B55CCC"/>
    <w:rsid w:val="00B56C44"/>
    <w:rsid w:val="00B571EB"/>
    <w:rsid w:val="00B579BD"/>
    <w:rsid w:val="00B57E19"/>
    <w:rsid w:val="00B57F51"/>
    <w:rsid w:val="00B6000E"/>
    <w:rsid w:val="00B6031F"/>
    <w:rsid w:val="00B60863"/>
    <w:rsid w:val="00B6151A"/>
    <w:rsid w:val="00B6186E"/>
    <w:rsid w:val="00B6307B"/>
    <w:rsid w:val="00B63639"/>
    <w:rsid w:val="00B639BE"/>
    <w:rsid w:val="00B63DE3"/>
    <w:rsid w:val="00B640E4"/>
    <w:rsid w:val="00B647F5"/>
    <w:rsid w:val="00B649C8"/>
    <w:rsid w:val="00B64AAD"/>
    <w:rsid w:val="00B64BFA"/>
    <w:rsid w:val="00B64CAA"/>
    <w:rsid w:val="00B64F32"/>
    <w:rsid w:val="00B6506E"/>
    <w:rsid w:val="00B65764"/>
    <w:rsid w:val="00B65A6B"/>
    <w:rsid w:val="00B65D9E"/>
    <w:rsid w:val="00B65DDD"/>
    <w:rsid w:val="00B660C9"/>
    <w:rsid w:val="00B66396"/>
    <w:rsid w:val="00B66B90"/>
    <w:rsid w:val="00B67183"/>
    <w:rsid w:val="00B6764C"/>
    <w:rsid w:val="00B6791D"/>
    <w:rsid w:val="00B67A67"/>
    <w:rsid w:val="00B67AEF"/>
    <w:rsid w:val="00B7047D"/>
    <w:rsid w:val="00B706C8"/>
    <w:rsid w:val="00B70886"/>
    <w:rsid w:val="00B7091D"/>
    <w:rsid w:val="00B70B1A"/>
    <w:rsid w:val="00B71112"/>
    <w:rsid w:val="00B7143F"/>
    <w:rsid w:val="00B7210F"/>
    <w:rsid w:val="00B72520"/>
    <w:rsid w:val="00B72ABA"/>
    <w:rsid w:val="00B72EA7"/>
    <w:rsid w:val="00B73974"/>
    <w:rsid w:val="00B73DEF"/>
    <w:rsid w:val="00B74082"/>
    <w:rsid w:val="00B74987"/>
    <w:rsid w:val="00B74DD4"/>
    <w:rsid w:val="00B753E0"/>
    <w:rsid w:val="00B75A5D"/>
    <w:rsid w:val="00B75FB9"/>
    <w:rsid w:val="00B7613C"/>
    <w:rsid w:val="00B766B9"/>
    <w:rsid w:val="00B768DA"/>
    <w:rsid w:val="00B772C4"/>
    <w:rsid w:val="00B7764E"/>
    <w:rsid w:val="00B7768C"/>
    <w:rsid w:val="00B77CBB"/>
    <w:rsid w:val="00B77F2F"/>
    <w:rsid w:val="00B8091A"/>
    <w:rsid w:val="00B80AA5"/>
    <w:rsid w:val="00B80E1F"/>
    <w:rsid w:val="00B8165B"/>
    <w:rsid w:val="00B81937"/>
    <w:rsid w:val="00B81B65"/>
    <w:rsid w:val="00B81ED1"/>
    <w:rsid w:val="00B81FA8"/>
    <w:rsid w:val="00B81FD5"/>
    <w:rsid w:val="00B82086"/>
    <w:rsid w:val="00B82350"/>
    <w:rsid w:val="00B82D50"/>
    <w:rsid w:val="00B82E1D"/>
    <w:rsid w:val="00B832CA"/>
    <w:rsid w:val="00B83369"/>
    <w:rsid w:val="00B834D5"/>
    <w:rsid w:val="00B83AAC"/>
    <w:rsid w:val="00B83FA5"/>
    <w:rsid w:val="00B8412B"/>
    <w:rsid w:val="00B8421F"/>
    <w:rsid w:val="00B845F5"/>
    <w:rsid w:val="00B8519A"/>
    <w:rsid w:val="00B85354"/>
    <w:rsid w:val="00B85359"/>
    <w:rsid w:val="00B85F28"/>
    <w:rsid w:val="00B85FD9"/>
    <w:rsid w:val="00B860FF"/>
    <w:rsid w:val="00B86547"/>
    <w:rsid w:val="00B867CF"/>
    <w:rsid w:val="00B86885"/>
    <w:rsid w:val="00B86B07"/>
    <w:rsid w:val="00B86E63"/>
    <w:rsid w:val="00B8717B"/>
    <w:rsid w:val="00B87A2B"/>
    <w:rsid w:val="00B87E38"/>
    <w:rsid w:val="00B90393"/>
    <w:rsid w:val="00B919E5"/>
    <w:rsid w:val="00B91D51"/>
    <w:rsid w:val="00B91E3E"/>
    <w:rsid w:val="00B9256A"/>
    <w:rsid w:val="00B93ABA"/>
    <w:rsid w:val="00B93B03"/>
    <w:rsid w:val="00B93B9D"/>
    <w:rsid w:val="00B93C54"/>
    <w:rsid w:val="00B941CB"/>
    <w:rsid w:val="00B9434F"/>
    <w:rsid w:val="00B94389"/>
    <w:rsid w:val="00B948D2"/>
    <w:rsid w:val="00B94B78"/>
    <w:rsid w:val="00B94F23"/>
    <w:rsid w:val="00B956E2"/>
    <w:rsid w:val="00B9571C"/>
    <w:rsid w:val="00B95C93"/>
    <w:rsid w:val="00B95CFE"/>
    <w:rsid w:val="00B95EB9"/>
    <w:rsid w:val="00B95F13"/>
    <w:rsid w:val="00B95F88"/>
    <w:rsid w:val="00B96732"/>
    <w:rsid w:val="00B9695D"/>
    <w:rsid w:val="00B96E5F"/>
    <w:rsid w:val="00B9797F"/>
    <w:rsid w:val="00B97D07"/>
    <w:rsid w:val="00B97D9A"/>
    <w:rsid w:val="00BA08C9"/>
    <w:rsid w:val="00BA0BFB"/>
    <w:rsid w:val="00BA11F2"/>
    <w:rsid w:val="00BA12E8"/>
    <w:rsid w:val="00BA152B"/>
    <w:rsid w:val="00BA1678"/>
    <w:rsid w:val="00BA1857"/>
    <w:rsid w:val="00BA23E1"/>
    <w:rsid w:val="00BA340C"/>
    <w:rsid w:val="00BA3ABD"/>
    <w:rsid w:val="00BA3B80"/>
    <w:rsid w:val="00BA3FAA"/>
    <w:rsid w:val="00BA423C"/>
    <w:rsid w:val="00BA43F0"/>
    <w:rsid w:val="00BA45C7"/>
    <w:rsid w:val="00BA46A9"/>
    <w:rsid w:val="00BA4E06"/>
    <w:rsid w:val="00BA50EA"/>
    <w:rsid w:val="00BA52BC"/>
    <w:rsid w:val="00BA539D"/>
    <w:rsid w:val="00BA53F3"/>
    <w:rsid w:val="00BA54CB"/>
    <w:rsid w:val="00BA5A1C"/>
    <w:rsid w:val="00BA5B9E"/>
    <w:rsid w:val="00BA60D1"/>
    <w:rsid w:val="00BA6308"/>
    <w:rsid w:val="00BA651B"/>
    <w:rsid w:val="00BA667B"/>
    <w:rsid w:val="00BA7B99"/>
    <w:rsid w:val="00BB09AA"/>
    <w:rsid w:val="00BB0A68"/>
    <w:rsid w:val="00BB0C4F"/>
    <w:rsid w:val="00BB0FEB"/>
    <w:rsid w:val="00BB1209"/>
    <w:rsid w:val="00BB1301"/>
    <w:rsid w:val="00BB1479"/>
    <w:rsid w:val="00BB15C1"/>
    <w:rsid w:val="00BB192A"/>
    <w:rsid w:val="00BB1CC8"/>
    <w:rsid w:val="00BB2616"/>
    <w:rsid w:val="00BB2D45"/>
    <w:rsid w:val="00BB305D"/>
    <w:rsid w:val="00BB3961"/>
    <w:rsid w:val="00BB3E97"/>
    <w:rsid w:val="00BB446E"/>
    <w:rsid w:val="00BB4DC4"/>
    <w:rsid w:val="00BB4E3E"/>
    <w:rsid w:val="00BB4FFA"/>
    <w:rsid w:val="00BB50BB"/>
    <w:rsid w:val="00BB53D9"/>
    <w:rsid w:val="00BB55F2"/>
    <w:rsid w:val="00BB5C0B"/>
    <w:rsid w:val="00BB6B84"/>
    <w:rsid w:val="00BB6D1A"/>
    <w:rsid w:val="00BB6EF9"/>
    <w:rsid w:val="00BB766E"/>
    <w:rsid w:val="00BB773C"/>
    <w:rsid w:val="00BB77E8"/>
    <w:rsid w:val="00BB79C6"/>
    <w:rsid w:val="00BB7DCA"/>
    <w:rsid w:val="00BC0043"/>
    <w:rsid w:val="00BC1283"/>
    <w:rsid w:val="00BC1894"/>
    <w:rsid w:val="00BC1943"/>
    <w:rsid w:val="00BC1A15"/>
    <w:rsid w:val="00BC1B6D"/>
    <w:rsid w:val="00BC1FF8"/>
    <w:rsid w:val="00BC2405"/>
    <w:rsid w:val="00BC2D22"/>
    <w:rsid w:val="00BC2FD9"/>
    <w:rsid w:val="00BC3050"/>
    <w:rsid w:val="00BC310E"/>
    <w:rsid w:val="00BC3327"/>
    <w:rsid w:val="00BC41F2"/>
    <w:rsid w:val="00BC450E"/>
    <w:rsid w:val="00BC47A6"/>
    <w:rsid w:val="00BC4AE8"/>
    <w:rsid w:val="00BC4B41"/>
    <w:rsid w:val="00BC4C8D"/>
    <w:rsid w:val="00BC4D8F"/>
    <w:rsid w:val="00BC55E5"/>
    <w:rsid w:val="00BC58B6"/>
    <w:rsid w:val="00BC59B9"/>
    <w:rsid w:val="00BC5ABE"/>
    <w:rsid w:val="00BC5C7E"/>
    <w:rsid w:val="00BC5E3E"/>
    <w:rsid w:val="00BC64A5"/>
    <w:rsid w:val="00BC6640"/>
    <w:rsid w:val="00BC68FB"/>
    <w:rsid w:val="00BC76D7"/>
    <w:rsid w:val="00BC7923"/>
    <w:rsid w:val="00BD08E5"/>
    <w:rsid w:val="00BD11FA"/>
    <w:rsid w:val="00BD14F5"/>
    <w:rsid w:val="00BD1DFE"/>
    <w:rsid w:val="00BD257E"/>
    <w:rsid w:val="00BD295A"/>
    <w:rsid w:val="00BD2BE6"/>
    <w:rsid w:val="00BD2E27"/>
    <w:rsid w:val="00BD3483"/>
    <w:rsid w:val="00BD3D97"/>
    <w:rsid w:val="00BD4341"/>
    <w:rsid w:val="00BD43F5"/>
    <w:rsid w:val="00BD4924"/>
    <w:rsid w:val="00BD52EE"/>
    <w:rsid w:val="00BD536A"/>
    <w:rsid w:val="00BD5701"/>
    <w:rsid w:val="00BD63A7"/>
    <w:rsid w:val="00BD63DE"/>
    <w:rsid w:val="00BD65DA"/>
    <w:rsid w:val="00BD6C2F"/>
    <w:rsid w:val="00BD6C8C"/>
    <w:rsid w:val="00BD6D77"/>
    <w:rsid w:val="00BD6E45"/>
    <w:rsid w:val="00BD70DE"/>
    <w:rsid w:val="00BD7F86"/>
    <w:rsid w:val="00BE0465"/>
    <w:rsid w:val="00BE05DD"/>
    <w:rsid w:val="00BE1007"/>
    <w:rsid w:val="00BE1482"/>
    <w:rsid w:val="00BE154C"/>
    <w:rsid w:val="00BE2C46"/>
    <w:rsid w:val="00BE3BFC"/>
    <w:rsid w:val="00BE40AB"/>
    <w:rsid w:val="00BE4809"/>
    <w:rsid w:val="00BE48B9"/>
    <w:rsid w:val="00BE4BE9"/>
    <w:rsid w:val="00BE5148"/>
    <w:rsid w:val="00BE55C9"/>
    <w:rsid w:val="00BE5E67"/>
    <w:rsid w:val="00BE6061"/>
    <w:rsid w:val="00BE6B3B"/>
    <w:rsid w:val="00BE6ECB"/>
    <w:rsid w:val="00BE787D"/>
    <w:rsid w:val="00BE7935"/>
    <w:rsid w:val="00BE7B50"/>
    <w:rsid w:val="00BE7C72"/>
    <w:rsid w:val="00BE7E7F"/>
    <w:rsid w:val="00BF1AF4"/>
    <w:rsid w:val="00BF1BBA"/>
    <w:rsid w:val="00BF2153"/>
    <w:rsid w:val="00BF21CA"/>
    <w:rsid w:val="00BF21DD"/>
    <w:rsid w:val="00BF224A"/>
    <w:rsid w:val="00BF2262"/>
    <w:rsid w:val="00BF3241"/>
    <w:rsid w:val="00BF34C0"/>
    <w:rsid w:val="00BF3B60"/>
    <w:rsid w:val="00BF4ADF"/>
    <w:rsid w:val="00BF4F7A"/>
    <w:rsid w:val="00BF4FF6"/>
    <w:rsid w:val="00BF5315"/>
    <w:rsid w:val="00BF5BD4"/>
    <w:rsid w:val="00BF5BFC"/>
    <w:rsid w:val="00BF607A"/>
    <w:rsid w:val="00BF607D"/>
    <w:rsid w:val="00BF6142"/>
    <w:rsid w:val="00BF6148"/>
    <w:rsid w:val="00BF64D4"/>
    <w:rsid w:val="00BF667B"/>
    <w:rsid w:val="00BF677F"/>
    <w:rsid w:val="00BF6F55"/>
    <w:rsid w:val="00BF7429"/>
    <w:rsid w:val="00BF752F"/>
    <w:rsid w:val="00C000D4"/>
    <w:rsid w:val="00C00220"/>
    <w:rsid w:val="00C009FD"/>
    <w:rsid w:val="00C00AB9"/>
    <w:rsid w:val="00C00BFB"/>
    <w:rsid w:val="00C01486"/>
    <w:rsid w:val="00C01BF1"/>
    <w:rsid w:val="00C01E4A"/>
    <w:rsid w:val="00C021B0"/>
    <w:rsid w:val="00C02301"/>
    <w:rsid w:val="00C035BF"/>
    <w:rsid w:val="00C0425B"/>
    <w:rsid w:val="00C04261"/>
    <w:rsid w:val="00C04319"/>
    <w:rsid w:val="00C0462E"/>
    <w:rsid w:val="00C05066"/>
    <w:rsid w:val="00C05369"/>
    <w:rsid w:val="00C057C4"/>
    <w:rsid w:val="00C059FB"/>
    <w:rsid w:val="00C05ED2"/>
    <w:rsid w:val="00C060DA"/>
    <w:rsid w:val="00C06860"/>
    <w:rsid w:val="00C068B2"/>
    <w:rsid w:val="00C06939"/>
    <w:rsid w:val="00C06B8B"/>
    <w:rsid w:val="00C06FEC"/>
    <w:rsid w:val="00C07206"/>
    <w:rsid w:val="00C07256"/>
    <w:rsid w:val="00C07566"/>
    <w:rsid w:val="00C07717"/>
    <w:rsid w:val="00C077C5"/>
    <w:rsid w:val="00C07A94"/>
    <w:rsid w:val="00C07E4C"/>
    <w:rsid w:val="00C1023F"/>
    <w:rsid w:val="00C1042E"/>
    <w:rsid w:val="00C106CC"/>
    <w:rsid w:val="00C1152F"/>
    <w:rsid w:val="00C1166A"/>
    <w:rsid w:val="00C118D7"/>
    <w:rsid w:val="00C11BBC"/>
    <w:rsid w:val="00C11C18"/>
    <w:rsid w:val="00C124F7"/>
    <w:rsid w:val="00C127CC"/>
    <w:rsid w:val="00C12C6C"/>
    <w:rsid w:val="00C12E79"/>
    <w:rsid w:val="00C12FB3"/>
    <w:rsid w:val="00C1329F"/>
    <w:rsid w:val="00C136DE"/>
    <w:rsid w:val="00C13A3C"/>
    <w:rsid w:val="00C13E58"/>
    <w:rsid w:val="00C13E68"/>
    <w:rsid w:val="00C1411E"/>
    <w:rsid w:val="00C14207"/>
    <w:rsid w:val="00C143AC"/>
    <w:rsid w:val="00C143E2"/>
    <w:rsid w:val="00C146F0"/>
    <w:rsid w:val="00C148A4"/>
    <w:rsid w:val="00C1535E"/>
    <w:rsid w:val="00C15ABB"/>
    <w:rsid w:val="00C15FC0"/>
    <w:rsid w:val="00C16ADD"/>
    <w:rsid w:val="00C16E79"/>
    <w:rsid w:val="00C171BA"/>
    <w:rsid w:val="00C1796F"/>
    <w:rsid w:val="00C17C56"/>
    <w:rsid w:val="00C20253"/>
    <w:rsid w:val="00C2034B"/>
    <w:rsid w:val="00C20371"/>
    <w:rsid w:val="00C2045D"/>
    <w:rsid w:val="00C20732"/>
    <w:rsid w:val="00C20CD9"/>
    <w:rsid w:val="00C210FA"/>
    <w:rsid w:val="00C21550"/>
    <w:rsid w:val="00C21789"/>
    <w:rsid w:val="00C217B8"/>
    <w:rsid w:val="00C218E4"/>
    <w:rsid w:val="00C21E95"/>
    <w:rsid w:val="00C227EE"/>
    <w:rsid w:val="00C2311E"/>
    <w:rsid w:val="00C235AD"/>
    <w:rsid w:val="00C238C3"/>
    <w:rsid w:val="00C23ABF"/>
    <w:rsid w:val="00C23B71"/>
    <w:rsid w:val="00C23FC1"/>
    <w:rsid w:val="00C24063"/>
    <w:rsid w:val="00C24B39"/>
    <w:rsid w:val="00C24D90"/>
    <w:rsid w:val="00C24FBC"/>
    <w:rsid w:val="00C25260"/>
    <w:rsid w:val="00C253E6"/>
    <w:rsid w:val="00C25475"/>
    <w:rsid w:val="00C257CF"/>
    <w:rsid w:val="00C2643A"/>
    <w:rsid w:val="00C26980"/>
    <w:rsid w:val="00C26F1B"/>
    <w:rsid w:val="00C26FB5"/>
    <w:rsid w:val="00C278D0"/>
    <w:rsid w:val="00C30604"/>
    <w:rsid w:val="00C3067B"/>
    <w:rsid w:val="00C3081C"/>
    <w:rsid w:val="00C3092B"/>
    <w:rsid w:val="00C30993"/>
    <w:rsid w:val="00C30C3F"/>
    <w:rsid w:val="00C30D15"/>
    <w:rsid w:val="00C30D36"/>
    <w:rsid w:val="00C30E7D"/>
    <w:rsid w:val="00C310A7"/>
    <w:rsid w:val="00C312D6"/>
    <w:rsid w:val="00C312FB"/>
    <w:rsid w:val="00C3153E"/>
    <w:rsid w:val="00C315CA"/>
    <w:rsid w:val="00C3185F"/>
    <w:rsid w:val="00C3186B"/>
    <w:rsid w:val="00C31B83"/>
    <w:rsid w:val="00C31D37"/>
    <w:rsid w:val="00C3206C"/>
    <w:rsid w:val="00C32224"/>
    <w:rsid w:val="00C324B1"/>
    <w:rsid w:val="00C32B3A"/>
    <w:rsid w:val="00C3395D"/>
    <w:rsid w:val="00C34435"/>
    <w:rsid w:val="00C34607"/>
    <w:rsid w:val="00C3485A"/>
    <w:rsid w:val="00C34DB1"/>
    <w:rsid w:val="00C34DEE"/>
    <w:rsid w:val="00C35905"/>
    <w:rsid w:val="00C35D05"/>
    <w:rsid w:val="00C35E4C"/>
    <w:rsid w:val="00C36479"/>
    <w:rsid w:val="00C36574"/>
    <w:rsid w:val="00C366C5"/>
    <w:rsid w:val="00C40384"/>
    <w:rsid w:val="00C40675"/>
    <w:rsid w:val="00C4074D"/>
    <w:rsid w:val="00C40CDB"/>
    <w:rsid w:val="00C41161"/>
    <w:rsid w:val="00C4126F"/>
    <w:rsid w:val="00C412A3"/>
    <w:rsid w:val="00C412D1"/>
    <w:rsid w:val="00C417FB"/>
    <w:rsid w:val="00C41CA9"/>
    <w:rsid w:val="00C41FA0"/>
    <w:rsid w:val="00C41FC4"/>
    <w:rsid w:val="00C426E2"/>
    <w:rsid w:val="00C42966"/>
    <w:rsid w:val="00C42A8A"/>
    <w:rsid w:val="00C42DAF"/>
    <w:rsid w:val="00C43044"/>
    <w:rsid w:val="00C4402A"/>
    <w:rsid w:val="00C442A3"/>
    <w:rsid w:val="00C444E3"/>
    <w:rsid w:val="00C446E3"/>
    <w:rsid w:val="00C447A6"/>
    <w:rsid w:val="00C44D5F"/>
    <w:rsid w:val="00C44F33"/>
    <w:rsid w:val="00C457C7"/>
    <w:rsid w:val="00C4583A"/>
    <w:rsid w:val="00C45C5E"/>
    <w:rsid w:val="00C46055"/>
    <w:rsid w:val="00C462A2"/>
    <w:rsid w:val="00C469EB"/>
    <w:rsid w:val="00C46D85"/>
    <w:rsid w:val="00C46F39"/>
    <w:rsid w:val="00C471D9"/>
    <w:rsid w:val="00C472FB"/>
    <w:rsid w:val="00C474A3"/>
    <w:rsid w:val="00C474C7"/>
    <w:rsid w:val="00C47572"/>
    <w:rsid w:val="00C47782"/>
    <w:rsid w:val="00C502E1"/>
    <w:rsid w:val="00C5076C"/>
    <w:rsid w:val="00C50874"/>
    <w:rsid w:val="00C50BD9"/>
    <w:rsid w:val="00C50F5E"/>
    <w:rsid w:val="00C50FB3"/>
    <w:rsid w:val="00C517E4"/>
    <w:rsid w:val="00C518A4"/>
    <w:rsid w:val="00C51D21"/>
    <w:rsid w:val="00C52028"/>
    <w:rsid w:val="00C522C2"/>
    <w:rsid w:val="00C52BC1"/>
    <w:rsid w:val="00C52C5A"/>
    <w:rsid w:val="00C533EA"/>
    <w:rsid w:val="00C5388D"/>
    <w:rsid w:val="00C53E34"/>
    <w:rsid w:val="00C53F5A"/>
    <w:rsid w:val="00C5424B"/>
    <w:rsid w:val="00C542D0"/>
    <w:rsid w:val="00C5469A"/>
    <w:rsid w:val="00C54C6F"/>
    <w:rsid w:val="00C5506D"/>
    <w:rsid w:val="00C55179"/>
    <w:rsid w:val="00C553B8"/>
    <w:rsid w:val="00C554D3"/>
    <w:rsid w:val="00C5573C"/>
    <w:rsid w:val="00C5586F"/>
    <w:rsid w:val="00C56322"/>
    <w:rsid w:val="00C5666E"/>
    <w:rsid w:val="00C56705"/>
    <w:rsid w:val="00C577C8"/>
    <w:rsid w:val="00C5786D"/>
    <w:rsid w:val="00C578AA"/>
    <w:rsid w:val="00C57C2C"/>
    <w:rsid w:val="00C60143"/>
    <w:rsid w:val="00C608B3"/>
    <w:rsid w:val="00C60A2E"/>
    <w:rsid w:val="00C60C82"/>
    <w:rsid w:val="00C60FD9"/>
    <w:rsid w:val="00C6105E"/>
    <w:rsid w:val="00C619AB"/>
    <w:rsid w:val="00C61AB8"/>
    <w:rsid w:val="00C61FA2"/>
    <w:rsid w:val="00C6222D"/>
    <w:rsid w:val="00C623C2"/>
    <w:rsid w:val="00C62787"/>
    <w:rsid w:val="00C630F8"/>
    <w:rsid w:val="00C63B8A"/>
    <w:rsid w:val="00C63C44"/>
    <w:rsid w:val="00C641A1"/>
    <w:rsid w:val="00C64F0A"/>
    <w:rsid w:val="00C64FD5"/>
    <w:rsid w:val="00C653B2"/>
    <w:rsid w:val="00C655B9"/>
    <w:rsid w:val="00C657F0"/>
    <w:rsid w:val="00C65AB3"/>
    <w:rsid w:val="00C65AE5"/>
    <w:rsid w:val="00C65C8C"/>
    <w:rsid w:val="00C66116"/>
    <w:rsid w:val="00C664C9"/>
    <w:rsid w:val="00C667D9"/>
    <w:rsid w:val="00C672E4"/>
    <w:rsid w:val="00C701D6"/>
    <w:rsid w:val="00C712AF"/>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D25"/>
    <w:rsid w:val="00C76409"/>
    <w:rsid w:val="00C7650E"/>
    <w:rsid w:val="00C767BE"/>
    <w:rsid w:val="00C7680E"/>
    <w:rsid w:val="00C76A1A"/>
    <w:rsid w:val="00C77232"/>
    <w:rsid w:val="00C77BE9"/>
    <w:rsid w:val="00C80029"/>
    <w:rsid w:val="00C801FC"/>
    <w:rsid w:val="00C803D5"/>
    <w:rsid w:val="00C808A1"/>
    <w:rsid w:val="00C80E9C"/>
    <w:rsid w:val="00C81040"/>
    <w:rsid w:val="00C81115"/>
    <w:rsid w:val="00C81228"/>
    <w:rsid w:val="00C81EA7"/>
    <w:rsid w:val="00C822B2"/>
    <w:rsid w:val="00C825B7"/>
    <w:rsid w:val="00C829FB"/>
    <w:rsid w:val="00C82C01"/>
    <w:rsid w:val="00C82EEF"/>
    <w:rsid w:val="00C82F1F"/>
    <w:rsid w:val="00C8300C"/>
    <w:rsid w:val="00C83018"/>
    <w:rsid w:val="00C83450"/>
    <w:rsid w:val="00C836B8"/>
    <w:rsid w:val="00C84430"/>
    <w:rsid w:val="00C84856"/>
    <w:rsid w:val="00C84882"/>
    <w:rsid w:val="00C8488F"/>
    <w:rsid w:val="00C84BC8"/>
    <w:rsid w:val="00C84C2D"/>
    <w:rsid w:val="00C84CF7"/>
    <w:rsid w:val="00C8521E"/>
    <w:rsid w:val="00C85397"/>
    <w:rsid w:val="00C855A6"/>
    <w:rsid w:val="00C8579E"/>
    <w:rsid w:val="00C85C6A"/>
    <w:rsid w:val="00C85CDC"/>
    <w:rsid w:val="00C870C0"/>
    <w:rsid w:val="00C870E8"/>
    <w:rsid w:val="00C873D7"/>
    <w:rsid w:val="00C876AA"/>
    <w:rsid w:val="00C87946"/>
    <w:rsid w:val="00C9024D"/>
    <w:rsid w:val="00C904FD"/>
    <w:rsid w:val="00C9050F"/>
    <w:rsid w:val="00C9076B"/>
    <w:rsid w:val="00C907D6"/>
    <w:rsid w:val="00C90857"/>
    <w:rsid w:val="00C90BAA"/>
    <w:rsid w:val="00C90CC9"/>
    <w:rsid w:val="00C910D2"/>
    <w:rsid w:val="00C913A5"/>
    <w:rsid w:val="00C9178F"/>
    <w:rsid w:val="00C920B1"/>
    <w:rsid w:val="00C92262"/>
    <w:rsid w:val="00C9289F"/>
    <w:rsid w:val="00C9318B"/>
    <w:rsid w:val="00C9406D"/>
    <w:rsid w:val="00C94135"/>
    <w:rsid w:val="00C942A9"/>
    <w:rsid w:val="00C945DA"/>
    <w:rsid w:val="00C95715"/>
    <w:rsid w:val="00C960DD"/>
    <w:rsid w:val="00C960E5"/>
    <w:rsid w:val="00C960F2"/>
    <w:rsid w:val="00C96211"/>
    <w:rsid w:val="00C963E5"/>
    <w:rsid w:val="00C9645A"/>
    <w:rsid w:val="00C96936"/>
    <w:rsid w:val="00C96A4C"/>
    <w:rsid w:val="00C96F22"/>
    <w:rsid w:val="00C973E3"/>
    <w:rsid w:val="00C97A46"/>
    <w:rsid w:val="00C97DBC"/>
    <w:rsid w:val="00CA11B9"/>
    <w:rsid w:val="00CA1401"/>
    <w:rsid w:val="00CA310D"/>
    <w:rsid w:val="00CA32AE"/>
    <w:rsid w:val="00CA343D"/>
    <w:rsid w:val="00CA38F0"/>
    <w:rsid w:val="00CA3919"/>
    <w:rsid w:val="00CA3FB1"/>
    <w:rsid w:val="00CA40A3"/>
    <w:rsid w:val="00CA4244"/>
    <w:rsid w:val="00CA4D3B"/>
    <w:rsid w:val="00CA5270"/>
    <w:rsid w:val="00CA5B55"/>
    <w:rsid w:val="00CA6A2E"/>
    <w:rsid w:val="00CA6F89"/>
    <w:rsid w:val="00CA7430"/>
    <w:rsid w:val="00CA7ACD"/>
    <w:rsid w:val="00CA7C5C"/>
    <w:rsid w:val="00CB01AB"/>
    <w:rsid w:val="00CB01BD"/>
    <w:rsid w:val="00CB0474"/>
    <w:rsid w:val="00CB059E"/>
    <w:rsid w:val="00CB090E"/>
    <w:rsid w:val="00CB10C1"/>
    <w:rsid w:val="00CB11B3"/>
    <w:rsid w:val="00CB12ED"/>
    <w:rsid w:val="00CB1797"/>
    <w:rsid w:val="00CB19E4"/>
    <w:rsid w:val="00CB2022"/>
    <w:rsid w:val="00CB2497"/>
    <w:rsid w:val="00CB2C39"/>
    <w:rsid w:val="00CB3081"/>
    <w:rsid w:val="00CB34B5"/>
    <w:rsid w:val="00CB3D99"/>
    <w:rsid w:val="00CB414D"/>
    <w:rsid w:val="00CB4193"/>
    <w:rsid w:val="00CB438A"/>
    <w:rsid w:val="00CB47BB"/>
    <w:rsid w:val="00CB48E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0F33"/>
    <w:rsid w:val="00CC1135"/>
    <w:rsid w:val="00CC14F9"/>
    <w:rsid w:val="00CC171B"/>
    <w:rsid w:val="00CC25FD"/>
    <w:rsid w:val="00CC2C00"/>
    <w:rsid w:val="00CC2CE5"/>
    <w:rsid w:val="00CC2FFB"/>
    <w:rsid w:val="00CC34E0"/>
    <w:rsid w:val="00CC36E4"/>
    <w:rsid w:val="00CC38C8"/>
    <w:rsid w:val="00CC3967"/>
    <w:rsid w:val="00CC3CE9"/>
    <w:rsid w:val="00CC3D3B"/>
    <w:rsid w:val="00CC417D"/>
    <w:rsid w:val="00CC42CA"/>
    <w:rsid w:val="00CC42DA"/>
    <w:rsid w:val="00CC5379"/>
    <w:rsid w:val="00CC550D"/>
    <w:rsid w:val="00CC58BA"/>
    <w:rsid w:val="00CC5DA6"/>
    <w:rsid w:val="00CC638E"/>
    <w:rsid w:val="00CC6564"/>
    <w:rsid w:val="00CC6F49"/>
    <w:rsid w:val="00CC7915"/>
    <w:rsid w:val="00CC79FB"/>
    <w:rsid w:val="00CC7C10"/>
    <w:rsid w:val="00CC7F37"/>
    <w:rsid w:val="00CD00E9"/>
    <w:rsid w:val="00CD017D"/>
    <w:rsid w:val="00CD0287"/>
    <w:rsid w:val="00CD030B"/>
    <w:rsid w:val="00CD0779"/>
    <w:rsid w:val="00CD07C1"/>
    <w:rsid w:val="00CD09F8"/>
    <w:rsid w:val="00CD0FF8"/>
    <w:rsid w:val="00CD134F"/>
    <w:rsid w:val="00CD14C3"/>
    <w:rsid w:val="00CD1653"/>
    <w:rsid w:val="00CD1696"/>
    <w:rsid w:val="00CD1909"/>
    <w:rsid w:val="00CD1E75"/>
    <w:rsid w:val="00CD1EA2"/>
    <w:rsid w:val="00CD2262"/>
    <w:rsid w:val="00CD2831"/>
    <w:rsid w:val="00CD2DF7"/>
    <w:rsid w:val="00CD30F6"/>
    <w:rsid w:val="00CD3211"/>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78"/>
    <w:rsid w:val="00CD7009"/>
    <w:rsid w:val="00CD7223"/>
    <w:rsid w:val="00CD7D71"/>
    <w:rsid w:val="00CD7FDD"/>
    <w:rsid w:val="00CE0B07"/>
    <w:rsid w:val="00CE0C1B"/>
    <w:rsid w:val="00CE1430"/>
    <w:rsid w:val="00CE150D"/>
    <w:rsid w:val="00CE1669"/>
    <w:rsid w:val="00CE1823"/>
    <w:rsid w:val="00CE193F"/>
    <w:rsid w:val="00CE1BE3"/>
    <w:rsid w:val="00CE1FDA"/>
    <w:rsid w:val="00CE201A"/>
    <w:rsid w:val="00CE272A"/>
    <w:rsid w:val="00CE2DCE"/>
    <w:rsid w:val="00CE2F3B"/>
    <w:rsid w:val="00CE2F58"/>
    <w:rsid w:val="00CE3AC6"/>
    <w:rsid w:val="00CE3CB9"/>
    <w:rsid w:val="00CE3E0F"/>
    <w:rsid w:val="00CE4447"/>
    <w:rsid w:val="00CE4BAF"/>
    <w:rsid w:val="00CE4CB1"/>
    <w:rsid w:val="00CE5479"/>
    <w:rsid w:val="00CE5636"/>
    <w:rsid w:val="00CE5C00"/>
    <w:rsid w:val="00CE5D17"/>
    <w:rsid w:val="00CE606B"/>
    <w:rsid w:val="00CE60D2"/>
    <w:rsid w:val="00CE62CA"/>
    <w:rsid w:val="00CE6E3F"/>
    <w:rsid w:val="00CE734B"/>
    <w:rsid w:val="00CE7AE6"/>
    <w:rsid w:val="00CF0B69"/>
    <w:rsid w:val="00CF0D20"/>
    <w:rsid w:val="00CF0D8A"/>
    <w:rsid w:val="00CF0DC9"/>
    <w:rsid w:val="00CF121C"/>
    <w:rsid w:val="00CF1250"/>
    <w:rsid w:val="00CF1409"/>
    <w:rsid w:val="00CF1446"/>
    <w:rsid w:val="00CF146E"/>
    <w:rsid w:val="00CF1D99"/>
    <w:rsid w:val="00CF20A1"/>
    <w:rsid w:val="00CF274A"/>
    <w:rsid w:val="00CF278D"/>
    <w:rsid w:val="00CF289F"/>
    <w:rsid w:val="00CF2B74"/>
    <w:rsid w:val="00CF319C"/>
    <w:rsid w:val="00CF3451"/>
    <w:rsid w:val="00CF3506"/>
    <w:rsid w:val="00CF3ACC"/>
    <w:rsid w:val="00CF3B0B"/>
    <w:rsid w:val="00CF3DDF"/>
    <w:rsid w:val="00CF3E29"/>
    <w:rsid w:val="00CF3EE6"/>
    <w:rsid w:val="00CF45ED"/>
    <w:rsid w:val="00CF4F58"/>
    <w:rsid w:val="00CF5562"/>
    <w:rsid w:val="00CF5C6A"/>
    <w:rsid w:val="00CF6AF0"/>
    <w:rsid w:val="00CF71A3"/>
    <w:rsid w:val="00CF72F1"/>
    <w:rsid w:val="00CF7B77"/>
    <w:rsid w:val="00CF7C07"/>
    <w:rsid w:val="00CF7D70"/>
    <w:rsid w:val="00D00090"/>
    <w:rsid w:val="00D00473"/>
    <w:rsid w:val="00D006F9"/>
    <w:rsid w:val="00D007AB"/>
    <w:rsid w:val="00D009DC"/>
    <w:rsid w:val="00D00C8B"/>
    <w:rsid w:val="00D0166C"/>
    <w:rsid w:val="00D01783"/>
    <w:rsid w:val="00D01881"/>
    <w:rsid w:val="00D01E2E"/>
    <w:rsid w:val="00D02059"/>
    <w:rsid w:val="00D02172"/>
    <w:rsid w:val="00D030E8"/>
    <w:rsid w:val="00D0317C"/>
    <w:rsid w:val="00D037CE"/>
    <w:rsid w:val="00D03C69"/>
    <w:rsid w:val="00D03DF1"/>
    <w:rsid w:val="00D04475"/>
    <w:rsid w:val="00D04486"/>
    <w:rsid w:val="00D048D2"/>
    <w:rsid w:val="00D04B1A"/>
    <w:rsid w:val="00D050DB"/>
    <w:rsid w:val="00D051E3"/>
    <w:rsid w:val="00D05AEC"/>
    <w:rsid w:val="00D05FCF"/>
    <w:rsid w:val="00D06456"/>
    <w:rsid w:val="00D064C0"/>
    <w:rsid w:val="00D068E0"/>
    <w:rsid w:val="00D06945"/>
    <w:rsid w:val="00D071B5"/>
    <w:rsid w:val="00D07423"/>
    <w:rsid w:val="00D07494"/>
    <w:rsid w:val="00D0749E"/>
    <w:rsid w:val="00D07794"/>
    <w:rsid w:val="00D079C2"/>
    <w:rsid w:val="00D07DE1"/>
    <w:rsid w:val="00D07EC6"/>
    <w:rsid w:val="00D10262"/>
    <w:rsid w:val="00D108CF"/>
    <w:rsid w:val="00D10EC8"/>
    <w:rsid w:val="00D110A9"/>
    <w:rsid w:val="00D111A5"/>
    <w:rsid w:val="00D1191C"/>
    <w:rsid w:val="00D11D57"/>
    <w:rsid w:val="00D120DF"/>
    <w:rsid w:val="00D122E1"/>
    <w:rsid w:val="00D1261A"/>
    <w:rsid w:val="00D1277A"/>
    <w:rsid w:val="00D127FE"/>
    <w:rsid w:val="00D12E40"/>
    <w:rsid w:val="00D12EA9"/>
    <w:rsid w:val="00D134B4"/>
    <w:rsid w:val="00D13659"/>
    <w:rsid w:val="00D13BAD"/>
    <w:rsid w:val="00D1406B"/>
    <w:rsid w:val="00D1426E"/>
    <w:rsid w:val="00D1498E"/>
    <w:rsid w:val="00D14E0B"/>
    <w:rsid w:val="00D15151"/>
    <w:rsid w:val="00D15710"/>
    <w:rsid w:val="00D15914"/>
    <w:rsid w:val="00D16137"/>
    <w:rsid w:val="00D163FC"/>
    <w:rsid w:val="00D1665C"/>
    <w:rsid w:val="00D16B07"/>
    <w:rsid w:val="00D16F25"/>
    <w:rsid w:val="00D16F74"/>
    <w:rsid w:val="00D1731B"/>
    <w:rsid w:val="00D17404"/>
    <w:rsid w:val="00D174F5"/>
    <w:rsid w:val="00D1783B"/>
    <w:rsid w:val="00D20180"/>
    <w:rsid w:val="00D20932"/>
    <w:rsid w:val="00D209B3"/>
    <w:rsid w:val="00D20B78"/>
    <w:rsid w:val="00D20C8B"/>
    <w:rsid w:val="00D21065"/>
    <w:rsid w:val="00D213AB"/>
    <w:rsid w:val="00D21424"/>
    <w:rsid w:val="00D21739"/>
    <w:rsid w:val="00D21745"/>
    <w:rsid w:val="00D21CA8"/>
    <w:rsid w:val="00D220EB"/>
    <w:rsid w:val="00D22B3C"/>
    <w:rsid w:val="00D22FB0"/>
    <w:rsid w:val="00D23131"/>
    <w:rsid w:val="00D232B8"/>
    <w:rsid w:val="00D23300"/>
    <w:rsid w:val="00D23610"/>
    <w:rsid w:val="00D23871"/>
    <w:rsid w:val="00D24236"/>
    <w:rsid w:val="00D24924"/>
    <w:rsid w:val="00D24979"/>
    <w:rsid w:val="00D24A33"/>
    <w:rsid w:val="00D24AC5"/>
    <w:rsid w:val="00D24E0C"/>
    <w:rsid w:val="00D25646"/>
    <w:rsid w:val="00D256C1"/>
    <w:rsid w:val="00D256F0"/>
    <w:rsid w:val="00D25822"/>
    <w:rsid w:val="00D2608C"/>
    <w:rsid w:val="00D26FE3"/>
    <w:rsid w:val="00D27B52"/>
    <w:rsid w:val="00D3000D"/>
    <w:rsid w:val="00D30703"/>
    <w:rsid w:val="00D30755"/>
    <w:rsid w:val="00D31A56"/>
    <w:rsid w:val="00D32163"/>
    <w:rsid w:val="00D322AB"/>
    <w:rsid w:val="00D32315"/>
    <w:rsid w:val="00D32FE0"/>
    <w:rsid w:val="00D33840"/>
    <w:rsid w:val="00D3399D"/>
    <w:rsid w:val="00D33DDE"/>
    <w:rsid w:val="00D340B7"/>
    <w:rsid w:val="00D347DE"/>
    <w:rsid w:val="00D349D5"/>
    <w:rsid w:val="00D34A59"/>
    <w:rsid w:val="00D359F3"/>
    <w:rsid w:val="00D36D1A"/>
    <w:rsid w:val="00D36D25"/>
    <w:rsid w:val="00D37278"/>
    <w:rsid w:val="00D375F9"/>
    <w:rsid w:val="00D37E8A"/>
    <w:rsid w:val="00D4080D"/>
    <w:rsid w:val="00D409F6"/>
    <w:rsid w:val="00D40E29"/>
    <w:rsid w:val="00D4118C"/>
    <w:rsid w:val="00D41771"/>
    <w:rsid w:val="00D4208C"/>
    <w:rsid w:val="00D4234C"/>
    <w:rsid w:val="00D42B03"/>
    <w:rsid w:val="00D42F8A"/>
    <w:rsid w:val="00D434C8"/>
    <w:rsid w:val="00D4374F"/>
    <w:rsid w:val="00D441F7"/>
    <w:rsid w:val="00D44276"/>
    <w:rsid w:val="00D444C7"/>
    <w:rsid w:val="00D447DA"/>
    <w:rsid w:val="00D44E24"/>
    <w:rsid w:val="00D4517A"/>
    <w:rsid w:val="00D454ED"/>
    <w:rsid w:val="00D45C1D"/>
    <w:rsid w:val="00D45C6E"/>
    <w:rsid w:val="00D45CAB"/>
    <w:rsid w:val="00D4604A"/>
    <w:rsid w:val="00D465A2"/>
    <w:rsid w:val="00D466C4"/>
    <w:rsid w:val="00D467DD"/>
    <w:rsid w:val="00D46C9D"/>
    <w:rsid w:val="00D46FF8"/>
    <w:rsid w:val="00D4796D"/>
    <w:rsid w:val="00D50021"/>
    <w:rsid w:val="00D503B1"/>
    <w:rsid w:val="00D50F8F"/>
    <w:rsid w:val="00D51012"/>
    <w:rsid w:val="00D51179"/>
    <w:rsid w:val="00D51854"/>
    <w:rsid w:val="00D51DAB"/>
    <w:rsid w:val="00D52E88"/>
    <w:rsid w:val="00D52E91"/>
    <w:rsid w:val="00D52F43"/>
    <w:rsid w:val="00D538F9"/>
    <w:rsid w:val="00D53F25"/>
    <w:rsid w:val="00D54208"/>
    <w:rsid w:val="00D5438A"/>
    <w:rsid w:val="00D54925"/>
    <w:rsid w:val="00D54FE9"/>
    <w:rsid w:val="00D55797"/>
    <w:rsid w:val="00D55924"/>
    <w:rsid w:val="00D55CCE"/>
    <w:rsid w:val="00D5604E"/>
    <w:rsid w:val="00D560B6"/>
    <w:rsid w:val="00D56256"/>
    <w:rsid w:val="00D5653F"/>
    <w:rsid w:val="00D56F89"/>
    <w:rsid w:val="00D571E2"/>
    <w:rsid w:val="00D5788F"/>
    <w:rsid w:val="00D579BA"/>
    <w:rsid w:val="00D57E26"/>
    <w:rsid w:val="00D57FD6"/>
    <w:rsid w:val="00D6012F"/>
    <w:rsid w:val="00D60A04"/>
    <w:rsid w:val="00D6126E"/>
    <w:rsid w:val="00D61346"/>
    <w:rsid w:val="00D61400"/>
    <w:rsid w:val="00D615EA"/>
    <w:rsid w:val="00D617C2"/>
    <w:rsid w:val="00D61CDD"/>
    <w:rsid w:val="00D61D01"/>
    <w:rsid w:val="00D620A1"/>
    <w:rsid w:val="00D6235A"/>
    <w:rsid w:val="00D62467"/>
    <w:rsid w:val="00D62674"/>
    <w:rsid w:val="00D62788"/>
    <w:rsid w:val="00D629E0"/>
    <w:rsid w:val="00D62CF9"/>
    <w:rsid w:val="00D63675"/>
    <w:rsid w:val="00D64419"/>
    <w:rsid w:val="00D64A78"/>
    <w:rsid w:val="00D659F8"/>
    <w:rsid w:val="00D65A3F"/>
    <w:rsid w:val="00D65C7B"/>
    <w:rsid w:val="00D660C4"/>
    <w:rsid w:val="00D664C7"/>
    <w:rsid w:val="00D66ADE"/>
    <w:rsid w:val="00D66C6B"/>
    <w:rsid w:val="00D66F7E"/>
    <w:rsid w:val="00D67B90"/>
    <w:rsid w:val="00D67CDB"/>
    <w:rsid w:val="00D67D25"/>
    <w:rsid w:val="00D67F40"/>
    <w:rsid w:val="00D7007F"/>
    <w:rsid w:val="00D70142"/>
    <w:rsid w:val="00D704DE"/>
    <w:rsid w:val="00D70506"/>
    <w:rsid w:val="00D70623"/>
    <w:rsid w:val="00D70939"/>
    <w:rsid w:val="00D70D0C"/>
    <w:rsid w:val="00D7149A"/>
    <w:rsid w:val="00D71B39"/>
    <w:rsid w:val="00D71D21"/>
    <w:rsid w:val="00D71F0E"/>
    <w:rsid w:val="00D71F48"/>
    <w:rsid w:val="00D72027"/>
    <w:rsid w:val="00D725EA"/>
    <w:rsid w:val="00D72804"/>
    <w:rsid w:val="00D72AF9"/>
    <w:rsid w:val="00D72C2A"/>
    <w:rsid w:val="00D7339C"/>
    <w:rsid w:val="00D73563"/>
    <w:rsid w:val="00D73AE0"/>
    <w:rsid w:val="00D73B6F"/>
    <w:rsid w:val="00D73E26"/>
    <w:rsid w:val="00D73FA3"/>
    <w:rsid w:val="00D742BC"/>
    <w:rsid w:val="00D74BA0"/>
    <w:rsid w:val="00D74D03"/>
    <w:rsid w:val="00D75C77"/>
    <w:rsid w:val="00D75EDB"/>
    <w:rsid w:val="00D75F97"/>
    <w:rsid w:val="00D76D50"/>
    <w:rsid w:val="00D77278"/>
    <w:rsid w:val="00D77887"/>
    <w:rsid w:val="00D804E8"/>
    <w:rsid w:val="00D80799"/>
    <w:rsid w:val="00D808FF"/>
    <w:rsid w:val="00D809CD"/>
    <w:rsid w:val="00D80A99"/>
    <w:rsid w:val="00D80F04"/>
    <w:rsid w:val="00D8108B"/>
    <w:rsid w:val="00D8123C"/>
    <w:rsid w:val="00D8165A"/>
    <w:rsid w:val="00D81675"/>
    <w:rsid w:val="00D81C1E"/>
    <w:rsid w:val="00D8215F"/>
    <w:rsid w:val="00D826E1"/>
    <w:rsid w:val="00D82C98"/>
    <w:rsid w:val="00D82D7B"/>
    <w:rsid w:val="00D839C1"/>
    <w:rsid w:val="00D83AA6"/>
    <w:rsid w:val="00D83CF9"/>
    <w:rsid w:val="00D83DAE"/>
    <w:rsid w:val="00D8409B"/>
    <w:rsid w:val="00D841EA"/>
    <w:rsid w:val="00D843A4"/>
    <w:rsid w:val="00D845B5"/>
    <w:rsid w:val="00D84991"/>
    <w:rsid w:val="00D84A01"/>
    <w:rsid w:val="00D84D63"/>
    <w:rsid w:val="00D84E77"/>
    <w:rsid w:val="00D84F30"/>
    <w:rsid w:val="00D851BA"/>
    <w:rsid w:val="00D8521F"/>
    <w:rsid w:val="00D857B5"/>
    <w:rsid w:val="00D85CFB"/>
    <w:rsid w:val="00D86180"/>
    <w:rsid w:val="00D864B6"/>
    <w:rsid w:val="00D8681F"/>
    <w:rsid w:val="00D869B2"/>
    <w:rsid w:val="00D86AEF"/>
    <w:rsid w:val="00D86B93"/>
    <w:rsid w:val="00D86F6B"/>
    <w:rsid w:val="00D87866"/>
    <w:rsid w:val="00D87AB4"/>
    <w:rsid w:val="00D906BE"/>
    <w:rsid w:val="00D908AB"/>
    <w:rsid w:val="00D90941"/>
    <w:rsid w:val="00D909AD"/>
    <w:rsid w:val="00D91A3C"/>
    <w:rsid w:val="00D9201A"/>
    <w:rsid w:val="00D92093"/>
    <w:rsid w:val="00D92233"/>
    <w:rsid w:val="00D92CE1"/>
    <w:rsid w:val="00D92F50"/>
    <w:rsid w:val="00D93234"/>
    <w:rsid w:val="00D93493"/>
    <w:rsid w:val="00D9350B"/>
    <w:rsid w:val="00D93832"/>
    <w:rsid w:val="00D938F0"/>
    <w:rsid w:val="00D93A1D"/>
    <w:rsid w:val="00D93BA0"/>
    <w:rsid w:val="00D93BE4"/>
    <w:rsid w:val="00D9445F"/>
    <w:rsid w:val="00D946B8"/>
    <w:rsid w:val="00D946F7"/>
    <w:rsid w:val="00D947B0"/>
    <w:rsid w:val="00D948A2"/>
    <w:rsid w:val="00D948FF"/>
    <w:rsid w:val="00D9490C"/>
    <w:rsid w:val="00D94CCC"/>
    <w:rsid w:val="00D9547F"/>
    <w:rsid w:val="00D95573"/>
    <w:rsid w:val="00D95691"/>
    <w:rsid w:val="00D95A52"/>
    <w:rsid w:val="00D9606A"/>
    <w:rsid w:val="00D9619E"/>
    <w:rsid w:val="00D961A7"/>
    <w:rsid w:val="00D96E9B"/>
    <w:rsid w:val="00D97066"/>
    <w:rsid w:val="00D972ED"/>
    <w:rsid w:val="00D972F9"/>
    <w:rsid w:val="00D97514"/>
    <w:rsid w:val="00D975B5"/>
    <w:rsid w:val="00D977B9"/>
    <w:rsid w:val="00D97949"/>
    <w:rsid w:val="00D97CE8"/>
    <w:rsid w:val="00D97EBC"/>
    <w:rsid w:val="00D97F7D"/>
    <w:rsid w:val="00DA0707"/>
    <w:rsid w:val="00DA1AB8"/>
    <w:rsid w:val="00DA2146"/>
    <w:rsid w:val="00DA2E7F"/>
    <w:rsid w:val="00DA3054"/>
    <w:rsid w:val="00DA3525"/>
    <w:rsid w:val="00DA3767"/>
    <w:rsid w:val="00DA3CA4"/>
    <w:rsid w:val="00DA4156"/>
    <w:rsid w:val="00DA447F"/>
    <w:rsid w:val="00DA44D9"/>
    <w:rsid w:val="00DA45E2"/>
    <w:rsid w:val="00DA4706"/>
    <w:rsid w:val="00DA4800"/>
    <w:rsid w:val="00DA4ECE"/>
    <w:rsid w:val="00DA51E9"/>
    <w:rsid w:val="00DA5350"/>
    <w:rsid w:val="00DA5702"/>
    <w:rsid w:val="00DA6308"/>
    <w:rsid w:val="00DA6FCA"/>
    <w:rsid w:val="00DA7195"/>
    <w:rsid w:val="00DA7380"/>
    <w:rsid w:val="00DA768F"/>
    <w:rsid w:val="00DA7784"/>
    <w:rsid w:val="00DB0009"/>
    <w:rsid w:val="00DB00A2"/>
    <w:rsid w:val="00DB01B4"/>
    <w:rsid w:val="00DB031E"/>
    <w:rsid w:val="00DB0811"/>
    <w:rsid w:val="00DB0EDB"/>
    <w:rsid w:val="00DB1370"/>
    <w:rsid w:val="00DB13A7"/>
    <w:rsid w:val="00DB152E"/>
    <w:rsid w:val="00DB1B8E"/>
    <w:rsid w:val="00DB240A"/>
    <w:rsid w:val="00DB2481"/>
    <w:rsid w:val="00DB25A1"/>
    <w:rsid w:val="00DB2687"/>
    <w:rsid w:val="00DB2695"/>
    <w:rsid w:val="00DB36F3"/>
    <w:rsid w:val="00DB37FA"/>
    <w:rsid w:val="00DB3A9E"/>
    <w:rsid w:val="00DB3FCF"/>
    <w:rsid w:val="00DB423A"/>
    <w:rsid w:val="00DB43E1"/>
    <w:rsid w:val="00DB448A"/>
    <w:rsid w:val="00DB4636"/>
    <w:rsid w:val="00DB4CDA"/>
    <w:rsid w:val="00DB4CED"/>
    <w:rsid w:val="00DB4D21"/>
    <w:rsid w:val="00DB53C5"/>
    <w:rsid w:val="00DB595F"/>
    <w:rsid w:val="00DB5B2F"/>
    <w:rsid w:val="00DB5F08"/>
    <w:rsid w:val="00DB6843"/>
    <w:rsid w:val="00DB6DE3"/>
    <w:rsid w:val="00DB73AB"/>
    <w:rsid w:val="00DB789B"/>
    <w:rsid w:val="00DB7D20"/>
    <w:rsid w:val="00DB7E66"/>
    <w:rsid w:val="00DB7FBD"/>
    <w:rsid w:val="00DC00DF"/>
    <w:rsid w:val="00DC0155"/>
    <w:rsid w:val="00DC0745"/>
    <w:rsid w:val="00DC0D4E"/>
    <w:rsid w:val="00DC1553"/>
    <w:rsid w:val="00DC15B9"/>
    <w:rsid w:val="00DC1758"/>
    <w:rsid w:val="00DC18E6"/>
    <w:rsid w:val="00DC1A71"/>
    <w:rsid w:val="00DC20F1"/>
    <w:rsid w:val="00DC21E0"/>
    <w:rsid w:val="00DC226C"/>
    <w:rsid w:val="00DC22C0"/>
    <w:rsid w:val="00DC249A"/>
    <w:rsid w:val="00DC2634"/>
    <w:rsid w:val="00DC2B89"/>
    <w:rsid w:val="00DC2BB6"/>
    <w:rsid w:val="00DC2CE3"/>
    <w:rsid w:val="00DC33E0"/>
    <w:rsid w:val="00DC3E44"/>
    <w:rsid w:val="00DC44E9"/>
    <w:rsid w:val="00DC4521"/>
    <w:rsid w:val="00DC458A"/>
    <w:rsid w:val="00DC46FA"/>
    <w:rsid w:val="00DC4B2F"/>
    <w:rsid w:val="00DC4E24"/>
    <w:rsid w:val="00DC4F70"/>
    <w:rsid w:val="00DC517E"/>
    <w:rsid w:val="00DC5187"/>
    <w:rsid w:val="00DC54D5"/>
    <w:rsid w:val="00DC5532"/>
    <w:rsid w:val="00DC5B09"/>
    <w:rsid w:val="00DC6B05"/>
    <w:rsid w:val="00DC7079"/>
    <w:rsid w:val="00DC7264"/>
    <w:rsid w:val="00DC7906"/>
    <w:rsid w:val="00DC792E"/>
    <w:rsid w:val="00DC7948"/>
    <w:rsid w:val="00DC7AA4"/>
    <w:rsid w:val="00DC7C5B"/>
    <w:rsid w:val="00DC7E43"/>
    <w:rsid w:val="00DD0918"/>
    <w:rsid w:val="00DD0EEF"/>
    <w:rsid w:val="00DD10CD"/>
    <w:rsid w:val="00DD1EE3"/>
    <w:rsid w:val="00DD2235"/>
    <w:rsid w:val="00DD2C0F"/>
    <w:rsid w:val="00DD3007"/>
    <w:rsid w:val="00DD3039"/>
    <w:rsid w:val="00DD316B"/>
    <w:rsid w:val="00DD35AF"/>
    <w:rsid w:val="00DD3A4D"/>
    <w:rsid w:val="00DD3CFE"/>
    <w:rsid w:val="00DD3FEE"/>
    <w:rsid w:val="00DD4911"/>
    <w:rsid w:val="00DD4BA9"/>
    <w:rsid w:val="00DD5592"/>
    <w:rsid w:val="00DD5714"/>
    <w:rsid w:val="00DD5C5B"/>
    <w:rsid w:val="00DD5CB6"/>
    <w:rsid w:val="00DD6301"/>
    <w:rsid w:val="00DD647C"/>
    <w:rsid w:val="00DD67EC"/>
    <w:rsid w:val="00DD69A6"/>
    <w:rsid w:val="00DD6B9B"/>
    <w:rsid w:val="00DD6D4F"/>
    <w:rsid w:val="00DD6F35"/>
    <w:rsid w:val="00DD70F3"/>
    <w:rsid w:val="00DE0045"/>
    <w:rsid w:val="00DE008C"/>
    <w:rsid w:val="00DE0248"/>
    <w:rsid w:val="00DE03AD"/>
    <w:rsid w:val="00DE0558"/>
    <w:rsid w:val="00DE13FA"/>
    <w:rsid w:val="00DE16E0"/>
    <w:rsid w:val="00DE1A91"/>
    <w:rsid w:val="00DE1A95"/>
    <w:rsid w:val="00DE1CAC"/>
    <w:rsid w:val="00DE1D23"/>
    <w:rsid w:val="00DE1F2D"/>
    <w:rsid w:val="00DE2190"/>
    <w:rsid w:val="00DE2197"/>
    <w:rsid w:val="00DE2DED"/>
    <w:rsid w:val="00DE2EF3"/>
    <w:rsid w:val="00DE3231"/>
    <w:rsid w:val="00DE376F"/>
    <w:rsid w:val="00DE39C4"/>
    <w:rsid w:val="00DE3A5D"/>
    <w:rsid w:val="00DE3C42"/>
    <w:rsid w:val="00DE3D19"/>
    <w:rsid w:val="00DE4678"/>
    <w:rsid w:val="00DE4791"/>
    <w:rsid w:val="00DE49DE"/>
    <w:rsid w:val="00DE4C3F"/>
    <w:rsid w:val="00DE4E51"/>
    <w:rsid w:val="00DE4FB8"/>
    <w:rsid w:val="00DE52C2"/>
    <w:rsid w:val="00DE5856"/>
    <w:rsid w:val="00DE58DC"/>
    <w:rsid w:val="00DE5E33"/>
    <w:rsid w:val="00DE5FC9"/>
    <w:rsid w:val="00DE6B12"/>
    <w:rsid w:val="00DE6D8A"/>
    <w:rsid w:val="00DE7483"/>
    <w:rsid w:val="00DE756E"/>
    <w:rsid w:val="00DE7765"/>
    <w:rsid w:val="00DE77E6"/>
    <w:rsid w:val="00DE798A"/>
    <w:rsid w:val="00DE7E17"/>
    <w:rsid w:val="00DE7EA9"/>
    <w:rsid w:val="00DE7F21"/>
    <w:rsid w:val="00DE7FC6"/>
    <w:rsid w:val="00DF006A"/>
    <w:rsid w:val="00DF06BE"/>
    <w:rsid w:val="00DF07EB"/>
    <w:rsid w:val="00DF08DB"/>
    <w:rsid w:val="00DF09D0"/>
    <w:rsid w:val="00DF0D21"/>
    <w:rsid w:val="00DF0F15"/>
    <w:rsid w:val="00DF1D51"/>
    <w:rsid w:val="00DF205E"/>
    <w:rsid w:val="00DF206B"/>
    <w:rsid w:val="00DF2523"/>
    <w:rsid w:val="00DF2A81"/>
    <w:rsid w:val="00DF2BAE"/>
    <w:rsid w:val="00DF2D97"/>
    <w:rsid w:val="00DF3461"/>
    <w:rsid w:val="00DF37A2"/>
    <w:rsid w:val="00DF3C47"/>
    <w:rsid w:val="00DF43FF"/>
    <w:rsid w:val="00DF44E8"/>
    <w:rsid w:val="00DF480E"/>
    <w:rsid w:val="00DF49AE"/>
    <w:rsid w:val="00DF4A3D"/>
    <w:rsid w:val="00DF4A51"/>
    <w:rsid w:val="00DF4E1B"/>
    <w:rsid w:val="00DF4E3D"/>
    <w:rsid w:val="00DF4EEC"/>
    <w:rsid w:val="00DF4F4D"/>
    <w:rsid w:val="00DF563E"/>
    <w:rsid w:val="00DF5AF0"/>
    <w:rsid w:val="00DF5F7E"/>
    <w:rsid w:val="00DF6263"/>
    <w:rsid w:val="00DF6A73"/>
    <w:rsid w:val="00DF6C49"/>
    <w:rsid w:val="00DF6C9C"/>
    <w:rsid w:val="00DF6EF1"/>
    <w:rsid w:val="00DF72A5"/>
    <w:rsid w:val="00DF79B1"/>
    <w:rsid w:val="00E00078"/>
    <w:rsid w:val="00E003BE"/>
    <w:rsid w:val="00E00A15"/>
    <w:rsid w:val="00E01271"/>
    <w:rsid w:val="00E0167B"/>
    <w:rsid w:val="00E0174C"/>
    <w:rsid w:val="00E018FC"/>
    <w:rsid w:val="00E01C12"/>
    <w:rsid w:val="00E01D87"/>
    <w:rsid w:val="00E01E9F"/>
    <w:rsid w:val="00E01F86"/>
    <w:rsid w:val="00E02058"/>
    <w:rsid w:val="00E0247A"/>
    <w:rsid w:val="00E024F4"/>
    <w:rsid w:val="00E029B8"/>
    <w:rsid w:val="00E02CB4"/>
    <w:rsid w:val="00E02D57"/>
    <w:rsid w:val="00E02E51"/>
    <w:rsid w:val="00E03470"/>
    <w:rsid w:val="00E0349E"/>
    <w:rsid w:val="00E0389C"/>
    <w:rsid w:val="00E03BE2"/>
    <w:rsid w:val="00E0428D"/>
    <w:rsid w:val="00E042C5"/>
    <w:rsid w:val="00E044EC"/>
    <w:rsid w:val="00E045E2"/>
    <w:rsid w:val="00E04D15"/>
    <w:rsid w:val="00E058B1"/>
    <w:rsid w:val="00E05995"/>
    <w:rsid w:val="00E05E1A"/>
    <w:rsid w:val="00E061CE"/>
    <w:rsid w:val="00E063B8"/>
    <w:rsid w:val="00E068BE"/>
    <w:rsid w:val="00E06A8C"/>
    <w:rsid w:val="00E06DB9"/>
    <w:rsid w:val="00E06EFB"/>
    <w:rsid w:val="00E07006"/>
    <w:rsid w:val="00E070AD"/>
    <w:rsid w:val="00E070E6"/>
    <w:rsid w:val="00E07144"/>
    <w:rsid w:val="00E0739A"/>
    <w:rsid w:val="00E07AE5"/>
    <w:rsid w:val="00E07D46"/>
    <w:rsid w:val="00E10649"/>
    <w:rsid w:val="00E10F80"/>
    <w:rsid w:val="00E116E8"/>
    <w:rsid w:val="00E119A8"/>
    <w:rsid w:val="00E11C35"/>
    <w:rsid w:val="00E11D41"/>
    <w:rsid w:val="00E11D63"/>
    <w:rsid w:val="00E1256A"/>
    <w:rsid w:val="00E1270B"/>
    <w:rsid w:val="00E13696"/>
    <w:rsid w:val="00E13A26"/>
    <w:rsid w:val="00E13C81"/>
    <w:rsid w:val="00E14407"/>
    <w:rsid w:val="00E144BF"/>
    <w:rsid w:val="00E1484F"/>
    <w:rsid w:val="00E14D1D"/>
    <w:rsid w:val="00E153E2"/>
    <w:rsid w:val="00E153ED"/>
    <w:rsid w:val="00E153F0"/>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205AA"/>
    <w:rsid w:val="00E20874"/>
    <w:rsid w:val="00E20AAB"/>
    <w:rsid w:val="00E20AB6"/>
    <w:rsid w:val="00E20B8E"/>
    <w:rsid w:val="00E20E79"/>
    <w:rsid w:val="00E20EAB"/>
    <w:rsid w:val="00E21079"/>
    <w:rsid w:val="00E21759"/>
    <w:rsid w:val="00E21B5F"/>
    <w:rsid w:val="00E22373"/>
    <w:rsid w:val="00E22865"/>
    <w:rsid w:val="00E22FC8"/>
    <w:rsid w:val="00E232D7"/>
    <w:rsid w:val="00E2345D"/>
    <w:rsid w:val="00E235B7"/>
    <w:rsid w:val="00E23E1D"/>
    <w:rsid w:val="00E241F5"/>
    <w:rsid w:val="00E24A05"/>
    <w:rsid w:val="00E2518B"/>
    <w:rsid w:val="00E25CC4"/>
    <w:rsid w:val="00E25D40"/>
    <w:rsid w:val="00E26010"/>
    <w:rsid w:val="00E2603F"/>
    <w:rsid w:val="00E26116"/>
    <w:rsid w:val="00E26307"/>
    <w:rsid w:val="00E2683D"/>
    <w:rsid w:val="00E2689B"/>
    <w:rsid w:val="00E269AF"/>
    <w:rsid w:val="00E2726E"/>
    <w:rsid w:val="00E2748C"/>
    <w:rsid w:val="00E2782B"/>
    <w:rsid w:val="00E27AE1"/>
    <w:rsid w:val="00E27D16"/>
    <w:rsid w:val="00E27D8C"/>
    <w:rsid w:val="00E30644"/>
    <w:rsid w:val="00E31143"/>
    <w:rsid w:val="00E31658"/>
    <w:rsid w:val="00E3192C"/>
    <w:rsid w:val="00E31A95"/>
    <w:rsid w:val="00E32227"/>
    <w:rsid w:val="00E3264D"/>
    <w:rsid w:val="00E327F2"/>
    <w:rsid w:val="00E32D8D"/>
    <w:rsid w:val="00E33034"/>
    <w:rsid w:val="00E33238"/>
    <w:rsid w:val="00E336B6"/>
    <w:rsid w:val="00E33775"/>
    <w:rsid w:val="00E344C7"/>
    <w:rsid w:val="00E345F8"/>
    <w:rsid w:val="00E346FA"/>
    <w:rsid w:val="00E34ABC"/>
    <w:rsid w:val="00E34C7F"/>
    <w:rsid w:val="00E34D08"/>
    <w:rsid w:val="00E3508B"/>
    <w:rsid w:val="00E3542A"/>
    <w:rsid w:val="00E3552F"/>
    <w:rsid w:val="00E3566A"/>
    <w:rsid w:val="00E35BB2"/>
    <w:rsid w:val="00E3662F"/>
    <w:rsid w:val="00E36798"/>
    <w:rsid w:val="00E3701A"/>
    <w:rsid w:val="00E372F3"/>
    <w:rsid w:val="00E372FD"/>
    <w:rsid w:val="00E37A5E"/>
    <w:rsid w:val="00E37A72"/>
    <w:rsid w:val="00E37EB3"/>
    <w:rsid w:val="00E40070"/>
    <w:rsid w:val="00E4013A"/>
    <w:rsid w:val="00E4029B"/>
    <w:rsid w:val="00E4086A"/>
    <w:rsid w:val="00E41547"/>
    <w:rsid w:val="00E415BA"/>
    <w:rsid w:val="00E41A35"/>
    <w:rsid w:val="00E41B7B"/>
    <w:rsid w:val="00E41DFB"/>
    <w:rsid w:val="00E421B7"/>
    <w:rsid w:val="00E42280"/>
    <w:rsid w:val="00E428BA"/>
    <w:rsid w:val="00E429FB"/>
    <w:rsid w:val="00E42B15"/>
    <w:rsid w:val="00E433E9"/>
    <w:rsid w:val="00E435BB"/>
    <w:rsid w:val="00E436D9"/>
    <w:rsid w:val="00E438B2"/>
    <w:rsid w:val="00E43B9B"/>
    <w:rsid w:val="00E44227"/>
    <w:rsid w:val="00E443CC"/>
    <w:rsid w:val="00E449D1"/>
    <w:rsid w:val="00E44B05"/>
    <w:rsid w:val="00E44E40"/>
    <w:rsid w:val="00E44E99"/>
    <w:rsid w:val="00E45955"/>
    <w:rsid w:val="00E45E09"/>
    <w:rsid w:val="00E45E68"/>
    <w:rsid w:val="00E46229"/>
    <w:rsid w:val="00E4635B"/>
    <w:rsid w:val="00E4651E"/>
    <w:rsid w:val="00E465A7"/>
    <w:rsid w:val="00E466BF"/>
    <w:rsid w:val="00E467DA"/>
    <w:rsid w:val="00E4698D"/>
    <w:rsid w:val="00E46CAB"/>
    <w:rsid w:val="00E471B0"/>
    <w:rsid w:val="00E4756F"/>
    <w:rsid w:val="00E47B42"/>
    <w:rsid w:val="00E47DAA"/>
    <w:rsid w:val="00E50745"/>
    <w:rsid w:val="00E50747"/>
    <w:rsid w:val="00E51711"/>
    <w:rsid w:val="00E518DB"/>
    <w:rsid w:val="00E527B7"/>
    <w:rsid w:val="00E527C9"/>
    <w:rsid w:val="00E52A9E"/>
    <w:rsid w:val="00E52E13"/>
    <w:rsid w:val="00E52F4E"/>
    <w:rsid w:val="00E53097"/>
    <w:rsid w:val="00E53F92"/>
    <w:rsid w:val="00E5409C"/>
    <w:rsid w:val="00E54445"/>
    <w:rsid w:val="00E54838"/>
    <w:rsid w:val="00E54A47"/>
    <w:rsid w:val="00E553AA"/>
    <w:rsid w:val="00E55B96"/>
    <w:rsid w:val="00E55E7F"/>
    <w:rsid w:val="00E56EDC"/>
    <w:rsid w:val="00E57714"/>
    <w:rsid w:val="00E57AC7"/>
    <w:rsid w:val="00E57B25"/>
    <w:rsid w:val="00E57EEE"/>
    <w:rsid w:val="00E60979"/>
    <w:rsid w:val="00E60998"/>
    <w:rsid w:val="00E60ACF"/>
    <w:rsid w:val="00E60B1E"/>
    <w:rsid w:val="00E60CBA"/>
    <w:rsid w:val="00E6149F"/>
    <w:rsid w:val="00E61A31"/>
    <w:rsid w:val="00E61A83"/>
    <w:rsid w:val="00E61CD7"/>
    <w:rsid w:val="00E62063"/>
    <w:rsid w:val="00E621C3"/>
    <w:rsid w:val="00E62873"/>
    <w:rsid w:val="00E62D29"/>
    <w:rsid w:val="00E62D6A"/>
    <w:rsid w:val="00E637C0"/>
    <w:rsid w:val="00E63E2E"/>
    <w:rsid w:val="00E645E0"/>
    <w:rsid w:val="00E64F73"/>
    <w:rsid w:val="00E657AB"/>
    <w:rsid w:val="00E660DE"/>
    <w:rsid w:val="00E66839"/>
    <w:rsid w:val="00E6685C"/>
    <w:rsid w:val="00E6732A"/>
    <w:rsid w:val="00E67ABE"/>
    <w:rsid w:val="00E67B9A"/>
    <w:rsid w:val="00E707F5"/>
    <w:rsid w:val="00E7128F"/>
    <w:rsid w:val="00E71D15"/>
    <w:rsid w:val="00E72270"/>
    <w:rsid w:val="00E7235D"/>
    <w:rsid w:val="00E7245F"/>
    <w:rsid w:val="00E727B5"/>
    <w:rsid w:val="00E729B1"/>
    <w:rsid w:val="00E72B47"/>
    <w:rsid w:val="00E72E0D"/>
    <w:rsid w:val="00E73441"/>
    <w:rsid w:val="00E737EF"/>
    <w:rsid w:val="00E73D4F"/>
    <w:rsid w:val="00E73D60"/>
    <w:rsid w:val="00E74097"/>
    <w:rsid w:val="00E74C3B"/>
    <w:rsid w:val="00E74E47"/>
    <w:rsid w:val="00E74FC6"/>
    <w:rsid w:val="00E750E9"/>
    <w:rsid w:val="00E758A5"/>
    <w:rsid w:val="00E758B1"/>
    <w:rsid w:val="00E75DED"/>
    <w:rsid w:val="00E75E36"/>
    <w:rsid w:val="00E75F22"/>
    <w:rsid w:val="00E75F71"/>
    <w:rsid w:val="00E75FE3"/>
    <w:rsid w:val="00E76759"/>
    <w:rsid w:val="00E7680E"/>
    <w:rsid w:val="00E76ACF"/>
    <w:rsid w:val="00E76C23"/>
    <w:rsid w:val="00E76E85"/>
    <w:rsid w:val="00E77048"/>
    <w:rsid w:val="00E7705F"/>
    <w:rsid w:val="00E77102"/>
    <w:rsid w:val="00E772FD"/>
    <w:rsid w:val="00E7783C"/>
    <w:rsid w:val="00E77963"/>
    <w:rsid w:val="00E77F51"/>
    <w:rsid w:val="00E80191"/>
    <w:rsid w:val="00E80998"/>
    <w:rsid w:val="00E80DEE"/>
    <w:rsid w:val="00E818A2"/>
    <w:rsid w:val="00E81B0C"/>
    <w:rsid w:val="00E8202E"/>
    <w:rsid w:val="00E82043"/>
    <w:rsid w:val="00E82BA7"/>
    <w:rsid w:val="00E82E1F"/>
    <w:rsid w:val="00E82F35"/>
    <w:rsid w:val="00E83192"/>
    <w:rsid w:val="00E8328F"/>
    <w:rsid w:val="00E83720"/>
    <w:rsid w:val="00E839F3"/>
    <w:rsid w:val="00E840A2"/>
    <w:rsid w:val="00E84927"/>
    <w:rsid w:val="00E84DA0"/>
    <w:rsid w:val="00E84DC8"/>
    <w:rsid w:val="00E84FAD"/>
    <w:rsid w:val="00E853B9"/>
    <w:rsid w:val="00E8570A"/>
    <w:rsid w:val="00E85765"/>
    <w:rsid w:val="00E85839"/>
    <w:rsid w:val="00E85CC2"/>
    <w:rsid w:val="00E85F10"/>
    <w:rsid w:val="00E86007"/>
    <w:rsid w:val="00E86CB7"/>
    <w:rsid w:val="00E86E7A"/>
    <w:rsid w:val="00E86F8C"/>
    <w:rsid w:val="00E87324"/>
    <w:rsid w:val="00E87497"/>
    <w:rsid w:val="00E87987"/>
    <w:rsid w:val="00E87F8A"/>
    <w:rsid w:val="00E87FCD"/>
    <w:rsid w:val="00E903A8"/>
    <w:rsid w:val="00E90B6F"/>
    <w:rsid w:val="00E911C0"/>
    <w:rsid w:val="00E9122F"/>
    <w:rsid w:val="00E918E6"/>
    <w:rsid w:val="00E91C58"/>
    <w:rsid w:val="00E9245A"/>
    <w:rsid w:val="00E9250C"/>
    <w:rsid w:val="00E9297C"/>
    <w:rsid w:val="00E92994"/>
    <w:rsid w:val="00E92C77"/>
    <w:rsid w:val="00E92C99"/>
    <w:rsid w:val="00E9301C"/>
    <w:rsid w:val="00E93D36"/>
    <w:rsid w:val="00E940DB"/>
    <w:rsid w:val="00E94310"/>
    <w:rsid w:val="00E94A6A"/>
    <w:rsid w:val="00E9529C"/>
    <w:rsid w:val="00E95395"/>
    <w:rsid w:val="00E957F8"/>
    <w:rsid w:val="00E95B5A"/>
    <w:rsid w:val="00E96231"/>
    <w:rsid w:val="00E968E3"/>
    <w:rsid w:val="00E96997"/>
    <w:rsid w:val="00E96B5F"/>
    <w:rsid w:val="00E97660"/>
    <w:rsid w:val="00E977CB"/>
    <w:rsid w:val="00E97B57"/>
    <w:rsid w:val="00E97D3C"/>
    <w:rsid w:val="00EA03CF"/>
    <w:rsid w:val="00EA0505"/>
    <w:rsid w:val="00EA08C9"/>
    <w:rsid w:val="00EA1051"/>
    <w:rsid w:val="00EA1872"/>
    <w:rsid w:val="00EA1BA0"/>
    <w:rsid w:val="00EA1BCF"/>
    <w:rsid w:val="00EA2375"/>
    <w:rsid w:val="00EA251B"/>
    <w:rsid w:val="00EA270D"/>
    <w:rsid w:val="00EA2871"/>
    <w:rsid w:val="00EA2A22"/>
    <w:rsid w:val="00EA2B3B"/>
    <w:rsid w:val="00EA2C9B"/>
    <w:rsid w:val="00EA2FD5"/>
    <w:rsid w:val="00EA300A"/>
    <w:rsid w:val="00EA3443"/>
    <w:rsid w:val="00EA34C0"/>
    <w:rsid w:val="00EA4603"/>
    <w:rsid w:val="00EA47FA"/>
    <w:rsid w:val="00EA5512"/>
    <w:rsid w:val="00EA5834"/>
    <w:rsid w:val="00EA5972"/>
    <w:rsid w:val="00EA5DCA"/>
    <w:rsid w:val="00EA6427"/>
    <w:rsid w:val="00EA6565"/>
    <w:rsid w:val="00EA658B"/>
    <w:rsid w:val="00EA68C9"/>
    <w:rsid w:val="00EA7112"/>
    <w:rsid w:val="00EA74E8"/>
    <w:rsid w:val="00EA760B"/>
    <w:rsid w:val="00EA77E8"/>
    <w:rsid w:val="00EA78E4"/>
    <w:rsid w:val="00EA7912"/>
    <w:rsid w:val="00EB003F"/>
    <w:rsid w:val="00EB088F"/>
    <w:rsid w:val="00EB0A3C"/>
    <w:rsid w:val="00EB0F69"/>
    <w:rsid w:val="00EB1067"/>
    <w:rsid w:val="00EB176E"/>
    <w:rsid w:val="00EB202D"/>
    <w:rsid w:val="00EB2C4E"/>
    <w:rsid w:val="00EB2C70"/>
    <w:rsid w:val="00EB30BF"/>
    <w:rsid w:val="00EB32C0"/>
    <w:rsid w:val="00EB3EEE"/>
    <w:rsid w:val="00EB47A7"/>
    <w:rsid w:val="00EB47E3"/>
    <w:rsid w:val="00EB47F0"/>
    <w:rsid w:val="00EB5080"/>
    <w:rsid w:val="00EB5850"/>
    <w:rsid w:val="00EB599B"/>
    <w:rsid w:val="00EB6474"/>
    <w:rsid w:val="00EB721B"/>
    <w:rsid w:val="00EB73A7"/>
    <w:rsid w:val="00EB7516"/>
    <w:rsid w:val="00EB753F"/>
    <w:rsid w:val="00EB7966"/>
    <w:rsid w:val="00EB79F8"/>
    <w:rsid w:val="00EC0038"/>
    <w:rsid w:val="00EC06EB"/>
    <w:rsid w:val="00EC0BC9"/>
    <w:rsid w:val="00EC0D48"/>
    <w:rsid w:val="00EC10C0"/>
    <w:rsid w:val="00EC1110"/>
    <w:rsid w:val="00EC1357"/>
    <w:rsid w:val="00EC1392"/>
    <w:rsid w:val="00EC1575"/>
    <w:rsid w:val="00EC1948"/>
    <w:rsid w:val="00EC1AAA"/>
    <w:rsid w:val="00EC1BDB"/>
    <w:rsid w:val="00EC26D0"/>
    <w:rsid w:val="00EC2729"/>
    <w:rsid w:val="00EC279A"/>
    <w:rsid w:val="00EC2846"/>
    <w:rsid w:val="00EC2888"/>
    <w:rsid w:val="00EC29A2"/>
    <w:rsid w:val="00EC2CE9"/>
    <w:rsid w:val="00EC2EB5"/>
    <w:rsid w:val="00EC3861"/>
    <w:rsid w:val="00EC3D93"/>
    <w:rsid w:val="00EC4079"/>
    <w:rsid w:val="00EC422F"/>
    <w:rsid w:val="00EC4242"/>
    <w:rsid w:val="00EC424D"/>
    <w:rsid w:val="00EC432F"/>
    <w:rsid w:val="00EC4C0F"/>
    <w:rsid w:val="00EC51A6"/>
    <w:rsid w:val="00EC5358"/>
    <w:rsid w:val="00EC55F7"/>
    <w:rsid w:val="00EC5A93"/>
    <w:rsid w:val="00EC5F54"/>
    <w:rsid w:val="00EC6542"/>
    <w:rsid w:val="00EC714A"/>
    <w:rsid w:val="00EC7750"/>
    <w:rsid w:val="00EC79EA"/>
    <w:rsid w:val="00ED04B3"/>
    <w:rsid w:val="00ED0AD2"/>
    <w:rsid w:val="00ED0E48"/>
    <w:rsid w:val="00ED16DD"/>
    <w:rsid w:val="00ED20D3"/>
    <w:rsid w:val="00ED20E2"/>
    <w:rsid w:val="00ED21E1"/>
    <w:rsid w:val="00ED22A3"/>
    <w:rsid w:val="00ED2F02"/>
    <w:rsid w:val="00ED2F83"/>
    <w:rsid w:val="00ED38E4"/>
    <w:rsid w:val="00ED3D1A"/>
    <w:rsid w:val="00ED4858"/>
    <w:rsid w:val="00ED57DC"/>
    <w:rsid w:val="00ED5B66"/>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D5F"/>
    <w:rsid w:val="00EE1DC3"/>
    <w:rsid w:val="00EE21F2"/>
    <w:rsid w:val="00EE35C6"/>
    <w:rsid w:val="00EE3632"/>
    <w:rsid w:val="00EE368C"/>
    <w:rsid w:val="00EE41D9"/>
    <w:rsid w:val="00EE4673"/>
    <w:rsid w:val="00EE5755"/>
    <w:rsid w:val="00EE6710"/>
    <w:rsid w:val="00EE75DB"/>
    <w:rsid w:val="00EE7998"/>
    <w:rsid w:val="00EE7C1C"/>
    <w:rsid w:val="00EF0187"/>
    <w:rsid w:val="00EF0456"/>
    <w:rsid w:val="00EF06D1"/>
    <w:rsid w:val="00EF07B1"/>
    <w:rsid w:val="00EF0BB6"/>
    <w:rsid w:val="00EF0DA4"/>
    <w:rsid w:val="00EF10E9"/>
    <w:rsid w:val="00EF1816"/>
    <w:rsid w:val="00EF1E16"/>
    <w:rsid w:val="00EF22D8"/>
    <w:rsid w:val="00EF2320"/>
    <w:rsid w:val="00EF2480"/>
    <w:rsid w:val="00EF253D"/>
    <w:rsid w:val="00EF26D7"/>
    <w:rsid w:val="00EF26EC"/>
    <w:rsid w:val="00EF2A49"/>
    <w:rsid w:val="00EF2DBE"/>
    <w:rsid w:val="00EF3D04"/>
    <w:rsid w:val="00EF3D80"/>
    <w:rsid w:val="00EF3F3C"/>
    <w:rsid w:val="00EF410B"/>
    <w:rsid w:val="00EF41DA"/>
    <w:rsid w:val="00EF45CA"/>
    <w:rsid w:val="00EF4A60"/>
    <w:rsid w:val="00EF551D"/>
    <w:rsid w:val="00EF5AA8"/>
    <w:rsid w:val="00EF5EED"/>
    <w:rsid w:val="00EF6357"/>
    <w:rsid w:val="00EF658E"/>
    <w:rsid w:val="00EF6811"/>
    <w:rsid w:val="00EF6E1A"/>
    <w:rsid w:val="00EF6E6C"/>
    <w:rsid w:val="00EF6F1B"/>
    <w:rsid w:val="00EF6F42"/>
    <w:rsid w:val="00EF78DC"/>
    <w:rsid w:val="00EF79FA"/>
    <w:rsid w:val="00EF7EA6"/>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DD4"/>
    <w:rsid w:val="00F02E74"/>
    <w:rsid w:val="00F042F3"/>
    <w:rsid w:val="00F0438C"/>
    <w:rsid w:val="00F04703"/>
    <w:rsid w:val="00F04E82"/>
    <w:rsid w:val="00F0537E"/>
    <w:rsid w:val="00F05543"/>
    <w:rsid w:val="00F057E1"/>
    <w:rsid w:val="00F05831"/>
    <w:rsid w:val="00F05A99"/>
    <w:rsid w:val="00F062B3"/>
    <w:rsid w:val="00F064A2"/>
    <w:rsid w:val="00F06744"/>
    <w:rsid w:val="00F072E0"/>
    <w:rsid w:val="00F07433"/>
    <w:rsid w:val="00F0769E"/>
    <w:rsid w:val="00F10F9E"/>
    <w:rsid w:val="00F11011"/>
    <w:rsid w:val="00F11081"/>
    <w:rsid w:val="00F1112F"/>
    <w:rsid w:val="00F111E2"/>
    <w:rsid w:val="00F11392"/>
    <w:rsid w:val="00F117B0"/>
    <w:rsid w:val="00F11D3B"/>
    <w:rsid w:val="00F11ECE"/>
    <w:rsid w:val="00F1200B"/>
    <w:rsid w:val="00F123C8"/>
    <w:rsid w:val="00F12E78"/>
    <w:rsid w:val="00F14603"/>
    <w:rsid w:val="00F15330"/>
    <w:rsid w:val="00F154C8"/>
    <w:rsid w:val="00F15670"/>
    <w:rsid w:val="00F156DD"/>
    <w:rsid w:val="00F1574D"/>
    <w:rsid w:val="00F1587F"/>
    <w:rsid w:val="00F15F98"/>
    <w:rsid w:val="00F160CF"/>
    <w:rsid w:val="00F16407"/>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BD"/>
    <w:rsid w:val="00F24111"/>
    <w:rsid w:val="00F24186"/>
    <w:rsid w:val="00F24374"/>
    <w:rsid w:val="00F24A47"/>
    <w:rsid w:val="00F251CD"/>
    <w:rsid w:val="00F2541D"/>
    <w:rsid w:val="00F25428"/>
    <w:rsid w:val="00F255D2"/>
    <w:rsid w:val="00F258F3"/>
    <w:rsid w:val="00F260C9"/>
    <w:rsid w:val="00F26CCB"/>
    <w:rsid w:val="00F26CED"/>
    <w:rsid w:val="00F26EB6"/>
    <w:rsid w:val="00F27814"/>
    <w:rsid w:val="00F301C3"/>
    <w:rsid w:val="00F306C2"/>
    <w:rsid w:val="00F307FD"/>
    <w:rsid w:val="00F30DA5"/>
    <w:rsid w:val="00F31350"/>
    <w:rsid w:val="00F3178D"/>
    <w:rsid w:val="00F317E7"/>
    <w:rsid w:val="00F318FC"/>
    <w:rsid w:val="00F31973"/>
    <w:rsid w:val="00F320C3"/>
    <w:rsid w:val="00F32219"/>
    <w:rsid w:val="00F3260D"/>
    <w:rsid w:val="00F3279F"/>
    <w:rsid w:val="00F3297B"/>
    <w:rsid w:val="00F32C94"/>
    <w:rsid w:val="00F32E74"/>
    <w:rsid w:val="00F33EFE"/>
    <w:rsid w:val="00F3461A"/>
    <w:rsid w:val="00F34CE7"/>
    <w:rsid w:val="00F35093"/>
    <w:rsid w:val="00F355E8"/>
    <w:rsid w:val="00F35A90"/>
    <w:rsid w:val="00F3615C"/>
    <w:rsid w:val="00F366E9"/>
    <w:rsid w:val="00F367FA"/>
    <w:rsid w:val="00F36C75"/>
    <w:rsid w:val="00F370DD"/>
    <w:rsid w:val="00F37735"/>
    <w:rsid w:val="00F4088B"/>
    <w:rsid w:val="00F409D3"/>
    <w:rsid w:val="00F40C4A"/>
    <w:rsid w:val="00F418FC"/>
    <w:rsid w:val="00F419EC"/>
    <w:rsid w:val="00F41E14"/>
    <w:rsid w:val="00F41E65"/>
    <w:rsid w:val="00F423D6"/>
    <w:rsid w:val="00F425AD"/>
    <w:rsid w:val="00F42AC3"/>
    <w:rsid w:val="00F42FAE"/>
    <w:rsid w:val="00F42FEB"/>
    <w:rsid w:val="00F431D3"/>
    <w:rsid w:val="00F44009"/>
    <w:rsid w:val="00F44110"/>
    <w:rsid w:val="00F44636"/>
    <w:rsid w:val="00F44B4B"/>
    <w:rsid w:val="00F44B76"/>
    <w:rsid w:val="00F44B83"/>
    <w:rsid w:val="00F44BF4"/>
    <w:rsid w:val="00F44E52"/>
    <w:rsid w:val="00F44F05"/>
    <w:rsid w:val="00F4501D"/>
    <w:rsid w:val="00F45622"/>
    <w:rsid w:val="00F45682"/>
    <w:rsid w:val="00F45A5B"/>
    <w:rsid w:val="00F45AD4"/>
    <w:rsid w:val="00F45B9D"/>
    <w:rsid w:val="00F45E4E"/>
    <w:rsid w:val="00F45F37"/>
    <w:rsid w:val="00F4683F"/>
    <w:rsid w:val="00F46D44"/>
    <w:rsid w:val="00F46DD8"/>
    <w:rsid w:val="00F47569"/>
    <w:rsid w:val="00F47BA0"/>
    <w:rsid w:val="00F47C4B"/>
    <w:rsid w:val="00F50368"/>
    <w:rsid w:val="00F50371"/>
    <w:rsid w:val="00F509DC"/>
    <w:rsid w:val="00F51188"/>
    <w:rsid w:val="00F51B70"/>
    <w:rsid w:val="00F51DAE"/>
    <w:rsid w:val="00F51E78"/>
    <w:rsid w:val="00F5272D"/>
    <w:rsid w:val="00F53321"/>
    <w:rsid w:val="00F53403"/>
    <w:rsid w:val="00F5340A"/>
    <w:rsid w:val="00F5396A"/>
    <w:rsid w:val="00F53DA3"/>
    <w:rsid w:val="00F53DCC"/>
    <w:rsid w:val="00F53EDB"/>
    <w:rsid w:val="00F54016"/>
    <w:rsid w:val="00F5490C"/>
    <w:rsid w:val="00F54CAB"/>
    <w:rsid w:val="00F54DC1"/>
    <w:rsid w:val="00F5525B"/>
    <w:rsid w:val="00F552B2"/>
    <w:rsid w:val="00F55322"/>
    <w:rsid w:val="00F55361"/>
    <w:rsid w:val="00F55412"/>
    <w:rsid w:val="00F5549F"/>
    <w:rsid w:val="00F55A5C"/>
    <w:rsid w:val="00F55AE6"/>
    <w:rsid w:val="00F55B9E"/>
    <w:rsid w:val="00F55ED4"/>
    <w:rsid w:val="00F560F7"/>
    <w:rsid w:val="00F56862"/>
    <w:rsid w:val="00F56A5C"/>
    <w:rsid w:val="00F56C72"/>
    <w:rsid w:val="00F574EB"/>
    <w:rsid w:val="00F57BE6"/>
    <w:rsid w:val="00F60335"/>
    <w:rsid w:val="00F60989"/>
    <w:rsid w:val="00F609C4"/>
    <w:rsid w:val="00F6188C"/>
    <w:rsid w:val="00F61A2D"/>
    <w:rsid w:val="00F61B17"/>
    <w:rsid w:val="00F62374"/>
    <w:rsid w:val="00F627E4"/>
    <w:rsid w:val="00F62906"/>
    <w:rsid w:val="00F62A7A"/>
    <w:rsid w:val="00F63250"/>
    <w:rsid w:val="00F632E7"/>
    <w:rsid w:val="00F6371E"/>
    <w:rsid w:val="00F6371F"/>
    <w:rsid w:val="00F63763"/>
    <w:rsid w:val="00F637A0"/>
    <w:rsid w:val="00F63B54"/>
    <w:rsid w:val="00F63BF0"/>
    <w:rsid w:val="00F64222"/>
    <w:rsid w:val="00F642C8"/>
    <w:rsid w:val="00F64B5B"/>
    <w:rsid w:val="00F64E25"/>
    <w:rsid w:val="00F652D5"/>
    <w:rsid w:val="00F655D0"/>
    <w:rsid w:val="00F65691"/>
    <w:rsid w:val="00F6622A"/>
    <w:rsid w:val="00F66251"/>
    <w:rsid w:val="00F66590"/>
    <w:rsid w:val="00F6687B"/>
    <w:rsid w:val="00F669DF"/>
    <w:rsid w:val="00F66FE3"/>
    <w:rsid w:val="00F67710"/>
    <w:rsid w:val="00F67827"/>
    <w:rsid w:val="00F67A2D"/>
    <w:rsid w:val="00F67BF1"/>
    <w:rsid w:val="00F67C54"/>
    <w:rsid w:val="00F70095"/>
    <w:rsid w:val="00F70A23"/>
    <w:rsid w:val="00F71661"/>
    <w:rsid w:val="00F72031"/>
    <w:rsid w:val="00F7215D"/>
    <w:rsid w:val="00F72261"/>
    <w:rsid w:val="00F72288"/>
    <w:rsid w:val="00F72E13"/>
    <w:rsid w:val="00F733FE"/>
    <w:rsid w:val="00F734DB"/>
    <w:rsid w:val="00F73731"/>
    <w:rsid w:val="00F73CAB"/>
    <w:rsid w:val="00F74099"/>
    <w:rsid w:val="00F7453E"/>
    <w:rsid w:val="00F74CA4"/>
    <w:rsid w:val="00F754FA"/>
    <w:rsid w:val="00F75672"/>
    <w:rsid w:val="00F75DF4"/>
    <w:rsid w:val="00F7605B"/>
    <w:rsid w:val="00F76668"/>
    <w:rsid w:val="00F76974"/>
    <w:rsid w:val="00F76FDD"/>
    <w:rsid w:val="00F7733B"/>
    <w:rsid w:val="00F77654"/>
    <w:rsid w:val="00F77746"/>
    <w:rsid w:val="00F77B23"/>
    <w:rsid w:val="00F77C00"/>
    <w:rsid w:val="00F80997"/>
    <w:rsid w:val="00F80C37"/>
    <w:rsid w:val="00F80FC2"/>
    <w:rsid w:val="00F81256"/>
    <w:rsid w:val="00F81462"/>
    <w:rsid w:val="00F8147B"/>
    <w:rsid w:val="00F81563"/>
    <w:rsid w:val="00F81ADC"/>
    <w:rsid w:val="00F81D85"/>
    <w:rsid w:val="00F8201E"/>
    <w:rsid w:val="00F82430"/>
    <w:rsid w:val="00F82506"/>
    <w:rsid w:val="00F82763"/>
    <w:rsid w:val="00F827E5"/>
    <w:rsid w:val="00F82E4A"/>
    <w:rsid w:val="00F830B8"/>
    <w:rsid w:val="00F8385D"/>
    <w:rsid w:val="00F83A24"/>
    <w:rsid w:val="00F8426F"/>
    <w:rsid w:val="00F849F7"/>
    <w:rsid w:val="00F84F4F"/>
    <w:rsid w:val="00F851AF"/>
    <w:rsid w:val="00F8534F"/>
    <w:rsid w:val="00F8553E"/>
    <w:rsid w:val="00F85F20"/>
    <w:rsid w:val="00F862B7"/>
    <w:rsid w:val="00F86AA6"/>
    <w:rsid w:val="00F86BD2"/>
    <w:rsid w:val="00F870FD"/>
    <w:rsid w:val="00F872A3"/>
    <w:rsid w:val="00F8753E"/>
    <w:rsid w:val="00F8759A"/>
    <w:rsid w:val="00F87960"/>
    <w:rsid w:val="00F87CE2"/>
    <w:rsid w:val="00F908C4"/>
    <w:rsid w:val="00F90D93"/>
    <w:rsid w:val="00F91B11"/>
    <w:rsid w:val="00F91D50"/>
    <w:rsid w:val="00F926B6"/>
    <w:rsid w:val="00F932A9"/>
    <w:rsid w:val="00F93A1C"/>
    <w:rsid w:val="00F93FFC"/>
    <w:rsid w:val="00F94127"/>
    <w:rsid w:val="00F9437B"/>
    <w:rsid w:val="00F9445B"/>
    <w:rsid w:val="00F94EF2"/>
    <w:rsid w:val="00F95216"/>
    <w:rsid w:val="00F953BD"/>
    <w:rsid w:val="00F95609"/>
    <w:rsid w:val="00F95A1F"/>
    <w:rsid w:val="00F95D16"/>
    <w:rsid w:val="00F95DFF"/>
    <w:rsid w:val="00F95F37"/>
    <w:rsid w:val="00F96308"/>
    <w:rsid w:val="00F9690D"/>
    <w:rsid w:val="00F96984"/>
    <w:rsid w:val="00F96D9C"/>
    <w:rsid w:val="00F973AF"/>
    <w:rsid w:val="00F9767D"/>
    <w:rsid w:val="00F978E1"/>
    <w:rsid w:val="00F97B76"/>
    <w:rsid w:val="00F97BB7"/>
    <w:rsid w:val="00F97CD2"/>
    <w:rsid w:val="00F97E15"/>
    <w:rsid w:val="00F97F6E"/>
    <w:rsid w:val="00FA0496"/>
    <w:rsid w:val="00FA0780"/>
    <w:rsid w:val="00FA0B5E"/>
    <w:rsid w:val="00FA1CAA"/>
    <w:rsid w:val="00FA1CED"/>
    <w:rsid w:val="00FA3120"/>
    <w:rsid w:val="00FA3578"/>
    <w:rsid w:val="00FA372B"/>
    <w:rsid w:val="00FA3B22"/>
    <w:rsid w:val="00FA44F4"/>
    <w:rsid w:val="00FA5762"/>
    <w:rsid w:val="00FA5BCB"/>
    <w:rsid w:val="00FA62E1"/>
    <w:rsid w:val="00FA6AC6"/>
    <w:rsid w:val="00FA6D4B"/>
    <w:rsid w:val="00FA6EE7"/>
    <w:rsid w:val="00FA6EF2"/>
    <w:rsid w:val="00FA72D0"/>
    <w:rsid w:val="00FA7451"/>
    <w:rsid w:val="00FA796D"/>
    <w:rsid w:val="00FB09F4"/>
    <w:rsid w:val="00FB0C59"/>
    <w:rsid w:val="00FB0E4C"/>
    <w:rsid w:val="00FB12FA"/>
    <w:rsid w:val="00FB135C"/>
    <w:rsid w:val="00FB1F66"/>
    <w:rsid w:val="00FB22E2"/>
    <w:rsid w:val="00FB2A92"/>
    <w:rsid w:val="00FB2C42"/>
    <w:rsid w:val="00FB2F77"/>
    <w:rsid w:val="00FB329B"/>
    <w:rsid w:val="00FB3FDD"/>
    <w:rsid w:val="00FB42D0"/>
    <w:rsid w:val="00FB448E"/>
    <w:rsid w:val="00FB45A9"/>
    <w:rsid w:val="00FB4753"/>
    <w:rsid w:val="00FB4EFF"/>
    <w:rsid w:val="00FB55F6"/>
    <w:rsid w:val="00FB5937"/>
    <w:rsid w:val="00FB5BD9"/>
    <w:rsid w:val="00FB6E91"/>
    <w:rsid w:val="00FB71A0"/>
    <w:rsid w:val="00FB7388"/>
    <w:rsid w:val="00FB7646"/>
    <w:rsid w:val="00FB7BFF"/>
    <w:rsid w:val="00FB7C32"/>
    <w:rsid w:val="00FB7E8D"/>
    <w:rsid w:val="00FC01FB"/>
    <w:rsid w:val="00FC025D"/>
    <w:rsid w:val="00FC0513"/>
    <w:rsid w:val="00FC078E"/>
    <w:rsid w:val="00FC114C"/>
    <w:rsid w:val="00FC15FD"/>
    <w:rsid w:val="00FC1BEB"/>
    <w:rsid w:val="00FC2013"/>
    <w:rsid w:val="00FC2529"/>
    <w:rsid w:val="00FC2693"/>
    <w:rsid w:val="00FC2FC5"/>
    <w:rsid w:val="00FC356D"/>
    <w:rsid w:val="00FC36A9"/>
    <w:rsid w:val="00FC37B4"/>
    <w:rsid w:val="00FC38ED"/>
    <w:rsid w:val="00FC3FAB"/>
    <w:rsid w:val="00FC4C6B"/>
    <w:rsid w:val="00FC4EEF"/>
    <w:rsid w:val="00FC585C"/>
    <w:rsid w:val="00FC5A1D"/>
    <w:rsid w:val="00FC5EEA"/>
    <w:rsid w:val="00FC5FC3"/>
    <w:rsid w:val="00FC6175"/>
    <w:rsid w:val="00FC62C7"/>
    <w:rsid w:val="00FC66AB"/>
    <w:rsid w:val="00FC6851"/>
    <w:rsid w:val="00FC6896"/>
    <w:rsid w:val="00FC6C23"/>
    <w:rsid w:val="00FC6D10"/>
    <w:rsid w:val="00FC7243"/>
    <w:rsid w:val="00FC743C"/>
    <w:rsid w:val="00FC7682"/>
    <w:rsid w:val="00FD0405"/>
    <w:rsid w:val="00FD0600"/>
    <w:rsid w:val="00FD089A"/>
    <w:rsid w:val="00FD0A9C"/>
    <w:rsid w:val="00FD0D74"/>
    <w:rsid w:val="00FD1287"/>
    <w:rsid w:val="00FD16D5"/>
    <w:rsid w:val="00FD1BA7"/>
    <w:rsid w:val="00FD23E7"/>
    <w:rsid w:val="00FD278B"/>
    <w:rsid w:val="00FD2C0B"/>
    <w:rsid w:val="00FD2EC0"/>
    <w:rsid w:val="00FD2FFE"/>
    <w:rsid w:val="00FD3510"/>
    <w:rsid w:val="00FD3C23"/>
    <w:rsid w:val="00FD40CB"/>
    <w:rsid w:val="00FD456A"/>
    <w:rsid w:val="00FD4D5B"/>
    <w:rsid w:val="00FD4D86"/>
    <w:rsid w:val="00FD4F94"/>
    <w:rsid w:val="00FD5229"/>
    <w:rsid w:val="00FD54FD"/>
    <w:rsid w:val="00FD56CB"/>
    <w:rsid w:val="00FD5760"/>
    <w:rsid w:val="00FD589D"/>
    <w:rsid w:val="00FD5C97"/>
    <w:rsid w:val="00FD6285"/>
    <w:rsid w:val="00FD6952"/>
    <w:rsid w:val="00FD6C16"/>
    <w:rsid w:val="00FD6EBB"/>
    <w:rsid w:val="00FE02A1"/>
    <w:rsid w:val="00FE0321"/>
    <w:rsid w:val="00FE0849"/>
    <w:rsid w:val="00FE0C9F"/>
    <w:rsid w:val="00FE1183"/>
    <w:rsid w:val="00FE1502"/>
    <w:rsid w:val="00FE1643"/>
    <w:rsid w:val="00FE1D1C"/>
    <w:rsid w:val="00FE1EA1"/>
    <w:rsid w:val="00FE200B"/>
    <w:rsid w:val="00FE20D5"/>
    <w:rsid w:val="00FE243B"/>
    <w:rsid w:val="00FE2A9D"/>
    <w:rsid w:val="00FE2B06"/>
    <w:rsid w:val="00FE2BD7"/>
    <w:rsid w:val="00FE33B6"/>
    <w:rsid w:val="00FE377B"/>
    <w:rsid w:val="00FE388A"/>
    <w:rsid w:val="00FE3A8B"/>
    <w:rsid w:val="00FE3D82"/>
    <w:rsid w:val="00FE4661"/>
    <w:rsid w:val="00FE467F"/>
    <w:rsid w:val="00FE47BA"/>
    <w:rsid w:val="00FE48F6"/>
    <w:rsid w:val="00FE4DC8"/>
    <w:rsid w:val="00FE4E1F"/>
    <w:rsid w:val="00FE5F31"/>
    <w:rsid w:val="00FE661A"/>
    <w:rsid w:val="00FE6E5B"/>
    <w:rsid w:val="00FE728C"/>
    <w:rsid w:val="00FE72C8"/>
    <w:rsid w:val="00FE72E8"/>
    <w:rsid w:val="00FF00B3"/>
    <w:rsid w:val="00FF08F6"/>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EE8"/>
    <w:rsid w:val="00FF517C"/>
    <w:rsid w:val="00FF53C3"/>
    <w:rsid w:val="00FF5A92"/>
    <w:rsid w:val="00FF6044"/>
    <w:rsid w:val="00FF6706"/>
    <w:rsid w:val="00FF68F6"/>
    <w:rsid w:val="00FF69C5"/>
    <w:rsid w:val="00FF6AC7"/>
    <w:rsid w:val="00FF6B60"/>
    <w:rsid w:val="00FF6B6F"/>
    <w:rsid w:val="00FF6E0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4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64"/>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uiPriority w:val="99"/>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uiPriority w:val="99"/>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C1152F"/>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numPr>
        <w:numId w:val="42"/>
      </w:numPr>
    </w:pPr>
  </w:style>
  <w:style w:type="character" w:customStyle="1" w:styleId="BulletChar">
    <w:name w:val="Bullet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42"/>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42"/>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character" w:customStyle="1" w:styleId="FootnoteTextChar">
    <w:name w:val="Footnote Text Char"/>
    <w:link w:val="FootnoteText"/>
    <w:uiPriority w:val="99"/>
    <w:semiHidden/>
    <w:rsid w:val="00223045"/>
    <w:rPr>
      <w:rFonts w:ascii="Book Antiqua" w:hAnsi="Book Antiqua"/>
      <w:sz w:val="18"/>
      <w:szCs w:val="24"/>
      <w:lang w:eastAsia="en-US"/>
    </w:rPr>
  </w:style>
  <w:style w:type="character" w:styleId="Emphasis">
    <w:name w:val="Emphasis"/>
    <w:uiPriority w:val="20"/>
    <w:qFormat/>
    <w:rsid w:val="007F0A35"/>
    <w:rPr>
      <w:i/>
      <w:iCs/>
    </w:rPr>
  </w:style>
  <w:style w:type="character" w:customStyle="1" w:styleId="CommentTextChar">
    <w:name w:val="Comment Text Char"/>
    <w:link w:val="CommentText"/>
    <w:uiPriority w:val="99"/>
    <w:semiHidden/>
    <w:rsid w:val="0068222E"/>
    <w:rPr>
      <w:rFonts w:ascii="Book Antiqua" w:hAnsi="Book Antiqua"/>
      <w:lang w:eastAsia="en-US"/>
    </w:rPr>
  </w:style>
  <w:style w:type="paragraph" w:customStyle="1" w:styleId="SecurityClassificationHeader">
    <w:name w:val="Security Classification Header"/>
    <w:link w:val="SecurityClassificationHeaderChar"/>
    <w:rsid w:val="00C672E4"/>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C672E4"/>
    <w:rPr>
      <w:rFonts w:ascii="Tahoma" w:hAnsi="Tahoma"/>
      <w:b/>
      <w:caps/>
      <w:sz w:val="24"/>
      <w:szCs w:val="24"/>
      <w:lang w:eastAsia="en-US"/>
    </w:rPr>
  </w:style>
  <w:style w:type="paragraph" w:customStyle="1" w:styleId="SecurityClassificationFooter">
    <w:name w:val="Security Classification Footer"/>
    <w:link w:val="SecurityClassificationFooterChar"/>
    <w:rsid w:val="00C672E4"/>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C672E4"/>
    <w:rPr>
      <w:rFonts w:ascii="Tahoma" w:hAnsi="Tahoma"/>
      <w:b/>
      <w:caps/>
      <w:sz w:val="24"/>
      <w:szCs w:val="24"/>
      <w:lang w:eastAsia="en-US"/>
    </w:rPr>
  </w:style>
  <w:style w:type="paragraph" w:customStyle="1" w:styleId="OutlineNumbered1">
    <w:name w:val="Outline Numbered 1"/>
    <w:basedOn w:val="Normal"/>
    <w:link w:val="OutlineNumbered1Char"/>
    <w:rsid w:val="00E20874"/>
    <w:pPr>
      <w:numPr>
        <w:numId w:val="46"/>
      </w:numPr>
    </w:pPr>
  </w:style>
  <w:style w:type="character" w:customStyle="1" w:styleId="OutlineNumbered1Char">
    <w:name w:val="Outline Numbered 1 Char"/>
    <w:basedOn w:val="BulletChar"/>
    <w:link w:val="OutlineNumbered1"/>
    <w:rsid w:val="00E20874"/>
    <w:rPr>
      <w:rFonts w:ascii="Book Antiqua" w:hAnsi="Book Antiqua"/>
      <w:szCs w:val="24"/>
      <w:lang w:eastAsia="en-US"/>
    </w:rPr>
  </w:style>
  <w:style w:type="paragraph" w:customStyle="1" w:styleId="OutlineNumbered2">
    <w:name w:val="Outline Numbered 2"/>
    <w:basedOn w:val="Normal"/>
    <w:link w:val="OutlineNumbered2Char"/>
    <w:rsid w:val="00E20874"/>
    <w:pPr>
      <w:numPr>
        <w:ilvl w:val="1"/>
        <w:numId w:val="46"/>
      </w:numPr>
    </w:pPr>
  </w:style>
  <w:style w:type="character" w:customStyle="1" w:styleId="OutlineNumbered2Char">
    <w:name w:val="Outline Numbered 2 Char"/>
    <w:basedOn w:val="BulletChar"/>
    <w:link w:val="OutlineNumbered2"/>
    <w:rsid w:val="00E20874"/>
    <w:rPr>
      <w:rFonts w:ascii="Book Antiqua" w:hAnsi="Book Antiqua"/>
      <w:szCs w:val="24"/>
      <w:lang w:eastAsia="en-US"/>
    </w:rPr>
  </w:style>
  <w:style w:type="paragraph" w:customStyle="1" w:styleId="OutlineNumbered3">
    <w:name w:val="Outline Numbered 3"/>
    <w:basedOn w:val="Normal"/>
    <w:link w:val="OutlineNumbered3Char"/>
    <w:rsid w:val="00E20874"/>
    <w:pPr>
      <w:numPr>
        <w:ilvl w:val="2"/>
        <w:numId w:val="46"/>
      </w:numPr>
    </w:pPr>
  </w:style>
  <w:style w:type="character" w:customStyle="1" w:styleId="OutlineNumbered3Char">
    <w:name w:val="Outline Numbered 3 Char"/>
    <w:basedOn w:val="BulletChar"/>
    <w:link w:val="OutlineNumbered3"/>
    <w:rsid w:val="00E20874"/>
    <w:rPr>
      <w:rFonts w:ascii="Book Antiqua" w:hAnsi="Book Antiqua"/>
      <w:szCs w:val="24"/>
      <w:lang w:eastAsia="en-US"/>
    </w:rPr>
  </w:style>
  <w:style w:type="paragraph" w:styleId="PlainText">
    <w:name w:val="Plain Text"/>
    <w:basedOn w:val="Normal"/>
    <w:link w:val="PlainTextChar"/>
    <w:uiPriority w:val="99"/>
    <w:unhideWhenUsed/>
    <w:rsid w:val="00FE2BD7"/>
    <w:pPr>
      <w:spacing w:after="0" w:line="240" w:lineRule="auto"/>
      <w:jc w:val="left"/>
    </w:pPr>
    <w:rPr>
      <w:rFonts w:ascii="Calibri" w:eastAsia="Calibri" w:hAnsi="Calibri" w:cs="Consolas"/>
      <w:sz w:val="22"/>
      <w:szCs w:val="21"/>
    </w:rPr>
  </w:style>
  <w:style w:type="character" w:customStyle="1" w:styleId="PlainTextChar">
    <w:name w:val="Plain Text Char"/>
    <w:basedOn w:val="DefaultParagraphFont"/>
    <w:link w:val="PlainText"/>
    <w:uiPriority w:val="99"/>
    <w:rsid w:val="00FE2BD7"/>
    <w:rPr>
      <w:rFonts w:ascii="Calibri" w:eastAsia="Calibri" w:hAnsi="Calibri" w:cs="Consolas"/>
      <w:sz w:val="22"/>
      <w:szCs w:val="21"/>
      <w:lang w:eastAsia="en-US"/>
    </w:rPr>
  </w:style>
  <w:style w:type="character" w:styleId="Strong">
    <w:name w:val="Strong"/>
    <w:basedOn w:val="DefaultParagraphFont"/>
    <w:qFormat/>
    <w:rsid w:val="000C15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7164"/>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uiPriority w:val="99"/>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uiPriority w:val="99"/>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C1152F"/>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
    <w:basedOn w:val="Normal"/>
    <w:link w:val="BulletChar"/>
    <w:rsid w:val="004D4273"/>
    <w:pPr>
      <w:numPr>
        <w:numId w:val="42"/>
      </w:numPr>
    </w:pPr>
  </w:style>
  <w:style w:type="character" w:customStyle="1" w:styleId="BulletChar">
    <w:name w:val="Bullet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42"/>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42"/>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uiPriority w:val="99"/>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uiPriority w:val="99"/>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uiPriority w:val="99"/>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link w:val="CommentTextChar"/>
    <w:uiPriority w:val="99"/>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character" w:customStyle="1" w:styleId="FootnoteTextChar">
    <w:name w:val="Footnote Text Char"/>
    <w:link w:val="FootnoteText"/>
    <w:uiPriority w:val="99"/>
    <w:semiHidden/>
    <w:rsid w:val="00223045"/>
    <w:rPr>
      <w:rFonts w:ascii="Book Antiqua" w:hAnsi="Book Antiqua"/>
      <w:sz w:val="18"/>
      <w:szCs w:val="24"/>
      <w:lang w:eastAsia="en-US"/>
    </w:rPr>
  </w:style>
  <w:style w:type="character" w:styleId="Emphasis">
    <w:name w:val="Emphasis"/>
    <w:uiPriority w:val="20"/>
    <w:qFormat/>
    <w:rsid w:val="007F0A35"/>
    <w:rPr>
      <w:i/>
      <w:iCs/>
    </w:rPr>
  </w:style>
  <w:style w:type="character" w:customStyle="1" w:styleId="CommentTextChar">
    <w:name w:val="Comment Text Char"/>
    <w:link w:val="CommentText"/>
    <w:uiPriority w:val="99"/>
    <w:semiHidden/>
    <w:rsid w:val="0068222E"/>
    <w:rPr>
      <w:rFonts w:ascii="Book Antiqua" w:hAnsi="Book Antiqua"/>
      <w:lang w:eastAsia="en-US"/>
    </w:rPr>
  </w:style>
  <w:style w:type="paragraph" w:customStyle="1" w:styleId="SecurityClassificationHeader">
    <w:name w:val="Security Classification Header"/>
    <w:link w:val="SecurityClassificationHeaderChar"/>
    <w:rsid w:val="00C672E4"/>
    <w:pPr>
      <w:spacing w:after="240"/>
      <w:jc w:val="center"/>
    </w:pPr>
    <w:rPr>
      <w:rFonts w:ascii="Tahoma" w:hAnsi="Tahoma"/>
      <w:b/>
      <w:caps/>
      <w:sz w:val="24"/>
      <w:szCs w:val="24"/>
      <w:lang w:eastAsia="en-US"/>
    </w:rPr>
  </w:style>
  <w:style w:type="character" w:customStyle="1" w:styleId="SecurityClassificationHeaderChar">
    <w:name w:val="Security Classification Header Char"/>
    <w:basedOn w:val="HeaderChar"/>
    <w:link w:val="SecurityClassificationHeader"/>
    <w:rsid w:val="00C672E4"/>
    <w:rPr>
      <w:rFonts w:ascii="Tahoma" w:hAnsi="Tahoma"/>
      <w:b/>
      <w:caps/>
      <w:sz w:val="24"/>
      <w:szCs w:val="24"/>
      <w:lang w:eastAsia="en-US"/>
    </w:rPr>
  </w:style>
  <w:style w:type="paragraph" w:customStyle="1" w:styleId="SecurityClassificationFooter">
    <w:name w:val="Security Classification Footer"/>
    <w:link w:val="SecurityClassificationFooterChar"/>
    <w:rsid w:val="00C672E4"/>
    <w:pPr>
      <w:spacing w:before="240"/>
      <w:jc w:val="center"/>
    </w:pPr>
    <w:rPr>
      <w:rFonts w:ascii="Tahoma" w:hAnsi="Tahoma"/>
      <w:b/>
      <w:caps/>
      <w:sz w:val="24"/>
      <w:szCs w:val="24"/>
      <w:lang w:eastAsia="en-US"/>
    </w:rPr>
  </w:style>
  <w:style w:type="character" w:customStyle="1" w:styleId="SecurityClassificationFooterChar">
    <w:name w:val="Security Classification Footer Char"/>
    <w:basedOn w:val="HeaderChar"/>
    <w:link w:val="SecurityClassificationFooter"/>
    <w:rsid w:val="00C672E4"/>
    <w:rPr>
      <w:rFonts w:ascii="Tahoma" w:hAnsi="Tahoma"/>
      <w:b/>
      <w:caps/>
      <w:sz w:val="24"/>
      <w:szCs w:val="24"/>
      <w:lang w:eastAsia="en-US"/>
    </w:rPr>
  </w:style>
  <w:style w:type="paragraph" w:customStyle="1" w:styleId="OutlineNumbered1">
    <w:name w:val="Outline Numbered 1"/>
    <w:basedOn w:val="Normal"/>
    <w:link w:val="OutlineNumbered1Char"/>
    <w:rsid w:val="00E20874"/>
    <w:pPr>
      <w:numPr>
        <w:numId w:val="46"/>
      </w:numPr>
    </w:pPr>
  </w:style>
  <w:style w:type="character" w:customStyle="1" w:styleId="OutlineNumbered1Char">
    <w:name w:val="Outline Numbered 1 Char"/>
    <w:basedOn w:val="BulletChar"/>
    <w:link w:val="OutlineNumbered1"/>
    <w:rsid w:val="00E20874"/>
    <w:rPr>
      <w:rFonts w:ascii="Book Antiqua" w:hAnsi="Book Antiqua"/>
      <w:szCs w:val="24"/>
      <w:lang w:eastAsia="en-US"/>
    </w:rPr>
  </w:style>
  <w:style w:type="paragraph" w:customStyle="1" w:styleId="OutlineNumbered2">
    <w:name w:val="Outline Numbered 2"/>
    <w:basedOn w:val="Normal"/>
    <w:link w:val="OutlineNumbered2Char"/>
    <w:rsid w:val="00E20874"/>
    <w:pPr>
      <w:numPr>
        <w:ilvl w:val="1"/>
        <w:numId w:val="46"/>
      </w:numPr>
    </w:pPr>
  </w:style>
  <w:style w:type="character" w:customStyle="1" w:styleId="OutlineNumbered2Char">
    <w:name w:val="Outline Numbered 2 Char"/>
    <w:basedOn w:val="BulletChar"/>
    <w:link w:val="OutlineNumbered2"/>
    <w:rsid w:val="00E20874"/>
    <w:rPr>
      <w:rFonts w:ascii="Book Antiqua" w:hAnsi="Book Antiqua"/>
      <w:szCs w:val="24"/>
      <w:lang w:eastAsia="en-US"/>
    </w:rPr>
  </w:style>
  <w:style w:type="paragraph" w:customStyle="1" w:styleId="OutlineNumbered3">
    <w:name w:val="Outline Numbered 3"/>
    <w:basedOn w:val="Normal"/>
    <w:link w:val="OutlineNumbered3Char"/>
    <w:rsid w:val="00E20874"/>
    <w:pPr>
      <w:numPr>
        <w:ilvl w:val="2"/>
        <w:numId w:val="46"/>
      </w:numPr>
    </w:pPr>
  </w:style>
  <w:style w:type="character" w:customStyle="1" w:styleId="OutlineNumbered3Char">
    <w:name w:val="Outline Numbered 3 Char"/>
    <w:basedOn w:val="BulletChar"/>
    <w:link w:val="OutlineNumbered3"/>
    <w:rsid w:val="00E20874"/>
    <w:rPr>
      <w:rFonts w:ascii="Book Antiqua" w:hAnsi="Book Antiqua"/>
      <w:szCs w:val="24"/>
      <w:lang w:eastAsia="en-US"/>
    </w:rPr>
  </w:style>
  <w:style w:type="paragraph" w:styleId="PlainText">
    <w:name w:val="Plain Text"/>
    <w:basedOn w:val="Normal"/>
    <w:link w:val="PlainTextChar"/>
    <w:uiPriority w:val="99"/>
    <w:unhideWhenUsed/>
    <w:rsid w:val="00FE2BD7"/>
    <w:pPr>
      <w:spacing w:after="0" w:line="240" w:lineRule="auto"/>
      <w:jc w:val="left"/>
    </w:pPr>
    <w:rPr>
      <w:rFonts w:ascii="Calibri" w:eastAsia="Calibri" w:hAnsi="Calibri" w:cs="Consolas"/>
      <w:sz w:val="22"/>
      <w:szCs w:val="21"/>
    </w:rPr>
  </w:style>
  <w:style w:type="character" w:customStyle="1" w:styleId="PlainTextChar">
    <w:name w:val="Plain Text Char"/>
    <w:basedOn w:val="DefaultParagraphFont"/>
    <w:link w:val="PlainText"/>
    <w:uiPriority w:val="99"/>
    <w:rsid w:val="00FE2BD7"/>
    <w:rPr>
      <w:rFonts w:ascii="Calibri" w:eastAsia="Calibri" w:hAnsi="Calibri" w:cs="Consolas"/>
      <w:sz w:val="22"/>
      <w:szCs w:val="21"/>
      <w:lang w:eastAsia="en-US"/>
    </w:rPr>
  </w:style>
  <w:style w:type="character" w:styleId="Strong">
    <w:name w:val="Strong"/>
    <w:basedOn w:val="DefaultParagraphFont"/>
    <w:qFormat/>
    <w:rsid w:val="000C15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218">
      <w:bodyDiv w:val="1"/>
      <w:marLeft w:val="0"/>
      <w:marRight w:val="0"/>
      <w:marTop w:val="0"/>
      <w:marBottom w:val="0"/>
      <w:divBdr>
        <w:top w:val="none" w:sz="0" w:space="0" w:color="auto"/>
        <w:left w:val="none" w:sz="0" w:space="0" w:color="auto"/>
        <w:bottom w:val="none" w:sz="0" w:space="0" w:color="auto"/>
        <w:right w:val="none" w:sz="0" w:space="0" w:color="auto"/>
      </w:divBdr>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2661095">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104926234">
      <w:bodyDiv w:val="1"/>
      <w:marLeft w:val="0"/>
      <w:marRight w:val="0"/>
      <w:marTop w:val="0"/>
      <w:marBottom w:val="0"/>
      <w:divBdr>
        <w:top w:val="none" w:sz="0" w:space="0" w:color="auto"/>
        <w:left w:val="none" w:sz="0" w:space="0" w:color="auto"/>
        <w:bottom w:val="none" w:sz="0" w:space="0" w:color="auto"/>
        <w:right w:val="none" w:sz="0" w:space="0" w:color="auto"/>
      </w:divBdr>
    </w:div>
    <w:div w:id="109133066">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322658127">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815269">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58886847">
      <w:bodyDiv w:val="1"/>
      <w:marLeft w:val="0"/>
      <w:marRight w:val="0"/>
      <w:marTop w:val="0"/>
      <w:marBottom w:val="0"/>
      <w:divBdr>
        <w:top w:val="none" w:sz="0" w:space="0" w:color="auto"/>
        <w:left w:val="none" w:sz="0" w:space="0" w:color="auto"/>
        <w:bottom w:val="none" w:sz="0" w:space="0" w:color="auto"/>
        <w:right w:val="none" w:sz="0" w:space="0" w:color="auto"/>
      </w:divBdr>
    </w:div>
    <w:div w:id="463541549">
      <w:bodyDiv w:val="1"/>
      <w:marLeft w:val="0"/>
      <w:marRight w:val="0"/>
      <w:marTop w:val="0"/>
      <w:marBottom w:val="0"/>
      <w:divBdr>
        <w:top w:val="none" w:sz="0" w:space="0" w:color="auto"/>
        <w:left w:val="none" w:sz="0" w:space="0" w:color="auto"/>
        <w:bottom w:val="none" w:sz="0" w:space="0" w:color="auto"/>
        <w:right w:val="none" w:sz="0" w:space="0" w:color="auto"/>
      </w:divBdr>
    </w:div>
    <w:div w:id="472144168">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06672142">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45398907">
      <w:bodyDiv w:val="1"/>
      <w:marLeft w:val="0"/>
      <w:marRight w:val="0"/>
      <w:marTop w:val="0"/>
      <w:marBottom w:val="0"/>
      <w:divBdr>
        <w:top w:val="none" w:sz="0" w:space="0" w:color="auto"/>
        <w:left w:val="none" w:sz="0" w:space="0" w:color="auto"/>
        <w:bottom w:val="none" w:sz="0" w:space="0" w:color="auto"/>
        <w:right w:val="none" w:sz="0" w:space="0" w:color="auto"/>
      </w:divBdr>
    </w:div>
    <w:div w:id="742723344">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08597769">
      <w:bodyDiv w:val="1"/>
      <w:marLeft w:val="0"/>
      <w:marRight w:val="0"/>
      <w:marTop w:val="0"/>
      <w:marBottom w:val="0"/>
      <w:divBdr>
        <w:top w:val="none" w:sz="0" w:space="0" w:color="auto"/>
        <w:left w:val="none" w:sz="0" w:space="0" w:color="auto"/>
        <w:bottom w:val="none" w:sz="0" w:space="0" w:color="auto"/>
        <w:right w:val="none" w:sz="0" w:space="0" w:color="auto"/>
      </w:divBdr>
    </w:div>
    <w:div w:id="81117074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69076199">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4217090">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26449437">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878">
      <w:bodyDiv w:val="1"/>
      <w:marLeft w:val="0"/>
      <w:marRight w:val="0"/>
      <w:marTop w:val="0"/>
      <w:marBottom w:val="0"/>
      <w:divBdr>
        <w:top w:val="none" w:sz="0" w:space="0" w:color="auto"/>
        <w:left w:val="none" w:sz="0" w:space="0" w:color="auto"/>
        <w:bottom w:val="none" w:sz="0" w:space="0" w:color="auto"/>
        <w:right w:val="none" w:sz="0" w:space="0" w:color="auto"/>
      </w:divBdr>
    </w:div>
    <w:div w:id="1157573934">
      <w:bodyDiv w:val="1"/>
      <w:marLeft w:val="0"/>
      <w:marRight w:val="0"/>
      <w:marTop w:val="0"/>
      <w:marBottom w:val="0"/>
      <w:divBdr>
        <w:top w:val="none" w:sz="0" w:space="0" w:color="auto"/>
        <w:left w:val="none" w:sz="0" w:space="0" w:color="auto"/>
        <w:bottom w:val="none" w:sz="0" w:space="0" w:color="auto"/>
        <w:right w:val="none" w:sz="0" w:space="0" w:color="auto"/>
      </w:divBdr>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291591266">
      <w:bodyDiv w:val="1"/>
      <w:marLeft w:val="0"/>
      <w:marRight w:val="0"/>
      <w:marTop w:val="0"/>
      <w:marBottom w:val="0"/>
      <w:divBdr>
        <w:top w:val="none" w:sz="0" w:space="0" w:color="auto"/>
        <w:left w:val="none" w:sz="0" w:space="0" w:color="auto"/>
        <w:bottom w:val="none" w:sz="0" w:space="0" w:color="auto"/>
        <w:right w:val="none" w:sz="0" w:space="0" w:color="auto"/>
      </w:divBdr>
    </w:div>
    <w:div w:id="1372461189">
      <w:bodyDiv w:val="1"/>
      <w:marLeft w:val="0"/>
      <w:marRight w:val="0"/>
      <w:marTop w:val="0"/>
      <w:marBottom w:val="0"/>
      <w:divBdr>
        <w:top w:val="none" w:sz="0" w:space="0" w:color="auto"/>
        <w:left w:val="none" w:sz="0" w:space="0" w:color="auto"/>
        <w:bottom w:val="none" w:sz="0" w:space="0" w:color="auto"/>
        <w:right w:val="none" w:sz="0" w:space="0" w:color="auto"/>
      </w:divBdr>
      <w:divsChild>
        <w:div w:id="899486957">
          <w:marLeft w:val="0"/>
          <w:marRight w:val="0"/>
          <w:marTop w:val="0"/>
          <w:marBottom w:val="0"/>
          <w:divBdr>
            <w:top w:val="none" w:sz="0" w:space="0" w:color="auto"/>
            <w:left w:val="none" w:sz="0" w:space="0" w:color="auto"/>
            <w:bottom w:val="none" w:sz="0" w:space="0" w:color="auto"/>
            <w:right w:val="none" w:sz="0" w:space="0" w:color="auto"/>
          </w:divBdr>
          <w:divsChild>
            <w:div w:id="1253203269">
              <w:marLeft w:val="0"/>
              <w:marRight w:val="0"/>
              <w:marTop w:val="0"/>
              <w:marBottom w:val="0"/>
              <w:divBdr>
                <w:top w:val="none" w:sz="0" w:space="0" w:color="auto"/>
                <w:left w:val="none" w:sz="0" w:space="0" w:color="auto"/>
                <w:bottom w:val="none" w:sz="0" w:space="0" w:color="auto"/>
                <w:right w:val="none" w:sz="0" w:space="0" w:color="auto"/>
              </w:divBdr>
              <w:divsChild>
                <w:div w:id="1876960410">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8069545">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549030574">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559978624">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683238784">
      <w:bodyDiv w:val="1"/>
      <w:marLeft w:val="0"/>
      <w:marRight w:val="0"/>
      <w:marTop w:val="0"/>
      <w:marBottom w:val="0"/>
      <w:divBdr>
        <w:top w:val="none" w:sz="0" w:space="0" w:color="auto"/>
        <w:left w:val="none" w:sz="0" w:space="0" w:color="auto"/>
        <w:bottom w:val="none" w:sz="0" w:space="0" w:color="auto"/>
        <w:right w:val="none" w:sz="0" w:space="0" w:color="auto"/>
      </w:divBdr>
    </w:div>
    <w:div w:id="1736196342">
      <w:bodyDiv w:val="1"/>
      <w:marLeft w:val="0"/>
      <w:marRight w:val="0"/>
      <w:marTop w:val="0"/>
      <w:marBottom w:val="0"/>
      <w:divBdr>
        <w:top w:val="none" w:sz="0" w:space="0" w:color="auto"/>
        <w:left w:val="none" w:sz="0" w:space="0" w:color="auto"/>
        <w:bottom w:val="none" w:sz="0" w:space="0" w:color="auto"/>
        <w:right w:val="none" w:sz="0" w:space="0" w:color="auto"/>
      </w:divBdr>
      <w:divsChild>
        <w:div w:id="189495811">
          <w:marLeft w:val="0"/>
          <w:marRight w:val="0"/>
          <w:marTop w:val="0"/>
          <w:marBottom w:val="0"/>
          <w:divBdr>
            <w:top w:val="none" w:sz="0" w:space="0" w:color="auto"/>
            <w:left w:val="none" w:sz="0" w:space="0" w:color="auto"/>
            <w:bottom w:val="none" w:sz="0" w:space="0" w:color="auto"/>
            <w:right w:val="none" w:sz="0" w:space="0" w:color="auto"/>
          </w:divBdr>
          <w:divsChild>
            <w:div w:id="1851262703">
              <w:marLeft w:val="0"/>
              <w:marRight w:val="0"/>
              <w:marTop w:val="0"/>
              <w:marBottom w:val="0"/>
              <w:divBdr>
                <w:top w:val="none" w:sz="0" w:space="0" w:color="auto"/>
                <w:left w:val="none" w:sz="0" w:space="0" w:color="auto"/>
                <w:bottom w:val="none" w:sz="0" w:space="0" w:color="auto"/>
                <w:right w:val="none" w:sz="0" w:space="0" w:color="auto"/>
              </w:divBdr>
              <w:divsChild>
                <w:div w:id="1187139195">
                  <w:marLeft w:val="36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844514952">
      <w:bodyDiv w:val="1"/>
      <w:marLeft w:val="0"/>
      <w:marRight w:val="0"/>
      <w:marTop w:val="0"/>
      <w:marBottom w:val="0"/>
      <w:divBdr>
        <w:top w:val="none" w:sz="0" w:space="0" w:color="auto"/>
        <w:left w:val="none" w:sz="0" w:space="0" w:color="auto"/>
        <w:bottom w:val="none" w:sz="0" w:space="0" w:color="auto"/>
        <w:right w:val="none" w:sz="0" w:space="0" w:color="auto"/>
      </w:divBdr>
    </w:div>
    <w:div w:id="1845777721">
      <w:bodyDiv w:val="1"/>
      <w:marLeft w:val="0"/>
      <w:marRight w:val="0"/>
      <w:marTop w:val="0"/>
      <w:marBottom w:val="0"/>
      <w:divBdr>
        <w:top w:val="none" w:sz="0" w:space="0" w:color="auto"/>
        <w:left w:val="none" w:sz="0" w:space="0" w:color="auto"/>
        <w:bottom w:val="none" w:sz="0" w:space="0" w:color="auto"/>
        <w:right w:val="none" w:sz="0" w:space="0" w:color="auto"/>
      </w:divBdr>
    </w:div>
    <w:div w:id="1920823863">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7587911">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74DFFE-C7B7-409F-8DBB-FDDF9A96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4428</Words>
  <Characters>24273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Joint Economic Forecasting Group Report - December 2011</vt:lpstr>
    </vt:vector>
  </TitlesOfParts>
  <Manager/>
  <Company/>
  <LinksUpToDate>false</LinksUpToDate>
  <CharactersWithSpaces>28644</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December 2011</dc:title>
  <dc:subject/>
  <dc:creator/>
  <cp:keywords/>
  <cp:lastModifiedBy/>
  <cp:revision>1</cp:revision>
  <dcterms:created xsi:type="dcterms:W3CDTF">2015-02-10T03:08:00Z</dcterms:created>
  <dcterms:modified xsi:type="dcterms:W3CDTF">2015-02-10T03:09:00Z</dcterms:modified>
</cp:coreProperties>
</file>