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491C99" w:rsidP="005E7AAA">
      <w:pPr>
        <w:pStyle w:val="Title"/>
        <w:rPr>
          <w:b/>
          <w:color w:val="auto"/>
        </w:rPr>
      </w:pPr>
      <w:r>
        <w:rPr>
          <w:rFonts w:ascii="Times New Roman" w:hAnsi="Times New Roman"/>
          <w:noProof/>
          <w:color w:val="auto"/>
          <w:sz w:val="24"/>
          <w:szCs w:val="24"/>
          <w:lang w:eastAsia="en-AU"/>
        </w:rPr>
        <mc:AlternateContent>
          <mc:Choice Requires="wps">
            <w:drawing>
              <wp:anchor distT="36576" distB="36576" distL="36576" distR="36576" simplePos="0" relativeHeight="251654656" behindDoc="0" locked="0" layoutInCell="1" allowOverlap="1" wp14:anchorId="6DE21E3F" wp14:editId="16AF5991">
                <wp:simplePos x="0" y="0"/>
                <wp:positionH relativeFrom="column">
                  <wp:posOffset>411480</wp:posOffset>
                </wp:positionH>
                <wp:positionV relativeFrom="paragraph">
                  <wp:posOffset>6069330</wp:posOffset>
                </wp:positionV>
                <wp:extent cx="4485640" cy="618490"/>
                <wp:effectExtent l="0" t="444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C6E" w:rsidRDefault="000B5C6E"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 xml:space="preserve">released up to </w:t>
                            </w:r>
                            <w:r w:rsidRPr="00CE60EF">
                              <w:rPr>
                                <w:lang w:val="en-US"/>
                                <w14:ligatures w14:val="none"/>
                              </w:rPr>
                              <w:t>18 December 2012.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2.4pt;margin-top:477.9pt;width:353.2pt;height:48.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" filled="f" stroked="f" strokecolor="black [0]" strokeweight="0" insetpen="t">
                <v:textbox inset="2.88pt,2.88pt,2.88pt,2.88pt">
                  <w:txbxContent>
                    <w:p w:rsidR="00CB412A" w:rsidRDefault="00CB412A" w:rsidP="00491C99">
                      <w:pPr>
                        <w:pStyle w:val="BodyText3"/>
                        <w:widowControl w:val="0"/>
                        <w:rPr>
                          <w:lang w:val="en-US"/>
                          <w14:ligatures w14:val="none"/>
                        </w:rPr>
                      </w:pPr>
                      <w:r>
                        <w:rPr>
                          <w:lang w:val="en-US"/>
                          <w14:ligatures w14:val="none"/>
                        </w:rPr>
                        <w:t>This report incorporates D</w:t>
                      </w:r>
                      <w:bookmarkStart w:id="1" w:name="_GoBack"/>
                      <w:bookmarkEnd w:id="1"/>
                      <w:r>
                        <w:rPr>
                          <w:lang w:val="en-US"/>
                          <w14:ligatures w14:val="none"/>
                        </w:rPr>
                        <w:t xml:space="preserve">omestic and International data </w:t>
                      </w:r>
                      <w:r>
                        <w:rPr>
                          <w:lang w:val="en-US"/>
                          <w14:ligatures w14:val="none"/>
                        </w:rPr>
                        <w:br/>
                        <w:t xml:space="preserve">released up to </w:t>
                      </w:r>
                      <w:r w:rsidRPr="00CE60EF">
                        <w:rPr>
                          <w:lang w:val="en-US"/>
                          <w14:ligatures w14:val="none"/>
                        </w:rPr>
                        <w:t>18 December 2012.</w:t>
                      </w: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5680" behindDoc="0" locked="0" layoutInCell="1" allowOverlap="1" wp14:anchorId="600BBAC2" wp14:editId="3D088F53">
                <wp:simplePos x="0" y="0"/>
                <wp:positionH relativeFrom="column">
                  <wp:posOffset>411480</wp:posOffset>
                </wp:positionH>
                <wp:positionV relativeFrom="paragraph">
                  <wp:posOffset>4464050</wp:posOffset>
                </wp:positionV>
                <wp:extent cx="5936615" cy="84582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C6E" w:rsidRPr="00491C99" w:rsidRDefault="000B5C6E"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w:t>
                            </w:r>
                            <w:r>
                              <w:rPr>
                                <w:color w:val="548DD4" w:themeColor="text2" w:themeTint="99"/>
                                <w:sz w:val="32"/>
                                <w:szCs w:val="32"/>
                                <w:lang w:val="en-US"/>
                              </w:rPr>
                              <w:t xml:space="preserve">conomic outlook for 2012-13, </w:t>
                            </w:r>
                            <w:r w:rsidRPr="00491C99">
                              <w:rPr>
                                <w:color w:val="548DD4" w:themeColor="text2" w:themeTint="99"/>
                                <w:sz w:val="32"/>
                                <w:szCs w:val="32"/>
                                <w:lang w:val="en-US"/>
                              </w:rPr>
                              <w:t>2013-14</w:t>
                            </w:r>
                            <w:r>
                              <w:rPr>
                                <w:color w:val="548DD4" w:themeColor="text2" w:themeTint="99"/>
                                <w:sz w:val="32"/>
                                <w:szCs w:val="32"/>
                                <w:lang w:val="en-US"/>
                              </w:rPr>
                              <w:t xml:space="preserve"> and 2014-15</w:t>
                            </w:r>
                          </w:p>
                          <w:p w:rsidR="000B5C6E" w:rsidRPr="00491C99" w:rsidRDefault="000B5C6E" w:rsidP="004D585F">
                            <w:pPr>
                              <w:pStyle w:val="Title"/>
                              <w:widowControl w:val="0"/>
                              <w:jc w:val="left"/>
                              <w:rPr>
                                <w:color w:val="548DD4" w:themeColor="text2" w:themeTint="99"/>
                                <w:sz w:val="32"/>
                                <w:szCs w:val="32"/>
                                <w:lang w:val="en-US"/>
                              </w:rPr>
                            </w:pPr>
                            <w:r>
                              <w:rPr>
                                <w:color w:val="548DD4" w:themeColor="text2" w:themeTint="99"/>
                                <w:sz w:val="32"/>
                                <w:szCs w:val="32"/>
                                <w:lang w:val="en-US"/>
                              </w:rPr>
                              <w:t xml:space="preserve">December </w:t>
                            </w:r>
                            <w:r w:rsidRPr="00491C99">
                              <w:rPr>
                                <w:color w:val="548DD4" w:themeColor="text2" w:themeTint="99"/>
                                <w:sz w:val="32"/>
                                <w:szCs w:val="32"/>
                                <w:lang w:val="en-US"/>
                              </w:rPr>
                              <w:t>2012</w:t>
                            </w:r>
                          </w:p>
                          <w:p w:rsidR="000B5C6E" w:rsidRPr="00491C99" w:rsidRDefault="000B5C6E" w:rsidP="004D585F">
                            <w:pPr>
                              <w:pStyle w:val="Title"/>
                              <w:widowControl w:val="0"/>
                              <w:jc w:val="left"/>
                              <w:rPr>
                                <w:color w:val="548DD4" w:themeColor="text2" w:themeTint="99"/>
                                <w:sz w:val="64"/>
                                <w:szCs w:val="6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4pt;margin-top:351.5pt;width:467.45pt;height:66.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DAMAALo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" filled="f" stroked="f" strokecolor="black [0]" strokeweight="0" insetpen="t">
                <v:textbox inset="2.88pt,2.88pt,2.88pt,2.88pt">
                  <w:txbxContent>
                    <w:p w:rsidR="0010234C" w:rsidRPr="00491C99" w:rsidRDefault="0010234C"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w:t>
                      </w:r>
                      <w:r>
                        <w:rPr>
                          <w:color w:val="548DD4" w:themeColor="text2" w:themeTint="99"/>
                          <w:sz w:val="32"/>
                          <w:szCs w:val="32"/>
                          <w:lang w:val="en-US"/>
                        </w:rPr>
                        <w:t xml:space="preserve">conomic outlook for 2012-13, </w:t>
                      </w:r>
                      <w:r w:rsidRPr="00491C99">
                        <w:rPr>
                          <w:color w:val="548DD4" w:themeColor="text2" w:themeTint="99"/>
                          <w:sz w:val="32"/>
                          <w:szCs w:val="32"/>
                          <w:lang w:val="en-US"/>
                        </w:rPr>
                        <w:t>2013-14</w:t>
                      </w:r>
                      <w:r>
                        <w:rPr>
                          <w:color w:val="548DD4" w:themeColor="text2" w:themeTint="99"/>
                          <w:sz w:val="32"/>
                          <w:szCs w:val="32"/>
                          <w:lang w:val="en-US"/>
                        </w:rPr>
                        <w:t xml:space="preserve"> and 2014-15</w:t>
                      </w:r>
                    </w:p>
                    <w:p w:rsidR="0010234C" w:rsidRPr="00491C99" w:rsidRDefault="0010234C" w:rsidP="004D585F">
                      <w:pPr>
                        <w:pStyle w:val="Title"/>
                        <w:widowControl w:val="0"/>
                        <w:jc w:val="left"/>
                        <w:rPr>
                          <w:color w:val="548DD4" w:themeColor="text2" w:themeTint="99"/>
                          <w:sz w:val="32"/>
                          <w:szCs w:val="32"/>
                          <w:lang w:val="en-US"/>
                        </w:rPr>
                      </w:pPr>
                      <w:r>
                        <w:rPr>
                          <w:color w:val="548DD4" w:themeColor="text2" w:themeTint="99"/>
                          <w:sz w:val="32"/>
                          <w:szCs w:val="32"/>
                          <w:lang w:val="en-US"/>
                        </w:rPr>
                        <w:t xml:space="preserve">December </w:t>
                      </w:r>
                      <w:r w:rsidRPr="00491C99">
                        <w:rPr>
                          <w:color w:val="548DD4" w:themeColor="text2" w:themeTint="99"/>
                          <w:sz w:val="32"/>
                          <w:szCs w:val="32"/>
                          <w:lang w:val="en-US"/>
                        </w:rPr>
                        <w:t>2012</w:t>
                      </w:r>
                    </w:p>
                    <w:p w:rsidR="0010234C" w:rsidRPr="00491C99" w:rsidRDefault="0010234C" w:rsidP="004D585F">
                      <w:pPr>
                        <w:pStyle w:val="Title"/>
                        <w:widowControl w:val="0"/>
                        <w:jc w:val="left"/>
                        <w:rPr>
                          <w:color w:val="548DD4" w:themeColor="text2" w:themeTint="99"/>
                          <w:sz w:val="64"/>
                          <w:szCs w:val="64"/>
                          <w:lang w:val="en-US"/>
                        </w:rPr>
                      </w:pP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6704" behindDoc="0" locked="0" layoutInCell="1" allowOverlap="1" wp14:anchorId="0C6F3DBE" wp14:editId="22A06CA7">
                <wp:simplePos x="0" y="0"/>
                <wp:positionH relativeFrom="column">
                  <wp:posOffset>-290830</wp:posOffset>
                </wp:positionH>
                <wp:positionV relativeFrom="paragraph">
                  <wp:posOffset>-802640</wp:posOffset>
                </wp:positionV>
                <wp:extent cx="638175" cy="93167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9316720"/>
                        </a:xfrm>
                        <a:prstGeom prst="rect">
                          <a:avLst/>
                        </a:prstGeom>
                        <a:solidFill>
                          <a:srgbClr val="8AAFC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9pt;margin-top:-63.2pt;width:50.25pt;height:733.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" fillcolor="#8aafc1"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7728" behindDoc="0" locked="0" layoutInCell="1" allowOverlap="1" wp14:anchorId="7F751935" wp14:editId="4A54FE97">
                <wp:simplePos x="0" y="0"/>
                <wp:positionH relativeFrom="column">
                  <wp:posOffset>-290830</wp:posOffset>
                </wp:positionH>
                <wp:positionV relativeFrom="paragraph">
                  <wp:posOffset>-1116965</wp:posOffset>
                </wp:positionV>
                <wp:extent cx="638175"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3215"/>
                        </a:xfrm>
                        <a:prstGeom prst="rect">
                          <a:avLst/>
                        </a:prstGeom>
                        <a:solidFill>
                          <a:srgbClr val="00517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pt;margin-top:-87.95pt;width:50.25pt;height:25.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" fillcolor="#00517a"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8752" behindDoc="0" locked="0" layoutInCell="1" allowOverlap="1" wp14:anchorId="39B7B5C1" wp14:editId="57C49137">
                <wp:simplePos x="0" y="0"/>
                <wp:positionH relativeFrom="column">
                  <wp:posOffset>-281940</wp:posOffset>
                </wp:positionH>
                <wp:positionV relativeFrom="paragraph">
                  <wp:posOffset>-812800</wp:posOffset>
                </wp:positionV>
                <wp:extent cx="616585" cy="0"/>
                <wp:effectExtent l="18415" t="18415" r="2222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28575">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2pt,-64pt" to="2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" strokecolor="#069" strokeweight="2.25pt">
                <v:shadow color="#ccc"/>
              </v:line>
            </w:pict>
          </mc:Fallback>
        </mc:AlternateContent>
      </w:r>
      <w:r>
        <w:rPr>
          <w:rFonts w:ascii="Times New Roman" w:hAnsi="Times New Roman"/>
          <w:noProof/>
          <w:color w:val="auto"/>
          <w:sz w:val="24"/>
          <w:szCs w:val="24"/>
          <w:lang w:eastAsia="en-AU"/>
        </w:rPr>
        <w:drawing>
          <wp:anchor distT="36576" distB="36576" distL="36576" distR="36576" simplePos="0" relativeHeight="251659776" behindDoc="0" locked="0" layoutInCell="1" allowOverlap="1" wp14:anchorId="2B03DE99" wp14:editId="4E7F5179">
            <wp:simplePos x="0" y="0"/>
            <wp:positionH relativeFrom="column">
              <wp:posOffset>415290</wp:posOffset>
            </wp:positionH>
            <wp:positionV relativeFrom="paragraph">
              <wp:posOffset>-1054735</wp:posOffset>
            </wp:positionV>
            <wp:extent cx="2926080" cy="6705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670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6B1311" w:rsidRDefault="00C5511F">
      <w:pPr>
        <w:pStyle w:val="TOC3"/>
      </w:pPr>
      <w:r>
        <w:rPr>
          <w:rFonts w:ascii="Times New Roman" w:hAnsi="Times New Roman"/>
          <w:lang w:eastAsia="en-AU"/>
        </w:rPr>
        <mc:AlternateContent>
          <mc:Choice Requires="wps">
            <w:drawing>
              <wp:anchor distT="36576" distB="36576" distL="36576" distR="36576" simplePos="0" relativeHeight="251660800" behindDoc="0" locked="0" layoutInCell="1" allowOverlap="1" wp14:anchorId="05656A26" wp14:editId="1EA5E975">
                <wp:simplePos x="0" y="0"/>
                <wp:positionH relativeFrom="column">
                  <wp:posOffset>418465</wp:posOffset>
                </wp:positionH>
                <wp:positionV relativeFrom="paragraph">
                  <wp:posOffset>165328</wp:posOffset>
                </wp:positionV>
                <wp:extent cx="5582920" cy="21291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2129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JOINT ECONOMIC FORECASTING GROUP</w:t>
                            </w:r>
                          </w:p>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95pt;margin-top:13pt;width:439.6pt;height:167.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" filled="f" stroked="f" strokecolor="black [0]" strokeweight="0" insetpen="t">
                <v:textbox inset="2.88pt,2.88pt,2.88pt,2.88pt">
                  <w:txbxContent>
                    <w:p w:rsidR="0010234C" w:rsidRPr="00491C99" w:rsidRDefault="0010234C" w:rsidP="00491C99">
                      <w:pPr>
                        <w:pStyle w:val="Title"/>
                        <w:widowControl w:val="0"/>
                        <w:jc w:val="left"/>
                        <w:rPr>
                          <w:color w:val="548DD4" w:themeColor="text2" w:themeTint="99"/>
                          <w:sz w:val="72"/>
                          <w:szCs w:val="72"/>
                          <w:lang w:val="en-US"/>
                        </w:rPr>
                      </w:pPr>
                      <w:bookmarkStart w:id="1" w:name="_GoBack"/>
                      <w:r w:rsidRPr="00491C99">
                        <w:rPr>
                          <w:color w:val="548DD4" w:themeColor="text2" w:themeTint="99"/>
                          <w:sz w:val="72"/>
                          <w:szCs w:val="72"/>
                          <w:lang w:val="en-US"/>
                        </w:rPr>
                        <w:t>JOINT ECONOMIC FORECASTING GROUP</w:t>
                      </w:r>
                    </w:p>
                    <w:p w:rsidR="0010234C" w:rsidRPr="00491C99" w:rsidRDefault="0010234C"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10234C" w:rsidRPr="00491C99" w:rsidRDefault="0010234C"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bookmarkEnd w:id="1"/>
                    </w:p>
                  </w:txbxContent>
                </v:textbox>
              </v:shape>
            </w:pict>
          </mc:Fallback>
        </mc:AlternateContent>
      </w:r>
      <w:r w:rsidR="00A8671C" w:rsidRPr="003344B0">
        <w:rPr>
          <w:b w:val="0"/>
          <w:highlight w:val="yellow"/>
        </w:rPr>
        <w:br w:type="page"/>
      </w:r>
      <w:r w:rsidR="004D4273" w:rsidRPr="00CA05D4">
        <w:rPr>
          <w:b w:val="0"/>
        </w:rPr>
        <w:lastRenderedPageBreak/>
        <w:fldChar w:fldCharType="begin"/>
      </w:r>
      <w:r w:rsidR="00C825B7" w:rsidRPr="00CA05D4">
        <w:rPr>
          <w:b w:val="0"/>
        </w:rPr>
        <w:instrText xml:space="preserve"> TOC \o "1-4" \h \z \u </w:instrText>
      </w:r>
      <w:r w:rsidR="004D4273" w:rsidRPr="00CA05D4">
        <w:rPr>
          <w:b w:val="0"/>
        </w:rPr>
        <w:fldChar w:fldCharType="separate"/>
      </w:r>
    </w:p>
    <w:p w:rsidR="006B1311" w:rsidRDefault="00985325">
      <w:pPr>
        <w:pStyle w:val="TOC3"/>
        <w:rPr>
          <w:rFonts w:asciiTheme="minorHAnsi" w:eastAsiaTheme="minorEastAsia" w:hAnsiTheme="minorHAnsi" w:cstheme="minorBidi"/>
          <w:b w:val="0"/>
          <w:sz w:val="22"/>
          <w:szCs w:val="22"/>
          <w:lang w:eastAsia="en-AU"/>
        </w:rPr>
      </w:pPr>
      <w:hyperlink w:anchor="_Toc343518878" w:history="1">
        <w:r w:rsidR="006B1311" w:rsidRPr="0031004A">
          <w:rPr>
            <w:rStyle w:val="Hyperlink"/>
          </w:rPr>
          <w:t>Overview</w:t>
        </w:r>
        <w:r w:rsidR="006B1311">
          <w:rPr>
            <w:webHidden/>
          </w:rPr>
          <w:tab/>
        </w:r>
        <w:r w:rsidR="006B1311">
          <w:rPr>
            <w:webHidden/>
          </w:rPr>
          <w:fldChar w:fldCharType="begin"/>
        </w:r>
        <w:r w:rsidR="006B1311">
          <w:rPr>
            <w:webHidden/>
          </w:rPr>
          <w:instrText xml:space="preserve"> PAGEREF _Toc343518878 \h </w:instrText>
        </w:r>
        <w:r w:rsidR="006B1311">
          <w:rPr>
            <w:webHidden/>
          </w:rPr>
        </w:r>
        <w:r w:rsidR="006B1311">
          <w:rPr>
            <w:webHidden/>
          </w:rPr>
          <w:fldChar w:fldCharType="separate"/>
        </w:r>
        <w:r w:rsidR="00015888">
          <w:rPr>
            <w:webHidden/>
          </w:rPr>
          <w:t>3</w:t>
        </w:r>
        <w:r w:rsidR="006B1311">
          <w:rPr>
            <w:webHidden/>
          </w:rPr>
          <w:fldChar w:fldCharType="end"/>
        </w:r>
      </w:hyperlink>
    </w:p>
    <w:p w:rsidR="006B1311" w:rsidRDefault="00985325">
      <w:pPr>
        <w:pStyle w:val="TOC3"/>
        <w:rPr>
          <w:rFonts w:asciiTheme="minorHAnsi" w:eastAsiaTheme="minorEastAsia" w:hAnsiTheme="minorHAnsi" w:cstheme="minorBidi"/>
          <w:b w:val="0"/>
          <w:sz w:val="22"/>
          <w:szCs w:val="22"/>
          <w:lang w:eastAsia="en-AU"/>
        </w:rPr>
      </w:pPr>
      <w:hyperlink w:anchor="_Toc343518879" w:history="1">
        <w:r w:rsidR="006B1311" w:rsidRPr="0031004A">
          <w:rPr>
            <w:rStyle w:val="Hyperlink"/>
          </w:rPr>
          <w:t>Outlook for the domestic economy</w:t>
        </w:r>
        <w:r w:rsidR="006B1311">
          <w:rPr>
            <w:webHidden/>
          </w:rPr>
          <w:tab/>
        </w:r>
        <w:r w:rsidR="006B1311">
          <w:rPr>
            <w:webHidden/>
          </w:rPr>
          <w:fldChar w:fldCharType="begin"/>
        </w:r>
        <w:r w:rsidR="006B1311">
          <w:rPr>
            <w:webHidden/>
          </w:rPr>
          <w:instrText xml:space="preserve"> PAGEREF _Toc343518879 \h </w:instrText>
        </w:r>
        <w:r w:rsidR="006B1311">
          <w:rPr>
            <w:webHidden/>
          </w:rPr>
        </w:r>
        <w:r w:rsidR="006B1311">
          <w:rPr>
            <w:webHidden/>
          </w:rPr>
          <w:fldChar w:fldCharType="separate"/>
        </w:r>
        <w:r w:rsidR="00015888">
          <w:rPr>
            <w:webHidden/>
          </w:rPr>
          <w:t>7</w:t>
        </w:r>
        <w:r w:rsidR="006B1311">
          <w:rPr>
            <w:webHidden/>
          </w:rPr>
          <w:fldChar w:fldCharType="end"/>
        </w:r>
      </w:hyperlink>
    </w:p>
    <w:p w:rsidR="006B1311" w:rsidRDefault="00985325">
      <w:pPr>
        <w:pStyle w:val="TOC4"/>
        <w:rPr>
          <w:rFonts w:asciiTheme="minorHAnsi" w:eastAsiaTheme="minorEastAsia" w:hAnsiTheme="minorHAnsi" w:cstheme="minorBidi"/>
          <w:i w:val="0"/>
          <w:sz w:val="22"/>
          <w:szCs w:val="22"/>
          <w:lang w:eastAsia="en-AU"/>
        </w:rPr>
      </w:pPr>
      <w:hyperlink w:anchor="_Toc343518880" w:history="1">
        <w:r w:rsidR="006B1311" w:rsidRPr="0031004A">
          <w:rPr>
            <w:rStyle w:val="Hyperlink"/>
          </w:rPr>
          <w:t>Household consumption</w:t>
        </w:r>
        <w:r w:rsidR="006B1311">
          <w:rPr>
            <w:webHidden/>
          </w:rPr>
          <w:tab/>
        </w:r>
        <w:r w:rsidR="006B1311">
          <w:rPr>
            <w:webHidden/>
          </w:rPr>
          <w:fldChar w:fldCharType="begin"/>
        </w:r>
        <w:r w:rsidR="006B1311">
          <w:rPr>
            <w:webHidden/>
          </w:rPr>
          <w:instrText xml:space="preserve"> PAGEREF _Toc343518880 \h </w:instrText>
        </w:r>
        <w:r w:rsidR="006B1311">
          <w:rPr>
            <w:webHidden/>
          </w:rPr>
        </w:r>
        <w:r w:rsidR="006B1311">
          <w:rPr>
            <w:webHidden/>
          </w:rPr>
          <w:fldChar w:fldCharType="separate"/>
        </w:r>
        <w:r w:rsidR="00015888">
          <w:rPr>
            <w:webHidden/>
          </w:rPr>
          <w:t>7</w:t>
        </w:r>
        <w:r w:rsidR="006B1311">
          <w:rPr>
            <w:webHidden/>
          </w:rPr>
          <w:fldChar w:fldCharType="end"/>
        </w:r>
      </w:hyperlink>
    </w:p>
    <w:p w:rsidR="006B1311" w:rsidRDefault="00985325">
      <w:pPr>
        <w:pStyle w:val="TOC4"/>
        <w:rPr>
          <w:rFonts w:asciiTheme="minorHAnsi" w:eastAsiaTheme="minorEastAsia" w:hAnsiTheme="minorHAnsi" w:cstheme="minorBidi"/>
          <w:i w:val="0"/>
          <w:sz w:val="22"/>
          <w:szCs w:val="22"/>
          <w:lang w:eastAsia="en-AU"/>
        </w:rPr>
      </w:pPr>
      <w:hyperlink w:anchor="_Toc343518881" w:history="1">
        <w:r w:rsidR="006B1311" w:rsidRPr="0031004A">
          <w:rPr>
            <w:rStyle w:val="Hyperlink"/>
          </w:rPr>
          <w:t>Dwelling investment</w:t>
        </w:r>
        <w:r w:rsidR="006B1311">
          <w:rPr>
            <w:webHidden/>
          </w:rPr>
          <w:tab/>
        </w:r>
        <w:r w:rsidR="006B1311">
          <w:rPr>
            <w:webHidden/>
          </w:rPr>
          <w:fldChar w:fldCharType="begin"/>
        </w:r>
        <w:r w:rsidR="006B1311">
          <w:rPr>
            <w:webHidden/>
          </w:rPr>
          <w:instrText xml:space="preserve"> PAGEREF _Toc343518881 \h </w:instrText>
        </w:r>
        <w:r w:rsidR="006B1311">
          <w:rPr>
            <w:webHidden/>
          </w:rPr>
        </w:r>
        <w:r w:rsidR="006B1311">
          <w:rPr>
            <w:webHidden/>
          </w:rPr>
          <w:fldChar w:fldCharType="separate"/>
        </w:r>
        <w:r w:rsidR="00015888">
          <w:rPr>
            <w:webHidden/>
          </w:rPr>
          <w:t>7</w:t>
        </w:r>
        <w:r w:rsidR="006B1311">
          <w:rPr>
            <w:webHidden/>
          </w:rPr>
          <w:fldChar w:fldCharType="end"/>
        </w:r>
      </w:hyperlink>
    </w:p>
    <w:p w:rsidR="006B1311" w:rsidRDefault="00985325">
      <w:pPr>
        <w:pStyle w:val="TOC4"/>
        <w:rPr>
          <w:rFonts w:asciiTheme="minorHAnsi" w:eastAsiaTheme="minorEastAsia" w:hAnsiTheme="minorHAnsi" w:cstheme="minorBidi"/>
          <w:i w:val="0"/>
          <w:sz w:val="22"/>
          <w:szCs w:val="22"/>
          <w:lang w:eastAsia="en-AU"/>
        </w:rPr>
      </w:pPr>
      <w:hyperlink w:anchor="_Toc343518882" w:history="1">
        <w:r w:rsidR="006B1311" w:rsidRPr="0031004A">
          <w:rPr>
            <w:rStyle w:val="Hyperlink"/>
          </w:rPr>
          <w:t>Business investment</w:t>
        </w:r>
        <w:r w:rsidR="006B1311">
          <w:rPr>
            <w:webHidden/>
          </w:rPr>
          <w:tab/>
        </w:r>
        <w:r w:rsidR="006B1311">
          <w:rPr>
            <w:webHidden/>
          </w:rPr>
          <w:fldChar w:fldCharType="begin"/>
        </w:r>
        <w:r w:rsidR="006B1311">
          <w:rPr>
            <w:webHidden/>
          </w:rPr>
          <w:instrText xml:space="preserve"> PAGEREF _Toc343518882 \h </w:instrText>
        </w:r>
        <w:r w:rsidR="006B1311">
          <w:rPr>
            <w:webHidden/>
          </w:rPr>
        </w:r>
        <w:r w:rsidR="006B1311">
          <w:rPr>
            <w:webHidden/>
          </w:rPr>
          <w:fldChar w:fldCharType="separate"/>
        </w:r>
        <w:r w:rsidR="00015888">
          <w:rPr>
            <w:webHidden/>
          </w:rPr>
          <w:t>7</w:t>
        </w:r>
        <w:r w:rsidR="006B1311">
          <w:rPr>
            <w:webHidden/>
          </w:rPr>
          <w:fldChar w:fldCharType="end"/>
        </w:r>
      </w:hyperlink>
    </w:p>
    <w:p w:rsidR="006B1311" w:rsidRDefault="00985325">
      <w:pPr>
        <w:pStyle w:val="TOC4"/>
        <w:rPr>
          <w:rFonts w:asciiTheme="minorHAnsi" w:eastAsiaTheme="minorEastAsia" w:hAnsiTheme="minorHAnsi" w:cstheme="minorBidi"/>
          <w:i w:val="0"/>
          <w:sz w:val="22"/>
          <w:szCs w:val="22"/>
          <w:lang w:eastAsia="en-AU"/>
        </w:rPr>
      </w:pPr>
      <w:hyperlink w:anchor="_Toc343518883" w:history="1">
        <w:r w:rsidR="006B1311" w:rsidRPr="0031004A">
          <w:rPr>
            <w:rStyle w:val="Hyperlink"/>
          </w:rPr>
          <w:t>Public final demand</w:t>
        </w:r>
        <w:r w:rsidR="006B1311">
          <w:rPr>
            <w:webHidden/>
          </w:rPr>
          <w:tab/>
        </w:r>
        <w:r w:rsidR="006B1311">
          <w:rPr>
            <w:webHidden/>
          </w:rPr>
          <w:fldChar w:fldCharType="begin"/>
        </w:r>
        <w:r w:rsidR="006B1311">
          <w:rPr>
            <w:webHidden/>
          </w:rPr>
          <w:instrText xml:space="preserve"> PAGEREF _Toc343518883 \h </w:instrText>
        </w:r>
        <w:r w:rsidR="006B1311">
          <w:rPr>
            <w:webHidden/>
          </w:rPr>
        </w:r>
        <w:r w:rsidR="006B1311">
          <w:rPr>
            <w:webHidden/>
          </w:rPr>
          <w:fldChar w:fldCharType="separate"/>
        </w:r>
        <w:r w:rsidR="00015888">
          <w:rPr>
            <w:webHidden/>
          </w:rPr>
          <w:t>8</w:t>
        </w:r>
        <w:r w:rsidR="006B1311">
          <w:rPr>
            <w:webHidden/>
          </w:rPr>
          <w:fldChar w:fldCharType="end"/>
        </w:r>
      </w:hyperlink>
    </w:p>
    <w:p w:rsidR="006B1311" w:rsidRDefault="00985325">
      <w:pPr>
        <w:pStyle w:val="TOC4"/>
        <w:rPr>
          <w:rFonts w:asciiTheme="minorHAnsi" w:eastAsiaTheme="minorEastAsia" w:hAnsiTheme="minorHAnsi" w:cstheme="minorBidi"/>
          <w:i w:val="0"/>
          <w:sz w:val="22"/>
          <w:szCs w:val="22"/>
          <w:lang w:eastAsia="en-AU"/>
        </w:rPr>
      </w:pPr>
      <w:hyperlink w:anchor="_Toc343518884" w:history="1">
        <w:r w:rsidR="006B1311" w:rsidRPr="0031004A">
          <w:rPr>
            <w:rStyle w:val="Hyperlink"/>
          </w:rPr>
          <w:t>Exports, imports and the current account deficit</w:t>
        </w:r>
        <w:r w:rsidR="006B1311">
          <w:rPr>
            <w:webHidden/>
          </w:rPr>
          <w:tab/>
        </w:r>
        <w:r w:rsidR="006B1311">
          <w:rPr>
            <w:webHidden/>
          </w:rPr>
          <w:fldChar w:fldCharType="begin"/>
        </w:r>
        <w:r w:rsidR="006B1311">
          <w:rPr>
            <w:webHidden/>
          </w:rPr>
          <w:instrText xml:space="preserve"> PAGEREF _Toc343518884 \h </w:instrText>
        </w:r>
        <w:r w:rsidR="006B1311">
          <w:rPr>
            <w:webHidden/>
          </w:rPr>
        </w:r>
        <w:r w:rsidR="006B1311">
          <w:rPr>
            <w:webHidden/>
          </w:rPr>
          <w:fldChar w:fldCharType="separate"/>
        </w:r>
        <w:r w:rsidR="00015888">
          <w:rPr>
            <w:webHidden/>
          </w:rPr>
          <w:t>8</w:t>
        </w:r>
        <w:r w:rsidR="006B1311">
          <w:rPr>
            <w:webHidden/>
          </w:rPr>
          <w:fldChar w:fldCharType="end"/>
        </w:r>
      </w:hyperlink>
    </w:p>
    <w:p w:rsidR="006B1311" w:rsidRDefault="00985325">
      <w:pPr>
        <w:pStyle w:val="TOC4"/>
        <w:rPr>
          <w:rFonts w:asciiTheme="minorHAnsi" w:eastAsiaTheme="minorEastAsia" w:hAnsiTheme="minorHAnsi" w:cstheme="minorBidi"/>
          <w:i w:val="0"/>
          <w:sz w:val="22"/>
          <w:szCs w:val="22"/>
          <w:lang w:eastAsia="en-AU"/>
        </w:rPr>
      </w:pPr>
      <w:hyperlink w:anchor="_Toc343518885" w:history="1">
        <w:r w:rsidR="006B1311" w:rsidRPr="0031004A">
          <w:rPr>
            <w:rStyle w:val="Hyperlink"/>
          </w:rPr>
          <w:t>Employment, wages and inflation</w:t>
        </w:r>
        <w:r w:rsidR="006B1311">
          <w:rPr>
            <w:webHidden/>
          </w:rPr>
          <w:tab/>
        </w:r>
        <w:r w:rsidR="006B1311">
          <w:rPr>
            <w:webHidden/>
          </w:rPr>
          <w:fldChar w:fldCharType="begin"/>
        </w:r>
        <w:r w:rsidR="006B1311">
          <w:rPr>
            <w:webHidden/>
          </w:rPr>
          <w:instrText xml:space="preserve"> PAGEREF _Toc343518885 \h </w:instrText>
        </w:r>
        <w:r w:rsidR="006B1311">
          <w:rPr>
            <w:webHidden/>
          </w:rPr>
        </w:r>
        <w:r w:rsidR="006B1311">
          <w:rPr>
            <w:webHidden/>
          </w:rPr>
          <w:fldChar w:fldCharType="separate"/>
        </w:r>
        <w:r w:rsidR="00015888">
          <w:rPr>
            <w:webHidden/>
          </w:rPr>
          <w:t>9</w:t>
        </w:r>
        <w:r w:rsidR="006B1311">
          <w:rPr>
            <w:webHidden/>
          </w:rPr>
          <w:fldChar w:fldCharType="end"/>
        </w:r>
      </w:hyperlink>
    </w:p>
    <w:p w:rsidR="006B1311" w:rsidRDefault="00985325">
      <w:pPr>
        <w:pStyle w:val="TOC3"/>
        <w:rPr>
          <w:rFonts w:asciiTheme="minorHAnsi" w:eastAsiaTheme="minorEastAsia" w:hAnsiTheme="minorHAnsi" w:cstheme="minorBidi"/>
          <w:b w:val="0"/>
          <w:sz w:val="22"/>
          <w:szCs w:val="22"/>
          <w:lang w:eastAsia="en-AU"/>
        </w:rPr>
      </w:pPr>
      <w:hyperlink w:anchor="_Toc343518886" w:history="1">
        <w:r w:rsidR="006B1311" w:rsidRPr="0031004A">
          <w:rPr>
            <w:rStyle w:val="Hyperlink"/>
          </w:rPr>
          <w:t>Outlook for the international economy</w:t>
        </w:r>
        <w:r w:rsidR="006B1311">
          <w:rPr>
            <w:webHidden/>
          </w:rPr>
          <w:tab/>
        </w:r>
        <w:r w:rsidR="006B1311">
          <w:rPr>
            <w:webHidden/>
          </w:rPr>
          <w:fldChar w:fldCharType="begin"/>
        </w:r>
        <w:r w:rsidR="006B1311">
          <w:rPr>
            <w:webHidden/>
          </w:rPr>
          <w:instrText xml:space="preserve"> PAGEREF _Toc343518886 \h </w:instrText>
        </w:r>
        <w:r w:rsidR="006B1311">
          <w:rPr>
            <w:webHidden/>
          </w:rPr>
        </w:r>
        <w:r w:rsidR="006B1311">
          <w:rPr>
            <w:webHidden/>
          </w:rPr>
          <w:fldChar w:fldCharType="separate"/>
        </w:r>
        <w:r w:rsidR="00015888">
          <w:rPr>
            <w:webHidden/>
          </w:rPr>
          <w:t>11</w:t>
        </w:r>
        <w:r w:rsidR="006B1311">
          <w:rPr>
            <w:webHidden/>
          </w:rPr>
          <w:fldChar w:fldCharType="end"/>
        </w:r>
      </w:hyperlink>
    </w:p>
    <w:p w:rsidR="005964C3" w:rsidRPr="003344B0" w:rsidRDefault="004D4273" w:rsidP="00A16F7F">
      <w:pPr>
        <w:pStyle w:val="Title"/>
        <w:outlineLvl w:val="0"/>
        <w:rPr>
          <w:b/>
          <w:color w:val="auto"/>
          <w:sz w:val="24"/>
          <w:szCs w:val="24"/>
          <w:highlight w:val="yellow"/>
        </w:rPr>
        <w:sectPr w:rsidR="005964C3" w:rsidRPr="003344B0" w:rsidSect="00412C6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567" w:gutter="0"/>
          <w:cols w:space="720"/>
          <w:titlePg/>
        </w:sectPr>
      </w:pPr>
      <w:r w:rsidRPr="00CA05D4">
        <w:rPr>
          <w:color w:val="auto"/>
        </w:rPr>
        <w:fldChar w:fldCharType="end"/>
      </w:r>
    </w:p>
    <w:p w:rsidR="00E573F9" w:rsidRDefault="00E573F9" w:rsidP="00E573F9">
      <w:pPr>
        <w:pStyle w:val="Heading3"/>
        <w:rPr>
          <w:bCs/>
          <w:smallCaps w:val="0"/>
        </w:rPr>
      </w:pPr>
      <w:bookmarkStart w:id="1" w:name="_Toc336420544"/>
      <w:bookmarkStart w:id="2" w:name="_Toc343518878"/>
      <w:bookmarkStart w:id="3" w:name="_Toc90977883"/>
      <w:bookmarkStart w:id="4" w:name="_Toc185498655"/>
      <w:r w:rsidRPr="00561642">
        <w:lastRenderedPageBreak/>
        <w:t>Overview</w:t>
      </w:r>
      <w:bookmarkEnd w:id="1"/>
      <w:bookmarkEnd w:id="2"/>
    </w:p>
    <w:p w:rsidR="00C902E3" w:rsidRDefault="002219FA" w:rsidP="00C902E3">
      <w:pPr>
        <w:rPr>
          <w:szCs w:val="20"/>
        </w:rPr>
      </w:pPr>
      <w:r w:rsidRPr="002219FA">
        <w:rPr>
          <w:szCs w:val="20"/>
        </w:rPr>
        <w:t>The</w:t>
      </w:r>
      <w:r w:rsidR="009F4BBA">
        <w:rPr>
          <w:szCs w:val="20"/>
        </w:rPr>
        <w:t xml:space="preserve"> </w:t>
      </w:r>
      <w:r w:rsidRPr="002219FA">
        <w:rPr>
          <w:szCs w:val="20"/>
        </w:rPr>
        <w:t>outlook for the domestic economy has weakened since t</w:t>
      </w:r>
      <w:r w:rsidR="001F5265">
        <w:rPr>
          <w:szCs w:val="20"/>
        </w:rPr>
        <w:t>he September update and MYEFO.</w:t>
      </w:r>
      <w:r w:rsidR="00814FDF">
        <w:rPr>
          <w:szCs w:val="20"/>
        </w:rPr>
        <w:t xml:space="preserve"> </w:t>
      </w:r>
      <w:r w:rsidR="004E492C">
        <w:rPr>
          <w:szCs w:val="20"/>
        </w:rPr>
        <w:t xml:space="preserve"> Following strong growth in real GDP in the first half of 2012, real GDP grew at a below-</w:t>
      </w:r>
      <w:r w:rsidR="00814FDF">
        <w:rPr>
          <w:szCs w:val="20"/>
        </w:rPr>
        <w:t>trend</w:t>
      </w:r>
      <w:r w:rsidR="000157E8">
        <w:rPr>
          <w:szCs w:val="20"/>
        </w:rPr>
        <w:t xml:space="preserve"> rate in the September quarter</w:t>
      </w:r>
      <w:r w:rsidR="00814FDF">
        <w:rPr>
          <w:szCs w:val="20"/>
        </w:rPr>
        <w:t xml:space="preserve"> and total hours worked in the economy declined.</w:t>
      </w:r>
      <w:r w:rsidR="00A66435">
        <w:rPr>
          <w:szCs w:val="20"/>
        </w:rPr>
        <w:t xml:space="preserve"> </w:t>
      </w:r>
      <w:r w:rsidR="00ED018F">
        <w:rPr>
          <w:szCs w:val="20"/>
        </w:rPr>
        <w:t>It is</w:t>
      </w:r>
      <w:r w:rsidR="000278EB">
        <w:rPr>
          <w:szCs w:val="20"/>
        </w:rPr>
        <w:t xml:space="preserve"> </w:t>
      </w:r>
      <w:r w:rsidR="00DB0B73">
        <w:rPr>
          <w:szCs w:val="20"/>
        </w:rPr>
        <w:t xml:space="preserve">clearer that </w:t>
      </w:r>
      <w:r w:rsidR="000157E8">
        <w:rPr>
          <w:szCs w:val="20"/>
        </w:rPr>
        <w:t>resources</w:t>
      </w:r>
      <w:r w:rsidR="00116B99">
        <w:rPr>
          <w:szCs w:val="20"/>
        </w:rPr>
        <w:t xml:space="preserve"> investment </w:t>
      </w:r>
      <w:r w:rsidR="00DB0B73">
        <w:rPr>
          <w:szCs w:val="20"/>
        </w:rPr>
        <w:t>will</w:t>
      </w:r>
      <w:r w:rsidR="00116B99">
        <w:rPr>
          <w:szCs w:val="20"/>
        </w:rPr>
        <w:t xml:space="preserve"> peak over the</w:t>
      </w:r>
      <w:r w:rsidR="00B27BC5">
        <w:rPr>
          <w:szCs w:val="20"/>
        </w:rPr>
        <w:t xml:space="preserve"> next </w:t>
      </w:r>
      <w:r w:rsidR="00B86570">
        <w:rPr>
          <w:szCs w:val="20"/>
        </w:rPr>
        <w:t>year or so</w:t>
      </w:r>
      <w:r w:rsidR="00B27BC5">
        <w:rPr>
          <w:szCs w:val="20"/>
        </w:rPr>
        <w:t xml:space="preserve"> and then </w:t>
      </w:r>
      <w:r w:rsidR="00910358">
        <w:rPr>
          <w:szCs w:val="20"/>
        </w:rPr>
        <w:t>detract from growth</w:t>
      </w:r>
      <w:r w:rsidR="00ED018F">
        <w:rPr>
          <w:szCs w:val="20"/>
        </w:rPr>
        <w:t xml:space="preserve">. At the same time, </w:t>
      </w:r>
      <w:r w:rsidR="000157E8">
        <w:rPr>
          <w:szCs w:val="20"/>
        </w:rPr>
        <w:t>with</w:t>
      </w:r>
      <w:r w:rsidR="00ED018F">
        <w:rPr>
          <w:szCs w:val="20"/>
        </w:rPr>
        <w:t xml:space="preserve"> no material s</w:t>
      </w:r>
      <w:r w:rsidR="00B27BC5">
        <w:rPr>
          <w:szCs w:val="20"/>
        </w:rPr>
        <w:t xml:space="preserve">igns </w:t>
      </w:r>
      <w:r w:rsidR="00E037CE">
        <w:rPr>
          <w:szCs w:val="20"/>
        </w:rPr>
        <w:t xml:space="preserve">yet emerging </w:t>
      </w:r>
      <w:r w:rsidR="00B27BC5">
        <w:rPr>
          <w:szCs w:val="20"/>
        </w:rPr>
        <w:t>of a</w:t>
      </w:r>
      <w:r w:rsidR="000A63CE">
        <w:rPr>
          <w:szCs w:val="20"/>
        </w:rPr>
        <w:t xml:space="preserve"> recovery in </w:t>
      </w:r>
      <w:r w:rsidR="00910358">
        <w:rPr>
          <w:szCs w:val="20"/>
        </w:rPr>
        <w:t>non</w:t>
      </w:r>
      <w:r w:rsidR="00A42E52">
        <w:rPr>
          <w:szCs w:val="20"/>
        </w:rPr>
        <w:noBreakHyphen/>
      </w:r>
      <w:r w:rsidR="000157E8">
        <w:rPr>
          <w:szCs w:val="20"/>
        </w:rPr>
        <w:t xml:space="preserve">mining investment, the outlook is for a </w:t>
      </w:r>
      <w:r w:rsidR="00814FDF">
        <w:rPr>
          <w:szCs w:val="20"/>
        </w:rPr>
        <w:t>period of slightly-below-</w:t>
      </w:r>
      <w:r w:rsidR="00910358">
        <w:rPr>
          <w:szCs w:val="20"/>
        </w:rPr>
        <w:t xml:space="preserve">trend </w:t>
      </w:r>
      <w:r w:rsidR="000157E8">
        <w:rPr>
          <w:szCs w:val="20"/>
        </w:rPr>
        <w:t xml:space="preserve">real </w:t>
      </w:r>
      <w:r w:rsidR="00E037CE">
        <w:rPr>
          <w:szCs w:val="20"/>
        </w:rPr>
        <w:t>GDP growth in 2013-14 and 2014</w:t>
      </w:r>
      <w:r w:rsidR="00E037CE">
        <w:rPr>
          <w:szCs w:val="20"/>
        </w:rPr>
        <w:noBreakHyphen/>
      </w:r>
      <w:r w:rsidR="00910358">
        <w:rPr>
          <w:szCs w:val="20"/>
        </w:rPr>
        <w:t>15.</w:t>
      </w:r>
      <w:r w:rsidR="00C902E3">
        <w:rPr>
          <w:szCs w:val="20"/>
        </w:rPr>
        <w:t xml:space="preserve"> </w:t>
      </w:r>
      <w:r w:rsidR="00964752">
        <w:rPr>
          <w:szCs w:val="20"/>
        </w:rPr>
        <w:t xml:space="preserve"> </w:t>
      </w:r>
      <w:r w:rsidR="00B76268">
        <w:rPr>
          <w:szCs w:val="20"/>
        </w:rPr>
        <w:t xml:space="preserve">Still, with the </w:t>
      </w:r>
      <w:r w:rsidR="004E492C">
        <w:rPr>
          <w:szCs w:val="20"/>
        </w:rPr>
        <w:t>resources</w:t>
      </w:r>
      <w:r w:rsidR="00B76268">
        <w:rPr>
          <w:szCs w:val="20"/>
        </w:rPr>
        <w:t xml:space="preserve"> investment peak coinciding with the start of the production and export phase of many projects,</w:t>
      </w:r>
      <w:r w:rsidR="00B76268" w:rsidRPr="002219FA">
        <w:rPr>
          <w:szCs w:val="20"/>
        </w:rPr>
        <w:t xml:space="preserve"> </w:t>
      </w:r>
      <w:r w:rsidR="000157E8">
        <w:rPr>
          <w:szCs w:val="20"/>
        </w:rPr>
        <w:t xml:space="preserve">and growth in household consumption expected to remain firm, </w:t>
      </w:r>
      <w:r w:rsidR="00B76268" w:rsidRPr="002219FA">
        <w:rPr>
          <w:szCs w:val="20"/>
        </w:rPr>
        <w:t xml:space="preserve">real GDP growth is expected </w:t>
      </w:r>
      <w:r w:rsidR="000157E8">
        <w:rPr>
          <w:szCs w:val="20"/>
        </w:rPr>
        <w:t xml:space="preserve">to </w:t>
      </w:r>
      <w:r w:rsidR="00B76268">
        <w:rPr>
          <w:szCs w:val="20"/>
        </w:rPr>
        <w:t>remain</w:t>
      </w:r>
      <w:r w:rsidR="000157E8">
        <w:rPr>
          <w:szCs w:val="20"/>
        </w:rPr>
        <w:t xml:space="preserve"> solid</w:t>
      </w:r>
      <w:r w:rsidR="00B76268">
        <w:rPr>
          <w:szCs w:val="20"/>
        </w:rPr>
        <w:t xml:space="preserve"> at </w:t>
      </w:r>
      <w:r w:rsidR="000111F8">
        <w:rPr>
          <w:szCs w:val="20"/>
        </w:rPr>
        <w:t>2¾ </w:t>
      </w:r>
      <w:r w:rsidR="00B75EF4">
        <w:rPr>
          <w:szCs w:val="20"/>
        </w:rPr>
        <w:t>per cent in 2013-14 and 2014</w:t>
      </w:r>
      <w:r w:rsidR="00B75EF4">
        <w:rPr>
          <w:szCs w:val="20"/>
        </w:rPr>
        <w:noBreakHyphen/>
      </w:r>
      <w:r w:rsidR="00B76268">
        <w:rPr>
          <w:szCs w:val="20"/>
        </w:rPr>
        <w:t>15.</w:t>
      </w:r>
      <w:r w:rsidR="00814FDF">
        <w:rPr>
          <w:szCs w:val="20"/>
        </w:rPr>
        <w:t xml:space="preserve">  Consistent with </w:t>
      </w:r>
      <w:r w:rsidR="004E492C">
        <w:rPr>
          <w:szCs w:val="20"/>
        </w:rPr>
        <w:t>slightly-below-</w:t>
      </w:r>
      <w:r w:rsidR="00814FDF">
        <w:rPr>
          <w:szCs w:val="20"/>
        </w:rPr>
        <w:t>trend growth, the unemployment rate is forecast to rise to 6</w:t>
      </w:r>
      <w:r w:rsidR="005E7002">
        <w:rPr>
          <w:szCs w:val="20"/>
        </w:rPr>
        <w:t xml:space="preserve"> per cent by the June quarter</w:t>
      </w:r>
      <w:r w:rsidR="008959BB">
        <w:rPr>
          <w:szCs w:val="20"/>
        </w:rPr>
        <w:t xml:space="preserve"> of</w:t>
      </w:r>
      <w:r w:rsidR="00814FDF">
        <w:rPr>
          <w:szCs w:val="20"/>
        </w:rPr>
        <w:t xml:space="preserve"> 2015.</w:t>
      </w:r>
    </w:p>
    <w:p w:rsidR="00B27BC5" w:rsidRPr="00B27BC5" w:rsidRDefault="00B27BC5" w:rsidP="00C902E3">
      <w:r>
        <w:rPr>
          <w:szCs w:val="20"/>
        </w:rPr>
        <w:t xml:space="preserve">The international outlook has also weakened </w:t>
      </w:r>
      <w:r w:rsidR="000278EB">
        <w:rPr>
          <w:szCs w:val="20"/>
        </w:rPr>
        <w:t>marginally</w:t>
      </w:r>
      <w:r w:rsidR="003D1F3E">
        <w:rPr>
          <w:szCs w:val="20"/>
        </w:rPr>
        <w:t xml:space="preserve"> </w:t>
      </w:r>
      <w:r>
        <w:rPr>
          <w:szCs w:val="20"/>
        </w:rPr>
        <w:t xml:space="preserve">since the September update, notwithstanding signs of a modest recovery in China. The </w:t>
      </w:r>
      <w:r>
        <w:t>euro area is now clearly in</w:t>
      </w:r>
      <w:r w:rsidRPr="00D5563F">
        <w:t xml:space="preserve"> recession </w:t>
      </w:r>
      <w:r>
        <w:t xml:space="preserve">and </w:t>
      </w:r>
      <w:r w:rsidRPr="00D5563F">
        <w:t>the threat of an escalation in the euro area sovereign debt crisis lingers</w:t>
      </w:r>
      <w:r>
        <w:t xml:space="preserve">. </w:t>
      </w:r>
      <w:r w:rsidR="00ED018F">
        <w:t>However, t</w:t>
      </w:r>
      <w:r w:rsidR="00126B2C">
        <w:t>he most significant</w:t>
      </w:r>
      <w:r w:rsidRPr="00D5563F">
        <w:t xml:space="preserve"> near</w:t>
      </w:r>
      <w:r w:rsidRPr="00D5563F">
        <w:noBreakHyphen/>
        <w:t>term risk to global growth is the</w:t>
      </w:r>
      <w:r>
        <w:t xml:space="preserve"> imminent</w:t>
      </w:r>
      <w:r w:rsidRPr="00D5563F">
        <w:t xml:space="preserve"> fisc</w:t>
      </w:r>
      <w:r>
        <w:t>al cliff and threat of consequent recession in the United States.</w:t>
      </w:r>
      <w:r w:rsidR="00FD74E0">
        <w:t xml:space="preserve"> The risks to global economic and financial stability continue to weigh on consumer and business confidence.</w:t>
      </w:r>
    </w:p>
    <w:p w:rsidR="00E573F9" w:rsidRPr="008502D1" w:rsidRDefault="00E573F9" w:rsidP="00E573F9">
      <w:pPr>
        <w:pStyle w:val="Dash"/>
        <w:keepNext/>
        <w:spacing w:line="240" w:lineRule="auto"/>
        <w:ind w:left="0" w:firstLine="0"/>
        <w:rPr>
          <w:rFonts w:ascii="Tahoma" w:hAnsi="Tahoma" w:cs="Tahoma"/>
          <w:b/>
        </w:rPr>
      </w:pPr>
      <w:r w:rsidRPr="008502D1">
        <w:rPr>
          <w:rFonts w:ascii="Tahoma" w:hAnsi="Tahoma" w:cs="Tahoma"/>
          <w:b/>
        </w:rPr>
        <w:t>Table 1: Key Domestic Forecasts</w:t>
      </w:r>
      <w:r w:rsidRPr="008502D1">
        <w:rPr>
          <w:rFonts w:ascii="Tahoma" w:hAnsi="Tahoma" w:cs="Tahoma"/>
          <w:b/>
          <w:vertAlign w:val="superscript"/>
        </w:rPr>
        <w:t>(a)</w:t>
      </w:r>
      <w:r w:rsidRPr="008502D1">
        <w:rPr>
          <w:rFonts w:ascii="Tahoma" w:hAnsi="Tahoma" w:cs="Tahoma"/>
          <w:b/>
        </w:rPr>
        <w:t xml:space="preserve"> </w:t>
      </w:r>
    </w:p>
    <w:p w:rsidR="00E573F9" w:rsidRPr="008502D1" w:rsidRDefault="00985325" w:rsidP="00E573F9">
      <w:pPr>
        <w:pStyle w:val="TableGraphic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1pt;height:142.15pt">
            <v:imagedata r:id="rId16" o:title=""/>
          </v:shape>
        </w:pict>
      </w:r>
    </w:p>
    <w:p w:rsidR="00E573F9" w:rsidRPr="008502D1" w:rsidRDefault="00E573F9" w:rsidP="00E573F9">
      <w:pPr>
        <w:pStyle w:val="ChartandTableFootnoteAlpha"/>
        <w:tabs>
          <w:tab w:val="clear" w:pos="283"/>
        </w:tabs>
        <w:spacing w:line="240" w:lineRule="auto"/>
        <w:ind w:left="0" w:firstLine="0"/>
      </w:pPr>
      <w:r w:rsidRPr="008502D1">
        <w:t>(a) Real GDP, nominal GDP and the terms of trade are year-average growth. Employment, CPI, underlying inflation and the WPI are through-the-year growth to the June quarter. The unemployment rate is the rate for the June quarter.</w:t>
      </w:r>
    </w:p>
    <w:p w:rsidR="00E573F9" w:rsidRPr="007F6C41" w:rsidRDefault="00E573F9" w:rsidP="00E573F9">
      <w:pPr>
        <w:pStyle w:val="ChartandTableFootnoteAlpha"/>
        <w:tabs>
          <w:tab w:val="clear" w:pos="283"/>
        </w:tabs>
        <w:spacing w:line="240" w:lineRule="auto"/>
        <w:ind w:left="0" w:firstLine="0"/>
        <w:rPr>
          <w:highlight w:val="yellow"/>
        </w:rPr>
      </w:pPr>
    </w:p>
    <w:p w:rsidR="00E94659" w:rsidRPr="00DF11DD" w:rsidRDefault="00624B5B" w:rsidP="00E94659">
      <w:pPr>
        <w:rPr>
          <w:szCs w:val="20"/>
        </w:rPr>
      </w:pPr>
      <w:r>
        <w:rPr>
          <w:szCs w:val="20"/>
        </w:rPr>
        <w:t>In Australia, ec</w:t>
      </w:r>
      <w:r w:rsidR="00E94659">
        <w:rPr>
          <w:szCs w:val="20"/>
        </w:rPr>
        <w:t>onomic growth</w:t>
      </w:r>
      <w:r>
        <w:rPr>
          <w:szCs w:val="20"/>
        </w:rPr>
        <w:t xml:space="preserve"> in 2012-13</w:t>
      </w:r>
      <w:r w:rsidR="00E94659">
        <w:rPr>
          <w:szCs w:val="20"/>
        </w:rPr>
        <w:t xml:space="preserve"> will continue to be supported by </w:t>
      </w:r>
      <w:r w:rsidR="000157E8">
        <w:rPr>
          <w:szCs w:val="20"/>
        </w:rPr>
        <w:t>rising</w:t>
      </w:r>
      <w:r w:rsidR="00E94659">
        <w:rPr>
          <w:szCs w:val="20"/>
        </w:rPr>
        <w:t xml:space="preserve"> </w:t>
      </w:r>
      <w:r w:rsidR="00E94659" w:rsidRPr="002219FA">
        <w:rPr>
          <w:szCs w:val="20"/>
        </w:rPr>
        <w:t xml:space="preserve">investment in the </w:t>
      </w:r>
      <w:r w:rsidR="00E94659">
        <w:rPr>
          <w:szCs w:val="20"/>
        </w:rPr>
        <w:t>mining</w:t>
      </w:r>
      <w:r w:rsidR="00E94659" w:rsidRPr="002219FA">
        <w:rPr>
          <w:szCs w:val="20"/>
        </w:rPr>
        <w:t xml:space="preserve"> sector along with solid growth in household consumption</w:t>
      </w:r>
      <w:r w:rsidR="00E94659">
        <w:rPr>
          <w:szCs w:val="20"/>
        </w:rPr>
        <w:t>. As mining investment passes its peak in 2013-14, economic growth</w:t>
      </w:r>
      <w:r w:rsidR="00E94659" w:rsidRPr="000B69FC">
        <w:rPr>
          <w:szCs w:val="20"/>
        </w:rPr>
        <w:t xml:space="preserve"> is expected to be supported by accelerating</w:t>
      </w:r>
      <w:r w:rsidR="00E94659">
        <w:rPr>
          <w:szCs w:val="20"/>
        </w:rPr>
        <w:t xml:space="preserve"> growth in non</w:t>
      </w:r>
      <w:r w:rsidR="00E94659">
        <w:rPr>
          <w:szCs w:val="20"/>
        </w:rPr>
        <w:noBreakHyphen/>
      </w:r>
      <w:r w:rsidR="00E94659" w:rsidRPr="000B69FC">
        <w:rPr>
          <w:szCs w:val="20"/>
        </w:rPr>
        <w:t xml:space="preserve">rural commodity exports, </w:t>
      </w:r>
      <w:r w:rsidR="000157E8">
        <w:rPr>
          <w:szCs w:val="20"/>
        </w:rPr>
        <w:t xml:space="preserve">continued </w:t>
      </w:r>
      <w:r w:rsidR="00E94659" w:rsidRPr="000B69FC">
        <w:rPr>
          <w:szCs w:val="20"/>
        </w:rPr>
        <w:t xml:space="preserve">solid growth in household consumption and </w:t>
      </w:r>
      <w:r w:rsidR="00E94659">
        <w:rPr>
          <w:szCs w:val="20"/>
        </w:rPr>
        <w:t xml:space="preserve">a modest recovery in </w:t>
      </w:r>
      <w:r w:rsidR="00E94659" w:rsidRPr="000B69FC">
        <w:rPr>
          <w:szCs w:val="20"/>
        </w:rPr>
        <w:t>investment g</w:t>
      </w:r>
      <w:r w:rsidR="00E94659">
        <w:rPr>
          <w:szCs w:val="20"/>
        </w:rPr>
        <w:t>rowth outside the mining sector</w:t>
      </w:r>
      <w:r w:rsidR="00E94659" w:rsidRPr="000B69FC">
        <w:rPr>
          <w:szCs w:val="20"/>
        </w:rPr>
        <w:t>.</w:t>
      </w:r>
      <w:r w:rsidR="00E94659" w:rsidRPr="002219FA">
        <w:rPr>
          <w:szCs w:val="20"/>
        </w:rPr>
        <w:t xml:space="preserve"> </w:t>
      </w:r>
      <w:r w:rsidR="00047628" w:rsidRPr="00047628">
        <w:rPr>
          <w:szCs w:val="20"/>
        </w:rPr>
        <w:t>Public final demand is expected to detract from growth over 2012-13 and 2013-14 as previously forecast, consistent with announ</w:t>
      </w:r>
      <w:r w:rsidR="001E4DD4">
        <w:rPr>
          <w:szCs w:val="20"/>
        </w:rPr>
        <w:t>ced expenditure plans at state b</w:t>
      </w:r>
      <w:r w:rsidR="00047628" w:rsidRPr="00047628">
        <w:rPr>
          <w:szCs w:val="20"/>
        </w:rPr>
        <w:t xml:space="preserve">udgets and on the basis of Commonwealth commitments presented in MYEFO. </w:t>
      </w:r>
      <w:r w:rsidR="00323F36" w:rsidRPr="00047628">
        <w:rPr>
          <w:szCs w:val="20"/>
        </w:rPr>
        <w:t>While the outlook is for solid gr</w:t>
      </w:r>
      <w:r w:rsidR="00DD1352" w:rsidRPr="00047628">
        <w:rPr>
          <w:szCs w:val="20"/>
        </w:rPr>
        <w:t>owth in the real economy, lower-</w:t>
      </w:r>
      <w:r w:rsidR="00323F36" w:rsidRPr="00047628">
        <w:rPr>
          <w:szCs w:val="20"/>
        </w:rPr>
        <w:t>than</w:t>
      </w:r>
      <w:r w:rsidR="00DD1352" w:rsidRPr="00047628">
        <w:rPr>
          <w:szCs w:val="20"/>
        </w:rPr>
        <w:t>-</w:t>
      </w:r>
      <w:r w:rsidR="00323F36" w:rsidRPr="00047628">
        <w:rPr>
          <w:szCs w:val="20"/>
        </w:rPr>
        <w:t>anticipated domestic and international price growth is weighing on the nominal economy. N</w:t>
      </w:r>
      <w:r w:rsidR="00E94659" w:rsidRPr="00047628">
        <w:rPr>
          <w:szCs w:val="20"/>
        </w:rPr>
        <w:t xml:space="preserve">ominal GDP growth in 2012-13 </w:t>
      </w:r>
      <w:r w:rsidRPr="00047628">
        <w:rPr>
          <w:szCs w:val="20"/>
        </w:rPr>
        <w:t xml:space="preserve">has been </w:t>
      </w:r>
      <w:r w:rsidR="00E94659" w:rsidRPr="00047628">
        <w:rPr>
          <w:szCs w:val="20"/>
        </w:rPr>
        <w:t xml:space="preserve">revised down substantially, driven largely </w:t>
      </w:r>
      <w:r w:rsidR="00814FDF" w:rsidRPr="00047628">
        <w:rPr>
          <w:szCs w:val="20"/>
        </w:rPr>
        <w:t>by a</w:t>
      </w:r>
      <w:r w:rsidR="00E94659" w:rsidRPr="00047628">
        <w:rPr>
          <w:szCs w:val="20"/>
        </w:rPr>
        <w:t xml:space="preserve"> weak</w:t>
      </w:r>
      <w:r w:rsidRPr="00047628">
        <w:rPr>
          <w:szCs w:val="20"/>
        </w:rPr>
        <w:t>er</w:t>
      </w:r>
      <w:r w:rsidRPr="00047628">
        <w:rPr>
          <w:szCs w:val="20"/>
        </w:rPr>
        <w:noBreakHyphen/>
      </w:r>
      <w:r w:rsidR="00814FDF" w:rsidRPr="00047628">
        <w:rPr>
          <w:szCs w:val="20"/>
        </w:rPr>
        <w:t>than-anticipated</w:t>
      </w:r>
      <w:r w:rsidR="00E94659" w:rsidRPr="00047628">
        <w:rPr>
          <w:szCs w:val="20"/>
        </w:rPr>
        <w:t xml:space="preserve"> September quarter National Accounts outcome</w:t>
      </w:r>
      <w:r w:rsidR="00814FDF" w:rsidRPr="00047628">
        <w:rPr>
          <w:szCs w:val="20"/>
        </w:rPr>
        <w:t>, partly due to lower commodity price</w:t>
      </w:r>
      <w:r w:rsidR="000157E8" w:rsidRPr="00047628">
        <w:rPr>
          <w:szCs w:val="20"/>
        </w:rPr>
        <w:t>s, but largely reflecting softer</w:t>
      </w:r>
      <w:r w:rsidR="000157E8" w:rsidRPr="00047628">
        <w:rPr>
          <w:szCs w:val="20"/>
        </w:rPr>
        <w:noBreakHyphen/>
        <w:t>than</w:t>
      </w:r>
      <w:r w:rsidR="000157E8" w:rsidRPr="00047628">
        <w:rPr>
          <w:szCs w:val="20"/>
        </w:rPr>
        <w:noBreakHyphen/>
      </w:r>
      <w:r w:rsidR="00814FDF" w:rsidRPr="00047628">
        <w:rPr>
          <w:szCs w:val="20"/>
        </w:rPr>
        <w:t xml:space="preserve">anticipated </w:t>
      </w:r>
      <w:r w:rsidR="000157E8" w:rsidRPr="00047628">
        <w:rPr>
          <w:szCs w:val="20"/>
        </w:rPr>
        <w:t>investment prices</w:t>
      </w:r>
      <w:r w:rsidR="00E94659" w:rsidRPr="00047628">
        <w:rPr>
          <w:szCs w:val="20"/>
        </w:rPr>
        <w:t>.</w:t>
      </w:r>
    </w:p>
    <w:p w:rsidR="000B69FC" w:rsidRDefault="00B27BC5" w:rsidP="00DE0CDA">
      <w:pPr>
        <w:rPr>
          <w:szCs w:val="20"/>
        </w:rPr>
      </w:pPr>
      <w:r w:rsidRPr="00DF11DD">
        <w:rPr>
          <w:szCs w:val="20"/>
        </w:rPr>
        <w:t>M</w:t>
      </w:r>
      <w:r w:rsidR="00163896" w:rsidRPr="00DF11DD">
        <w:rPr>
          <w:szCs w:val="20"/>
        </w:rPr>
        <w:t>ining</w:t>
      </w:r>
      <w:r w:rsidR="000B69FC" w:rsidRPr="00DF11DD">
        <w:rPr>
          <w:szCs w:val="20"/>
        </w:rPr>
        <w:t xml:space="preserve"> investment</w:t>
      </w:r>
      <w:r w:rsidR="00126B2C" w:rsidRPr="00DF11DD">
        <w:rPr>
          <w:szCs w:val="20"/>
        </w:rPr>
        <w:t xml:space="preserve"> in 2012-13</w:t>
      </w:r>
      <w:r w:rsidRPr="00DF11DD">
        <w:rPr>
          <w:szCs w:val="20"/>
        </w:rPr>
        <w:t xml:space="preserve"> </w:t>
      </w:r>
      <w:r w:rsidR="00910358" w:rsidRPr="00DF11DD">
        <w:rPr>
          <w:szCs w:val="20"/>
        </w:rPr>
        <w:t>is forecast to grow more strongly</w:t>
      </w:r>
      <w:r w:rsidRPr="00DF11DD">
        <w:rPr>
          <w:szCs w:val="20"/>
        </w:rPr>
        <w:t xml:space="preserve"> than expected</w:t>
      </w:r>
      <w:r w:rsidR="00126B2C" w:rsidRPr="00DF11DD">
        <w:rPr>
          <w:szCs w:val="20"/>
        </w:rPr>
        <w:t xml:space="preserve"> in September</w:t>
      </w:r>
      <w:r w:rsidR="002219FA" w:rsidRPr="00DF11DD">
        <w:rPr>
          <w:szCs w:val="20"/>
        </w:rPr>
        <w:t>, reflecting faster</w:t>
      </w:r>
      <w:r w:rsidR="00910358" w:rsidRPr="00DF11DD">
        <w:rPr>
          <w:szCs w:val="20"/>
        </w:rPr>
        <w:noBreakHyphen/>
      </w:r>
      <w:r w:rsidR="002219FA" w:rsidRPr="00DF11DD">
        <w:rPr>
          <w:szCs w:val="20"/>
        </w:rPr>
        <w:t>than</w:t>
      </w:r>
      <w:r w:rsidR="005D2665" w:rsidRPr="00DF11DD">
        <w:rPr>
          <w:szCs w:val="20"/>
        </w:rPr>
        <w:t>-</w:t>
      </w:r>
      <w:r w:rsidR="002219FA" w:rsidRPr="00DF11DD">
        <w:rPr>
          <w:szCs w:val="20"/>
        </w:rPr>
        <w:t xml:space="preserve">expected progress </w:t>
      </w:r>
      <w:r w:rsidR="000F23F0" w:rsidRPr="00DF11DD">
        <w:rPr>
          <w:szCs w:val="20"/>
        </w:rPr>
        <w:t>on</w:t>
      </w:r>
      <w:r w:rsidR="002219FA" w:rsidRPr="00DF11DD">
        <w:rPr>
          <w:szCs w:val="20"/>
        </w:rPr>
        <w:t xml:space="preserve"> some major p</w:t>
      </w:r>
      <w:r w:rsidR="00D8657C" w:rsidRPr="00DF11DD">
        <w:rPr>
          <w:szCs w:val="20"/>
        </w:rPr>
        <w:t>rojects</w:t>
      </w:r>
      <w:r w:rsidR="00B75EF4" w:rsidRPr="00DF11DD">
        <w:rPr>
          <w:szCs w:val="20"/>
        </w:rPr>
        <w:t xml:space="preserve"> and</w:t>
      </w:r>
      <w:r w:rsidR="00910358" w:rsidRPr="00DF11DD">
        <w:rPr>
          <w:szCs w:val="20"/>
        </w:rPr>
        <w:t xml:space="preserve"> some</w:t>
      </w:r>
      <w:r w:rsidR="00D8657C" w:rsidRPr="00DF11DD">
        <w:rPr>
          <w:szCs w:val="20"/>
        </w:rPr>
        <w:t xml:space="preserve"> </w:t>
      </w:r>
      <w:r w:rsidR="000F23F0" w:rsidRPr="00DF11DD">
        <w:rPr>
          <w:szCs w:val="20"/>
        </w:rPr>
        <w:t>additional planned investment on</w:t>
      </w:r>
      <w:r w:rsidR="00474B34" w:rsidRPr="00DF11DD">
        <w:rPr>
          <w:szCs w:val="20"/>
        </w:rPr>
        <w:t xml:space="preserve"> </w:t>
      </w:r>
      <w:r w:rsidR="00C4664F" w:rsidRPr="00DF11DD">
        <w:rPr>
          <w:szCs w:val="20"/>
        </w:rPr>
        <w:t xml:space="preserve">standing </w:t>
      </w:r>
      <w:r w:rsidR="00474B34" w:rsidRPr="00DF11DD">
        <w:rPr>
          <w:szCs w:val="20"/>
        </w:rPr>
        <w:t>LNG</w:t>
      </w:r>
      <w:r w:rsidR="00B75EF4" w:rsidRPr="00DF11DD">
        <w:rPr>
          <w:szCs w:val="20"/>
        </w:rPr>
        <w:t xml:space="preserve"> projects</w:t>
      </w:r>
      <w:r w:rsidR="000F23F0" w:rsidRPr="00DF11DD">
        <w:rPr>
          <w:szCs w:val="20"/>
        </w:rPr>
        <w:t>. Forecasts of growth in mining investment in 2013-14 have been downgraded slightly</w:t>
      </w:r>
      <w:r w:rsidR="00624B5B">
        <w:rPr>
          <w:szCs w:val="20"/>
        </w:rPr>
        <w:t>. In addition to the bring-</w:t>
      </w:r>
      <w:r w:rsidR="00EF0141" w:rsidRPr="00DF11DD">
        <w:rPr>
          <w:szCs w:val="20"/>
        </w:rPr>
        <w:t>forward of some expenditure into 2012-13</w:t>
      </w:r>
      <w:r w:rsidR="000F23F0" w:rsidRPr="00DF11DD">
        <w:rPr>
          <w:szCs w:val="20"/>
        </w:rPr>
        <w:t xml:space="preserve">, </w:t>
      </w:r>
      <w:r w:rsidR="000278EB" w:rsidRPr="00DF11DD">
        <w:rPr>
          <w:szCs w:val="20"/>
        </w:rPr>
        <w:t xml:space="preserve">weaker-than-expected coal prices </w:t>
      </w:r>
      <w:r w:rsidR="00EF0141" w:rsidRPr="00DF11DD">
        <w:rPr>
          <w:szCs w:val="20"/>
        </w:rPr>
        <w:t>have led</w:t>
      </w:r>
      <w:r w:rsidR="000278EB" w:rsidRPr="00DF11DD">
        <w:rPr>
          <w:szCs w:val="20"/>
        </w:rPr>
        <w:t xml:space="preserve"> to </w:t>
      </w:r>
      <w:r w:rsidR="000F23F0" w:rsidRPr="00DF11DD">
        <w:rPr>
          <w:szCs w:val="20"/>
        </w:rPr>
        <w:t>isolated closures</w:t>
      </w:r>
      <w:r w:rsidR="000278EB" w:rsidRPr="00DF11DD">
        <w:rPr>
          <w:szCs w:val="20"/>
        </w:rPr>
        <w:t xml:space="preserve"> of some high-cost coal mines a</w:t>
      </w:r>
      <w:r w:rsidR="000157E8">
        <w:rPr>
          <w:szCs w:val="20"/>
        </w:rPr>
        <w:t>nd the paring back of some coal</w:t>
      </w:r>
      <w:r w:rsidR="000157E8">
        <w:rPr>
          <w:szCs w:val="20"/>
        </w:rPr>
        <w:noBreakHyphen/>
      </w:r>
      <w:r w:rsidR="000278EB" w:rsidRPr="00DF11DD">
        <w:rPr>
          <w:szCs w:val="20"/>
        </w:rPr>
        <w:t>related</w:t>
      </w:r>
      <w:r w:rsidR="000F23F0" w:rsidRPr="00DF11DD">
        <w:rPr>
          <w:szCs w:val="20"/>
        </w:rPr>
        <w:t xml:space="preserve"> investments.</w:t>
      </w:r>
      <w:r w:rsidR="00126B2C" w:rsidRPr="00DF11DD">
        <w:rPr>
          <w:szCs w:val="20"/>
        </w:rPr>
        <w:t xml:space="preserve"> </w:t>
      </w:r>
      <w:r w:rsidR="00B75EF4" w:rsidRPr="00DF11DD">
        <w:rPr>
          <w:szCs w:val="20"/>
        </w:rPr>
        <w:t xml:space="preserve">From 2014-15, </w:t>
      </w:r>
      <w:r w:rsidR="00EF0141" w:rsidRPr="00DF11DD">
        <w:rPr>
          <w:szCs w:val="20"/>
        </w:rPr>
        <w:t xml:space="preserve">the decrease in </w:t>
      </w:r>
      <w:r w:rsidR="00B75EF4" w:rsidRPr="00DF11DD">
        <w:rPr>
          <w:szCs w:val="20"/>
        </w:rPr>
        <w:t>mining investment</w:t>
      </w:r>
      <w:r w:rsidR="00B75EF4">
        <w:rPr>
          <w:szCs w:val="20"/>
        </w:rPr>
        <w:t xml:space="preserve"> is </w:t>
      </w:r>
      <w:r w:rsidR="000F23F0">
        <w:rPr>
          <w:szCs w:val="20"/>
        </w:rPr>
        <w:t>forecast</w:t>
      </w:r>
      <w:r w:rsidR="00B75EF4">
        <w:rPr>
          <w:szCs w:val="20"/>
        </w:rPr>
        <w:t xml:space="preserve"> to </w:t>
      </w:r>
      <w:r w:rsidR="00126B2C">
        <w:rPr>
          <w:szCs w:val="20"/>
        </w:rPr>
        <w:t xml:space="preserve">detract </w:t>
      </w:r>
      <w:r w:rsidR="00E74FB8">
        <w:rPr>
          <w:szCs w:val="20"/>
        </w:rPr>
        <w:t xml:space="preserve">substantially </w:t>
      </w:r>
      <w:r w:rsidR="00126B2C">
        <w:rPr>
          <w:szCs w:val="20"/>
        </w:rPr>
        <w:t>from growth as</w:t>
      </w:r>
      <w:r w:rsidR="00C4664F">
        <w:rPr>
          <w:szCs w:val="20"/>
        </w:rPr>
        <w:t xml:space="preserve"> </w:t>
      </w:r>
      <w:r w:rsidR="000157E8">
        <w:rPr>
          <w:szCs w:val="20"/>
        </w:rPr>
        <w:t>existing projects move from construction to production.</w:t>
      </w:r>
      <w:r w:rsidR="00B75EF4">
        <w:rPr>
          <w:szCs w:val="20"/>
        </w:rPr>
        <w:t xml:space="preserve"> </w:t>
      </w:r>
    </w:p>
    <w:p w:rsidR="000B69FC" w:rsidRDefault="000B69FC" w:rsidP="000B69FC">
      <w:pPr>
        <w:rPr>
          <w:szCs w:val="20"/>
        </w:rPr>
      </w:pPr>
      <w:r>
        <w:rPr>
          <w:szCs w:val="20"/>
        </w:rPr>
        <w:lastRenderedPageBreak/>
        <w:t>I</w:t>
      </w:r>
      <w:r w:rsidR="002219FA" w:rsidRPr="002219FA">
        <w:rPr>
          <w:szCs w:val="20"/>
        </w:rPr>
        <w:t xml:space="preserve">nvestment intentions outside the mining sector appear to have weakened since September. Risks to </w:t>
      </w:r>
      <w:r w:rsidR="008974CD" w:rsidRPr="00B86570">
        <w:rPr>
          <w:szCs w:val="20"/>
        </w:rPr>
        <w:t xml:space="preserve">the </w:t>
      </w:r>
      <w:r w:rsidR="002219FA" w:rsidRPr="00B86570">
        <w:rPr>
          <w:szCs w:val="20"/>
        </w:rPr>
        <w:t xml:space="preserve">global economic </w:t>
      </w:r>
      <w:r w:rsidR="008974CD" w:rsidRPr="00B86570">
        <w:rPr>
          <w:szCs w:val="20"/>
        </w:rPr>
        <w:t>outlook</w:t>
      </w:r>
      <w:r w:rsidR="002219FA" w:rsidRPr="00B86570">
        <w:rPr>
          <w:szCs w:val="20"/>
        </w:rPr>
        <w:t>, shifting household expenditure patterns and the high exchange rate all continue to weigh on the conf</w:t>
      </w:r>
      <w:r w:rsidR="00CD76FD" w:rsidRPr="00B86570">
        <w:rPr>
          <w:szCs w:val="20"/>
        </w:rPr>
        <w:t>idence of businesses.</w:t>
      </w:r>
      <w:r w:rsidR="00B86570">
        <w:rPr>
          <w:szCs w:val="20"/>
        </w:rPr>
        <w:t xml:space="preserve"> The</w:t>
      </w:r>
      <w:r w:rsidR="000111F8" w:rsidRPr="00B86570">
        <w:rPr>
          <w:szCs w:val="20"/>
        </w:rPr>
        <w:t xml:space="preserve"> September</w:t>
      </w:r>
      <w:r w:rsidR="00CD76FD" w:rsidRPr="00B86570">
        <w:rPr>
          <w:szCs w:val="20"/>
        </w:rPr>
        <w:t xml:space="preserve"> quarter 2012 ABS CAPEX </w:t>
      </w:r>
      <w:r w:rsidR="00A22D06">
        <w:rPr>
          <w:szCs w:val="20"/>
        </w:rPr>
        <w:t xml:space="preserve">survey </w:t>
      </w:r>
      <w:r w:rsidR="00B86570">
        <w:rPr>
          <w:szCs w:val="20"/>
        </w:rPr>
        <w:t>prese</w:t>
      </w:r>
      <w:r w:rsidR="00E94659">
        <w:rPr>
          <w:szCs w:val="20"/>
        </w:rPr>
        <w:t>nted few signs of a recovery of investment</w:t>
      </w:r>
      <w:r w:rsidR="00B86570">
        <w:rPr>
          <w:szCs w:val="20"/>
        </w:rPr>
        <w:t xml:space="preserve"> outside the mining sector</w:t>
      </w:r>
      <w:r w:rsidR="00814FDF">
        <w:rPr>
          <w:szCs w:val="20"/>
        </w:rPr>
        <w:t>, consistent with other business survey measures</w:t>
      </w:r>
      <w:r w:rsidR="005C655F" w:rsidRPr="00B86570">
        <w:rPr>
          <w:szCs w:val="20"/>
        </w:rPr>
        <w:t xml:space="preserve">. </w:t>
      </w:r>
      <w:r w:rsidR="002D2B00" w:rsidRPr="00B86570">
        <w:rPr>
          <w:szCs w:val="20"/>
        </w:rPr>
        <w:t>Nevertheless</w:t>
      </w:r>
      <w:r w:rsidR="00B86570">
        <w:rPr>
          <w:szCs w:val="20"/>
        </w:rPr>
        <w:t>, non-mining investment</w:t>
      </w:r>
      <w:r w:rsidRPr="00B86570">
        <w:rPr>
          <w:szCs w:val="20"/>
        </w:rPr>
        <w:t xml:space="preserve"> is still expected to pick up toward</w:t>
      </w:r>
      <w:r>
        <w:rPr>
          <w:szCs w:val="20"/>
        </w:rPr>
        <w:t xml:space="preserve"> the end of the forecast period </w:t>
      </w:r>
      <w:r w:rsidRPr="002219FA">
        <w:rPr>
          <w:szCs w:val="20"/>
        </w:rPr>
        <w:t xml:space="preserve">as low interest rates support a recovery in </w:t>
      </w:r>
      <w:r w:rsidR="00047628">
        <w:rPr>
          <w:szCs w:val="20"/>
        </w:rPr>
        <w:t>non-mining</w:t>
      </w:r>
      <w:r w:rsidR="002D2B00">
        <w:rPr>
          <w:szCs w:val="20"/>
        </w:rPr>
        <w:t xml:space="preserve"> construction</w:t>
      </w:r>
      <w:r w:rsidRPr="002219FA">
        <w:rPr>
          <w:szCs w:val="20"/>
        </w:rPr>
        <w:t>,</w:t>
      </w:r>
      <w:r w:rsidR="002D2B00">
        <w:rPr>
          <w:szCs w:val="20"/>
        </w:rPr>
        <w:t xml:space="preserve"> and as firms</w:t>
      </w:r>
      <w:r w:rsidR="00B86570">
        <w:rPr>
          <w:szCs w:val="20"/>
        </w:rPr>
        <w:t xml:space="preserve"> move from maintaining current capital stocks to acquiring new machinery and equipment to support the expansion of activity.</w:t>
      </w:r>
    </w:p>
    <w:p w:rsidR="00EE174B" w:rsidRDefault="00EE174B" w:rsidP="00EE174B">
      <w:r>
        <w:t>Dwelling investment is expected to stage a recovery over the forecast period, with low interest rates, strong population growth, rising rental yields and low vacancy rates all driving an improvement in residential construction activity. However, while these fundamentals support a pick</w:t>
      </w:r>
      <w:r>
        <w:noBreakHyphen/>
        <w:t xml:space="preserve">up in the demand for housing, </w:t>
      </w:r>
      <w:r w:rsidR="004142A8">
        <w:t xml:space="preserve">continued </w:t>
      </w:r>
      <w:r w:rsidR="00814FDF">
        <w:t>household</w:t>
      </w:r>
      <w:r>
        <w:t xml:space="preserve"> c</w:t>
      </w:r>
      <w:r w:rsidR="00047628">
        <w:t>aution around debt accumulation,</w:t>
      </w:r>
      <w:r>
        <w:t xml:space="preserve"> coupled with concerns about </w:t>
      </w:r>
      <w:r w:rsidR="000157E8">
        <w:t xml:space="preserve">housing affordability, </w:t>
      </w:r>
      <w:r>
        <w:t xml:space="preserve">job security and ongoing global volatility pose risks to this recovery. </w:t>
      </w:r>
    </w:p>
    <w:p w:rsidR="00AF75E3" w:rsidRDefault="004B51AF" w:rsidP="00AF75E3">
      <w:pPr>
        <w:rPr>
          <w:szCs w:val="20"/>
        </w:rPr>
      </w:pPr>
      <w:r>
        <w:rPr>
          <w:szCs w:val="20"/>
        </w:rPr>
        <w:t>Growth</w:t>
      </w:r>
      <w:r w:rsidR="00AF75E3" w:rsidRPr="002219FA">
        <w:rPr>
          <w:szCs w:val="20"/>
        </w:rPr>
        <w:t xml:space="preserve"> in household consumption will continue to </w:t>
      </w:r>
      <w:r w:rsidR="00DE7771">
        <w:rPr>
          <w:szCs w:val="20"/>
        </w:rPr>
        <w:t>support</w:t>
      </w:r>
      <w:r w:rsidR="00AF75E3" w:rsidRPr="002219FA">
        <w:rPr>
          <w:szCs w:val="20"/>
        </w:rPr>
        <w:t xml:space="preserve"> economic grow</w:t>
      </w:r>
      <w:r w:rsidR="00C4664F">
        <w:rPr>
          <w:szCs w:val="20"/>
        </w:rPr>
        <w:t>th across the forecast period</w:t>
      </w:r>
      <w:r w:rsidR="000157E8">
        <w:rPr>
          <w:szCs w:val="20"/>
        </w:rPr>
        <w:t>, underpinned by moderate growth in both employment and wages</w:t>
      </w:r>
      <w:r w:rsidR="00C4664F">
        <w:rPr>
          <w:szCs w:val="20"/>
        </w:rPr>
        <w:t xml:space="preserve">. </w:t>
      </w:r>
      <w:r w:rsidR="00AF75E3" w:rsidRPr="002219FA">
        <w:rPr>
          <w:szCs w:val="20"/>
        </w:rPr>
        <w:t>However, household consumption growth has been slightly downgraded in 2012-13 following a weaker</w:t>
      </w:r>
      <w:r w:rsidR="00AF75E3" w:rsidRPr="002219FA">
        <w:rPr>
          <w:szCs w:val="20"/>
        </w:rPr>
        <w:noBreakHyphen/>
        <w:t>than</w:t>
      </w:r>
      <w:r w:rsidR="00AF75E3" w:rsidRPr="002219FA">
        <w:rPr>
          <w:szCs w:val="20"/>
        </w:rPr>
        <w:noBreakHyphen/>
        <w:t>expe</w:t>
      </w:r>
      <w:r w:rsidR="002C07B9">
        <w:rPr>
          <w:szCs w:val="20"/>
        </w:rPr>
        <w:t xml:space="preserve">cted September quarter outcome. </w:t>
      </w:r>
      <w:r w:rsidR="00AF75E3" w:rsidRPr="002219FA">
        <w:rPr>
          <w:szCs w:val="20"/>
        </w:rPr>
        <w:t>The household saving ratio is expected to remain elevated over the forecast period, as households continue to rely on saving rather than capital gains to strengthen their balance sheets.</w:t>
      </w:r>
    </w:p>
    <w:p w:rsidR="002D6310" w:rsidRDefault="002D6310" w:rsidP="002219FA">
      <w:pPr>
        <w:rPr>
          <w:szCs w:val="20"/>
        </w:rPr>
      </w:pPr>
      <w:r w:rsidRPr="002D6310">
        <w:rPr>
          <w:szCs w:val="20"/>
        </w:rPr>
        <w:t xml:space="preserve">Export growth forecasts have been upgraded across the forecast period, driven largely by an improved outlook for non-rural commodity volumes. </w:t>
      </w:r>
      <w:r w:rsidR="00814FDF">
        <w:rPr>
          <w:szCs w:val="20"/>
        </w:rPr>
        <w:t>Growth in e</w:t>
      </w:r>
      <w:r w:rsidRPr="002D6310">
        <w:rPr>
          <w:szCs w:val="20"/>
        </w:rPr>
        <w:t xml:space="preserve">xport volumes </w:t>
      </w:r>
      <w:r w:rsidR="00814FDF">
        <w:rPr>
          <w:szCs w:val="20"/>
        </w:rPr>
        <w:t>is</w:t>
      </w:r>
      <w:r w:rsidRPr="002D6310">
        <w:rPr>
          <w:szCs w:val="20"/>
        </w:rPr>
        <w:t xml:space="preserve"> expected to </w:t>
      </w:r>
      <w:r w:rsidR="00814FDF">
        <w:rPr>
          <w:szCs w:val="20"/>
        </w:rPr>
        <w:t>strengthen further</w:t>
      </w:r>
      <w:r w:rsidRPr="002D6310">
        <w:rPr>
          <w:szCs w:val="20"/>
        </w:rPr>
        <w:t xml:space="preserve"> in 2014-15 as the shift from </w:t>
      </w:r>
      <w:r w:rsidR="00814FDF">
        <w:rPr>
          <w:szCs w:val="20"/>
        </w:rPr>
        <w:t xml:space="preserve">resources sector </w:t>
      </w:r>
      <w:r w:rsidRPr="002D6310">
        <w:rPr>
          <w:szCs w:val="20"/>
        </w:rPr>
        <w:t>construction to production gathers pace.</w:t>
      </w:r>
      <w:r w:rsidR="00814FDF">
        <w:rPr>
          <w:szCs w:val="20"/>
        </w:rPr>
        <w:t xml:space="preserve"> The level of imports is</w:t>
      </w:r>
      <w:r w:rsidRPr="002D6310">
        <w:rPr>
          <w:szCs w:val="20"/>
        </w:rPr>
        <w:t xml:space="preserve"> forecast</w:t>
      </w:r>
      <w:r w:rsidR="00814FDF">
        <w:rPr>
          <w:szCs w:val="20"/>
        </w:rPr>
        <w:t xml:space="preserve"> to remain high</w:t>
      </w:r>
      <w:r w:rsidRPr="002D6310">
        <w:rPr>
          <w:szCs w:val="20"/>
        </w:rPr>
        <w:t xml:space="preserve"> in 2012-13 and 2013-14, reflecting </w:t>
      </w:r>
      <w:r w:rsidR="00814FDF">
        <w:rPr>
          <w:szCs w:val="20"/>
        </w:rPr>
        <w:t>continued</w:t>
      </w:r>
      <w:r w:rsidRPr="002D6310">
        <w:rPr>
          <w:szCs w:val="20"/>
        </w:rPr>
        <w:t xml:space="preserve"> import-intensive LNG investment </w:t>
      </w:r>
      <w:r w:rsidR="004B51AF">
        <w:rPr>
          <w:szCs w:val="20"/>
        </w:rPr>
        <w:t xml:space="preserve">over those years. </w:t>
      </w:r>
      <w:r w:rsidR="00814FDF">
        <w:rPr>
          <w:szCs w:val="20"/>
        </w:rPr>
        <w:t>Growth in imports i</w:t>
      </w:r>
      <w:r w:rsidRPr="002D6310">
        <w:rPr>
          <w:szCs w:val="20"/>
        </w:rPr>
        <w:t xml:space="preserve">s </w:t>
      </w:r>
      <w:r w:rsidR="000157E8">
        <w:rPr>
          <w:szCs w:val="20"/>
        </w:rPr>
        <w:t xml:space="preserve">then </w:t>
      </w:r>
      <w:r w:rsidRPr="002D6310">
        <w:rPr>
          <w:szCs w:val="20"/>
        </w:rPr>
        <w:t>expected to slow sharply in 2014-15 as some large</w:t>
      </w:r>
      <w:r w:rsidR="000157E8">
        <w:rPr>
          <w:szCs w:val="20"/>
        </w:rPr>
        <w:t xml:space="preserve"> mining</w:t>
      </w:r>
      <w:r w:rsidRPr="002D6310">
        <w:rPr>
          <w:szCs w:val="20"/>
        </w:rPr>
        <w:t xml:space="preserve"> construction projects reach completion.</w:t>
      </w:r>
    </w:p>
    <w:p w:rsidR="002D6310" w:rsidRPr="002219FA" w:rsidRDefault="002D6310" w:rsidP="002D6310">
      <w:pPr>
        <w:rPr>
          <w:szCs w:val="20"/>
        </w:rPr>
      </w:pPr>
      <w:r>
        <w:rPr>
          <w:szCs w:val="20"/>
        </w:rPr>
        <w:t>After falling sharply in July and August, n</w:t>
      </w:r>
      <w:r w:rsidRPr="002219FA">
        <w:rPr>
          <w:szCs w:val="20"/>
        </w:rPr>
        <w:t>on-rural commodity prices</w:t>
      </w:r>
      <w:r w:rsidR="000157E8">
        <w:rPr>
          <w:szCs w:val="20"/>
        </w:rPr>
        <w:t xml:space="preserve"> have since</w:t>
      </w:r>
      <w:r>
        <w:rPr>
          <w:szCs w:val="20"/>
        </w:rPr>
        <w:t xml:space="preserve"> recovered</w:t>
      </w:r>
      <w:r w:rsidR="000157E8">
        <w:rPr>
          <w:szCs w:val="20"/>
        </w:rPr>
        <w:t xml:space="preserve"> some of the</w:t>
      </w:r>
      <w:r>
        <w:rPr>
          <w:szCs w:val="20"/>
        </w:rPr>
        <w:t xml:space="preserve"> lost ground</w:t>
      </w:r>
      <w:r w:rsidRPr="002219FA">
        <w:rPr>
          <w:szCs w:val="20"/>
        </w:rPr>
        <w:t xml:space="preserve">. </w:t>
      </w:r>
      <w:r w:rsidR="0036123E">
        <w:rPr>
          <w:szCs w:val="20"/>
        </w:rPr>
        <w:t xml:space="preserve">Iron ore spot prices recovered following the stabilisation of China’s steel sector and mill restocking, however coal prices are </w:t>
      </w:r>
      <w:r w:rsidR="00B86570">
        <w:rPr>
          <w:szCs w:val="20"/>
        </w:rPr>
        <w:t xml:space="preserve">yet </w:t>
      </w:r>
      <w:r w:rsidR="0036123E">
        <w:rPr>
          <w:szCs w:val="20"/>
        </w:rPr>
        <w:t xml:space="preserve">to recover as </w:t>
      </w:r>
      <w:r w:rsidR="000157E8">
        <w:rPr>
          <w:szCs w:val="20"/>
        </w:rPr>
        <w:t>expected</w:t>
      </w:r>
      <w:r w:rsidR="0036123E">
        <w:rPr>
          <w:szCs w:val="20"/>
        </w:rPr>
        <w:t>.</w:t>
      </w:r>
      <w:r w:rsidRPr="002219FA">
        <w:rPr>
          <w:szCs w:val="20"/>
        </w:rPr>
        <w:t xml:space="preserve"> </w:t>
      </w:r>
      <w:r>
        <w:rPr>
          <w:szCs w:val="20"/>
        </w:rPr>
        <w:t>Given the weaker</w:t>
      </w:r>
      <w:r>
        <w:rPr>
          <w:szCs w:val="20"/>
        </w:rPr>
        <w:noBreakHyphen/>
        <w:t>than</w:t>
      </w:r>
      <w:r>
        <w:rPr>
          <w:szCs w:val="20"/>
        </w:rPr>
        <w:noBreakHyphen/>
      </w:r>
      <w:r w:rsidRPr="002219FA">
        <w:rPr>
          <w:szCs w:val="20"/>
        </w:rPr>
        <w:t>anticipated recovery in non-rural commodity export prices, the terms of trade have been downgraded slightly in 2012-13</w:t>
      </w:r>
      <w:r>
        <w:rPr>
          <w:szCs w:val="20"/>
        </w:rPr>
        <w:t>.</w:t>
      </w:r>
    </w:p>
    <w:p w:rsidR="002219FA" w:rsidRDefault="00E0128D" w:rsidP="002219FA">
      <w:pPr>
        <w:rPr>
          <w:szCs w:val="20"/>
        </w:rPr>
      </w:pPr>
      <w:r w:rsidRPr="0036123E">
        <w:rPr>
          <w:szCs w:val="20"/>
        </w:rPr>
        <w:t xml:space="preserve">Nominal GDP growth for </w:t>
      </w:r>
      <w:r w:rsidR="002C07B9" w:rsidRPr="0036123E">
        <w:rPr>
          <w:szCs w:val="20"/>
        </w:rPr>
        <w:t>2012</w:t>
      </w:r>
      <w:r w:rsidR="002C07B9" w:rsidRPr="0036123E">
        <w:rPr>
          <w:szCs w:val="20"/>
        </w:rPr>
        <w:noBreakHyphen/>
        <w:t>13 has been downgraded by ¾ of a</w:t>
      </w:r>
      <w:r w:rsidRPr="0036123E">
        <w:rPr>
          <w:szCs w:val="20"/>
        </w:rPr>
        <w:t xml:space="preserve"> percentage point to 3</w:t>
      </w:r>
      <w:r w:rsidR="002C07B9" w:rsidRPr="0036123E">
        <w:rPr>
          <w:szCs w:val="20"/>
        </w:rPr>
        <w:t>¼</w:t>
      </w:r>
      <w:r w:rsidRPr="0036123E">
        <w:rPr>
          <w:szCs w:val="20"/>
        </w:rPr>
        <w:t xml:space="preserve"> per cent, c</w:t>
      </w:r>
      <w:r w:rsidR="002219FA" w:rsidRPr="0036123E">
        <w:rPr>
          <w:szCs w:val="20"/>
        </w:rPr>
        <w:t>onsistent with</w:t>
      </w:r>
      <w:r w:rsidR="00E94659" w:rsidRPr="00E94659">
        <w:rPr>
          <w:szCs w:val="20"/>
        </w:rPr>
        <w:t xml:space="preserve"> </w:t>
      </w:r>
      <w:r w:rsidR="00E94659">
        <w:rPr>
          <w:szCs w:val="20"/>
        </w:rPr>
        <w:t xml:space="preserve">the </w:t>
      </w:r>
      <w:r w:rsidR="00E94659" w:rsidRPr="0036123E">
        <w:rPr>
          <w:szCs w:val="20"/>
        </w:rPr>
        <w:t>weaker-than-expected investment deflators in the September quarter</w:t>
      </w:r>
      <w:r w:rsidR="000157E8">
        <w:rPr>
          <w:szCs w:val="20"/>
        </w:rPr>
        <w:t xml:space="preserve"> and</w:t>
      </w:r>
      <w:r w:rsidR="0036123E">
        <w:rPr>
          <w:szCs w:val="20"/>
        </w:rPr>
        <w:t xml:space="preserve"> the</w:t>
      </w:r>
      <w:r w:rsidR="00E94659">
        <w:rPr>
          <w:szCs w:val="20"/>
        </w:rPr>
        <w:t xml:space="preserve"> slightly weaker terms of trade. </w:t>
      </w:r>
      <w:r w:rsidR="00143827">
        <w:rPr>
          <w:szCs w:val="20"/>
        </w:rPr>
        <w:t>Nominal GDP growth for 2013-14 has been revised down to 5¼ per cent, largely reflecting the</w:t>
      </w:r>
      <w:r w:rsidR="00FF4529" w:rsidRPr="0036123E">
        <w:rPr>
          <w:szCs w:val="20"/>
        </w:rPr>
        <w:t xml:space="preserve"> downward revision </w:t>
      </w:r>
      <w:r w:rsidR="00143827">
        <w:rPr>
          <w:szCs w:val="20"/>
        </w:rPr>
        <w:t>to</w:t>
      </w:r>
      <w:r w:rsidR="002219FA" w:rsidRPr="0036123E">
        <w:rPr>
          <w:szCs w:val="20"/>
        </w:rPr>
        <w:t xml:space="preserve"> real GDP growth</w:t>
      </w:r>
      <w:r w:rsidR="00143827">
        <w:rPr>
          <w:szCs w:val="20"/>
        </w:rPr>
        <w:t xml:space="preserve"> in that year</w:t>
      </w:r>
      <w:r w:rsidR="002219FA" w:rsidRPr="0036123E">
        <w:rPr>
          <w:szCs w:val="20"/>
        </w:rPr>
        <w:t>. In 2014-15, nominal GDP growth is expected to mode</w:t>
      </w:r>
      <w:r w:rsidRPr="0036123E">
        <w:rPr>
          <w:szCs w:val="20"/>
        </w:rPr>
        <w:t>rate to 4¼ per cent, reflecting</w:t>
      </w:r>
      <w:r w:rsidR="008974CD" w:rsidRPr="0036123E">
        <w:rPr>
          <w:szCs w:val="20"/>
        </w:rPr>
        <w:t xml:space="preserve"> below-trend real GDP growth</w:t>
      </w:r>
      <w:r w:rsidR="005D2665" w:rsidRPr="0036123E">
        <w:rPr>
          <w:szCs w:val="20"/>
        </w:rPr>
        <w:t>,</w:t>
      </w:r>
      <w:r w:rsidR="008974CD" w:rsidRPr="0036123E">
        <w:rPr>
          <w:szCs w:val="20"/>
        </w:rPr>
        <w:t xml:space="preserve"> </w:t>
      </w:r>
      <w:r w:rsidR="0036123E" w:rsidRPr="0036123E">
        <w:rPr>
          <w:szCs w:val="20"/>
        </w:rPr>
        <w:t>a steadily</w:t>
      </w:r>
      <w:r w:rsidR="009B7B0E">
        <w:rPr>
          <w:szCs w:val="20"/>
        </w:rPr>
        <w:t xml:space="preserve"> </w:t>
      </w:r>
      <w:r w:rsidR="00794653">
        <w:rPr>
          <w:szCs w:val="20"/>
        </w:rPr>
        <w:t xml:space="preserve">falling terms </w:t>
      </w:r>
      <w:r w:rsidR="005D2665" w:rsidRPr="0036123E">
        <w:rPr>
          <w:szCs w:val="20"/>
        </w:rPr>
        <w:t>of</w:t>
      </w:r>
      <w:r w:rsidR="00794653">
        <w:rPr>
          <w:szCs w:val="20"/>
        </w:rPr>
        <w:t xml:space="preserve"> </w:t>
      </w:r>
      <w:r w:rsidR="005D2665" w:rsidRPr="0036123E">
        <w:rPr>
          <w:szCs w:val="20"/>
        </w:rPr>
        <w:t xml:space="preserve">trade, and </w:t>
      </w:r>
      <w:r w:rsidR="00FF4529" w:rsidRPr="0036123E">
        <w:rPr>
          <w:szCs w:val="20"/>
        </w:rPr>
        <w:t xml:space="preserve">continued weakness in </w:t>
      </w:r>
      <w:r w:rsidR="008974CD" w:rsidRPr="0036123E">
        <w:rPr>
          <w:szCs w:val="20"/>
        </w:rPr>
        <w:t xml:space="preserve">domestic </w:t>
      </w:r>
      <w:r w:rsidR="00035E67">
        <w:rPr>
          <w:szCs w:val="20"/>
        </w:rPr>
        <w:t>price growth</w:t>
      </w:r>
      <w:r w:rsidR="008974CD" w:rsidRPr="0036123E">
        <w:rPr>
          <w:szCs w:val="20"/>
        </w:rPr>
        <w:t>.</w:t>
      </w:r>
      <w:r w:rsidR="00143827">
        <w:rPr>
          <w:szCs w:val="20"/>
        </w:rPr>
        <w:t xml:space="preserve"> Nominal GDP growth is forecast to remain well below its 30</w:t>
      </w:r>
      <w:r w:rsidR="00143827">
        <w:rPr>
          <w:szCs w:val="20"/>
        </w:rPr>
        <w:noBreakHyphen/>
        <w:t>year average annual growth rate of around 7¼ per cent.</w:t>
      </w:r>
    </w:p>
    <w:p w:rsidR="002219FA" w:rsidRPr="00240EC4" w:rsidRDefault="002219FA" w:rsidP="00240EC4">
      <w:pPr>
        <w:pStyle w:val="Dash"/>
        <w:keepNext/>
        <w:spacing w:line="240" w:lineRule="auto"/>
        <w:ind w:left="0" w:firstLine="0"/>
        <w:jc w:val="center"/>
        <w:rPr>
          <w:rFonts w:ascii="Tahoma" w:hAnsi="Tahoma" w:cs="Tahoma"/>
          <w:b/>
        </w:rPr>
      </w:pPr>
      <w:r w:rsidRPr="00240EC4">
        <w:rPr>
          <w:rFonts w:ascii="Tahoma" w:hAnsi="Tahoma" w:cs="Tahoma"/>
          <w:b/>
        </w:rPr>
        <w:lastRenderedPageBreak/>
        <w:t>Chart 1: Decomposition of nominal GDP growth</w:t>
      </w:r>
    </w:p>
    <w:p w:rsidR="002219FA" w:rsidRPr="008502D1" w:rsidRDefault="00985325" w:rsidP="002219FA">
      <w:pPr>
        <w:pStyle w:val="TableGraphic0"/>
      </w:pPr>
      <w:r>
        <w:pict>
          <v:shape id="_x0000_i1026" type="#_x0000_t75" style="width:439.95pt;height:225.8pt">
            <v:imagedata r:id="rId17" o:title=""/>
          </v:shape>
        </w:pict>
      </w:r>
    </w:p>
    <w:p w:rsidR="002219FA" w:rsidRDefault="002219FA" w:rsidP="002219FA">
      <w:pPr>
        <w:spacing w:after="0"/>
        <w:rPr>
          <w:rFonts w:ascii="Tahoma" w:hAnsi="Tahoma" w:cs="Tahoma"/>
          <w:sz w:val="16"/>
          <w:szCs w:val="16"/>
        </w:rPr>
      </w:pPr>
      <w:r w:rsidRPr="00CB48EA">
        <w:rPr>
          <w:rFonts w:ascii="Tahoma" w:hAnsi="Tahoma" w:cs="Tahoma"/>
          <w:sz w:val="16"/>
          <w:szCs w:val="16"/>
        </w:rPr>
        <w:t>Source:</w:t>
      </w:r>
      <w:r w:rsidRPr="00C0092F">
        <w:rPr>
          <w:rFonts w:ascii="Tahoma" w:hAnsi="Tahoma" w:cs="Tahoma"/>
          <w:sz w:val="16"/>
          <w:szCs w:val="16"/>
        </w:rPr>
        <w:t xml:space="preserve">  </w:t>
      </w:r>
      <w:smartTag w:uri="urn:schemas-microsoft-com:office:smarttags" w:element="stockticker">
        <w:r w:rsidRPr="00CB48EA">
          <w:rPr>
            <w:rFonts w:ascii="Tahoma" w:hAnsi="Tahoma" w:cs="Tahoma"/>
            <w:sz w:val="16"/>
            <w:szCs w:val="16"/>
          </w:rPr>
          <w:t>ABS</w:t>
        </w:r>
      </w:smartTag>
      <w:r w:rsidRPr="00CB48EA">
        <w:rPr>
          <w:rFonts w:ascii="Tahoma" w:hAnsi="Tahoma" w:cs="Tahoma"/>
          <w:sz w:val="16"/>
          <w:szCs w:val="16"/>
        </w:rPr>
        <w:t xml:space="preserve"> Catalogue Number </w:t>
      </w:r>
      <w:r>
        <w:rPr>
          <w:rFonts w:ascii="Tahoma" w:hAnsi="Tahoma" w:cs="Tahoma"/>
          <w:sz w:val="16"/>
          <w:szCs w:val="16"/>
        </w:rPr>
        <w:t>5206</w:t>
      </w:r>
      <w:r w:rsidRPr="00CB48EA">
        <w:rPr>
          <w:rFonts w:ascii="Tahoma" w:hAnsi="Tahoma" w:cs="Tahoma"/>
          <w:sz w:val="16"/>
          <w:szCs w:val="16"/>
        </w:rPr>
        <w:t>.0 and Treasury.</w:t>
      </w:r>
    </w:p>
    <w:p w:rsidR="00240EC4" w:rsidRDefault="00240EC4" w:rsidP="002219FA">
      <w:pPr>
        <w:spacing w:after="0"/>
        <w:rPr>
          <w:rFonts w:ascii="Tahoma" w:hAnsi="Tahoma" w:cs="Tahoma"/>
          <w:sz w:val="16"/>
          <w:szCs w:val="16"/>
        </w:rPr>
      </w:pPr>
    </w:p>
    <w:p w:rsidR="00240EC4" w:rsidRPr="001921FE" w:rsidRDefault="005D2665" w:rsidP="00240EC4">
      <w:pPr>
        <w:rPr>
          <w:szCs w:val="20"/>
        </w:rPr>
      </w:pPr>
      <w:r>
        <w:rPr>
          <w:szCs w:val="20"/>
        </w:rPr>
        <w:t>Forecast</w:t>
      </w:r>
      <w:r w:rsidR="00D51AEF">
        <w:rPr>
          <w:szCs w:val="20"/>
        </w:rPr>
        <w:t xml:space="preserve"> employment growth </w:t>
      </w:r>
      <w:r w:rsidR="00126B2C">
        <w:rPr>
          <w:szCs w:val="20"/>
        </w:rPr>
        <w:t>remains</w:t>
      </w:r>
      <w:r w:rsidR="00126B2C" w:rsidRPr="001921FE">
        <w:rPr>
          <w:szCs w:val="20"/>
        </w:rPr>
        <w:t xml:space="preserve"> </w:t>
      </w:r>
      <w:r w:rsidR="00814FDF">
        <w:rPr>
          <w:szCs w:val="20"/>
        </w:rPr>
        <w:t>unchanged</w:t>
      </w:r>
      <w:r w:rsidR="00126B2C">
        <w:rPr>
          <w:szCs w:val="20"/>
        </w:rPr>
        <w:t>.</w:t>
      </w:r>
      <w:r>
        <w:rPr>
          <w:szCs w:val="20"/>
        </w:rPr>
        <w:t xml:space="preserve"> </w:t>
      </w:r>
      <w:r w:rsidR="00240EC4" w:rsidRPr="001921FE">
        <w:rPr>
          <w:szCs w:val="20"/>
        </w:rPr>
        <w:t>The unemployment rate is forecast to rise from 5.2</w:t>
      </w:r>
      <w:r w:rsidR="00DF11DD">
        <w:rPr>
          <w:szCs w:val="20"/>
        </w:rPr>
        <w:t> </w:t>
      </w:r>
      <w:r w:rsidR="00240EC4" w:rsidRPr="001921FE">
        <w:rPr>
          <w:szCs w:val="20"/>
        </w:rPr>
        <w:t xml:space="preserve">per cent in November </w:t>
      </w:r>
      <w:r w:rsidR="00FF4529">
        <w:rPr>
          <w:szCs w:val="20"/>
        </w:rPr>
        <w:t xml:space="preserve">2012 </w:t>
      </w:r>
      <w:r w:rsidR="002C07B9">
        <w:rPr>
          <w:szCs w:val="20"/>
        </w:rPr>
        <w:t>to 5½ </w:t>
      </w:r>
      <w:r w:rsidR="005E7002">
        <w:rPr>
          <w:szCs w:val="20"/>
        </w:rPr>
        <w:t>per cent in the June quarter</w:t>
      </w:r>
      <w:r w:rsidR="008959BB">
        <w:rPr>
          <w:szCs w:val="20"/>
        </w:rPr>
        <w:t xml:space="preserve"> of</w:t>
      </w:r>
      <w:r w:rsidR="00240EC4" w:rsidRPr="001921FE">
        <w:rPr>
          <w:szCs w:val="20"/>
        </w:rPr>
        <w:t xml:space="preserve"> 2013. </w:t>
      </w:r>
      <w:r w:rsidR="00E75D6E" w:rsidRPr="001921FE">
        <w:rPr>
          <w:szCs w:val="20"/>
        </w:rPr>
        <w:t xml:space="preserve">With employment growth </w:t>
      </w:r>
      <w:r w:rsidR="00814FDF">
        <w:rPr>
          <w:szCs w:val="20"/>
        </w:rPr>
        <w:t xml:space="preserve">expected to </w:t>
      </w:r>
      <w:r w:rsidR="00E75D6E" w:rsidRPr="001921FE">
        <w:rPr>
          <w:szCs w:val="20"/>
        </w:rPr>
        <w:t>remain</w:t>
      </w:r>
      <w:r w:rsidR="00A65CB1">
        <w:rPr>
          <w:szCs w:val="20"/>
        </w:rPr>
        <w:t xml:space="preserve"> below-</w:t>
      </w:r>
      <w:r w:rsidR="00814FDF">
        <w:rPr>
          <w:szCs w:val="20"/>
        </w:rPr>
        <w:t>trend</w:t>
      </w:r>
      <w:r w:rsidR="00E75D6E" w:rsidRPr="001921FE">
        <w:rPr>
          <w:szCs w:val="20"/>
        </w:rPr>
        <w:t xml:space="preserve"> </w:t>
      </w:r>
      <w:r w:rsidR="00240EC4" w:rsidRPr="001921FE">
        <w:rPr>
          <w:szCs w:val="20"/>
        </w:rPr>
        <w:t>through 2013-14</w:t>
      </w:r>
      <w:r w:rsidR="00A65CB1">
        <w:rPr>
          <w:szCs w:val="20"/>
        </w:rPr>
        <w:t xml:space="preserve"> and 2014-15</w:t>
      </w:r>
      <w:r w:rsidR="00240EC4" w:rsidRPr="001921FE">
        <w:rPr>
          <w:szCs w:val="20"/>
        </w:rPr>
        <w:t>, the unemployment rate is expected to drift higher to 5¾ per cent</w:t>
      </w:r>
      <w:r w:rsidR="005E7002">
        <w:rPr>
          <w:szCs w:val="20"/>
        </w:rPr>
        <w:t xml:space="preserve"> by the June quarter</w:t>
      </w:r>
      <w:r w:rsidR="00A65CB1">
        <w:rPr>
          <w:szCs w:val="20"/>
        </w:rPr>
        <w:t xml:space="preserve"> </w:t>
      </w:r>
      <w:r w:rsidR="008959BB">
        <w:rPr>
          <w:szCs w:val="20"/>
        </w:rPr>
        <w:t xml:space="preserve">of </w:t>
      </w:r>
      <w:r w:rsidR="00A65CB1">
        <w:rPr>
          <w:szCs w:val="20"/>
        </w:rPr>
        <w:t>2014</w:t>
      </w:r>
      <w:r w:rsidR="00240EC4" w:rsidRPr="001921FE">
        <w:rPr>
          <w:szCs w:val="20"/>
        </w:rPr>
        <w:t xml:space="preserve">, and then to 6 </w:t>
      </w:r>
      <w:r w:rsidR="005E7002">
        <w:rPr>
          <w:szCs w:val="20"/>
        </w:rPr>
        <w:t>per cent by the June quarter</w:t>
      </w:r>
      <w:r w:rsidR="008959BB">
        <w:rPr>
          <w:szCs w:val="20"/>
        </w:rPr>
        <w:t xml:space="preserve"> of</w:t>
      </w:r>
      <w:r w:rsidR="005E7002">
        <w:rPr>
          <w:szCs w:val="20"/>
        </w:rPr>
        <w:t xml:space="preserve"> </w:t>
      </w:r>
      <w:r w:rsidR="00240EC4" w:rsidRPr="001921FE">
        <w:rPr>
          <w:szCs w:val="20"/>
        </w:rPr>
        <w:t>2015.</w:t>
      </w:r>
      <w:r w:rsidR="00E75D6E" w:rsidRPr="001921FE">
        <w:rPr>
          <w:szCs w:val="20"/>
        </w:rPr>
        <w:t xml:space="preserve"> The participation rate is assumed to remain unchanged</w:t>
      </w:r>
      <w:r w:rsidR="00AF75E3">
        <w:rPr>
          <w:szCs w:val="20"/>
        </w:rPr>
        <w:t xml:space="preserve"> over the forecast period at 65</w:t>
      </w:r>
      <w:r w:rsidR="00814FDF">
        <w:rPr>
          <w:szCs w:val="20"/>
        </w:rPr>
        <w:t xml:space="preserve">¼ per cent, notwithstanding </w:t>
      </w:r>
      <w:r w:rsidR="00A65CB1">
        <w:rPr>
          <w:szCs w:val="20"/>
        </w:rPr>
        <w:t>continued downward pressure from the ag</w:t>
      </w:r>
      <w:r w:rsidR="00DF11DD">
        <w:rPr>
          <w:szCs w:val="20"/>
        </w:rPr>
        <w:t>e</w:t>
      </w:r>
      <w:r w:rsidR="00A65CB1">
        <w:rPr>
          <w:szCs w:val="20"/>
        </w:rPr>
        <w:t>ing of the population.</w:t>
      </w:r>
    </w:p>
    <w:p w:rsidR="00240EC4" w:rsidRPr="001921FE" w:rsidRDefault="00240EC4" w:rsidP="00240EC4">
      <w:pPr>
        <w:rPr>
          <w:szCs w:val="20"/>
        </w:rPr>
      </w:pPr>
      <w:r w:rsidRPr="001921FE">
        <w:rPr>
          <w:szCs w:val="20"/>
        </w:rPr>
        <w:t xml:space="preserve">With </w:t>
      </w:r>
      <w:r w:rsidR="00DF11DD">
        <w:rPr>
          <w:szCs w:val="20"/>
        </w:rPr>
        <w:t>below-trend</w:t>
      </w:r>
      <w:r w:rsidRPr="001921FE">
        <w:rPr>
          <w:szCs w:val="20"/>
        </w:rPr>
        <w:t xml:space="preserve"> employment growth, domestic wage pressures are expected to be limited. Forecasts of the </w:t>
      </w:r>
      <w:r w:rsidR="00B2187E">
        <w:rPr>
          <w:szCs w:val="20"/>
        </w:rPr>
        <w:t>W</w:t>
      </w:r>
      <w:r w:rsidRPr="001921FE">
        <w:rPr>
          <w:szCs w:val="20"/>
        </w:rPr>
        <w:t xml:space="preserve">age </w:t>
      </w:r>
      <w:r w:rsidR="00B2187E">
        <w:rPr>
          <w:szCs w:val="20"/>
        </w:rPr>
        <w:t>P</w:t>
      </w:r>
      <w:r w:rsidRPr="001921FE">
        <w:rPr>
          <w:szCs w:val="20"/>
        </w:rPr>
        <w:t xml:space="preserve">rice </w:t>
      </w:r>
      <w:r w:rsidR="00B2187E">
        <w:rPr>
          <w:szCs w:val="20"/>
        </w:rPr>
        <w:t>I</w:t>
      </w:r>
      <w:r w:rsidRPr="001921FE">
        <w:rPr>
          <w:szCs w:val="20"/>
        </w:rPr>
        <w:t xml:space="preserve">ndex are unchanged from </w:t>
      </w:r>
      <w:r w:rsidR="00FF4529">
        <w:rPr>
          <w:szCs w:val="20"/>
        </w:rPr>
        <w:t>September</w:t>
      </w:r>
      <w:r w:rsidRPr="001921FE">
        <w:rPr>
          <w:szCs w:val="20"/>
        </w:rPr>
        <w:t xml:space="preserve"> at 3½ per cent </w:t>
      </w:r>
      <w:r w:rsidR="00D51AEF">
        <w:rPr>
          <w:szCs w:val="20"/>
        </w:rPr>
        <w:t>through</w:t>
      </w:r>
      <w:r w:rsidR="006D22EF">
        <w:rPr>
          <w:szCs w:val="20"/>
        </w:rPr>
        <w:t xml:space="preserve"> the </w:t>
      </w:r>
      <w:r w:rsidR="00D51AEF">
        <w:rPr>
          <w:szCs w:val="20"/>
        </w:rPr>
        <w:t>year to</w:t>
      </w:r>
      <w:r w:rsidRPr="001921FE">
        <w:rPr>
          <w:szCs w:val="20"/>
        </w:rPr>
        <w:t xml:space="preserve"> the June quarters of 2013, 2014 and 2015. </w:t>
      </w:r>
      <w:r w:rsidR="009260AD" w:rsidRPr="001921FE">
        <w:rPr>
          <w:szCs w:val="20"/>
        </w:rPr>
        <w:t>The forecast for h</w:t>
      </w:r>
      <w:r w:rsidRPr="001921FE">
        <w:rPr>
          <w:szCs w:val="20"/>
        </w:rPr>
        <w:t>eadline in</w:t>
      </w:r>
      <w:r w:rsidR="00B2187E">
        <w:rPr>
          <w:szCs w:val="20"/>
        </w:rPr>
        <w:t>flation has been upgraded to 3¼ p</w:t>
      </w:r>
      <w:r w:rsidRPr="001921FE">
        <w:rPr>
          <w:szCs w:val="20"/>
        </w:rPr>
        <w:t>er</w:t>
      </w:r>
      <w:r w:rsidR="00B2187E">
        <w:rPr>
          <w:szCs w:val="20"/>
        </w:rPr>
        <w:t> </w:t>
      </w:r>
      <w:r w:rsidRPr="001921FE">
        <w:rPr>
          <w:szCs w:val="20"/>
        </w:rPr>
        <w:t xml:space="preserve">cent </w:t>
      </w:r>
      <w:r w:rsidR="006D22EF">
        <w:rPr>
          <w:szCs w:val="20"/>
        </w:rPr>
        <w:t xml:space="preserve">through the </w:t>
      </w:r>
      <w:r w:rsidR="009260AD" w:rsidRPr="001921FE">
        <w:rPr>
          <w:szCs w:val="20"/>
        </w:rPr>
        <w:t>year to</w:t>
      </w:r>
      <w:r w:rsidRPr="001921FE">
        <w:rPr>
          <w:szCs w:val="20"/>
        </w:rPr>
        <w:t xml:space="preserve"> the June quarter </w:t>
      </w:r>
      <w:r w:rsidR="00FF4529">
        <w:rPr>
          <w:szCs w:val="20"/>
        </w:rPr>
        <w:t>2013</w:t>
      </w:r>
      <w:r w:rsidR="001921FE" w:rsidRPr="001921FE">
        <w:rPr>
          <w:szCs w:val="20"/>
        </w:rPr>
        <w:t>, largely reflecting higher</w:t>
      </w:r>
      <w:r w:rsidR="00AF75E3">
        <w:rPr>
          <w:szCs w:val="20"/>
        </w:rPr>
        <w:noBreakHyphen/>
      </w:r>
      <w:r w:rsidR="001921FE" w:rsidRPr="001921FE">
        <w:rPr>
          <w:szCs w:val="20"/>
        </w:rPr>
        <w:t>than</w:t>
      </w:r>
      <w:r w:rsidR="00AF75E3">
        <w:rPr>
          <w:szCs w:val="20"/>
        </w:rPr>
        <w:noBreakHyphen/>
      </w:r>
      <w:r w:rsidR="001921FE" w:rsidRPr="001921FE">
        <w:rPr>
          <w:szCs w:val="20"/>
        </w:rPr>
        <w:t>expected administered</w:t>
      </w:r>
      <w:r w:rsidR="006D22EF">
        <w:rPr>
          <w:szCs w:val="20"/>
        </w:rPr>
        <w:t xml:space="preserve"> prices growth in the September </w:t>
      </w:r>
      <w:r w:rsidR="001921FE" w:rsidRPr="001921FE">
        <w:rPr>
          <w:szCs w:val="20"/>
        </w:rPr>
        <w:t>quarter</w:t>
      </w:r>
      <w:r w:rsidR="006D22EF">
        <w:rPr>
          <w:szCs w:val="20"/>
        </w:rPr>
        <w:t xml:space="preserve"> 2012</w:t>
      </w:r>
      <w:r w:rsidRPr="001921FE">
        <w:rPr>
          <w:szCs w:val="20"/>
        </w:rPr>
        <w:t xml:space="preserve">. </w:t>
      </w:r>
      <w:r w:rsidR="006D22EF">
        <w:rPr>
          <w:szCs w:val="20"/>
        </w:rPr>
        <w:t>Consistent with the subdued labour market outlook,</w:t>
      </w:r>
      <w:r w:rsidRPr="001921FE">
        <w:rPr>
          <w:szCs w:val="20"/>
        </w:rPr>
        <w:t xml:space="preserve"> </w:t>
      </w:r>
      <w:r w:rsidR="006D22EF">
        <w:rPr>
          <w:szCs w:val="20"/>
        </w:rPr>
        <w:t xml:space="preserve">both headline and underlying </w:t>
      </w:r>
      <w:r w:rsidR="00A65CB1">
        <w:rPr>
          <w:szCs w:val="20"/>
        </w:rPr>
        <w:t>inflation</w:t>
      </w:r>
      <w:r w:rsidR="006D22EF">
        <w:rPr>
          <w:szCs w:val="20"/>
        </w:rPr>
        <w:t xml:space="preserve"> are</w:t>
      </w:r>
      <w:r w:rsidRPr="001921FE">
        <w:rPr>
          <w:szCs w:val="20"/>
        </w:rPr>
        <w:t xml:space="preserve"> </w:t>
      </w:r>
      <w:r w:rsidR="002C07B9">
        <w:rPr>
          <w:szCs w:val="20"/>
        </w:rPr>
        <w:t>forecast to remain in the bottom half of the Reserve Bank’s target band at</w:t>
      </w:r>
      <w:r w:rsidR="006D22EF">
        <w:rPr>
          <w:szCs w:val="20"/>
        </w:rPr>
        <w:t xml:space="preserve"> 2¼ </w:t>
      </w:r>
      <w:r w:rsidR="00163896">
        <w:rPr>
          <w:szCs w:val="20"/>
        </w:rPr>
        <w:t>per</w:t>
      </w:r>
      <w:r w:rsidR="006D22EF">
        <w:rPr>
          <w:szCs w:val="20"/>
        </w:rPr>
        <w:t xml:space="preserve"> cent through the </w:t>
      </w:r>
      <w:r w:rsidRPr="001921FE">
        <w:rPr>
          <w:szCs w:val="20"/>
        </w:rPr>
        <w:t>year</w:t>
      </w:r>
      <w:r w:rsidR="006D22EF">
        <w:rPr>
          <w:szCs w:val="20"/>
        </w:rPr>
        <w:t xml:space="preserve"> </w:t>
      </w:r>
      <w:r w:rsidRPr="001921FE">
        <w:rPr>
          <w:szCs w:val="20"/>
        </w:rPr>
        <w:t>to the June quarters of 2014 and 2015.</w:t>
      </w:r>
      <w:r w:rsidR="009260AD" w:rsidRPr="001921FE">
        <w:rPr>
          <w:szCs w:val="20"/>
        </w:rPr>
        <w:t xml:space="preserve"> </w:t>
      </w:r>
    </w:p>
    <w:p w:rsidR="00240EC4" w:rsidRPr="00240EC4" w:rsidRDefault="005713EF" w:rsidP="00240EC4">
      <w:pPr>
        <w:rPr>
          <w:szCs w:val="20"/>
        </w:rPr>
      </w:pPr>
      <w:r>
        <w:rPr>
          <w:szCs w:val="20"/>
        </w:rPr>
        <w:t xml:space="preserve">The main risks to the </w:t>
      </w:r>
      <w:r w:rsidR="00FF4529">
        <w:rPr>
          <w:szCs w:val="20"/>
        </w:rPr>
        <w:t>outlook</w:t>
      </w:r>
      <w:r>
        <w:rPr>
          <w:szCs w:val="20"/>
        </w:rPr>
        <w:t xml:space="preserve"> stem</w:t>
      </w:r>
      <w:r w:rsidR="00FF4529">
        <w:rPr>
          <w:szCs w:val="20"/>
        </w:rPr>
        <w:t xml:space="preserve"> from </w:t>
      </w:r>
      <w:r w:rsidR="009339EB">
        <w:rPr>
          <w:szCs w:val="20"/>
        </w:rPr>
        <w:t>the external environment</w:t>
      </w:r>
      <w:r w:rsidR="00AF59F2">
        <w:rPr>
          <w:szCs w:val="20"/>
        </w:rPr>
        <w:t xml:space="preserve">. </w:t>
      </w:r>
      <w:r w:rsidR="009339EB">
        <w:rPr>
          <w:szCs w:val="20"/>
        </w:rPr>
        <w:t>The impending fiscal cliff</w:t>
      </w:r>
      <w:r w:rsidR="00FF4529">
        <w:rPr>
          <w:szCs w:val="20"/>
        </w:rPr>
        <w:t xml:space="preserve"> in the United States</w:t>
      </w:r>
      <w:r w:rsidR="009339EB">
        <w:rPr>
          <w:szCs w:val="20"/>
        </w:rPr>
        <w:t xml:space="preserve"> </w:t>
      </w:r>
      <w:r w:rsidR="00126B2C">
        <w:rPr>
          <w:szCs w:val="20"/>
        </w:rPr>
        <w:t>is</w:t>
      </w:r>
      <w:r w:rsidR="009339EB">
        <w:rPr>
          <w:szCs w:val="20"/>
        </w:rPr>
        <w:t xml:space="preserve"> a significant</w:t>
      </w:r>
      <w:r w:rsidR="00126B2C">
        <w:rPr>
          <w:szCs w:val="20"/>
        </w:rPr>
        <w:t xml:space="preserve"> and imminent</w:t>
      </w:r>
      <w:r w:rsidR="009339EB">
        <w:rPr>
          <w:szCs w:val="20"/>
        </w:rPr>
        <w:t xml:space="preserve"> downside risk to the global economic outlook</w:t>
      </w:r>
      <w:r w:rsidR="00FF4529">
        <w:rPr>
          <w:szCs w:val="20"/>
        </w:rPr>
        <w:t xml:space="preserve">, </w:t>
      </w:r>
      <w:r w:rsidR="003D1F3E">
        <w:rPr>
          <w:szCs w:val="20"/>
        </w:rPr>
        <w:t>and</w:t>
      </w:r>
      <w:r w:rsidR="00FF4529">
        <w:rPr>
          <w:szCs w:val="20"/>
        </w:rPr>
        <w:t xml:space="preserve"> growth prospects</w:t>
      </w:r>
      <w:r w:rsidR="00126B2C">
        <w:rPr>
          <w:szCs w:val="20"/>
        </w:rPr>
        <w:t xml:space="preserve"> for the euro area remain</w:t>
      </w:r>
      <w:r w:rsidR="00D51AEF">
        <w:rPr>
          <w:szCs w:val="20"/>
        </w:rPr>
        <w:t xml:space="preserve"> </w:t>
      </w:r>
      <w:r w:rsidR="00E924EC">
        <w:rPr>
          <w:szCs w:val="20"/>
        </w:rPr>
        <w:t>very weak</w:t>
      </w:r>
      <w:r w:rsidR="00D51AEF">
        <w:rPr>
          <w:szCs w:val="20"/>
        </w:rPr>
        <w:t xml:space="preserve">. In this context, </w:t>
      </w:r>
      <w:r w:rsidR="00FF4529">
        <w:rPr>
          <w:szCs w:val="20"/>
        </w:rPr>
        <w:t>business confidence</w:t>
      </w:r>
      <w:r w:rsidR="000111F8">
        <w:rPr>
          <w:szCs w:val="20"/>
        </w:rPr>
        <w:t xml:space="preserve"> </w:t>
      </w:r>
      <w:r w:rsidR="00B7340E">
        <w:rPr>
          <w:szCs w:val="20"/>
        </w:rPr>
        <w:t>is</w:t>
      </w:r>
      <w:r w:rsidR="001D0D9F">
        <w:rPr>
          <w:szCs w:val="20"/>
        </w:rPr>
        <w:t xml:space="preserve"> </w:t>
      </w:r>
      <w:r w:rsidR="000111F8">
        <w:rPr>
          <w:szCs w:val="20"/>
        </w:rPr>
        <w:t>likely to</w:t>
      </w:r>
      <w:r w:rsidR="00FF4529">
        <w:rPr>
          <w:szCs w:val="20"/>
        </w:rPr>
        <w:t xml:space="preserve"> remain </w:t>
      </w:r>
      <w:r w:rsidR="000111F8">
        <w:rPr>
          <w:szCs w:val="20"/>
        </w:rPr>
        <w:t>fragile</w:t>
      </w:r>
      <w:r w:rsidR="003D1F3E">
        <w:rPr>
          <w:szCs w:val="20"/>
        </w:rPr>
        <w:t xml:space="preserve">, </w:t>
      </w:r>
      <w:r w:rsidR="00E94659">
        <w:rPr>
          <w:szCs w:val="20"/>
        </w:rPr>
        <w:t xml:space="preserve">adding to </w:t>
      </w:r>
      <w:r>
        <w:rPr>
          <w:szCs w:val="20"/>
        </w:rPr>
        <w:t>a domestic</w:t>
      </w:r>
      <w:r w:rsidR="002D6310">
        <w:rPr>
          <w:szCs w:val="20"/>
        </w:rPr>
        <w:t xml:space="preserve"> </w:t>
      </w:r>
      <w:r w:rsidR="00D51AEF">
        <w:rPr>
          <w:szCs w:val="20"/>
        </w:rPr>
        <w:t xml:space="preserve">risk </w:t>
      </w:r>
      <w:r w:rsidR="002D6310">
        <w:rPr>
          <w:szCs w:val="20"/>
        </w:rPr>
        <w:t>that the transition from mining to non-mining investment will be less seamless than forecast</w:t>
      </w:r>
      <w:r w:rsidR="00D51AEF">
        <w:rPr>
          <w:szCs w:val="20"/>
        </w:rPr>
        <w:t>, with attendant risks to real GDP growth and employment growth over the forecast period.</w:t>
      </w:r>
      <w:r w:rsidR="00B2187E">
        <w:rPr>
          <w:szCs w:val="20"/>
        </w:rPr>
        <w:t xml:space="preserve"> </w:t>
      </w:r>
      <w:r w:rsidR="000157E8">
        <w:rPr>
          <w:szCs w:val="20"/>
        </w:rPr>
        <w:t>The risk of a sharper-than-anticipated fall in global commodity prices, perhaps in response to weaker-than-anticipated growth in emerging Asia, also remains a key risk to the outlook for nominal GDP growth.</w:t>
      </w:r>
    </w:p>
    <w:p w:rsidR="00E573F9" w:rsidRPr="008502D1" w:rsidRDefault="00E573F9" w:rsidP="00C622D3">
      <w:pPr>
        <w:pStyle w:val="TableGraphic"/>
        <w:widowControl w:val="0"/>
        <w:spacing w:after="0" w:line="276" w:lineRule="auto"/>
        <w:rPr>
          <w:rFonts w:eastAsiaTheme="minorHAnsi" w:cs="Tahoma"/>
          <w:sz w:val="22"/>
          <w:szCs w:val="22"/>
          <w:lang w:eastAsia="en-AU"/>
        </w:rPr>
      </w:pPr>
      <w:r w:rsidRPr="008502D1">
        <w:rPr>
          <w:rFonts w:eastAsiaTheme="minorHAnsi" w:cs="Tahoma"/>
          <w:sz w:val="22"/>
          <w:szCs w:val="22"/>
          <w:lang w:eastAsia="en-AU"/>
        </w:rPr>
        <w:lastRenderedPageBreak/>
        <w:t>Table 2 – Domestic economy forecasts</w:t>
      </w:r>
      <w:r w:rsidRPr="008502D1">
        <w:rPr>
          <w:rFonts w:eastAsiaTheme="minorHAnsi" w:cs="Tahoma"/>
          <w:sz w:val="22"/>
          <w:szCs w:val="22"/>
          <w:vertAlign w:val="superscript"/>
          <w:lang w:eastAsia="en-AU"/>
        </w:rPr>
        <w:t>(a)</w:t>
      </w:r>
    </w:p>
    <w:p w:rsidR="00E573F9" w:rsidRPr="008502D1" w:rsidRDefault="00985325" w:rsidP="00E573F9">
      <w:pPr>
        <w:pStyle w:val="TableGraphic0"/>
      </w:pPr>
      <w:r>
        <w:pict>
          <v:shape id="_x0000_i1027" type="#_x0000_t75" style="width:453.95pt;height:482.05pt">
            <v:imagedata r:id="rId18" o:title=""/>
          </v:shape>
        </w:pict>
      </w:r>
    </w:p>
    <w:p w:rsidR="00E573F9" w:rsidRPr="008502D1" w:rsidRDefault="00E573F9" w:rsidP="00E573F9">
      <w:pPr>
        <w:pStyle w:val="ChartandTableFootnoteAlpha"/>
        <w:numPr>
          <w:ilvl w:val="0"/>
          <w:numId w:val="46"/>
        </w:numPr>
        <w:spacing w:line="240" w:lineRule="auto"/>
        <w:jc w:val="left"/>
      </w:pPr>
      <w:r w:rsidRPr="008502D1">
        <w:t>Percentage change on preceding year unless otherwise indicated.</w:t>
      </w:r>
    </w:p>
    <w:p w:rsidR="00E573F9" w:rsidRPr="008502D1" w:rsidRDefault="00E573F9" w:rsidP="00E573F9">
      <w:pPr>
        <w:pStyle w:val="ChartandTableFootnoteAlpha"/>
        <w:numPr>
          <w:ilvl w:val="0"/>
          <w:numId w:val="46"/>
        </w:numPr>
        <w:spacing w:line="240" w:lineRule="auto"/>
        <w:jc w:val="left"/>
      </w:pPr>
      <w:r w:rsidRPr="008502D1">
        <w:t>Calculated using original data unless otherwise indicated.</w:t>
      </w:r>
    </w:p>
    <w:p w:rsidR="00E573F9" w:rsidRPr="008502D1" w:rsidRDefault="00E573F9" w:rsidP="00E573F9">
      <w:pPr>
        <w:pStyle w:val="ChartandTableFootnoteAlpha"/>
        <w:numPr>
          <w:ilvl w:val="0"/>
          <w:numId w:val="46"/>
        </w:numPr>
        <w:spacing w:line="240" w:lineRule="auto"/>
        <w:jc w:val="left"/>
      </w:pPr>
      <w:r w:rsidRPr="008502D1">
        <w:t>Chain volume measures except for nominal gross domestic product which is in current prices.</w:t>
      </w:r>
    </w:p>
    <w:p w:rsidR="00E573F9" w:rsidRPr="008502D1" w:rsidRDefault="00E573F9" w:rsidP="00E573F9">
      <w:pPr>
        <w:pStyle w:val="ChartandTableFootnoteAlpha"/>
        <w:numPr>
          <w:ilvl w:val="0"/>
          <w:numId w:val="46"/>
        </w:numPr>
        <w:spacing w:line="240" w:lineRule="auto"/>
        <w:jc w:val="left"/>
      </w:pPr>
      <w:r w:rsidRPr="008502D1">
        <w:t>Excluding second</w:t>
      </w:r>
      <w:r w:rsidRPr="008502D1">
        <w:noBreakHyphen/>
        <w:t>hand asset sales from the public sector to the private sector.</w:t>
      </w:r>
    </w:p>
    <w:p w:rsidR="00E573F9" w:rsidRPr="008502D1" w:rsidRDefault="00E573F9" w:rsidP="00E573F9">
      <w:pPr>
        <w:pStyle w:val="ChartandTableFootnoteAlpha"/>
        <w:numPr>
          <w:ilvl w:val="0"/>
          <w:numId w:val="46"/>
        </w:numPr>
        <w:spacing w:line="240" w:lineRule="auto"/>
        <w:jc w:val="left"/>
      </w:pPr>
      <w:r w:rsidRPr="008502D1">
        <w:t xml:space="preserve">Percentage point contribution to growth in GDP. </w:t>
      </w:r>
    </w:p>
    <w:p w:rsidR="00E573F9" w:rsidRPr="008502D1" w:rsidRDefault="00E573F9" w:rsidP="00E573F9">
      <w:pPr>
        <w:pStyle w:val="ChartandTableFootnoteAlpha"/>
        <w:numPr>
          <w:ilvl w:val="0"/>
          <w:numId w:val="46"/>
        </w:numPr>
        <w:spacing w:line="240" w:lineRule="auto"/>
        <w:jc w:val="left"/>
      </w:pPr>
      <w:r w:rsidRPr="008502D1">
        <w:t>Seasonally adjusted, through</w:t>
      </w:r>
      <w:r w:rsidRPr="008502D1">
        <w:noBreakHyphen/>
        <w:t>the</w:t>
      </w:r>
      <w:r w:rsidRPr="008502D1">
        <w:noBreakHyphen/>
        <w:t>year growth rate to the June quarter.</w:t>
      </w:r>
    </w:p>
    <w:p w:rsidR="00E573F9" w:rsidRPr="008502D1" w:rsidRDefault="00E573F9" w:rsidP="00E573F9">
      <w:pPr>
        <w:pStyle w:val="ChartandTableFootnoteAlpha"/>
        <w:numPr>
          <w:ilvl w:val="0"/>
          <w:numId w:val="46"/>
        </w:numPr>
        <w:spacing w:line="240" w:lineRule="auto"/>
        <w:jc w:val="left"/>
      </w:pPr>
      <w:r w:rsidRPr="008502D1">
        <w:t xml:space="preserve">Seasonally adjusted rate </w:t>
      </w:r>
      <w:r w:rsidR="001072B2" w:rsidRPr="008502D1">
        <w:t>for</w:t>
      </w:r>
      <w:r w:rsidRPr="008502D1">
        <w:t xml:space="preserve"> the June quarter.</w:t>
      </w:r>
    </w:p>
    <w:p w:rsidR="00E573F9" w:rsidRPr="008502D1" w:rsidRDefault="00E573F9" w:rsidP="00E573F9">
      <w:pPr>
        <w:pStyle w:val="ChartandTableFootnoteAlpha"/>
        <w:numPr>
          <w:ilvl w:val="0"/>
          <w:numId w:val="46"/>
        </w:numPr>
        <w:spacing w:line="240" w:lineRule="auto"/>
        <w:jc w:val="left"/>
      </w:pPr>
      <w:r w:rsidRPr="008502D1">
        <w:t>Through</w:t>
      </w:r>
      <w:r w:rsidRPr="008502D1">
        <w:noBreakHyphen/>
        <w:t>the</w:t>
      </w:r>
      <w:r w:rsidRPr="008502D1">
        <w:noBreakHyphen/>
        <w:t>year growth rate to the June quarter.</w:t>
      </w:r>
    </w:p>
    <w:p w:rsidR="00E573F9" w:rsidRPr="008502D1" w:rsidRDefault="00E573F9" w:rsidP="00E573F9">
      <w:pPr>
        <w:pStyle w:val="ChartandTableFootnoteAlpha"/>
        <w:tabs>
          <w:tab w:val="clear" w:pos="283"/>
        </w:tabs>
        <w:spacing w:line="240" w:lineRule="auto"/>
        <w:ind w:left="0" w:firstLine="0"/>
      </w:pPr>
      <w:r w:rsidRPr="008502D1">
        <w:t>Note: The forecasts for the domestic economy are based on several technical assumptions. The exchange rate is assumed to remain around its recent average level — a trade</w:t>
      </w:r>
      <w:r w:rsidRPr="008502D1">
        <w:noBreakHyphen/>
        <w:t>weighted index of around 77 and a $US exchange rate of around 10</w:t>
      </w:r>
      <w:r w:rsidR="008502D1" w:rsidRPr="008502D1">
        <w:t>4</w:t>
      </w:r>
      <w:r w:rsidRPr="008502D1">
        <w:t xml:space="preserve"> US cents. Interest rates are assumed to move broadly in line with market expectations. World oil prices (Malaysian Tapis) are assumed to remain around US$1</w:t>
      </w:r>
      <w:r w:rsidR="008502D1" w:rsidRPr="008502D1">
        <w:t>15</w:t>
      </w:r>
      <w:r w:rsidRPr="008502D1">
        <w:t xml:space="preserve"> per barrel. The farm sector forecasts are based on an assumption of </w:t>
      </w:r>
      <w:r w:rsidR="008B29D5" w:rsidRPr="008502D1">
        <w:t>average seasonal conditions.</w:t>
      </w:r>
    </w:p>
    <w:p w:rsidR="00E573F9" w:rsidRDefault="00E573F9" w:rsidP="00E573F9">
      <w:pPr>
        <w:pStyle w:val="Source"/>
        <w:spacing w:after="0"/>
        <w:rPr>
          <w:rFonts w:cs="Arial"/>
        </w:rPr>
      </w:pPr>
      <w:r w:rsidRPr="008502D1">
        <w:rPr>
          <w:rFonts w:cs="Arial"/>
        </w:rPr>
        <w:t>Source: ABS cat. no. 5206.0, 5302.0, 6202.0, 6345.0, 6401.0, unpublished ABS data and Treasury.</w:t>
      </w:r>
    </w:p>
    <w:p w:rsidR="00E573F9" w:rsidRDefault="00E573F9" w:rsidP="00E573F9">
      <w:pPr>
        <w:spacing w:after="200"/>
        <w:rPr>
          <w:rFonts w:ascii="Tahoma" w:hAnsi="Tahoma"/>
          <w:b/>
          <w:smallCaps/>
          <w:sz w:val="26"/>
        </w:rPr>
      </w:pPr>
      <w:r>
        <w:rPr>
          <w:rFonts w:ascii="Tahoma" w:hAnsi="Tahoma"/>
          <w:bCs/>
          <w:smallCaps/>
          <w:sz w:val="26"/>
        </w:rPr>
        <w:br w:type="page"/>
      </w:r>
    </w:p>
    <w:p w:rsidR="00E573F9" w:rsidRPr="00355653" w:rsidRDefault="00E573F9" w:rsidP="00E573F9">
      <w:pPr>
        <w:pStyle w:val="Heading3"/>
        <w:rPr>
          <w:bCs/>
          <w:smallCaps w:val="0"/>
        </w:rPr>
      </w:pPr>
      <w:bookmarkStart w:id="5" w:name="_Toc336420545"/>
      <w:bookmarkStart w:id="6" w:name="_Toc343518879"/>
      <w:r w:rsidRPr="00355653">
        <w:lastRenderedPageBreak/>
        <w:t>Outlook for the domestic economy</w:t>
      </w:r>
      <w:bookmarkEnd w:id="5"/>
      <w:bookmarkEnd w:id="6"/>
    </w:p>
    <w:p w:rsidR="00E573F9" w:rsidRDefault="00E573F9" w:rsidP="00E573F9">
      <w:pPr>
        <w:pStyle w:val="Source"/>
        <w:spacing w:after="0"/>
        <w:rPr>
          <w:rFonts w:cs="Arial"/>
        </w:rPr>
      </w:pPr>
    </w:p>
    <w:p w:rsidR="00E573F9" w:rsidRDefault="00E573F9" w:rsidP="00E573F9">
      <w:pPr>
        <w:pStyle w:val="Source"/>
        <w:spacing w:after="0"/>
        <w:rPr>
          <w:rFonts w:cs="Arial"/>
        </w:rPr>
        <w:sectPr w:rsidR="00E573F9" w:rsidSect="00E573F9">
          <w:headerReference w:type="default" r:id="rId19"/>
          <w:footerReference w:type="even" r:id="rId20"/>
          <w:footerReference w:type="default" r:id="rId21"/>
          <w:pgSz w:w="11907" w:h="16840" w:code="9"/>
          <w:pgMar w:top="1135" w:right="1418" w:bottom="567" w:left="1418" w:header="567" w:footer="567" w:gutter="0"/>
          <w:cols w:space="720"/>
        </w:sectPr>
      </w:pPr>
    </w:p>
    <w:p w:rsidR="00E573F9" w:rsidRPr="00140433" w:rsidRDefault="00E573F9" w:rsidP="00E573F9">
      <w:pPr>
        <w:pStyle w:val="Heading4"/>
        <w:rPr>
          <w:bCs/>
          <w:i/>
          <w:iCs/>
        </w:rPr>
      </w:pPr>
      <w:bookmarkStart w:id="7" w:name="_Toc336420546"/>
      <w:bookmarkStart w:id="8" w:name="_Toc343518880"/>
      <w:bookmarkEnd w:id="3"/>
      <w:bookmarkEnd w:id="4"/>
      <w:r w:rsidRPr="00140433">
        <w:lastRenderedPageBreak/>
        <w:t>Household consumption</w:t>
      </w:r>
      <w:bookmarkEnd w:id="7"/>
      <w:bookmarkEnd w:id="8"/>
    </w:p>
    <w:p w:rsidR="00530A29" w:rsidRDefault="00530A29" w:rsidP="00530A29">
      <w:r>
        <w:t xml:space="preserve">The forecast for </w:t>
      </w:r>
      <w:r w:rsidR="000A63CE">
        <w:rPr>
          <w:b/>
        </w:rPr>
        <w:t>h</w:t>
      </w:r>
      <w:r>
        <w:rPr>
          <w:b/>
        </w:rPr>
        <w:t>ousehold consumption</w:t>
      </w:r>
      <w:r>
        <w:t xml:space="preserve"> </w:t>
      </w:r>
      <w:r w:rsidR="003551AC">
        <w:t xml:space="preserve">growth </w:t>
      </w:r>
      <w:r>
        <w:t>in 201</w:t>
      </w:r>
      <w:r w:rsidR="003F0F13">
        <w:t xml:space="preserve">2-13 has been downgraded from 3 </w:t>
      </w:r>
      <w:r>
        <w:t>per</w:t>
      </w:r>
      <w:r w:rsidR="003F0F13">
        <w:t xml:space="preserve"> </w:t>
      </w:r>
      <w:r w:rsidR="00035930">
        <w:t>cent to 2¾</w:t>
      </w:r>
      <w:r w:rsidR="003F0F13">
        <w:t xml:space="preserve"> </w:t>
      </w:r>
      <w:r w:rsidR="00035930">
        <w:t>per</w:t>
      </w:r>
      <w:r w:rsidR="003F0F13">
        <w:t xml:space="preserve"> </w:t>
      </w:r>
      <w:r w:rsidR="00035930">
        <w:t>cent compared with</w:t>
      </w:r>
      <w:r>
        <w:t xml:space="preserve"> September</w:t>
      </w:r>
      <w:r w:rsidR="00035930">
        <w:t xml:space="preserve"> JEFG</w:t>
      </w:r>
      <w:r>
        <w:t>.</w:t>
      </w:r>
      <w:r w:rsidR="00035930">
        <w:t xml:space="preserve"> </w:t>
      </w:r>
      <w:r>
        <w:t>The lower forecast is in large part due to weaker</w:t>
      </w:r>
      <w:r w:rsidR="00035930">
        <w:t>-</w:t>
      </w:r>
      <w:r>
        <w:t>than</w:t>
      </w:r>
      <w:r w:rsidR="00035930">
        <w:t>-</w:t>
      </w:r>
      <w:r w:rsidRPr="00215AC4">
        <w:rPr>
          <w:color w:val="000000" w:themeColor="text1"/>
        </w:rPr>
        <w:t xml:space="preserve">expected consumption and wages growth </w:t>
      </w:r>
      <w:r>
        <w:t xml:space="preserve">in the September </w:t>
      </w:r>
      <w:r w:rsidR="00035930">
        <w:t xml:space="preserve">quarter National Accounts. </w:t>
      </w:r>
      <w:r>
        <w:t>Over the remainder of the forecast horizon, consumption growth is expected to remain</w:t>
      </w:r>
      <w:r w:rsidR="003F0F13">
        <w:t xml:space="preserve"> solid, albeit below trend at 3 </w:t>
      </w:r>
      <w:r>
        <w:t xml:space="preserve">per cent. This outlook reflects </w:t>
      </w:r>
      <w:r w:rsidR="00035930">
        <w:t xml:space="preserve">softness in the labour market and </w:t>
      </w:r>
      <w:r w:rsidR="000A63CE">
        <w:t>below-trend</w:t>
      </w:r>
      <w:r w:rsidR="00035930">
        <w:t xml:space="preserve"> wages</w:t>
      </w:r>
      <w:r>
        <w:t xml:space="preserve"> growth, subdued growth in household wealth, and </w:t>
      </w:r>
      <w:r w:rsidR="00AF59F2">
        <w:t>fragile</w:t>
      </w:r>
      <w:r w:rsidR="003F0F13">
        <w:t xml:space="preserve"> consumer confidence. </w:t>
      </w:r>
      <w:r>
        <w:t>Consistent with this</w:t>
      </w:r>
      <w:r w:rsidR="00035930">
        <w:t xml:space="preserve"> outlook</w:t>
      </w:r>
      <w:r>
        <w:t>, the household saving ratio is expected to remain elevated over the forecast period, as households remain prudent and continue to rely on saving rather than capital gains to strengthen their balance sheets.</w:t>
      </w:r>
    </w:p>
    <w:p w:rsidR="00E573F9" w:rsidRPr="00FB4FDC" w:rsidRDefault="00FB5ED4" w:rsidP="00E573F9">
      <w:pPr>
        <w:keepNext/>
        <w:autoSpaceDE w:val="0"/>
        <w:autoSpaceDN w:val="0"/>
        <w:spacing w:after="0"/>
        <w:jc w:val="center"/>
        <w:rPr>
          <w:b/>
          <w:szCs w:val="20"/>
        </w:rPr>
      </w:pPr>
      <w:r>
        <w:rPr>
          <w:b/>
          <w:szCs w:val="20"/>
        </w:rPr>
        <w:t>Chart 2</w:t>
      </w:r>
      <w:r w:rsidR="00E573F9" w:rsidRPr="00E50F05">
        <w:rPr>
          <w:b/>
          <w:szCs w:val="20"/>
        </w:rPr>
        <w:t>: Household consumption</w:t>
      </w:r>
    </w:p>
    <w:p w:rsidR="00E573F9" w:rsidRDefault="00985325" w:rsidP="00307800">
      <w:pPr>
        <w:pStyle w:val="ChartGraphic0"/>
      </w:pPr>
      <w:r>
        <w:pict>
          <v:shape id="_x0000_i1028" type="#_x0000_t75" style="width:199.65pt;height:199.65pt">
            <v:imagedata r:id="rId22" o:title=""/>
          </v:shape>
        </w:pict>
      </w:r>
    </w:p>
    <w:p w:rsidR="00E573F9" w:rsidRDefault="00E573F9" w:rsidP="00E573F9">
      <w:pPr>
        <w:pStyle w:val="Source"/>
        <w:spacing w:after="0"/>
        <w:rPr>
          <w:rFonts w:ascii="Tahoma" w:hAnsi="Tahoma" w:cs="Tahoma"/>
          <w:szCs w:val="16"/>
        </w:rPr>
      </w:pPr>
      <w:r w:rsidRPr="00987838">
        <w:rPr>
          <w:rFonts w:ascii="Tahoma" w:hAnsi="Tahoma" w:cs="Tahoma"/>
          <w:szCs w:val="16"/>
        </w:rPr>
        <w:t xml:space="preserve">Source:  ABS </w:t>
      </w:r>
      <w:r>
        <w:rPr>
          <w:rFonts w:ascii="Tahoma" w:hAnsi="Tahoma" w:cs="Tahoma"/>
          <w:szCs w:val="16"/>
        </w:rPr>
        <w:t>c</w:t>
      </w:r>
      <w:r w:rsidRPr="001B4965">
        <w:rPr>
          <w:rFonts w:ascii="Tahoma" w:hAnsi="Tahoma" w:cs="Tahoma"/>
          <w:szCs w:val="16"/>
        </w:rPr>
        <w:t>at</w:t>
      </w:r>
      <w:r>
        <w:rPr>
          <w:rFonts w:ascii="Tahoma" w:hAnsi="Tahoma" w:cs="Tahoma"/>
          <w:szCs w:val="16"/>
        </w:rPr>
        <w:t>.</w:t>
      </w:r>
      <w:r w:rsidRPr="00987838">
        <w:rPr>
          <w:rFonts w:ascii="Tahoma" w:hAnsi="Tahoma" w:cs="Tahoma"/>
          <w:szCs w:val="16"/>
        </w:rPr>
        <w:t xml:space="preserve"> </w:t>
      </w:r>
      <w:r>
        <w:rPr>
          <w:rFonts w:ascii="Tahoma" w:hAnsi="Tahoma" w:cs="Tahoma"/>
          <w:szCs w:val="16"/>
        </w:rPr>
        <w:t>no.</w:t>
      </w:r>
      <w:r w:rsidRPr="00987838">
        <w:rPr>
          <w:rFonts w:ascii="Tahoma" w:hAnsi="Tahoma" w:cs="Tahoma"/>
          <w:szCs w:val="16"/>
        </w:rPr>
        <w:t xml:space="preserve"> 5206.0 and Treasury.</w:t>
      </w:r>
    </w:p>
    <w:p w:rsidR="00E573F9" w:rsidRPr="00FB4FDC" w:rsidRDefault="00E573F9" w:rsidP="00E573F9">
      <w:pPr>
        <w:pStyle w:val="Source"/>
        <w:spacing w:after="0"/>
        <w:rPr>
          <w:rFonts w:ascii="Tahoma" w:hAnsi="Tahoma" w:cs="Tahoma"/>
          <w:szCs w:val="16"/>
        </w:rPr>
      </w:pPr>
    </w:p>
    <w:p w:rsidR="00E573F9" w:rsidRDefault="00E573F9" w:rsidP="00E573F9">
      <w:pPr>
        <w:pStyle w:val="Heading4"/>
        <w:rPr>
          <w:bCs/>
          <w:i/>
          <w:iCs/>
        </w:rPr>
      </w:pPr>
      <w:bookmarkStart w:id="9" w:name="_Toc336420547"/>
      <w:bookmarkStart w:id="10" w:name="_Toc343518881"/>
      <w:r w:rsidRPr="00140433">
        <w:t>Dwelling investment</w:t>
      </w:r>
      <w:bookmarkEnd w:id="9"/>
      <w:bookmarkEnd w:id="10"/>
    </w:p>
    <w:p w:rsidR="00530A29" w:rsidRPr="003870C1" w:rsidRDefault="00530A29" w:rsidP="00530A29">
      <w:r w:rsidRPr="003870C1">
        <w:rPr>
          <w:b/>
        </w:rPr>
        <w:t>Dwelling investment</w:t>
      </w:r>
      <w:r w:rsidRPr="003870C1">
        <w:t xml:space="preserve"> is forecast to contract ½</w:t>
      </w:r>
      <w:r w:rsidR="0050610B">
        <w:t> </w:t>
      </w:r>
      <w:r w:rsidRPr="003870C1">
        <w:t>a per cent in 2012-13, before growing 5</w:t>
      </w:r>
      <w:r w:rsidR="0050610B">
        <w:t> </w:t>
      </w:r>
      <w:r w:rsidRPr="003870C1">
        <w:t>per</w:t>
      </w:r>
      <w:r w:rsidR="00035930">
        <w:t> </w:t>
      </w:r>
      <w:r w:rsidRPr="003870C1">
        <w:t xml:space="preserve">cent in both 2013-14 and 2014-15. While dwelling investment declined 3.7 per cent in 2011-12, conditions across the sector are expected to </w:t>
      </w:r>
      <w:r w:rsidR="000A63CE">
        <w:t xml:space="preserve">continue </w:t>
      </w:r>
      <w:r w:rsidRPr="003870C1">
        <w:t>gradually improv</w:t>
      </w:r>
      <w:r w:rsidR="000A63CE">
        <w:t>ing</w:t>
      </w:r>
      <w:r w:rsidRPr="003870C1">
        <w:t xml:space="preserve"> over the remainder of 2012-13, consistent with the solid September quarter National Accounts outcome</w:t>
      </w:r>
      <w:r w:rsidR="000A63CE">
        <w:t xml:space="preserve"> and the </w:t>
      </w:r>
      <w:r w:rsidRPr="003870C1">
        <w:t>continued growth in new dwelling finance</w:t>
      </w:r>
      <w:r w:rsidR="00B4276C">
        <w:t xml:space="preserve"> </w:t>
      </w:r>
      <w:r w:rsidR="003551AC">
        <w:t xml:space="preserve">supported </w:t>
      </w:r>
      <w:r w:rsidR="00B4276C">
        <w:t>by</w:t>
      </w:r>
      <w:r w:rsidR="003551AC">
        <w:t xml:space="preserve"> the</w:t>
      </w:r>
      <w:r w:rsidR="00B4276C">
        <w:t xml:space="preserve"> substantive easing o</w:t>
      </w:r>
      <w:r w:rsidR="003551AC">
        <w:t>f</w:t>
      </w:r>
      <w:r w:rsidR="00B4276C">
        <w:t xml:space="preserve"> monetary policy</w:t>
      </w:r>
      <w:r w:rsidR="003551AC">
        <w:t xml:space="preserve"> over the past year</w:t>
      </w:r>
      <w:r w:rsidRPr="003870C1">
        <w:t xml:space="preserve">. The recovery is expected to gain momentum </w:t>
      </w:r>
      <w:r w:rsidRPr="003870C1">
        <w:lastRenderedPageBreak/>
        <w:t>into 2013-14 and 2014-15, driven by a pick</w:t>
      </w:r>
      <w:r w:rsidR="00CD18CB">
        <w:noBreakHyphen/>
      </w:r>
      <w:r w:rsidRPr="003870C1">
        <w:t>up in home</w:t>
      </w:r>
      <w:r w:rsidR="00035930">
        <w:t xml:space="preserve"> </w:t>
      </w:r>
      <w:r w:rsidRPr="003870C1">
        <w:t>buyer demand in</w:t>
      </w:r>
      <w:r w:rsidR="00D201C2">
        <w:t xml:space="preserve"> line with lower interest rates</w:t>
      </w:r>
      <w:r w:rsidRPr="003870C1">
        <w:t xml:space="preserve"> and </w:t>
      </w:r>
      <w:r w:rsidR="002677E8">
        <w:t xml:space="preserve">continued </w:t>
      </w:r>
      <w:r w:rsidRPr="003870C1">
        <w:t xml:space="preserve">tight rental market conditions. </w:t>
      </w:r>
      <w:r w:rsidR="0050610B">
        <w:t>Fragile household confidence</w:t>
      </w:r>
      <w:r w:rsidR="003551AC">
        <w:t xml:space="preserve"> and a reluctance to take out new debt are </w:t>
      </w:r>
      <w:r w:rsidR="0050610B">
        <w:t>key risk</w:t>
      </w:r>
      <w:r w:rsidR="003551AC">
        <w:t>s</w:t>
      </w:r>
      <w:r w:rsidRPr="003870C1">
        <w:t xml:space="preserve"> to the forecast</w:t>
      </w:r>
      <w:r w:rsidR="0050610B">
        <w:t>.</w:t>
      </w:r>
      <w:r w:rsidRPr="003870C1">
        <w:t xml:space="preserve"> </w:t>
      </w:r>
    </w:p>
    <w:p w:rsidR="00E573F9" w:rsidRPr="00140433" w:rsidRDefault="00E573F9" w:rsidP="00E573F9">
      <w:pPr>
        <w:pStyle w:val="Heading4"/>
        <w:rPr>
          <w:bCs/>
          <w:i/>
          <w:iCs/>
        </w:rPr>
      </w:pPr>
      <w:bookmarkStart w:id="11" w:name="_Toc187553173"/>
      <w:bookmarkStart w:id="12" w:name="_Toc336420548"/>
      <w:bookmarkStart w:id="13" w:name="_Toc343518882"/>
      <w:r w:rsidRPr="00140433">
        <w:t>Business investment</w:t>
      </w:r>
      <w:bookmarkEnd w:id="11"/>
      <w:bookmarkEnd w:id="12"/>
      <w:bookmarkEnd w:id="13"/>
    </w:p>
    <w:p w:rsidR="00530A29" w:rsidRDefault="002677E8" w:rsidP="00530A29">
      <w:r w:rsidRPr="00E924EC">
        <w:rPr>
          <w:b/>
        </w:rPr>
        <w:t>New</w:t>
      </w:r>
      <w:r w:rsidR="00530A29" w:rsidRPr="00B0350D">
        <w:rPr>
          <w:b/>
        </w:rPr>
        <w:t xml:space="preserve"> business investment</w:t>
      </w:r>
      <w:r w:rsidR="00035930">
        <w:t xml:space="preserve"> </w:t>
      </w:r>
      <w:r>
        <w:t xml:space="preserve">growth </w:t>
      </w:r>
      <w:r w:rsidR="00035930">
        <w:t xml:space="preserve">has been upgraded </w:t>
      </w:r>
      <w:r w:rsidR="00530A29">
        <w:t>1½ percentage points to 12</w:t>
      </w:r>
      <w:r w:rsidR="00530A29" w:rsidRPr="00140433">
        <w:rPr>
          <w:bCs/>
          <w:szCs w:val="20"/>
        </w:rPr>
        <w:t>½</w:t>
      </w:r>
      <w:r w:rsidR="0050610B">
        <w:rPr>
          <w:bCs/>
          <w:szCs w:val="20"/>
        </w:rPr>
        <w:t> </w:t>
      </w:r>
      <w:r w:rsidR="00530A29">
        <w:t>per</w:t>
      </w:r>
      <w:r>
        <w:t> </w:t>
      </w:r>
      <w:r w:rsidR="00530A29">
        <w:t>cent in 2012-13, reflecting</w:t>
      </w:r>
      <w:r w:rsidR="00035930">
        <w:t xml:space="preserve"> recent strong outcomes, faster-</w:t>
      </w:r>
      <w:r w:rsidR="00530A29">
        <w:t>than</w:t>
      </w:r>
      <w:r w:rsidR="00035930">
        <w:t>-</w:t>
      </w:r>
      <w:r w:rsidR="00530A29">
        <w:t>expected progress on some major mining investment projects</w:t>
      </w:r>
      <w:r w:rsidR="00035930">
        <w:t>,</w:t>
      </w:r>
      <w:r w:rsidR="00530A29">
        <w:t xml:space="preserve"> and an increase in the </w:t>
      </w:r>
      <w:r w:rsidR="003551AC">
        <w:t xml:space="preserve">announced </w:t>
      </w:r>
      <w:r w:rsidR="00530A29">
        <w:t>volume of expendit</w:t>
      </w:r>
      <w:r w:rsidR="00035930">
        <w:t xml:space="preserve">ure on the Gorgon LNG project. </w:t>
      </w:r>
      <w:r w:rsidR="00530A29">
        <w:t xml:space="preserve">Business investment is expected to remain strong in 2013-14, </w:t>
      </w:r>
      <w:r w:rsidR="00035930">
        <w:t>growing 5½</w:t>
      </w:r>
      <w:r w:rsidR="003F0F13">
        <w:rPr>
          <w:bCs/>
          <w:szCs w:val="20"/>
        </w:rPr>
        <w:t xml:space="preserve"> </w:t>
      </w:r>
      <w:r w:rsidR="00530A29">
        <w:t>per</w:t>
      </w:r>
      <w:r w:rsidR="003F0F13">
        <w:t xml:space="preserve"> </w:t>
      </w:r>
      <w:r w:rsidR="00035930">
        <w:t xml:space="preserve">cent, before falling </w:t>
      </w:r>
      <w:r w:rsidR="00530A29">
        <w:t xml:space="preserve">2 per cent in </w:t>
      </w:r>
      <w:r w:rsidR="00035930">
        <w:br/>
      </w:r>
      <w:r w:rsidR="000A63CE">
        <w:t>2014-15 as the mining investment peak passes.</w:t>
      </w:r>
    </w:p>
    <w:p w:rsidR="00E573F9" w:rsidRPr="0021594E" w:rsidRDefault="00E573F9" w:rsidP="00E573F9">
      <w:pPr>
        <w:keepNext/>
        <w:autoSpaceDE w:val="0"/>
        <w:autoSpaceDN w:val="0"/>
        <w:spacing w:after="0"/>
        <w:jc w:val="center"/>
        <w:rPr>
          <w:b/>
          <w:szCs w:val="20"/>
        </w:rPr>
      </w:pPr>
      <w:r w:rsidRPr="00E50F05">
        <w:rPr>
          <w:b/>
          <w:szCs w:val="20"/>
        </w:rPr>
        <w:t xml:space="preserve">Chart </w:t>
      </w:r>
      <w:r w:rsidR="000A63CE">
        <w:rPr>
          <w:b/>
          <w:szCs w:val="20"/>
        </w:rPr>
        <w:t>3</w:t>
      </w:r>
      <w:r w:rsidRPr="00E50F05">
        <w:rPr>
          <w:b/>
          <w:szCs w:val="20"/>
        </w:rPr>
        <w:t xml:space="preserve">: </w:t>
      </w:r>
      <w:r w:rsidR="00035930">
        <w:rPr>
          <w:b/>
        </w:rPr>
        <w:t>New e</w:t>
      </w:r>
      <w:r w:rsidR="00AE7822">
        <w:rPr>
          <w:b/>
        </w:rPr>
        <w:t xml:space="preserve">ngineering </w:t>
      </w:r>
      <w:r w:rsidR="00035930">
        <w:rPr>
          <w:b/>
        </w:rPr>
        <w:t>c</w:t>
      </w:r>
      <w:r w:rsidR="00AE7822">
        <w:rPr>
          <w:b/>
        </w:rPr>
        <w:t>onstruction (</w:t>
      </w:r>
      <w:r w:rsidR="00035930">
        <w:rPr>
          <w:b/>
        </w:rPr>
        <w:t>c</w:t>
      </w:r>
      <w:r w:rsidR="00AE7822">
        <w:rPr>
          <w:b/>
        </w:rPr>
        <w:t>hain-volume measure)</w:t>
      </w:r>
    </w:p>
    <w:p w:rsidR="00E573F9" w:rsidRDefault="00985325" w:rsidP="005B27FC">
      <w:pPr>
        <w:pStyle w:val="ChartGraphic0"/>
      </w:pPr>
      <w:r>
        <w:pict>
          <v:shape id="_x0000_i1029" type="#_x0000_t75" style="width:197.3pt;height:197.3pt">
            <v:imagedata r:id="rId23" o:title=""/>
          </v:shape>
        </w:pict>
      </w:r>
    </w:p>
    <w:p w:rsidR="00E573F9" w:rsidRPr="00A73D0C" w:rsidRDefault="00E573F9" w:rsidP="00124CAF">
      <w:pPr>
        <w:pStyle w:val="ChartGraphic0"/>
        <w:spacing w:after="120"/>
        <w:jc w:val="left"/>
        <w:rPr>
          <w:rFonts w:ascii="Tahoma" w:eastAsia="Times New Roman" w:hAnsi="Tahoma" w:cs="Tahoma"/>
          <w:color w:val="auto"/>
          <w:sz w:val="16"/>
          <w:szCs w:val="16"/>
        </w:rPr>
      </w:pPr>
      <w:r w:rsidRPr="00A73D0C">
        <w:rPr>
          <w:rFonts w:ascii="Tahoma" w:eastAsia="Times New Roman" w:hAnsi="Tahoma" w:cs="Tahoma"/>
          <w:color w:val="auto"/>
          <w:sz w:val="16"/>
          <w:szCs w:val="16"/>
        </w:rPr>
        <w:t>Source:  ABS cat. no. 5206.0 and Treasury.</w:t>
      </w:r>
    </w:p>
    <w:p w:rsidR="00530A29" w:rsidRDefault="00530A29" w:rsidP="00530A29">
      <w:bookmarkStart w:id="14" w:name="_Toc336420549"/>
      <w:r>
        <w:t xml:space="preserve">Consistent with the pipeline of committed major projects, </w:t>
      </w:r>
      <w:r w:rsidRPr="00B0350D">
        <w:rPr>
          <w:b/>
        </w:rPr>
        <w:t xml:space="preserve">new engineering construction </w:t>
      </w:r>
      <w:r>
        <w:t>is expected to remain strong in 2012-13 and 2013-14, growing 28</w:t>
      </w:r>
      <w:r w:rsidR="0050610B">
        <w:t> per cent</w:t>
      </w:r>
      <w:r>
        <w:t xml:space="preserve"> and </w:t>
      </w:r>
      <w:r w:rsidR="0050610B">
        <w:t>6</w:t>
      </w:r>
      <w:r>
        <w:t>½</w:t>
      </w:r>
      <w:r w:rsidR="0050610B">
        <w:t> </w:t>
      </w:r>
      <w:r>
        <w:t>per</w:t>
      </w:r>
      <w:r w:rsidR="0050610B">
        <w:t> </w:t>
      </w:r>
      <w:r>
        <w:t xml:space="preserve">cent respectively, before falling </w:t>
      </w:r>
      <w:r w:rsidR="00035930">
        <w:t>1</w:t>
      </w:r>
      <w:r>
        <w:t>5</w:t>
      </w:r>
      <w:r w:rsidR="0050610B">
        <w:t> </w:t>
      </w:r>
      <w:r>
        <w:t xml:space="preserve">per cent in </w:t>
      </w:r>
      <w:r w:rsidR="00035930">
        <w:t>2014</w:t>
      </w:r>
      <w:r w:rsidR="00035930">
        <w:noBreakHyphen/>
      </w:r>
      <w:r>
        <w:t>15 as major</w:t>
      </w:r>
      <w:r w:rsidR="003551AC">
        <w:t xml:space="preserve"> resources</w:t>
      </w:r>
      <w:r>
        <w:t xml:space="preserve"> projects move towards their production phase.  </w:t>
      </w:r>
    </w:p>
    <w:p w:rsidR="00530A29" w:rsidRPr="00B0350D" w:rsidRDefault="00530A29" w:rsidP="00530A29">
      <w:r>
        <w:rPr>
          <w:b/>
        </w:rPr>
        <w:t>New machinery and equipment</w:t>
      </w:r>
      <w:r>
        <w:t xml:space="preserve"> is expected to grow 4</w:t>
      </w:r>
      <w:r w:rsidRPr="00140433">
        <w:rPr>
          <w:bCs/>
          <w:szCs w:val="20"/>
        </w:rPr>
        <w:t>½</w:t>
      </w:r>
      <w:r>
        <w:t xml:space="preserve"> per cent in 2012-13, with the latest CAPEX survey confirming that </w:t>
      </w:r>
      <w:r w:rsidR="0050610B">
        <w:t>recent commodity price weakness is flowing through to mining sector investment intentions, w</w:t>
      </w:r>
      <w:r>
        <w:t xml:space="preserve">hile investment intentions outside of the mining sector remain subdued.  Investment in new </w:t>
      </w:r>
      <w:r>
        <w:lastRenderedPageBreak/>
        <w:t>machinery and equipment is expected to remain solid in 2013-14, growing 5½</w:t>
      </w:r>
      <w:r w:rsidR="0050610B">
        <w:t> </w:t>
      </w:r>
      <w:r>
        <w:t>per</w:t>
      </w:r>
      <w:r w:rsidR="0050610B">
        <w:t> </w:t>
      </w:r>
      <w:r>
        <w:t>cent, before picking up in 2014-15</w:t>
      </w:r>
      <w:r w:rsidR="003551AC">
        <w:t xml:space="preserve"> with higher non</w:t>
      </w:r>
      <w:r w:rsidR="003551AC">
        <w:noBreakHyphen/>
        <w:t>mining investment</w:t>
      </w:r>
      <w:r>
        <w:t>, growing 6</w:t>
      </w:r>
      <w:r w:rsidR="0050610B">
        <w:t>½ </w:t>
      </w:r>
      <w:r w:rsidR="00FA5167">
        <w:t>per</w:t>
      </w:r>
      <w:r w:rsidR="00E83212">
        <w:t xml:space="preserve"> cent. </w:t>
      </w:r>
      <w:r>
        <w:t xml:space="preserve">Investment in </w:t>
      </w:r>
      <w:r>
        <w:rPr>
          <w:b/>
        </w:rPr>
        <w:t>new</w:t>
      </w:r>
      <w:r w:rsidR="00E83212">
        <w:rPr>
          <w:b/>
        </w:rPr>
        <w:t xml:space="preserve"> </w:t>
      </w:r>
      <w:r>
        <w:rPr>
          <w:b/>
        </w:rPr>
        <w:t>non</w:t>
      </w:r>
      <w:r w:rsidR="00E83212">
        <w:rPr>
          <w:b/>
        </w:rPr>
        <w:noBreakHyphen/>
      </w:r>
      <w:r>
        <w:rPr>
          <w:b/>
        </w:rPr>
        <w:t>residential building</w:t>
      </w:r>
      <w:r>
        <w:t xml:space="preserve"> is expected to remain flat in 2012-13 and 2013-14, </w:t>
      </w:r>
      <w:r w:rsidR="0050610B">
        <w:t xml:space="preserve">before </w:t>
      </w:r>
      <w:r w:rsidR="00B4276C">
        <w:t>low vacancy rates and continued low interest rates support a modest</w:t>
      </w:r>
      <w:r w:rsidR="0050610B">
        <w:t xml:space="preserve"> </w:t>
      </w:r>
      <w:r w:rsidR="00B4276C">
        <w:t>recovery</w:t>
      </w:r>
      <w:r w:rsidR="0050610B">
        <w:t xml:space="preserve"> in 2014-15</w:t>
      </w:r>
      <w:r>
        <w:t>.</w:t>
      </w:r>
    </w:p>
    <w:p w:rsidR="00E573F9" w:rsidRPr="00035930" w:rsidRDefault="00E573F9" w:rsidP="00E573F9">
      <w:pPr>
        <w:pStyle w:val="Heading4"/>
        <w:rPr>
          <w:bCs/>
          <w:i/>
          <w:iCs/>
        </w:rPr>
      </w:pPr>
      <w:bookmarkStart w:id="15" w:name="_Toc343518883"/>
      <w:r w:rsidRPr="00035930">
        <w:t>Public final demand</w:t>
      </w:r>
      <w:bookmarkEnd w:id="14"/>
      <w:bookmarkEnd w:id="15"/>
    </w:p>
    <w:p w:rsidR="00035930" w:rsidRDefault="00035930" w:rsidP="00035930">
      <w:bookmarkStart w:id="16" w:name="_Toc336420550"/>
      <w:bookmarkStart w:id="17" w:name="_Toc343518884"/>
      <w:r w:rsidRPr="00035930">
        <w:rPr>
          <w:b/>
        </w:rPr>
        <w:t>Public final demand</w:t>
      </w:r>
      <w:r>
        <w:t xml:space="preserve"> is forecast to fall ½ of a per cent in 2012</w:t>
      </w:r>
      <w:r w:rsidR="00E83212">
        <w:t>-13 and ¼ of a per cent in 2013</w:t>
      </w:r>
      <w:r w:rsidR="00E83212">
        <w:noBreakHyphen/>
      </w:r>
      <w:r>
        <w:t>14, unchanged from September JEFG, before growing by a modest ¼ of a per cent in 2014-15. The forecast</w:t>
      </w:r>
      <w:r w:rsidR="00B4276C">
        <w:t>s are</w:t>
      </w:r>
      <w:r>
        <w:t xml:space="preserve"> </w:t>
      </w:r>
      <w:r w:rsidR="00AF7EDA" w:rsidRPr="00AF7EDA">
        <w:t xml:space="preserve">consistent with announced expenditure plans at state Budgets and </w:t>
      </w:r>
      <w:r w:rsidR="00AF7EDA">
        <w:t xml:space="preserve">the </w:t>
      </w:r>
      <w:r w:rsidR="00AF7EDA" w:rsidRPr="00AF7EDA">
        <w:t>Commonwealth commitments presented in MYEFO.</w:t>
      </w:r>
      <w:r>
        <w:t xml:space="preserve"> </w:t>
      </w:r>
    </w:p>
    <w:p w:rsidR="00E573F9" w:rsidRDefault="00E573F9" w:rsidP="00E573F9">
      <w:pPr>
        <w:pStyle w:val="Heading4"/>
        <w:rPr>
          <w:bCs/>
          <w:i/>
          <w:iCs/>
        </w:rPr>
      </w:pPr>
      <w:r w:rsidRPr="00170BD5">
        <w:t>Exports, imports and the current account deficit</w:t>
      </w:r>
      <w:bookmarkEnd w:id="16"/>
      <w:bookmarkEnd w:id="17"/>
    </w:p>
    <w:p w:rsidR="00530A29" w:rsidRDefault="00530A29" w:rsidP="00530A29">
      <w:pPr>
        <w:rPr>
          <w:szCs w:val="20"/>
        </w:rPr>
      </w:pPr>
      <w:r w:rsidRPr="00717343">
        <w:rPr>
          <w:b/>
          <w:szCs w:val="20"/>
        </w:rPr>
        <w:t>Export</w:t>
      </w:r>
      <w:r w:rsidRPr="00717343">
        <w:rPr>
          <w:szCs w:val="20"/>
        </w:rPr>
        <w:t xml:space="preserve"> growth forecasts have been slightly upgraded over the forecast period, with growth </w:t>
      </w:r>
      <w:r w:rsidRPr="00B2187E">
        <w:rPr>
          <w:szCs w:val="20"/>
        </w:rPr>
        <w:t xml:space="preserve">of 5½ per cent expected in </w:t>
      </w:r>
      <w:r w:rsidR="002677E8" w:rsidRPr="00B2187E">
        <w:rPr>
          <w:szCs w:val="20"/>
        </w:rPr>
        <w:t xml:space="preserve">both </w:t>
      </w:r>
      <w:r w:rsidRPr="00B2187E">
        <w:rPr>
          <w:szCs w:val="20"/>
        </w:rPr>
        <w:t xml:space="preserve">2012-13 and 2013-14, and 7 per cent in 2014-15. The outlook for non-rural commodity volumes has been </w:t>
      </w:r>
      <w:r w:rsidR="00143827" w:rsidRPr="00B2187E">
        <w:rPr>
          <w:szCs w:val="20"/>
        </w:rPr>
        <w:t>upgraded</w:t>
      </w:r>
      <w:r w:rsidR="00B4276C" w:rsidRPr="00B2187E">
        <w:rPr>
          <w:szCs w:val="20"/>
        </w:rPr>
        <w:t>, consistent with</w:t>
      </w:r>
      <w:r w:rsidRPr="00B2187E">
        <w:rPr>
          <w:szCs w:val="20"/>
        </w:rPr>
        <w:t xml:space="preserve"> higher expected exports of non-bulk commodities. </w:t>
      </w:r>
      <w:r w:rsidRPr="00B2187E">
        <w:t>Services expo</w:t>
      </w:r>
      <w:r w:rsidR="00323F36" w:rsidRPr="00B2187E">
        <w:t>rts are forecast to grow 1¼ per </w:t>
      </w:r>
      <w:r w:rsidRPr="00B2187E">
        <w:t>cent in 2012-13</w:t>
      </w:r>
      <w:r w:rsidR="00323F36" w:rsidRPr="00B2187E">
        <w:t>, 1½ per cent</w:t>
      </w:r>
      <w:r w:rsidR="00323F36">
        <w:t xml:space="preserve"> in 2013-14 and 2¼ </w:t>
      </w:r>
      <w:r w:rsidRPr="00717343">
        <w:t xml:space="preserve">per cent in 2014-15, reflecting </w:t>
      </w:r>
      <w:r w:rsidR="00323F36">
        <w:t>a continuation of the recent pick-up</w:t>
      </w:r>
      <w:r w:rsidRPr="00717343">
        <w:t xml:space="preserve"> in business travel and a</w:t>
      </w:r>
      <w:r w:rsidR="002677E8">
        <w:t>n expected</w:t>
      </w:r>
      <w:r w:rsidRPr="00717343">
        <w:t xml:space="preserve"> return to growth in the international student sector</w:t>
      </w:r>
      <w:r w:rsidR="00323F36">
        <w:t xml:space="preserve"> based on recent enrolments data</w:t>
      </w:r>
      <w:r w:rsidRPr="00717343">
        <w:t xml:space="preserve">. </w:t>
      </w:r>
      <w:r w:rsidRPr="00717343">
        <w:rPr>
          <w:szCs w:val="20"/>
        </w:rPr>
        <w:t>In 2012</w:t>
      </w:r>
      <w:r w:rsidRPr="00717343">
        <w:rPr>
          <w:szCs w:val="20"/>
        </w:rPr>
        <w:noBreakHyphen/>
        <w:t>13, farm production and rural exports are expected to decline from the record levels that occurred in 2011</w:t>
      </w:r>
      <w:r w:rsidRPr="00717343">
        <w:rPr>
          <w:szCs w:val="20"/>
        </w:rPr>
        <w:noBreakHyphen/>
        <w:t>12, due to less favourable weather conditions. In 2013</w:t>
      </w:r>
      <w:r w:rsidRPr="00717343">
        <w:rPr>
          <w:szCs w:val="20"/>
        </w:rPr>
        <w:noBreakHyphen/>
        <w:t>14, rural output and exports are expected to increase moderately, in line with an assumed return to average weather conditions.</w:t>
      </w:r>
    </w:p>
    <w:p w:rsidR="00E573F9" w:rsidRPr="00486FBD" w:rsidRDefault="00E573F9" w:rsidP="00C622D3">
      <w:pPr>
        <w:keepNext/>
        <w:spacing w:after="0"/>
        <w:jc w:val="center"/>
        <w:rPr>
          <w:b/>
        </w:rPr>
      </w:pPr>
      <w:r w:rsidRPr="00486FBD">
        <w:rPr>
          <w:b/>
        </w:rPr>
        <w:lastRenderedPageBreak/>
        <w:t xml:space="preserve">Chart </w:t>
      </w:r>
      <w:r w:rsidR="00CE60EF">
        <w:rPr>
          <w:b/>
        </w:rPr>
        <w:t>4</w:t>
      </w:r>
      <w:r w:rsidRPr="00486FBD">
        <w:rPr>
          <w:b/>
        </w:rPr>
        <w:t xml:space="preserve">: </w:t>
      </w:r>
      <w:r>
        <w:rPr>
          <w:b/>
        </w:rPr>
        <w:t>Export volumes</w:t>
      </w:r>
    </w:p>
    <w:p w:rsidR="00E573F9" w:rsidRDefault="00985325" w:rsidP="0042672A">
      <w:pPr>
        <w:pStyle w:val="ChartGraphic0"/>
      </w:pPr>
      <w:r>
        <w:pict>
          <v:shape id="_x0000_i1030" type="#_x0000_t75" style="width:199.65pt;height:199.65pt">
            <v:imagedata r:id="rId24" o:title=""/>
          </v:shape>
        </w:pict>
      </w:r>
    </w:p>
    <w:p w:rsidR="00E573F9" w:rsidRPr="00E17293" w:rsidRDefault="00E573F9" w:rsidP="00C622D3">
      <w:pPr>
        <w:keepNext/>
        <w:spacing w:after="120"/>
        <w:rPr>
          <w:rFonts w:ascii="Tahoma" w:eastAsia="Times New Roman" w:hAnsi="Tahoma" w:cs="Tahoma"/>
          <w:sz w:val="16"/>
          <w:szCs w:val="16"/>
        </w:rPr>
      </w:pPr>
      <w:r>
        <w:rPr>
          <w:rFonts w:ascii="Tahoma" w:eastAsia="Times New Roman" w:hAnsi="Tahoma" w:cs="Tahoma"/>
          <w:sz w:val="16"/>
          <w:szCs w:val="16"/>
        </w:rPr>
        <w:t>Source:  ABS cat. no. 5302.0</w:t>
      </w:r>
      <w:r w:rsidRPr="00E17293">
        <w:rPr>
          <w:rFonts w:ascii="Tahoma" w:eastAsia="Times New Roman" w:hAnsi="Tahoma" w:cs="Tahoma"/>
          <w:sz w:val="16"/>
          <w:szCs w:val="16"/>
        </w:rPr>
        <w:t xml:space="preserve"> and Treasury.</w:t>
      </w:r>
    </w:p>
    <w:p w:rsidR="00530A29" w:rsidRDefault="00530A29" w:rsidP="00530A29">
      <w:pPr>
        <w:rPr>
          <w:szCs w:val="20"/>
        </w:rPr>
      </w:pPr>
      <w:r w:rsidRPr="00170BD5">
        <w:rPr>
          <w:b/>
          <w:szCs w:val="20"/>
        </w:rPr>
        <w:t>Import</w:t>
      </w:r>
      <w:r w:rsidRPr="00170BD5">
        <w:rPr>
          <w:szCs w:val="20"/>
        </w:rPr>
        <w:t xml:space="preserve"> </w:t>
      </w:r>
      <w:r w:rsidRPr="00D761BC">
        <w:rPr>
          <w:szCs w:val="20"/>
        </w:rPr>
        <w:t xml:space="preserve">growth forecasts have been </w:t>
      </w:r>
      <w:r>
        <w:rPr>
          <w:szCs w:val="20"/>
        </w:rPr>
        <w:t>upgraded</w:t>
      </w:r>
      <w:r w:rsidRPr="00D761BC">
        <w:rPr>
          <w:szCs w:val="20"/>
        </w:rPr>
        <w:t xml:space="preserve"> slightly </w:t>
      </w:r>
      <w:r>
        <w:rPr>
          <w:szCs w:val="20"/>
        </w:rPr>
        <w:t>over the forecast period</w:t>
      </w:r>
      <w:r w:rsidRPr="00D761BC">
        <w:rPr>
          <w:szCs w:val="20"/>
        </w:rPr>
        <w:t xml:space="preserve">, </w:t>
      </w:r>
      <w:r>
        <w:rPr>
          <w:szCs w:val="20"/>
        </w:rPr>
        <w:t>largely driven by the upgrade to forecast</w:t>
      </w:r>
      <w:r w:rsidR="003551AC">
        <w:rPr>
          <w:szCs w:val="20"/>
        </w:rPr>
        <w:t xml:space="preserve"> growth in</w:t>
      </w:r>
      <w:r>
        <w:rPr>
          <w:szCs w:val="20"/>
        </w:rPr>
        <w:t xml:space="preserve"> LNG investment. </w:t>
      </w:r>
      <w:r w:rsidRPr="00D761BC">
        <w:rPr>
          <w:szCs w:val="20"/>
        </w:rPr>
        <w:t>Import volumes are forecast to grow 7</w:t>
      </w:r>
      <w:r w:rsidR="00BF51AB">
        <w:rPr>
          <w:szCs w:val="20"/>
        </w:rPr>
        <w:t>½ </w:t>
      </w:r>
      <w:r w:rsidRPr="00D761BC">
        <w:rPr>
          <w:szCs w:val="20"/>
        </w:rPr>
        <w:t>per</w:t>
      </w:r>
      <w:r w:rsidR="00BF51AB">
        <w:rPr>
          <w:szCs w:val="20"/>
        </w:rPr>
        <w:t> </w:t>
      </w:r>
      <w:r w:rsidRPr="00D761BC">
        <w:rPr>
          <w:szCs w:val="20"/>
        </w:rPr>
        <w:t>cent in 2012</w:t>
      </w:r>
      <w:r>
        <w:rPr>
          <w:szCs w:val="20"/>
        </w:rPr>
        <w:t>-</w:t>
      </w:r>
      <w:r w:rsidRPr="00D761BC">
        <w:rPr>
          <w:szCs w:val="20"/>
        </w:rPr>
        <w:t xml:space="preserve">13 </w:t>
      </w:r>
      <w:r w:rsidR="00B4276C">
        <w:rPr>
          <w:szCs w:val="20"/>
        </w:rPr>
        <w:t xml:space="preserve">and </w:t>
      </w:r>
      <w:r>
        <w:rPr>
          <w:szCs w:val="20"/>
        </w:rPr>
        <w:t>6 </w:t>
      </w:r>
      <w:r w:rsidRPr="00D761BC">
        <w:rPr>
          <w:szCs w:val="20"/>
        </w:rPr>
        <w:t>per</w:t>
      </w:r>
      <w:r>
        <w:rPr>
          <w:szCs w:val="20"/>
        </w:rPr>
        <w:t> </w:t>
      </w:r>
      <w:r w:rsidRPr="00D761BC">
        <w:rPr>
          <w:szCs w:val="20"/>
        </w:rPr>
        <w:t>cent in 2013</w:t>
      </w:r>
      <w:r w:rsidR="00B4276C">
        <w:rPr>
          <w:szCs w:val="20"/>
        </w:rPr>
        <w:noBreakHyphen/>
      </w:r>
      <w:r w:rsidRPr="00D761BC">
        <w:rPr>
          <w:szCs w:val="20"/>
        </w:rPr>
        <w:t>14</w:t>
      </w:r>
      <w:r w:rsidR="00B4276C">
        <w:rPr>
          <w:szCs w:val="20"/>
        </w:rPr>
        <w:t xml:space="preserve">. With the passing of the peak of mining investment, imports growth is expected to slow considerably to </w:t>
      </w:r>
      <w:r>
        <w:rPr>
          <w:szCs w:val="20"/>
        </w:rPr>
        <w:t>2 per cent in 2014-15</w:t>
      </w:r>
      <w:r w:rsidRPr="00D761BC">
        <w:rPr>
          <w:szCs w:val="20"/>
        </w:rPr>
        <w:t>. Net exports are expected to detract</w:t>
      </w:r>
      <w:r>
        <w:rPr>
          <w:szCs w:val="20"/>
        </w:rPr>
        <w:t xml:space="preserve"> ½</w:t>
      </w:r>
      <w:r w:rsidR="00CD18CB">
        <w:rPr>
          <w:szCs w:val="20"/>
        </w:rPr>
        <w:t> </w:t>
      </w:r>
      <w:r w:rsidRPr="00D761BC">
        <w:rPr>
          <w:szCs w:val="20"/>
        </w:rPr>
        <w:t>of a percentage point from real GDP growth in 2012</w:t>
      </w:r>
      <w:r>
        <w:rPr>
          <w:szCs w:val="20"/>
        </w:rPr>
        <w:t>-</w:t>
      </w:r>
      <w:r w:rsidRPr="00D761BC">
        <w:rPr>
          <w:szCs w:val="20"/>
        </w:rPr>
        <w:t>13</w:t>
      </w:r>
      <w:r w:rsidR="003F0F13">
        <w:rPr>
          <w:szCs w:val="20"/>
        </w:rPr>
        <w:t xml:space="preserve"> and</w:t>
      </w:r>
      <w:r w:rsidRPr="00D761BC">
        <w:rPr>
          <w:szCs w:val="20"/>
        </w:rPr>
        <w:t xml:space="preserve"> </w:t>
      </w:r>
      <w:r w:rsidR="003F0F13">
        <w:rPr>
          <w:szCs w:val="20"/>
        </w:rPr>
        <w:t>¼ of a percentage point in 2013</w:t>
      </w:r>
      <w:r w:rsidR="003F0F13">
        <w:rPr>
          <w:szCs w:val="20"/>
        </w:rPr>
        <w:noBreakHyphen/>
      </w:r>
      <w:r w:rsidRPr="00D761BC">
        <w:rPr>
          <w:szCs w:val="20"/>
        </w:rPr>
        <w:t>14</w:t>
      </w:r>
      <w:r>
        <w:rPr>
          <w:szCs w:val="20"/>
        </w:rPr>
        <w:t>, before adding 1¼</w:t>
      </w:r>
      <w:r w:rsidR="00BF51AB">
        <w:rPr>
          <w:szCs w:val="20"/>
        </w:rPr>
        <w:t> </w:t>
      </w:r>
      <w:r>
        <w:rPr>
          <w:szCs w:val="20"/>
        </w:rPr>
        <w:t>percentage</w:t>
      </w:r>
      <w:r w:rsidR="00BF51AB">
        <w:rPr>
          <w:szCs w:val="20"/>
        </w:rPr>
        <w:t> </w:t>
      </w:r>
      <w:r>
        <w:rPr>
          <w:szCs w:val="20"/>
        </w:rPr>
        <w:t>points in 2014-15</w:t>
      </w:r>
      <w:r w:rsidRPr="00D761BC">
        <w:rPr>
          <w:szCs w:val="20"/>
        </w:rPr>
        <w:t>.</w:t>
      </w:r>
    </w:p>
    <w:p w:rsidR="00530A29" w:rsidRDefault="00530A29" w:rsidP="00530A29">
      <w:pPr>
        <w:rPr>
          <w:szCs w:val="20"/>
        </w:rPr>
      </w:pPr>
      <w:r w:rsidRPr="00E94659">
        <w:rPr>
          <w:szCs w:val="20"/>
        </w:rPr>
        <w:t xml:space="preserve">The </w:t>
      </w:r>
      <w:r w:rsidRPr="00E94659">
        <w:rPr>
          <w:b/>
          <w:szCs w:val="20"/>
        </w:rPr>
        <w:t>terms of trade</w:t>
      </w:r>
      <w:r w:rsidRPr="00E94659">
        <w:rPr>
          <w:szCs w:val="20"/>
        </w:rPr>
        <w:t xml:space="preserve"> have been downgraded slightly in the near term and are expected to decrease </w:t>
      </w:r>
      <w:r w:rsidR="00FD74E0" w:rsidRPr="00E94659">
        <w:rPr>
          <w:szCs w:val="20"/>
        </w:rPr>
        <w:t xml:space="preserve">8¾ </w:t>
      </w:r>
      <w:r w:rsidRPr="00E94659">
        <w:rPr>
          <w:szCs w:val="20"/>
        </w:rPr>
        <w:t>per cent in 2012-13, ½ of a percentage point in 2013</w:t>
      </w:r>
      <w:r w:rsidRPr="00E94659">
        <w:rPr>
          <w:szCs w:val="20"/>
        </w:rPr>
        <w:noBreakHyphen/>
        <w:t>14 and 3 per cent in 20</w:t>
      </w:r>
      <w:r w:rsidR="00035930" w:rsidRPr="00E94659">
        <w:rPr>
          <w:szCs w:val="20"/>
        </w:rPr>
        <w:t>1</w:t>
      </w:r>
      <w:r w:rsidRPr="00E94659">
        <w:rPr>
          <w:szCs w:val="20"/>
        </w:rPr>
        <w:t xml:space="preserve">4-15. </w:t>
      </w:r>
      <w:r w:rsidR="00FD74E0" w:rsidRPr="00E94659">
        <w:rPr>
          <w:lang w:val="en-US"/>
        </w:rPr>
        <w:t xml:space="preserve">The near-term downgrade reflects a weaker-than-expected recovery in global coal prices. Iron ore prices have recovered since the September JEFG, driven </w:t>
      </w:r>
      <w:r w:rsidR="00130004">
        <w:rPr>
          <w:lang w:val="en-US"/>
        </w:rPr>
        <w:t>by stabilization of China’s steel sector and</w:t>
      </w:r>
      <w:r w:rsidR="00FD74E0" w:rsidRPr="00E94659">
        <w:rPr>
          <w:lang w:val="en-US"/>
        </w:rPr>
        <w:t xml:space="preserve"> mill restocking. </w:t>
      </w:r>
      <w:r w:rsidR="00FD74E0">
        <w:rPr>
          <w:lang w:val="en-US"/>
        </w:rPr>
        <w:t xml:space="preserve">Iron ore prices are expected to gradually drift lower as greater low-cost global supply comes online. Metallurgical coal prices have also recovered since September, coinciding with global production cuts and mine closures, but this recovery was not as strong as anticipated in September, resulting in a lower price forecast. </w:t>
      </w:r>
    </w:p>
    <w:p w:rsidR="00E573F9" w:rsidRPr="00A35202" w:rsidRDefault="00E573F9" w:rsidP="00E573F9">
      <w:pPr>
        <w:keepNext/>
        <w:autoSpaceDE w:val="0"/>
        <w:autoSpaceDN w:val="0"/>
        <w:spacing w:after="0"/>
        <w:jc w:val="center"/>
        <w:rPr>
          <w:b/>
        </w:rPr>
      </w:pPr>
      <w:r w:rsidRPr="00A35202">
        <w:rPr>
          <w:b/>
        </w:rPr>
        <w:lastRenderedPageBreak/>
        <w:t xml:space="preserve">Chart </w:t>
      </w:r>
      <w:r w:rsidR="00CE60EF">
        <w:rPr>
          <w:b/>
        </w:rPr>
        <w:t>5</w:t>
      </w:r>
      <w:r w:rsidRPr="00A35202">
        <w:rPr>
          <w:b/>
        </w:rPr>
        <w:t>: The terms of trade</w:t>
      </w:r>
    </w:p>
    <w:p w:rsidR="00E573F9" w:rsidRPr="00BB0FEF" w:rsidRDefault="00985325" w:rsidP="00A11DA3">
      <w:pPr>
        <w:pStyle w:val="ChartGraphic0"/>
      </w:pPr>
      <w:r>
        <w:pict>
          <v:shape id="_x0000_i1031" type="#_x0000_t75" style="width:199.65pt;height:197.3pt">
            <v:imagedata r:id="rId25" o:title=""/>
          </v:shape>
        </w:pict>
      </w:r>
      <w:r w:rsidR="00E573F9" w:rsidRPr="00170BD5">
        <w:rPr>
          <w:rFonts w:ascii="Tahoma" w:hAnsi="Tahoma" w:cs="Tahoma"/>
          <w:sz w:val="16"/>
          <w:szCs w:val="16"/>
        </w:rPr>
        <w:t>Source: ABS cat. no. 5206.0 and Treasury.</w:t>
      </w:r>
    </w:p>
    <w:p w:rsidR="00E573F9" w:rsidRPr="00170BD5" w:rsidRDefault="00E573F9" w:rsidP="00E573F9">
      <w:pPr>
        <w:spacing w:after="0"/>
        <w:rPr>
          <w:rFonts w:ascii="Tahoma" w:hAnsi="Tahoma" w:cs="Tahoma"/>
          <w:color w:val="000000"/>
          <w:sz w:val="16"/>
          <w:szCs w:val="16"/>
        </w:rPr>
      </w:pPr>
    </w:p>
    <w:p w:rsidR="00530A29" w:rsidRDefault="00530A29" w:rsidP="00530A29">
      <w:bookmarkStart w:id="18" w:name="_Toc336420551"/>
      <w:r w:rsidRPr="002B2212">
        <w:t xml:space="preserve">The </w:t>
      </w:r>
      <w:r w:rsidRPr="002B2212">
        <w:rPr>
          <w:b/>
          <w:bCs/>
        </w:rPr>
        <w:t>current account deficit</w:t>
      </w:r>
      <w:r w:rsidRPr="002B2212">
        <w:t xml:space="preserve"> is forecast to widen over the next two years.  This reflects an expected turnaround in the trade balance from a surplus to a deficit, driven by the deterioration in the terms of trade. The current account deficit is expected to be 5 per cent of GDP in 2012-13</w:t>
      </w:r>
      <w:r w:rsidR="00DD365B">
        <w:t>,</w:t>
      </w:r>
      <w:r w:rsidRPr="002B2212">
        <w:t xml:space="preserve"> </w:t>
      </w:r>
      <w:r w:rsidR="00BF51AB" w:rsidRPr="002B2212">
        <w:t>5½ per cent of GDP in 2013</w:t>
      </w:r>
      <w:r w:rsidR="00BF51AB" w:rsidRPr="002B2212">
        <w:noBreakHyphen/>
        <w:t>14</w:t>
      </w:r>
      <w:r w:rsidR="00DD365B">
        <w:t xml:space="preserve"> and 5 per cent of GDP in 2014</w:t>
      </w:r>
      <w:r w:rsidR="00DD365B">
        <w:noBreakHyphen/>
        <w:t>15</w:t>
      </w:r>
      <w:r w:rsidR="00BF51AB" w:rsidRPr="002B2212">
        <w:t xml:space="preserve">. </w:t>
      </w:r>
      <w:r w:rsidR="008E52E6">
        <w:t>The reduction in the current account deficit in 2014</w:t>
      </w:r>
      <w:r w:rsidR="008E52E6">
        <w:noBreakHyphen/>
        <w:t xml:space="preserve">15 reflects a decrease in imports related to reduced LNG investment and higher export volumes. </w:t>
      </w:r>
      <w:r w:rsidRPr="002B2212">
        <w:t>Considered from a net lending persp</w:t>
      </w:r>
      <w:r w:rsidR="00130004">
        <w:t xml:space="preserve">ective, the key driver of the widening current account deficit over the first half of the forecast period </w:t>
      </w:r>
      <w:r w:rsidRPr="002B2212">
        <w:t>is the inflow of capital needed to finance the mining investment boom, with the household sector expected to be a net saver over the forecast period.</w:t>
      </w:r>
    </w:p>
    <w:p w:rsidR="00E573F9" w:rsidRPr="00AD764A" w:rsidRDefault="00E573F9" w:rsidP="00E573F9">
      <w:pPr>
        <w:pStyle w:val="Heading4"/>
        <w:rPr>
          <w:bCs/>
          <w:i/>
          <w:iCs/>
        </w:rPr>
      </w:pPr>
      <w:bookmarkStart w:id="19" w:name="_Toc343518885"/>
      <w:r w:rsidRPr="00AD764A">
        <w:t>Employment, wages and inflation</w:t>
      </w:r>
      <w:bookmarkEnd w:id="18"/>
      <w:bookmarkEnd w:id="19"/>
    </w:p>
    <w:p w:rsidR="00530A29" w:rsidRDefault="00530A29" w:rsidP="00530A29">
      <w:pPr>
        <w:rPr>
          <w:szCs w:val="20"/>
        </w:rPr>
      </w:pPr>
      <w:r>
        <w:rPr>
          <w:szCs w:val="20"/>
        </w:rPr>
        <w:t xml:space="preserve">The outlook for </w:t>
      </w:r>
      <w:r>
        <w:rPr>
          <w:b/>
          <w:szCs w:val="20"/>
        </w:rPr>
        <w:t xml:space="preserve">employment </w:t>
      </w:r>
      <w:r>
        <w:rPr>
          <w:szCs w:val="20"/>
        </w:rPr>
        <w:t xml:space="preserve">growth continues to be subdued, </w:t>
      </w:r>
      <w:r w:rsidRPr="00D761BC">
        <w:rPr>
          <w:szCs w:val="20"/>
        </w:rPr>
        <w:t xml:space="preserve">with the high Australian dollar, uneven patterns of demand and continued </w:t>
      </w:r>
      <w:r w:rsidR="00B4276C">
        <w:rPr>
          <w:szCs w:val="20"/>
        </w:rPr>
        <w:t>balance sheet consolidation in the</w:t>
      </w:r>
      <w:r w:rsidRPr="00D761BC">
        <w:rPr>
          <w:szCs w:val="20"/>
        </w:rPr>
        <w:t xml:space="preserve"> household and corporate sectors weighing on employment </w:t>
      </w:r>
      <w:r>
        <w:rPr>
          <w:szCs w:val="20"/>
        </w:rPr>
        <w:t xml:space="preserve">conditions in many industries. </w:t>
      </w:r>
      <w:r w:rsidRPr="00D761BC">
        <w:rPr>
          <w:szCs w:val="20"/>
        </w:rPr>
        <w:t>Employment is expected to increase 1</w:t>
      </w:r>
      <w:r>
        <w:rPr>
          <w:szCs w:val="20"/>
        </w:rPr>
        <w:t> </w:t>
      </w:r>
      <w:r w:rsidRPr="00D761BC">
        <w:rPr>
          <w:szCs w:val="20"/>
        </w:rPr>
        <w:t>per</w:t>
      </w:r>
      <w:r>
        <w:rPr>
          <w:szCs w:val="20"/>
        </w:rPr>
        <w:t> </w:t>
      </w:r>
      <w:r w:rsidRPr="00D761BC">
        <w:rPr>
          <w:szCs w:val="20"/>
        </w:rPr>
        <w:t xml:space="preserve">cent through the year to the June quarter 2013 and 1¼ per cent through the </w:t>
      </w:r>
      <w:r>
        <w:rPr>
          <w:szCs w:val="20"/>
        </w:rPr>
        <w:t xml:space="preserve">year to the June quarters of 2014 and 2015. </w:t>
      </w:r>
      <w:r w:rsidRPr="00D761BC">
        <w:rPr>
          <w:szCs w:val="20"/>
        </w:rPr>
        <w:t xml:space="preserve">The </w:t>
      </w:r>
      <w:r w:rsidRPr="00D761BC">
        <w:rPr>
          <w:b/>
          <w:szCs w:val="20"/>
        </w:rPr>
        <w:t>unemployment rate</w:t>
      </w:r>
      <w:r w:rsidRPr="00D761BC">
        <w:rPr>
          <w:szCs w:val="20"/>
        </w:rPr>
        <w:t xml:space="preserve"> is</w:t>
      </w:r>
      <w:r>
        <w:rPr>
          <w:szCs w:val="20"/>
        </w:rPr>
        <w:t xml:space="preserve"> forecast to increase to 5½ per cent by the Ju</w:t>
      </w:r>
      <w:r w:rsidR="005E7002">
        <w:rPr>
          <w:szCs w:val="20"/>
        </w:rPr>
        <w:t>ne quarter</w:t>
      </w:r>
      <w:r>
        <w:rPr>
          <w:szCs w:val="20"/>
        </w:rPr>
        <w:t xml:space="preserve"> 2013 and </w:t>
      </w:r>
      <w:r w:rsidRPr="00D761BC">
        <w:rPr>
          <w:szCs w:val="20"/>
        </w:rPr>
        <w:t>5¾ per cent by the June quarter</w:t>
      </w:r>
      <w:r>
        <w:rPr>
          <w:szCs w:val="20"/>
        </w:rPr>
        <w:t xml:space="preserve"> </w:t>
      </w:r>
      <w:r w:rsidRPr="00D761BC">
        <w:rPr>
          <w:szCs w:val="20"/>
        </w:rPr>
        <w:t>2014</w:t>
      </w:r>
      <w:r w:rsidR="00BF51AB">
        <w:rPr>
          <w:szCs w:val="20"/>
        </w:rPr>
        <w:t xml:space="preserve">, </w:t>
      </w:r>
      <w:r>
        <w:rPr>
          <w:szCs w:val="20"/>
        </w:rPr>
        <w:t xml:space="preserve">before </w:t>
      </w:r>
      <w:r w:rsidR="00323F36">
        <w:rPr>
          <w:szCs w:val="20"/>
        </w:rPr>
        <w:t>reaching</w:t>
      </w:r>
      <w:r>
        <w:rPr>
          <w:szCs w:val="20"/>
        </w:rPr>
        <w:t xml:space="preserve"> 6</w:t>
      </w:r>
      <w:r w:rsidR="00BF51AB">
        <w:rPr>
          <w:szCs w:val="20"/>
        </w:rPr>
        <w:t> </w:t>
      </w:r>
      <w:r>
        <w:rPr>
          <w:szCs w:val="20"/>
        </w:rPr>
        <w:t>per</w:t>
      </w:r>
      <w:r w:rsidR="00BF51AB">
        <w:rPr>
          <w:szCs w:val="20"/>
        </w:rPr>
        <w:t> </w:t>
      </w:r>
      <w:r>
        <w:rPr>
          <w:szCs w:val="20"/>
        </w:rPr>
        <w:t xml:space="preserve">cent </w:t>
      </w:r>
      <w:r w:rsidR="00035E67">
        <w:rPr>
          <w:szCs w:val="20"/>
        </w:rPr>
        <w:t>by the June quarter 2015</w:t>
      </w:r>
      <w:r w:rsidR="00A54B30">
        <w:rPr>
          <w:szCs w:val="20"/>
        </w:rPr>
        <w:t xml:space="preserve"> in line with below</w:t>
      </w:r>
      <w:r w:rsidR="00A54B30">
        <w:rPr>
          <w:szCs w:val="20"/>
        </w:rPr>
        <w:noBreakHyphen/>
      </w:r>
      <w:r>
        <w:rPr>
          <w:szCs w:val="20"/>
        </w:rPr>
        <w:t>trend growth in GDP.</w:t>
      </w:r>
    </w:p>
    <w:p w:rsidR="00E573F9" w:rsidRDefault="00E573F9" w:rsidP="00E573F9">
      <w:pPr>
        <w:keepNext/>
        <w:autoSpaceDE w:val="0"/>
        <w:autoSpaceDN w:val="0"/>
        <w:spacing w:after="0"/>
        <w:jc w:val="center"/>
        <w:rPr>
          <w:b/>
        </w:rPr>
      </w:pPr>
      <w:r w:rsidRPr="00A35202">
        <w:rPr>
          <w:b/>
        </w:rPr>
        <w:lastRenderedPageBreak/>
        <w:t xml:space="preserve">Chart </w:t>
      </w:r>
      <w:r w:rsidR="00CE60EF">
        <w:rPr>
          <w:b/>
        </w:rPr>
        <w:t>6</w:t>
      </w:r>
      <w:r w:rsidRPr="00A35202">
        <w:rPr>
          <w:b/>
        </w:rPr>
        <w:t xml:space="preserve">: </w:t>
      </w:r>
      <w:r>
        <w:rPr>
          <w:b/>
        </w:rPr>
        <w:t>Employment growth</w:t>
      </w:r>
      <w:r w:rsidR="0081677E">
        <w:rPr>
          <w:b/>
        </w:rPr>
        <w:t xml:space="preserve"> (tty)</w:t>
      </w:r>
    </w:p>
    <w:p w:rsidR="00E573F9" w:rsidRPr="00A35202" w:rsidRDefault="00985325" w:rsidP="00B444BF">
      <w:pPr>
        <w:pStyle w:val="ChartGraphic0"/>
      </w:pPr>
      <w:r>
        <w:pict>
          <v:shape id="_x0000_i1032" type="#_x0000_t75" style="width:199.65pt;height:199.65pt">
            <v:imagedata r:id="rId26" o:title=""/>
          </v:shape>
        </w:pict>
      </w:r>
    </w:p>
    <w:p w:rsidR="00E573F9" w:rsidRDefault="00E573F9" w:rsidP="00E573F9">
      <w:pPr>
        <w:spacing w:after="120"/>
        <w:rPr>
          <w:rFonts w:ascii="Tahoma" w:hAnsi="Tahoma" w:cs="Tahoma"/>
          <w:color w:val="000000"/>
          <w:sz w:val="16"/>
          <w:szCs w:val="16"/>
        </w:rPr>
      </w:pPr>
      <w:r w:rsidRPr="00170BD5">
        <w:rPr>
          <w:rFonts w:ascii="Tahoma" w:hAnsi="Tahoma" w:cs="Tahoma"/>
          <w:color w:val="000000"/>
          <w:sz w:val="16"/>
          <w:szCs w:val="16"/>
        </w:rPr>
        <w:t xml:space="preserve">Source: ABS cat. no. </w:t>
      </w:r>
      <w:r>
        <w:rPr>
          <w:rFonts w:ascii="Tahoma" w:hAnsi="Tahoma" w:cs="Tahoma"/>
          <w:color w:val="000000"/>
          <w:sz w:val="16"/>
          <w:szCs w:val="16"/>
        </w:rPr>
        <w:t>6202.</w:t>
      </w:r>
      <w:r w:rsidRPr="00170BD5">
        <w:rPr>
          <w:rFonts w:ascii="Tahoma" w:hAnsi="Tahoma" w:cs="Tahoma"/>
          <w:color w:val="000000"/>
          <w:sz w:val="16"/>
          <w:szCs w:val="16"/>
        </w:rPr>
        <w:t>0 and Treasury.</w:t>
      </w:r>
    </w:p>
    <w:p w:rsidR="00530A29" w:rsidRDefault="00530A29" w:rsidP="00530A29">
      <w:pPr>
        <w:rPr>
          <w:szCs w:val="20"/>
        </w:rPr>
      </w:pPr>
      <w:r w:rsidRPr="00AD764A">
        <w:rPr>
          <w:b/>
          <w:szCs w:val="20"/>
        </w:rPr>
        <w:t xml:space="preserve">Wages </w:t>
      </w:r>
      <w:r w:rsidRPr="00D761BC">
        <w:rPr>
          <w:szCs w:val="20"/>
        </w:rPr>
        <w:t xml:space="preserve">growth is </w:t>
      </w:r>
      <w:r>
        <w:rPr>
          <w:szCs w:val="20"/>
        </w:rPr>
        <w:t>forecast</w:t>
      </w:r>
      <w:r w:rsidRPr="00D761BC">
        <w:rPr>
          <w:szCs w:val="20"/>
        </w:rPr>
        <w:t xml:space="preserve"> to slow, consistent with the </w:t>
      </w:r>
      <w:r>
        <w:rPr>
          <w:szCs w:val="20"/>
        </w:rPr>
        <w:t>expected</w:t>
      </w:r>
      <w:r w:rsidRPr="00D761BC">
        <w:rPr>
          <w:szCs w:val="20"/>
        </w:rPr>
        <w:t xml:space="preserve"> </w:t>
      </w:r>
      <w:r w:rsidR="00BF51AB">
        <w:rPr>
          <w:szCs w:val="20"/>
        </w:rPr>
        <w:t>subdued c</w:t>
      </w:r>
      <w:r>
        <w:rPr>
          <w:szCs w:val="20"/>
        </w:rPr>
        <w:t xml:space="preserve">onditions </w:t>
      </w:r>
      <w:r w:rsidRPr="00D761BC">
        <w:rPr>
          <w:szCs w:val="20"/>
        </w:rPr>
        <w:t>in</w:t>
      </w:r>
      <w:r>
        <w:rPr>
          <w:szCs w:val="20"/>
        </w:rPr>
        <w:t xml:space="preserve"> the</w:t>
      </w:r>
      <w:r w:rsidRPr="00D761BC">
        <w:rPr>
          <w:szCs w:val="20"/>
        </w:rPr>
        <w:t xml:space="preserve"> labour market</w:t>
      </w:r>
      <w:r>
        <w:rPr>
          <w:szCs w:val="20"/>
        </w:rPr>
        <w:t>. Private sector wages</w:t>
      </w:r>
      <w:r w:rsidRPr="00D761BC">
        <w:rPr>
          <w:szCs w:val="20"/>
        </w:rPr>
        <w:t xml:space="preserve"> </w:t>
      </w:r>
      <w:r>
        <w:rPr>
          <w:szCs w:val="20"/>
        </w:rPr>
        <w:t xml:space="preserve">growth has slowed to around trend, while </w:t>
      </w:r>
      <w:r w:rsidRPr="00D761BC">
        <w:rPr>
          <w:szCs w:val="20"/>
        </w:rPr>
        <w:t xml:space="preserve">ongoing fiscal consolidation </w:t>
      </w:r>
      <w:r w:rsidR="00BF51AB">
        <w:rPr>
          <w:szCs w:val="20"/>
        </w:rPr>
        <w:t>across all</w:t>
      </w:r>
      <w:r>
        <w:rPr>
          <w:szCs w:val="20"/>
        </w:rPr>
        <w:t xml:space="preserve"> levels of government has driven weak public sector wages growth. Going forward</w:t>
      </w:r>
      <w:r w:rsidRPr="00D761BC">
        <w:rPr>
          <w:szCs w:val="20"/>
        </w:rPr>
        <w:t>, the Wage Price Index is forecast to grow 3½ per cent through the year to the June quarters of 2013</w:t>
      </w:r>
      <w:r>
        <w:rPr>
          <w:szCs w:val="20"/>
        </w:rPr>
        <w:t>,</w:t>
      </w:r>
      <w:r w:rsidRPr="00D761BC">
        <w:rPr>
          <w:szCs w:val="20"/>
        </w:rPr>
        <w:t xml:space="preserve"> 2014</w:t>
      </w:r>
      <w:r>
        <w:rPr>
          <w:szCs w:val="20"/>
        </w:rPr>
        <w:t xml:space="preserve"> and 2015</w:t>
      </w:r>
      <w:r w:rsidR="0010175B">
        <w:rPr>
          <w:szCs w:val="20"/>
        </w:rPr>
        <w:t>.</w:t>
      </w:r>
    </w:p>
    <w:p w:rsidR="00530A29" w:rsidRPr="0085320E" w:rsidRDefault="00530A29" w:rsidP="00530A29">
      <w:pPr>
        <w:spacing w:after="120"/>
        <w:rPr>
          <w:szCs w:val="20"/>
        </w:rPr>
      </w:pPr>
      <w:r w:rsidRPr="002B7AF6">
        <w:rPr>
          <w:b/>
          <w:szCs w:val="20"/>
        </w:rPr>
        <w:t>Inflation</w:t>
      </w:r>
      <w:r w:rsidRPr="002B7AF6">
        <w:rPr>
          <w:szCs w:val="20"/>
        </w:rPr>
        <w:t xml:space="preserve"> is expected to pick up slightly in 2012-13</w:t>
      </w:r>
      <w:r>
        <w:rPr>
          <w:szCs w:val="20"/>
        </w:rPr>
        <w:t xml:space="preserve"> following strong growth in administered prices in the September quarter, part of which reflects the introduction of the carbon price.  Despite this, inflation is expected to </w:t>
      </w:r>
      <w:r w:rsidRPr="002B7AF6">
        <w:rPr>
          <w:szCs w:val="20"/>
        </w:rPr>
        <w:t xml:space="preserve">remain towards the bottom half </w:t>
      </w:r>
      <w:r>
        <w:rPr>
          <w:szCs w:val="20"/>
        </w:rPr>
        <w:t xml:space="preserve">of the target band thereafter, with solid productivity growth, </w:t>
      </w:r>
      <w:r w:rsidRPr="001A7D81">
        <w:rPr>
          <w:szCs w:val="20"/>
        </w:rPr>
        <w:t xml:space="preserve">the </w:t>
      </w:r>
      <w:r>
        <w:rPr>
          <w:szCs w:val="20"/>
        </w:rPr>
        <w:t>rising</w:t>
      </w:r>
      <w:r w:rsidRPr="001A7D81">
        <w:rPr>
          <w:szCs w:val="20"/>
        </w:rPr>
        <w:t xml:space="preserve"> unemployment</w:t>
      </w:r>
      <w:r>
        <w:rPr>
          <w:szCs w:val="20"/>
        </w:rPr>
        <w:t xml:space="preserve"> rate and the subdued wages outlook </w:t>
      </w:r>
      <w:r w:rsidRPr="001A7D81">
        <w:rPr>
          <w:szCs w:val="20"/>
        </w:rPr>
        <w:t>dampen</w:t>
      </w:r>
      <w:r>
        <w:rPr>
          <w:szCs w:val="20"/>
        </w:rPr>
        <w:t>ing</w:t>
      </w:r>
      <w:r w:rsidRPr="001A7D81">
        <w:rPr>
          <w:szCs w:val="20"/>
        </w:rPr>
        <w:t xml:space="preserve"> price pressures.  </w:t>
      </w:r>
      <w:r w:rsidRPr="0085320E">
        <w:rPr>
          <w:szCs w:val="20"/>
        </w:rPr>
        <w:t>Headline inflation (including the carbon price impact) is expected to be 3</w:t>
      </w:r>
      <w:r>
        <w:rPr>
          <w:szCs w:val="20"/>
        </w:rPr>
        <w:t>¼ </w:t>
      </w:r>
      <w:r w:rsidRPr="0085320E">
        <w:rPr>
          <w:szCs w:val="20"/>
        </w:rPr>
        <w:t>per</w:t>
      </w:r>
      <w:r>
        <w:rPr>
          <w:szCs w:val="20"/>
        </w:rPr>
        <w:t> </w:t>
      </w:r>
      <w:r w:rsidRPr="0085320E">
        <w:rPr>
          <w:szCs w:val="20"/>
        </w:rPr>
        <w:t>cent through the year to</w:t>
      </w:r>
      <w:r w:rsidRPr="002C6541">
        <w:rPr>
          <w:szCs w:val="20"/>
        </w:rPr>
        <w:t xml:space="preserve"> the June quarter</w:t>
      </w:r>
      <w:r>
        <w:rPr>
          <w:szCs w:val="20"/>
        </w:rPr>
        <w:t xml:space="preserve"> </w:t>
      </w:r>
      <w:r w:rsidRPr="0085320E">
        <w:rPr>
          <w:szCs w:val="20"/>
        </w:rPr>
        <w:t>2013 and 2¼ per cent through the year to the June quarter</w:t>
      </w:r>
      <w:r>
        <w:rPr>
          <w:szCs w:val="20"/>
        </w:rPr>
        <w:t>s</w:t>
      </w:r>
      <w:r w:rsidRPr="0085320E">
        <w:rPr>
          <w:szCs w:val="20"/>
        </w:rPr>
        <w:t xml:space="preserve"> of 2014</w:t>
      </w:r>
      <w:r>
        <w:rPr>
          <w:szCs w:val="20"/>
        </w:rPr>
        <w:t xml:space="preserve"> and 2015</w:t>
      </w:r>
      <w:r w:rsidRPr="0085320E">
        <w:rPr>
          <w:szCs w:val="20"/>
        </w:rPr>
        <w:t>.  Underlying inflation (including the carbon price impact) is expected to be 2½ per cent through the year to t</w:t>
      </w:r>
      <w:r>
        <w:rPr>
          <w:szCs w:val="20"/>
        </w:rPr>
        <w:t xml:space="preserve">he June quarter 2013, and </w:t>
      </w:r>
      <w:r w:rsidRPr="0085320E">
        <w:rPr>
          <w:szCs w:val="20"/>
        </w:rPr>
        <w:t>2¼ per cent through the year to the June quarter</w:t>
      </w:r>
      <w:r>
        <w:rPr>
          <w:szCs w:val="20"/>
        </w:rPr>
        <w:t>s</w:t>
      </w:r>
      <w:r w:rsidRPr="0085320E">
        <w:rPr>
          <w:szCs w:val="20"/>
        </w:rPr>
        <w:t xml:space="preserve"> of 2014</w:t>
      </w:r>
      <w:r>
        <w:rPr>
          <w:szCs w:val="20"/>
        </w:rPr>
        <w:t xml:space="preserve"> and 2015</w:t>
      </w:r>
      <w:r w:rsidRPr="0085320E">
        <w:rPr>
          <w:szCs w:val="20"/>
        </w:rPr>
        <w:t>.</w:t>
      </w:r>
    </w:p>
    <w:p w:rsidR="00E573F9" w:rsidRPr="003A3FD7" w:rsidRDefault="00E573F9" w:rsidP="00E573F9">
      <w:pPr>
        <w:keepNext/>
        <w:spacing w:after="0"/>
        <w:jc w:val="center"/>
        <w:rPr>
          <w:b/>
        </w:rPr>
      </w:pPr>
      <w:r w:rsidRPr="003A3FD7">
        <w:rPr>
          <w:b/>
        </w:rPr>
        <w:lastRenderedPageBreak/>
        <w:t xml:space="preserve">Chart </w:t>
      </w:r>
      <w:r w:rsidR="00CE60EF">
        <w:rPr>
          <w:b/>
        </w:rPr>
        <w:t>7</w:t>
      </w:r>
      <w:r w:rsidRPr="003A3FD7">
        <w:rPr>
          <w:b/>
        </w:rPr>
        <w:t>: Inflation</w:t>
      </w:r>
    </w:p>
    <w:p w:rsidR="00E573F9" w:rsidRDefault="00985325" w:rsidP="00243EC5">
      <w:pPr>
        <w:pStyle w:val="ChartGraphic0"/>
      </w:pPr>
      <w:r>
        <w:pict>
          <v:shape id="_x0000_i1033" type="#_x0000_t75" style="width:199.65pt;height:199.65pt">
            <v:imagedata r:id="rId27" o:title=""/>
          </v:shape>
        </w:pict>
      </w:r>
    </w:p>
    <w:p w:rsidR="00E573F9" w:rsidRDefault="00E573F9" w:rsidP="00E573F9">
      <w:pPr>
        <w:spacing w:after="0"/>
        <w:rPr>
          <w:rFonts w:ascii="Tahoma" w:hAnsi="Tahoma" w:cs="Tahoma"/>
          <w:sz w:val="16"/>
          <w:szCs w:val="16"/>
        </w:rPr>
      </w:pPr>
      <w:r w:rsidRPr="0014581D">
        <w:rPr>
          <w:rFonts w:ascii="Tahoma" w:hAnsi="Tahoma" w:cs="Tahoma"/>
          <w:sz w:val="16"/>
          <w:szCs w:val="16"/>
        </w:rPr>
        <w:t>Source:  ABS cat. no. 6401.0 and Treasury.</w:t>
      </w:r>
    </w:p>
    <w:p w:rsidR="00E573F9" w:rsidRDefault="00E573F9" w:rsidP="00E573F9">
      <w:pPr>
        <w:spacing w:after="200"/>
        <w:rPr>
          <w:szCs w:val="20"/>
        </w:rPr>
      </w:pPr>
      <w:r>
        <w:rPr>
          <w:szCs w:val="20"/>
        </w:rPr>
        <w:br w:type="page"/>
      </w:r>
    </w:p>
    <w:p w:rsidR="00E573F9" w:rsidRDefault="00E573F9" w:rsidP="00E573F9">
      <w:pPr>
        <w:spacing w:after="0"/>
        <w:sectPr w:rsidR="00E573F9" w:rsidSect="00CA4B93">
          <w:type w:val="continuous"/>
          <w:pgSz w:w="11907" w:h="16840" w:code="9"/>
          <w:pgMar w:top="1418" w:right="1418" w:bottom="1418" w:left="1418" w:header="567" w:footer="567" w:gutter="0"/>
          <w:cols w:num="2" w:space="709"/>
        </w:sectPr>
      </w:pPr>
    </w:p>
    <w:p w:rsidR="00DC5B41" w:rsidRPr="006B1311" w:rsidRDefault="00DC5B41" w:rsidP="00DC5B41">
      <w:pPr>
        <w:pStyle w:val="Heading3"/>
      </w:pPr>
      <w:bookmarkStart w:id="20" w:name="_Toc116366080"/>
      <w:bookmarkStart w:id="21" w:name="_Toc90808266"/>
      <w:bookmarkStart w:id="22" w:name="_Toc343518886"/>
      <w:bookmarkStart w:id="23" w:name="OLE_LINK1"/>
      <w:bookmarkStart w:id="24" w:name="_Toc90808267"/>
      <w:r w:rsidRPr="006B1311">
        <w:lastRenderedPageBreak/>
        <w:t>Outlook for the international economy</w:t>
      </w:r>
      <w:bookmarkStart w:id="25" w:name="_Toc90977891"/>
      <w:bookmarkEnd w:id="20"/>
      <w:bookmarkEnd w:id="21"/>
      <w:bookmarkEnd w:id="22"/>
    </w:p>
    <w:p w:rsidR="00DC5B41" w:rsidRPr="00DC5B41" w:rsidRDefault="00DC5B41" w:rsidP="00DC5B41">
      <w:pPr>
        <w:spacing w:after="0" w:line="240" w:lineRule="auto"/>
        <w:jc w:val="left"/>
        <w:rPr>
          <w:rFonts w:ascii="Tahoma" w:hAnsi="Tahoma"/>
          <w:b/>
          <w:smallCaps/>
          <w:sz w:val="26"/>
        </w:rPr>
        <w:sectPr w:rsidR="00DC5B41" w:rsidRPr="00DC5B41" w:rsidSect="00DC5B41">
          <w:type w:val="continuous"/>
          <w:pgSz w:w="11907" w:h="16840"/>
          <w:pgMar w:top="1418" w:right="1418" w:bottom="1418" w:left="1418" w:header="567" w:footer="567" w:gutter="0"/>
          <w:cols w:space="720"/>
        </w:sectPr>
      </w:pPr>
    </w:p>
    <w:bookmarkEnd w:id="25"/>
    <w:p w:rsidR="00DC5B41" w:rsidRPr="00DC5B41" w:rsidRDefault="00B842DF" w:rsidP="00DC5B41">
      <w:pPr>
        <w:pStyle w:val="TableHeadingCharChar"/>
      </w:pPr>
      <w:r w:rsidRPr="003F0F13">
        <w:lastRenderedPageBreak/>
        <w:t>Table 3</w:t>
      </w:r>
      <w:r w:rsidR="00DC5B41" w:rsidRPr="003F0F13">
        <w:t>: International GDP growth forecasts</w:t>
      </w:r>
      <w:r w:rsidR="00DC5B41" w:rsidRPr="003F0F13">
        <w:rPr>
          <w:rFonts w:cs="Tahoma"/>
          <w:bCs/>
          <w:szCs w:val="22"/>
          <w:vertAlign w:val="superscript"/>
        </w:rPr>
        <w:t>(a)</w:t>
      </w:r>
    </w:p>
    <w:p w:rsidR="00DC5B41" w:rsidRPr="00DC5B41" w:rsidRDefault="00985325" w:rsidP="00015F4B">
      <w:pPr>
        <w:pStyle w:val="TableGraphic0"/>
      </w:pPr>
      <w:r>
        <w:pict>
          <v:shape id="_x0000_i1034" type="#_x0000_t75" style="width:429.65pt;height:166.45pt">
            <v:imagedata r:id="rId28" o:title=""/>
          </v:shape>
        </w:pict>
      </w:r>
    </w:p>
    <w:p w:rsidR="00DC5B41" w:rsidRDefault="00DC5B41" w:rsidP="00DC5B41">
      <w:pPr>
        <w:spacing w:after="0" w:line="240" w:lineRule="auto"/>
        <w:jc w:val="left"/>
        <w:rPr>
          <w:rFonts w:cs="Arial"/>
          <w:sz w:val="16"/>
          <w:szCs w:val="16"/>
        </w:rPr>
      </w:pPr>
    </w:p>
    <w:p w:rsidR="00113C02" w:rsidRPr="00DC5B41" w:rsidRDefault="00113C02" w:rsidP="00DC5B41">
      <w:pPr>
        <w:spacing w:after="0" w:line="240" w:lineRule="auto"/>
        <w:jc w:val="left"/>
        <w:rPr>
          <w:rFonts w:cs="Arial"/>
          <w:sz w:val="16"/>
          <w:szCs w:val="16"/>
        </w:rPr>
        <w:sectPr w:rsidR="00113C02" w:rsidRPr="00DC5B41">
          <w:type w:val="continuous"/>
          <w:pgSz w:w="11907" w:h="16840"/>
          <w:pgMar w:top="1418" w:right="1418" w:bottom="1418" w:left="1418" w:header="567" w:footer="567" w:gutter="0"/>
          <w:cols w:space="720"/>
        </w:sectPr>
      </w:pPr>
    </w:p>
    <w:p w:rsidR="00D5563F" w:rsidRDefault="00D5563F" w:rsidP="00D5563F">
      <w:pPr>
        <w:pStyle w:val="Heading4"/>
        <w:spacing w:after="120"/>
      </w:pPr>
      <w:r>
        <w:lastRenderedPageBreak/>
        <w:t>World outlook and risks</w:t>
      </w:r>
    </w:p>
    <w:p w:rsidR="00D5563F" w:rsidRPr="00D5563F" w:rsidRDefault="00D5563F" w:rsidP="00D5563F">
      <w:pPr>
        <w:autoSpaceDE w:val="0"/>
        <w:autoSpaceDN w:val="0"/>
        <w:spacing w:after="0"/>
      </w:pPr>
      <w:r w:rsidRPr="00D5563F">
        <w:t xml:space="preserve">The global outlook remains highly uncertain, and has weakened slightly since </w:t>
      </w:r>
      <w:r w:rsidR="005C3D6A">
        <w:t>September</w:t>
      </w:r>
      <w:r w:rsidRPr="00D5563F">
        <w:t>. Downside risks are still dominant, and the outlook for a number o</w:t>
      </w:r>
      <w:r w:rsidR="002B2212">
        <w:t xml:space="preserve">f major economies has softened. </w:t>
      </w:r>
      <w:r w:rsidR="00F675C3">
        <w:t>However, there have been i</w:t>
      </w:r>
      <w:r w:rsidRPr="00D5563F">
        <w:t xml:space="preserve">ncreasing signs that economic </w:t>
      </w:r>
      <w:r w:rsidR="00323F36">
        <w:t xml:space="preserve">growth </w:t>
      </w:r>
      <w:r w:rsidRPr="00D5563F">
        <w:t>in China has stabilised</w:t>
      </w:r>
      <w:r w:rsidR="005C3D6A">
        <w:t>.</w:t>
      </w:r>
    </w:p>
    <w:p w:rsidR="00D5563F" w:rsidRPr="00D5563F" w:rsidRDefault="00D5563F" w:rsidP="00D5563F">
      <w:pPr>
        <w:autoSpaceDE w:val="0"/>
        <w:autoSpaceDN w:val="0"/>
        <w:spacing w:after="0"/>
      </w:pPr>
    </w:p>
    <w:p w:rsidR="00D5563F" w:rsidRPr="00D5563F" w:rsidRDefault="00D5563F" w:rsidP="00D5563F">
      <w:pPr>
        <w:autoSpaceDE w:val="0"/>
        <w:autoSpaceDN w:val="0"/>
        <w:spacing w:after="0"/>
      </w:pPr>
      <w:r w:rsidRPr="00D5563F">
        <w:t>The largest near</w:t>
      </w:r>
      <w:r w:rsidRPr="00D5563F">
        <w:noBreakHyphen/>
        <w:t xml:space="preserve">term risk to global growth is the fiscal cliff in the United States. </w:t>
      </w:r>
      <w:r w:rsidR="00EE174B">
        <w:t xml:space="preserve">The </w:t>
      </w:r>
      <w:r w:rsidRPr="00D5563F">
        <w:t>prospects for Congress reaching an agreement to avert the cliff before the end of 2012 remain uncertain. If the US ‘falls over’ the f</w:t>
      </w:r>
      <w:r w:rsidR="002B2212">
        <w:t>iscal cliff, a US recession is</w:t>
      </w:r>
      <w:r w:rsidRPr="00D5563F">
        <w:t xml:space="preserve"> likely, with attendant consequences for global growth, confidence and financial market stability.  </w:t>
      </w:r>
    </w:p>
    <w:p w:rsidR="00D5563F" w:rsidRPr="00D5563F" w:rsidRDefault="00D5563F" w:rsidP="00D5563F">
      <w:pPr>
        <w:autoSpaceDE w:val="0"/>
        <w:autoSpaceDN w:val="0"/>
        <w:spacing w:after="0"/>
      </w:pPr>
    </w:p>
    <w:p w:rsidR="00D5563F" w:rsidRPr="00D5563F" w:rsidRDefault="00D5563F" w:rsidP="00D5563F">
      <w:pPr>
        <w:autoSpaceDE w:val="0"/>
        <w:autoSpaceDN w:val="0"/>
        <w:spacing w:after="0"/>
      </w:pPr>
      <w:r w:rsidRPr="00D5563F">
        <w:t xml:space="preserve">The European Central Bank’s (ECB) September announcement of Outright Monetary Transactions (OMTs) has removed the tail risk of a sudden sovereign default in the euro area and a sharp intensification in financial stress in the region. However, the moderation in financial volatility contrasts with developments in the real economy. The euro area is in recession and the ‘core’ economies are increasingly being dragged down.  Overall, the outlook for the region is slightly weaker than at September JEFG and the threat of an escalation in the euro area sovereign debt crisis lingers. The troubles in Greece and Spain will likely remain a focus. There are also risks that European governments will be unable to meet </w:t>
      </w:r>
      <w:r w:rsidRPr="00D5563F">
        <w:lastRenderedPageBreak/>
        <w:t xml:space="preserve">the challenge of implementing the structural reforms needed to address the underlying causes of the crisis. </w:t>
      </w:r>
    </w:p>
    <w:p w:rsidR="00D5563F" w:rsidRPr="00D5563F" w:rsidRDefault="00D5563F" w:rsidP="00D5563F">
      <w:pPr>
        <w:autoSpaceDE w:val="0"/>
        <w:autoSpaceDN w:val="0"/>
        <w:spacing w:after="0"/>
      </w:pPr>
    </w:p>
    <w:p w:rsidR="00D5563F" w:rsidRPr="00D5563F" w:rsidRDefault="00D5563F" w:rsidP="00D5563F">
      <w:pPr>
        <w:autoSpaceDE w:val="0"/>
        <w:autoSpaceDN w:val="0"/>
        <w:spacing w:after="0"/>
      </w:pPr>
      <w:r w:rsidRPr="00D5563F">
        <w:t>Japan and India’s short</w:t>
      </w:r>
      <w:r w:rsidRPr="00D5563F">
        <w:noBreakHyphen/>
        <w:t xml:space="preserve">term economic outlooks have </w:t>
      </w:r>
      <w:r w:rsidR="005C05B5">
        <w:t xml:space="preserve">also </w:t>
      </w:r>
      <w:r w:rsidRPr="00D5563F">
        <w:t>weakened</w:t>
      </w:r>
      <w:r w:rsidR="005C3D6A">
        <w:t xml:space="preserve"> </w:t>
      </w:r>
      <w:r w:rsidR="005C3D6A" w:rsidRPr="00D5563F">
        <w:t>noticeably</w:t>
      </w:r>
      <w:r w:rsidRPr="00D5563F">
        <w:t xml:space="preserve"> since September JEFG, reflecting much weaker</w:t>
      </w:r>
      <w:r w:rsidR="00A22D06">
        <w:noBreakHyphen/>
      </w:r>
      <w:r w:rsidRPr="00D5563F">
        <w:t>than</w:t>
      </w:r>
      <w:r w:rsidR="00A22D06">
        <w:noBreakHyphen/>
      </w:r>
      <w:r w:rsidRPr="00D5563F">
        <w:t>expected growth in the September quarter and potential constraints on their medium</w:t>
      </w:r>
      <w:r w:rsidRPr="00D5563F">
        <w:noBreakHyphen/>
        <w:t>term growth outlook</w:t>
      </w:r>
      <w:r w:rsidR="00E924EC">
        <w:t>s</w:t>
      </w:r>
      <w:r w:rsidRPr="00D5563F">
        <w:t xml:space="preserve">. </w:t>
      </w:r>
    </w:p>
    <w:p w:rsidR="00D5563F" w:rsidRPr="00D5563F" w:rsidRDefault="00D5563F" w:rsidP="00D5563F">
      <w:pPr>
        <w:autoSpaceDE w:val="0"/>
        <w:autoSpaceDN w:val="0"/>
        <w:spacing w:after="0"/>
      </w:pPr>
    </w:p>
    <w:p w:rsidR="00D5563F" w:rsidRPr="00D5563F" w:rsidRDefault="00D5563F" w:rsidP="00D5563F">
      <w:pPr>
        <w:autoSpaceDE w:val="0"/>
        <w:autoSpaceDN w:val="0"/>
        <w:spacing w:after="0"/>
        <w:rPr>
          <w:highlight w:val="yellow"/>
        </w:rPr>
      </w:pPr>
      <w:r w:rsidRPr="00D5563F">
        <w:t>Given ongoing political tension in the Middle East, the threat of an oil price spike persists, although this remains very much a secondary risk compared to the damage the US fiscal cliff or a full-blown crisis in the euro area would entail.</w:t>
      </w:r>
    </w:p>
    <w:p w:rsidR="00D5563F" w:rsidRPr="00D5563F" w:rsidRDefault="00D5563F" w:rsidP="00D5563F">
      <w:pPr>
        <w:autoSpaceDE w:val="0"/>
        <w:autoSpaceDN w:val="0"/>
        <w:spacing w:after="0"/>
        <w:rPr>
          <w:highlight w:val="yellow"/>
        </w:rPr>
      </w:pPr>
      <w:r w:rsidRPr="00D5563F">
        <w:rPr>
          <w:highlight w:val="yellow"/>
        </w:rPr>
        <w:t xml:space="preserve"> </w:t>
      </w:r>
    </w:p>
    <w:p w:rsidR="00D5563F" w:rsidRPr="00D5563F" w:rsidRDefault="00D5563F" w:rsidP="00D5563F">
      <w:r w:rsidRPr="00D5563F">
        <w:t>As with previous JEFG rounds, the forecasts assume that the key risks outlined above are avoided. The world growth forecast for 2012 remains within the 3¼ per cent rounding barrier (Chart </w:t>
      </w:r>
      <w:r w:rsidR="000769DE">
        <w:t>8</w:t>
      </w:r>
      <w:r w:rsidRPr="00D5563F">
        <w:t>), with modest upward revisions to growth in China and the US partially offsetting larger downward</w:t>
      </w:r>
      <w:r w:rsidR="000769DE">
        <w:t xml:space="preserve"> revisions to Japan and India. </w:t>
      </w:r>
      <w:r w:rsidRPr="00D5563F">
        <w:t>The ¼ of a percentage</w:t>
      </w:r>
      <w:r w:rsidR="00086271">
        <w:t> </w:t>
      </w:r>
      <w:r w:rsidRPr="00D5563F">
        <w:t>point downward revision to the forecast for 2013 largely reflects weaker outlooks for the euro area, Japan and India, as well as a modest downward revision for the US. While the 2014 forecast is unchanged, the substantive downgrade to India and modest downward revisions to the euro area and Japan place it at a ‘weak’ 4</w:t>
      </w:r>
      <w:r w:rsidR="00086271">
        <w:t xml:space="preserve"> per cent</w:t>
      </w:r>
      <w:r w:rsidRPr="00D5563F">
        <w:t>. Even under a best</w:t>
      </w:r>
      <w:r w:rsidR="00086271">
        <w:t>-</w:t>
      </w:r>
      <w:r w:rsidRPr="00D5563F">
        <w:t xml:space="preserve">case scenario, world growth will </w:t>
      </w:r>
      <w:r w:rsidRPr="00D5563F">
        <w:lastRenderedPageBreak/>
        <w:t xml:space="preserve">be below trend in 2012 and 2013, with any subsequent recovery likely to be relatively moderate.   </w:t>
      </w:r>
      <w:r w:rsidRPr="00D5563F">
        <w:rPr>
          <w:b/>
        </w:rPr>
        <w:t xml:space="preserve"> </w:t>
      </w:r>
    </w:p>
    <w:p w:rsidR="008D3ADA" w:rsidRPr="00DC5B41" w:rsidRDefault="008D3ADA" w:rsidP="008D3ADA">
      <w:pPr>
        <w:spacing w:after="0"/>
        <w:jc w:val="center"/>
        <w:rPr>
          <w:rStyle w:val="Strong"/>
        </w:rPr>
      </w:pPr>
      <w:r w:rsidRPr="00DC5B41">
        <w:rPr>
          <w:rStyle w:val="Strong"/>
        </w:rPr>
        <w:t xml:space="preserve">Chart </w:t>
      </w:r>
      <w:r w:rsidR="00CE60EF">
        <w:rPr>
          <w:rStyle w:val="Strong"/>
        </w:rPr>
        <w:t>8</w:t>
      </w:r>
      <w:r>
        <w:rPr>
          <w:rStyle w:val="Strong"/>
        </w:rPr>
        <w:t>:</w:t>
      </w:r>
      <w:r w:rsidRPr="00DC5B41">
        <w:rPr>
          <w:rStyle w:val="Strong"/>
        </w:rPr>
        <w:t xml:space="preserve"> Global GDP growth</w:t>
      </w:r>
    </w:p>
    <w:p w:rsidR="008D3ADA" w:rsidRPr="00DC5B41" w:rsidRDefault="008D3ADA" w:rsidP="008D3ADA">
      <w:pPr>
        <w:pStyle w:val="ChartGraphic0"/>
      </w:pPr>
      <w:r w:rsidRPr="00DC5B41">
        <w:t xml:space="preserve"> </w:t>
      </w:r>
      <w:r w:rsidR="00985325">
        <w:rPr>
          <w:noProof/>
          <w:lang w:eastAsia="en-AU"/>
        </w:rPr>
        <w:pict>
          <v:shape id="_x0000_i1035" type="#_x0000_t75" style="width:198.7pt;height:198.7pt">
            <v:imagedata r:id="rId29" o:title=""/>
          </v:shape>
        </w:pict>
      </w:r>
    </w:p>
    <w:p w:rsidR="008D3ADA" w:rsidRDefault="008D3ADA" w:rsidP="008D3ADA">
      <w:pPr>
        <w:spacing w:after="0"/>
        <w:rPr>
          <w:rFonts w:ascii="Tahoma" w:hAnsi="Tahoma" w:cs="Tahoma"/>
          <w:sz w:val="16"/>
          <w:szCs w:val="16"/>
        </w:rPr>
      </w:pPr>
      <w:r w:rsidRPr="005A2371">
        <w:rPr>
          <w:rFonts w:ascii="Tahoma" w:hAnsi="Tahoma" w:cs="Tahoma"/>
          <w:sz w:val="16"/>
          <w:szCs w:val="16"/>
        </w:rPr>
        <w:t>Source: IMF and Treasury.</w:t>
      </w:r>
    </w:p>
    <w:p w:rsidR="005A2371" w:rsidRPr="00D5563F" w:rsidRDefault="005A2371" w:rsidP="005A2371">
      <w:pPr>
        <w:spacing w:after="0"/>
        <w:rPr>
          <w:rFonts w:ascii="Tahoma" w:hAnsi="Tahoma" w:cs="Tahoma"/>
          <w:sz w:val="16"/>
          <w:szCs w:val="16"/>
        </w:rPr>
      </w:pPr>
    </w:p>
    <w:p w:rsidR="00D5563F" w:rsidRPr="00D5563F" w:rsidRDefault="00D5563F" w:rsidP="00D5563F">
      <w:r w:rsidRPr="00D5563F">
        <w:t>Aggregate growth for</w:t>
      </w:r>
      <w:r w:rsidRPr="00D5563F">
        <w:rPr>
          <w:b/>
        </w:rPr>
        <w:t xml:space="preserve"> </w:t>
      </w:r>
      <w:r w:rsidRPr="00D5563F">
        <w:t>Australia’s major trading partners (MTPs) has been revised down across the forecast horizon (down a ¼</w:t>
      </w:r>
      <w:r w:rsidR="00086271">
        <w:t xml:space="preserve"> of a</w:t>
      </w:r>
      <w:r w:rsidRPr="00D5563F">
        <w:t xml:space="preserve"> percentage point in 2012, ½ </w:t>
      </w:r>
      <w:r w:rsidR="00086271">
        <w:t xml:space="preserve">of </w:t>
      </w:r>
      <w:r w:rsidRPr="00D5563F">
        <w:t>a percentage point in 2013 and a ¼</w:t>
      </w:r>
      <w:r w:rsidR="00086271">
        <w:t xml:space="preserve"> of a</w:t>
      </w:r>
      <w:r w:rsidRPr="00D5563F">
        <w:t xml:space="preserve"> percentage point in 2014). As with the global growth forecasts, the downgrades largely reflect the weaker</w:t>
      </w:r>
      <w:r w:rsidRPr="00D5563F">
        <w:noBreakHyphen/>
        <w:t>than</w:t>
      </w:r>
      <w:r w:rsidRPr="00D5563F">
        <w:noBreakHyphen/>
        <w:t xml:space="preserve">expected outlooks for Japan, India, and the euro area. For 2012 and 2013, downgrades to the forecasts for Korean growth also contribute to lower MTP growth as a whole. </w:t>
      </w:r>
    </w:p>
    <w:p w:rsidR="00D5563F" w:rsidRPr="00D5563F" w:rsidRDefault="00D5563F" w:rsidP="00D5563F">
      <w:r w:rsidRPr="00D5563F">
        <w:t xml:space="preserve">The forecasts for </w:t>
      </w:r>
      <w:r w:rsidRPr="00D5563F">
        <w:rPr>
          <w:b/>
        </w:rPr>
        <w:t>China’s</w:t>
      </w:r>
      <w:r w:rsidRPr="00D5563F">
        <w:t xml:space="preserve"> growth for 2012 and 2013 have been revised up slightly from September JEFG by a ¼ of a percentage point in each year. This reflects stronger</w:t>
      </w:r>
      <w:r w:rsidRPr="00D5563F">
        <w:noBreakHyphen/>
        <w:t>than</w:t>
      </w:r>
      <w:r w:rsidRPr="00D5563F">
        <w:noBreakHyphen/>
        <w:t>expected GDP growth in the September quarter and is consistent with the continued modest pick-up in partial data in recent months</w:t>
      </w:r>
      <w:r w:rsidR="005C05B5">
        <w:t>.  D</w:t>
      </w:r>
      <w:r w:rsidRPr="00D5563F">
        <w:t xml:space="preserve">ata released in the December quarter </w:t>
      </w:r>
      <w:r w:rsidR="00A22D06">
        <w:t xml:space="preserve">are </w:t>
      </w:r>
      <w:r w:rsidR="005C05B5">
        <w:t xml:space="preserve">also </w:t>
      </w:r>
      <w:r w:rsidRPr="00D5563F">
        <w:t>pointing to a further broad</w:t>
      </w:r>
      <w:r w:rsidRPr="00D5563F">
        <w:noBreakHyphen/>
        <w:t xml:space="preserve">based improvement in economic activity. Investment and credit continue to grow strongly, while growth in industrial production and consumption continue to accelerate. </w:t>
      </w:r>
    </w:p>
    <w:p w:rsidR="00D5563F" w:rsidRPr="00D5563F" w:rsidRDefault="00D5563F" w:rsidP="00D5563F">
      <w:r w:rsidRPr="00D5563F">
        <w:t xml:space="preserve">The momentum generated during the second half of 2012 is expected to </w:t>
      </w:r>
      <w:r w:rsidR="005C3D6A">
        <w:t>drive</w:t>
      </w:r>
      <w:r w:rsidRPr="00D5563F">
        <w:t xml:space="preserve"> economic growth</w:t>
      </w:r>
      <w:r w:rsidR="005C3D6A">
        <w:t xml:space="preserve"> in China</w:t>
      </w:r>
      <w:r w:rsidRPr="00D5563F">
        <w:t xml:space="preserve"> to 8 per cent in 2013.  This </w:t>
      </w:r>
      <w:r w:rsidRPr="00D5563F">
        <w:lastRenderedPageBreak/>
        <w:t>outlook reflects solid growth prospects for domestic demand in China, with export demand expected to make only a modest contribution to growth in line with the continued weak outlook for advanced economies in 2013. Growth is expected to ease in 2014 to 7¾ per cent, in part reflecting the fading effect of stimulus measures implemented by the Chinese authorities during 2012.</w:t>
      </w:r>
    </w:p>
    <w:p w:rsidR="00D5563F" w:rsidRPr="00D5563F" w:rsidRDefault="00D5563F" w:rsidP="00D5563F">
      <w:r w:rsidRPr="00D5563F">
        <w:t>The near-term risks to China’s outlook stem mainly from the external environment, with the possibility that adverse developments in Europe or the US could weigh on China’s growth through weaker demand for Chinese exports. Beyond the near term, there are a range of economic policy challenges facing the new Chinese leadership, including growing debts in the financial system. However, with consumer price inflation muted and remaining well below the Government’s annual target of 4 per cent, Chinese policymakers have scope for further policy easing if conditions were to deteriorate unexpectedly.</w:t>
      </w:r>
    </w:p>
    <w:p w:rsidR="00D5563F" w:rsidRPr="00D5563F" w:rsidRDefault="00D5563F" w:rsidP="00D5563F">
      <w:r w:rsidRPr="00D5563F">
        <w:t xml:space="preserve">The recovery in the </w:t>
      </w:r>
      <w:r w:rsidRPr="00D5563F">
        <w:rPr>
          <w:b/>
        </w:rPr>
        <w:t>United States</w:t>
      </w:r>
      <w:r w:rsidRPr="00D5563F">
        <w:t xml:space="preserve"> remains relatively subdued, in line with expectations</w:t>
      </w:r>
      <w:r w:rsidR="005C05B5">
        <w:t>, though be</w:t>
      </w:r>
      <w:r w:rsidRPr="00D5563F">
        <w:t>tter</w:t>
      </w:r>
      <w:r w:rsidRPr="00D5563F">
        <w:noBreakHyphen/>
        <w:t>than</w:t>
      </w:r>
      <w:r w:rsidRPr="00D5563F">
        <w:noBreakHyphen/>
        <w:t xml:space="preserve">expected growth in the September quarter has contributed to an upward revision to the 2012 forecast of a ¼ of a percentage point. The forecast for 2013 has been eased down a ¼ of a percentage point, reflecting </w:t>
      </w:r>
      <w:r w:rsidR="005C05B5">
        <w:t>some effect of</w:t>
      </w:r>
      <w:r w:rsidRPr="00D5563F">
        <w:t xml:space="preserve"> current uncertainty over the resolution to the fiscal cliff. It is still assumed that an agreement to avoid the majority of the fiscal cliff eventuating will be achieved before the end of 2012. </w:t>
      </w:r>
    </w:p>
    <w:bookmarkEnd w:id="23"/>
    <w:bookmarkEnd w:id="24"/>
    <w:p w:rsidR="00D5563F" w:rsidRPr="00D5563F" w:rsidRDefault="00D5563F" w:rsidP="00D5563F">
      <w:r w:rsidRPr="00D5563F">
        <w:t>Even if the fiscal cliff and the debt ceiling are resolved in a timely manner, the US outlook is likely to remain subdued</w:t>
      </w:r>
      <w:r w:rsidR="004E492C">
        <w:t>, with longer-term fiscal pressures persisting</w:t>
      </w:r>
      <w:r w:rsidRPr="00D5563F">
        <w:t>. Unemployment is still relatively high an</w:t>
      </w:r>
      <w:r w:rsidR="00E95BEC">
        <w:t xml:space="preserve">d jobs growth is still moderate. </w:t>
      </w:r>
      <w:r w:rsidR="004E492C">
        <w:t>While t</w:t>
      </w:r>
      <w:r w:rsidRPr="00D5563F">
        <w:t>he housing sector</w:t>
      </w:r>
      <w:r w:rsidR="004E492C">
        <w:t xml:space="preserve"> is showing increasing signs of recovery, it is not expected to significantly contribute to GDP growth in the near term.  </w:t>
      </w:r>
      <w:r w:rsidRPr="00D5563F">
        <w:t xml:space="preserve"> </w:t>
      </w:r>
    </w:p>
    <w:p w:rsidR="00D5563F" w:rsidRPr="00D5563F" w:rsidRDefault="00D5563F" w:rsidP="00D5563F">
      <w:r w:rsidRPr="00D5563F">
        <w:t>September quarter data confirm the</w:t>
      </w:r>
      <w:r w:rsidRPr="00D5563F">
        <w:rPr>
          <w:b/>
        </w:rPr>
        <w:t xml:space="preserve"> euro area</w:t>
      </w:r>
      <w:r w:rsidRPr="00D5563F">
        <w:t xml:space="preserve"> has returned to recession. While Germany and France recorded better</w:t>
      </w:r>
      <w:r w:rsidRPr="00D5563F">
        <w:noBreakHyphen/>
        <w:t>than</w:t>
      </w:r>
      <w:r w:rsidRPr="00D5563F">
        <w:noBreakHyphen/>
        <w:t xml:space="preserve">expected growth in the quarter, forward indicators suggest these economies are increasingly being </w:t>
      </w:r>
      <w:r w:rsidRPr="00D5563F">
        <w:lastRenderedPageBreak/>
        <w:t>dragged down, with production and new orders in Germany and France falling at rates not seen since the global financial crisis. Consequently, the 2013 and 2014 forecasts for the euro area have each been revised down a ¼</w:t>
      </w:r>
      <w:r w:rsidR="00B7340E">
        <w:t> </w:t>
      </w:r>
      <w:r w:rsidR="00E0293A">
        <w:t>of a</w:t>
      </w:r>
      <w:r w:rsidRPr="00D5563F">
        <w:t xml:space="preserve"> percentage point to zero growth and 1 per cent respectively. </w:t>
      </w:r>
    </w:p>
    <w:p w:rsidR="00D5563F" w:rsidRPr="00D5563F" w:rsidRDefault="002B2212" w:rsidP="00D5563F">
      <w:r w:rsidRPr="002B2212">
        <w:t>Any recovery in the euro area is likely to be a very subdued and protracted one, w</w:t>
      </w:r>
      <w:r w:rsidR="00D5563F" w:rsidRPr="002B2212">
        <w:t xml:space="preserve">ith unemployment </w:t>
      </w:r>
      <w:r w:rsidRPr="002B2212">
        <w:t>at euro</w:t>
      </w:r>
      <w:r w:rsidRPr="002B2212">
        <w:noBreakHyphen/>
        <w:t>era highs a</w:t>
      </w:r>
      <w:r w:rsidR="00D5563F" w:rsidRPr="002B2212">
        <w:t>nd structural reforms and closer financial and economic union likely</w:t>
      </w:r>
      <w:r w:rsidRPr="002B2212">
        <w:t xml:space="preserve"> to take some time to implement.</w:t>
      </w:r>
      <w:r w:rsidR="00D5563F" w:rsidRPr="002B2212">
        <w:t xml:space="preserve"> </w:t>
      </w:r>
    </w:p>
    <w:p w:rsidR="00D5563F" w:rsidRPr="00D5563F" w:rsidRDefault="00D5563F" w:rsidP="00D5563F">
      <w:pPr>
        <w:rPr>
          <w:highlight w:val="yellow"/>
        </w:rPr>
      </w:pPr>
      <w:r w:rsidRPr="00D5563F">
        <w:t>While the ECB’s OMT program has removed tail risks to the euro area’s outlook, there are still a number of risks heading into 2013. There is scepticism in markets about whether Greece will be able to meet its fiscal targets without further debt restructuring. The enormity of Greece's fiscal challenges, as well as the unstable nature of its coalition government, mean that Greece will remain a risk for the euro area for the foreseeable future. Spain faces a high financing requirement in 2013, and a combination of market and political pressure could force Spain into requesting the European Stability Mechanism program it has so far resisted. It is also unclear whether the €39.5 billion of aid being disbursed by the EU to recapitalise Spain’s banks will be sufficient.  In addition, the recent bout of political uncertainty in Italy has raised concerns over backsliding on reforms.</w:t>
      </w:r>
      <w:r w:rsidRPr="00D5563F">
        <w:rPr>
          <w:highlight w:val="yellow"/>
        </w:rPr>
        <w:t xml:space="preserve">  </w:t>
      </w:r>
    </w:p>
    <w:p w:rsidR="00D5563F" w:rsidRPr="00D5563F" w:rsidRDefault="00086271" w:rsidP="00D5563F">
      <w:r>
        <w:t>The weaker</w:t>
      </w:r>
      <w:r>
        <w:noBreakHyphen/>
        <w:t>than</w:t>
      </w:r>
      <w:r>
        <w:noBreakHyphen/>
        <w:t xml:space="preserve">anticipated 0.9 per </w:t>
      </w:r>
      <w:r w:rsidR="00D5563F" w:rsidRPr="00D5563F">
        <w:t xml:space="preserve">cent contraction in </w:t>
      </w:r>
      <w:r w:rsidR="00D5563F" w:rsidRPr="00D5563F">
        <w:rPr>
          <w:b/>
        </w:rPr>
        <w:t>Japan’s</w:t>
      </w:r>
      <w:r w:rsidR="00D5563F" w:rsidRPr="00D5563F">
        <w:t xml:space="preserve"> GDP in the September quarter was largely due to a sharp decline in exports, with the dispute over the Diaoyu/Senkaku islands restricting exports to China, now Japan’s largest export market. Japan is at considerable risk of returning to recession in the second half of 2012. With earthquake reconstruction abating, softer global demand and a persistently high yen, Japan’s economy is likely to return to its history of slow growth. The forecast for Japanese growth for 2012 has been revised down ½ a percentage point to 2 per cent, while the forecasts for 2013 and 2014 have been revised down ¾ of a percentage point and a ¼ of a percentage point respectively to 1 per cent for both years.</w:t>
      </w:r>
    </w:p>
    <w:p w:rsidR="00D5563F" w:rsidRPr="00D5563F" w:rsidRDefault="00D5563F" w:rsidP="00D5563F">
      <w:r w:rsidRPr="00D5563F">
        <w:lastRenderedPageBreak/>
        <w:t xml:space="preserve">The forecasts for </w:t>
      </w:r>
      <w:r w:rsidRPr="00D5563F">
        <w:rPr>
          <w:b/>
        </w:rPr>
        <w:t>India</w:t>
      </w:r>
      <w:r w:rsidRPr="00D5563F">
        <w:t xml:space="preserve"> have been revised down across 2012 to 2014 by between 1 and 2¼ percentage points. The Indian economy has weakened much more than anticipated, contracting on a seasonally</w:t>
      </w:r>
      <w:r w:rsidR="00086271">
        <w:t>-</w:t>
      </w:r>
      <w:r w:rsidRPr="00D5563F">
        <w:t xml:space="preserve">adjusted market price basis in the June and September quarters. Growth is being constrained by persistently high inflation, widening fiscal and current account deficits, a slowdown in investment, and an uncertain external environment. India’s growth outlook is dependent on implementing further structural reforms, the prospects for which are uncertain in the current political environment. The impacts of any reforms that are eventually passed could also take some time to flow through to growth. </w:t>
      </w:r>
    </w:p>
    <w:p w:rsidR="002219FA" w:rsidRPr="00D5563F" w:rsidRDefault="002219FA" w:rsidP="00FB5ED4">
      <w:pPr>
        <w:spacing w:after="0" w:line="240" w:lineRule="auto"/>
        <w:jc w:val="left"/>
        <w:sectPr w:rsidR="002219FA" w:rsidRPr="00D5563F" w:rsidSect="00CA4B93">
          <w:type w:val="continuous"/>
          <w:pgSz w:w="11907" w:h="16840" w:code="9"/>
          <w:pgMar w:top="1418" w:right="1418" w:bottom="1418" w:left="1418" w:header="567" w:footer="567" w:gutter="0"/>
          <w:cols w:num="2" w:space="709"/>
        </w:sectPr>
      </w:pPr>
    </w:p>
    <w:p w:rsidR="00F355E8" w:rsidRPr="005D232E" w:rsidRDefault="00F355E8" w:rsidP="00AF7EDA"/>
    <w:sectPr w:rsidR="00F355E8" w:rsidRPr="005D232E" w:rsidSect="00CA4B93">
      <w:pgSz w:w="11907" w:h="16840" w:code="9"/>
      <w:pgMar w:top="1418" w:right="1418" w:bottom="1418" w:left="1418"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6E" w:rsidRDefault="000B5C6E">
      <w:r>
        <w:separator/>
      </w:r>
    </w:p>
  </w:endnote>
  <w:endnote w:type="continuationSeparator" w:id="0">
    <w:p w:rsidR="000B5C6E" w:rsidRDefault="000B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B5C6E" w:rsidRDefault="000B5C6E" w:rsidP="0060744E">
    <w:pPr>
      <w:pStyle w:val="Footer"/>
      <w:ind w:right="360" w:firstLine="360"/>
      <w:jc w:val="center"/>
    </w:pPr>
    <w:r>
      <w:t>PROTECTED</w:t>
    </w:r>
    <w:r>
      <w:fldChar w:fldCharType="begin"/>
    </w:r>
    <w:r>
      <w:instrText xml:space="preserve"> COMMENTS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325">
      <w:rPr>
        <w:rStyle w:val="PageNumber"/>
        <w:noProof/>
      </w:rPr>
      <w:t>2</w:t>
    </w:r>
    <w:r>
      <w:rPr>
        <w:rStyle w:val="PageNumber"/>
      </w:rPr>
      <w:fldChar w:fldCharType="end"/>
    </w:r>
  </w:p>
  <w:p w:rsidR="000B5C6E" w:rsidRPr="00704E0D" w:rsidRDefault="000B5C6E" w:rsidP="00015888">
    <w:pPr>
      <w:pStyle w:val="Classificatio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25" w:rsidRDefault="009853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B5C6E" w:rsidRDefault="000B5C6E">
    <w:pPr>
      <w:pStyle w:val="Footer"/>
      <w:ind w:right="360"/>
      <w:jc w:val="right"/>
    </w:pPr>
    <w:r>
      <w:fldChar w:fldCharType="begin"/>
    </w:r>
    <w:r>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325">
      <w:rPr>
        <w:rStyle w:val="PageNumber"/>
        <w:noProof/>
      </w:rPr>
      <w:t>10</w:t>
    </w:r>
    <w:r>
      <w:rPr>
        <w:rStyle w:val="PageNumber"/>
      </w:rPr>
      <w:fldChar w:fldCharType="end"/>
    </w:r>
  </w:p>
  <w:p w:rsidR="000B5C6E" w:rsidRDefault="000B5C6E">
    <w:pPr>
      <w:pStyle w:val="Footer"/>
      <w:ind w:right="360"/>
      <w:jc w:val="right"/>
    </w:pPr>
    <w:r>
      <w:fldChar w:fldCharType="begin"/>
    </w:r>
    <w:r>
      <w:instrText xml:space="preserve"> COMMENTS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6E" w:rsidRDefault="000B5C6E">
      <w:pPr>
        <w:pStyle w:val="TableBodyText"/>
        <w:spacing w:before="120" w:after="120"/>
      </w:pPr>
      <w:r>
        <w:separator/>
      </w:r>
    </w:p>
  </w:footnote>
  <w:footnote w:type="continuationSeparator" w:id="0">
    <w:p w:rsidR="000B5C6E" w:rsidRDefault="000B5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25" w:rsidRDefault="00985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25" w:rsidRDefault="00985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25" w:rsidRDefault="009853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15888">
    <w:pPr>
      <w:framePr w:wrap="around" w:vAnchor="page" w:hAnchor="margin" w:x="14460" w:y="7939" w:anchorLock="1"/>
      <w:rPr>
        <w:rStyle w:val="FramedHeader"/>
      </w:rPr>
    </w:pPr>
    <w:fldSimple w:instr=" TITLE  \* MERGEFORMAT ">
      <w:r w:rsidRPr="00015888">
        <w:rPr>
          <w:rStyle w:val="FramedHeader"/>
        </w:rPr>
        <w:t>March 06 Forecasting Report</w:t>
      </w:r>
    </w:fldSimple>
  </w:p>
  <w:p w:rsidR="000B5C6E" w:rsidRPr="00841CE6" w:rsidRDefault="000B5C6E" w:rsidP="00015888">
    <w:pPr>
      <w:pStyle w:val="Header"/>
      <w:jc w:val="center"/>
      <w:rPr>
        <w:rFonts w:asciiTheme="majorHAnsi" w:hAnsiTheme="majorHAnsi"/>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82E3003"/>
    <w:multiLevelType w:val="multilevel"/>
    <w:tmpl w:val="6C9CFC8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1">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2">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B2E19AC"/>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5">
    <w:nsid w:val="3B8B757B"/>
    <w:multiLevelType w:val="singleLevel"/>
    <w:tmpl w:val="3D8230E8"/>
    <w:lvl w:ilvl="0">
      <w:start w:val="2"/>
      <w:numFmt w:val="decimal"/>
      <w:lvlText w:val="%1."/>
      <w:lvlJc w:val="left"/>
      <w:pPr>
        <w:tabs>
          <w:tab w:val="num" w:pos="567"/>
        </w:tabs>
        <w:ind w:left="0" w:firstLine="0"/>
      </w:pPr>
    </w:lvl>
  </w:abstractNum>
  <w:abstractNum w:abstractNumId="26">
    <w:nsid w:val="3CF65E56"/>
    <w:multiLevelType w:val="multilevel"/>
    <w:tmpl w:val="736EC11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30">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1">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2">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3">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E8E299C"/>
    <w:multiLevelType w:val="multilevel"/>
    <w:tmpl w:val="9FCE46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8">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9">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4">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5"/>
  </w:num>
  <w:num w:numId="2">
    <w:abstractNumId w:val="30"/>
  </w:num>
  <w:num w:numId="3">
    <w:abstractNumId w:val="20"/>
  </w:num>
  <w:num w:numId="4">
    <w:abstractNumId w:val="44"/>
  </w:num>
  <w:num w:numId="5">
    <w:abstractNumId w:val="11"/>
  </w:num>
  <w:num w:numId="6">
    <w:abstractNumId w:val="15"/>
  </w:num>
  <w:num w:numId="7">
    <w:abstractNumId w:val="19"/>
  </w:num>
  <w:num w:numId="8">
    <w:abstractNumId w:val="37"/>
  </w:num>
  <w:num w:numId="9">
    <w:abstractNumId w:val="40"/>
  </w:num>
  <w:num w:numId="10">
    <w:abstractNumId w:val="16"/>
  </w:num>
  <w:num w:numId="11">
    <w:abstractNumId w:val="36"/>
  </w:num>
  <w:num w:numId="12">
    <w:abstractNumId w:val="21"/>
  </w:num>
  <w:num w:numId="13">
    <w:abstractNumId w:val="43"/>
  </w:num>
  <w:num w:numId="14">
    <w:abstractNumId w:val="13"/>
  </w:num>
  <w:num w:numId="15">
    <w:abstractNumId w:val="1"/>
  </w:num>
  <w:num w:numId="16">
    <w:abstractNumId w:val="7"/>
  </w:num>
  <w:num w:numId="17">
    <w:abstractNumId w:val="33"/>
  </w:num>
  <w:num w:numId="18">
    <w:abstractNumId w:val="4"/>
  </w:num>
  <w:num w:numId="19">
    <w:abstractNumId w:val="28"/>
  </w:num>
  <w:num w:numId="20">
    <w:abstractNumId w:val="2"/>
  </w:num>
  <w:num w:numId="21">
    <w:abstractNumId w:val="6"/>
  </w:num>
  <w:num w:numId="22">
    <w:abstractNumId w:val="8"/>
  </w:num>
  <w:num w:numId="23">
    <w:abstractNumId w:val="23"/>
  </w:num>
  <w:num w:numId="24">
    <w:abstractNumId w:val="45"/>
  </w:num>
  <w:num w:numId="25">
    <w:abstractNumId w:val="17"/>
  </w:num>
  <w:num w:numId="26">
    <w:abstractNumId w:val="41"/>
  </w:num>
  <w:num w:numId="27">
    <w:abstractNumId w:val="3"/>
  </w:num>
  <w:num w:numId="28">
    <w:abstractNumId w:val="22"/>
  </w:num>
  <w:num w:numId="29">
    <w:abstractNumId w:val="18"/>
  </w:num>
  <w:num w:numId="30">
    <w:abstractNumId w:val="27"/>
  </w:num>
  <w:num w:numId="31">
    <w:abstractNumId w:val="42"/>
  </w:num>
  <w:num w:numId="32">
    <w:abstractNumId w:val="10"/>
  </w:num>
  <w:num w:numId="33">
    <w:abstractNumId w:val="32"/>
  </w:num>
  <w:num w:numId="34">
    <w:abstractNumId w:val="9"/>
  </w:num>
  <w:num w:numId="35">
    <w:abstractNumId w:val="5"/>
  </w:num>
  <w:num w:numId="36">
    <w:abstractNumId w:val="0"/>
  </w:num>
  <w:num w:numId="37">
    <w:abstractNumId w:val="12"/>
  </w:num>
  <w:num w:numId="38">
    <w:abstractNumId w:val="39"/>
  </w:num>
  <w:num w:numId="39">
    <w:abstractNumId w:val="38"/>
  </w:num>
  <w:num w:numId="40">
    <w:abstractNumId w:val="31"/>
  </w:num>
  <w:num w:numId="41">
    <w:abstractNumId w:val="25"/>
  </w:num>
  <w:num w:numId="42">
    <w:abstractNumId w:val="14"/>
  </w:num>
  <w:num w:numId="43">
    <w:abstractNumId w:val="26"/>
  </w:num>
  <w:num w:numId="4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7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7E9"/>
    <w:rsid w:val="00000E3B"/>
    <w:rsid w:val="00000F89"/>
    <w:rsid w:val="0000168C"/>
    <w:rsid w:val="00001847"/>
    <w:rsid w:val="00001ECA"/>
    <w:rsid w:val="00001ED7"/>
    <w:rsid w:val="00001F20"/>
    <w:rsid w:val="000024DE"/>
    <w:rsid w:val="00002B6E"/>
    <w:rsid w:val="000032D9"/>
    <w:rsid w:val="0000336A"/>
    <w:rsid w:val="00003654"/>
    <w:rsid w:val="0000396B"/>
    <w:rsid w:val="00003AB4"/>
    <w:rsid w:val="00003D87"/>
    <w:rsid w:val="0000421E"/>
    <w:rsid w:val="000044D9"/>
    <w:rsid w:val="000048F1"/>
    <w:rsid w:val="00004D90"/>
    <w:rsid w:val="00004F72"/>
    <w:rsid w:val="000051F3"/>
    <w:rsid w:val="0000520C"/>
    <w:rsid w:val="00005608"/>
    <w:rsid w:val="000058E4"/>
    <w:rsid w:val="00005A9F"/>
    <w:rsid w:val="00005D3C"/>
    <w:rsid w:val="00006587"/>
    <w:rsid w:val="000066FC"/>
    <w:rsid w:val="00006910"/>
    <w:rsid w:val="00006A6A"/>
    <w:rsid w:val="00006E4D"/>
    <w:rsid w:val="00007037"/>
    <w:rsid w:val="00007138"/>
    <w:rsid w:val="0000744F"/>
    <w:rsid w:val="00007475"/>
    <w:rsid w:val="0000776A"/>
    <w:rsid w:val="00007813"/>
    <w:rsid w:val="0000785F"/>
    <w:rsid w:val="00007DA9"/>
    <w:rsid w:val="0001006B"/>
    <w:rsid w:val="00010FD8"/>
    <w:rsid w:val="000111F8"/>
    <w:rsid w:val="00011C71"/>
    <w:rsid w:val="00012704"/>
    <w:rsid w:val="00012A49"/>
    <w:rsid w:val="00012B6C"/>
    <w:rsid w:val="00012B77"/>
    <w:rsid w:val="00012D40"/>
    <w:rsid w:val="00013369"/>
    <w:rsid w:val="000133E2"/>
    <w:rsid w:val="000144FD"/>
    <w:rsid w:val="0001469E"/>
    <w:rsid w:val="00014D9D"/>
    <w:rsid w:val="00014F14"/>
    <w:rsid w:val="00015306"/>
    <w:rsid w:val="000154D0"/>
    <w:rsid w:val="000157E8"/>
    <w:rsid w:val="00015888"/>
    <w:rsid w:val="0001590F"/>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477A"/>
    <w:rsid w:val="000250E5"/>
    <w:rsid w:val="00025281"/>
    <w:rsid w:val="000258BF"/>
    <w:rsid w:val="000258CC"/>
    <w:rsid w:val="00025946"/>
    <w:rsid w:val="00025AF2"/>
    <w:rsid w:val="00026305"/>
    <w:rsid w:val="0002670C"/>
    <w:rsid w:val="000268F1"/>
    <w:rsid w:val="00026F4A"/>
    <w:rsid w:val="000278EB"/>
    <w:rsid w:val="00027E91"/>
    <w:rsid w:val="0003024F"/>
    <w:rsid w:val="00030895"/>
    <w:rsid w:val="00030A75"/>
    <w:rsid w:val="00030FEC"/>
    <w:rsid w:val="000312DD"/>
    <w:rsid w:val="000313E0"/>
    <w:rsid w:val="00031628"/>
    <w:rsid w:val="00031965"/>
    <w:rsid w:val="00031BB7"/>
    <w:rsid w:val="00031BF9"/>
    <w:rsid w:val="00032191"/>
    <w:rsid w:val="00032A80"/>
    <w:rsid w:val="00032DA2"/>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4AD"/>
    <w:rsid w:val="0003672D"/>
    <w:rsid w:val="00036879"/>
    <w:rsid w:val="00036E11"/>
    <w:rsid w:val="00036EEC"/>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533"/>
    <w:rsid w:val="0004566C"/>
    <w:rsid w:val="000458F6"/>
    <w:rsid w:val="00045976"/>
    <w:rsid w:val="000459F5"/>
    <w:rsid w:val="00046D2C"/>
    <w:rsid w:val="00047449"/>
    <w:rsid w:val="00047628"/>
    <w:rsid w:val="00047F8E"/>
    <w:rsid w:val="0005012C"/>
    <w:rsid w:val="000501BB"/>
    <w:rsid w:val="000501DE"/>
    <w:rsid w:val="00050FB5"/>
    <w:rsid w:val="0005100D"/>
    <w:rsid w:val="000510A0"/>
    <w:rsid w:val="00051203"/>
    <w:rsid w:val="000516B9"/>
    <w:rsid w:val="00051A70"/>
    <w:rsid w:val="00052210"/>
    <w:rsid w:val="000523D3"/>
    <w:rsid w:val="00052BA9"/>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748"/>
    <w:rsid w:val="00064AB4"/>
    <w:rsid w:val="00065168"/>
    <w:rsid w:val="000656FF"/>
    <w:rsid w:val="000657E9"/>
    <w:rsid w:val="00065811"/>
    <w:rsid w:val="00065CCB"/>
    <w:rsid w:val="00065D28"/>
    <w:rsid w:val="00065EC5"/>
    <w:rsid w:val="000660EC"/>
    <w:rsid w:val="000664B6"/>
    <w:rsid w:val="00066565"/>
    <w:rsid w:val="00066F39"/>
    <w:rsid w:val="00066F40"/>
    <w:rsid w:val="00067383"/>
    <w:rsid w:val="000679BF"/>
    <w:rsid w:val="00067CA6"/>
    <w:rsid w:val="00070767"/>
    <w:rsid w:val="000707BB"/>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9DE"/>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C7"/>
    <w:rsid w:val="00083DC9"/>
    <w:rsid w:val="00083EB5"/>
    <w:rsid w:val="00083EC2"/>
    <w:rsid w:val="00084887"/>
    <w:rsid w:val="00084AA3"/>
    <w:rsid w:val="00085741"/>
    <w:rsid w:val="00085D16"/>
    <w:rsid w:val="00085FEA"/>
    <w:rsid w:val="00086191"/>
    <w:rsid w:val="00086271"/>
    <w:rsid w:val="0008641A"/>
    <w:rsid w:val="000868D7"/>
    <w:rsid w:val="00086BDC"/>
    <w:rsid w:val="00086D25"/>
    <w:rsid w:val="00086D69"/>
    <w:rsid w:val="00087675"/>
    <w:rsid w:val="00090E63"/>
    <w:rsid w:val="00090F1C"/>
    <w:rsid w:val="0009108E"/>
    <w:rsid w:val="000911BE"/>
    <w:rsid w:val="000912DF"/>
    <w:rsid w:val="0009171F"/>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7A8"/>
    <w:rsid w:val="00096846"/>
    <w:rsid w:val="00096D8E"/>
    <w:rsid w:val="0009720F"/>
    <w:rsid w:val="00097478"/>
    <w:rsid w:val="0009771A"/>
    <w:rsid w:val="00097B8F"/>
    <w:rsid w:val="00097EE8"/>
    <w:rsid w:val="000A00EB"/>
    <w:rsid w:val="000A03AA"/>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E00"/>
    <w:rsid w:val="000A5F56"/>
    <w:rsid w:val="000A620D"/>
    <w:rsid w:val="000A63CE"/>
    <w:rsid w:val="000A6C7C"/>
    <w:rsid w:val="000A6E3C"/>
    <w:rsid w:val="000A74D4"/>
    <w:rsid w:val="000A7696"/>
    <w:rsid w:val="000A77F9"/>
    <w:rsid w:val="000A79FB"/>
    <w:rsid w:val="000A7D5E"/>
    <w:rsid w:val="000B00A1"/>
    <w:rsid w:val="000B1226"/>
    <w:rsid w:val="000B1CCF"/>
    <w:rsid w:val="000B1DBB"/>
    <w:rsid w:val="000B1DEF"/>
    <w:rsid w:val="000B1FEF"/>
    <w:rsid w:val="000B2079"/>
    <w:rsid w:val="000B2636"/>
    <w:rsid w:val="000B2788"/>
    <w:rsid w:val="000B286A"/>
    <w:rsid w:val="000B2CCF"/>
    <w:rsid w:val="000B3011"/>
    <w:rsid w:val="000B3C04"/>
    <w:rsid w:val="000B3ED5"/>
    <w:rsid w:val="000B413C"/>
    <w:rsid w:val="000B4418"/>
    <w:rsid w:val="000B4B20"/>
    <w:rsid w:val="000B5084"/>
    <w:rsid w:val="000B5C5B"/>
    <w:rsid w:val="000B5C6E"/>
    <w:rsid w:val="000B5D87"/>
    <w:rsid w:val="000B5ED5"/>
    <w:rsid w:val="000B62E0"/>
    <w:rsid w:val="000B65B3"/>
    <w:rsid w:val="000B679B"/>
    <w:rsid w:val="000B67AB"/>
    <w:rsid w:val="000B69FC"/>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0AE"/>
    <w:rsid w:val="000C376B"/>
    <w:rsid w:val="000C3B3D"/>
    <w:rsid w:val="000C3CCF"/>
    <w:rsid w:val="000C3E1D"/>
    <w:rsid w:val="000C3F0A"/>
    <w:rsid w:val="000C487A"/>
    <w:rsid w:val="000C4B88"/>
    <w:rsid w:val="000C4E37"/>
    <w:rsid w:val="000C4FF9"/>
    <w:rsid w:val="000C5211"/>
    <w:rsid w:val="000C54DC"/>
    <w:rsid w:val="000C596E"/>
    <w:rsid w:val="000C5A7B"/>
    <w:rsid w:val="000C61DD"/>
    <w:rsid w:val="000C6596"/>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6F30"/>
    <w:rsid w:val="000D73E5"/>
    <w:rsid w:val="000D79EB"/>
    <w:rsid w:val="000D7D91"/>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E1A"/>
    <w:rsid w:val="000E6EE6"/>
    <w:rsid w:val="000E7334"/>
    <w:rsid w:val="000E7D54"/>
    <w:rsid w:val="000F024D"/>
    <w:rsid w:val="000F0522"/>
    <w:rsid w:val="000F139B"/>
    <w:rsid w:val="000F18A2"/>
    <w:rsid w:val="000F1C6E"/>
    <w:rsid w:val="000F212F"/>
    <w:rsid w:val="000F2232"/>
    <w:rsid w:val="000F23F0"/>
    <w:rsid w:val="000F246A"/>
    <w:rsid w:val="000F2749"/>
    <w:rsid w:val="000F2994"/>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C13"/>
    <w:rsid w:val="00100C44"/>
    <w:rsid w:val="00100CC8"/>
    <w:rsid w:val="0010113D"/>
    <w:rsid w:val="0010175B"/>
    <w:rsid w:val="00101870"/>
    <w:rsid w:val="00101A29"/>
    <w:rsid w:val="00101C87"/>
    <w:rsid w:val="00101DE7"/>
    <w:rsid w:val="00101FBE"/>
    <w:rsid w:val="001020BD"/>
    <w:rsid w:val="001022EC"/>
    <w:rsid w:val="0010234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7297"/>
    <w:rsid w:val="001072B2"/>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3C02"/>
    <w:rsid w:val="00114BBB"/>
    <w:rsid w:val="00115129"/>
    <w:rsid w:val="0011517C"/>
    <w:rsid w:val="001156FC"/>
    <w:rsid w:val="001157E3"/>
    <w:rsid w:val="00115AD5"/>
    <w:rsid w:val="00115F68"/>
    <w:rsid w:val="00116561"/>
    <w:rsid w:val="00116B99"/>
    <w:rsid w:val="00116D4D"/>
    <w:rsid w:val="00116F5A"/>
    <w:rsid w:val="00116F8E"/>
    <w:rsid w:val="00117382"/>
    <w:rsid w:val="00117D6D"/>
    <w:rsid w:val="00117EFB"/>
    <w:rsid w:val="00120E68"/>
    <w:rsid w:val="001216D7"/>
    <w:rsid w:val="00121AC6"/>
    <w:rsid w:val="00122236"/>
    <w:rsid w:val="00122747"/>
    <w:rsid w:val="00122CFE"/>
    <w:rsid w:val="00122EFA"/>
    <w:rsid w:val="00123AF5"/>
    <w:rsid w:val="00123C56"/>
    <w:rsid w:val="00123F25"/>
    <w:rsid w:val="00124243"/>
    <w:rsid w:val="00124CAF"/>
    <w:rsid w:val="001255A6"/>
    <w:rsid w:val="0012560B"/>
    <w:rsid w:val="00125CC7"/>
    <w:rsid w:val="00125E26"/>
    <w:rsid w:val="001260CC"/>
    <w:rsid w:val="00126623"/>
    <w:rsid w:val="0012674A"/>
    <w:rsid w:val="00126B2C"/>
    <w:rsid w:val="00126C9C"/>
    <w:rsid w:val="00126EA6"/>
    <w:rsid w:val="00126EEE"/>
    <w:rsid w:val="001270BC"/>
    <w:rsid w:val="0012767B"/>
    <w:rsid w:val="00130004"/>
    <w:rsid w:val="00130221"/>
    <w:rsid w:val="0013065D"/>
    <w:rsid w:val="00131171"/>
    <w:rsid w:val="001311BF"/>
    <w:rsid w:val="001314FE"/>
    <w:rsid w:val="00131818"/>
    <w:rsid w:val="00132233"/>
    <w:rsid w:val="0013229B"/>
    <w:rsid w:val="00132619"/>
    <w:rsid w:val="00132C59"/>
    <w:rsid w:val="001334AE"/>
    <w:rsid w:val="0013377E"/>
    <w:rsid w:val="001338A1"/>
    <w:rsid w:val="00133985"/>
    <w:rsid w:val="001339AC"/>
    <w:rsid w:val="00133E4A"/>
    <w:rsid w:val="00133FE3"/>
    <w:rsid w:val="00134230"/>
    <w:rsid w:val="00134299"/>
    <w:rsid w:val="00134486"/>
    <w:rsid w:val="0013465B"/>
    <w:rsid w:val="00134663"/>
    <w:rsid w:val="001348EC"/>
    <w:rsid w:val="00134AEA"/>
    <w:rsid w:val="00135047"/>
    <w:rsid w:val="0013558E"/>
    <w:rsid w:val="001355E1"/>
    <w:rsid w:val="00135FBC"/>
    <w:rsid w:val="0013654B"/>
    <w:rsid w:val="001368E2"/>
    <w:rsid w:val="00136BFF"/>
    <w:rsid w:val="001370DE"/>
    <w:rsid w:val="001373BC"/>
    <w:rsid w:val="001376F7"/>
    <w:rsid w:val="00137B03"/>
    <w:rsid w:val="00137DB7"/>
    <w:rsid w:val="00137E4E"/>
    <w:rsid w:val="00137FBF"/>
    <w:rsid w:val="00140023"/>
    <w:rsid w:val="001404B4"/>
    <w:rsid w:val="00140C94"/>
    <w:rsid w:val="00141DEC"/>
    <w:rsid w:val="00142CB5"/>
    <w:rsid w:val="00142CCD"/>
    <w:rsid w:val="00142CE6"/>
    <w:rsid w:val="00143827"/>
    <w:rsid w:val="001440B4"/>
    <w:rsid w:val="00144455"/>
    <w:rsid w:val="00144866"/>
    <w:rsid w:val="0014491F"/>
    <w:rsid w:val="00145115"/>
    <w:rsid w:val="0014581D"/>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540F"/>
    <w:rsid w:val="001561EB"/>
    <w:rsid w:val="001571E2"/>
    <w:rsid w:val="001577EB"/>
    <w:rsid w:val="001578A8"/>
    <w:rsid w:val="00157F35"/>
    <w:rsid w:val="00160830"/>
    <w:rsid w:val="00160A54"/>
    <w:rsid w:val="00160EFE"/>
    <w:rsid w:val="00161069"/>
    <w:rsid w:val="00161A99"/>
    <w:rsid w:val="00162046"/>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9BB"/>
    <w:rsid w:val="001672F6"/>
    <w:rsid w:val="00167EA5"/>
    <w:rsid w:val="0017044D"/>
    <w:rsid w:val="00170868"/>
    <w:rsid w:val="00170D49"/>
    <w:rsid w:val="0017192A"/>
    <w:rsid w:val="00171930"/>
    <w:rsid w:val="00171A03"/>
    <w:rsid w:val="001720C8"/>
    <w:rsid w:val="001724FC"/>
    <w:rsid w:val="00172A53"/>
    <w:rsid w:val="00172A57"/>
    <w:rsid w:val="001734AE"/>
    <w:rsid w:val="00173AFD"/>
    <w:rsid w:val="001740DF"/>
    <w:rsid w:val="00174314"/>
    <w:rsid w:val="00174351"/>
    <w:rsid w:val="001743CB"/>
    <w:rsid w:val="00174563"/>
    <w:rsid w:val="001747C0"/>
    <w:rsid w:val="00174BCA"/>
    <w:rsid w:val="00174D62"/>
    <w:rsid w:val="00175934"/>
    <w:rsid w:val="00175C6B"/>
    <w:rsid w:val="0017614D"/>
    <w:rsid w:val="001763B9"/>
    <w:rsid w:val="00176700"/>
    <w:rsid w:val="001769D4"/>
    <w:rsid w:val="00176D21"/>
    <w:rsid w:val="001771F7"/>
    <w:rsid w:val="00177899"/>
    <w:rsid w:val="00177A89"/>
    <w:rsid w:val="00180213"/>
    <w:rsid w:val="00180BC5"/>
    <w:rsid w:val="00181017"/>
    <w:rsid w:val="001814C4"/>
    <w:rsid w:val="0018175C"/>
    <w:rsid w:val="00181CC2"/>
    <w:rsid w:val="0018269D"/>
    <w:rsid w:val="00182BE5"/>
    <w:rsid w:val="00182FEC"/>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902A1"/>
    <w:rsid w:val="00190428"/>
    <w:rsid w:val="0019086F"/>
    <w:rsid w:val="001908CC"/>
    <w:rsid w:val="00190BEC"/>
    <w:rsid w:val="00190C8D"/>
    <w:rsid w:val="00190D6F"/>
    <w:rsid w:val="0019163C"/>
    <w:rsid w:val="00191D10"/>
    <w:rsid w:val="00191E76"/>
    <w:rsid w:val="001921FE"/>
    <w:rsid w:val="001928FD"/>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8C2"/>
    <w:rsid w:val="001A6DA3"/>
    <w:rsid w:val="001A71B5"/>
    <w:rsid w:val="001A7540"/>
    <w:rsid w:val="001A7754"/>
    <w:rsid w:val="001A7EE0"/>
    <w:rsid w:val="001B0055"/>
    <w:rsid w:val="001B0169"/>
    <w:rsid w:val="001B046D"/>
    <w:rsid w:val="001B08FF"/>
    <w:rsid w:val="001B0CCF"/>
    <w:rsid w:val="001B0E64"/>
    <w:rsid w:val="001B0FCC"/>
    <w:rsid w:val="001B127E"/>
    <w:rsid w:val="001B175E"/>
    <w:rsid w:val="001B22DE"/>
    <w:rsid w:val="001B29DC"/>
    <w:rsid w:val="001B2C06"/>
    <w:rsid w:val="001B2D0A"/>
    <w:rsid w:val="001B353B"/>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DBD"/>
    <w:rsid w:val="001B70D9"/>
    <w:rsid w:val="001B7970"/>
    <w:rsid w:val="001B7B5E"/>
    <w:rsid w:val="001C0049"/>
    <w:rsid w:val="001C0875"/>
    <w:rsid w:val="001C0A89"/>
    <w:rsid w:val="001C0C34"/>
    <w:rsid w:val="001C0EEA"/>
    <w:rsid w:val="001C13C2"/>
    <w:rsid w:val="001C16A0"/>
    <w:rsid w:val="001C1AF3"/>
    <w:rsid w:val="001C1B89"/>
    <w:rsid w:val="001C1CC6"/>
    <w:rsid w:val="001C1DD8"/>
    <w:rsid w:val="001C2299"/>
    <w:rsid w:val="001C2373"/>
    <w:rsid w:val="001C2A96"/>
    <w:rsid w:val="001C3896"/>
    <w:rsid w:val="001C3D6E"/>
    <w:rsid w:val="001C3E87"/>
    <w:rsid w:val="001C4277"/>
    <w:rsid w:val="001C43DD"/>
    <w:rsid w:val="001C4BB4"/>
    <w:rsid w:val="001C4CF6"/>
    <w:rsid w:val="001C4D67"/>
    <w:rsid w:val="001C4F40"/>
    <w:rsid w:val="001C520E"/>
    <w:rsid w:val="001C5CC5"/>
    <w:rsid w:val="001C64DA"/>
    <w:rsid w:val="001C6DA8"/>
    <w:rsid w:val="001C726F"/>
    <w:rsid w:val="001C7606"/>
    <w:rsid w:val="001C79F3"/>
    <w:rsid w:val="001D034C"/>
    <w:rsid w:val="001D0350"/>
    <w:rsid w:val="001D052C"/>
    <w:rsid w:val="001D06F2"/>
    <w:rsid w:val="001D0BC0"/>
    <w:rsid w:val="001D0D9F"/>
    <w:rsid w:val="001D1223"/>
    <w:rsid w:val="001D122E"/>
    <w:rsid w:val="001D15C4"/>
    <w:rsid w:val="001D170A"/>
    <w:rsid w:val="001D1D4F"/>
    <w:rsid w:val="001D1DAA"/>
    <w:rsid w:val="001D1EC1"/>
    <w:rsid w:val="001D3124"/>
    <w:rsid w:val="001D318D"/>
    <w:rsid w:val="001D35AA"/>
    <w:rsid w:val="001D372E"/>
    <w:rsid w:val="001D3749"/>
    <w:rsid w:val="001D3CC0"/>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DD4"/>
    <w:rsid w:val="001E4EF3"/>
    <w:rsid w:val="001E5878"/>
    <w:rsid w:val="001E5917"/>
    <w:rsid w:val="001E6493"/>
    <w:rsid w:val="001E68AE"/>
    <w:rsid w:val="001E6967"/>
    <w:rsid w:val="001E6E6B"/>
    <w:rsid w:val="001E6FAD"/>
    <w:rsid w:val="001E723F"/>
    <w:rsid w:val="001E79AA"/>
    <w:rsid w:val="001E7E88"/>
    <w:rsid w:val="001F0384"/>
    <w:rsid w:val="001F099D"/>
    <w:rsid w:val="001F0AF0"/>
    <w:rsid w:val="001F0B75"/>
    <w:rsid w:val="001F100E"/>
    <w:rsid w:val="001F1298"/>
    <w:rsid w:val="001F133A"/>
    <w:rsid w:val="001F1719"/>
    <w:rsid w:val="001F18CE"/>
    <w:rsid w:val="001F1C53"/>
    <w:rsid w:val="001F23AE"/>
    <w:rsid w:val="001F4E9F"/>
    <w:rsid w:val="001F5265"/>
    <w:rsid w:val="001F5F51"/>
    <w:rsid w:val="001F64A6"/>
    <w:rsid w:val="001F6A86"/>
    <w:rsid w:val="001F6B2C"/>
    <w:rsid w:val="001F6BC4"/>
    <w:rsid w:val="001F7193"/>
    <w:rsid w:val="001F72DE"/>
    <w:rsid w:val="001F783E"/>
    <w:rsid w:val="001F79AC"/>
    <w:rsid w:val="001F79DF"/>
    <w:rsid w:val="00201146"/>
    <w:rsid w:val="00201224"/>
    <w:rsid w:val="00201370"/>
    <w:rsid w:val="002019E6"/>
    <w:rsid w:val="00201C28"/>
    <w:rsid w:val="00201C89"/>
    <w:rsid w:val="00201ED5"/>
    <w:rsid w:val="002020D5"/>
    <w:rsid w:val="0020347C"/>
    <w:rsid w:val="002035E5"/>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44D1"/>
    <w:rsid w:val="00234998"/>
    <w:rsid w:val="00234C45"/>
    <w:rsid w:val="00234D4B"/>
    <w:rsid w:val="00235237"/>
    <w:rsid w:val="00235280"/>
    <w:rsid w:val="0023557E"/>
    <w:rsid w:val="00235759"/>
    <w:rsid w:val="00235DC0"/>
    <w:rsid w:val="002366BD"/>
    <w:rsid w:val="00236852"/>
    <w:rsid w:val="002369A3"/>
    <w:rsid w:val="00236B0C"/>
    <w:rsid w:val="00237635"/>
    <w:rsid w:val="00237A1E"/>
    <w:rsid w:val="00237B5E"/>
    <w:rsid w:val="00237BA9"/>
    <w:rsid w:val="002409B0"/>
    <w:rsid w:val="00240A1D"/>
    <w:rsid w:val="00240AF9"/>
    <w:rsid w:val="00240EC4"/>
    <w:rsid w:val="002418F9"/>
    <w:rsid w:val="00241B19"/>
    <w:rsid w:val="00241BB5"/>
    <w:rsid w:val="00241D24"/>
    <w:rsid w:val="00242470"/>
    <w:rsid w:val="002425BE"/>
    <w:rsid w:val="002426CB"/>
    <w:rsid w:val="0024287D"/>
    <w:rsid w:val="00242CEE"/>
    <w:rsid w:val="00243506"/>
    <w:rsid w:val="00243964"/>
    <w:rsid w:val="00243B7C"/>
    <w:rsid w:val="00243C9D"/>
    <w:rsid w:val="00243EC4"/>
    <w:rsid w:val="00243EC5"/>
    <w:rsid w:val="002446F9"/>
    <w:rsid w:val="00244FF9"/>
    <w:rsid w:val="00245046"/>
    <w:rsid w:val="002451FA"/>
    <w:rsid w:val="00245339"/>
    <w:rsid w:val="00245C33"/>
    <w:rsid w:val="002460DD"/>
    <w:rsid w:val="002462F1"/>
    <w:rsid w:val="00246F35"/>
    <w:rsid w:val="002471EC"/>
    <w:rsid w:val="0024743D"/>
    <w:rsid w:val="002478FF"/>
    <w:rsid w:val="002501F1"/>
    <w:rsid w:val="002502F9"/>
    <w:rsid w:val="00250634"/>
    <w:rsid w:val="0025082F"/>
    <w:rsid w:val="00250ADF"/>
    <w:rsid w:val="0025101E"/>
    <w:rsid w:val="002516B1"/>
    <w:rsid w:val="00251CAC"/>
    <w:rsid w:val="00251E31"/>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729"/>
    <w:rsid w:val="00261CC1"/>
    <w:rsid w:val="0026247A"/>
    <w:rsid w:val="0026297E"/>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1C2"/>
    <w:rsid w:val="0027461D"/>
    <w:rsid w:val="0027465D"/>
    <w:rsid w:val="00274997"/>
    <w:rsid w:val="002749BA"/>
    <w:rsid w:val="00274A9B"/>
    <w:rsid w:val="00274BA3"/>
    <w:rsid w:val="002750F9"/>
    <w:rsid w:val="00275399"/>
    <w:rsid w:val="00275740"/>
    <w:rsid w:val="002766ED"/>
    <w:rsid w:val="00276BD4"/>
    <w:rsid w:val="00276D87"/>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8"/>
    <w:rsid w:val="00284409"/>
    <w:rsid w:val="00284707"/>
    <w:rsid w:val="00284724"/>
    <w:rsid w:val="00284812"/>
    <w:rsid w:val="00284FA5"/>
    <w:rsid w:val="0028544B"/>
    <w:rsid w:val="00285FDE"/>
    <w:rsid w:val="00286036"/>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79F"/>
    <w:rsid w:val="00293562"/>
    <w:rsid w:val="002936DE"/>
    <w:rsid w:val="002939F0"/>
    <w:rsid w:val="002940D6"/>
    <w:rsid w:val="00294545"/>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0B33"/>
    <w:rsid w:val="002A158B"/>
    <w:rsid w:val="002A1687"/>
    <w:rsid w:val="002A18A0"/>
    <w:rsid w:val="002A18E4"/>
    <w:rsid w:val="002A1C98"/>
    <w:rsid w:val="002A264C"/>
    <w:rsid w:val="002A2950"/>
    <w:rsid w:val="002A30C2"/>
    <w:rsid w:val="002A3483"/>
    <w:rsid w:val="002A3AF2"/>
    <w:rsid w:val="002A45F6"/>
    <w:rsid w:val="002A4E24"/>
    <w:rsid w:val="002A5297"/>
    <w:rsid w:val="002A5A73"/>
    <w:rsid w:val="002A6204"/>
    <w:rsid w:val="002A629C"/>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12C4"/>
    <w:rsid w:val="002B12F4"/>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7B9"/>
    <w:rsid w:val="002C0B45"/>
    <w:rsid w:val="002C1997"/>
    <w:rsid w:val="002C1B0D"/>
    <w:rsid w:val="002C207D"/>
    <w:rsid w:val="002C24C8"/>
    <w:rsid w:val="002C3123"/>
    <w:rsid w:val="002C3A5A"/>
    <w:rsid w:val="002C4092"/>
    <w:rsid w:val="002C4620"/>
    <w:rsid w:val="002C4771"/>
    <w:rsid w:val="002C4ACB"/>
    <w:rsid w:val="002C4E32"/>
    <w:rsid w:val="002C4F3E"/>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2B00"/>
    <w:rsid w:val="002D3066"/>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5132"/>
    <w:rsid w:val="002E5576"/>
    <w:rsid w:val="002E5742"/>
    <w:rsid w:val="002E5A20"/>
    <w:rsid w:val="002E5AC5"/>
    <w:rsid w:val="002E6D48"/>
    <w:rsid w:val="002E6E9B"/>
    <w:rsid w:val="002E6FB8"/>
    <w:rsid w:val="002E73FB"/>
    <w:rsid w:val="002E757D"/>
    <w:rsid w:val="002E77F4"/>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406A"/>
    <w:rsid w:val="002F4544"/>
    <w:rsid w:val="002F49DE"/>
    <w:rsid w:val="002F5249"/>
    <w:rsid w:val="002F5A20"/>
    <w:rsid w:val="002F629B"/>
    <w:rsid w:val="002F6550"/>
    <w:rsid w:val="002F65C6"/>
    <w:rsid w:val="002F6658"/>
    <w:rsid w:val="002F66E9"/>
    <w:rsid w:val="002F67DC"/>
    <w:rsid w:val="002F6AD9"/>
    <w:rsid w:val="002F6C56"/>
    <w:rsid w:val="002F70A3"/>
    <w:rsid w:val="002F77A3"/>
    <w:rsid w:val="002F7DE5"/>
    <w:rsid w:val="002F7F30"/>
    <w:rsid w:val="002F7F34"/>
    <w:rsid w:val="002F7F4A"/>
    <w:rsid w:val="003001E5"/>
    <w:rsid w:val="00300B2B"/>
    <w:rsid w:val="00300EA9"/>
    <w:rsid w:val="00301020"/>
    <w:rsid w:val="00301274"/>
    <w:rsid w:val="00301560"/>
    <w:rsid w:val="00301670"/>
    <w:rsid w:val="00301DC7"/>
    <w:rsid w:val="00301EE2"/>
    <w:rsid w:val="003022B5"/>
    <w:rsid w:val="00302435"/>
    <w:rsid w:val="00302446"/>
    <w:rsid w:val="00302831"/>
    <w:rsid w:val="0030297A"/>
    <w:rsid w:val="0030305C"/>
    <w:rsid w:val="00303B2D"/>
    <w:rsid w:val="00304B0A"/>
    <w:rsid w:val="00304FBB"/>
    <w:rsid w:val="0030573E"/>
    <w:rsid w:val="003059FF"/>
    <w:rsid w:val="00305E5E"/>
    <w:rsid w:val="0030604E"/>
    <w:rsid w:val="00306292"/>
    <w:rsid w:val="00306357"/>
    <w:rsid w:val="003069D5"/>
    <w:rsid w:val="00306D87"/>
    <w:rsid w:val="003075E9"/>
    <w:rsid w:val="00307800"/>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364D"/>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CB1"/>
    <w:rsid w:val="00317D8F"/>
    <w:rsid w:val="0032069A"/>
    <w:rsid w:val="003208D8"/>
    <w:rsid w:val="00320C0F"/>
    <w:rsid w:val="0032157D"/>
    <w:rsid w:val="003219D3"/>
    <w:rsid w:val="00321A1C"/>
    <w:rsid w:val="00321B44"/>
    <w:rsid w:val="00321DD4"/>
    <w:rsid w:val="00322523"/>
    <w:rsid w:val="0032271A"/>
    <w:rsid w:val="00322BB5"/>
    <w:rsid w:val="003235CB"/>
    <w:rsid w:val="00323F36"/>
    <w:rsid w:val="0032410C"/>
    <w:rsid w:val="00324679"/>
    <w:rsid w:val="00324795"/>
    <w:rsid w:val="00324923"/>
    <w:rsid w:val="00324B7A"/>
    <w:rsid w:val="003252CD"/>
    <w:rsid w:val="00325B0C"/>
    <w:rsid w:val="003265A8"/>
    <w:rsid w:val="00326804"/>
    <w:rsid w:val="003268B8"/>
    <w:rsid w:val="00326D40"/>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1AC"/>
    <w:rsid w:val="00355740"/>
    <w:rsid w:val="00355CC0"/>
    <w:rsid w:val="00355DA5"/>
    <w:rsid w:val="003563C2"/>
    <w:rsid w:val="003565DD"/>
    <w:rsid w:val="00356850"/>
    <w:rsid w:val="00356CFF"/>
    <w:rsid w:val="00356DAE"/>
    <w:rsid w:val="003573C9"/>
    <w:rsid w:val="00357630"/>
    <w:rsid w:val="00357D5B"/>
    <w:rsid w:val="00360468"/>
    <w:rsid w:val="003604B1"/>
    <w:rsid w:val="00360B06"/>
    <w:rsid w:val="003611E0"/>
    <w:rsid w:val="0036123E"/>
    <w:rsid w:val="003614B0"/>
    <w:rsid w:val="0036156F"/>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8D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7423"/>
    <w:rsid w:val="00397653"/>
    <w:rsid w:val="0039780D"/>
    <w:rsid w:val="003979E8"/>
    <w:rsid w:val="00397AEC"/>
    <w:rsid w:val="003A0607"/>
    <w:rsid w:val="003A08E5"/>
    <w:rsid w:val="003A1956"/>
    <w:rsid w:val="003A1F2E"/>
    <w:rsid w:val="003A1F4D"/>
    <w:rsid w:val="003A1FAE"/>
    <w:rsid w:val="003A2A86"/>
    <w:rsid w:val="003A341D"/>
    <w:rsid w:val="003A3887"/>
    <w:rsid w:val="003A3AFB"/>
    <w:rsid w:val="003A3C9C"/>
    <w:rsid w:val="003A3FD7"/>
    <w:rsid w:val="003A4C6E"/>
    <w:rsid w:val="003A5505"/>
    <w:rsid w:val="003A5B80"/>
    <w:rsid w:val="003A5D91"/>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5F8D"/>
    <w:rsid w:val="003C6A94"/>
    <w:rsid w:val="003C6E0B"/>
    <w:rsid w:val="003C7224"/>
    <w:rsid w:val="003C73B6"/>
    <w:rsid w:val="003D0585"/>
    <w:rsid w:val="003D0970"/>
    <w:rsid w:val="003D0A09"/>
    <w:rsid w:val="003D0B0A"/>
    <w:rsid w:val="003D16F6"/>
    <w:rsid w:val="003D188D"/>
    <w:rsid w:val="003D18BA"/>
    <w:rsid w:val="003D1A27"/>
    <w:rsid w:val="003D1C26"/>
    <w:rsid w:val="003D1F3E"/>
    <w:rsid w:val="003D2633"/>
    <w:rsid w:val="003D26D2"/>
    <w:rsid w:val="003D2E26"/>
    <w:rsid w:val="003D34C0"/>
    <w:rsid w:val="003D3648"/>
    <w:rsid w:val="003D397E"/>
    <w:rsid w:val="003D5200"/>
    <w:rsid w:val="003D579B"/>
    <w:rsid w:val="003D5868"/>
    <w:rsid w:val="003D59D1"/>
    <w:rsid w:val="003D5A65"/>
    <w:rsid w:val="003D5B58"/>
    <w:rsid w:val="003D5BA0"/>
    <w:rsid w:val="003D622E"/>
    <w:rsid w:val="003D69BE"/>
    <w:rsid w:val="003D7409"/>
    <w:rsid w:val="003D7CAA"/>
    <w:rsid w:val="003D7E44"/>
    <w:rsid w:val="003E02A0"/>
    <w:rsid w:val="003E0308"/>
    <w:rsid w:val="003E0833"/>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528C"/>
    <w:rsid w:val="003E5766"/>
    <w:rsid w:val="003E57A6"/>
    <w:rsid w:val="003E6258"/>
    <w:rsid w:val="003E663C"/>
    <w:rsid w:val="003E696D"/>
    <w:rsid w:val="003E6B2F"/>
    <w:rsid w:val="003E6C4F"/>
    <w:rsid w:val="003E785E"/>
    <w:rsid w:val="003F00CC"/>
    <w:rsid w:val="003F0187"/>
    <w:rsid w:val="003F069D"/>
    <w:rsid w:val="003F07AE"/>
    <w:rsid w:val="003F0F13"/>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4D4F"/>
    <w:rsid w:val="00404F12"/>
    <w:rsid w:val="004050AA"/>
    <w:rsid w:val="004052B3"/>
    <w:rsid w:val="00405AAA"/>
    <w:rsid w:val="00405DE2"/>
    <w:rsid w:val="004070DA"/>
    <w:rsid w:val="004073B6"/>
    <w:rsid w:val="00407C5C"/>
    <w:rsid w:val="00407E3D"/>
    <w:rsid w:val="00407ECB"/>
    <w:rsid w:val="0041007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2A8"/>
    <w:rsid w:val="00414D56"/>
    <w:rsid w:val="00414E38"/>
    <w:rsid w:val="00415DB9"/>
    <w:rsid w:val="00415F7C"/>
    <w:rsid w:val="00416762"/>
    <w:rsid w:val="00416A70"/>
    <w:rsid w:val="00416E67"/>
    <w:rsid w:val="0041715A"/>
    <w:rsid w:val="004202E7"/>
    <w:rsid w:val="0042030F"/>
    <w:rsid w:val="004205AC"/>
    <w:rsid w:val="004214C0"/>
    <w:rsid w:val="004216FE"/>
    <w:rsid w:val="00421D33"/>
    <w:rsid w:val="0042264F"/>
    <w:rsid w:val="004235B8"/>
    <w:rsid w:val="00423837"/>
    <w:rsid w:val="004239E1"/>
    <w:rsid w:val="00423A2A"/>
    <w:rsid w:val="00423ADE"/>
    <w:rsid w:val="0042408A"/>
    <w:rsid w:val="00424E37"/>
    <w:rsid w:val="00425A64"/>
    <w:rsid w:val="00425BCC"/>
    <w:rsid w:val="00425F0B"/>
    <w:rsid w:val="004262C0"/>
    <w:rsid w:val="0042672A"/>
    <w:rsid w:val="004268EB"/>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1812"/>
    <w:rsid w:val="004421A7"/>
    <w:rsid w:val="0044237F"/>
    <w:rsid w:val="00442483"/>
    <w:rsid w:val="00442C6E"/>
    <w:rsid w:val="00442CDB"/>
    <w:rsid w:val="0044312A"/>
    <w:rsid w:val="004432ED"/>
    <w:rsid w:val="0044344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7D3"/>
    <w:rsid w:val="00451C82"/>
    <w:rsid w:val="00452510"/>
    <w:rsid w:val="0045274A"/>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729"/>
    <w:rsid w:val="00462FB7"/>
    <w:rsid w:val="00463219"/>
    <w:rsid w:val="0046322E"/>
    <w:rsid w:val="0046333F"/>
    <w:rsid w:val="00463EF9"/>
    <w:rsid w:val="004642C0"/>
    <w:rsid w:val="00464400"/>
    <w:rsid w:val="004646EB"/>
    <w:rsid w:val="00464833"/>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D97"/>
    <w:rsid w:val="00472FA0"/>
    <w:rsid w:val="00472FAA"/>
    <w:rsid w:val="00473026"/>
    <w:rsid w:val="004739BF"/>
    <w:rsid w:val="004740D8"/>
    <w:rsid w:val="004746B5"/>
    <w:rsid w:val="004748BE"/>
    <w:rsid w:val="004748DA"/>
    <w:rsid w:val="00474B34"/>
    <w:rsid w:val="00474BCF"/>
    <w:rsid w:val="00474C3B"/>
    <w:rsid w:val="00474D83"/>
    <w:rsid w:val="004755A7"/>
    <w:rsid w:val="004755DC"/>
    <w:rsid w:val="00475A90"/>
    <w:rsid w:val="0047686B"/>
    <w:rsid w:val="00476903"/>
    <w:rsid w:val="00476983"/>
    <w:rsid w:val="00477D09"/>
    <w:rsid w:val="00477D6E"/>
    <w:rsid w:val="00477F08"/>
    <w:rsid w:val="004801B1"/>
    <w:rsid w:val="00480AF7"/>
    <w:rsid w:val="00480D56"/>
    <w:rsid w:val="0048121F"/>
    <w:rsid w:val="00481452"/>
    <w:rsid w:val="0048178D"/>
    <w:rsid w:val="00481947"/>
    <w:rsid w:val="00481B00"/>
    <w:rsid w:val="00481E7A"/>
    <w:rsid w:val="00481F3B"/>
    <w:rsid w:val="004827AE"/>
    <w:rsid w:val="004828C9"/>
    <w:rsid w:val="00482F0C"/>
    <w:rsid w:val="004832C5"/>
    <w:rsid w:val="004832E5"/>
    <w:rsid w:val="004838EC"/>
    <w:rsid w:val="00483D71"/>
    <w:rsid w:val="004840E9"/>
    <w:rsid w:val="004842C8"/>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EBA"/>
    <w:rsid w:val="004902A5"/>
    <w:rsid w:val="00490304"/>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B0755"/>
    <w:rsid w:val="004B0896"/>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1AF"/>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CA3"/>
    <w:rsid w:val="004C5DFD"/>
    <w:rsid w:val="004C6155"/>
    <w:rsid w:val="004C644C"/>
    <w:rsid w:val="004C6E83"/>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414"/>
    <w:rsid w:val="004D5757"/>
    <w:rsid w:val="004D5819"/>
    <w:rsid w:val="004D585F"/>
    <w:rsid w:val="004D5A97"/>
    <w:rsid w:val="004D6046"/>
    <w:rsid w:val="004D61FA"/>
    <w:rsid w:val="004D6EC1"/>
    <w:rsid w:val="004D6F04"/>
    <w:rsid w:val="004D739B"/>
    <w:rsid w:val="004D7910"/>
    <w:rsid w:val="004E094D"/>
    <w:rsid w:val="004E0BA0"/>
    <w:rsid w:val="004E0CA7"/>
    <w:rsid w:val="004E1021"/>
    <w:rsid w:val="004E112B"/>
    <w:rsid w:val="004E14B0"/>
    <w:rsid w:val="004E1562"/>
    <w:rsid w:val="004E15C9"/>
    <w:rsid w:val="004E1829"/>
    <w:rsid w:val="004E19C9"/>
    <w:rsid w:val="004E1C22"/>
    <w:rsid w:val="004E1DFA"/>
    <w:rsid w:val="004E1F3A"/>
    <w:rsid w:val="004E2153"/>
    <w:rsid w:val="004E43A0"/>
    <w:rsid w:val="004E4558"/>
    <w:rsid w:val="004E4846"/>
    <w:rsid w:val="004E492C"/>
    <w:rsid w:val="004E4C4F"/>
    <w:rsid w:val="004E5002"/>
    <w:rsid w:val="004E51C8"/>
    <w:rsid w:val="004E5830"/>
    <w:rsid w:val="004E5C50"/>
    <w:rsid w:val="004E5D60"/>
    <w:rsid w:val="004E5E7A"/>
    <w:rsid w:val="004E5FD5"/>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525"/>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197A"/>
    <w:rsid w:val="00501DBB"/>
    <w:rsid w:val="00501F6F"/>
    <w:rsid w:val="005023B0"/>
    <w:rsid w:val="005023E8"/>
    <w:rsid w:val="0050250C"/>
    <w:rsid w:val="00502686"/>
    <w:rsid w:val="00502F45"/>
    <w:rsid w:val="005030CF"/>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10B"/>
    <w:rsid w:val="00506307"/>
    <w:rsid w:val="005063B9"/>
    <w:rsid w:val="00506AC0"/>
    <w:rsid w:val="00506D31"/>
    <w:rsid w:val="00506E9C"/>
    <w:rsid w:val="0050711A"/>
    <w:rsid w:val="005072C9"/>
    <w:rsid w:val="00507D19"/>
    <w:rsid w:val="00510395"/>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718"/>
    <w:rsid w:val="005257C1"/>
    <w:rsid w:val="00525808"/>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A29"/>
    <w:rsid w:val="00530E7C"/>
    <w:rsid w:val="00531176"/>
    <w:rsid w:val="00531311"/>
    <w:rsid w:val="00531533"/>
    <w:rsid w:val="00531694"/>
    <w:rsid w:val="00531B53"/>
    <w:rsid w:val="00531CD8"/>
    <w:rsid w:val="00531E0C"/>
    <w:rsid w:val="00532043"/>
    <w:rsid w:val="0053251E"/>
    <w:rsid w:val="0053293F"/>
    <w:rsid w:val="00532952"/>
    <w:rsid w:val="00532D4A"/>
    <w:rsid w:val="00532E3F"/>
    <w:rsid w:val="00532E69"/>
    <w:rsid w:val="00533A87"/>
    <w:rsid w:val="005343AC"/>
    <w:rsid w:val="00534B65"/>
    <w:rsid w:val="00534D9A"/>
    <w:rsid w:val="00534DA0"/>
    <w:rsid w:val="00534E42"/>
    <w:rsid w:val="00534E63"/>
    <w:rsid w:val="00535588"/>
    <w:rsid w:val="00535CED"/>
    <w:rsid w:val="00535D79"/>
    <w:rsid w:val="0053617A"/>
    <w:rsid w:val="005364CB"/>
    <w:rsid w:val="00536916"/>
    <w:rsid w:val="00537566"/>
    <w:rsid w:val="00537AF3"/>
    <w:rsid w:val="00537D58"/>
    <w:rsid w:val="00540013"/>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BE5"/>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4D9E"/>
    <w:rsid w:val="00554F69"/>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5FE"/>
    <w:rsid w:val="00560866"/>
    <w:rsid w:val="00560A05"/>
    <w:rsid w:val="00561599"/>
    <w:rsid w:val="0056194B"/>
    <w:rsid w:val="00561A73"/>
    <w:rsid w:val="005628FA"/>
    <w:rsid w:val="0056297B"/>
    <w:rsid w:val="00562A3F"/>
    <w:rsid w:val="005633A7"/>
    <w:rsid w:val="00563825"/>
    <w:rsid w:val="00563DC0"/>
    <w:rsid w:val="00563FEC"/>
    <w:rsid w:val="00564419"/>
    <w:rsid w:val="00564A71"/>
    <w:rsid w:val="00564E8E"/>
    <w:rsid w:val="00565027"/>
    <w:rsid w:val="005650C9"/>
    <w:rsid w:val="00565336"/>
    <w:rsid w:val="005658D4"/>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56C7"/>
    <w:rsid w:val="00576310"/>
    <w:rsid w:val="005768C1"/>
    <w:rsid w:val="0057732F"/>
    <w:rsid w:val="00577F9F"/>
    <w:rsid w:val="005801BF"/>
    <w:rsid w:val="0058028B"/>
    <w:rsid w:val="005803F7"/>
    <w:rsid w:val="00580E78"/>
    <w:rsid w:val="00581002"/>
    <w:rsid w:val="00581081"/>
    <w:rsid w:val="00581084"/>
    <w:rsid w:val="00581295"/>
    <w:rsid w:val="00581BEB"/>
    <w:rsid w:val="00582373"/>
    <w:rsid w:val="00582B4B"/>
    <w:rsid w:val="005836E4"/>
    <w:rsid w:val="00583EFE"/>
    <w:rsid w:val="00584084"/>
    <w:rsid w:val="005843AD"/>
    <w:rsid w:val="0058486B"/>
    <w:rsid w:val="00584997"/>
    <w:rsid w:val="00584BE7"/>
    <w:rsid w:val="00584CC2"/>
    <w:rsid w:val="00584DEA"/>
    <w:rsid w:val="00585195"/>
    <w:rsid w:val="0058526A"/>
    <w:rsid w:val="00585865"/>
    <w:rsid w:val="00585F10"/>
    <w:rsid w:val="00586097"/>
    <w:rsid w:val="005866D1"/>
    <w:rsid w:val="005868C6"/>
    <w:rsid w:val="00586A3D"/>
    <w:rsid w:val="00586D76"/>
    <w:rsid w:val="005875B2"/>
    <w:rsid w:val="00587EC3"/>
    <w:rsid w:val="00587FEB"/>
    <w:rsid w:val="005903D6"/>
    <w:rsid w:val="005909A9"/>
    <w:rsid w:val="00590AF4"/>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6C41"/>
    <w:rsid w:val="00597060"/>
    <w:rsid w:val="005972D0"/>
    <w:rsid w:val="00597309"/>
    <w:rsid w:val="00597516"/>
    <w:rsid w:val="00597915"/>
    <w:rsid w:val="00597D52"/>
    <w:rsid w:val="00597DC0"/>
    <w:rsid w:val="005A024A"/>
    <w:rsid w:val="005A08DF"/>
    <w:rsid w:val="005A1086"/>
    <w:rsid w:val="005A1E0F"/>
    <w:rsid w:val="005A2168"/>
    <w:rsid w:val="005A2371"/>
    <w:rsid w:val="005A2798"/>
    <w:rsid w:val="005A2D06"/>
    <w:rsid w:val="005A2D42"/>
    <w:rsid w:val="005A2D4A"/>
    <w:rsid w:val="005A2D9F"/>
    <w:rsid w:val="005A3F69"/>
    <w:rsid w:val="005A4467"/>
    <w:rsid w:val="005A44FB"/>
    <w:rsid w:val="005A4725"/>
    <w:rsid w:val="005A56F0"/>
    <w:rsid w:val="005A5713"/>
    <w:rsid w:val="005A5747"/>
    <w:rsid w:val="005A5977"/>
    <w:rsid w:val="005A643D"/>
    <w:rsid w:val="005A6538"/>
    <w:rsid w:val="005A68F9"/>
    <w:rsid w:val="005A6B65"/>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7FC"/>
    <w:rsid w:val="005B29B5"/>
    <w:rsid w:val="005B2A90"/>
    <w:rsid w:val="005B2E64"/>
    <w:rsid w:val="005B354C"/>
    <w:rsid w:val="005B376B"/>
    <w:rsid w:val="005B389D"/>
    <w:rsid w:val="005B3C03"/>
    <w:rsid w:val="005B3CD5"/>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9E3"/>
    <w:rsid w:val="005C0013"/>
    <w:rsid w:val="005C01EF"/>
    <w:rsid w:val="005C05B5"/>
    <w:rsid w:val="005C06B5"/>
    <w:rsid w:val="005C089D"/>
    <w:rsid w:val="005C11B4"/>
    <w:rsid w:val="005C143D"/>
    <w:rsid w:val="005C1756"/>
    <w:rsid w:val="005C1BCF"/>
    <w:rsid w:val="005C2127"/>
    <w:rsid w:val="005C2309"/>
    <w:rsid w:val="005C23CF"/>
    <w:rsid w:val="005C257E"/>
    <w:rsid w:val="005C2F7E"/>
    <w:rsid w:val="005C34C2"/>
    <w:rsid w:val="005C3B77"/>
    <w:rsid w:val="005C3D6A"/>
    <w:rsid w:val="005C4306"/>
    <w:rsid w:val="005C46B1"/>
    <w:rsid w:val="005C5586"/>
    <w:rsid w:val="005C56DE"/>
    <w:rsid w:val="005C5761"/>
    <w:rsid w:val="005C655F"/>
    <w:rsid w:val="005C667B"/>
    <w:rsid w:val="005C6885"/>
    <w:rsid w:val="005C6C33"/>
    <w:rsid w:val="005C708F"/>
    <w:rsid w:val="005C766D"/>
    <w:rsid w:val="005C7750"/>
    <w:rsid w:val="005D007D"/>
    <w:rsid w:val="005D0198"/>
    <w:rsid w:val="005D0CEC"/>
    <w:rsid w:val="005D0CFF"/>
    <w:rsid w:val="005D148D"/>
    <w:rsid w:val="005D1828"/>
    <w:rsid w:val="005D206F"/>
    <w:rsid w:val="005D2233"/>
    <w:rsid w:val="005D225C"/>
    <w:rsid w:val="005D2266"/>
    <w:rsid w:val="005D232E"/>
    <w:rsid w:val="005D24E7"/>
    <w:rsid w:val="005D2665"/>
    <w:rsid w:val="005D2D11"/>
    <w:rsid w:val="005D2DDE"/>
    <w:rsid w:val="005D323A"/>
    <w:rsid w:val="005D32CB"/>
    <w:rsid w:val="005D34E7"/>
    <w:rsid w:val="005D3EAB"/>
    <w:rsid w:val="005D452F"/>
    <w:rsid w:val="005D47E7"/>
    <w:rsid w:val="005D4CB8"/>
    <w:rsid w:val="005D4D47"/>
    <w:rsid w:val="005D52B3"/>
    <w:rsid w:val="005D5A8D"/>
    <w:rsid w:val="005D5D7D"/>
    <w:rsid w:val="005D6798"/>
    <w:rsid w:val="005D6990"/>
    <w:rsid w:val="005D6CD1"/>
    <w:rsid w:val="005D7849"/>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871"/>
    <w:rsid w:val="005E4A87"/>
    <w:rsid w:val="005E4ABB"/>
    <w:rsid w:val="005E4F69"/>
    <w:rsid w:val="005E4FFB"/>
    <w:rsid w:val="005E520B"/>
    <w:rsid w:val="005E53E1"/>
    <w:rsid w:val="005E6551"/>
    <w:rsid w:val="005E7002"/>
    <w:rsid w:val="005E7AAA"/>
    <w:rsid w:val="005F0650"/>
    <w:rsid w:val="005F0982"/>
    <w:rsid w:val="005F0A18"/>
    <w:rsid w:val="005F0A88"/>
    <w:rsid w:val="005F0F33"/>
    <w:rsid w:val="005F15B6"/>
    <w:rsid w:val="005F2026"/>
    <w:rsid w:val="005F2729"/>
    <w:rsid w:val="005F2937"/>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700D"/>
    <w:rsid w:val="005F7AA0"/>
    <w:rsid w:val="005F7BC0"/>
    <w:rsid w:val="005F7DAE"/>
    <w:rsid w:val="00600044"/>
    <w:rsid w:val="0060045C"/>
    <w:rsid w:val="00600570"/>
    <w:rsid w:val="006005BC"/>
    <w:rsid w:val="006008E4"/>
    <w:rsid w:val="00600CD3"/>
    <w:rsid w:val="006013C6"/>
    <w:rsid w:val="006013E9"/>
    <w:rsid w:val="00601FC5"/>
    <w:rsid w:val="00602445"/>
    <w:rsid w:val="006028EF"/>
    <w:rsid w:val="00602BA3"/>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466"/>
    <w:rsid w:val="00607D7F"/>
    <w:rsid w:val="00607F62"/>
    <w:rsid w:val="006100D1"/>
    <w:rsid w:val="006101FD"/>
    <w:rsid w:val="006104E4"/>
    <w:rsid w:val="00610580"/>
    <w:rsid w:val="00610E0C"/>
    <w:rsid w:val="00611300"/>
    <w:rsid w:val="006118E9"/>
    <w:rsid w:val="00611971"/>
    <w:rsid w:val="006119D4"/>
    <w:rsid w:val="00611AEA"/>
    <w:rsid w:val="00611D49"/>
    <w:rsid w:val="00611DD7"/>
    <w:rsid w:val="0061214C"/>
    <w:rsid w:val="00612DED"/>
    <w:rsid w:val="00613622"/>
    <w:rsid w:val="00613827"/>
    <w:rsid w:val="00614081"/>
    <w:rsid w:val="00614863"/>
    <w:rsid w:val="00614BD9"/>
    <w:rsid w:val="00614D36"/>
    <w:rsid w:val="00614D6C"/>
    <w:rsid w:val="0061517A"/>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D25"/>
    <w:rsid w:val="0062116B"/>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6D5"/>
    <w:rsid w:val="00624827"/>
    <w:rsid w:val="00624B5B"/>
    <w:rsid w:val="00625123"/>
    <w:rsid w:val="00625553"/>
    <w:rsid w:val="00625953"/>
    <w:rsid w:val="00625A27"/>
    <w:rsid w:val="00625DE8"/>
    <w:rsid w:val="00625E4D"/>
    <w:rsid w:val="00625EC8"/>
    <w:rsid w:val="00625F55"/>
    <w:rsid w:val="00626031"/>
    <w:rsid w:val="00626681"/>
    <w:rsid w:val="0062704E"/>
    <w:rsid w:val="0062774D"/>
    <w:rsid w:val="00627DE2"/>
    <w:rsid w:val="00630839"/>
    <w:rsid w:val="00630BCC"/>
    <w:rsid w:val="00630E44"/>
    <w:rsid w:val="00630EFF"/>
    <w:rsid w:val="0063102B"/>
    <w:rsid w:val="0063165E"/>
    <w:rsid w:val="00631766"/>
    <w:rsid w:val="00631A39"/>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6CE"/>
    <w:rsid w:val="00640D70"/>
    <w:rsid w:val="00640E6B"/>
    <w:rsid w:val="006414B8"/>
    <w:rsid w:val="0064163F"/>
    <w:rsid w:val="00641705"/>
    <w:rsid w:val="006419FE"/>
    <w:rsid w:val="00641A39"/>
    <w:rsid w:val="00641FD7"/>
    <w:rsid w:val="0064248A"/>
    <w:rsid w:val="00642B65"/>
    <w:rsid w:val="00643036"/>
    <w:rsid w:val="006436AA"/>
    <w:rsid w:val="00643889"/>
    <w:rsid w:val="00643DB1"/>
    <w:rsid w:val="00643F65"/>
    <w:rsid w:val="00644083"/>
    <w:rsid w:val="00644138"/>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082"/>
    <w:rsid w:val="0065243D"/>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14"/>
    <w:rsid w:val="0066769C"/>
    <w:rsid w:val="006679B2"/>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E3"/>
    <w:rsid w:val="0068202D"/>
    <w:rsid w:val="006831C1"/>
    <w:rsid w:val="0068368A"/>
    <w:rsid w:val="00684022"/>
    <w:rsid w:val="00684167"/>
    <w:rsid w:val="006842E5"/>
    <w:rsid w:val="00684734"/>
    <w:rsid w:val="0068481F"/>
    <w:rsid w:val="0068494F"/>
    <w:rsid w:val="00684D55"/>
    <w:rsid w:val="00685973"/>
    <w:rsid w:val="00685A4B"/>
    <w:rsid w:val="00685C43"/>
    <w:rsid w:val="00685D7D"/>
    <w:rsid w:val="0068635D"/>
    <w:rsid w:val="00686E57"/>
    <w:rsid w:val="00686F13"/>
    <w:rsid w:val="0068755D"/>
    <w:rsid w:val="00687596"/>
    <w:rsid w:val="00687947"/>
    <w:rsid w:val="006879C4"/>
    <w:rsid w:val="0069048A"/>
    <w:rsid w:val="00690DF0"/>
    <w:rsid w:val="00690F8C"/>
    <w:rsid w:val="006915CB"/>
    <w:rsid w:val="00691ADF"/>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C19"/>
    <w:rsid w:val="006A22FA"/>
    <w:rsid w:val="006A230B"/>
    <w:rsid w:val="006A2DB8"/>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BA1"/>
    <w:rsid w:val="006A7E8D"/>
    <w:rsid w:val="006B0116"/>
    <w:rsid w:val="006B0689"/>
    <w:rsid w:val="006B0FB4"/>
    <w:rsid w:val="006B1311"/>
    <w:rsid w:val="006B1665"/>
    <w:rsid w:val="006B19B5"/>
    <w:rsid w:val="006B1C72"/>
    <w:rsid w:val="006B21C3"/>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9DA"/>
    <w:rsid w:val="006C4089"/>
    <w:rsid w:val="006C4813"/>
    <w:rsid w:val="006C4B0B"/>
    <w:rsid w:val="006C4EE4"/>
    <w:rsid w:val="006C4F23"/>
    <w:rsid w:val="006C5332"/>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208B"/>
    <w:rsid w:val="006D22EF"/>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A8F"/>
    <w:rsid w:val="006D7BD8"/>
    <w:rsid w:val="006E0252"/>
    <w:rsid w:val="006E0B5E"/>
    <w:rsid w:val="006E1007"/>
    <w:rsid w:val="006E12F7"/>
    <w:rsid w:val="006E1862"/>
    <w:rsid w:val="006E1ECF"/>
    <w:rsid w:val="006E1FF6"/>
    <w:rsid w:val="006E2260"/>
    <w:rsid w:val="006E2B7D"/>
    <w:rsid w:val="006E3ACE"/>
    <w:rsid w:val="006E3B0B"/>
    <w:rsid w:val="006E4296"/>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770"/>
    <w:rsid w:val="006F3849"/>
    <w:rsid w:val="006F3A57"/>
    <w:rsid w:val="006F3ADF"/>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97B"/>
    <w:rsid w:val="00704E0D"/>
    <w:rsid w:val="0070529C"/>
    <w:rsid w:val="00705400"/>
    <w:rsid w:val="00705A22"/>
    <w:rsid w:val="00705F1D"/>
    <w:rsid w:val="007060B5"/>
    <w:rsid w:val="0070611B"/>
    <w:rsid w:val="00706203"/>
    <w:rsid w:val="007066CB"/>
    <w:rsid w:val="00707129"/>
    <w:rsid w:val="00707591"/>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5628"/>
    <w:rsid w:val="00715BB5"/>
    <w:rsid w:val="00715F8C"/>
    <w:rsid w:val="007163BB"/>
    <w:rsid w:val="00716BA0"/>
    <w:rsid w:val="00716C92"/>
    <w:rsid w:val="007170E0"/>
    <w:rsid w:val="00717710"/>
    <w:rsid w:val="00717F58"/>
    <w:rsid w:val="00720A9A"/>
    <w:rsid w:val="00720AD9"/>
    <w:rsid w:val="00720D39"/>
    <w:rsid w:val="00720D6E"/>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672"/>
    <w:rsid w:val="0072485A"/>
    <w:rsid w:val="00724A08"/>
    <w:rsid w:val="0072540A"/>
    <w:rsid w:val="00725423"/>
    <w:rsid w:val="0072590B"/>
    <w:rsid w:val="00725A3D"/>
    <w:rsid w:val="00725D34"/>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716"/>
    <w:rsid w:val="0073293E"/>
    <w:rsid w:val="007331A9"/>
    <w:rsid w:val="00733423"/>
    <w:rsid w:val="00733810"/>
    <w:rsid w:val="00733D67"/>
    <w:rsid w:val="007340C7"/>
    <w:rsid w:val="00734238"/>
    <w:rsid w:val="00734498"/>
    <w:rsid w:val="007346F6"/>
    <w:rsid w:val="00734A59"/>
    <w:rsid w:val="0073584B"/>
    <w:rsid w:val="007358DC"/>
    <w:rsid w:val="007359BF"/>
    <w:rsid w:val="00735DED"/>
    <w:rsid w:val="00735F82"/>
    <w:rsid w:val="007363DD"/>
    <w:rsid w:val="00736A29"/>
    <w:rsid w:val="00736BAC"/>
    <w:rsid w:val="00736EB3"/>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B91"/>
    <w:rsid w:val="00746D8B"/>
    <w:rsid w:val="0074740E"/>
    <w:rsid w:val="00747CDD"/>
    <w:rsid w:val="00747FC8"/>
    <w:rsid w:val="00750717"/>
    <w:rsid w:val="00750A72"/>
    <w:rsid w:val="00750F54"/>
    <w:rsid w:val="00751528"/>
    <w:rsid w:val="00751618"/>
    <w:rsid w:val="007518CB"/>
    <w:rsid w:val="007519CB"/>
    <w:rsid w:val="00752394"/>
    <w:rsid w:val="00752499"/>
    <w:rsid w:val="007525CC"/>
    <w:rsid w:val="00752EA4"/>
    <w:rsid w:val="0075342F"/>
    <w:rsid w:val="00754689"/>
    <w:rsid w:val="00754983"/>
    <w:rsid w:val="00754A69"/>
    <w:rsid w:val="00754D6C"/>
    <w:rsid w:val="00754E5E"/>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9F2"/>
    <w:rsid w:val="007632B2"/>
    <w:rsid w:val="007634B2"/>
    <w:rsid w:val="007637DF"/>
    <w:rsid w:val="00763EB1"/>
    <w:rsid w:val="00763F66"/>
    <w:rsid w:val="00764154"/>
    <w:rsid w:val="0076448E"/>
    <w:rsid w:val="00764907"/>
    <w:rsid w:val="00764CB7"/>
    <w:rsid w:val="00764F43"/>
    <w:rsid w:val="0076515E"/>
    <w:rsid w:val="00765181"/>
    <w:rsid w:val="007652E9"/>
    <w:rsid w:val="007653FA"/>
    <w:rsid w:val="00765437"/>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97F"/>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A28"/>
    <w:rsid w:val="00777E59"/>
    <w:rsid w:val="00777F11"/>
    <w:rsid w:val="00780223"/>
    <w:rsid w:val="0078028D"/>
    <w:rsid w:val="007802AC"/>
    <w:rsid w:val="007811D0"/>
    <w:rsid w:val="007815CE"/>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653"/>
    <w:rsid w:val="00794EDA"/>
    <w:rsid w:val="00795310"/>
    <w:rsid w:val="00795586"/>
    <w:rsid w:val="00795660"/>
    <w:rsid w:val="00795770"/>
    <w:rsid w:val="0079594B"/>
    <w:rsid w:val="00795C5D"/>
    <w:rsid w:val="007965DA"/>
    <w:rsid w:val="00796708"/>
    <w:rsid w:val="007970E4"/>
    <w:rsid w:val="00797D4B"/>
    <w:rsid w:val="007A0A4D"/>
    <w:rsid w:val="007A0CFD"/>
    <w:rsid w:val="007A0D65"/>
    <w:rsid w:val="007A0EC1"/>
    <w:rsid w:val="007A1ACC"/>
    <w:rsid w:val="007A1E35"/>
    <w:rsid w:val="007A1E96"/>
    <w:rsid w:val="007A2225"/>
    <w:rsid w:val="007A2354"/>
    <w:rsid w:val="007A26AC"/>
    <w:rsid w:val="007A26BA"/>
    <w:rsid w:val="007A2B2A"/>
    <w:rsid w:val="007A2D52"/>
    <w:rsid w:val="007A2F3D"/>
    <w:rsid w:val="007A3714"/>
    <w:rsid w:val="007A3D29"/>
    <w:rsid w:val="007A40AD"/>
    <w:rsid w:val="007A40E3"/>
    <w:rsid w:val="007A4456"/>
    <w:rsid w:val="007A45A3"/>
    <w:rsid w:val="007A4EF1"/>
    <w:rsid w:val="007A5017"/>
    <w:rsid w:val="007A507A"/>
    <w:rsid w:val="007A513F"/>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65"/>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2AE"/>
    <w:rsid w:val="007B68CB"/>
    <w:rsid w:val="007B6ACA"/>
    <w:rsid w:val="007B6DF8"/>
    <w:rsid w:val="007B6E0D"/>
    <w:rsid w:val="007B7096"/>
    <w:rsid w:val="007B710E"/>
    <w:rsid w:val="007B7DC8"/>
    <w:rsid w:val="007C01C2"/>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5E2"/>
    <w:rsid w:val="007C5781"/>
    <w:rsid w:val="007C579D"/>
    <w:rsid w:val="007C5B34"/>
    <w:rsid w:val="007C5D3D"/>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3E"/>
    <w:rsid w:val="007D44FA"/>
    <w:rsid w:val="007D48CA"/>
    <w:rsid w:val="007D4ABB"/>
    <w:rsid w:val="007D4B10"/>
    <w:rsid w:val="007D4D0B"/>
    <w:rsid w:val="007D5AC1"/>
    <w:rsid w:val="007D5DE9"/>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5C7"/>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6F97"/>
    <w:rsid w:val="007E74F8"/>
    <w:rsid w:val="007E7AE5"/>
    <w:rsid w:val="007E7D9E"/>
    <w:rsid w:val="007F055B"/>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31A"/>
    <w:rsid w:val="007F53EE"/>
    <w:rsid w:val="007F548A"/>
    <w:rsid w:val="007F588D"/>
    <w:rsid w:val="007F58AA"/>
    <w:rsid w:val="007F5A4C"/>
    <w:rsid w:val="007F5B11"/>
    <w:rsid w:val="007F5C32"/>
    <w:rsid w:val="007F63A6"/>
    <w:rsid w:val="007F67A6"/>
    <w:rsid w:val="007F6C41"/>
    <w:rsid w:val="007F6D2C"/>
    <w:rsid w:val="007F6E29"/>
    <w:rsid w:val="007F7324"/>
    <w:rsid w:val="007F7B19"/>
    <w:rsid w:val="007F7BC2"/>
    <w:rsid w:val="00800627"/>
    <w:rsid w:val="00800AB0"/>
    <w:rsid w:val="008011B9"/>
    <w:rsid w:val="008011E0"/>
    <w:rsid w:val="008012FF"/>
    <w:rsid w:val="008014A4"/>
    <w:rsid w:val="00801601"/>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EB3"/>
    <w:rsid w:val="00810FE7"/>
    <w:rsid w:val="008110D9"/>
    <w:rsid w:val="0081119C"/>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76E"/>
    <w:rsid w:val="00816124"/>
    <w:rsid w:val="008162B3"/>
    <w:rsid w:val="008165D5"/>
    <w:rsid w:val="00816710"/>
    <w:rsid w:val="0081677E"/>
    <w:rsid w:val="008169C0"/>
    <w:rsid w:val="00816B1A"/>
    <w:rsid w:val="0081739D"/>
    <w:rsid w:val="008176F4"/>
    <w:rsid w:val="008177D1"/>
    <w:rsid w:val="00817940"/>
    <w:rsid w:val="00817F63"/>
    <w:rsid w:val="008207ED"/>
    <w:rsid w:val="00821313"/>
    <w:rsid w:val="00821326"/>
    <w:rsid w:val="00821560"/>
    <w:rsid w:val="00821BC3"/>
    <w:rsid w:val="00822B06"/>
    <w:rsid w:val="00823198"/>
    <w:rsid w:val="00823784"/>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27EC1"/>
    <w:rsid w:val="00830600"/>
    <w:rsid w:val="00830638"/>
    <w:rsid w:val="008311C4"/>
    <w:rsid w:val="00831A49"/>
    <w:rsid w:val="00831D5C"/>
    <w:rsid w:val="00831DF0"/>
    <w:rsid w:val="00831E7A"/>
    <w:rsid w:val="008337B5"/>
    <w:rsid w:val="008339F3"/>
    <w:rsid w:val="00833A5D"/>
    <w:rsid w:val="00834236"/>
    <w:rsid w:val="008359F2"/>
    <w:rsid w:val="00835BC5"/>
    <w:rsid w:val="00835C0E"/>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3AF8"/>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2D1"/>
    <w:rsid w:val="00850B25"/>
    <w:rsid w:val="00850C98"/>
    <w:rsid w:val="00850D65"/>
    <w:rsid w:val="00850F2D"/>
    <w:rsid w:val="00851132"/>
    <w:rsid w:val="00851C2E"/>
    <w:rsid w:val="00851D4D"/>
    <w:rsid w:val="00852137"/>
    <w:rsid w:val="0085214D"/>
    <w:rsid w:val="008528CD"/>
    <w:rsid w:val="00852904"/>
    <w:rsid w:val="008533B7"/>
    <w:rsid w:val="00853485"/>
    <w:rsid w:val="00853666"/>
    <w:rsid w:val="00853CFB"/>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D87"/>
    <w:rsid w:val="00862F48"/>
    <w:rsid w:val="0086331D"/>
    <w:rsid w:val="008638BD"/>
    <w:rsid w:val="00863AC1"/>
    <w:rsid w:val="00863CB8"/>
    <w:rsid w:val="00864A42"/>
    <w:rsid w:val="00865007"/>
    <w:rsid w:val="0086506E"/>
    <w:rsid w:val="0086526F"/>
    <w:rsid w:val="008653BB"/>
    <w:rsid w:val="00865B6E"/>
    <w:rsid w:val="00865C92"/>
    <w:rsid w:val="008662BA"/>
    <w:rsid w:val="008665D6"/>
    <w:rsid w:val="00866667"/>
    <w:rsid w:val="00866981"/>
    <w:rsid w:val="00866A7D"/>
    <w:rsid w:val="00866FB2"/>
    <w:rsid w:val="00867010"/>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BB3"/>
    <w:rsid w:val="00872D5A"/>
    <w:rsid w:val="0087345A"/>
    <w:rsid w:val="0087351F"/>
    <w:rsid w:val="0087363C"/>
    <w:rsid w:val="008738E4"/>
    <w:rsid w:val="00873EF2"/>
    <w:rsid w:val="00874096"/>
    <w:rsid w:val="008746E8"/>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25A"/>
    <w:rsid w:val="00881418"/>
    <w:rsid w:val="008814EC"/>
    <w:rsid w:val="0088177D"/>
    <w:rsid w:val="008821CC"/>
    <w:rsid w:val="008825D3"/>
    <w:rsid w:val="00882BF0"/>
    <w:rsid w:val="008833DF"/>
    <w:rsid w:val="00883A05"/>
    <w:rsid w:val="0088426B"/>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4E"/>
    <w:rsid w:val="00886C57"/>
    <w:rsid w:val="008871E3"/>
    <w:rsid w:val="00887223"/>
    <w:rsid w:val="008873A7"/>
    <w:rsid w:val="008879AB"/>
    <w:rsid w:val="00887A37"/>
    <w:rsid w:val="00887CCD"/>
    <w:rsid w:val="00887EEB"/>
    <w:rsid w:val="0089003C"/>
    <w:rsid w:val="00890681"/>
    <w:rsid w:val="008909E4"/>
    <w:rsid w:val="00891215"/>
    <w:rsid w:val="00891360"/>
    <w:rsid w:val="00891807"/>
    <w:rsid w:val="00891992"/>
    <w:rsid w:val="00892D54"/>
    <w:rsid w:val="008930B9"/>
    <w:rsid w:val="00893AC9"/>
    <w:rsid w:val="008941DE"/>
    <w:rsid w:val="00894524"/>
    <w:rsid w:val="0089481C"/>
    <w:rsid w:val="00894C98"/>
    <w:rsid w:val="00894D2F"/>
    <w:rsid w:val="00895691"/>
    <w:rsid w:val="00895807"/>
    <w:rsid w:val="008959BB"/>
    <w:rsid w:val="00895DF3"/>
    <w:rsid w:val="00896132"/>
    <w:rsid w:val="008964EA"/>
    <w:rsid w:val="008967D1"/>
    <w:rsid w:val="00896907"/>
    <w:rsid w:val="00896E2D"/>
    <w:rsid w:val="008971F8"/>
    <w:rsid w:val="008974CD"/>
    <w:rsid w:val="00897852"/>
    <w:rsid w:val="00897E6E"/>
    <w:rsid w:val="008A03BC"/>
    <w:rsid w:val="008A08F5"/>
    <w:rsid w:val="008A1761"/>
    <w:rsid w:val="008A1964"/>
    <w:rsid w:val="008A1CB0"/>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29D5"/>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12D5"/>
    <w:rsid w:val="008D196A"/>
    <w:rsid w:val="008D1970"/>
    <w:rsid w:val="008D1D09"/>
    <w:rsid w:val="008D1F6F"/>
    <w:rsid w:val="008D27DE"/>
    <w:rsid w:val="008D3179"/>
    <w:rsid w:val="008D3ADA"/>
    <w:rsid w:val="008D3D2C"/>
    <w:rsid w:val="008D3D4B"/>
    <w:rsid w:val="008D3DF2"/>
    <w:rsid w:val="008D40F6"/>
    <w:rsid w:val="008D4B8E"/>
    <w:rsid w:val="008D55A3"/>
    <w:rsid w:val="008D5B11"/>
    <w:rsid w:val="008D5DEC"/>
    <w:rsid w:val="008D5FD4"/>
    <w:rsid w:val="008D61B6"/>
    <w:rsid w:val="008D61EB"/>
    <w:rsid w:val="008D64FA"/>
    <w:rsid w:val="008D6501"/>
    <w:rsid w:val="008D6788"/>
    <w:rsid w:val="008D6BBA"/>
    <w:rsid w:val="008D7386"/>
    <w:rsid w:val="008D76C0"/>
    <w:rsid w:val="008D7784"/>
    <w:rsid w:val="008E0000"/>
    <w:rsid w:val="008E063A"/>
    <w:rsid w:val="008E1385"/>
    <w:rsid w:val="008E15E4"/>
    <w:rsid w:val="008E1744"/>
    <w:rsid w:val="008E183D"/>
    <w:rsid w:val="008E1AFA"/>
    <w:rsid w:val="008E1C53"/>
    <w:rsid w:val="008E23C7"/>
    <w:rsid w:val="008E264E"/>
    <w:rsid w:val="008E28DB"/>
    <w:rsid w:val="008E2947"/>
    <w:rsid w:val="008E2A47"/>
    <w:rsid w:val="008E3A8E"/>
    <w:rsid w:val="008E3C3F"/>
    <w:rsid w:val="008E4210"/>
    <w:rsid w:val="008E441F"/>
    <w:rsid w:val="008E4646"/>
    <w:rsid w:val="008E4870"/>
    <w:rsid w:val="008E4BBA"/>
    <w:rsid w:val="008E4D7E"/>
    <w:rsid w:val="008E519E"/>
    <w:rsid w:val="008E52E6"/>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656"/>
    <w:rsid w:val="008F686F"/>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358"/>
    <w:rsid w:val="0091081E"/>
    <w:rsid w:val="009116C4"/>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5B4"/>
    <w:rsid w:val="009245EB"/>
    <w:rsid w:val="00924981"/>
    <w:rsid w:val="00924A32"/>
    <w:rsid w:val="00924F92"/>
    <w:rsid w:val="00925222"/>
    <w:rsid w:val="00925619"/>
    <w:rsid w:val="009260AD"/>
    <w:rsid w:val="00926132"/>
    <w:rsid w:val="0092613B"/>
    <w:rsid w:val="00927110"/>
    <w:rsid w:val="009273C7"/>
    <w:rsid w:val="00927749"/>
    <w:rsid w:val="00927C0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9EB"/>
    <w:rsid w:val="00933B5A"/>
    <w:rsid w:val="00933CAD"/>
    <w:rsid w:val="0093479D"/>
    <w:rsid w:val="00934829"/>
    <w:rsid w:val="00934A2E"/>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DB9"/>
    <w:rsid w:val="00942543"/>
    <w:rsid w:val="00942730"/>
    <w:rsid w:val="0094291F"/>
    <w:rsid w:val="00942BB9"/>
    <w:rsid w:val="00942BBE"/>
    <w:rsid w:val="00942D2B"/>
    <w:rsid w:val="0094363D"/>
    <w:rsid w:val="00943A2E"/>
    <w:rsid w:val="00944110"/>
    <w:rsid w:val="009442CC"/>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1ED2"/>
    <w:rsid w:val="009522F5"/>
    <w:rsid w:val="00952B16"/>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20C"/>
    <w:rsid w:val="00964752"/>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350"/>
    <w:rsid w:val="009717C0"/>
    <w:rsid w:val="00971B20"/>
    <w:rsid w:val="00971EC9"/>
    <w:rsid w:val="00971F61"/>
    <w:rsid w:val="0097202B"/>
    <w:rsid w:val="0097216D"/>
    <w:rsid w:val="00972467"/>
    <w:rsid w:val="0097292A"/>
    <w:rsid w:val="00972BF5"/>
    <w:rsid w:val="00972E3F"/>
    <w:rsid w:val="00973D63"/>
    <w:rsid w:val="009743A7"/>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5325"/>
    <w:rsid w:val="00986019"/>
    <w:rsid w:val="00986514"/>
    <w:rsid w:val="00986953"/>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AB"/>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AC1"/>
    <w:rsid w:val="009A0DAB"/>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50FF"/>
    <w:rsid w:val="009A6110"/>
    <w:rsid w:val="009A657E"/>
    <w:rsid w:val="009A6676"/>
    <w:rsid w:val="009A6DB4"/>
    <w:rsid w:val="009A79E9"/>
    <w:rsid w:val="009B0933"/>
    <w:rsid w:val="009B0B08"/>
    <w:rsid w:val="009B0C53"/>
    <w:rsid w:val="009B0E66"/>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5B3F"/>
    <w:rsid w:val="009B63D1"/>
    <w:rsid w:val="009B6736"/>
    <w:rsid w:val="009B695C"/>
    <w:rsid w:val="009B6BD3"/>
    <w:rsid w:val="009B714D"/>
    <w:rsid w:val="009B756A"/>
    <w:rsid w:val="009B7591"/>
    <w:rsid w:val="009B77F2"/>
    <w:rsid w:val="009B7ABF"/>
    <w:rsid w:val="009B7B0E"/>
    <w:rsid w:val="009B7BA7"/>
    <w:rsid w:val="009C08BD"/>
    <w:rsid w:val="009C0BAB"/>
    <w:rsid w:val="009C0BBE"/>
    <w:rsid w:val="009C0F2C"/>
    <w:rsid w:val="009C0F43"/>
    <w:rsid w:val="009C1D69"/>
    <w:rsid w:val="009C1EAD"/>
    <w:rsid w:val="009C223D"/>
    <w:rsid w:val="009C246A"/>
    <w:rsid w:val="009C2625"/>
    <w:rsid w:val="009C281D"/>
    <w:rsid w:val="009C2837"/>
    <w:rsid w:val="009C2FF5"/>
    <w:rsid w:val="009C30E9"/>
    <w:rsid w:val="009C34DD"/>
    <w:rsid w:val="009C3590"/>
    <w:rsid w:val="009C399F"/>
    <w:rsid w:val="009C3B3D"/>
    <w:rsid w:val="009C3CD5"/>
    <w:rsid w:val="009C3DF9"/>
    <w:rsid w:val="009C49BA"/>
    <w:rsid w:val="009C4B28"/>
    <w:rsid w:val="009C514D"/>
    <w:rsid w:val="009C5C87"/>
    <w:rsid w:val="009C5ED3"/>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D7B"/>
    <w:rsid w:val="009D5719"/>
    <w:rsid w:val="009D64B3"/>
    <w:rsid w:val="009D6610"/>
    <w:rsid w:val="009D6A07"/>
    <w:rsid w:val="009D6A3A"/>
    <w:rsid w:val="009D6AA8"/>
    <w:rsid w:val="009D6B0E"/>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43"/>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315"/>
    <w:rsid w:val="009E6787"/>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BBA"/>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0F4C"/>
    <w:rsid w:val="00A0128F"/>
    <w:rsid w:val="00A012F4"/>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5A87"/>
    <w:rsid w:val="00A06086"/>
    <w:rsid w:val="00A060ED"/>
    <w:rsid w:val="00A064D8"/>
    <w:rsid w:val="00A064D9"/>
    <w:rsid w:val="00A06546"/>
    <w:rsid w:val="00A06AA5"/>
    <w:rsid w:val="00A06EA7"/>
    <w:rsid w:val="00A06F58"/>
    <w:rsid w:val="00A075BA"/>
    <w:rsid w:val="00A07715"/>
    <w:rsid w:val="00A079AA"/>
    <w:rsid w:val="00A07ABC"/>
    <w:rsid w:val="00A07CD2"/>
    <w:rsid w:val="00A10445"/>
    <w:rsid w:val="00A10847"/>
    <w:rsid w:val="00A1193E"/>
    <w:rsid w:val="00A11A8C"/>
    <w:rsid w:val="00A11DA3"/>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290"/>
    <w:rsid w:val="00A2040F"/>
    <w:rsid w:val="00A20F9A"/>
    <w:rsid w:val="00A21102"/>
    <w:rsid w:val="00A216F0"/>
    <w:rsid w:val="00A219EB"/>
    <w:rsid w:val="00A22190"/>
    <w:rsid w:val="00A22430"/>
    <w:rsid w:val="00A22D06"/>
    <w:rsid w:val="00A231C6"/>
    <w:rsid w:val="00A23259"/>
    <w:rsid w:val="00A2358E"/>
    <w:rsid w:val="00A2471F"/>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3DD4"/>
    <w:rsid w:val="00A347FA"/>
    <w:rsid w:val="00A34D96"/>
    <w:rsid w:val="00A34F40"/>
    <w:rsid w:val="00A35202"/>
    <w:rsid w:val="00A35963"/>
    <w:rsid w:val="00A35FC0"/>
    <w:rsid w:val="00A36315"/>
    <w:rsid w:val="00A363B0"/>
    <w:rsid w:val="00A363C6"/>
    <w:rsid w:val="00A36572"/>
    <w:rsid w:val="00A365D9"/>
    <w:rsid w:val="00A36DC1"/>
    <w:rsid w:val="00A370C5"/>
    <w:rsid w:val="00A372E8"/>
    <w:rsid w:val="00A37539"/>
    <w:rsid w:val="00A37748"/>
    <w:rsid w:val="00A37CCD"/>
    <w:rsid w:val="00A40C4F"/>
    <w:rsid w:val="00A4143E"/>
    <w:rsid w:val="00A4187E"/>
    <w:rsid w:val="00A41A89"/>
    <w:rsid w:val="00A428D1"/>
    <w:rsid w:val="00A42956"/>
    <w:rsid w:val="00A42B48"/>
    <w:rsid w:val="00A42E52"/>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B30"/>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5160"/>
    <w:rsid w:val="00A652C0"/>
    <w:rsid w:val="00A65490"/>
    <w:rsid w:val="00A65CB1"/>
    <w:rsid w:val="00A65F2E"/>
    <w:rsid w:val="00A66435"/>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5E9"/>
    <w:rsid w:val="00A776BC"/>
    <w:rsid w:val="00A77A1E"/>
    <w:rsid w:val="00A77EB2"/>
    <w:rsid w:val="00A8031F"/>
    <w:rsid w:val="00A804DA"/>
    <w:rsid w:val="00A804FE"/>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C13"/>
    <w:rsid w:val="00A85C63"/>
    <w:rsid w:val="00A85FD5"/>
    <w:rsid w:val="00A86221"/>
    <w:rsid w:val="00A864CE"/>
    <w:rsid w:val="00A8671C"/>
    <w:rsid w:val="00A86EC7"/>
    <w:rsid w:val="00A87003"/>
    <w:rsid w:val="00A87105"/>
    <w:rsid w:val="00A87EDA"/>
    <w:rsid w:val="00A90753"/>
    <w:rsid w:val="00A90A45"/>
    <w:rsid w:val="00A90F36"/>
    <w:rsid w:val="00A91507"/>
    <w:rsid w:val="00A91C99"/>
    <w:rsid w:val="00A921C8"/>
    <w:rsid w:val="00A92885"/>
    <w:rsid w:val="00A92AE2"/>
    <w:rsid w:val="00A92F66"/>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29B"/>
    <w:rsid w:val="00A9792F"/>
    <w:rsid w:val="00A97AB6"/>
    <w:rsid w:val="00A97BE3"/>
    <w:rsid w:val="00A97F8E"/>
    <w:rsid w:val="00AA03BC"/>
    <w:rsid w:val="00AA0905"/>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583"/>
    <w:rsid w:val="00AB0E2B"/>
    <w:rsid w:val="00AB0EA3"/>
    <w:rsid w:val="00AB104A"/>
    <w:rsid w:val="00AB18D9"/>
    <w:rsid w:val="00AB1BA8"/>
    <w:rsid w:val="00AB1C6B"/>
    <w:rsid w:val="00AB1E50"/>
    <w:rsid w:val="00AB20DE"/>
    <w:rsid w:val="00AB2666"/>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D0501"/>
    <w:rsid w:val="00AD0BC2"/>
    <w:rsid w:val="00AD0CDE"/>
    <w:rsid w:val="00AD0CED"/>
    <w:rsid w:val="00AD0DD4"/>
    <w:rsid w:val="00AD1595"/>
    <w:rsid w:val="00AD1CF7"/>
    <w:rsid w:val="00AD2D11"/>
    <w:rsid w:val="00AD2FB7"/>
    <w:rsid w:val="00AD2FED"/>
    <w:rsid w:val="00AD380A"/>
    <w:rsid w:val="00AD3D30"/>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4122"/>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22"/>
    <w:rsid w:val="00AE78F4"/>
    <w:rsid w:val="00AE7957"/>
    <w:rsid w:val="00AE7C3A"/>
    <w:rsid w:val="00AE7E12"/>
    <w:rsid w:val="00AE7E1F"/>
    <w:rsid w:val="00AE7EC5"/>
    <w:rsid w:val="00AF0172"/>
    <w:rsid w:val="00AF038D"/>
    <w:rsid w:val="00AF0A5A"/>
    <w:rsid w:val="00AF0B5C"/>
    <w:rsid w:val="00AF101F"/>
    <w:rsid w:val="00AF15D2"/>
    <w:rsid w:val="00AF19B7"/>
    <w:rsid w:val="00AF1D19"/>
    <w:rsid w:val="00AF1E0B"/>
    <w:rsid w:val="00AF24A3"/>
    <w:rsid w:val="00AF33E2"/>
    <w:rsid w:val="00AF3413"/>
    <w:rsid w:val="00AF3475"/>
    <w:rsid w:val="00AF3628"/>
    <w:rsid w:val="00AF3E3A"/>
    <w:rsid w:val="00AF4084"/>
    <w:rsid w:val="00AF48D7"/>
    <w:rsid w:val="00AF48F5"/>
    <w:rsid w:val="00AF4C4E"/>
    <w:rsid w:val="00AF55BC"/>
    <w:rsid w:val="00AF57FF"/>
    <w:rsid w:val="00AF59F2"/>
    <w:rsid w:val="00AF7193"/>
    <w:rsid w:val="00AF7497"/>
    <w:rsid w:val="00AF7582"/>
    <w:rsid w:val="00AF75E3"/>
    <w:rsid w:val="00AF7DED"/>
    <w:rsid w:val="00AF7EDA"/>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C22"/>
    <w:rsid w:val="00B11E54"/>
    <w:rsid w:val="00B11E9F"/>
    <w:rsid w:val="00B12933"/>
    <w:rsid w:val="00B12D84"/>
    <w:rsid w:val="00B12FF7"/>
    <w:rsid w:val="00B12FFA"/>
    <w:rsid w:val="00B13EB6"/>
    <w:rsid w:val="00B13F3D"/>
    <w:rsid w:val="00B149F3"/>
    <w:rsid w:val="00B149F8"/>
    <w:rsid w:val="00B15289"/>
    <w:rsid w:val="00B1547A"/>
    <w:rsid w:val="00B1549B"/>
    <w:rsid w:val="00B1577B"/>
    <w:rsid w:val="00B15D39"/>
    <w:rsid w:val="00B15D73"/>
    <w:rsid w:val="00B160EA"/>
    <w:rsid w:val="00B162C1"/>
    <w:rsid w:val="00B16CB7"/>
    <w:rsid w:val="00B1710C"/>
    <w:rsid w:val="00B171A6"/>
    <w:rsid w:val="00B17382"/>
    <w:rsid w:val="00B17CBD"/>
    <w:rsid w:val="00B17DC6"/>
    <w:rsid w:val="00B17E12"/>
    <w:rsid w:val="00B20790"/>
    <w:rsid w:val="00B208D8"/>
    <w:rsid w:val="00B20B9F"/>
    <w:rsid w:val="00B20D78"/>
    <w:rsid w:val="00B20F2E"/>
    <w:rsid w:val="00B2136D"/>
    <w:rsid w:val="00B2187E"/>
    <w:rsid w:val="00B2194D"/>
    <w:rsid w:val="00B21DF9"/>
    <w:rsid w:val="00B21F02"/>
    <w:rsid w:val="00B2283A"/>
    <w:rsid w:val="00B229CC"/>
    <w:rsid w:val="00B234C4"/>
    <w:rsid w:val="00B23540"/>
    <w:rsid w:val="00B237EE"/>
    <w:rsid w:val="00B23BE8"/>
    <w:rsid w:val="00B24559"/>
    <w:rsid w:val="00B24A16"/>
    <w:rsid w:val="00B24C6D"/>
    <w:rsid w:val="00B24DD8"/>
    <w:rsid w:val="00B25416"/>
    <w:rsid w:val="00B2551A"/>
    <w:rsid w:val="00B25B2B"/>
    <w:rsid w:val="00B25B4F"/>
    <w:rsid w:val="00B260AE"/>
    <w:rsid w:val="00B27030"/>
    <w:rsid w:val="00B27A68"/>
    <w:rsid w:val="00B27BC5"/>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5588"/>
    <w:rsid w:val="00B35BE8"/>
    <w:rsid w:val="00B363D8"/>
    <w:rsid w:val="00B365E4"/>
    <w:rsid w:val="00B36A7B"/>
    <w:rsid w:val="00B36B86"/>
    <w:rsid w:val="00B370E8"/>
    <w:rsid w:val="00B37904"/>
    <w:rsid w:val="00B37BCF"/>
    <w:rsid w:val="00B37C34"/>
    <w:rsid w:val="00B40204"/>
    <w:rsid w:val="00B4064E"/>
    <w:rsid w:val="00B407CD"/>
    <w:rsid w:val="00B40A36"/>
    <w:rsid w:val="00B40AA4"/>
    <w:rsid w:val="00B40AC0"/>
    <w:rsid w:val="00B40EEA"/>
    <w:rsid w:val="00B41347"/>
    <w:rsid w:val="00B41475"/>
    <w:rsid w:val="00B42036"/>
    <w:rsid w:val="00B424D3"/>
    <w:rsid w:val="00B4276C"/>
    <w:rsid w:val="00B429A3"/>
    <w:rsid w:val="00B42DB1"/>
    <w:rsid w:val="00B430E0"/>
    <w:rsid w:val="00B442B0"/>
    <w:rsid w:val="00B443D0"/>
    <w:rsid w:val="00B444BF"/>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5A2"/>
    <w:rsid w:val="00B54EF7"/>
    <w:rsid w:val="00B55069"/>
    <w:rsid w:val="00B5556F"/>
    <w:rsid w:val="00B5562C"/>
    <w:rsid w:val="00B5584A"/>
    <w:rsid w:val="00B55CCC"/>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47D"/>
    <w:rsid w:val="00B706C8"/>
    <w:rsid w:val="00B70886"/>
    <w:rsid w:val="00B7091D"/>
    <w:rsid w:val="00B70B1A"/>
    <w:rsid w:val="00B71112"/>
    <w:rsid w:val="00B7210F"/>
    <w:rsid w:val="00B72520"/>
    <w:rsid w:val="00B72ABA"/>
    <w:rsid w:val="00B72EA7"/>
    <w:rsid w:val="00B72FAF"/>
    <w:rsid w:val="00B7340E"/>
    <w:rsid w:val="00B73974"/>
    <w:rsid w:val="00B74987"/>
    <w:rsid w:val="00B74DD4"/>
    <w:rsid w:val="00B753E0"/>
    <w:rsid w:val="00B75A5D"/>
    <w:rsid w:val="00B75EF4"/>
    <w:rsid w:val="00B75FB9"/>
    <w:rsid w:val="00B7613C"/>
    <w:rsid w:val="00B76268"/>
    <w:rsid w:val="00B766B9"/>
    <w:rsid w:val="00B768DA"/>
    <w:rsid w:val="00B772C4"/>
    <w:rsid w:val="00B7764E"/>
    <w:rsid w:val="00B77CBB"/>
    <w:rsid w:val="00B77F2F"/>
    <w:rsid w:val="00B8091A"/>
    <w:rsid w:val="00B80AA5"/>
    <w:rsid w:val="00B80E1F"/>
    <w:rsid w:val="00B81937"/>
    <w:rsid w:val="00B81B65"/>
    <w:rsid w:val="00B81C67"/>
    <w:rsid w:val="00B81ED1"/>
    <w:rsid w:val="00B81FA8"/>
    <w:rsid w:val="00B81FD5"/>
    <w:rsid w:val="00B82086"/>
    <w:rsid w:val="00B82350"/>
    <w:rsid w:val="00B82D50"/>
    <w:rsid w:val="00B83369"/>
    <w:rsid w:val="00B834D5"/>
    <w:rsid w:val="00B83AAC"/>
    <w:rsid w:val="00B8412B"/>
    <w:rsid w:val="00B8421F"/>
    <w:rsid w:val="00B842DF"/>
    <w:rsid w:val="00B845F5"/>
    <w:rsid w:val="00B8519A"/>
    <w:rsid w:val="00B85354"/>
    <w:rsid w:val="00B85359"/>
    <w:rsid w:val="00B860FF"/>
    <w:rsid w:val="00B86547"/>
    <w:rsid w:val="00B86570"/>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C41"/>
    <w:rsid w:val="00B9712D"/>
    <w:rsid w:val="00B9797F"/>
    <w:rsid w:val="00B97D07"/>
    <w:rsid w:val="00B97D9A"/>
    <w:rsid w:val="00BA08C9"/>
    <w:rsid w:val="00BA0BFB"/>
    <w:rsid w:val="00BA11F2"/>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BC"/>
    <w:rsid w:val="00BA539D"/>
    <w:rsid w:val="00BA53F3"/>
    <w:rsid w:val="00BA54CB"/>
    <w:rsid w:val="00BA5A1C"/>
    <w:rsid w:val="00BA5B9E"/>
    <w:rsid w:val="00BA60D1"/>
    <w:rsid w:val="00BA61F2"/>
    <w:rsid w:val="00BA6308"/>
    <w:rsid w:val="00BA651B"/>
    <w:rsid w:val="00BA667B"/>
    <w:rsid w:val="00BA72BC"/>
    <w:rsid w:val="00BA7B99"/>
    <w:rsid w:val="00BA7CC6"/>
    <w:rsid w:val="00BB0029"/>
    <w:rsid w:val="00BB09AA"/>
    <w:rsid w:val="00BB0A68"/>
    <w:rsid w:val="00BB0C4F"/>
    <w:rsid w:val="00BB0FEB"/>
    <w:rsid w:val="00BB0FEF"/>
    <w:rsid w:val="00BB1209"/>
    <w:rsid w:val="00BB1301"/>
    <w:rsid w:val="00BB1479"/>
    <w:rsid w:val="00BB15C1"/>
    <w:rsid w:val="00BB192A"/>
    <w:rsid w:val="00BB1CC8"/>
    <w:rsid w:val="00BB2616"/>
    <w:rsid w:val="00BB2CE9"/>
    <w:rsid w:val="00BB2D45"/>
    <w:rsid w:val="00BB2F6A"/>
    <w:rsid w:val="00BB305D"/>
    <w:rsid w:val="00BB3961"/>
    <w:rsid w:val="00BB3E97"/>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06"/>
    <w:rsid w:val="00BC1FF8"/>
    <w:rsid w:val="00BC2405"/>
    <w:rsid w:val="00BC2868"/>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291"/>
    <w:rsid w:val="00BC64A5"/>
    <w:rsid w:val="00BC6640"/>
    <w:rsid w:val="00BC68FB"/>
    <w:rsid w:val="00BC76D7"/>
    <w:rsid w:val="00BC7923"/>
    <w:rsid w:val="00BD08E5"/>
    <w:rsid w:val="00BD11FA"/>
    <w:rsid w:val="00BD1380"/>
    <w:rsid w:val="00BD14F5"/>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E67"/>
    <w:rsid w:val="00BE6061"/>
    <w:rsid w:val="00BE6B3B"/>
    <w:rsid w:val="00BE787D"/>
    <w:rsid w:val="00BE7935"/>
    <w:rsid w:val="00BE7AC4"/>
    <w:rsid w:val="00BE7B50"/>
    <w:rsid w:val="00BE7C72"/>
    <w:rsid w:val="00BE7E7F"/>
    <w:rsid w:val="00BF1AF4"/>
    <w:rsid w:val="00BF1BBA"/>
    <w:rsid w:val="00BF21CA"/>
    <w:rsid w:val="00BF224A"/>
    <w:rsid w:val="00BF2262"/>
    <w:rsid w:val="00BF34C0"/>
    <w:rsid w:val="00BF4ADF"/>
    <w:rsid w:val="00BF4F7A"/>
    <w:rsid w:val="00BF4FF6"/>
    <w:rsid w:val="00BF51AB"/>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A7B"/>
    <w:rsid w:val="00C01BF1"/>
    <w:rsid w:val="00C01E4A"/>
    <w:rsid w:val="00C021B0"/>
    <w:rsid w:val="00C02301"/>
    <w:rsid w:val="00C02A89"/>
    <w:rsid w:val="00C035BF"/>
    <w:rsid w:val="00C041B8"/>
    <w:rsid w:val="00C0425B"/>
    <w:rsid w:val="00C04261"/>
    <w:rsid w:val="00C04319"/>
    <w:rsid w:val="00C05066"/>
    <w:rsid w:val="00C05258"/>
    <w:rsid w:val="00C05369"/>
    <w:rsid w:val="00C057C4"/>
    <w:rsid w:val="00C059FB"/>
    <w:rsid w:val="00C05ED2"/>
    <w:rsid w:val="00C060DA"/>
    <w:rsid w:val="00C06860"/>
    <w:rsid w:val="00C068B2"/>
    <w:rsid w:val="00C06939"/>
    <w:rsid w:val="00C06B8B"/>
    <w:rsid w:val="00C06FEC"/>
    <w:rsid w:val="00C07206"/>
    <w:rsid w:val="00C07566"/>
    <w:rsid w:val="00C07717"/>
    <w:rsid w:val="00C077C5"/>
    <w:rsid w:val="00C07A94"/>
    <w:rsid w:val="00C07E4C"/>
    <w:rsid w:val="00C07EDF"/>
    <w:rsid w:val="00C1023F"/>
    <w:rsid w:val="00C1042E"/>
    <w:rsid w:val="00C106CC"/>
    <w:rsid w:val="00C1166A"/>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586D"/>
    <w:rsid w:val="00C26980"/>
    <w:rsid w:val="00C26FB5"/>
    <w:rsid w:val="00C278D0"/>
    <w:rsid w:val="00C2799E"/>
    <w:rsid w:val="00C27F01"/>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3F6B"/>
    <w:rsid w:val="00C33FBE"/>
    <w:rsid w:val="00C34435"/>
    <w:rsid w:val="00C34607"/>
    <w:rsid w:val="00C346D2"/>
    <w:rsid w:val="00C3485A"/>
    <w:rsid w:val="00C34DB1"/>
    <w:rsid w:val="00C34DEE"/>
    <w:rsid w:val="00C35905"/>
    <w:rsid w:val="00C35D05"/>
    <w:rsid w:val="00C35E4C"/>
    <w:rsid w:val="00C36479"/>
    <w:rsid w:val="00C36574"/>
    <w:rsid w:val="00C36796"/>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83A"/>
    <w:rsid w:val="00C46055"/>
    <w:rsid w:val="00C462A2"/>
    <w:rsid w:val="00C4664F"/>
    <w:rsid w:val="00C469EB"/>
    <w:rsid w:val="00C46D85"/>
    <w:rsid w:val="00C46F39"/>
    <w:rsid w:val="00C471D9"/>
    <w:rsid w:val="00C472FB"/>
    <w:rsid w:val="00C474A3"/>
    <w:rsid w:val="00C474C7"/>
    <w:rsid w:val="00C47572"/>
    <w:rsid w:val="00C47782"/>
    <w:rsid w:val="00C47DEC"/>
    <w:rsid w:val="00C502E1"/>
    <w:rsid w:val="00C5076C"/>
    <w:rsid w:val="00C50874"/>
    <w:rsid w:val="00C50BD9"/>
    <w:rsid w:val="00C50F5E"/>
    <w:rsid w:val="00C50FB3"/>
    <w:rsid w:val="00C51530"/>
    <w:rsid w:val="00C517E4"/>
    <w:rsid w:val="00C518A4"/>
    <w:rsid w:val="00C51D21"/>
    <w:rsid w:val="00C52BC1"/>
    <w:rsid w:val="00C52C5A"/>
    <w:rsid w:val="00C533EA"/>
    <w:rsid w:val="00C53420"/>
    <w:rsid w:val="00C5388D"/>
    <w:rsid w:val="00C53E34"/>
    <w:rsid w:val="00C5424B"/>
    <w:rsid w:val="00C542D0"/>
    <w:rsid w:val="00C5469A"/>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2D3"/>
    <w:rsid w:val="00C623C2"/>
    <w:rsid w:val="00C62787"/>
    <w:rsid w:val="00C630F8"/>
    <w:rsid w:val="00C63B8A"/>
    <w:rsid w:val="00C63C44"/>
    <w:rsid w:val="00C6410E"/>
    <w:rsid w:val="00C641A1"/>
    <w:rsid w:val="00C64FD5"/>
    <w:rsid w:val="00C653B2"/>
    <w:rsid w:val="00C655B9"/>
    <w:rsid w:val="00C65769"/>
    <w:rsid w:val="00C657F0"/>
    <w:rsid w:val="00C65AB3"/>
    <w:rsid w:val="00C65AE5"/>
    <w:rsid w:val="00C66116"/>
    <w:rsid w:val="00C664C9"/>
    <w:rsid w:val="00C66670"/>
    <w:rsid w:val="00C667D9"/>
    <w:rsid w:val="00C701D6"/>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0B89"/>
    <w:rsid w:val="00C81115"/>
    <w:rsid w:val="00C81228"/>
    <w:rsid w:val="00C818C4"/>
    <w:rsid w:val="00C81A02"/>
    <w:rsid w:val="00C81EA7"/>
    <w:rsid w:val="00C822B2"/>
    <w:rsid w:val="00C825B7"/>
    <w:rsid w:val="00C82C01"/>
    <w:rsid w:val="00C82EEF"/>
    <w:rsid w:val="00C82F1F"/>
    <w:rsid w:val="00C8300C"/>
    <w:rsid w:val="00C83018"/>
    <w:rsid w:val="00C833CA"/>
    <w:rsid w:val="00C83450"/>
    <w:rsid w:val="00C836B8"/>
    <w:rsid w:val="00C84430"/>
    <w:rsid w:val="00C84856"/>
    <w:rsid w:val="00C84882"/>
    <w:rsid w:val="00C8488F"/>
    <w:rsid w:val="00C84C2D"/>
    <w:rsid w:val="00C84CF7"/>
    <w:rsid w:val="00C8521E"/>
    <w:rsid w:val="00C85397"/>
    <w:rsid w:val="00C85596"/>
    <w:rsid w:val="00C855A6"/>
    <w:rsid w:val="00C85C6A"/>
    <w:rsid w:val="00C85CDC"/>
    <w:rsid w:val="00C86561"/>
    <w:rsid w:val="00C86C34"/>
    <w:rsid w:val="00C870C0"/>
    <w:rsid w:val="00C870E8"/>
    <w:rsid w:val="00C8728B"/>
    <w:rsid w:val="00C873D7"/>
    <w:rsid w:val="00C876AA"/>
    <w:rsid w:val="00C87946"/>
    <w:rsid w:val="00C87B77"/>
    <w:rsid w:val="00C9024D"/>
    <w:rsid w:val="00C902E3"/>
    <w:rsid w:val="00C904FD"/>
    <w:rsid w:val="00C9050F"/>
    <w:rsid w:val="00C9076B"/>
    <w:rsid w:val="00C907D6"/>
    <w:rsid w:val="00C90857"/>
    <w:rsid w:val="00C90BAA"/>
    <w:rsid w:val="00C910D2"/>
    <w:rsid w:val="00C91128"/>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05D4"/>
    <w:rsid w:val="00CA11B9"/>
    <w:rsid w:val="00CA1401"/>
    <w:rsid w:val="00CA310D"/>
    <w:rsid w:val="00CA343D"/>
    <w:rsid w:val="00CA38F0"/>
    <w:rsid w:val="00CA3919"/>
    <w:rsid w:val="00CA3FB1"/>
    <w:rsid w:val="00CA40A3"/>
    <w:rsid w:val="00CA4244"/>
    <w:rsid w:val="00CA4B93"/>
    <w:rsid w:val="00CA4D3B"/>
    <w:rsid w:val="00CA5B55"/>
    <w:rsid w:val="00CA6032"/>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2A"/>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023"/>
    <w:rsid w:val="00CC5379"/>
    <w:rsid w:val="00CC53CC"/>
    <w:rsid w:val="00CC58BA"/>
    <w:rsid w:val="00CC5DA6"/>
    <w:rsid w:val="00CC5DC9"/>
    <w:rsid w:val="00CC638E"/>
    <w:rsid w:val="00CC6564"/>
    <w:rsid w:val="00CC6F49"/>
    <w:rsid w:val="00CC6F7F"/>
    <w:rsid w:val="00CC7915"/>
    <w:rsid w:val="00CC79FB"/>
    <w:rsid w:val="00CC7C10"/>
    <w:rsid w:val="00CD00E9"/>
    <w:rsid w:val="00CD017D"/>
    <w:rsid w:val="00CD0287"/>
    <w:rsid w:val="00CD030B"/>
    <w:rsid w:val="00CD0641"/>
    <w:rsid w:val="00CD07C1"/>
    <w:rsid w:val="00CD09F8"/>
    <w:rsid w:val="00CD134F"/>
    <w:rsid w:val="00CD14C3"/>
    <w:rsid w:val="00CD1653"/>
    <w:rsid w:val="00CD1696"/>
    <w:rsid w:val="00CD18CB"/>
    <w:rsid w:val="00CD1909"/>
    <w:rsid w:val="00CD199C"/>
    <w:rsid w:val="00CD1E75"/>
    <w:rsid w:val="00CD1EA2"/>
    <w:rsid w:val="00CD2DF7"/>
    <w:rsid w:val="00CD30F6"/>
    <w:rsid w:val="00CD3211"/>
    <w:rsid w:val="00CD399E"/>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6FD"/>
    <w:rsid w:val="00CD7999"/>
    <w:rsid w:val="00CD7D71"/>
    <w:rsid w:val="00CD7FDD"/>
    <w:rsid w:val="00CE02FE"/>
    <w:rsid w:val="00CE0A68"/>
    <w:rsid w:val="00CE0B07"/>
    <w:rsid w:val="00CE0C1B"/>
    <w:rsid w:val="00CE150D"/>
    <w:rsid w:val="00CE1669"/>
    <w:rsid w:val="00CE1823"/>
    <w:rsid w:val="00CE193F"/>
    <w:rsid w:val="00CE1BE3"/>
    <w:rsid w:val="00CE1FDA"/>
    <w:rsid w:val="00CE2DCE"/>
    <w:rsid w:val="00CE2F3B"/>
    <w:rsid w:val="00CE2F58"/>
    <w:rsid w:val="00CE3CB9"/>
    <w:rsid w:val="00CE3E0F"/>
    <w:rsid w:val="00CE40A2"/>
    <w:rsid w:val="00CE4447"/>
    <w:rsid w:val="00CE4BAF"/>
    <w:rsid w:val="00CE4CB1"/>
    <w:rsid w:val="00CE5479"/>
    <w:rsid w:val="00CE5636"/>
    <w:rsid w:val="00CE5C00"/>
    <w:rsid w:val="00CE606B"/>
    <w:rsid w:val="00CE60D2"/>
    <w:rsid w:val="00CE60EF"/>
    <w:rsid w:val="00CE62CA"/>
    <w:rsid w:val="00CE6E3F"/>
    <w:rsid w:val="00CE734B"/>
    <w:rsid w:val="00CE7AE6"/>
    <w:rsid w:val="00CF00B1"/>
    <w:rsid w:val="00CF05B4"/>
    <w:rsid w:val="00CF05C9"/>
    <w:rsid w:val="00CF0B69"/>
    <w:rsid w:val="00CF0D20"/>
    <w:rsid w:val="00CF0D8A"/>
    <w:rsid w:val="00CF0DC9"/>
    <w:rsid w:val="00CF121C"/>
    <w:rsid w:val="00CF1250"/>
    <w:rsid w:val="00CF1409"/>
    <w:rsid w:val="00CF1446"/>
    <w:rsid w:val="00CF160C"/>
    <w:rsid w:val="00CF289F"/>
    <w:rsid w:val="00CF2B74"/>
    <w:rsid w:val="00CF3451"/>
    <w:rsid w:val="00CF3506"/>
    <w:rsid w:val="00CF3ACC"/>
    <w:rsid w:val="00CF3B0B"/>
    <w:rsid w:val="00CF3DDF"/>
    <w:rsid w:val="00CF3E29"/>
    <w:rsid w:val="00CF3EE6"/>
    <w:rsid w:val="00CF45ED"/>
    <w:rsid w:val="00CF4D12"/>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456"/>
    <w:rsid w:val="00D064C0"/>
    <w:rsid w:val="00D068E0"/>
    <w:rsid w:val="00D06945"/>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180"/>
    <w:rsid w:val="00D201C2"/>
    <w:rsid w:val="00D202CC"/>
    <w:rsid w:val="00D20932"/>
    <w:rsid w:val="00D209B3"/>
    <w:rsid w:val="00D20B78"/>
    <w:rsid w:val="00D20BF5"/>
    <w:rsid w:val="00D20C8B"/>
    <w:rsid w:val="00D21065"/>
    <w:rsid w:val="00D213AB"/>
    <w:rsid w:val="00D21424"/>
    <w:rsid w:val="00D21739"/>
    <w:rsid w:val="00D21745"/>
    <w:rsid w:val="00D21CA8"/>
    <w:rsid w:val="00D21F84"/>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775"/>
    <w:rsid w:val="00D328A5"/>
    <w:rsid w:val="00D32FE0"/>
    <w:rsid w:val="00D33840"/>
    <w:rsid w:val="00D3399D"/>
    <w:rsid w:val="00D33DDE"/>
    <w:rsid w:val="00D340B7"/>
    <w:rsid w:val="00D347DE"/>
    <w:rsid w:val="00D349D5"/>
    <w:rsid w:val="00D34A59"/>
    <w:rsid w:val="00D34E03"/>
    <w:rsid w:val="00D34F5A"/>
    <w:rsid w:val="00D359F3"/>
    <w:rsid w:val="00D36514"/>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4C8"/>
    <w:rsid w:val="00D4374F"/>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AEF"/>
    <w:rsid w:val="00D51DAB"/>
    <w:rsid w:val="00D52E91"/>
    <w:rsid w:val="00D52F43"/>
    <w:rsid w:val="00D53201"/>
    <w:rsid w:val="00D538F9"/>
    <w:rsid w:val="00D53983"/>
    <w:rsid w:val="00D53F25"/>
    <w:rsid w:val="00D54208"/>
    <w:rsid w:val="00D5438A"/>
    <w:rsid w:val="00D54925"/>
    <w:rsid w:val="00D54FE9"/>
    <w:rsid w:val="00D5563F"/>
    <w:rsid w:val="00D55797"/>
    <w:rsid w:val="00D55924"/>
    <w:rsid w:val="00D55CCE"/>
    <w:rsid w:val="00D56042"/>
    <w:rsid w:val="00D5604E"/>
    <w:rsid w:val="00D560B6"/>
    <w:rsid w:val="00D56256"/>
    <w:rsid w:val="00D5653F"/>
    <w:rsid w:val="00D56F89"/>
    <w:rsid w:val="00D5788F"/>
    <w:rsid w:val="00D579BA"/>
    <w:rsid w:val="00D57CC9"/>
    <w:rsid w:val="00D57E26"/>
    <w:rsid w:val="00D57FD6"/>
    <w:rsid w:val="00D6012F"/>
    <w:rsid w:val="00D60A04"/>
    <w:rsid w:val="00D6126E"/>
    <w:rsid w:val="00D61346"/>
    <w:rsid w:val="00D61400"/>
    <w:rsid w:val="00D615EA"/>
    <w:rsid w:val="00D617C2"/>
    <w:rsid w:val="00D61A22"/>
    <w:rsid w:val="00D61CDD"/>
    <w:rsid w:val="00D61D01"/>
    <w:rsid w:val="00D620A1"/>
    <w:rsid w:val="00D6235A"/>
    <w:rsid w:val="00D62467"/>
    <w:rsid w:val="00D62674"/>
    <w:rsid w:val="00D62788"/>
    <w:rsid w:val="00D629E0"/>
    <w:rsid w:val="00D62CF9"/>
    <w:rsid w:val="00D63675"/>
    <w:rsid w:val="00D64419"/>
    <w:rsid w:val="00D64A78"/>
    <w:rsid w:val="00D654C2"/>
    <w:rsid w:val="00D659F8"/>
    <w:rsid w:val="00D65A3F"/>
    <w:rsid w:val="00D65C7B"/>
    <w:rsid w:val="00D660C4"/>
    <w:rsid w:val="00D664C7"/>
    <w:rsid w:val="00D66744"/>
    <w:rsid w:val="00D66A49"/>
    <w:rsid w:val="00D66ADE"/>
    <w:rsid w:val="00D66C6B"/>
    <w:rsid w:val="00D66F7E"/>
    <w:rsid w:val="00D67B90"/>
    <w:rsid w:val="00D67CDB"/>
    <w:rsid w:val="00D67D25"/>
    <w:rsid w:val="00D67F40"/>
    <w:rsid w:val="00D7007F"/>
    <w:rsid w:val="00D70142"/>
    <w:rsid w:val="00D7028D"/>
    <w:rsid w:val="00D704DE"/>
    <w:rsid w:val="00D70506"/>
    <w:rsid w:val="00D70623"/>
    <w:rsid w:val="00D70939"/>
    <w:rsid w:val="00D70D0C"/>
    <w:rsid w:val="00D7149A"/>
    <w:rsid w:val="00D71B39"/>
    <w:rsid w:val="00D71D21"/>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57C"/>
    <w:rsid w:val="00D8681F"/>
    <w:rsid w:val="00D869B2"/>
    <w:rsid w:val="00D86AEF"/>
    <w:rsid w:val="00D86B93"/>
    <w:rsid w:val="00D86F6B"/>
    <w:rsid w:val="00D87866"/>
    <w:rsid w:val="00D87AB4"/>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FF"/>
    <w:rsid w:val="00D9490C"/>
    <w:rsid w:val="00D949B3"/>
    <w:rsid w:val="00D94CCC"/>
    <w:rsid w:val="00D9547F"/>
    <w:rsid w:val="00D95573"/>
    <w:rsid w:val="00D955A8"/>
    <w:rsid w:val="00D95691"/>
    <w:rsid w:val="00D95A52"/>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6308"/>
    <w:rsid w:val="00DA6FCA"/>
    <w:rsid w:val="00DA7195"/>
    <w:rsid w:val="00DA7380"/>
    <w:rsid w:val="00DA768F"/>
    <w:rsid w:val="00DA7784"/>
    <w:rsid w:val="00DB0009"/>
    <w:rsid w:val="00DB00A2"/>
    <w:rsid w:val="00DB01B4"/>
    <w:rsid w:val="00DB031E"/>
    <w:rsid w:val="00DB0811"/>
    <w:rsid w:val="00DB0B73"/>
    <w:rsid w:val="00DB0EDB"/>
    <w:rsid w:val="00DB1370"/>
    <w:rsid w:val="00DB13A7"/>
    <w:rsid w:val="00DB152E"/>
    <w:rsid w:val="00DB1B8E"/>
    <w:rsid w:val="00DB1E1C"/>
    <w:rsid w:val="00DB240A"/>
    <w:rsid w:val="00DB2481"/>
    <w:rsid w:val="00DB2687"/>
    <w:rsid w:val="00DB2695"/>
    <w:rsid w:val="00DB37FA"/>
    <w:rsid w:val="00DB3A9E"/>
    <w:rsid w:val="00DB3BF0"/>
    <w:rsid w:val="00DB3E41"/>
    <w:rsid w:val="00DB3FCF"/>
    <w:rsid w:val="00DB423A"/>
    <w:rsid w:val="00DB43E1"/>
    <w:rsid w:val="00DB448A"/>
    <w:rsid w:val="00DB4636"/>
    <w:rsid w:val="00DB493E"/>
    <w:rsid w:val="00DB4C40"/>
    <w:rsid w:val="00DB4CDA"/>
    <w:rsid w:val="00DB4CED"/>
    <w:rsid w:val="00DB4D21"/>
    <w:rsid w:val="00DB53C5"/>
    <w:rsid w:val="00DB595F"/>
    <w:rsid w:val="00DB5B2F"/>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CD8"/>
    <w:rsid w:val="00DC3E44"/>
    <w:rsid w:val="00DC4521"/>
    <w:rsid w:val="00DC458A"/>
    <w:rsid w:val="00DC46FA"/>
    <w:rsid w:val="00DC4B2F"/>
    <w:rsid w:val="00DC4E24"/>
    <w:rsid w:val="00DC4F70"/>
    <w:rsid w:val="00DC517E"/>
    <w:rsid w:val="00DC5187"/>
    <w:rsid w:val="00DC54D5"/>
    <w:rsid w:val="00DC5532"/>
    <w:rsid w:val="00DC5B09"/>
    <w:rsid w:val="00DC5B41"/>
    <w:rsid w:val="00DC6B05"/>
    <w:rsid w:val="00DC7079"/>
    <w:rsid w:val="00DC7906"/>
    <w:rsid w:val="00DC792E"/>
    <w:rsid w:val="00DC7948"/>
    <w:rsid w:val="00DC7AA4"/>
    <w:rsid w:val="00DC7C5B"/>
    <w:rsid w:val="00DC7C88"/>
    <w:rsid w:val="00DC7E43"/>
    <w:rsid w:val="00DD0918"/>
    <w:rsid w:val="00DD0EEF"/>
    <w:rsid w:val="00DD10CD"/>
    <w:rsid w:val="00DD1352"/>
    <w:rsid w:val="00DD1EE3"/>
    <w:rsid w:val="00DD2235"/>
    <w:rsid w:val="00DD22CC"/>
    <w:rsid w:val="00DD255E"/>
    <w:rsid w:val="00DD2C0F"/>
    <w:rsid w:val="00DD3007"/>
    <w:rsid w:val="00DD3039"/>
    <w:rsid w:val="00DD316B"/>
    <w:rsid w:val="00DD35AF"/>
    <w:rsid w:val="00DD365B"/>
    <w:rsid w:val="00DD3A4D"/>
    <w:rsid w:val="00DD3CFE"/>
    <w:rsid w:val="00DD3FEE"/>
    <w:rsid w:val="00DD4911"/>
    <w:rsid w:val="00DD4BA9"/>
    <w:rsid w:val="00DD4FD8"/>
    <w:rsid w:val="00DD5592"/>
    <w:rsid w:val="00DD5714"/>
    <w:rsid w:val="00DD5C5B"/>
    <w:rsid w:val="00DD5CB6"/>
    <w:rsid w:val="00DD6056"/>
    <w:rsid w:val="00DD6301"/>
    <w:rsid w:val="00DD647C"/>
    <w:rsid w:val="00DD67EC"/>
    <w:rsid w:val="00DD69A6"/>
    <w:rsid w:val="00DD6B9B"/>
    <w:rsid w:val="00DD6D4F"/>
    <w:rsid w:val="00DD6F35"/>
    <w:rsid w:val="00DD70F3"/>
    <w:rsid w:val="00DE0045"/>
    <w:rsid w:val="00DE008C"/>
    <w:rsid w:val="00DE0248"/>
    <w:rsid w:val="00DE03AD"/>
    <w:rsid w:val="00DE0558"/>
    <w:rsid w:val="00DE0CDA"/>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DEB"/>
    <w:rsid w:val="00DE4E51"/>
    <w:rsid w:val="00DE52C2"/>
    <w:rsid w:val="00DE5856"/>
    <w:rsid w:val="00DE58DC"/>
    <w:rsid w:val="00DE5E33"/>
    <w:rsid w:val="00DE5FC9"/>
    <w:rsid w:val="00DE6B12"/>
    <w:rsid w:val="00DE6D8A"/>
    <w:rsid w:val="00DE7483"/>
    <w:rsid w:val="00DE7486"/>
    <w:rsid w:val="00DE756E"/>
    <w:rsid w:val="00DE7765"/>
    <w:rsid w:val="00DE7771"/>
    <w:rsid w:val="00DE77E6"/>
    <w:rsid w:val="00DE798A"/>
    <w:rsid w:val="00DE7E17"/>
    <w:rsid w:val="00DE7EA9"/>
    <w:rsid w:val="00DE7F21"/>
    <w:rsid w:val="00DE7FC6"/>
    <w:rsid w:val="00DF006A"/>
    <w:rsid w:val="00DF06BE"/>
    <w:rsid w:val="00DF074B"/>
    <w:rsid w:val="00DF07EB"/>
    <w:rsid w:val="00DF08DB"/>
    <w:rsid w:val="00DF09D0"/>
    <w:rsid w:val="00DF0D21"/>
    <w:rsid w:val="00DF0F15"/>
    <w:rsid w:val="00DF11DD"/>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C49"/>
    <w:rsid w:val="00DF6C9C"/>
    <w:rsid w:val="00DF72A5"/>
    <w:rsid w:val="00DF7301"/>
    <w:rsid w:val="00DF79B1"/>
    <w:rsid w:val="00E00078"/>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3A"/>
    <w:rsid w:val="00E029B8"/>
    <w:rsid w:val="00E02CB4"/>
    <w:rsid w:val="00E02D57"/>
    <w:rsid w:val="00E02E51"/>
    <w:rsid w:val="00E03470"/>
    <w:rsid w:val="00E0349E"/>
    <w:rsid w:val="00E037CE"/>
    <w:rsid w:val="00E0389C"/>
    <w:rsid w:val="00E03BE2"/>
    <w:rsid w:val="00E03EE0"/>
    <w:rsid w:val="00E0428D"/>
    <w:rsid w:val="00E042C5"/>
    <w:rsid w:val="00E044EC"/>
    <w:rsid w:val="00E045E2"/>
    <w:rsid w:val="00E046F6"/>
    <w:rsid w:val="00E04D15"/>
    <w:rsid w:val="00E058B1"/>
    <w:rsid w:val="00E05995"/>
    <w:rsid w:val="00E05E1A"/>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AAB"/>
    <w:rsid w:val="00E20AB6"/>
    <w:rsid w:val="00E20B8E"/>
    <w:rsid w:val="00E20E79"/>
    <w:rsid w:val="00E20EAB"/>
    <w:rsid w:val="00E21079"/>
    <w:rsid w:val="00E21759"/>
    <w:rsid w:val="00E21B5F"/>
    <w:rsid w:val="00E22373"/>
    <w:rsid w:val="00E22FC8"/>
    <w:rsid w:val="00E230A0"/>
    <w:rsid w:val="00E232D7"/>
    <w:rsid w:val="00E2345D"/>
    <w:rsid w:val="00E235B7"/>
    <w:rsid w:val="00E23DD4"/>
    <w:rsid w:val="00E23E1D"/>
    <w:rsid w:val="00E241F5"/>
    <w:rsid w:val="00E24A05"/>
    <w:rsid w:val="00E2518B"/>
    <w:rsid w:val="00E25CC4"/>
    <w:rsid w:val="00E25D2B"/>
    <w:rsid w:val="00E25D40"/>
    <w:rsid w:val="00E26010"/>
    <w:rsid w:val="00E2603F"/>
    <w:rsid w:val="00E26116"/>
    <w:rsid w:val="00E26307"/>
    <w:rsid w:val="00E2683D"/>
    <w:rsid w:val="00E2689B"/>
    <w:rsid w:val="00E269AF"/>
    <w:rsid w:val="00E2726E"/>
    <w:rsid w:val="00E2782B"/>
    <w:rsid w:val="00E27AE1"/>
    <w:rsid w:val="00E27D16"/>
    <w:rsid w:val="00E27D8C"/>
    <w:rsid w:val="00E27F71"/>
    <w:rsid w:val="00E30644"/>
    <w:rsid w:val="00E308CB"/>
    <w:rsid w:val="00E31143"/>
    <w:rsid w:val="00E31658"/>
    <w:rsid w:val="00E3192C"/>
    <w:rsid w:val="00E31A95"/>
    <w:rsid w:val="00E32227"/>
    <w:rsid w:val="00E3264D"/>
    <w:rsid w:val="00E327F2"/>
    <w:rsid w:val="00E32D8D"/>
    <w:rsid w:val="00E336B6"/>
    <w:rsid w:val="00E33775"/>
    <w:rsid w:val="00E33A23"/>
    <w:rsid w:val="00E344C7"/>
    <w:rsid w:val="00E345F8"/>
    <w:rsid w:val="00E346FA"/>
    <w:rsid w:val="00E34ABC"/>
    <w:rsid w:val="00E34C7F"/>
    <w:rsid w:val="00E34D08"/>
    <w:rsid w:val="00E3508B"/>
    <w:rsid w:val="00E3552F"/>
    <w:rsid w:val="00E3566A"/>
    <w:rsid w:val="00E35A52"/>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98F"/>
    <w:rsid w:val="00E50F05"/>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3F9"/>
    <w:rsid w:val="00E57714"/>
    <w:rsid w:val="00E57AC7"/>
    <w:rsid w:val="00E57B25"/>
    <w:rsid w:val="00E57EEE"/>
    <w:rsid w:val="00E60843"/>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495"/>
    <w:rsid w:val="00E637C0"/>
    <w:rsid w:val="00E63D60"/>
    <w:rsid w:val="00E63E2E"/>
    <w:rsid w:val="00E645E0"/>
    <w:rsid w:val="00E64C33"/>
    <w:rsid w:val="00E64F73"/>
    <w:rsid w:val="00E657AB"/>
    <w:rsid w:val="00E660DE"/>
    <w:rsid w:val="00E66839"/>
    <w:rsid w:val="00E6685C"/>
    <w:rsid w:val="00E6732A"/>
    <w:rsid w:val="00E67ABE"/>
    <w:rsid w:val="00E67B9A"/>
    <w:rsid w:val="00E707F5"/>
    <w:rsid w:val="00E7128F"/>
    <w:rsid w:val="00E71D15"/>
    <w:rsid w:val="00E72270"/>
    <w:rsid w:val="00E7245F"/>
    <w:rsid w:val="00E725A5"/>
    <w:rsid w:val="00E727B5"/>
    <w:rsid w:val="00E729B1"/>
    <w:rsid w:val="00E72B47"/>
    <w:rsid w:val="00E72E0D"/>
    <w:rsid w:val="00E737EF"/>
    <w:rsid w:val="00E73D4F"/>
    <w:rsid w:val="00E73D60"/>
    <w:rsid w:val="00E74097"/>
    <w:rsid w:val="00E74C3B"/>
    <w:rsid w:val="00E74DFC"/>
    <w:rsid w:val="00E74E47"/>
    <w:rsid w:val="00E74FB8"/>
    <w:rsid w:val="00E758A5"/>
    <w:rsid w:val="00E758B1"/>
    <w:rsid w:val="00E75D6E"/>
    <w:rsid w:val="00E75DED"/>
    <w:rsid w:val="00E75E36"/>
    <w:rsid w:val="00E75F22"/>
    <w:rsid w:val="00E75F71"/>
    <w:rsid w:val="00E75FE3"/>
    <w:rsid w:val="00E76467"/>
    <w:rsid w:val="00E76759"/>
    <w:rsid w:val="00E7680E"/>
    <w:rsid w:val="00E76ACF"/>
    <w:rsid w:val="00E76C23"/>
    <w:rsid w:val="00E76E85"/>
    <w:rsid w:val="00E77048"/>
    <w:rsid w:val="00E7705F"/>
    <w:rsid w:val="00E77102"/>
    <w:rsid w:val="00E772FD"/>
    <w:rsid w:val="00E7783C"/>
    <w:rsid w:val="00E77963"/>
    <w:rsid w:val="00E77B9D"/>
    <w:rsid w:val="00E77F51"/>
    <w:rsid w:val="00E77FC7"/>
    <w:rsid w:val="00E80191"/>
    <w:rsid w:val="00E80998"/>
    <w:rsid w:val="00E80DEE"/>
    <w:rsid w:val="00E818A2"/>
    <w:rsid w:val="00E81B0C"/>
    <w:rsid w:val="00E8202E"/>
    <w:rsid w:val="00E82043"/>
    <w:rsid w:val="00E82BA7"/>
    <w:rsid w:val="00E82E1F"/>
    <w:rsid w:val="00E82F35"/>
    <w:rsid w:val="00E82F7B"/>
    <w:rsid w:val="00E83192"/>
    <w:rsid w:val="00E8321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987"/>
    <w:rsid w:val="00E87E30"/>
    <w:rsid w:val="00E87F8A"/>
    <w:rsid w:val="00E87FCD"/>
    <w:rsid w:val="00E903A8"/>
    <w:rsid w:val="00E90B6F"/>
    <w:rsid w:val="00E911C0"/>
    <w:rsid w:val="00E9122F"/>
    <w:rsid w:val="00E918E6"/>
    <w:rsid w:val="00E91C58"/>
    <w:rsid w:val="00E924EC"/>
    <w:rsid w:val="00E9250C"/>
    <w:rsid w:val="00E9297C"/>
    <w:rsid w:val="00E92994"/>
    <w:rsid w:val="00E92C77"/>
    <w:rsid w:val="00E92C99"/>
    <w:rsid w:val="00E9301C"/>
    <w:rsid w:val="00E93D36"/>
    <w:rsid w:val="00E940DB"/>
    <w:rsid w:val="00E94310"/>
    <w:rsid w:val="00E94659"/>
    <w:rsid w:val="00E94A6A"/>
    <w:rsid w:val="00E9529C"/>
    <w:rsid w:val="00E957F8"/>
    <w:rsid w:val="00E95B5A"/>
    <w:rsid w:val="00E95BEC"/>
    <w:rsid w:val="00E96231"/>
    <w:rsid w:val="00E968E3"/>
    <w:rsid w:val="00E96997"/>
    <w:rsid w:val="00E96B5F"/>
    <w:rsid w:val="00E96FFE"/>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BB4"/>
    <w:rsid w:val="00EB202D"/>
    <w:rsid w:val="00EB2C4E"/>
    <w:rsid w:val="00EB2C70"/>
    <w:rsid w:val="00EB2F70"/>
    <w:rsid w:val="00EB30BF"/>
    <w:rsid w:val="00EB32C0"/>
    <w:rsid w:val="00EB47A7"/>
    <w:rsid w:val="00EB47E3"/>
    <w:rsid w:val="00EB47F0"/>
    <w:rsid w:val="00EB5080"/>
    <w:rsid w:val="00EB5850"/>
    <w:rsid w:val="00EB599B"/>
    <w:rsid w:val="00EB6474"/>
    <w:rsid w:val="00EB6747"/>
    <w:rsid w:val="00EB721B"/>
    <w:rsid w:val="00EB73A7"/>
    <w:rsid w:val="00EB7516"/>
    <w:rsid w:val="00EB753F"/>
    <w:rsid w:val="00EB7966"/>
    <w:rsid w:val="00EB79F8"/>
    <w:rsid w:val="00EC0038"/>
    <w:rsid w:val="00EC0567"/>
    <w:rsid w:val="00EC06EB"/>
    <w:rsid w:val="00EC0BC9"/>
    <w:rsid w:val="00EC0D48"/>
    <w:rsid w:val="00EC0E0A"/>
    <w:rsid w:val="00EC1110"/>
    <w:rsid w:val="00EC1575"/>
    <w:rsid w:val="00EC1948"/>
    <w:rsid w:val="00EC1AAA"/>
    <w:rsid w:val="00EC1BDB"/>
    <w:rsid w:val="00EC26D0"/>
    <w:rsid w:val="00EC2729"/>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6542"/>
    <w:rsid w:val="00EC6C08"/>
    <w:rsid w:val="00EC714A"/>
    <w:rsid w:val="00EC7750"/>
    <w:rsid w:val="00EC79EA"/>
    <w:rsid w:val="00ED018F"/>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74B"/>
    <w:rsid w:val="00EE1D5F"/>
    <w:rsid w:val="00EE1DC3"/>
    <w:rsid w:val="00EE21F2"/>
    <w:rsid w:val="00EE35C6"/>
    <w:rsid w:val="00EE3632"/>
    <w:rsid w:val="00EE368C"/>
    <w:rsid w:val="00EE3C25"/>
    <w:rsid w:val="00EE41D9"/>
    <w:rsid w:val="00EE4673"/>
    <w:rsid w:val="00EE5755"/>
    <w:rsid w:val="00EE5A39"/>
    <w:rsid w:val="00EE614D"/>
    <w:rsid w:val="00EE6710"/>
    <w:rsid w:val="00EE75DB"/>
    <w:rsid w:val="00EE7A74"/>
    <w:rsid w:val="00EE7C1C"/>
    <w:rsid w:val="00EF0141"/>
    <w:rsid w:val="00EF0187"/>
    <w:rsid w:val="00EF0456"/>
    <w:rsid w:val="00EF06D1"/>
    <w:rsid w:val="00EF07B1"/>
    <w:rsid w:val="00EF0BB6"/>
    <w:rsid w:val="00EF0DA4"/>
    <w:rsid w:val="00EF10E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10F9E"/>
    <w:rsid w:val="00F11011"/>
    <w:rsid w:val="00F11081"/>
    <w:rsid w:val="00F1112F"/>
    <w:rsid w:val="00F111E2"/>
    <w:rsid w:val="00F11392"/>
    <w:rsid w:val="00F11794"/>
    <w:rsid w:val="00F117B0"/>
    <w:rsid w:val="00F11D3B"/>
    <w:rsid w:val="00F11ECE"/>
    <w:rsid w:val="00F1200B"/>
    <w:rsid w:val="00F123C8"/>
    <w:rsid w:val="00F12C97"/>
    <w:rsid w:val="00F12E78"/>
    <w:rsid w:val="00F14603"/>
    <w:rsid w:val="00F14635"/>
    <w:rsid w:val="00F149D8"/>
    <w:rsid w:val="00F15330"/>
    <w:rsid w:val="00F154C8"/>
    <w:rsid w:val="00F1574D"/>
    <w:rsid w:val="00F1587F"/>
    <w:rsid w:val="00F15F98"/>
    <w:rsid w:val="00F160CF"/>
    <w:rsid w:val="00F163B1"/>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09"/>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75"/>
    <w:rsid w:val="00F320C3"/>
    <w:rsid w:val="00F32219"/>
    <w:rsid w:val="00F3260D"/>
    <w:rsid w:val="00F3279F"/>
    <w:rsid w:val="00F328C4"/>
    <w:rsid w:val="00F3297B"/>
    <w:rsid w:val="00F32C94"/>
    <w:rsid w:val="00F32E74"/>
    <w:rsid w:val="00F3364C"/>
    <w:rsid w:val="00F33EFE"/>
    <w:rsid w:val="00F3461A"/>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4F6D"/>
    <w:rsid w:val="00F4501D"/>
    <w:rsid w:val="00F45622"/>
    <w:rsid w:val="00F45A5B"/>
    <w:rsid w:val="00F45AD4"/>
    <w:rsid w:val="00F45E4E"/>
    <w:rsid w:val="00F45F37"/>
    <w:rsid w:val="00F4683F"/>
    <w:rsid w:val="00F46D44"/>
    <w:rsid w:val="00F46DD8"/>
    <w:rsid w:val="00F47BA0"/>
    <w:rsid w:val="00F47C4B"/>
    <w:rsid w:val="00F50368"/>
    <w:rsid w:val="00F50371"/>
    <w:rsid w:val="00F509DC"/>
    <w:rsid w:val="00F51188"/>
    <w:rsid w:val="00F51B70"/>
    <w:rsid w:val="00F51DAE"/>
    <w:rsid w:val="00F51E78"/>
    <w:rsid w:val="00F5272D"/>
    <w:rsid w:val="00F53321"/>
    <w:rsid w:val="00F53403"/>
    <w:rsid w:val="00F5340A"/>
    <w:rsid w:val="00F536C7"/>
    <w:rsid w:val="00F5396A"/>
    <w:rsid w:val="00F53DA3"/>
    <w:rsid w:val="00F53DCC"/>
    <w:rsid w:val="00F53EDB"/>
    <w:rsid w:val="00F54016"/>
    <w:rsid w:val="00F5490C"/>
    <w:rsid w:val="00F54CAB"/>
    <w:rsid w:val="00F54DC1"/>
    <w:rsid w:val="00F5525B"/>
    <w:rsid w:val="00F55322"/>
    <w:rsid w:val="00F55361"/>
    <w:rsid w:val="00F55412"/>
    <w:rsid w:val="00F5549F"/>
    <w:rsid w:val="00F55A5C"/>
    <w:rsid w:val="00F55AE6"/>
    <w:rsid w:val="00F55B9E"/>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71E"/>
    <w:rsid w:val="00F637A0"/>
    <w:rsid w:val="00F63B54"/>
    <w:rsid w:val="00F63BF0"/>
    <w:rsid w:val="00F64222"/>
    <w:rsid w:val="00F642C8"/>
    <w:rsid w:val="00F64B5B"/>
    <w:rsid w:val="00F64E25"/>
    <w:rsid w:val="00F652D5"/>
    <w:rsid w:val="00F653CC"/>
    <w:rsid w:val="00F655D0"/>
    <w:rsid w:val="00F65691"/>
    <w:rsid w:val="00F6622A"/>
    <w:rsid w:val="00F66251"/>
    <w:rsid w:val="00F66590"/>
    <w:rsid w:val="00F6687B"/>
    <w:rsid w:val="00F66FE3"/>
    <w:rsid w:val="00F675C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B66"/>
    <w:rsid w:val="00F75DF4"/>
    <w:rsid w:val="00F7605B"/>
    <w:rsid w:val="00F76104"/>
    <w:rsid w:val="00F76668"/>
    <w:rsid w:val="00F76974"/>
    <w:rsid w:val="00F76FDD"/>
    <w:rsid w:val="00F7733B"/>
    <w:rsid w:val="00F77654"/>
    <w:rsid w:val="00F77746"/>
    <w:rsid w:val="00F77B23"/>
    <w:rsid w:val="00F80C37"/>
    <w:rsid w:val="00F81256"/>
    <w:rsid w:val="00F81462"/>
    <w:rsid w:val="00F81475"/>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1AF"/>
    <w:rsid w:val="00F8534F"/>
    <w:rsid w:val="00F8553E"/>
    <w:rsid w:val="00F85F20"/>
    <w:rsid w:val="00F862B7"/>
    <w:rsid w:val="00F86AA6"/>
    <w:rsid w:val="00F86BD2"/>
    <w:rsid w:val="00F870FD"/>
    <w:rsid w:val="00F872A3"/>
    <w:rsid w:val="00F8753E"/>
    <w:rsid w:val="00F87960"/>
    <w:rsid w:val="00F87CE2"/>
    <w:rsid w:val="00F90162"/>
    <w:rsid w:val="00F90D93"/>
    <w:rsid w:val="00F91842"/>
    <w:rsid w:val="00F91B11"/>
    <w:rsid w:val="00F91D50"/>
    <w:rsid w:val="00F92573"/>
    <w:rsid w:val="00F926B6"/>
    <w:rsid w:val="00F932A9"/>
    <w:rsid w:val="00F937FA"/>
    <w:rsid w:val="00F93A1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7E5"/>
    <w:rsid w:val="00FA3B22"/>
    <w:rsid w:val="00FA44F4"/>
    <w:rsid w:val="00FA45B2"/>
    <w:rsid w:val="00FA5167"/>
    <w:rsid w:val="00FA5762"/>
    <w:rsid w:val="00FA5BCB"/>
    <w:rsid w:val="00FA62E1"/>
    <w:rsid w:val="00FA6AC6"/>
    <w:rsid w:val="00FA6D4B"/>
    <w:rsid w:val="00FA6EE7"/>
    <w:rsid w:val="00FA6EF2"/>
    <w:rsid w:val="00FA72D0"/>
    <w:rsid w:val="00FA7451"/>
    <w:rsid w:val="00FA796D"/>
    <w:rsid w:val="00FB0457"/>
    <w:rsid w:val="00FB09F4"/>
    <w:rsid w:val="00FB0C59"/>
    <w:rsid w:val="00FB0DAF"/>
    <w:rsid w:val="00FB12FA"/>
    <w:rsid w:val="00FB135C"/>
    <w:rsid w:val="00FB1F66"/>
    <w:rsid w:val="00FB22E2"/>
    <w:rsid w:val="00FB2A92"/>
    <w:rsid w:val="00FB2C42"/>
    <w:rsid w:val="00FB2F77"/>
    <w:rsid w:val="00FB329B"/>
    <w:rsid w:val="00FB42D0"/>
    <w:rsid w:val="00FB448E"/>
    <w:rsid w:val="00FB4575"/>
    <w:rsid w:val="00FB45A9"/>
    <w:rsid w:val="00FB4753"/>
    <w:rsid w:val="00FB4CF3"/>
    <w:rsid w:val="00FB4EFF"/>
    <w:rsid w:val="00FB55F6"/>
    <w:rsid w:val="00FB5937"/>
    <w:rsid w:val="00FB5BD9"/>
    <w:rsid w:val="00FB5ED4"/>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D0B"/>
    <w:rsid w:val="00FC3FAB"/>
    <w:rsid w:val="00FC4C6B"/>
    <w:rsid w:val="00FC4EEF"/>
    <w:rsid w:val="00FC585C"/>
    <w:rsid w:val="00FC5A1D"/>
    <w:rsid w:val="00FC5EEA"/>
    <w:rsid w:val="00FC5FC3"/>
    <w:rsid w:val="00FC6175"/>
    <w:rsid w:val="00FC62C7"/>
    <w:rsid w:val="00FC6851"/>
    <w:rsid w:val="00FC6896"/>
    <w:rsid w:val="00FC6C23"/>
    <w:rsid w:val="00FC6D10"/>
    <w:rsid w:val="00FC71FA"/>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108B"/>
    <w:rsid w:val="00FE1183"/>
    <w:rsid w:val="00FE1502"/>
    <w:rsid w:val="00FE1643"/>
    <w:rsid w:val="00FE1665"/>
    <w:rsid w:val="00FE1D1C"/>
    <w:rsid w:val="00FE1EA1"/>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EE8"/>
    <w:rsid w:val="00FF517C"/>
    <w:rsid w:val="00FF53C3"/>
    <w:rsid w:val="00FF5A92"/>
    <w:rsid w:val="00FF6044"/>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7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emf"/><Relationship Id="rId28" Type="http://schemas.openxmlformats.org/officeDocument/2006/relationships/image" Target="media/image11.wmf"/><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026A80C-A231-4A30-8A99-7B8D84A7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4278</Words>
  <Characters>24389</Characters>
  <Application>Microsoft Office Word</Application>
  <DocSecurity>0</DocSecurity>
  <Lines>203</Lines>
  <Paragraphs>57</Paragraphs>
  <ScaleCrop>false</ScaleCrop>
  <Manager/>
  <Company/>
  <LinksUpToDate>false</LinksUpToDate>
  <CharactersWithSpaces>28610</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2016-08-16T01:22:00Z</dcterms:created>
  <dcterms:modified xsi:type="dcterms:W3CDTF">2016-08-16T01:22:00Z</dcterms:modified>
</cp:coreProperties>
</file>