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EA" w:rsidRDefault="004550E5">
      <w:pPr>
        <w:rPr>
          <w:rFonts w:ascii="Arial Narrow" w:hAnsi="Arial Narrow"/>
          <w:noProof/>
        </w:rPr>
      </w:pPr>
      <w:bookmarkStart w:id="0" w:name="_GoBack"/>
      <w:bookmarkEnd w:id="0"/>
      <w:r>
        <w:rPr>
          <w:noProof/>
        </w:rPr>
        <w:drawing>
          <wp:anchor distT="0" distB="0" distL="114300" distR="114300" simplePos="0" relativeHeight="251657728" behindDoc="1" locked="0" layoutInCell="1" allowOverlap="1" wp14:anchorId="5558C724" wp14:editId="49DC9B60">
            <wp:simplePos x="0" y="0"/>
            <wp:positionH relativeFrom="column">
              <wp:posOffset>-954405</wp:posOffset>
            </wp:positionH>
            <wp:positionV relativeFrom="paragraph">
              <wp:posOffset>-1098550</wp:posOffset>
            </wp:positionV>
            <wp:extent cx="7594600" cy="71799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099_Submission 01B front v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94600" cy="7179945"/>
                    </a:xfrm>
                    <a:prstGeom prst="rect">
                      <a:avLst/>
                    </a:prstGeom>
                    <a:noFill/>
                    <a:ln w="9525">
                      <a:noFill/>
                      <a:miter lim="800000"/>
                      <a:headEnd/>
                      <a:tailEnd/>
                    </a:ln>
                  </pic:spPr>
                </pic:pic>
              </a:graphicData>
            </a:graphic>
            <wp14:sizeRelV relativeFrom="margin">
              <wp14:pctHeight>0</wp14:pctHeight>
            </wp14:sizeRelV>
          </wp:anchor>
        </w:drawing>
      </w:r>
    </w:p>
    <w:p w:rsidR="00D72BEA" w:rsidRDefault="00D72BEA">
      <w:pPr>
        <w:rPr>
          <w:rFonts w:ascii="Arial Narrow" w:hAnsi="Arial Narrow"/>
        </w:rPr>
      </w:pPr>
    </w:p>
    <w:p w:rsidR="00D72BEA" w:rsidRDefault="00D72BEA">
      <w:pPr>
        <w:jc w:val="center"/>
        <w:rPr>
          <w:rFonts w:ascii="Arial Narrow" w:hAnsi="Arial Narrow"/>
        </w:rPr>
        <w:sectPr w:rsidR="00D72BEA" w:rsidSect="00D72BEA">
          <w:pgSz w:w="11899" w:h="16838"/>
          <w:pgMar w:top="1733" w:right="1440" w:bottom="2845" w:left="1440" w:header="1440" w:footer="2552" w:gutter="0"/>
          <w:cols w:space="720"/>
          <w:docGrid w:linePitch="360"/>
        </w:sectPr>
      </w:pPr>
    </w:p>
    <w:p w:rsidR="00D72BEA" w:rsidRPr="00E427CE" w:rsidRDefault="00D72BEA" w:rsidP="00D72BEA">
      <w:pPr>
        <w:rPr>
          <w:rFonts w:cs="Arial"/>
          <w:szCs w:val="22"/>
        </w:rPr>
      </w:pPr>
    </w:p>
    <w:p w:rsidR="00D72BEA" w:rsidRPr="00E427CE" w:rsidRDefault="00D72BEA" w:rsidP="00D72BEA">
      <w:pPr>
        <w:rPr>
          <w:rFonts w:cs="Arial"/>
          <w:szCs w:val="22"/>
        </w:rPr>
      </w:pPr>
    </w:p>
    <w:p w:rsidR="00D72BEA" w:rsidRDefault="00D72BEA">
      <w:pPr>
        <w:rPr>
          <w:rFonts w:ascii="Arial Narrow" w:hAnsi="Arial Narrow"/>
        </w:rPr>
      </w:pPr>
    </w:p>
    <w:p w:rsidR="00D72BEA" w:rsidRDefault="00D72BEA">
      <w:pPr>
        <w:rPr>
          <w:rFonts w:ascii="Arial Narrow" w:hAnsi="Arial Narrow"/>
        </w:rPr>
      </w:pPr>
    </w:p>
    <w:p w:rsidR="00D72BEA" w:rsidRDefault="00D72BEA">
      <w:pPr>
        <w:rPr>
          <w:rFonts w:ascii="Arial Narrow" w:hAnsi="Arial Narrow"/>
        </w:rPr>
      </w:pPr>
    </w:p>
    <w:p w:rsidR="00D72BEA" w:rsidRDefault="00D72BEA">
      <w:pPr>
        <w:rPr>
          <w:rFonts w:ascii="Arial Narrow" w:hAnsi="Arial Narrow"/>
        </w:rPr>
      </w:pPr>
    </w:p>
    <w:p w:rsidR="00D72BEA" w:rsidRDefault="00D72BEA">
      <w:pPr>
        <w:rPr>
          <w:rFonts w:ascii="Arial Narrow" w:hAnsi="Arial Narrow"/>
        </w:rPr>
      </w:pPr>
    </w:p>
    <w:p w:rsidR="00737EF8" w:rsidRPr="008776A9" w:rsidRDefault="00917987" w:rsidP="00BA5CE1">
      <w:pPr>
        <w:pStyle w:val="header14ptorangebold"/>
        <w:rPr>
          <w:rFonts w:asciiTheme="minorHAnsi" w:hAnsiTheme="minorHAnsi"/>
          <w:b/>
          <w:sz w:val="24"/>
          <w:szCs w:val="24"/>
        </w:rPr>
      </w:pPr>
      <w:r>
        <w:rPr>
          <w:noProof/>
          <w:lang w:val="en-AU" w:eastAsia="en-AU"/>
        </w:rPr>
        <mc:AlternateContent>
          <mc:Choice Requires="wps">
            <w:drawing>
              <wp:anchor distT="0" distB="0" distL="114935" distR="114935" simplePos="0" relativeHeight="251656704" behindDoc="0" locked="0" layoutInCell="1" allowOverlap="1" wp14:anchorId="7384F282" wp14:editId="4E585E3C">
                <wp:simplePos x="0" y="0"/>
                <wp:positionH relativeFrom="column">
                  <wp:posOffset>2874645</wp:posOffset>
                </wp:positionH>
                <wp:positionV relativeFrom="paragraph">
                  <wp:posOffset>4815205</wp:posOffset>
                </wp:positionV>
                <wp:extent cx="3520440" cy="22669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266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C6B" w:rsidRPr="009E6F05" w:rsidRDefault="001C0C6B" w:rsidP="003C5F40">
                            <w:pPr>
                              <w:jc w:val="center"/>
                              <w:rPr>
                                <w:rFonts w:ascii="Arial" w:hAnsi="Arial"/>
                                <w:color w:val="2B3229"/>
                              </w:rPr>
                            </w:pPr>
                            <w:r w:rsidRPr="009E6F05">
                              <w:rPr>
                                <w:rFonts w:ascii="Arial" w:hAnsi="Arial"/>
                                <w:color w:val="2B3229"/>
                              </w:rPr>
                              <w:t>The Institute of Public Accountants</w:t>
                            </w:r>
                          </w:p>
                          <w:p w:rsidR="001C0C6B" w:rsidRPr="00C67223" w:rsidRDefault="001C0C6B" w:rsidP="003C5F40">
                            <w:pPr>
                              <w:jc w:val="center"/>
                            </w:pPr>
                          </w:p>
                          <w:p w:rsidR="00E47623" w:rsidRDefault="00E47623" w:rsidP="003C5F40">
                            <w:pPr>
                              <w:pStyle w:val="header14ptorangebold"/>
                              <w:ind w:right="800"/>
                              <w:jc w:val="center"/>
                              <w:rPr>
                                <w:b/>
                                <w:spacing w:val="-20"/>
                                <w:sz w:val="40"/>
                                <w:szCs w:val="36"/>
                              </w:rPr>
                            </w:pPr>
                          </w:p>
                          <w:p w:rsidR="001C0C6B" w:rsidRDefault="00E47623" w:rsidP="00E47623">
                            <w:pPr>
                              <w:pStyle w:val="header14ptorangebold"/>
                              <w:ind w:right="800"/>
                              <w:jc w:val="center"/>
                              <w:rPr>
                                <w:b/>
                                <w:spacing w:val="-20"/>
                                <w:sz w:val="40"/>
                                <w:szCs w:val="36"/>
                              </w:rPr>
                            </w:pPr>
                            <w:r w:rsidRPr="00E47623">
                              <w:rPr>
                                <w:b/>
                                <w:spacing w:val="-20"/>
                                <w:sz w:val="40"/>
                                <w:szCs w:val="36"/>
                              </w:rPr>
                              <w:t xml:space="preserve">Improving dispute </w:t>
                            </w:r>
                            <w:r>
                              <w:rPr>
                                <w:b/>
                                <w:spacing w:val="-20"/>
                                <w:sz w:val="40"/>
                                <w:szCs w:val="36"/>
                              </w:rPr>
                              <w:t xml:space="preserve">   </w:t>
                            </w:r>
                            <w:r w:rsidRPr="00E47623">
                              <w:rPr>
                                <w:b/>
                                <w:spacing w:val="-20"/>
                                <w:sz w:val="40"/>
                                <w:szCs w:val="36"/>
                              </w:rPr>
                              <w:t>resolution in the financial system</w:t>
                            </w:r>
                          </w:p>
                          <w:p w:rsidR="0024319F" w:rsidRDefault="0024319F" w:rsidP="00E47623">
                            <w:pPr>
                              <w:pStyle w:val="header14ptorangebold"/>
                              <w:ind w:right="800"/>
                              <w:jc w:val="center"/>
                              <w:rPr>
                                <w:b/>
                                <w:spacing w:val="-20"/>
                                <w:sz w:val="32"/>
                                <w:szCs w:val="36"/>
                              </w:rPr>
                            </w:pPr>
                          </w:p>
                          <w:p w:rsidR="0024319F" w:rsidRPr="0024319F" w:rsidRDefault="0024319F" w:rsidP="00E47623">
                            <w:pPr>
                              <w:pStyle w:val="header14ptorangebold"/>
                              <w:ind w:right="800"/>
                              <w:jc w:val="center"/>
                              <w:rPr>
                                <w:sz w:val="32"/>
                                <w:szCs w:val="36"/>
                              </w:rPr>
                            </w:pPr>
                            <w:r w:rsidRPr="0024319F">
                              <w:rPr>
                                <w:b/>
                                <w:spacing w:val="-20"/>
                                <w:sz w:val="32"/>
                                <w:szCs w:val="36"/>
                              </w:rPr>
                              <w:t>June 2017</w:t>
                            </w:r>
                          </w:p>
                          <w:p w:rsidR="001C0C6B" w:rsidRPr="00E47623" w:rsidRDefault="001C0C6B" w:rsidP="003C5F40">
                            <w:pPr>
                              <w:jc w:val="center"/>
                              <w:rPr>
                                <w:rFonts w:ascii="Arial Bold" w:hAnsi="Arial Bold"/>
                                <w:sz w:val="40"/>
                              </w:rPr>
                            </w:pPr>
                          </w:p>
                          <w:p w:rsidR="001C0C6B" w:rsidRDefault="001C0C6B" w:rsidP="003C5F40">
                            <w:pPr>
                              <w:jc w:val="center"/>
                              <w:rPr>
                                <w:rFonts w:ascii="Arial Bold" w:hAnsi="Arial Bold"/>
                              </w:rPr>
                            </w:pPr>
                          </w:p>
                          <w:p w:rsidR="001C0C6B" w:rsidRDefault="001C0C6B" w:rsidP="003C5F40">
                            <w:pPr>
                              <w:jc w:val="center"/>
                              <w:rPr>
                                <w:rFonts w:ascii="Arial Bold" w:hAnsi="Arial Bold"/>
                              </w:rPr>
                            </w:pPr>
                          </w:p>
                          <w:p w:rsidR="001C0C6B" w:rsidRDefault="001C0C6B" w:rsidP="003C5F40">
                            <w:pPr>
                              <w:jc w:val="center"/>
                              <w:rPr>
                                <w:rFonts w:ascii="Arial Bold" w:hAnsi="Arial Bol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6.35pt;margin-top:379.15pt;width:277.2pt;height:17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" stroked="f">
                <v:fill opacity="0"/>
                <v:textbox inset="0,0,0,0">
                  <w:txbxContent>
                    <w:p w:rsidR="001C0C6B" w:rsidRPr="009E6F05" w:rsidRDefault="001C0C6B" w:rsidP="003C5F40">
                      <w:pPr>
                        <w:jc w:val="center"/>
                        <w:rPr>
                          <w:rFonts w:ascii="Arial" w:hAnsi="Arial"/>
                          <w:color w:val="2B3229"/>
                        </w:rPr>
                      </w:pPr>
                      <w:r w:rsidRPr="009E6F05">
                        <w:rPr>
                          <w:rFonts w:ascii="Arial" w:hAnsi="Arial"/>
                          <w:color w:val="2B3229"/>
                        </w:rPr>
                        <w:t>The Institute of Public Accountants</w:t>
                      </w:r>
                    </w:p>
                    <w:p w:rsidR="001C0C6B" w:rsidRPr="00C67223" w:rsidRDefault="001C0C6B" w:rsidP="003C5F40">
                      <w:pPr>
                        <w:jc w:val="center"/>
                      </w:pPr>
                    </w:p>
                    <w:p w:rsidR="00E47623" w:rsidRDefault="00E47623" w:rsidP="003C5F40">
                      <w:pPr>
                        <w:pStyle w:val="header14ptorangebold"/>
                        <w:ind w:right="800"/>
                        <w:jc w:val="center"/>
                        <w:rPr>
                          <w:b/>
                          <w:spacing w:val="-20"/>
                          <w:sz w:val="40"/>
                          <w:szCs w:val="36"/>
                        </w:rPr>
                      </w:pPr>
                    </w:p>
                    <w:p w:rsidR="001C0C6B" w:rsidRDefault="00E47623" w:rsidP="00E47623">
                      <w:pPr>
                        <w:pStyle w:val="header14ptorangebold"/>
                        <w:ind w:right="800"/>
                        <w:jc w:val="center"/>
                        <w:rPr>
                          <w:b/>
                          <w:spacing w:val="-20"/>
                          <w:sz w:val="40"/>
                          <w:szCs w:val="36"/>
                        </w:rPr>
                      </w:pPr>
                      <w:r w:rsidRPr="00E47623">
                        <w:rPr>
                          <w:b/>
                          <w:spacing w:val="-20"/>
                          <w:sz w:val="40"/>
                          <w:szCs w:val="36"/>
                        </w:rPr>
                        <w:t xml:space="preserve">Improving dispute </w:t>
                      </w:r>
                      <w:r>
                        <w:rPr>
                          <w:b/>
                          <w:spacing w:val="-20"/>
                          <w:sz w:val="40"/>
                          <w:szCs w:val="36"/>
                        </w:rPr>
                        <w:t xml:space="preserve">   </w:t>
                      </w:r>
                      <w:r w:rsidRPr="00E47623">
                        <w:rPr>
                          <w:b/>
                          <w:spacing w:val="-20"/>
                          <w:sz w:val="40"/>
                          <w:szCs w:val="36"/>
                        </w:rPr>
                        <w:t>resolution in the financial system</w:t>
                      </w:r>
                    </w:p>
                    <w:p w:rsidR="0024319F" w:rsidRDefault="0024319F" w:rsidP="00E47623">
                      <w:pPr>
                        <w:pStyle w:val="header14ptorangebold"/>
                        <w:ind w:right="800"/>
                        <w:jc w:val="center"/>
                        <w:rPr>
                          <w:b/>
                          <w:spacing w:val="-20"/>
                          <w:sz w:val="32"/>
                          <w:szCs w:val="36"/>
                        </w:rPr>
                      </w:pPr>
                    </w:p>
                    <w:p w:rsidR="0024319F" w:rsidRPr="0024319F" w:rsidRDefault="0024319F" w:rsidP="00E47623">
                      <w:pPr>
                        <w:pStyle w:val="header14ptorangebold"/>
                        <w:ind w:right="800"/>
                        <w:jc w:val="center"/>
                        <w:rPr>
                          <w:sz w:val="32"/>
                          <w:szCs w:val="36"/>
                        </w:rPr>
                      </w:pPr>
                      <w:r w:rsidRPr="0024319F">
                        <w:rPr>
                          <w:b/>
                          <w:spacing w:val="-20"/>
                          <w:sz w:val="32"/>
                          <w:szCs w:val="36"/>
                        </w:rPr>
                        <w:t>June 2017</w:t>
                      </w:r>
                    </w:p>
                    <w:p w:rsidR="001C0C6B" w:rsidRPr="00E47623" w:rsidRDefault="001C0C6B" w:rsidP="003C5F40">
                      <w:pPr>
                        <w:jc w:val="center"/>
                        <w:rPr>
                          <w:rFonts w:ascii="Arial Bold" w:hAnsi="Arial Bold"/>
                          <w:sz w:val="40"/>
                        </w:rPr>
                      </w:pPr>
                    </w:p>
                    <w:p w:rsidR="001C0C6B" w:rsidRDefault="001C0C6B" w:rsidP="003C5F40">
                      <w:pPr>
                        <w:jc w:val="center"/>
                        <w:rPr>
                          <w:rFonts w:ascii="Arial Bold" w:hAnsi="Arial Bold"/>
                        </w:rPr>
                      </w:pPr>
                    </w:p>
                    <w:p w:rsidR="001C0C6B" w:rsidRDefault="001C0C6B" w:rsidP="003C5F40">
                      <w:pPr>
                        <w:jc w:val="center"/>
                        <w:rPr>
                          <w:rFonts w:ascii="Arial Bold" w:hAnsi="Arial Bold"/>
                        </w:rPr>
                      </w:pPr>
                    </w:p>
                    <w:p w:rsidR="001C0C6B" w:rsidRDefault="001C0C6B" w:rsidP="003C5F40">
                      <w:pPr>
                        <w:jc w:val="center"/>
                        <w:rPr>
                          <w:rFonts w:ascii="Arial Bold" w:hAnsi="Arial Bold"/>
                        </w:rPr>
                      </w:pPr>
                    </w:p>
                  </w:txbxContent>
                </v:textbox>
              </v:shape>
            </w:pict>
          </mc:Fallback>
        </mc:AlternateContent>
      </w:r>
      <w:r>
        <w:rPr>
          <w:noProof/>
          <w:lang w:val="en-AU" w:eastAsia="en-AU"/>
        </w:rPr>
        <w:drawing>
          <wp:anchor distT="0" distB="0" distL="114300" distR="114300" simplePos="0" relativeHeight="251658752" behindDoc="0" locked="0" layoutInCell="1" allowOverlap="1" wp14:anchorId="2F240B20" wp14:editId="14CB909C">
            <wp:simplePos x="0" y="0"/>
            <wp:positionH relativeFrom="column">
              <wp:posOffset>-1003935</wp:posOffset>
            </wp:positionH>
            <wp:positionV relativeFrom="paragraph">
              <wp:posOffset>5153660</wp:posOffset>
            </wp:positionV>
            <wp:extent cx="3110865" cy="850900"/>
            <wp:effectExtent l="0" t="0" r="0" b="6350"/>
            <wp:wrapTight wrapText="bothSides">
              <wp:wrapPolygon edited="0">
                <wp:start x="0" y="0"/>
                <wp:lineTo x="0" y="21278"/>
                <wp:lineTo x="21428" y="21278"/>
                <wp:lineTo x="21428" y="0"/>
                <wp:lineTo x="0" y="0"/>
              </wp:wrapPolygon>
            </wp:wrapTight>
            <wp:docPr id="10" name="Picture 10" descr="NO023_IPACrestfull_wTAG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023_IPACrestfull_wTAG_PMS"/>
                    <pic:cNvPicPr>
                      <a:picLocks noChangeAspect="1" noChangeArrowheads="1"/>
                    </pic:cNvPicPr>
                  </pic:nvPicPr>
                  <pic:blipFill>
                    <a:blip r:embed="rId15" cstate="print"/>
                    <a:srcRect/>
                    <a:stretch>
                      <a:fillRect/>
                    </a:stretch>
                  </pic:blipFill>
                  <pic:spPr bwMode="auto">
                    <a:xfrm>
                      <a:off x="0" y="0"/>
                      <a:ext cx="3110865" cy="850900"/>
                    </a:xfrm>
                    <a:prstGeom prst="rect">
                      <a:avLst/>
                    </a:prstGeom>
                    <a:noFill/>
                    <a:ln w="9525">
                      <a:noFill/>
                      <a:miter lim="800000"/>
                      <a:headEnd/>
                      <a:tailEnd/>
                    </a:ln>
                  </pic:spPr>
                </pic:pic>
              </a:graphicData>
            </a:graphic>
            <wp14:sizeRelV relativeFrom="margin">
              <wp14:pctHeight>0</wp14:pctHeight>
            </wp14:sizeRelV>
          </wp:anchor>
        </w:drawing>
      </w:r>
      <w:r w:rsidR="00D72BEA" w:rsidRPr="00E35F04">
        <w:rPr>
          <w:rFonts w:ascii="Arial" w:hAnsi="Arial"/>
          <w:color w:val="141313"/>
        </w:rPr>
        <w:br w:type="page"/>
      </w:r>
      <w:r w:rsidR="00737EF8" w:rsidRPr="008776A9">
        <w:rPr>
          <w:rFonts w:asciiTheme="minorHAnsi" w:hAnsiTheme="minorHAnsi"/>
          <w:b/>
          <w:sz w:val="24"/>
          <w:szCs w:val="24"/>
        </w:rPr>
        <w:lastRenderedPageBreak/>
        <w:t>I</w:t>
      </w:r>
      <w:r w:rsidR="00135229" w:rsidRPr="008776A9">
        <w:rPr>
          <w:rFonts w:asciiTheme="minorHAnsi" w:hAnsiTheme="minorHAnsi"/>
          <w:b/>
          <w:sz w:val="24"/>
          <w:szCs w:val="24"/>
        </w:rPr>
        <w:t>PA - Deakin SME Research Centre</w:t>
      </w:r>
    </w:p>
    <w:p w:rsidR="00135229" w:rsidRPr="008776A9" w:rsidRDefault="00135229" w:rsidP="00135229">
      <w:pPr>
        <w:pStyle w:val="header14ptorangebold"/>
        <w:jc w:val="center"/>
        <w:rPr>
          <w:rFonts w:asciiTheme="minorHAnsi" w:hAnsiTheme="minorHAnsi"/>
          <w:b/>
          <w:sz w:val="24"/>
          <w:szCs w:val="24"/>
        </w:rPr>
      </w:pPr>
    </w:p>
    <w:p w:rsidR="00737EF8" w:rsidRPr="008776A9" w:rsidRDefault="00737EF8" w:rsidP="00AF6328">
      <w:pPr>
        <w:autoSpaceDE w:val="0"/>
        <w:autoSpaceDN w:val="0"/>
        <w:adjustRightInd w:val="0"/>
        <w:jc w:val="both"/>
        <w:rPr>
          <w:rFonts w:asciiTheme="minorHAnsi" w:hAnsiTheme="minorHAnsi" w:cs="Futura-Light"/>
        </w:rPr>
      </w:pPr>
      <w:r w:rsidRPr="008776A9">
        <w:rPr>
          <w:rFonts w:asciiTheme="minorHAnsi" w:hAnsiTheme="minorHAnsi" w:cs="Futura-Light"/>
        </w:rPr>
        <w:t xml:space="preserve">The Institute of Public Accountants (IPA) is one of the three legally recognised professional accounting bodies in Australia. The IPA has been in operation for over 90 years and has grown rapidly in recent years to represent more than 35,000 members and students in Australia and in more than 80 countries. The IPA has offices around Australia and in London, Beijing, Shanghai, Guangzhou and Kuala Lumpur. It also has a range of partnerships with other global accounting bodies. The IPA is a full member of the International Federation of Accountants and has almost 4,000 individual accounting practices in its network, generating in excess of $2.1 billion in accounting services fees annually. The IPA’s unique proposition is that it is for </w:t>
      </w:r>
      <w:r w:rsidRPr="008776A9">
        <w:rPr>
          <w:rFonts w:asciiTheme="minorHAnsi" w:hAnsiTheme="minorHAnsi" w:cs="Futura-LightOblique"/>
          <w:i/>
          <w:iCs/>
        </w:rPr>
        <w:t xml:space="preserve">small </w:t>
      </w:r>
      <w:r w:rsidR="009A5897">
        <w:rPr>
          <w:rFonts w:asciiTheme="minorHAnsi" w:hAnsiTheme="minorHAnsi" w:cs="Futura-LightOblique"/>
          <w:i/>
          <w:iCs/>
        </w:rPr>
        <w:t xml:space="preserve">and medium </w:t>
      </w:r>
      <w:r w:rsidRPr="008776A9">
        <w:rPr>
          <w:rFonts w:asciiTheme="minorHAnsi" w:hAnsiTheme="minorHAnsi" w:cs="Futura-LightOblique"/>
          <w:i/>
          <w:iCs/>
        </w:rPr>
        <w:t>business</w:t>
      </w:r>
      <w:r w:rsidR="009A5897">
        <w:rPr>
          <w:rFonts w:asciiTheme="minorHAnsi" w:hAnsiTheme="minorHAnsi" w:cs="Futura-LightOblique"/>
          <w:i/>
          <w:iCs/>
        </w:rPr>
        <w:t>es</w:t>
      </w:r>
      <w:r w:rsidRPr="008776A9">
        <w:rPr>
          <w:rFonts w:asciiTheme="minorHAnsi" w:hAnsiTheme="minorHAnsi" w:cs="Futura-Light"/>
        </w:rPr>
        <w:t>; providing personal, practical and valued services to its members and their clients/employers. More than 75 per cent of IPA members work dir</w:t>
      </w:r>
      <w:r w:rsidR="009A5897">
        <w:rPr>
          <w:rFonts w:asciiTheme="minorHAnsi" w:hAnsiTheme="minorHAnsi" w:cs="Futura-Light"/>
        </w:rPr>
        <w:t xml:space="preserve">ectly in or with small and medium enterprises </w:t>
      </w:r>
      <w:r w:rsidRPr="008776A9">
        <w:rPr>
          <w:rFonts w:asciiTheme="minorHAnsi" w:hAnsiTheme="minorHAnsi" w:cs="Futura-Light"/>
        </w:rPr>
        <w:t xml:space="preserve">every day. The IPA has a proud record of innovation and was recognised in 2012 by </w:t>
      </w:r>
      <w:r w:rsidRPr="008776A9">
        <w:rPr>
          <w:rFonts w:asciiTheme="minorHAnsi" w:hAnsiTheme="minorHAnsi" w:cs="Futura-LightOblique"/>
          <w:i/>
          <w:iCs/>
        </w:rPr>
        <w:t xml:space="preserve">BRW </w:t>
      </w:r>
      <w:r w:rsidRPr="008776A9">
        <w:rPr>
          <w:rFonts w:asciiTheme="minorHAnsi" w:hAnsiTheme="minorHAnsi" w:cs="Futura-Light"/>
        </w:rPr>
        <w:t>as one of Australia’s top 20 most innovative companies.</w:t>
      </w:r>
    </w:p>
    <w:p w:rsidR="00737EF8" w:rsidRPr="008776A9" w:rsidRDefault="00737EF8" w:rsidP="00AF6328">
      <w:pPr>
        <w:autoSpaceDE w:val="0"/>
        <w:autoSpaceDN w:val="0"/>
        <w:adjustRightInd w:val="0"/>
        <w:jc w:val="both"/>
        <w:rPr>
          <w:rFonts w:asciiTheme="minorHAnsi" w:hAnsiTheme="minorHAnsi" w:cs="Futura-Light"/>
        </w:rPr>
      </w:pPr>
    </w:p>
    <w:p w:rsidR="00737EF8" w:rsidRPr="008776A9" w:rsidRDefault="00737EF8" w:rsidP="00AF6328">
      <w:pPr>
        <w:autoSpaceDE w:val="0"/>
        <w:autoSpaceDN w:val="0"/>
        <w:adjustRightInd w:val="0"/>
        <w:jc w:val="both"/>
        <w:rPr>
          <w:rFonts w:asciiTheme="minorHAnsi" w:hAnsiTheme="minorHAnsi" w:cs="Futura-Light"/>
        </w:rPr>
      </w:pPr>
      <w:r w:rsidRPr="008776A9">
        <w:rPr>
          <w:rFonts w:asciiTheme="minorHAnsi" w:hAnsiTheme="minorHAnsi" w:cs="Futura-Light"/>
        </w:rPr>
        <w:t>In 2013, the IPA partnered with Deakin Un</w:t>
      </w:r>
      <w:r w:rsidR="009A5897">
        <w:rPr>
          <w:rFonts w:asciiTheme="minorHAnsi" w:hAnsiTheme="minorHAnsi" w:cs="Futura-Light"/>
        </w:rPr>
        <w:t>iversity to form the IPA Deakin</w:t>
      </w:r>
      <w:r w:rsidR="00BA5CE1">
        <w:rPr>
          <w:rFonts w:asciiTheme="minorHAnsi" w:hAnsiTheme="minorHAnsi" w:cs="Futura-Light"/>
        </w:rPr>
        <w:t xml:space="preserve"> </w:t>
      </w:r>
      <w:r w:rsidRPr="008776A9">
        <w:rPr>
          <w:rFonts w:asciiTheme="minorHAnsi" w:hAnsiTheme="minorHAnsi" w:cs="Futura-Light"/>
        </w:rPr>
        <w:t xml:space="preserve">SME Research Partnership, a first in Australia. This partnership has grown and evolved into the IPA assisting Deakin University in establishing the IPA-Deakin SME Research Centre in 2016. The goal of the Centre is to bring together practitioner insights with cutting edge SME academic research, to provide informed comment for substantive policy development. </w:t>
      </w:r>
    </w:p>
    <w:p w:rsidR="00737EF8" w:rsidRPr="008776A9" w:rsidRDefault="00737EF8" w:rsidP="00AF6328">
      <w:pPr>
        <w:autoSpaceDE w:val="0"/>
        <w:autoSpaceDN w:val="0"/>
        <w:adjustRightInd w:val="0"/>
        <w:jc w:val="both"/>
        <w:rPr>
          <w:rFonts w:asciiTheme="minorHAnsi" w:hAnsiTheme="minorHAnsi" w:cs="Futura-Light"/>
        </w:rPr>
      </w:pPr>
    </w:p>
    <w:p w:rsidR="00737EF8" w:rsidRPr="008776A9" w:rsidRDefault="00737EF8" w:rsidP="00AF6328">
      <w:pPr>
        <w:autoSpaceDE w:val="0"/>
        <w:autoSpaceDN w:val="0"/>
        <w:adjustRightInd w:val="0"/>
        <w:jc w:val="both"/>
        <w:rPr>
          <w:rFonts w:asciiTheme="minorHAnsi" w:hAnsiTheme="minorHAnsi" w:cs="Futura-Light"/>
        </w:rPr>
      </w:pPr>
      <w:r w:rsidRPr="008776A9">
        <w:rPr>
          <w:rFonts w:asciiTheme="minorHAnsi" w:hAnsiTheme="minorHAnsi" w:cs="Futura-Light"/>
        </w:rPr>
        <w:t>The IPA-Deakin SME Research Centre comprises:</w:t>
      </w:r>
    </w:p>
    <w:p w:rsidR="00BA5CE1" w:rsidRDefault="00BA5CE1" w:rsidP="00737EF8">
      <w:pPr>
        <w:autoSpaceDE w:val="0"/>
        <w:autoSpaceDN w:val="0"/>
        <w:adjustRightInd w:val="0"/>
        <w:rPr>
          <w:rFonts w:asciiTheme="minorHAnsi" w:hAnsiTheme="minorHAnsi" w:cs="Futura-Light"/>
        </w:rPr>
      </w:pPr>
    </w:p>
    <w:p w:rsidR="00737EF8" w:rsidRPr="008776A9" w:rsidRDefault="00737EF8" w:rsidP="00737EF8">
      <w:pPr>
        <w:autoSpaceDE w:val="0"/>
        <w:autoSpaceDN w:val="0"/>
        <w:adjustRightInd w:val="0"/>
        <w:rPr>
          <w:rFonts w:asciiTheme="minorHAnsi" w:hAnsiTheme="minorHAnsi" w:cs="Futura-Light"/>
        </w:rPr>
      </w:pPr>
      <w:r w:rsidRPr="008776A9">
        <w:rPr>
          <w:rFonts w:asciiTheme="minorHAnsi" w:hAnsiTheme="minorHAnsi" w:cs="Futura-Light"/>
        </w:rPr>
        <w:t>Chair Andrew Conway FIPA</w:t>
      </w:r>
    </w:p>
    <w:p w:rsidR="00737EF8" w:rsidRPr="008776A9" w:rsidRDefault="00737EF8" w:rsidP="00737EF8">
      <w:pPr>
        <w:autoSpaceDE w:val="0"/>
        <w:autoSpaceDN w:val="0"/>
        <w:adjustRightInd w:val="0"/>
        <w:rPr>
          <w:rFonts w:asciiTheme="minorHAnsi" w:hAnsiTheme="minorHAnsi" w:cs="Futura-Book"/>
          <w:b/>
        </w:rPr>
      </w:pPr>
      <w:r w:rsidRPr="008776A9">
        <w:rPr>
          <w:rFonts w:asciiTheme="minorHAnsi" w:hAnsiTheme="minorHAnsi" w:cs="Futura-Book"/>
          <w:b/>
        </w:rPr>
        <w:t xml:space="preserve">(Chief Executive of the IPA and Professor of Accounting </w:t>
      </w:r>
      <w:r w:rsidRPr="008776A9">
        <w:rPr>
          <w:rFonts w:asciiTheme="minorHAnsi" w:hAnsiTheme="minorHAnsi" w:cs="Futura-BookOblique"/>
          <w:b/>
          <w:i/>
          <w:iCs/>
        </w:rPr>
        <w:t xml:space="preserve">honoris causa </w:t>
      </w:r>
      <w:r w:rsidRPr="008776A9">
        <w:rPr>
          <w:rFonts w:asciiTheme="minorHAnsi" w:hAnsiTheme="minorHAnsi" w:cs="Futura-Book"/>
          <w:b/>
        </w:rPr>
        <w:t>Shanghai</w:t>
      </w:r>
    </w:p>
    <w:p w:rsidR="00737EF8" w:rsidRPr="008776A9" w:rsidRDefault="00737EF8" w:rsidP="00737EF8">
      <w:pPr>
        <w:autoSpaceDE w:val="0"/>
        <w:autoSpaceDN w:val="0"/>
        <w:adjustRightInd w:val="0"/>
        <w:rPr>
          <w:rFonts w:asciiTheme="minorHAnsi" w:hAnsiTheme="minorHAnsi" w:cs="Futura-Book"/>
        </w:rPr>
      </w:pPr>
      <w:r w:rsidRPr="008776A9">
        <w:rPr>
          <w:rFonts w:asciiTheme="minorHAnsi" w:hAnsiTheme="minorHAnsi" w:cs="Futura-Book"/>
          <w:b/>
        </w:rPr>
        <w:t>University of Finance and Economics)</w:t>
      </w:r>
    </w:p>
    <w:p w:rsidR="00737EF8" w:rsidRPr="008776A9" w:rsidRDefault="00737EF8" w:rsidP="00737EF8">
      <w:pPr>
        <w:autoSpaceDE w:val="0"/>
        <w:autoSpaceDN w:val="0"/>
        <w:adjustRightInd w:val="0"/>
        <w:rPr>
          <w:rFonts w:asciiTheme="minorHAnsi" w:hAnsiTheme="minorHAnsi" w:cs="Futura-Light"/>
        </w:rPr>
      </w:pPr>
    </w:p>
    <w:p w:rsidR="00737EF8" w:rsidRPr="008776A9" w:rsidRDefault="00737EF8" w:rsidP="00737EF8">
      <w:pPr>
        <w:autoSpaceDE w:val="0"/>
        <w:autoSpaceDN w:val="0"/>
        <w:adjustRightInd w:val="0"/>
        <w:rPr>
          <w:rFonts w:asciiTheme="minorHAnsi" w:hAnsiTheme="minorHAnsi" w:cs="Futura-Light"/>
        </w:rPr>
      </w:pPr>
      <w:r w:rsidRPr="008776A9">
        <w:rPr>
          <w:rFonts w:asciiTheme="minorHAnsi" w:hAnsiTheme="minorHAnsi" w:cs="Futura-Light"/>
        </w:rPr>
        <w:t>Ms Vicki Stylianou</w:t>
      </w:r>
    </w:p>
    <w:p w:rsidR="00737EF8" w:rsidRPr="008776A9" w:rsidRDefault="00737EF8" w:rsidP="00737EF8">
      <w:pPr>
        <w:autoSpaceDE w:val="0"/>
        <w:autoSpaceDN w:val="0"/>
        <w:adjustRightInd w:val="0"/>
        <w:rPr>
          <w:rFonts w:asciiTheme="minorHAnsi" w:hAnsiTheme="minorHAnsi" w:cs="Futura-Book"/>
          <w:b/>
        </w:rPr>
      </w:pPr>
      <w:r w:rsidRPr="008776A9">
        <w:rPr>
          <w:rFonts w:asciiTheme="minorHAnsi" w:hAnsiTheme="minorHAnsi" w:cs="Futura-Book"/>
          <w:b/>
        </w:rPr>
        <w:t>(IPA Executive General Manager, Advocacy &amp; Technical)</w:t>
      </w:r>
    </w:p>
    <w:p w:rsidR="00BC51E8" w:rsidRPr="008776A9" w:rsidRDefault="00BC51E8" w:rsidP="00737EF8">
      <w:pPr>
        <w:autoSpaceDE w:val="0"/>
        <w:autoSpaceDN w:val="0"/>
        <w:adjustRightInd w:val="0"/>
        <w:rPr>
          <w:rFonts w:asciiTheme="minorHAnsi" w:hAnsiTheme="minorHAnsi" w:cs="Futura-Book"/>
          <w:b/>
        </w:rPr>
      </w:pPr>
    </w:p>
    <w:p w:rsidR="00BC51E8" w:rsidRPr="008776A9" w:rsidRDefault="00BC51E8" w:rsidP="00BC51E8">
      <w:pPr>
        <w:autoSpaceDE w:val="0"/>
        <w:autoSpaceDN w:val="0"/>
        <w:adjustRightInd w:val="0"/>
        <w:rPr>
          <w:rFonts w:asciiTheme="minorHAnsi" w:hAnsiTheme="minorHAnsi" w:cs="Futura-Light"/>
        </w:rPr>
      </w:pPr>
      <w:r w:rsidRPr="008776A9">
        <w:rPr>
          <w:rFonts w:asciiTheme="minorHAnsi" w:hAnsiTheme="minorHAnsi" w:cs="Futura-Light"/>
        </w:rPr>
        <w:t>Mr Tony Greco FIPA</w:t>
      </w:r>
    </w:p>
    <w:p w:rsidR="00BC51E8" w:rsidRPr="008776A9" w:rsidRDefault="00BC51E8" w:rsidP="00737EF8">
      <w:pPr>
        <w:autoSpaceDE w:val="0"/>
        <w:autoSpaceDN w:val="0"/>
        <w:adjustRightInd w:val="0"/>
        <w:rPr>
          <w:rFonts w:asciiTheme="minorHAnsi" w:hAnsiTheme="minorHAnsi" w:cs="Futura-Book"/>
          <w:b/>
        </w:rPr>
      </w:pPr>
      <w:r w:rsidRPr="008776A9">
        <w:rPr>
          <w:rFonts w:asciiTheme="minorHAnsi" w:hAnsiTheme="minorHAnsi" w:cs="Futura-Book"/>
          <w:b/>
        </w:rPr>
        <w:t>(IPA General Manager Technical Policy)</w:t>
      </w:r>
    </w:p>
    <w:p w:rsidR="00737EF8" w:rsidRPr="008776A9" w:rsidRDefault="00737EF8" w:rsidP="00737EF8">
      <w:pPr>
        <w:autoSpaceDE w:val="0"/>
        <w:autoSpaceDN w:val="0"/>
        <w:adjustRightInd w:val="0"/>
        <w:rPr>
          <w:rFonts w:asciiTheme="minorHAnsi" w:hAnsiTheme="minorHAnsi" w:cs="Futura-Light"/>
        </w:rPr>
      </w:pPr>
    </w:p>
    <w:p w:rsidR="00737EF8" w:rsidRPr="008776A9" w:rsidRDefault="00737EF8" w:rsidP="00737EF8">
      <w:pPr>
        <w:autoSpaceDE w:val="0"/>
        <w:autoSpaceDN w:val="0"/>
        <w:adjustRightInd w:val="0"/>
        <w:rPr>
          <w:rFonts w:asciiTheme="minorHAnsi" w:hAnsiTheme="minorHAnsi" w:cs="Futura-Light"/>
        </w:rPr>
      </w:pPr>
      <w:r w:rsidRPr="008776A9">
        <w:rPr>
          <w:rFonts w:asciiTheme="minorHAnsi" w:hAnsiTheme="minorHAnsi" w:cs="Futura-Light"/>
        </w:rPr>
        <w:t>Professor Peter Carey</w:t>
      </w:r>
    </w:p>
    <w:p w:rsidR="00737EF8" w:rsidRPr="008776A9" w:rsidRDefault="00737EF8" w:rsidP="00737EF8">
      <w:pPr>
        <w:autoSpaceDE w:val="0"/>
        <w:autoSpaceDN w:val="0"/>
        <w:adjustRightInd w:val="0"/>
        <w:rPr>
          <w:rFonts w:asciiTheme="minorHAnsi" w:hAnsiTheme="minorHAnsi" w:cs="Futura-Book"/>
          <w:b/>
        </w:rPr>
      </w:pPr>
      <w:r w:rsidRPr="008776A9">
        <w:rPr>
          <w:rFonts w:asciiTheme="minorHAnsi" w:hAnsiTheme="minorHAnsi" w:cs="Futura-Book"/>
          <w:b/>
        </w:rPr>
        <w:t>(Head, Department of Accounting, Deakin Business School)</w:t>
      </w:r>
    </w:p>
    <w:p w:rsidR="00737EF8" w:rsidRPr="008776A9" w:rsidRDefault="00737EF8" w:rsidP="00737EF8">
      <w:pPr>
        <w:autoSpaceDE w:val="0"/>
        <w:autoSpaceDN w:val="0"/>
        <w:adjustRightInd w:val="0"/>
        <w:rPr>
          <w:rFonts w:asciiTheme="minorHAnsi" w:hAnsiTheme="minorHAnsi" w:cs="Futura-Light"/>
        </w:rPr>
      </w:pPr>
    </w:p>
    <w:p w:rsidR="00737EF8" w:rsidRPr="008776A9" w:rsidRDefault="00737EF8" w:rsidP="00737EF8">
      <w:pPr>
        <w:autoSpaceDE w:val="0"/>
        <w:autoSpaceDN w:val="0"/>
        <w:adjustRightInd w:val="0"/>
        <w:rPr>
          <w:rFonts w:asciiTheme="minorHAnsi" w:hAnsiTheme="minorHAnsi" w:cs="Futura-Light"/>
        </w:rPr>
      </w:pPr>
      <w:r w:rsidRPr="008776A9">
        <w:rPr>
          <w:rFonts w:asciiTheme="minorHAnsi" w:hAnsiTheme="minorHAnsi" w:cs="Futura-Light"/>
        </w:rPr>
        <w:t>Professor Barry Cooper</w:t>
      </w:r>
    </w:p>
    <w:p w:rsidR="00737EF8" w:rsidRPr="008776A9" w:rsidRDefault="00737EF8" w:rsidP="00737EF8">
      <w:pPr>
        <w:autoSpaceDE w:val="0"/>
        <w:autoSpaceDN w:val="0"/>
        <w:adjustRightInd w:val="0"/>
        <w:rPr>
          <w:rFonts w:asciiTheme="minorHAnsi" w:hAnsiTheme="minorHAnsi" w:cs="Futura-Book"/>
          <w:b/>
        </w:rPr>
      </w:pPr>
      <w:r w:rsidRPr="008776A9">
        <w:rPr>
          <w:rFonts w:asciiTheme="minorHAnsi" w:hAnsiTheme="minorHAnsi" w:cs="Futura-Book"/>
          <w:b/>
        </w:rPr>
        <w:t>(Associate Dean, Deakin Business School)</w:t>
      </w:r>
    </w:p>
    <w:p w:rsidR="00737EF8" w:rsidRPr="008776A9" w:rsidRDefault="00737EF8" w:rsidP="00737EF8">
      <w:pPr>
        <w:autoSpaceDE w:val="0"/>
        <w:autoSpaceDN w:val="0"/>
        <w:adjustRightInd w:val="0"/>
        <w:rPr>
          <w:rFonts w:asciiTheme="minorHAnsi" w:hAnsiTheme="minorHAnsi" w:cs="Futura-Light"/>
        </w:rPr>
      </w:pPr>
    </w:p>
    <w:p w:rsidR="00737EF8" w:rsidRPr="008776A9" w:rsidRDefault="00737EF8" w:rsidP="00737EF8">
      <w:pPr>
        <w:autoSpaceDE w:val="0"/>
        <w:autoSpaceDN w:val="0"/>
        <w:adjustRightInd w:val="0"/>
        <w:rPr>
          <w:rFonts w:asciiTheme="minorHAnsi" w:hAnsiTheme="minorHAnsi" w:cs="Futura-Light"/>
        </w:rPr>
      </w:pPr>
      <w:r w:rsidRPr="008776A9">
        <w:rPr>
          <w:rFonts w:asciiTheme="minorHAnsi" w:hAnsiTheme="minorHAnsi" w:cs="Futura-Light"/>
        </w:rPr>
        <w:t>Prof George Tanewski</w:t>
      </w:r>
    </w:p>
    <w:p w:rsidR="00737EF8" w:rsidRPr="008776A9" w:rsidRDefault="00737EF8" w:rsidP="00737EF8">
      <w:pPr>
        <w:rPr>
          <w:rFonts w:asciiTheme="minorHAnsi" w:hAnsiTheme="minorHAnsi" w:cs="Futura-Book"/>
          <w:b/>
        </w:rPr>
      </w:pPr>
      <w:r w:rsidRPr="008776A9">
        <w:rPr>
          <w:rFonts w:asciiTheme="minorHAnsi" w:hAnsiTheme="minorHAnsi" w:cs="Futura-Book"/>
          <w:b/>
        </w:rPr>
        <w:t>(Deakin Business School)</w:t>
      </w:r>
    </w:p>
    <w:p w:rsidR="00737EF8" w:rsidRPr="008776A9" w:rsidRDefault="00737EF8" w:rsidP="00737EF8">
      <w:pPr>
        <w:autoSpaceDE w:val="0"/>
        <w:autoSpaceDN w:val="0"/>
        <w:adjustRightInd w:val="0"/>
        <w:rPr>
          <w:rFonts w:asciiTheme="minorHAnsi" w:hAnsiTheme="minorHAnsi" w:cs="Futura-Light"/>
        </w:rPr>
      </w:pPr>
    </w:p>
    <w:p w:rsidR="00737EF8" w:rsidRPr="008776A9" w:rsidRDefault="00737EF8" w:rsidP="00737EF8">
      <w:pPr>
        <w:autoSpaceDE w:val="0"/>
        <w:autoSpaceDN w:val="0"/>
        <w:adjustRightInd w:val="0"/>
        <w:rPr>
          <w:rFonts w:asciiTheme="minorHAnsi" w:hAnsiTheme="minorHAnsi" w:cs="Futura-Light"/>
        </w:rPr>
      </w:pPr>
      <w:r w:rsidRPr="008776A9">
        <w:rPr>
          <w:rFonts w:asciiTheme="minorHAnsi" w:hAnsiTheme="minorHAnsi" w:cs="Futura-Light"/>
        </w:rPr>
        <w:t>Dr Nicholas Mroczkowski</w:t>
      </w:r>
      <w:r w:rsidR="009A5897">
        <w:rPr>
          <w:rFonts w:asciiTheme="minorHAnsi" w:hAnsiTheme="minorHAnsi" w:cs="Futura-Light"/>
        </w:rPr>
        <w:t xml:space="preserve"> CA, FCPA, FIPA, F</w:t>
      </w:r>
      <w:r w:rsidR="00DA3D13" w:rsidRPr="008776A9">
        <w:rPr>
          <w:rFonts w:asciiTheme="minorHAnsi" w:hAnsiTheme="minorHAnsi" w:cs="Futura-Light"/>
        </w:rPr>
        <w:t xml:space="preserve">FA </w:t>
      </w:r>
    </w:p>
    <w:p w:rsidR="00737EF8" w:rsidRPr="008776A9" w:rsidRDefault="00737EF8" w:rsidP="003C5F40">
      <w:pPr>
        <w:rPr>
          <w:rFonts w:asciiTheme="minorHAnsi" w:hAnsiTheme="minorHAnsi" w:cs="Futura-Book"/>
          <w:b/>
        </w:rPr>
      </w:pPr>
      <w:r w:rsidRPr="008776A9">
        <w:rPr>
          <w:rFonts w:asciiTheme="minorHAnsi" w:hAnsiTheme="minorHAnsi" w:cs="Futura-Book"/>
          <w:b/>
        </w:rPr>
        <w:t>(Deakin Business School)</w:t>
      </w:r>
    </w:p>
    <w:p w:rsidR="00737EF8" w:rsidRPr="008776A9" w:rsidRDefault="00737EF8" w:rsidP="00737EF8">
      <w:pPr>
        <w:rPr>
          <w:rFonts w:asciiTheme="minorHAnsi" w:hAnsiTheme="minorHAnsi" w:cstheme="minorHAnsi"/>
          <w:b/>
        </w:rPr>
      </w:pPr>
      <w:r w:rsidRPr="008776A9">
        <w:rPr>
          <w:rFonts w:asciiTheme="minorHAnsi" w:hAnsiTheme="minorHAnsi" w:cstheme="minorHAnsi"/>
          <w:b/>
        </w:rPr>
        <w:lastRenderedPageBreak/>
        <w:t>Copyright © 2017 Institute of Public Accountants and Deakin University</w:t>
      </w:r>
    </w:p>
    <w:p w:rsidR="00737EF8" w:rsidRPr="008776A9" w:rsidRDefault="00BA5CE1" w:rsidP="00737EF8">
      <w:pPr>
        <w:spacing w:line="360" w:lineRule="auto"/>
        <w:jc w:val="both"/>
        <w:rPr>
          <w:rFonts w:asciiTheme="minorHAnsi" w:hAnsiTheme="minorHAnsi" w:cstheme="minorHAnsi"/>
        </w:rPr>
      </w:pPr>
      <w:r>
        <w:rPr>
          <w:rFonts w:asciiTheme="minorHAnsi" w:hAnsiTheme="minorHAnsi" w:cstheme="minorHAnsi"/>
        </w:rPr>
        <w:t>14 June 2017</w:t>
      </w:r>
    </w:p>
    <w:p w:rsidR="00E47623" w:rsidRPr="008776A9" w:rsidRDefault="00E47623" w:rsidP="00E47623">
      <w:pPr>
        <w:pStyle w:val="NormalWeb"/>
        <w:rPr>
          <w:rFonts w:asciiTheme="minorHAnsi" w:hAnsiTheme="minorHAnsi" w:cstheme="minorHAnsi"/>
        </w:rPr>
      </w:pPr>
      <w:r w:rsidRPr="008776A9">
        <w:rPr>
          <w:rFonts w:asciiTheme="minorHAnsi" w:hAnsiTheme="minorHAnsi" w:cstheme="minorHAnsi"/>
        </w:rPr>
        <w:t>Manager</w:t>
      </w:r>
      <w:r w:rsidRPr="008776A9">
        <w:rPr>
          <w:rFonts w:asciiTheme="minorHAnsi" w:hAnsiTheme="minorHAnsi" w:cstheme="minorHAnsi"/>
        </w:rPr>
        <w:br/>
        <w:t>Financial Services Unit</w:t>
      </w:r>
      <w:r w:rsidRPr="008776A9">
        <w:rPr>
          <w:rFonts w:asciiTheme="minorHAnsi" w:hAnsiTheme="minorHAnsi" w:cstheme="minorHAnsi"/>
        </w:rPr>
        <w:br/>
        <w:t>Financial System</w:t>
      </w:r>
      <w:r w:rsidRPr="008776A9">
        <w:rPr>
          <w:rFonts w:asciiTheme="minorHAnsi" w:hAnsiTheme="minorHAnsi" w:cstheme="minorHAnsi"/>
        </w:rPr>
        <w:br/>
        <w:t>The Treasury</w:t>
      </w:r>
      <w:r w:rsidRPr="008776A9">
        <w:rPr>
          <w:rFonts w:asciiTheme="minorHAnsi" w:hAnsiTheme="minorHAnsi" w:cstheme="minorHAnsi"/>
        </w:rPr>
        <w:br/>
        <w:t>Langton Crescent</w:t>
      </w:r>
      <w:r w:rsidRPr="008776A9">
        <w:rPr>
          <w:rFonts w:asciiTheme="minorHAnsi" w:hAnsiTheme="minorHAnsi" w:cstheme="minorHAnsi"/>
        </w:rPr>
        <w:br/>
        <w:t xml:space="preserve">PARKES ACT 2600 </w:t>
      </w:r>
    </w:p>
    <w:p w:rsidR="00E47623" w:rsidRPr="008776A9" w:rsidRDefault="00E47623" w:rsidP="00E47623">
      <w:pPr>
        <w:rPr>
          <w:rFonts w:asciiTheme="minorHAnsi" w:hAnsiTheme="minorHAnsi"/>
        </w:rPr>
      </w:pPr>
      <w:r w:rsidRPr="008776A9">
        <w:rPr>
          <w:rStyle w:val="blue"/>
          <w:rFonts w:asciiTheme="minorHAnsi" w:hAnsiTheme="minorHAnsi"/>
        </w:rPr>
        <w:t>Email: </w:t>
      </w:r>
      <w:hyperlink r:id="rId16" w:history="1">
        <w:r w:rsidRPr="008776A9">
          <w:rPr>
            <w:rStyle w:val="Hyperlink"/>
            <w:rFonts w:asciiTheme="minorHAnsi" w:hAnsiTheme="minorHAnsi"/>
          </w:rPr>
          <w:t>EDR@treasury.gov.au</w:t>
        </w:r>
      </w:hyperlink>
      <w:r w:rsidRPr="008776A9">
        <w:rPr>
          <w:rFonts w:asciiTheme="minorHAnsi" w:hAnsiTheme="minorHAnsi"/>
        </w:rPr>
        <w:t xml:space="preserve"> </w:t>
      </w:r>
    </w:p>
    <w:p w:rsidR="00E47623" w:rsidRPr="008776A9" w:rsidRDefault="00E47623" w:rsidP="00E47623">
      <w:pPr>
        <w:rPr>
          <w:rFonts w:asciiTheme="minorHAnsi" w:hAnsiTheme="minorHAnsi"/>
        </w:rPr>
      </w:pPr>
    </w:p>
    <w:p w:rsidR="00E47623" w:rsidRPr="008776A9" w:rsidRDefault="00E47623" w:rsidP="00E47623">
      <w:pPr>
        <w:spacing w:after="200" w:line="276" w:lineRule="auto"/>
        <w:rPr>
          <w:rFonts w:asciiTheme="minorHAnsi" w:eastAsiaTheme="minorHAnsi" w:hAnsiTheme="minorHAnsi" w:cstheme="minorBidi"/>
        </w:rPr>
      </w:pPr>
      <w:r w:rsidRPr="008776A9">
        <w:rPr>
          <w:rFonts w:asciiTheme="minorHAnsi" w:eastAsiaTheme="minorHAnsi" w:hAnsiTheme="minorHAnsi" w:cstheme="minorBidi"/>
        </w:rPr>
        <w:t>Dear Sir/Madam</w:t>
      </w:r>
    </w:p>
    <w:p w:rsidR="00E47623" w:rsidRPr="00BA5CE1" w:rsidRDefault="00E47623" w:rsidP="00BA5CE1">
      <w:pPr>
        <w:pStyle w:val="header14ptorangebold"/>
        <w:ind w:right="800"/>
        <w:rPr>
          <w:rFonts w:asciiTheme="minorHAnsi" w:hAnsiTheme="minorHAnsi"/>
          <w:sz w:val="24"/>
          <w:szCs w:val="24"/>
        </w:rPr>
      </w:pPr>
      <w:r w:rsidRPr="00BA5CE1">
        <w:rPr>
          <w:rFonts w:asciiTheme="minorHAnsi" w:hAnsiTheme="minorHAnsi"/>
          <w:b/>
          <w:spacing w:val="-20"/>
          <w:sz w:val="24"/>
          <w:szCs w:val="24"/>
        </w:rPr>
        <w:t xml:space="preserve">Improving </w:t>
      </w:r>
      <w:r w:rsidR="006B2A8A" w:rsidRPr="00BA5CE1">
        <w:rPr>
          <w:rFonts w:asciiTheme="minorHAnsi" w:hAnsiTheme="minorHAnsi"/>
          <w:b/>
          <w:spacing w:val="-20"/>
          <w:sz w:val="24"/>
          <w:szCs w:val="24"/>
        </w:rPr>
        <w:t>dispute resolution</w:t>
      </w:r>
      <w:r w:rsidRPr="00BA5CE1">
        <w:rPr>
          <w:rFonts w:asciiTheme="minorHAnsi" w:hAnsiTheme="minorHAnsi"/>
          <w:b/>
          <w:spacing w:val="-20"/>
          <w:sz w:val="24"/>
          <w:szCs w:val="24"/>
        </w:rPr>
        <w:t xml:space="preserve"> in the financial system</w:t>
      </w:r>
    </w:p>
    <w:p w:rsidR="00E47623" w:rsidRPr="00BA5CE1" w:rsidRDefault="00E47623" w:rsidP="00E47623">
      <w:pPr>
        <w:spacing w:line="276" w:lineRule="auto"/>
        <w:jc w:val="both"/>
        <w:rPr>
          <w:rFonts w:asciiTheme="minorHAnsi" w:eastAsiaTheme="minorHAnsi" w:hAnsiTheme="minorHAnsi" w:cstheme="minorBidi"/>
          <w:sz w:val="28"/>
          <w:szCs w:val="28"/>
        </w:rPr>
      </w:pPr>
    </w:p>
    <w:p w:rsidR="00BA5CE1" w:rsidRDefault="00E47623" w:rsidP="00E47623">
      <w:pPr>
        <w:spacing w:line="276" w:lineRule="auto"/>
        <w:jc w:val="both"/>
        <w:rPr>
          <w:rFonts w:asciiTheme="minorHAnsi" w:eastAsiaTheme="minorHAnsi" w:hAnsiTheme="minorHAnsi" w:cstheme="minorBidi"/>
        </w:rPr>
      </w:pPr>
      <w:r w:rsidRPr="008776A9">
        <w:rPr>
          <w:rFonts w:asciiTheme="minorHAnsi" w:eastAsiaTheme="minorHAnsi" w:hAnsiTheme="minorHAnsi" w:cstheme="minorBidi"/>
        </w:rPr>
        <w:t>The IPA-Deakin SME Research Centre (IPSR) is pleased to submit our response and comments to the consultation paper</w:t>
      </w:r>
      <w:r w:rsidRPr="008776A9">
        <w:rPr>
          <w:rFonts w:asciiTheme="minorHAnsi" w:hAnsiTheme="minorHAnsi"/>
        </w:rPr>
        <w:t xml:space="preserve"> </w:t>
      </w:r>
      <w:r w:rsidR="006B2A8A" w:rsidRPr="008776A9">
        <w:rPr>
          <w:rFonts w:asciiTheme="minorHAnsi" w:hAnsiTheme="minorHAnsi"/>
        </w:rPr>
        <w:t>in respect of</w:t>
      </w:r>
      <w:r w:rsidRPr="008776A9">
        <w:rPr>
          <w:rFonts w:asciiTheme="minorHAnsi" w:hAnsiTheme="minorHAnsi"/>
        </w:rPr>
        <w:t xml:space="preserve"> </w:t>
      </w:r>
      <w:r w:rsidR="009A5897">
        <w:rPr>
          <w:rFonts w:asciiTheme="minorHAnsi" w:hAnsiTheme="minorHAnsi"/>
        </w:rPr>
        <w:t xml:space="preserve">the </w:t>
      </w:r>
      <w:r w:rsidRPr="008776A9">
        <w:rPr>
          <w:rFonts w:asciiTheme="minorHAnsi" w:hAnsiTheme="minorHAnsi"/>
        </w:rPr>
        <w:t>External Dispute Resolution and Complaints Framework published by Federal Treasury following the release of the Federal Budget on May 9</w:t>
      </w:r>
      <w:r w:rsidR="00BA5CE1">
        <w:rPr>
          <w:rFonts w:asciiTheme="minorHAnsi" w:hAnsiTheme="minorHAnsi"/>
        </w:rPr>
        <w:t xml:space="preserve"> 2017</w:t>
      </w:r>
      <w:r w:rsidRPr="008776A9">
        <w:rPr>
          <w:rFonts w:asciiTheme="minorHAnsi" w:hAnsiTheme="minorHAnsi"/>
        </w:rPr>
        <w:t>.</w:t>
      </w:r>
      <w:r w:rsidR="001A3E6F" w:rsidRPr="008776A9">
        <w:rPr>
          <w:rFonts w:asciiTheme="minorHAnsi" w:eastAsiaTheme="minorHAnsi" w:hAnsiTheme="minorHAnsi" w:cstheme="minorBidi"/>
        </w:rPr>
        <w:t xml:space="preserve"> As with many past IPA responses, we are also pleased that</w:t>
      </w:r>
      <w:r w:rsidRPr="008776A9">
        <w:rPr>
          <w:rFonts w:asciiTheme="minorHAnsi" w:eastAsiaTheme="minorHAnsi" w:hAnsiTheme="minorHAnsi" w:cstheme="minorBidi"/>
        </w:rPr>
        <w:t xml:space="preserve"> the </w:t>
      </w:r>
      <w:r w:rsidR="00BA5CE1">
        <w:rPr>
          <w:rFonts w:asciiTheme="minorHAnsi" w:eastAsiaTheme="minorHAnsi" w:hAnsiTheme="minorHAnsi" w:cstheme="minorBidi"/>
        </w:rPr>
        <w:t>G</w:t>
      </w:r>
      <w:r w:rsidRPr="008776A9">
        <w:rPr>
          <w:rFonts w:asciiTheme="minorHAnsi" w:eastAsiaTheme="minorHAnsi" w:hAnsiTheme="minorHAnsi" w:cstheme="minorBidi"/>
        </w:rPr>
        <w:t xml:space="preserve">overnment </w:t>
      </w:r>
      <w:r w:rsidR="001A3E6F" w:rsidRPr="008776A9">
        <w:rPr>
          <w:rFonts w:asciiTheme="minorHAnsi" w:eastAsiaTheme="minorHAnsi" w:hAnsiTheme="minorHAnsi" w:cstheme="minorBidi"/>
        </w:rPr>
        <w:t>is once again taking a much needed initiative to reform vital areas affecting Australian business</w:t>
      </w:r>
      <w:r w:rsidR="006B2A8A" w:rsidRPr="008776A9">
        <w:rPr>
          <w:rFonts w:asciiTheme="minorHAnsi" w:eastAsiaTheme="minorHAnsi" w:hAnsiTheme="minorHAnsi" w:cstheme="minorBidi"/>
        </w:rPr>
        <w:t>es</w:t>
      </w:r>
      <w:r w:rsidR="001A3E6F" w:rsidRPr="008776A9">
        <w:rPr>
          <w:rFonts w:asciiTheme="minorHAnsi" w:eastAsiaTheme="minorHAnsi" w:hAnsiTheme="minorHAnsi" w:cstheme="minorBidi"/>
        </w:rPr>
        <w:t xml:space="preserve"> and consumers. Indeed, the IPA supports the proposals to restructure and consolidate dispute resolution dispute mechanisms in line with successful dispute regimes currently operating in offshore jurisdictions, particularly in the UK (which has a somewhat similar regime to the one proposed in the current consultation paper) a</w:t>
      </w:r>
      <w:r w:rsidR="006B2A8A" w:rsidRPr="008776A9">
        <w:rPr>
          <w:rFonts w:asciiTheme="minorHAnsi" w:eastAsiaTheme="minorHAnsi" w:hAnsiTheme="minorHAnsi" w:cstheme="minorBidi"/>
        </w:rPr>
        <w:t xml:space="preserve">s well </w:t>
      </w:r>
      <w:r w:rsidR="00BA5CE1">
        <w:rPr>
          <w:rFonts w:asciiTheme="minorHAnsi" w:eastAsiaTheme="minorHAnsi" w:hAnsiTheme="minorHAnsi" w:cstheme="minorBidi"/>
        </w:rPr>
        <w:t xml:space="preserve">as </w:t>
      </w:r>
      <w:r w:rsidR="001A3E6F" w:rsidRPr="008776A9">
        <w:rPr>
          <w:rFonts w:asciiTheme="minorHAnsi" w:eastAsiaTheme="minorHAnsi" w:hAnsiTheme="minorHAnsi" w:cstheme="minorBidi"/>
        </w:rPr>
        <w:t>system</w:t>
      </w:r>
      <w:r w:rsidR="006B2A8A" w:rsidRPr="008776A9">
        <w:rPr>
          <w:rFonts w:asciiTheme="minorHAnsi" w:eastAsiaTheme="minorHAnsi" w:hAnsiTheme="minorHAnsi" w:cstheme="minorBidi"/>
        </w:rPr>
        <w:t>s</w:t>
      </w:r>
      <w:r w:rsidR="001A3E6F" w:rsidRPr="008776A9">
        <w:rPr>
          <w:rFonts w:asciiTheme="minorHAnsi" w:eastAsiaTheme="minorHAnsi" w:hAnsiTheme="minorHAnsi" w:cstheme="minorBidi"/>
        </w:rPr>
        <w:t xml:space="preserve"> successfully adopted in Singapore. Our members and their clients </w:t>
      </w:r>
      <w:r w:rsidR="006B2A8A" w:rsidRPr="008776A9">
        <w:rPr>
          <w:rFonts w:asciiTheme="minorHAnsi" w:eastAsiaTheme="minorHAnsi" w:hAnsiTheme="minorHAnsi" w:cstheme="minorBidi"/>
        </w:rPr>
        <w:t xml:space="preserve">within the SME arena, </w:t>
      </w:r>
      <w:r w:rsidR="001A3E6F" w:rsidRPr="008776A9">
        <w:rPr>
          <w:rFonts w:asciiTheme="minorHAnsi" w:eastAsiaTheme="minorHAnsi" w:hAnsiTheme="minorHAnsi" w:cstheme="minorBidi"/>
        </w:rPr>
        <w:t xml:space="preserve">rely on and are heavily dependent upon the </w:t>
      </w:r>
      <w:r w:rsidR="006B2A8A" w:rsidRPr="008776A9">
        <w:rPr>
          <w:rFonts w:asciiTheme="minorHAnsi" w:eastAsiaTheme="minorHAnsi" w:hAnsiTheme="minorHAnsi" w:cstheme="minorBidi"/>
        </w:rPr>
        <w:t xml:space="preserve">effective </w:t>
      </w:r>
      <w:r w:rsidR="001A3E6F" w:rsidRPr="008776A9">
        <w:rPr>
          <w:rFonts w:asciiTheme="minorHAnsi" w:eastAsiaTheme="minorHAnsi" w:hAnsiTheme="minorHAnsi" w:cstheme="minorBidi"/>
        </w:rPr>
        <w:t xml:space="preserve">operations of </w:t>
      </w:r>
      <w:r w:rsidR="006B2A8A" w:rsidRPr="008776A9">
        <w:rPr>
          <w:rFonts w:asciiTheme="minorHAnsi" w:eastAsiaTheme="minorHAnsi" w:hAnsiTheme="minorHAnsi" w:cstheme="minorBidi"/>
        </w:rPr>
        <w:t xml:space="preserve">a financial system, including prompt and streamlined resolution if and when disputes arise, large or small. </w:t>
      </w:r>
    </w:p>
    <w:p w:rsidR="00BA5CE1" w:rsidRDefault="00BA5CE1" w:rsidP="00E47623">
      <w:pPr>
        <w:spacing w:line="276" w:lineRule="auto"/>
        <w:jc w:val="both"/>
        <w:rPr>
          <w:rFonts w:asciiTheme="minorHAnsi" w:eastAsiaTheme="minorHAnsi" w:hAnsiTheme="minorHAnsi" w:cstheme="minorBidi"/>
        </w:rPr>
      </w:pPr>
    </w:p>
    <w:p w:rsidR="00E47623" w:rsidRPr="00E91530" w:rsidRDefault="00E47623" w:rsidP="00E47623">
      <w:pPr>
        <w:spacing w:line="276" w:lineRule="auto"/>
        <w:jc w:val="both"/>
        <w:rPr>
          <w:rFonts w:asciiTheme="minorHAnsi" w:hAnsiTheme="minorHAnsi"/>
        </w:rPr>
      </w:pPr>
      <w:r w:rsidRPr="00E91530">
        <w:rPr>
          <w:rFonts w:asciiTheme="minorHAnsi" w:hAnsiTheme="minorHAnsi"/>
        </w:rPr>
        <w:t>The IPSR is a joint initiative of the Institute of Public Accountants and Deakin University. It exists to increase the awareness of government and the community more generally on issues related to individuals and small to medium businesses by contributing to policy debates, particularly as they affect our membership.</w:t>
      </w:r>
    </w:p>
    <w:p w:rsidR="00E47623" w:rsidRPr="00E91530" w:rsidRDefault="00E47623" w:rsidP="00E47623">
      <w:pPr>
        <w:spacing w:line="276" w:lineRule="auto"/>
        <w:jc w:val="both"/>
        <w:rPr>
          <w:rFonts w:asciiTheme="minorHAnsi" w:hAnsiTheme="minorHAnsi"/>
        </w:rPr>
      </w:pPr>
    </w:p>
    <w:p w:rsidR="006B2A8A" w:rsidRPr="008776A9" w:rsidRDefault="006B2A8A" w:rsidP="0060604D">
      <w:pPr>
        <w:rPr>
          <w:rFonts w:asciiTheme="minorHAnsi" w:hAnsiTheme="minorHAnsi"/>
          <w:b/>
          <w:color w:val="E36C0A" w:themeColor="accent6" w:themeShade="BF"/>
        </w:rPr>
      </w:pPr>
      <w:r w:rsidRPr="008776A9">
        <w:rPr>
          <w:rFonts w:asciiTheme="minorHAnsi" w:hAnsiTheme="minorHAnsi"/>
          <w:b/>
          <w:color w:val="E36C0A" w:themeColor="accent6" w:themeShade="BF"/>
        </w:rPr>
        <w:t>Introduction</w:t>
      </w:r>
    </w:p>
    <w:p w:rsidR="006B2A8A" w:rsidRPr="008776A9" w:rsidRDefault="006B2A8A" w:rsidP="0060604D">
      <w:pPr>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At the outset, we wish to note that in our submission </w:t>
      </w:r>
      <w:r w:rsidR="00435C38" w:rsidRPr="008776A9">
        <w:rPr>
          <w:rFonts w:asciiTheme="minorHAnsi" w:hAnsiTheme="minorHAnsi"/>
        </w:rPr>
        <w:t xml:space="preserve">to Federal Treasury </w:t>
      </w:r>
      <w:r w:rsidRPr="008776A9">
        <w:rPr>
          <w:rFonts w:asciiTheme="minorHAnsi" w:hAnsiTheme="minorHAnsi"/>
        </w:rPr>
        <w:t>dated 27 January 2017</w:t>
      </w:r>
      <w:r w:rsidR="00664891">
        <w:rPr>
          <w:rFonts w:asciiTheme="minorHAnsi" w:hAnsiTheme="minorHAnsi"/>
        </w:rPr>
        <w:t>,</w:t>
      </w:r>
      <w:r w:rsidR="001C3D9C">
        <w:rPr>
          <w:rFonts w:asciiTheme="minorHAnsi" w:hAnsiTheme="minorHAnsi"/>
        </w:rPr>
        <w:t xml:space="preserve"> we supported </w:t>
      </w:r>
      <w:r w:rsidR="00435C38">
        <w:rPr>
          <w:rFonts w:asciiTheme="minorHAnsi" w:hAnsiTheme="minorHAnsi"/>
        </w:rPr>
        <w:t xml:space="preserve">the </w:t>
      </w:r>
      <w:r w:rsidR="001C3D9C">
        <w:rPr>
          <w:rFonts w:asciiTheme="minorHAnsi" w:hAnsiTheme="minorHAnsi"/>
        </w:rPr>
        <w:t>primary</w:t>
      </w:r>
      <w:r w:rsidRPr="008776A9">
        <w:rPr>
          <w:rFonts w:asciiTheme="minorHAnsi" w:hAnsiTheme="minorHAnsi"/>
        </w:rPr>
        <w:t xml:space="preserve"> goal of establishing a single complaints resolution process that deals with complaints made by clients of financial service providers</w:t>
      </w:r>
      <w:r w:rsidR="001C3D9C">
        <w:rPr>
          <w:rFonts w:asciiTheme="minorHAnsi" w:hAnsiTheme="minorHAnsi"/>
        </w:rPr>
        <w:t>,</w:t>
      </w:r>
      <w:r w:rsidRPr="008776A9">
        <w:rPr>
          <w:rFonts w:asciiTheme="minorHAnsi" w:hAnsiTheme="minorHAnsi"/>
        </w:rPr>
        <w:t xml:space="preserve"> irrespective of whether the matter referred to loans or investment advice or superannuation issues. The </w:t>
      </w:r>
      <w:r w:rsidRPr="008776A9">
        <w:rPr>
          <w:rFonts w:asciiTheme="minorHAnsi" w:hAnsiTheme="minorHAnsi"/>
        </w:rPr>
        <w:lastRenderedPageBreak/>
        <w:t xml:space="preserve">interim report </w:t>
      </w:r>
      <w:r w:rsidRPr="008776A9">
        <w:rPr>
          <w:rStyle w:val="FootnoteReference"/>
          <w:rFonts w:asciiTheme="minorHAnsi" w:hAnsiTheme="minorHAnsi"/>
        </w:rPr>
        <w:footnoteReference w:id="1"/>
      </w:r>
      <w:r w:rsidRPr="008776A9">
        <w:rPr>
          <w:rFonts w:asciiTheme="minorHAnsi" w:hAnsiTheme="minorHAnsi"/>
        </w:rPr>
        <w:t>and the final report</w:t>
      </w:r>
      <w:r w:rsidRPr="008776A9">
        <w:rPr>
          <w:rStyle w:val="FootnoteReference"/>
          <w:rFonts w:asciiTheme="minorHAnsi" w:hAnsiTheme="minorHAnsi"/>
        </w:rPr>
        <w:footnoteReference w:id="2"/>
      </w:r>
      <w:r w:rsidRPr="008776A9">
        <w:rPr>
          <w:rFonts w:asciiTheme="minorHAnsi" w:hAnsiTheme="minorHAnsi"/>
        </w:rPr>
        <w:t xml:space="preserve"> of the review panel recommended a single complaints authority. It is timely that the complaints resolution process was rationalised so that the function resides with one agency rather than having multiple complaints schemes. The new proposed framework reflected in the </w:t>
      </w:r>
      <w:r w:rsidR="00664891">
        <w:rPr>
          <w:rFonts w:asciiTheme="minorHAnsi" w:hAnsiTheme="minorHAnsi"/>
        </w:rPr>
        <w:t xml:space="preserve">documents </w:t>
      </w:r>
      <w:r w:rsidRPr="008776A9">
        <w:rPr>
          <w:rFonts w:asciiTheme="minorHAnsi" w:hAnsiTheme="minorHAnsi"/>
        </w:rPr>
        <w:t xml:space="preserve">provided for this consultation </w:t>
      </w:r>
      <w:r w:rsidR="00435C38">
        <w:rPr>
          <w:rFonts w:asciiTheme="minorHAnsi" w:hAnsiTheme="minorHAnsi"/>
        </w:rPr>
        <w:t>proces</w:t>
      </w:r>
      <w:r w:rsidRPr="008776A9">
        <w:rPr>
          <w:rFonts w:asciiTheme="minorHAnsi" w:hAnsiTheme="minorHAnsi"/>
        </w:rPr>
        <w:t>s</w:t>
      </w:r>
      <w:r w:rsidR="00435C38">
        <w:rPr>
          <w:rFonts w:asciiTheme="minorHAnsi" w:hAnsiTheme="minorHAnsi"/>
        </w:rPr>
        <w:t>,</w:t>
      </w:r>
      <w:r w:rsidRPr="008776A9">
        <w:rPr>
          <w:rFonts w:asciiTheme="minorHAnsi" w:hAnsiTheme="minorHAnsi"/>
        </w:rPr>
        <w:t xml:space="preserve"> reflects a more robust consideration </w:t>
      </w:r>
      <w:r w:rsidR="00435C38">
        <w:rPr>
          <w:rFonts w:asciiTheme="minorHAnsi" w:hAnsiTheme="minorHAnsi"/>
        </w:rPr>
        <w:t xml:space="preserve">of </w:t>
      </w:r>
      <w:r w:rsidRPr="008776A9">
        <w:rPr>
          <w:rFonts w:asciiTheme="minorHAnsi" w:hAnsiTheme="minorHAnsi"/>
        </w:rPr>
        <w:t>the concepts underlying a financial services complaints resolution scheme</w:t>
      </w:r>
      <w:r w:rsidR="00664891">
        <w:rPr>
          <w:rFonts w:asciiTheme="minorHAnsi" w:hAnsiTheme="minorHAnsi"/>
        </w:rPr>
        <w:t>. That is, r</w:t>
      </w:r>
      <w:r w:rsidRPr="008776A9">
        <w:rPr>
          <w:rFonts w:asciiTheme="minorHAnsi" w:hAnsiTheme="minorHAnsi"/>
        </w:rPr>
        <w:t xml:space="preserve">ather than having a separate complaints scheme established </w:t>
      </w:r>
      <w:r w:rsidR="00664891">
        <w:rPr>
          <w:rFonts w:asciiTheme="minorHAnsi" w:hAnsiTheme="minorHAnsi"/>
        </w:rPr>
        <w:t>each time</w:t>
      </w:r>
      <w:r w:rsidR="00435C38">
        <w:rPr>
          <w:rFonts w:asciiTheme="minorHAnsi" w:hAnsiTheme="minorHAnsi"/>
        </w:rPr>
        <w:t xml:space="preserve"> </w:t>
      </w:r>
      <w:r w:rsidRPr="008776A9">
        <w:rPr>
          <w:rFonts w:asciiTheme="minorHAnsi" w:hAnsiTheme="minorHAnsi"/>
        </w:rPr>
        <w:t>new financial services legislation regulating another aspect of the financial services sector</w:t>
      </w:r>
      <w:r w:rsidR="00664891">
        <w:rPr>
          <w:rFonts w:asciiTheme="minorHAnsi" w:hAnsiTheme="minorHAnsi"/>
        </w:rPr>
        <w:t>,</w:t>
      </w:r>
      <w:r w:rsidRPr="008776A9">
        <w:rPr>
          <w:rFonts w:asciiTheme="minorHAnsi" w:hAnsiTheme="minorHAnsi"/>
        </w:rPr>
        <w:t xml:space="preserve"> </w:t>
      </w:r>
      <w:r w:rsidR="00664891" w:rsidRPr="008776A9">
        <w:rPr>
          <w:rFonts w:asciiTheme="minorHAnsi" w:hAnsiTheme="minorHAnsi"/>
        </w:rPr>
        <w:t>is</w:t>
      </w:r>
      <w:r w:rsidR="00435C38">
        <w:rPr>
          <w:rFonts w:asciiTheme="minorHAnsi" w:hAnsiTheme="minorHAnsi"/>
        </w:rPr>
        <w:t xml:space="preserve"> passed by </w:t>
      </w:r>
      <w:r w:rsidR="00BA5CE1">
        <w:rPr>
          <w:rFonts w:asciiTheme="minorHAnsi" w:hAnsiTheme="minorHAnsi"/>
        </w:rPr>
        <w:t>P</w:t>
      </w:r>
      <w:r w:rsidR="00435C38">
        <w:rPr>
          <w:rFonts w:asciiTheme="minorHAnsi" w:hAnsiTheme="minorHAnsi"/>
        </w:rPr>
        <w:t xml:space="preserve">arliament. </w:t>
      </w:r>
      <w:r w:rsidRPr="008776A9">
        <w:rPr>
          <w:rFonts w:asciiTheme="minorHAnsi" w:hAnsiTheme="minorHAnsi"/>
        </w:rPr>
        <w:t xml:space="preserve">While nothing has come to our attention in the intervening months to cause us to move </w:t>
      </w:r>
      <w:r w:rsidR="00664891">
        <w:rPr>
          <w:rFonts w:asciiTheme="minorHAnsi" w:hAnsiTheme="minorHAnsi"/>
        </w:rPr>
        <w:t xml:space="preserve">away </w:t>
      </w:r>
      <w:r w:rsidRPr="008776A9">
        <w:rPr>
          <w:rFonts w:asciiTheme="minorHAnsi" w:hAnsiTheme="minorHAnsi"/>
        </w:rPr>
        <w:t xml:space="preserve">from our </w:t>
      </w:r>
      <w:r w:rsidR="00664891">
        <w:rPr>
          <w:rFonts w:asciiTheme="minorHAnsi" w:hAnsiTheme="minorHAnsi"/>
        </w:rPr>
        <w:t xml:space="preserve">initial position </w:t>
      </w:r>
      <w:r w:rsidRPr="008776A9">
        <w:rPr>
          <w:rFonts w:asciiTheme="minorHAnsi" w:hAnsiTheme="minorHAnsi"/>
        </w:rPr>
        <w:t>support</w:t>
      </w:r>
      <w:r w:rsidR="00664891">
        <w:rPr>
          <w:rFonts w:asciiTheme="minorHAnsi" w:hAnsiTheme="minorHAnsi"/>
        </w:rPr>
        <w:t>ing a single</w:t>
      </w:r>
      <w:r w:rsidRPr="008776A9">
        <w:rPr>
          <w:rFonts w:asciiTheme="minorHAnsi" w:hAnsiTheme="minorHAnsi"/>
        </w:rPr>
        <w:t xml:space="preserve"> external dispute regime</w:t>
      </w:r>
      <w:r w:rsidR="00664891">
        <w:rPr>
          <w:rFonts w:asciiTheme="minorHAnsi" w:hAnsiTheme="minorHAnsi"/>
        </w:rPr>
        <w:t>,</w:t>
      </w:r>
      <w:r w:rsidRPr="008776A9">
        <w:rPr>
          <w:rFonts w:asciiTheme="minorHAnsi" w:hAnsiTheme="minorHAnsi"/>
        </w:rPr>
        <w:t xml:space="preserve"> it is important that we do </w:t>
      </w:r>
      <w:r w:rsidR="00664891">
        <w:rPr>
          <w:rFonts w:asciiTheme="minorHAnsi" w:hAnsiTheme="minorHAnsi"/>
        </w:rPr>
        <w:t>take cognisance of</w:t>
      </w:r>
      <w:r w:rsidRPr="008776A9">
        <w:rPr>
          <w:rFonts w:asciiTheme="minorHAnsi" w:hAnsiTheme="minorHAnsi"/>
        </w:rPr>
        <w:t xml:space="preserve"> feedback received by </w:t>
      </w:r>
      <w:r w:rsidR="00664891">
        <w:rPr>
          <w:rFonts w:asciiTheme="minorHAnsi" w:hAnsiTheme="minorHAnsi"/>
        </w:rPr>
        <w:t xml:space="preserve">the IPA from members and various bodies representing a range </w:t>
      </w:r>
      <w:r w:rsidR="00E23AB1">
        <w:rPr>
          <w:rFonts w:asciiTheme="minorHAnsi" w:hAnsiTheme="minorHAnsi"/>
        </w:rPr>
        <w:t xml:space="preserve">of </w:t>
      </w:r>
      <w:r w:rsidR="00664891">
        <w:rPr>
          <w:rFonts w:asciiTheme="minorHAnsi" w:hAnsiTheme="minorHAnsi"/>
        </w:rPr>
        <w:t xml:space="preserve">financial institutions, </w:t>
      </w:r>
      <w:r w:rsidR="00E23AB1">
        <w:rPr>
          <w:rFonts w:asciiTheme="minorHAnsi" w:hAnsiTheme="minorHAnsi"/>
        </w:rPr>
        <w:t>that is,</w:t>
      </w:r>
      <w:r w:rsidR="00435C38">
        <w:rPr>
          <w:rFonts w:asciiTheme="minorHAnsi" w:hAnsiTheme="minorHAnsi"/>
        </w:rPr>
        <w:t xml:space="preserve"> </w:t>
      </w:r>
      <w:r w:rsidRPr="008776A9">
        <w:rPr>
          <w:rFonts w:asciiTheme="minorHAnsi" w:hAnsiTheme="minorHAnsi"/>
        </w:rPr>
        <w:t xml:space="preserve">on the proposals since the lodgement of the </w:t>
      </w:r>
      <w:r w:rsidR="00664891">
        <w:rPr>
          <w:rFonts w:asciiTheme="minorHAnsi" w:hAnsiTheme="minorHAnsi"/>
        </w:rPr>
        <w:t xml:space="preserve">IPA’s </w:t>
      </w:r>
      <w:r w:rsidRPr="008776A9">
        <w:rPr>
          <w:rFonts w:asciiTheme="minorHAnsi" w:hAnsiTheme="minorHAnsi"/>
        </w:rPr>
        <w:t xml:space="preserve">submission on the interim report. Some of the IPA’s stakeholders have raised the following concerns about the </w:t>
      </w:r>
      <w:r w:rsidR="00435C38">
        <w:rPr>
          <w:rFonts w:asciiTheme="minorHAnsi" w:hAnsiTheme="minorHAnsi"/>
        </w:rPr>
        <w:t xml:space="preserve">proposed </w:t>
      </w:r>
      <w:r w:rsidRPr="008776A9">
        <w:rPr>
          <w:rFonts w:asciiTheme="minorHAnsi" w:hAnsiTheme="minorHAnsi"/>
        </w:rPr>
        <w:t>regime:</w:t>
      </w:r>
    </w:p>
    <w:p w:rsidR="008776A9" w:rsidRPr="008776A9" w:rsidRDefault="008776A9" w:rsidP="008776A9">
      <w:pPr>
        <w:jc w:val="both"/>
        <w:rPr>
          <w:rFonts w:asciiTheme="minorHAnsi" w:hAnsiTheme="minorHAnsi"/>
        </w:rPr>
      </w:pPr>
    </w:p>
    <w:p w:rsidR="0060604D" w:rsidRPr="008776A9" w:rsidRDefault="0060604D" w:rsidP="008776A9">
      <w:pPr>
        <w:numPr>
          <w:ilvl w:val="0"/>
          <w:numId w:val="9"/>
        </w:numPr>
        <w:spacing w:after="200" w:line="276" w:lineRule="auto"/>
        <w:jc w:val="both"/>
        <w:rPr>
          <w:rFonts w:asciiTheme="minorHAnsi" w:hAnsiTheme="minorHAnsi"/>
        </w:rPr>
      </w:pPr>
      <w:r w:rsidRPr="008776A9">
        <w:rPr>
          <w:rFonts w:asciiTheme="minorHAnsi" w:hAnsiTheme="minorHAnsi"/>
        </w:rPr>
        <w:t>Some stakeholders believe that reducing the available schemes will be more costly to some parties because there is a lack of competitive tension between dispute resolution schemes</w:t>
      </w:r>
      <w:r w:rsidR="00E23AB1">
        <w:rPr>
          <w:rFonts w:asciiTheme="minorHAnsi" w:hAnsiTheme="minorHAnsi"/>
        </w:rPr>
        <w:t>.</w:t>
      </w:r>
    </w:p>
    <w:p w:rsidR="0060604D" w:rsidRDefault="0060604D" w:rsidP="008776A9">
      <w:pPr>
        <w:numPr>
          <w:ilvl w:val="0"/>
          <w:numId w:val="9"/>
        </w:numPr>
        <w:spacing w:after="200" w:line="276" w:lineRule="auto"/>
        <w:jc w:val="both"/>
        <w:rPr>
          <w:rFonts w:asciiTheme="minorHAnsi" w:hAnsiTheme="minorHAnsi"/>
        </w:rPr>
      </w:pPr>
      <w:r w:rsidRPr="008776A9">
        <w:rPr>
          <w:rFonts w:asciiTheme="minorHAnsi" w:hAnsiTheme="minorHAnsi"/>
        </w:rPr>
        <w:t xml:space="preserve">Concerns have been raised with the IPA about </w:t>
      </w:r>
      <w:r w:rsidR="00F95515">
        <w:rPr>
          <w:rFonts w:asciiTheme="minorHAnsi" w:hAnsiTheme="minorHAnsi"/>
        </w:rPr>
        <w:t xml:space="preserve"> l</w:t>
      </w:r>
      <w:r w:rsidRPr="008776A9">
        <w:rPr>
          <w:rFonts w:asciiTheme="minorHAnsi" w:hAnsiTheme="minorHAnsi"/>
        </w:rPr>
        <w:t>arger banks hav</w:t>
      </w:r>
      <w:r w:rsidR="00F95515">
        <w:rPr>
          <w:rFonts w:asciiTheme="minorHAnsi" w:hAnsiTheme="minorHAnsi"/>
        </w:rPr>
        <w:t>ing</w:t>
      </w:r>
      <w:r w:rsidRPr="008776A9">
        <w:rPr>
          <w:rFonts w:asciiTheme="minorHAnsi" w:hAnsiTheme="minorHAnsi"/>
        </w:rPr>
        <w:t xml:space="preserve"> ‘deep pockets’ and </w:t>
      </w:r>
      <w:r w:rsidR="00F95515">
        <w:rPr>
          <w:rFonts w:asciiTheme="minorHAnsi" w:hAnsiTheme="minorHAnsi"/>
        </w:rPr>
        <w:t xml:space="preserve">extensive accompanying </w:t>
      </w:r>
      <w:r w:rsidRPr="008776A9">
        <w:rPr>
          <w:rFonts w:asciiTheme="minorHAnsi" w:hAnsiTheme="minorHAnsi"/>
        </w:rPr>
        <w:t>resources to be able to contribute funds to a dispute resolution scheme</w:t>
      </w:r>
      <w:r w:rsidR="00F95515">
        <w:rPr>
          <w:rFonts w:asciiTheme="minorHAnsi" w:hAnsiTheme="minorHAnsi"/>
        </w:rPr>
        <w:t>,</w:t>
      </w:r>
      <w:r w:rsidRPr="008776A9">
        <w:rPr>
          <w:rFonts w:asciiTheme="minorHAnsi" w:hAnsiTheme="minorHAnsi"/>
        </w:rPr>
        <w:t xml:space="preserve"> whereas smaller entities involved in the financial services</w:t>
      </w:r>
      <w:r w:rsidR="00F95515">
        <w:rPr>
          <w:rFonts w:asciiTheme="minorHAnsi" w:hAnsiTheme="minorHAnsi"/>
        </w:rPr>
        <w:t xml:space="preserve"> sector </w:t>
      </w:r>
      <w:r w:rsidRPr="008776A9">
        <w:rPr>
          <w:rFonts w:asciiTheme="minorHAnsi" w:hAnsiTheme="minorHAnsi"/>
        </w:rPr>
        <w:t xml:space="preserve">have fewer resources. Such a process might be regarded by some stakeholders as being </w:t>
      </w:r>
      <w:r w:rsidR="00435C38">
        <w:rPr>
          <w:rFonts w:asciiTheme="minorHAnsi" w:hAnsiTheme="minorHAnsi"/>
        </w:rPr>
        <w:t>‘</w:t>
      </w:r>
      <w:r w:rsidRPr="008776A9">
        <w:rPr>
          <w:rFonts w:asciiTheme="minorHAnsi" w:hAnsiTheme="minorHAnsi"/>
        </w:rPr>
        <w:t>captive</w:t>
      </w:r>
      <w:r w:rsidR="00435C38">
        <w:rPr>
          <w:rFonts w:asciiTheme="minorHAnsi" w:hAnsiTheme="minorHAnsi"/>
        </w:rPr>
        <w:t>’</w:t>
      </w:r>
      <w:r w:rsidRPr="008776A9">
        <w:rPr>
          <w:rFonts w:asciiTheme="minorHAnsi" w:hAnsiTheme="minorHAnsi"/>
        </w:rPr>
        <w:t xml:space="preserve"> to the larger institutions.</w:t>
      </w:r>
    </w:p>
    <w:p w:rsidR="00E23AB1" w:rsidRPr="00487DEE" w:rsidRDefault="00E23AB1" w:rsidP="00487DEE">
      <w:pPr>
        <w:numPr>
          <w:ilvl w:val="0"/>
          <w:numId w:val="9"/>
        </w:numPr>
        <w:spacing w:after="200" w:line="276" w:lineRule="auto"/>
        <w:jc w:val="both"/>
        <w:rPr>
          <w:rFonts w:asciiTheme="minorHAnsi" w:hAnsiTheme="minorHAnsi"/>
        </w:rPr>
      </w:pPr>
      <w:r w:rsidRPr="00487DEE">
        <w:rPr>
          <w:rFonts w:asciiTheme="minorHAnsi" w:hAnsiTheme="minorHAnsi"/>
        </w:rPr>
        <w:t>More consultation with industry as to how the system works in practice would have been useful</w:t>
      </w:r>
      <w:r w:rsidR="00487DEE" w:rsidRPr="00487DEE">
        <w:rPr>
          <w:rFonts w:asciiTheme="minorHAnsi" w:hAnsiTheme="minorHAnsi"/>
        </w:rPr>
        <w:t>, especially given that membership of a EDR scheme is a mandatory condition of holding an AFSL</w:t>
      </w:r>
      <w:r w:rsidRPr="00487DEE">
        <w:rPr>
          <w:rFonts w:asciiTheme="minorHAnsi" w:hAnsiTheme="minorHAnsi"/>
        </w:rPr>
        <w:t>.  A major consideration is the cost on small businesses operating in the financial services sector.  The IPA has members who are small business operators and the cost of the EDR system has become a significant cost.  For instance, our members may end up paying over $500,000 without any due legal process and have no ability to appeal what they consider to be injustices. Consider also that any complaint that needs intervention by a FOS Case Worker and then goes to determination will cost that relevant IPA member in excess of $5,000. Even if that member is successful, the complainant client in all circumstances pays nothing.</w:t>
      </w:r>
    </w:p>
    <w:p w:rsidR="00E23AB1" w:rsidRPr="00487DEE" w:rsidRDefault="00E23AB1" w:rsidP="00487DEE">
      <w:pPr>
        <w:numPr>
          <w:ilvl w:val="0"/>
          <w:numId w:val="9"/>
        </w:numPr>
        <w:spacing w:after="200" w:line="276" w:lineRule="auto"/>
        <w:jc w:val="both"/>
        <w:rPr>
          <w:rFonts w:asciiTheme="minorHAnsi" w:hAnsiTheme="minorHAnsi"/>
        </w:rPr>
      </w:pPr>
      <w:r w:rsidRPr="00487DEE">
        <w:rPr>
          <w:rFonts w:asciiTheme="minorHAnsi" w:hAnsiTheme="minorHAnsi"/>
        </w:rPr>
        <w:t>It is important to consider all stakeholders and to balance all of their interests, that is, the consumer but also the</w:t>
      </w:r>
      <w:r w:rsidR="00487DEE" w:rsidRPr="00487DEE">
        <w:rPr>
          <w:rFonts w:asciiTheme="minorHAnsi" w:hAnsiTheme="minorHAnsi"/>
        </w:rPr>
        <w:t xml:space="preserve"> financial service providers, especially those who are small to medium businesses.  </w:t>
      </w:r>
    </w:p>
    <w:p w:rsidR="00C26D85" w:rsidRDefault="00C26D85" w:rsidP="00487DEE">
      <w:pPr>
        <w:pStyle w:val="PlainText"/>
        <w:ind w:left="720"/>
      </w:pPr>
    </w:p>
    <w:p w:rsidR="00C26D85" w:rsidRPr="00487DEE" w:rsidRDefault="00487DEE" w:rsidP="00487DEE">
      <w:pPr>
        <w:numPr>
          <w:ilvl w:val="0"/>
          <w:numId w:val="9"/>
        </w:numPr>
        <w:spacing w:after="200" w:line="276" w:lineRule="auto"/>
        <w:jc w:val="both"/>
        <w:rPr>
          <w:rFonts w:asciiTheme="minorHAnsi" w:hAnsiTheme="minorHAnsi"/>
        </w:rPr>
      </w:pPr>
      <w:r w:rsidRPr="00487DEE">
        <w:rPr>
          <w:rFonts w:asciiTheme="minorHAnsi" w:hAnsiTheme="minorHAnsi"/>
        </w:rPr>
        <w:t>A</w:t>
      </w:r>
      <w:r w:rsidR="00C26D85" w:rsidRPr="00487DEE">
        <w:rPr>
          <w:rFonts w:asciiTheme="minorHAnsi" w:hAnsiTheme="minorHAnsi"/>
        </w:rPr>
        <w:t xml:space="preserve">n EDR determination is binding.  The only appeal process is to the Administrative Appeals Tribunal who can only order the EDR to again review the matter. </w:t>
      </w:r>
      <w:r w:rsidRPr="00487DEE">
        <w:rPr>
          <w:rFonts w:asciiTheme="minorHAnsi" w:hAnsiTheme="minorHAnsi"/>
        </w:rPr>
        <w:t xml:space="preserve">Some IPA members do not consider this to be a </w:t>
      </w:r>
      <w:r w:rsidR="00C26D85" w:rsidRPr="00487DEE">
        <w:rPr>
          <w:rFonts w:asciiTheme="minorHAnsi" w:hAnsiTheme="minorHAnsi"/>
        </w:rPr>
        <w:t>right of appeal</w:t>
      </w:r>
      <w:r w:rsidRPr="00487DEE">
        <w:rPr>
          <w:rFonts w:asciiTheme="minorHAnsi" w:hAnsiTheme="minorHAnsi"/>
        </w:rPr>
        <w:t xml:space="preserve"> per se</w:t>
      </w:r>
      <w:r w:rsidR="00C26D85" w:rsidRPr="00487DEE">
        <w:rPr>
          <w:rFonts w:asciiTheme="minorHAnsi" w:hAnsiTheme="minorHAnsi"/>
        </w:rPr>
        <w:t>. The Supreme Court of Victoria will also only refer the matter back to, say, FOS.</w:t>
      </w:r>
      <w:r w:rsidRPr="00487DEE">
        <w:rPr>
          <w:rFonts w:asciiTheme="minorHAnsi" w:hAnsiTheme="minorHAnsi"/>
        </w:rPr>
        <w:t xml:space="preserve">  It is important to ensure that the EDR system works in practice the way it is intended to work.  It may be that the process, separately from the structure, and perhaps through regulations, should be reconsidered.  </w:t>
      </w:r>
    </w:p>
    <w:p w:rsidR="00C26D85" w:rsidRPr="00487DEE" w:rsidRDefault="00C26D85" w:rsidP="00487DEE">
      <w:pPr>
        <w:numPr>
          <w:ilvl w:val="0"/>
          <w:numId w:val="9"/>
        </w:numPr>
        <w:spacing w:after="200" w:line="276" w:lineRule="auto"/>
        <w:jc w:val="both"/>
        <w:rPr>
          <w:rFonts w:asciiTheme="minorHAnsi" w:hAnsiTheme="minorHAnsi"/>
        </w:rPr>
      </w:pPr>
      <w:r w:rsidRPr="00487DEE">
        <w:rPr>
          <w:rFonts w:asciiTheme="minorHAnsi" w:hAnsiTheme="minorHAnsi"/>
        </w:rPr>
        <w:t>The single EDR will remove any choice that IPA members and consumers have available to them.</w:t>
      </w:r>
    </w:p>
    <w:p w:rsidR="00C26D85" w:rsidRPr="00487DEE" w:rsidRDefault="00C26D85" w:rsidP="00487DEE">
      <w:pPr>
        <w:numPr>
          <w:ilvl w:val="0"/>
          <w:numId w:val="9"/>
        </w:numPr>
        <w:spacing w:after="200" w:line="276" w:lineRule="auto"/>
        <w:jc w:val="both"/>
        <w:rPr>
          <w:rFonts w:asciiTheme="minorHAnsi" w:hAnsiTheme="minorHAnsi"/>
        </w:rPr>
      </w:pPr>
      <w:r w:rsidRPr="00487DEE">
        <w:rPr>
          <w:rFonts w:asciiTheme="minorHAnsi" w:hAnsiTheme="minorHAnsi"/>
        </w:rPr>
        <w:t>The single EDR has every opportunity to increase costs to its membership base. Currently this is being promoted via ASIC to charge an Adviser Levy of some $2</w:t>
      </w:r>
      <w:r w:rsidR="00487DEE" w:rsidRPr="00487DEE">
        <w:rPr>
          <w:rFonts w:asciiTheme="minorHAnsi" w:hAnsiTheme="minorHAnsi"/>
        </w:rPr>
        <w:t>,</w:t>
      </w:r>
      <w:r w:rsidRPr="00487DEE">
        <w:rPr>
          <w:rFonts w:asciiTheme="minorHAnsi" w:hAnsiTheme="minorHAnsi"/>
        </w:rPr>
        <w:t>400 per adviser per annum.</w:t>
      </w:r>
      <w:r w:rsidR="00487DEE" w:rsidRPr="00487DEE">
        <w:rPr>
          <w:rFonts w:asciiTheme="minorHAnsi" w:hAnsiTheme="minorHAnsi"/>
        </w:rPr>
        <w:t xml:space="preserve">  This will have a disproportionate impact on small businesses in the industry.</w:t>
      </w:r>
    </w:p>
    <w:p w:rsidR="00C26D85" w:rsidRPr="00487DEE" w:rsidRDefault="00487DEE" w:rsidP="00487DEE">
      <w:pPr>
        <w:numPr>
          <w:ilvl w:val="0"/>
          <w:numId w:val="9"/>
        </w:numPr>
        <w:spacing w:after="200" w:line="276" w:lineRule="auto"/>
        <w:jc w:val="both"/>
        <w:rPr>
          <w:rFonts w:asciiTheme="minorHAnsi" w:hAnsiTheme="minorHAnsi"/>
        </w:rPr>
      </w:pPr>
      <w:r w:rsidRPr="00487DEE">
        <w:rPr>
          <w:rFonts w:asciiTheme="minorHAnsi" w:hAnsiTheme="minorHAnsi"/>
        </w:rPr>
        <w:t xml:space="preserve">It will be necessary to ensure that red tape and ‘bureaucracy’ do not negatively impact the operational aspects of the EDR regime.  </w:t>
      </w:r>
      <w:r w:rsidR="00C26D85" w:rsidRPr="00487DEE">
        <w:rPr>
          <w:rFonts w:asciiTheme="minorHAnsi" w:hAnsiTheme="minorHAnsi"/>
        </w:rPr>
        <w:t xml:space="preserve">  </w:t>
      </w:r>
    </w:p>
    <w:p w:rsidR="00487DEE" w:rsidRPr="00487DEE" w:rsidRDefault="00487DEE" w:rsidP="00487DEE">
      <w:pPr>
        <w:pStyle w:val="PlainText"/>
        <w:ind w:left="720"/>
      </w:pPr>
    </w:p>
    <w:p w:rsidR="0060604D" w:rsidRPr="008776A9" w:rsidRDefault="0060604D" w:rsidP="008776A9">
      <w:pPr>
        <w:jc w:val="both"/>
        <w:rPr>
          <w:rFonts w:asciiTheme="minorHAnsi" w:hAnsiTheme="minorHAnsi"/>
        </w:rPr>
      </w:pPr>
      <w:r w:rsidRPr="008776A9">
        <w:rPr>
          <w:rFonts w:asciiTheme="minorHAnsi" w:hAnsiTheme="minorHAnsi"/>
        </w:rPr>
        <w:t>We note that the Federal Government has flagged it</w:t>
      </w:r>
      <w:r w:rsidR="002419E5">
        <w:rPr>
          <w:rFonts w:asciiTheme="minorHAnsi" w:hAnsiTheme="minorHAnsi"/>
        </w:rPr>
        <w:t>s</w:t>
      </w:r>
      <w:r w:rsidRPr="008776A9">
        <w:rPr>
          <w:rFonts w:asciiTheme="minorHAnsi" w:hAnsiTheme="minorHAnsi"/>
        </w:rPr>
        <w:t xml:space="preserve"> inten</w:t>
      </w:r>
      <w:r w:rsidR="002419E5">
        <w:rPr>
          <w:rFonts w:asciiTheme="minorHAnsi" w:hAnsiTheme="minorHAnsi"/>
        </w:rPr>
        <w:t>tions</w:t>
      </w:r>
      <w:r w:rsidRPr="008776A9">
        <w:rPr>
          <w:rFonts w:asciiTheme="minorHAnsi" w:hAnsiTheme="minorHAnsi"/>
        </w:rPr>
        <w:t xml:space="preserve"> to provide the corporate regulator, the Australian Securities and Investments Commission</w:t>
      </w:r>
      <w:r w:rsidR="002419E5">
        <w:rPr>
          <w:rFonts w:asciiTheme="minorHAnsi" w:hAnsiTheme="minorHAnsi"/>
        </w:rPr>
        <w:t xml:space="preserve"> (ASIC)</w:t>
      </w:r>
      <w:r w:rsidRPr="008776A9">
        <w:rPr>
          <w:rFonts w:asciiTheme="minorHAnsi" w:hAnsiTheme="minorHAnsi"/>
        </w:rPr>
        <w:t xml:space="preserve">, with the power to oversee the </w:t>
      </w:r>
      <w:r w:rsidR="002419E5">
        <w:rPr>
          <w:rFonts w:asciiTheme="minorHAnsi" w:hAnsiTheme="minorHAnsi"/>
        </w:rPr>
        <w:t xml:space="preserve">entire dispute </w:t>
      </w:r>
      <w:r w:rsidRPr="008776A9">
        <w:rPr>
          <w:rFonts w:asciiTheme="minorHAnsi" w:hAnsiTheme="minorHAnsi"/>
        </w:rPr>
        <w:t xml:space="preserve">process and </w:t>
      </w:r>
      <w:r w:rsidR="002419E5">
        <w:rPr>
          <w:rFonts w:asciiTheme="minorHAnsi" w:hAnsiTheme="minorHAnsi"/>
        </w:rPr>
        <w:t>en</w:t>
      </w:r>
      <w:r w:rsidRPr="008776A9">
        <w:rPr>
          <w:rFonts w:asciiTheme="minorHAnsi" w:hAnsiTheme="minorHAnsi"/>
        </w:rPr>
        <w:t>sure</w:t>
      </w:r>
      <w:r w:rsidR="002419E5">
        <w:rPr>
          <w:rFonts w:asciiTheme="minorHAnsi" w:hAnsiTheme="minorHAnsi"/>
        </w:rPr>
        <w:t xml:space="preserve"> that</w:t>
      </w:r>
      <w:r w:rsidRPr="008776A9">
        <w:rPr>
          <w:rFonts w:asciiTheme="minorHAnsi" w:hAnsiTheme="minorHAnsi"/>
        </w:rPr>
        <w:t xml:space="preserve"> it is </w:t>
      </w:r>
      <w:r w:rsidR="002419E5">
        <w:rPr>
          <w:rFonts w:asciiTheme="minorHAnsi" w:hAnsiTheme="minorHAnsi"/>
        </w:rPr>
        <w:t xml:space="preserve">effectively and </w:t>
      </w:r>
      <w:r w:rsidRPr="008776A9">
        <w:rPr>
          <w:rFonts w:asciiTheme="minorHAnsi" w:hAnsiTheme="minorHAnsi"/>
        </w:rPr>
        <w:t xml:space="preserve">appropriately </w:t>
      </w:r>
      <w:r w:rsidR="002419E5">
        <w:rPr>
          <w:rFonts w:asciiTheme="minorHAnsi" w:hAnsiTheme="minorHAnsi"/>
        </w:rPr>
        <w:t>conducted</w:t>
      </w:r>
      <w:r w:rsidRPr="008776A9">
        <w:rPr>
          <w:rFonts w:asciiTheme="minorHAnsi" w:hAnsiTheme="minorHAnsi"/>
        </w:rPr>
        <w:t xml:space="preserve">. It is important that Federal Treasury and </w:t>
      </w:r>
      <w:r w:rsidR="00435C38">
        <w:rPr>
          <w:rFonts w:asciiTheme="minorHAnsi" w:hAnsiTheme="minorHAnsi"/>
        </w:rPr>
        <w:t>ASIC</w:t>
      </w:r>
      <w:r w:rsidR="002419E5">
        <w:rPr>
          <w:rFonts w:asciiTheme="minorHAnsi" w:hAnsiTheme="minorHAnsi"/>
        </w:rPr>
        <w:t xml:space="preserve"> </w:t>
      </w:r>
      <w:r w:rsidRPr="008776A9">
        <w:rPr>
          <w:rFonts w:asciiTheme="minorHAnsi" w:hAnsiTheme="minorHAnsi"/>
        </w:rPr>
        <w:t>keep the</w:t>
      </w:r>
      <w:r w:rsidR="00435C38">
        <w:rPr>
          <w:rFonts w:asciiTheme="minorHAnsi" w:hAnsiTheme="minorHAnsi"/>
        </w:rPr>
        <w:t xml:space="preserve"> above</w:t>
      </w:r>
      <w:r w:rsidRPr="008776A9">
        <w:rPr>
          <w:rFonts w:asciiTheme="minorHAnsi" w:hAnsiTheme="minorHAnsi"/>
        </w:rPr>
        <w:t xml:space="preserve"> issues in mind as they oversee the process of transition that will see two schemes merge into one with superannuation complaints joining the single complaints body in due course. </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It is </w:t>
      </w:r>
      <w:r w:rsidR="008B0C2C">
        <w:rPr>
          <w:rFonts w:asciiTheme="minorHAnsi" w:hAnsiTheme="minorHAnsi"/>
        </w:rPr>
        <w:t xml:space="preserve">further </w:t>
      </w:r>
      <w:r w:rsidRPr="008776A9">
        <w:rPr>
          <w:rFonts w:asciiTheme="minorHAnsi" w:hAnsiTheme="minorHAnsi"/>
        </w:rPr>
        <w:t xml:space="preserve">noted that the </w:t>
      </w:r>
      <w:r w:rsidR="00487DEE">
        <w:rPr>
          <w:rFonts w:asciiTheme="minorHAnsi" w:hAnsiTheme="minorHAnsi"/>
        </w:rPr>
        <w:t>G</w:t>
      </w:r>
      <w:r w:rsidRPr="008776A9">
        <w:rPr>
          <w:rFonts w:asciiTheme="minorHAnsi" w:hAnsiTheme="minorHAnsi"/>
        </w:rPr>
        <w:t xml:space="preserve">overnment has decided to ensure that small businesses have the opportunity to </w:t>
      </w:r>
      <w:r w:rsidR="00487DEE">
        <w:rPr>
          <w:rFonts w:asciiTheme="minorHAnsi" w:hAnsiTheme="minorHAnsi"/>
        </w:rPr>
        <w:t>obtain</w:t>
      </w:r>
      <w:r w:rsidRPr="008776A9">
        <w:rPr>
          <w:rFonts w:asciiTheme="minorHAnsi" w:hAnsiTheme="minorHAnsi"/>
        </w:rPr>
        <w:t xml:space="preserve"> greater assistance from the financial services sector in relation to financing their operations as well</w:t>
      </w:r>
      <w:r w:rsidR="008B0C2C">
        <w:rPr>
          <w:rFonts w:asciiTheme="minorHAnsi" w:hAnsiTheme="minorHAnsi"/>
        </w:rPr>
        <w:t xml:space="preserve"> as boosting the amount that is </w:t>
      </w:r>
      <w:r w:rsidRPr="008776A9">
        <w:rPr>
          <w:rFonts w:asciiTheme="minorHAnsi" w:hAnsiTheme="minorHAnsi"/>
        </w:rPr>
        <w:t xml:space="preserve">able to be subject </w:t>
      </w:r>
      <w:r w:rsidR="008B0C2C">
        <w:rPr>
          <w:rFonts w:asciiTheme="minorHAnsi" w:hAnsiTheme="minorHAnsi"/>
        </w:rPr>
        <w:t>of</w:t>
      </w:r>
      <w:r w:rsidRPr="008776A9">
        <w:rPr>
          <w:rFonts w:asciiTheme="minorHAnsi" w:hAnsiTheme="minorHAnsi"/>
        </w:rPr>
        <w:t xml:space="preserve"> a complaint. This is a much needed reform and will be welcomed by small business owners that from ti</w:t>
      </w:r>
      <w:r w:rsidR="001D246A">
        <w:rPr>
          <w:rFonts w:asciiTheme="minorHAnsi" w:hAnsiTheme="minorHAnsi"/>
        </w:rPr>
        <w:t xml:space="preserve">me to time may need to lodge </w:t>
      </w:r>
      <w:r w:rsidRPr="008776A9">
        <w:rPr>
          <w:rFonts w:asciiTheme="minorHAnsi" w:hAnsiTheme="minorHAnsi"/>
        </w:rPr>
        <w:t>complaint</w:t>
      </w:r>
      <w:r w:rsidR="001D246A">
        <w:rPr>
          <w:rFonts w:asciiTheme="minorHAnsi" w:hAnsiTheme="minorHAnsi"/>
        </w:rPr>
        <w:t>s</w:t>
      </w:r>
      <w:r w:rsidRPr="008776A9">
        <w:rPr>
          <w:rFonts w:asciiTheme="minorHAnsi" w:hAnsiTheme="minorHAnsi"/>
        </w:rPr>
        <w:t xml:space="preserve"> against lenders for </w:t>
      </w:r>
      <w:r w:rsidR="001D246A">
        <w:rPr>
          <w:rFonts w:asciiTheme="minorHAnsi" w:hAnsiTheme="minorHAnsi"/>
        </w:rPr>
        <w:t xml:space="preserve">inappropriate </w:t>
      </w:r>
      <w:r w:rsidRPr="008776A9">
        <w:rPr>
          <w:rFonts w:asciiTheme="minorHAnsi" w:hAnsiTheme="minorHAnsi"/>
        </w:rPr>
        <w:t xml:space="preserve">behaviour. It is also a measure that sends a signal to the </w:t>
      </w:r>
      <w:r w:rsidR="00487DEE">
        <w:rPr>
          <w:rFonts w:asciiTheme="minorHAnsi" w:hAnsiTheme="minorHAnsi"/>
        </w:rPr>
        <w:t>small business sector that the G</w:t>
      </w:r>
      <w:r w:rsidRPr="008776A9">
        <w:rPr>
          <w:rFonts w:asciiTheme="minorHAnsi" w:hAnsiTheme="minorHAnsi"/>
        </w:rPr>
        <w:t>overnment does want to ensure organisations in the financial services sector are held to account for any c</w:t>
      </w:r>
      <w:r w:rsidR="001D246A">
        <w:rPr>
          <w:rFonts w:asciiTheme="minorHAnsi" w:hAnsiTheme="minorHAnsi"/>
        </w:rPr>
        <w:t>onduct that may be unacceptable</w:t>
      </w:r>
      <w:r w:rsidRPr="008776A9">
        <w:rPr>
          <w:rFonts w:asciiTheme="minorHAnsi" w:hAnsiTheme="minorHAnsi"/>
        </w:rPr>
        <w:t>.</w:t>
      </w:r>
    </w:p>
    <w:p w:rsidR="001D246A" w:rsidRDefault="001D246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Specific remarks related to the proposals </w:t>
      </w:r>
      <w:r w:rsidRPr="008776A9">
        <w:rPr>
          <w:rStyle w:val="FootnoteReference"/>
          <w:rFonts w:asciiTheme="minorHAnsi" w:hAnsiTheme="minorHAnsi"/>
        </w:rPr>
        <w:footnoteReference w:id="3"/>
      </w:r>
      <w:r w:rsidRPr="008776A9">
        <w:rPr>
          <w:rFonts w:asciiTheme="minorHAnsi" w:hAnsiTheme="minorHAnsi"/>
        </w:rPr>
        <w:t>appear below but we are happ</w:t>
      </w:r>
      <w:r w:rsidR="008418D5">
        <w:rPr>
          <w:rFonts w:asciiTheme="minorHAnsi" w:hAnsiTheme="minorHAnsi"/>
        </w:rPr>
        <w:t>y</w:t>
      </w:r>
      <w:r w:rsidRPr="008776A9">
        <w:rPr>
          <w:rFonts w:asciiTheme="minorHAnsi" w:hAnsiTheme="minorHAnsi"/>
        </w:rPr>
        <w:t xml:space="preserve"> to provide a perspective on any other matters at your request.</w:t>
      </w:r>
    </w:p>
    <w:p w:rsidR="006B2A8A" w:rsidRPr="008776A9" w:rsidRDefault="006B2A8A" w:rsidP="008776A9">
      <w:pPr>
        <w:jc w:val="both"/>
        <w:rPr>
          <w:rFonts w:asciiTheme="minorHAnsi" w:hAnsiTheme="minorHAnsi"/>
          <w:b/>
        </w:rPr>
      </w:pPr>
    </w:p>
    <w:p w:rsidR="006B2A8A" w:rsidRPr="008776A9" w:rsidRDefault="006B2A8A" w:rsidP="008776A9">
      <w:pPr>
        <w:jc w:val="both"/>
        <w:rPr>
          <w:rFonts w:asciiTheme="minorHAnsi" w:hAnsiTheme="minorHAnsi"/>
          <w:b/>
        </w:rPr>
      </w:pPr>
    </w:p>
    <w:p w:rsidR="00487DEE" w:rsidRDefault="00487DEE" w:rsidP="008776A9">
      <w:pPr>
        <w:jc w:val="both"/>
        <w:rPr>
          <w:rFonts w:asciiTheme="minorHAnsi" w:hAnsiTheme="minorHAnsi"/>
          <w:b/>
          <w:color w:val="E36C0A" w:themeColor="accent6" w:themeShade="BF"/>
        </w:rPr>
      </w:pPr>
    </w:p>
    <w:p w:rsidR="0060604D" w:rsidRPr="008776A9" w:rsidRDefault="0060604D" w:rsidP="008776A9">
      <w:pPr>
        <w:jc w:val="both"/>
        <w:rPr>
          <w:rFonts w:asciiTheme="minorHAnsi" w:hAnsiTheme="minorHAnsi"/>
          <w:b/>
          <w:color w:val="E36C0A" w:themeColor="accent6" w:themeShade="BF"/>
        </w:rPr>
      </w:pPr>
      <w:r w:rsidRPr="008776A9">
        <w:rPr>
          <w:rFonts w:asciiTheme="minorHAnsi" w:hAnsiTheme="minorHAnsi"/>
          <w:b/>
          <w:color w:val="E36C0A" w:themeColor="accent6" w:themeShade="BF"/>
        </w:rPr>
        <w:t>Establishment of the Australian Financial Complaints Authority</w:t>
      </w:r>
    </w:p>
    <w:p w:rsidR="008776A9" w:rsidRDefault="008776A9"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The proposal to set up a single complaints authority as a public company limited by guarantee is supported along with the consequential winding up of the other complaints authorities that will no longer have a role </w:t>
      </w:r>
      <w:r w:rsidR="00C64180">
        <w:rPr>
          <w:rFonts w:asciiTheme="minorHAnsi" w:hAnsiTheme="minorHAnsi"/>
        </w:rPr>
        <w:t xml:space="preserve">(ie, </w:t>
      </w:r>
      <w:r w:rsidRPr="008776A9">
        <w:rPr>
          <w:rFonts w:asciiTheme="minorHAnsi" w:hAnsiTheme="minorHAnsi"/>
        </w:rPr>
        <w:t>once they have dealt with the backlog of complaints that currently exist</w:t>
      </w:r>
      <w:r w:rsidR="00C64180">
        <w:rPr>
          <w:rFonts w:asciiTheme="minorHAnsi" w:hAnsiTheme="minorHAnsi"/>
        </w:rPr>
        <w:t>)</w:t>
      </w:r>
      <w:r w:rsidRPr="008776A9">
        <w:rPr>
          <w:rFonts w:asciiTheme="minorHAnsi" w:hAnsiTheme="minorHAnsi"/>
        </w:rPr>
        <w:t xml:space="preserve">. The start date of 1 July 2018 gives ample time for the authority to be properly staffed and resourced. We note that existing processes will continue to </w:t>
      </w:r>
      <w:r w:rsidR="00C64180">
        <w:rPr>
          <w:rFonts w:asciiTheme="minorHAnsi" w:hAnsiTheme="minorHAnsi"/>
        </w:rPr>
        <w:t>operate</w:t>
      </w:r>
      <w:r w:rsidRPr="008776A9">
        <w:rPr>
          <w:rFonts w:asciiTheme="minorHAnsi" w:hAnsiTheme="minorHAnsi"/>
        </w:rPr>
        <w:t xml:space="preserve"> until the commencement of the new </w:t>
      </w:r>
      <w:r w:rsidR="00C64180">
        <w:rPr>
          <w:rFonts w:asciiTheme="minorHAnsi" w:hAnsiTheme="minorHAnsi"/>
        </w:rPr>
        <w:t xml:space="preserve">disputes resolution </w:t>
      </w:r>
      <w:r w:rsidRPr="008776A9">
        <w:rPr>
          <w:rFonts w:asciiTheme="minorHAnsi" w:hAnsiTheme="minorHAnsi"/>
        </w:rPr>
        <w:t>process</w:t>
      </w:r>
      <w:r w:rsidR="00C64180">
        <w:rPr>
          <w:rFonts w:asciiTheme="minorHAnsi" w:hAnsiTheme="minorHAnsi"/>
        </w:rPr>
        <w:t>,</w:t>
      </w:r>
      <w:r w:rsidRPr="008776A9">
        <w:rPr>
          <w:rFonts w:asciiTheme="minorHAnsi" w:hAnsiTheme="minorHAnsi"/>
        </w:rPr>
        <w:t xml:space="preserve"> so that there is an opportunity for any complaint</w:t>
      </w:r>
      <w:r w:rsidR="00487DEE">
        <w:rPr>
          <w:rFonts w:asciiTheme="minorHAnsi" w:hAnsiTheme="minorHAnsi"/>
        </w:rPr>
        <w:t>s</w:t>
      </w:r>
      <w:r w:rsidRPr="008776A9">
        <w:rPr>
          <w:rFonts w:asciiTheme="minorHAnsi" w:hAnsiTheme="minorHAnsi"/>
        </w:rPr>
        <w:t xml:space="preserve"> backlog to be cleared over the next 12 months. </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The decision to merge the schemes over time is to be commended given that there are duplications in complaints processes that would be removed once the new regime is in place. Examples of duplications that will disappear for institutions </w:t>
      </w:r>
      <w:r w:rsidR="00C64180">
        <w:rPr>
          <w:rFonts w:asciiTheme="minorHAnsi" w:hAnsiTheme="minorHAnsi"/>
        </w:rPr>
        <w:t xml:space="preserve">currently </w:t>
      </w:r>
      <w:r w:rsidRPr="008776A9">
        <w:rPr>
          <w:rFonts w:asciiTheme="minorHAnsi" w:hAnsiTheme="minorHAnsi"/>
        </w:rPr>
        <w:t>involved as a result of the changes include</w:t>
      </w:r>
      <w:r w:rsidR="00C64180">
        <w:rPr>
          <w:rFonts w:asciiTheme="minorHAnsi" w:hAnsiTheme="minorHAnsi"/>
        </w:rPr>
        <w:t>,</w:t>
      </w:r>
      <w:r w:rsidRPr="008776A9">
        <w:rPr>
          <w:rFonts w:asciiTheme="minorHAnsi" w:hAnsiTheme="minorHAnsi"/>
        </w:rPr>
        <w:t xml:space="preserve"> but may not be limited to:</w:t>
      </w:r>
    </w:p>
    <w:p w:rsidR="006B2A8A" w:rsidRPr="008776A9" w:rsidRDefault="006B2A8A" w:rsidP="008776A9">
      <w:pPr>
        <w:jc w:val="both"/>
        <w:rPr>
          <w:rFonts w:asciiTheme="minorHAnsi" w:hAnsiTheme="minorHAnsi"/>
        </w:rPr>
      </w:pPr>
    </w:p>
    <w:p w:rsidR="0060604D" w:rsidRPr="008776A9" w:rsidRDefault="0060604D" w:rsidP="008776A9">
      <w:pPr>
        <w:numPr>
          <w:ilvl w:val="0"/>
          <w:numId w:val="10"/>
        </w:numPr>
        <w:spacing w:after="200" w:line="276" w:lineRule="auto"/>
        <w:jc w:val="both"/>
        <w:rPr>
          <w:rFonts w:asciiTheme="minorHAnsi" w:hAnsiTheme="minorHAnsi"/>
        </w:rPr>
      </w:pPr>
      <w:r w:rsidRPr="008776A9">
        <w:rPr>
          <w:rFonts w:asciiTheme="minorHAnsi" w:hAnsiTheme="minorHAnsi"/>
        </w:rPr>
        <w:t xml:space="preserve">Governance arrangements that include separate boards to </w:t>
      </w:r>
      <w:r w:rsidR="00C64180">
        <w:rPr>
          <w:rFonts w:asciiTheme="minorHAnsi" w:hAnsiTheme="minorHAnsi"/>
        </w:rPr>
        <w:t>oversee and manage</w:t>
      </w:r>
      <w:r w:rsidRPr="008776A9">
        <w:rPr>
          <w:rFonts w:asciiTheme="minorHAnsi" w:hAnsiTheme="minorHAnsi"/>
        </w:rPr>
        <w:t xml:space="preserve"> the organisations;</w:t>
      </w:r>
    </w:p>
    <w:p w:rsidR="0060604D" w:rsidRPr="008776A9" w:rsidRDefault="0060604D" w:rsidP="008776A9">
      <w:pPr>
        <w:numPr>
          <w:ilvl w:val="0"/>
          <w:numId w:val="10"/>
        </w:numPr>
        <w:spacing w:after="200" w:line="276" w:lineRule="auto"/>
        <w:jc w:val="both"/>
        <w:rPr>
          <w:rFonts w:asciiTheme="minorHAnsi" w:hAnsiTheme="minorHAnsi"/>
        </w:rPr>
      </w:pPr>
      <w:r w:rsidRPr="008776A9">
        <w:rPr>
          <w:rFonts w:asciiTheme="minorHAnsi" w:hAnsiTheme="minorHAnsi"/>
        </w:rPr>
        <w:t>Backend systems for case management and administration including the associated staff and information technology overhead costs;</w:t>
      </w:r>
    </w:p>
    <w:p w:rsidR="0060604D" w:rsidRPr="008776A9" w:rsidRDefault="0060604D" w:rsidP="008776A9">
      <w:pPr>
        <w:numPr>
          <w:ilvl w:val="0"/>
          <w:numId w:val="10"/>
        </w:numPr>
        <w:spacing w:after="200" w:line="276" w:lineRule="auto"/>
        <w:jc w:val="both"/>
        <w:rPr>
          <w:rFonts w:asciiTheme="minorHAnsi" w:hAnsiTheme="minorHAnsi"/>
        </w:rPr>
      </w:pPr>
      <w:r w:rsidRPr="008776A9">
        <w:rPr>
          <w:rFonts w:asciiTheme="minorHAnsi" w:hAnsiTheme="minorHAnsi"/>
        </w:rPr>
        <w:t>Administrative and regulatory reporting obligations and arrangements, which also includes provision for members switching schemes where an individual or organisation chooses to switch from one scheme to another;</w:t>
      </w:r>
    </w:p>
    <w:p w:rsidR="0060604D" w:rsidRPr="008776A9" w:rsidRDefault="0060604D" w:rsidP="008776A9">
      <w:pPr>
        <w:numPr>
          <w:ilvl w:val="0"/>
          <w:numId w:val="10"/>
        </w:numPr>
        <w:spacing w:after="200" w:line="276" w:lineRule="auto"/>
        <w:jc w:val="both"/>
        <w:rPr>
          <w:rFonts w:asciiTheme="minorHAnsi" w:hAnsiTheme="minorHAnsi"/>
        </w:rPr>
      </w:pPr>
      <w:r w:rsidRPr="008776A9">
        <w:rPr>
          <w:rFonts w:asciiTheme="minorHAnsi" w:hAnsiTheme="minorHAnsi"/>
        </w:rPr>
        <w:t xml:space="preserve">Complications related to the collection of data related to the operation of schemes and the </w:t>
      </w:r>
      <w:r w:rsidR="00C64180">
        <w:rPr>
          <w:rFonts w:asciiTheme="minorHAnsi" w:hAnsiTheme="minorHAnsi"/>
        </w:rPr>
        <w:t xml:space="preserve">conduct of </w:t>
      </w:r>
      <w:r w:rsidRPr="008776A9">
        <w:rPr>
          <w:rFonts w:asciiTheme="minorHAnsi" w:hAnsiTheme="minorHAnsi"/>
        </w:rPr>
        <w:t xml:space="preserve">members of the schemes. Different databases maintained by different organisations </w:t>
      </w:r>
      <w:r w:rsidR="00C64180">
        <w:rPr>
          <w:rFonts w:asciiTheme="minorHAnsi" w:hAnsiTheme="minorHAnsi"/>
        </w:rPr>
        <w:t>that will no longer require the co</w:t>
      </w:r>
      <w:r w:rsidRPr="008776A9">
        <w:rPr>
          <w:rFonts w:asciiTheme="minorHAnsi" w:hAnsiTheme="minorHAnsi"/>
        </w:rPr>
        <w:t xml:space="preserve">rporate regulator and other authorities </w:t>
      </w:r>
      <w:r w:rsidR="00C64180">
        <w:rPr>
          <w:rFonts w:asciiTheme="minorHAnsi" w:hAnsiTheme="minorHAnsi"/>
        </w:rPr>
        <w:t>accessing</w:t>
      </w:r>
      <w:r w:rsidRPr="008776A9">
        <w:rPr>
          <w:rFonts w:asciiTheme="minorHAnsi" w:hAnsiTheme="minorHAnsi"/>
        </w:rPr>
        <w:t xml:space="preserve"> information from multiple sources; and</w:t>
      </w:r>
    </w:p>
    <w:p w:rsidR="0060604D" w:rsidRPr="008776A9" w:rsidRDefault="0060604D" w:rsidP="008776A9">
      <w:pPr>
        <w:numPr>
          <w:ilvl w:val="0"/>
          <w:numId w:val="10"/>
        </w:numPr>
        <w:spacing w:after="200" w:line="276" w:lineRule="auto"/>
        <w:jc w:val="both"/>
        <w:rPr>
          <w:rFonts w:asciiTheme="minorHAnsi" w:hAnsiTheme="minorHAnsi"/>
        </w:rPr>
      </w:pPr>
      <w:r w:rsidRPr="008776A9">
        <w:rPr>
          <w:rFonts w:asciiTheme="minorHAnsi" w:hAnsiTheme="minorHAnsi"/>
        </w:rPr>
        <w:t>Duplication of all of the various functions that exist within an organisation with members that include but are not limited to member services and aspects of stakeholder liaison and government relations.</w:t>
      </w:r>
    </w:p>
    <w:p w:rsidR="0060604D" w:rsidRPr="008776A9" w:rsidRDefault="0060604D" w:rsidP="008776A9">
      <w:pPr>
        <w:jc w:val="both"/>
        <w:rPr>
          <w:rFonts w:asciiTheme="minorHAnsi" w:hAnsiTheme="minorHAnsi"/>
        </w:rPr>
      </w:pPr>
      <w:r w:rsidRPr="008776A9">
        <w:rPr>
          <w:rFonts w:asciiTheme="minorHAnsi" w:hAnsiTheme="minorHAnsi"/>
        </w:rPr>
        <w:t>The corporate regulator also noted in its submission to the review panel that th</w:t>
      </w:r>
      <w:r w:rsidR="00C64180">
        <w:rPr>
          <w:rFonts w:asciiTheme="minorHAnsi" w:hAnsiTheme="minorHAnsi"/>
        </w:rPr>
        <w:t>ere are duplicated activities for</w:t>
      </w:r>
      <w:r w:rsidRPr="008776A9">
        <w:rPr>
          <w:rFonts w:asciiTheme="minorHAnsi" w:hAnsiTheme="minorHAnsi"/>
        </w:rPr>
        <w:t xml:space="preserve"> which it is involved</w:t>
      </w:r>
      <w:r w:rsidR="00C64180">
        <w:rPr>
          <w:rFonts w:asciiTheme="minorHAnsi" w:hAnsiTheme="minorHAnsi"/>
        </w:rPr>
        <w:t>,</w:t>
      </w:r>
      <w:r w:rsidRPr="008776A9">
        <w:rPr>
          <w:rFonts w:asciiTheme="minorHAnsi" w:hAnsiTheme="minorHAnsi"/>
        </w:rPr>
        <w:t xml:space="preserve"> </w:t>
      </w:r>
      <w:r w:rsidR="00165F75">
        <w:rPr>
          <w:rFonts w:asciiTheme="minorHAnsi" w:hAnsiTheme="minorHAnsi"/>
        </w:rPr>
        <w:t xml:space="preserve">that </w:t>
      </w:r>
      <w:r w:rsidRPr="008776A9">
        <w:rPr>
          <w:rFonts w:asciiTheme="minorHAnsi" w:hAnsiTheme="minorHAnsi"/>
        </w:rPr>
        <w:t xml:space="preserve">would be rationalised if one scheme came into being. Examples of such activities include but are not limited to the monitoring </w:t>
      </w:r>
      <w:r w:rsidR="00165F75">
        <w:rPr>
          <w:rFonts w:asciiTheme="minorHAnsi" w:hAnsiTheme="minorHAnsi"/>
        </w:rPr>
        <w:t xml:space="preserve">of </w:t>
      </w:r>
      <w:r w:rsidRPr="008776A9">
        <w:rPr>
          <w:rFonts w:asciiTheme="minorHAnsi" w:hAnsiTheme="minorHAnsi"/>
        </w:rPr>
        <w:t>two schemes, approval and oversight of changes to multiple scheme</w:t>
      </w:r>
      <w:r w:rsidR="00435C38">
        <w:rPr>
          <w:rFonts w:asciiTheme="minorHAnsi" w:hAnsiTheme="minorHAnsi"/>
        </w:rPr>
        <w:t>s</w:t>
      </w:r>
      <w:r w:rsidR="00165F75">
        <w:rPr>
          <w:rFonts w:asciiTheme="minorHAnsi" w:hAnsiTheme="minorHAnsi"/>
        </w:rPr>
        <w:t xml:space="preserve">, as well as </w:t>
      </w:r>
      <w:r w:rsidRPr="008776A9">
        <w:rPr>
          <w:rFonts w:asciiTheme="minorHAnsi" w:hAnsiTheme="minorHAnsi"/>
        </w:rPr>
        <w:t>managing risks of regulatory arbitrage. The IPA acknowledges that the changes proposed in the final report of the review panel and delivered upon by the Federal Government in the Budget delivered on May 9</w:t>
      </w:r>
      <w:r w:rsidR="00E91530">
        <w:rPr>
          <w:rFonts w:asciiTheme="minorHAnsi" w:hAnsiTheme="minorHAnsi"/>
        </w:rPr>
        <w:t xml:space="preserve"> 2017</w:t>
      </w:r>
      <w:r w:rsidR="00C64180">
        <w:rPr>
          <w:rFonts w:asciiTheme="minorHAnsi" w:hAnsiTheme="minorHAnsi"/>
        </w:rPr>
        <w:t>,</w:t>
      </w:r>
      <w:r w:rsidRPr="008776A9">
        <w:rPr>
          <w:rFonts w:asciiTheme="minorHAnsi" w:hAnsiTheme="minorHAnsi"/>
        </w:rPr>
        <w:t xml:space="preserve"> will remove </w:t>
      </w:r>
      <w:r w:rsidR="00C64180">
        <w:rPr>
          <w:rFonts w:asciiTheme="minorHAnsi" w:hAnsiTheme="minorHAnsi"/>
        </w:rPr>
        <w:t xml:space="preserve">considerable </w:t>
      </w:r>
      <w:r w:rsidRPr="008776A9">
        <w:rPr>
          <w:rFonts w:asciiTheme="minorHAnsi" w:hAnsiTheme="minorHAnsi"/>
        </w:rPr>
        <w:t>duplication. The change to a single complaints regime is supported as it makes it clear to consumers that there is o</w:t>
      </w:r>
      <w:r w:rsidR="00165F75">
        <w:rPr>
          <w:rFonts w:asciiTheme="minorHAnsi" w:hAnsiTheme="minorHAnsi"/>
        </w:rPr>
        <w:t>nly o</w:t>
      </w:r>
      <w:r w:rsidRPr="008776A9">
        <w:rPr>
          <w:rFonts w:asciiTheme="minorHAnsi" w:hAnsiTheme="minorHAnsi"/>
        </w:rPr>
        <w:t xml:space="preserve">ne place to lodge complaints </w:t>
      </w:r>
      <w:r w:rsidR="00165F75">
        <w:rPr>
          <w:rFonts w:asciiTheme="minorHAnsi" w:hAnsiTheme="minorHAnsi"/>
        </w:rPr>
        <w:t>relating to</w:t>
      </w:r>
      <w:r w:rsidRPr="008776A9">
        <w:rPr>
          <w:rFonts w:asciiTheme="minorHAnsi" w:hAnsiTheme="minorHAnsi"/>
        </w:rPr>
        <w:t xml:space="preserve"> the conduct of people or organisations in the financial services sector. There is also clarity for those in the sector about the authority to which complaints are referred when their conduct towards consumers comes into question. </w:t>
      </w:r>
    </w:p>
    <w:p w:rsidR="00165F75" w:rsidRPr="00165F75" w:rsidRDefault="00165F75" w:rsidP="00165F75">
      <w:pPr>
        <w:jc w:val="both"/>
        <w:rPr>
          <w:rFonts w:asciiTheme="minorHAnsi" w:hAnsiTheme="minorHAnsi"/>
          <w:sz w:val="22"/>
          <w:szCs w:val="22"/>
        </w:rPr>
      </w:pPr>
      <w:r w:rsidRPr="00165F75">
        <w:rPr>
          <w:rFonts w:asciiTheme="minorHAnsi" w:hAnsiTheme="minorHAnsi"/>
        </w:rPr>
        <w:t xml:space="preserve">It is further noted that the various overseas jurisdictions examined by Federal Treasury, each has a different way of dealing with issues related to the resolution of external complaints. The United Kingdom has one body that deals with disputes and Singapore has only one approved scheme to deal with disputes in the financial services arena. There are, however, multiple schemes in New Zealand and Canada that appear to work in those jurisdictions but the structure of those regimes appear complex and involved. It is questionable whether any jurisdiction would start with more than one complaints regime if they were to construct a regime with complete knowledge of how the finance sector would grow and shape itself over a long period of time, indeed it is an evolutionary process. The </w:t>
      </w:r>
      <w:r w:rsidR="0035045B">
        <w:rPr>
          <w:rFonts w:asciiTheme="minorHAnsi" w:hAnsiTheme="minorHAnsi"/>
        </w:rPr>
        <w:t>G</w:t>
      </w:r>
      <w:r w:rsidRPr="00165F75">
        <w:rPr>
          <w:rFonts w:asciiTheme="minorHAnsi" w:hAnsiTheme="minorHAnsi"/>
        </w:rPr>
        <w:t xml:space="preserve">overnment has set a target for a formal application process to commence during the second half of the year for those organisations that might wish to tender to operate the agency. We encourage the </w:t>
      </w:r>
      <w:r w:rsidR="0035045B">
        <w:rPr>
          <w:rFonts w:asciiTheme="minorHAnsi" w:hAnsiTheme="minorHAnsi"/>
        </w:rPr>
        <w:t>G</w:t>
      </w:r>
      <w:r w:rsidRPr="00165F75">
        <w:rPr>
          <w:rFonts w:asciiTheme="minorHAnsi" w:hAnsiTheme="minorHAnsi"/>
        </w:rPr>
        <w:t>overnment to ensure that the tender process is transparent and provides an equal opportunity for all tenderers to put their case.</w:t>
      </w:r>
    </w:p>
    <w:p w:rsidR="00165F75" w:rsidRDefault="00165F75"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There is likely to be a perception amongst some in the financial services industry that larger institutions will be treated more sympathetically by the complaints process simply because of their market power. This issue can be deal</w:t>
      </w:r>
      <w:r w:rsidR="00165F75">
        <w:rPr>
          <w:rFonts w:asciiTheme="minorHAnsi" w:hAnsiTheme="minorHAnsi"/>
        </w:rPr>
        <w:t>t</w:t>
      </w:r>
      <w:r w:rsidRPr="008776A9">
        <w:rPr>
          <w:rFonts w:asciiTheme="minorHAnsi" w:hAnsiTheme="minorHAnsi"/>
        </w:rPr>
        <w:t xml:space="preserve"> with in part</w:t>
      </w:r>
      <w:r w:rsidR="00165F75">
        <w:rPr>
          <w:rFonts w:asciiTheme="minorHAnsi" w:hAnsiTheme="minorHAnsi"/>
        </w:rPr>
        <w:t xml:space="preserve">, </w:t>
      </w:r>
      <w:r w:rsidRPr="008776A9">
        <w:rPr>
          <w:rFonts w:asciiTheme="minorHAnsi" w:hAnsiTheme="minorHAnsi"/>
        </w:rPr>
        <w:t>by the</w:t>
      </w:r>
      <w:r w:rsidR="00165F75">
        <w:rPr>
          <w:rFonts w:asciiTheme="minorHAnsi" w:hAnsiTheme="minorHAnsi"/>
        </w:rPr>
        <w:t xml:space="preserve"> </w:t>
      </w:r>
      <w:r w:rsidR="001C3D9C" w:rsidRPr="008776A9">
        <w:rPr>
          <w:rFonts w:asciiTheme="minorHAnsi" w:hAnsiTheme="minorHAnsi"/>
        </w:rPr>
        <w:t>set</w:t>
      </w:r>
      <w:r w:rsidR="00165F75">
        <w:rPr>
          <w:rFonts w:asciiTheme="minorHAnsi" w:hAnsiTheme="minorHAnsi"/>
        </w:rPr>
        <w:t xml:space="preserve">ting </w:t>
      </w:r>
      <w:r w:rsidR="001C3D9C" w:rsidRPr="008776A9">
        <w:rPr>
          <w:rFonts w:asciiTheme="minorHAnsi" w:hAnsiTheme="minorHAnsi"/>
        </w:rPr>
        <w:t>up</w:t>
      </w:r>
      <w:r w:rsidRPr="008776A9">
        <w:rPr>
          <w:rFonts w:asciiTheme="minorHAnsi" w:hAnsiTheme="minorHAnsi"/>
        </w:rPr>
        <w:t xml:space="preserve"> of the entity’s board </w:t>
      </w:r>
      <w:r w:rsidR="00165F75">
        <w:rPr>
          <w:rFonts w:asciiTheme="minorHAnsi" w:hAnsiTheme="minorHAnsi"/>
        </w:rPr>
        <w:t>to include</w:t>
      </w:r>
      <w:r w:rsidRPr="008776A9">
        <w:rPr>
          <w:rFonts w:asciiTheme="minorHAnsi" w:hAnsiTheme="minorHAnsi"/>
        </w:rPr>
        <w:t xml:space="preserve"> </w:t>
      </w:r>
      <w:r w:rsidR="009D661E">
        <w:rPr>
          <w:rFonts w:asciiTheme="minorHAnsi" w:hAnsiTheme="minorHAnsi"/>
        </w:rPr>
        <w:t xml:space="preserve">membership of </w:t>
      </w:r>
      <w:r w:rsidRPr="008776A9">
        <w:rPr>
          <w:rFonts w:asciiTheme="minorHAnsi" w:hAnsiTheme="minorHAnsi"/>
        </w:rPr>
        <w:t xml:space="preserve">those </w:t>
      </w:r>
      <w:r w:rsidR="00165F75">
        <w:rPr>
          <w:rFonts w:asciiTheme="minorHAnsi" w:hAnsiTheme="minorHAnsi"/>
        </w:rPr>
        <w:t>institutions</w:t>
      </w:r>
      <w:r w:rsidR="009D661E">
        <w:rPr>
          <w:rFonts w:asciiTheme="minorHAnsi" w:hAnsiTheme="minorHAnsi"/>
        </w:rPr>
        <w:t xml:space="preserve"> involved with</w:t>
      </w:r>
      <w:r w:rsidRPr="008776A9">
        <w:rPr>
          <w:rFonts w:asciiTheme="minorHAnsi" w:hAnsiTheme="minorHAnsi"/>
        </w:rPr>
        <w:t xml:space="preserve"> smaller players</w:t>
      </w:r>
      <w:r w:rsidR="009D661E">
        <w:rPr>
          <w:rFonts w:asciiTheme="minorHAnsi" w:hAnsiTheme="minorHAnsi"/>
        </w:rPr>
        <w:t>.</w:t>
      </w:r>
      <w:r w:rsidRPr="008776A9">
        <w:rPr>
          <w:rFonts w:asciiTheme="minorHAnsi" w:hAnsiTheme="minorHAnsi"/>
        </w:rPr>
        <w:t xml:space="preserve"> This would then mean that the representative board that is intended to have equal representation from consumer groups and the industry</w:t>
      </w:r>
      <w:r w:rsidR="009D661E">
        <w:rPr>
          <w:rFonts w:asciiTheme="minorHAnsi" w:hAnsiTheme="minorHAnsi"/>
        </w:rPr>
        <w:t>,</w:t>
      </w:r>
      <w:r w:rsidRPr="008776A9">
        <w:rPr>
          <w:rFonts w:asciiTheme="minorHAnsi" w:hAnsiTheme="minorHAnsi"/>
        </w:rPr>
        <w:t xml:space="preserve"> will </w:t>
      </w:r>
      <w:r w:rsidR="00435C38">
        <w:rPr>
          <w:rFonts w:asciiTheme="minorHAnsi" w:hAnsiTheme="minorHAnsi"/>
        </w:rPr>
        <w:t xml:space="preserve">also have </w:t>
      </w:r>
      <w:r w:rsidRPr="008776A9">
        <w:rPr>
          <w:rFonts w:asciiTheme="minorHAnsi" w:hAnsiTheme="minorHAnsi"/>
        </w:rPr>
        <w:t xml:space="preserve">a smaller institution presence. It would help </w:t>
      </w:r>
      <w:r w:rsidR="008862CF">
        <w:rPr>
          <w:rFonts w:asciiTheme="minorHAnsi" w:hAnsiTheme="minorHAnsi"/>
        </w:rPr>
        <w:t xml:space="preserve">to </w:t>
      </w:r>
      <w:r w:rsidRPr="008776A9">
        <w:rPr>
          <w:rFonts w:asciiTheme="minorHAnsi" w:hAnsiTheme="minorHAnsi"/>
        </w:rPr>
        <w:t>ensure that small financial planning firms and banking institutions would feel their interests were being represented.</w:t>
      </w:r>
      <w:r w:rsidR="008862CF">
        <w:rPr>
          <w:rFonts w:asciiTheme="minorHAnsi" w:hAnsiTheme="minorHAnsi"/>
        </w:rPr>
        <w:t xml:space="preserve">  The IPA considers this to be a critical requirement to ensure a successful outcome for a single EDR regime.  As noted above, the interests of </w:t>
      </w:r>
      <w:r w:rsidR="008862CF" w:rsidRPr="008862CF">
        <w:rPr>
          <w:rFonts w:asciiTheme="minorHAnsi" w:hAnsiTheme="minorHAnsi"/>
          <w:b/>
          <w:i/>
        </w:rPr>
        <w:t>all</w:t>
      </w:r>
      <w:r w:rsidR="008862CF">
        <w:rPr>
          <w:rFonts w:asciiTheme="minorHAnsi" w:hAnsiTheme="minorHAnsi"/>
        </w:rPr>
        <w:t xml:space="preserve"> stakeholders must be balanced in the new regime.</w:t>
      </w:r>
    </w:p>
    <w:p w:rsidR="006B2A8A" w:rsidRPr="008776A9" w:rsidRDefault="006B2A8A" w:rsidP="008776A9">
      <w:pPr>
        <w:jc w:val="both"/>
        <w:rPr>
          <w:rFonts w:asciiTheme="minorHAnsi" w:hAnsiTheme="minorHAnsi"/>
          <w:b/>
        </w:rPr>
      </w:pPr>
    </w:p>
    <w:p w:rsidR="0060604D" w:rsidRPr="008776A9" w:rsidRDefault="0060604D" w:rsidP="008776A9">
      <w:pPr>
        <w:jc w:val="both"/>
        <w:rPr>
          <w:rFonts w:asciiTheme="minorHAnsi" w:hAnsiTheme="minorHAnsi"/>
          <w:b/>
          <w:color w:val="E36C0A" w:themeColor="accent6" w:themeShade="BF"/>
        </w:rPr>
      </w:pPr>
      <w:r w:rsidRPr="008776A9">
        <w:rPr>
          <w:rFonts w:asciiTheme="minorHAnsi" w:hAnsiTheme="minorHAnsi"/>
          <w:b/>
          <w:color w:val="E36C0A" w:themeColor="accent6" w:themeShade="BF"/>
        </w:rPr>
        <w:t>ASIC’s role in regulating the external dispute resolution scheme</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The draft Bill gives ASIC the power to oversee the external dispute resolution scheme that is being created under the le</w:t>
      </w:r>
      <w:r w:rsidR="00123A6A">
        <w:rPr>
          <w:rFonts w:asciiTheme="minorHAnsi" w:hAnsiTheme="minorHAnsi"/>
        </w:rPr>
        <w:t xml:space="preserve">gislation. Powers given to </w:t>
      </w:r>
      <w:r w:rsidR="001F021D">
        <w:rPr>
          <w:rFonts w:asciiTheme="minorHAnsi" w:hAnsiTheme="minorHAnsi"/>
        </w:rPr>
        <w:t xml:space="preserve">ASIC </w:t>
      </w:r>
      <w:r w:rsidRPr="008776A9">
        <w:rPr>
          <w:rFonts w:asciiTheme="minorHAnsi" w:hAnsiTheme="minorHAnsi"/>
        </w:rPr>
        <w:t xml:space="preserve">to regulate the conduct of the external dispute resolution scheme are appropriate and should provide </w:t>
      </w:r>
      <w:r w:rsidR="001F021D">
        <w:rPr>
          <w:rFonts w:asciiTheme="minorHAnsi" w:hAnsiTheme="minorHAnsi"/>
        </w:rPr>
        <w:t xml:space="preserve">the </w:t>
      </w:r>
      <w:r w:rsidRPr="008776A9">
        <w:rPr>
          <w:rFonts w:asciiTheme="minorHAnsi" w:hAnsiTheme="minorHAnsi"/>
        </w:rPr>
        <w:t xml:space="preserve">consumers </w:t>
      </w:r>
      <w:r w:rsidR="00123A6A">
        <w:rPr>
          <w:rFonts w:asciiTheme="minorHAnsi" w:hAnsiTheme="minorHAnsi"/>
        </w:rPr>
        <w:t xml:space="preserve">who </w:t>
      </w:r>
      <w:r w:rsidRPr="008776A9">
        <w:rPr>
          <w:rFonts w:asciiTheme="minorHAnsi" w:hAnsiTheme="minorHAnsi"/>
        </w:rPr>
        <w:t>refer complaints to the body</w:t>
      </w:r>
      <w:r w:rsidR="00123A6A">
        <w:rPr>
          <w:rFonts w:asciiTheme="minorHAnsi" w:hAnsiTheme="minorHAnsi"/>
        </w:rPr>
        <w:t>,</w:t>
      </w:r>
      <w:r w:rsidRPr="008776A9">
        <w:rPr>
          <w:rFonts w:asciiTheme="minorHAnsi" w:hAnsiTheme="minorHAnsi"/>
        </w:rPr>
        <w:t xml:space="preserve"> with assurance that the regulator is able to deal with any anomalies that arise in the administration of the complaints regime. It is noted that ASIC </w:t>
      </w:r>
      <w:r w:rsidR="00123A6A">
        <w:rPr>
          <w:rFonts w:asciiTheme="minorHAnsi" w:hAnsiTheme="minorHAnsi"/>
        </w:rPr>
        <w:t>will be</w:t>
      </w:r>
      <w:r w:rsidRPr="008776A9">
        <w:rPr>
          <w:rFonts w:asciiTheme="minorHAnsi" w:hAnsiTheme="minorHAnsi"/>
        </w:rPr>
        <w:t xml:space="preserve"> given sweeping powers to oversee the complaints regime, which is necessary to counteract any perceptions that such a complaints regime is dominated or captured by the larger players in the financial services sector. </w:t>
      </w:r>
    </w:p>
    <w:p w:rsidR="006B2A8A" w:rsidRPr="008776A9" w:rsidRDefault="006B2A8A" w:rsidP="008776A9">
      <w:pPr>
        <w:jc w:val="both"/>
        <w:rPr>
          <w:rFonts w:asciiTheme="minorHAnsi" w:hAnsiTheme="minorHAnsi"/>
          <w:b/>
        </w:rPr>
      </w:pPr>
    </w:p>
    <w:p w:rsidR="0060604D" w:rsidRPr="008776A9" w:rsidRDefault="0060604D" w:rsidP="008776A9">
      <w:pPr>
        <w:jc w:val="both"/>
        <w:rPr>
          <w:rFonts w:asciiTheme="minorHAnsi" w:hAnsiTheme="minorHAnsi"/>
          <w:b/>
          <w:color w:val="E36C0A" w:themeColor="accent6" w:themeShade="BF"/>
        </w:rPr>
      </w:pPr>
      <w:r w:rsidRPr="008776A9">
        <w:rPr>
          <w:rFonts w:asciiTheme="minorHAnsi" w:hAnsiTheme="minorHAnsi"/>
          <w:b/>
          <w:color w:val="E36C0A" w:themeColor="accent6" w:themeShade="BF"/>
        </w:rPr>
        <w:t>The removal of competitive tension between schemes</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The IPA supports the move towards a single dispute resolution scheme but </w:t>
      </w:r>
      <w:r w:rsidR="001C3D9C" w:rsidRPr="008776A9">
        <w:rPr>
          <w:rFonts w:asciiTheme="minorHAnsi" w:hAnsiTheme="minorHAnsi"/>
        </w:rPr>
        <w:t>we note</w:t>
      </w:r>
      <w:r w:rsidRPr="008776A9">
        <w:rPr>
          <w:rFonts w:asciiTheme="minorHAnsi" w:hAnsiTheme="minorHAnsi"/>
        </w:rPr>
        <w:t xml:space="preserve"> that there are stakeholders who argue the two schemes that are being merged had a competitive tension that enabled process improvements to take place as a result of benchmarking. These commentators</w:t>
      </w:r>
      <w:r w:rsidR="001F021D">
        <w:rPr>
          <w:rFonts w:asciiTheme="minorHAnsi" w:hAnsiTheme="minorHAnsi"/>
        </w:rPr>
        <w:t>, including IPA members,</w:t>
      </w:r>
      <w:r w:rsidRPr="008776A9">
        <w:rPr>
          <w:rFonts w:asciiTheme="minorHAnsi" w:hAnsiTheme="minorHAnsi"/>
        </w:rPr>
        <w:t xml:space="preserve"> believe that merging the two schemes means that neither has the capacity to benchmark against the other and that this may lead to </w:t>
      </w:r>
      <w:r w:rsidR="00123A6A">
        <w:rPr>
          <w:rFonts w:asciiTheme="minorHAnsi" w:hAnsiTheme="minorHAnsi"/>
        </w:rPr>
        <w:t xml:space="preserve">a </w:t>
      </w:r>
      <w:r w:rsidRPr="008776A9">
        <w:rPr>
          <w:rFonts w:asciiTheme="minorHAnsi" w:hAnsiTheme="minorHAnsi"/>
        </w:rPr>
        <w:t xml:space="preserve">stagnant environment where self-regulatory innovation is less able to be achieved. One reform that resulted from benchmarking with other dispute resolution schemes was a change to rules that enabled the external dispute resolution authority to expel a member firm that failed to introduce suggested changes to systems. Other commentators have said that competition is not a driver for good policy outcomes in an area such as dispute resolution and that it should not be considered a major factor in whether a merged structure is implemented. </w:t>
      </w:r>
    </w:p>
    <w:p w:rsidR="0060604D" w:rsidRPr="008776A9" w:rsidRDefault="0060604D"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It is also significant to note that representatives of the two schemes set for merger under the new system held differing views on the appropriateness of competitive tension in the running of complaints resolution schemes. The Credit and Investments Ombudsman</w:t>
      </w:r>
      <w:r w:rsidR="00D8127A">
        <w:rPr>
          <w:rFonts w:asciiTheme="minorHAnsi" w:hAnsiTheme="minorHAnsi"/>
        </w:rPr>
        <w:t xml:space="preserve"> (CIO)</w:t>
      </w:r>
      <w:r w:rsidRPr="008776A9">
        <w:rPr>
          <w:rStyle w:val="FootnoteReference"/>
          <w:rFonts w:asciiTheme="minorHAnsi" w:hAnsiTheme="minorHAnsi"/>
        </w:rPr>
        <w:footnoteReference w:id="4"/>
      </w:r>
      <w:r w:rsidRPr="008776A9">
        <w:rPr>
          <w:rFonts w:asciiTheme="minorHAnsi" w:hAnsiTheme="minorHAnsi"/>
        </w:rPr>
        <w:t xml:space="preserve"> argued in its submission to the interim report that a single scheme would mean the end of being able to</w:t>
      </w:r>
      <w:r w:rsidR="00D8127A">
        <w:rPr>
          <w:rFonts w:asciiTheme="minorHAnsi" w:hAnsiTheme="minorHAnsi"/>
        </w:rPr>
        <w:t>;</w:t>
      </w:r>
      <w:r w:rsidRPr="008776A9">
        <w:rPr>
          <w:rFonts w:asciiTheme="minorHAnsi" w:hAnsiTheme="minorHAnsi"/>
        </w:rPr>
        <w:t xml:space="preserve"> benchmark on</w:t>
      </w:r>
      <w:r w:rsidR="00D8127A">
        <w:rPr>
          <w:rFonts w:asciiTheme="minorHAnsi" w:hAnsiTheme="minorHAnsi"/>
        </w:rPr>
        <w:t xml:space="preserve"> the</w:t>
      </w:r>
      <w:r w:rsidRPr="008776A9">
        <w:rPr>
          <w:rFonts w:asciiTheme="minorHAnsi" w:hAnsiTheme="minorHAnsi"/>
        </w:rPr>
        <w:t xml:space="preserve"> quality of service to consumers, </w:t>
      </w:r>
      <w:r w:rsidR="00D8127A">
        <w:rPr>
          <w:rFonts w:asciiTheme="minorHAnsi" w:hAnsiTheme="minorHAnsi"/>
        </w:rPr>
        <w:t xml:space="preserve">to </w:t>
      </w:r>
      <w:r w:rsidRPr="008776A9">
        <w:rPr>
          <w:rFonts w:asciiTheme="minorHAnsi" w:hAnsiTheme="minorHAnsi"/>
        </w:rPr>
        <w:t xml:space="preserve">compete on price, </w:t>
      </w:r>
      <w:r w:rsidR="00D8127A">
        <w:rPr>
          <w:rFonts w:asciiTheme="minorHAnsi" w:hAnsiTheme="minorHAnsi"/>
        </w:rPr>
        <w:t>to i</w:t>
      </w:r>
      <w:r w:rsidRPr="008776A9">
        <w:rPr>
          <w:rFonts w:asciiTheme="minorHAnsi" w:hAnsiTheme="minorHAnsi"/>
        </w:rPr>
        <w:t xml:space="preserve">nnovate by benchmarking the processes used by another domestic dispute resolution scheme, and be free to choose which scheme </w:t>
      </w:r>
      <w:r w:rsidR="00D8127A">
        <w:rPr>
          <w:rFonts w:asciiTheme="minorHAnsi" w:hAnsiTheme="minorHAnsi"/>
        </w:rPr>
        <w:t>to join</w:t>
      </w:r>
      <w:r w:rsidRPr="008776A9">
        <w:rPr>
          <w:rFonts w:asciiTheme="minorHAnsi" w:hAnsiTheme="minorHAnsi"/>
        </w:rPr>
        <w:t xml:space="preserve"> because membership of one scheme will be mandatory. The CIO </w:t>
      </w:r>
      <w:r w:rsidR="00D8127A">
        <w:rPr>
          <w:rFonts w:asciiTheme="minorHAnsi" w:hAnsiTheme="minorHAnsi"/>
        </w:rPr>
        <w:t xml:space="preserve">also </w:t>
      </w:r>
      <w:r w:rsidRPr="008776A9">
        <w:rPr>
          <w:rFonts w:asciiTheme="minorHAnsi" w:hAnsiTheme="minorHAnsi"/>
        </w:rPr>
        <w:t>s</w:t>
      </w:r>
      <w:r w:rsidR="00D8127A">
        <w:rPr>
          <w:rFonts w:asciiTheme="minorHAnsi" w:hAnsiTheme="minorHAnsi"/>
        </w:rPr>
        <w:t>tated that</w:t>
      </w:r>
      <w:r w:rsidRPr="008776A9">
        <w:rPr>
          <w:rFonts w:asciiTheme="minorHAnsi" w:hAnsiTheme="minorHAnsi"/>
        </w:rPr>
        <w:t xml:space="preserve"> it believed the existing system was </w:t>
      </w:r>
      <w:r w:rsidR="00D8127A">
        <w:rPr>
          <w:rFonts w:asciiTheme="minorHAnsi" w:hAnsiTheme="minorHAnsi"/>
        </w:rPr>
        <w:t>‘</w:t>
      </w:r>
      <w:r w:rsidRPr="008776A9">
        <w:rPr>
          <w:rFonts w:asciiTheme="minorHAnsi" w:hAnsiTheme="minorHAnsi"/>
        </w:rPr>
        <w:t>not broken</w:t>
      </w:r>
      <w:r w:rsidR="00D8127A">
        <w:rPr>
          <w:rFonts w:asciiTheme="minorHAnsi" w:hAnsiTheme="minorHAnsi"/>
        </w:rPr>
        <w:t>’</w:t>
      </w:r>
      <w:r w:rsidRPr="008776A9">
        <w:rPr>
          <w:rFonts w:asciiTheme="minorHAnsi" w:hAnsiTheme="minorHAnsi"/>
        </w:rPr>
        <w:t xml:space="preserve"> and was opposed to changes that could be more costly to those at the smaller end of the financial advisory marketplace.</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 xml:space="preserve">The Financial </w:t>
      </w:r>
      <w:r w:rsidR="00D8127A" w:rsidRPr="008776A9">
        <w:rPr>
          <w:rFonts w:asciiTheme="minorHAnsi" w:hAnsiTheme="minorHAnsi"/>
        </w:rPr>
        <w:t>Ombudsman’s</w:t>
      </w:r>
      <w:r w:rsidRPr="008776A9">
        <w:rPr>
          <w:rFonts w:asciiTheme="minorHAnsi" w:hAnsiTheme="minorHAnsi"/>
        </w:rPr>
        <w:t xml:space="preserve"> Service Australia </w:t>
      </w:r>
      <w:r w:rsidR="00D8127A">
        <w:rPr>
          <w:rFonts w:asciiTheme="minorHAnsi" w:hAnsiTheme="minorHAnsi"/>
        </w:rPr>
        <w:t>(FO</w:t>
      </w:r>
      <w:r w:rsidR="001F021D">
        <w:rPr>
          <w:rFonts w:asciiTheme="minorHAnsi" w:hAnsiTheme="minorHAnsi"/>
        </w:rPr>
        <w:t>S</w:t>
      </w:r>
      <w:r w:rsidR="00D8127A">
        <w:rPr>
          <w:rFonts w:asciiTheme="minorHAnsi" w:hAnsiTheme="minorHAnsi"/>
        </w:rPr>
        <w:t xml:space="preserve">) </w:t>
      </w:r>
      <w:r w:rsidR="00D8127A" w:rsidRPr="008776A9">
        <w:rPr>
          <w:rFonts w:asciiTheme="minorHAnsi" w:hAnsiTheme="minorHAnsi"/>
        </w:rPr>
        <w:t>s</w:t>
      </w:r>
      <w:r w:rsidR="00D8127A">
        <w:rPr>
          <w:rFonts w:asciiTheme="minorHAnsi" w:hAnsiTheme="minorHAnsi"/>
        </w:rPr>
        <w:t>tated</w:t>
      </w:r>
      <w:r w:rsidRPr="008776A9">
        <w:rPr>
          <w:rFonts w:asciiTheme="minorHAnsi" w:hAnsiTheme="minorHAnsi"/>
        </w:rPr>
        <w:t xml:space="preserve"> in its submission that the current structure was a product of history rather than design and that changes are necessary to ensure a better system of dispute resolution for the future. FOS also says that any changes that it made to its processes had nothing to do with competitive tension and instead was attributable to other reasons such as process reviews. </w:t>
      </w:r>
      <w:r w:rsidRPr="008776A9">
        <w:rPr>
          <w:rStyle w:val="FootnoteReference"/>
          <w:rFonts w:asciiTheme="minorHAnsi" w:hAnsiTheme="minorHAnsi"/>
        </w:rPr>
        <w:footnoteReference w:id="5"/>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While a single complaints regime i</w:t>
      </w:r>
      <w:r w:rsidR="00D8127A">
        <w:rPr>
          <w:rFonts w:asciiTheme="minorHAnsi" w:hAnsiTheme="minorHAnsi"/>
        </w:rPr>
        <w:t>s desirable, in fairness, there is a need to examine</w:t>
      </w:r>
      <w:r w:rsidRPr="008776A9">
        <w:rPr>
          <w:rFonts w:asciiTheme="minorHAnsi" w:hAnsiTheme="minorHAnsi"/>
        </w:rPr>
        <w:t xml:space="preserve"> the remarks made by the CIO and FOS related to process improvement and reviews in order to ensure </w:t>
      </w:r>
      <w:r w:rsidR="00D8127A" w:rsidRPr="008776A9">
        <w:rPr>
          <w:rFonts w:asciiTheme="minorHAnsi" w:hAnsiTheme="minorHAnsi"/>
        </w:rPr>
        <w:t>continuous</w:t>
      </w:r>
      <w:r w:rsidRPr="008776A9">
        <w:rPr>
          <w:rFonts w:asciiTheme="minorHAnsi" w:hAnsiTheme="minorHAnsi"/>
        </w:rPr>
        <w:t xml:space="preserve"> improvement is embedded in the processes of review.  There should at least be an annual review of the performance of the </w:t>
      </w:r>
      <w:r w:rsidR="001C3D9C" w:rsidRPr="008776A9">
        <w:rPr>
          <w:rFonts w:asciiTheme="minorHAnsi" w:hAnsiTheme="minorHAnsi"/>
        </w:rPr>
        <w:t>scheme in</w:t>
      </w:r>
      <w:r w:rsidRPr="008776A9">
        <w:rPr>
          <w:rFonts w:asciiTheme="minorHAnsi" w:hAnsiTheme="minorHAnsi"/>
        </w:rPr>
        <w:t xml:space="preserve"> order to ensure the processes are working as intended and wherever possible improvements </w:t>
      </w:r>
      <w:r w:rsidR="00D8127A">
        <w:rPr>
          <w:rFonts w:asciiTheme="minorHAnsi" w:hAnsiTheme="minorHAnsi"/>
        </w:rPr>
        <w:t xml:space="preserve">made to </w:t>
      </w:r>
      <w:r w:rsidRPr="008776A9">
        <w:rPr>
          <w:rFonts w:asciiTheme="minorHAnsi" w:hAnsiTheme="minorHAnsi"/>
        </w:rPr>
        <w:t>process</w:t>
      </w:r>
      <w:r w:rsidR="00D8127A">
        <w:rPr>
          <w:rFonts w:asciiTheme="minorHAnsi" w:hAnsiTheme="minorHAnsi"/>
        </w:rPr>
        <w:t>es which improve the overall system</w:t>
      </w:r>
      <w:r w:rsidRPr="008776A9">
        <w:rPr>
          <w:rFonts w:asciiTheme="minorHAnsi" w:hAnsiTheme="minorHAnsi"/>
        </w:rPr>
        <w:t>. Process improvements that ultimately help maintain public confidence in a system should not merely rely on competition between agencies. Process improvement should be a result of appropriate risk management and risk reviews procedures within the scheme itself with feedback from the corporate regulator and, where required, Federal Treasury.</w:t>
      </w:r>
    </w:p>
    <w:p w:rsidR="006B2A8A" w:rsidRPr="008776A9" w:rsidRDefault="006B2A8A" w:rsidP="008776A9">
      <w:pPr>
        <w:jc w:val="both"/>
        <w:rPr>
          <w:rFonts w:asciiTheme="minorHAnsi" w:hAnsiTheme="minorHAnsi"/>
          <w:b/>
        </w:rPr>
      </w:pPr>
    </w:p>
    <w:p w:rsidR="0060604D" w:rsidRPr="008776A9" w:rsidRDefault="0060604D" w:rsidP="008776A9">
      <w:pPr>
        <w:jc w:val="both"/>
        <w:rPr>
          <w:rFonts w:asciiTheme="minorHAnsi" w:hAnsiTheme="minorHAnsi"/>
          <w:b/>
          <w:color w:val="E36C0A" w:themeColor="accent6" w:themeShade="BF"/>
        </w:rPr>
      </w:pPr>
      <w:r w:rsidRPr="008776A9">
        <w:rPr>
          <w:rFonts w:asciiTheme="minorHAnsi" w:hAnsiTheme="minorHAnsi"/>
          <w:b/>
          <w:color w:val="E36C0A" w:themeColor="accent6" w:themeShade="BF"/>
        </w:rPr>
        <w:t xml:space="preserve">Transitioning the Superannuation Complaints Tribunal </w:t>
      </w:r>
      <w:r w:rsidR="0084083D">
        <w:rPr>
          <w:rFonts w:asciiTheme="minorHAnsi" w:hAnsiTheme="minorHAnsi"/>
          <w:b/>
          <w:color w:val="E36C0A" w:themeColor="accent6" w:themeShade="BF"/>
        </w:rPr>
        <w:t>(SCT) to a</w:t>
      </w:r>
      <w:r w:rsidRPr="008776A9">
        <w:rPr>
          <w:rFonts w:asciiTheme="minorHAnsi" w:hAnsiTheme="minorHAnsi"/>
          <w:b/>
          <w:color w:val="E36C0A" w:themeColor="accent6" w:themeShade="BF"/>
        </w:rPr>
        <w:t xml:space="preserve"> single complaints authority</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It is acknowledged that the SCT needs some time to transition to the new regime and that the current backlog of cases needs to be cleared before the superannuation complaints authority joins its other financial services counterparts in the streamlin</w:t>
      </w:r>
      <w:r w:rsidR="001F021D">
        <w:rPr>
          <w:rFonts w:asciiTheme="minorHAnsi" w:hAnsiTheme="minorHAnsi"/>
        </w:rPr>
        <w:t>ed structure. We encourage the G</w:t>
      </w:r>
      <w:r w:rsidRPr="008776A9">
        <w:rPr>
          <w:rFonts w:asciiTheme="minorHAnsi" w:hAnsiTheme="minorHAnsi"/>
        </w:rPr>
        <w:t xml:space="preserve">overnment and all relevant agencies to </w:t>
      </w:r>
      <w:r w:rsidR="0084083D">
        <w:rPr>
          <w:rFonts w:asciiTheme="minorHAnsi" w:hAnsiTheme="minorHAnsi"/>
        </w:rPr>
        <w:t>determine</w:t>
      </w:r>
      <w:r w:rsidRPr="008776A9">
        <w:rPr>
          <w:rFonts w:asciiTheme="minorHAnsi" w:hAnsiTheme="minorHAnsi"/>
        </w:rPr>
        <w:t xml:space="preserve"> whether there is any way of expediting the merger of the </w:t>
      </w:r>
      <w:r w:rsidR="001F021D">
        <w:rPr>
          <w:rFonts w:asciiTheme="minorHAnsi" w:hAnsiTheme="minorHAnsi"/>
        </w:rPr>
        <w:t xml:space="preserve">SCT </w:t>
      </w:r>
      <w:r w:rsidRPr="008776A9">
        <w:rPr>
          <w:rFonts w:asciiTheme="minorHAnsi" w:hAnsiTheme="minorHAnsi"/>
        </w:rPr>
        <w:t>so that a fully integrated complaints regime can be implemented.</w:t>
      </w:r>
    </w:p>
    <w:p w:rsidR="0084083D" w:rsidRDefault="0084083D"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Nothing further has come to our attention that would lead us to deem the intended course of action regarding the incorporation of the superannuation complaints regime as inappropriate.</w:t>
      </w:r>
    </w:p>
    <w:p w:rsidR="006B2A8A" w:rsidRPr="008776A9" w:rsidRDefault="006B2A8A" w:rsidP="008776A9">
      <w:pPr>
        <w:jc w:val="both"/>
        <w:rPr>
          <w:rFonts w:asciiTheme="minorHAnsi" w:hAnsiTheme="minorHAnsi"/>
          <w:b/>
        </w:rPr>
      </w:pPr>
    </w:p>
    <w:p w:rsidR="0060604D" w:rsidRPr="008776A9" w:rsidRDefault="0060604D" w:rsidP="008776A9">
      <w:pPr>
        <w:jc w:val="both"/>
        <w:rPr>
          <w:rFonts w:asciiTheme="minorHAnsi" w:hAnsiTheme="minorHAnsi"/>
          <w:b/>
          <w:color w:val="E36C0A" w:themeColor="accent6" w:themeShade="BF"/>
        </w:rPr>
      </w:pPr>
      <w:r w:rsidRPr="008776A9">
        <w:rPr>
          <w:rFonts w:asciiTheme="minorHAnsi" w:hAnsiTheme="minorHAnsi"/>
          <w:b/>
          <w:color w:val="E36C0A" w:themeColor="accent6" w:themeShade="BF"/>
        </w:rPr>
        <w:t>Appropriateness of the legislation</w:t>
      </w:r>
    </w:p>
    <w:p w:rsidR="006B2A8A" w:rsidRPr="008776A9" w:rsidRDefault="006B2A8A" w:rsidP="008776A9">
      <w:pPr>
        <w:jc w:val="both"/>
        <w:rPr>
          <w:rFonts w:asciiTheme="minorHAnsi" w:hAnsiTheme="minorHAnsi"/>
        </w:rPr>
      </w:pPr>
    </w:p>
    <w:p w:rsidR="0060604D" w:rsidRPr="008776A9" w:rsidRDefault="0060604D" w:rsidP="008776A9">
      <w:pPr>
        <w:jc w:val="both"/>
        <w:rPr>
          <w:rFonts w:asciiTheme="minorHAnsi" w:hAnsiTheme="minorHAnsi"/>
        </w:rPr>
      </w:pPr>
      <w:r w:rsidRPr="008776A9">
        <w:rPr>
          <w:rFonts w:asciiTheme="minorHAnsi" w:hAnsiTheme="minorHAnsi"/>
        </w:rPr>
        <w:t>The drafting of the proposed Bi</w:t>
      </w:r>
      <w:r w:rsidR="003F3B77">
        <w:rPr>
          <w:rFonts w:asciiTheme="minorHAnsi" w:hAnsiTheme="minorHAnsi"/>
        </w:rPr>
        <w:t>ll is appropriate given that</w:t>
      </w:r>
      <w:r w:rsidRPr="008776A9">
        <w:rPr>
          <w:rFonts w:asciiTheme="minorHAnsi" w:hAnsiTheme="minorHAnsi"/>
        </w:rPr>
        <w:t xml:space="preserve"> it </w:t>
      </w:r>
      <w:r w:rsidR="003F3B77">
        <w:rPr>
          <w:rFonts w:asciiTheme="minorHAnsi" w:hAnsiTheme="minorHAnsi"/>
        </w:rPr>
        <w:t>establishes</w:t>
      </w:r>
      <w:r w:rsidRPr="008776A9">
        <w:rPr>
          <w:rFonts w:asciiTheme="minorHAnsi" w:hAnsiTheme="minorHAnsi"/>
        </w:rPr>
        <w:t xml:space="preserve"> an initial framework that sets down the responsibilities of the </w:t>
      </w:r>
      <w:r w:rsidR="003F3B77">
        <w:rPr>
          <w:rFonts w:asciiTheme="minorHAnsi" w:hAnsiTheme="minorHAnsi"/>
        </w:rPr>
        <w:t>M</w:t>
      </w:r>
      <w:r w:rsidRPr="008776A9">
        <w:rPr>
          <w:rFonts w:asciiTheme="minorHAnsi" w:hAnsiTheme="minorHAnsi"/>
        </w:rPr>
        <w:t xml:space="preserve">inister and the corporate regulator. Details </w:t>
      </w:r>
      <w:r w:rsidR="003F3B77">
        <w:rPr>
          <w:rFonts w:asciiTheme="minorHAnsi" w:hAnsiTheme="minorHAnsi"/>
        </w:rPr>
        <w:t>regarding the manner</w:t>
      </w:r>
      <w:r w:rsidRPr="008776A9">
        <w:rPr>
          <w:rFonts w:asciiTheme="minorHAnsi" w:hAnsiTheme="minorHAnsi"/>
        </w:rPr>
        <w:t xml:space="preserve"> in which the r</w:t>
      </w:r>
      <w:r w:rsidR="003F3B77">
        <w:rPr>
          <w:rFonts w:asciiTheme="minorHAnsi" w:hAnsiTheme="minorHAnsi"/>
        </w:rPr>
        <w:t>egime itself will work on a day-</w:t>
      </w:r>
      <w:r w:rsidRPr="008776A9">
        <w:rPr>
          <w:rFonts w:asciiTheme="minorHAnsi" w:hAnsiTheme="minorHAnsi"/>
        </w:rPr>
        <w:t>by</w:t>
      </w:r>
      <w:r w:rsidR="003F3B77">
        <w:rPr>
          <w:rFonts w:asciiTheme="minorHAnsi" w:hAnsiTheme="minorHAnsi"/>
        </w:rPr>
        <w:t>-</w:t>
      </w:r>
      <w:r w:rsidRPr="008776A9">
        <w:rPr>
          <w:rFonts w:asciiTheme="minorHAnsi" w:hAnsiTheme="minorHAnsi"/>
        </w:rPr>
        <w:t xml:space="preserve">day basis will be </w:t>
      </w:r>
      <w:r w:rsidR="003F3B77">
        <w:rPr>
          <w:rFonts w:asciiTheme="minorHAnsi" w:hAnsiTheme="minorHAnsi"/>
        </w:rPr>
        <w:t xml:space="preserve">provided </w:t>
      </w:r>
      <w:r w:rsidRPr="008776A9">
        <w:rPr>
          <w:rFonts w:asciiTheme="minorHAnsi" w:hAnsiTheme="minorHAnsi"/>
        </w:rPr>
        <w:t xml:space="preserve">either </w:t>
      </w:r>
      <w:r w:rsidR="003F3B77">
        <w:rPr>
          <w:rFonts w:asciiTheme="minorHAnsi" w:hAnsiTheme="minorHAnsi"/>
        </w:rPr>
        <w:t xml:space="preserve">in the </w:t>
      </w:r>
      <w:r w:rsidRPr="008776A9">
        <w:rPr>
          <w:rFonts w:asciiTheme="minorHAnsi" w:hAnsiTheme="minorHAnsi"/>
        </w:rPr>
        <w:t xml:space="preserve">regulations, specific </w:t>
      </w:r>
      <w:r w:rsidR="001C3D9C" w:rsidRPr="008776A9">
        <w:rPr>
          <w:rFonts w:asciiTheme="minorHAnsi" w:hAnsiTheme="minorHAnsi"/>
        </w:rPr>
        <w:t>directives</w:t>
      </w:r>
      <w:r w:rsidRPr="008776A9">
        <w:rPr>
          <w:rFonts w:asciiTheme="minorHAnsi" w:hAnsiTheme="minorHAnsi"/>
        </w:rPr>
        <w:t xml:space="preserve"> from ASIC</w:t>
      </w:r>
      <w:r w:rsidR="003F3B77">
        <w:rPr>
          <w:rFonts w:asciiTheme="minorHAnsi" w:hAnsiTheme="minorHAnsi"/>
        </w:rPr>
        <w:t>,</w:t>
      </w:r>
      <w:r w:rsidRPr="008776A9">
        <w:rPr>
          <w:rFonts w:asciiTheme="minorHAnsi" w:hAnsiTheme="minorHAnsi"/>
        </w:rPr>
        <w:t xml:space="preserve"> or the </w:t>
      </w:r>
      <w:r w:rsidR="001C3D9C" w:rsidRPr="008776A9">
        <w:rPr>
          <w:rFonts w:asciiTheme="minorHAnsi" w:hAnsiTheme="minorHAnsi"/>
        </w:rPr>
        <w:t>internal</w:t>
      </w:r>
      <w:r w:rsidRPr="008776A9">
        <w:rPr>
          <w:rFonts w:asciiTheme="minorHAnsi" w:hAnsiTheme="minorHAnsi"/>
        </w:rPr>
        <w:t xml:space="preserve"> proce</w:t>
      </w:r>
      <w:r w:rsidR="003F3B77">
        <w:rPr>
          <w:rFonts w:asciiTheme="minorHAnsi" w:hAnsiTheme="minorHAnsi"/>
        </w:rPr>
        <w:t xml:space="preserve">sses of the scheme itself. It is important that the legislation </w:t>
      </w:r>
      <w:r w:rsidRPr="008776A9">
        <w:rPr>
          <w:rFonts w:asciiTheme="minorHAnsi" w:hAnsiTheme="minorHAnsi"/>
        </w:rPr>
        <w:t>set</w:t>
      </w:r>
      <w:r w:rsidR="003F3B77">
        <w:rPr>
          <w:rFonts w:asciiTheme="minorHAnsi" w:hAnsiTheme="minorHAnsi"/>
        </w:rPr>
        <w:t>s</w:t>
      </w:r>
      <w:r w:rsidRPr="008776A9">
        <w:rPr>
          <w:rFonts w:asciiTheme="minorHAnsi" w:hAnsiTheme="minorHAnsi"/>
        </w:rPr>
        <w:t xml:space="preserve"> down the basics of the structure and general expectations of the external disputes resolution scheme</w:t>
      </w:r>
      <w:r w:rsidR="003F3B77">
        <w:rPr>
          <w:rFonts w:asciiTheme="minorHAnsi" w:hAnsiTheme="minorHAnsi"/>
        </w:rPr>
        <w:t>, while the operational and perfunctory aspects of the regime will be covered in more detail in accompanying regulations and directives (as discussed above).</w:t>
      </w:r>
      <w:r w:rsidRPr="008776A9">
        <w:rPr>
          <w:rFonts w:asciiTheme="minorHAnsi" w:hAnsiTheme="minorHAnsi"/>
        </w:rPr>
        <w:t xml:space="preserve"> </w:t>
      </w:r>
      <w:r w:rsidR="003F3B77">
        <w:rPr>
          <w:rFonts w:asciiTheme="minorHAnsi" w:hAnsiTheme="minorHAnsi"/>
        </w:rPr>
        <w:t xml:space="preserve">We note however, that there is considerable detail in the </w:t>
      </w:r>
      <w:r w:rsidR="00972221">
        <w:rPr>
          <w:rFonts w:asciiTheme="minorHAnsi" w:hAnsiTheme="minorHAnsi"/>
        </w:rPr>
        <w:t>B</w:t>
      </w:r>
      <w:r w:rsidR="003F3B77">
        <w:rPr>
          <w:rFonts w:asciiTheme="minorHAnsi" w:hAnsiTheme="minorHAnsi"/>
        </w:rPr>
        <w:t xml:space="preserve">ill relating to external </w:t>
      </w:r>
      <w:r w:rsidR="003834E9">
        <w:rPr>
          <w:rFonts w:asciiTheme="minorHAnsi" w:hAnsiTheme="minorHAnsi"/>
        </w:rPr>
        <w:t>dispute</w:t>
      </w:r>
      <w:r w:rsidR="003F3B77">
        <w:rPr>
          <w:rFonts w:asciiTheme="minorHAnsi" w:hAnsiTheme="minorHAnsi"/>
        </w:rPr>
        <w:t xml:space="preserve"> resolution with respect to superannuation complaints, and </w:t>
      </w:r>
      <w:r w:rsidR="003834E9">
        <w:rPr>
          <w:rFonts w:asciiTheme="minorHAnsi" w:hAnsiTheme="minorHAnsi"/>
        </w:rPr>
        <w:t xml:space="preserve">this in itself is </w:t>
      </w:r>
      <w:r w:rsidR="003F3B77">
        <w:rPr>
          <w:rFonts w:asciiTheme="minorHAnsi" w:hAnsiTheme="minorHAnsi"/>
        </w:rPr>
        <w:t xml:space="preserve">not </w:t>
      </w:r>
      <w:r w:rsidR="003834E9">
        <w:rPr>
          <w:rFonts w:asciiTheme="minorHAnsi" w:hAnsiTheme="minorHAnsi"/>
        </w:rPr>
        <w:t>unreasonable</w:t>
      </w:r>
      <w:r w:rsidR="003F3B77">
        <w:rPr>
          <w:rFonts w:asciiTheme="minorHAnsi" w:hAnsiTheme="minorHAnsi"/>
        </w:rPr>
        <w:t xml:space="preserve"> given the </w:t>
      </w:r>
      <w:r w:rsidR="003834E9">
        <w:rPr>
          <w:rFonts w:asciiTheme="minorHAnsi" w:hAnsiTheme="minorHAnsi"/>
        </w:rPr>
        <w:t xml:space="preserve">review panel’s comments have noted the </w:t>
      </w:r>
      <w:r w:rsidRPr="008776A9">
        <w:rPr>
          <w:rFonts w:asciiTheme="minorHAnsi" w:hAnsiTheme="minorHAnsi"/>
        </w:rPr>
        <w:t xml:space="preserve">special characteristics of superannuation. </w:t>
      </w:r>
      <w:r w:rsidR="00972221">
        <w:rPr>
          <w:rFonts w:asciiTheme="minorHAnsi" w:hAnsiTheme="minorHAnsi"/>
        </w:rPr>
        <w:t xml:space="preserve">We urge Treasury and the Government to consider the concerns and issues raised by IPA members who work in the financial services industry, especially as small businesses.  For these reasons it is critical that the new regime be thoroughly reviewed and changed as needed and at regular intervals.  </w:t>
      </w:r>
    </w:p>
    <w:p w:rsidR="0060604D" w:rsidRPr="008776A9" w:rsidRDefault="0060604D" w:rsidP="008776A9">
      <w:pPr>
        <w:jc w:val="both"/>
        <w:rPr>
          <w:rFonts w:asciiTheme="minorHAnsi" w:hAnsiTheme="minorHAnsi"/>
        </w:rPr>
      </w:pPr>
    </w:p>
    <w:tbl>
      <w:tblPr>
        <w:tblW w:w="0" w:type="auto"/>
        <w:tblLook w:val="01E0" w:firstRow="1" w:lastRow="1" w:firstColumn="1" w:lastColumn="1" w:noHBand="0" w:noVBand="0"/>
      </w:tblPr>
      <w:tblGrid>
        <w:gridCol w:w="1652"/>
        <w:gridCol w:w="7412"/>
      </w:tblGrid>
      <w:tr w:rsidR="00E47623" w:rsidRPr="008776A9" w:rsidTr="006B2A8A">
        <w:tc>
          <w:tcPr>
            <w:tcW w:w="1652" w:type="dxa"/>
          </w:tcPr>
          <w:p w:rsidR="00E47623" w:rsidRPr="008776A9" w:rsidRDefault="00E47623" w:rsidP="008776A9">
            <w:pPr>
              <w:pStyle w:val="SingleParagraph"/>
              <w:rPr>
                <w:rFonts w:asciiTheme="minorHAnsi" w:hAnsiTheme="minorHAnsi" w:cs="Arial"/>
                <w:sz w:val="24"/>
                <w:szCs w:val="24"/>
              </w:rPr>
            </w:pPr>
          </w:p>
        </w:tc>
        <w:tc>
          <w:tcPr>
            <w:tcW w:w="7412" w:type="dxa"/>
          </w:tcPr>
          <w:p w:rsidR="00E47623" w:rsidRPr="008776A9" w:rsidRDefault="00E47623" w:rsidP="008776A9">
            <w:pPr>
              <w:jc w:val="both"/>
              <w:rPr>
                <w:rFonts w:asciiTheme="minorHAnsi" w:hAnsiTheme="minorHAnsi" w:cs="Arial"/>
              </w:rPr>
            </w:pPr>
          </w:p>
        </w:tc>
      </w:tr>
    </w:tbl>
    <w:p w:rsidR="00276096" w:rsidRDefault="0002398F" w:rsidP="008776A9">
      <w:pPr>
        <w:spacing w:after="200" w:line="276" w:lineRule="auto"/>
        <w:jc w:val="both"/>
        <w:rPr>
          <w:rFonts w:asciiTheme="minorHAnsi" w:hAnsiTheme="minorHAnsi" w:cstheme="minorHAnsi"/>
          <w:color w:val="000000"/>
        </w:rPr>
      </w:pPr>
      <w:r w:rsidRPr="008776A9">
        <w:rPr>
          <w:rFonts w:asciiTheme="minorHAnsi" w:eastAsiaTheme="minorHAnsi" w:hAnsiTheme="minorHAnsi" w:cstheme="minorHAnsi"/>
        </w:rPr>
        <w:t xml:space="preserve">We thank </w:t>
      </w:r>
      <w:r w:rsidR="0055280B" w:rsidRPr="008776A9">
        <w:rPr>
          <w:rFonts w:asciiTheme="minorHAnsi" w:eastAsiaTheme="minorHAnsi" w:hAnsiTheme="minorHAnsi" w:cstheme="minorHAnsi"/>
        </w:rPr>
        <w:t xml:space="preserve">the </w:t>
      </w:r>
      <w:r w:rsidR="00972221">
        <w:rPr>
          <w:rFonts w:asciiTheme="minorHAnsi" w:eastAsiaTheme="minorHAnsi" w:hAnsiTheme="minorHAnsi" w:cstheme="minorHAnsi"/>
        </w:rPr>
        <w:t>G</w:t>
      </w:r>
      <w:r w:rsidR="0055280B" w:rsidRPr="008776A9">
        <w:rPr>
          <w:rFonts w:asciiTheme="minorHAnsi" w:eastAsiaTheme="minorHAnsi" w:hAnsiTheme="minorHAnsi" w:cstheme="minorHAnsi"/>
        </w:rPr>
        <w:t xml:space="preserve">overnment </w:t>
      </w:r>
      <w:r w:rsidRPr="008776A9">
        <w:rPr>
          <w:rFonts w:asciiTheme="minorHAnsi" w:eastAsiaTheme="minorHAnsi" w:hAnsiTheme="minorHAnsi" w:cstheme="minorHAnsi"/>
        </w:rPr>
        <w:t xml:space="preserve">for the opportunity </w:t>
      </w:r>
      <w:r w:rsidR="008B21BE" w:rsidRPr="008776A9">
        <w:rPr>
          <w:rFonts w:asciiTheme="minorHAnsi" w:eastAsiaTheme="minorHAnsi" w:hAnsiTheme="minorHAnsi" w:cstheme="minorHAnsi"/>
        </w:rPr>
        <w:t xml:space="preserve">to provide a </w:t>
      </w:r>
      <w:r w:rsidR="0055280B" w:rsidRPr="008776A9">
        <w:rPr>
          <w:rFonts w:asciiTheme="minorHAnsi" w:eastAsiaTheme="minorHAnsi" w:hAnsiTheme="minorHAnsi" w:cstheme="minorHAnsi"/>
        </w:rPr>
        <w:t xml:space="preserve">response to the </w:t>
      </w:r>
      <w:r w:rsidR="00972221">
        <w:rPr>
          <w:rFonts w:asciiTheme="minorHAnsi" w:eastAsiaTheme="minorHAnsi" w:hAnsiTheme="minorHAnsi" w:cstheme="minorHAnsi"/>
        </w:rPr>
        <w:t>c</w:t>
      </w:r>
      <w:r w:rsidR="008776A9" w:rsidRPr="008776A9">
        <w:rPr>
          <w:rFonts w:asciiTheme="minorHAnsi" w:eastAsiaTheme="minorHAnsi" w:hAnsiTheme="minorHAnsi" w:cstheme="minorHAnsi"/>
        </w:rPr>
        <w:t xml:space="preserve">onsultation paper for </w:t>
      </w:r>
      <w:r w:rsidR="008776A9">
        <w:rPr>
          <w:rFonts w:asciiTheme="minorHAnsi" w:eastAsiaTheme="minorHAnsi" w:hAnsiTheme="minorHAnsi" w:cstheme="minorHAnsi"/>
        </w:rPr>
        <w:t xml:space="preserve">Improving </w:t>
      </w:r>
      <w:r w:rsidR="008776A9" w:rsidRPr="008776A9">
        <w:rPr>
          <w:rFonts w:asciiTheme="minorHAnsi" w:eastAsiaTheme="minorHAnsi" w:hAnsiTheme="minorHAnsi" w:cstheme="minorHAnsi"/>
        </w:rPr>
        <w:t>Dispute Resolution</w:t>
      </w:r>
      <w:r w:rsidR="008776A9">
        <w:rPr>
          <w:rFonts w:asciiTheme="minorHAnsi" w:eastAsiaTheme="minorHAnsi" w:hAnsiTheme="minorHAnsi" w:cstheme="minorHAnsi"/>
        </w:rPr>
        <w:t xml:space="preserve"> in the Financial S</w:t>
      </w:r>
      <w:r w:rsidR="008776A9" w:rsidRPr="008776A9">
        <w:rPr>
          <w:rFonts w:asciiTheme="minorHAnsi" w:eastAsiaTheme="minorHAnsi" w:hAnsiTheme="minorHAnsi" w:cstheme="minorHAnsi"/>
        </w:rPr>
        <w:t>ystem</w:t>
      </w:r>
      <w:r w:rsidR="0055280B" w:rsidRPr="008776A9">
        <w:rPr>
          <w:rFonts w:asciiTheme="minorHAnsi" w:eastAsiaTheme="minorHAnsi" w:hAnsiTheme="minorHAnsi" w:cstheme="minorHAnsi"/>
        </w:rPr>
        <w:t>.</w:t>
      </w:r>
      <w:r w:rsidRPr="008776A9">
        <w:rPr>
          <w:rFonts w:asciiTheme="minorHAnsi" w:eastAsiaTheme="minorHAnsi" w:hAnsiTheme="minorHAnsi" w:cstheme="minorHAnsi"/>
        </w:rPr>
        <w:t xml:space="preserve"> </w:t>
      </w:r>
      <w:r w:rsidR="00C64180">
        <w:rPr>
          <w:rFonts w:asciiTheme="minorHAnsi" w:eastAsiaTheme="minorHAnsi" w:hAnsiTheme="minorHAnsi" w:cstheme="minorHAnsi"/>
        </w:rPr>
        <w:t>We would be happy</w:t>
      </w:r>
      <w:r w:rsidR="00737EF8" w:rsidRPr="008776A9">
        <w:rPr>
          <w:rFonts w:asciiTheme="minorHAnsi" w:eastAsiaTheme="minorHAnsi" w:hAnsiTheme="minorHAnsi" w:cstheme="minorHAnsi"/>
        </w:rPr>
        <w:t xml:space="preserve"> to discuss any of our comments </w:t>
      </w:r>
      <w:r w:rsidR="00C64180">
        <w:rPr>
          <w:rFonts w:asciiTheme="minorHAnsi" w:eastAsiaTheme="minorHAnsi" w:hAnsiTheme="minorHAnsi" w:cstheme="minorHAnsi"/>
        </w:rPr>
        <w:t>above or provide</w:t>
      </w:r>
      <w:r w:rsidR="00737EF8" w:rsidRPr="008776A9">
        <w:rPr>
          <w:rFonts w:asciiTheme="minorHAnsi" w:eastAsiaTheme="minorHAnsi" w:hAnsiTheme="minorHAnsi" w:cstheme="minorHAnsi"/>
        </w:rPr>
        <w:t xml:space="preserve"> further information</w:t>
      </w:r>
      <w:r w:rsidR="00C64180">
        <w:rPr>
          <w:rFonts w:asciiTheme="minorHAnsi" w:eastAsiaTheme="minorHAnsi" w:hAnsiTheme="minorHAnsi" w:cstheme="minorHAnsi"/>
        </w:rPr>
        <w:t xml:space="preserve">. In </w:t>
      </w:r>
      <w:r w:rsidR="00972221">
        <w:rPr>
          <w:rFonts w:asciiTheme="minorHAnsi" w:eastAsiaTheme="minorHAnsi" w:hAnsiTheme="minorHAnsi" w:cstheme="minorHAnsi"/>
        </w:rPr>
        <w:t xml:space="preserve">this </w:t>
      </w:r>
      <w:r w:rsidR="00C64180">
        <w:rPr>
          <w:rFonts w:asciiTheme="minorHAnsi" w:eastAsiaTheme="minorHAnsi" w:hAnsiTheme="minorHAnsi" w:cstheme="minorHAnsi"/>
        </w:rPr>
        <w:t>regard</w:t>
      </w:r>
      <w:r w:rsidR="00737EF8" w:rsidRPr="008776A9">
        <w:rPr>
          <w:rFonts w:asciiTheme="minorHAnsi" w:eastAsiaTheme="minorHAnsi" w:hAnsiTheme="minorHAnsi" w:cstheme="minorHAnsi"/>
        </w:rPr>
        <w:t xml:space="preserve"> please contact</w:t>
      </w:r>
      <w:r w:rsidR="00737EF8" w:rsidRPr="008776A9">
        <w:rPr>
          <w:rFonts w:asciiTheme="minorHAnsi" w:hAnsiTheme="minorHAnsi" w:cstheme="minorHAnsi"/>
          <w:color w:val="000000"/>
        </w:rPr>
        <w:t xml:space="preserve"> Vicki Stylianou at </w:t>
      </w:r>
      <w:hyperlink r:id="rId17" w:history="1">
        <w:r w:rsidR="00737EF8" w:rsidRPr="008776A9">
          <w:rPr>
            <w:rStyle w:val="Hyperlink"/>
            <w:rFonts w:asciiTheme="minorHAnsi" w:hAnsiTheme="minorHAnsi" w:cstheme="minorHAnsi"/>
          </w:rPr>
          <w:t>vicki.stylianou@publicaccountants.org.au</w:t>
        </w:r>
      </w:hyperlink>
      <w:r w:rsidR="008776A9">
        <w:rPr>
          <w:rFonts w:asciiTheme="minorHAnsi" w:hAnsiTheme="minorHAnsi" w:cstheme="minorHAnsi"/>
          <w:color w:val="000000"/>
        </w:rPr>
        <w:t xml:space="preserve"> </w:t>
      </w:r>
      <w:r w:rsidR="00972221">
        <w:rPr>
          <w:rFonts w:asciiTheme="minorHAnsi" w:hAnsiTheme="minorHAnsi" w:cstheme="minorHAnsi"/>
          <w:color w:val="000000"/>
        </w:rPr>
        <w:t xml:space="preserve">or </w:t>
      </w:r>
      <w:r w:rsidR="00737EF8" w:rsidRPr="008776A9">
        <w:rPr>
          <w:rFonts w:asciiTheme="minorHAnsi" w:hAnsiTheme="minorHAnsi" w:cstheme="minorHAnsi"/>
          <w:color w:val="000000"/>
        </w:rPr>
        <w:t>on mob</w:t>
      </w:r>
      <w:r w:rsidR="00F76EB9" w:rsidRPr="008776A9">
        <w:rPr>
          <w:rFonts w:asciiTheme="minorHAnsi" w:hAnsiTheme="minorHAnsi" w:cstheme="minorHAnsi"/>
          <w:color w:val="000000"/>
        </w:rPr>
        <w:t>ile</w:t>
      </w:r>
      <w:r w:rsidR="00737EF8" w:rsidRPr="008776A9">
        <w:rPr>
          <w:rFonts w:asciiTheme="minorHAnsi" w:hAnsiTheme="minorHAnsi" w:cstheme="minorHAnsi"/>
          <w:color w:val="000000"/>
        </w:rPr>
        <w:t xml:space="preserve"> 0419 942</w:t>
      </w:r>
      <w:r w:rsidR="00165F75">
        <w:rPr>
          <w:rFonts w:asciiTheme="minorHAnsi" w:hAnsiTheme="minorHAnsi" w:cstheme="minorHAnsi"/>
          <w:color w:val="000000"/>
        </w:rPr>
        <w:t xml:space="preserve"> </w:t>
      </w:r>
      <w:r w:rsidR="00737EF8" w:rsidRPr="008776A9">
        <w:rPr>
          <w:rFonts w:asciiTheme="minorHAnsi" w:hAnsiTheme="minorHAnsi" w:cstheme="minorHAnsi"/>
          <w:color w:val="000000"/>
        </w:rPr>
        <w:t>733</w:t>
      </w:r>
      <w:r w:rsidR="00972221">
        <w:rPr>
          <w:rFonts w:asciiTheme="minorHAnsi" w:hAnsiTheme="minorHAnsi" w:cstheme="minorHAnsi"/>
          <w:color w:val="000000"/>
        </w:rPr>
        <w:t xml:space="preserve">.  </w:t>
      </w:r>
      <w:r w:rsidR="00737EF8" w:rsidRPr="008776A9">
        <w:rPr>
          <w:rFonts w:asciiTheme="minorHAnsi" w:hAnsiTheme="minorHAnsi" w:cstheme="minorHAnsi"/>
          <w:color w:val="000000"/>
        </w:rPr>
        <w:t xml:space="preserve"> </w:t>
      </w:r>
    </w:p>
    <w:p w:rsidR="00C64180" w:rsidRPr="008776A9" w:rsidRDefault="00C64180" w:rsidP="008776A9">
      <w:pPr>
        <w:spacing w:after="200" w:line="276" w:lineRule="auto"/>
        <w:jc w:val="both"/>
        <w:rPr>
          <w:rFonts w:asciiTheme="minorHAnsi" w:eastAsiaTheme="minorHAnsi" w:hAnsiTheme="minorHAnsi" w:cstheme="minorHAnsi"/>
          <w:i/>
        </w:rPr>
      </w:pPr>
    </w:p>
    <w:p w:rsidR="00737EF8" w:rsidRPr="008776A9" w:rsidRDefault="00737EF8" w:rsidP="00737EF8">
      <w:pPr>
        <w:spacing w:line="360" w:lineRule="auto"/>
        <w:jc w:val="both"/>
        <w:rPr>
          <w:rFonts w:asciiTheme="minorHAnsi" w:hAnsiTheme="minorHAnsi" w:cstheme="minorHAnsi"/>
          <w:color w:val="000000"/>
        </w:rPr>
      </w:pPr>
      <w:r w:rsidRPr="008776A9">
        <w:rPr>
          <w:rFonts w:asciiTheme="minorHAnsi" w:hAnsiTheme="minorHAnsi" w:cstheme="minorHAnsi"/>
          <w:color w:val="000000"/>
        </w:rPr>
        <w:t xml:space="preserve">Yours </w:t>
      </w:r>
      <w:r w:rsidR="00972221">
        <w:rPr>
          <w:rFonts w:asciiTheme="minorHAnsi" w:hAnsiTheme="minorHAnsi" w:cstheme="minorHAnsi"/>
          <w:color w:val="000000"/>
        </w:rPr>
        <w:t>faithful</w:t>
      </w:r>
      <w:r w:rsidRPr="008776A9">
        <w:rPr>
          <w:rFonts w:asciiTheme="minorHAnsi" w:hAnsiTheme="minorHAnsi" w:cstheme="minorHAnsi"/>
          <w:color w:val="000000"/>
        </w:rPr>
        <w:t xml:space="preserve">ly </w:t>
      </w:r>
    </w:p>
    <w:p w:rsidR="00737EF8" w:rsidRPr="008776A9" w:rsidRDefault="00737EF8" w:rsidP="00737EF8">
      <w:pPr>
        <w:spacing w:line="360" w:lineRule="auto"/>
        <w:jc w:val="both"/>
        <w:rPr>
          <w:rFonts w:asciiTheme="minorHAnsi" w:hAnsiTheme="minorHAnsi" w:cstheme="minorHAnsi"/>
          <w:color w:val="000000"/>
        </w:rPr>
      </w:pPr>
      <w:r w:rsidRPr="008776A9">
        <w:rPr>
          <w:rFonts w:asciiTheme="minorHAnsi" w:hAnsiTheme="minorHAnsi" w:cstheme="minorHAnsi"/>
          <w:noProof/>
          <w:color w:val="000000"/>
        </w:rPr>
        <w:drawing>
          <wp:inline distT="0" distB="0" distL="0" distR="0" wp14:anchorId="151E2C6F" wp14:editId="419B5F96">
            <wp:extent cx="1894840" cy="609556"/>
            <wp:effectExtent l="0" t="0" r="0" b="635"/>
            <wp:docPr id="2" name="Picture 2" descr="C:\Users\vicki.stylianou\Desktop\Vicki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stylianou\Desktop\VickiSi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461" cy="616833"/>
                    </a:xfrm>
                    <a:prstGeom prst="rect">
                      <a:avLst/>
                    </a:prstGeom>
                    <a:noFill/>
                    <a:ln>
                      <a:noFill/>
                    </a:ln>
                  </pic:spPr>
                </pic:pic>
              </a:graphicData>
            </a:graphic>
          </wp:inline>
        </w:drawing>
      </w:r>
    </w:p>
    <w:p w:rsidR="001C6E76" w:rsidRPr="00A53EB5" w:rsidRDefault="00737EF8" w:rsidP="00276096">
      <w:pPr>
        <w:spacing w:line="360" w:lineRule="auto"/>
        <w:rPr>
          <w:rFonts w:asciiTheme="minorHAnsi" w:hAnsiTheme="minorHAnsi" w:cstheme="minorHAnsi"/>
          <w:b/>
          <w:color w:val="000000"/>
        </w:rPr>
      </w:pPr>
      <w:r w:rsidRPr="008776A9">
        <w:rPr>
          <w:rFonts w:asciiTheme="minorHAnsi" w:hAnsiTheme="minorHAnsi" w:cstheme="minorHAnsi"/>
          <w:color w:val="000000"/>
        </w:rPr>
        <w:t>Vicki Stylianou</w:t>
      </w:r>
      <w:r w:rsidR="00AF6328" w:rsidRPr="008776A9">
        <w:rPr>
          <w:rFonts w:asciiTheme="minorHAnsi" w:eastAsiaTheme="minorHAnsi" w:hAnsiTheme="minorHAnsi" w:cstheme="minorHAnsi"/>
        </w:rPr>
        <w:br/>
      </w:r>
      <w:r w:rsidRPr="008776A9">
        <w:rPr>
          <w:rFonts w:asciiTheme="minorHAnsi" w:hAnsiTheme="minorHAnsi" w:cstheme="minorHAnsi"/>
          <w:color w:val="000000"/>
        </w:rPr>
        <w:t>Executive General Manager, Advocacy &amp; Technical</w:t>
      </w:r>
      <w:r w:rsidR="00AF6328" w:rsidRPr="008776A9">
        <w:rPr>
          <w:rFonts w:asciiTheme="minorHAnsi" w:eastAsiaTheme="minorHAnsi" w:hAnsiTheme="minorHAnsi" w:cstheme="minorHAnsi"/>
        </w:rPr>
        <w:br/>
      </w:r>
      <w:r w:rsidRPr="008776A9">
        <w:rPr>
          <w:rFonts w:asciiTheme="minorHAnsi" w:hAnsiTheme="minorHAnsi" w:cstheme="minorHAnsi"/>
          <w:color w:val="000000"/>
        </w:rPr>
        <w:t xml:space="preserve">Institute of Public Accountants </w:t>
      </w:r>
    </w:p>
    <w:p w:rsidR="001C6E76" w:rsidRPr="00A53EB5" w:rsidRDefault="001C6E76" w:rsidP="00276096">
      <w:pPr>
        <w:spacing w:line="360" w:lineRule="auto"/>
        <w:rPr>
          <w:rFonts w:asciiTheme="minorHAnsi" w:hAnsiTheme="minorHAnsi" w:cstheme="minorHAnsi"/>
          <w:b/>
          <w:color w:val="000000"/>
        </w:rPr>
      </w:pPr>
    </w:p>
    <w:p w:rsidR="001C6E76" w:rsidRPr="00A53EB5" w:rsidRDefault="001C6E76" w:rsidP="00276096">
      <w:pPr>
        <w:spacing w:line="360" w:lineRule="auto"/>
        <w:rPr>
          <w:rFonts w:asciiTheme="minorHAnsi" w:hAnsiTheme="minorHAnsi" w:cstheme="minorHAnsi"/>
          <w:b/>
          <w:color w:val="000000"/>
        </w:rPr>
      </w:pPr>
    </w:p>
    <w:sectPr w:rsidR="001C6E76" w:rsidRPr="00A53EB5" w:rsidSect="00BA5CE1">
      <w:headerReference w:type="even" r:id="rId19"/>
      <w:headerReference w:type="default" r:id="rId20"/>
      <w:footerReference w:type="even" r:id="rId21"/>
      <w:footerReference w:type="default" r:id="rId22"/>
      <w:headerReference w:type="first" r:id="rId23"/>
      <w:footerReference w:type="first" r:id="rId24"/>
      <w:type w:val="continuous"/>
      <w:pgSz w:w="11899" w:h="16838"/>
      <w:pgMar w:top="1701" w:right="1134" w:bottom="1701" w:left="1701" w:header="17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3F" w:rsidRDefault="0058513F">
      <w:r>
        <w:separator/>
      </w:r>
    </w:p>
  </w:endnote>
  <w:endnote w:type="continuationSeparator" w:id="0">
    <w:p w:rsidR="0058513F" w:rsidRDefault="0058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Bold">
    <w:charset w:val="00"/>
    <w:family w:val="auto"/>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utura-Light">
    <w:panose1 w:val="00000000000000000000"/>
    <w:charset w:val="00"/>
    <w:family w:val="swiss"/>
    <w:notTrueType/>
    <w:pitch w:val="default"/>
    <w:sig w:usb0="00000003" w:usb1="00000000" w:usb2="00000000" w:usb3="00000000" w:csb0="00000001" w:csb1="00000000"/>
  </w:font>
  <w:font w:name="Futura-LightOblique">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Futura-BookObliqu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6B" w:rsidRDefault="001C0C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231727"/>
      <w:docPartObj>
        <w:docPartGallery w:val="Page Numbers (Bottom of Page)"/>
        <w:docPartUnique/>
      </w:docPartObj>
    </w:sdtPr>
    <w:sdtEndPr>
      <w:rPr>
        <w:noProof/>
      </w:rPr>
    </w:sdtEndPr>
    <w:sdtContent>
      <w:p w:rsidR="005F32E3" w:rsidRDefault="005F32E3">
        <w:pPr>
          <w:pStyle w:val="Footer"/>
          <w:jc w:val="center"/>
        </w:pPr>
        <w:r>
          <w:fldChar w:fldCharType="begin"/>
        </w:r>
        <w:r>
          <w:instrText xml:space="preserve"> PAGE   \* MERGEFORMAT </w:instrText>
        </w:r>
        <w:r>
          <w:fldChar w:fldCharType="separate"/>
        </w:r>
        <w:r w:rsidR="008F0926">
          <w:rPr>
            <w:noProof/>
          </w:rPr>
          <w:t>3</w:t>
        </w:r>
        <w:r>
          <w:rPr>
            <w:noProof/>
          </w:rPr>
          <w:fldChar w:fldCharType="end"/>
        </w:r>
      </w:p>
    </w:sdtContent>
  </w:sdt>
  <w:p w:rsidR="001C0C6B" w:rsidRDefault="001C0C6B" w:rsidP="00D72B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6B" w:rsidRDefault="001C0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3F" w:rsidRDefault="0058513F">
      <w:r>
        <w:separator/>
      </w:r>
    </w:p>
  </w:footnote>
  <w:footnote w:type="continuationSeparator" w:id="0">
    <w:p w:rsidR="0058513F" w:rsidRDefault="0058513F">
      <w:r>
        <w:continuationSeparator/>
      </w:r>
    </w:p>
  </w:footnote>
  <w:footnote w:id="1">
    <w:p w:rsidR="0060604D" w:rsidRDefault="0060604D" w:rsidP="0060604D">
      <w:pPr>
        <w:pStyle w:val="FootnoteText"/>
      </w:pPr>
      <w:r>
        <w:rPr>
          <w:rStyle w:val="FootnoteReference"/>
        </w:rPr>
        <w:footnoteRef/>
      </w:r>
      <w:r>
        <w:t xml:space="preserve"> Federal Treasury (2016) Review of the financial system external dispute resolution and complaints framework – Interim Report – 6 December 2016, Commonwealth of Australia, Canberra</w:t>
      </w:r>
    </w:p>
  </w:footnote>
  <w:footnote w:id="2">
    <w:p w:rsidR="0060604D" w:rsidRDefault="0060604D" w:rsidP="0060604D">
      <w:pPr>
        <w:pStyle w:val="FootnoteText"/>
      </w:pPr>
      <w:r>
        <w:rPr>
          <w:rStyle w:val="FootnoteReference"/>
        </w:rPr>
        <w:footnoteRef/>
      </w:r>
      <w:r>
        <w:t xml:space="preserve"> </w:t>
      </w:r>
      <w:r w:rsidRPr="00B10F2B">
        <w:t>Federal Treasury (201</w:t>
      </w:r>
      <w:r>
        <w:t>7</w:t>
      </w:r>
      <w:r w:rsidRPr="00B10F2B">
        <w:t>) Review of the financial system external dispute resolution and complaints framework – Interim Report –</w:t>
      </w:r>
      <w:r>
        <w:t xml:space="preserve"> 3</w:t>
      </w:r>
      <w:r w:rsidRPr="00B10F2B">
        <w:t xml:space="preserve"> </w:t>
      </w:r>
      <w:r>
        <w:t>April 2017,</w:t>
      </w:r>
      <w:r w:rsidRPr="00B10F2B">
        <w:t xml:space="preserve"> Commonwealth of Australia, Canberra</w:t>
      </w:r>
    </w:p>
  </w:footnote>
  <w:footnote w:id="3">
    <w:p w:rsidR="0060604D" w:rsidRDefault="0060604D" w:rsidP="0060604D">
      <w:pPr>
        <w:pStyle w:val="FootnoteText"/>
      </w:pPr>
      <w:r>
        <w:rPr>
          <w:rStyle w:val="FootnoteReference"/>
        </w:rPr>
        <w:footnoteRef/>
      </w:r>
      <w:r>
        <w:t xml:space="preserve"> Federal Treasury (2017)  Improving dispute resolution in the financial system: Consultation Paper – 17 May 2017 , Commonwealth of Australia, Canberra</w:t>
      </w:r>
    </w:p>
  </w:footnote>
  <w:footnote w:id="4">
    <w:p w:rsidR="0060604D" w:rsidRDefault="0060604D" w:rsidP="0060604D">
      <w:pPr>
        <w:pStyle w:val="FootnoteText"/>
      </w:pPr>
      <w:r>
        <w:rPr>
          <w:rStyle w:val="FootnoteReference"/>
        </w:rPr>
        <w:footnoteRef/>
      </w:r>
      <w:r>
        <w:t xml:space="preserve"> Credit &amp; Investments Ombudsman (2017) Response by the Credit and Investments Ombudsman to the Interim Report by the Ramsay EDR Review Panel, Credit &amp; Investments Ombudsman, Sydney .</w:t>
      </w:r>
    </w:p>
  </w:footnote>
  <w:footnote w:id="5">
    <w:p w:rsidR="0060604D" w:rsidRDefault="0060604D" w:rsidP="0060604D">
      <w:pPr>
        <w:pStyle w:val="FootnoteText"/>
      </w:pPr>
      <w:r>
        <w:rPr>
          <w:rStyle w:val="FootnoteReference"/>
        </w:rPr>
        <w:footnoteRef/>
      </w:r>
      <w:r>
        <w:t xml:space="preserve"> Financial Ombudsman Service Australia (2017) Review of the financial system external dispute resolution framework – FOS response to the interim report 1 </w:t>
      </w:r>
      <w:r w:rsidR="001C3D9C">
        <w:t>February</w:t>
      </w:r>
      <w:r>
        <w:t xml:space="preserve"> 2017, </w:t>
      </w:r>
      <w:r w:rsidRPr="00C025E7">
        <w:t>Financial Ombudsman Service Limited</w:t>
      </w:r>
      <w:r>
        <w:t>, Melbourne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6B" w:rsidRDefault="001C0C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6B" w:rsidRDefault="001C0C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6B" w:rsidRDefault="001C0C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lowerLetter"/>
      <w:lvlText w:val="%1."/>
      <w:lvlJc w:val="left"/>
      <w:pPr>
        <w:tabs>
          <w:tab w:val="num" w:pos="0"/>
        </w:tabs>
        <w:ind w:left="1080" w:hanging="720"/>
      </w:pPr>
    </w:lvl>
  </w:abstractNum>
  <w:abstractNum w:abstractNumId="1">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2">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3">
    <w:nsid w:val="0000000F"/>
    <w:multiLevelType w:val="multilevel"/>
    <w:tmpl w:val="0000000F"/>
    <w:name w:val="WW8Num18"/>
    <w:lvl w:ilvl="0">
      <w:start w:val="1"/>
      <w:numFmt w:val="decimal"/>
      <w:suff w:val="nothing"/>
      <w:lvlText w:val="%1"/>
      <w:lvlJc w:val="left"/>
      <w:pPr>
        <w:tabs>
          <w:tab w:val="num" w:pos="0"/>
        </w:tabs>
        <w:ind w:left="0" w:firstLine="0"/>
      </w:pPr>
      <w:rPr>
        <w:rFonts w:cs="Times New Roman"/>
        <w:b w:val="0"/>
        <w:i w:val="0"/>
        <w:color w:val="000000"/>
      </w:rPr>
    </w:lvl>
    <w:lvl w:ilvl="1">
      <w:start w:val="1"/>
      <w:numFmt w:val="decimal"/>
      <w:lvlText w:val="%1.%2"/>
      <w:lvlJc w:val="left"/>
      <w:pPr>
        <w:tabs>
          <w:tab w:val="num" w:pos="1984"/>
        </w:tabs>
        <w:ind w:left="1134" w:firstLine="0"/>
      </w:pPr>
      <w:rPr>
        <w:rFonts w:cs="Times New Roman"/>
        <w:b w:val="0"/>
        <w:i w:val="0"/>
        <w:color w:val="000000"/>
      </w:rPr>
    </w:lvl>
    <w:lvl w:ilvl="2">
      <w:start w:val="1"/>
      <w:numFmt w:val="decimal"/>
      <w:suff w:val="nothing"/>
      <w:lvlText w:val="Example %2.%3"/>
      <w:lvlJc w:val="left"/>
      <w:pPr>
        <w:tabs>
          <w:tab w:val="num" w:pos="0"/>
        </w:tabs>
        <w:ind w:left="1440" w:firstLine="0"/>
      </w:pPr>
      <w:rPr>
        <w:rFonts w:ascii="Times New Roman" w:hAnsi="Times New Roman" w:cs="Times New Roman"/>
        <w:b/>
        <w:i w:val="0"/>
        <w:color w:val="000000"/>
        <w:sz w:val="22"/>
      </w:rPr>
    </w:lvl>
    <w:lvl w:ilvl="3">
      <w:start w:val="1"/>
      <w:numFmt w:val="decimal"/>
      <w:suff w:val="nothing"/>
      <w:lvlText w:val="Diagram %3.%4"/>
      <w:lvlJc w:val="left"/>
      <w:pPr>
        <w:tabs>
          <w:tab w:val="num" w:pos="0"/>
        </w:tabs>
        <w:ind w:left="1134" w:firstLine="0"/>
      </w:pPr>
      <w:rPr>
        <w:rFonts w:ascii="Times New Roman" w:hAnsi="Times New Roman" w:cs="Times New Roman"/>
        <w:b/>
        <w:i w:val="0"/>
        <w:color w:val="000000"/>
        <w:sz w:val="22"/>
      </w:rPr>
    </w:lvl>
    <w:lvl w:ilvl="4">
      <w:start w:val="1"/>
      <w:numFmt w:val="decimal"/>
      <w:suff w:val="nothing"/>
      <w:lvlText w:val="Table %4.%5"/>
      <w:lvlJc w:val="left"/>
      <w:pPr>
        <w:tabs>
          <w:tab w:val="num" w:pos="0"/>
        </w:tabs>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4">
    <w:nsid w:val="00000011"/>
    <w:multiLevelType w:val="singleLevel"/>
    <w:tmpl w:val="00000011"/>
    <w:name w:val="WW8Num20"/>
    <w:lvl w:ilvl="0">
      <w:start w:val="1"/>
      <w:numFmt w:val="bullet"/>
      <w:lvlText w:val=""/>
      <w:lvlJc w:val="left"/>
      <w:pPr>
        <w:tabs>
          <w:tab w:val="num" w:pos="720"/>
        </w:tabs>
        <w:ind w:left="720" w:hanging="360"/>
      </w:pPr>
      <w:rPr>
        <w:rFonts w:ascii="Symbol" w:hAnsi="Symbol"/>
      </w:rPr>
    </w:lvl>
  </w:abstractNum>
  <w:abstractNum w:abstractNumId="5">
    <w:nsid w:val="00000012"/>
    <w:multiLevelType w:val="singleLevel"/>
    <w:tmpl w:val="00000012"/>
    <w:name w:val="WW8Num21"/>
    <w:lvl w:ilvl="0">
      <w:start w:val="1"/>
      <w:numFmt w:val="bullet"/>
      <w:lvlText w:val=""/>
      <w:lvlJc w:val="left"/>
      <w:pPr>
        <w:tabs>
          <w:tab w:val="num" w:pos="0"/>
        </w:tabs>
        <w:ind w:left="720" w:hanging="360"/>
      </w:pPr>
      <w:rPr>
        <w:rFonts w:ascii="Symbol" w:hAnsi="Symbol"/>
      </w:rPr>
    </w:lvl>
  </w:abstractNum>
  <w:abstractNum w:abstractNumId="6">
    <w:nsid w:val="00000013"/>
    <w:multiLevelType w:val="singleLevel"/>
    <w:tmpl w:val="00000013"/>
    <w:name w:val="WW8Num23"/>
    <w:lvl w:ilvl="0">
      <w:start w:val="1"/>
      <w:numFmt w:val="bullet"/>
      <w:lvlText w:val=""/>
      <w:lvlJc w:val="left"/>
      <w:pPr>
        <w:tabs>
          <w:tab w:val="num" w:pos="0"/>
        </w:tabs>
        <w:ind w:left="720" w:hanging="360"/>
      </w:pPr>
      <w:rPr>
        <w:rFonts w:ascii="Symbol" w:hAnsi="Symbol"/>
      </w:rPr>
    </w:lvl>
  </w:abstractNum>
  <w:abstractNum w:abstractNumId="7">
    <w:nsid w:val="00000017"/>
    <w:multiLevelType w:val="singleLevel"/>
    <w:tmpl w:val="00000017"/>
    <w:name w:val="WW8Num29"/>
    <w:lvl w:ilvl="0">
      <w:start w:val="1"/>
      <w:numFmt w:val="bullet"/>
      <w:lvlText w:val=""/>
      <w:lvlJc w:val="left"/>
      <w:pPr>
        <w:tabs>
          <w:tab w:val="num" w:pos="1080"/>
        </w:tabs>
        <w:ind w:left="1080" w:hanging="360"/>
      </w:pPr>
      <w:rPr>
        <w:rFonts w:ascii="Symbol" w:hAnsi="Symbol"/>
      </w:rPr>
    </w:lvl>
  </w:abstractNum>
  <w:abstractNum w:abstractNumId="8">
    <w:nsid w:val="095C498A"/>
    <w:multiLevelType w:val="hybridMultilevel"/>
    <w:tmpl w:val="D158A7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EF4695F"/>
    <w:multiLevelType w:val="hybridMultilevel"/>
    <w:tmpl w:val="5B4A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182168"/>
    <w:multiLevelType w:val="hybridMultilevel"/>
    <w:tmpl w:val="B14094D2"/>
    <w:lvl w:ilvl="0" w:tplc="0C090001">
      <w:start w:val="1"/>
      <w:numFmt w:val="bullet"/>
      <w:lvlText w:val=""/>
      <w:lvlJc w:val="left"/>
      <w:pPr>
        <w:ind w:left="1188" w:hanging="360"/>
      </w:pPr>
      <w:rPr>
        <w:rFonts w:ascii="Symbol" w:hAnsi="Symbol" w:hint="default"/>
      </w:rPr>
    </w:lvl>
    <w:lvl w:ilvl="1" w:tplc="0C090003">
      <w:start w:val="1"/>
      <w:numFmt w:val="bullet"/>
      <w:lvlText w:val="o"/>
      <w:lvlJc w:val="left"/>
      <w:pPr>
        <w:ind w:left="1908" w:hanging="360"/>
      </w:pPr>
      <w:rPr>
        <w:rFonts w:ascii="Courier New" w:hAnsi="Courier New" w:cs="Courier New" w:hint="default"/>
      </w:rPr>
    </w:lvl>
    <w:lvl w:ilvl="2" w:tplc="0C090005" w:tentative="1">
      <w:start w:val="1"/>
      <w:numFmt w:val="bullet"/>
      <w:lvlText w:val=""/>
      <w:lvlJc w:val="left"/>
      <w:pPr>
        <w:ind w:left="2628" w:hanging="360"/>
      </w:pPr>
      <w:rPr>
        <w:rFonts w:ascii="Wingdings" w:hAnsi="Wingdings" w:hint="default"/>
      </w:rPr>
    </w:lvl>
    <w:lvl w:ilvl="3" w:tplc="0C090001" w:tentative="1">
      <w:start w:val="1"/>
      <w:numFmt w:val="bullet"/>
      <w:lvlText w:val=""/>
      <w:lvlJc w:val="left"/>
      <w:pPr>
        <w:ind w:left="3348" w:hanging="360"/>
      </w:pPr>
      <w:rPr>
        <w:rFonts w:ascii="Symbol" w:hAnsi="Symbol" w:hint="default"/>
      </w:rPr>
    </w:lvl>
    <w:lvl w:ilvl="4" w:tplc="0C090003" w:tentative="1">
      <w:start w:val="1"/>
      <w:numFmt w:val="bullet"/>
      <w:lvlText w:val="o"/>
      <w:lvlJc w:val="left"/>
      <w:pPr>
        <w:ind w:left="4068" w:hanging="360"/>
      </w:pPr>
      <w:rPr>
        <w:rFonts w:ascii="Courier New" w:hAnsi="Courier New" w:cs="Courier New" w:hint="default"/>
      </w:rPr>
    </w:lvl>
    <w:lvl w:ilvl="5" w:tplc="0C090005" w:tentative="1">
      <w:start w:val="1"/>
      <w:numFmt w:val="bullet"/>
      <w:lvlText w:val=""/>
      <w:lvlJc w:val="left"/>
      <w:pPr>
        <w:ind w:left="4788" w:hanging="360"/>
      </w:pPr>
      <w:rPr>
        <w:rFonts w:ascii="Wingdings" w:hAnsi="Wingdings" w:hint="default"/>
      </w:rPr>
    </w:lvl>
    <w:lvl w:ilvl="6" w:tplc="0C090001" w:tentative="1">
      <w:start w:val="1"/>
      <w:numFmt w:val="bullet"/>
      <w:lvlText w:val=""/>
      <w:lvlJc w:val="left"/>
      <w:pPr>
        <w:ind w:left="5508" w:hanging="360"/>
      </w:pPr>
      <w:rPr>
        <w:rFonts w:ascii="Symbol" w:hAnsi="Symbol" w:hint="default"/>
      </w:rPr>
    </w:lvl>
    <w:lvl w:ilvl="7" w:tplc="0C090003" w:tentative="1">
      <w:start w:val="1"/>
      <w:numFmt w:val="bullet"/>
      <w:lvlText w:val="o"/>
      <w:lvlJc w:val="left"/>
      <w:pPr>
        <w:ind w:left="6228" w:hanging="360"/>
      </w:pPr>
      <w:rPr>
        <w:rFonts w:ascii="Courier New" w:hAnsi="Courier New" w:cs="Courier New" w:hint="default"/>
      </w:rPr>
    </w:lvl>
    <w:lvl w:ilvl="8" w:tplc="0C090005" w:tentative="1">
      <w:start w:val="1"/>
      <w:numFmt w:val="bullet"/>
      <w:lvlText w:val=""/>
      <w:lvlJc w:val="left"/>
      <w:pPr>
        <w:ind w:left="6948" w:hanging="360"/>
      </w:pPr>
      <w:rPr>
        <w:rFonts w:ascii="Wingdings" w:hAnsi="Wingdings" w:hint="default"/>
      </w:rPr>
    </w:lvl>
  </w:abstractNum>
  <w:abstractNum w:abstractNumId="11">
    <w:nsid w:val="2932178C"/>
    <w:multiLevelType w:val="hybridMultilevel"/>
    <w:tmpl w:val="E214A7B4"/>
    <w:lvl w:ilvl="0" w:tplc="DB34F9B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48B7FBC"/>
    <w:multiLevelType w:val="hybridMultilevel"/>
    <w:tmpl w:val="481001F2"/>
    <w:lvl w:ilvl="0" w:tplc="47F2676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E556213"/>
    <w:multiLevelType w:val="hybridMultilevel"/>
    <w:tmpl w:val="9B6055FA"/>
    <w:lvl w:ilvl="0" w:tplc="0C090001">
      <w:start w:val="1"/>
      <w:numFmt w:val="bullet"/>
      <w:lvlText w:val=""/>
      <w:lvlJc w:val="left"/>
      <w:pPr>
        <w:ind w:left="1248" w:hanging="360"/>
      </w:pPr>
      <w:rPr>
        <w:rFonts w:ascii="Symbol" w:hAnsi="Symbol" w:hint="default"/>
      </w:rPr>
    </w:lvl>
    <w:lvl w:ilvl="1" w:tplc="0C090003" w:tentative="1">
      <w:start w:val="1"/>
      <w:numFmt w:val="bullet"/>
      <w:lvlText w:val="o"/>
      <w:lvlJc w:val="left"/>
      <w:pPr>
        <w:ind w:left="1968" w:hanging="360"/>
      </w:pPr>
      <w:rPr>
        <w:rFonts w:ascii="Courier New" w:hAnsi="Courier New" w:cs="Courier New" w:hint="default"/>
      </w:rPr>
    </w:lvl>
    <w:lvl w:ilvl="2" w:tplc="0C090005" w:tentative="1">
      <w:start w:val="1"/>
      <w:numFmt w:val="bullet"/>
      <w:lvlText w:val=""/>
      <w:lvlJc w:val="left"/>
      <w:pPr>
        <w:ind w:left="2688" w:hanging="360"/>
      </w:pPr>
      <w:rPr>
        <w:rFonts w:ascii="Wingdings" w:hAnsi="Wingdings" w:hint="default"/>
      </w:rPr>
    </w:lvl>
    <w:lvl w:ilvl="3" w:tplc="0C090001" w:tentative="1">
      <w:start w:val="1"/>
      <w:numFmt w:val="bullet"/>
      <w:lvlText w:val=""/>
      <w:lvlJc w:val="left"/>
      <w:pPr>
        <w:ind w:left="3408" w:hanging="360"/>
      </w:pPr>
      <w:rPr>
        <w:rFonts w:ascii="Symbol" w:hAnsi="Symbol" w:hint="default"/>
      </w:rPr>
    </w:lvl>
    <w:lvl w:ilvl="4" w:tplc="0C090003" w:tentative="1">
      <w:start w:val="1"/>
      <w:numFmt w:val="bullet"/>
      <w:lvlText w:val="o"/>
      <w:lvlJc w:val="left"/>
      <w:pPr>
        <w:ind w:left="4128" w:hanging="360"/>
      </w:pPr>
      <w:rPr>
        <w:rFonts w:ascii="Courier New" w:hAnsi="Courier New" w:cs="Courier New" w:hint="default"/>
      </w:rPr>
    </w:lvl>
    <w:lvl w:ilvl="5" w:tplc="0C090005" w:tentative="1">
      <w:start w:val="1"/>
      <w:numFmt w:val="bullet"/>
      <w:lvlText w:val=""/>
      <w:lvlJc w:val="left"/>
      <w:pPr>
        <w:ind w:left="4848" w:hanging="360"/>
      </w:pPr>
      <w:rPr>
        <w:rFonts w:ascii="Wingdings" w:hAnsi="Wingdings" w:hint="default"/>
      </w:rPr>
    </w:lvl>
    <w:lvl w:ilvl="6" w:tplc="0C090001" w:tentative="1">
      <w:start w:val="1"/>
      <w:numFmt w:val="bullet"/>
      <w:lvlText w:val=""/>
      <w:lvlJc w:val="left"/>
      <w:pPr>
        <w:ind w:left="5568" w:hanging="360"/>
      </w:pPr>
      <w:rPr>
        <w:rFonts w:ascii="Symbol" w:hAnsi="Symbol" w:hint="default"/>
      </w:rPr>
    </w:lvl>
    <w:lvl w:ilvl="7" w:tplc="0C090003" w:tentative="1">
      <w:start w:val="1"/>
      <w:numFmt w:val="bullet"/>
      <w:lvlText w:val="o"/>
      <w:lvlJc w:val="left"/>
      <w:pPr>
        <w:ind w:left="6288" w:hanging="360"/>
      </w:pPr>
      <w:rPr>
        <w:rFonts w:ascii="Courier New" w:hAnsi="Courier New" w:cs="Courier New" w:hint="default"/>
      </w:rPr>
    </w:lvl>
    <w:lvl w:ilvl="8" w:tplc="0C090005" w:tentative="1">
      <w:start w:val="1"/>
      <w:numFmt w:val="bullet"/>
      <w:lvlText w:val=""/>
      <w:lvlJc w:val="left"/>
      <w:pPr>
        <w:ind w:left="7008" w:hanging="360"/>
      </w:pPr>
      <w:rPr>
        <w:rFonts w:ascii="Wingdings" w:hAnsi="Wingdings" w:hint="default"/>
      </w:rPr>
    </w:lvl>
  </w:abstractNum>
  <w:abstractNum w:abstractNumId="14">
    <w:nsid w:val="6E1E3F59"/>
    <w:multiLevelType w:val="hybridMultilevel"/>
    <w:tmpl w:val="5E88F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E13645"/>
    <w:multiLevelType w:val="hybridMultilevel"/>
    <w:tmpl w:val="55087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CB57070"/>
    <w:multiLevelType w:val="hybridMultilevel"/>
    <w:tmpl w:val="A294A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084AE2"/>
    <w:multiLevelType w:val="hybridMultilevel"/>
    <w:tmpl w:val="2A3465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7"/>
  </w:num>
  <w:num w:numId="3">
    <w:abstractNumId w:val="12"/>
  </w:num>
  <w:num w:numId="4">
    <w:abstractNumId w:val="15"/>
  </w:num>
  <w:num w:numId="5">
    <w:abstractNumId w:val="14"/>
  </w:num>
  <w:num w:numId="6">
    <w:abstractNumId w:val="10"/>
  </w:num>
  <w:num w:numId="7">
    <w:abstractNumId w:val="8"/>
  </w:num>
  <w:num w:numId="8">
    <w:abstractNumId w:val="13"/>
  </w:num>
  <w:num w:numId="9">
    <w:abstractNumId w:val="16"/>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2E"/>
    <w:rsid w:val="00003ADC"/>
    <w:rsid w:val="0002398F"/>
    <w:rsid w:val="000249EE"/>
    <w:rsid w:val="0003132A"/>
    <w:rsid w:val="00033B5F"/>
    <w:rsid w:val="0007176F"/>
    <w:rsid w:val="000914DB"/>
    <w:rsid w:val="0009435E"/>
    <w:rsid w:val="000B1006"/>
    <w:rsid w:val="000E6289"/>
    <w:rsid w:val="001000AD"/>
    <w:rsid w:val="00106E1F"/>
    <w:rsid w:val="00113BD5"/>
    <w:rsid w:val="001154F8"/>
    <w:rsid w:val="00115713"/>
    <w:rsid w:val="001201B5"/>
    <w:rsid w:val="00123A6A"/>
    <w:rsid w:val="00135229"/>
    <w:rsid w:val="00145A52"/>
    <w:rsid w:val="00147E13"/>
    <w:rsid w:val="00154208"/>
    <w:rsid w:val="00165F75"/>
    <w:rsid w:val="00175744"/>
    <w:rsid w:val="001951E9"/>
    <w:rsid w:val="001A1638"/>
    <w:rsid w:val="001A3E6F"/>
    <w:rsid w:val="001B7A72"/>
    <w:rsid w:val="001C0C6B"/>
    <w:rsid w:val="001C3D9C"/>
    <w:rsid w:val="001C6E76"/>
    <w:rsid w:val="001D110D"/>
    <w:rsid w:val="001D246A"/>
    <w:rsid w:val="001F021D"/>
    <w:rsid w:val="001F4F6C"/>
    <w:rsid w:val="00201194"/>
    <w:rsid w:val="0021233C"/>
    <w:rsid w:val="00231772"/>
    <w:rsid w:val="00235D29"/>
    <w:rsid w:val="002419E5"/>
    <w:rsid w:val="0024319F"/>
    <w:rsid w:val="00245B5B"/>
    <w:rsid w:val="00247578"/>
    <w:rsid w:val="00276096"/>
    <w:rsid w:val="002827AA"/>
    <w:rsid w:val="0028432E"/>
    <w:rsid w:val="00284B89"/>
    <w:rsid w:val="002B1F73"/>
    <w:rsid w:val="002C3250"/>
    <w:rsid w:val="002D2F4C"/>
    <w:rsid w:val="002E6EE6"/>
    <w:rsid w:val="002F38AB"/>
    <w:rsid w:val="003059EA"/>
    <w:rsid w:val="003100FF"/>
    <w:rsid w:val="00315D7B"/>
    <w:rsid w:val="00343E59"/>
    <w:rsid w:val="00345C07"/>
    <w:rsid w:val="00346826"/>
    <w:rsid w:val="0035045B"/>
    <w:rsid w:val="0035722E"/>
    <w:rsid w:val="00357542"/>
    <w:rsid w:val="003758FD"/>
    <w:rsid w:val="003834E9"/>
    <w:rsid w:val="003872F8"/>
    <w:rsid w:val="003A66C3"/>
    <w:rsid w:val="003A6E52"/>
    <w:rsid w:val="003B2A78"/>
    <w:rsid w:val="003B6BC0"/>
    <w:rsid w:val="003C5F40"/>
    <w:rsid w:val="003D0DBA"/>
    <w:rsid w:val="003D4752"/>
    <w:rsid w:val="003E5497"/>
    <w:rsid w:val="003F3B77"/>
    <w:rsid w:val="004022CB"/>
    <w:rsid w:val="004126E4"/>
    <w:rsid w:val="00425B90"/>
    <w:rsid w:val="00425DF4"/>
    <w:rsid w:val="00426C68"/>
    <w:rsid w:val="00435C38"/>
    <w:rsid w:val="00442AD8"/>
    <w:rsid w:val="00446019"/>
    <w:rsid w:val="004550E5"/>
    <w:rsid w:val="00462FCC"/>
    <w:rsid w:val="004802D9"/>
    <w:rsid w:val="00487DEE"/>
    <w:rsid w:val="004923AA"/>
    <w:rsid w:val="004A32B5"/>
    <w:rsid w:val="004B064C"/>
    <w:rsid w:val="004D4B93"/>
    <w:rsid w:val="005037EA"/>
    <w:rsid w:val="005118D0"/>
    <w:rsid w:val="00532ED6"/>
    <w:rsid w:val="0055280B"/>
    <w:rsid w:val="005645F1"/>
    <w:rsid w:val="0058513F"/>
    <w:rsid w:val="00587F9B"/>
    <w:rsid w:val="005A4F34"/>
    <w:rsid w:val="005C52BA"/>
    <w:rsid w:val="005D3BA4"/>
    <w:rsid w:val="005E6BE0"/>
    <w:rsid w:val="005F32E3"/>
    <w:rsid w:val="0060604D"/>
    <w:rsid w:val="00611B46"/>
    <w:rsid w:val="00613AB5"/>
    <w:rsid w:val="0061658D"/>
    <w:rsid w:val="0061776D"/>
    <w:rsid w:val="00625680"/>
    <w:rsid w:val="006315D3"/>
    <w:rsid w:val="0063647C"/>
    <w:rsid w:val="00651A54"/>
    <w:rsid w:val="006546BC"/>
    <w:rsid w:val="0066124F"/>
    <w:rsid w:val="00661530"/>
    <w:rsid w:val="00664891"/>
    <w:rsid w:val="0066686C"/>
    <w:rsid w:val="0067594F"/>
    <w:rsid w:val="00686062"/>
    <w:rsid w:val="006A739C"/>
    <w:rsid w:val="006B2A8A"/>
    <w:rsid w:val="006D7089"/>
    <w:rsid w:val="00705B4C"/>
    <w:rsid w:val="00722B21"/>
    <w:rsid w:val="0073556C"/>
    <w:rsid w:val="00737EF8"/>
    <w:rsid w:val="00740C1C"/>
    <w:rsid w:val="00744A3C"/>
    <w:rsid w:val="0074577F"/>
    <w:rsid w:val="0076500C"/>
    <w:rsid w:val="00774482"/>
    <w:rsid w:val="007804A5"/>
    <w:rsid w:val="0078636B"/>
    <w:rsid w:val="00796C61"/>
    <w:rsid w:val="007A230E"/>
    <w:rsid w:val="007B26D4"/>
    <w:rsid w:val="007B2F34"/>
    <w:rsid w:val="007B578F"/>
    <w:rsid w:val="007C2805"/>
    <w:rsid w:val="007D58D8"/>
    <w:rsid w:val="007F4AEB"/>
    <w:rsid w:val="0080582F"/>
    <w:rsid w:val="0082605F"/>
    <w:rsid w:val="00832388"/>
    <w:rsid w:val="00836E3A"/>
    <w:rsid w:val="0084083D"/>
    <w:rsid w:val="008418D5"/>
    <w:rsid w:val="00842699"/>
    <w:rsid w:val="00853607"/>
    <w:rsid w:val="008635B2"/>
    <w:rsid w:val="00875BD7"/>
    <w:rsid w:val="008776A9"/>
    <w:rsid w:val="008862CF"/>
    <w:rsid w:val="00891689"/>
    <w:rsid w:val="00893205"/>
    <w:rsid w:val="008977E1"/>
    <w:rsid w:val="00897EC8"/>
    <w:rsid w:val="008A73AC"/>
    <w:rsid w:val="008B0C2C"/>
    <w:rsid w:val="008B21BE"/>
    <w:rsid w:val="008B3632"/>
    <w:rsid w:val="008C3F7B"/>
    <w:rsid w:val="008C6AC4"/>
    <w:rsid w:val="008D3ABB"/>
    <w:rsid w:val="008E4797"/>
    <w:rsid w:val="008F0926"/>
    <w:rsid w:val="00914C7E"/>
    <w:rsid w:val="00917987"/>
    <w:rsid w:val="00921B20"/>
    <w:rsid w:val="00931FB0"/>
    <w:rsid w:val="009408E4"/>
    <w:rsid w:val="00955FCD"/>
    <w:rsid w:val="00972221"/>
    <w:rsid w:val="009800E1"/>
    <w:rsid w:val="009856F7"/>
    <w:rsid w:val="009925D0"/>
    <w:rsid w:val="009950A7"/>
    <w:rsid w:val="009A0C73"/>
    <w:rsid w:val="009A5897"/>
    <w:rsid w:val="009D4125"/>
    <w:rsid w:val="009D661E"/>
    <w:rsid w:val="00A21497"/>
    <w:rsid w:val="00A53EB5"/>
    <w:rsid w:val="00A853AE"/>
    <w:rsid w:val="00A91298"/>
    <w:rsid w:val="00AB1AD2"/>
    <w:rsid w:val="00AB23BD"/>
    <w:rsid w:val="00AD36F0"/>
    <w:rsid w:val="00AE4492"/>
    <w:rsid w:val="00AE72DC"/>
    <w:rsid w:val="00AF6328"/>
    <w:rsid w:val="00B17717"/>
    <w:rsid w:val="00B24089"/>
    <w:rsid w:val="00B478AE"/>
    <w:rsid w:val="00B56641"/>
    <w:rsid w:val="00B604BB"/>
    <w:rsid w:val="00B6351B"/>
    <w:rsid w:val="00B667E2"/>
    <w:rsid w:val="00B72D4D"/>
    <w:rsid w:val="00B76724"/>
    <w:rsid w:val="00B85B2A"/>
    <w:rsid w:val="00B90001"/>
    <w:rsid w:val="00B95FF1"/>
    <w:rsid w:val="00BA5CE1"/>
    <w:rsid w:val="00BC23D9"/>
    <w:rsid w:val="00BC51E8"/>
    <w:rsid w:val="00BD0868"/>
    <w:rsid w:val="00BD1298"/>
    <w:rsid w:val="00BD3483"/>
    <w:rsid w:val="00BE3030"/>
    <w:rsid w:val="00BF51EE"/>
    <w:rsid w:val="00BF702E"/>
    <w:rsid w:val="00C26D85"/>
    <w:rsid w:val="00C405A6"/>
    <w:rsid w:val="00C513FB"/>
    <w:rsid w:val="00C52B67"/>
    <w:rsid w:val="00C61570"/>
    <w:rsid w:val="00C64180"/>
    <w:rsid w:val="00C85F14"/>
    <w:rsid w:val="00C904EE"/>
    <w:rsid w:val="00C97104"/>
    <w:rsid w:val="00CB231D"/>
    <w:rsid w:val="00CB5B33"/>
    <w:rsid w:val="00D12929"/>
    <w:rsid w:val="00D32953"/>
    <w:rsid w:val="00D42052"/>
    <w:rsid w:val="00D440FD"/>
    <w:rsid w:val="00D63E89"/>
    <w:rsid w:val="00D70B97"/>
    <w:rsid w:val="00D72BEA"/>
    <w:rsid w:val="00D8127A"/>
    <w:rsid w:val="00D83EF6"/>
    <w:rsid w:val="00D940AE"/>
    <w:rsid w:val="00DA3D13"/>
    <w:rsid w:val="00DB2A50"/>
    <w:rsid w:val="00DC7B02"/>
    <w:rsid w:val="00DD492E"/>
    <w:rsid w:val="00DE1936"/>
    <w:rsid w:val="00DE7725"/>
    <w:rsid w:val="00DF02F6"/>
    <w:rsid w:val="00DF1DD3"/>
    <w:rsid w:val="00DF3388"/>
    <w:rsid w:val="00DF71AB"/>
    <w:rsid w:val="00E0519D"/>
    <w:rsid w:val="00E10123"/>
    <w:rsid w:val="00E23AB1"/>
    <w:rsid w:val="00E26774"/>
    <w:rsid w:val="00E47623"/>
    <w:rsid w:val="00E53200"/>
    <w:rsid w:val="00E630F9"/>
    <w:rsid w:val="00E86F0A"/>
    <w:rsid w:val="00E91530"/>
    <w:rsid w:val="00EA27E1"/>
    <w:rsid w:val="00EA4C5C"/>
    <w:rsid w:val="00ED5C47"/>
    <w:rsid w:val="00EF1AB8"/>
    <w:rsid w:val="00F218F6"/>
    <w:rsid w:val="00F4233D"/>
    <w:rsid w:val="00F42F01"/>
    <w:rsid w:val="00F45999"/>
    <w:rsid w:val="00F50505"/>
    <w:rsid w:val="00F569F6"/>
    <w:rsid w:val="00F63077"/>
    <w:rsid w:val="00F74162"/>
    <w:rsid w:val="00F74D96"/>
    <w:rsid w:val="00F76EB9"/>
    <w:rsid w:val="00F85050"/>
    <w:rsid w:val="00F95515"/>
    <w:rsid w:val="00F979AE"/>
    <w:rsid w:val="00FA1F7E"/>
    <w:rsid w:val="00FB30B9"/>
    <w:rsid w:val="00FC4462"/>
    <w:rsid w:val="00FD7090"/>
    <w:rsid w:val="00FE2F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4492"/>
    <w:rPr>
      <w:sz w:val="24"/>
      <w:szCs w:val="24"/>
    </w:rPr>
  </w:style>
  <w:style w:type="paragraph" w:styleId="Heading1">
    <w:name w:val="heading 1"/>
    <w:basedOn w:val="Normal"/>
    <w:next w:val="Normal"/>
    <w:qFormat/>
    <w:pPr>
      <w:keepNext/>
      <w:suppressAutoHyphens/>
      <w:spacing w:before="240" w:after="60"/>
      <w:outlineLvl w:val="0"/>
    </w:pPr>
    <w:rPr>
      <w:rFonts w:ascii="Cambria" w:hAnsi="Cambria" w:cs="Calibri"/>
      <w:b/>
      <w:bCs/>
      <w:kern w:val="1"/>
      <w:sz w:val="32"/>
      <w:szCs w:val="32"/>
      <w:lang w:val="en-US" w:eastAsia="ar-SA"/>
    </w:rPr>
  </w:style>
  <w:style w:type="paragraph" w:styleId="Heading2">
    <w:name w:val="heading 2"/>
    <w:basedOn w:val="Normal"/>
    <w:next w:val="Normal"/>
    <w:qFormat/>
    <w:pPr>
      <w:keepNext/>
      <w:suppressAutoHyphens/>
      <w:spacing w:before="240" w:after="60"/>
      <w:outlineLvl w:val="1"/>
    </w:pPr>
    <w:rPr>
      <w:rFonts w:ascii="Cambria" w:hAnsi="Cambria" w:cs="Calibri"/>
      <w:b/>
      <w:bCs/>
      <w:i/>
      <w:iCs/>
      <w:sz w:val="28"/>
      <w:szCs w:val="28"/>
      <w:lang w:val="en-US" w:eastAsia="ar-SA"/>
    </w:rPr>
  </w:style>
  <w:style w:type="paragraph" w:styleId="Heading3">
    <w:name w:val="heading 3"/>
    <w:basedOn w:val="Normal"/>
    <w:next w:val="Normal"/>
    <w:qFormat/>
    <w:pPr>
      <w:keepNext/>
      <w:suppressAutoHyphens/>
      <w:spacing w:before="240" w:after="60"/>
      <w:outlineLvl w:val="2"/>
    </w:pPr>
    <w:rPr>
      <w:rFonts w:ascii="Cambria" w:hAnsi="Cambria" w:cs="Calibri"/>
      <w:b/>
      <w:bCs/>
      <w:sz w:val="26"/>
      <w:szCs w:val="26"/>
      <w:lang w:val="en-US" w:eastAsia="ar-SA"/>
    </w:rPr>
  </w:style>
  <w:style w:type="paragraph" w:styleId="Heading4">
    <w:name w:val="heading 4"/>
    <w:basedOn w:val="Normal"/>
    <w:next w:val="Normal"/>
    <w:qFormat/>
    <w:pPr>
      <w:keepNext/>
      <w:suppressAutoHyphens/>
      <w:spacing w:before="240" w:after="60"/>
      <w:outlineLvl w:val="3"/>
    </w:pPr>
    <w:rPr>
      <w:rFonts w:ascii="Calibri" w:hAnsi="Calibri" w:cs="Calibri"/>
      <w:b/>
      <w:bCs/>
      <w:sz w:val="28"/>
      <w:szCs w:val="28"/>
      <w:lang w:val="en-US" w:eastAsia="ar-SA"/>
    </w:rPr>
  </w:style>
  <w:style w:type="paragraph" w:styleId="Heading5">
    <w:name w:val="heading 5"/>
    <w:basedOn w:val="Normal"/>
    <w:next w:val="Normal"/>
    <w:qFormat/>
    <w:pPr>
      <w:suppressAutoHyphens/>
      <w:spacing w:before="240" w:after="60"/>
      <w:outlineLvl w:val="4"/>
    </w:pPr>
    <w:rPr>
      <w:rFonts w:ascii="Calibri" w:hAnsi="Calibri" w:cs="Calibri"/>
      <w:b/>
      <w:bCs/>
      <w:i/>
      <w:iCs/>
      <w:sz w:val="26"/>
      <w:szCs w:val="26"/>
      <w:lang w:val="en-US" w:eastAsia="ar-SA"/>
    </w:rPr>
  </w:style>
  <w:style w:type="paragraph" w:styleId="Heading6">
    <w:name w:val="heading 6"/>
    <w:basedOn w:val="Normal"/>
    <w:next w:val="Normal"/>
    <w:qFormat/>
    <w:pPr>
      <w:suppressAutoHyphens/>
      <w:spacing w:before="240" w:after="60"/>
      <w:outlineLvl w:val="5"/>
    </w:pPr>
    <w:rPr>
      <w:rFonts w:ascii="Calibri" w:hAnsi="Calibri" w:cs="Calibri"/>
      <w:b/>
      <w:bCs/>
      <w:sz w:val="20"/>
      <w:szCs w:val="20"/>
      <w:lang w:val="en-US" w:eastAsia="ar-SA"/>
    </w:rPr>
  </w:style>
  <w:style w:type="paragraph" w:styleId="Heading7">
    <w:name w:val="heading 7"/>
    <w:basedOn w:val="Normal"/>
    <w:next w:val="Normal"/>
    <w:qFormat/>
    <w:pPr>
      <w:suppressAutoHyphens/>
      <w:spacing w:before="240" w:after="60"/>
      <w:outlineLvl w:val="6"/>
    </w:pPr>
    <w:rPr>
      <w:rFonts w:ascii="Calibri" w:hAnsi="Calibri" w:cs="Calibri"/>
      <w:lang w:val="en-US" w:eastAsia="ar-SA"/>
    </w:rPr>
  </w:style>
  <w:style w:type="paragraph" w:styleId="Heading8">
    <w:name w:val="heading 8"/>
    <w:basedOn w:val="Normal"/>
    <w:next w:val="Normal"/>
    <w:qFormat/>
    <w:pPr>
      <w:suppressAutoHyphens/>
      <w:spacing w:before="240" w:after="60"/>
      <w:outlineLvl w:val="7"/>
    </w:pPr>
    <w:rPr>
      <w:rFonts w:ascii="Calibri" w:hAnsi="Calibri" w:cs="Calibri"/>
      <w:i/>
      <w:iCs/>
      <w:lang w:val="en-US" w:eastAsia="ar-SA"/>
    </w:rPr>
  </w:style>
  <w:style w:type="paragraph" w:styleId="Heading9">
    <w:name w:val="heading 9"/>
    <w:basedOn w:val="Normal"/>
    <w:next w:val="Normal"/>
    <w:qFormat/>
    <w:pPr>
      <w:suppressAutoHyphens/>
      <w:spacing w:before="240" w:after="60"/>
      <w:outlineLvl w:val="8"/>
    </w:pPr>
    <w:rPr>
      <w:rFonts w:ascii="Cambria" w:hAnsi="Cambria" w:cs="Calibri"/>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qFormat/>
    <w:rsid w:val="006927E8"/>
    <w:pPr>
      <w:suppressAutoHyphens/>
      <w:spacing w:before="120" w:after="120"/>
    </w:pPr>
    <w:rPr>
      <w:rFonts w:ascii="Arial" w:hAnsi="Arial" w:cs="Arial"/>
      <w:sz w:val="20"/>
      <w:szCs w:val="22"/>
      <w:lang w:val="en-US" w:eastAsia="en-US" w:bidi="en-US"/>
    </w:rPr>
  </w:style>
  <w:style w:type="paragraph" w:customStyle="1" w:styleId="Subhead-Arial12ptbold">
    <w:name w:val="Subhead - Arial 12pt bold"/>
    <w:basedOn w:val="Normal"/>
    <w:qFormat/>
    <w:rsid w:val="006927E8"/>
    <w:pPr>
      <w:suppressAutoHyphens/>
    </w:pPr>
    <w:rPr>
      <w:rFonts w:ascii="Arial Bold" w:hAnsi="Arial Bold" w:cs="Calibri"/>
      <w:color w:val="272727"/>
      <w:lang w:val="en-US" w:eastAsia="en-US" w:bidi="en-US"/>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suppressAutoHyphens/>
      <w:autoSpaceDE w:val="0"/>
      <w:autoSpaceDN w:val="0"/>
      <w:adjustRightInd w:val="0"/>
      <w:spacing w:line="320" w:lineRule="atLeast"/>
      <w:textAlignment w:val="center"/>
    </w:pPr>
    <w:rPr>
      <w:rFonts w:ascii="Arial Bold" w:hAnsi="Arial Bold" w:cs="Futura-Bold"/>
      <w:bCs/>
      <w:color w:val="DF6C08"/>
      <w:sz w:val="28"/>
      <w:szCs w:val="28"/>
      <w:lang w:val="en-GB" w:eastAsia="en-US"/>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suppressAutoHyphens/>
    </w:pPr>
    <w:rPr>
      <w:rFonts w:ascii="Calibri" w:hAnsi="Calibri" w:cs="Calibri"/>
      <w:lang w:val="en-US" w:eastAsia="en-US" w:bidi="en-US"/>
    </w:r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uiPriority w:val="99"/>
    <w:rsid w:val="00561964"/>
    <w:pPr>
      <w:tabs>
        <w:tab w:val="center" w:pos="4320"/>
        <w:tab w:val="right" w:pos="8640"/>
      </w:tabs>
      <w:suppressAutoHyphens/>
    </w:pPr>
    <w:rPr>
      <w:rFonts w:ascii="Calibri" w:hAnsi="Calibri" w:cs="Calibri"/>
      <w:lang w:val="en-US" w:eastAsia="en-US" w:bidi="en-US"/>
    </w:rPr>
  </w:style>
  <w:style w:type="character" w:customStyle="1" w:styleId="FooterChar">
    <w:name w:val="Footer Char"/>
    <w:basedOn w:val="DefaultParagraphFont"/>
    <w:link w:val="Footer"/>
    <w:uiPriority w:val="99"/>
    <w:rsid w:val="00561964"/>
    <w:rPr>
      <w:rFonts w:ascii="Calibri" w:hAnsi="Calibri" w:cs="Calibri"/>
      <w:sz w:val="24"/>
      <w:szCs w:val="24"/>
      <w:lang w:val="en-US" w:bidi="en-US"/>
    </w:rPr>
  </w:style>
  <w:style w:type="paragraph" w:styleId="ListParagraph">
    <w:name w:val="List Paragraph"/>
    <w:basedOn w:val="Normal"/>
    <w:uiPriority w:val="34"/>
    <w:qFormat/>
    <w:rsid w:val="00737EF8"/>
    <w:pPr>
      <w:ind w:left="720"/>
      <w:contextualSpacing/>
    </w:pPr>
    <w:rPr>
      <w:szCs w:val="20"/>
      <w:lang w:eastAsia="en-US"/>
    </w:rPr>
  </w:style>
  <w:style w:type="character" w:styleId="CommentReference">
    <w:name w:val="annotation reference"/>
    <w:basedOn w:val="DefaultParagraphFont"/>
    <w:semiHidden/>
    <w:unhideWhenUsed/>
    <w:rsid w:val="004126E4"/>
    <w:rPr>
      <w:sz w:val="16"/>
      <w:szCs w:val="16"/>
    </w:rPr>
  </w:style>
  <w:style w:type="paragraph" w:styleId="CommentText">
    <w:name w:val="annotation text"/>
    <w:basedOn w:val="Normal"/>
    <w:link w:val="CommentTextChar"/>
    <w:semiHidden/>
    <w:unhideWhenUsed/>
    <w:rsid w:val="004126E4"/>
    <w:pPr>
      <w:suppressAutoHyphens/>
    </w:pPr>
    <w:rPr>
      <w:rFonts w:ascii="Calibri" w:hAnsi="Calibri" w:cs="Calibri"/>
      <w:sz w:val="20"/>
      <w:szCs w:val="20"/>
      <w:lang w:val="en-US" w:eastAsia="en-US" w:bidi="en-US"/>
    </w:rPr>
  </w:style>
  <w:style w:type="character" w:customStyle="1" w:styleId="CommentTextChar">
    <w:name w:val="Comment Text Char"/>
    <w:basedOn w:val="DefaultParagraphFont"/>
    <w:link w:val="CommentText"/>
    <w:semiHidden/>
    <w:rsid w:val="004126E4"/>
    <w:rPr>
      <w:rFonts w:ascii="Calibri" w:hAnsi="Calibri" w:cs="Calibri"/>
      <w:lang w:val="en-US" w:eastAsia="en-US" w:bidi="en-US"/>
    </w:rPr>
  </w:style>
  <w:style w:type="paragraph" w:styleId="CommentSubject">
    <w:name w:val="annotation subject"/>
    <w:basedOn w:val="CommentText"/>
    <w:next w:val="CommentText"/>
    <w:link w:val="CommentSubjectChar"/>
    <w:semiHidden/>
    <w:unhideWhenUsed/>
    <w:rsid w:val="004126E4"/>
    <w:rPr>
      <w:b/>
      <w:bCs/>
    </w:rPr>
  </w:style>
  <w:style w:type="character" w:customStyle="1" w:styleId="CommentSubjectChar">
    <w:name w:val="Comment Subject Char"/>
    <w:basedOn w:val="CommentTextChar"/>
    <w:link w:val="CommentSubject"/>
    <w:semiHidden/>
    <w:rsid w:val="004126E4"/>
    <w:rPr>
      <w:rFonts w:ascii="Calibri" w:hAnsi="Calibri" w:cs="Calibri"/>
      <w:b/>
      <w:bCs/>
      <w:lang w:val="en-US" w:eastAsia="en-US" w:bidi="en-US"/>
    </w:rPr>
  </w:style>
  <w:style w:type="paragraph" w:styleId="BalloonText">
    <w:name w:val="Balloon Text"/>
    <w:basedOn w:val="Normal"/>
    <w:link w:val="BalloonTextChar"/>
    <w:semiHidden/>
    <w:unhideWhenUsed/>
    <w:rsid w:val="004126E4"/>
    <w:pPr>
      <w:suppressAutoHyphens/>
    </w:pPr>
    <w:rPr>
      <w:rFonts w:ascii="Segoe UI" w:hAnsi="Segoe UI" w:cs="Segoe UI"/>
      <w:sz w:val="18"/>
      <w:szCs w:val="18"/>
      <w:lang w:val="en-US" w:eastAsia="en-US" w:bidi="en-US"/>
    </w:rPr>
  </w:style>
  <w:style w:type="character" w:customStyle="1" w:styleId="BalloonTextChar">
    <w:name w:val="Balloon Text Char"/>
    <w:basedOn w:val="DefaultParagraphFont"/>
    <w:link w:val="BalloonText"/>
    <w:semiHidden/>
    <w:rsid w:val="004126E4"/>
    <w:rPr>
      <w:rFonts w:ascii="Segoe UI" w:hAnsi="Segoe UI" w:cs="Segoe UI"/>
      <w:sz w:val="18"/>
      <w:szCs w:val="18"/>
      <w:lang w:val="en-US" w:eastAsia="en-US" w:bidi="en-US"/>
    </w:rPr>
  </w:style>
  <w:style w:type="character" w:customStyle="1" w:styleId="Mention">
    <w:name w:val="Mention"/>
    <w:basedOn w:val="DefaultParagraphFont"/>
    <w:uiPriority w:val="99"/>
    <w:semiHidden/>
    <w:unhideWhenUsed/>
    <w:rsid w:val="002C3250"/>
    <w:rPr>
      <w:color w:val="2B579A"/>
      <w:shd w:val="clear" w:color="auto" w:fill="E6E6E6"/>
    </w:rPr>
  </w:style>
  <w:style w:type="paragraph" w:styleId="FootnoteText">
    <w:name w:val="footnote text"/>
    <w:basedOn w:val="Normal"/>
    <w:link w:val="FootnoteTextChar"/>
    <w:uiPriority w:val="99"/>
    <w:semiHidden/>
    <w:unhideWhenUsed/>
    <w:rsid w:val="002C3250"/>
    <w:pPr>
      <w:suppressAutoHyphens/>
    </w:pPr>
    <w:rPr>
      <w:rFonts w:ascii="Calibri" w:hAnsi="Calibri" w:cs="Calibri"/>
      <w:sz w:val="20"/>
      <w:szCs w:val="20"/>
      <w:lang w:val="en-US" w:eastAsia="en-US" w:bidi="en-US"/>
    </w:rPr>
  </w:style>
  <w:style w:type="character" w:customStyle="1" w:styleId="FootnoteTextChar">
    <w:name w:val="Footnote Text Char"/>
    <w:basedOn w:val="DefaultParagraphFont"/>
    <w:link w:val="FootnoteText"/>
    <w:uiPriority w:val="99"/>
    <w:semiHidden/>
    <w:rsid w:val="002C3250"/>
    <w:rPr>
      <w:rFonts w:ascii="Calibri" w:hAnsi="Calibri" w:cs="Calibri"/>
      <w:lang w:val="en-US" w:eastAsia="en-US" w:bidi="en-US"/>
    </w:rPr>
  </w:style>
  <w:style w:type="character" w:styleId="FootnoteReference">
    <w:name w:val="footnote reference"/>
    <w:uiPriority w:val="99"/>
    <w:unhideWhenUsed/>
    <w:rsid w:val="002C3250"/>
    <w:rPr>
      <w:vertAlign w:val="superscript"/>
    </w:rPr>
  </w:style>
  <w:style w:type="paragraph" w:customStyle="1" w:styleId="p1">
    <w:name w:val="p1"/>
    <w:basedOn w:val="Normal"/>
    <w:rsid w:val="008D3ABB"/>
    <w:pPr>
      <w:spacing w:after="150"/>
    </w:pPr>
    <w:rPr>
      <w:rFonts w:ascii="Open Sans" w:hAnsi="Open Sans"/>
    </w:rPr>
  </w:style>
  <w:style w:type="character" w:styleId="Emphasis">
    <w:name w:val="Emphasis"/>
    <w:basedOn w:val="DefaultParagraphFont"/>
    <w:uiPriority w:val="20"/>
    <w:qFormat/>
    <w:rsid w:val="00F74D96"/>
    <w:rPr>
      <w:i/>
      <w:iCs/>
    </w:rPr>
  </w:style>
  <w:style w:type="paragraph" w:customStyle="1" w:styleId="EndNoteBibliography">
    <w:name w:val="EndNote Bibliography"/>
    <w:basedOn w:val="Normal"/>
    <w:link w:val="EndNoteBibliographyChar"/>
    <w:rsid w:val="009A0C73"/>
    <w:pPr>
      <w:spacing w:after="200"/>
    </w:pPr>
    <w:rPr>
      <w:rFonts w:ascii="Calibri" w:eastAsiaTheme="minorEastAsia" w:hAnsi="Calibri" w:cstheme="minorBidi"/>
      <w:noProof/>
      <w:sz w:val="22"/>
      <w:szCs w:val="22"/>
      <w:lang w:val="en-US" w:eastAsia="en-US" w:bidi="en-US"/>
    </w:rPr>
  </w:style>
  <w:style w:type="character" w:customStyle="1" w:styleId="EndNoteBibliographyChar">
    <w:name w:val="EndNote Bibliography Char"/>
    <w:basedOn w:val="FootnoteTextChar"/>
    <w:link w:val="EndNoteBibliography"/>
    <w:rsid w:val="009A0C73"/>
    <w:rPr>
      <w:rFonts w:ascii="Calibri" w:eastAsiaTheme="minorEastAsia" w:hAnsi="Calibri" w:cstheme="minorBidi"/>
      <w:noProof/>
      <w:sz w:val="22"/>
      <w:szCs w:val="22"/>
      <w:lang w:val="en-US" w:eastAsia="en-US" w:bidi="en-US"/>
    </w:rPr>
  </w:style>
  <w:style w:type="paragraph" w:customStyle="1" w:styleId="text">
    <w:name w:val="text"/>
    <w:basedOn w:val="Normal"/>
    <w:link w:val="textChar"/>
    <w:qFormat/>
    <w:rsid w:val="007A230E"/>
    <w:pPr>
      <w:spacing w:line="480" w:lineRule="auto"/>
      <w:ind w:firstLine="425"/>
      <w:jc w:val="both"/>
    </w:pPr>
    <w:rPr>
      <w:rFonts w:eastAsiaTheme="minorEastAsia"/>
      <w:lang w:eastAsia="zh-CN"/>
    </w:rPr>
  </w:style>
  <w:style w:type="character" w:customStyle="1" w:styleId="textChar">
    <w:name w:val="text Char"/>
    <w:link w:val="text"/>
    <w:locked/>
    <w:rsid w:val="007A230E"/>
    <w:rPr>
      <w:rFonts w:eastAsiaTheme="minorEastAsia"/>
      <w:sz w:val="24"/>
      <w:szCs w:val="24"/>
      <w:lang w:eastAsia="zh-CN"/>
    </w:rPr>
  </w:style>
  <w:style w:type="paragraph" w:styleId="NormalWeb">
    <w:name w:val="Normal (Web)"/>
    <w:basedOn w:val="Normal"/>
    <w:uiPriority w:val="99"/>
    <w:semiHidden/>
    <w:unhideWhenUsed/>
    <w:rsid w:val="00154208"/>
    <w:pPr>
      <w:spacing w:before="100" w:beforeAutospacing="1" w:after="100" w:afterAutospacing="1"/>
    </w:pPr>
    <w:rPr>
      <w:lang w:eastAsia="zh-CN"/>
    </w:rPr>
  </w:style>
  <w:style w:type="character" w:customStyle="1" w:styleId="blue">
    <w:name w:val="blue"/>
    <w:basedOn w:val="DefaultParagraphFont"/>
    <w:rsid w:val="00154208"/>
  </w:style>
  <w:style w:type="paragraph" w:styleId="TOC1">
    <w:name w:val="toc 1"/>
    <w:basedOn w:val="Normal"/>
    <w:next w:val="Normal"/>
    <w:autoRedefine/>
    <w:uiPriority w:val="39"/>
    <w:rsid w:val="00003ADC"/>
    <w:pPr>
      <w:tabs>
        <w:tab w:val="right" w:leader="dot" w:pos="9054"/>
      </w:tabs>
      <w:spacing w:after="100" w:line="288" w:lineRule="auto"/>
    </w:pPr>
    <w:rPr>
      <w:rFonts w:ascii="Arial" w:eastAsiaTheme="minorEastAsia" w:hAnsi="Arial" w:cstheme="minorBidi"/>
      <w:noProof/>
      <w:color w:val="484E41"/>
      <w:sz w:val="20"/>
      <w:szCs w:val="20"/>
    </w:rPr>
  </w:style>
  <w:style w:type="character" w:customStyle="1" w:styleId="apple-converted-space">
    <w:name w:val="apple-converted-space"/>
    <w:basedOn w:val="DefaultParagraphFont"/>
    <w:rsid w:val="00B95FF1"/>
  </w:style>
  <w:style w:type="paragraph" w:customStyle="1" w:styleId="SingleParagraph">
    <w:name w:val="Single Paragraph"/>
    <w:basedOn w:val="Normal"/>
    <w:link w:val="SingleParagraphChar"/>
    <w:rsid w:val="00E47623"/>
    <w:pPr>
      <w:spacing w:line="260" w:lineRule="exact"/>
      <w:jc w:val="both"/>
    </w:pPr>
    <w:rPr>
      <w:rFonts w:ascii="Book Antiqua" w:hAnsi="Book Antiqua"/>
      <w:color w:val="000000"/>
      <w:sz w:val="22"/>
      <w:szCs w:val="20"/>
    </w:rPr>
  </w:style>
  <w:style w:type="character" w:customStyle="1" w:styleId="SingleParagraphChar">
    <w:name w:val="Single Paragraph Char"/>
    <w:basedOn w:val="DefaultParagraphFont"/>
    <w:link w:val="SingleParagraph"/>
    <w:rsid w:val="00E47623"/>
    <w:rPr>
      <w:rFonts w:ascii="Book Antiqua" w:hAnsi="Book Antiqua"/>
      <w:color w:val="000000"/>
      <w:sz w:val="22"/>
    </w:rPr>
  </w:style>
  <w:style w:type="paragraph" w:styleId="PlainText">
    <w:name w:val="Plain Text"/>
    <w:basedOn w:val="Normal"/>
    <w:link w:val="PlainTextChar"/>
    <w:uiPriority w:val="99"/>
    <w:unhideWhenUsed/>
    <w:rsid w:val="00C26D8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26D8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4492"/>
    <w:rPr>
      <w:sz w:val="24"/>
      <w:szCs w:val="24"/>
    </w:rPr>
  </w:style>
  <w:style w:type="paragraph" w:styleId="Heading1">
    <w:name w:val="heading 1"/>
    <w:basedOn w:val="Normal"/>
    <w:next w:val="Normal"/>
    <w:qFormat/>
    <w:pPr>
      <w:keepNext/>
      <w:suppressAutoHyphens/>
      <w:spacing w:before="240" w:after="60"/>
      <w:outlineLvl w:val="0"/>
    </w:pPr>
    <w:rPr>
      <w:rFonts w:ascii="Cambria" w:hAnsi="Cambria" w:cs="Calibri"/>
      <w:b/>
      <w:bCs/>
      <w:kern w:val="1"/>
      <w:sz w:val="32"/>
      <w:szCs w:val="32"/>
      <w:lang w:val="en-US" w:eastAsia="ar-SA"/>
    </w:rPr>
  </w:style>
  <w:style w:type="paragraph" w:styleId="Heading2">
    <w:name w:val="heading 2"/>
    <w:basedOn w:val="Normal"/>
    <w:next w:val="Normal"/>
    <w:qFormat/>
    <w:pPr>
      <w:keepNext/>
      <w:suppressAutoHyphens/>
      <w:spacing w:before="240" w:after="60"/>
      <w:outlineLvl w:val="1"/>
    </w:pPr>
    <w:rPr>
      <w:rFonts w:ascii="Cambria" w:hAnsi="Cambria" w:cs="Calibri"/>
      <w:b/>
      <w:bCs/>
      <w:i/>
      <w:iCs/>
      <w:sz w:val="28"/>
      <w:szCs w:val="28"/>
      <w:lang w:val="en-US" w:eastAsia="ar-SA"/>
    </w:rPr>
  </w:style>
  <w:style w:type="paragraph" w:styleId="Heading3">
    <w:name w:val="heading 3"/>
    <w:basedOn w:val="Normal"/>
    <w:next w:val="Normal"/>
    <w:qFormat/>
    <w:pPr>
      <w:keepNext/>
      <w:suppressAutoHyphens/>
      <w:spacing w:before="240" w:after="60"/>
      <w:outlineLvl w:val="2"/>
    </w:pPr>
    <w:rPr>
      <w:rFonts w:ascii="Cambria" w:hAnsi="Cambria" w:cs="Calibri"/>
      <w:b/>
      <w:bCs/>
      <w:sz w:val="26"/>
      <w:szCs w:val="26"/>
      <w:lang w:val="en-US" w:eastAsia="ar-SA"/>
    </w:rPr>
  </w:style>
  <w:style w:type="paragraph" w:styleId="Heading4">
    <w:name w:val="heading 4"/>
    <w:basedOn w:val="Normal"/>
    <w:next w:val="Normal"/>
    <w:qFormat/>
    <w:pPr>
      <w:keepNext/>
      <w:suppressAutoHyphens/>
      <w:spacing w:before="240" w:after="60"/>
      <w:outlineLvl w:val="3"/>
    </w:pPr>
    <w:rPr>
      <w:rFonts w:ascii="Calibri" w:hAnsi="Calibri" w:cs="Calibri"/>
      <w:b/>
      <w:bCs/>
      <w:sz w:val="28"/>
      <w:szCs w:val="28"/>
      <w:lang w:val="en-US" w:eastAsia="ar-SA"/>
    </w:rPr>
  </w:style>
  <w:style w:type="paragraph" w:styleId="Heading5">
    <w:name w:val="heading 5"/>
    <w:basedOn w:val="Normal"/>
    <w:next w:val="Normal"/>
    <w:qFormat/>
    <w:pPr>
      <w:suppressAutoHyphens/>
      <w:spacing w:before="240" w:after="60"/>
      <w:outlineLvl w:val="4"/>
    </w:pPr>
    <w:rPr>
      <w:rFonts w:ascii="Calibri" w:hAnsi="Calibri" w:cs="Calibri"/>
      <w:b/>
      <w:bCs/>
      <w:i/>
      <w:iCs/>
      <w:sz w:val="26"/>
      <w:szCs w:val="26"/>
      <w:lang w:val="en-US" w:eastAsia="ar-SA"/>
    </w:rPr>
  </w:style>
  <w:style w:type="paragraph" w:styleId="Heading6">
    <w:name w:val="heading 6"/>
    <w:basedOn w:val="Normal"/>
    <w:next w:val="Normal"/>
    <w:qFormat/>
    <w:pPr>
      <w:suppressAutoHyphens/>
      <w:spacing w:before="240" w:after="60"/>
      <w:outlineLvl w:val="5"/>
    </w:pPr>
    <w:rPr>
      <w:rFonts w:ascii="Calibri" w:hAnsi="Calibri" w:cs="Calibri"/>
      <w:b/>
      <w:bCs/>
      <w:sz w:val="20"/>
      <w:szCs w:val="20"/>
      <w:lang w:val="en-US" w:eastAsia="ar-SA"/>
    </w:rPr>
  </w:style>
  <w:style w:type="paragraph" w:styleId="Heading7">
    <w:name w:val="heading 7"/>
    <w:basedOn w:val="Normal"/>
    <w:next w:val="Normal"/>
    <w:qFormat/>
    <w:pPr>
      <w:suppressAutoHyphens/>
      <w:spacing w:before="240" w:after="60"/>
      <w:outlineLvl w:val="6"/>
    </w:pPr>
    <w:rPr>
      <w:rFonts w:ascii="Calibri" w:hAnsi="Calibri" w:cs="Calibri"/>
      <w:lang w:val="en-US" w:eastAsia="ar-SA"/>
    </w:rPr>
  </w:style>
  <w:style w:type="paragraph" w:styleId="Heading8">
    <w:name w:val="heading 8"/>
    <w:basedOn w:val="Normal"/>
    <w:next w:val="Normal"/>
    <w:qFormat/>
    <w:pPr>
      <w:suppressAutoHyphens/>
      <w:spacing w:before="240" w:after="60"/>
      <w:outlineLvl w:val="7"/>
    </w:pPr>
    <w:rPr>
      <w:rFonts w:ascii="Calibri" w:hAnsi="Calibri" w:cs="Calibri"/>
      <w:i/>
      <w:iCs/>
      <w:lang w:val="en-US" w:eastAsia="ar-SA"/>
    </w:rPr>
  </w:style>
  <w:style w:type="paragraph" w:styleId="Heading9">
    <w:name w:val="heading 9"/>
    <w:basedOn w:val="Normal"/>
    <w:next w:val="Normal"/>
    <w:qFormat/>
    <w:pPr>
      <w:suppressAutoHyphens/>
      <w:spacing w:before="240" w:after="60"/>
      <w:outlineLvl w:val="8"/>
    </w:pPr>
    <w:rPr>
      <w:rFonts w:ascii="Cambria" w:hAnsi="Cambria" w:cs="Calibri"/>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10pt">
    <w:name w:val="Body text Arial 10pt"/>
    <w:basedOn w:val="Normal"/>
    <w:qFormat/>
    <w:rsid w:val="006927E8"/>
    <w:pPr>
      <w:suppressAutoHyphens/>
      <w:spacing w:before="120" w:after="120"/>
    </w:pPr>
    <w:rPr>
      <w:rFonts w:ascii="Arial" w:hAnsi="Arial" w:cs="Arial"/>
      <w:sz w:val="20"/>
      <w:szCs w:val="22"/>
      <w:lang w:val="en-US" w:eastAsia="en-US" w:bidi="en-US"/>
    </w:rPr>
  </w:style>
  <w:style w:type="paragraph" w:customStyle="1" w:styleId="Subhead-Arial12ptbold">
    <w:name w:val="Subhead - Arial 12pt bold"/>
    <w:basedOn w:val="Normal"/>
    <w:qFormat/>
    <w:rsid w:val="006927E8"/>
    <w:pPr>
      <w:suppressAutoHyphens/>
    </w:pPr>
    <w:rPr>
      <w:rFonts w:ascii="Arial Bold" w:hAnsi="Arial Bold" w:cs="Calibri"/>
      <w:color w:val="272727"/>
      <w:lang w:val="en-US" w:eastAsia="en-US" w:bidi="en-US"/>
    </w:rPr>
  </w:style>
  <w:style w:type="paragraph" w:customStyle="1" w:styleId="TOCheader">
    <w:name w:val="TOC header"/>
    <w:basedOn w:val="BasicParagraph"/>
    <w:qFormat/>
    <w:rsid w:val="004E4E1A"/>
    <w:pPr>
      <w:tabs>
        <w:tab w:val="right" w:pos="7938"/>
      </w:tabs>
      <w:spacing w:before="200"/>
    </w:pPr>
    <w:rPr>
      <w:rFonts w:ascii="Arial" w:hAnsi="Arial"/>
      <w:b/>
    </w:rPr>
  </w:style>
  <w:style w:type="paragraph" w:customStyle="1" w:styleId="BasicParagraph">
    <w:name w:val="[Basic Paragraph]"/>
    <w:basedOn w:val="Normal"/>
    <w:uiPriority w:val="99"/>
    <w:rsid w:val="00E35F04"/>
    <w:pPr>
      <w:widowControl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TOCsubhead">
    <w:name w:val="TOC subhead"/>
    <w:basedOn w:val="BasicParagraph"/>
    <w:qFormat/>
    <w:rsid w:val="004E4E1A"/>
    <w:pPr>
      <w:tabs>
        <w:tab w:val="right" w:pos="7938"/>
      </w:tabs>
      <w:spacing w:before="120"/>
    </w:pPr>
    <w:rPr>
      <w:rFonts w:ascii="Arial" w:hAnsi="Arial"/>
      <w:b/>
      <w:sz w:val="20"/>
    </w:rPr>
  </w:style>
  <w:style w:type="paragraph" w:customStyle="1" w:styleId="TOCbody">
    <w:name w:val="TOC body"/>
    <w:basedOn w:val="BasicParagraph"/>
    <w:qFormat/>
    <w:rsid w:val="004E4E1A"/>
    <w:pPr>
      <w:tabs>
        <w:tab w:val="right" w:pos="7938"/>
      </w:tabs>
    </w:pPr>
    <w:rPr>
      <w:rFonts w:ascii="Arial" w:hAnsi="Arial"/>
      <w:sz w:val="20"/>
    </w:rPr>
  </w:style>
  <w:style w:type="paragraph" w:customStyle="1" w:styleId="header14ptorangebold">
    <w:name w:val="header 14pt orange bold"/>
    <w:basedOn w:val="Normal"/>
    <w:uiPriority w:val="99"/>
    <w:rsid w:val="00453AAC"/>
    <w:pPr>
      <w:widowControl w:val="0"/>
      <w:suppressAutoHyphens/>
      <w:autoSpaceDE w:val="0"/>
      <w:autoSpaceDN w:val="0"/>
      <w:adjustRightInd w:val="0"/>
      <w:spacing w:line="320" w:lineRule="atLeast"/>
      <w:textAlignment w:val="center"/>
    </w:pPr>
    <w:rPr>
      <w:rFonts w:ascii="Arial Bold" w:hAnsi="Arial Bold" w:cs="Futura-Bold"/>
      <w:bCs/>
      <w:color w:val="DF6C08"/>
      <w:sz w:val="28"/>
      <w:szCs w:val="28"/>
      <w:lang w:val="en-GB" w:eastAsia="en-US"/>
    </w:rPr>
  </w:style>
  <w:style w:type="character" w:styleId="Hyperlink">
    <w:name w:val="Hyperlink"/>
    <w:basedOn w:val="DefaultParagraphFont"/>
    <w:uiPriority w:val="99"/>
    <w:rsid w:val="0000224A"/>
    <w:rPr>
      <w:color w:val="0000FF"/>
      <w:u w:val="single"/>
    </w:rPr>
  </w:style>
  <w:style w:type="paragraph" w:styleId="Header">
    <w:name w:val="header"/>
    <w:basedOn w:val="Normal"/>
    <w:link w:val="HeaderChar"/>
    <w:rsid w:val="00561964"/>
    <w:pPr>
      <w:tabs>
        <w:tab w:val="center" w:pos="4320"/>
        <w:tab w:val="right" w:pos="8640"/>
      </w:tabs>
      <w:suppressAutoHyphens/>
    </w:pPr>
    <w:rPr>
      <w:rFonts w:ascii="Calibri" w:hAnsi="Calibri" w:cs="Calibri"/>
      <w:lang w:val="en-US" w:eastAsia="en-US" w:bidi="en-US"/>
    </w:rPr>
  </w:style>
  <w:style w:type="character" w:customStyle="1" w:styleId="HeaderChar">
    <w:name w:val="Header Char"/>
    <w:basedOn w:val="DefaultParagraphFont"/>
    <w:link w:val="Header"/>
    <w:rsid w:val="00561964"/>
    <w:rPr>
      <w:rFonts w:ascii="Calibri" w:hAnsi="Calibri" w:cs="Calibri"/>
      <w:sz w:val="24"/>
      <w:szCs w:val="24"/>
      <w:lang w:val="en-US" w:bidi="en-US"/>
    </w:rPr>
  </w:style>
  <w:style w:type="paragraph" w:styleId="Footer">
    <w:name w:val="footer"/>
    <w:basedOn w:val="Normal"/>
    <w:link w:val="FooterChar"/>
    <w:uiPriority w:val="99"/>
    <w:rsid w:val="00561964"/>
    <w:pPr>
      <w:tabs>
        <w:tab w:val="center" w:pos="4320"/>
        <w:tab w:val="right" w:pos="8640"/>
      </w:tabs>
      <w:suppressAutoHyphens/>
    </w:pPr>
    <w:rPr>
      <w:rFonts w:ascii="Calibri" w:hAnsi="Calibri" w:cs="Calibri"/>
      <w:lang w:val="en-US" w:eastAsia="en-US" w:bidi="en-US"/>
    </w:rPr>
  </w:style>
  <w:style w:type="character" w:customStyle="1" w:styleId="FooterChar">
    <w:name w:val="Footer Char"/>
    <w:basedOn w:val="DefaultParagraphFont"/>
    <w:link w:val="Footer"/>
    <w:uiPriority w:val="99"/>
    <w:rsid w:val="00561964"/>
    <w:rPr>
      <w:rFonts w:ascii="Calibri" w:hAnsi="Calibri" w:cs="Calibri"/>
      <w:sz w:val="24"/>
      <w:szCs w:val="24"/>
      <w:lang w:val="en-US" w:bidi="en-US"/>
    </w:rPr>
  </w:style>
  <w:style w:type="paragraph" w:styleId="ListParagraph">
    <w:name w:val="List Paragraph"/>
    <w:basedOn w:val="Normal"/>
    <w:uiPriority w:val="34"/>
    <w:qFormat/>
    <w:rsid w:val="00737EF8"/>
    <w:pPr>
      <w:ind w:left="720"/>
      <w:contextualSpacing/>
    </w:pPr>
    <w:rPr>
      <w:szCs w:val="20"/>
      <w:lang w:eastAsia="en-US"/>
    </w:rPr>
  </w:style>
  <w:style w:type="character" w:styleId="CommentReference">
    <w:name w:val="annotation reference"/>
    <w:basedOn w:val="DefaultParagraphFont"/>
    <w:semiHidden/>
    <w:unhideWhenUsed/>
    <w:rsid w:val="004126E4"/>
    <w:rPr>
      <w:sz w:val="16"/>
      <w:szCs w:val="16"/>
    </w:rPr>
  </w:style>
  <w:style w:type="paragraph" w:styleId="CommentText">
    <w:name w:val="annotation text"/>
    <w:basedOn w:val="Normal"/>
    <w:link w:val="CommentTextChar"/>
    <w:semiHidden/>
    <w:unhideWhenUsed/>
    <w:rsid w:val="004126E4"/>
    <w:pPr>
      <w:suppressAutoHyphens/>
    </w:pPr>
    <w:rPr>
      <w:rFonts w:ascii="Calibri" w:hAnsi="Calibri" w:cs="Calibri"/>
      <w:sz w:val="20"/>
      <w:szCs w:val="20"/>
      <w:lang w:val="en-US" w:eastAsia="en-US" w:bidi="en-US"/>
    </w:rPr>
  </w:style>
  <w:style w:type="character" w:customStyle="1" w:styleId="CommentTextChar">
    <w:name w:val="Comment Text Char"/>
    <w:basedOn w:val="DefaultParagraphFont"/>
    <w:link w:val="CommentText"/>
    <w:semiHidden/>
    <w:rsid w:val="004126E4"/>
    <w:rPr>
      <w:rFonts w:ascii="Calibri" w:hAnsi="Calibri" w:cs="Calibri"/>
      <w:lang w:val="en-US" w:eastAsia="en-US" w:bidi="en-US"/>
    </w:rPr>
  </w:style>
  <w:style w:type="paragraph" w:styleId="CommentSubject">
    <w:name w:val="annotation subject"/>
    <w:basedOn w:val="CommentText"/>
    <w:next w:val="CommentText"/>
    <w:link w:val="CommentSubjectChar"/>
    <w:semiHidden/>
    <w:unhideWhenUsed/>
    <w:rsid w:val="004126E4"/>
    <w:rPr>
      <w:b/>
      <w:bCs/>
    </w:rPr>
  </w:style>
  <w:style w:type="character" w:customStyle="1" w:styleId="CommentSubjectChar">
    <w:name w:val="Comment Subject Char"/>
    <w:basedOn w:val="CommentTextChar"/>
    <w:link w:val="CommentSubject"/>
    <w:semiHidden/>
    <w:rsid w:val="004126E4"/>
    <w:rPr>
      <w:rFonts w:ascii="Calibri" w:hAnsi="Calibri" w:cs="Calibri"/>
      <w:b/>
      <w:bCs/>
      <w:lang w:val="en-US" w:eastAsia="en-US" w:bidi="en-US"/>
    </w:rPr>
  </w:style>
  <w:style w:type="paragraph" w:styleId="BalloonText">
    <w:name w:val="Balloon Text"/>
    <w:basedOn w:val="Normal"/>
    <w:link w:val="BalloonTextChar"/>
    <w:semiHidden/>
    <w:unhideWhenUsed/>
    <w:rsid w:val="004126E4"/>
    <w:pPr>
      <w:suppressAutoHyphens/>
    </w:pPr>
    <w:rPr>
      <w:rFonts w:ascii="Segoe UI" w:hAnsi="Segoe UI" w:cs="Segoe UI"/>
      <w:sz w:val="18"/>
      <w:szCs w:val="18"/>
      <w:lang w:val="en-US" w:eastAsia="en-US" w:bidi="en-US"/>
    </w:rPr>
  </w:style>
  <w:style w:type="character" w:customStyle="1" w:styleId="BalloonTextChar">
    <w:name w:val="Balloon Text Char"/>
    <w:basedOn w:val="DefaultParagraphFont"/>
    <w:link w:val="BalloonText"/>
    <w:semiHidden/>
    <w:rsid w:val="004126E4"/>
    <w:rPr>
      <w:rFonts w:ascii="Segoe UI" w:hAnsi="Segoe UI" w:cs="Segoe UI"/>
      <w:sz w:val="18"/>
      <w:szCs w:val="18"/>
      <w:lang w:val="en-US" w:eastAsia="en-US" w:bidi="en-US"/>
    </w:rPr>
  </w:style>
  <w:style w:type="character" w:customStyle="1" w:styleId="Mention">
    <w:name w:val="Mention"/>
    <w:basedOn w:val="DefaultParagraphFont"/>
    <w:uiPriority w:val="99"/>
    <w:semiHidden/>
    <w:unhideWhenUsed/>
    <w:rsid w:val="002C3250"/>
    <w:rPr>
      <w:color w:val="2B579A"/>
      <w:shd w:val="clear" w:color="auto" w:fill="E6E6E6"/>
    </w:rPr>
  </w:style>
  <w:style w:type="paragraph" w:styleId="FootnoteText">
    <w:name w:val="footnote text"/>
    <w:basedOn w:val="Normal"/>
    <w:link w:val="FootnoteTextChar"/>
    <w:uiPriority w:val="99"/>
    <w:semiHidden/>
    <w:unhideWhenUsed/>
    <w:rsid w:val="002C3250"/>
    <w:pPr>
      <w:suppressAutoHyphens/>
    </w:pPr>
    <w:rPr>
      <w:rFonts w:ascii="Calibri" w:hAnsi="Calibri" w:cs="Calibri"/>
      <w:sz w:val="20"/>
      <w:szCs w:val="20"/>
      <w:lang w:val="en-US" w:eastAsia="en-US" w:bidi="en-US"/>
    </w:rPr>
  </w:style>
  <w:style w:type="character" w:customStyle="1" w:styleId="FootnoteTextChar">
    <w:name w:val="Footnote Text Char"/>
    <w:basedOn w:val="DefaultParagraphFont"/>
    <w:link w:val="FootnoteText"/>
    <w:uiPriority w:val="99"/>
    <w:semiHidden/>
    <w:rsid w:val="002C3250"/>
    <w:rPr>
      <w:rFonts w:ascii="Calibri" w:hAnsi="Calibri" w:cs="Calibri"/>
      <w:lang w:val="en-US" w:eastAsia="en-US" w:bidi="en-US"/>
    </w:rPr>
  </w:style>
  <w:style w:type="character" w:styleId="FootnoteReference">
    <w:name w:val="footnote reference"/>
    <w:uiPriority w:val="99"/>
    <w:unhideWhenUsed/>
    <w:rsid w:val="002C3250"/>
    <w:rPr>
      <w:vertAlign w:val="superscript"/>
    </w:rPr>
  </w:style>
  <w:style w:type="paragraph" w:customStyle="1" w:styleId="p1">
    <w:name w:val="p1"/>
    <w:basedOn w:val="Normal"/>
    <w:rsid w:val="008D3ABB"/>
    <w:pPr>
      <w:spacing w:after="150"/>
    </w:pPr>
    <w:rPr>
      <w:rFonts w:ascii="Open Sans" w:hAnsi="Open Sans"/>
    </w:rPr>
  </w:style>
  <w:style w:type="character" w:styleId="Emphasis">
    <w:name w:val="Emphasis"/>
    <w:basedOn w:val="DefaultParagraphFont"/>
    <w:uiPriority w:val="20"/>
    <w:qFormat/>
    <w:rsid w:val="00F74D96"/>
    <w:rPr>
      <w:i/>
      <w:iCs/>
    </w:rPr>
  </w:style>
  <w:style w:type="paragraph" w:customStyle="1" w:styleId="EndNoteBibliography">
    <w:name w:val="EndNote Bibliography"/>
    <w:basedOn w:val="Normal"/>
    <w:link w:val="EndNoteBibliographyChar"/>
    <w:rsid w:val="009A0C73"/>
    <w:pPr>
      <w:spacing w:after="200"/>
    </w:pPr>
    <w:rPr>
      <w:rFonts w:ascii="Calibri" w:eastAsiaTheme="minorEastAsia" w:hAnsi="Calibri" w:cstheme="minorBidi"/>
      <w:noProof/>
      <w:sz w:val="22"/>
      <w:szCs w:val="22"/>
      <w:lang w:val="en-US" w:eastAsia="en-US" w:bidi="en-US"/>
    </w:rPr>
  </w:style>
  <w:style w:type="character" w:customStyle="1" w:styleId="EndNoteBibliographyChar">
    <w:name w:val="EndNote Bibliography Char"/>
    <w:basedOn w:val="FootnoteTextChar"/>
    <w:link w:val="EndNoteBibliography"/>
    <w:rsid w:val="009A0C73"/>
    <w:rPr>
      <w:rFonts w:ascii="Calibri" w:eastAsiaTheme="minorEastAsia" w:hAnsi="Calibri" w:cstheme="minorBidi"/>
      <w:noProof/>
      <w:sz w:val="22"/>
      <w:szCs w:val="22"/>
      <w:lang w:val="en-US" w:eastAsia="en-US" w:bidi="en-US"/>
    </w:rPr>
  </w:style>
  <w:style w:type="paragraph" w:customStyle="1" w:styleId="text">
    <w:name w:val="text"/>
    <w:basedOn w:val="Normal"/>
    <w:link w:val="textChar"/>
    <w:qFormat/>
    <w:rsid w:val="007A230E"/>
    <w:pPr>
      <w:spacing w:line="480" w:lineRule="auto"/>
      <w:ind w:firstLine="425"/>
      <w:jc w:val="both"/>
    </w:pPr>
    <w:rPr>
      <w:rFonts w:eastAsiaTheme="minorEastAsia"/>
      <w:lang w:eastAsia="zh-CN"/>
    </w:rPr>
  </w:style>
  <w:style w:type="character" w:customStyle="1" w:styleId="textChar">
    <w:name w:val="text Char"/>
    <w:link w:val="text"/>
    <w:locked/>
    <w:rsid w:val="007A230E"/>
    <w:rPr>
      <w:rFonts w:eastAsiaTheme="minorEastAsia"/>
      <w:sz w:val="24"/>
      <w:szCs w:val="24"/>
      <w:lang w:eastAsia="zh-CN"/>
    </w:rPr>
  </w:style>
  <w:style w:type="paragraph" w:styleId="NormalWeb">
    <w:name w:val="Normal (Web)"/>
    <w:basedOn w:val="Normal"/>
    <w:uiPriority w:val="99"/>
    <w:semiHidden/>
    <w:unhideWhenUsed/>
    <w:rsid w:val="00154208"/>
    <w:pPr>
      <w:spacing w:before="100" w:beforeAutospacing="1" w:after="100" w:afterAutospacing="1"/>
    </w:pPr>
    <w:rPr>
      <w:lang w:eastAsia="zh-CN"/>
    </w:rPr>
  </w:style>
  <w:style w:type="character" w:customStyle="1" w:styleId="blue">
    <w:name w:val="blue"/>
    <w:basedOn w:val="DefaultParagraphFont"/>
    <w:rsid w:val="00154208"/>
  </w:style>
  <w:style w:type="paragraph" w:styleId="TOC1">
    <w:name w:val="toc 1"/>
    <w:basedOn w:val="Normal"/>
    <w:next w:val="Normal"/>
    <w:autoRedefine/>
    <w:uiPriority w:val="39"/>
    <w:rsid w:val="00003ADC"/>
    <w:pPr>
      <w:tabs>
        <w:tab w:val="right" w:leader="dot" w:pos="9054"/>
      </w:tabs>
      <w:spacing w:after="100" w:line="288" w:lineRule="auto"/>
    </w:pPr>
    <w:rPr>
      <w:rFonts w:ascii="Arial" w:eastAsiaTheme="minorEastAsia" w:hAnsi="Arial" w:cstheme="minorBidi"/>
      <w:noProof/>
      <w:color w:val="484E41"/>
      <w:sz w:val="20"/>
      <w:szCs w:val="20"/>
    </w:rPr>
  </w:style>
  <w:style w:type="character" w:customStyle="1" w:styleId="apple-converted-space">
    <w:name w:val="apple-converted-space"/>
    <w:basedOn w:val="DefaultParagraphFont"/>
    <w:rsid w:val="00B95FF1"/>
  </w:style>
  <w:style w:type="paragraph" w:customStyle="1" w:styleId="SingleParagraph">
    <w:name w:val="Single Paragraph"/>
    <w:basedOn w:val="Normal"/>
    <w:link w:val="SingleParagraphChar"/>
    <w:rsid w:val="00E47623"/>
    <w:pPr>
      <w:spacing w:line="260" w:lineRule="exact"/>
      <w:jc w:val="both"/>
    </w:pPr>
    <w:rPr>
      <w:rFonts w:ascii="Book Antiqua" w:hAnsi="Book Antiqua"/>
      <w:color w:val="000000"/>
      <w:sz w:val="22"/>
      <w:szCs w:val="20"/>
    </w:rPr>
  </w:style>
  <w:style w:type="character" w:customStyle="1" w:styleId="SingleParagraphChar">
    <w:name w:val="Single Paragraph Char"/>
    <w:basedOn w:val="DefaultParagraphFont"/>
    <w:link w:val="SingleParagraph"/>
    <w:rsid w:val="00E47623"/>
    <w:rPr>
      <w:rFonts w:ascii="Book Antiqua" w:hAnsi="Book Antiqua"/>
      <w:color w:val="000000"/>
      <w:sz w:val="22"/>
    </w:rPr>
  </w:style>
  <w:style w:type="paragraph" w:styleId="PlainText">
    <w:name w:val="Plain Text"/>
    <w:basedOn w:val="Normal"/>
    <w:link w:val="PlainTextChar"/>
    <w:uiPriority w:val="99"/>
    <w:unhideWhenUsed/>
    <w:rsid w:val="00C26D85"/>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26D8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937">
      <w:bodyDiv w:val="1"/>
      <w:marLeft w:val="0"/>
      <w:marRight w:val="0"/>
      <w:marTop w:val="0"/>
      <w:marBottom w:val="0"/>
      <w:divBdr>
        <w:top w:val="none" w:sz="0" w:space="0" w:color="auto"/>
        <w:left w:val="none" w:sz="0" w:space="0" w:color="auto"/>
        <w:bottom w:val="none" w:sz="0" w:space="0" w:color="auto"/>
        <w:right w:val="none" w:sz="0" w:space="0" w:color="auto"/>
      </w:divBdr>
    </w:div>
    <w:div w:id="168568344">
      <w:bodyDiv w:val="1"/>
      <w:marLeft w:val="0"/>
      <w:marRight w:val="0"/>
      <w:marTop w:val="0"/>
      <w:marBottom w:val="0"/>
      <w:divBdr>
        <w:top w:val="none" w:sz="0" w:space="0" w:color="auto"/>
        <w:left w:val="none" w:sz="0" w:space="0" w:color="auto"/>
        <w:bottom w:val="none" w:sz="0" w:space="0" w:color="auto"/>
        <w:right w:val="none" w:sz="0" w:space="0" w:color="auto"/>
      </w:divBdr>
    </w:div>
    <w:div w:id="192154169">
      <w:bodyDiv w:val="1"/>
      <w:marLeft w:val="0"/>
      <w:marRight w:val="0"/>
      <w:marTop w:val="0"/>
      <w:marBottom w:val="0"/>
      <w:divBdr>
        <w:top w:val="none" w:sz="0" w:space="0" w:color="auto"/>
        <w:left w:val="none" w:sz="0" w:space="0" w:color="auto"/>
        <w:bottom w:val="none" w:sz="0" w:space="0" w:color="auto"/>
        <w:right w:val="none" w:sz="0" w:space="0" w:color="auto"/>
      </w:divBdr>
    </w:div>
    <w:div w:id="254094264">
      <w:bodyDiv w:val="1"/>
      <w:marLeft w:val="0"/>
      <w:marRight w:val="0"/>
      <w:marTop w:val="0"/>
      <w:marBottom w:val="0"/>
      <w:divBdr>
        <w:top w:val="none" w:sz="0" w:space="0" w:color="auto"/>
        <w:left w:val="none" w:sz="0" w:space="0" w:color="auto"/>
        <w:bottom w:val="none" w:sz="0" w:space="0" w:color="auto"/>
        <w:right w:val="none" w:sz="0" w:space="0" w:color="auto"/>
      </w:divBdr>
      <w:divsChild>
        <w:div w:id="4480797">
          <w:marLeft w:val="0"/>
          <w:marRight w:val="0"/>
          <w:marTop w:val="0"/>
          <w:marBottom w:val="0"/>
          <w:divBdr>
            <w:top w:val="none" w:sz="0" w:space="0" w:color="auto"/>
            <w:left w:val="none" w:sz="0" w:space="0" w:color="auto"/>
            <w:bottom w:val="none" w:sz="0" w:space="0" w:color="auto"/>
            <w:right w:val="none" w:sz="0" w:space="0" w:color="auto"/>
          </w:divBdr>
        </w:div>
      </w:divsChild>
    </w:div>
    <w:div w:id="257756739">
      <w:bodyDiv w:val="1"/>
      <w:marLeft w:val="0"/>
      <w:marRight w:val="0"/>
      <w:marTop w:val="0"/>
      <w:marBottom w:val="0"/>
      <w:divBdr>
        <w:top w:val="none" w:sz="0" w:space="0" w:color="auto"/>
        <w:left w:val="none" w:sz="0" w:space="0" w:color="auto"/>
        <w:bottom w:val="none" w:sz="0" w:space="0" w:color="auto"/>
        <w:right w:val="none" w:sz="0" w:space="0" w:color="auto"/>
      </w:divBdr>
    </w:div>
    <w:div w:id="301816894">
      <w:bodyDiv w:val="1"/>
      <w:marLeft w:val="0"/>
      <w:marRight w:val="0"/>
      <w:marTop w:val="0"/>
      <w:marBottom w:val="0"/>
      <w:divBdr>
        <w:top w:val="none" w:sz="0" w:space="0" w:color="auto"/>
        <w:left w:val="none" w:sz="0" w:space="0" w:color="auto"/>
        <w:bottom w:val="none" w:sz="0" w:space="0" w:color="auto"/>
        <w:right w:val="none" w:sz="0" w:space="0" w:color="auto"/>
      </w:divBdr>
    </w:div>
    <w:div w:id="315496979">
      <w:bodyDiv w:val="1"/>
      <w:marLeft w:val="0"/>
      <w:marRight w:val="0"/>
      <w:marTop w:val="0"/>
      <w:marBottom w:val="0"/>
      <w:divBdr>
        <w:top w:val="none" w:sz="0" w:space="0" w:color="auto"/>
        <w:left w:val="none" w:sz="0" w:space="0" w:color="auto"/>
        <w:bottom w:val="none" w:sz="0" w:space="0" w:color="auto"/>
        <w:right w:val="none" w:sz="0" w:space="0" w:color="auto"/>
      </w:divBdr>
    </w:div>
    <w:div w:id="365181329">
      <w:bodyDiv w:val="1"/>
      <w:marLeft w:val="0"/>
      <w:marRight w:val="0"/>
      <w:marTop w:val="0"/>
      <w:marBottom w:val="0"/>
      <w:divBdr>
        <w:top w:val="none" w:sz="0" w:space="0" w:color="auto"/>
        <w:left w:val="none" w:sz="0" w:space="0" w:color="auto"/>
        <w:bottom w:val="none" w:sz="0" w:space="0" w:color="auto"/>
        <w:right w:val="none" w:sz="0" w:space="0" w:color="auto"/>
      </w:divBdr>
    </w:div>
    <w:div w:id="368182954">
      <w:bodyDiv w:val="1"/>
      <w:marLeft w:val="0"/>
      <w:marRight w:val="0"/>
      <w:marTop w:val="0"/>
      <w:marBottom w:val="0"/>
      <w:divBdr>
        <w:top w:val="none" w:sz="0" w:space="0" w:color="auto"/>
        <w:left w:val="none" w:sz="0" w:space="0" w:color="auto"/>
        <w:bottom w:val="none" w:sz="0" w:space="0" w:color="auto"/>
        <w:right w:val="none" w:sz="0" w:space="0" w:color="auto"/>
      </w:divBdr>
    </w:div>
    <w:div w:id="427434024">
      <w:bodyDiv w:val="1"/>
      <w:marLeft w:val="0"/>
      <w:marRight w:val="0"/>
      <w:marTop w:val="0"/>
      <w:marBottom w:val="0"/>
      <w:divBdr>
        <w:top w:val="none" w:sz="0" w:space="0" w:color="auto"/>
        <w:left w:val="none" w:sz="0" w:space="0" w:color="auto"/>
        <w:bottom w:val="none" w:sz="0" w:space="0" w:color="auto"/>
        <w:right w:val="none" w:sz="0" w:space="0" w:color="auto"/>
      </w:divBdr>
    </w:div>
    <w:div w:id="438985721">
      <w:bodyDiv w:val="1"/>
      <w:marLeft w:val="0"/>
      <w:marRight w:val="0"/>
      <w:marTop w:val="0"/>
      <w:marBottom w:val="0"/>
      <w:divBdr>
        <w:top w:val="none" w:sz="0" w:space="0" w:color="auto"/>
        <w:left w:val="none" w:sz="0" w:space="0" w:color="auto"/>
        <w:bottom w:val="none" w:sz="0" w:space="0" w:color="auto"/>
        <w:right w:val="none" w:sz="0" w:space="0" w:color="auto"/>
      </w:divBdr>
    </w:div>
    <w:div w:id="777528030">
      <w:bodyDiv w:val="1"/>
      <w:marLeft w:val="0"/>
      <w:marRight w:val="0"/>
      <w:marTop w:val="0"/>
      <w:marBottom w:val="0"/>
      <w:divBdr>
        <w:top w:val="none" w:sz="0" w:space="0" w:color="auto"/>
        <w:left w:val="none" w:sz="0" w:space="0" w:color="auto"/>
        <w:bottom w:val="none" w:sz="0" w:space="0" w:color="auto"/>
        <w:right w:val="none" w:sz="0" w:space="0" w:color="auto"/>
      </w:divBdr>
    </w:div>
    <w:div w:id="813450338">
      <w:bodyDiv w:val="1"/>
      <w:marLeft w:val="0"/>
      <w:marRight w:val="0"/>
      <w:marTop w:val="0"/>
      <w:marBottom w:val="0"/>
      <w:divBdr>
        <w:top w:val="none" w:sz="0" w:space="0" w:color="auto"/>
        <w:left w:val="none" w:sz="0" w:space="0" w:color="auto"/>
        <w:bottom w:val="none" w:sz="0" w:space="0" w:color="auto"/>
        <w:right w:val="none" w:sz="0" w:space="0" w:color="auto"/>
      </w:divBdr>
    </w:div>
    <w:div w:id="917712406">
      <w:bodyDiv w:val="1"/>
      <w:marLeft w:val="0"/>
      <w:marRight w:val="0"/>
      <w:marTop w:val="0"/>
      <w:marBottom w:val="0"/>
      <w:divBdr>
        <w:top w:val="none" w:sz="0" w:space="0" w:color="auto"/>
        <w:left w:val="none" w:sz="0" w:space="0" w:color="auto"/>
        <w:bottom w:val="none" w:sz="0" w:space="0" w:color="auto"/>
        <w:right w:val="none" w:sz="0" w:space="0" w:color="auto"/>
      </w:divBdr>
    </w:div>
    <w:div w:id="953828980">
      <w:bodyDiv w:val="1"/>
      <w:marLeft w:val="0"/>
      <w:marRight w:val="0"/>
      <w:marTop w:val="0"/>
      <w:marBottom w:val="0"/>
      <w:divBdr>
        <w:top w:val="none" w:sz="0" w:space="0" w:color="auto"/>
        <w:left w:val="none" w:sz="0" w:space="0" w:color="auto"/>
        <w:bottom w:val="none" w:sz="0" w:space="0" w:color="auto"/>
        <w:right w:val="none" w:sz="0" w:space="0" w:color="auto"/>
      </w:divBdr>
    </w:div>
    <w:div w:id="956449341">
      <w:bodyDiv w:val="1"/>
      <w:marLeft w:val="0"/>
      <w:marRight w:val="0"/>
      <w:marTop w:val="0"/>
      <w:marBottom w:val="0"/>
      <w:divBdr>
        <w:top w:val="none" w:sz="0" w:space="0" w:color="auto"/>
        <w:left w:val="none" w:sz="0" w:space="0" w:color="auto"/>
        <w:bottom w:val="none" w:sz="0" w:space="0" w:color="auto"/>
        <w:right w:val="none" w:sz="0" w:space="0" w:color="auto"/>
      </w:divBdr>
      <w:divsChild>
        <w:div w:id="62221628">
          <w:marLeft w:val="0"/>
          <w:marRight w:val="0"/>
          <w:marTop w:val="0"/>
          <w:marBottom w:val="0"/>
          <w:divBdr>
            <w:top w:val="none" w:sz="0" w:space="0" w:color="auto"/>
            <w:left w:val="none" w:sz="0" w:space="0" w:color="auto"/>
            <w:bottom w:val="none" w:sz="0" w:space="0" w:color="auto"/>
            <w:right w:val="none" w:sz="0" w:space="0" w:color="auto"/>
          </w:divBdr>
          <w:divsChild>
            <w:div w:id="1941327093">
              <w:marLeft w:val="0"/>
              <w:marRight w:val="0"/>
              <w:marTop w:val="0"/>
              <w:marBottom w:val="0"/>
              <w:divBdr>
                <w:top w:val="none" w:sz="0" w:space="0" w:color="auto"/>
                <w:left w:val="none" w:sz="0" w:space="0" w:color="auto"/>
                <w:bottom w:val="none" w:sz="0" w:space="0" w:color="auto"/>
                <w:right w:val="none" w:sz="0" w:space="0" w:color="auto"/>
              </w:divBdr>
              <w:divsChild>
                <w:div w:id="1646424181">
                  <w:marLeft w:val="0"/>
                  <w:marRight w:val="0"/>
                  <w:marTop w:val="0"/>
                  <w:marBottom w:val="0"/>
                  <w:divBdr>
                    <w:top w:val="none" w:sz="0" w:space="0" w:color="auto"/>
                    <w:left w:val="none" w:sz="0" w:space="0" w:color="auto"/>
                    <w:bottom w:val="none" w:sz="0" w:space="0" w:color="auto"/>
                    <w:right w:val="none" w:sz="0" w:space="0" w:color="auto"/>
                  </w:divBdr>
                  <w:divsChild>
                    <w:div w:id="67001349">
                      <w:marLeft w:val="-195"/>
                      <w:marRight w:val="-195"/>
                      <w:marTop w:val="0"/>
                      <w:marBottom w:val="0"/>
                      <w:divBdr>
                        <w:top w:val="none" w:sz="0" w:space="0" w:color="auto"/>
                        <w:left w:val="none" w:sz="0" w:space="0" w:color="auto"/>
                        <w:bottom w:val="none" w:sz="0" w:space="0" w:color="auto"/>
                        <w:right w:val="none" w:sz="0" w:space="0" w:color="auto"/>
                      </w:divBdr>
                      <w:divsChild>
                        <w:div w:id="1112238064">
                          <w:marLeft w:val="0"/>
                          <w:marRight w:val="0"/>
                          <w:marTop w:val="0"/>
                          <w:marBottom w:val="0"/>
                          <w:divBdr>
                            <w:top w:val="none" w:sz="0" w:space="0" w:color="auto"/>
                            <w:left w:val="none" w:sz="0" w:space="0" w:color="auto"/>
                            <w:bottom w:val="none" w:sz="0" w:space="0" w:color="auto"/>
                            <w:right w:val="none" w:sz="0" w:space="0" w:color="auto"/>
                          </w:divBdr>
                          <w:divsChild>
                            <w:div w:id="62804552">
                              <w:marLeft w:val="0"/>
                              <w:marRight w:val="0"/>
                              <w:marTop w:val="0"/>
                              <w:marBottom w:val="0"/>
                              <w:divBdr>
                                <w:top w:val="none" w:sz="0" w:space="0" w:color="auto"/>
                                <w:left w:val="none" w:sz="0" w:space="0" w:color="auto"/>
                                <w:bottom w:val="none" w:sz="0" w:space="0" w:color="auto"/>
                                <w:right w:val="none" w:sz="0" w:space="0" w:color="auto"/>
                              </w:divBdr>
                              <w:divsChild>
                                <w:div w:id="1484589160">
                                  <w:marLeft w:val="0"/>
                                  <w:marRight w:val="0"/>
                                  <w:marTop w:val="0"/>
                                  <w:marBottom w:val="0"/>
                                  <w:divBdr>
                                    <w:top w:val="none" w:sz="0" w:space="0" w:color="auto"/>
                                    <w:left w:val="none" w:sz="0" w:space="0" w:color="auto"/>
                                    <w:bottom w:val="none" w:sz="0" w:space="0" w:color="auto"/>
                                    <w:right w:val="none" w:sz="0" w:space="0" w:color="auto"/>
                                  </w:divBdr>
                                  <w:divsChild>
                                    <w:div w:id="30690822">
                                      <w:marLeft w:val="0"/>
                                      <w:marRight w:val="0"/>
                                      <w:marTop w:val="0"/>
                                      <w:marBottom w:val="0"/>
                                      <w:divBdr>
                                        <w:top w:val="none" w:sz="0" w:space="0" w:color="auto"/>
                                        <w:left w:val="none" w:sz="0" w:space="0" w:color="auto"/>
                                        <w:bottom w:val="none" w:sz="0" w:space="0" w:color="auto"/>
                                        <w:right w:val="none" w:sz="0" w:space="0" w:color="auto"/>
                                      </w:divBdr>
                                      <w:divsChild>
                                        <w:div w:id="8720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553809">
      <w:bodyDiv w:val="1"/>
      <w:marLeft w:val="0"/>
      <w:marRight w:val="0"/>
      <w:marTop w:val="0"/>
      <w:marBottom w:val="0"/>
      <w:divBdr>
        <w:top w:val="none" w:sz="0" w:space="0" w:color="auto"/>
        <w:left w:val="none" w:sz="0" w:space="0" w:color="auto"/>
        <w:bottom w:val="none" w:sz="0" w:space="0" w:color="auto"/>
        <w:right w:val="none" w:sz="0" w:space="0" w:color="auto"/>
      </w:divBdr>
    </w:div>
    <w:div w:id="997732031">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48265699">
      <w:bodyDiv w:val="1"/>
      <w:marLeft w:val="0"/>
      <w:marRight w:val="0"/>
      <w:marTop w:val="0"/>
      <w:marBottom w:val="0"/>
      <w:divBdr>
        <w:top w:val="none" w:sz="0" w:space="0" w:color="auto"/>
        <w:left w:val="none" w:sz="0" w:space="0" w:color="auto"/>
        <w:bottom w:val="none" w:sz="0" w:space="0" w:color="auto"/>
        <w:right w:val="none" w:sz="0" w:space="0" w:color="auto"/>
      </w:divBdr>
    </w:div>
    <w:div w:id="1170952192">
      <w:bodyDiv w:val="1"/>
      <w:marLeft w:val="0"/>
      <w:marRight w:val="0"/>
      <w:marTop w:val="0"/>
      <w:marBottom w:val="0"/>
      <w:divBdr>
        <w:top w:val="none" w:sz="0" w:space="0" w:color="auto"/>
        <w:left w:val="none" w:sz="0" w:space="0" w:color="auto"/>
        <w:bottom w:val="none" w:sz="0" w:space="0" w:color="auto"/>
        <w:right w:val="none" w:sz="0" w:space="0" w:color="auto"/>
      </w:divBdr>
    </w:div>
    <w:div w:id="1296789521">
      <w:bodyDiv w:val="1"/>
      <w:marLeft w:val="0"/>
      <w:marRight w:val="0"/>
      <w:marTop w:val="0"/>
      <w:marBottom w:val="0"/>
      <w:divBdr>
        <w:top w:val="none" w:sz="0" w:space="0" w:color="auto"/>
        <w:left w:val="none" w:sz="0" w:space="0" w:color="auto"/>
        <w:bottom w:val="none" w:sz="0" w:space="0" w:color="auto"/>
        <w:right w:val="none" w:sz="0" w:space="0" w:color="auto"/>
      </w:divBdr>
      <w:divsChild>
        <w:div w:id="67924909">
          <w:marLeft w:val="0"/>
          <w:marRight w:val="0"/>
          <w:marTop w:val="0"/>
          <w:marBottom w:val="0"/>
          <w:divBdr>
            <w:top w:val="none" w:sz="0" w:space="0" w:color="auto"/>
            <w:left w:val="none" w:sz="0" w:space="0" w:color="auto"/>
            <w:bottom w:val="none" w:sz="0" w:space="0" w:color="auto"/>
            <w:right w:val="none" w:sz="0" w:space="0" w:color="auto"/>
          </w:divBdr>
        </w:div>
      </w:divsChild>
    </w:div>
    <w:div w:id="1297488065">
      <w:bodyDiv w:val="1"/>
      <w:marLeft w:val="0"/>
      <w:marRight w:val="0"/>
      <w:marTop w:val="0"/>
      <w:marBottom w:val="0"/>
      <w:divBdr>
        <w:top w:val="none" w:sz="0" w:space="0" w:color="auto"/>
        <w:left w:val="none" w:sz="0" w:space="0" w:color="auto"/>
        <w:bottom w:val="none" w:sz="0" w:space="0" w:color="auto"/>
        <w:right w:val="none" w:sz="0" w:space="0" w:color="auto"/>
      </w:divBdr>
    </w:div>
    <w:div w:id="1360348851">
      <w:bodyDiv w:val="1"/>
      <w:marLeft w:val="0"/>
      <w:marRight w:val="0"/>
      <w:marTop w:val="0"/>
      <w:marBottom w:val="0"/>
      <w:divBdr>
        <w:top w:val="none" w:sz="0" w:space="0" w:color="auto"/>
        <w:left w:val="none" w:sz="0" w:space="0" w:color="auto"/>
        <w:bottom w:val="none" w:sz="0" w:space="0" w:color="auto"/>
        <w:right w:val="none" w:sz="0" w:space="0" w:color="auto"/>
      </w:divBdr>
      <w:divsChild>
        <w:div w:id="438768261">
          <w:marLeft w:val="0"/>
          <w:marRight w:val="0"/>
          <w:marTop w:val="0"/>
          <w:marBottom w:val="0"/>
          <w:divBdr>
            <w:top w:val="none" w:sz="0" w:space="0" w:color="auto"/>
            <w:left w:val="none" w:sz="0" w:space="0" w:color="auto"/>
            <w:bottom w:val="none" w:sz="0" w:space="0" w:color="auto"/>
            <w:right w:val="none" w:sz="0" w:space="0" w:color="auto"/>
          </w:divBdr>
          <w:divsChild>
            <w:div w:id="1717778850">
              <w:marLeft w:val="0"/>
              <w:marRight w:val="0"/>
              <w:marTop w:val="0"/>
              <w:marBottom w:val="375"/>
              <w:divBdr>
                <w:top w:val="none" w:sz="0" w:space="0" w:color="auto"/>
                <w:left w:val="none" w:sz="0" w:space="0" w:color="auto"/>
                <w:bottom w:val="none" w:sz="0" w:space="0" w:color="auto"/>
                <w:right w:val="none" w:sz="0" w:space="0" w:color="auto"/>
              </w:divBdr>
            </w:div>
          </w:divsChild>
        </w:div>
        <w:div w:id="1203400417">
          <w:marLeft w:val="1200"/>
          <w:marRight w:val="0"/>
          <w:marTop w:val="0"/>
          <w:marBottom w:val="0"/>
          <w:divBdr>
            <w:top w:val="none" w:sz="0" w:space="0" w:color="auto"/>
            <w:left w:val="none" w:sz="0" w:space="0" w:color="auto"/>
            <w:bottom w:val="none" w:sz="0" w:space="0" w:color="auto"/>
            <w:right w:val="none" w:sz="0" w:space="0" w:color="auto"/>
          </w:divBdr>
          <w:divsChild>
            <w:div w:id="1139345954">
              <w:marLeft w:val="150"/>
              <w:marRight w:val="150"/>
              <w:marTop w:val="0"/>
              <w:marBottom w:val="0"/>
              <w:divBdr>
                <w:top w:val="none" w:sz="0" w:space="0" w:color="auto"/>
                <w:left w:val="none" w:sz="0" w:space="0" w:color="auto"/>
                <w:bottom w:val="none" w:sz="0" w:space="0" w:color="auto"/>
                <w:right w:val="none" w:sz="0" w:space="0" w:color="auto"/>
              </w:divBdr>
              <w:divsChild>
                <w:div w:id="1816794282">
                  <w:marLeft w:val="0"/>
                  <w:marRight w:val="0"/>
                  <w:marTop w:val="0"/>
                  <w:marBottom w:val="0"/>
                  <w:divBdr>
                    <w:top w:val="none" w:sz="0" w:space="0" w:color="auto"/>
                    <w:left w:val="none" w:sz="0" w:space="0" w:color="auto"/>
                    <w:bottom w:val="none" w:sz="0" w:space="0" w:color="auto"/>
                    <w:right w:val="none" w:sz="0" w:space="0" w:color="auto"/>
                  </w:divBdr>
                  <w:divsChild>
                    <w:div w:id="202982261">
                      <w:marLeft w:val="0"/>
                      <w:marRight w:val="0"/>
                      <w:marTop w:val="0"/>
                      <w:marBottom w:val="0"/>
                      <w:divBdr>
                        <w:top w:val="none" w:sz="0" w:space="0" w:color="auto"/>
                        <w:left w:val="none" w:sz="0" w:space="0" w:color="auto"/>
                        <w:bottom w:val="none" w:sz="0" w:space="0" w:color="auto"/>
                        <w:right w:val="none" w:sz="0" w:space="0" w:color="auto"/>
                      </w:divBdr>
                      <w:divsChild>
                        <w:div w:id="1362509878">
                          <w:marLeft w:val="0"/>
                          <w:marRight w:val="2250"/>
                          <w:marTop w:val="0"/>
                          <w:marBottom w:val="30"/>
                          <w:divBdr>
                            <w:top w:val="none" w:sz="0" w:space="0" w:color="auto"/>
                            <w:left w:val="none" w:sz="0" w:space="0" w:color="auto"/>
                            <w:bottom w:val="none" w:sz="0" w:space="0" w:color="auto"/>
                            <w:right w:val="none" w:sz="0" w:space="0" w:color="auto"/>
                          </w:divBdr>
                          <w:divsChild>
                            <w:div w:id="1939290512">
                              <w:marLeft w:val="0"/>
                              <w:marRight w:val="0"/>
                              <w:marTop w:val="0"/>
                              <w:marBottom w:val="0"/>
                              <w:divBdr>
                                <w:top w:val="none" w:sz="0" w:space="0" w:color="auto"/>
                                <w:left w:val="none" w:sz="0" w:space="0" w:color="auto"/>
                                <w:bottom w:val="none" w:sz="0" w:space="0" w:color="auto"/>
                                <w:right w:val="none" w:sz="0" w:space="0" w:color="auto"/>
                              </w:divBdr>
                            </w:div>
                          </w:divsChild>
                        </w:div>
                        <w:div w:id="17331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2423">
      <w:bodyDiv w:val="1"/>
      <w:marLeft w:val="0"/>
      <w:marRight w:val="0"/>
      <w:marTop w:val="0"/>
      <w:marBottom w:val="0"/>
      <w:divBdr>
        <w:top w:val="none" w:sz="0" w:space="0" w:color="auto"/>
        <w:left w:val="none" w:sz="0" w:space="0" w:color="auto"/>
        <w:bottom w:val="none" w:sz="0" w:space="0" w:color="auto"/>
        <w:right w:val="none" w:sz="0" w:space="0" w:color="auto"/>
      </w:divBdr>
    </w:div>
    <w:div w:id="1518083505">
      <w:bodyDiv w:val="1"/>
      <w:marLeft w:val="0"/>
      <w:marRight w:val="0"/>
      <w:marTop w:val="0"/>
      <w:marBottom w:val="0"/>
      <w:divBdr>
        <w:top w:val="none" w:sz="0" w:space="0" w:color="auto"/>
        <w:left w:val="none" w:sz="0" w:space="0" w:color="auto"/>
        <w:bottom w:val="none" w:sz="0" w:space="0" w:color="auto"/>
        <w:right w:val="none" w:sz="0" w:space="0" w:color="auto"/>
      </w:divBdr>
    </w:div>
    <w:div w:id="1593272418">
      <w:bodyDiv w:val="1"/>
      <w:marLeft w:val="0"/>
      <w:marRight w:val="0"/>
      <w:marTop w:val="0"/>
      <w:marBottom w:val="0"/>
      <w:divBdr>
        <w:top w:val="none" w:sz="0" w:space="0" w:color="auto"/>
        <w:left w:val="none" w:sz="0" w:space="0" w:color="auto"/>
        <w:bottom w:val="none" w:sz="0" w:space="0" w:color="auto"/>
        <w:right w:val="none" w:sz="0" w:space="0" w:color="auto"/>
      </w:divBdr>
    </w:div>
    <w:div w:id="1657686681">
      <w:bodyDiv w:val="1"/>
      <w:marLeft w:val="0"/>
      <w:marRight w:val="0"/>
      <w:marTop w:val="0"/>
      <w:marBottom w:val="0"/>
      <w:divBdr>
        <w:top w:val="none" w:sz="0" w:space="0" w:color="auto"/>
        <w:left w:val="none" w:sz="0" w:space="0" w:color="auto"/>
        <w:bottom w:val="none" w:sz="0" w:space="0" w:color="auto"/>
        <w:right w:val="none" w:sz="0" w:space="0" w:color="auto"/>
      </w:divBdr>
    </w:div>
    <w:div w:id="1715693764">
      <w:bodyDiv w:val="1"/>
      <w:marLeft w:val="0"/>
      <w:marRight w:val="0"/>
      <w:marTop w:val="0"/>
      <w:marBottom w:val="0"/>
      <w:divBdr>
        <w:top w:val="none" w:sz="0" w:space="0" w:color="auto"/>
        <w:left w:val="none" w:sz="0" w:space="0" w:color="auto"/>
        <w:bottom w:val="none" w:sz="0" w:space="0" w:color="auto"/>
        <w:right w:val="none" w:sz="0" w:space="0" w:color="auto"/>
      </w:divBdr>
    </w:div>
    <w:div w:id="1730808835">
      <w:bodyDiv w:val="1"/>
      <w:marLeft w:val="0"/>
      <w:marRight w:val="0"/>
      <w:marTop w:val="0"/>
      <w:marBottom w:val="0"/>
      <w:divBdr>
        <w:top w:val="none" w:sz="0" w:space="0" w:color="auto"/>
        <w:left w:val="none" w:sz="0" w:space="0" w:color="auto"/>
        <w:bottom w:val="none" w:sz="0" w:space="0" w:color="auto"/>
        <w:right w:val="none" w:sz="0" w:space="0" w:color="auto"/>
      </w:divBdr>
    </w:div>
    <w:div w:id="1836918741">
      <w:bodyDiv w:val="1"/>
      <w:marLeft w:val="0"/>
      <w:marRight w:val="0"/>
      <w:marTop w:val="0"/>
      <w:marBottom w:val="0"/>
      <w:divBdr>
        <w:top w:val="none" w:sz="0" w:space="0" w:color="auto"/>
        <w:left w:val="none" w:sz="0" w:space="0" w:color="auto"/>
        <w:bottom w:val="none" w:sz="0" w:space="0" w:color="auto"/>
        <w:right w:val="none" w:sz="0" w:space="0" w:color="auto"/>
      </w:divBdr>
    </w:div>
    <w:div w:id="1948926541">
      <w:bodyDiv w:val="1"/>
      <w:marLeft w:val="0"/>
      <w:marRight w:val="0"/>
      <w:marTop w:val="0"/>
      <w:marBottom w:val="0"/>
      <w:divBdr>
        <w:top w:val="none" w:sz="0" w:space="0" w:color="auto"/>
        <w:left w:val="none" w:sz="0" w:space="0" w:color="auto"/>
        <w:bottom w:val="none" w:sz="0" w:space="0" w:color="auto"/>
        <w:right w:val="none" w:sz="0" w:space="0" w:color="auto"/>
      </w:divBdr>
    </w:div>
    <w:div w:id="1993368629">
      <w:bodyDiv w:val="1"/>
      <w:marLeft w:val="0"/>
      <w:marRight w:val="0"/>
      <w:marTop w:val="0"/>
      <w:marBottom w:val="0"/>
      <w:divBdr>
        <w:top w:val="none" w:sz="0" w:space="0" w:color="auto"/>
        <w:left w:val="none" w:sz="0" w:space="0" w:color="auto"/>
        <w:bottom w:val="none" w:sz="0" w:space="0" w:color="auto"/>
        <w:right w:val="none" w:sz="0" w:space="0" w:color="auto"/>
      </w:divBdr>
    </w:div>
    <w:div w:id="2021227342">
      <w:bodyDiv w:val="1"/>
      <w:marLeft w:val="0"/>
      <w:marRight w:val="0"/>
      <w:marTop w:val="0"/>
      <w:marBottom w:val="0"/>
      <w:divBdr>
        <w:top w:val="none" w:sz="0" w:space="0" w:color="auto"/>
        <w:left w:val="none" w:sz="0" w:space="0" w:color="auto"/>
        <w:bottom w:val="none" w:sz="0" w:space="0" w:color="auto"/>
        <w:right w:val="none" w:sz="0" w:space="0" w:color="auto"/>
      </w:divBdr>
    </w:div>
    <w:div w:id="2054958248">
      <w:bodyDiv w:val="1"/>
      <w:marLeft w:val="0"/>
      <w:marRight w:val="0"/>
      <w:marTop w:val="0"/>
      <w:marBottom w:val="0"/>
      <w:divBdr>
        <w:top w:val="none" w:sz="0" w:space="0" w:color="auto"/>
        <w:left w:val="none" w:sz="0" w:space="0" w:color="auto"/>
        <w:bottom w:val="none" w:sz="0" w:space="0" w:color="auto"/>
        <w:right w:val="none" w:sz="0" w:space="0" w:color="auto"/>
      </w:divBdr>
      <w:divsChild>
        <w:div w:id="987785426">
          <w:marLeft w:val="0"/>
          <w:marRight w:val="0"/>
          <w:marTop w:val="0"/>
          <w:marBottom w:val="0"/>
          <w:divBdr>
            <w:top w:val="none" w:sz="0" w:space="0" w:color="auto"/>
            <w:left w:val="none" w:sz="0" w:space="0" w:color="auto"/>
            <w:bottom w:val="none" w:sz="0" w:space="0" w:color="auto"/>
            <w:right w:val="none" w:sz="0" w:space="0" w:color="auto"/>
          </w:divBdr>
        </w:div>
      </w:divsChild>
    </w:div>
    <w:div w:id="21211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vicki.stylianou@publicaccountants.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DR@treasury.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2017MG-93-24514</_dlc_DocId>
    <TaxCatchAll xmlns="d4dd4adf-ddb3-46a3-8d7c-fab3fb2a6bc7">
      <Value>7</Value>
    </TaxCatchAll>
    <_dlc_DocIdUrl xmlns="d4dd4adf-ddb3-46a3-8d7c-fab3fb2a6bc7">
      <Url>http://tweb/sites/mg/fsd/_layouts/15/DocIdRedir.aspx?ID=2017MG-93-24514</Url>
      <Description>2017MG-93-24514</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4724" ma:contentTypeDescription=" " ma:contentTypeScope="" ma:versionID="2caa32ba22ae703e3ffbc28485409ad3">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CBBFFA9-7F9E-4401-8A42-80DEFDF09A2C}">
  <ds:schemaRefs>
    <ds:schemaRef ds:uri="http://schemas.microsoft.com/sharepoint/events"/>
  </ds:schemaRefs>
</ds:datastoreItem>
</file>

<file path=customXml/itemProps2.xml><?xml version="1.0" encoding="utf-8"?>
<ds:datastoreItem xmlns:ds="http://schemas.openxmlformats.org/officeDocument/2006/customXml" ds:itemID="{97807527-9C1C-4601-A495-19A125C78816}">
  <ds:schemaRefs>
    <ds:schemaRef ds:uri="http://schemas.microsoft.com/office/2006/metadata/properties"/>
    <ds:schemaRef ds:uri="http://schemas.microsoft.com/office/infopath/2007/PartnerControls"/>
    <ds:schemaRef ds:uri="d4dd4adf-ddb3-46a3-8d7c-fab3fb2a6bc7"/>
    <ds:schemaRef ds:uri="http://schemas.microsoft.com/sharepoint/v4"/>
  </ds:schemaRefs>
</ds:datastoreItem>
</file>

<file path=customXml/itemProps3.xml><?xml version="1.0" encoding="utf-8"?>
<ds:datastoreItem xmlns:ds="http://schemas.openxmlformats.org/officeDocument/2006/customXml" ds:itemID="{5E1B6E45-CE1F-4DFA-A055-7148253A8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609ED-1F8A-49E1-9CFA-D02241A5AC5A}">
  <ds:schemaRefs>
    <ds:schemaRef ds:uri="http://schemas.microsoft.com/sharepoint/v3/contenttype/forms"/>
  </ds:schemaRefs>
</ds:datastoreItem>
</file>

<file path=customXml/itemProps5.xml><?xml version="1.0" encoding="utf-8"?>
<ds:datastoreItem xmlns:ds="http://schemas.openxmlformats.org/officeDocument/2006/customXml" ds:itemID="{6F3C6878-40F7-4E14-9B4E-31C882922D59}">
  <ds:schemaRefs>
    <ds:schemaRef ds:uri="office.server.policy"/>
  </ds:schemaRefs>
</ds:datastoreItem>
</file>

<file path=customXml/itemProps6.xml><?xml version="1.0" encoding="utf-8"?>
<ds:datastoreItem xmlns:ds="http://schemas.openxmlformats.org/officeDocument/2006/customXml" ds:itemID="{9748AD22-1380-4082-A7B9-21871CC948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3225</Words>
  <Characters>17254</Characters>
  <Application>Microsoft Office Word</Application>
  <DocSecurity>0</DocSecurity>
  <Lines>331</Lines>
  <Paragraphs>66</Paragraphs>
  <ScaleCrop>false</ScaleCrop>
  <Company/>
  <LinksUpToDate>false</LinksUpToDate>
  <CharactersWithSpaces>20463</CharactersWithSpaces>
  <SharedDoc>false</SharedDoc>
  <HLinks>
    <vt:vector size="30" baseType="variant">
      <vt:variant>
        <vt:i4>1966091</vt:i4>
      </vt:variant>
      <vt:variant>
        <vt:i4>0</vt:i4>
      </vt:variant>
      <vt:variant>
        <vt:i4>0</vt:i4>
      </vt:variant>
      <vt:variant>
        <vt:i4>5</vt:i4>
      </vt:variant>
      <vt:variant>
        <vt:lpwstr>mailto:natoffice@publicaccountants.org.au</vt:lpwstr>
      </vt:variant>
      <vt:variant>
        <vt:lpwstr/>
      </vt:variant>
      <vt:variant>
        <vt:i4>1703956</vt:i4>
      </vt:variant>
      <vt:variant>
        <vt:i4>7332</vt:i4>
      </vt:variant>
      <vt:variant>
        <vt:i4>1025</vt:i4>
      </vt:variant>
      <vt:variant>
        <vt:i4>1</vt:i4>
      </vt:variant>
      <vt:variant>
        <vt:lpwstr>wedgie dot point</vt:lpwstr>
      </vt:variant>
      <vt:variant>
        <vt:lpwstr/>
      </vt:variant>
      <vt:variant>
        <vt:i4>3932220</vt:i4>
      </vt:variant>
      <vt:variant>
        <vt:i4>-1</vt:i4>
      </vt:variant>
      <vt:variant>
        <vt:i4>1033</vt:i4>
      </vt:variant>
      <vt:variant>
        <vt:i4>1</vt:i4>
      </vt:variant>
      <vt:variant>
        <vt:lpwstr>NO099_Submission 01B front v2</vt:lpwstr>
      </vt:variant>
      <vt:variant>
        <vt:lpwstr/>
      </vt:variant>
      <vt:variant>
        <vt:i4>3997729</vt:i4>
      </vt:variant>
      <vt:variant>
        <vt:i4>-1</vt:i4>
      </vt:variant>
      <vt:variant>
        <vt:i4>1034</vt:i4>
      </vt:variant>
      <vt:variant>
        <vt:i4>1</vt:i4>
      </vt:variant>
      <vt:variant>
        <vt:lpwstr>NO023_IPACrestfull_wTAG_PMS</vt:lpwstr>
      </vt:variant>
      <vt:variant>
        <vt:lpwstr/>
      </vt:variant>
      <vt:variant>
        <vt:i4>3145799</vt:i4>
      </vt:variant>
      <vt:variant>
        <vt:i4>-1</vt:i4>
      </vt:variant>
      <vt:variant>
        <vt:i4>2056</vt:i4>
      </vt:variant>
      <vt:variant>
        <vt:i4>1</vt:i4>
      </vt:variant>
      <vt:variant>
        <vt:lpwstr>NO023_IPACrestfull_2011-Feb_300dpi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Public Accountants - External dispute resolution and complaints framework</dc:title>
  <dc:creator/>
  <cp:lastModifiedBy/>
  <cp:revision>1</cp:revision>
  <dcterms:created xsi:type="dcterms:W3CDTF">2017-08-16T03:12:00Z</dcterms:created>
  <dcterms:modified xsi:type="dcterms:W3CDTF">2017-08-16T03:12:00Z</dcterms:modified>
  <dc:language>English</dc:language>
</cp:coreProperties>
</file>