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C7" w:rsidRPr="001A16B2" w:rsidRDefault="007E0AC1" w:rsidP="007C14C7">
      <w:pPr>
        <w:pStyle w:val="Heading2"/>
        <w:spacing w:line="360" w:lineRule="auto"/>
        <w:jc w:val="center"/>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7.75pt">
            <v:imagedata r:id="rId8" o:title="IanGrayLogoCombinationMono"/>
          </v:shape>
        </w:pict>
      </w:r>
    </w:p>
    <w:p w:rsidR="007C14C7" w:rsidRPr="001A16B2" w:rsidRDefault="007C14C7" w:rsidP="007C14C7">
      <w:pPr>
        <w:pStyle w:val="Heading2"/>
        <w:spacing w:line="360" w:lineRule="auto"/>
        <w:jc w:val="center"/>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7C14C7" w:rsidRDefault="007C14C7" w:rsidP="007C14C7">
      <w:pPr>
        <w:spacing w:line="360" w:lineRule="auto"/>
        <w:rPr>
          <w:rFonts w:cs="Arial"/>
          <w:sz w:val="40"/>
          <w:szCs w:val="40"/>
        </w:rPr>
      </w:pPr>
    </w:p>
    <w:p w:rsidR="007C14C7" w:rsidRPr="007C14C7" w:rsidRDefault="00553C29" w:rsidP="007C14C7">
      <w:pPr>
        <w:rPr>
          <w:rFonts w:ascii="Arial" w:hAnsi="Arial" w:cs="Arial"/>
          <w:b/>
          <w:sz w:val="40"/>
          <w:szCs w:val="40"/>
        </w:rPr>
      </w:pPr>
      <w:r>
        <w:rPr>
          <w:rFonts w:ascii="Arial" w:hAnsi="Arial" w:cs="Arial"/>
          <w:b/>
          <w:sz w:val="40"/>
          <w:szCs w:val="40"/>
        </w:rPr>
        <w:t>Modernis</w:t>
      </w:r>
      <w:r w:rsidR="007C14C7" w:rsidRPr="007C14C7">
        <w:rPr>
          <w:rFonts w:ascii="Arial" w:hAnsi="Arial" w:cs="Arial"/>
          <w:b/>
          <w:sz w:val="40"/>
          <w:szCs w:val="40"/>
        </w:rPr>
        <w:t>ing the Taxation of Trust Income</w:t>
      </w:r>
    </w:p>
    <w:p w:rsidR="007C14C7" w:rsidRPr="007C14C7" w:rsidRDefault="007C14C7" w:rsidP="007C14C7">
      <w:pPr>
        <w:rPr>
          <w:rFonts w:ascii="Arial" w:hAnsi="Arial" w:cs="Arial"/>
          <w:b/>
          <w:sz w:val="40"/>
          <w:szCs w:val="40"/>
        </w:rPr>
      </w:pPr>
      <w:r w:rsidRPr="007C14C7">
        <w:rPr>
          <w:rFonts w:ascii="Arial" w:hAnsi="Arial" w:cs="Arial"/>
          <w:b/>
          <w:sz w:val="40"/>
          <w:szCs w:val="40"/>
        </w:rPr>
        <w:t>(Comments on Discussion Paper)</w:t>
      </w:r>
    </w:p>
    <w:p w:rsidR="007C14C7" w:rsidRPr="001A16B2" w:rsidRDefault="007C14C7" w:rsidP="007C14C7">
      <w:pPr>
        <w:pStyle w:val="Heading2"/>
        <w:keepNext w:val="0"/>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rPr>
          <w:rFonts w:cs="Arial"/>
        </w:rPr>
      </w:pPr>
    </w:p>
    <w:p w:rsidR="007C14C7" w:rsidRPr="001A16B2" w:rsidRDefault="007C14C7" w:rsidP="007C14C7">
      <w:pPr>
        <w:spacing w:line="360" w:lineRule="auto"/>
        <w:ind w:left="-284"/>
        <w:rPr>
          <w:rFonts w:cs="Arial"/>
        </w:rPr>
      </w:pPr>
    </w:p>
    <w:p w:rsidR="007C14C7" w:rsidRPr="001A16B2" w:rsidRDefault="007E0AC1" w:rsidP="007C14C7">
      <w:pPr>
        <w:spacing w:line="360" w:lineRule="auto"/>
        <w:ind w:left="-426"/>
        <w:rPr>
          <w:rFonts w:cs="Arial"/>
        </w:rPr>
      </w:pPr>
      <w:r>
        <w:rPr>
          <w:rFonts w:cs="Arial"/>
          <w:b/>
          <w:color w:val="808080"/>
        </w:rPr>
        <w:pict>
          <v:shape id="_x0000_i1026" type="#_x0000_t75" style="width:221.25pt;height:156pt">
            <v:imagedata r:id="rId9" o:title="gray_lh address bw_gs"/>
          </v:shape>
        </w:pict>
      </w:r>
    </w:p>
    <w:p w:rsidR="007C14C7" w:rsidRPr="001A16B2" w:rsidRDefault="007C14C7" w:rsidP="007C14C7">
      <w:pPr>
        <w:widowControl w:val="0"/>
        <w:tabs>
          <w:tab w:val="left" w:pos="911"/>
          <w:tab w:val="left" w:pos="1134"/>
          <w:tab w:val="left" w:pos="1478"/>
          <w:tab w:val="left" w:pos="1701"/>
          <w:tab w:val="left" w:pos="2268"/>
          <w:tab w:val="left" w:pos="2490"/>
          <w:tab w:val="left" w:pos="4796"/>
          <w:tab w:val="left" w:pos="5363"/>
        </w:tabs>
        <w:ind w:left="-284"/>
        <w:jc w:val="both"/>
        <w:rPr>
          <w:rFonts w:cs="Arial"/>
          <w:b/>
          <w:snapToGrid w:val="0"/>
        </w:rPr>
        <w:sectPr w:rsidR="007C14C7" w:rsidRPr="001A16B2" w:rsidSect="007C14C7">
          <w:footerReference w:type="even" r:id="rId10"/>
          <w:footerReference w:type="default" r:id="rId11"/>
          <w:pgSz w:w="11906" w:h="16838"/>
          <w:pgMar w:top="1304" w:right="1021" w:bottom="1304" w:left="1021" w:header="709" w:footer="709" w:gutter="0"/>
          <w:pgNumType w:start="0"/>
          <w:cols w:space="708"/>
          <w:titlePg/>
          <w:docGrid w:linePitch="360"/>
        </w:sectPr>
      </w:pPr>
    </w:p>
    <w:p w:rsidR="00FC79F2" w:rsidRPr="003B3A59" w:rsidRDefault="00FC79F2" w:rsidP="00FC79F2">
      <w:pPr>
        <w:jc w:val="center"/>
        <w:rPr>
          <w:rFonts w:ascii="Arial" w:hAnsi="Arial" w:cs="Arial"/>
          <w:b/>
          <w:sz w:val="28"/>
          <w:szCs w:val="28"/>
        </w:rPr>
      </w:pPr>
      <w:r>
        <w:rPr>
          <w:rFonts w:ascii="Arial" w:hAnsi="Arial" w:cs="Arial"/>
          <w:b/>
          <w:sz w:val="28"/>
          <w:szCs w:val="28"/>
        </w:rPr>
        <w:lastRenderedPageBreak/>
        <w:t>Modernis</w:t>
      </w:r>
      <w:r w:rsidRPr="003B3A59">
        <w:rPr>
          <w:rFonts w:ascii="Arial" w:hAnsi="Arial" w:cs="Arial"/>
          <w:b/>
          <w:sz w:val="28"/>
          <w:szCs w:val="28"/>
        </w:rPr>
        <w:t>ing the Taxation of Trust Income</w:t>
      </w:r>
    </w:p>
    <w:p w:rsidR="00FC79F2" w:rsidRPr="003B3A59" w:rsidRDefault="00FC79F2" w:rsidP="00FC79F2">
      <w:pPr>
        <w:jc w:val="center"/>
        <w:rPr>
          <w:rFonts w:ascii="Arial" w:hAnsi="Arial" w:cs="Arial"/>
          <w:b/>
          <w:sz w:val="28"/>
          <w:szCs w:val="28"/>
        </w:rPr>
      </w:pPr>
      <w:r w:rsidRPr="003B3A59">
        <w:rPr>
          <w:rFonts w:ascii="Arial" w:hAnsi="Arial" w:cs="Arial"/>
          <w:b/>
          <w:sz w:val="28"/>
          <w:szCs w:val="28"/>
        </w:rPr>
        <w:t>(Comments on Discussion Paper)</w:t>
      </w:r>
    </w:p>
    <w:p w:rsidR="00FC79F2" w:rsidRPr="003B3A59" w:rsidRDefault="00FC79F2" w:rsidP="00FC79F2">
      <w:pPr>
        <w:jc w:val="center"/>
        <w:rPr>
          <w:rFonts w:ascii="Arial" w:hAnsi="Arial" w:cs="Arial"/>
          <w:b/>
          <w:sz w:val="28"/>
          <w:szCs w:val="28"/>
        </w:rPr>
      </w:pPr>
      <w:r w:rsidRPr="003B3A59">
        <w:rPr>
          <w:rFonts w:ascii="Arial" w:hAnsi="Arial" w:cs="Arial"/>
          <w:b/>
          <w:sz w:val="28"/>
          <w:szCs w:val="28"/>
        </w:rPr>
        <w:t>By</w:t>
      </w:r>
    </w:p>
    <w:p w:rsidR="00FC79F2" w:rsidRPr="003B3A59" w:rsidRDefault="00FC79F2" w:rsidP="00FC79F2">
      <w:pPr>
        <w:jc w:val="center"/>
        <w:rPr>
          <w:rFonts w:ascii="Arial" w:hAnsi="Arial" w:cs="Arial"/>
          <w:b/>
          <w:sz w:val="28"/>
          <w:szCs w:val="28"/>
        </w:rPr>
      </w:pPr>
      <w:bookmarkStart w:id="0" w:name="_GoBack"/>
      <w:r w:rsidRPr="003B3A59">
        <w:rPr>
          <w:rFonts w:ascii="Arial" w:hAnsi="Arial" w:cs="Arial"/>
          <w:b/>
          <w:sz w:val="28"/>
          <w:szCs w:val="28"/>
        </w:rPr>
        <w:t>Ian Gray Solicitor</w:t>
      </w:r>
    </w:p>
    <w:bookmarkEnd w:id="0"/>
    <w:p w:rsidR="00FC79F2" w:rsidRDefault="00FC79F2" w:rsidP="00A2715A">
      <w:pPr>
        <w:jc w:val="center"/>
        <w:rPr>
          <w:rFonts w:ascii="Arial" w:hAnsi="Arial" w:cs="Arial"/>
          <w:b/>
          <w:sz w:val="28"/>
          <w:szCs w:val="28"/>
        </w:rPr>
      </w:pPr>
    </w:p>
    <w:p w:rsidR="00FC79F2" w:rsidRPr="003B3A59" w:rsidRDefault="00FC79F2" w:rsidP="00FC79F2">
      <w:pPr>
        <w:rPr>
          <w:rFonts w:ascii="Arial" w:hAnsi="Arial" w:cs="Arial"/>
          <w:b/>
          <w:sz w:val="24"/>
          <w:szCs w:val="24"/>
        </w:rPr>
      </w:pPr>
      <w:r>
        <w:rPr>
          <w:rFonts w:ascii="Arial" w:hAnsi="Arial" w:cs="Arial"/>
          <w:b/>
          <w:sz w:val="24"/>
          <w:szCs w:val="24"/>
        </w:rPr>
        <w:t xml:space="preserve">1. </w:t>
      </w:r>
      <w:r w:rsidRPr="003B3A59">
        <w:rPr>
          <w:rFonts w:ascii="Arial" w:hAnsi="Arial" w:cs="Arial"/>
          <w:b/>
          <w:sz w:val="24"/>
          <w:szCs w:val="24"/>
        </w:rPr>
        <w:t>Introduction</w:t>
      </w:r>
    </w:p>
    <w:p w:rsidR="004D0B31" w:rsidRDefault="004D0B31" w:rsidP="004D0B31">
      <w:pPr>
        <w:rPr>
          <w:rFonts w:ascii="Arial" w:hAnsi="Arial" w:cs="Arial"/>
          <w:sz w:val="20"/>
          <w:szCs w:val="20"/>
        </w:rPr>
      </w:pPr>
      <w:r w:rsidRPr="003B3A59">
        <w:rPr>
          <w:rFonts w:ascii="Arial" w:hAnsi="Arial" w:cs="Arial"/>
          <w:sz w:val="20"/>
          <w:szCs w:val="20"/>
        </w:rPr>
        <w:t xml:space="preserve">A Trust is a legal mechanism by which </w:t>
      </w:r>
      <w:r w:rsidR="00EA6E0D">
        <w:rPr>
          <w:rFonts w:ascii="Arial" w:hAnsi="Arial" w:cs="Arial"/>
          <w:sz w:val="20"/>
          <w:szCs w:val="20"/>
        </w:rPr>
        <w:t>C</w:t>
      </w:r>
      <w:r w:rsidRPr="003B3A59">
        <w:rPr>
          <w:rFonts w:ascii="Arial" w:hAnsi="Arial" w:cs="Arial"/>
          <w:sz w:val="20"/>
          <w:szCs w:val="20"/>
        </w:rPr>
        <w:t xml:space="preserve">apital and </w:t>
      </w:r>
      <w:r w:rsidR="00EA6E0D">
        <w:rPr>
          <w:rFonts w:ascii="Arial" w:hAnsi="Arial" w:cs="Arial"/>
          <w:sz w:val="20"/>
          <w:szCs w:val="20"/>
        </w:rPr>
        <w:t>I</w:t>
      </w:r>
      <w:r w:rsidRPr="003B3A59">
        <w:rPr>
          <w:rFonts w:ascii="Arial" w:hAnsi="Arial" w:cs="Arial"/>
          <w:sz w:val="20"/>
          <w:szCs w:val="20"/>
        </w:rPr>
        <w:t xml:space="preserve">ncome </w:t>
      </w:r>
      <w:r>
        <w:rPr>
          <w:rFonts w:ascii="Arial" w:hAnsi="Arial" w:cs="Arial"/>
          <w:sz w:val="20"/>
          <w:szCs w:val="20"/>
        </w:rPr>
        <w:t>are</w:t>
      </w:r>
      <w:r w:rsidRPr="003B3A59">
        <w:rPr>
          <w:rFonts w:ascii="Arial" w:hAnsi="Arial" w:cs="Arial"/>
          <w:sz w:val="20"/>
          <w:szCs w:val="20"/>
        </w:rPr>
        <w:t xml:space="preserve"> aggregated and segregated for the ultimate commercial benefit of some or all of the Beneficiaries.</w:t>
      </w:r>
    </w:p>
    <w:p w:rsidR="00426852" w:rsidRDefault="00426852" w:rsidP="004D0B31">
      <w:pPr>
        <w:rPr>
          <w:rFonts w:ascii="Arial" w:hAnsi="Arial" w:cs="Arial"/>
          <w:sz w:val="20"/>
          <w:szCs w:val="20"/>
        </w:rPr>
      </w:pPr>
      <w:r>
        <w:rPr>
          <w:rFonts w:ascii="Arial" w:hAnsi="Arial" w:cs="Arial"/>
          <w:sz w:val="20"/>
          <w:szCs w:val="20"/>
        </w:rPr>
        <w:t>It is a relationship, not a</w:t>
      </w:r>
      <w:r w:rsidR="006F2315">
        <w:rPr>
          <w:rFonts w:ascii="Arial" w:hAnsi="Arial" w:cs="Arial"/>
          <w:sz w:val="20"/>
          <w:szCs w:val="20"/>
        </w:rPr>
        <w:t xml:space="preserve"> separate taxable</w:t>
      </w:r>
      <w:r>
        <w:rPr>
          <w:rFonts w:ascii="Arial" w:hAnsi="Arial" w:cs="Arial"/>
          <w:sz w:val="20"/>
          <w:szCs w:val="20"/>
        </w:rPr>
        <w:t xml:space="preserve"> entity.</w:t>
      </w:r>
    </w:p>
    <w:p w:rsidR="004D0B31" w:rsidRDefault="004D0B31" w:rsidP="004D0B31">
      <w:pPr>
        <w:rPr>
          <w:rFonts w:ascii="Arial" w:hAnsi="Arial" w:cs="Arial"/>
          <w:sz w:val="20"/>
          <w:szCs w:val="20"/>
        </w:rPr>
      </w:pPr>
      <w:r>
        <w:rPr>
          <w:rFonts w:ascii="Arial" w:hAnsi="Arial" w:cs="Arial"/>
          <w:sz w:val="20"/>
          <w:szCs w:val="20"/>
        </w:rPr>
        <w:t xml:space="preserve">Theoretically, it should not be difficult to understand and segregate the </w:t>
      </w:r>
      <w:r w:rsidR="005C6B33">
        <w:rPr>
          <w:rFonts w:ascii="Arial" w:hAnsi="Arial" w:cs="Arial"/>
          <w:sz w:val="20"/>
          <w:szCs w:val="20"/>
        </w:rPr>
        <w:t xml:space="preserve">commercial and </w:t>
      </w:r>
      <w:r>
        <w:rPr>
          <w:rFonts w:ascii="Arial" w:hAnsi="Arial" w:cs="Arial"/>
          <w:sz w:val="20"/>
          <w:szCs w:val="20"/>
        </w:rPr>
        <w:t>tax implicat</w:t>
      </w:r>
      <w:r w:rsidR="005C6B33">
        <w:rPr>
          <w:rFonts w:ascii="Arial" w:hAnsi="Arial" w:cs="Arial"/>
          <w:sz w:val="20"/>
          <w:szCs w:val="20"/>
        </w:rPr>
        <w:t>ions</w:t>
      </w:r>
      <w:r w:rsidR="00460245">
        <w:rPr>
          <w:rFonts w:ascii="Arial" w:hAnsi="Arial" w:cs="Arial"/>
          <w:sz w:val="20"/>
          <w:szCs w:val="20"/>
        </w:rPr>
        <w:t xml:space="preserve"> with respect to the activities of the Trust </w:t>
      </w:r>
      <w:r w:rsidR="00EA6E0D">
        <w:rPr>
          <w:rFonts w:ascii="Arial" w:hAnsi="Arial" w:cs="Arial"/>
          <w:sz w:val="20"/>
          <w:szCs w:val="20"/>
        </w:rPr>
        <w:t xml:space="preserve">insofar as they apply to each of </w:t>
      </w:r>
      <w:r w:rsidR="00460245">
        <w:rPr>
          <w:rFonts w:ascii="Arial" w:hAnsi="Arial" w:cs="Arial"/>
          <w:sz w:val="20"/>
          <w:szCs w:val="20"/>
        </w:rPr>
        <w:t>the individual Beneficiaries.</w:t>
      </w:r>
    </w:p>
    <w:p w:rsidR="00460245" w:rsidRDefault="00460245" w:rsidP="004D0B31">
      <w:pPr>
        <w:rPr>
          <w:rFonts w:ascii="Arial" w:hAnsi="Arial" w:cs="Arial"/>
          <w:sz w:val="20"/>
          <w:szCs w:val="20"/>
        </w:rPr>
      </w:pPr>
      <w:r>
        <w:rPr>
          <w:rFonts w:ascii="Arial" w:hAnsi="Arial" w:cs="Arial"/>
          <w:sz w:val="20"/>
          <w:szCs w:val="20"/>
        </w:rPr>
        <w:t xml:space="preserve">Similar implications must occur in the case of other </w:t>
      </w:r>
      <w:r w:rsidR="0008387B">
        <w:rPr>
          <w:rFonts w:ascii="Arial" w:hAnsi="Arial" w:cs="Arial"/>
          <w:sz w:val="20"/>
          <w:szCs w:val="20"/>
        </w:rPr>
        <w:t xml:space="preserve">economic </w:t>
      </w:r>
      <w:r>
        <w:rPr>
          <w:rFonts w:ascii="Arial" w:hAnsi="Arial" w:cs="Arial"/>
          <w:sz w:val="20"/>
          <w:szCs w:val="20"/>
        </w:rPr>
        <w:t>aggregation or collective vehicles such as Partnerships.</w:t>
      </w:r>
    </w:p>
    <w:p w:rsidR="00460245" w:rsidRDefault="00460245" w:rsidP="004D0B31">
      <w:pPr>
        <w:rPr>
          <w:rFonts w:ascii="Arial" w:hAnsi="Arial" w:cs="Arial"/>
          <w:sz w:val="20"/>
          <w:szCs w:val="20"/>
        </w:rPr>
      </w:pPr>
      <w:r>
        <w:rPr>
          <w:rFonts w:ascii="Arial" w:hAnsi="Arial" w:cs="Arial"/>
          <w:sz w:val="20"/>
          <w:szCs w:val="20"/>
        </w:rPr>
        <w:t xml:space="preserve">In both cases, the economic and legal entity must receive </w:t>
      </w:r>
      <w:r w:rsidR="006928A8">
        <w:rPr>
          <w:rFonts w:ascii="Arial" w:hAnsi="Arial" w:cs="Arial"/>
          <w:sz w:val="20"/>
          <w:szCs w:val="20"/>
        </w:rPr>
        <w:t>C</w:t>
      </w:r>
      <w:r>
        <w:rPr>
          <w:rFonts w:ascii="Arial" w:hAnsi="Arial" w:cs="Arial"/>
          <w:sz w:val="20"/>
          <w:szCs w:val="20"/>
        </w:rPr>
        <w:t xml:space="preserve">apital and </w:t>
      </w:r>
      <w:r w:rsidR="006928A8">
        <w:rPr>
          <w:rFonts w:ascii="Arial" w:hAnsi="Arial" w:cs="Arial"/>
          <w:sz w:val="20"/>
          <w:szCs w:val="20"/>
        </w:rPr>
        <w:t>I</w:t>
      </w:r>
      <w:r>
        <w:rPr>
          <w:rFonts w:ascii="Arial" w:hAnsi="Arial" w:cs="Arial"/>
          <w:sz w:val="20"/>
          <w:szCs w:val="20"/>
        </w:rPr>
        <w:t xml:space="preserve">ncome (even though it might not be subject to income tax in its own right) and distribute the </w:t>
      </w:r>
      <w:r w:rsidR="006928A8">
        <w:rPr>
          <w:rFonts w:ascii="Arial" w:hAnsi="Arial" w:cs="Arial"/>
          <w:sz w:val="20"/>
          <w:szCs w:val="20"/>
        </w:rPr>
        <w:t>C</w:t>
      </w:r>
      <w:r>
        <w:rPr>
          <w:rFonts w:ascii="Arial" w:hAnsi="Arial" w:cs="Arial"/>
          <w:sz w:val="20"/>
          <w:szCs w:val="20"/>
        </w:rPr>
        <w:t xml:space="preserve">apital and </w:t>
      </w:r>
      <w:r w:rsidR="006928A8">
        <w:rPr>
          <w:rFonts w:ascii="Arial" w:hAnsi="Arial" w:cs="Arial"/>
          <w:sz w:val="20"/>
          <w:szCs w:val="20"/>
        </w:rPr>
        <w:t>I</w:t>
      </w:r>
      <w:r>
        <w:rPr>
          <w:rFonts w:ascii="Arial" w:hAnsi="Arial" w:cs="Arial"/>
          <w:sz w:val="20"/>
          <w:szCs w:val="20"/>
        </w:rPr>
        <w:t>ncome to the Beneficiaries or Partners (who might be subject to income tax in their own right, unless they too are Trusts or Partnerships).</w:t>
      </w:r>
    </w:p>
    <w:p w:rsidR="00460245" w:rsidRDefault="00460245" w:rsidP="004D0B31">
      <w:pPr>
        <w:rPr>
          <w:rFonts w:ascii="Arial" w:hAnsi="Arial" w:cs="Arial"/>
          <w:sz w:val="20"/>
          <w:szCs w:val="20"/>
        </w:rPr>
      </w:pPr>
      <w:r>
        <w:rPr>
          <w:rFonts w:ascii="Arial" w:hAnsi="Arial" w:cs="Arial"/>
          <w:sz w:val="20"/>
          <w:szCs w:val="20"/>
        </w:rPr>
        <w:t>The aim is to make a good faith attempt to get to the underlying truth with respect to the activities of the collective entity.</w:t>
      </w:r>
    </w:p>
    <w:p w:rsidR="00772E21" w:rsidRDefault="00460245" w:rsidP="004D0B31">
      <w:pPr>
        <w:rPr>
          <w:rFonts w:ascii="Arial" w:hAnsi="Arial" w:cs="Arial"/>
          <w:sz w:val="20"/>
          <w:szCs w:val="20"/>
        </w:rPr>
      </w:pPr>
      <w:r>
        <w:rPr>
          <w:rFonts w:ascii="Arial" w:hAnsi="Arial" w:cs="Arial"/>
          <w:sz w:val="20"/>
          <w:szCs w:val="20"/>
        </w:rPr>
        <w:t xml:space="preserve">Past attempts by the ATO to administer the Legislation have been complicated by an underlying suspicion that Trusts are </w:t>
      </w:r>
      <w:r w:rsidR="00226AC2">
        <w:rPr>
          <w:rFonts w:ascii="Arial" w:hAnsi="Arial" w:cs="Arial"/>
          <w:sz w:val="20"/>
          <w:szCs w:val="20"/>
        </w:rPr>
        <w:t xml:space="preserve">primarily </w:t>
      </w:r>
      <w:r>
        <w:rPr>
          <w:rFonts w:ascii="Arial" w:hAnsi="Arial" w:cs="Arial"/>
          <w:sz w:val="20"/>
          <w:szCs w:val="20"/>
        </w:rPr>
        <w:t>a vehicle for tax evasion.</w:t>
      </w:r>
    </w:p>
    <w:p w:rsidR="00460245" w:rsidRDefault="00772E21" w:rsidP="004D0B31">
      <w:pPr>
        <w:rPr>
          <w:rFonts w:ascii="Arial" w:hAnsi="Arial" w:cs="Arial"/>
          <w:sz w:val="20"/>
          <w:szCs w:val="20"/>
        </w:rPr>
      </w:pPr>
      <w:r>
        <w:rPr>
          <w:rFonts w:ascii="Arial" w:hAnsi="Arial" w:cs="Arial"/>
          <w:sz w:val="20"/>
          <w:szCs w:val="20"/>
        </w:rPr>
        <w:t xml:space="preserve">Unfortunately, these attempts can frustrate the proper use of legitimate collective </w:t>
      </w:r>
      <w:r w:rsidR="0008387B">
        <w:rPr>
          <w:rFonts w:ascii="Arial" w:hAnsi="Arial" w:cs="Arial"/>
          <w:sz w:val="20"/>
          <w:szCs w:val="20"/>
        </w:rPr>
        <w:t>economic</w:t>
      </w:r>
      <w:r>
        <w:rPr>
          <w:rFonts w:ascii="Arial" w:hAnsi="Arial" w:cs="Arial"/>
          <w:sz w:val="20"/>
          <w:szCs w:val="20"/>
        </w:rPr>
        <w:t xml:space="preserve"> vehicles until a suitable case is available to take to the High Court to establish that the ATO view has been erroneous.</w:t>
      </w:r>
    </w:p>
    <w:p w:rsidR="00772E21" w:rsidRDefault="00772E21" w:rsidP="004D0B31">
      <w:pPr>
        <w:rPr>
          <w:rFonts w:ascii="Arial" w:hAnsi="Arial" w:cs="Arial"/>
          <w:sz w:val="20"/>
          <w:szCs w:val="20"/>
        </w:rPr>
      </w:pPr>
      <w:r>
        <w:rPr>
          <w:rFonts w:ascii="Arial" w:hAnsi="Arial" w:cs="Arial"/>
          <w:sz w:val="20"/>
          <w:szCs w:val="20"/>
        </w:rPr>
        <w:t xml:space="preserve">It is arguable that the </w:t>
      </w:r>
      <w:r w:rsidRPr="00286071">
        <w:rPr>
          <w:rFonts w:ascii="Arial" w:hAnsi="Arial" w:cs="Arial"/>
          <w:b/>
          <w:i/>
          <w:sz w:val="20"/>
          <w:szCs w:val="20"/>
        </w:rPr>
        <w:t>Bamford Case</w:t>
      </w:r>
      <w:r>
        <w:rPr>
          <w:rFonts w:ascii="Arial" w:hAnsi="Arial" w:cs="Arial"/>
          <w:sz w:val="20"/>
          <w:szCs w:val="20"/>
        </w:rPr>
        <w:t xml:space="preserve"> is a case that showed just how erroneous the ATO can be.</w:t>
      </w:r>
    </w:p>
    <w:p w:rsidR="00772E21" w:rsidRDefault="00772E21" w:rsidP="004D0B31">
      <w:pPr>
        <w:rPr>
          <w:rFonts w:ascii="Arial" w:hAnsi="Arial" w:cs="Arial"/>
          <w:sz w:val="20"/>
          <w:szCs w:val="20"/>
        </w:rPr>
      </w:pPr>
      <w:r>
        <w:rPr>
          <w:rFonts w:ascii="Arial" w:hAnsi="Arial" w:cs="Arial"/>
          <w:sz w:val="20"/>
          <w:szCs w:val="20"/>
        </w:rPr>
        <w:t>It is submitted that these errors can be avoided by Legislation and Administrative Practice if Trusts (and Partnerships) are viewed as aggregation or collective vehicles that can be assembled and dis-assembled rationally.</w:t>
      </w:r>
    </w:p>
    <w:p w:rsidR="00772E21" w:rsidRDefault="00772E21" w:rsidP="004D0B31">
      <w:pPr>
        <w:rPr>
          <w:rFonts w:ascii="Arial" w:hAnsi="Arial" w:cs="Arial"/>
          <w:sz w:val="20"/>
          <w:szCs w:val="20"/>
        </w:rPr>
      </w:pPr>
    </w:p>
    <w:p w:rsidR="0008387B" w:rsidRPr="003B3A59" w:rsidRDefault="0008387B" w:rsidP="0008387B">
      <w:pPr>
        <w:rPr>
          <w:rFonts w:ascii="Arial" w:hAnsi="Arial" w:cs="Arial"/>
          <w:b/>
          <w:sz w:val="24"/>
          <w:szCs w:val="24"/>
        </w:rPr>
      </w:pPr>
      <w:r>
        <w:rPr>
          <w:rFonts w:ascii="Arial" w:hAnsi="Arial" w:cs="Arial"/>
          <w:b/>
          <w:sz w:val="24"/>
          <w:szCs w:val="24"/>
        </w:rPr>
        <w:t>2. Previous Submission with respect to “</w:t>
      </w:r>
      <w:r w:rsidRPr="0008387B">
        <w:rPr>
          <w:rFonts w:ascii="Arial" w:hAnsi="Arial" w:cs="Arial"/>
          <w:b/>
          <w:sz w:val="24"/>
          <w:szCs w:val="24"/>
        </w:rPr>
        <w:t>Improving the Taxation of Trust Income</w:t>
      </w:r>
      <w:r>
        <w:rPr>
          <w:rFonts w:ascii="Arial" w:hAnsi="Arial" w:cs="Arial"/>
          <w:b/>
          <w:sz w:val="24"/>
          <w:szCs w:val="24"/>
        </w:rPr>
        <w:t>”</w:t>
      </w:r>
    </w:p>
    <w:p w:rsidR="0008387B" w:rsidRDefault="0008387B" w:rsidP="0008387B">
      <w:pPr>
        <w:rPr>
          <w:rFonts w:ascii="Arial" w:hAnsi="Arial" w:cs="Arial"/>
          <w:sz w:val="20"/>
          <w:szCs w:val="20"/>
        </w:rPr>
      </w:pPr>
      <w:r>
        <w:rPr>
          <w:rFonts w:ascii="Arial" w:hAnsi="Arial" w:cs="Arial"/>
          <w:sz w:val="20"/>
          <w:szCs w:val="20"/>
        </w:rPr>
        <w:t>At the end of this document is a copy of my submission with respect to the “</w:t>
      </w:r>
      <w:r w:rsidRPr="0008387B">
        <w:rPr>
          <w:rFonts w:ascii="Arial" w:hAnsi="Arial" w:cs="Arial"/>
          <w:sz w:val="20"/>
          <w:szCs w:val="20"/>
        </w:rPr>
        <w:t>Improving the Taxation of Trust Income</w:t>
      </w:r>
      <w:r>
        <w:rPr>
          <w:rFonts w:ascii="Arial" w:hAnsi="Arial" w:cs="Arial"/>
          <w:sz w:val="20"/>
          <w:szCs w:val="20"/>
        </w:rPr>
        <w:t xml:space="preserve">” </w:t>
      </w:r>
      <w:r w:rsidR="009B2907">
        <w:rPr>
          <w:rFonts w:ascii="Arial" w:hAnsi="Arial" w:cs="Arial"/>
          <w:sz w:val="20"/>
          <w:szCs w:val="20"/>
        </w:rPr>
        <w:t>Discussion</w:t>
      </w:r>
      <w:r>
        <w:rPr>
          <w:rFonts w:ascii="Arial" w:hAnsi="Arial" w:cs="Arial"/>
          <w:sz w:val="20"/>
          <w:szCs w:val="20"/>
        </w:rPr>
        <w:t xml:space="preserve"> Paper.</w:t>
      </w:r>
    </w:p>
    <w:p w:rsidR="0008387B" w:rsidRDefault="0008387B" w:rsidP="0008387B">
      <w:pPr>
        <w:rPr>
          <w:rFonts w:ascii="Arial" w:hAnsi="Arial" w:cs="Arial"/>
          <w:sz w:val="20"/>
          <w:szCs w:val="20"/>
        </w:rPr>
      </w:pPr>
      <w:r>
        <w:rPr>
          <w:rFonts w:ascii="Arial" w:hAnsi="Arial" w:cs="Arial"/>
          <w:sz w:val="20"/>
          <w:szCs w:val="20"/>
        </w:rPr>
        <w:lastRenderedPageBreak/>
        <w:t xml:space="preserve">My submissions are still relevant to the issues raised in this </w:t>
      </w:r>
      <w:r w:rsidR="009B2907">
        <w:rPr>
          <w:rFonts w:ascii="Arial" w:hAnsi="Arial" w:cs="Arial"/>
          <w:sz w:val="20"/>
          <w:szCs w:val="20"/>
        </w:rPr>
        <w:t>Discussion</w:t>
      </w:r>
      <w:r>
        <w:rPr>
          <w:rFonts w:ascii="Arial" w:hAnsi="Arial" w:cs="Arial"/>
          <w:sz w:val="20"/>
          <w:szCs w:val="20"/>
        </w:rPr>
        <w:t xml:space="preserve"> Paper.</w:t>
      </w:r>
    </w:p>
    <w:p w:rsidR="00F13DEF" w:rsidRDefault="00F13DEF" w:rsidP="0008387B">
      <w:pPr>
        <w:rPr>
          <w:rFonts w:ascii="Arial" w:hAnsi="Arial" w:cs="Arial"/>
          <w:sz w:val="20"/>
          <w:szCs w:val="20"/>
        </w:rPr>
      </w:pPr>
    </w:p>
    <w:p w:rsidR="00596806" w:rsidRPr="003B3A59" w:rsidRDefault="00596806" w:rsidP="00596806">
      <w:pPr>
        <w:rPr>
          <w:rFonts w:ascii="Arial" w:hAnsi="Arial" w:cs="Arial"/>
          <w:b/>
          <w:sz w:val="24"/>
          <w:szCs w:val="24"/>
        </w:rPr>
      </w:pPr>
      <w:r>
        <w:rPr>
          <w:rFonts w:ascii="Arial" w:hAnsi="Arial" w:cs="Arial"/>
          <w:b/>
          <w:sz w:val="24"/>
          <w:szCs w:val="24"/>
        </w:rPr>
        <w:t>3. Use of the Term “Distributable</w:t>
      </w:r>
      <w:r w:rsidRPr="0008387B">
        <w:rPr>
          <w:rFonts w:ascii="Arial" w:hAnsi="Arial" w:cs="Arial"/>
          <w:b/>
          <w:sz w:val="24"/>
          <w:szCs w:val="24"/>
        </w:rPr>
        <w:t xml:space="preserve"> Income</w:t>
      </w:r>
      <w:r>
        <w:rPr>
          <w:rFonts w:ascii="Arial" w:hAnsi="Arial" w:cs="Arial"/>
          <w:b/>
          <w:sz w:val="24"/>
          <w:szCs w:val="24"/>
        </w:rPr>
        <w:t>”</w:t>
      </w:r>
      <w:r w:rsidR="00454F06">
        <w:rPr>
          <w:rFonts w:ascii="Arial" w:hAnsi="Arial" w:cs="Arial"/>
          <w:b/>
          <w:sz w:val="24"/>
          <w:szCs w:val="24"/>
        </w:rPr>
        <w:t xml:space="preserve"> (Question 7)</w:t>
      </w:r>
    </w:p>
    <w:p w:rsidR="0008387B" w:rsidRDefault="0008387B" w:rsidP="0008387B">
      <w:pPr>
        <w:rPr>
          <w:rFonts w:ascii="Arial" w:hAnsi="Arial" w:cs="Arial"/>
          <w:sz w:val="20"/>
          <w:szCs w:val="20"/>
        </w:rPr>
      </w:pPr>
      <w:r>
        <w:rPr>
          <w:rFonts w:ascii="Arial" w:hAnsi="Arial" w:cs="Arial"/>
          <w:sz w:val="20"/>
          <w:szCs w:val="20"/>
        </w:rPr>
        <w:t xml:space="preserve">In </w:t>
      </w:r>
      <w:r w:rsidR="0016483C">
        <w:rPr>
          <w:rFonts w:ascii="Arial" w:hAnsi="Arial" w:cs="Arial"/>
          <w:sz w:val="20"/>
          <w:szCs w:val="20"/>
        </w:rPr>
        <w:t>my previous submission</w:t>
      </w:r>
      <w:r>
        <w:rPr>
          <w:rFonts w:ascii="Arial" w:hAnsi="Arial" w:cs="Arial"/>
          <w:sz w:val="20"/>
          <w:szCs w:val="20"/>
        </w:rPr>
        <w:t xml:space="preserve">, </w:t>
      </w:r>
      <w:r w:rsidR="0016483C">
        <w:rPr>
          <w:rFonts w:ascii="Arial" w:hAnsi="Arial" w:cs="Arial"/>
          <w:sz w:val="20"/>
          <w:szCs w:val="20"/>
        </w:rPr>
        <w:t>I</w:t>
      </w:r>
      <w:r>
        <w:rPr>
          <w:rFonts w:ascii="Arial" w:hAnsi="Arial" w:cs="Arial"/>
          <w:sz w:val="20"/>
          <w:szCs w:val="20"/>
        </w:rPr>
        <w:t xml:space="preserve"> suggested that the term “distributable income” </w:t>
      </w:r>
      <w:r w:rsidR="00596806">
        <w:rPr>
          <w:rFonts w:ascii="Arial" w:hAnsi="Arial" w:cs="Arial"/>
          <w:sz w:val="20"/>
          <w:szCs w:val="20"/>
        </w:rPr>
        <w:t xml:space="preserve">in section 97 </w:t>
      </w:r>
      <w:r>
        <w:rPr>
          <w:rFonts w:ascii="Arial" w:hAnsi="Arial" w:cs="Arial"/>
          <w:sz w:val="20"/>
          <w:szCs w:val="20"/>
        </w:rPr>
        <w:t>can be dispensed altogether.</w:t>
      </w:r>
    </w:p>
    <w:p w:rsidR="0008387B" w:rsidRDefault="0008387B" w:rsidP="0008387B">
      <w:pPr>
        <w:rPr>
          <w:rFonts w:ascii="Arial" w:hAnsi="Arial" w:cs="Arial"/>
          <w:sz w:val="20"/>
          <w:szCs w:val="20"/>
        </w:rPr>
      </w:pPr>
      <w:r>
        <w:rPr>
          <w:rFonts w:ascii="Arial" w:hAnsi="Arial" w:cs="Arial"/>
          <w:sz w:val="20"/>
          <w:szCs w:val="20"/>
        </w:rPr>
        <w:t>This term appear</w:t>
      </w:r>
      <w:r w:rsidR="0016483C">
        <w:rPr>
          <w:rFonts w:ascii="Arial" w:hAnsi="Arial" w:cs="Arial"/>
          <w:sz w:val="20"/>
          <w:szCs w:val="20"/>
        </w:rPr>
        <w:t>s</w:t>
      </w:r>
      <w:r>
        <w:rPr>
          <w:rFonts w:ascii="Arial" w:hAnsi="Arial" w:cs="Arial"/>
          <w:sz w:val="20"/>
          <w:szCs w:val="20"/>
        </w:rPr>
        <w:t xml:space="preserve"> only in the prefatory wording of section 97.</w:t>
      </w:r>
    </w:p>
    <w:p w:rsidR="00596806" w:rsidRPr="003B3A59" w:rsidRDefault="00596806" w:rsidP="00596806">
      <w:pPr>
        <w:rPr>
          <w:rFonts w:ascii="Arial" w:hAnsi="Arial" w:cs="Arial"/>
          <w:sz w:val="20"/>
          <w:szCs w:val="20"/>
        </w:rPr>
      </w:pPr>
      <w:r w:rsidRPr="003B3A59">
        <w:rPr>
          <w:rFonts w:ascii="Arial" w:hAnsi="Arial" w:cs="Arial"/>
          <w:sz w:val="20"/>
          <w:szCs w:val="20"/>
        </w:rPr>
        <w:t xml:space="preserve">I submit that the primary role of the prefatory wording is to differentiate between: </w:t>
      </w:r>
    </w:p>
    <w:p w:rsidR="00596806" w:rsidRPr="003B3A59" w:rsidRDefault="00596806" w:rsidP="00596806">
      <w:pPr>
        <w:numPr>
          <w:ilvl w:val="0"/>
          <w:numId w:val="2"/>
        </w:numPr>
        <w:rPr>
          <w:rFonts w:ascii="Arial" w:hAnsi="Arial" w:cs="Arial"/>
          <w:sz w:val="20"/>
          <w:szCs w:val="20"/>
        </w:rPr>
      </w:pPr>
      <w:r w:rsidRPr="003B3A59">
        <w:rPr>
          <w:rFonts w:ascii="Arial" w:hAnsi="Arial" w:cs="Arial"/>
          <w:sz w:val="20"/>
          <w:szCs w:val="20"/>
        </w:rPr>
        <w:t xml:space="preserve">the situations where section 97 applies (i.e., where the </w:t>
      </w:r>
      <w:r w:rsidRPr="0016483C">
        <w:rPr>
          <w:rFonts w:ascii="Arial" w:hAnsi="Arial" w:cs="Arial"/>
          <w:b/>
          <w:i/>
          <w:sz w:val="20"/>
          <w:szCs w:val="20"/>
        </w:rPr>
        <w:t>Beneficiary</w:t>
      </w:r>
      <w:r w:rsidRPr="003B3A59">
        <w:rPr>
          <w:rFonts w:ascii="Arial" w:hAnsi="Arial" w:cs="Arial"/>
          <w:sz w:val="20"/>
          <w:szCs w:val="20"/>
        </w:rPr>
        <w:t xml:space="preserve"> is assessable); and </w:t>
      </w:r>
    </w:p>
    <w:p w:rsidR="00596806" w:rsidRPr="003B3A59" w:rsidRDefault="00596806" w:rsidP="00596806">
      <w:pPr>
        <w:numPr>
          <w:ilvl w:val="0"/>
          <w:numId w:val="2"/>
        </w:numPr>
        <w:rPr>
          <w:rFonts w:ascii="Arial" w:hAnsi="Arial" w:cs="Arial"/>
          <w:sz w:val="20"/>
          <w:szCs w:val="20"/>
        </w:rPr>
      </w:pPr>
      <w:r w:rsidRPr="003B3A59">
        <w:rPr>
          <w:rFonts w:ascii="Arial" w:hAnsi="Arial" w:cs="Arial"/>
          <w:sz w:val="20"/>
          <w:szCs w:val="20"/>
        </w:rPr>
        <w:t xml:space="preserve">the situations where section 99 (and any other sections that make the </w:t>
      </w:r>
      <w:r w:rsidRPr="0016483C">
        <w:rPr>
          <w:rFonts w:ascii="Arial" w:hAnsi="Arial" w:cs="Arial"/>
          <w:b/>
          <w:i/>
          <w:sz w:val="20"/>
          <w:szCs w:val="20"/>
        </w:rPr>
        <w:t>Trustee</w:t>
      </w:r>
      <w:r w:rsidRPr="003B3A59">
        <w:rPr>
          <w:rFonts w:ascii="Arial" w:hAnsi="Arial" w:cs="Arial"/>
          <w:sz w:val="20"/>
          <w:szCs w:val="20"/>
        </w:rPr>
        <w:t xml:space="preserve"> liable) apply.</w:t>
      </w:r>
    </w:p>
    <w:p w:rsidR="00596806" w:rsidRDefault="00596806" w:rsidP="00596806">
      <w:pPr>
        <w:rPr>
          <w:rFonts w:ascii="Arial" w:hAnsi="Arial" w:cs="Arial"/>
          <w:sz w:val="20"/>
          <w:szCs w:val="20"/>
        </w:rPr>
      </w:pPr>
      <w:r w:rsidRPr="003B3A59">
        <w:rPr>
          <w:rFonts w:ascii="Arial" w:hAnsi="Arial" w:cs="Arial"/>
          <w:sz w:val="20"/>
          <w:szCs w:val="20"/>
        </w:rPr>
        <w:t xml:space="preserve">Once it is accepted that the Beneficiary is liable (as opposed to the Trustee), then the substantive operative provisions </w:t>
      </w:r>
      <w:r>
        <w:rPr>
          <w:rFonts w:ascii="Arial" w:hAnsi="Arial" w:cs="Arial"/>
          <w:sz w:val="20"/>
          <w:szCs w:val="20"/>
        </w:rPr>
        <w:t xml:space="preserve">of section 97 </w:t>
      </w:r>
      <w:r w:rsidRPr="003B3A59">
        <w:rPr>
          <w:rFonts w:ascii="Arial" w:hAnsi="Arial" w:cs="Arial"/>
          <w:sz w:val="20"/>
          <w:szCs w:val="20"/>
        </w:rPr>
        <w:t>would apply.</w:t>
      </w:r>
    </w:p>
    <w:p w:rsidR="00882D5B" w:rsidRPr="00882D5B" w:rsidRDefault="00882D5B" w:rsidP="00596806">
      <w:pPr>
        <w:rPr>
          <w:rFonts w:ascii="Arial" w:hAnsi="Arial" w:cs="Arial"/>
          <w:b/>
          <w:sz w:val="20"/>
          <w:szCs w:val="20"/>
        </w:rPr>
      </w:pPr>
      <w:r w:rsidRPr="00882D5B">
        <w:rPr>
          <w:rFonts w:ascii="Arial" w:hAnsi="Arial" w:cs="Arial"/>
          <w:b/>
          <w:sz w:val="20"/>
          <w:szCs w:val="20"/>
        </w:rPr>
        <w:t>Suggested Drafting</w:t>
      </w:r>
    </w:p>
    <w:p w:rsidR="0008387B" w:rsidRDefault="0008387B" w:rsidP="0008387B">
      <w:pPr>
        <w:rPr>
          <w:rFonts w:ascii="Arial" w:hAnsi="Arial" w:cs="Arial"/>
          <w:sz w:val="20"/>
          <w:szCs w:val="20"/>
        </w:rPr>
      </w:pPr>
      <w:r>
        <w:rPr>
          <w:rFonts w:ascii="Arial" w:hAnsi="Arial" w:cs="Arial"/>
          <w:sz w:val="20"/>
          <w:szCs w:val="20"/>
        </w:rPr>
        <w:t xml:space="preserve">It is submitted that the substantive performative provisions in the remainder of section 97 should apply if a Beneficiary is </w:t>
      </w:r>
      <w:r w:rsidR="00596806">
        <w:rPr>
          <w:rFonts w:ascii="Arial" w:hAnsi="Arial" w:cs="Arial"/>
          <w:sz w:val="20"/>
          <w:szCs w:val="20"/>
        </w:rPr>
        <w:t>“</w:t>
      </w:r>
      <w:r>
        <w:rPr>
          <w:rFonts w:ascii="Arial" w:hAnsi="Arial" w:cs="Arial"/>
          <w:sz w:val="20"/>
          <w:szCs w:val="20"/>
        </w:rPr>
        <w:t>presently entitled to any</w:t>
      </w:r>
      <w:r w:rsidRPr="0008387B">
        <w:rPr>
          <w:rFonts w:ascii="Arial" w:hAnsi="Arial" w:cs="Arial"/>
          <w:sz w:val="20"/>
          <w:szCs w:val="20"/>
        </w:rPr>
        <w:t xml:space="preserve"> of the </w:t>
      </w:r>
      <w:r w:rsidRPr="0016483C">
        <w:rPr>
          <w:rFonts w:ascii="Arial" w:hAnsi="Arial" w:cs="Arial"/>
          <w:b/>
          <w:i/>
          <w:sz w:val="20"/>
          <w:szCs w:val="20"/>
        </w:rPr>
        <w:t>assessable or exempt income</w:t>
      </w:r>
      <w:r w:rsidRPr="0008387B">
        <w:rPr>
          <w:rFonts w:ascii="Arial" w:hAnsi="Arial" w:cs="Arial"/>
          <w:sz w:val="20"/>
          <w:szCs w:val="20"/>
        </w:rPr>
        <w:t xml:space="preserve"> of the Trust Estate”.</w:t>
      </w:r>
    </w:p>
    <w:p w:rsidR="0016483C" w:rsidRDefault="0016483C" w:rsidP="0008387B">
      <w:pPr>
        <w:rPr>
          <w:rFonts w:ascii="Arial" w:hAnsi="Arial" w:cs="Arial"/>
          <w:sz w:val="20"/>
          <w:szCs w:val="20"/>
        </w:rPr>
      </w:pPr>
      <w:r>
        <w:rPr>
          <w:rFonts w:ascii="Arial" w:hAnsi="Arial" w:cs="Arial"/>
          <w:sz w:val="20"/>
          <w:szCs w:val="20"/>
        </w:rPr>
        <w:t xml:space="preserve">This drafting: </w:t>
      </w:r>
    </w:p>
    <w:p w:rsidR="0016483C" w:rsidRDefault="0016483C" w:rsidP="0016483C">
      <w:pPr>
        <w:numPr>
          <w:ilvl w:val="0"/>
          <w:numId w:val="12"/>
        </w:numPr>
        <w:rPr>
          <w:rFonts w:ascii="Arial" w:hAnsi="Arial" w:cs="Arial"/>
          <w:sz w:val="20"/>
          <w:szCs w:val="20"/>
        </w:rPr>
      </w:pPr>
      <w:r>
        <w:rPr>
          <w:rFonts w:ascii="Arial" w:hAnsi="Arial" w:cs="Arial"/>
          <w:sz w:val="20"/>
          <w:szCs w:val="20"/>
        </w:rPr>
        <w:t xml:space="preserve">avoids the need to use the term “distributable income”; and </w:t>
      </w:r>
    </w:p>
    <w:p w:rsidR="0016483C" w:rsidRDefault="0016483C" w:rsidP="0016483C">
      <w:pPr>
        <w:numPr>
          <w:ilvl w:val="0"/>
          <w:numId w:val="12"/>
        </w:numPr>
        <w:rPr>
          <w:rFonts w:ascii="Arial" w:hAnsi="Arial" w:cs="Arial"/>
          <w:sz w:val="20"/>
          <w:szCs w:val="20"/>
        </w:rPr>
      </w:pPr>
      <w:r>
        <w:rPr>
          <w:rFonts w:ascii="Arial" w:hAnsi="Arial" w:cs="Arial"/>
          <w:sz w:val="20"/>
          <w:szCs w:val="20"/>
        </w:rPr>
        <w:t>uses existing terms that apply to other taxable entities.</w:t>
      </w:r>
    </w:p>
    <w:p w:rsidR="00460245" w:rsidRDefault="00454F06" w:rsidP="004D0B31">
      <w:pPr>
        <w:rPr>
          <w:rFonts w:ascii="Arial" w:hAnsi="Arial" w:cs="Arial"/>
          <w:sz w:val="20"/>
          <w:szCs w:val="20"/>
        </w:rPr>
      </w:pPr>
      <w:r>
        <w:rPr>
          <w:rFonts w:ascii="Arial" w:hAnsi="Arial" w:cs="Arial"/>
          <w:sz w:val="20"/>
          <w:szCs w:val="20"/>
        </w:rPr>
        <w:t>This suggestion addresses Question 7 of the Questions for Consultation.</w:t>
      </w:r>
    </w:p>
    <w:p w:rsidR="00F13DEF" w:rsidRDefault="00F13DEF" w:rsidP="004D0B31">
      <w:pPr>
        <w:rPr>
          <w:rFonts w:ascii="Arial" w:hAnsi="Arial" w:cs="Arial"/>
          <w:sz w:val="20"/>
          <w:szCs w:val="20"/>
        </w:rPr>
      </w:pPr>
    </w:p>
    <w:p w:rsidR="004C13E2" w:rsidRDefault="004C13E2" w:rsidP="004C13E2">
      <w:pPr>
        <w:rPr>
          <w:rFonts w:ascii="Arial" w:hAnsi="Arial" w:cs="Arial"/>
          <w:b/>
          <w:sz w:val="24"/>
          <w:szCs w:val="24"/>
        </w:rPr>
      </w:pPr>
      <w:r>
        <w:rPr>
          <w:rFonts w:ascii="Arial" w:hAnsi="Arial" w:cs="Arial"/>
          <w:b/>
          <w:sz w:val="24"/>
          <w:szCs w:val="24"/>
        </w:rPr>
        <w:t>4. “Flow Through Approach”</w:t>
      </w:r>
    </w:p>
    <w:p w:rsidR="004C13E2" w:rsidRPr="00B566A9" w:rsidRDefault="004C13E2" w:rsidP="004C13E2">
      <w:pPr>
        <w:pStyle w:val="IansTemplate"/>
        <w:spacing w:line="240" w:lineRule="auto"/>
        <w:ind w:left="0" w:right="198"/>
      </w:pPr>
      <w:smartTag w:uri="urn:schemas-microsoft-com:office:smarttags" w:element="PersonName">
        <w:r w:rsidRPr="00B566A9">
          <w:t>T</w:t>
        </w:r>
      </w:smartTag>
      <w:r w:rsidRPr="00B566A9">
        <w:t>he Tax Legislation recognises th</w:t>
      </w:r>
      <w:r>
        <w:t xml:space="preserve">e fact that a </w:t>
      </w:r>
      <w:smartTag w:uri="urn:schemas-microsoft-com:office:smarttags" w:element="PersonName">
        <w:r>
          <w:t>T</w:t>
        </w:r>
      </w:smartTag>
      <w:r>
        <w:t>rust is a relationship (not an entity)</w:t>
      </w:r>
      <w:r w:rsidRPr="00B566A9">
        <w:t xml:space="preserve"> by effectively providing that the </w:t>
      </w:r>
      <w:smartTag w:uri="urn:schemas-microsoft-com:office:smarttags" w:element="PersonName">
        <w:r w:rsidRPr="00B566A9">
          <w:t>T</w:t>
        </w:r>
      </w:smartTag>
      <w:r w:rsidRPr="00B566A9">
        <w:t>rust itself is not a separate taxable entity.</w:t>
      </w:r>
    </w:p>
    <w:p w:rsidR="004C13E2" w:rsidRPr="00B566A9" w:rsidRDefault="004C13E2" w:rsidP="004C13E2">
      <w:pPr>
        <w:pStyle w:val="IansTemplate"/>
        <w:spacing w:line="240" w:lineRule="auto"/>
        <w:ind w:left="0" w:right="198"/>
      </w:pPr>
      <w:r w:rsidRPr="00B566A9">
        <w:t xml:space="preserve">However, each of the parties to the </w:t>
      </w:r>
      <w:smartTag w:uri="urn:schemas-microsoft-com:office:smarttags" w:element="PersonName">
        <w:r w:rsidRPr="00B566A9">
          <w:t>T</w:t>
        </w:r>
      </w:smartTag>
      <w:r w:rsidRPr="00B566A9">
        <w:t xml:space="preserve">rust (i.e., the </w:t>
      </w:r>
      <w:smartTag w:uri="urn:schemas-microsoft-com:office:smarttags" w:element="PersonName">
        <w:r w:rsidRPr="00B566A9">
          <w:t>T</w:t>
        </w:r>
      </w:smartTag>
      <w:r w:rsidRPr="00B566A9">
        <w:t xml:space="preserve">rustee and the </w:t>
      </w:r>
      <w:smartTag w:uri="urn:schemas-microsoft-com:office:smarttags" w:element="PersonName">
        <w:r w:rsidRPr="00B566A9">
          <w:t>B</w:t>
        </w:r>
      </w:smartTag>
      <w:r w:rsidRPr="00B566A9">
        <w:t>eneficiaries)</w:t>
      </w:r>
      <w:r>
        <w:t xml:space="preserve"> could have a tax liability in different circumstances</w:t>
      </w:r>
      <w:r w:rsidRPr="00B566A9">
        <w:t>.</w:t>
      </w:r>
    </w:p>
    <w:p w:rsidR="004C13E2" w:rsidRPr="00B566A9" w:rsidRDefault="004C13E2" w:rsidP="004C13E2">
      <w:pPr>
        <w:pStyle w:val="IansTemplate"/>
        <w:spacing w:line="240" w:lineRule="auto"/>
        <w:ind w:left="0" w:right="198"/>
      </w:pPr>
      <w:r w:rsidRPr="00B566A9">
        <w:t>In general:</w:t>
      </w:r>
    </w:p>
    <w:p w:rsidR="004C13E2" w:rsidRPr="008B203B" w:rsidRDefault="004C13E2" w:rsidP="004C13E2">
      <w:pPr>
        <w:pStyle w:val="IansTemplate"/>
        <w:numPr>
          <w:ilvl w:val="0"/>
          <w:numId w:val="13"/>
        </w:numPr>
        <w:tabs>
          <w:tab w:val="clear" w:pos="400"/>
          <w:tab w:val="num" w:pos="200"/>
        </w:tabs>
        <w:spacing w:line="240" w:lineRule="auto"/>
        <w:ind w:left="541" w:right="198" w:hanging="541"/>
      </w:pPr>
      <w:r w:rsidRPr="00B566A9">
        <w:t xml:space="preserve">the </w:t>
      </w:r>
      <w:smartTag w:uri="urn:schemas-microsoft-com:office:smarttags" w:element="PersonName">
        <w:r w:rsidRPr="00B566A9">
          <w:t>B</w:t>
        </w:r>
      </w:smartTag>
      <w:r w:rsidRPr="00B566A9">
        <w:t xml:space="preserve">eneficiaries are liable to tax with respect to any Income of the </w:t>
      </w:r>
      <w:smartTag w:uri="urn:schemas-microsoft-com:office:smarttags" w:element="PersonName">
        <w:r w:rsidRPr="00B566A9">
          <w:t>T</w:t>
        </w:r>
      </w:smartTag>
      <w:r w:rsidRPr="00B566A9">
        <w:t>rust to which they are “presently entitled” (section 97</w:t>
      </w:r>
      <w:r>
        <w:t xml:space="preserve"> of the 1936 Act</w:t>
      </w:r>
      <w:r w:rsidRPr="00B566A9">
        <w:t>); and</w:t>
      </w:r>
    </w:p>
    <w:p w:rsidR="004C13E2" w:rsidRPr="008B203B" w:rsidRDefault="004C13E2" w:rsidP="004C13E2">
      <w:pPr>
        <w:pStyle w:val="IansTemplate"/>
        <w:numPr>
          <w:ilvl w:val="0"/>
          <w:numId w:val="13"/>
        </w:numPr>
        <w:tabs>
          <w:tab w:val="clear" w:pos="400"/>
          <w:tab w:val="num" w:pos="200"/>
        </w:tabs>
        <w:spacing w:line="240" w:lineRule="auto"/>
        <w:ind w:left="541" w:right="198" w:hanging="541"/>
      </w:pPr>
      <w:r w:rsidRPr="00B566A9">
        <w:t xml:space="preserve">the </w:t>
      </w:r>
      <w:smartTag w:uri="urn:schemas-microsoft-com:office:smarttags" w:element="PersonName">
        <w:r w:rsidRPr="00B566A9">
          <w:t>T</w:t>
        </w:r>
      </w:smartTag>
      <w:r w:rsidRPr="00B566A9">
        <w:t xml:space="preserve">rustee is liable to tax with respect to any Income of the </w:t>
      </w:r>
      <w:smartTag w:uri="urn:schemas-microsoft-com:office:smarttags" w:element="PersonName">
        <w:r w:rsidRPr="00B566A9">
          <w:t>T</w:t>
        </w:r>
      </w:smartTag>
      <w:r w:rsidRPr="00B566A9">
        <w:t xml:space="preserve">rust to which no </w:t>
      </w:r>
      <w:smartTag w:uri="urn:schemas-microsoft-com:office:smarttags" w:element="PersonName">
        <w:r w:rsidRPr="00B566A9">
          <w:t>B</w:t>
        </w:r>
      </w:smartTag>
      <w:r w:rsidRPr="00B566A9">
        <w:t>eneficiary is “presently entitled” (section 99</w:t>
      </w:r>
      <w:r w:rsidRPr="00056876">
        <w:t xml:space="preserve"> </w:t>
      </w:r>
      <w:r>
        <w:t>of the 1936 Act</w:t>
      </w:r>
      <w:r w:rsidRPr="00B566A9">
        <w:t>).</w:t>
      </w:r>
    </w:p>
    <w:p w:rsidR="004C13E2" w:rsidRDefault="004C13E2" w:rsidP="004C13E2">
      <w:pPr>
        <w:rPr>
          <w:rFonts w:ascii="Arial" w:hAnsi="Arial" w:cs="Arial"/>
          <w:sz w:val="20"/>
          <w:szCs w:val="20"/>
        </w:rPr>
      </w:pPr>
      <w:r>
        <w:rPr>
          <w:rFonts w:ascii="Arial" w:hAnsi="Arial" w:cs="Arial"/>
          <w:sz w:val="20"/>
          <w:szCs w:val="20"/>
        </w:rPr>
        <w:t>It is true that the Trustee of the Trust will receive Income and Capital.</w:t>
      </w:r>
    </w:p>
    <w:p w:rsidR="004C13E2" w:rsidRDefault="004C13E2" w:rsidP="004C13E2">
      <w:pPr>
        <w:rPr>
          <w:rFonts w:ascii="Arial" w:hAnsi="Arial" w:cs="Arial"/>
          <w:sz w:val="20"/>
          <w:szCs w:val="20"/>
        </w:rPr>
      </w:pPr>
      <w:r>
        <w:rPr>
          <w:rFonts w:ascii="Arial" w:hAnsi="Arial" w:cs="Arial"/>
          <w:sz w:val="20"/>
          <w:szCs w:val="20"/>
        </w:rPr>
        <w:t>However, it will do so in a fiduciary or representative capacity on behalf of the Beneficiaries who are entitled to their share of the Income or Capital.</w:t>
      </w:r>
    </w:p>
    <w:p w:rsidR="004C13E2" w:rsidRDefault="004C13E2" w:rsidP="004C13E2">
      <w:pPr>
        <w:rPr>
          <w:rFonts w:ascii="Arial" w:hAnsi="Arial" w:cs="Arial"/>
          <w:sz w:val="20"/>
          <w:szCs w:val="20"/>
        </w:rPr>
      </w:pPr>
      <w:r>
        <w:rPr>
          <w:rFonts w:ascii="Arial" w:hAnsi="Arial" w:cs="Arial"/>
          <w:sz w:val="20"/>
          <w:szCs w:val="20"/>
        </w:rPr>
        <w:t>If neither the Trust itself nor the Trustee is assessable, then it is appropriate to treat the Income or Capital as derived directly from the ultimate source without the intervention of the Trust or the Trustee.</w:t>
      </w:r>
    </w:p>
    <w:p w:rsidR="004C13E2" w:rsidRDefault="004C13E2" w:rsidP="004C13E2">
      <w:pPr>
        <w:rPr>
          <w:rFonts w:ascii="Arial" w:hAnsi="Arial" w:cs="Arial"/>
          <w:sz w:val="20"/>
          <w:szCs w:val="20"/>
        </w:rPr>
      </w:pPr>
      <w:r>
        <w:rPr>
          <w:rFonts w:ascii="Arial" w:hAnsi="Arial" w:cs="Arial"/>
          <w:sz w:val="20"/>
          <w:szCs w:val="20"/>
        </w:rPr>
        <w:t>Therefore, it is intellectually appropriate to treat the Income or Capital as having flowed through and retained its character.</w:t>
      </w:r>
    </w:p>
    <w:p w:rsidR="00F26E71" w:rsidRPr="00F26E71" w:rsidRDefault="00F26E71" w:rsidP="004C13E2">
      <w:pPr>
        <w:rPr>
          <w:rFonts w:ascii="Arial" w:hAnsi="Arial" w:cs="Arial"/>
          <w:b/>
          <w:sz w:val="20"/>
          <w:szCs w:val="20"/>
        </w:rPr>
      </w:pPr>
      <w:r w:rsidRPr="00F26E71">
        <w:rPr>
          <w:rFonts w:ascii="Arial" w:hAnsi="Arial" w:cs="Arial"/>
          <w:b/>
          <w:sz w:val="20"/>
          <w:szCs w:val="20"/>
        </w:rPr>
        <w:t>Section</w:t>
      </w:r>
      <w:r w:rsidR="003F72D8">
        <w:rPr>
          <w:rFonts w:ascii="Arial" w:hAnsi="Arial" w:cs="Arial"/>
          <w:b/>
          <w:sz w:val="20"/>
          <w:szCs w:val="20"/>
        </w:rPr>
        <w:t>s</w:t>
      </w:r>
      <w:r w:rsidRPr="00F26E71">
        <w:rPr>
          <w:rFonts w:ascii="Arial" w:hAnsi="Arial" w:cs="Arial"/>
          <w:b/>
          <w:sz w:val="20"/>
          <w:szCs w:val="20"/>
        </w:rPr>
        <w:t xml:space="preserve"> 6B</w:t>
      </w:r>
      <w:r w:rsidR="003F72D8">
        <w:rPr>
          <w:rFonts w:ascii="Arial" w:hAnsi="Arial" w:cs="Arial"/>
          <w:b/>
          <w:sz w:val="20"/>
          <w:szCs w:val="20"/>
        </w:rPr>
        <w:t xml:space="preserve">(2A) and </w:t>
      </w:r>
      <w:r w:rsidRPr="00F26E71">
        <w:rPr>
          <w:rFonts w:ascii="Arial" w:hAnsi="Arial" w:cs="Arial"/>
          <w:b/>
          <w:sz w:val="20"/>
          <w:szCs w:val="20"/>
        </w:rPr>
        <w:t>(3) of the ITAA 1936</w:t>
      </w:r>
    </w:p>
    <w:p w:rsidR="00F410A2" w:rsidRDefault="00F410A2" w:rsidP="004C13E2">
      <w:pPr>
        <w:rPr>
          <w:rFonts w:ascii="Arial" w:hAnsi="Arial" w:cs="Arial"/>
          <w:sz w:val="20"/>
          <w:szCs w:val="20"/>
        </w:rPr>
      </w:pPr>
      <w:r>
        <w:rPr>
          <w:rFonts w:ascii="Arial" w:hAnsi="Arial" w:cs="Arial"/>
          <w:sz w:val="20"/>
          <w:szCs w:val="20"/>
        </w:rPr>
        <w:t xml:space="preserve">Sections 6B </w:t>
      </w:r>
      <w:r w:rsidR="003F72D8">
        <w:rPr>
          <w:rFonts w:ascii="Arial" w:hAnsi="Arial" w:cs="Arial"/>
          <w:sz w:val="20"/>
          <w:szCs w:val="20"/>
        </w:rPr>
        <w:t>of the 1936 Act already sup</w:t>
      </w:r>
      <w:r>
        <w:rPr>
          <w:rFonts w:ascii="Arial" w:hAnsi="Arial" w:cs="Arial"/>
          <w:sz w:val="20"/>
          <w:szCs w:val="20"/>
        </w:rPr>
        <w:t>ports the Flow Through Approach in relation to dividend, passive and interest income.</w:t>
      </w:r>
    </w:p>
    <w:p w:rsidR="00F410A2" w:rsidRDefault="00F410A2" w:rsidP="004C13E2">
      <w:pPr>
        <w:rPr>
          <w:rFonts w:ascii="Arial" w:hAnsi="Arial" w:cs="Arial"/>
          <w:sz w:val="20"/>
          <w:szCs w:val="20"/>
        </w:rPr>
      </w:pPr>
      <w:r>
        <w:rPr>
          <w:rFonts w:ascii="Arial" w:hAnsi="Arial" w:cs="Arial"/>
          <w:sz w:val="20"/>
          <w:szCs w:val="20"/>
        </w:rPr>
        <w:t>Sections 6B(2A) and (3)</w:t>
      </w:r>
      <w:r w:rsidRPr="00F410A2">
        <w:rPr>
          <w:rFonts w:ascii="Arial" w:hAnsi="Arial" w:cs="Arial"/>
          <w:sz w:val="20"/>
          <w:szCs w:val="20"/>
        </w:rPr>
        <w:t xml:space="preserve"> </w:t>
      </w:r>
      <w:r>
        <w:rPr>
          <w:rFonts w:ascii="Arial" w:hAnsi="Arial" w:cs="Arial"/>
          <w:sz w:val="20"/>
          <w:szCs w:val="20"/>
        </w:rPr>
        <w:t>supports the Flow Through Approach in relation to the (</w:t>
      </w:r>
      <w:r w:rsidR="00FC20A1">
        <w:rPr>
          <w:rFonts w:ascii="Arial" w:hAnsi="Arial" w:cs="Arial"/>
          <w:sz w:val="20"/>
          <w:szCs w:val="20"/>
        </w:rPr>
        <w:t xml:space="preserve">presumably </w:t>
      </w:r>
      <w:r>
        <w:rPr>
          <w:rFonts w:ascii="Arial" w:hAnsi="Arial" w:cs="Arial"/>
          <w:sz w:val="20"/>
          <w:szCs w:val="20"/>
        </w:rPr>
        <w:t>geographical) source of income.</w:t>
      </w:r>
    </w:p>
    <w:p w:rsidR="003F72D8" w:rsidRDefault="00F410A2" w:rsidP="004C13E2">
      <w:pPr>
        <w:rPr>
          <w:rFonts w:ascii="Arial" w:hAnsi="Arial" w:cs="Arial"/>
          <w:sz w:val="20"/>
          <w:szCs w:val="20"/>
        </w:rPr>
      </w:pPr>
      <w:r>
        <w:rPr>
          <w:rFonts w:ascii="Arial" w:hAnsi="Arial" w:cs="Arial"/>
          <w:sz w:val="20"/>
          <w:szCs w:val="20"/>
        </w:rPr>
        <w:t>Below is the type of drafting already used in the 1936 Act:</w:t>
      </w:r>
    </w:p>
    <w:p w:rsidR="003F72D8" w:rsidRPr="003F72D8" w:rsidRDefault="005D204A" w:rsidP="003F72D8">
      <w:pPr>
        <w:ind w:left="720"/>
        <w:rPr>
          <w:rFonts w:ascii="Arial" w:hAnsi="Arial" w:cs="Arial"/>
          <w:b/>
          <w:i/>
          <w:sz w:val="20"/>
          <w:szCs w:val="20"/>
        </w:rPr>
      </w:pPr>
      <w:r>
        <w:rPr>
          <w:rFonts w:ascii="Arial" w:hAnsi="Arial" w:cs="Arial"/>
          <w:b/>
          <w:i/>
          <w:sz w:val="20"/>
          <w:szCs w:val="20"/>
        </w:rPr>
        <w:t>“</w:t>
      </w:r>
      <w:r w:rsidR="003F72D8" w:rsidRPr="003F72D8">
        <w:rPr>
          <w:rFonts w:ascii="Arial" w:hAnsi="Arial" w:cs="Arial"/>
          <w:b/>
          <w:i/>
          <w:sz w:val="20"/>
          <w:szCs w:val="20"/>
        </w:rPr>
        <w:t>(2A)  For the purposes of this Act, an amount of income derived by a person shall be deemed to be income derived from a particular source:</w:t>
      </w:r>
    </w:p>
    <w:p w:rsidR="003F72D8" w:rsidRPr="003F72D8" w:rsidRDefault="003F72D8" w:rsidP="003F72D8">
      <w:pPr>
        <w:ind w:left="720"/>
        <w:rPr>
          <w:rFonts w:ascii="Arial" w:hAnsi="Arial" w:cs="Arial"/>
          <w:b/>
          <w:i/>
          <w:sz w:val="20"/>
          <w:szCs w:val="20"/>
        </w:rPr>
      </w:pPr>
      <w:r w:rsidRPr="003F72D8">
        <w:rPr>
          <w:rFonts w:ascii="Arial" w:hAnsi="Arial" w:cs="Arial"/>
          <w:b/>
          <w:i/>
          <w:sz w:val="20"/>
          <w:szCs w:val="20"/>
        </w:rPr>
        <w:t>(a)  except where paragraph (b) applies:</w:t>
      </w:r>
    </w:p>
    <w:p w:rsidR="003F72D8" w:rsidRPr="003F72D8" w:rsidRDefault="003F72D8" w:rsidP="003F72D8">
      <w:pPr>
        <w:ind w:left="1440"/>
        <w:rPr>
          <w:rFonts w:ascii="Arial" w:hAnsi="Arial" w:cs="Arial"/>
          <w:b/>
          <w:i/>
          <w:sz w:val="20"/>
          <w:szCs w:val="20"/>
        </w:rPr>
      </w:pPr>
      <w:r w:rsidRPr="003F72D8">
        <w:rPr>
          <w:rFonts w:ascii="Arial" w:hAnsi="Arial" w:cs="Arial"/>
          <w:b/>
          <w:i/>
          <w:sz w:val="20"/>
          <w:szCs w:val="20"/>
        </w:rPr>
        <w:t>(i)  if the person derived the amount of income by reason of being beneficially entitled to an amount that is derived from that source; or</w:t>
      </w:r>
    </w:p>
    <w:p w:rsidR="003F72D8" w:rsidRPr="003F72D8" w:rsidRDefault="003F72D8" w:rsidP="003F72D8">
      <w:pPr>
        <w:ind w:left="1440"/>
        <w:rPr>
          <w:rFonts w:ascii="Arial" w:hAnsi="Arial" w:cs="Arial"/>
          <w:b/>
          <w:i/>
          <w:sz w:val="20"/>
          <w:szCs w:val="20"/>
        </w:rPr>
      </w:pPr>
      <w:r w:rsidRPr="003F72D8">
        <w:rPr>
          <w:rFonts w:ascii="Arial" w:hAnsi="Arial" w:cs="Arial"/>
          <w:b/>
          <w:i/>
          <w:sz w:val="20"/>
          <w:szCs w:val="20"/>
        </w:rPr>
        <w:t>(ii)  if the person derived the amount of income as a beneficiary in a trust estate and the amount of income can be attributed, directly or indirectly, to income derived from that source or to an amount that is deemed, by any other application or applications of this subsection, to be an amount that is income derived from that source; or</w:t>
      </w:r>
    </w:p>
    <w:p w:rsidR="003F72D8" w:rsidRPr="003F72D8" w:rsidRDefault="003F72D8" w:rsidP="003F72D8">
      <w:pPr>
        <w:ind w:left="720"/>
        <w:rPr>
          <w:rFonts w:ascii="Arial" w:hAnsi="Arial" w:cs="Arial"/>
          <w:b/>
          <w:i/>
          <w:sz w:val="20"/>
          <w:szCs w:val="20"/>
        </w:rPr>
      </w:pPr>
      <w:r w:rsidRPr="003F72D8">
        <w:rPr>
          <w:rFonts w:ascii="Arial" w:hAnsi="Arial" w:cs="Arial"/>
          <w:b/>
          <w:i/>
          <w:sz w:val="20"/>
          <w:szCs w:val="20"/>
        </w:rPr>
        <w:t>(b)  if the income so derived is, by virtue of subsection (1), (1A) or (2), attributable to a dividend, passive income or interest income derived from that source.</w:t>
      </w:r>
    </w:p>
    <w:p w:rsidR="00F26E71" w:rsidRDefault="00F26E71" w:rsidP="003F72D8">
      <w:pPr>
        <w:ind w:left="720"/>
        <w:rPr>
          <w:rFonts w:ascii="Arial" w:hAnsi="Arial" w:cs="Arial"/>
          <w:b/>
          <w:i/>
          <w:sz w:val="20"/>
          <w:szCs w:val="20"/>
        </w:rPr>
      </w:pPr>
      <w:r w:rsidRPr="003F72D8">
        <w:rPr>
          <w:rFonts w:ascii="Arial" w:hAnsi="Arial" w:cs="Arial"/>
          <w:b/>
          <w:i/>
          <w:sz w:val="20"/>
          <w:szCs w:val="20"/>
        </w:rPr>
        <w:t>(3)  Where a beneficiary in a trust estate is presently entitled to income of the trust estate, that income shall, for the purposes of this section, be deemed to be an amount of income derived by the person.</w:t>
      </w:r>
      <w:r w:rsidR="005D204A">
        <w:rPr>
          <w:rFonts w:ascii="Arial" w:hAnsi="Arial" w:cs="Arial"/>
          <w:b/>
          <w:i/>
          <w:sz w:val="20"/>
          <w:szCs w:val="20"/>
        </w:rPr>
        <w:t>”</w:t>
      </w:r>
    </w:p>
    <w:p w:rsidR="00F13DEF" w:rsidRDefault="00F13DEF" w:rsidP="003F72D8">
      <w:pPr>
        <w:ind w:left="720"/>
        <w:rPr>
          <w:rFonts w:ascii="Arial" w:hAnsi="Arial" w:cs="Arial"/>
          <w:b/>
          <w:i/>
          <w:sz w:val="20"/>
          <w:szCs w:val="20"/>
        </w:rPr>
      </w:pPr>
    </w:p>
    <w:p w:rsidR="00454F06" w:rsidRPr="003B3A59" w:rsidRDefault="004C13E2" w:rsidP="00454F06">
      <w:pPr>
        <w:rPr>
          <w:rFonts w:ascii="Arial" w:hAnsi="Arial" w:cs="Arial"/>
          <w:b/>
          <w:sz w:val="24"/>
          <w:szCs w:val="24"/>
        </w:rPr>
      </w:pPr>
      <w:r>
        <w:rPr>
          <w:rFonts w:ascii="Arial" w:hAnsi="Arial" w:cs="Arial"/>
          <w:b/>
          <w:sz w:val="24"/>
          <w:szCs w:val="24"/>
        </w:rPr>
        <w:t>5</w:t>
      </w:r>
      <w:r w:rsidR="00454F06">
        <w:rPr>
          <w:rFonts w:ascii="Arial" w:hAnsi="Arial" w:cs="Arial"/>
          <w:b/>
          <w:sz w:val="24"/>
          <w:szCs w:val="24"/>
        </w:rPr>
        <w:t>. “Follow the Money Approach” (Principle 1)</w:t>
      </w:r>
    </w:p>
    <w:p w:rsidR="00454F06" w:rsidRDefault="00454F06" w:rsidP="00454F06">
      <w:pPr>
        <w:rPr>
          <w:rFonts w:ascii="Arial" w:hAnsi="Arial" w:cs="Arial"/>
          <w:sz w:val="20"/>
          <w:szCs w:val="20"/>
        </w:rPr>
      </w:pPr>
      <w:r>
        <w:rPr>
          <w:rFonts w:ascii="Arial" w:hAnsi="Arial" w:cs="Arial"/>
          <w:sz w:val="20"/>
          <w:szCs w:val="20"/>
        </w:rPr>
        <w:t xml:space="preserve">Principle 1 in the </w:t>
      </w:r>
      <w:r w:rsidR="009B2907">
        <w:rPr>
          <w:rFonts w:ascii="Arial" w:hAnsi="Arial" w:cs="Arial"/>
          <w:sz w:val="20"/>
          <w:szCs w:val="20"/>
        </w:rPr>
        <w:t>Discussion</w:t>
      </w:r>
      <w:r>
        <w:rPr>
          <w:rFonts w:ascii="Arial" w:hAnsi="Arial" w:cs="Arial"/>
          <w:sz w:val="20"/>
          <w:szCs w:val="20"/>
        </w:rPr>
        <w:t xml:space="preserve"> Paper provides as follows:</w:t>
      </w:r>
    </w:p>
    <w:p w:rsidR="00454F06" w:rsidRPr="009B2907" w:rsidRDefault="00454F06" w:rsidP="00454F06">
      <w:pPr>
        <w:ind w:left="720"/>
        <w:rPr>
          <w:rFonts w:ascii="Arial" w:hAnsi="Arial" w:cs="Arial"/>
          <w:b/>
          <w:i/>
          <w:sz w:val="20"/>
        </w:rPr>
      </w:pPr>
      <w:r w:rsidRPr="009B2907">
        <w:rPr>
          <w:rFonts w:ascii="Arial" w:hAnsi="Arial" w:cs="Arial"/>
          <w:b/>
          <w:i/>
          <w:sz w:val="20"/>
        </w:rPr>
        <w:t>“Tax liabilities in respect of the income and gains of a trust should ‘follow the money’ in that they should attach to the entities that receive the economic benefits from the trust.”</w:t>
      </w:r>
    </w:p>
    <w:p w:rsidR="00454F06" w:rsidRDefault="00454F06" w:rsidP="00454F06">
      <w:pPr>
        <w:rPr>
          <w:rFonts w:ascii="Arial" w:hAnsi="Arial" w:cs="Arial"/>
          <w:sz w:val="20"/>
          <w:szCs w:val="20"/>
        </w:rPr>
      </w:pPr>
      <w:r>
        <w:rPr>
          <w:rFonts w:ascii="Arial" w:hAnsi="Arial" w:cs="Arial"/>
          <w:sz w:val="20"/>
          <w:szCs w:val="20"/>
        </w:rPr>
        <w:t>The term “Follow the Money Approach” is an attractive catchphrase.</w:t>
      </w:r>
    </w:p>
    <w:p w:rsidR="00454F06" w:rsidRDefault="00454F06" w:rsidP="00454F06">
      <w:pPr>
        <w:rPr>
          <w:rFonts w:ascii="Arial" w:hAnsi="Arial" w:cs="Arial"/>
          <w:sz w:val="20"/>
          <w:szCs w:val="20"/>
        </w:rPr>
      </w:pPr>
      <w:r>
        <w:rPr>
          <w:rFonts w:ascii="Arial" w:hAnsi="Arial" w:cs="Arial"/>
          <w:sz w:val="20"/>
          <w:szCs w:val="20"/>
        </w:rPr>
        <w:t>However, its catchiness disguises a number of implications of the Tax System that apply equally to all taxpayers.</w:t>
      </w:r>
    </w:p>
    <w:p w:rsidR="00454F06" w:rsidRDefault="00454F06" w:rsidP="00454F06">
      <w:pPr>
        <w:rPr>
          <w:rFonts w:ascii="Arial" w:hAnsi="Arial" w:cs="Arial"/>
          <w:sz w:val="20"/>
          <w:szCs w:val="20"/>
        </w:rPr>
      </w:pPr>
      <w:r>
        <w:rPr>
          <w:rFonts w:ascii="Arial" w:hAnsi="Arial" w:cs="Arial"/>
          <w:sz w:val="20"/>
          <w:szCs w:val="20"/>
        </w:rPr>
        <w:t>If the term “distributable income” is dispensed with, then there would be little substantive differentiation between Beneficiaries of Trusts and other taxpayers.</w:t>
      </w:r>
    </w:p>
    <w:p w:rsidR="00454F06" w:rsidRDefault="00454F06" w:rsidP="00454F06">
      <w:pPr>
        <w:rPr>
          <w:rFonts w:ascii="Arial" w:hAnsi="Arial" w:cs="Arial"/>
          <w:sz w:val="20"/>
          <w:szCs w:val="20"/>
        </w:rPr>
      </w:pPr>
      <w:r>
        <w:rPr>
          <w:rFonts w:ascii="Arial" w:hAnsi="Arial" w:cs="Arial"/>
          <w:sz w:val="20"/>
          <w:szCs w:val="20"/>
        </w:rPr>
        <w:t>The aim would be to get to the underlying truth of the income or capital gain derived by each Beneficiary in the same way that this is the task that confronts any other taxpayer.</w:t>
      </w:r>
    </w:p>
    <w:p w:rsidR="00797998" w:rsidRPr="00797998" w:rsidRDefault="00797998" w:rsidP="00454F06">
      <w:pPr>
        <w:rPr>
          <w:rFonts w:ascii="Arial" w:hAnsi="Arial" w:cs="Arial"/>
          <w:b/>
          <w:sz w:val="20"/>
          <w:szCs w:val="20"/>
        </w:rPr>
      </w:pPr>
      <w:r w:rsidRPr="00797998">
        <w:rPr>
          <w:rFonts w:ascii="Arial" w:hAnsi="Arial" w:cs="Arial"/>
          <w:b/>
          <w:sz w:val="20"/>
          <w:szCs w:val="20"/>
        </w:rPr>
        <w:t>Expenses</w:t>
      </w:r>
    </w:p>
    <w:p w:rsidR="00454F06" w:rsidRDefault="00454F06" w:rsidP="00454F06">
      <w:pPr>
        <w:rPr>
          <w:rFonts w:ascii="Arial" w:hAnsi="Arial" w:cs="Arial"/>
          <w:sz w:val="20"/>
          <w:szCs w:val="20"/>
        </w:rPr>
      </w:pPr>
      <w:r>
        <w:rPr>
          <w:rFonts w:ascii="Arial" w:hAnsi="Arial" w:cs="Arial"/>
          <w:sz w:val="20"/>
          <w:szCs w:val="20"/>
        </w:rPr>
        <w:t>In any business activity, there will be gross income and expenses.</w:t>
      </w:r>
    </w:p>
    <w:p w:rsidR="00454F06" w:rsidRDefault="00454F06" w:rsidP="00454F06">
      <w:pPr>
        <w:rPr>
          <w:rFonts w:ascii="Arial" w:hAnsi="Arial" w:cs="Arial"/>
          <w:sz w:val="20"/>
          <w:szCs w:val="20"/>
        </w:rPr>
      </w:pPr>
      <w:r>
        <w:rPr>
          <w:rFonts w:ascii="Arial" w:hAnsi="Arial" w:cs="Arial"/>
          <w:sz w:val="20"/>
          <w:szCs w:val="20"/>
        </w:rPr>
        <w:t xml:space="preserve">Where one individual is the taxpayer, the individual will </w:t>
      </w:r>
      <w:r w:rsidR="00706D42">
        <w:rPr>
          <w:rFonts w:ascii="Arial" w:hAnsi="Arial" w:cs="Arial"/>
          <w:sz w:val="20"/>
          <w:szCs w:val="20"/>
        </w:rPr>
        <w:t xml:space="preserve">be </w:t>
      </w:r>
      <w:r>
        <w:rPr>
          <w:rFonts w:ascii="Arial" w:hAnsi="Arial" w:cs="Arial"/>
          <w:sz w:val="20"/>
          <w:szCs w:val="20"/>
        </w:rPr>
        <w:t xml:space="preserve">beneficially </w:t>
      </w:r>
      <w:r w:rsidR="00706D42">
        <w:rPr>
          <w:rFonts w:ascii="Arial" w:hAnsi="Arial" w:cs="Arial"/>
          <w:sz w:val="20"/>
          <w:szCs w:val="20"/>
        </w:rPr>
        <w:t>entitled to</w:t>
      </w:r>
      <w:r>
        <w:rPr>
          <w:rFonts w:ascii="Arial" w:hAnsi="Arial" w:cs="Arial"/>
          <w:sz w:val="20"/>
          <w:szCs w:val="20"/>
        </w:rPr>
        <w:t xml:space="preserve"> the income and </w:t>
      </w:r>
      <w:r w:rsidR="00706D42">
        <w:rPr>
          <w:rFonts w:ascii="Arial" w:hAnsi="Arial" w:cs="Arial"/>
          <w:sz w:val="20"/>
          <w:szCs w:val="20"/>
        </w:rPr>
        <w:t xml:space="preserve">beneficially responsible for </w:t>
      </w:r>
      <w:r>
        <w:rPr>
          <w:rFonts w:ascii="Arial" w:hAnsi="Arial" w:cs="Arial"/>
          <w:sz w:val="20"/>
          <w:szCs w:val="20"/>
        </w:rPr>
        <w:t>the expenses</w:t>
      </w:r>
      <w:r w:rsidR="00706D42">
        <w:rPr>
          <w:rFonts w:ascii="Arial" w:hAnsi="Arial" w:cs="Arial"/>
          <w:sz w:val="20"/>
          <w:szCs w:val="20"/>
        </w:rPr>
        <w:t>.</w:t>
      </w:r>
    </w:p>
    <w:p w:rsidR="00706D42" w:rsidRDefault="00706D42" w:rsidP="00454F06">
      <w:pPr>
        <w:rPr>
          <w:rFonts w:ascii="Arial" w:hAnsi="Arial" w:cs="Arial"/>
          <w:sz w:val="20"/>
          <w:szCs w:val="20"/>
        </w:rPr>
      </w:pPr>
      <w:r>
        <w:rPr>
          <w:rFonts w:ascii="Arial" w:hAnsi="Arial" w:cs="Arial"/>
          <w:sz w:val="20"/>
          <w:szCs w:val="20"/>
        </w:rPr>
        <w:t>The result of this normal accounting process will be that the individual will be beneficially entitled to the net income.</w:t>
      </w:r>
    </w:p>
    <w:p w:rsidR="00454F06" w:rsidRDefault="00706D42" w:rsidP="004D0B31">
      <w:pPr>
        <w:rPr>
          <w:rFonts w:ascii="Arial" w:hAnsi="Arial" w:cs="Arial"/>
          <w:sz w:val="20"/>
          <w:szCs w:val="20"/>
        </w:rPr>
      </w:pPr>
      <w:r>
        <w:rPr>
          <w:rFonts w:ascii="Arial" w:hAnsi="Arial" w:cs="Arial"/>
          <w:sz w:val="20"/>
          <w:szCs w:val="20"/>
        </w:rPr>
        <w:t>If the gross expenses are equal to or greater than the gross income, there will be no accounting profit.</w:t>
      </w:r>
    </w:p>
    <w:p w:rsidR="00706D42" w:rsidRDefault="00706D42" w:rsidP="004D0B31">
      <w:pPr>
        <w:rPr>
          <w:rFonts w:ascii="Arial" w:hAnsi="Arial" w:cs="Arial"/>
          <w:sz w:val="20"/>
          <w:szCs w:val="20"/>
        </w:rPr>
      </w:pPr>
      <w:r>
        <w:rPr>
          <w:rFonts w:ascii="Arial" w:hAnsi="Arial" w:cs="Arial"/>
          <w:sz w:val="20"/>
          <w:szCs w:val="20"/>
        </w:rPr>
        <w:t>However, not every expense is deductible, thus it is possible that the individual might have assessable income, even though they don’t obtain any net accounting income.</w:t>
      </w:r>
    </w:p>
    <w:p w:rsidR="00706D42" w:rsidRDefault="00706D42" w:rsidP="004D0B31">
      <w:pPr>
        <w:rPr>
          <w:rFonts w:ascii="Arial" w:hAnsi="Arial" w:cs="Arial"/>
          <w:sz w:val="20"/>
          <w:szCs w:val="20"/>
        </w:rPr>
      </w:pPr>
      <w:r>
        <w:rPr>
          <w:rFonts w:ascii="Arial" w:hAnsi="Arial" w:cs="Arial"/>
          <w:sz w:val="20"/>
          <w:szCs w:val="20"/>
        </w:rPr>
        <w:t xml:space="preserve">In addition, there are provisions in the Tax Legislation (such as the Market Value Substitution Rules in relation to Capital Gains), where a taxpayer may be </w:t>
      </w:r>
      <w:r w:rsidRPr="00706D42">
        <w:rPr>
          <w:rFonts w:ascii="Arial" w:hAnsi="Arial" w:cs="Arial"/>
          <w:b/>
          <w:i/>
          <w:sz w:val="20"/>
          <w:szCs w:val="20"/>
        </w:rPr>
        <w:t xml:space="preserve">deemed </w:t>
      </w:r>
      <w:r>
        <w:rPr>
          <w:rFonts w:ascii="Arial" w:hAnsi="Arial" w:cs="Arial"/>
          <w:sz w:val="20"/>
          <w:szCs w:val="20"/>
        </w:rPr>
        <w:t>to have derived income or a Capital Gain, even though they did not actually receive that income or deemed consideration.</w:t>
      </w:r>
    </w:p>
    <w:p w:rsidR="00706D42" w:rsidRDefault="00706D42" w:rsidP="004D0B31">
      <w:pPr>
        <w:rPr>
          <w:rFonts w:ascii="Arial" w:hAnsi="Arial" w:cs="Arial"/>
          <w:sz w:val="20"/>
          <w:szCs w:val="20"/>
        </w:rPr>
      </w:pPr>
      <w:r>
        <w:rPr>
          <w:rFonts w:ascii="Arial" w:hAnsi="Arial" w:cs="Arial"/>
          <w:sz w:val="20"/>
          <w:szCs w:val="20"/>
        </w:rPr>
        <w:t xml:space="preserve">Both situations can result in an individual taxpayer having a tax liability, even though they did not </w:t>
      </w:r>
      <w:r w:rsidRPr="00706D42">
        <w:rPr>
          <w:rFonts w:ascii="Arial" w:hAnsi="Arial" w:cs="Arial"/>
          <w:b/>
          <w:i/>
          <w:sz w:val="20"/>
          <w:szCs w:val="20"/>
        </w:rPr>
        <w:t>actually</w:t>
      </w:r>
      <w:r>
        <w:rPr>
          <w:rFonts w:ascii="Arial" w:hAnsi="Arial" w:cs="Arial"/>
          <w:sz w:val="20"/>
          <w:szCs w:val="20"/>
        </w:rPr>
        <w:t xml:space="preserve"> “receive the money”.</w:t>
      </w:r>
    </w:p>
    <w:p w:rsidR="00706D42" w:rsidRDefault="00706D42" w:rsidP="004D0B31">
      <w:pPr>
        <w:rPr>
          <w:rFonts w:ascii="Arial" w:hAnsi="Arial" w:cs="Arial"/>
          <w:sz w:val="20"/>
          <w:szCs w:val="20"/>
        </w:rPr>
      </w:pPr>
      <w:r>
        <w:rPr>
          <w:rFonts w:ascii="Arial" w:hAnsi="Arial" w:cs="Arial"/>
          <w:sz w:val="20"/>
          <w:szCs w:val="20"/>
        </w:rPr>
        <w:t>The same situations can apply in the case of a Trust or a Partnership.</w:t>
      </w:r>
    </w:p>
    <w:p w:rsidR="00706D42" w:rsidRDefault="00706D42" w:rsidP="004D0B31">
      <w:pPr>
        <w:rPr>
          <w:rFonts w:ascii="Arial" w:hAnsi="Arial" w:cs="Arial"/>
          <w:sz w:val="20"/>
          <w:szCs w:val="20"/>
        </w:rPr>
      </w:pPr>
      <w:r>
        <w:rPr>
          <w:rFonts w:ascii="Arial" w:hAnsi="Arial" w:cs="Arial"/>
          <w:sz w:val="20"/>
          <w:szCs w:val="20"/>
        </w:rPr>
        <w:t>The use of the catchphrase “Follow the Money Approach” should not be permitted to distract attention from the reality that Beneficiaries of Trusts are treated in exactly the same way as individual taxpayers in these circumstances.</w:t>
      </w:r>
    </w:p>
    <w:p w:rsidR="00797998" w:rsidRDefault="00797998" w:rsidP="004D0B31">
      <w:pPr>
        <w:rPr>
          <w:rFonts w:ascii="Arial" w:hAnsi="Arial" w:cs="Arial"/>
          <w:sz w:val="20"/>
          <w:szCs w:val="20"/>
        </w:rPr>
      </w:pPr>
      <w:r>
        <w:rPr>
          <w:rFonts w:ascii="Arial" w:hAnsi="Arial" w:cs="Arial"/>
          <w:sz w:val="20"/>
          <w:szCs w:val="20"/>
        </w:rPr>
        <w:t>It is also submitted that the Beneficiaries should be viewed as beneficially responsible for the expenses of the Trust, in the same way as they would be in the case of an individual.</w:t>
      </w:r>
    </w:p>
    <w:p w:rsidR="00797998" w:rsidRDefault="00797998" w:rsidP="004D0B31">
      <w:pPr>
        <w:rPr>
          <w:rFonts w:ascii="Arial" w:hAnsi="Arial" w:cs="Arial"/>
          <w:sz w:val="20"/>
          <w:szCs w:val="20"/>
        </w:rPr>
      </w:pPr>
      <w:r>
        <w:rPr>
          <w:rFonts w:ascii="Arial" w:hAnsi="Arial" w:cs="Arial"/>
          <w:sz w:val="20"/>
          <w:szCs w:val="20"/>
        </w:rPr>
        <w:t>The Trustee pays Trust Expenses in a fiduciary or representative capacity on behalf of the Beneficiaries who are entitled to their share of the Income or Capital.</w:t>
      </w:r>
    </w:p>
    <w:p w:rsidR="00797998" w:rsidRDefault="00797998" w:rsidP="004D0B31">
      <w:pPr>
        <w:rPr>
          <w:rFonts w:ascii="Arial" w:hAnsi="Arial" w:cs="Arial"/>
          <w:sz w:val="20"/>
          <w:szCs w:val="20"/>
        </w:rPr>
      </w:pPr>
      <w:r>
        <w:rPr>
          <w:rFonts w:ascii="Arial" w:hAnsi="Arial" w:cs="Arial"/>
          <w:sz w:val="20"/>
          <w:szCs w:val="20"/>
        </w:rPr>
        <w:t xml:space="preserve">Thus, the equitable relationship should apply to both income </w:t>
      </w:r>
      <w:r w:rsidR="004C13E2">
        <w:rPr>
          <w:rFonts w:ascii="Arial" w:hAnsi="Arial" w:cs="Arial"/>
          <w:sz w:val="20"/>
          <w:szCs w:val="20"/>
        </w:rPr>
        <w:t xml:space="preserve">(including gross income) </w:t>
      </w:r>
      <w:r>
        <w:rPr>
          <w:rFonts w:ascii="Arial" w:hAnsi="Arial" w:cs="Arial"/>
          <w:sz w:val="20"/>
          <w:szCs w:val="20"/>
        </w:rPr>
        <w:t>and expenses.</w:t>
      </w:r>
    </w:p>
    <w:p w:rsidR="00F13DEF" w:rsidRDefault="00F13DEF" w:rsidP="004D0B31">
      <w:pPr>
        <w:rPr>
          <w:rFonts w:ascii="Arial" w:hAnsi="Arial" w:cs="Arial"/>
          <w:sz w:val="20"/>
          <w:szCs w:val="20"/>
        </w:rPr>
      </w:pPr>
    </w:p>
    <w:p w:rsidR="004C13E2" w:rsidRDefault="004C13E2" w:rsidP="004C13E2">
      <w:pPr>
        <w:rPr>
          <w:rFonts w:ascii="Arial" w:hAnsi="Arial" w:cs="Arial"/>
          <w:b/>
          <w:sz w:val="24"/>
          <w:szCs w:val="24"/>
        </w:rPr>
      </w:pPr>
      <w:r>
        <w:rPr>
          <w:rFonts w:ascii="Arial" w:hAnsi="Arial" w:cs="Arial"/>
          <w:b/>
          <w:sz w:val="24"/>
          <w:szCs w:val="24"/>
        </w:rPr>
        <w:t>6. Streaming</w:t>
      </w:r>
    </w:p>
    <w:p w:rsidR="004C13E2" w:rsidRDefault="004C13E2" w:rsidP="00D30002">
      <w:pPr>
        <w:rPr>
          <w:rFonts w:ascii="Arial" w:hAnsi="Arial" w:cs="Arial"/>
          <w:sz w:val="20"/>
          <w:szCs w:val="20"/>
        </w:rPr>
      </w:pPr>
      <w:r>
        <w:rPr>
          <w:rFonts w:ascii="Arial" w:hAnsi="Arial" w:cs="Arial"/>
          <w:sz w:val="20"/>
          <w:szCs w:val="20"/>
        </w:rPr>
        <w:t>Streaming is a product of the Trust Deed.</w:t>
      </w:r>
    </w:p>
    <w:p w:rsidR="004C13E2" w:rsidRDefault="004C13E2" w:rsidP="00D30002">
      <w:pPr>
        <w:rPr>
          <w:rFonts w:ascii="Arial" w:hAnsi="Arial" w:cs="Arial"/>
          <w:sz w:val="20"/>
          <w:szCs w:val="20"/>
        </w:rPr>
      </w:pPr>
      <w:r>
        <w:rPr>
          <w:rFonts w:ascii="Arial" w:hAnsi="Arial" w:cs="Arial"/>
          <w:sz w:val="20"/>
          <w:szCs w:val="20"/>
        </w:rPr>
        <w:t>If a Trustee has the legal or contractual power to stream Income or Capital to different Beneficiaries in different proportions, then streaming is a legitimate product of the legal or contractual freedom of the parties.</w:t>
      </w:r>
    </w:p>
    <w:p w:rsidR="004C13E2" w:rsidRDefault="004C13E2" w:rsidP="00D30002">
      <w:pPr>
        <w:rPr>
          <w:rFonts w:ascii="Arial" w:hAnsi="Arial" w:cs="Arial"/>
          <w:sz w:val="20"/>
          <w:szCs w:val="20"/>
        </w:rPr>
      </w:pPr>
      <w:r>
        <w:rPr>
          <w:rFonts w:ascii="Arial" w:hAnsi="Arial" w:cs="Arial"/>
          <w:sz w:val="20"/>
          <w:szCs w:val="20"/>
        </w:rPr>
        <w:t>The Tax System should recognise and respect this freedom.</w:t>
      </w:r>
    </w:p>
    <w:p w:rsidR="004C13E2" w:rsidRDefault="004C13E2" w:rsidP="00D30002">
      <w:pPr>
        <w:rPr>
          <w:rFonts w:ascii="Arial" w:hAnsi="Arial" w:cs="Arial"/>
          <w:sz w:val="20"/>
          <w:szCs w:val="20"/>
        </w:rPr>
      </w:pPr>
      <w:r>
        <w:rPr>
          <w:rFonts w:ascii="Arial" w:hAnsi="Arial" w:cs="Arial"/>
          <w:sz w:val="20"/>
          <w:szCs w:val="20"/>
        </w:rPr>
        <w:t>If any particular exercise of this right results in a transaction that offends some other public policy principle, then that particular type of exercise can be attacked by specific and narrowly defined Legislation.</w:t>
      </w:r>
    </w:p>
    <w:p w:rsidR="004C13E2" w:rsidRDefault="004C13E2" w:rsidP="00D30002">
      <w:pPr>
        <w:rPr>
          <w:rFonts w:ascii="Arial" w:hAnsi="Arial" w:cs="Arial"/>
          <w:sz w:val="20"/>
          <w:szCs w:val="20"/>
        </w:rPr>
      </w:pPr>
      <w:r>
        <w:rPr>
          <w:rFonts w:ascii="Arial" w:hAnsi="Arial" w:cs="Arial"/>
          <w:sz w:val="20"/>
          <w:szCs w:val="20"/>
        </w:rPr>
        <w:t>For example, the streaming of Trust Income to Minors is already taxed at a different rate that is designed to minimise this practice.</w:t>
      </w:r>
    </w:p>
    <w:p w:rsidR="00F13DEF" w:rsidRDefault="00F13DEF" w:rsidP="00D30002">
      <w:pPr>
        <w:rPr>
          <w:rFonts w:ascii="Arial" w:hAnsi="Arial" w:cs="Arial"/>
          <w:sz w:val="20"/>
          <w:szCs w:val="20"/>
        </w:rPr>
      </w:pPr>
    </w:p>
    <w:p w:rsidR="004C13E2" w:rsidRDefault="004C13E2" w:rsidP="004C13E2">
      <w:pPr>
        <w:rPr>
          <w:rFonts w:ascii="Arial" w:hAnsi="Arial" w:cs="Arial"/>
          <w:b/>
          <w:sz w:val="24"/>
          <w:szCs w:val="24"/>
        </w:rPr>
      </w:pPr>
      <w:r>
        <w:rPr>
          <w:rFonts w:ascii="Arial" w:hAnsi="Arial" w:cs="Arial"/>
          <w:b/>
          <w:sz w:val="24"/>
          <w:szCs w:val="24"/>
        </w:rPr>
        <w:t>7. Differential Treatment of Different Types of Trust</w:t>
      </w:r>
    </w:p>
    <w:p w:rsidR="004C13E2" w:rsidRDefault="004C13E2" w:rsidP="004C13E2">
      <w:pPr>
        <w:rPr>
          <w:rFonts w:ascii="Arial" w:hAnsi="Arial" w:cs="Arial"/>
          <w:sz w:val="20"/>
          <w:szCs w:val="20"/>
        </w:rPr>
      </w:pPr>
      <w:r>
        <w:rPr>
          <w:rFonts w:ascii="Arial" w:hAnsi="Arial" w:cs="Arial"/>
          <w:sz w:val="20"/>
          <w:szCs w:val="20"/>
        </w:rPr>
        <w:t xml:space="preserve">The Discussion Paper seeks to preserve any existing differential </w:t>
      </w:r>
      <w:r w:rsidR="009B2907">
        <w:rPr>
          <w:rFonts w:ascii="Arial" w:hAnsi="Arial" w:cs="Arial"/>
          <w:sz w:val="20"/>
          <w:szCs w:val="20"/>
        </w:rPr>
        <w:t>treatment of different types of Trust.</w:t>
      </w:r>
    </w:p>
    <w:p w:rsidR="009B2907" w:rsidRDefault="009B2907" w:rsidP="004C13E2">
      <w:pPr>
        <w:rPr>
          <w:rFonts w:ascii="Arial" w:hAnsi="Arial" w:cs="Arial"/>
          <w:sz w:val="20"/>
          <w:szCs w:val="20"/>
        </w:rPr>
      </w:pPr>
      <w:r>
        <w:rPr>
          <w:rFonts w:ascii="Arial" w:hAnsi="Arial" w:cs="Arial"/>
          <w:sz w:val="20"/>
          <w:szCs w:val="20"/>
        </w:rPr>
        <w:t>This in its own right makes it difficult to develop a conceptually robust and consistent approach to the taxation of Trust Income.</w:t>
      </w:r>
    </w:p>
    <w:p w:rsidR="009B2907" w:rsidRDefault="009B2907" w:rsidP="004C13E2">
      <w:pPr>
        <w:rPr>
          <w:rFonts w:ascii="Arial" w:hAnsi="Arial" w:cs="Arial"/>
          <w:sz w:val="20"/>
          <w:szCs w:val="20"/>
        </w:rPr>
      </w:pPr>
      <w:r>
        <w:rPr>
          <w:rFonts w:ascii="Arial" w:hAnsi="Arial" w:cs="Arial"/>
          <w:sz w:val="20"/>
          <w:szCs w:val="20"/>
        </w:rPr>
        <w:t>This is not to say that there are no grounds for the carving out of some types of Trust from the body of the Legislation.</w:t>
      </w:r>
    </w:p>
    <w:p w:rsidR="009B2907" w:rsidRDefault="009B2907" w:rsidP="004C13E2">
      <w:pPr>
        <w:rPr>
          <w:rFonts w:ascii="Arial" w:hAnsi="Arial" w:cs="Arial"/>
          <w:sz w:val="20"/>
          <w:szCs w:val="20"/>
        </w:rPr>
      </w:pPr>
      <w:r>
        <w:rPr>
          <w:rFonts w:ascii="Arial" w:hAnsi="Arial" w:cs="Arial"/>
          <w:sz w:val="20"/>
          <w:szCs w:val="20"/>
        </w:rPr>
        <w:t>However, it preempts the outcome of this consultation process.</w:t>
      </w:r>
    </w:p>
    <w:p w:rsidR="00F13DEF" w:rsidRDefault="00F13DEF" w:rsidP="004C13E2">
      <w:pPr>
        <w:rPr>
          <w:rFonts w:ascii="Arial" w:hAnsi="Arial" w:cs="Arial"/>
          <w:sz w:val="20"/>
          <w:szCs w:val="20"/>
        </w:rPr>
      </w:pPr>
    </w:p>
    <w:p w:rsidR="009B2907" w:rsidRDefault="009B2907" w:rsidP="009B2907">
      <w:pPr>
        <w:rPr>
          <w:rFonts w:ascii="Arial" w:hAnsi="Arial" w:cs="Arial"/>
          <w:b/>
          <w:sz w:val="24"/>
          <w:szCs w:val="24"/>
        </w:rPr>
      </w:pPr>
      <w:r>
        <w:rPr>
          <w:rFonts w:ascii="Arial" w:hAnsi="Arial" w:cs="Arial"/>
          <w:b/>
          <w:sz w:val="24"/>
          <w:szCs w:val="24"/>
        </w:rPr>
        <w:t>8. Trust Losses</w:t>
      </w:r>
    </w:p>
    <w:p w:rsidR="009B2907" w:rsidRDefault="009B2907" w:rsidP="004C13E2">
      <w:pPr>
        <w:rPr>
          <w:rFonts w:ascii="Arial" w:hAnsi="Arial" w:cs="Arial"/>
          <w:sz w:val="20"/>
          <w:szCs w:val="20"/>
        </w:rPr>
      </w:pPr>
      <w:r>
        <w:rPr>
          <w:rFonts w:ascii="Arial" w:hAnsi="Arial" w:cs="Arial"/>
          <w:sz w:val="20"/>
          <w:szCs w:val="20"/>
        </w:rPr>
        <w:t xml:space="preserve">Similarly, Principle </w:t>
      </w:r>
      <w:r w:rsidRPr="009B2907">
        <w:rPr>
          <w:rFonts w:ascii="Arial" w:hAnsi="Arial" w:cs="Arial"/>
          <w:sz w:val="20"/>
          <w:szCs w:val="20"/>
        </w:rPr>
        <w:t>5</w:t>
      </w:r>
      <w:r>
        <w:rPr>
          <w:rFonts w:ascii="Arial" w:hAnsi="Arial" w:cs="Arial"/>
          <w:sz w:val="20"/>
          <w:szCs w:val="20"/>
        </w:rPr>
        <w:t xml:space="preserve"> seeks to preserve the existing treatment of Trust Losses:</w:t>
      </w:r>
    </w:p>
    <w:p w:rsidR="009B2907" w:rsidRDefault="009B2907" w:rsidP="009B2907">
      <w:pPr>
        <w:ind w:left="720"/>
        <w:rPr>
          <w:rFonts w:ascii="Arial" w:hAnsi="Arial" w:cs="Arial"/>
          <w:sz w:val="20"/>
          <w:szCs w:val="20"/>
        </w:rPr>
      </w:pPr>
      <w:r>
        <w:rPr>
          <w:rFonts w:ascii="Arial" w:hAnsi="Arial" w:cs="Arial"/>
          <w:sz w:val="20"/>
          <w:szCs w:val="20"/>
        </w:rPr>
        <w:t>“</w:t>
      </w:r>
      <w:r w:rsidRPr="009B2907">
        <w:rPr>
          <w:rFonts w:ascii="Arial" w:hAnsi="Arial" w:cs="Arial"/>
          <w:b/>
          <w:i/>
          <w:sz w:val="20"/>
          <w:szCs w:val="20"/>
        </w:rPr>
        <w:t>Trust losses should generally be trapped in trusts subject to limited special rules for their use.”</w:t>
      </w:r>
    </w:p>
    <w:p w:rsidR="009B2907" w:rsidRDefault="009B2907" w:rsidP="009B2907">
      <w:pPr>
        <w:rPr>
          <w:rFonts w:ascii="Arial" w:hAnsi="Arial" w:cs="Arial"/>
          <w:sz w:val="20"/>
          <w:szCs w:val="20"/>
        </w:rPr>
      </w:pPr>
      <w:r>
        <w:rPr>
          <w:rFonts w:ascii="Arial" w:hAnsi="Arial" w:cs="Arial"/>
          <w:sz w:val="20"/>
          <w:szCs w:val="20"/>
        </w:rPr>
        <w:t>This in its own right makes it difficult to develop a conceptually robust and consistent approach to the taxation of Trust Income.</w:t>
      </w:r>
    </w:p>
    <w:p w:rsidR="009B2907" w:rsidRDefault="009B2907" w:rsidP="009B2907">
      <w:pPr>
        <w:rPr>
          <w:rFonts w:ascii="Arial" w:hAnsi="Arial" w:cs="Arial"/>
          <w:sz w:val="20"/>
          <w:szCs w:val="20"/>
        </w:rPr>
      </w:pPr>
      <w:r>
        <w:rPr>
          <w:rFonts w:ascii="Arial" w:hAnsi="Arial" w:cs="Arial"/>
          <w:sz w:val="20"/>
          <w:szCs w:val="20"/>
        </w:rPr>
        <w:t>This is not to say that there are no grounds for adopting this view.</w:t>
      </w:r>
    </w:p>
    <w:p w:rsidR="009B2907" w:rsidRDefault="009B2907" w:rsidP="009B2907">
      <w:pPr>
        <w:rPr>
          <w:rFonts w:ascii="Arial" w:hAnsi="Arial" w:cs="Arial"/>
          <w:sz w:val="20"/>
          <w:szCs w:val="20"/>
        </w:rPr>
      </w:pPr>
      <w:r>
        <w:rPr>
          <w:rFonts w:ascii="Arial" w:hAnsi="Arial" w:cs="Arial"/>
          <w:sz w:val="20"/>
          <w:szCs w:val="20"/>
        </w:rPr>
        <w:t>However, it defies the logic of the “Flow Through Approach” and preempts the outcome of this consultation process.</w:t>
      </w:r>
    </w:p>
    <w:p w:rsidR="00F13DEF" w:rsidRDefault="00F13DEF" w:rsidP="009B2907">
      <w:pPr>
        <w:rPr>
          <w:rFonts w:ascii="Arial" w:hAnsi="Arial" w:cs="Arial"/>
          <w:sz w:val="20"/>
          <w:szCs w:val="20"/>
        </w:rPr>
      </w:pPr>
    </w:p>
    <w:p w:rsidR="009B2907" w:rsidRPr="00F75027" w:rsidRDefault="009B2907" w:rsidP="009B2907">
      <w:pPr>
        <w:rPr>
          <w:rFonts w:ascii="Arial" w:hAnsi="Arial" w:cs="Arial"/>
          <w:b/>
          <w:sz w:val="24"/>
          <w:szCs w:val="24"/>
        </w:rPr>
      </w:pPr>
      <w:r>
        <w:rPr>
          <w:rFonts w:ascii="Arial" w:hAnsi="Arial" w:cs="Arial"/>
          <w:b/>
          <w:sz w:val="24"/>
          <w:szCs w:val="24"/>
        </w:rPr>
        <w:t xml:space="preserve">9. </w:t>
      </w:r>
      <w:r w:rsidRPr="00F75027">
        <w:rPr>
          <w:rFonts w:ascii="Arial" w:hAnsi="Arial" w:cs="Arial"/>
          <w:b/>
          <w:sz w:val="24"/>
          <w:szCs w:val="24"/>
        </w:rPr>
        <w:t>Interaction with Section 106-50 (Absolute Entitlement Trusts)</w:t>
      </w:r>
    </w:p>
    <w:p w:rsidR="00797998" w:rsidRDefault="009B2907" w:rsidP="00D30002">
      <w:pPr>
        <w:rPr>
          <w:rFonts w:ascii="Arial" w:hAnsi="Arial" w:cs="Arial"/>
          <w:sz w:val="20"/>
          <w:szCs w:val="20"/>
        </w:rPr>
      </w:pPr>
      <w:r>
        <w:rPr>
          <w:rFonts w:ascii="Arial" w:hAnsi="Arial" w:cs="Arial"/>
          <w:sz w:val="20"/>
          <w:szCs w:val="20"/>
        </w:rPr>
        <w:t>I reiterate my submissions with respect to section 106-50 in Part 9 of the attached Submission.</w:t>
      </w:r>
    </w:p>
    <w:p w:rsidR="00264A30" w:rsidRPr="003B3A59" w:rsidRDefault="00264A30" w:rsidP="00FC79F2">
      <w:pPr>
        <w:rPr>
          <w:rFonts w:ascii="Arial" w:hAnsi="Arial" w:cs="Arial"/>
          <w:sz w:val="20"/>
          <w:szCs w:val="20"/>
        </w:rPr>
      </w:pPr>
    </w:p>
    <w:p w:rsidR="00092418" w:rsidRPr="003B3A59" w:rsidRDefault="00FC79F2" w:rsidP="00A2715A">
      <w:pPr>
        <w:jc w:val="center"/>
        <w:rPr>
          <w:rFonts w:ascii="Arial" w:hAnsi="Arial" w:cs="Arial"/>
          <w:b/>
          <w:sz w:val="28"/>
          <w:szCs w:val="28"/>
        </w:rPr>
      </w:pPr>
      <w:r>
        <w:rPr>
          <w:rFonts w:ascii="Arial" w:hAnsi="Arial" w:cs="Arial"/>
          <w:b/>
          <w:sz w:val="28"/>
          <w:szCs w:val="28"/>
        </w:rPr>
        <w:br w:type="page"/>
      </w:r>
      <w:r w:rsidR="00A2715A" w:rsidRPr="003B3A59">
        <w:rPr>
          <w:rFonts w:ascii="Arial" w:hAnsi="Arial" w:cs="Arial"/>
          <w:b/>
          <w:sz w:val="28"/>
          <w:szCs w:val="28"/>
        </w:rPr>
        <w:t>Improving the Taxation of Trust Income</w:t>
      </w:r>
    </w:p>
    <w:p w:rsidR="00A2715A" w:rsidRPr="003B3A59" w:rsidRDefault="00CB7D74" w:rsidP="00A2715A">
      <w:pPr>
        <w:jc w:val="center"/>
        <w:rPr>
          <w:rFonts w:ascii="Arial" w:hAnsi="Arial" w:cs="Arial"/>
          <w:b/>
          <w:sz w:val="28"/>
          <w:szCs w:val="28"/>
        </w:rPr>
      </w:pPr>
      <w:r w:rsidRPr="003B3A59">
        <w:rPr>
          <w:rFonts w:ascii="Arial" w:hAnsi="Arial" w:cs="Arial"/>
          <w:b/>
          <w:sz w:val="28"/>
          <w:szCs w:val="28"/>
        </w:rPr>
        <w:t>(</w:t>
      </w:r>
      <w:r w:rsidR="00A2715A" w:rsidRPr="003B3A59">
        <w:rPr>
          <w:rFonts w:ascii="Arial" w:hAnsi="Arial" w:cs="Arial"/>
          <w:b/>
          <w:sz w:val="28"/>
          <w:szCs w:val="28"/>
        </w:rPr>
        <w:t>Comments on Discussion Paper</w:t>
      </w:r>
      <w:r w:rsidRPr="003B3A59">
        <w:rPr>
          <w:rFonts w:ascii="Arial" w:hAnsi="Arial" w:cs="Arial"/>
          <w:b/>
          <w:sz w:val="28"/>
          <w:szCs w:val="28"/>
        </w:rPr>
        <w:t>)</w:t>
      </w:r>
    </w:p>
    <w:p w:rsidR="00CB7D74" w:rsidRPr="003B3A59" w:rsidRDefault="00CB7D74" w:rsidP="00A2715A">
      <w:pPr>
        <w:jc w:val="center"/>
        <w:rPr>
          <w:rFonts w:ascii="Arial" w:hAnsi="Arial" w:cs="Arial"/>
          <w:b/>
          <w:sz w:val="28"/>
          <w:szCs w:val="28"/>
        </w:rPr>
      </w:pPr>
      <w:r w:rsidRPr="003B3A59">
        <w:rPr>
          <w:rFonts w:ascii="Arial" w:hAnsi="Arial" w:cs="Arial"/>
          <w:b/>
          <w:sz w:val="28"/>
          <w:szCs w:val="28"/>
        </w:rPr>
        <w:t>By</w:t>
      </w:r>
    </w:p>
    <w:p w:rsidR="00CB7D74" w:rsidRPr="003B3A59" w:rsidRDefault="00CB7D74" w:rsidP="00A2715A">
      <w:pPr>
        <w:jc w:val="center"/>
        <w:rPr>
          <w:rFonts w:ascii="Arial" w:hAnsi="Arial" w:cs="Arial"/>
          <w:b/>
          <w:sz w:val="28"/>
          <w:szCs w:val="28"/>
        </w:rPr>
      </w:pPr>
      <w:r w:rsidRPr="003B3A59">
        <w:rPr>
          <w:rFonts w:ascii="Arial" w:hAnsi="Arial" w:cs="Arial"/>
          <w:b/>
          <w:sz w:val="28"/>
          <w:szCs w:val="28"/>
        </w:rPr>
        <w:t>Ian Gray Solicitor</w:t>
      </w:r>
    </w:p>
    <w:p w:rsidR="00A2715A" w:rsidRPr="003B3A59" w:rsidRDefault="00A2715A">
      <w:pPr>
        <w:rPr>
          <w:rFonts w:ascii="Arial" w:hAnsi="Arial" w:cs="Arial"/>
        </w:rPr>
      </w:pPr>
    </w:p>
    <w:p w:rsidR="003B3A59" w:rsidRPr="003B3A59" w:rsidRDefault="008800BF">
      <w:pPr>
        <w:rPr>
          <w:rFonts w:ascii="Arial" w:hAnsi="Arial" w:cs="Arial"/>
          <w:b/>
          <w:sz w:val="24"/>
          <w:szCs w:val="24"/>
        </w:rPr>
      </w:pPr>
      <w:r>
        <w:rPr>
          <w:rFonts w:ascii="Arial" w:hAnsi="Arial" w:cs="Arial"/>
          <w:b/>
          <w:sz w:val="24"/>
          <w:szCs w:val="24"/>
        </w:rPr>
        <w:t xml:space="preserve">1. </w:t>
      </w:r>
      <w:r w:rsidR="003B3A59" w:rsidRPr="003B3A59">
        <w:rPr>
          <w:rFonts w:ascii="Arial" w:hAnsi="Arial" w:cs="Arial"/>
          <w:b/>
          <w:sz w:val="24"/>
          <w:szCs w:val="24"/>
        </w:rPr>
        <w:t>Introduction</w:t>
      </w:r>
    </w:p>
    <w:p w:rsidR="00A2715A" w:rsidRPr="003B3A59" w:rsidRDefault="00845E0A">
      <w:pPr>
        <w:rPr>
          <w:rFonts w:ascii="Arial" w:hAnsi="Arial" w:cs="Arial"/>
          <w:sz w:val="20"/>
          <w:szCs w:val="20"/>
        </w:rPr>
      </w:pPr>
      <w:r w:rsidRPr="003B3A59">
        <w:rPr>
          <w:rFonts w:ascii="Arial" w:hAnsi="Arial" w:cs="Arial"/>
          <w:sz w:val="20"/>
          <w:szCs w:val="20"/>
        </w:rPr>
        <w:t xml:space="preserve">Many of the problems discussed in </w:t>
      </w:r>
      <w:r w:rsidR="00152C6F" w:rsidRPr="00152C6F">
        <w:rPr>
          <w:rFonts w:ascii="Arial" w:hAnsi="Arial" w:cs="Arial"/>
          <w:b/>
          <w:sz w:val="20"/>
          <w:szCs w:val="20"/>
        </w:rPr>
        <w:t>Bamford</w:t>
      </w:r>
      <w:r w:rsidRPr="003B3A59">
        <w:rPr>
          <w:rFonts w:ascii="Arial" w:hAnsi="Arial" w:cs="Arial"/>
          <w:sz w:val="20"/>
          <w:szCs w:val="20"/>
        </w:rPr>
        <w:t xml:space="preserve"> derive from the prefatory words to section 97(1) of the ITAA 1936:</w:t>
      </w:r>
    </w:p>
    <w:p w:rsidR="00860344" w:rsidRPr="003B3A59" w:rsidRDefault="00845E0A" w:rsidP="00860344">
      <w:pPr>
        <w:ind w:left="720"/>
        <w:rPr>
          <w:rFonts w:ascii="Arial" w:hAnsi="Arial" w:cs="Arial"/>
          <w:b/>
          <w:i/>
          <w:sz w:val="20"/>
          <w:szCs w:val="20"/>
        </w:rPr>
      </w:pPr>
      <w:r w:rsidRPr="003B3A59">
        <w:rPr>
          <w:rFonts w:ascii="Arial" w:hAnsi="Arial" w:cs="Arial"/>
          <w:b/>
          <w:i/>
          <w:sz w:val="20"/>
          <w:szCs w:val="20"/>
        </w:rPr>
        <w:t xml:space="preserve">“where a beneficiary of a </w:t>
      </w:r>
      <w:r w:rsidR="00C66172">
        <w:rPr>
          <w:rFonts w:ascii="Arial" w:hAnsi="Arial" w:cs="Arial"/>
          <w:b/>
          <w:i/>
          <w:sz w:val="20"/>
          <w:szCs w:val="20"/>
        </w:rPr>
        <w:t>Trust Estate</w:t>
      </w:r>
      <w:r w:rsidRPr="003B3A59">
        <w:rPr>
          <w:rFonts w:ascii="Arial" w:hAnsi="Arial" w:cs="Arial"/>
          <w:b/>
          <w:i/>
          <w:sz w:val="20"/>
          <w:szCs w:val="20"/>
        </w:rPr>
        <w:t xml:space="preserve"> who is not under any legal disability is presently entitled to a share of the income of the </w:t>
      </w:r>
      <w:r w:rsidR="00C66172">
        <w:rPr>
          <w:rFonts w:ascii="Arial" w:hAnsi="Arial" w:cs="Arial"/>
          <w:b/>
          <w:i/>
          <w:sz w:val="20"/>
          <w:szCs w:val="20"/>
        </w:rPr>
        <w:t>Trust Estate</w:t>
      </w:r>
      <w:r w:rsidRPr="003B3A59">
        <w:rPr>
          <w:rFonts w:ascii="Arial" w:hAnsi="Arial" w:cs="Arial"/>
          <w:b/>
          <w:i/>
          <w:sz w:val="20"/>
          <w:szCs w:val="20"/>
        </w:rPr>
        <w:t>…”</w:t>
      </w:r>
    </w:p>
    <w:p w:rsidR="00860344" w:rsidRPr="003B3A59" w:rsidRDefault="00860344" w:rsidP="00860344">
      <w:pPr>
        <w:rPr>
          <w:rFonts w:ascii="Arial" w:hAnsi="Arial" w:cs="Arial"/>
          <w:sz w:val="20"/>
          <w:szCs w:val="20"/>
        </w:rPr>
      </w:pPr>
      <w:r w:rsidRPr="003B3A59">
        <w:rPr>
          <w:rFonts w:ascii="Arial" w:hAnsi="Arial" w:cs="Arial"/>
          <w:sz w:val="20"/>
          <w:szCs w:val="20"/>
        </w:rPr>
        <w:t xml:space="preserve">Before </w:t>
      </w:r>
      <w:r w:rsidR="00152C6F" w:rsidRPr="00152C6F">
        <w:rPr>
          <w:rFonts w:ascii="Arial" w:hAnsi="Arial" w:cs="Arial"/>
          <w:b/>
          <w:sz w:val="20"/>
          <w:szCs w:val="20"/>
        </w:rPr>
        <w:t>Bamford</w:t>
      </w:r>
      <w:r w:rsidRPr="003B3A59">
        <w:rPr>
          <w:rFonts w:ascii="Arial" w:hAnsi="Arial" w:cs="Arial"/>
          <w:sz w:val="20"/>
          <w:szCs w:val="20"/>
        </w:rPr>
        <w:t>, the ATO interpreted these words to act as a condition that had to be satisfied, in order for the substantive provisions to operate.</w:t>
      </w:r>
    </w:p>
    <w:p w:rsidR="00860344" w:rsidRPr="003B3A59" w:rsidRDefault="00860344" w:rsidP="00860344">
      <w:pPr>
        <w:rPr>
          <w:rFonts w:ascii="Arial" w:hAnsi="Arial" w:cs="Arial"/>
          <w:sz w:val="20"/>
          <w:szCs w:val="20"/>
        </w:rPr>
      </w:pPr>
      <w:r w:rsidRPr="003B3A59">
        <w:rPr>
          <w:rFonts w:ascii="Arial" w:hAnsi="Arial" w:cs="Arial"/>
          <w:sz w:val="20"/>
          <w:szCs w:val="20"/>
        </w:rPr>
        <w:t>As a result, the wording became a gateway</w:t>
      </w:r>
      <w:r w:rsidR="009B42F8" w:rsidRPr="003B3A59">
        <w:rPr>
          <w:rFonts w:ascii="Arial" w:hAnsi="Arial" w:cs="Arial"/>
          <w:sz w:val="20"/>
          <w:szCs w:val="20"/>
        </w:rPr>
        <w:t xml:space="preserve"> to the further operation of the section</w:t>
      </w:r>
      <w:r w:rsidRPr="003B3A59">
        <w:rPr>
          <w:rFonts w:ascii="Arial" w:hAnsi="Arial" w:cs="Arial"/>
          <w:sz w:val="20"/>
          <w:szCs w:val="20"/>
        </w:rPr>
        <w:t>.</w:t>
      </w:r>
    </w:p>
    <w:p w:rsidR="00860344" w:rsidRPr="003B3A59" w:rsidRDefault="00860344" w:rsidP="00860344">
      <w:pPr>
        <w:rPr>
          <w:rFonts w:ascii="Arial" w:hAnsi="Arial" w:cs="Arial"/>
          <w:sz w:val="20"/>
          <w:szCs w:val="20"/>
        </w:rPr>
      </w:pPr>
      <w:r w:rsidRPr="003B3A59">
        <w:rPr>
          <w:rFonts w:ascii="Arial" w:hAnsi="Arial" w:cs="Arial"/>
          <w:sz w:val="20"/>
          <w:szCs w:val="20"/>
        </w:rPr>
        <w:t xml:space="preserve">Unfortunately, the wording was ambiguous and introduced a concept of “a share of the income of the </w:t>
      </w:r>
      <w:r w:rsidR="00C66172">
        <w:rPr>
          <w:rFonts w:ascii="Arial" w:hAnsi="Arial" w:cs="Arial"/>
          <w:sz w:val="20"/>
          <w:szCs w:val="20"/>
        </w:rPr>
        <w:t>Trust Estate</w:t>
      </w:r>
      <w:r w:rsidRPr="003B3A59">
        <w:rPr>
          <w:rFonts w:ascii="Arial" w:hAnsi="Arial" w:cs="Arial"/>
          <w:sz w:val="20"/>
          <w:szCs w:val="20"/>
        </w:rPr>
        <w:t>” that was not used elsewhere in the Tax Legislation.</w:t>
      </w:r>
    </w:p>
    <w:p w:rsidR="00860344" w:rsidRPr="003B3A59" w:rsidRDefault="00860344" w:rsidP="00860344">
      <w:pPr>
        <w:rPr>
          <w:rFonts w:ascii="Arial" w:hAnsi="Arial" w:cs="Arial"/>
          <w:sz w:val="20"/>
          <w:szCs w:val="20"/>
        </w:rPr>
      </w:pPr>
      <w:r w:rsidRPr="003B3A59">
        <w:rPr>
          <w:rFonts w:ascii="Arial" w:hAnsi="Arial" w:cs="Arial"/>
          <w:sz w:val="20"/>
          <w:szCs w:val="20"/>
        </w:rPr>
        <w:t>As a result, it created considerable uncertainty about how the section worked and in what circumstances it applied.</w:t>
      </w:r>
    </w:p>
    <w:p w:rsidR="00860344" w:rsidRDefault="00860344" w:rsidP="00860344">
      <w:pPr>
        <w:rPr>
          <w:rFonts w:ascii="Arial" w:hAnsi="Arial" w:cs="Arial"/>
          <w:sz w:val="20"/>
          <w:szCs w:val="20"/>
        </w:rPr>
      </w:pPr>
      <w:r w:rsidRPr="003B3A59">
        <w:rPr>
          <w:rFonts w:ascii="Arial" w:hAnsi="Arial" w:cs="Arial"/>
          <w:sz w:val="20"/>
          <w:szCs w:val="20"/>
        </w:rPr>
        <w:t xml:space="preserve">This uncertainty was </w:t>
      </w:r>
      <w:r w:rsidR="008800BF" w:rsidRPr="003B3A59">
        <w:rPr>
          <w:rFonts w:ascii="Arial" w:hAnsi="Arial" w:cs="Arial"/>
          <w:sz w:val="20"/>
          <w:szCs w:val="20"/>
        </w:rPr>
        <w:t>further exacerbated</w:t>
      </w:r>
      <w:r w:rsidRPr="003B3A59">
        <w:rPr>
          <w:rFonts w:ascii="Arial" w:hAnsi="Arial" w:cs="Arial"/>
          <w:sz w:val="20"/>
          <w:szCs w:val="20"/>
        </w:rPr>
        <w:t xml:space="preserve"> by ATO arguments that “income” referred only to “ordinary income” and did not embrace “statutory income”</w:t>
      </w:r>
      <w:r w:rsidR="00CB7D74" w:rsidRPr="003B3A59">
        <w:rPr>
          <w:rFonts w:ascii="Arial" w:hAnsi="Arial" w:cs="Arial"/>
          <w:sz w:val="20"/>
          <w:szCs w:val="20"/>
        </w:rPr>
        <w:t xml:space="preserve"> (e.g., capital gains)</w:t>
      </w:r>
      <w:r w:rsidRPr="003B3A59">
        <w:rPr>
          <w:rFonts w:ascii="Arial" w:hAnsi="Arial" w:cs="Arial"/>
          <w:sz w:val="20"/>
          <w:szCs w:val="20"/>
        </w:rPr>
        <w:t>.</w:t>
      </w:r>
    </w:p>
    <w:p w:rsidR="00101462" w:rsidRDefault="00101462" w:rsidP="00860344">
      <w:pPr>
        <w:rPr>
          <w:rFonts w:ascii="Arial" w:hAnsi="Arial" w:cs="Arial"/>
          <w:sz w:val="20"/>
          <w:szCs w:val="20"/>
        </w:rPr>
      </w:pPr>
      <w:r>
        <w:rPr>
          <w:rFonts w:ascii="Arial" w:hAnsi="Arial" w:cs="Arial"/>
          <w:sz w:val="20"/>
          <w:szCs w:val="20"/>
        </w:rPr>
        <w:t>In my opinion, the prefatory wording could be given a sensible meaning in the context of the 1997 Act, if it was recognised that “income of the Trust Estate” meant both:</w:t>
      </w:r>
    </w:p>
    <w:p w:rsidR="00101462" w:rsidRDefault="00101462" w:rsidP="00101462">
      <w:pPr>
        <w:numPr>
          <w:ilvl w:val="0"/>
          <w:numId w:val="8"/>
        </w:numPr>
        <w:rPr>
          <w:rFonts w:ascii="Arial" w:hAnsi="Arial" w:cs="Arial"/>
          <w:sz w:val="20"/>
          <w:szCs w:val="20"/>
        </w:rPr>
      </w:pPr>
      <w:r>
        <w:rPr>
          <w:rFonts w:ascii="Arial" w:hAnsi="Arial" w:cs="Arial"/>
          <w:sz w:val="20"/>
          <w:szCs w:val="20"/>
        </w:rPr>
        <w:t>Assessable income (which includes ordinary and statutory income under section 6(1) of the 1997 Act); and</w:t>
      </w:r>
    </w:p>
    <w:p w:rsidR="00101462" w:rsidRDefault="00101462" w:rsidP="00101462">
      <w:pPr>
        <w:numPr>
          <w:ilvl w:val="0"/>
          <w:numId w:val="8"/>
        </w:numPr>
        <w:rPr>
          <w:rFonts w:ascii="Arial" w:hAnsi="Arial" w:cs="Arial"/>
          <w:sz w:val="20"/>
          <w:szCs w:val="20"/>
        </w:rPr>
      </w:pPr>
      <w:r>
        <w:rPr>
          <w:rFonts w:ascii="Arial" w:hAnsi="Arial" w:cs="Arial"/>
          <w:sz w:val="20"/>
          <w:szCs w:val="20"/>
        </w:rPr>
        <w:t>Exempt income (which is not assessable income under section 6(</w:t>
      </w:r>
      <w:r w:rsidR="00FC36BC">
        <w:rPr>
          <w:rFonts w:ascii="Arial" w:hAnsi="Arial" w:cs="Arial"/>
          <w:sz w:val="20"/>
          <w:szCs w:val="20"/>
        </w:rPr>
        <w:t>3</w:t>
      </w:r>
      <w:r>
        <w:rPr>
          <w:rFonts w:ascii="Arial" w:hAnsi="Arial" w:cs="Arial"/>
          <w:sz w:val="20"/>
          <w:szCs w:val="20"/>
        </w:rPr>
        <w:t>) of the 1997 Act).</w:t>
      </w:r>
    </w:p>
    <w:p w:rsidR="00101462" w:rsidRDefault="00101462" w:rsidP="00101462">
      <w:pPr>
        <w:rPr>
          <w:rFonts w:ascii="Arial" w:hAnsi="Arial" w:cs="Arial"/>
          <w:sz w:val="20"/>
          <w:szCs w:val="20"/>
        </w:rPr>
      </w:pPr>
      <w:r>
        <w:rPr>
          <w:rFonts w:ascii="Arial" w:hAnsi="Arial" w:cs="Arial"/>
          <w:sz w:val="20"/>
          <w:szCs w:val="20"/>
        </w:rPr>
        <w:t>In other words, it meant any type of income.</w:t>
      </w:r>
    </w:p>
    <w:p w:rsidR="00F75027" w:rsidRPr="003B3A59" w:rsidRDefault="00F75027" w:rsidP="00860344">
      <w:pPr>
        <w:rPr>
          <w:rFonts w:ascii="Arial" w:hAnsi="Arial" w:cs="Arial"/>
          <w:sz w:val="20"/>
          <w:szCs w:val="20"/>
        </w:rPr>
      </w:pPr>
    </w:p>
    <w:p w:rsidR="00BA6052" w:rsidRPr="003B3A59" w:rsidRDefault="008800BF">
      <w:pPr>
        <w:rPr>
          <w:rFonts w:ascii="Arial" w:hAnsi="Arial" w:cs="Arial"/>
          <w:b/>
          <w:sz w:val="24"/>
          <w:szCs w:val="24"/>
        </w:rPr>
      </w:pPr>
      <w:r>
        <w:rPr>
          <w:rFonts w:ascii="Arial" w:hAnsi="Arial" w:cs="Arial"/>
          <w:b/>
          <w:sz w:val="24"/>
          <w:szCs w:val="24"/>
        </w:rPr>
        <w:t xml:space="preserve">2. </w:t>
      </w:r>
      <w:r w:rsidR="00BA6052" w:rsidRPr="003B3A59">
        <w:rPr>
          <w:rFonts w:ascii="Arial" w:hAnsi="Arial" w:cs="Arial"/>
          <w:b/>
          <w:sz w:val="24"/>
          <w:szCs w:val="24"/>
        </w:rPr>
        <w:t>Primary Role of Prefatory Wording of Section 97(1)</w:t>
      </w:r>
    </w:p>
    <w:p w:rsidR="00CB7D74" w:rsidRPr="003B3A59" w:rsidRDefault="00CB7D74">
      <w:pPr>
        <w:rPr>
          <w:rFonts w:ascii="Arial" w:hAnsi="Arial" w:cs="Arial"/>
          <w:sz w:val="20"/>
          <w:szCs w:val="20"/>
        </w:rPr>
      </w:pPr>
      <w:r w:rsidRPr="003B3A59">
        <w:rPr>
          <w:rFonts w:ascii="Arial" w:hAnsi="Arial" w:cs="Arial"/>
          <w:sz w:val="20"/>
          <w:szCs w:val="20"/>
        </w:rPr>
        <w:t>I submit that t</w:t>
      </w:r>
      <w:r w:rsidR="00845E0A" w:rsidRPr="003B3A59">
        <w:rPr>
          <w:rFonts w:ascii="Arial" w:hAnsi="Arial" w:cs="Arial"/>
          <w:sz w:val="20"/>
          <w:szCs w:val="20"/>
        </w:rPr>
        <w:t>he primary role of th</w:t>
      </w:r>
      <w:r w:rsidRPr="003B3A59">
        <w:rPr>
          <w:rFonts w:ascii="Arial" w:hAnsi="Arial" w:cs="Arial"/>
          <w:sz w:val="20"/>
          <w:szCs w:val="20"/>
        </w:rPr>
        <w:t xml:space="preserve">e </w:t>
      </w:r>
      <w:r w:rsidR="008800BF" w:rsidRPr="003B3A59">
        <w:rPr>
          <w:rFonts w:ascii="Arial" w:hAnsi="Arial" w:cs="Arial"/>
          <w:sz w:val="20"/>
          <w:szCs w:val="20"/>
        </w:rPr>
        <w:t>prefatory wording</w:t>
      </w:r>
      <w:r w:rsidR="00845E0A" w:rsidRPr="003B3A59">
        <w:rPr>
          <w:rFonts w:ascii="Arial" w:hAnsi="Arial" w:cs="Arial"/>
          <w:sz w:val="20"/>
          <w:szCs w:val="20"/>
        </w:rPr>
        <w:t xml:space="preserve"> is to differentiate</w:t>
      </w:r>
      <w:r w:rsidR="00AE7CFD" w:rsidRPr="003B3A59">
        <w:rPr>
          <w:rFonts w:ascii="Arial" w:hAnsi="Arial" w:cs="Arial"/>
          <w:sz w:val="20"/>
          <w:szCs w:val="20"/>
        </w:rPr>
        <w:t xml:space="preserve"> between</w:t>
      </w:r>
      <w:r w:rsidRPr="003B3A59">
        <w:rPr>
          <w:rFonts w:ascii="Arial" w:hAnsi="Arial" w:cs="Arial"/>
          <w:sz w:val="20"/>
          <w:szCs w:val="20"/>
        </w:rPr>
        <w:t>:</w:t>
      </w:r>
      <w:r w:rsidR="00845E0A" w:rsidRPr="003B3A59">
        <w:rPr>
          <w:rFonts w:ascii="Arial" w:hAnsi="Arial" w:cs="Arial"/>
          <w:sz w:val="20"/>
          <w:szCs w:val="20"/>
        </w:rPr>
        <w:t xml:space="preserve"> </w:t>
      </w:r>
    </w:p>
    <w:p w:rsidR="00CB7D74" w:rsidRPr="003B3A59" w:rsidRDefault="00845E0A" w:rsidP="00CB7D74">
      <w:pPr>
        <w:numPr>
          <w:ilvl w:val="0"/>
          <w:numId w:val="2"/>
        </w:numPr>
        <w:rPr>
          <w:rFonts w:ascii="Arial" w:hAnsi="Arial" w:cs="Arial"/>
          <w:sz w:val="20"/>
          <w:szCs w:val="20"/>
        </w:rPr>
      </w:pPr>
      <w:r w:rsidRPr="003B3A59">
        <w:rPr>
          <w:rFonts w:ascii="Arial" w:hAnsi="Arial" w:cs="Arial"/>
          <w:sz w:val="20"/>
          <w:szCs w:val="20"/>
        </w:rPr>
        <w:t xml:space="preserve">the situations where section </w:t>
      </w:r>
      <w:r w:rsidR="00860344" w:rsidRPr="003B3A59">
        <w:rPr>
          <w:rFonts w:ascii="Arial" w:hAnsi="Arial" w:cs="Arial"/>
          <w:sz w:val="20"/>
          <w:szCs w:val="20"/>
        </w:rPr>
        <w:t xml:space="preserve">97 </w:t>
      </w:r>
      <w:r w:rsidRPr="003B3A59">
        <w:rPr>
          <w:rFonts w:ascii="Arial" w:hAnsi="Arial" w:cs="Arial"/>
          <w:sz w:val="20"/>
          <w:szCs w:val="20"/>
        </w:rPr>
        <w:t xml:space="preserve">applies </w:t>
      </w:r>
      <w:r w:rsidR="00860344" w:rsidRPr="003B3A59">
        <w:rPr>
          <w:rFonts w:ascii="Arial" w:hAnsi="Arial" w:cs="Arial"/>
          <w:sz w:val="20"/>
          <w:szCs w:val="20"/>
        </w:rPr>
        <w:t>(i.e., where the Beneficiary is assessable)</w:t>
      </w:r>
      <w:r w:rsidR="00AE7CFD" w:rsidRPr="003B3A59">
        <w:rPr>
          <w:rFonts w:ascii="Arial" w:hAnsi="Arial" w:cs="Arial"/>
          <w:sz w:val="20"/>
          <w:szCs w:val="20"/>
        </w:rPr>
        <w:t>;</w:t>
      </w:r>
      <w:r w:rsidR="00860344" w:rsidRPr="003B3A59">
        <w:rPr>
          <w:rFonts w:ascii="Arial" w:hAnsi="Arial" w:cs="Arial"/>
          <w:sz w:val="20"/>
          <w:szCs w:val="20"/>
        </w:rPr>
        <w:t xml:space="preserve"> </w:t>
      </w:r>
      <w:r w:rsidR="00AE7CFD" w:rsidRPr="003B3A59">
        <w:rPr>
          <w:rFonts w:ascii="Arial" w:hAnsi="Arial" w:cs="Arial"/>
          <w:sz w:val="20"/>
          <w:szCs w:val="20"/>
        </w:rPr>
        <w:t>and</w:t>
      </w:r>
      <w:r w:rsidRPr="003B3A59">
        <w:rPr>
          <w:rFonts w:ascii="Arial" w:hAnsi="Arial" w:cs="Arial"/>
          <w:sz w:val="20"/>
          <w:szCs w:val="20"/>
        </w:rPr>
        <w:t xml:space="preserve"> </w:t>
      </w:r>
    </w:p>
    <w:p w:rsidR="00845E0A" w:rsidRPr="003B3A59" w:rsidRDefault="00845E0A" w:rsidP="00CB7D74">
      <w:pPr>
        <w:numPr>
          <w:ilvl w:val="0"/>
          <w:numId w:val="2"/>
        </w:numPr>
        <w:rPr>
          <w:rFonts w:ascii="Arial" w:hAnsi="Arial" w:cs="Arial"/>
          <w:sz w:val="20"/>
          <w:szCs w:val="20"/>
        </w:rPr>
      </w:pPr>
      <w:r w:rsidRPr="003B3A59">
        <w:rPr>
          <w:rFonts w:ascii="Arial" w:hAnsi="Arial" w:cs="Arial"/>
          <w:sz w:val="20"/>
          <w:szCs w:val="20"/>
        </w:rPr>
        <w:t>the situations where section 9</w:t>
      </w:r>
      <w:r w:rsidR="00BA6052" w:rsidRPr="003B3A59">
        <w:rPr>
          <w:rFonts w:ascii="Arial" w:hAnsi="Arial" w:cs="Arial"/>
          <w:sz w:val="20"/>
          <w:szCs w:val="20"/>
        </w:rPr>
        <w:t>9 (and any other sections that make the Trustee liable)</w:t>
      </w:r>
      <w:r w:rsidRPr="003B3A59">
        <w:rPr>
          <w:rFonts w:ascii="Arial" w:hAnsi="Arial" w:cs="Arial"/>
          <w:sz w:val="20"/>
          <w:szCs w:val="20"/>
        </w:rPr>
        <w:t xml:space="preserve"> appl</w:t>
      </w:r>
      <w:r w:rsidR="00BA6052" w:rsidRPr="003B3A59">
        <w:rPr>
          <w:rFonts w:ascii="Arial" w:hAnsi="Arial" w:cs="Arial"/>
          <w:sz w:val="20"/>
          <w:szCs w:val="20"/>
        </w:rPr>
        <w:t>y</w:t>
      </w:r>
      <w:r w:rsidRPr="003B3A59">
        <w:rPr>
          <w:rFonts w:ascii="Arial" w:hAnsi="Arial" w:cs="Arial"/>
          <w:sz w:val="20"/>
          <w:szCs w:val="20"/>
        </w:rPr>
        <w:t>.</w:t>
      </w:r>
    </w:p>
    <w:p w:rsidR="00860344" w:rsidRDefault="00860344">
      <w:pPr>
        <w:rPr>
          <w:rFonts w:ascii="Arial" w:hAnsi="Arial" w:cs="Arial"/>
          <w:sz w:val="20"/>
          <w:szCs w:val="20"/>
        </w:rPr>
      </w:pPr>
      <w:r w:rsidRPr="003B3A59">
        <w:rPr>
          <w:rFonts w:ascii="Arial" w:hAnsi="Arial" w:cs="Arial"/>
          <w:sz w:val="20"/>
          <w:szCs w:val="20"/>
        </w:rPr>
        <w:t>Once it is accepted that the Beneficiary is liable (as opposed to the Trustee), then the substantive operative provisions would apply.</w:t>
      </w:r>
    </w:p>
    <w:p w:rsidR="00F75027" w:rsidRPr="003B3A59" w:rsidRDefault="00F75027">
      <w:pPr>
        <w:rPr>
          <w:rFonts w:ascii="Arial" w:hAnsi="Arial" w:cs="Arial"/>
          <w:sz w:val="20"/>
          <w:szCs w:val="20"/>
        </w:rPr>
      </w:pPr>
    </w:p>
    <w:p w:rsidR="00CB7D74" w:rsidRPr="003B3A59" w:rsidRDefault="008800BF">
      <w:pPr>
        <w:rPr>
          <w:rFonts w:ascii="Arial" w:hAnsi="Arial" w:cs="Arial"/>
          <w:b/>
          <w:sz w:val="24"/>
          <w:szCs w:val="24"/>
        </w:rPr>
      </w:pPr>
      <w:r>
        <w:rPr>
          <w:rFonts w:ascii="Arial" w:hAnsi="Arial" w:cs="Arial"/>
          <w:b/>
          <w:sz w:val="24"/>
          <w:szCs w:val="24"/>
        </w:rPr>
        <w:t xml:space="preserve">3. </w:t>
      </w:r>
      <w:r w:rsidR="00CB7D74" w:rsidRPr="003B3A59">
        <w:rPr>
          <w:rFonts w:ascii="Arial" w:hAnsi="Arial" w:cs="Arial"/>
          <w:b/>
          <w:sz w:val="24"/>
          <w:szCs w:val="24"/>
        </w:rPr>
        <w:t>Substantive Operative Provisions</w:t>
      </w:r>
    </w:p>
    <w:p w:rsidR="00860344" w:rsidRPr="003B3A59" w:rsidRDefault="00860344">
      <w:pPr>
        <w:rPr>
          <w:rFonts w:ascii="Arial" w:hAnsi="Arial" w:cs="Arial"/>
          <w:sz w:val="20"/>
          <w:szCs w:val="20"/>
        </w:rPr>
      </w:pPr>
      <w:r w:rsidRPr="003B3A59">
        <w:rPr>
          <w:rFonts w:ascii="Arial" w:hAnsi="Arial" w:cs="Arial"/>
          <w:sz w:val="20"/>
          <w:szCs w:val="20"/>
        </w:rPr>
        <w:t>The substantive operative provisions are actually quite common sense.</w:t>
      </w:r>
    </w:p>
    <w:p w:rsidR="00860344" w:rsidRPr="003B3A59" w:rsidRDefault="00860344">
      <w:pPr>
        <w:rPr>
          <w:rFonts w:ascii="Arial" w:hAnsi="Arial" w:cs="Arial"/>
          <w:sz w:val="20"/>
          <w:szCs w:val="20"/>
        </w:rPr>
      </w:pPr>
      <w:r w:rsidRPr="003B3A59">
        <w:rPr>
          <w:rFonts w:ascii="Arial" w:hAnsi="Arial" w:cs="Arial"/>
          <w:sz w:val="20"/>
          <w:szCs w:val="20"/>
        </w:rPr>
        <w:t xml:space="preserve">They basically establish a </w:t>
      </w:r>
      <w:r w:rsidR="0096573A" w:rsidRPr="003B3A59">
        <w:rPr>
          <w:rFonts w:ascii="Arial" w:hAnsi="Arial" w:cs="Arial"/>
          <w:sz w:val="20"/>
          <w:szCs w:val="20"/>
        </w:rPr>
        <w:t xml:space="preserve">logical and practical </w:t>
      </w:r>
      <w:r w:rsidRPr="003B3A59">
        <w:rPr>
          <w:rFonts w:ascii="Arial" w:hAnsi="Arial" w:cs="Arial"/>
          <w:sz w:val="20"/>
          <w:szCs w:val="20"/>
        </w:rPr>
        <w:t>system for dealing with the following subject matter “proportionately”:</w:t>
      </w:r>
    </w:p>
    <w:p w:rsidR="00860344" w:rsidRPr="003B3A59" w:rsidRDefault="00860344" w:rsidP="00860344">
      <w:pPr>
        <w:numPr>
          <w:ilvl w:val="0"/>
          <w:numId w:val="1"/>
        </w:numPr>
        <w:rPr>
          <w:rFonts w:ascii="Arial" w:hAnsi="Arial" w:cs="Arial"/>
          <w:sz w:val="20"/>
          <w:szCs w:val="20"/>
        </w:rPr>
      </w:pPr>
      <w:r w:rsidRPr="003B3A59">
        <w:rPr>
          <w:rFonts w:ascii="Arial" w:hAnsi="Arial" w:cs="Arial"/>
          <w:sz w:val="20"/>
          <w:szCs w:val="20"/>
        </w:rPr>
        <w:t>“assessable income”;</w:t>
      </w:r>
    </w:p>
    <w:p w:rsidR="00860344" w:rsidRPr="003B3A59" w:rsidRDefault="00860344" w:rsidP="00860344">
      <w:pPr>
        <w:numPr>
          <w:ilvl w:val="0"/>
          <w:numId w:val="1"/>
        </w:numPr>
        <w:rPr>
          <w:rFonts w:ascii="Arial" w:hAnsi="Arial" w:cs="Arial"/>
          <w:sz w:val="20"/>
          <w:szCs w:val="20"/>
        </w:rPr>
      </w:pPr>
      <w:r w:rsidRPr="003B3A59">
        <w:rPr>
          <w:rFonts w:ascii="Arial" w:hAnsi="Arial" w:cs="Arial"/>
          <w:sz w:val="20"/>
          <w:szCs w:val="20"/>
        </w:rPr>
        <w:t>“exempt income”; and</w:t>
      </w:r>
    </w:p>
    <w:p w:rsidR="00860344" w:rsidRPr="003B3A59" w:rsidRDefault="00860344" w:rsidP="00860344">
      <w:pPr>
        <w:numPr>
          <w:ilvl w:val="0"/>
          <w:numId w:val="1"/>
        </w:numPr>
        <w:rPr>
          <w:rFonts w:ascii="Arial" w:hAnsi="Arial" w:cs="Arial"/>
          <w:sz w:val="20"/>
          <w:szCs w:val="20"/>
        </w:rPr>
      </w:pPr>
      <w:r w:rsidRPr="003B3A59">
        <w:rPr>
          <w:rFonts w:ascii="Arial" w:hAnsi="Arial" w:cs="Arial"/>
          <w:sz w:val="20"/>
          <w:szCs w:val="20"/>
        </w:rPr>
        <w:t>“non-assessable non-exempt income”.</w:t>
      </w:r>
    </w:p>
    <w:p w:rsidR="00AE7CFD" w:rsidRPr="003B3A59" w:rsidRDefault="00AE7CFD" w:rsidP="00860344">
      <w:pPr>
        <w:rPr>
          <w:rFonts w:ascii="Arial" w:hAnsi="Arial" w:cs="Arial"/>
          <w:sz w:val="20"/>
          <w:szCs w:val="20"/>
        </w:rPr>
      </w:pPr>
      <w:r w:rsidRPr="003B3A59">
        <w:rPr>
          <w:rFonts w:ascii="Arial" w:hAnsi="Arial" w:cs="Arial"/>
          <w:sz w:val="20"/>
          <w:szCs w:val="20"/>
        </w:rPr>
        <w:t>The method of apportionment takes into account the period of residence of the Beneficiary and the source of the income.</w:t>
      </w:r>
    </w:p>
    <w:p w:rsidR="00860344" w:rsidRPr="003B3A59" w:rsidRDefault="00AE7CFD" w:rsidP="00860344">
      <w:pPr>
        <w:rPr>
          <w:rFonts w:ascii="Arial" w:hAnsi="Arial" w:cs="Arial"/>
          <w:sz w:val="20"/>
          <w:szCs w:val="20"/>
        </w:rPr>
      </w:pPr>
      <w:r w:rsidRPr="003B3A59">
        <w:rPr>
          <w:rFonts w:ascii="Arial" w:hAnsi="Arial" w:cs="Arial"/>
          <w:sz w:val="20"/>
          <w:szCs w:val="20"/>
        </w:rPr>
        <w:t>When these references are omitted, t</w:t>
      </w:r>
      <w:r w:rsidR="00CB7D74" w:rsidRPr="003B3A59">
        <w:rPr>
          <w:rFonts w:ascii="Arial" w:hAnsi="Arial" w:cs="Arial"/>
          <w:sz w:val="20"/>
          <w:szCs w:val="20"/>
        </w:rPr>
        <w:t xml:space="preserve">he relevant proportion is </w:t>
      </w:r>
      <w:r w:rsidR="0096573A" w:rsidRPr="003B3A59">
        <w:rPr>
          <w:rFonts w:ascii="Arial" w:hAnsi="Arial" w:cs="Arial"/>
          <w:sz w:val="20"/>
          <w:szCs w:val="20"/>
        </w:rPr>
        <w:t>“the individual interest</w:t>
      </w:r>
      <w:r w:rsidRPr="003B3A59">
        <w:rPr>
          <w:rFonts w:ascii="Arial" w:hAnsi="Arial" w:cs="Arial"/>
          <w:sz w:val="20"/>
          <w:szCs w:val="20"/>
        </w:rPr>
        <w:t xml:space="preserve"> of the Beneficiary</w:t>
      </w:r>
      <w:r w:rsidR="0096573A" w:rsidRPr="003B3A59">
        <w:rPr>
          <w:rFonts w:ascii="Arial" w:hAnsi="Arial" w:cs="Arial"/>
          <w:sz w:val="20"/>
          <w:szCs w:val="20"/>
        </w:rPr>
        <w:t>”</w:t>
      </w:r>
      <w:r w:rsidRPr="003B3A59">
        <w:rPr>
          <w:rFonts w:ascii="Arial" w:hAnsi="Arial" w:cs="Arial"/>
          <w:sz w:val="20"/>
          <w:szCs w:val="20"/>
        </w:rPr>
        <w:t>.</w:t>
      </w:r>
    </w:p>
    <w:p w:rsidR="00AE7CFD" w:rsidRDefault="00AE7CFD" w:rsidP="00860344">
      <w:pPr>
        <w:rPr>
          <w:rFonts w:ascii="Arial" w:hAnsi="Arial" w:cs="Arial"/>
          <w:sz w:val="20"/>
          <w:szCs w:val="20"/>
        </w:rPr>
      </w:pPr>
      <w:r w:rsidRPr="003B3A59">
        <w:rPr>
          <w:rFonts w:ascii="Arial" w:hAnsi="Arial" w:cs="Arial"/>
          <w:sz w:val="20"/>
          <w:szCs w:val="20"/>
        </w:rPr>
        <w:t xml:space="preserve">It is submitted that this interest should reflect the </w:t>
      </w:r>
      <w:r w:rsidR="00775917">
        <w:rPr>
          <w:rFonts w:ascii="Arial" w:hAnsi="Arial" w:cs="Arial"/>
          <w:sz w:val="20"/>
          <w:szCs w:val="20"/>
        </w:rPr>
        <w:t xml:space="preserve">actual </w:t>
      </w:r>
      <w:r w:rsidRPr="003B3A59">
        <w:rPr>
          <w:rFonts w:ascii="Arial" w:hAnsi="Arial" w:cs="Arial"/>
          <w:sz w:val="20"/>
          <w:szCs w:val="20"/>
        </w:rPr>
        <w:t>amount distributed or deemed to be distributed to the Beneficiary.</w:t>
      </w:r>
    </w:p>
    <w:p w:rsidR="00F75027" w:rsidRPr="003B3A59" w:rsidRDefault="00F75027" w:rsidP="00860344">
      <w:pPr>
        <w:rPr>
          <w:rFonts w:ascii="Arial" w:hAnsi="Arial" w:cs="Arial"/>
          <w:sz w:val="20"/>
          <w:szCs w:val="20"/>
        </w:rPr>
      </w:pPr>
    </w:p>
    <w:p w:rsidR="00AE7CFD" w:rsidRPr="003B3A59" w:rsidRDefault="008800BF" w:rsidP="00860344">
      <w:pPr>
        <w:rPr>
          <w:rFonts w:ascii="Arial" w:hAnsi="Arial" w:cs="Arial"/>
          <w:b/>
          <w:sz w:val="24"/>
          <w:szCs w:val="24"/>
        </w:rPr>
      </w:pPr>
      <w:r>
        <w:rPr>
          <w:rFonts w:ascii="Arial" w:hAnsi="Arial" w:cs="Arial"/>
          <w:b/>
          <w:sz w:val="24"/>
          <w:szCs w:val="24"/>
        </w:rPr>
        <w:t xml:space="preserve">4. </w:t>
      </w:r>
      <w:r w:rsidR="00AE7CFD" w:rsidRPr="003B3A59">
        <w:rPr>
          <w:rFonts w:ascii="Arial" w:hAnsi="Arial" w:cs="Arial"/>
          <w:b/>
          <w:sz w:val="24"/>
          <w:szCs w:val="24"/>
        </w:rPr>
        <w:t>Proposed Amendment of Prefatory Wording</w:t>
      </w:r>
    </w:p>
    <w:p w:rsidR="00BA6052" w:rsidRPr="003B3A59" w:rsidRDefault="00BA6052">
      <w:pPr>
        <w:rPr>
          <w:rFonts w:ascii="Arial" w:hAnsi="Arial" w:cs="Arial"/>
          <w:sz w:val="20"/>
          <w:szCs w:val="20"/>
        </w:rPr>
      </w:pPr>
      <w:r w:rsidRPr="003B3A59">
        <w:rPr>
          <w:rFonts w:ascii="Arial" w:hAnsi="Arial" w:cs="Arial"/>
          <w:sz w:val="20"/>
          <w:szCs w:val="20"/>
        </w:rPr>
        <w:t>It is submitted that th</w:t>
      </w:r>
      <w:r w:rsidR="00AE7CFD" w:rsidRPr="003B3A59">
        <w:rPr>
          <w:rFonts w:ascii="Arial" w:hAnsi="Arial" w:cs="Arial"/>
          <w:sz w:val="20"/>
          <w:szCs w:val="20"/>
        </w:rPr>
        <w:t>e</w:t>
      </w:r>
      <w:r w:rsidRPr="003B3A59">
        <w:rPr>
          <w:rFonts w:ascii="Arial" w:hAnsi="Arial" w:cs="Arial"/>
          <w:sz w:val="20"/>
          <w:szCs w:val="20"/>
        </w:rPr>
        <w:t xml:space="preserve"> </w:t>
      </w:r>
      <w:r w:rsidR="00AE7CFD" w:rsidRPr="003B3A59">
        <w:rPr>
          <w:rFonts w:ascii="Arial" w:hAnsi="Arial" w:cs="Arial"/>
          <w:sz w:val="20"/>
          <w:szCs w:val="20"/>
        </w:rPr>
        <w:t xml:space="preserve">intended </w:t>
      </w:r>
      <w:r w:rsidRPr="003B3A59">
        <w:rPr>
          <w:rFonts w:ascii="Arial" w:hAnsi="Arial" w:cs="Arial"/>
          <w:sz w:val="20"/>
          <w:szCs w:val="20"/>
        </w:rPr>
        <w:t xml:space="preserve">role </w:t>
      </w:r>
      <w:r w:rsidR="00AE7CFD" w:rsidRPr="003B3A59">
        <w:rPr>
          <w:rFonts w:ascii="Arial" w:hAnsi="Arial" w:cs="Arial"/>
          <w:sz w:val="20"/>
          <w:szCs w:val="20"/>
        </w:rPr>
        <w:t xml:space="preserve">of the prefatory wording </w:t>
      </w:r>
      <w:r w:rsidRPr="003B3A59">
        <w:rPr>
          <w:rFonts w:ascii="Arial" w:hAnsi="Arial" w:cs="Arial"/>
          <w:sz w:val="20"/>
          <w:szCs w:val="20"/>
        </w:rPr>
        <w:t>could be performed by adopting words that are neutral about the quantity or quantification of the amount or share or interest of the individual Beneficiary</w:t>
      </w:r>
      <w:r w:rsidR="00986012" w:rsidRPr="003B3A59">
        <w:rPr>
          <w:rFonts w:ascii="Arial" w:hAnsi="Arial" w:cs="Arial"/>
          <w:sz w:val="20"/>
          <w:szCs w:val="20"/>
        </w:rPr>
        <w:t>, e.g.,</w:t>
      </w:r>
      <w:r w:rsidRPr="003B3A59">
        <w:rPr>
          <w:rFonts w:ascii="Arial" w:hAnsi="Arial" w:cs="Arial"/>
          <w:sz w:val="20"/>
          <w:szCs w:val="20"/>
        </w:rPr>
        <w:t>:</w:t>
      </w:r>
    </w:p>
    <w:p w:rsidR="00BA6052" w:rsidRPr="003B3A59" w:rsidRDefault="00BA6052" w:rsidP="00BA6052">
      <w:pPr>
        <w:ind w:left="720"/>
        <w:rPr>
          <w:rFonts w:ascii="Arial" w:hAnsi="Arial" w:cs="Arial"/>
          <w:b/>
          <w:i/>
          <w:color w:val="FF0000"/>
          <w:sz w:val="20"/>
          <w:szCs w:val="20"/>
        </w:rPr>
      </w:pPr>
      <w:r w:rsidRPr="00C32644">
        <w:rPr>
          <w:rFonts w:ascii="Arial" w:hAnsi="Arial" w:cs="Arial"/>
          <w:b/>
          <w:i/>
          <w:sz w:val="20"/>
          <w:szCs w:val="20"/>
        </w:rPr>
        <w:t xml:space="preserve">“where a beneficiary of a </w:t>
      </w:r>
      <w:r w:rsidR="00C66172">
        <w:rPr>
          <w:rFonts w:ascii="Arial" w:hAnsi="Arial" w:cs="Arial"/>
          <w:b/>
          <w:i/>
          <w:sz w:val="20"/>
          <w:szCs w:val="20"/>
        </w:rPr>
        <w:t>Trust Estate</w:t>
      </w:r>
      <w:r w:rsidRPr="00C32644">
        <w:rPr>
          <w:rFonts w:ascii="Arial" w:hAnsi="Arial" w:cs="Arial"/>
          <w:b/>
          <w:i/>
          <w:sz w:val="20"/>
          <w:szCs w:val="20"/>
        </w:rPr>
        <w:t xml:space="preserve"> who is not under any legal disability is presently entitled to</w:t>
      </w:r>
      <w:r w:rsidRPr="003B3A59">
        <w:rPr>
          <w:rFonts w:ascii="Arial" w:hAnsi="Arial" w:cs="Arial"/>
          <w:b/>
          <w:i/>
          <w:color w:val="FF0000"/>
          <w:sz w:val="20"/>
          <w:szCs w:val="20"/>
        </w:rPr>
        <w:t xml:space="preserve"> any of the </w:t>
      </w:r>
      <w:r w:rsidR="00E36DDD">
        <w:rPr>
          <w:rFonts w:ascii="Arial" w:hAnsi="Arial" w:cs="Arial"/>
          <w:b/>
          <w:i/>
          <w:color w:val="FF0000"/>
          <w:sz w:val="20"/>
          <w:szCs w:val="20"/>
        </w:rPr>
        <w:t>assessable or exempt</w:t>
      </w:r>
      <w:r w:rsidR="00AE7CFD" w:rsidRPr="003B3A59">
        <w:rPr>
          <w:rFonts w:ascii="Arial" w:hAnsi="Arial" w:cs="Arial"/>
          <w:b/>
          <w:i/>
          <w:color w:val="FF0000"/>
          <w:sz w:val="20"/>
          <w:szCs w:val="20"/>
        </w:rPr>
        <w:t xml:space="preserve"> </w:t>
      </w:r>
      <w:r w:rsidRPr="003B3A59">
        <w:rPr>
          <w:rFonts w:ascii="Arial" w:hAnsi="Arial" w:cs="Arial"/>
          <w:b/>
          <w:i/>
          <w:color w:val="FF0000"/>
          <w:sz w:val="20"/>
          <w:szCs w:val="20"/>
        </w:rPr>
        <w:t xml:space="preserve">income of the </w:t>
      </w:r>
      <w:r w:rsidR="00C66172">
        <w:rPr>
          <w:rFonts w:ascii="Arial" w:hAnsi="Arial" w:cs="Arial"/>
          <w:b/>
          <w:i/>
          <w:color w:val="FF0000"/>
          <w:sz w:val="20"/>
          <w:szCs w:val="20"/>
        </w:rPr>
        <w:t>Trust Estate</w:t>
      </w:r>
      <w:r w:rsidRPr="003B3A59">
        <w:rPr>
          <w:rFonts w:ascii="Arial" w:hAnsi="Arial" w:cs="Arial"/>
          <w:b/>
          <w:i/>
          <w:color w:val="FF0000"/>
          <w:sz w:val="20"/>
          <w:szCs w:val="20"/>
        </w:rPr>
        <w:t>”</w:t>
      </w:r>
      <w:r w:rsidR="00731634" w:rsidRPr="003B3A59">
        <w:rPr>
          <w:rFonts w:ascii="Arial" w:hAnsi="Arial" w:cs="Arial"/>
          <w:b/>
          <w:i/>
          <w:color w:val="FF0000"/>
          <w:sz w:val="20"/>
          <w:szCs w:val="20"/>
        </w:rPr>
        <w:t>.</w:t>
      </w:r>
    </w:p>
    <w:p w:rsidR="00E36DDD" w:rsidRPr="00AD416F" w:rsidRDefault="00AD416F" w:rsidP="00731634">
      <w:pPr>
        <w:rPr>
          <w:rFonts w:ascii="Arial" w:hAnsi="Arial" w:cs="Arial"/>
          <w:b/>
          <w:sz w:val="20"/>
          <w:szCs w:val="20"/>
        </w:rPr>
      </w:pPr>
      <w:r w:rsidRPr="00AD416F">
        <w:rPr>
          <w:rFonts w:ascii="Arial" w:hAnsi="Arial" w:cs="Arial"/>
          <w:b/>
          <w:sz w:val="20"/>
          <w:szCs w:val="20"/>
        </w:rPr>
        <w:t>4.1 “Assessable Income”</w:t>
      </w:r>
    </w:p>
    <w:p w:rsidR="00E36DDD" w:rsidRDefault="00E36DDD" w:rsidP="00731634">
      <w:pPr>
        <w:rPr>
          <w:rFonts w:ascii="Arial" w:hAnsi="Arial" w:cs="Arial"/>
          <w:sz w:val="20"/>
          <w:szCs w:val="20"/>
        </w:rPr>
      </w:pPr>
      <w:r>
        <w:rPr>
          <w:rFonts w:ascii="Arial" w:hAnsi="Arial" w:cs="Arial"/>
          <w:sz w:val="20"/>
          <w:szCs w:val="20"/>
        </w:rPr>
        <w:t>Please note that I have referred to “assessable income”, because under section 6(1) of the 1997 Act, it incorporates both:</w:t>
      </w:r>
    </w:p>
    <w:p w:rsidR="00E36DDD" w:rsidRDefault="00E36DDD" w:rsidP="00E36DDD">
      <w:pPr>
        <w:numPr>
          <w:ilvl w:val="0"/>
          <w:numId w:val="7"/>
        </w:numPr>
        <w:rPr>
          <w:rFonts w:ascii="Arial" w:hAnsi="Arial" w:cs="Arial"/>
          <w:sz w:val="20"/>
          <w:szCs w:val="20"/>
        </w:rPr>
      </w:pPr>
      <w:r>
        <w:rPr>
          <w:rFonts w:ascii="Arial" w:hAnsi="Arial" w:cs="Arial"/>
          <w:sz w:val="20"/>
          <w:szCs w:val="20"/>
        </w:rPr>
        <w:t>“Ordinary income”; and</w:t>
      </w:r>
    </w:p>
    <w:p w:rsidR="00E36DDD" w:rsidRDefault="00E36DDD" w:rsidP="00E36DDD">
      <w:pPr>
        <w:numPr>
          <w:ilvl w:val="0"/>
          <w:numId w:val="7"/>
        </w:numPr>
        <w:rPr>
          <w:rFonts w:ascii="Arial" w:hAnsi="Arial" w:cs="Arial"/>
          <w:sz w:val="20"/>
          <w:szCs w:val="20"/>
        </w:rPr>
      </w:pPr>
      <w:r>
        <w:rPr>
          <w:rFonts w:ascii="Arial" w:hAnsi="Arial" w:cs="Arial"/>
          <w:sz w:val="20"/>
          <w:szCs w:val="20"/>
        </w:rPr>
        <w:t>“Statutory income”.</w:t>
      </w:r>
    </w:p>
    <w:p w:rsidR="00AD416F" w:rsidRPr="00AD416F" w:rsidRDefault="00AD416F" w:rsidP="00E36DDD">
      <w:pPr>
        <w:rPr>
          <w:rFonts w:ascii="Arial" w:hAnsi="Arial" w:cs="Arial"/>
          <w:b/>
          <w:sz w:val="20"/>
          <w:szCs w:val="20"/>
        </w:rPr>
      </w:pPr>
      <w:r w:rsidRPr="00AD416F">
        <w:rPr>
          <w:rFonts w:ascii="Arial" w:hAnsi="Arial" w:cs="Arial"/>
          <w:b/>
          <w:sz w:val="20"/>
          <w:szCs w:val="20"/>
        </w:rPr>
        <w:t>4.2 “Exempt Income”</w:t>
      </w:r>
    </w:p>
    <w:p w:rsidR="00E36DDD" w:rsidRDefault="00E36DDD" w:rsidP="00E36DDD">
      <w:pPr>
        <w:rPr>
          <w:rFonts w:ascii="Arial" w:hAnsi="Arial" w:cs="Arial"/>
          <w:sz w:val="20"/>
          <w:szCs w:val="20"/>
        </w:rPr>
      </w:pPr>
      <w:r>
        <w:rPr>
          <w:rFonts w:ascii="Arial" w:hAnsi="Arial" w:cs="Arial"/>
          <w:sz w:val="20"/>
          <w:szCs w:val="20"/>
        </w:rPr>
        <w:t>I have included “exempt income”, because under section 6(3) of the 1997 Act it does not form part of “assessable income”.</w:t>
      </w:r>
    </w:p>
    <w:p w:rsidR="00E36DDD" w:rsidRDefault="00E36DDD" w:rsidP="00E36DDD">
      <w:pPr>
        <w:rPr>
          <w:rFonts w:ascii="Arial" w:hAnsi="Arial" w:cs="Arial"/>
          <w:sz w:val="20"/>
          <w:szCs w:val="20"/>
        </w:rPr>
      </w:pPr>
      <w:r>
        <w:rPr>
          <w:rFonts w:ascii="Arial" w:hAnsi="Arial" w:cs="Arial"/>
          <w:sz w:val="20"/>
          <w:szCs w:val="20"/>
        </w:rPr>
        <w:t xml:space="preserve">The purpose of this distinction is to establish that, if the only income of the </w:t>
      </w:r>
      <w:r w:rsidR="00C66172">
        <w:rPr>
          <w:rFonts w:ascii="Arial" w:hAnsi="Arial" w:cs="Arial"/>
          <w:sz w:val="20"/>
          <w:szCs w:val="20"/>
        </w:rPr>
        <w:t>Trust Estate</w:t>
      </w:r>
      <w:r>
        <w:rPr>
          <w:rFonts w:ascii="Arial" w:hAnsi="Arial" w:cs="Arial"/>
          <w:sz w:val="20"/>
          <w:szCs w:val="20"/>
        </w:rPr>
        <w:t xml:space="preserve"> is exempt income, the operative provisions will </w:t>
      </w:r>
      <w:r w:rsidR="004805E2">
        <w:rPr>
          <w:rFonts w:ascii="Arial" w:hAnsi="Arial" w:cs="Arial"/>
          <w:sz w:val="20"/>
          <w:szCs w:val="20"/>
        </w:rPr>
        <w:t xml:space="preserve">still </w:t>
      </w:r>
      <w:r>
        <w:rPr>
          <w:rFonts w:ascii="Arial" w:hAnsi="Arial" w:cs="Arial"/>
          <w:sz w:val="20"/>
          <w:szCs w:val="20"/>
        </w:rPr>
        <w:t>apply.</w:t>
      </w:r>
    </w:p>
    <w:p w:rsidR="00E36DDD" w:rsidRDefault="00E36DDD" w:rsidP="00E36DDD">
      <w:pPr>
        <w:rPr>
          <w:rFonts w:ascii="Arial" w:hAnsi="Arial" w:cs="Arial"/>
          <w:sz w:val="20"/>
          <w:szCs w:val="20"/>
        </w:rPr>
      </w:pPr>
      <w:r>
        <w:rPr>
          <w:rFonts w:ascii="Arial" w:hAnsi="Arial" w:cs="Arial"/>
          <w:sz w:val="20"/>
          <w:szCs w:val="20"/>
        </w:rPr>
        <w:t>In particular, section 97(1)(b) would extend the exemption to the Beneficiary, even though there was no other assessable income (i.e., even though there w</w:t>
      </w:r>
      <w:r w:rsidR="00AD416F">
        <w:rPr>
          <w:rFonts w:ascii="Arial" w:hAnsi="Arial" w:cs="Arial"/>
          <w:sz w:val="20"/>
          <w:szCs w:val="20"/>
        </w:rPr>
        <w:t>a</w:t>
      </w:r>
      <w:r>
        <w:rPr>
          <w:rFonts w:ascii="Arial" w:hAnsi="Arial" w:cs="Arial"/>
          <w:sz w:val="20"/>
          <w:szCs w:val="20"/>
        </w:rPr>
        <w:t>s no other ordinary or statutory income).</w:t>
      </w:r>
    </w:p>
    <w:p w:rsidR="004805E2" w:rsidRDefault="004805E2" w:rsidP="00E36DDD">
      <w:pPr>
        <w:rPr>
          <w:rFonts w:ascii="Arial" w:hAnsi="Arial" w:cs="Arial"/>
          <w:sz w:val="20"/>
          <w:szCs w:val="20"/>
        </w:rPr>
      </w:pPr>
      <w:r>
        <w:rPr>
          <w:rFonts w:ascii="Arial" w:hAnsi="Arial" w:cs="Arial"/>
          <w:sz w:val="20"/>
          <w:szCs w:val="20"/>
        </w:rPr>
        <w:t xml:space="preserve">Currently, if the only income of the Trust </w:t>
      </w:r>
      <w:r w:rsidR="00080DB4">
        <w:rPr>
          <w:rFonts w:ascii="Arial" w:hAnsi="Arial" w:cs="Arial"/>
          <w:sz w:val="20"/>
          <w:szCs w:val="20"/>
        </w:rPr>
        <w:t>E</w:t>
      </w:r>
      <w:r>
        <w:rPr>
          <w:rFonts w:ascii="Arial" w:hAnsi="Arial" w:cs="Arial"/>
          <w:sz w:val="20"/>
          <w:szCs w:val="20"/>
        </w:rPr>
        <w:t xml:space="preserve">state was exempt income, there is an argument that: </w:t>
      </w:r>
    </w:p>
    <w:p w:rsidR="004805E2" w:rsidRDefault="004805E2" w:rsidP="004805E2">
      <w:pPr>
        <w:numPr>
          <w:ilvl w:val="0"/>
          <w:numId w:val="9"/>
        </w:numPr>
        <w:rPr>
          <w:rFonts w:ascii="Arial" w:hAnsi="Arial" w:cs="Arial"/>
          <w:sz w:val="20"/>
          <w:szCs w:val="20"/>
        </w:rPr>
      </w:pPr>
      <w:r>
        <w:rPr>
          <w:rFonts w:ascii="Arial" w:hAnsi="Arial" w:cs="Arial"/>
          <w:sz w:val="20"/>
          <w:szCs w:val="20"/>
        </w:rPr>
        <w:t>section 97 does not apply</w:t>
      </w:r>
      <w:r w:rsidR="00080DB4">
        <w:rPr>
          <w:rFonts w:ascii="Arial" w:hAnsi="Arial" w:cs="Arial"/>
          <w:sz w:val="20"/>
          <w:szCs w:val="20"/>
        </w:rPr>
        <w:t xml:space="preserve"> (because the terms of the prefatory wording have not been satisfied)</w:t>
      </w:r>
      <w:r>
        <w:rPr>
          <w:rFonts w:ascii="Arial" w:hAnsi="Arial" w:cs="Arial"/>
          <w:sz w:val="20"/>
          <w:szCs w:val="20"/>
        </w:rPr>
        <w:t>; and</w:t>
      </w:r>
    </w:p>
    <w:p w:rsidR="004805E2" w:rsidRDefault="004805E2" w:rsidP="004805E2">
      <w:pPr>
        <w:numPr>
          <w:ilvl w:val="0"/>
          <w:numId w:val="9"/>
        </w:numPr>
        <w:rPr>
          <w:rFonts w:ascii="Arial" w:hAnsi="Arial" w:cs="Arial"/>
          <w:sz w:val="20"/>
          <w:szCs w:val="20"/>
        </w:rPr>
      </w:pPr>
      <w:r>
        <w:rPr>
          <w:rFonts w:ascii="Arial" w:hAnsi="Arial" w:cs="Arial"/>
          <w:sz w:val="20"/>
          <w:szCs w:val="20"/>
        </w:rPr>
        <w:t xml:space="preserve">section 97(1)(b) does not pass the exemption </w:t>
      </w:r>
      <w:r w:rsidR="000C424F">
        <w:rPr>
          <w:rFonts w:ascii="Arial" w:hAnsi="Arial" w:cs="Arial"/>
          <w:sz w:val="20"/>
          <w:szCs w:val="20"/>
        </w:rPr>
        <w:t xml:space="preserve">on </w:t>
      </w:r>
      <w:r>
        <w:rPr>
          <w:rFonts w:ascii="Arial" w:hAnsi="Arial" w:cs="Arial"/>
          <w:sz w:val="20"/>
          <w:szCs w:val="20"/>
        </w:rPr>
        <w:t>to the Beneficiary.</w:t>
      </w:r>
    </w:p>
    <w:p w:rsidR="00AD416F" w:rsidRPr="00AD416F" w:rsidRDefault="00AD416F" w:rsidP="00E36DDD">
      <w:pPr>
        <w:rPr>
          <w:rFonts w:ascii="Arial" w:hAnsi="Arial" w:cs="Arial"/>
          <w:b/>
          <w:sz w:val="20"/>
          <w:szCs w:val="20"/>
        </w:rPr>
      </w:pPr>
      <w:r w:rsidRPr="00AD416F">
        <w:rPr>
          <w:rFonts w:ascii="Arial" w:hAnsi="Arial" w:cs="Arial"/>
          <w:b/>
          <w:sz w:val="20"/>
          <w:szCs w:val="20"/>
        </w:rPr>
        <w:t>4.3 Operative Provisions</w:t>
      </w:r>
    </w:p>
    <w:p w:rsidR="00731634" w:rsidRPr="003B3A59" w:rsidRDefault="00731634" w:rsidP="00731634">
      <w:pPr>
        <w:rPr>
          <w:rFonts w:ascii="Arial" w:hAnsi="Arial" w:cs="Arial"/>
          <w:sz w:val="20"/>
          <w:szCs w:val="20"/>
        </w:rPr>
      </w:pPr>
      <w:r w:rsidRPr="003B3A59">
        <w:rPr>
          <w:rFonts w:ascii="Arial" w:hAnsi="Arial" w:cs="Arial"/>
          <w:sz w:val="20"/>
          <w:szCs w:val="20"/>
        </w:rPr>
        <w:t>Once this prefatory wording is satisfied, paragraphs (a), (b) and (c) will apply to the Beneficiary.</w:t>
      </w:r>
    </w:p>
    <w:p w:rsidR="00941911" w:rsidRPr="003B3A59" w:rsidRDefault="00941911" w:rsidP="00731634">
      <w:pPr>
        <w:rPr>
          <w:rFonts w:ascii="Arial" w:hAnsi="Arial" w:cs="Arial"/>
          <w:sz w:val="20"/>
          <w:szCs w:val="20"/>
        </w:rPr>
      </w:pPr>
      <w:r w:rsidRPr="003B3A59">
        <w:rPr>
          <w:rFonts w:ascii="Arial" w:hAnsi="Arial" w:cs="Arial"/>
          <w:sz w:val="20"/>
          <w:szCs w:val="20"/>
        </w:rPr>
        <w:t>This makes it clear that the amount of the share or interest is irrelevant to the operation of the subsequent paragraphs.</w:t>
      </w:r>
    </w:p>
    <w:p w:rsidR="0055153F" w:rsidRPr="003B3A59" w:rsidRDefault="00CE1B04" w:rsidP="00731634">
      <w:pPr>
        <w:rPr>
          <w:rFonts w:ascii="Arial" w:hAnsi="Arial" w:cs="Arial"/>
          <w:sz w:val="20"/>
          <w:szCs w:val="20"/>
        </w:rPr>
      </w:pPr>
      <w:r w:rsidRPr="003B3A59">
        <w:rPr>
          <w:rFonts w:ascii="Arial" w:hAnsi="Arial" w:cs="Arial"/>
          <w:sz w:val="20"/>
          <w:szCs w:val="20"/>
        </w:rPr>
        <w:t>This simple amendment removes the distinction between</w:t>
      </w:r>
      <w:r w:rsidR="0055153F" w:rsidRPr="003B3A59">
        <w:rPr>
          <w:rFonts w:ascii="Arial" w:hAnsi="Arial" w:cs="Arial"/>
          <w:sz w:val="20"/>
          <w:szCs w:val="20"/>
        </w:rPr>
        <w:t>:</w:t>
      </w:r>
      <w:r w:rsidRPr="003B3A59">
        <w:rPr>
          <w:rFonts w:ascii="Arial" w:hAnsi="Arial" w:cs="Arial"/>
          <w:sz w:val="20"/>
          <w:szCs w:val="20"/>
        </w:rPr>
        <w:t xml:space="preserve"> </w:t>
      </w:r>
    </w:p>
    <w:p w:rsidR="0055153F" w:rsidRPr="003B3A59" w:rsidRDefault="00CE1B04" w:rsidP="0055153F">
      <w:pPr>
        <w:numPr>
          <w:ilvl w:val="0"/>
          <w:numId w:val="4"/>
        </w:numPr>
        <w:rPr>
          <w:rFonts w:ascii="Arial" w:hAnsi="Arial" w:cs="Arial"/>
          <w:sz w:val="20"/>
          <w:szCs w:val="20"/>
        </w:rPr>
      </w:pPr>
      <w:r w:rsidRPr="003B3A59">
        <w:rPr>
          <w:rFonts w:ascii="Arial" w:hAnsi="Arial" w:cs="Arial"/>
          <w:sz w:val="20"/>
          <w:szCs w:val="20"/>
        </w:rPr>
        <w:t>“distributable income”</w:t>
      </w:r>
      <w:r w:rsidR="0055153F" w:rsidRPr="003B3A59">
        <w:rPr>
          <w:rFonts w:ascii="Arial" w:hAnsi="Arial" w:cs="Arial"/>
          <w:sz w:val="20"/>
          <w:szCs w:val="20"/>
        </w:rPr>
        <w:t>;</w:t>
      </w:r>
      <w:r w:rsidRPr="003B3A59">
        <w:rPr>
          <w:rFonts w:ascii="Arial" w:hAnsi="Arial" w:cs="Arial"/>
          <w:sz w:val="20"/>
          <w:szCs w:val="20"/>
        </w:rPr>
        <w:t xml:space="preserve"> and </w:t>
      </w:r>
    </w:p>
    <w:p w:rsidR="00CE1B04" w:rsidRPr="003B3A59" w:rsidRDefault="00CE1B04" w:rsidP="0055153F">
      <w:pPr>
        <w:numPr>
          <w:ilvl w:val="0"/>
          <w:numId w:val="4"/>
        </w:numPr>
        <w:rPr>
          <w:rFonts w:ascii="Arial" w:hAnsi="Arial" w:cs="Arial"/>
          <w:sz w:val="20"/>
          <w:szCs w:val="20"/>
        </w:rPr>
      </w:pPr>
      <w:r w:rsidRPr="003B3A59">
        <w:rPr>
          <w:rFonts w:ascii="Arial" w:hAnsi="Arial" w:cs="Arial"/>
          <w:sz w:val="20"/>
          <w:szCs w:val="20"/>
        </w:rPr>
        <w:t>“assessable income”</w:t>
      </w:r>
      <w:r w:rsidR="0055153F" w:rsidRPr="003B3A59">
        <w:rPr>
          <w:rFonts w:ascii="Arial" w:hAnsi="Arial" w:cs="Arial"/>
          <w:sz w:val="20"/>
          <w:szCs w:val="20"/>
        </w:rPr>
        <w:t xml:space="preserve"> or “taxable income”.</w:t>
      </w:r>
    </w:p>
    <w:p w:rsidR="0055153F" w:rsidRPr="003B3A59" w:rsidRDefault="0055153F" w:rsidP="0055153F">
      <w:pPr>
        <w:rPr>
          <w:rFonts w:ascii="Arial" w:hAnsi="Arial" w:cs="Arial"/>
          <w:sz w:val="20"/>
          <w:szCs w:val="20"/>
        </w:rPr>
      </w:pPr>
      <w:r w:rsidRPr="003B3A59">
        <w:rPr>
          <w:rFonts w:ascii="Arial" w:hAnsi="Arial" w:cs="Arial"/>
          <w:sz w:val="20"/>
          <w:szCs w:val="20"/>
        </w:rPr>
        <w:t>This distinction is and always has been a red herring.</w:t>
      </w:r>
    </w:p>
    <w:p w:rsidR="0055153F" w:rsidRDefault="0055153F" w:rsidP="0055153F">
      <w:pPr>
        <w:rPr>
          <w:rFonts w:ascii="Arial" w:hAnsi="Arial" w:cs="Arial"/>
          <w:sz w:val="20"/>
          <w:szCs w:val="20"/>
        </w:rPr>
      </w:pPr>
      <w:r w:rsidRPr="003B3A59">
        <w:rPr>
          <w:rFonts w:ascii="Arial" w:hAnsi="Arial" w:cs="Arial"/>
          <w:sz w:val="20"/>
          <w:szCs w:val="20"/>
        </w:rPr>
        <w:t>The Tax Legislation should be concerned with “assessable income” and “taxable income” in the same manner as it is with other entities.</w:t>
      </w:r>
    </w:p>
    <w:p w:rsidR="00F75027" w:rsidRPr="003B3A59" w:rsidRDefault="00F75027" w:rsidP="0055153F">
      <w:pPr>
        <w:rPr>
          <w:rFonts w:ascii="Arial" w:hAnsi="Arial" w:cs="Arial"/>
          <w:sz w:val="20"/>
          <w:szCs w:val="20"/>
        </w:rPr>
      </w:pPr>
    </w:p>
    <w:p w:rsidR="00986012" w:rsidRPr="003B3A59" w:rsidRDefault="008800BF" w:rsidP="00731634">
      <w:pPr>
        <w:rPr>
          <w:rFonts w:ascii="Arial" w:hAnsi="Arial" w:cs="Arial"/>
          <w:b/>
          <w:sz w:val="24"/>
          <w:szCs w:val="24"/>
        </w:rPr>
      </w:pPr>
      <w:r>
        <w:rPr>
          <w:rFonts w:ascii="Arial" w:hAnsi="Arial" w:cs="Arial"/>
          <w:b/>
          <w:sz w:val="24"/>
          <w:szCs w:val="24"/>
        </w:rPr>
        <w:t xml:space="preserve">5. </w:t>
      </w:r>
      <w:r w:rsidR="00986012" w:rsidRPr="003B3A59">
        <w:rPr>
          <w:rFonts w:ascii="Arial" w:hAnsi="Arial" w:cs="Arial"/>
          <w:b/>
          <w:sz w:val="24"/>
          <w:szCs w:val="24"/>
        </w:rPr>
        <w:t>Ordinary and Statutory Income</w:t>
      </w:r>
    </w:p>
    <w:p w:rsidR="00AE7CFD" w:rsidRPr="003B3A59" w:rsidRDefault="00AE7CFD" w:rsidP="00AE7CFD">
      <w:pPr>
        <w:rPr>
          <w:rFonts w:ascii="Arial" w:hAnsi="Arial" w:cs="Arial"/>
          <w:sz w:val="20"/>
          <w:szCs w:val="20"/>
        </w:rPr>
      </w:pPr>
      <w:r w:rsidRPr="003B3A59">
        <w:rPr>
          <w:rFonts w:ascii="Arial" w:hAnsi="Arial" w:cs="Arial"/>
          <w:sz w:val="20"/>
          <w:szCs w:val="20"/>
        </w:rPr>
        <w:t>I do not accept that there ever was a legitimate argument that section 97 applied only to ordinary income, and not to statutory income.</w:t>
      </w:r>
    </w:p>
    <w:p w:rsidR="002E3440" w:rsidRPr="003B3A59" w:rsidRDefault="002E3440" w:rsidP="00AE7CFD">
      <w:pPr>
        <w:rPr>
          <w:rFonts w:ascii="Arial" w:hAnsi="Arial" w:cs="Arial"/>
          <w:sz w:val="20"/>
          <w:szCs w:val="20"/>
        </w:rPr>
      </w:pPr>
      <w:r w:rsidRPr="003B3A59">
        <w:rPr>
          <w:rFonts w:ascii="Arial" w:hAnsi="Arial" w:cs="Arial"/>
          <w:sz w:val="20"/>
          <w:szCs w:val="20"/>
        </w:rPr>
        <w:t xml:space="preserve">Section 102-5 includes the Trust’s net capital gain in the assessable income of the </w:t>
      </w:r>
      <w:r w:rsidR="00C66172">
        <w:rPr>
          <w:rFonts w:ascii="Arial" w:hAnsi="Arial" w:cs="Arial"/>
          <w:sz w:val="20"/>
          <w:szCs w:val="20"/>
        </w:rPr>
        <w:t>Trust Estate</w:t>
      </w:r>
      <w:r w:rsidRPr="003B3A59">
        <w:rPr>
          <w:rFonts w:ascii="Arial" w:hAnsi="Arial" w:cs="Arial"/>
          <w:sz w:val="20"/>
          <w:szCs w:val="20"/>
        </w:rPr>
        <w:t>.</w:t>
      </w:r>
    </w:p>
    <w:p w:rsidR="00AE7CFD" w:rsidRPr="003B3A59" w:rsidRDefault="00AE7CFD" w:rsidP="00AE7CFD">
      <w:pPr>
        <w:rPr>
          <w:rFonts w:ascii="Arial" w:hAnsi="Arial" w:cs="Arial"/>
          <w:sz w:val="20"/>
          <w:szCs w:val="20"/>
        </w:rPr>
      </w:pPr>
      <w:r w:rsidRPr="003B3A59">
        <w:rPr>
          <w:rFonts w:ascii="Arial" w:hAnsi="Arial" w:cs="Arial"/>
          <w:sz w:val="20"/>
          <w:szCs w:val="20"/>
        </w:rPr>
        <w:t>Section 115-215</w:t>
      </w:r>
      <w:r w:rsidR="00C55C41" w:rsidRPr="003B3A59">
        <w:rPr>
          <w:rFonts w:ascii="Arial" w:hAnsi="Arial" w:cs="Arial"/>
          <w:sz w:val="20"/>
          <w:szCs w:val="20"/>
        </w:rPr>
        <w:t xml:space="preserve">(2)(b)(i) of the 1997 Act envisages that the Beneficiary’s assessable income might include an amount (“a trust amount”) attributable to a capital gain of the </w:t>
      </w:r>
      <w:r w:rsidR="00C66172">
        <w:rPr>
          <w:rFonts w:ascii="Arial" w:hAnsi="Arial" w:cs="Arial"/>
          <w:sz w:val="20"/>
          <w:szCs w:val="20"/>
        </w:rPr>
        <w:t>Trust Estate</w:t>
      </w:r>
      <w:r w:rsidR="00C55C41" w:rsidRPr="003B3A59">
        <w:rPr>
          <w:rFonts w:ascii="Arial" w:hAnsi="Arial" w:cs="Arial"/>
          <w:sz w:val="20"/>
          <w:szCs w:val="20"/>
        </w:rPr>
        <w:t xml:space="preserve"> as a result of the operation of section 97(1)(a).</w:t>
      </w:r>
    </w:p>
    <w:p w:rsidR="00C55C41" w:rsidRPr="003B3A59" w:rsidRDefault="00C55C41" w:rsidP="00AE7CFD">
      <w:pPr>
        <w:rPr>
          <w:rFonts w:ascii="Arial" w:hAnsi="Arial" w:cs="Arial"/>
          <w:sz w:val="20"/>
          <w:szCs w:val="20"/>
        </w:rPr>
      </w:pPr>
      <w:r w:rsidRPr="003B3A59">
        <w:rPr>
          <w:rFonts w:ascii="Arial" w:hAnsi="Arial" w:cs="Arial"/>
          <w:sz w:val="20"/>
          <w:szCs w:val="20"/>
        </w:rPr>
        <w:t xml:space="preserve">Thus, it is submitted that the correct interpretation of section 97 has always been that it was the vehicle for both ordinary and statutory income of the </w:t>
      </w:r>
      <w:r w:rsidR="00C66172">
        <w:rPr>
          <w:rFonts w:ascii="Arial" w:hAnsi="Arial" w:cs="Arial"/>
          <w:sz w:val="20"/>
          <w:szCs w:val="20"/>
        </w:rPr>
        <w:t>Trust Estate</w:t>
      </w:r>
      <w:r w:rsidRPr="003B3A59">
        <w:rPr>
          <w:rFonts w:ascii="Arial" w:hAnsi="Arial" w:cs="Arial"/>
          <w:sz w:val="20"/>
          <w:szCs w:val="20"/>
        </w:rPr>
        <w:t xml:space="preserve"> to get into the assessable income of the Beneficiary.</w:t>
      </w:r>
    </w:p>
    <w:p w:rsidR="00941911" w:rsidRDefault="00C55C41" w:rsidP="00731634">
      <w:pPr>
        <w:rPr>
          <w:rFonts w:ascii="Arial" w:hAnsi="Arial" w:cs="Arial"/>
          <w:sz w:val="20"/>
          <w:szCs w:val="20"/>
        </w:rPr>
      </w:pPr>
      <w:r w:rsidRPr="003B3A59">
        <w:rPr>
          <w:rFonts w:ascii="Arial" w:hAnsi="Arial" w:cs="Arial"/>
          <w:sz w:val="20"/>
          <w:szCs w:val="20"/>
        </w:rPr>
        <w:t>However, t</w:t>
      </w:r>
      <w:r w:rsidR="00986012" w:rsidRPr="003B3A59">
        <w:rPr>
          <w:rFonts w:ascii="Arial" w:hAnsi="Arial" w:cs="Arial"/>
          <w:sz w:val="20"/>
          <w:szCs w:val="20"/>
        </w:rPr>
        <w:t xml:space="preserve">o the extent that there </w:t>
      </w:r>
      <w:r w:rsidR="0055153F" w:rsidRPr="003B3A59">
        <w:rPr>
          <w:rFonts w:ascii="Arial" w:hAnsi="Arial" w:cs="Arial"/>
          <w:sz w:val="20"/>
          <w:szCs w:val="20"/>
        </w:rPr>
        <w:t>is perceived to be</w:t>
      </w:r>
      <w:r w:rsidR="00986012" w:rsidRPr="003B3A59">
        <w:rPr>
          <w:rFonts w:ascii="Arial" w:hAnsi="Arial" w:cs="Arial"/>
          <w:sz w:val="20"/>
          <w:szCs w:val="20"/>
        </w:rPr>
        <w:t xml:space="preserve"> any ambiguity or uncertainty, i</w:t>
      </w:r>
      <w:r w:rsidR="00941911" w:rsidRPr="003B3A59">
        <w:rPr>
          <w:rFonts w:ascii="Arial" w:hAnsi="Arial" w:cs="Arial"/>
          <w:sz w:val="20"/>
          <w:szCs w:val="20"/>
        </w:rPr>
        <w:t xml:space="preserve">t should also be </w:t>
      </w:r>
      <w:r w:rsidRPr="003B3A59">
        <w:rPr>
          <w:rFonts w:ascii="Arial" w:hAnsi="Arial" w:cs="Arial"/>
          <w:sz w:val="20"/>
          <w:szCs w:val="20"/>
        </w:rPr>
        <w:t xml:space="preserve">made </w:t>
      </w:r>
      <w:r w:rsidR="00941911" w:rsidRPr="003B3A59">
        <w:rPr>
          <w:rFonts w:ascii="Arial" w:hAnsi="Arial" w:cs="Arial"/>
          <w:sz w:val="20"/>
          <w:szCs w:val="20"/>
        </w:rPr>
        <w:t>clear that the section applies equally to ordinary and statutory income.</w:t>
      </w:r>
    </w:p>
    <w:p w:rsidR="00F75027" w:rsidRPr="003B3A59" w:rsidRDefault="00F75027" w:rsidP="00731634">
      <w:pPr>
        <w:rPr>
          <w:rFonts w:ascii="Arial" w:hAnsi="Arial" w:cs="Arial"/>
          <w:sz w:val="20"/>
          <w:szCs w:val="20"/>
        </w:rPr>
      </w:pPr>
    </w:p>
    <w:p w:rsidR="00845E0A" w:rsidRPr="003B3A59" w:rsidRDefault="008800BF">
      <w:pPr>
        <w:rPr>
          <w:rFonts w:ascii="Arial" w:hAnsi="Arial" w:cs="Arial"/>
          <w:b/>
          <w:sz w:val="24"/>
          <w:szCs w:val="24"/>
        </w:rPr>
      </w:pPr>
      <w:r>
        <w:rPr>
          <w:rFonts w:ascii="Arial" w:hAnsi="Arial" w:cs="Arial"/>
          <w:b/>
          <w:sz w:val="24"/>
          <w:szCs w:val="24"/>
        </w:rPr>
        <w:t xml:space="preserve">6. </w:t>
      </w:r>
      <w:r w:rsidR="00BA6052" w:rsidRPr="003B3A59">
        <w:rPr>
          <w:rFonts w:ascii="Arial" w:hAnsi="Arial" w:cs="Arial"/>
          <w:b/>
          <w:sz w:val="24"/>
          <w:szCs w:val="24"/>
        </w:rPr>
        <w:t>Secondary Role of Prefatory Wording of Section 97(1)</w:t>
      </w:r>
    </w:p>
    <w:p w:rsidR="00BA6052" w:rsidRPr="003B3A59" w:rsidRDefault="00BA6052">
      <w:pPr>
        <w:rPr>
          <w:rFonts w:ascii="Arial" w:hAnsi="Arial" w:cs="Arial"/>
          <w:sz w:val="20"/>
          <w:szCs w:val="20"/>
        </w:rPr>
      </w:pPr>
      <w:r w:rsidRPr="003B3A59">
        <w:rPr>
          <w:rFonts w:ascii="Arial" w:hAnsi="Arial" w:cs="Arial"/>
          <w:sz w:val="20"/>
          <w:szCs w:val="20"/>
        </w:rPr>
        <w:t>The secondary role of the prefatory wording is the role it plays or could play in the quantification of the amount or share or interest of the individual Beneficiary.</w:t>
      </w:r>
    </w:p>
    <w:p w:rsidR="00BA6052" w:rsidRPr="003B3A59" w:rsidRDefault="00BA6052">
      <w:pPr>
        <w:rPr>
          <w:rFonts w:ascii="Arial" w:hAnsi="Arial" w:cs="Arial"/>
          <w:sz w:val="20"/>
          <w:szCs w:val="20"/>
        </w:rPr>
      </w:pPr>
      <w:r w:rsidRPr="003B3A59">
        <w:rPr>
          <w:rFonts w:ascii="Arial" w:hAnsi="Arial" w:cs="Arial"/>
          <w:sz w:val="20"/>
          <w:szCs w:val="20"/>
        </w:rPr>
        <w:t>This role is potentially in conflict with the wording of the substantive section.</w:t>
      </w:r>
    </w:p>
    <w:p w:rsidR="00C55C41" w:rsidRPr="003B3A59" w:rsidRDefault="00BA6052">
      <w:pPr>
        <w:rPr>
          <w:rFonts w:ascii="Arial" w:hAnsi="Arial" w:cs="Arial"/>
          <w:sz w:val="20"/>
          <w:szCs w:val="20"/>
        </w:rPr>
      </w:pPr>
      <w:r w:rsidRPr="003B3A59">
        <w:rPr>
          <w:rFonts w:ascii="Arial" w:hAnsi="Arial" w:cs="Arial"/>
          <w:sz w:val="20"/>
          <w:szCs w:val="20"/>
        </w:rPr>
        <w:t>It is submitted that, for the purposes of clarity</w:t>
      </w:r>
      <w:r w:rsidR="00C55C41" w:rsidRPr="003B3A59">
        <w:rPr>
          <w:rFonts w:ascii="Arial" w:hAnsi="Arial" w:cs="Arial"/>
          <w:sz w:val="20"/>
          <w:szCs w:val="20"/>
        </w:rPr>
        <w:t>:</w:t>
      </w:r>
      <w:r w:rsidRPr="003B3A59">
        <w:rPr>
          <w:rFonts w:ascii="Arial" w:hAnsi="Arial" w:cs="Arial"/>
          <w:sz w:val="20"/>
          <w:szCs w:val="20"/>
        </w:rPr>
        <w:t xml:space="preserve"> </w:t>
      </w:r>
    </w:p>
    <w:p w:rsidR="00C55C41" w:rsidRPr="003B3A59" w:rsidRDefault="00C55C41" w:rsidP="00C55C41">
      <w:pPr>
        <w:numPr>
          <w:ilvl w:val="0"/>
          <w:numId w:val="3"/>
        </w:numPr>
        <w:rPr>
          <w:rFonts w:ascii="Arial" w:hAnsi="Arial" w:cs="Arial"/>
          <w:sz w:val="20"/>
          <w:szCs w:val="20"/>
        </w:rPr>
      </w:pPr>
      <w:r w:rsidRPr="003B3A59">
        <w:rPr>
          <w:rFonts w:ascii="Arial" w:hAnsi="Arial" w:cs="Arial"/>
          <w:sz w:val="20"/>
          <w:szCs w:val="20"/>
        </w:rPr>
        <w:t xml:space="preserve">The prefatory wording should have no role in the determination of the </w:t>
      </w:r>
      <w:r w:rsidRPr="003227AA">
        <w:rPr>
          <w:rFonts w:ascii="Arial" w:hAnsi="Arial" w:cs="Arial"/>
          <w:b/>
          <w:i/>
          <w:sz w:val="20"/>
          <w:szCs w:val="20"/>
        </w:rPr>
        <w:t>amount</w:t>
      </w:r>
      <w:r w:rsidRPr="003B3A59">
        <w:rPr>
          <w:rFonts w:ascii="Arial" w:hAnsi="Arial" w:cs="Arial"/>
          <w:sz w:val="20"/>
          <w:szCs w:val="20"/>
        </w:rPr>
        <w:t xml:space="preserve"> of the assessable income of a Beneficiary; and</w:t>
      </w:r>
    </w:p>
    <w:p w:rsidR="00BA6052" w:rsidRDefault="00BA6052" w:rsidP="00C55C41">
      <w:pPr>
        <w:numPr>
          <w:ilvl w:val="0"/>
          <w:numId w:val="3"/>
        </w:numPr>
        <w:rPr>
          <w:rFonts w:ascii="Arial" w:hAnsi="Arial" w:cs="Arial"/>
          <w:sz w:val="20"/>
          <w:szCs w:val="20"/>
        </w:rPr>
      </w:pPr>
      <w:r w:rsidRPr="003B3A59">
        <w:rPr>
          <w:rFonts w:ascii="Arial" w:hAnsi="Arial" w:cs="Arial"/>
          <w:sz w:val="20"/>
          <w:szCs w:val="20"/>
        </w:rPr>
        <w:t xml:space="preserve">this role should be performed </w:t>
      </w:r>
      <w:r w:rsidR="005D1F65" w:rsidRPr="003B3A59">
        <w:rPr>
          <w:rFonts w:ascii="Arial" w:hAnsi="Arial" w:cs="Arial"/>
          <w:sz w:val="20"/>
          <w:szCs w:val="20"/>
        </w:rPr>
        <w:t xml:space="preserve">solely </w:t>
      </w:r>
      <w:r w:rsidRPr="003B3A59">
        <w:rPr>
          <w:rFonts w:ascii="Arial" w:hAnsi="Arial" w:cs="Arial"/>
          <w:sz w:val="20"/>
          <w:szCs w:val="20"/>
        </w:rPr>
        <w:t xml:space="preserve">by </w:t>
      </w:r>
      <w:r w:rsidR="005D1F65" w:rsidRPr="003B3A59">
        <w:rPr>
          <w:rFonts w:ascii="Arial" w:hAnsi="Arial" w:cs="Arial"/>
          <w:sz w:val="20"/>
          <w:szCs w:val="20"/>
        </w:rPr>
        <w:t xml:space="preserve">the substantive provision or </w:t>
      </w:r>
      <w:r w:rsidRPr="003B3A59">
        <w:rPr>
          <w:rFonts w:ascii="Arial" w:hAnsi="Arial" w:cs="Arial"/>
          <w:sz w:val="20"/>
          <w:szCs w:val="20"/>
        </w:rPr>
        <w:t>a separate provision.</w:t>
      </w:r>
    </w:p>
    <w:p w:rsidR="00F75027" w:rsidRPr="003B3A59" w:rsidRDefault="00F75027" w:rsidP="00F75027">
      <w:pPr>
        <w:rPr>
          <w:rFonts w:ascii="Arial" w:hAnsi="Arial" w:cs="Arial"/>
          <w:sz w:val="20"/>
          <w:szCs w:val="20"/>
        </w:rPr>
      </w:pPr>
    </w:p>
    <w:p w:rsidR="00B7184A" w:rsidRPr="00F75027" w:rsidRDefault="008800BF">
      <w:pPr>
        <w:rPr>
          <w:rFonts w:ascii="Arial" w:hAnsi="Arial" w:cs="Arial"/>
          <w:b/>
          <w:sz w:val="24"/>
          <w:szCs w:val="24"/>
        </w:rPr>
      </w:pPr>
      <w:r>
        <w:rPr>
          <w:rFonts w:ascii="Arial" w:hAnsi="Arial" w:cs="Arial"/>
          <w:b/>
          <w:sz w:val="24"/>
          <w:szCs w:val="24"/>
        </w:rPr>
        <w:t xml:space="preserve">7. </w:t>
      </w:r>
      <w:r w:rsidR="00B7184A" w:rsidRPr="00F75027">
        <w:rPr>
          <w:rFonts w:ascii="Arial" w:hAnsi="Arial" w:cs="Arial"/>
          <w:b/>
          <w:sz w:val="24"/>
          <w:szCs w:val="24"/>
        </w:rPr>
        <w:t>Quantification</w:t>
      </w:r>
    </w:p>
    <w:p w:rsidR="00FC5E8A" w:rsidRPr="003B3A59" w:rsidRDefault="00FC5E8A">
      <w:pPr>
        <w:rPr>
          <w:rFonts w:ascii="Arial" w:hAnsi="Arial" w:cs="Arial"/>
          <w:sz w:val="20"/>
          <w:szCs w:val="20"/>
        </w:rPr>
      </w:pPr>
      <w:r w:rsidRPr="003B3A59">
        <w:rPr>
          <w:rFonts w:ascii="Arial" w:hAnsi="Arial" w:cs="Arial"/>
          <w:sz w:val="20"/>
          <w:szCs w:val="20"/>
        </w:rPr>
        <w:t xml:space="preserve">A Trust is a legal mechanism by which capital and income </w:t>
      </w:r>
      <w:r w:rsidR="004D0B31">
        <w:rPr>
          <w:rFonts w:ascii="Arial" w:hAnsi="Arial" w:cs="Arial"/>
          <w:sz w:val="20"/>
          <w:szCs w:val="20"/>
        </w:rPr>
        <w:t>are</w:t>
      </w:r>
      <w:r w:rsidRPr="003B3A59">
        <w:rPr>
          <w:rFonts w:ascii="Arial" w:hAnsi="Arial" w:cs="Arial"/>
          <w:sz w:val="20"/>
          <w:szCs w:val="20"/>
        </w:rPr>
        <w:t xml:space="preserve"> aggregated and segregated for the ultimate commercial benefit of some or all of the Beneficiaries.</w:t>
      </w:r>
    </w:p>
    <w:p w:rsidR="007D5CA0" w:rsidRPr="003B3A59" w:rsidRDefault="008800BF">
      <w:pPr>
        <w:rPr>
          <w:rFonts w:ascii="Arial" w:hAnsi="Arial" w:cs="Arial"/>
          <w:b/>
          <w:sz w:val="20"/>
          <w:szCs w:val="20"/>
        </w:rPr>
      </w:pPr>
      <w:r>
        <w:rPr>
          <w:rFonts w:ascii="Arial" w:hAnsi="Arial" w:cs="Arial"/>
          <w:b/>
          <w:sz w:val="20"/>
          <w:szCs w:val="20"/>
        </w:rPr>
        <w:t xml:space="preserve">7.1 </w:t>
      </w:r>
      <w:r w:rsidR="007D5CA0" w:rsidRPr="003B3A59">
        <w:rPr>
          <w:rFonts w:ascii="Arial" w:hAnsi="Arial" w:cs="Arial"/>
          <w:b/>
          <w:sz w:val="20"/>
          <w:szCs w:val="20"/>
        </w:rPr>
        <w:t>Fixed Trusts</w:t>
      </w:r>
    </w:p>
    <w:p w:rsidR="00B7184A" w:rsidRPr="003B3A59" w:rsidRDefault="00FC5E8A">
      <w:pPr>
        <w:rPr>
          <w:rFonts w:ascii="Arial" w:hAnsi="Arial" w:cs="Arial"/>
          <w:sz w:val="20"/>
          <w:szCs w:val="20"/>
        </w:rPr>
      </w:pPr>
      <w:r w:rsidRPr="003B3A59">
        <w:rPr>
          <w:rFonts w:ascii="Arial" w:hAnsi="Arial" w:cs="Arial"/>
          <w:sz w:val="20"/>
          <w:szCs w:val="20"/>
        </w:rPr>
        <w:t>Where the Trust is a Fixed Trust, the interest of each Beneficiary is fixed and apportioned by the Trust Deed.</w:t>
      </w:r>
    </w:p>
    <w:p w:rsidR="00FC5E8A" w:rsidRPr="003B3A59" w:rsidRDefault="00FC5E8A">
      <w:pPr>
        <w:rPr>
          <w:rFonts w:ascii="Arial" w:hAnsi="Arial" w:cs="Arial"/>
          <w:sz w:val="20"/>
          <w:szCs w:val="20"/>
        </w:rPr>
      </w:pPr>
      <w:r w:rsidRPr="003B3A59">
        <w:rPr>
          <w:rFonts w:ascii="Arial" w:hAnsi="Arial" w:cs="Arial"/>
          <w:sz w:val="20"/>
          <w:szCs w:val="20"/>
        </w:rPr>
        <w:t>The ITAA should respect this apportionment.</w:t>
      </w:r>
    </w:p>
    <w:p w:rsidR="00FC5E8A" w:rsidRPr="003B3A59" w:rsidRDefault="00FC5E8A">
      <w:pPr>
        <w:rPr>
          <w:rFonts w:ascii="Arial" w:hAnsi="Arial" w:cs="Arial"/>
          <w:sz w:val="20"/>
          <w:szCs w:val="20"/>
        </w:rPr>
      </w:pPr>
      <w:r w:rsidRPr="003B3A59">
        <w:rPr>
          <w:rFonts w:ascii="Arial" w:hAnsi="Arial" w:cs="Arial"/>
          <w:sz w:val="20"/>
          <w:szCs w:val="20"/>
        </w:rPr>
        <w:t>Just because a Fixed Trust is fixed doesn’t mean that the one apportionment is applicable to all forms of income.</w:t>
      </w:r>
    </w:p>
    <w:p w:rsidR="00FC5E8A" w:rsidRPr="003B3A59" w:rsidRDefault="00FC5E8A">
      <w:pPr>
        <w:rPr>
          <w:rFonts w:ascii="Arial" w:hAnsi="Arial" w:cs="Arial"/>
          <w:sz w:val="20"/>
          <w:szCs w:val="20"/>
        </w:rPr>
      </w:pPr>
      <w:r w:rsidRPr="003B3A59">
        <w:rPr>
          <w:rFonts w:ascii="Arial" w:hAnsi="Arial" w:cs="Arial"/>
          <w:sz w:val="20"/>
          <w:szCs w:val="20"/>
        </w:rPr>
        <w:t>The Trust Deed may provide for different apportionments for different types of asset or income.</w:t>
      </w:r>
    </w:p>
    <w:p w:rsidR="00C55C41" w:rsidRPr="003B3A59" w:rsidRDefault="00C55C41">
      <w:pPr>
        <w:rPr>
          <w:rFonts w:ascii="Arial" w:hAnsi="Arial" w:cs="Arial"/>
          <w:sz w:val="20"/>
          <w:szCs w:val="20"/>
        </w:rPr>
      </w:pPr>
      <w:r w:rsidRPr="003B3A59">
        <w:rPr>
          <w:rFonts w:ascii="Arial" w:hAnsi="Arial" w:cs="Arial"/>
          <w:sz w:val="20"/>
          <w:szCs w:val="20"/>
        </w:rPr>
        <w:t xml:space="preserve">For example, the Trust deed might provide that the proceeds of sale of one asset might be apportioned differently to the proceeds of sale of another asset. </w:t>
      </w:r>
    </w:p>
    <w:p w:rsidR="0055153F" w:rsidRPr="003B3A59" w:rsidRDefault="0055153F">
      <w:pPr>
        <w:rPr>
          <w:rFonts w:ascii="Arial" w:hAnsi="Arial" w:cs="Arial"/>
          <w:sz w:val="20"/>
          <w:szCs w:val="20"/>
        </w:rPr>
      </w:pPr>
      <w:r w:rsidRPr="003B3A59">
        <w:rPr>
          <w:rFonts w:ascii="Arial" w:hAnsi="Arial" w:cs="Arial"/>
          <w:sz w:val="20"/>
          <w:szCs w:val="20"/>
        </w:rPr>
        <w:t>This might potentially be described as “streaming”.</w:t>
      </w:r>
    </w:p>
    <w:p w:rsidR="0055153F" w:rsidRPr="003B3A59" w:rsidRDefault="0055153F">
      <w:pPr>
        <w:rPr>
          <w:rFonts w:ascii="Arial" w:hAnsi="Arial" w:cs="Arial"/>
          <w:sz w:val="20"/>
          <w:szCs w:val="20"/>
        </w:rPr>
      </w:pPr>
      <w:r w:rsidRPr="003B3A59">
        <w:rPr>
          <w:rFonts w:ascii="Arial" w:hAnsi="Arial" w:cs="Arial"/>
          <w:sz w:val="20"/>
          <w:szCs w:val="20"/>
        </w:rPr>
        <w:t>However, if that is what the Trust Deed permits, so be it.</w:t>
      </w:r>
    </w:p>
    <w:p w:rsidR="00FC5E8A" w:rsidRPr="003B3A59" w:rsidRDefault="00FC5E8A">
      <w:pPr>
        <w:rPr>
          <w:rFonts w:ascii="Arial" w:hAnsi="Arial" w:cs="Arial"/>
          <w:sz w:val="20"/>
          <w:szCs w:val="20"/>
        </w:rPr>
      </w:pPr>
      <w:r w:rsidRPr="003B3A59">
        <w:rPr>
          <w:rFonts w:ascii="Arial" w:hAnsi="Arial" w:cs="Arial"/>
          <w:sz w:val="20"/>
          <w:szCs w:val="20"/>
        </w:rPr>
        <w:t xml:space="preserve">Again, the ITAA should respect </w:t>
      </w:r>
      <w:r w:rsidR="0055153F" w:rsidRPr="003B3A59">
        <w:rPr>
          <w:rFonts w:ascii="Arial" w:hAnsi="Arial" w:cs="Arial"/>
          <w:sz w:val="20"/>
          <w:szCs w:val="20"/>
        </w:rPr>
        <w:t>an</w:t>
      </w:r>
      <w:r w:rsidRPr="003B3A59">
        <w:rPr>
          <w:rFonts w:ascii="Arial" w:hAnsi="Arial" w:cs="Arial"/>
          <w:sz w:val="20"/>
          <w:szCs w:val="20"/>
        </w:rPr>
        <w:t xml:space="preserve"> apportionment</w:t>
      </w:r>
      <w:r w:rsidR="0055153F" w:rsidRPr="003B3A59">
        <w:rPr>
          <w:rFonts w:ascii="Arial" w:hAnsi="Arial" w:cs="Arial"/>
          <w:sz w:val="20"/>
          <w:szCs w:val="20"/>
        </w:rPr>
        <w:t xml:space="preserve"> in accordance with the Trust Deed</w:t>
      </w:r>
      <w:r w:rsidRPr="003B3A59">
        <w:rPr>
          <w:rFonts w:ascii="Arial" w:hAnsi="Arial" w:cs="Arial"/>
          <w:sz w:val="20"/>
          <w:szCs w:val="20"/>
        </w:rPr>
        <w:t>.</w:t>
      </w:r>
    </w:p>
    <w:p w:rsidR="007D5CA0" w:rsidRPr="003B3A59" w:rsidRDefault="008800BF">
      <w:pPr>
        <w:rPr>
          <w:rFonts w:ascii="Arial" w:hAnsi="Arial" w:cs="Arial"/>
          <w:b/>
          <w:sz w:val="20"/>
          <w:szCs w:val="20"/>
        </w:rPr>
      </w:pPr>
      <w:r>
        <w:rPr>
          <w:rFonts w:ascii="Arial" w:hAnsi="Arial" w:cs="Arial"/>
          <w:b/>
          <w:sz w:val="20"/>
          <w:szCs w:val="20"/>
        </w:rPr>
        <w:t xml:space="preserve">7.2 </w:t>
      </w:r>
      <w:r w:rsidR="007D5CA0" w:rsidRPr="003B3A59">
        <w:rPr>
          <w:rFonts w:ascii="Arial" w:hAnsi="Arial" w:cs="Arial"/>
          <w:b/>
          <w:sz w:val="20"/>
          <w:szCs w:val="20"/>
        </w:rPr>
        <w:t>Discretionary Trusts</w:t>
      </w:r>
    </w:p>
    <w:p w:rsidR="007D5CA0" w:rsidRPr="003B3A59" w:rsidRDefault="007D5CA0">
      <w:pPr>
        <w:rPr>
          <w:rFonts w:ascii="Arial" w:hAnsi="Arial" w:cs="Arial"/>
          <w:sz w:val="20"/>
          <w:szCs w:val="20"/>
        </w:rPr>
      </w:pPr>
      <w:r w:rsidRPr="003B3A59">
        <w:rPr>
          <w:rFonts w:ascii="Arial" w:hAnsi="Arial" w:cs="Arial"/>
          <w:sz w:val="20"/>
          <w:szCs w:val="20"/>
        </w:rPr>
        <w:t>The purpose of a Discretionary Trust is to give to the Trustee a discretion as to what income is distributed to which Beneficiaries.</w:t>
      </w:r>
    </w:p>
    <w:p w:rsidR="007D5CA0" w:rsidRDefault="007D5CA0">
      <w:pPr>
        <w:rPr>
          <w:rFonts w:ascii="Arial" w:hAnsi="Arial" w:cs="Arial"/>
          <w:sz w:val="20"/>
          <w:szCs w:val="20"/>
        </w:rPr>
      </w:pPr>
      <w:r w:rsidRPr="003B3A59">
        <w:rPr>
          <w:rFonts w:ascii="Arial" w:hAnsi="Arial" w:cs="Arial"/>
          <w:sz w:val="20"/>
          <w:szCs w:val="20"/>
        </w:rPr>
        <w:t>If the public policy of the ITAA respects this discretion, then it should respect the apportionment by the Trustee acting in accordance with the Trust Deed.</w:t>
      </w:r>
    </w:p>
    <w:p w:rsidR="00F75027" w:rsidRPr="003B3A59" w:rsidRDefault="00F75027">
      <w:pPr>
        <w:rPr>
          <w:rFonts w:ascii="Arial" w:hAnsi="Arial" w:cs="Arial"/>
          <w:sz w:val="20"/>
          <w:szCs w:val="20"/>
        </w:rPr>
      </w:pPr>
    </w:p>
    <w:p w:rsidR="007D5CA0" w:rsidRPr="00F75027" w:rsidRDefault="008800BF">
      <w:pPr>
        <w:rPr>
          <w:rFonts w:ascii="Arial" w:hAnsi="Arial" w:cs="Arial"/>
          <w:b/>
          <w:sz w:val="24"/>
          <w:szCs w:val="24"/>
        </w:rPr>
      </w:pPr>
      <w:r>
        <w:rPr>
          <w:rFonts w:ascii="Arial" w:hAnsi="Arial" w:cs="Arial"/>
          <w:b/>
          <w:sz w:val="24"/>
          <w:szCs w:val="24"/>
        </w:rPr>
        <w:t xml:space="preserve">8. </w:t>
      </w:r>
      <w:r w:rsidR="001B0B72" w:rsidRPr="00F75027">
        <w:rPr>
          <w:rFonts w:ascii="Arial" w:hAnsi="Arial" w:cs="Arial"/>
          <w:b/>
          <w:sz w:val="24"/>
          <w:szCs w:val="24"/>
        </w:rPr>
        <w:t>Exempt Income of a Beneficiary</w:t>
      </w:r>
    </w:p>
    <w:p w:rsidR="001B0B72" w:rsidRPr="003B3A59" w:rsidRDefault="001B0B72">
      <w:pPr>
        <w:rPr>
          <w:rFonts w:ascii="Arial" w:hAnsi="Arial" w:cs="Arial"/>
          <w:sz w:val="20"/>
          <w:szCs w:val="20"/>
        </w:rPr>
      </w:pPr>
      <w:r w:rsidRPr="003B3A59">
        <w:rPr>
          <w:rFonts w:ascii="Arial" w:hAnsi="Arial" w:cs="Arial"/>
          <w:sz w:val="20"/>
          <w:szCs w:val="20"/>
        </w:rPr>
        <w:t xml:space="preserve">Section 97(1)(b) extends an exemption of the </w:t>
      </w:r>
      <w:r w:rsidR="00C66172">
        <w:rPr>
          <w:rFonts w:ascii="Arial" w:hAnsi="Arial" w:cs="Arial"/>
          <w:sz w:val="20"/>
          <w:szCs w:val="20"/>
        </w:rPr>
        <w:t>Trust Estate</w:t>
      </w:r>
      <w:r w:rsidRPr="003B3A59">
        <w:rPr>
          <w:rFonts w:ascii="Arial" w:hAnsi="Arial" w:cs="Arial"/>
          <w:sz w:val="20"/>
          <w:szCs w:val="20"/>
        </w:rPr>
        <w:t xml:space="preserve"> to the individual </w:t>
      </w:r>
      <w:r w:rsidR="005E59EA" w:rsidRPr="003B3A59">
        <w:rPr>
          <w:rFonts w:ascii="Arial" w:hAnsi="Arial" w:cs="Arial"/>
          <w:sz w:val="20"/>
          <w:szCs w:val="20"/>
        </w:rPr>
        <w:t>Beneficiary</w:t>
      </w:r>
      <w:r w:rsidRPr="003B3A59">
        <w:rPr>
          <w:rFonts w:ascii="Arial" w:hAnsi="Arial" w:cs="Arial"/>
          <w:sz w:val="20"/>
          <w:szCs w:val="20"/>
        </w:rPr>
        <w:t>.</w:t>
      </w:r>
    </w:p>
    <w:p w:rsidR="001B0B72" w:rsidRPr="003B3A59" w:rsidRDefault="005E59EA">
      <w:pPr>
        <w:rPr>
          <w:rFonts w:ascii="Arial" w:hAnsi="Arial" w:cs="Arial"/>
          <w:sz w:val="20"/>
          <w:szCs w:val="20"/>
        </w:rPr>
      </w:pPr>
      <w:r w:rsidRPr="003B3A59">
        <w:rPr>
          <w:rFonts w:ascii="Arial" w:hAnsi="Arial" w:cs="Arial"/>
          <w:sz w:val="20"/>
          <w:szCs w:val="20"/>
        </w:rPr>
        <w:t>However, some income of a Trust might be</w:t>
      </w:r>
      <w:r w:rsidR="001B0B72" w:rsidRPr="003B3A59">
        <w:rPr>
          <w:rFonts w:ascii="Arial" w:hAnsi="Arial" w:cs="Arial"/>
          <w:sz w:val="20"/>
          <w:szCs w:val="20"/>
        </w:rPr>
        <w:t xml:space="preserve"> exempt in the hands of a particular Beneficiary</w:t>
      </w:r>
      <w:r w:rsidRPr="003B3A59">
        <w:rPr>
          <w:rFonts w:ascii="Arial" w:hAnsi="Arial" w:cs="Arial"/>
          <w:sz w:val="20"/>
          <w:szCs w:val="20"/>
        </w:rPr>
        <w:t xml:space="preserve"> (even though it might not have been exempt in the hands of the Trustee or the </w:t>
      </w:r>
      <w:r w:rsidR="00C66172">
        <w:rPr>
          <w:rFonts w:ascii="Arial" w:hAnsi="Arial" w:cs="Arial"/>
          <w:sz w:val="20"/>
          <w:szCs w:val="20"/>
        </w:rPr>
        <w:t>Trust Estate</w:t>
      </w:r>
      <w:r w:rsidRPr="003B3A59">
        <w:rPr>
          <w:rFonts w:ascii="Arial" w:hAnsi="Arial" w:cs="Arial"/>
          <w:sz w:val="20"/>
          <w:szCs w:val="20"/>
        </w:rPr>
        <w:t>)</w:t>
      </w:r>
      <w:r w:rsidR="001B0B72" w:rsidRPr="003B3A59">
        <w:rPr>
          <w:rFonts w:ascii="Arial" w:hAnsi="Arial" w:cs="Arial"/>
          <w:sz w:val="20"/>
          <w:szCs w:val="20"/>
        </w:rPr>
        <w:t>, because of some characteristic peculiar to that Beneficiary.</w:t>
      </w:r>
    </w:p>
    <w:p w:rsidR="005E59EA" w:rsidRPr="003B3A59" w:rsidRDefault="005E59EA">
      <w:pPr>
        <w:rPr>
          <w:rFonts w:ascii="Arial" w:hAnsi="Arial" w:cs="Arial"/>
          <w:sz w:val="20"/>
          <w:szCs w:val="20"/>
        </w:rPr>
      </w:pPr>
      <w:r w:rsidRPr="003B3A59">
        <w:rPr>
          <w:rFonts w:ascii="Arial" w:hAnsi="Arial" w:cs="Arial"/>
          <w:sz w:val="20"/>
          <w:szCs w:val="20"/>
        </w:rPr>
        <w:t>For example, section 118-300 grants an exemption with respect to Insurance Proceeds on the basis of the original beneficial ownership of the Policy.</w:t>
      </w:r>
    </w:p>
    <w:p w:rsidR="005E59EA" w:rsidRPr="003B3A59" w:rsidRDefault="005E59EA">
      <w:pPr>
        <w:rPr>
          <w:rFonts w:ascii="Arial" w:hAnsi="Arial" w:cs="Arial"/>
          <w:sz w:val="20"/>
          <w:szCs w:val="20"/>
        </w:rPr>
      </w:pPr>
      <w:r w:rsidRPr="003B3A59">
        <w:rPr>
          <w:rFonts w:ascii="Arial" w:hAnsi="Arial" w:cs="Arial"/>
          <w:sz w:val="20"/>
          <w:szCs w:val="20"/>
        </w:rPr>
        <w:t>Where the Insurance Proceeds are exempt in the hands of the particular Beneficiary, it is submitted that, for the purposes of clarity, the Tax Legislation should extend the exemption to the Trustee itself.</w:t>
      </w:r>
    </w:p>
    <w:p w:rsidR="005E59EA" w:rsidRPr="003B3A59" w:rsidRDefault="005E59EA" w:rsidP="00CC67BF">
      <w:pPr>
        <w:keepNext/>
        <w:rPr>
          <w:rFonts w:ascii="Arial" w:hAnsi="Arial" w:cs="Arial"/>
          <w:sz w:val="20"/>
          <w:szCs w:val="20"/>
        </w:rPr>
      </w:pPr>
      <w:r w:rsidRPr="003B3A59">
        <w:rPr>
          <w:rFonts w:ascii="Arial" w:hAnsi="Arial" w:cs="Arial"/>
          <w:sz w:val="20"/>
          <w:szCs w:val="20"/>
        </w:rPr>
        <w:t>Thus:</w:t>
      </w:r>
    </w:p>
    <w:p w:rsidR="005E59EA" w:rsidRPr="003B3A59" w:rsidRDefault="005E59EA" w:rsidP="00CC67BF">
      <w:pPr>
        <w:keepNext/>
        <w:numPr>
          <w:ilvl w:val="0"/>
          <w:numId w:val="5"/>
        </w:numPr>
        <w:rPr>
          <w:rFonts w:ascii="Arial" w:hAnsi="Arial" w:cs="Arial"/>
          <w:sz w:val="20"/>
          <w:szCs w:val="20"/>
        </w:rPr>
      </w:pPr>
      <w:r w:rsidRPr="003B3A59">
        <w:rPr>
          <w:rFonts w:ascii="Arial" w:hAnsi="Arial" w:cs="Arial"/>
          <w:sz w:val="20"/>
          <w:szCs w:val="20"/>
        </w:rPr>
        <w:t xml:space="preserve">if the Trustee or the </w:t>
      </w:r>
      <w:r w:rsidR="00C66172">
        <w:rPr>
          <w:rFonts w:ascii="Arial" w:hAnsi="Arial" w:cs="Arial"/>
          <w:sz w:val="20"/>
          <w:szCs w:val="20"/>
        </w:rPr>
        <w:t>Trust Estate</w:t>
      </w:r>
      <w:r w:rsidRPr="003B3A59">
        <w:rPr>
          <w:rFonts w:ascii="Arial" w:hAnsi="Arial" w:cs="Arial"/>
          <w:sz w:val="20"/>
          <w:szCs w:val="20"/>
        </w:rPr>
        <w:t xml:space="preserve"> is exempt, the Beneficiary should be exempt; and</w:t>
      </w:r>
    </w:p>
    <w:p w:rsidR="005E59EA" w:rsidRDefault="005E59EA" w:rsidP="005E59EA">
      <w:pPr>
        <w:numPr>
          <w:ilvl w:val="0"/>
          <w:numId w:val="5"/>
        </w:numPr>
        <w:rPr>
          <w:rFonts w:ascii="Arial" w:hAnsi="Arial" w:cs="Arial"/>
          <w:sz w:val="20"/>
          <w:szCs w:val="20"/>
        </w:rPr>
      </w:pPr>
      <w:r w:rsidRPr="003B3A59">
        <w:rPr>
          <w:rFonts w:ascii="Arial" w:hAnsi="Arial" w:cs="Arial"/>
          <w:sz w:val="20"/>
          <w:szCs w:val="20"/>
        </w:rPr>
        <w:t xml:space="preserve">if the Beneficiary is exempt, the Trustee or the </w:t>
      </w:r>
      <w:r w:rsidR="00C66172">
        <w:rPr>
          <w:rFonts w:ascii="Arial" w:hAnsi="Arial" w:cs="Arial"/>
          <w:sz w:val="20"/>
          <w:szCs w:val="20"/>
        </w:rPr>
        <w:t>Trust Estate</w:t>
      </w:r>
      <w:r w:rsidRPr="003B3A59">
        <w:rPr>
          <w:rFonts w:ascii="Arial" w:hAnsi="Arial" w:cs="Arial"/>
          <w:sz w:val="20"/>
          <w:szCs w:val="20"/>
        </w:rPr>
        <w:t xml:space="preserve"> should be exempt.</w:t>
      </w:r>
    </w:p>
    <w:p w:rsidR="00F75027" w:rsidRPr="003B3A59" w:rsidRDefault="00F75027" w:rsidP="00F75027">
      <w:pPr>
        <w:rPr>
          <w:rFonts w:ascii="Arial" w:hAnsi="Arial" w:cs="Arial"/>
          <w:sz w:val="20"/>
          <w:szCs w:val="20"/>
        </w:rPr>
      </w:pPr>
    </w:p>
    <w:p w:rsidR="001B0B72" w:rsidRPr="00F75027" w:rsidRDefault="008800BF">
      <w:pPr>
        <w:rPr>
          <w:rFonts w:ascii="Arial" w:hAnsi="Arial" w:cs="Arial"/>
          <w:b/>
          <w:sz w:val="24"/>
          <w:szCs w:val="24"/>
        </w:rPr>
      </w:pPr>
      <w:r>
        <w:rPr>
          <w:rFonts w:ascii="Arial" w:hAnsi="Arial" w:cs="Arial"/>
          <w:b/>
          <w:sz w:val="24"/>
          <w:szCs w:val="24"/>
        </w:rPr>
        <w:t xml:space="preserve">9. </w:t>
      </w:r>
      <w:r w:rsidR="005E59EA" w:rsidRPr="00F75027">
        <w:rPr>
          <w:rFonts w:ascii="Arial" w:hAnsi="Arial" w:cs="Arial"/>
          <w:b/>
          <w:sz w:val="24"/>
          <w:szCs w:val="24"/>
        </w:rPr>
        <w:t>Interaction with Section 106-50 (Absolute Entitlement Trusts)</w:t>
      </w:r>
    </w:p>
    <w:p w:rsidR="005E59EA" w:rsidRPr="003B3A59" w:rsidRDefault="005E59EA">
      <w:pPr>
        <w:rPr>
          <w:rFonts w:ascii="Arial" w:hAnsi="Arial" w:cs="Arial"/>
          <w:sz w:val="20"/>
          <w:szCs w:val="20"/>
        </w:rPr>
      </w:pPr>
      <w:r w:rsidRPr="003B3A59">
        <w:rPr>
          <w:rFonts w:ascii="Arial" w:hAnsi="Arial" w:cs="Arial"/>
          <w:sz w:val="20"/>
          <w:szCs w:val="20"/>
        </w:rPr>
        <w:t>There is no mention of section 106-50 in the Discussion Paper.</w:t>
      </w:r>
    </w:p>
    <w:p w:rsidR="005E59EA" w:rsidRPr="003B3A59" w:rsidRDefault="005E59EA">
      <w:pPr>
        <w:rPr>
          <w:rFonts w:ascii="Arial" w:hAnsi="Arial" w:cs="Arial"/>
          <w:sz w:val="20"/>
          <w:szCs w:val="20"/>
        </w:rPr>
      </w:pPr>
      <w:r w:rsidRPr="003B3A59">
        <w:rPr>
          <w:rFonts w:ascii="Arial" w:hAnsi="Arial" w:cs="Arial"/>
          <w:sz w:val="20"/>
          <w:szCs w:val="20"/>
        </w:rPr>
        <w:t>My concern is that there be no amendment in this context that incidentally affects the operation of section 106-50.</w:t>
      </w:r>
    </w:p>
    <w:p w:rsidR="005E59EA" w:rsidRPr="003B3A59" w:rsidRDefault="005E59EA">
      <w:pPr>
        <w:rPr>
          <w:rFonts w:ascii="Arial" w:hAnsi="Arial" w:cs="Arial"/>
          <w:sz w:val="20"/>
          <w:szCs w:val="20"/>
        </w:rPr>
      </w:pPr>
      <w:r w:rsidRPr="003B3A59">
        <w:rPr>
          <w:rFonts w:ascii="Arial" w:hAnsi="Arial" w:cs="Arial"/>
          <w:sz w:val="20"/>
          <w:szCs w:val="20"/>
        </w:rPr>
        <w:t>The operation of this section might be the subject matter of the general review of the taxation of trusts.</w:t>
      </w:r>
    </w:p>
    <w:p w:rsidR="005E59EA" w:rsidRPr="003B3A59" w:rsidRDefault="005E59EA">
      <w:pPr>
        <w:rPr>
          <w:rFonts w:ascii="Arial" w:hAnsi="Arial" w:cs="Arial"/>
          <w:sz w:val="20"/>
          <w:szCs w:val="20"/>
        </w:rPr>
      </w:pPr>
      <w:r w:rsidRPr="003B3A59">
        <w:rPr>
          <w:rFonts w:ascii="Arial" w:hAnsi="Arial" w:cs="Arial"/>
          <w:sz w:val="20"/>
          <w:szCs w:val="20"/>
        </w:rPr>
        <w:t>If so, I will make submissions at the time.</w:t>
      </w:r>
    </w:p>
    <w:p w:rsidR="005E59EA" w:rsidRPr="003B3A59" w:rsidRDefault="005E59EA">
      <w:pPr>
        <w:rPr>
          <w:rFonts w:ascii="Arial" w:hAnsi="Arial" w:cs="Arial"/>
          <w:sz w:val="20"/>
          <w:szCs w:val="20"/>
        </w:rPr>
      </w:pPr>
      <w:r w:rsidRPr="003B3A59">
        <w:rPr>
          <w:rFonts w:ascii="Arial" w:hAnsi="Arial" w:cs="Arial"/>
          <w:sz w:val="20"/>
          <w:szCs w:val="20"/>
        </w:rPr>
        <w:t xml:space="preserve">However, at this stage, it is sufficient to say that, in circumstances where section 106-50 applies, the capital gain is deemed not to be included in the assessable income of the </w:t>
      </w:r>
      <w:r w:rsidR="00C66172">
        <w:rPr>
          <w:rFonts w:ascii="Arial" w:hAnsi="Arial" w:cs="Arial"/>
          <w:sz w:val="20"/>
          <w:szCs w:val="20"/>
        </w:rPr>
        <w:t>Trust Estate</w:t>
      </w:r>
      <w:r w:rsidRPr="003B3A59">
        <w:rPr>
          <w:rFonts w:ascii="Arial" w:hAnsi="Arial" w:cs="Arial"/>
          <w:sz w:val="20"/>
          <w:szCs w:val="20"/>
        </w:rPr>
        <w:t xml:space="preserve"> </w:t>
      </w:r>
      <w:r w:rsidR="002E3440" w:rsidRPr="003B3A59">
        <w:rPr>
          <w:rFonts w:ascii="Arial" w:hAnsi="Arial" w:cs="Arial"/>
          <w:sz w:val="20"/>
          <w:szCs w:val="20"/>
        </w:rPr>
        <w:t xml:space="preserve">for the purposes of section 102-5 </w:t>
      </w:r>
      <w:r w:rsidRPr="003B3A59">
        <w:rPr>
          <w:rFonts w:ascii="Arial" w:hAnsi="Arial" w:cs="Arial"/>
          <w:sz w:val="20"/>
          <w:szCs w:val="20"/>
        </w:rPr>
        <w:t>in the first instance.</w:t>
      </w:r>
    </w:p>
    <w:p w:rsidR="005E59EA" w:rsidRPr="003B3A59" w:rsidRDefault="005E59EA">
      <w:pPr>
        <w:rPr>
          <w:rFonts w:ascii="Arial" w:hAnsi="Arial" w:cs="Arial"/>
          <w:sz w:val="20"/>
          <w:szCs w:val="20"/>
        </w:rPr>
      </w:pPr>
      <w:r w:rsidRPr="003B3A59">
        <w:rPr>
          <w:rFonts w:ascii="Arial" w:hAnsi="Arial" w:cs="Arial"/>
          <w:sz w:val="20"/>
          <w:szCs w:val="20"/>
        </w:rPr>
        <w:t xml:space="preserve">Instead, it </w:t>
      </w:r>
      <w:r w:rsidR="002E3440" w:rsidRPr="003B3A59">
        <w:rPr>
          <w:rFonts w:ascii="Arial" w:hAnsi="Arial" w:cs="Arial"/>
          <w:sz w:val="20"/>
          <w:szCs w:val="20"/>
        </w:rPr>
        <w:t xml:space="preserve">leapfrogs the </w:t>
      </w:r>
      <w:r w:rsidR="00C66172">
        <w:rPr>
          <w:rFonts w:ascii="Arial" w:hAnsi="Arial" w:cs="Arial"/>
          <w:sz w:val="20"/>
          <w:szCs w:val="20"/>
        </w:rPr>
        <w:t>Trust Estate</w:t>
      </w:r>
      <w:r w:rsidR="002E3440" w:rsidRPr="003B3A59">
        <w:rPr>
          <w:rFonts w:ascii="Arial" w:hAnsi="Arial" w:cs="Arial"/>
          <w:sz w:val="20"/>
          <w:szCs w:val="20"/>
        </w:rPr>
        <w:t xml:space="preserve"> and </w:t>
      </w:r>
      <w:r w:rsidRPr="003B3A59">
        <w:rPr>
          <w:rFonts w:ascii="Arial" w:hAnsi="Arial" w:cs="Arial"/>
          <w:sz w:val="20"/>
          <w:szCs w:val="20"/>
        </w:rPr>
        <w:t>is included directly in the assessable income of the Beneficiary.</w:t>
      </w:r>
    </w:p>
    <w:p w:rsidR="005E59EA" w:rsidRPr="003B3A59" w:rsidRDefault="005E59EA">
      <w:pPr>
        <w:rPr>
          <w:rFonts w:ascii="Arial" w:hAnsi="Arial" w:cs="Arial"/>
          <w:sz w:val="20"/>
          <w:szCs w:val="20"/>
        </w:rPr>
      </w:pPr>
      <w:r w:rsidRPr="003B3A59">
        <w:rPr>
          <w:rFonts w:ascii="Arial" w:hAnsi="Arial" w:cs="Arial"/>
          <w:sz w:val="20"/>
          <w:szCs w:val="20"/>
        </w:rPr>
        <w:t>Thus, statutory income of this nature gets into the assessable income of the Beneficiary otherwise than as a result of section</w:t>
      </w:r>
      <w:r w:rsidR="002E3440" w:rsidRPr="003B3A59">
        <w:rPr>
          <w:rFonts w:ascii="Arial" w:hAnsi="Arial" w:cs="Arial"/>
          <w:sz w:val="20"/>
          <w:szCs w:val="20"/>
        </w:rPr>
        <w:t>s</w:t>
      </w:r>
      <w:r w:rsidRPr="003B3A59">
        <w:rPr>
          <w:rFonts w:ascii="Arial" w:hAnsi="Arial" w:cs="Arial"/>
          <w:sz w:val="20"/>
          <w:szCs w:val="20"/>
        </w:rPr>
        <w:t xml:space="preserve"> </w:t>
      </w:r>
      <w:r w:rsidR="002E3440" w:rsidRPr="003B3A59">
        <w:rPr>
          <w:rFonts w:ascii="Arial" w:hAnsi="Arial" w:cs="Arial"/>
          <w:sz w:val="20"/>
          <w:szCs w:val="20"/>
        </w:rPr>
        <w:t>102-5 and 97.</w:t>
      </w:r>
    </w:p>
    <w:p w:rsidR="002E3440" w:rsidRPr="003B3A59" w:rsidRDefault="002E3440">
      <w:pPr>
        <w:rPr>
          <w:rFonts w:ascii="Arial" w:hAnsi="Arial" w:cs="Arial"/>
          <w:sz w:val="20"/>
          <w:szCs w:val="20"/>
        </w:rPr>
      </w:pPr>
      <w:r w:rsidRPr="003B3A59">
        <w:rPr>
          <w:rFonts w:ascii="Arial" w:hAnsi="Arial" w:cs="Arial"/>
          <w:sz w:val="20"/>
          <w:szCs w:val="20"/>
        </w:rPr>
        <w:t>There is currently a debate as to whether section 106-5</w:t>
      </w:r>
      <w:r w:rsidR="0025519E">
        <w:rPr>
          <w:rFonts w:ascii="Arial" w:hAnsi="Arial" w:cs="Arial"/>
          <w:sz w:val="20"/>
          <w:szCs w:val="20"/>
        </w:rPr>
        <w:t>0</w:t>
      </w:r>
      <w:r w:rsidRPr="003B3A59">
        <w:rPr>
          <w:rFonts w:ascii="Arial" w:hAnsi="Arial" w:cs="Arial"/>
          <w:sz w:val="20"/>
          <w:szCs w:val="20"/>
        </w:rPr>
        <w:t xml:space="preserve"> can apply where there are multiple Beneficiaries.</w:t>
      </w:r>
    </w:p>
    <w:p w:rsidR="002E3440" w:rsidRPr="003B3A59" w:rsidRDefault="002E3440">
      <w:pPr>
        <w:rPr>
          <w:rFonts w:ascii="Arial" w:hAnsi="Arial" w:cs="Arial"/>
          <w:sz w:val="20"/>
          <w:szCs w:val="20"/>
        </w:rPr>
      </w:pPr>
      <w:r w:rsidRPr="003B3A59">
        <w:rPr>
          <w:rFonts w:ascii="Arial" w:hAnsi="Arial" w:cs="Arial"/>
          <w:sz w:val="20"/>
          <w:szCs w:val="20"/>
        </w:rPr>
        <w:t>It is submitted that this debate is largely a red herring.</w:t>
      </w:r>
    </w:p>
    <w:p w:rsidR="002E3440" w:rsidRPr="003B3A59" w:rsidRDefault="002E3440" w:rsidP="002E3440">
      <w:pPr>
        <w:rPr>
          <w:rFonts w:ascii="Arial" w:hAnsi="Arial" w:cs="Arial"/>
          <w:sz w:val="20"/>
          <w:szCs w:val="20"/>
        </w:rPr>
      </w:pPr>
      <w:r w:rsidRPr="003B3A59">
        <w:rPr>
          <w:rFonts w:ascii="Arial" w:hAnsi="Arial" w:cs="Arial"/>
          <w:sz w:val="20"/>
          <w:szCs w:val="20"/>
        </w:rPr>
        <w:t>If section 106-5</w:t>
      </w:r>
      <w:r w:rsidR="0025519E">
        <w:rPr>
          <w:rFonts w:ascii="Arial" w:hAnsi="Arial" w:cs="Arial"/>
          <w:sz w:val="20"/>
          <w:szCs w:val="20"/>
        </w:rPr>
        <w:t>0</w:t>
      </w:r>
      <w:r w:rsidRPr="003B3A59">
        <w:rPr>
          <w:rFonts w:ascii="Arial" w:hAnsi="Arial" w:cs="Arial"/>
          <w:sz w:val="20"/>
          <w:szCs w:val="20"/>
        </w:rPr>
        <w:t xml:space="preserve"> is inapplicable, then sections 102-5 and 97 would apply to each Beneficiary in the normal manner.</w:t>
      </w:r>
    </w:p>
    <w:p w:rsidR="002E3440" w:rsidRPr="003B3A59" w:rsidRDefault="002E3440" w:rsidP="002E3440">
      <w:pPr>
        <w:rPr>
          <w:rFonts w:ascii="Arial" w:hAnsi="Arial" w:cs="Arial"/>
          <w:sz w:val="20"/>
          <w:szCs w:val="20"/>
        </w:rPr>
      </w:pPr>
      <w:r w:rsidRPr="003B3A59">
        <w:rPr>
          <w:rFonts w:ascii="Arial" w:hAnsi="Arial" w:cs="Arial"/>
          <w:sz w:val="20"/>
          <w:szCs w:val="20"/>
        </w:rPr>
        <w:t>The result would be identical with one exception.</w:t>
      </w:r>
    </w:p>
    <w:p w:rsidR="002E3440" w:rsidRPr="003B3A59" w:rsidRDefault="002E3440" w:rsidP="002E3440">
      <w:pPr>
        <w:rPr>
          <w:rFonts w:ascii="Arial" w:hAnsi="Arial" w:cs="Arial"/>
          <w:sz w:val="20"/>
          <w:szCs w:val="20"/>
        </w:rPr>
      </w:pPr>
      <w:r w:rsidRPr="003B3A59">
        <w:rPr>
          <w:rFonts w:ascii="Arial" w:hAnsi="Arial" w:cs="Arial"/>
          <w:sz w:val="20"/>
          <w:szCs w:val="20"/>
        </w:rPr>
        <w:t>If there was a tax loss:</w:t>
      </w:r>
    </w:p>
    <w:p w:rsidR="002E3440" w:rsidRPr="003B3A59" w:rsidRDefault="002E3440" w:rsidP="002E3440">
      <w:pPr>
        <w:numPr>
          <w:ilvl w:val="0"/>
          <w:numId w:val="6"/>
        </w:numPr>
        <w:rPr>
          <w:rFonts w:ascii="Arial" w:hAnsi="Arial" w:cs="Arial"/>
          <w:sz w:val="20"/>
          <w:szCs w:val="20"/>
        </w:rPr>
      </w:pPr>
      <w:r w:rsidRPr="003B3A59">
        <w:rPr>
          <w:rFonts w:ascii="Arial" w:hAnsi="Arial" w:cs="Arial"/>
          <w:sz w:val="20"/>
          <w:szCs w:val="20"/>
        </w:rPr>
        <w:t xml:space="preserve">it would be available to the </w:t>
      </w:r>
      <w:r w:rsidR="00D12AF3">
        <w:rPr>
          <w:rFonts w:ascii="Arial" w:hAnsi="Arial" w:cs="Arial"/>
          <w:sz w:val="20"/>
          <w:szCs w:val="20"/>
        </w:rPr>
        <w:t xml:space="preserve">single </w:t>
      </w:r>
      <w:r w:rsidRPr="003B3A59">
        <w:rPr>
          <w:rFonts w:ascii="Arial" w:hAnsi="Arial" w:cs="Arial"/>
          <w:sz w:val="20"/>
          <w:szCs w:val="20"/>
        </w:rPr>
        <w:t>Absolutely Entitled Beneficiary, if section 106-50 applied; and</w:t>
      </w:r>
    </w:p>
    <w:p w:rsidR="002E3440" w:rsidRPr="003B3A59" w:rsidRDefault="002E3440" w:rsidP="002E3440">
      <w:pPr>
        <w:numPr>
          <w:ilvl w:val="0"/>
          <w:numId w:val="6"/>
        </w:numPr>
        <w:rPr>
          <w:rFonts w:ascii="Arial" w:hAnsi="Arial" w:cs="Arial"/>
          <w:sz w:val="20"/>
          <w:szCs w:val="20"/>
        </w:rPr>
      </w:pPr>
      <w:r w:rsidRPr="003B3A59">
        <w:rPr>
          <w:rFonts w:ascii="Arial" w:hAnsi="Arial" w:cs="Arial"/>
          <w:sz w:val="20"/>
          <w:szCs w:val="20"/>
        </w:rPr>
        <w:t xml:space="preserve">it would be trapped in the </w:t>
      </w:r>
      <w:r w:rsidR="00C66172">
        <w:rPr>
          <w:rFonts w:ascii="Arial" w:hAnsi="Arial" w:cs="Arial"/>
          <w:sz w:val="20"/>
          <w:szCs w:val="20"/>
        </w:rPr>
        <w:t>Trust Estate</w:t>
      </w:r>
      <w:r w:rsidR="0072219F">
        <w:rPr>
          <w:rFonts w:ascii="Arial" w:hAnsi="Arial" w:cs="Arial"/>
          <w:sz w:val="20"/>
          <w:szCs w:val="20"/>
        </w:rPr>
        <w:t xml:space="preserve"> and would not be available to </w:t>
      </w:r>
      <w:r w:rsidR="00564847">
        <w:rPr>
          <w:rFonts w:ascii="Arial" w:hAnsi="Arial" w:cs="Arial"/>
          <w:sz w:val="20"/>
          <w:szCs w:val="20"/>
        </w:rPr>
        <w:t xml:space="preserve">any of </w:t>
      </w:r>
      <w:r w:rsidR="0072219F">
        <w:rPr>
          <w:rFonts w:ascii="Arial" w:hAnsi="Arial" w:cs="Arial"/>
          <w:sz w:val="20"/>
          <w:szCs w:val="20"/>
        </w:rPr>
        <w:t xml:space="preserve">the multiple </w:t>
      </w:r>
      <w:r w:rsidR="00564847">
        <w:rPr>
          <w:rFonts w:ascii="Arial" w:hAnsi="Arial" w:cs="Arial"/>
          <w:sz w:val="20"/>
          <w:szCs w:val="20"/>
        </w:rPr>
        <w:t>Beneficiaries</w:t>
      </w:r>
      <w:r w:rsidRPr="003B3A59">
        <w:rPr>
          <w:rFonts w:ascii="Arial" w:hAnsi="Arial" w:cs="Arial"/>
          <w:sz w:val="20"/>
          <w:szCs w:val="20"/>
        </w:rPr>
        <w:t>, if section 106-50 did not apply.</w:t>
      </w:r>
    </w:p>
    <w:p w:rsidR="00CB77A4" w:rsidRPr="00CB77A4" w:rsidRDefault="00CB77A4" w:rsidP="002E3440">
      <w:pPr>
        <w:rPr>
          <w:rFonts w:ascii="Arial" w:hAnsi="Arial" w:cs="Arial"/>
          <w:sz w:val="20"/>
          <w:szCs w:val="20"/>
        </w:rPr>
      </w:pPr>
      <w:r w:rsidRPr="00CB77A4">
        <w:rPr>
          <w:rFonts w:ascii="Arial" w:hAnsi="Arial" w:cs="Arial"/>
          <w:sz w:val="20"/>
          <w:szCs w:val="20"/>
        </w:rPr>
        <w:t>Please note that the author does not agree with the ATO interpretation of section 106-50</w:t>
      </w:r>
      <w:r w:rsidR="00805CED">
        <w:rPr>
          <w:rFonts w:ascii="Arial" w:hAnsi="Arial" w:cs="Arial"/>
          <w:sz w:val="20"/>
          <w:szCs w:val="20"/>
        </w:rPr>
        <w:t xml:space="preserve"> with respect to multiple Beneficiaries</w:t>
      </w:r>
      <w:r w:rsidRPr="00CB77A4">
        <w:rPr>
          <w:rFonts w:ascii="Arial" w:hAnsi="Arial" w:cs="Arial"/>
          <w:sz w:val="20"/>
          <w:szCs w:val="20"/>
        </w:rPr>
        <w:t>.</w:t>
      </w:r>
    </w:p>
    <w:p w:rsidR="002E3440" w:rsidRDefault="00CB77A4" w:rsidP="002E3440">
      <w:pPr>
        <w:rPr>
          <w:rFonts w:ascii="Arial" w:hAnsi="Arial" w:cs="Arial"/>
          <w:sz w:val="20"/>
          <w:szCs w:val="20"/>
        </w:rPr>
      </w:pPr>
      <w:r w:rsidRPr="00CB77A4">
        <w:rPr>
          <w:rFonts w:ascii="Arial" w:hAnsi="Arial" w:cs="Arial"/>
          <w:sz w:val="20"/>
          <w:szCs w:val="20"/>
        </w:rPr>
        <w:t xml:space="preserve">However, the purpose of the above comments is to </w:t>
      </w:r>
      <w:r w:rsidR="00805CED">
        <w:rPr>
          <w:rFonts w:ascii="Arial" w:hAnsi="Arial" w:cs="Arial"/>
          <w:sz w:val="20"/>
          <w:szCs w:val="20"/>
        </w:rPr>
        <w:t>suggest</w:t>
      </w:r>
      <w:r w:rsidRPr="00CB77A4">
        <w:rPr>
          <w:rFonts w:ascii="Arial" w:hAnsi="Arial" w:cs="Arial"/>
          <w:sz w:val="20"/>
          <w:szCs w:val="20"/>
        </w:rPr>
        <w:t xml:space="preserve"> that</w:t>
      </w:r>
      <w:r w:rsidR="008724DD">
        <w:rPr>
          <w:rFonts w:ascii="Arial" w:hAnsi="Arial" w:cs="Arial"/>
          <w:sz w:val="20"/>
          <w:szCs w:val="20"/>
        </w:rPr>
        <w:t>, if section 97 is correctly applied, the section 106-50 issue</w:t>
      </w:r>
      <w:r w:rsidRPr="00CB77A4">
        <w:rPr>
          <w:rFonts w:ascii="Arial" w:hAnsi="Arial" w:cs="Arial"/>
          <w:sz w:val="20"/>
          <w:szCs w:val="20"/>
        </w:rPr>
        <w:t xml:space="preserve"> mightn’t be as big an issue as it is made out to be.</w:t>
      </w:r>
      <w:r w:rsidR="002E3440" w:rsidRPr="00CB77A4">
        <w:rPr>
          <w:rFonts w:ascii="Arial" w:hAnsi="Arial" w:cs="Arial"/>
          <w:sz w:val="20"/>
          <w:szCs w:val="20"/>
        </w:rPr>
        <w:t xml:space="preserve"> </w:t>
      </w:r>
    </w:p>
    <w:p w:rsidR="00FC5E8A" w:rsidRPr="003B3A59" w:rsidRDefault="00E8128D">
      <w:pPr>
        <w:rPr>
          <w:rFonts w:ascii="Arial" w:hAnsi="Arial" w:cs="Arial"/>
        </w:rPr>
      </w:pPr>
      <w:r>
        <w:rPr>
          <w:rFonts w:ascii="Arial" w:hAnsi="Arial" w:cs="Arial"/>
          <w:sz w:val="20"/>
          <w:szCs w:val="20"/>
        </w:rPr>
        <w:t xml:space="preserve">In other words, </w:t>
      </w:r>
      <w:r w:rsidR="00152C6F" w:rsidRPr="00152C6F">
        <w:rPr>
          <w:rFonts w:ascii="Arial" w:hAnsi="Arial" w:cs="Arial"/>
          <w:b/>
          <w:sz w:val="20"/>
          <w:szCs w:val="20"/>
        </w:rPr>
        <w:t>Bamford</w:t>
      </w:r>
      <w:r>
        <w:rPr>
          <w:rFonts w:ascii="Arial" w:hAnsi="Arial" w:cs="Arial"/>
          <w:sz w:val="20"/>
          <w:szCs w:val="20"/>
        </w:rPr>
        <w:t xml:space="preserve"> has pointed to </w:t>
      </w:r>
      <w:r w:rsidR="00172BFC">
        <w:rPr>
          <w:rFonts w:ascii="Arial" w:hAnsi="Arial" w:cs="Arial"/>
          <w:sz w:val="20"/>
          <w:szCs w:val="20"/>
        </w:rPr>
        <w:t>a solution to the section 106-5</w:t>
      </w:r>
      <w:r>
        <w:rPr>
          <w:rFonts w:ascii="Arial" w:hAnsi="Arial" w:cs="Arial"/>
          <w:sz w:val="20"/>
          <w:szCs w:val="20"/>
        </w:rPr>
        <w:t>0 debate as well.</w:t>
      </w:r>
    </w:p>
    <w:sectPr w:rsidR="00FC5E8A" w:rsidRPr="003B3A59" w:rsidSect="00092418">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AD" w:rsidRDefault="008857AD" w:rsidP="00C50FEE">
      <w:pPr>
        <w:spacing w:after="0" w:line="240" w:lineRule="auto"/>
      </w:pPr>
      <w:r>
        <w:separator/>
      </w:r>
    </w:p>
  </w:endnote>
  <w:endnote w:type="continuationSeparator" w:id="0">
    <w:p w:rsidR="008857AD" w:rsidRDefault="008857AD" w:rsidP="00C5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A1" w:rsidRDefault="00FC2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20A1" w:rsidRDefault="00FC20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A1" w:rsidRDefault="00FC2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20A1" w:rsidRDefault="00FC20A1">
    <w:pPr>
      <w:pStyle w:val="Footer"/>
      <w:framePr w:wrap="around" w:vAnchor="text" w:hAnchor="margin" w:xAlign="center" w:y="1"/>
      <w:ind w:right="360"/>
      <w:rPr>
        <w:rStyle w:val="PageNumber"/>
        <w:szCs w:val="18"/>
      </w:rPr>
    </w:pPr>
  </w:p>
  <w:p w:rsidR="00FC20A1" w:rsidRDefault="00FC20A1">
    <w:pPr>
      <w:widowControl w:val="0"/>
      <w:rPr>
        <w:rFonts w:cs="Courier New"/>
        <w:snapToGrid w:val="0"/>
        <w:sz w:val="18"/>
        <w:szCs w:val="18"/>
      </w:rPr>
    </w:pPr>
    <w:smartTag w:uri="urn:schemas-microsoft-com:office:smarttags" w:element="PersonName">
      <w:r>
        <w:rPr>
          <w:rFonts w:cs="Courier New"/>
          <w:snapToGrid w:val="0"/>
          <w:sz w:val="18"/>
          <w:szCs w:val="18"/>
        </w:rPr>
        <w:t>S</w:t>
      </w:r>
    </w:smartTag>
    <w:r>
      <w:rPr>
        <w:rFonts w:cs="Courier New"/>
        <w:snapToGrid w:val="0"/>
        <w:sz w:val="18"/>
        <w:szCs w:val="18"/>
      </w:rPr>
      <w:t xml:space="preserve">ingle Policy </w:t>
    </w:r>
    <w:smartTag w:uri="urn:schemas-microsoft-com:office:smarttags" w:element="PersonName">
      <w:r>
        <w:rPr>
          <w:rFonts w:cs="Courier New"/>
          <w:snapToGrid w:val="0"/>
          <w:sz w:val="18"/>
          <w:szCs w:val="18"/>
        </w:rPr>
        <w:t>S</w:t>
      </w:r>
    </w:smartTag>
    <w:r>
      <w:rPr>
        <w:rFonts w:cs="Courier New"/>
        <w:snapToGrid w:val="0"/>
        <w:sz w:val="18"/>
        <w:szCs w:val="18"/>
      </w:rPr>
      <w:t>chedule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A1" w:rsidRDefault="00FC20A1">
    <w:pPr>
      <w:pStyle w:val="Footer"/>
      <w:jc w:val="right"/>
    </w:pPr>
    <w:r>
      <w:fldChar w:fldCharType="begin"/>
    </w:r>
    <w:r>
      <w:instrText xml:space="preserve"> PAGE   \* MERGEFORMAT </w:instrText>
    </w:r>
    <w:r>
      <w:fldChar w:fldCharType="separate"/>
    </w:r>
    <w:r w:rsidR="007E0AC1">
      <w:rPr>
        <w:noProof/>
      </w:rPr>
      <w:t>11</w:t>
    </w:r>
    <w:r>
      <w:fldChar w:fldCharType="end"/>
    </w:r>
  </w:p>
  <w:p w:rsidR="00FC20A1" w:rsidRDefault="00FC2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AD" w:rsidRDefault="008857AD" w:rsidP="00C50FEE">
      <w:pPr>
        <w:spacing w:after="0" w:line="240" w:lineRule="auto"/>
      </w:pPr>
      <w:r>
        <w:separator/>
      </w:r>
    </w:p>
  </w:footnote>
  <w:footnote w:type="continuationSeparator" w:id="0">
    <w:p w:rsidR="008857AD" w:rsidRDefault="008857AD" w:rsidP="00C50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5E7E"/>
    <w:multiLevelType w:val="hybridMultilevel"/>
    <w:tmpl w:val="B3E0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65C83"/>
    <w:multiLevelType w:val="hybridMultilevel"/>
    <w:tmpl w:val="8B5CBB80"/>
    <w:lvl w:ilvl="0" w:tplc="C3760A82">
      <w:start w:val="1"/>
      <w:numFmt w:val="lowerLetter"/>
      <w:lvlText w:val="(%1)"/>
      <w:lvlJc w:val="left"/>
      <w:pPr>
        <w:tabs>
          <w:tab w:val="num" w:pos="400"/>
        </w:tabs>
        <w:ind w:left="760" w:hanging="360"/>
      </w:pPr>
      <w:rPr>
        <w:rFonts w:hint="default"/>
      </w:rPr>
    </w:lvl>
    <w:lvl w:ilvl="1" w:tplc="0C090019" w:tentative="1">
      <w:start w:val="1"/>
      <w:numFmt w:val="lowerLetter"/>
      <w:lvlText w:val="%2."/>
      <w:lvlJc w:val="left"/>
      <w:pPr>
        <w:tabs>
          <w:tab w:val="num" w:pos="1640"/>
        </w:tabs>
        <w:ind w:left="1640" w:hanging="360"/>
      </w:pPr>
    </w:lvl>
    <w:lvl w:ilvl="2" w:tplc="0C09001B" w:tentative="1">
      <w:start w:val="1"/>
      <w:numFmt w:val="lowerRoman"/>
      <w:lvlText w:val="%3."/>
      <w:lvlJc w:val="right"/>
      <w:pPr>
        <w:tabs>
          <w:tab w:val="num" w:pos="2360"/>
        </w:tabs>
        <w:ind w:left="2360" w:hanging="180"/>
      </w:pPr>
    </w:lvl>
    <w:lvl w:ilvl="3" w:tplc="0C09000F" w:tentative="1">
      <w:start w:val="1"/>
      <w:numFmt w:val="decimal"/>
      <w:lvlText w:val="%4."/>
      <w:lvlJc w:val="left"/>
      <w:pPr>
        <w:tabs>
          <w:tab w:val="num" w:pos="3080"/>
        </w:tabs>
        <w:ind w:left="3080" w:hanging="360"/>
      </w:pPr>
    </w:lvl>
    <w:lvl w:ilvl="4" w:tplc="0C090019" w:tentative="1">
      <w:start w:val="1"/>
      <w:numFmt w:val="lowerLetter"/>
      <w:lvlText w:val="%5."/>
      <w:lvlJc w:val="left"/>
      <w:pPr>
        <w:tabs>
          <w:tab w:val="num" w:pos="3800"/>
        </w:tabs>
        <w:ind w:left="3800" w:hanging="360"/>
      </w:pPr>
    </w:lvl>
    <w:lvl w:ilvl="5" w:tplc="0C09001B" w:tentative="1">
      <w:start w:val="1"/>
      <w:numFmt w:val="lowerRoman"/>
      <w:lvlText w:val="%6."/>
      <w:lvlJc w:val="right"/>
      <w:pPr>
        <w:tabs>
          <w:tab w:val="num" w:pos="4520"/>
        </w:tabs>
        <w:ind w:left="4520" w:hanging="180"/>
      </w:pPr>
    </w:lvl>
    <w:lvl w:ilvl="6" w:tplc="0C09000F" w:tentative="1">
      <w:start w:val="1"/>
      <w:numFmt w:val="decimal"/>
      <w:lvlText w:val="%7."/>
      <w:lvlJc w:val="left"/>
      <w:pPr>
        <w:tabs>
          <w:tab w:val="num" w:pos="5240"/>
        </w:tabs>
        <w:ind w:left="5240" w:hanging="360"/>
      </w:pPr>
    </w:lvl>
    <w:lvl w:ilvl="7" w:tplc="0C090019" w:tentative="1">
      <w:start w:val="1"/>
      <w:numFmt w:val="lowerLetter"/>
      <w:lvlText w:val="%8."/>
      <w:lvlJc w:val="left"/>
      <w:pPr>
        <w:tabs>
          <w:tab w:val="num" w:pos="5960"/>
        </w:tabs>
        <w:ind w:left="5960" w:hanging="360"/>
      </w:pPr>
    </w:lvl>
    <w:lvl w:ilvl="8" w:tplc="0C09001B" w:tentative="1">
      <w:start w:val="1"/>
      <w:numFmt w:val="lowerRoman"/>
      <w:lvlText w:val="%9."/>
      <w:lvlJc w:val="right"/>
      <w:pPr>
        <w:tabs>
          <w:tab w:val="num" w:pos="6680"/>
        </w:tabs>
        <w:ind w:left="6680" w:hanging="180"/>
      </w:pPr>
    </w:lvl>
  </w:abstractNum>
  <w:abstractNum w:abstractNumId="2">
    <w:nsid w:val="12F20E2F"/>
    <w:multiLevelType w:val="hybridMultilevel"/>
    <w:tmpl w:val="C39E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237C5"/>
    <w:multiLevelType w:val="multilevel"/>
    <w:tmpl w:val="EDDCAC0A"/>
    <w:lvl w:ilvl="0">
      <w:start w:val="1"/>
      <w:numFmt w:val="decimal"/>
      <w:lvlRestart w:val="0"/>
      <w:pStyle w:val="OutlineNumbered1"/>
      <w:lvlText w:val="%1."/>
      <w:lvlJc w:val="left"/>
      <w:pPr>
        <w:tabs>
          <w:tab w:val="num" w:pos="567"/>
        </w:tabs>
        <w:ind w:left="567" w:hanging="567"/>
      </w:pPr>
      <w:rPr>
        <w:rFonts w:cs="Times New Roman" w:hint="default"/>
        <w:b w:val="0"/>
        <w:i w:val="0"/>
      </w:rPr>
    </w:lvl>
    <w:lvl w:ilvl="1">
      <w:start w:val="1"/>
      <w:numFmt w:val="decimal"/>
      <w:pStyle w:val="OutlineNumbered2"/>
      <w:lvlText w:val="%1.%2."/>
      <w:lvlJc w:val="left"/>
      <w:pPr>
        <w:tabs>
          <w:tab w:val="num" w:pos="1134"/>
        </w:tabs>
        <w:ind w:left="1134" w:hanging="567"/>
      </w:pPr>
      <w:rPr>
        <w:rFonts w:cs="Times New Roman" w:hint="default"/>
        <w:b w:val="0"/>
        <w:i w:val="0"/>
      </w:rPr>
    </w:lvl>
    <w:lvl w:ilvl="2">
      <w:start w:val="1"/>
      <w:numFmt w:val="decimal"/>
      <w:pStyle w:val="OutlineNumbered3"/>
      <w:lvlText w:val="%1.%2.%3."/>
      <w:lvlJc w:val="left"/>
      <w:pPr>
        <w:tabs>
          <w:tab w:val="num" w:pos="1701"/>
        </w:tabs>
        <w:ind w:left="1701" w:hanging="567"/>
      </w:pPr>
      <w:rPr>
        <w:rFonts w:cs="Times New Roman" w:hint="default"/>
        <w:b w:val="0"/>
        <w:i w:val="0"/>
      </w:rPr>
    </w:lvl>
    <w:lvl w:ilvl="3">
      <w:start w:val="1"/>
      <w:numFmt w:val="decimal"/>
      <w:lvlText w:val="%1.%2.%3.%4"/>
      <w:lvlJc w:val="left"/>
      <w:pPr>
        <w:tabs>
          <w:tab w:val="num" w:pos="2551"/>
        </w:tabs>
        <w:ind w:left="2551" w:hanging="850"/>
      </w:pPr>
      <w:rPr>
        <w:rFonts w:cs="Times New Roman" w:hint="default"/>
        <w:b w:val="0"/>
        <w:i w:val="0"/>
      </w:rPr>
    </w:lvl>
    <w:lvl w:ilvl="4">
      <w:start w:val="1"/>
      <w:numFmt w:val="lowerLetter"/>
      <w:pStyle w:val="OutlineNumbered5"/>
      <w:lvlText w:val="(%5)"/>
      <w:lvlJc w:val="left"/>
      <w:pPr>
        <w:tabs>
          <w:tab w:val="num" w:pos="2835"/>
        </w:tabs>
        <w:ind w:left="2835" w:hanging="567"/>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4">
    <w:nsid w:val="2948659D"/>
    <w:multiLevelType w:val="hybridMultilevel"/>
    <w:tmpl w:val="EACE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11432"/>
    <w:multiLevelType w:val="hybridMultilevel"/>
    <w:tmpl w:val="D0C0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96A5C"/>
    <w:multiLevelType w:val="hybridMultilevel"/>
    <w:tmpl w:val="4268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E3E26"/>
    <w:multiLevelType w:val="hybridMultilevel"/>
    <w:tmpl w:val="0552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614E2"/>
    <w:multiLevelType w:val="hybridMultilevel"/>
    <w:tmpl w:val="8A88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D6094"/>
    <w:multiLevelType w:val="hybridMultilevel"/>
    <w:tmpl w:val="AACE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C07E1"/>
    <w:multiLevelType w:val="hybridMultilevel"/>
    <w:tmpl w:val="EFDE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D7CF6"/>
    <w:multiLevelType w:val="hybridMultilevel"/>
    <w:tmpl w:val="82DA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7"/>
  </w:num>
  <w:num w:numId="5">
    <w:abstractNumId w:val="5"/>
  </w:num>
  <w:num w:numId="6">
    <w:abstractNumId w:val="6"/>
  </w:num>
  <w:num w:numId="7">
    <w:abstractNumId w:val="0"/>
  </w:num>
  <w:num w:numId="8">
    <w:abstractNumId w:val="4"/>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15A"/>
    <w:rsid w:val="00080DB4"/>
    <w:rsid w:val="0008387B"/>
    <w:rsid w:val="00092418"/>
    <w:rsid w:val="000A1C2C"/>
    <w:rsid w:val="000C424F"/>
    <w:rsid w:val="00101462"/>
    <w:rsid w:val="00124464"/>
    <w:rsid w:val="00152C6F"/>
    <w:rsid w:val="0016483C"/>
    <w:rsid w:val="00172BFC"/>
    <w:rsid w:val="001B04CC"/>
    <w:rsid w:val="001B0B72"/>
    <w:rsid w:val="00226AC2"/>
    <w:rsid w:val="0025519E"/>
    <w:rsid w:val="00264A30"/>
    <w:rsid w:val="00286071"/>
    <w:rsid w:val="002E3440"/>
    <w:rsid w:val="003227AA"/>
    <w:rsid w:val="0035083C"/>
    <w:rsid w:val="00380BB9"/>
    <w:rsid w:val="003B3A59"/>
    <w:rsid w:val="003F72D8"/>
    <w:rsid w:val="00426852"/>
    <w:rsid w:val="00454F06"/>
    <w:rsid w:val="00460245"/>
    <w:rsid w:val="004805E2"/>
    <w:rsid w:val="004C13E2"/>
    <w:rsid w:val="004D0B31"/>
    <w:rsid w:val="0051082A"/>
    <w:rsid w:val="0055153F"/>
    <w:rsid w:val="00553C29"/>
    <w:rsid w:val="00564847"/>
    <w:rsid w:val="00594CD1"/>
    <w:rsid w:val="00596806"/>
    <w:rsid w:val="005C6B33"/>
    <w:rsid w:val="005D1F65"/>
    <w:rsid w:val="005D204A"/>
    <w:rsid w:val="005E59EA"/>
    <w:rsid w:val="006349E8"/>
    <w:rsid w:val="006928A8"/>
    <w:rsid w:val="006C460E"/>
    <w:rsid w:val="006F2315"/>
    <w:rsid w:val="00706D42"/>
    <w:rsid w:val="0072219F"/>
    <w:rsid w:val="00731634"/>
    <w:rsid w:val="00772E21"/>
    <w:rsid w:val="00775917"/>
    <w:rsid w:val="00797998"/>
    <w:rsid w:val="007C14C7"/>
    <w:rsid w:val="007D5CA0"/>
    <w:rsid w:val="007E0AC1"/>
    <w:rsid w:val="00805CED"/>
    <w:rsid w:val="00845E0A"/>
    <w:rsid w:val="00860344"/>
    <w:rsid w:val="008724DD"/>
    <w:rsid w:val="008800BF"/>
    <w:rsid w:val="00882D5B"/>
    <w:rsid w:val="008857AD"/>
    <w:rsid w:val="00941911"/>
    <w:rsid w:val="0096573A"/>
    <w:rsid w:val="00986012"/>
    <w:rsid w:val="009B2907"/>
    <w:rsid w:val="009B42F8"/>
    <w:rsid w:val="00A2715A"/>
    <w:rsid w:val="00AB5564"/>
    <w:rsid w:val="00AD416F"/>
    <w:rsid w:val="00AE7CFD"/>
    <w:rsid w:val="00B66E43"/>
    <w:rsid w:val="00B70259"/>
    <w:rsid w:val="00B7184A"/>
    <w:rsid w:val="00BA6052"/>
    <w:rsid w:val="00C32644"/>
    <w:rsid w:val="00C50FEE"/>
    <w:rsid w:val="00C55C41"/>
    <w:rsid w:val="00C66172"/>
    <w:rsid w:val="00CB77A4"/>
    <w:rsid w:val="00CB7D74"/>
    <w:rsid w:val="00CC67BF"/>
    <w:rsid w:val="00CE1B04"/>
    <w:rsid w:val="00D03E58"/>
    <w:rsid w:val="00D12AF3"/>
    <w:rsid w:val="00D30002"/>
    <w:rsid w:val="00E10A2C"/>
    <w:rsid w:val="00E36DDD"/>
    <w:rsid w:val="00E8128D"/>
    <w:rsid w:val="00EA6E0D"/>
    <w:rsid w:val="00ED3792"/>
    <w:rsid w:val="00F13DEF"/>
    <w:rsid w:val="00F26E71"/>
    <w:rsid w:val="00F410A2"/>
    <w:rsid w:val="00F75027"/>
    <w:rsid w:val="00FC0573"/>
    <w:rsid w:val="00FC20A1"/>
    <w:rsid w:val="00FC36BC"/>
    <w:rsid w:val="00FC5E8A"/>
    <w:rsid w:val="00FC7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07"/>
    <w:pPr>
      <w:spacing w:after="200" w:line="276" w:lineRule="auto"/>
    </w:pPr>
    <w:rPr>
      <w:sz w:val="22"/>
      <w:szCs w:val="22"/>
      <w:lang w:val="en-US" w:eastAsia="en-US"/>
    </w:rPr>
  </w:style>
  <w:style w:type="paragraph" w:styleId="Heading2">
    <w:name w:val="heading 2"/>
    <w:basedOn w:val="Normal"/>
    <w:next w:val="Normal"/>
    <w:link w:val="Heading2Char"/>
    <w:qFormat/>
    <w:rsid w:val="007C14C7"/>
    <w:pPr>
      <w:keepNext/>
      <w:tabs>
        <w:tab w:val="left" w:pos="851"/>
        <w:tab w:val="left" w:pos="1418"/>
        <w:tab w:val="left" w:pos="1985"/>
      </w:tabs>
      <w:spacing w:after="0" w:line="240" w:lineRule="auto"/>
      <w:outlineLvl w:val="1"/>
    </w:pPr>
    <w:rPr>
      <w:rFonts w:ascii="Arial" w:eastAsia="Times New Roman"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0FEE"/>
    <w:pPr>
      <w:tabs>
        <w:tab w:val="center" w:pos="4680"/>
        <w:tab w:val="right" w:pos="9360"/>
      </w:tabs>
    </w:pPr>
  </w:style>
  <w:style w:type="character" w:customStyle="1" w:styleId="HeaderChar">
    <w:name w:val="Header Char"/>
    <w:basedOn w:val="DefaultParagraphFont"/>
    <w:link w:val="Header"/>
    <w:uiPriority w:val="99"/>
    <w:semiHidden/>
    <w:rsid w:val="00C50FEE"/>
    <w:rPr>
      <w:sz w:val="22"/>
      <w:szCs w:val="22"/>
    </w:rPr>
  </w:style>
  <w:style w:type="paragraph" w:styleId="Footer">
    <w:name w:val="footer"/>
    <w:basedOn w:val="Normal"/>
    <w:link w:val="FooterChar"/>
    <w:unhideWhenUsed/>
    <w:rsid w:val="00C50FEE"/>
    <w:pPr>
      <w:tabs>
        <w:tab w:val="center" w:pos="4680"/>
        <w:tab w:val="right" w:pos="9360"/>
      </w:tabs>
    </w:pPr>
  </w:style>
  <w:style w:type="character" w:customStyle="1" w:styleId="FooterChar">
    <w:name w:val="Footer Char"/>
    <w:basedOn w:val="DefaultParagraphFont"/>
    <w:link w:val="Footer"/>
    <w:rsid w:val="00C50FEE"/>
    <w:rPr>
      <w:sz w:val="22"/>
      <w:szCs w:val="22"/>
    </w:rPr>
  </w:style>
  <w:style w:type="character" w:customStyle="1" w:styleId="Heading2Char">
    <w:name w:val="Heading 2 Char"/>
    <w:basedOn w:val="DefaultParagraphFont"/>
    <w:link w:val="Heading2"/>
    <w:rsid w:val="007C14C7"/>
    <w:rPr>
      <w:rFonts w:ascii="Arial" w:eastAsia="Times New Roman" w:hAnsi="Arial"/>
      <w:b/>
      <w:snapToGrid w:val="0"/>
    </w:rPr>
  </w:style>
  <w:style w:type="character" w:styleId="PageNumber">
    <w:name w:val="page number"/>
    <w:basedOn w:val="DefaultParagraphFont"/>
    <w:rsid w:val="007C14C7"/>
    <w:rPr>
      <w:rFonts w:ascii="Arial" w:hAnsi="Arial"/>
      <w:sz w:val="18"/>
    </w:rPr>
  </w:style>
  <w:style w:type="paragraph" w:customStyle="1" w:styleId="OutlineNumbered1">
    <w:name w:val="Outline Numbered 1"/>
    <w:basedOn w:val="Normal"/>
    <w:link w:val="OutlineNumbered1Char"/>
    <w:rsid w:val="00264A30"/>
    <w:pPr>
      <w:numPr>
        <w:numId w:val="10"/>
      </w:numPr>
      <w:tabs>
        <w:tab w:val="clear" w:pos="567"/>
        <w:tab w:val="num" w:pos="360"/>
      </w:tabs>
      <w:spacing w:after="240" w:line="280" w:lineRule="exact"/>
      <w:ind w:left="0" w:firstLine="0"/>
      <w:jc w:val="both"/>
    </w:pPr>
    <w:rPr>
      <w:rFonts w:eastAsia="Times New Roman"/>
      <w:color w:val="000000"/>
      <w:szCs w:val="20"/>
      <w:lang w:val="en-AU" w:eastAsia="en-AU"/>
    </w:rPr>
  </w:style>
  <w:style w:type="paragraph" w:customStyle="1" w:styleId="OutlineNumbered2">
    <w:name w:val="Outline Numbered 2"/>
    <w:basedOn w:val="Normal"/>
    <w:rsid w:val="00264A30"/>
    <w:pPr>
      <w:numPr>
        <w:ilvl w:val="1"/>
        <w:numId w:val="10"/>
      </w:numPr>
      <w:tabs>
        <w:tab w:val="clear" w:pos="1134"/>
        <w:tab w:val="num" w:pos="360"/>
      </w:tabs>
      <w:spacing w:after="240" w:line="280" w:lineRule="exact"/>
      <w:ind w:left="0" w:firstLine="0"/>
      <w:jc w:val="both"/>
    </w:pPr>
    <w:rPr>
      <w:rFonts w:eastAsia="Times New Roman"/>
      <w:color w:val="000000"/>
      <w:szCs w:val="20"/>
      <w:lang w:val="en-AU" w:eastAsia="en-AU"/>
    </w:rPr>
  </w:style>
  <w:style w:type="paragraph" w:customStyle="1" w:styleId="OutlineNumbered3">
    <w:name w:val="Outline Numbered 3"/>
    <w:basedOn w:val="Normal"/>
    <w:rsid w:val="00264A30"/>
    <w:pPr>
      <w:numPr>
        <w:ilvl w:val="2"/>
        <w:numId w:val="10"/>
      </w:numPr>
      <w:spacing w:after="240" w:line="280" w:lineRule="exact"/>
      <w:jc w:val="both"/>
    </w:pPr>
    <w:rPr>
      <w:rFonts w:eastAsia="Times New Roman"/>
      <w:color w:val="000000"/>
      <w:szCs w:val="20"/>
      <w:lang w:val="en-AU" w:eastAsia="en-AU"/>
    </w:rPr>
  </w:style>
  <w:style w:type="paragraph" w:customStyle="1" w:styleId="OutlineNumbered5">
    <w:name w:val="Outline Numbered 5"/>
    <w:basedOn w:val="Normal"/>
    <w:rsid w:val="00264A30"/>
    <w:pPr>
      <w:numPr>
        <w:ilvl w:val="4"/>
        <w:numId w:val="10"/>
      </w:numPr>
      <w:spacing w:after="240" w:line="280" w:lineRule="exact"/>
      <w:jc w:val="both"/>
    </w:pPr>
    <w:rPr>
      <w:rFonts w:eastAsia="Times New Roman"/>
      <w:color w:val="000000"/>
      <w:szCs w:val="20"/>
      <w:lang w:val="en-AU" w:eastAsia="en-AU"/>
    </w:rPr>
  </w:style>
  <w:style w:type="character" w:customStyle="1" w:styleId="OutlineNumbered1Char">
    <w:name w:val="Outline Numbered 1 Char"/>
    <w:basedOn w:val="DefaultParagraphFont"/>
    <w:link w:val="OutlineNumbered1"/>
    <w:locked/>
    <w:rsid w:val="00264A30"/>
    <w:rPr>
      <w:rFonts w:ascii="Calibri" w:eastAsia="Times New Roman" w:hAnsi="Calibri"/>
      <w:color w:val="000000"/>
      <w:sz w:val="22"/>
      <w:lang w:val="en-AU" w:eastAsia="en-AU"/>
    </w:rPr>
  </w:style>
  <w:style w:type="paragraph" w:styleId="FootnoteText">
    <w:name w:val="footnote text"/>
    <w:basedOn w:val="Normal"/>
    <w:link w:val="FootnoteTextChar"/>
    <w:uiPriority w:val="99"/>
    <w:rsid w:val="00264A30"/>
    <w:pPr>
      <w:tabs>
        <w:tab w:val="left" w:pos="284"/>
      </w:tabs>
      <w:spacing w:after="0" w:line="240" w:lineRule="auto"/>
      <w:ind w:left="284" w:hanging="284"/>
      <w:jc w:val="both"/>
    </w:pPr>
    <w:rPr>
      <w:rFonts w:eastAsia="Times New Roman"/>
      <w:color w:val="000000"/>
      <w:sz w:val="18"/>
      <w:szCs w:val="20"/>
      <w:lang w:val="en-AU" w:eastAsia="en-AU"/>
    </w:rPr>
  </w:style>
  <w:style w:type="character" w:customStyle="1" w:styleId="FootnoteTextChar">
    <w:name w:val="Footnote Text Char"/>
    <w:basedOn w:val="DefaultParagraphFont"/>
    <w:link w:val="FootnoteText"/>
    <w:uiPriority w:val="99"/>
    <w:rsid w:val="00264A30"/>
    <w:rPr>
      <w:rFonts w:ascii="Calibri" w:eastAsia="Times New Roman" w:hAnsi="Calibri"/>
      <w:color w:val="000000"/>
      <w:sz w:val="18"/>
      <w:lang w:val="en-AU" w:eastAsia="en-AU"/>
    </w:rPr>
  </w:style>
  <w:style w:type="character" w:styleId="FootnoteReference">
    <w:name w:val="footnote reference"/>
    <w:basedOn w:val="DefaultParagraphFont"/>
    <w:uiPriority w:val="99"/>
    <w:rsid w:val="00264A30"/>
    <w:rPr>
      <w:rFonts w:cs="Times New Roman"/>
      <w:vertAlign w:val="superscript"/>
    </w:rPr>
  </w:style>
  <w:style w:type="paragraph" w:customStyle="1" w:styleId="IansTemplate">
    <w:name w:val="Ian's Template"/>
    <w:basedOn w:val="Normal"/>
    <w:link w:val="IansTemplateChar"/>
    <w:rsid w:val="00D30002"/>
    <w:pPr>
      <w:spacing w:after="120" w:line="360" w:lineRule="auto"/>
      <w:ind w:left="200" w:right="200"/>
    </w:pPr>
    <w:rPr>
      <w:rFonts w:ascii="Arial" w:eastAsia="Times New Roman" w:hAnsi="Arial" w:cs="Arial"/>
      <w:bCs/>
      <w:sz w:val="20"/>
      <w:szCs w:val="20"/>
    </w:rPr>
  </w:style>
  <w:style w:type="character" w:customStyle="1" w:styleId="IansTemplateChar">
    <w:name w:val="Ian's Template Char"/>
    <w:basedOn w:val="DefaultParagraphFont"/>
    <w:link w:val="IansTemplate"/>
    <w:rsid w:val="00D30002"/>
    <w:rPr>
      <w:rFonts w:ascii="Arial" w:eastAsia="Times New Roman" w:hAnsi="Arial"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4268">
      <w:bodyDiv w:val="1"/>
      <w:marLeft w:val="0"/>
      <w:marRight w:val="0"/>
      <w:marTop w:val="0"/>
      <w:marBottom w:val="0"/>
      <w:divBdr>
        <w:top w:val="none" w:sz="0" w:space="0" w:color="auto"/>
        <w:left w:val="none" w:sz="0" w:space="0" w:color="auto"/>
        <w:bottom w:val="none" w:sz="0" w:space="0" w:color="auto"/>
        <w:right w:val="none" w:sz="0" w:space="0" w:color="auto"/>
      </w:divBdr>
    </w:div>
    <w:div w:id="190807795">
      <w:bodyDiv w:val="1"/>
      <w:marLeft w:val="0"/>
      <w:marRight w:val="0"/>
      <w:marTop w:val="0"/>
      <w:marBottom w:val="0"/>
      <w:divBdr>
        <w:top w:val="none" w:sz="0" w:space="0" w:color="auto"/>
        <w:left w:val="none" w:sz="0" w:space="0" w:color="auto"/>
        <w:bottom w:val="none" w:sz="0" w:space="0" w:color="auto"/>
        <w:right w:val="none" w:sz="0" w:space="0" w:color="auto"/>
      </w:divBdr>
    </w:div>
    <w:div w:id="1558661350">
      <w:bodyDiv w:val="1"/>
      <w:marLeft w:val="0"/>
      <w:marRight w:val="0"/>
      <w:marTop w:val="0"/>
      <w:marBottom w:val="0"/>
      <w:divBdr>
        <w:top w:val="none" w:sz="0" w:space="0" w:color="auto"/>
        <w:left w:val="none" w:sz="0" w:space="0" w:color="auto"/>
        <w:bottom w:val="none" w:sz="0" w:space="0" w:color="auto"/>
        <w:right w:val="none" w:sz="0" w:space="0" w:color="auto"/>
      </w:divBdr>
    </w:div>
    <w:div w:id="1648784616">
      <w:bodyDiv w:val="1"/>
      <w:marLeft w:val="0"/>
      <w:marRight w:val="0"/>
      <w:marTop w:val="0"/>
      <w:marBottom w:val="0"/>
      <w:divBdr>
        <w:top w:val="none" w:sz="0" w:space="0" w:color="auto"/>
        <w:left w:val="none" w:sz="0" w:space="0" w:color="auto"/>
        <w:bottom w:val="none" w:sz="0" w:space="0" w:color="auto"/>
        <w:right w:val="none" w:sz="0" w:space="0" w:color="auto"/>
      </w:divBdr>
    </w:div>
    <w:div w:id="17362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3271</Words>
  <Characters>17012</Characters>
  <Application>Microsoft Office Word</Application>
  <DocSecurity>0</DocSecurity>
  <Lines>515</Lines>
  <Paragraphs>215</Paragraphs>
  <ScaleCrop>false</ScaleCrop>
  <HeadingPairs>
    <vt:vector size="2" baseType="variant">
      <vt:variant>
        <vt:lpstr>Title</vt:lpstr>
      </vt:variant>
      <vt:variant>
        <vt:i4>1</vt:i4>
      </vt:variant>
    </vt:vector>
  </HeadingPairs>
  <TitlesOfParts>
    <vt:vector size="1" baseType="lpstr">
      <vt:lpstr>Submission:Modernising the Taxation of Trust Income</vt:lpstr>
    </vt:vector>
  </TitlesOfParts>
  <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Submission:Modernising the Taxation of Trust Income</dc:title>
  <dc:subject/>
  <dc:creator>Submitted by Ian Gray Solicitor</dc:creator>
  <cp:keywords/>
  <dc:description/>
  <cp:lastModifiedBy>Mai, Yuanyuan</cp:lastModifiedBy>
  <cp:revision>3</cp:revision>
  <dcterms:created xsi:type="dcterms:W3CDTF">2012-02-07T03:02:00Z</dcterms:created>
  <dcterms:modified xsi:type="dcterms:W3CDTF">2012-07-26T07:18:00Z</dcterms:modified>
</cp:coreProperties>
</file>