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CAC" w:rsidRDefault="00023FBE">
      <w:pPr>
        <w:rPr>
          <w:rFonts w:ascii="Arial Narrow" w:hAnsi="Arial Narrow"/>
          <w:noProof/>
        </w:rPr>
      </w:pPr>
      <w:bookmarkStart w:id="0" w:name="_GoBack"/>
      <w:bookmarkEnd w:id="0"/>
      <w:r>
        <w:rPr>
          <w:noProof/>
        </w:rPr>
        <w:pict>
          <v:shape id="_x0000_s1033" type="#_x0000_t75" style="position:absolute;margin-left:-75.15pt;margin-top:-91.1pt;width:598pt;height:846.6pt;z-index:-251658752;mso-wrap-edited:f" wrapcoords="-37 0 -37 21547 21599 21547 21599 0 -37 0">
            <v:imagedata r:id="rId9" o:title="NO099_Submission 01B front v2"/>
          </v:shape>
        </w:pict>
      </w:r>
    </w:p>
    <w:p w:rsidR="00E25CAC" w:rsidRDefault="00E25CAC">
      <w:pPr>
        <w:rPr>
          <w:rFonts w:ascii="Arial Narrow" w:hAnsi="Arial Narrow"/>
        </w:rPr>
      </w:pPr>
    </w:p>
    <w:p w:rsidR="00E25CAC" w:rsidRDefault="00023FBE">
      <w:pPr>
        <w:jc w:val="center"/>
        <w:rPr>
          <w:rFonts w:ascii="Arial Narrow" w:hAnsi="Arial Narrow"/>
        </w:rPr>
        <w:sectPr w:rsidR="00E25CAC" w:rsidSect="00E25CAC">
          <w:pgSz w:w="11899" w:h="16838"/>
          <w:pgMar w:top="1733" w:right="1440" w:bottom="2845" w:left="1440" w:header="1440" w:footer="2552" w:gutter="0"/>
          <w:cols w:space="720"/>
          <w:docGrid w:linePitch="360"/>
        </w:sectPr>
      </w:pPr>
      <w:r>
        <w:pict>
          <v:shapetype id="_x0000_t202" coordsize="21600,21600" o:spt="202" path="m,l,21600r21600,l21600,xe">
            <v:stroke joinstyle="miter"/>
            <v:path gradientshapeok="t" o:connecttype="rect"/>
          </v:shapetype>
          <v:shape id="_x0000_s1029" type="#_x0000_t202" style="position:absolute;left:0;text-align:left;margin-left:178pt;margin-top:478.25pt;width:321.3pt;height:104.2pt;z-index:251656704;mso-wrap-distance-left:9.05pt;mso-wrap-distance-right:9.05pt" stroked="f">
            <v:fill opacity="0" color2="black"/>
            <v:textbox style="mso-next-textbox:#_x0000_s1029" inset="0,0,0,0">
              <w:txbxContent>
                <w:p w:rsidR="00211CA9" w:rsidRPr="009E6F05" w:rsidRDefault="00211CA9" w:rsidP="00E25CAC">
                  <w:pPr>
                    <w:jc w:val="right"/>
                    <w:rPr>
                      <w:rFonts w:ascii="Arial" w:hAnsi="Arial"/>
                      <w:color w:val="2B3229"/>
                    </w:rPr>
                  </w:pPr>
                  <w:r w:rsidRPr="009E6F05">
                    <w:rPr>
                      <w:rFonts w:ascii="Arial" w:hAnsi="Arial"/>
                      <w:color w:val="2B3229"/>
                    </w:rPr>
                    <w:t>The Institute</w:t>
                  </w:r>
                  <w:r>
                    <w:rPr>
                      <w:rFonts w:ascii="Arial" w:hAnsi="Arial"/>
                      <w:color w:val="2B3229"/>
                    </w:rPr>
                    <w:t xml:space="preserve"> </w:t>
                  </w:r>
                  <w:r w:rsidRPr="009E6F05">
                    <w:rPr>
                      <w:rFonts w:ascii="Arial" w:hAnsi="Arial"/>
                      <w:color w:val="2B3229"/>
                    </w:rPr>
                    <w:t>of Public Accountants</w:t>
                  </w:r>
                </w:p>
                <w:p w:rsidR="00211CA9" w:rsidRPr="00C67223" w:rsidRDefault="00211CA9" w:rsidP="00E25CAC">
                  <w:pPr>
                    <w:jc w:val="right"/>
                  </w:pPr>
                </w:p>
                <w:p w:rsidR="00211CA9" w:rsidRPr="003B0AAF" w:rsidRDefault="00211CA9" w:rsidP="00E25CAC">
                  <w:pPr>
                    <w:pStyle w:val="header14ptorangebold"/>
                    <w:jc w:val="right"/>
                    <w:rPr>
                      <w:b/>
                      <w:spacing w:val="-20"/>
                      <w:sz w:val="40"/>
                    </w:rPr>
                  </w:pPr>
                  <w:r>
                    <w:rPr>
                      <w:rFonts w:ascii="Arial" w:hAnsi="Arial" w:cs="Arial"/>
                      <w:b/>
                    </w:rPr>
                    <w:t>Modernising the taxation of trust income – options for reform</w:t>
                  </w:r>
                  <w:r>
                    <w:rPr>
                      <w:b/>
                      <w:spacing w:val="-20"/>
                      <w:sz w:val="40"/>
                    </w:rPr>
                    <w:t xml:space="preserve"> </w:t>
                  </w:r>
                </w:p>
                <w:p w:rsidR="00211CA9" w:rsidRDefault="00211CA9" w:rsidP="00E25CAC">
                  <w:pPr>
                    <w:jc w:val="right"/>
                    <w:rPr>
                      <w:rFonts w:ascii="Arial Bold" w:hAnsi="Arial Bold"/>
                    </w:rPr>
                  </w:pPr>
                </w:p>
                <w:p w:rsidR="00211CA9" w:rsidRPr="003B0AAF" w:rsidRDefault="00211CA9" w:rsidP="00E25CAC">
                  <w:pPr>
                    <w:jc w:val="right"/>
                    <w:rPr>
                      <w:rFonts w:ascii="Arial Bold" w:hAnsi="Arial Bold"/>
                    </w:rPr>
                  </w:pPr>
                  <w:r>
                    <w:rPr>
                      <w:rFonts w:ascii="Arial Bold" w:hAnsi="Arial Bold"/>
                    </w:rPr>
                    <w:t>February 2012</w:t>
                  </w:r>
                </w:p>
              </w:txbxContent>
            </v:textbox>
          </v:shape>
        </w:pict>
      </w:r>
      <w:r>
        <w:rPr>
          <w:noProof/>
        </w:rPr>
        <w:pict>
          <v:shape id="_x0000_s1035" type="#_x0000_t75" style="position:absolute;left:0;text-align:left;margin-left:0;margin-top:750.1pt;width:600pt;height:91.95pt;z-index:-251657728;mso-position-horizontal-relative:page;mso-position-vertical-relative:page">
            <v:imagedata r:id="rId10" o:title="Word A4 footer_grey BG"/>
            <w10:wrap anchorx="page" anchory="page"/>
          </v:shape>
        </w:pict>
      </w:r>
    </w:p>
    <w:p w:rsidR="00E25CAC" w:rsidRDefault="00E25CAC">
      <w:pPr>
        <w:pageBreakBefore/>
        <w:jc w:val="center"/>
        <w:rPr>
          <w:rFonts w:ascii="Arial Narrow" w:hAnsi="Arial Narrow"/>
        </w:rPr>
      </w:pPr>
    </w:p>
    <w:p w:rsidR="00E25CAC" w:rsidRPr="002F6499" w:rsidRDefault="00E25CAC" w:rsidP="00E25CAC">
      <w:pPr>
        <w:pStyle w:val="header14ptorangebold"/>
      </w:pPr>
      <w:r w:rsidRPr="002F6499">
        <w:t>Introduction</w:t>
      </w:r>
    </w:p>
    <w:p w:rsidR="00E25CAC" w:rsidRDefault="00E25CAC">
      <w:pPr>
        <w:rPr>
          <w:rFonts w:ascii="Arial Narrow" w:hAnsi="Arial Narrow"/>
        </w:rPr>
      </w:pPr>
    </w:p>
    <w:p w:rsidR="005D4F91" w:rsidRDefault="00530AB9" w:rsidP="00E25CAC">
      <w:pPr>
        <w:pStyle w:val="BodytextArial10pt"/>
        <w:rPr>
          <w:szCs w:val="24"/>
        </w:rPr>
      </w:pPr>
      <w:r w:rsidRPr="00F500C6">
        <w:rPr>
          <w:szCs w:val="24"/>
        </w:rPr>
        <w:t xml:space="preserve">The </w:t>
      </w:r>
      <w:r>
        <w:rPr>
          <w:szCs w:val="24"/>
        </w:rPr>
        <w:t>IPA</w:t>
      </w:r>
      <w:r w:rsidRPr="00F500C6">
        <w:rPr>
          <w:szCs w:val="24"/>
        </w:rPr>
        <w:t xml:space="preserve"> welcomes the opportunity in providing a submission to </w:t>
      </w:r>
      <w:r w:rsidR="005C13E1">
        <w:rPr>
          <w:szCs w:val="24"/>
        </w:rPr>
        <w:t>Treasury on the</w:t>
      </w:r>
      <w:r w:rsidR="00447871">
        <w:rPr>
          <w:szCs w:val="24"/>
        </w:rPr>
        <w:t xml:space="preserve"> consultation paper</w:t>
      </w:r>
      <w:r>
        <w:rPr>
          <w:szCs w:val="24"/>
        </w:rPr>
        <w:t xml:space="preserve"> </w:t>
      </w:r>
      <w:r>
        <w:rPr>
          <w:b/>
        </w:rPr>
        <w:t>“</w:t>
      </w:r>
      <w:proofErr w:type="spellStart"/>
      <w:r w:rsidR="005C13E1">
        <w:rPr>
          <w:b/>
        </w:rPr>
        <w:t>Modernising</w:t>
      </w:r>
      <w:proofErr w:type="spellEnd"/>
      <w:r w:rsidR="005C13E1">
        <w:rPr>
          <w:b/>
        </w:rPr>
        <w:t xml:space="preserve"> the taxation of trust income – options for reform</w:t>
      </w:r>
      <w:r>
        <w:rPr>
          <w:b/>
        </w:rPr>
        <w:t>”</w:t>
      </w:r>
      <w:r>
        <w:rPr>
          <w:szCs w:val="24"/>
        </w:rPr>
        <w:t>.</w:t>
      </w:r>
      <w:r w:rsidR="00447871">
        <w:rPr>
          <w:szCs w:val="24"/>
        </w:rPr>
        <w:t xml:space="preserve"> Current </w:t>
      </w:r>
      <w:r w:rsidR="00EC4827">
        <w:rPr>
          <w:szCs w:val="24"/>
        </w:rPr>
        <w:t>tax</w:t>
      </w:r>
      <w:r w:rsidR="005C13E1">
        <w:rPr>
          <w:szCs w:val="24"/>
        </w:rPr>
        <w:t>ation treatment of trust</w:t>
      </w:r>
      <w:r w:rsidR="00A5000B">
        <w:rPr>
          <w:szCs w:val="24"/>
        </w:rPr>
        <w:t>s</w:t>
      </w:r>
      <w:r w:rsidR="005C13E1">
        <w:rPr>
          <w:szCs w:val="24"/>
        </w:rPr>
        <w:t xml:space="preserve"> has created</w:t>
      </w:r>
      <w:r w:rsidR="00EB7586">
        <w:rPr>
          <w:szCs w:val="24"/>
        </w:rPr>
        <w:t xml:space="preserve"> much</w:t>
      </w:r>
      <w:r w:rsidR="005C13E1">
        <w:rPr>
          <w:szCs w:val="24"/>
        </w:rPr>
        <w:t xml:space="preserve"> </w:t>
      </w:r>
      <w:r w:rsidR="005E7F9E">
        <w:rPr>
          <w:szCs w:val="24"/>
        </w:rPr>
        <w:t>uncertainty</w:t>
      </w:r>
      <w:r w:rsidR="005C13E1">
        <w:rPr>
          <w:szCs w:val="24"/>
        </w:rPr>
        <w:t xml:space="preserve"> </w:t>
      </w:r>
      <w:r w:rsidR="006A3896">
        <w:rPr>
          <w:szCs w:val="24"/>
        </w:rPr>
        <w:t>which</w:t>
      </w:r>
      <w:r w:rsidR="005C13E1">
        <w:rPr>
          <w:szCs w:val="24"/>
        </w:rPr>
        <w:t xml:space="preserve"> </w:t>
      </w:r>
      <w:r w:rsidR="005E7F9E">
        <w:rPr>
          <w:szCs w:val="24"/>
        </w:rPr>
        <w:t xml:space="preserve">has had a detrimental impact on </w:t>
      </w:r>
      <w:r w:rsidR="005C13E1">
        <w:rPr>
          <w:szCs w:val="24"/>
        </w:rPr>
        <w:t>compliance</w:t>
      </w:r>
      <w:r w:rsidR="005E7F9E">
        <w:rPr>
          <w:szCs w:val="24"/>
        </w:rPr>
        <w:t xml:space="preserve"> cost</w:t>
      </w:r>
      <w:r w:rsidR="00EC4827">
        <w:rPr>
          <w:szCs w:val="24"/>
        </w:rPr>
        <w:t xml:space="preserve"> and is long overdue for change.</w:t>
      </w:r>
    </w:p>
    <w:p w:rsidR="00530AB9" w:rsidRDefault="00EC5586" w:rsidP="00E25CAC">
      <w:pPr>
        <w:pStyle w:val="BodytextArial10pt"/>
        <w:rPr>
          <w:szCs w:val="24"/>
        </w:rPr>
      </w:pPr>
      <w:r>
        <w:rPr>
          <w:szCs w:val="24"/>
        </w:rPr>
        <w:t>Trusts represent important structure in the Australian tax system</w:t>
      </w:r>
      <w:r w:rsidR="00000DA3">
        <w:rPr>
          <w:szCs w:val="24"/>
        </w:rPr>
        <w:t>.</w:t>
      </w:r>
      <w:r>
        <w:rPr>
          <w:szCs w:val="24"/>
        </w:rPr>
        <w:t xml:space="preserve"> </w:t>
      </w:r>
      <w:r w:rsidR="00E21913">
        <w:rPr>
          <w:szCs w:val="24"/>
        </w:rPr>
        <w:t>Th</w:t>
      </w:r>
      <w:r w:rsidR="00EC4827">
        <w:rPr>
          <w:szCs w:val="24"/>
        </w:rPr>
        <w:t xml:space="preserve">e review of the </w:t>
      </w:r>
      <w:r w:rsidR="009C500A">
        <w:rPr>
          <w:szCs w:val="24"/>
        </w:rPr>
        <w:t>current</w:t>
      </w:r>
      <w:r w:rsidR="006D4E05">
        <w:rPr>
          <w:szCs w:val="24"/>
        </w:rPr>
        <w:t xml:space="preserve"> tax</w:t>
      </w:r>
      <w:r w:rsidR="009C500A">
        <w:rPr>
          <w:szCs w:val="24"/>
        </w:rPr>
        <w:t xml:space="preserve"> </w:t>
      </w:r>
      <w:r w:rsidR="00EC4827">
        <w:rPr>
          <w:szCs w:val="24"/>
        </w:rPr>
        <w:t xml:space="preserve">treatment of </w:t>
      </w:r>
      <w:r w:rsidR="00EB7586">
        <w:rPr>
          <w:szCs w:val="24"/>
        </w:rPr>
        <w:t>trust</w:t>
      </w:r>
      <w:r w:rsidR="00A5000B">
        <w:rPr>
          <w:szCs w:val="24"/>
        </w:rPr>
        <w:t>s</w:t>
      </w:r>
      <w:r w:rsidR="00E21913">
        <w:rPr>
          <w:szCs w:val="24"/>
        </w:rPr>
        <w:t xml:space="preserve"> is an important development and </w:t>
      </w:r>
      <w:r>
        <w:rPr>
          <w:szCs w:val="24"/>
        </w:rPr>
        <w:t xml:space="preserve">can potentially </w:t>
      </w:r>
      <w:r w:rsidR="00A11D01">
        <w:rPr>
          <w:szCs w:val="24"/>
        </w:rPr>
        <w:t xml:space="preserve">impact on </w:t>
      </w:r>
      <w:r w:rsidR="00EC4827">
        <w:rPr>
          <w:szCs w:val="24"/>
        </w:rPr>
        <w:t xml:space="preserve">businesses </w:t>
      </w:r>
      <w:r w:rsidR="00EB7586">
        <w:rPr>
          <w:szCs w:val="24"/>
        </w:rPr>
        <w:t xml:space="preserve">and individuals </w:t>
      </w:r>
      <w:r w:rsidR="00EC4827">
        <w:rPr>
          <w:szCs w:val="24"/>
        </w:rPr>
        <w:t xml:space="preserve">operating through </w:t>
      </w:r>
      <w:r w:rsidR="00EB7586">
        <w:rPr>
          <w:szCs w:val="24"/>
        </w:rPr>
        <w:t>trust</w:t>
      </w:r>
      <w:r w:rsidR="00EC4827">
        <w:rPr>
          <w:szCs w:val="24"/>
        </w:rPr>
        <w:t xml:space="preserve"> structures</w:t>
      </w:r>
      <w:r w:rsidR="00166B46">
        <w:rPr>
          <w:szCs w:val="24"/>
        </w:rPr>
        <w:t>.</w:t>
      </w:r>
      <w:r w:rsidR="00E21913">
        <w:rPr>
          <w:szCs w:val="24"/>
        </w:rPr>
        <w:t xml:space="preserve"> </w:t>
      </w:r>
    </w:p>
    <w:p w:rsidR="00E25CAC" w:rsidRPr="00E427CE" w:rsidRDefault="00E25CAC" w:rsidP="00E25CAC">
      <w:pPr>
        <w:pStyle w:val="BodytextArial10pt"/>
      </w:pPr>
      <w:r w:rsidRPr="00E427CE">
        <w:t xml:space="preserve">The </w:t>
      </w:r>
      <w:r>
        <w:t>IPA</w:t>
      </w:r>
      <w:r w:rsidRPr="00E427CE">
        <w:t xml:space="preserve"> is one of the three professional accounting bodies in Australia, representing over 22,000 accountants, business advisers, academics and students throughout Australia and internationally.  The </w:t>
      </w:r>
      <w:r>
        <w:t>IPA</w:t>
      </w:r>
      <w:r w:rsidRPr="00E427CE">
        <w:t xml:space="preserve"> prides itself in not only representing the interests of accountants but also small business and their advisors.  The </w:t>
      </w:r>
      <w:r>
        <w:t>IPA</w:t>
      </w:r>
      <w:r w:rsidRPr="00E427CE">
        <w:t xml:space="preserve"> was first established (in another name) in 1923.</w:t>
      </w:r>
    </w:p>
    <w:p w:rsidR="00E25CAC" w:rsidRPr="00E427CE" w:rsidRDefault="00E25CAC" w:rsidP="00E25CAC">
      <w:pPr>
        <w:pStyle w:val="BodytextArial10pt"/>
      </w:pPr>
      <w:r w:rsidRPr="00E427CE">
        <w:t xml:space="preserve">The </w:t>
      </w:r>
      <w:r>
        <w:t>IPA</w:t>
      </w:r>
      <w:r w:rsidRPr="00E427CE">
        <w:t xml:space="preserve">’s submission has been prepared with the assistance of the </w:t>
      </w:r>
      <w:r>
        <w:t>IPA</w:t>
      </w:r>
      <w:r w:rsidRPr="00E427CE">
        <w:t xml:space="preserve"> </w:t>
      </w:r>
      <w:r w:rsidR="00B469C6">
        <w:t>F</w:t>
      </w:r>
      <w:r w:rsidRPr="00E427CE">
        <w:t>acult</w:t>
      </w:r>
      <w:r w:rsidR="00530AB9">
        <w:t xml:space="preserve">y of </w:t>
      </w:r>
      <w:r w:rsidR="00B469C6">
        <w:t>T</w:t>
      </w:r>
      <w:r w:rsidR="00530AB9">
        <w:t>axation.</w:t>
      </w:r>
      <w:r w:rsidRPr="00E427CE">
        <w:t xml:space="preserve"> We are grateful for their contribution and guidance.  The </w:t>
      </w:r>
      <w:r>
        <w:t>IPA</w:t>
      </w:r>
      <w:r w:rsidRPr="00E427CE">
        <w:t xml:space="preserve"> submission has also benefited from consultation with </w:t>
      </w:r>
      <w:r>
        <w:t>IPA</w:t>
      </w:r>
      <w:r w:rsidRPr="00E427CE">
        <w:t xml:space="preserve"> members who have expressed their views and concerns.  We are also grateful to all those who have taken the time to provide their input.</w:t>
      </w:r>
    </w:p>
    <w:p w:rsidR="005D4F91" w:rsidRDefault="00E25CAC" w:rsidP="00530AB9">
      <w:pPr>
        <w:autoSpaceDE w:val="0"/>
        <w:autoSpaceDN w:val="0"/>
        <w:spacing w:line="181" w:lineRule="atLeast"/>
        <w:rPr>
          <w:rFonts w:ascii="Arial" w:hAnsi="Arial" w:cs="Arial"/>
          <w:sz w:val="20"/>
          <w:szCs w:val="20"/>
        </w:rPr>
      </w:pPr>
      <w:r w:rsidRPr="005D4F91">
        <w:rPr>
          <w:rFonts w:ascii="Arial" w:hAnsi="Arial" w:cs="Arial"/>
          <w:sz w:val="20"/>
          <w:szCs w:val="20"/>
        </w:rPr>
        <w:t xml:space="preserve">We look forward to discussing further and in more detail the IPA’s recommendations with the Government and Treasury.  </w:t>
      </w:r>
    </w:p>
    <w:p w:rsidR="005D4F91" w:rsidRDefault="005D4F91" w:rsidP="00530AB9">
      <w:pPr>
        <w:autoSpaceDE w:val="0"/>
        <w:autoSpaceDN w:val="0"/>
        <w:spacing w:line="181" w:lineRule="atLeast"/>
        <w:rPr>
          <w:rFonts w:ascii="Arial" w:hAnsi="Arial" w:cs="Arial"/>
          <w:sz w:val="20"/>
          <w:szCs w:val="20"/>
        </w:rPr>
      </w:pPr>
    </w:p>
    <w:p w:rsidR="00530AB9" w:rsidRPr="005D4F91" w:rsidRDefault="00E25CAC" w:rsidP="00530AB9">
      <w:pPr>
        <w:autoSpaceDE w:val="0"/>
        <w:autoSpaceDN w:val="0"/>
        <w:spacing w:line="181" w:lineRule="atLeast"/>
        <w:rPr>
          <w:rFonts w:ascii="Arial" w:hAnsi="Arial" w:cs="Arial"/>
          <w:sz w:val="20"/>
          <w:szCs w:val="20"/>
        </w:rPr>
      </w:pPr>
      <w:r w:rsidRPr="005D4F91">
        <w:rPr>
          <w:rFonts w:ascii="Arial" w:hAnsi="Arial" w:cs="Arial"/>
          <w:sz w:val="20"/>
          <w:szCs w:val="20"/>
        </w:rPr>
        <w:t xml:space="preserve">Please address all further </w:t>
      </w:r>
      <w:proofErr w:type="spellStart"/>
      <w:r w:rsidRPr="005D4F91">
        <w:rPr>
          <w:rFonts w:ascii="Arial" w:hAnsi="Arial" w:cs="Arial"/>
          <w:sz w:val="20"/>
          <w:szCs w:val="20"/>
        </w:rPr>
        <w:t>enquires</w:t>
      </w:r>
      <w:proofErr w:type="spellEnd"/>
      <w:r w:rsidRPr="005D4F91">
        <w:rPr>
          <w:rFonts w:ascii="Arial" w:hAnsi="Arial" w:cs="Arial"/>
          <w:sz w:val="20"/>
          <w:szCs w:val="20"/>
        </w:rPr>
        <w:t xml:space="preserve"> to</w:t>
      </w:r>
      <w:r w:rsidR="00530AB9" w:rsidRPr="005D4F91">
        <w:rPr>
          <w:rFonts w:ascii="Arial" w:hAnsi="Arial" w:cs="Arial"/>
          <w:sz w:val="20"/>
          <w:szCs w:val="20"/>
        </w:rPr>
        <w:t>:</w:t>
      </w:r>
      <w:r w:rsidRPr="005D4F91">
        <w:rPr>
          <w:rFonts w:ascii="Arial" w:hAnsi="Arial" w:cs="Arial"/>
          <w:sz w:val="20"/>
          <w:szCs w:val="20"/>
        </w:rPr>
        <w:t xml:space="preserve"> </w:t>
      </w:r>
    </w:p>
    <w:p w:rsidR="00530AB9" w:rsidRDefault="00530AB9" w:rsidP="00530AB9">
      <w:pPr>
        <w:autoSpaceDE w:val="0"/>
        <w:autoSpaceDN w:val="0"/>
        <w:spacing w:line="181" w:lineRule="atLeast"/>
      </w:pPr>
    </w:p>
    <w:p w:rsidR="00530AB9" w:rsidRDefault="00530AB9" w:rsidP="00530AB9">
      <w:pPr>
        <w:autoSpaceDE w:val="0"/>
        <w:autoSpaceDN w:val="0"/>
        <w:spacing w:line="181" w:lineRule="atLeast"/>
        <w:rPr>
          <w:rFonts w:ascii="Arial" w:hAnsi="Arial" w:cs="Arial"/>
          <w:color w:val="808080"/>
          <w:sz w:val="20"/>
          <w:szCs w:val="20"/>
        </w:rPr>
      </w:pPr>
      <w:r>
        <w:rPr>
          <w:rFonts w:ascii="Arial" w:hAnsi="Arial" w:cs="Arial"/>
          <w:b/>
          <w:bCs/>
          <w:color w:val="808080"/>
          <w:sz w:val="20"/>
          <w:szCs w:val="20"/>
        </w:rPr>
        <w:t>Tony Greco</w:t>
      </w:r>
      <w:r>
        <w:rPr>
          <w:rFonts w:ascii="Arial" w:hAnsi="Arial" w:cs="Arial"/>
          <w:color w:val="808080"/>
          <w:sz w:val="20"/>
          <w:szCs w:val="20"/>
        </w:rPr>
        <w:t xml:space="preserve"> </w:t>
      </w:r>
      <w:hyperlink r:id="rId11" w:history="1">
        <w:r>
          <w:rPr>
            <w:rStyle w:val="Hyperlink"/>
            <w:rFonts w:ascii="Arial" w:hAnsi="Arial" w:cs="Arial"/>
            <w:sz w:val="20"/>
            <w:szCs w:val="20"/>
          </w:rPr>
          <w:t>tony.greco@publicaccountants.org.au</w:t>
        </w:r>
      </w:hyperlink>
    </w:p>
    <w:p w:rsidR="00530AB9" w:rsidRDefault="00530AB9" w:rsidP="00530AB9">
      <w:pPr>
        <w:autoSpaceDE w:val="0"/>
        <w:autoSpaceDN w:val="0"/>
        <w:spacing w:line="181" w:lineRule="atLeast"/>
        <w:rPr>
          <w:rFonts w:ascii="Arial" w:hAnsi="Arial" w:cs="Arial"/>
          <w:color w:val="808080"/>
          <w:sz w:val="20"/>
          <w:szCs w:val="20"/>
        </w:rPr>
      </w:pPr>
    </w:p>
    <w:p w:rsidR="00E25CAC" w:rsidRDefault="00E25CAC" w:rsidP="00E25CAC">
      <w:pPr>
        <w:pStyle w:val="BodytextArial10pt"/>
      </w:pPr>
      <w:r w:rsidRPr="00E427CE">
        <w:t xml:space="preserve">Yours </w:t>
      </w:r>
      <w:r w:rsidR="00DE2496">
        <w:t>faithfully</w:t>
      </w:r>
      <w:r w:rsidRPr="00E427CE">
        <w:t xml:space="preserve"> </w:t>
      </w:r>
    </w:p>
    <w:p w:rsidR="00213BE8" w:rsidRDefault="00213BE8" w:rsidP="00E25CAC">
      <w:pPr>
        <w:pStyle w:val="BodytextArial10pt"/>
      </w:pPr>
    </w:p>
    <w:p w:rsidR="00213BE8" w:rsidRDefault="00213BE8" w:rsidP="0005563E">
      <w:pPr>
        <w:pStyle w:val="BodytextArial10pt"/>
      </w:pPr>
      <w:r>
        <w:t>Tony Greco</w:t>
      </w:r>
    </w:p>
    <w:p w:rsidR="00200FE8" w:rsidRPr="00E427CE" w:rsidRDefault="00200FE8" w:rsidP="0005563E">
      <w:pPr>
        <w:pStyle w:val="BodytextArial10pt"/>
      </w:pPr>
      <w:r>
        <w:t>Senior Tax Adviser</w:t>
      </w:r>
    </w:p>
    <w:p w:rsidR="00E25CAC" w:rsidRPr="00E427CE" w:rsidRDefault="00E25CAC" w:rsidP="00E25CAC">
      <w:pPr>
        <w:rPr>
          <w:rFonts w:cs="Arial"/>
          <w:szCs w:val="22"/>
        </w:rPr>
      </w:pPr>
    </w:p>
    <w:p w:rsidR="00E25CAC" w:rsidRPr="00E427CE" w:rsidRDefault="00E25CAC" w:rsidP="00E25CAC">
      <w:pPr>
        <w:rPr>
          <w:rFonts w:cs="Arial"/>
          <w:szCs w:val="22"/>
        </w:rPr>
      </w:pPr>
    </w:p>
    <w:p w:rsidR="00E25CAC" w:rsidRDefault="00E25CAC">
      <w:pPr>
        <w:rPr>
          <w:rFonts w:ascii="Arial Narrow" w:hAnsi="Arial Narrow"/>
        </w:rPr>
      </w:pPr>
    </w:p>
    <w:p w:rsidR="00E25CAC" w:rsidRDefault="00E25CAC">
      <w:pPr>
        <w:rPr>
          <w:rFonts w:ascii="Arial Narrow" w:hAnsi="Arial Narrow"/>
        </w:rPr>
      </w:pPr>
    </w:p>
    <w:p w:rsidR="00E25CAC" w:rsidRDefault="00E25CAC">
      <w:pPr>
        <w:rPr>
          <w:rFonts w:ascii="Arial Narrow" w:hAnsi="Arial Narrow"/>
        </w:rPr>
      </w:pPr>
    </w:p>
    <w:p w:rsidR="00E25CAC" w:rsidRDefault="00E25CAC">
      <w:pPr>
        <w:rPr>
          <w:rFonts w:ascii="Arial Narrow" w:hAnsi="Arial Narrow"/>
        </w:rPr>
      </w:pPr>
    </w:p>
    <w:p w:rsidR="00E25CAC" w:rsidRDefault="00E25CAC">
      <w:pPr>
        <w:rPr>
          <w:rFonts w:ascii="Arial Narrow" w:hAnsi="Arial Narrow"/>
        </w:rPr>
      </w:pPr>
    </w:p>
    <w:p w:rsidR="00E25CAC" w:rsidRDefault="00E25CAC" w:rsidP="00E25CAC">
      <w:pPr>
        <w:pBdr>
          <w:top w:val="single" w:sz="4" w:space="0" w:color="CA5420"/>
          <w:left w:val="single" w:sz="4" w:space="4" w:color="CA5420"/>
          <w:bottom w:val="single" w:sz="4" w:space="0" w:color="CA5420"/>
          <w:right w:val="single" w:sz="4" w:space="4" w:color="CA5420"/>
        </w:pBdr>
        <w:rPr>
          <w:rFonts w:ascii="Arial Narrow" w:hAnsi="Arial Narrow"/>
          <w:color w:val="000080"/>
          <w:sz w:val="20"/>
        </w:rPr>
      </w:pPr>
    </w:p>
    <w:p w:rsidR="00E25CAC" w:rsidRPr="002F6499" w:rsidRDefault="00E25CAC" w:rsidP="00E25CAC">
      <w:pPr>
        <w:pBdr>
          <w:top w:val="single" w:sz="4" w:space="0" w:color="CA5420"/>
          <w:left w:val="single" w:sz="4" w:space="4" w:color="CA5420"/>
          <w:bottom w:val="single" w:sz="4" w:space="0" w:color="CA5420"/>
          <w:right w:val="single" w:sz="4" w:space="4" w:color="CA5420"/>
        </w:pBdr>
        <w:rPr>
          <w:rFonts w:ascii="Arial" w:hAnsi="Arial"/>
          <w:color w:val="2B3229"/>
          <w:sz w:val="20"/>
        </w:rPr>
      </w:pPr>
      <w:r w:rsidRPr="002F6499">
        <w:rPr>
          <w:rFonts w:ascii="Arial" w:hAnsi="Arial"/>
          <w:color w:val="2B3229"/>
          <w:sz w:val="20"/>
        </w:rPr>
        <w:t>COPYRIGHT</w:t>
      </w:r>
    </w:p>
    <w:p w:rsidR="00E25CAC" w:rsidRDefault="00E25CAC" w:rsidP="00E25CAC">
      <w:pPr>
        <w:pBdr>
          <w:top w:val="single" w:sz="4" w:space="0" w:color="CA5420"/>
          <w:left w:val="single" w:sz="4" w:space="4" w:color="CA5420"/>
          <w:bottom w:val="single" w:sz="4" w:space="0" w:color="CA5420"/>
          <w:right w:val="single" w:sz="4" w:space="4" w:color="CA5420"/>
        </w:pBdr>
        <w:rPr>
          <w:rFonts w:ascii="Arial" w:hAnsi="Arial"/>
          <w:sz w:val="16"/>
        </w:rPr>
      </w:pPr>
      <w:r w:rsidRPr="00E35F04">
        <w:rPr>
          <w:rFonts w:ascii="Arial" w:hAnsi="Arial"/>
          <w:sz w:val="16"/>
        </w:rPr>
        <w:t xml:space="preserve">© </w:t>
      </w:r>
      <w:r>
        <w:rPr>
          <w:rFonts w:ascii="Arial" w:hAnsi="Arial"/>
          <w:sz w:val="16"/>
        </w:rPr>
        <w:t xml:space="preserve">Institute of Public Accountants </w:t>
      </w:r>
      <w:r w:rsidRPr="00E35F04">
        <w:rPr>
          <w:rFonts w:ascii="Arial" w:hAnsi="Arial"/>
          <w:sz w:val="16"/>
        </w:rPr>
        <w:t xml:space="preserve">(ABN 81 004 130 643) 2008.  All rights reserved.  Save and except for third party content, </w:t>
      </w:r>
      <w:r w:rsidRPr="00E35F04">
        <w:rPr>
          <w:rFonts w:ascii="Arial" w:hAnsi="Arial"/>
          <w:sz w:val="16"/>
        </w:rPr>
        <w:br/>
        <w:t xml:space="preserve">all content in these materials is owned or licensed by the </w:t>
      </w:r>
      <w:r>
        <w:rPr>
          <w:rFonts w:ascii="Arial" w:hAnsi="Arial"/>
          <w:sz w:val="16"/>
        </w:rPr>
        <w:t xml:space="preserve">Institute of Public Accountants </w:t>
      </w:r>
      <w:r w:rsidRPr="00E35F04">
        <w:rPr>
          <w:rFonts w:ascii="Arial" w:hAnsi="Arial"/>
          <w:sz w:val="16"/>
        </w:rPr>
        <w:t>(ABN 81 004 130 643).</w:t>
      </w:r>
    </w:p>
    <w:p w:rsidR="00E25CAC" w:rsidRPr="00E35F04" w:rsidRDefault="00E25CAC" w:rsidP="00E25CAC">
      <w:pPr>
        <w:pBdr>
          <w:top w:val="single" w:sz="4" w:space="0" w:color="CA5420"/>
          <w:left w:val="single" w:sz="4" w:space="4" w:color="CA5420"/>
          <w:bottom w:val="single" w:sz="4" w:space="0" w:color="CA5420"/>
          <w:right w:val="single" w:sz="4" w:space="4" w:color="CA5420"/>
        </w:pBdr>
        <w:rPr>
          <w:rFonts w:ascii="Arial" w:hAnsi="Arial"/>
          <w:sz w:val="16"/>
        </w:rPr>
      </w:pPr>
    </w:p>
    <w:p w:rsidR="00213BE8" w:rsidRDefault="00E25CAC" w:rsidP="00E25CAC">
      <w:pPr>
        <w:pStyle w:val="header14ptorangebold"/>
      </w:pPr>
      <w:r>
        <w:br w:type="page"/>
      </w:r>
    </w:p>
    <w:p w:rsidR="00213BE8" w:rsidRDefault="00213BE8" w:rsidP="00E25CAC">
      <w:pPr>
        <w:pStyle w:val="header14ptorangebold"/>
      </w:pPr>
    </w:p>
    <w:p w:rsidR="00E25CAC" w:rsidRPr="002F6499" w:rsidRDefault="00E25CAC" w:rsidP="00E25CAC">
      <w:pPr>
        <w:pStyle w:val="header14ptorangebold"/>
      </w:pPr>
      <w:r w:rsidRPr="002F6499">
        <w:t>Table of Contents</w:t>
      </w:r>
    </w:p>
    <w:p w:rsidR="00E25CAC" w:rsidRDefault="00E25CAC">
      <w:pPr>
        <w:rPr>
          <w:rFonts w:ascii="Arial Narrow" w:hAnsi="Arial Narrow"/>
          <w:b/>
          <w:sz w:val="22"/>
        </w:rPr>
      </w:pPr>
    </w:p>
    <w:p w:rsidR="00E25CAC" w:rsidRPr="00213BE8" w:rsidRDefault="00E25CAC" w:rsidP="00E25CAC">
      <w:pPr>
        <w:pStyle w:val="TOCheader"/>
        <w:rPr>
          <w:sz w:val="28"/>
          <w:szCs w:val="28"/>
        </w:rPr>
      </w:pPr>
      <w:r w:rsidRPr="00213BE8">
        <w:rPr>
          <w:sz w:val="28"/>
          <w:szCs w:val="28"/>
        </w:rPr>
        <w:t>Executive Summary</w:t>
      </w:r>
      <w:r w:rsidRPr="00213BE8">
        <w:rPr>
          <w:sz w:val="28"/>
          <w:szCs w:val="28"/>
        </w:rPr>
        <w:tab/>
      </w:r>
      <w:r w:rsidR="00661172">
        <w:rPr>
          <w:sz w:val="28"/>
          <w:szCs w:val="28"/>
        </w:rPr>
        <w:t>4</w:t>
      </w:r>
    </w:p>
    <w:p w:rsidR="00E25CAC" w:rsidRDefault="00E25CAC" w:rsidP="00E25CAC">
      <w:pPr>
        <w:pStyle w:val="TOCheader"/>
        <w:rPr>
          <w:sz w:val="28"/>
          <w:szCs w:val="28"/>
        </w:rPr>
      </w:pPr>
      <w:r w:rsidRPr="00213BE8">
        <w:rPr>
          <w:sz w:val="28"/>
          <w:szCs w:val="28"/>
        </w:rPr>
        <w:t>Introduct</w:t>
      </w:r>
      <w:r w:rsidR="0083376D">
        <w:rPr>
          <w:sz w:val="28"/>
          <w:szCs w:val="28"/>
        </w:rPr>
        <w:t>ory</w:t>
      </w:r>
      <w:r w:rsidR="00825E4E">
        <w:rPr>
          <w:sz w:val="28"/>
          <w:szCs w:val="28"/>
        </w:rPr>
        <w:t xml:space="preserve"> comments</w:t>
      </w:r>
      <w:r w:rsidRPr="00213BE8">
        <w:rPr>
          <w:sz w:val="28"/>
          <w:szCs w:val="28"/>
        </w:rPr>
        <w:tab/>
      </w:r>
      <w:r w:rsidR="0083376D">
        <w:rPr>
          <w:sz w:val="28"/>
          <w:szCs w:val="28"/>
        </w:rPr>
        <w:t>5</w:t>
      </w:r>
    </w:p>
    <w:p w:rsidR="00A5000B" w:rsidRDefault="00A5000B" w:rsidP="00E25CAC">
      <w:pPr>
        <w:pStyle w:val="TOCheader"/>
        <w:rPr>
          <w:sz w:val="28"/>
          <w:szCs w:val="28"/>
        </w:rPr>
      </w:pPr>
      <w:r>
        <w:rPr>
          <w:sz w:val="28"/>
          <w:szCs w:val="28"/>
        </w:rPr>
        <w:t>Determining present entitlement</w:t>
      </w:r>
      <w:r w:rsidR="006A3896">
        <w:rPr>
          <w:sz w:val="28"/>
          <w:szCs w:val="28"/>
        </w:rPr>
        <w:t xml:space="preserve">                                             5</w:t>
      </w:r>
      <w:r w:rsidR="006A3896">
        <w:rPr>
          <w:sz w:val="28"/>
          <w:szCs w:val="28"/>
        </w:rPr>
        <w:tab/>
      </w:r>
    </w:p>
    <w:p w:rsidR="00A5000B" w:rsidRDefault="00A5000B" w:rsidP="00E25CAC">
      <w:pPr>
        <w:pStyle w:val="TOCheader"/>
        <w:rPr>
          <w:sz w:val="28"/>
          <w:szCs w:val="28"/>
        </w:rPr>
      </w:pPr>
      <w:r>
        <w:rPr>
          <w:sz w:val="28"/>
          <w:szCs w:val="28"/>
        </w:rPr>
        <w:t>Character flow through</w:t>
      </w:r>
      <w:r w:rsidR="006A3896">
        <w:rPr>
          <w:sz w:val="28"/>
          <w:szCs w:val="28"/>
        </w:rPr>
        <w:t xml:space="preserve">                                                             6</w:t>
      </w:r>
    </w:p>
    <w:p w:rsidR="006A3896" w:rsidRDefault="00A5000B" w:rsidP="00E25CAC">
      <w:pPr>
        <w:pStyle w:val="TOCheader"/>
        <w:rPr>
          <w:sz w:val="28"/>
          <w:szCs w:val="28"/>
        </w:rPr>
      </w:pPr>
      <w:r>
        <w:rPr>
          <w:sz w:val="28"/>
          <w:szCs w:val="28"/>
        </w:rPr>
        <w:t>Streaming</w:t>
      </w:r>
      <w:r w:rsidR="006A3896">
        <w:rPr>
          <w:sz w:val="28"/>
          <w:szCs w:val="28"/>
        </w:rPr>
        <w:t xml:space="preserve">                                                                                   7</w:t>
      </w:r>
    </w:p>
    <w:p w:rsidR="00A5000B" w:rsidRDefault="006A3896" w:rsidP="00E25CAC">
      <w:pPr>
        <w:pStyle w:val="TOCheader"/>
        <w:rPr>
          <w:sz w:val="28"/>
          <w:szCs w:val="28"/>
        </w:rPr>
      </w:pPr>
      <w:r>
        <w:rPr>
          <w:sz w:val="28"/>
          <w:szCs w:val="28"/>
        </w:rPr>
        <w:t>One size fits all</w:t>
      </w:r>
      <w:r w:rsidR="00C84392">
        <w:rPr>
          <w:sz w:val="28"/>
          <w:szCs w:val="28"/>
        </w:rPr>
        <w:t xml:space="preserve">                                                                          7</w:t>
      </w:r>
      <w:r>
        <w:rPr>
          <w:sz w:val="28"/>
          <w:szCs w:val="28"/>
        </w:rPr>
        <w:tab/>
      </w:r>
    </w:p>
    <w:p w:rsidR="00222778" w:rsidRDefault="00A5000B" w:rsidP="00E25CAC">
      <w:pPr>
        <w:pStyle w:val="TOCheader"/>
        <w:rPr>
          <w:sz w:val="28"/>
          <w:szCs w:val="28"/>
        </w:rPr>
      </w:pPr>
      <w:r>
        <w:rPr>
          <w:sz w:val="28"/>
          <w:szCs w:val="28"/>
        </w:rPr>
        <w:t xml:space="preserve">Alternatives to </w:t>
      </w:r>
      <w:r w:rsidR="00222778">
        <w:rPr>
          <w:sz w:val="28"/>
          <w:szCs w:val="28"/>
        </w:rPr>
        <w:t>the proportionate approach for taxing</w:t>
      </w:r>
      <w:r w:rsidR="00C84392">
        <w:rPr>
          <w:sz w:val="28"/>
          <w:szCs w:val="28"/>
        </w:rPr>
        <w:t xml:space="preserve">          8</w:t>
      </w:r>
    </w:p>
    <w:p w:rsidR="00A5000B" w:rsidRPr="00213BE8" w:rsidRDefault="00222778" w:rsidP="00E25CAC">
      <w:pPr>
        <w:pStyle w:val="TOCheader"/>
        <w:rPr>
          <w:sz w:val="28"/>
          <w:szCs w:val="28"/>
        </w:rPr>
      </w:pPr>
      <w:r>
        <w:rPr>
          <w:sz w:val="28"/>
          <w:szCs w:val="28"/>
        </w:rPr>
        <w:t>beneficiaries</w:t>
      </w:r>
      <w:r w:rsidR="00A5000B">
        <w:rPr>
          <w:sz w:val="28"/>
          <w:szCs w:val="28"/>
        </w:rPr>
        <w:tab/>
      </w:r>
    </w:p>
    <w:p w:rsidR="00E25CAC" w:rsidRPr="00213BE8" w:rsidRDefault="00222778" w:rsidP="00E25CAC">
      <w:pPr>
        <w:pStyle w:val="TOCheader"/>
        <w:rPr>
          <w:sz w:val="28"/>
          <w:szCs w:val="28"/>
        </w:rPr>
      </w:pPr>
      <w:r>
        <w:rPr>
          <w:sz w:val="28"/>
          <w:szCs w:val="28"/>
        </w:rPr>
        <w:t>Transitional relief</w:t>
      </w:r>
      <w:r w:rsidR="00E25CAC" w:rsidRPr="00213BE8">
        <w:rPr>
          <w:sz w:val="28"/>
          <w:szCs w:val="28"/>
        </w:rPr>
        <w:tab/>
      </w:r>
      <w:r w:rsidR="00C84392">
        <w:rPr>
          <w:sz w:val="28"/>
          <w:szCs w:val="28"/>
        </w:rPr>
        <w:t>10</w:t>
      </w:r>
    </w:p>
    <w:p w:rsidR="00BA3391" w:rsidRPr="00213BE8" w:rsidRDefault="00BA3391" w:rsidP="00BA3391">
      <w:pPr>
        <w:pStyle w:val="TOCheader"/>
        <w:spacing w:line="240" w:lineRule="auto"/>
        <w:rPr>
          <w:sz w:val="28"/>
          <w:szCs w:val="28"/>
        </w:rPr>
      </w:pPr>
    </w:p>
    <w:p w:rsidR="00E25CAC" w:rsidRPr="00E35F04" w:rsidRDefault="00E25CAC" w:rsidP="00BA3391">
      <w:pPr>
        <w:pStyle w:val="TOCbody"/>
      </w:pPr>
      <w:r w:rsidRPr="00213BE8">
        <w:rPr>
          <w:sz w:val="28"/>
          <w:szCs w:val="28"/>
        </w:rPr>
        <w:tab/>
      </w: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6053E8" w:rsidRDefault="006053E8" w:rsidP="00E25CAC">
      <w:pPr>
        <w:pStyle w:val="header14ptorangebold"/>
      </w:pPr>
    </w:p>
    <w:p w:rsidR="00213BE8" w:rsidRDefault="00213BE8" w:rsidP="00E25CAC">
      <w:pPr>
        <w:pStyle w:val="header14ptorangebold"/>
      </w:pPr>
    </w:p>
    <w:p w:rsidR="00213BE8" w:rsidRDefault="00213BE8" w:rsidP="00E25CAC">
      <w:pPr>
        <w:pStyle w:val="header14ptorangebold"/>
      </w:pPr>
    </w:p>
    <w:p w:rsidR="00213BE8" w:rsidRDefault="00213BE8" w:rsidP="00E25CAC">
      <w:pPr>
        <w:pStyle w:val="header14ptorangebold"/>
      </w:pPr>
    </w:p>
    <w:p w:rsidR="00213BE8" w:rsidRDefault="00213BE8" w:rsidP="00E25CAC">
      <w:pPr>
        <w:pStyle w:val="header14ptorangebold"/>
      </w:pPr>
    </w:p>
    <w:p w:rsidR="00213BE8" w:rsidRDefault="00213BE8" w:rsidP="00E25CAC">
      <w:pPr>
        <w:pStyle w:val="header14ptorangebold"/>
      </w:pPr>
    </w:p>
    <w:p w:rsidR="00E25CAC" w:rsidRPr="00E30EFE" w:rsidRDefault="00E25CAC" w:rsidP="00E25CAC">
      <w:pPr>
        <w:pStyle w:val="header14ptorangebold"/>
        <w:rPr>
          <w:rFonts w:ascii="Arial Narrow" w:hAnsi="Arial Narrow"/>
          <w:color w:val="000080"/>
        </w:rPr>
      </w:pPr>
      <w:r>
        <w:t xml:space="preserve">Executive Summary </w:t>
      </w:r>
    </w:p>
    <w:p w:rsidR="00E25CAC" w:rsidRDefault="00E25CAC">
      <w:pPr>
        <w:rPr>
          <w:rFonts w:ascii="Arial" w:hAnsi="Arial" w:cs="Arial"/>
          <w:sz w:val="20"/>
          <w:szCs w:val="22"/>
        </w:rPr>
      </w:pPr>
    </w:p>
    <w:p w:rsidR="001F2B7E" w:rsidRDefault="00530AB9" w:rsidP="0064491F">
      <w:pPr>
        <w:shd w:val="clear" w:color="auto" w:fill="FFFFFF"/>
        <w:spacing w:before="100" w:beforeAutospacing="1" w:after="100" w:afterAutospacing="1"/>
        <w:rPr>
          <w:rFonts w:ascii="Arial" w:hAnsi="Arial" w:cs="Arial"/>
          <w:color w:val="000000"/>
          <w:lang w:val="en"/>
        </w:rPr>
      </w:pPr>
      <w:r w:rsidRPr="009C500A">
        <w:rPr>
          <w:rFonts w:ascii="Arial" w:hAnsi="Arial" w:cs="Arial"/>
          <w:color w:val="000000"/>
          <w:lang w:val="en"/>
        </w:rPr>
        <w:t xml:space="preserve">The IPA </w:t>
      </w:r>
      <w:r w:rsidR="00166B46" w:rsidRPr="009C500A">
        <w:rPr>
          <w:rFonts w:ascii="Arial" w:hAnsi="Arial" w:cs="Arial"/>
          <w:color w:val="000000"/>
          <w:lang w:val="en"/>
        </w:rPr>
        <w:t xml:space="preserve">has long advocated for a </w:t>
      </w:r>
      <w:r w:rsidR="0064491F">
        <w:rPr>
          <w:rFonts w:ascii="Arial" w:hAnsi="Arial" w:cs="Arial"/>
          <w:color w:val="000000"/>
          <w:lang w:val="en"/>
        </w:rPr>
        <w:t>review of the trust income tax provisions in Division 6 of I</w:t>
      </w:r>
      <w:r w:rsidR="005E7F9E">
        <w:rPr>
          <w:rFonts w:ascii="Arial" w:hAnsi="Arial" w:cs="Arial"/>
          <w:color w:val="000000"/>
          <w:lang w:val="en"/>
        </w:rPr>
        <w:t xml:space="preserve">ncome </w:t>
      </w:r>
      <w:r w:rsidR="0064491F">
        <w:rPr>
          <w:rFonts w:ascii="Arial" w:hAnsi="Arial" w:cs="Arial"/>
          <w:color w:val="000000"/>
          <w:lang w:val="en"/>
        </w:rPr>
        <w:t>T</w:t>
      </w:r>
      <w:r w:rsidR="005E7F9E">
        <w:rPr>
          <w:rFonts w:ascii="Arial" w:hAnsi="Arial" w:cs="Arial"/>
          <w:color w:val="000000"/>
          <w:lang w:val="en"/>
        </w:rPr>
        <w:t xml:space="preserve">ax </w:t>
      </w:r>
      <w:r w:rsidR="0064491F">
        <w:rPr>
          <w:rFonts w:ascii="Arial" w:hAnsi="Arial" w:cs="Arial"/>
          <w:color w:val="000000"/>
          <w:lang w:val="en"/>
        </w:rPr>
        <w:t>A</w:t>
      </w:r>
      <w:r w:rsidR="005E7F9E">
        <w:rPr>
          <w:rFonts w:ascii="Arial" w:hAnsi="Arial" w:cs="Arial"/>
          <w:color w:val="000000"/>
          <w:lang w:val="en"/>
        </w:rPr>
        <w:t xml:space="preserve">ssessment </w:t>
      </w:r>
      <w:r w:rsidR="0064491F">
        <w:rPr>
          <w:rFonts w:ascii="Arial" w:hAnsi="Arial" w:cs="Arial"/>
          <w:color w:val="000000"/>
          <w:lang w:val="en"/>
        </w:rPr>
        <w:t>A</w:t>
      </w:r>
      <w:r w:rsidR="005E7F9E">
        <w:rPr>
          <w:rFonts w:ascii="Arial" w:hAnsi="Arial" w:cs="Arial"/>
          <w:color w:val="000000"/>
          <w:lang w:val="en"/>
        </w:rPr>
        <w:t>ct</w:t>
      </w:r>
      <w:r w:rsidR="0064491F">
        <w:rPr>
          <w:rFonts w:ascii="Arial" w:hAnsi="Arial" w:cs="Arial"/>
          <w:color w:val="000000"/>
          <w:lang w:val="en"/>
        </w:rPr>
        <w:t xml:space="preserve"> 1936 (Division 6). The interaction of trust law and the income tax treatment of </w:t>
      </w:r>
      <w:r w:rsidR="001F2B7E">
        <w:rPr>
          <w:rFonts w:ascii="Arial" w:hAnsi="Arial" w:cs="Arial"/>
          <w:color w:val="000000"/>
          <w:lang w:val="en"/>
        </w:rPr>
        <w:t>trusts</w:t>
      </w:r>
      <w:r w:rsidR="0064491F">
        <w:rPr>
          <w:rFonts w:ascii="Arial" w:hAnsi="Arial" w:cs="Arial"/>
          <w:color w:val="000000"/>
          <w:lang w:val="en"/>
        </w:rPr>
        <w:t xml:space="preserve"> has been an ongoing issue for some time</w:t>
      </w:r>
      <w:r w:rsidR="00971A0E">
        <w:rPr>
          <w:rFonts w:ascii="Arial" w:hAnsi="Arial" w:cs="Arial"/>
          <w:color w:val="000000"/>
          <w:lang w:val="en"/>
        </w:rPr>
        <w:t xml:space="preserve">. Whilst Division 6 has been in place for some time, recent Court decisions have created much </w:t>
      </w:r>
      <w:r w:rsidR="001F2B7E">
        <w:rPr>
          <w:rFonts w:ascii="Arial" w:hAnsi="Arial" w:cs="Arial"/>
          <w:color w:val="000000"/>
          <w:lang w:val="en"/>
        </w:rPr>
        <w:t>uncertainty</w:t>
      </w:r>
      <w:r w:rsidR="00971A0E">
        <w:rPr>
          <w:rFonts w:ascii="Arial" w:hAnsi="Arial" w:cs="Arial"/>
          <w:color w:val="000000"/>
          <w:lang w:val="en"/>
        </w:rPr>
        <w:t xml:space="preserve"> in its application requiring legislative clarification. The need for </w:t>
      </w:r>
      <w:r w:rsidR="001F2B7E">
        <w:rPr>
          <w:rFonts w:ascii="Arial" w:hAnsi="Arial" w:cs="Arial"/>
          <w:color w:val="000000"/>
          <w:lang w:val="en"/>
        </w:rPr>
        <w:t xml:space="preserve">reform has recently been heighten in the High Court’s decision in </w:t>
      </w:r>
      <w:r w:rsidR="001F6C35">
        <w:rPr>
          <w:rFonts w:ascii="Arial" w:hAnsi="Arial" w:cs="Arial"/>
          <w:color w:val="000000"/>
          <w:lang w:val="en"/>
        </w:rPr>
        <w:t xml:space="preserve">Commissioner of Taxation v </w:t>
      </w:r>
      <w:proofErr w:type="spellStart"/>
      <w:r w:rsidR="001F6C35">
        <w:rPr>
          <w:rFonts w:ascii="Arial" w:hAnsi="Arial" w:cs="Arial"/>
          <w:color w:val="000000"/>
          <w:lang w:val="en"/>
        </w:rPr>
        <w:t>Bamford</w:t>
      </w:r>
      <w:proofErr w:type="spellEnd"/>
      <w:r w:rsidR="001F6C35">
        <w:rPr>
          <w:rFonts w:ascii="Arial" w:hAnsi="Arial" w:cs="Arial"/>
          <w:color w:val="000000"/>
          <w:lang w:val="en"/>
        </w:rPr>
        <w:t xml:space="preserve"> (</w:t>
      </w:r>
      <w:proofErr w:type="spellStart"/>
      <w:r w:rsidR="001F6C35">
        <w:rPr>
          <w:rFonts w:ascii="Arial" w:hAnsi="Arial" w:cs="Arial"/>
          <w:color w:val="000000"/>
          <w:lang w:val="en"/>
        </w:rPr>
        <w:t>Bamford</w:t>
      </w:r>
      <w:proofErr w:type="spellEnd"/>
      <w:r w:rsidR="001F6C35">
        <w:rPr>
          <w:rFonts w:ascii="Arial" w:hAnsi="Arial" w:cs="Arial"/>
          <w:color w:val="000000"/>
          <w:lang w:val="en"/>
        </w:rPr>
        <w:t>)</w:t>
      </w:r>
      <w:r w:rsidR="001F2B7E">
        <w:rPr>
          <w:rFonts w:ascii="Arial" w:hAnsi="Arial" w:cs="Arial"/>
          <w:color w:val="000000"/>
          <w:lang w:val="en"/>
        </w:rPr>
        <w:t xml:space="preserve"> and by Australia’s Future Tax System Review (Henry Review)</w:t>
      </w:r>
      <w:r w:rsidR="0064491F">
        <w:rPr>
          <w:rFonts w:ascii="Arial" w:hAnsi="Arial" w:cs="Arial"/>
          <w:color w:val="000000"/>
          <w:lang w:val="en"/>
        </w:rPr>
        <w:t>.</w:t>
      </w:r>
      <w:r w:rsidR="001F2B7E">
        <w:rPr>
          <w:rFonts w:ascii="Arial" w:hAnsi="Arial" w:cs="Arial"/>
          <w:color w:val="000000"/>
          <w:lang w:val="en"/>
        </w:rPr>
        <w:t xml:space="preserve"> The Henry Review recommended that the trust rules be updated and rewritten to reduce complexity and uncertainty around their application.</w:t>
      </w:r>
    </w:p>
    <w:p w:rsidR="0064491F" w:rsidRDefault="007A667F" w:rsidP="0064491F">
      <w:pPr>
        <w:shd w:val="clear" w:color="auto" w:fill="FFFFFF"/>
        <w:spacing w:before="100" w:beforeAutospacing="1" w:after="100" w:afterAutospacing="1"/>
        <w:rPr>
          <w:rFonts w:ascii="Arial" w:hAnsi="Arial" w:cs="Arial"/>
          <w:color w:val="000000"/>
          <w:lang w:val="en"/>
        </w:rPr>
      </w:pPr>
      <w:r>
        <w:rPr>
          <w:rFonts w:ascii="Arial" w:hAnsi="Arial" w:cs="Arial"/>
          <w:color w:val="000000"/>
          <w:lang w:val="en"/>
        </w:rPr>
        <w:t xml:space="preserve">The IPA cannot stress enough the importance of the review to its members. Trust </w:t>
      </w:r>
      <w:r w:rsidR="005E7F9E">
        <w:rPr>
          <w:rFonts w:ascii="Arial" w:hAnsi="Arial" w:cs="Arial"/>
          <w:color w:val="000000"/>
          <w:lang w:val="en"/>
        </w:rPr>
        <w:t xml:space="preserve">structures </w:t>
      </w:r>
      <w:r>
        <w:rPr>
          <w:rFonts w:ascii="Arial" w:hAnsi="Arial" w:cs="Arial"/>
          <w:color w:val="000000"/>
          <w:lang w:val="en"/>
        </w:rPr>
        <w:t xml:space="preserve">have been used as a vehicle for holding wealth mainly due to their asset protection and succession planning advantages. They are also commonly used by small business to </w:t>
      </w:r>
      <w:r w:rsidR="003B7C88">
        <w:rPr>
          <w:rFonts w:ascii="Arial" w:hAnsi="Arial" w:cs="Arial"/>
          <w:color w:val="000000"/>
          <w:lang w:val="en"/>
        </w:rPr>
        <w:t xml:space="preserve">carrying on a business or for investment purposes or a combination of both. </w:t>
      </w:r>
      <w:r w:rsidR="00A11D01">
        <w:rPr>
          <w:rFonts w:ascii="Arial" w:hAnsi="Arial" w:cs="Arial"/>
          <w:color w:val="000000"/>
          <w:lang w:val="en"/>
        </w:rPr>
        <w:t xml:space="preserve">Trusts were used almost exclusively to hold passive investments but have over the last two decades become a common structure for small business to house their trading </w:t>
      </w:r>
      <w:r w:rsidR="00547331">
        <w:rPr>
          <w:rFonts w:ascii="Arial" w:hAnsi="Arial" w:cs="Arial"/>
          <w:color w:val="000000"/>
          <w:lang w:val="en"/>
        </w:rPr>
        <w:t>business. The</w:t>
      </w:r>
      <w:r w:rsidR="003B7C88">
        <w:rPr>
          <w:rFonts w:ascii="Arial" w:hAnsi="Arial" w:cs="Arial"/>
          <w:color w:val="000000"/>
          <w:lang w:val="en"/>
        </w:rPr>
        <w:t xml:space="preserve"> outcomes of the review will therefore have implications for the 660,000 trust already in </w:t>
      </w:r>
      <w:r w:rsidR="005E7F9E">
        <w:rPr>
          <w:rFonts w:ascii="Arial" w:hAnsi="Arial" w:cs="Arial"/>
          <w:color w:val="000000"/>
          <w:lang w:val="en"/>
        </w:rPr>
        <w:t>existence</w:t>
      </w:r>
      <w:r w:rsidR="003B7C88">
        <w:rPr>
          <w:rFonts w:ascii="Arial" w:hAnsi="Arial" w:cs="Arial"/>
          <w:color w:val="000000"/>
          <w:lang w:val="en"/>
        </w:rPr>
        <w:t xml:space="preserve">. </w:t>
      </w:r>
    </w:p>
    <w:p w:rsidR="0064491F" w:rsidRDefault="0064491F" w:rsidP="0064491F">
      <w:pPr>
        <w:shd w:val="clear" w:color="auto" w:fill="FFFFFF"/>
        <w:spacing w:before="100" w:beforeAutospacing="1" w:after="100" w:afterAutospacing="1"/>
        <w:rPr>
          <w:rFonts w:ascii="Arial" w:hAnsi="Arial" w:cs="Arial"/>
          <w:color w:val="000000"/>
          <w:lang w:val="en"/>
        </w:rPr>
      </w:pPr>
      <w:r>
        <w:rPr>
          <w:rFonts w:ascii="Arial" w:hAnsi="Arial" w:cs="Arial"/>
          <w:color w:val="000000"/>
          <w:lang w:val="en"/>
        </w:rPr>
        <w:t xml:space="preserve">We commend the Government for undertaking a broad </w:t>
      </w:r>
      <w:r w:rsidR="005E7F9E">
        <w:rPr>
          <w:rFonts w:ascii="Arial" w:hAnsi="Arial" w:cs="Arial"/>
          <w:color w:val="000000"/>
          <w:lang w:val="en"/>
        </w:rPr>
        <w:t>review</w:t>
      </w:r>
      <w:r>
        <w:rPr>
          <w:rFonts w:ascii="Arial" w:hAnsi="Arial" w:cs="Arial"/>
          <w:color w:val="000000"/>
          <w:lang w:val="en"/>
        </w:rPr>
        <w:t xml:space="preserve"> of the trust income tax provisions and making good </w:t>
      </w:r>
      <w:r w:rsidR="005E7F9E">
        <w:rPr>
          <w:rFonts w:ascii="Arial" w:hAnsi="Arial" w:cs="Arial"/>
          <w:color w:val="000000"/>
          <w:lang w:val="en"/>
        </w:rPr>
        <w:t>it’s</w:t>
      </w:r>
      <w:r>
        <w:rPr>
          <w:rFonts w:ascii="Arial" w:hAnsi="Arial" w:cs="Arial"/>
          <w:color w:val="000000"/>
          <w:lang w:val="en"/>
        </w:rPr>
        <w:t xml:space="preserve"> undertaking to a</w:t>
      </w:r>
      <w:r w:rsidR="00E7308B">
        <w:rPr>
          <w:rFonts w:ascii="Arial" w:hAnsi="Arial" w:cs="Arial"/>
          <w:color w:val="000000"/>
          <w:lang w:val="en"/>
        </w:rPr>
        <w:t>n extensive</w:t>
      </w:r>
      <w:r>
        <w:rPr>
          <w:rFonts w:ascii="Arial" w:hAnsi="Arial" w:cs="Arial"/>
          <w:color w:val="000000"/>
          <w:lang w:val="en"/>
        </w:rPr>
        <w:t xml:space="preserve"> public consultation process</w:t>
      </w:r>
      <w:r w:rsidR="0062164B">
        <w:rPr>
          <w:rFonts w:ascii="Arial" w:hAnsi="Arial" w:cs="Arial"/>
          <w:color w:val="000000"/>
          <w:lang w:val="en"/>
        </w:rPr>
        <w:t>. The timetable for the review allows</w:t>
      </w:r>
      <w:r w:rsidR="00E7308B">
        <w:rPr>
          <w:rFonts w:ascii="Arial" w:hAnsi="Arial" w:cs="Arial"/>
          <w:color w:val="000000"/>
          <w:lang w:val="en"/>
        </w:rPr>
        <w:t xml:space="preserve"> stakeholders</w:t>
      </w:r>
      <w:r w:rsidR="00232E1B">
        <w:rPr>
          <w:rFonts w:ascii="Arial" w:hAnsi="Arial" w:cs="Arial"/>
          <w:color w:val="000000"/>
          <w:lang w:val="en"/>
        </w:rPr>
        <w:t xml:space="preserve"> to</w:t>
      </w:r>
      <w:r w:rsidR="00E7308B">
        <w:rPr>
          <w:rFonts w:ascii="Arial" w:hAnsi="Arial" w:cs="Arial"/>
          <w:color w:val="000000"/>
          <w:lang w:val="en"/>
        </w:rPr>
        <w:t xml:space="preserve"> have an opportunity to express their views</w:t>
      </w:r>
      <w:r w:rsidR="00F732F0">
        <w:rPr>
          <w:rFonts w:ascii="Arial" w:hAnsi="Arial" w:cs="Arial"/>
          <w:color w:val="000000"/>
          <w:lang w:val="en"/>
        </w:rPr>
        <w:t xml:space="preserve"> before any final decisions are made about how to update and rewrite the trust income</w:t>
      </w:r>
      <w:r w:rsidR="0062164B">
        <w:rPr>
          <w:rFonts w:ascii="Arial" w:hAnsi="Arial" w:cs="Arial"/>
          <w:color w:val="000000"/>
          <w:lang w:val="en"/>
        </w:rPr>
        <w:t xml:space="preserve"> to achieve optimum legislative outcome</w:t>
      </w:r>
      <w:r>
        <w:rPr>
          <w:rFonts w:ascii="Arial" w:hAnsi="Arial" w:cs="Arial"/>
          <w:color w:val="000000"/>
          <w:lang w:val="en"/>
        </w:rPr>
        <w:t>.</w:t>
      </w:r>
    </w:p>
    <w:p w:rsidR="0064491F" w:rsidRPr="009C500A" w:rsidRDefault="0064491F" w:rsidP="0064491F">
      <w:pPr>
        <w:shd w:val="clear" w:color="auto" w:fill="FFFFFF"/>
        <w:spacing w:before="100" w:beforeAutospacing="1" w:after="100" w:afterAutospacing="1"/>
        <w:rPr>
          <w:rFonts w:ascii="Arial" w:hAnsi="Arial" w:cs="Arial"/>
          <w:b/>
          <w:bCs/>
          <w:lang w:val="en-AU"/>
        </w:rPr>
      </w:pPr>
      <w:r>
        <w:rPr>
          <w:rFonts w:ascii="Arial" w:hAnsi="Arial" w:cs="Arial"/>
          <w:color w:val="000000"/>
          <w:lang w:val="en"/>
        </w:rPr>
        <w:t xml:space="preserve">We are also heartened by the opening comments in the consultation paper that </w:t>
      </w:r>
      <w:r w:rsidR="00B66F8A">
        <w:rPr>
          <w:rFonts w:ascii="Arial" w:hAnsi="Arial" w:cs="Arial"/>
          <w:color w:val="000000"/>
          <w:lang w:val="en"/>
        </w:rPr>
        <w:t xml:space="preserve">the review is not intended to be a </w:t>
      </w:r>
      <w:proofErr w:type="spellStart"/>
      <w:r w:rsidR="00B66F8A">
        <w:rPr>
          <w:rFonts w:ascii="Arial" w:hAnsi="Arial" w:cs="Arial"/>
          <w:color w:val="000000"/>
          <w:lang w:val="en"/>
        </w:rPr>
        <w:t>crack down</w:t>
      </w:r>
      <w:proofErr w:type="spellEnd"/>
      <w:r w:rsidR="00B66F8A">
        <w:rPr>
          <w:rFonts w:ascii="Arial" w:hAnsi="Arial" w:cs="Arial"/>
          <w:color w:val="000000"/>
          <w:lang w:val="en"/>
        </w:rPr>
        <w:t xml:space="preserve"> on the use of trusts</w:t>
      </w:r>
      <w:r w:rsidR="005E7F9E">
        <w:rPr>
          <w:rFonts w:ascii="Arial" w:hAnsi="Arial" w:cs="Arial"/>
          <w:color w:val="000000"/>
          <w:lang w:val="en"/>
        </w:rPr>
        <w:t>. Also reassuring is the</w:t>
      </w:r>
      <w:r w:rsidR="00E7308B">
        <w:rPr>
          <w:rFonts w:ascii="Arial" w:hAnsi="Arial" w:cs="Arial"/>
          <w:color w:val="000000"/>
          <w:lang w:val="en"/>
        </w:rPr>
        <w:t xml:space="preserve"> acknowledgement that trusts are a </w:t>
      </w:r>
      <w:r w:rsidR="005E7F9E">
        <w:rPr>
          <w:rFonts w:ascii="Arial" w:hAnsi="Arial" w:cs="Arial"/>
          <w:color w:val="000000"/>
          <w:lang w:val="en"/>
        </w:rPr>
        <w:t>legitimate</w:t>
      </w:r>
      <w:r w:rsidR="00E7308B">
        <w:rPr>
          <w:rFonts w:ascii="Arial" w:hAnsi="Arial" w:cs="Arial"/>
          <w:color w:val="000000"/>
          <w:lang w:val="en"/>
        </w:rPr>
        <w:t xml:space="preserve"> structure through which taxpayers are able to conduct their personal and business affairs. Recent events have increase</w:t>
      </w:r>
      <w:r w:rsidR="00232E1B">
        <w:rPr>
          <w:rFonts w:ascii="Arial" w:hAnsi="Arial" w:cs="Arial"/>
          <w:color w:val="000000"/>
          <w:lang w:val="en"/>
        </w:rPr>
        <w:t>d</w:t>
      </w:r>
      <w:r w:rsidR="00E7308B">
        <w:rPr>
          <w:rFonts w:ascii="Arial" w:hAnsi="Arial" w:cs="Arial"/>
          <w:color w:val="000000"/>
          <w:lang w:val="en"/>
        </w:rPr>
        <w:t xml:space="preserve"> </w:t>
      </w:r>
      <w:r w:rsidR="005E7F9E">
        <w:rPr>
          <w:rFonts w:ascii="Arial" w:hAnsi="Arial" w:cs="Arial"/>
          <w:color w:val="000000"/>
          <w:lang w:val="en"/>
        </w:rPr>
        <w:t>uncertainty</w:t>
      </w:r>
      <w:r w:rsidR="00E7308B">
        <w:rPr>
          <w:rFonts w:ascii="Arial" w:hAnsi="Arial" w:cs="Arial"/>
          <w:color w:val="000000"/>
          <w:lang w:val="en"/>
        </w:rPr>
        <w:t xml:space="preserve"> and have had a detrimental impact on compliance costs for the 660,000 or so taxpayers that use</w:t>
      </w:r>
      <w:r w:rsidR="00232E1B">
        <w:rPr>
          <w:rFonts w:ascii="Arial" w:hAnsi="Arial" w:cs="Arial"/>
          <w:color w:val="000000"/>
          <w:lang w:val="en"/>
        </w:rPr>
        <w:t xml:space="preserve"> a</w:t>
      </w:r>
      <w:r w:rsidR="00E7308B">
        <w:rPr>
          <w:rFonts w:ascii="Arial" w:hAnsi="Arial" w:cs="Arial"/>
          <w:color w:val="000000"/>
          <w:lang w:val="en"/>
        </w:rPr>
        <w:t xml:space="preserve"> trust structure. </w:t>
      </w:r>
      <w:r>
        <w:rPr>
          <w:rFonts w:ascii="Arial" w:hAnsi="Arial" w:cs="Arial"/>
          <w:color w:val="000000"/>
          <w:lang w:val="en"/>
        </w:rPr>
        <w:t xml:space="preserve"> </w:t>
      </w:r>
      <w:r w:rsidR="00003F15">
        <w:rPr>
          <w:rFonts w:ascii="Arial" w:hAnsi="Arial" w:cs="Arial"/>
          <w:color w:val="000000"/>
          <w:lang w:val="en"/>
        </w:rPr>
        <w:t xml:space="preserve">IPA prides itself </w:t>
      </w:r>
      <w:r w:rsidR="005E7F9E">
        <w:rPr>
          <w:rFonts w:ascii="Arial" w:hAnsi="Arial" w:cs="Arial"/>
          <w:color w:val="000000"/>
          <w:lang w:val="en"/>
        </w:rPr>
        <w:t>on representing</w:t>
      </w:r>
      <w:r w:rsidR="00003F15">
        <w:rPr>
          <w:rFonts w:ascii="Arial" w:hAnsi="Arial" w:cs="Arial"/>
          <w:color w:val="000000"/>
          <w:lang w:val="en"/>
        </w:rPr>
        <w:t xml:space="preserve"> the interest of small business wants to see increase </w:t>
      </w:r>
      <w:r w:rsidR="0062164B">
        <w:rPr>
          <w:rFonts w:ascii="Arial" w:hAnsi="Arial" w:cs="Arial"/>
          <w:color w:val="000000"/>
          <w:lang w:val="en"/>
        </w:rPr>
        <w:t xml:space="preserve">in </w:t>
      </w:r>
      <w:r w:rsidR="005E7F9E">
        <w:rPr>
          <w:rFonts w:ascii="Arial" w:hAnsi="Arial" w:cs="Arial"/>
          <w:color w:val="000000"/>
          <w:lang w:val="en"/>
        </w:rPr>
        <w:t>certainty</w:t>
      </w:r>
      <w:r w:rsidR="00003F15">
        <w:rPr>
          <w:rFonts w:ascii="Arial" w:hAnsi="Arial" w:cs="Arial"/>
          <w:color w:val="000000"/>
          <w:lang w:val="en"/>
        </w:rPr>
        <w:t xml:space="preserve"> and </w:t>
      </w:r>
      <w:r w:rsidR="0062164B">
        <w:rPr>
          <w:rFonts w:ascii="Arial" w:hAnsi="Arial" w:cs="Arial"/>
          <w:color w:val="000000"/>
          <w:lang w:val="en"/>
        </w:rPr>
        <w:t xml:space="preserve">a </w:t>
      </w:r>
      <w:r w:rsidR="00003F15">
        <w:rPr>
          <w:rFonts w:ascii="Arial" w:hAnsi="Arial" w:cs="Arial"/>
          <w:color w:val="000000"/>
          <w:lang w:val="en"/>
        </w:rPr>
        <w:t xml:space="preserve">reduction in compliance costs for the many </w:t>
      </w:r>
      <w:proofErr w:type="spellStart"/>
      <w:r w:rsidR="00003F15">
        <w:rPr>
          <w:rFonts w:ascii="Arial" w:hAnsi="Arial" w:cs="Arial"/>
          <w:color w:val="000000"/>
          <w:lang w:val="en"/>
        </w:rPr>
        <w:t>hundred</w:t>
      </w:r>
      <w:proofErr w:type="spellEnd"/>
      <w:r w:rsidR="00003F15">
        <w:rPr>
          <w:rFonts w:ascii="Arial" w:hAnsi="Arial" w:cs="Arial"/>
          <w:color w:val="000000"/>
          <w:lang w:val="en"/>
        </w:rPr>
        <w:t xml:space="preserve"> of thousands of </w:t>
      </w:r>
      <w:r w:rsidR="00EB3748">
        <w:rPr>
          <w:rFonts w:ascii="Arial" w:hAnsi="Arial" w:cs="Arial"/>
          <w:color w:val="000000"/>
          <w:lang w:val="en"/>
        </w:rPr>
        <w:t>small and family businesses</w:t>
      </w:r>
      <w:r w:rsidR="00003F15">
        <w:rPr>
          <w:rFonts w:ascii="Arial" w:hAnsi="Arial" w:cs="Arial"/>
          <w:color w:val="000000"/>
          <w:lang w:val="en"/>
        </w:rPr>
        <w:t xml:space="preserve"> that use trust</w:t>
      </w:r>
      <w:r w:rsidR="0062164B">
        <w:rPr>
          <w:rFonts w:ascii="Arial" w:hAnsi="Arial" w:cs="Arial"/>
          <w:color w:val="000000"/>
          <w:lang w:val="en"/>
        </w:rPr>
        <w:t>s</w:t>
      </w:r>
      <w:r w:rsidR="00003F15">
        <w:rPr>
          <w:rFonts w:ascii="Arial" w:hAnsi="Arial" w:cs="Arial"/>
          <w:color w:val="000000"/>
          <w:lang w:val="en"/>
        </w:rPr>
        <w:t xml:space="preserve">. </w:t>
      </w:r>
    </w:p>
    <w:p w:rsidR="006A5846" w:rsidRPr="009C500A" w:rsidRDefault="006A5846" w:rsidP="006A5846">
      <w:pPr>
        <w:rPr>
          <w:rFonts w:ascii="Arial" w:hAnsi="Arial" w:cs="Arial"/>
          <w:b/>
          <w:bCs/>
          <w:lang w:val="en-AU"/>
        </w:rPr>
      </w:pPr>
    </w:p>
    <w:p w:rsidR="00246941" w:rsidRPr="009C500A" w:rsidRDefault="00312081" w:rsidP="00246941">
      <w:pPr>
        <w:shd w:val="clear" w:color="auto" w:fill="FFFFFF"/>
        <w:spacing w:before="100" w:beforeAutospacing="1" w:after="100" w:afterAutospacing="1"/>
        <w:rPr>
          <w:rFonts w:ascii="Arial" w:hAnsi="Arial" w:cs="Arial"/>
          <w:color w:val="000000"/>
          <w:lang w:val="en"/>
        </w:rPr>
      </w:pPr>
      <w:r>
        <w:rPr>
          <w:rFonts w:ascii="Arial" w:hAnsi="Arial" w:cs="Arial"/>
          <w:color w:val="000000"/>
          <w:lang w:val="en"/>
        </w:rPr>
        <w:t xml:space="preserve">The </w:t>
      </w:r>
      <w:r w:rsidR="005E7F9E">
        <w:rPr>
          <w:rFonts w:ascii="Arial" w:hAnsi="Arial" w:cs="Arial"/>
          <w:color w:val="000000"/>
          <w:lang w:val="en"/>
        </w:rPr>
        <w:t>indicative</w:t>
      </w:r>
      <w:r>
        <w:rPr>
          <w:rFonts w:ascii="Arial" w:hAnsi="Arial" w:cs="Arial"/>
          <w:color w:val="000000"/>
          <w:lang w:val="en"/>
        </w:rPr>
        <w:t xml:space="preserve"> timetable for the update and review proposes to introduce</w:t>
      </w:r>
      <w:r w:rsidR="0062164B">
        <w:rPr>
          <w:rFonts w:ascii="Arial" w:hAnsi="Arial" w:cs="Arial"/>
          <w:color w:val="000000"/>
          <w:lang w:val="en"/>
        </w:rPr>
        <w:t xml:space="preserve"> the</w:t>
      </w:r>
      <w:r>
        <w:rPr>
          <w:rFonts w:ascii="Arial" w:hAnsi="Arial" w:cs="Arial"/>
          <w:color w:val="000000"/>
          <w:lang w:val="en"/>
        </w:rPr>
        <w:t xml:space="preserve"> legislation into Parliament </w:t>
      </w:r>
      <w:r w:rsidR="00392530">
        <w:rPr>
          <w:rFonts w:ascii="Arial" w:hAnsi="Arial" w:cs="Arial"/>
          <w:color w:val="000000"/>
          <w:lang w:val="en"/>
        </w:rPr>
        <w:t>in November 2012</w:t>
      </w:r>
      <w:r w:rsidR="0062164B">
        <w:rPr>
          <w:rFonts w:ascii="Arial" w:hAnsi="Arial" w:cs="Arial"/>
          <w:color w:val="000000"/>
          <w:lang w:val="en"/>
        </w:rPr>
        <w:t>,</w:t>
      </w:r>
      <w:r w:rsidR="00392530">
        <w:rPr>
          <w:rFonts w:ascii="Arial" w:hAnsi="Arial" w:cs="Arial"/>
          <w:color w:val="000000"/>
          <w:lang w:val="en"/>
        </w:rPr>
        <w:t xml:space="preserve"> for a July start date of 1</w:t>
      </w:r>
      <w:r w:rsidR="0062164B">
        <w:rPr>
          <w:rFonts w:ascii="Arial" w:hAnsi="Arial" w:cs="Arial"/>
          <w:color w:val="000000"/>
          <w:lang w:val="en"/>
        </w:rPr>
        <w:t>st</w:t>
      </w:r>
      <w:r w:rsidR="00392530">
        <w:rPr>
          <w:rFonts w:ascii="Arial" w:hAnsi="Arial" w:cs="Arial"/>
          <w:color w:val="000000"/>
          <w:lang w:val="en"/>
        </w:rPr>
        <w:t xml:space="preserve"> July 2013. The IPA is concerned that this may be an unrealistic timetable</w:t>
      </w:r>
      <w:r w:rsidR="0062164B">
        <w:rPr>
          <w:rFonts w:ascii="Arial" w:hAnsi="Arial" w:cs="Arial"/>
          <w:color w:val="000000"/>
          <w:lang w:val="en"/>
        </w:rPr>
        <w:t>,</w:t>
      </w:r>
      <w:r w:rsidR="00392530">
        <w:rPr>
          <w:rFonts w:ascii="Arial" w:hAnsi="Arial" w:cs="Arial"/>
          <w:color w:val="000000"/>
          <w:lang w:val="en"/>
        </w:rPr>
        <w:t xml:space="preserve"> unless the minor tune up option is chosen </w:t>
      </w:r>
      <w:r w:rsidR="005E7F9E">
        <w:rPr>
          <w:rFonts w:ascii="Arial" w:hAnsi="Arial" w:cs="Arial"/>
          <w:color w:val="000000"/>
          <w:lang w:val="en"/>
        </w:rPr>
        <w:t>(retain</w:t>
      </w:r>
      <w:r w:rsidR="00392530">
        <w:rPr>
          <w:rFonts w:ascii="Arial" w:hAnsi="Arial" w:cs="Arial"/>
          <w:color w:val="000000"/>
          <w:lang w:val="en"/>
        </w:rPr>
        <w:t xml:space="preserve"> existing model in Division 6 </w:t>
      </w:r>
      <w:r w:rsidR="005E7F9E">
        <w:rPr>
          <w:rFonts w:ascii="Arial" w:hAnsi="Arial" w:cs="Arial"/>
          <w:color w:val="000000"/>
          <w:lang w:val="en"/>
        </w:rPr>
        <w:t>with</w:t>
      </w:r>
      <w:r w:rsidR="00392530">
        <w:rPr>
          <w:rFonts w:ascii="Arial" w:hAnsi="Arial" w:cs="Arial"/>
          <w:color w:val="000000"/>
          <w:lang w:val="en"/>
        </w:rPr>
        <w:t xml:space="preserve"> improvement to fix known problems and clarify </w:t>
      </w:r>
      <w:r w:rsidR="005E7F9E">
        <w:rPr>
          <w:rFonts w:ascii="Arial" w:hAnsi="Arial" w:cs="Arial"/>
          <w:color w:val="000000"/>
          <w:lang w:val="en"/>
        </w:rPr>
        <w:t>uncertainties</w:t>
      </w:r>
      <w:r w:rsidR="00392530">
        <w:rPr>
          <w:rFonts w:ascii="Arial" w:hAnsi="Arial" w:cs="Arial"/>
          <w:color w:val="000000"/>
          <w:lang w:val="en"/>
        </w:rPr>
        <w:t>)</w:t>
      </w:r>
      <w:r w:rsidR="00E20396">
        <w:rPr>
          <w:rFonts w:ascii="Arial" w:hAnsi="Arial" w:cs="Arial"/>
          <w:color w:val="000000"/>
          <w:lang w:val="en"/>
        </w:rPr>
        <w:t>. If another model is to be adopted requiring substantial changes, then given the complexity of the issues to be surmounted, we believe</w:t>
      </w:r>
      <w:r w:rsidR="006D4E05">
        <w:rPr>
          <w:rFonts w:ascii="Arial" w:hAnsi="Arial" w:cs="Arial"/>
          <w:color w:val="000000"/>
          <w:lang w:val="en"/>
        </w:rPr>
        <w:t xml:space="preserve"> a</w:t>
      </w:r>
      <w:r w:rsidR="00E20396">
        <w:rPr>
          <w:rFonts w:ascii="Arial" w:hAnsi="Arial" w:cs="Arial"/>
          <w:color w:val="000000"/>
          <w:lang w:val="en"/>
        </w:rPr>
        <w:t xml:space="preserve"> longer</w:t>
      </w:r>
      <w:r w:rsidR="006D4E05">
        <w:rPr>
          <w:rFonts w:ascii="Arial" w:hAnsi="Arial" w:cs="Arial"/>
          <w:color w:val="000000"/>
          <w:lang w:val="en"/>
        </w:rPr>
        <w:t xml:space="preserve"> </w:t>
      </w:r>
      <w:r w:rsidR="00E20396">
        <w:rPr>
          <w:rFonts w:ascii="Arial" w:hAnsi="Arial" w:cs="Arial"/>
          <w:color w:val="000000"/>
          <w:lang w:val="en"/>
        </w:rPr>
        <w:t xml:space="preserve">lead time for </w:t>
      </w:r>
      <w:r w:rsidR="003F3CB4">
        <w:rPr>
          <w:rFonts w:ascii="Arial" w:hAnsi="Arial" w:cs="Arial"/>
          <w:color w:val="000000"/>
          <w:lang w:val="en"/>
        </w:rPr>
        <w:t>its</w:t>
      </w:r>
      <w:r w:rsidR="00E20396">
        <w:rPr>
          <w:rFonts w:ascii="Arial" w:hAnsi="Arial" w:cs="Arial"/>
          <w:color w:val="000000"/>
          <w:lang w:val="en"/>
        </w:rPr>
        <w:t xml:space="preserve"> introduction is required. There are a wide variety of trusts differing in their deeds, structure, use and size </w:t>
      </w:r>
      <w:r w:rsidR="00402481">
        <w:rPr>
          <w:rFonts w:ascii="Arial" w:hAnsi="Arial" w:cs="Arial"/>
          <w:color w:val="000000"/>
          <w:lang w:val="en"/>
        </w:rPr>
        <w:t xml:space="preserve">which will </w:t>
      </w:r>
      <w:r w:rsidR="00E20396">
        <w:rPr>
          <w:rFonts w:ascii="Arial" w:hAnsi="Arial" w:cs="Arial"/>
          <w:color w:val="000000"/>
          <w:lang w:val="en"/>
        </w:rPr>
        <w:t>requir</w:t>
      </w:r>
      <w:r w:rsidR="00402481">
        <w:rPr>
          <w:rFonts w:ascii="Arial" w:hAnsi="Arial" w:cs="Arial"/>
          <w:color w:val="000000"/>
          <w:lang w:val="en"/>
        </w:rPr>
        <w:t>e deeds to be reviewed and possibly change</w:t>
      </w:r>
      <w:r w:rsidR="001F2B7E">
        <w:rPr>
          <w:rFonts w:ascii="Arial" w:hAnsi="Arial" w:cs="Arial"/>
          <w:color w:val="000000"/>
          <w:lang w:val="en"/>
        </w:rPr>
        <w:t xml:space="preserve">d as a result of legislative changes. There will be also be a need to educate trustees ahead of </w:t>
      </w:r>
      <w:r w:rsidR="0062164B">
        <w:rPr>
          <w:rFonts w:ascii="Arial" w:hAnsi="Arial" w:cs="Arial"/>
          <w:color w:val="000000"/>
          <w:lang w:val="en"/>
        </w:rPr>
        <w:t xml:space="preserve">the </w:t>
      </w:r>
      <w:r w:rsidR="001F2B7E">
        <w:rPr>
          <w:rFonts w:ascii="Arial" w:hAnsi="Arial" w:cs="Arial"/>
          <w:color w:val="000000"/>
          <w:lang w:val="en"/>
        </w:rPr>
        <w:t>implementation</w:t>
      </w:r>
      <w:r w:rsidR="00E20396">
        <w:rPr>
          <w:rFonts w:ascii="Arial" w:hAnsi="Arial" w:cs="Arial"/>
          <w:color w:val="000000"/>
          <w:lang w:val="en"/>
        </w:rPr>
        <w:t xml:space="preserve"> </w:t>
      </w:r>
      <w:r w:rsidR="00C43F61">
        <w:rPr>
          <w:rFonts w:ascii="Arial" w:hAnsi="Arial" w:cs="Arial"/>
          <w:color w:val="000000"/>
          <w:lang w:val="en"/>
        </w:rPr>
        <w:t>timetable. Given the number and diversity of trust</w:t>
      </w:r>
      <w:r w:rsidR="0062164B">
        <w:rPr>
          <w:rFonts w:ascii="Arial" w:hAnsi="Arial" w:cs="Arial"/>
          <w:color w:val="000000"/>
          <w:lang w:val="en"/>
        </w:rPr>
        <w:t>s</w:t>
      </w:r>
      <w:r w:rsidR="00C43F61">
        <w:rPr>
          <w:rFonts w:ascii="Arial" w:hAnsi="Arial" w:cs="Arial"/>
          <w:color w:val="000000"/>
          <w:lang w:val="en"/>
        </w:rPr>
        <w:t xml:space="preserve"> in existence, an extensive education process over several months will </w:t>
      </w:r>
      <w:r w:rsidR="00232E1B">
        <w:rPr>
          <w:rFonts w:ascii="Arial" w:hAnsi="Arial" w:cs="Arial"/>
          <w:color w:val="000000"/>
          <w:lang w:val="en"/>
        </w:rPr>
        <w:t xml:space="preserve">also </w:t>
      </w:r>
      <w:r w:rsidR="00C43F61">
        <w:rPr>
          <w:rFonts w:ascii="Arial" w:hAnsi="Arial" w:cs="Arial"/>
          <w:color w:val="000000"/>
          <w:lang w:val="en"/>
        </w:rPr>
        <w:t>be required.</w:t>
      </w:r>
    </w:p>
    <w:p w:rsidR="00246941" w:rsidRDefault="00246941" w:rsidP="00246941">
      <w:pPr>
        <w:shd w:val="clear" w:color="auto" w:fill="FFFFFF"/>
        <w:spacing w:before="100" w:beforeAutospacing="1" w:after="100" w:afterAutospacing="1"/>
        <w:rPr>
          <w:rFonts w:ascii="Arial" w:hAnsi="Arial" w:cs="Arial"/>
          <w:color w:val="000000"/>
          <w:lang w:val="en"/>
        </w:rPr>
      </w:pPr>
    </w:p>
    <w:p w:rsidR="00246941" w:rsidRDefault="00246941" w:rsidP="00246941">
      <w:pPr>
        <w:shd w:val="clear" w:color="auto" w:fill="FFFFFF"/>
        <w:spacing w:before="100" w:beforeAutospacing="1" w:after="100" w:afterAutospacing="1"/>
        <w:rPr>
          <w:rFonts w:ascii="Arial" w:hAnsi="Arial" w:cs="Arial"/>
          <w:color w:val="000000"/>
          <w:lang w:val="en"/>
        </w:rPr>
      </w:pPr>
    </w:p>
    <w:p w:rsidR="00E25CAC" w:rsidRDefault="00E25CAC" w:rsidP="00E25CAC">
      <w:pPr>
        <w:pStyle w:val="header14ptorangebold"/>
      </w:pPr>
      <w:r>
        <w:t>Introducto</w:t>
      </w:r>
      <w:r w:rsidR="00766A5B">
        <w:t>ry comments</w:t>
      </w:r>
    </w:p>
    <w:p w:rsidR="003E42BA" w:rsidRDefault="003E42BA" w:rsidP="00E25CAC">
      <w:pPr>
        <w:pStyle w:val="header14ptorangebold"/>
      </w:pPr>
    </w:p>
    <w:p w:rsidR="00825E4E" w:rsidRPr="009C500A" w:rsidRDefault="00E7308B" w:rsidP="00E302B4">
      <w:pPr>
        <w:rPr>
          <w:rFonts w:ascii="Arial" w:hAnsi="Arial" w:cs="Arial"/>
          <w:bCs/>
          <w:lang w:val="en-AU"/>
        </w:rPr>
      </w:pPr>
      <w:r>
        <w:rPr>
          <w:rFonts w:ascii="Arial" w:hAnsi="Arial" w:cs="Arial"/>
          <w:bCs/>
          <w:lang w:val="en-AU"/>
        </w:rPr>
        <w:t>The consultation paper has summarised the key issues impeding the effective taxation of trusts.</w:t>
      </w:r>
      <w:r w:rsidR="00003F15">
        <w:rPr>
          <w:rFonts w:ascii="Arial" w:hAnsi="Arial" w:cs="Arial"/>
          <w:bCs/>
          <w:lang w:val="en-AU"/>
        </w:rPr>
        <w:t xml:space="preserve"> It has also outlined the broad policy framework for the review and some policy options for reform.</w:t>
      </w:r>
      <w:r w:rsidR="00F45430">
        <w:rPr>
          <w:rFonts w:ascii="Arial" w:hAnsi="Arial" w:cs="Arial"/>
          <w:bCs/>
          <w:lang w:val="en-AU"/>
        </w:rPr>
        <w:t xml:space="preserve"> The paper leaves open the issue of character flow-through and streaming which we consider fundamental attributes of trust</w:t>
      </w:r>
      <w:r w:rsidR="0062164B">
        <w:rPr>
          <w:rFonts w:ascii="Arial" w:hAnsi="Arial" w:cs="Arial"/>
          <w:bCs/>
          <w:lang w:val="en-AU"/>
        </w:rPr>
        <w:t>s</w:t>
      </w:r>
      <w:r w:rsidR="00F45430">
        <w:rPr>
          <w:rFonts w:ascii="Arial" w:hAnsi="Arial" w:cs="Arial"/>
          <w:bCs/>
          <w:lang w:val="en-AU"/>
        </w:rPr>
        <w:t xml:space="preserve"> which have been </w:t>
      </w:r>
      <w:r w:rsidR="00001D3F">
        <w:rPr>
          <w:rFonts w:ascii="Arial" w:hAnsi="Arial" w:cs="Arial"/>
          <w:bCs/>
          <w:lang w:val="en-AU"/>
        </w:rPr>
        <w:t xml:space="preserve">challenged in recent judicial interpretations. The IPA would have liked more guidance on </w:t>
      </w:r>
      <w:r w:rsidR="00232E1B">
        <w:rPr>
          <w:rFonts w:ascii="Arial" w:hAnsi="Arial" w:cs="Arial"/>
          <w:bCs/>
          <w:lang w:val="en-AU"/>
        </w:rPr>
        <w:t xml:space="preserve">the </w:t>
      </w:r>
      <w:r w:rsidR="00001D3F">
        <w:rPr>
          <w:rFonts w:ascii="Arial" w:hAnsi="Arial" w:cs="Arial"/>
          <w:bCs/>
          <w:lang w:val="en-AU"/>
        </w:rPr>
        <w:t xml:space="preserve">acceptance </w:t>
      </w:r>
      <w:r w:rsidR="0062164B">
        <w:rPr>
          <w:rFonts w:ascii="Arial" w:hAnsi="Arial" w:cs="Arial"/>
          <w:bCs/>
          <w:lang w:val="en-AU"/>
        </w:rPr>
        <w:t xml:space="preserve">of </w:t>
      </w:r>
      <w:r w:rsidR="00001D3F">
        <w:rPr>
          <w:rFonts w:ascii="Arial" w:hAnsi="Arial" w:cs="Arial"/>
          <w:bCs/>
          <w:lang w:val="en-AU"/>
        </w:rPr>
        <w:t>character flow-through and streaming in considering the various reform options.</w:t>
      </w:r>
      <w:r w:rsidR="007A667F">
        <w:rPr>
          <w:rFonts w:ascii="Arial" w:hAnsi="Arial" w:cs="Arial"/>
          <w:bCs/>
          <w:lang w:val="en-AU"/>
        </w:rPr>
        <w:t xml:space="preserve"> These features have become accepted practice over time and should be retained as part of the broad policy framework in which to conduct the update and review. </w:t>
      </w:r>
      <w:r w:rsidR="000161C2">
        <w:rPr>
          <w:rFonts w:ascii="Arial" w:hAnsi="Arial" w:cs="Arial"/>
          <w:bCs/>
          <w:lang w:val="en-AU"/>
        </w:rPr>
        <w:t xml:space="preserve">We would hope that character flow-through and streaming issues are sorted out sooner </w:t>
      </w:r>
      <w:r w:rsidR="0062164B">
        <w:rPr>
          <w:rFonts w:ascii="Arial" w:hAnsi="Arial" w:cs="Arial"/>
          <w:bCs/>
          <w:lang w:val="en-AU"/>
        </w:rPr>
        <w:t xml:space="preserve">rather </w:t>
      </w:r>
      <w:r w:rsidR="000161C2">
        <w:rPr>
          <w:rFonts w:ascii="Arial" w:hAnsi="Arial" w:cs="Arial"/>
          <w:bCs/>
          <w:lang w:val="en-AU"/>
        </w:rPr>
        <w:t>than later during the consultation process.</w:t>
      </w:r>
    </w:p>
    <w:p w:rsidR="00766A5B" w:rsidRDefault="00C44D70" w:rsidP="00AB23D4">
      <w:pPr>
        <w:shd w:val="clear" w:color="auto" w:fill="FFFFFF"/>
        <w:spacing w:before="100" w:beforeAutospacing="1" w:after="100" w:afterAutospacing="1"/>
        <w:rPr>
          <w:rFonts w:ascii="Arial" w:hAnsi="Arial" w:cs="Arial"/>
          <w:color w:val="000000"/>
          <w:lang w:val="en"/>
        </w:rPr>
      </w:pPr>
      <w:r>
        <w:rPr>
          <w:rFonts w:ascii="Arial" w:hAnsi="Arial" w:cs="Arial"/>
          <w:color w:val="000000"/>
          <w:lang w:val="en"/>
        </w:rPr>
        <w:t xml:space="preserve">Our submission concentrates on the main issues affecting small practitioners servicing clients who use trust structures for a variety of reasons. Our primary objective </w:t>
      </w:r>
      <w:r w:rsidR="008C3708">
        <w:rPr>
          <w:rFonts w:ascii="Arial" w:hAnsi="Arial" w:cs="Arial"/>
          <w:color w:val="000000"/>
          <w:lang w:val="en"/>
        </w:rPr>
        <w:t xml:space="preserve">is to reduce the unnecessary compliance and administrative costs which have arisen as a result of the current taxation provisions. </w:t>
      </w:r>
      <w:r w:rsidR="00C43F61">
        <w:rPr>
          <w:rFonts w:ascii="Arial" w:hAnsi="Arial" w:cs="Arial"/>
          <w:color w:val="000000"/>
          <w:lang w:val="en"/>
        </w:rPr>
        <w:t>Also of prime importance is to ensure th</w:t>
      </w:r>
      <w:r w:rsidR="0062164B">
        <w:rPr>
          <w:rFonts w:ascii="Arial" w:hAnsi="Arial" w:cs="Arial"/>
          <w:color w:val="000000"/>
          <w:lang w:val="en"/>
        </w:rPr>
        <w:t xml:space="preserve">at the existing attributes </w:t>
      </w:r>
      <w:r w:rsidR="00C43F61">
        <w:rPr>
          <w:rFonts w:ascii="Arial" w:hAnsi="Arial" w:cs="Arial"/>
          <w:color w:val="000000"/>
          <w:lang w:val="en"/>
        </w:rPr>
        <w:t>of trust remain intact</w:t>
      </w:r>
      <w:r w:rsidR="00AB23D4">
        <w:rPr>
          <w:rFonts w:ascii="Arial" w:hAnsi="Arial" w:cs="Arial"/>
          <w:color w:val="000000"/>
          <w:lang w:val="en"/>
        </w:rPr>
        <w:t xml:space="preserve"> and are protected </w:t>
      </w:r>
      <w:r w:rsidR="00C43F61">
        <w:rPr>
          <w:rFonts w:ascii="Arial" w:hAnsi="Arial" w:cs="Arial"/>
          <w:color w:val="000000"/>
          <w:lang w:val="en"/>
        </w:rPr>
        <w:t xml:space="preserve">for </w:t>
      </w:r>
      <w:r w:rsidR="00AB23D4">
        <w:rPr>
          <w:rFonts w:ascii="Arial" w:hAnsi="Arial" w:cs="Arial"/>
          <w:color w:val="000000"/>
          <w:lang w:val="en"/>
        </w:rPr>
        <w:t xml:space="preserve">existing </w:t>
      </w:r>
      <w:r w:rsidR="00C43F61">
        <w:rPr>
          <w:rFonts w:ascii="Arial" w:hAnsi="Arial" w:cs="Arial"/>
          <w:color w:val="000000"/>
          <w:lang w:val="en"/>
        </w:rPr>
        <w:t>trust</w:t>
      </w:r>
      <w:r w:rsidR="00AB23D4">
        <w:rPr>
          <w:rFonts w:ascii="Arial" w:hAnsi="Arial" w:cs="Arial"/>
          <w:color w:val="000000"/>
          <w:lang w:val="en"/>
        </w:rPr>
        <w:t>s</w:t>
      </w:r>
      <w:r w:rsidR="00A9185A">
        <w:rPr>
          <w:rFonts w:ascii="Arial" w:hAnsi="Arial" w:cs="Arial"/>
          <w:color w:val="000000"/>
          <w:lang w:val="en"/>
        </w:rPr>
        <w:t>.</w:t>
      </w:r>
    </w:p>
    <w:p w:rsidR="00A9185A" w:rsidRDefault="00A9185A" w:rsidP="00AB23D4">
      <w:pPr>
        <w:shd w:val="clear" w:color="auto" w:fill="FFFFFF"/>
        <w:spacing w:before="100" w:beforeAutospacing="1" w:after="100" w:afterAutospacing="1"/>
      </w:pPr>
    </w:p>
    <w:p w:rsidR="00570C1E" w:rsidRDefault="00B97278" w:rsidP="00570C1E">
      <w:pPr>
        <w:pStyle w:val="header14ptorangebold"/>
      </w:pPr>
      <w:bookmarkStart w:id="1" w:name="OLE_LINK18"/>
      <w:bookmarkStart w:id="2" w:name="OLE_LINK19"/>
      <w:bookmarkStart w:id="3" w:name="OLE_LINK1"/>
      <w:bookmarkStart w:id="4" w:name="OLE_LINK2"/>
      <w:r>
        <w:t>Determining present entitlement by year end</w:t>
      </w:r>
    </w:p>
    <w:p w:rsidR="00570C1E" w:rsidRDefault="00570C1E" w:rsidP="00570C1E">
      <w:pPr>
        <w:pStyle w:val="header14ptorangebold"/>
      </w:pPr>
    </w:p>
    <w:p w:rsidR="000C79F1" w:rsidRDefault="00570C1E" w:rsidP="000C79F1">
      <w:pPr>
        <w:rPr>
          <w:rFonts w:ascii="Arial" w:hAnsi="Arial" w:cs="Arial"/>
          <w:bCs/>
          <w:lang w:val="en-AU"/>
        </w:rPr>
      </w:pPr>
      <w:r w:rsidRPr="00570C1E">
        <w:rPr>
          <w:rFonts w:ascii="Arial" w:hAnsi="Arial" w:cs="Arial"/>
          <w:bCs/>
          <w:lang w:val="en-AU"/>
        </w:rPr>
        <w:t xml:space="preserve">Trustees must resolve to make </w:t>
      </w:r>
      <w:r w:rsidR="005E7F9E" w:rsidRPr="00570C1E">
        <w:rPr>
          <w:rFonts w:ascii="Arial" w:hAnsi="Arial" w:cs="Arial"/>
          <w:bCs/>
          <w:lang w:val="en-AU"/>
        </w:rPr>
        <w:t>be</w:t>
      </w:r>
      <w:r w:rsidR="005E7F9E">
        <w:rPr>
          <w:rFonts w:ascii="Arial" w:hAnsi="Arial" w:cs="Arial"/>
          <w:bCs/>
          <w:lang w:val="en-AU"/>
        </w:rPr>
        <w:t>ne</w:t>
      </w:r>
      <w:r w:rsidR="005E7F9E" w:rsidRPr="00570C1E">
        <w:rPr>
          <w:rFonts w:ascii="Arial" w:hAnsi="Arial" w:cs="Arial"/>
          <w:bCs/>
          <w:lang w:val="en-AU"/>
        </w:rPr>
        <w:t>ficiaries</w:t>
      </w:r>
      <w:r w:rsidRPr="00570C1E">
        <w:rPr>
          <w:rFonts w:ascii="Arial" w:hAnsi="Arial" w:cs="Arial"/>
          <w:bCs/>
          <w:lang w:val="en-AU"/>
        </w:rPr>
        <w:t xml:space="preserve"> presently entitled to the trusts distributable income </w:t>
      </w:r>
      <w:r>
        <w:rPr>
          <w:rFonts w:ascii="Arial" w:hAnsi="Arial" w:cs="Arial"/>
          <w:bCs/>
          <w:lang w:val="en-AU"/>
        </w:rPr>
        <w:t xml:space="preserve">by </w:t>
      </w:r>
      <w:r w:rsidR="00AB23D4">
        <w:rPr>
          <w:rFonts w:ascii="Arial" w:hAnsi="Arial" w:cs="Arial"/>
          <w:bCs/>
          <w:lang w:val="en-AU"/>
        </w:rPr>
        <w:t xml:space="preserve">the </w:t>
      </w:r>
      <w:r>
        <w:rPr>
          <w:rFonts w:ascii="Arial" w:hAnsi="Arial" w:cs="Arial"/>
          <w:bCs/>
          <w:lang w:val="en-AU"/>
        </w:rPr>
        <w:t>30</w:t>
      </w:r>
      <w:r w:rsidRPr="00570C1E">
        <w:rPr>
          <w:rFonts w:ascii="Arial" w:hAnsi="Arial" w:cs="Arial"/>
          <w:bCs/>
          <w:vertAlign w:val="superscript"/>
          <w:lang w:val="en-AU"/>
        </w:rPr>
        <w:t>th</w:t>
      </w:r>
      <w:r>
        <w:rPr>
          <w:rFonts w:ascii="Arial" w:hAnsi="Arial" w:cs="Arial"/>
          <w:bCs/>
          <w:lang w:val="en-AU"/>
        </w:rPr>
        <w:t xml:space="preserve"> June. The inflexibility wit</w:t>
      </w:r>
      <w:r w:rsidR="00BB1ACB">
        <w:rPr>
          <w:rFonts w:ascii="Arial" w:hAnsi="Arial" w:cs="Arial"/>
          <w:bCs/>
          <w:lang w:val="en-AU"/>
        </w:rPr>
        <w:t>h</w:t>
      </w:r>
      <w:r>
        <w:rPr>
          <w:rFonts w:ascii="Arial" w:hAnsi="Arial" w:cs="Arial"/>
          <w:bCs/>
          <w:lang w:val="en-AU"/>
        </w:rPr>
        <w:t xml:space="preserve"> respect to this legislative requirement has caused considerable administrative </w:t>
      </w:r>
      <w:r w:rsidR="005E7F9E">
        <w:rPr>
          <w:rFonts w:ascii="Arial" w:hAnsi="Arial" w:cs="Arial"/>
          <w:bCs/>
          <w:lang w:val="en-AU"/>
        </w:rPr>
        <w:t>impracticality</w:t>
      </w:r>
      <w:r>
        <w:rPr>
          <w:rFonts w:ascii="Arial" w:hAnsi="Arial" w:cs="Arial"/>
          <w:bCs/>
          <w:lang w:val="en-AU"/>
        </w:rPr>
        <w:t xml:space="preserve"> for trustees</w:t>
      </w:r>
      <w:r w:rsidR="00BB1ACB">
        <w:rPr>
          <w:rFonts w:ascii="Arial" w:hAnsi="Arial" w:cs="Arial"/>
          <w:bCs/>
          <w:lang w:val="en-AU"/>
        </w:rPr>
        <w:t xml:space="preserve"> and their accountants for some time</w:t>
      </w:r>
      <w:r w:rsidR="00E33DFA">
        <w:rPr>
          <w:rFonts w:ascii="Arial" w:hAnsi="Arial" w:cs="Arial"/>
          <w:bCs/>
          <w:lang w:val="en-AU"/>
        </w:rPr>
        <w:t>.</w:t>
      </w:r>
      <w:r w:rsidR="005A3F67">
        <w:rPr>
          <w:rFonts w:ascii="Arial" w:hAnsi="Arial" w:cs="Arial"/>
          <w:bCs/>
          <w:lang w:val="en-AU"/>
        </w:rPr>
        <w:t xml:space="preserve"> Whilst we recognise the need for some deadline for determining which beneficiaries should be assessed on a trust’s taxable income, the current arrangements are impracticable. As highlighted in the consultation paper, difficulties arise largely because all of the relevant information about the trust’s accounts is not available at the time resolutions are required.</w:t>
      </w:r>
    </w:p>
    <w:p w:rsidR="00130741" w:rsidRDefault="00130741" w:rsidP="000C79F1">
      <w:pPr>
        <w:rPr>
          <w:rFonts w:ascii="Arial" w:hAnsi="Arial" w:cs="Arial"/>
          <w:bCs/>
          <w:lang w:val="en-AU"/>
        </w:rPr>
      </w:pPr>
    </w:p>
    <w:p w:rsidR="00BB1ACB" w:rsidRDefault="00130741" w:rsidP="00130741">
      <w:pPr>
        <w:tabs>
          <w:tab w:val="num" w:pos="1800"/>
        </w:tabs>
        <w:rPr>
          <w:rFonts w:ascii="Arial" w:hAnsi="Arial" w:cs="Arial"/>
        </w:rPr>
      </w:pPr>
      <w:r w:rsidRPr="00130741">
        <w:rPr>
          <w:rFonts w:ascii="Arial" w:hAnsi="Arial" w:cs="Arial"/>
        </w:rPr>
        <w:t xml:space="preserve">To mitigate the issues with the end of year deadline for determining present entitlement, the ATO issued Income Tax Ruling IT 328 (IT 328) </w:t>
      </w:r>
      <w:r w:rsidR="002F1281">
        <w:rPr>
          <w:rFonts w:ascii="Arial" w:hAnsi="Arial" w:cs="Arial"/>
        </w:rPr>
        <w:t>i</w:t>
      </w:r>
      <w:r w:rsidR="002F1281" w:rsidRPr="00130741">
        <w:rPr>
          <w:rFonts w:ascii="Arial" w:hAnsi="Arial" w:cs="Arial"/>
        </w:rPr>
        <w:t>n May</w:t>
      </w:r>
      <w:r w:rsidRPr="00130741">
        <w:rPr>
          <w:rFonts w:ascii="Arial" w:hAnsi="Arial" w:cs="Arial"/>
        </w:rPr>
        <w:t xml:space="preserve"> 1966, which provided trustees until 31</w:t>
      </w:r>
      <w:r w:rsidR="00AB23D4">
        <w:rPr>
          <w:rFonts w:ascii="Arial" w:hAnsi="Arial" w:cs="Arial"/>
        </w:rPr>
        <w:t>st</w:t>
      </w:r>
      <w:r w:rsidRPr="00130741">
        <w:rPr>
          <w:rFonts w:ascii="Arial" w:hAnsi="Arial" w:cs="Arial"/>
        </w:rPr>
        <w:t xml:space="preserve"> August to exercise their discretion to pay or apply the income of the trust to beneficiaries. </w:t>
      </w:r>
      <w:r w:rsidR="00BB1ACB">
        <w:rPr>
          <w:rFonts w:ascii="Arial" w:hAnsi="Arial" w:cs="Arial"/>
        </w:rPr>
        <w:t xml:space="preserve">Whilst </w:t>
      </w:r>
      <w:r w:rsidRPr="00130741">
        <w:rPr>
          <w:rFonts w:ascii="Arial" w:hAnsi="Arial" w:cs="Arial"/>
        </w:rPr>
        <w:t xml:space="preserve">this ruling provided an administrative solution, the recent </w:t>
      </w:r>
      <w:r w:rsidR="00BB1ACB">
        <w:rPr>
          <w:rFonts w:ascii="Arial" w:hAnsi="Arial" w:cs="Arial"/>
        </w:rPr>
        <w:t xml:space="preserve">case law </w:t>
      </w:r>
      <w:r w:rsidRPr="00130741">
        <w:rPr>
          <w:rFonts w:ascii="Arial" w:hAnsi="Arial" w:cs="Arial"/>
        </w:rPr>
        <w:t xml:space="preserve">decision in </w:t>
      </w:r>
      <w:r w:rsidR="002F1281" w:rsidRPr="00130741">
        <w:rPr>
          <w:rFonts w:ascii="Arial" w:hAnsi="Arial" w:cs="Arial"/>
          <w:i/>
        </w:rPr>
        <w:t>Colonial</w:t>
      </w:r>
      <w:r w:rsidR="002F1281" w:rsidRPr="00130741">
        <w:rPr>
          <w:rFonts w:ascii="Arial" w:hAnsi="Arial" w:cs="Arial"/>
        </w:rPr>
        <w:t xml:space="preserve"> </w:t>
      </w:r>
      <w:r w:rsidR="002F1281">
        <w:rPr>
          <w:rFonts w:ascii="Arial" w:hAnsi="Arial" w:cs="Arial"/>
        </w:rPr>
        <w:t>First</w:t>
      </w:r>
      <w:r w:rsidR="00BB1ACB">
        <w:rPr>
          <w:rFonts w:ascii="Arial" w:hAnsi="Arial" w:cs="Arial"/>
        </w:rPr>
        <w:t xml:space="preserve"> State Investments Ltd v Commissioner of Taxation (Colonial decision) </w:t>
      </w:r>
      <w:r w:rsidRPr="00130741">
        <w:rPr>
          <w:rFonts w:ascii="Arial" w:hAnsi="Arial" w:cs="Arial"/>
        </w:rPr>
        <w:t xml:space="preserve">confirmed that this </w:t>
      </w:r>
      <w:r w:rsidR="00BB1ACB">
        <w:rPr>
          <w:rFonts w:ascii="Arial" w:hAnsi="Arial" w:cs="Arial"/>
        </w:rPr>
        <w:t xml:space="preserve">administrative solution </w:t>
      </w:r>
      <w:r w:rsidRPr="00130741">
        <w:rPr>
          <w:rFonts w:ascii="Arial" w:hAnsi="Arial" w:cs="Arial"/>
        </w:rPr>
        <w:t xml:space="preserve">was not supported by the operation of the current tax </w:t>
      </w:r>
      <w:r w:rsidR="00BB1ACB">
        <w:rPr>
          <w:rFonts w:ascii="Arial" w:hAnsi="Arial" w:cs="Arial"/>
        </w:rPr>
        <w:t>trust rules</w:t>
      </w:r>
      <w:r w:rsidRPr="00130741">
        <w:rPr>
          <w:rFonts w:ascii="Arial" w:hAnsi="Arial" w:cs="Arial"/>
        </w:rPr>
        <w:t>.</w:t>
      </w:r>
    </w:p>
    <w:p w:rsidR="00130741" w:rsidRDefault="00130741" w:rsidP="00130741">
      <w:pPr>
        <w:tabs>
          <w:tab w:val="num" w:pos="1800"/>
        </w:tabs>
        <w:rPr>
          <w:rFonts w:ascii="Arial" w:hAnsi="Arial" w:cs="Arial"/>
        </w:rPr>
      </w:pPr>
      <w:r w:rsidRPr="00130741">
        <w:rPr>
          <w:rFonts w:ascii="Arial" w:hAnsi="Arial" w:cs="Arial"/>
        </w:rPr>
        <w:t xml:space="preserve"> Moreover, any such practice would not enable trustees to ignore entitlements already created at trust law — for example, as a result of default beneficiary clauses (which were not in wide usage when the ATO’s administrative solution was developed). </w:t>
      </w:r>
    </w:p>
    <w:p w:rsidR="005A3F67" w:rsidRPr="00130741" w:rsidRDefault="005A3F67" w:rsidP="00130741">
      <w:pPr>
        <w:tabs>
          <w:tab w:val="num" w:pos="1800"/>
        </w:tabs>
        <w:rPr>
          <w:rFonts w:ascii="Arial" w:hAnsi="Arial" w:cs="Arial"/>
        </w:rPr>
      </w:pPr>
    </w:p>
    <w:p w:rsidR="00130741" w:rsidRDefault="00C44D70" w:rsidP="00130741">
      <w:pPr>
        <w:tabs>
          <w:tab w:val="num" w:pos="1800"/>
        </w:tabs>
        <w:rPr>
          <w:rFonts w:ascii="Arial" w:hAnsi="Arial" w:cs="Arial"/>
        </w:rPr>
      </w:pPr>
      <w:r>
        <w:rPr>
          <w:rFonts w:ascii="Arial" w:hAnsi="Arial" w:cs="Arial"/>
        </w:rPr>
        <w:t xml:space="preserve">In light of recent case law </w:t>
      </w:r>
      <w:r w:rsidR="002F1281">
        <w:rPr>
          <w:rFonts w:ascii="Arial" w:hAnsi="Arial" w:cs="Arial"/>
        </w:rPr>
        <w:t>decision</w:t>
      </w:r>
      <w:r w:rsidR="00AB23D4">
        <w:rPr>
          <w:rFonts w:ascii="Arial" w:hAnsi="Arial" w:cs="Arial"/>
        </w:rPr>
        <w:t>s</w:t>
      </w:r>
      <w:r>
        <w:rPr>
          <w:rFonts w:ascii="Arial" w:hAnsi="Arial" w:cs="Arial"/>
        </w:rPr>
        <w:t xml:space="preserve"> such as the Colonial decision, t</w:t>
      </w:r>
      <w:r w:rsidR="00130741" w:rsidRPr="00130741">
        <w:rPr>
          <w:rFonts w:ascii="Arial" w:hAnsi="Arial" w:cs="Arial"/>
        </w:rPr>
        <w:t xml:space="preserve">he ATO </w:t>
      </w:r>
      <w:r>
        <w:rPr>
          <w:rFonts w:ascii="Arial" w:hAnsi="Arial" w:cs="Arial"/>
        </w:rPr>
        <w:t>had to</w:t>
      </w:r>
      <w:r w:rsidR="00130741" w:rsidRPr="00130741">
        <w:rPr>
          <w:rFonts w:ascii="Arial" w:hAnsi="Arial" w:cs="Arial"/>
        </w:rPr>
        <w:t xml:space="preserve"> </w:t>
      </w:r>
      <w:proofErr w:type="spellStart"/>
      <w:r w:rsidR="00130741" w:rsidRPr="00130741">
        <w:rPr>
          <w:rFonts w:ascii="Arial" w:hAnsi="Arial" w:cs="Arial"/>
        </w:rPr>
        <w:t>withdrawn</w:t>
      </w:r>
      <w:proofErr w:type="spellEnd"/>
      <w:r w:rsidR="00130741" w:rsidRPr="00130741">
        <w:rPr>
          <w:rFonts w:ascii="Arial" w:hAnsi="Arial" w:cs="Arial"/>
        </w:rPr>
        <w:t xml:space="preserve"> this ruling with effect from the 2011</w:t>
      </w:r>
      <w:r w:rsidR="00130741" w:rsidRPr="00130741">
        <w:rPr>
          <w:rFonts w:ascii="Arial" w:hAnsi="Arial" w:cs="Arial"/>
        </w:rPr>
        <w:noBreakHyphen/>
        <w:t>12 income year.</w:t>
      </w:r>
      <w:r>
        <w:rPr>
          <w:rFonts w:ascii="Arial" w:hAnsi="Arial" w:cs="Arial"/>
        </w:rPr>
        <w:t xml:space="preserve"> </w:t>
      </w:r>
      <w:r w:rsidR="00130741" w:rsidRPr="00130741">
        <w:rPr>
          <w:rFonts w:ascii="Arial" w:hAnsi="Arial" w:cs="Arial"/>
        </w:rPr>
        <w:t xml:space="preserve">The withdrawal of IT 328 has served to </w:t>
      </w:r>
      <w:proofErr w:type="spellStart"/>
      <w:r w:rsidR="00130741" w:rsidRPr="00130741">
        <w:rPr>
          <w:rFonts w:ascii="Arial" w:hAnsi="Arial" w:cs="Arial"/>
        </w:rPr>
        <w:t>emphasise</w:t>
      </w:r>
      <w:proofErr w:type="spellEnd"/>
      <w:r w:rsidR="00130741" w:rsidRPr="00130741">
        <w:rPr>
          <w:rFonts w:ascii="Arial" w:hAnsi="Arial" w:cs="Arial"/>
        </w:rPr>
        <w:t xml:space="preserve"> the inflexibility of the legislative requirement that entitlements must arise by the end of the relevant income year, as well as the administrative impracticality that this may present for trustees. </w:t>
      </w:r>
    </w:p>
    <w:p w:rsidR="001C2629" w:rsidRDefault="001C2629" w:rsidP="00130741">
      <w:pPr>
        <w:tabs>
          <w:tab w:val="num" w:pos="1800"/>
        </w:tabs>
        <w:rPr>
          <w:rFonts w:ascii="Arial" w:hAnsi="Arial" w:cs="Arial"/>
        </w:rPr>
      </w:pPr>
    </w:p>
    <w:p w:rsidR="001C2629" w:rsidRPr="00B62599" w:rsidRDefault="000059D9" w:rsidP="001C2629">
      <w:pPr>
        <w:rPr>
          <w:rFonts w:ascii="Arial" w:hAnsi="Arial" w:cs="Arial"/>
          <w:color w:val="333333"/>
          <w:lang w:val="en-AU" w:eastAsia="en-AU" w:bidi="ar-SA"/>
        </w:rPr>
      </w:pPr>
      <w:r w:rsidRPr="00B62599">
        <w:rPr>
          <w:rFonts w:ascii="Arial" w:hAnsi="Arial" w:cs="Arial"/>
        </w:rPr>
        <w:t xml:space="preserve">The short term amendments to enable the ‘streaming’ of capital gains and franked distributions </w:t>
      </w:r>
      <w:r w:rsidR="001C2629" w:rsidRPr="00B62599">
        <w:rPr>
          <w:rFonts w:ascii="Arial" w:hAnsi="Arial" w:cs="Arial"/>
        </w:rPr>
        <w:t xml:space="preserve">post </w:t>
      </w:r>
      <w:proofErr w:type="spellStart"/>
      <w:r w:rsidR="001C2629" w:rsidRPr="00B62599">
        <w:rPr>
          <w:rFonts w:ascii="Arial" w:hAnsi="Arial" w:cs="Arial"/>
        </w:rPr>
        <w:t>Bamford</w:t>
      </w:r>
      <w:proofErr w:type="spellEnd"/>
      <w:r w:rsidR="001C2629" w:rsidRPr="00B62599">
        <w:rPr>
          <w:rFonts w:ascii="Arial" w:hAnsi="Arial" w:cs="Arial"/>
        </w:rPr>
        <w:t xml:space="preserve"> decision </w:t>
      </w:r>
      <w:r w:rsidRPr="00B62599">
        <w:rPr>
          <w:rFonts w:ascii="Arial" w:hAnsi="Arial" w:cs="Arial"/>
        </w:rPr>
        <w:t xml:space="preserve">that were enacted in </w:t>
      </w:r>
      <w:r w:rsidRPr="00B62599">
        <w:rPr>
          <w:rFonts w:ascii="Arial" w:hAnsi="Arial" w:cs="Arial"/>
          <w:i/>
        </w:rPr>
        <w:t xml:space="preserve">Tax Laws Amendment (2011 Measures No.5) Act 2011 </w:t>
      </w:r>
      <w:r w:rsidRPr="00B62599">
        <w:rPr>
          <w:rFonts w:ascii="Arial" w:hAnsi="Arial" w:cs="Arial"/>
        </w:rPr>
        <w:t xml:space="preserve">(TLAA No.5 2011) </w:t>
      </w:r>
      <w:proofErr w:type="spellStart"/>
      <w:r w:rsidRPr="00B62599">
        <w:rPr>
          <w:rFonts w:ascii="Arial" w:hAnsi="Arial" w:cs="Arial"/>
        </w:rPr>
        <w:t>recogni</w:t>
      </w:r>
      <w:r w:rsidR="00232E1B">
        <w:rPr>
          <w:rFonts w:ascii="Arial" w:hAnsi="Arial" w:cs="Arial"/>
        </w:rPr>
        <w:t>s</w:t>
      </w:r>
      <w:r w:rsidRPr="00B62599">
        <w:rPr>
          <w:rFonts w:ascii="Arial" w:hAnsi="Arial" w:cs="Arial"/>
        </w:rPr>
        <w:t>ed</w:t>
      </w:r>
      <w:proofErr w:type="spellEnd"/>
      <w:r w:rsidRPr="00B62599">
        <w:rPr>
          <w:rFonts w:ascii="Arial" w:hAnsi="Arial" w:cs="Arial"/>
        </w:rPr>
        <w:t xml:space="preserve"> this issue</w:t>
      </w:r>
      <w:r w:rsidR="001C2629" w:rsidRPr="00B62599">
        <w:rPr>
          <w:rFonts w:ascii="Arial" w:hAnsi="Arial" w:cs="Arial"/>
        </w:rPr>
        <w:t>.</w:t>
      </w:r>
      <w:bookmarkStart w:id="5" w:name="top"/>
      <w:bookmarkEnd w:id="5"/>
      <w:r w:rsidR="00BE54BD" w:rsidRPr="00B62599">
        <w:rPr>
          <w:rFonts w:ascii="Arial" w:hAnsi="Arial" w:cs="Arial"/>
        </w:rPr>
        <w:t xml:space="preserve"> These amendments allowed f</w:t>
      </w:r>
      <w:r w:rsidR="001C2629" w:rsidRPr="00B62599">
        <w:rPr>
          <w:rFonts w:ascii="Arial" w:hAnsi="Arial" w:cs="Arial"/>
          <w:color w:val="333333"/>
          <w:lang w:val="en-AU" w:eastAsia="en-AU" w:bidi="ar-SA"/>
        </w:rPr>
        <w:t>or a capital gain, a</w:t>
      </w:r>
      <w:r w:rsidR="00BE54BD" w:rsidRPr="00B62599">
        <w:rPr>
          <w:rFonts w:ascii="Arial" w:hAnsi="Arial" w:cs="Arial"/>
          <w:color w:val="333333"/>
          <w:lang w:val="en-AU" w:eastAsia="en-AU" w:bidi="ar-SA"/>
        </w:rPr>
        <w:t xml:space="preserve"> two month period after the end of the income year to record the</w:t>
      </w:r>
      <w:r w:rsidR="001C2629" w:rsidRPr="00B62599">
        <w:rPr>
          <w:rFonts w:ascii="Arial" w:hAnsi="Arial" w:cs="Arial"/>
          <w:color w:val="333333"/>
          <w:lang w:val="en-AU" w:eastAsia="en-AU" w:bidi="ar-SA"/>
        </w:rPr>
        <w:t xml:space="preserve"> beneficiary's entitlement in the trust's accounts or </w:t>
      </w:r>
      <w:r w:rsidR="002F1281" w:rsidRPr="00B62599">
        <w:rPr>
          <w:rFonts w:ascii="Arial" w:hAnsi="Arial" w:cs="Arial"/>
          <w:color w:val="333333"/>
          <w:lang w:val="en-AU" w:eastAsia="en-AU" w:bidi="ar-SA"/>
        </w:rPr>
        <w:t>records</w:t>
      </w:r>
      <w:r w:rsidR="005A3F67">
        <w:rPr>
          <w:rFonts w:ascii="Arial" w:hAnsi="Arial" w:cs="Arial"/>
          <w:color w:val="333333"/>
          <w:lang w:val="en-AU" w:eastAsia="en-AU" w:bidi="ar-SA"/>
        </w:rPr>
        <w:t>.</w:t>
      </w:r>
      <w:r w:rsidR="002F1281" w:rsidRPr="00B62599">
        <w:rPr>
          <w:rFonts w:ascii="Arial" w:hAnsi="Arial" w:cs="Arial"/>
          <w:color w:val="333333"/>
          <w:lang w:val="en-AU" w:eastAsia="en-AU" w:bidi="ar-SA"/>
        </w:rPr>
        <w:t xml:space="preserve"> </w:t>
      </w:r>
    </w:p>
    <w:p w:rsidR="00BE54BD" w:rsidRPr="00B62599" w:rsidRDefault="00BE54BD" w:rsidP="001C2629">
      <w:pPr>
        <w:rPr>
          <w:rFonts w:ascii="Arial" w:hAnsi="Arial" w:cs="Arial"/>
          <w:color w:val="333333"/>
          <w:lang w:val="en-AU" w:eastAsia="en-AU" w:bidi="ar-SA"/>
        </w:rPr>
      </w:pPr>
    </w:p>
    <w:p w:rsidR="001C2629" w:rsidRPr="00B62599" w:rsidRDefault="00BE54BD" w:rsidP="001C2629">
      <w:pPr>
        <w:suppressAutoHyphens w:val="0"/>
        <w:rPr>
          <w:rFonts w:ascii="Arial" w:hAnsi="Arial" w:cs="Arial"/>
          <w:color w:val="333333"/>
          <w:lang w:val="en-AU" w:eastAsia="en-AU" w:bidi="ar-SA"/>
        </w:rPr>
      </w:pPr>
      <w:r w:rsidRPr="00B62599">
        <w:rPr>
          <w:rFonts w:ascii="Arial" w:hAnsi="Arial" w:cs="Arial"/>
          <w:color w:val="333333"/>
          <w:lang w:val="en-AU" w:eastAsia="en-AU" w:bidi="ar-SA"/>
        </w:rPr>
        <w:t>Not so f</w:t>
      </w:r>
      <w:r w:rsidR="001C2629" w:rsidRPr="00B62599">
        <w:rPr>
          <w:rFonts w:ascii="Arial" w:hAnsi="Arial" w:cs="Arial"/>
          <w:color w:val="333333"/>
          <w:lang w:val="en-AU" w:eastAsia="en-AU" w:bidi="ar-SA"/>
        </w:rPr>
        <w:t>or a franked distribution</w:t>
      </w:r>
      <w:r w:rsidRPr="00B62599">
        <w:rPr>
          <w:rFonts w:ascii="Arial" w:hAnsi="Arial" w:cs="Arial"/>
          <w:color w:val="333333"/>
          <w:lang w:val="en-AU" w:eastAsia="en-AU" w:bidi="ar-SA"/>
        </w:rPr>
        <w:t>. A</w:t>
      </w:r>
      <w:r w:rsidR="001C2629" w:rsidRPr="00B62599">
        <w:rPr>
          <w:rFonts w:ascii="Arial" w:hAnsi="Arial" w:cs="Arial"/>
          <w:color w:val="333333"/>
          <w:lang w:val="en-AU" w:eastAsia="en-AU" w:bidi="ar-SA"/>
        </w:rPr>
        <w:t xml:space="preserve"> beneficiary's entitlement must be recorded in the trust's accounts or records by the end of the income year in which the distribution is received. </w:t>
      </w:r>
      <w:r w:rsidRPr="00B62599">
        <w:rPr>
          <w:rFonts w:ascii="Arial" w:hAnsi="Arial" w:cs="Arial"/>
          <w:color w:val="333333"/>
          <w:lang w:val="en-AU" w:eastAsia="en-AU" w:bidi="ar-SA"/>
        </w:rPr>
        <w:t xml:space="preserve">The ATO however </w:t>
      </w:r>
      <w:r w:rsidR="00AB23D4">
        <w:rPr>
          <w:rFonts w:ascii="Arial" w:hAnsi="Arial" w:cs="Arial"/>
          <w:color w:val="333333"/>
          <w:lang w:val="en-AU" w:eastAsia="en-AU" w:bidi="ar-SA"/>
        </w:rPr>
        <w:t>h</w:t>
      </w:r>
      <w:r w:rsidRPr="00B62599">
        <w:rPr>
          <w:rFonts w:ascii="Arial" w:hAnsi="Arial" w:cs="Arial"/>
          <w:color w:val="333333"/>
          <w:lang w:val="en-AU" w:eastAsia="en-AU" w:bidi="ar-SA"/>
        </w:rPr>
        <w:t>a</w:t>
      </w:r>
      <w:r w:rsidR="00AB23D4">
        <w:rPr>
          <w:rFonts w:ascii="Arial" w:hAnsi="Arial" w:cs="Arial"/>
          <w:color w:val="333333"/>
          <w:lang w:val="en-AU" w:eastAsia="en-AU" w:bidi="ar-SA"/>
        </w:rPr>
        <w:t>d</w:t>
      </w:r>
      <w:r w:rsidR="001C2629" w:rsidRPr="00B62599">
        <w:rPr>
          <w:rFonts w:ascii="Arial" w:hAnsi="Arial" w:cs="Arial"/>
          <w:color w:val="333333"/>
          <w:lang w:val="en-AU" w:eastAsia="en-AU" w:bidi="ar-SA"/>
        </w:rPr>
        <w:t xml:space="preserve"> an administrative arrangement, for the 2010-11 income year only, </w:t>
      </w:r>
      <w:r w:rsidR="00AB23D4">
        <w:rPr>
          <w:rFonts w:ascii="Arial" w:hAnsi="Arial" w:cs="Arial"/>
          <w:color w:val="333333"/>
          <w:lang w:val="en-AU" w:eastAsia="en-AU" w:bidi="ar-SA"/>
        </w:rPr>
        <w:t xml:space="preserve">to </w:t>
      </w:r>
      <w:r w:rsidRPr="00B62599">
        <w:rPr>
          <w:rFonts w:ascii="Arial" w:hAnsi="Arial" w:cs="Arial"/>
          <w:color w:val="333333"/>
          <w:lang w:val="en-AU" w:eastAsia="en-AU" w:bidi="ar-SA"/>
        </w:rPr>
        <w:t>extend this deadline to</w:t>
      </w:r>
      <w:r w:rsidR="001C2629" w:rsidRPr="00B62599">
        <w:rPr>
          <w:rFonts w:ascii="Arial" w:hAnsi="Arial" w:cs="Arial"/>
          <w:color w:val="333333"/>
          <w:lang w:val="en-AU" w:eastAsia="en-AU" w:bidi="ar-SA"/>
        </w:rPr>
        <w:t xml:space="preserve"> 31 August 2011 to make beneficiaries presently entitled to a franked distribution.</w:t>
      </w:r>
      <w:r w:rsidR="005A3F67">
        <w:rPr>
          <w:rFonts w:ascii="Arial" w:hAnsi="Arial" w:cs="Arial"/>
          <w:color w:val="333333"/>
          <w:lang w:val="en-AU" w:eastAsia="en-AU" w:bidi="ar-SA"/>
        </w:rPr>
        <w:t xml:space="preserve"> No such concession applies for the current 2012 income year highlighting legislative inflexibility.</w:t>
      </w:r>
    </w:p>
    <w:p w:rsidR="00BE54BD" w:rsidRPr="00B62599" w:rsidRDefault="00BE54BD" w:rsidP="001C2629">
      <w:pPr>
        <w:suppressAutoHyphens w:val="0"/>
        <w:rPr>
          <w:rFonts w:ascii="Arial" w:hAnsi="Arial" w:cs="Arial"/>
          <w:color w:val="333333"/>
          <w:lang w:val="en-AU" w:eastAsia="en-AU" w:bidi="ar-SA"/>
        </w:rPr>
      </w:pPr>
    </w:p>
    <w:p w:rsidR="00BE54BD" w:rsidRPr="00B62599" w:rsidRDefault="00BE54BD" w:rsidP="001C2629">
      <w:pPr>
        <w:suppressAutoHyphens w:val="0"/>
        <w:rPr>
          <w:rFonts w:ascii="Arial" w:hAnsi="Arial" w:cs="Arial"/>
          <w:color w:val="333333"/>
          <w:lang w:val="en-AU" w:eastAsia="en-AU" w:bidi="ar-SA"/>
        </w:rPr>
      </w:pPr>
      <w:r w:rsidRPr="00B62599">
        <w:rPr>
          <w:rFonts w:ascii="Arial" w:hAnsi="Arial" w:cs="Arial"/>
          <w:color w:val="333333"/>
          <w:lang w:val="en-AU" w:eastAsia="en-AU" w:bidi="ar-SA"/>
        </w:rPr>
        <w:t xml:space="preserve">Any rewrite must address this administrative impracticality with respect to the timing </w:t>
      </w:r>
      <w:r w:rsidR="00321031" w:rsidRPr="00B62599">
        <w:rPr>
          <w:rFonts w:ascii="Arial" w:hAnsi="Arial" w:cs="Arial"/>
          <w:color w:val="333333"/>
          <w:lang w:val="en-AU" w:eastAsia="en-AU" w:bidi="ar-SA"/>
        </w:rPr>
        <w:t>requirement for present entitlement.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0"/>
        <w:gridCol w:w="8614"/>
      </w:tblGrid>
      <w:tr w:rsidR="001C2629" w:rsidRPr="00B62599">
        <w:trPr>
          <w:tblCellSpacing w:w="15" w:type="dxa"/>
        </w:trPr>
        <w:tc>
          <w:tcPr>
            <w:tcW w:w="525" w:type="dxa"/>
            <w:hideMark/>
          </w:tcPr>
          <w:p w:rsidR="001C2629" w:rsidRPr="00B62599" w:rsidRDefault="001C2629" w:rsidP="001C2629">
            <w:pPr>
              <w:suppressAutoHyphens w:val="0"/>
              <w:rPr>
                <w:rFonts w:ascii="Arial" w:hAnsi="Arial" w:cs="Arial"/>
                <w:color w:val="333333"/>
                <w:lang w:val="en-AU" w:eastAsia="en-AU" w:bidi="ar-SA"/>
              </w:rPr>
            </w:pPr>
          </w:p>
        </w:tc>
        <w:tc>
          <w:tcPr>
            <w:tcW w:w="9120" w:type="dxa"/>
            <w:hideMark/>
          </w:tcPr>
          <w:p w:rsidR="001C2629" w:rsidRPr="00B62599" w:rsidRDefault="001C2629" w:rsidP="001C2629">
            <w:pPr>
              <w:suppressAutoHyphens w:val="0"/>
              <w:rPr>
                <w:rFonts w:ascii="Arial" w:hAnsi="Arial" w:cs="Arial"/>
                <w:color w:val="333333"/>
                <w:lang w:val="en-AU" w:eastAsia="en-AU" w:bidi="ar-SA"/>
              </w:rPr>
            </w:pPr>
          </w:p>
        </w:tc>
      </w:tr>
    </w:tbl>
    <w:p w:rsidR="00130741" w:rsidRDefault="00130741" w:rsidP="000C79F1">
      <w:pPr>
        <w:rPr>
          <w:rFonts w:ascii="Arial" w:hAnsi="Arial" w:cs="Arial"/>
          <w:bCs/>
          <w:lang w:val="en-AU"/>
        </w:rPr>
      </w:pPr>
    </w:p>
    <w:p w:rsidR="003D4F2E" w:rsidRDefault="003D4F2E" w:rsidP="003D4F2E">
      <w:pPr>
        <w:pStyle w:val="header14ptorangebold"/>
        <w:rPr>
          <w:rFonts w:ascii="Arial Narrow" w:hAnsi="Arial Narrow"/>
          <w:lang w:val="en-AU"/>
        </w:rPr>
      </w:pPr>
      <w:r>
        <w:rPr>
          <w:rFonts w:ascii="Arial Narrow" w:hAnsi="Arial Narrow"/>
          <w:lang w:val="en-AU"/>
        </w:rPr>
        <w:t>Character flow-through</w:t>
      </w:r>
    </w:p>
    <w:p w:rsidR="005A3F67" w:rsidRDefault="005A3F67" w:rsidP="003D4F2E">
      <w:pPr>
        <w:pStyle w:val="header14ptorangebold"/>
        <w:rPr>
          <w:rFonts w:ascii="Arial Narrow" w:hAnsi="Arial Narrow"/>
          <w:lang w:val="en-AU"/>
        </w:rPr>
      </w:pPr>
    </w:p>
    <w:p w:rsidR="00245163" w:rsidRDefault="00130741" w:rsidP="000C79F1">
      <w:pPr>
        <w:rPr>
          <w:rFonts w:ascii="Arial" w:hAnsi="Arial" w:cs="Arial"/>
          <w:bCs/>
          <w:lang w:val="en-AU"/>
        </w:rPr>
      </w:pPr>
      <w:r>
        <w:rPr>
          <w:rFonts w:ascii="Arial" w:hAnsi="Arial" w:cs="Arial"/>
          <w:bCs/>
          <w:lang w:val="en-AU"/>
        </w:rPr>
        <w:t xml:space="preserve">The concept that the character of amounts in the hands of a trustee is retained when those same amounts are distributed </w:t>
      </w:r>
      <w:r w:rsidR="00603609">
        <w:rPr>
          <w:rFonts w:ascii="Arial" w:hAnsi="Arial" w:cs="Arial"/>
          <w:bCs/>
          <w:lang w:val="en-AU"/>
        </w:rPr>
        <w:t>to the beneficiaries of a trust has been an accepted feature of trust</w:t>
      </w:r>
      <w:r w:rsidR="00EB4186">
        <w:rPr>
          <w:rFonts w:ascii="Arial" w:hAnsi="Arial" w:cs="Arial"/>
          <w:bCs/>
          <w:lang w:val="en-AU"/>
        </w:rPr>
        <w:t>s</w:t>
      </w:r>
      <w:r w:rsidR="00245163">
        <w:rPr>
          <w:rFonts w:ascii="Arial" w:hAnsi="Arial" w:cs="Arial"/>
          <w:bCs/>
          <w:lang w:val="en-AU"/>
        </w:rPr>
        <w:t xml:space="preserve"> for some time</w:t>
      </w:r>
      <w:r w:rsidR="00603609">
        <w:rPr>
          <w:rFonts w:ascii="Arial" w:hAnsi="Arial" w:cs="Arial"/>
          <w:bCs/>
          <w:lang w:val="en-AU"/>
        </w:rPr>
        <w:t xml:space="preserve">. This concept </w:t>
      </w:r>
      <w:r w:rsidR="00EC7DC5">
        <w:rPr>
          <w:rFonts w:ascii="Arial" w:hAnsi="Arial" w:cs="Arial"/>
          <w:bCs/>
          <w:lang w:val="en-AU"/>
        </w:rPr>
        <w:t xml:space="preserve">commonly referred to as the conduit </w:t>
      </w:r>
      <w:r w:rsidR="005E7F9E">
        <w:rPr>
          <w:rFonts w:ascii="Arial" w:hAnsi="Arial" w:cs="Arial"/>
          <w:bCs/>
          <w:lang w:val="en-AU"/>
        </w:rPr>
        <w:t>principle</w:t>
      </w:r>
      <w:r w:rsidR="00245163">
        <w:rPr>
          <w:rFonts w:ascii="Arial" w:hAnsi="Arial" w:cs="Arial"/>
          <w:bCs/>
          <w:lang w:val="en-AU"/>
        </w:rPr>
        <w:t>,</w:t>
      </w:r>
      <w:r w:rsidR="00EC7DC5">
        <w:rPr>
          <w:rFonts w:ascii="Arial" w:hAnsi="Arial" w:cs="Arial"/>
          <w:bCs/>
          <w:lang w:val="en-AU"/>
        </w:rPr>
        <w:t xml:space="preserve"> has been a widely accepted perception </w:t>
      </w:r>
      <w:r w:rsidR="00EB4186">
        <w:rPr>
          <w:rFonts w:ascii="Arial" w:hAnsi="Arial" w:cs="Arial"/>
          <w:bCs/>
          <w:lang w:val="en-AU"/>
        </w:rPr>
        <w:t>of</w:t>
      </w:r>
      <w:r w:rsidR="00EC7DC5">
        <w:rPr>
          <w:rFonts w:ascii="Arial" w:hAnsi="Arial" w:cs="Arial"/>
          <w:bCs/>
          <w:lang w:val="en-AU"/>
        </w:rPr>
        <w:t xml:space="preserve"> how trust</w:t>
      </w:r>
      <w:r w:rsidR="00EB4186">
        <w:rPr>
          <w:rFonts w:ascii="Arial" w:hAnsi="Arial" w:cs="Arial"/>
          <w:bCs/>
          <w:lang w:val="en-AU"/>
        </w:rPr>
        <w:t>s</w:t>
      </w:r>
      <w:r w:rsidR="00EC7DC5">
        <w:rPr>
          <w:rFonts w:ascii="Arial" w:hAnsi="Arial" w:cs="Arial"/>
          <w:bCs/>
          <w:lang w:val="en-AU"/>
        </w:rPr>
        <w:t xml:space="preserve"> operate.</w:t>
      </w:r>
    </w:p>
    <w:p w:rsidR="00245163" w:rsidRDefault="00245163" w:rsidP="000C79F1">
      <w:pPr>
        <w:rPr>
          <w:rFonts w:ascii="Arial" w:hAnsi="Arial" w:cs="Arial"/>
          <w:bCs/>
          <w:lang w:val="en-AU"/>
        </w:rPr>
      </w:pPr>
    </w:p>
    <w:p w:rsidR="00130741" w:rsidRDefault="00EC7DC5" w:rsidP="000C79F1">
      <w:pPr>
        <w:rPr>
          <w:rFonts w:ascii="Arial" w:hAnsi="Arial" w:cs="Arial"/>
          <w:bCs/>
          <w:lang w:val="en-AU"/>
        </w:rPr>
      </w:pPr>
      <w:r>
        <w:rPr>
          <w:rFonts w:ascii="Arial" w:hAnsi="Arial" w:cs="Arial"/>
          <w:bCs/>
          <w:lang w:val="en-AU"/>
        </w:rPr>
        <w:t xml:space="preserve">Whilst we acknowledge that character retention </w:t>
      </w:r>
      <w:r w:rsidR="0031263D">
        <w:rPr>
          <w:rFonts w:ascii="Arial" w:hAnsi="Arial" w:cs="Arial"/>
          <w:bCs/>
          <w:lang w:val="en-AU"/>
        </w:rPr>
        <w:t xml:space="preserve">can be particularly advantageous </w:t>
      </w:r>
      <w:r>
        <w:rPr>
          <w:rFonts w:ascii="Arial" w:hAnsi="Arial" w:cs="Arial"/>
          <w:bCs/>
          <w:lang w:val="en-AU"/>
        </w:rPr>
        <w:t xml:space="preserve">if there are specific provisions in the trust </w:t>
      </w:r>
      <w:r w:rsidR="000967AF">
        <w:rPr>
          <w:rFonts w:ascii="Arial" w:hAnsi="Arial" w:cs="Arial"/>
          <w:bCs/>
          <w:lang w:val="en-AU"/>
        </w:rPr>
        <w:t>deed that allow</w:t>
      </w:r>
      <w:r>
        <w:rPr>
          <w:rFonts w:ascii="Arial" w:hAnsi="Arial" w:cs="Arial"/>
          <w:bCs/>
          <w:lang w:val="en-AU"/>
        </w:rPr>
        <w:t xml:space="preserve"> attribution </w:t>
      </w:r>
      <w:r w:rsidR="00E13910">
        <w:rPr>
          <w:rFonts w:ascii="Arial" w:hAnsi="Arial" w:cs="Arial"/>
          <w:bCs/>
          <w:lang w:val="en-AU"/>
        </w:rPr>
        <w:t>of amounts</w:t>
      </w:r>
      <w:r w:rsidR="0031263D">
        <w:rPr>
          <w:rFonts w:ascii="Arial" w:hAnsi="Arial" w:cs="Arial"/>
          <w:bCs/>
          <w:lang w:val="en-AU"/>
        </w:rPr>
        <w:t xml:space="preserve"> with specific tax characteristics</w:t>
      </w:r>
      <w:r w:rsidR="00EB4186">
        <w:rPr>
          <w:rFonts w:ascii="Arial" w:hAnsi="Arial" w:cs="Arial"/>
          <w:bCs/>
          <w:lang w:val="en-AU"/>
        </w:rPr>
        <w:t>,</w:t>
      </w:r>
      <w:r w:rsidR="0031263D">
        <w:rPr>
          <w:rFonts w:ascii="Arial" w:hAnsi="Arial" w:cs="Arial"/>
          <w:bCs/>
          <w:lang w:val="en-AU"/>
        </w:rPr>
        <w:t xml:space="preserve"> it is particularly important to embody this conduit theory as part of the re-write.</w:t>
      </w:r>
    </w:p>
    <w:p w:rsidR="00245163" w:rsidRDefault="00245163" w:rsidP="000C79F1">
      <w:pPr>
        <w:rPr>
          <w:rFonts w:ascii="Arial" w:hAnsi="Arial" w:cs="Arial"/>
          <w:bCs/>
          <w:lang w:val="en-AU"/>
        </w:rPr>
      </w:pPr>
    </w:p>
    <w:p w:rsidR="0031263D" w:rsidRDefault="0031263D" w:rsidP="000C79F1">
      <w:pPr>
        <w:rPr>
          <w:rFonts w:ascii="Arial" w:hAnsi="Arial" w:cs="Arial"/>
          <w:bCs/>
          <w:lang w:val="en-AU"/>
        </w:rPr>
      </w:pPr>
      <w:r>
        <w:rPr>
          <w:rFonts w:ascii="Arial" w:hAnsi="Arial" w:cs="Arial"/>
          <w:bCs/>
          <w:lang w:val="en-AU"/>
        </w:rPr>
        <w:t>Without character flow-through, beneficiaries could miss out on a number of Government initiatives and there is no policy reason why beneficiaries who receive income indirectly through a trust should be disadvantaged.</w:t>
      </w:r>
      <w:r w:rsidR="004821CD">
        <w:rPr>
          <w:rFonts w:ascii="Arial" w:hAnsi="Arial" w:cs="Arial"/>
          <w:bCs/>
          <w:lang w:val="en-AU"/>
        </w:rPr>
        <w:t xml:space="preserve"> The consultation paper draws attention to the fact that conduit </w:t>
      </w:r>
      <w:r w:rsidR="005E7F9E">
        <w:rPr>
          <w:rFonts w:ascii="Arial" w:hAnsi="Arial" w:cs="Arial"/>
          <w:bCs/>
          <w:lang w:val="en-AU"/>
        </w:rPr>
        <w:t>principle</w:t>
      </w:r>
      <w:r w:rsidR="004821CD">
        <w:rPr>
          <w:rFonts w:ascii="Arial" w:hAnsi="Arial" w:cs="Arial"/>
          <w:bCs/>
          <w:lang w:val="en-AU"/>
        </w:rPr>
        <w:t xml:space="preserve"> finds support in case law but the matter is subject to ongoing judicial interpretation and is not beyond doubt.</w:t>
      </w:r>
    </w:p>
    <w:p w:rsidR="00245163" w:rsidRDefault="00245163" w:rsidP="000C79F1">
      <w:pPr>
        <w:rPr>
          <w:rFonts w:ascii="Arial" w:hAnsi="Arial" w:cs="Arial"/>
          <w:bCs/>
          <w:lang w:val="en-AU"/>
        </w:rPr>
      </w:pPr>
    </w:p>
    <w:p w:rsidR="00045E64" w:rsidRDefault="00045E64" w:rsidP="000C79F1">
      <w:pPr>
        <w:rPr>
          <w:rFonts w:ascii="Arial" w:hAnsi="Arial" w:cs="Arial"/>
          <w:bCs/>
          <w:lang w:val="en-AU"/>
        </w:rPr>
      </w:pPr>
      <w:r>
        <w:rPr>
          <w:rFonts w:ascii="Arial" w:hAnsi="Arial" w:cs="Arial"/>
          <w:bCs/>
          <w:lang w:val="en-AU"/>
        </w:rPr>
        <w:t>Capital gains provisions</w:t>
      </w:r>
      <w:r w:rsidR="00256D7E">
        <w:rPr>
          <w:rFonts w:ascii="Arial" w:hAnsi="Arial" w:cs="Arial"/>
          <w:bCs/>
          <w:lang w:val="en-AU"/>
        </w:rPr>
        <w:t xml:space="preserve"> and</w:t>
      </w:r>
      <w:r>
        <w:rPr>
          <w:rFonts w:ascii="Arial" w:hAnsi="Arial" w:cs="Arial"/>
          <w:bCs/>
          <w:lang w:val="en-AU"/>
        </w:rPr>
        <w:t xml:space="preserve"> dividend imputation rules rely on the conduit theory</w:t>
      </w:r>
      <w:r w:rsidR="003D4F2E">
        <w:rPr>
          <w:rFonts w:ascii="Arial" w:hAnsi="Arial" w:cs="Arial"/>
          <w:bCs/>
          <w:lang w:val="en-AU"/>
        </w:rPr>
        <w:t xml:space="preserve"> and there are specific provisions in the tax law that attribute specific tax characteristics to these amounts</w:t>
      </w:r>
      <w:r>
        <w:rPr>
          <w:rFonts w:ascii="Arial" w:hAnsi="Arial" w:cs="Arial"/>
          <w:bCs/>
          <w:lang w:val="en-AU"/>
        </w:rPr>
        <w:t>.</w:t>
      </w:r>
      <w:r w:rsidR="003D4F2E">
        <w:rPr>
          <w:rFonts w:ascii="Arial" w:hAnsi="Arial" w:cs="Arial"/>
          <w:bCs/>
          <w:lang w:val="en-AU"/>
        </w:rPr>
        <w:t xml:space="preserve"> The broader issue of character retention needs to be re-affirmed in the re-write to cover amounts not covered by specific </w:t>
      </w:r>
      <w:r>
        <w:rPr>
          <w:rFonts w:ascii="Arial" w:hAnsi="Arial" w:cs="Arial"/>
          <w:bCs/>
          <w:lang w:val="en-AU"/>
        </w:rPr>
        <w:t xml:space="preserve"> </w:t>
      </w:r>
      <w:r w:rsidR="003D4F2E">
        <w:rPr>
          <w:rFonts w:ascii="Arial" w:hAnsi="Arial" w:cs="Arial"/>
          <w:bCs/>
          <w:lang w:val="en-AU"/>
        </w:rPr>
        <w:t>provisions</w:t>
      </w:r>
      <w:r w:rsidR="00232E1B">
        <w:rPr>
          <w:rFonts w:ascii="Arial" w:hAnsi="Arial" w:cs="Arial"/>
          <w:bCs/>
          <w:lang w:val="en-AU"/>
        </w:rPr>
        <w:t xml:space="preserve"> </w:t>
      </w:r>
      <w:r w:rsidR="00D224D2">
        <w:rPr>
          <w:rFonts w:ascii="Arial" w:hAnsi="Arial" w:cs="Arial"/>
          <w:bCs/>
          <w:lang w:val="en-AU"/>
        </w:rPr>
        <w:t>in tax law that attribute specific tax characteristics to certain amounts.</w:t>
      </w:r>
    </w:p>
    <w:p w:rsidR="00245163" w:rsidRDefault="00245163" w:rsidP="000C79F1">
      <w:pPr>
        <w:rPr>
          <w:rFonts w:ascii="Arial" w:hAnsi="Arial" w:cs="Arial"/>
          <w:bCs/>
          <w:lang w:val="en-AU"/>
        </w:rPr>
      </w:pPr>
    </w:p>
    <w:p w:rsidR="00245163" w:rsidRDefault="00245163" w:rsidP="000C79F1">
      <w:pPr>
        <w:rPr>
          <w:rFonts w:ascii="Arial" w:hAnsi="Arial" w:cs="Arial"/>
          <w:bCs/>
          <w:lang w:val="en-AU"/>
        </w:rPr>
      </w:pPr>
      <w:r>
        <w:rPr>
          <w:rFonts w:ascii="Arial" w:hAnsi="Arial" w:cs="Arial"/>
          <w:bCs/>
          <w:lang w:val="en-AU"/>
        </w:rPr>
        <w:t xml:space="preserve">The IPA </w:t>
      </w:r>
      <w:r w:rsidR="000967AF">
        <w:rPr>
          <w:rFonts w:ascii="Arial" w:hAnsi="Arial" w:cs="Arial"/>
          <w:bCs/>
          <w:lang w:val="en-AU"/>
        </w:rPr>
        <w:t>endorses</w:t>
      </w:r>
      <w:r>
        <w:rPr>
          <w:rFonts w:ascii="Arial" w:hAnsi="Arial" w:cs="Arial"/>
          <w:bCs/>
          <w:lang w:val="en-AU"/>
        </w:rPr>
        <w:t xml:space="preserve"> the proposal that there should be a generic rule providing for character retention for amounts received through a trust. If appropriate, this general rule could be limited by more specific provisions that remove a beneficiary’s ability to claim concessions related to that character of income</w:t>
      </w:r>
      <w:r w:rsidR="00232E1B">
        <w:rPr>
          <w:rFonts w:ascii="Arial" w:hAnsi="Arial" w:cs="Arial"/>
          <w:bCs/>
          <w:lang w:val="en-AU"/>
        </w:rPr>
        <w:t xml:space="preserve"> if required</w:t>
      </w:r>
      <w:r>
        <w:rPr>
          <w:rFonts w:ascii="Arial" w:hAnsi="Arial" w:cs="Arial"/>
          <w:bCs/>
          <w:lang w:val="en-AU"/>
        </w:rPr>
        <w:t>.</w:t>
      </w:r>
    </w:p>
    <w:p w:rsidR="00256D7E" w:rsidRPr="00570C1E" w:rsidRDefault="00256D7E" w:rsidP="000C79F1">
      <w:pPr>
        <w:rPr>
          <w:rFonts w:ascii="Arial" w:hAnsi="Arial" w:cs="Arial"/>
          <w:bCs/>
          <w:lang w:val="en-AU"/>
        </w:rPr>
      </w:pPr>
    </w:p>
    <w:bookmarkEnd w:id="1"/>
    <w:bookmarkEnd w:id="2"/>
    <w:bookmarkEnd w:id="3"/>
    <w:bookmarkEnd w:id="4"/>
    <w:p w:rsidR="006053E8" w:rsidRDefault="004821CD" w:rsidP="00F52013">
      <w:pPr>
        <w:pStyle w:val="header14ptorangebold"/>
        <w:rPr>
          <w:rFonts w:ascii="Arial Narrow" w:hAnsi="Arial Narrow"/>
          <w:lang w:val="en-AU"/>
        </w:rPr>
      </w:pPr>
      <w:r>
        <w:rPr>
          <w:rFonts w:ascii="Arial Narrow" w:hAnsi="Arial Narrow"/>
          <w:lang w:val="en-AU"/>
        </w:rPr>
        <w:t>Streaming</w:t>
      </w:r>
    </w:p>
    <w:p w:rsidR="00E23369" w:rsidRDefault="00E23369" w:rsidP="00F52013">
      <w:pPr>
        <w:pStyle w:val="header14ptorangebold"/>
        <w:rPr>
          <w:rFonts w:ascii="Arial Narrow" w:hAnsi="Arial Narrow"/>
          <w:lang w:val="en-AU"/>
        </w:rPr>
      </w:pPr>
    </w:p>
    <w:p w:rsidR="00E23369" w:rsidRDefault="004821CD" w:rsidP="00E23369">
      <w:pPr>
        <w:rPr>
          <w:rFonts w:ascii="Arial" w:hAnsi="Arial" w:cs="Arial"/>
        </w:rPr>
      </w:pPr>
      <w:r w:rsidRPr="00B62599">
        <w:rPr>
          <w:rFonts w:ascii="Arial" w:hAnsi="Arial" w:cs="Arial"/>
        </w:rPr>
        <w:t>The</w:t>
      </w:r>
      <w:r w:rsidR="00045E64" w:rsidRPr="00B62599">
        <w:rPr>
          <w:rFonts w:ascii="Arial" w:hAnsi="Arial" w:cs="Arial"/>
        </w:rPr>
        <w:t xml:space="preserve"> ability to </w:t>
      </w:r>
      <w:r w:rsidRPr="00B62599">
        <w:rPr>
          <w:rFonts w:ascii="Arial" w:hAnsi="Arial" w:cs="Arial"/>
        </w:rPr>
        <w:t xml:space="preserve">‘stream’ </w:t>
      </w:r>
      <w:r w:rsidR="00045E64" w:rsidRPr="00B62599">
        <w:rPr>
          <w:rFonts w:ascii="Arial" w:hAnsi="Arial" w:cs="Arial"/>
        </w:rPr>
        <w:t xml:space="preserve">income has been </w:t>
      </w:r>
      <w:r w:rsidR="00256D7E">
        <w:rPr>
          <w:rFonts w:ascii="Arial" w:hAnsi="Arial" w:cs="Arial"/>
        </w:rPr>
        <w:t xml:space="preserve">an </w:t>
      </w:r>
      <w:r w:rsidR="00045E64" w:rsidRPr="00B62599">
        <w:rPr>
          <w:rFonts w:ascii="Arial" w:hAnsi="Arial" w:cs="Arial"/>
        </w:rPr>
        <w:t xml:space="preserve">important feature of trust structures for some </w:t>
      </w:r>
      <w:r w:rsidR="005E7F9E" w:rsidRPr="00B62599">
        <w:rPr>
          <w:rFonts w:ascii="Arial" w:hAnsi="Arial" w:cs="Arial"/>
        </w:rPr>
        <w:t>time</w:t>
      </w:r>
      <w:r w:rsidR="00E23369">
        <w:rPr>
          <w:rFonts w:ascii="Arial" w:hAnsi="Arial" w:cs="Arial"/>
        </w:rPr>
        <w:t xml:space="preserve">. The term </w:t>
      </w:r>
      <w:r w:rsidR="00087135">
        <w:rPr>
          <w:rFonts w:ascii="Arial" w:hAnsi="Arial" w:cs="Arial"/>
        </w:rPr>
        <w:t>‘</w:t>
      </w:r>
      <w:r w:rsidR="00E23369">
        <w:rPr>
          <w:rFonts w:ascii="Arial" w:hAnsi="Arial" w:cs="Arial"/>
        </w:rPr>
        <w:t>streaming</w:t>
      </w:r>
      <w:r w:rsidR="00087135">
        <w:rPr>
          <w:rFonts w:ascii="Arial" w:hAnsi="Arial" w:cs="Arial"/>
        </w:rPr>
        <w:t>’</w:t>
      </w:r>
      <w:r w:rsidR="005E7F9E" w:rsidRPr="00B62599">
        <w:rPr>
          <w:rFonts w:ascii="Arial" w:hAnsi="Arial" w:cs="Arial"/>
        </w:rPr>
        <w:t xml:space="preserve"> refers</w:t>
      </w:r>
      <w:r w:rsidRPr="00B62599">
        <w:rPr>
          <w:rFonts w:ascii="Arial" w:hAnsi="Arial" w:cs="Arial"/>
        </w:rPr>
        <w:t xml:space="preserve"> to the ability of a trustee to direct different types of income to different beneficiaries of a trust. </w:t>
      </w:r>
      <w:r w:rsidR="00E23369" w:rsidRPr="00B62599">
        <w:rPr>
          <w:rFonts w:ascii="Arial" w:hAnsi="Arial" w:cs="Arial"/>
        </w:rPr>
        <w:t>Under a flow</w:t>
      </w:r>
      <w:r w:rsidR="00E23369" w:rsidRPr="00B62599">
        <w:rPr>
          <w:rFonts w:ascii="Arial" w:hAnsi="Arial" w:cs="Arial"/>
        </w:rPr>
        <w:noBreakHyphen/>
        <w:t>through approach to the taxation of trusts, certain amounts in the hands of the trustee are treated as retaining their character in the hands of beneficiaries. Where these amounts are able to be ‘streamed’</w:t>
      </w:r>
      <w:r w:rsidR="00087135">
        <w:rPr>
          <w:rFonts w:ascii="Arial" w:hAnsi="Arial" w:cs="Arial"/>
        </w:rPr>
        <w:t>,</w:t>
      </w:r>
      <w:r w:rsidR="00E23369" w:rsidRPr="00B62599">
        <w:rPr>
          <w:rFonts w:ascii="Arial" w:hAnsi="Arial" w:cs="Arial"/>
        </w:rPr>
        <w:t xml:space="preserve"> trustees can determine the specific types of income appointed to specific beneficiaries. </w:t>
      </w:r>
    </w:p>
    <w:p w:rsidR="00E23369" w:rsidRPr="00B62599" w:rsidRDefault="00E23369" w:rsidP="00E23369">
      <w:pPr>
        <w:rPr>
          <w:rFonts w:ascii="Arial" w:hAnsi="Arial" w:cs="Arial"/>
        </w:rPr>
      </w:pPr>
    </w:p>
    <w:p w:rsidR="00E23369" w:rsidRPr="00B62599" w:rsidRDefault="00E23369" w:rsidP="00E23369">
      <w:pPr>
        <w:rPr>
          <w:rFonts w:ascii="Arial" w:hAnsi="Arial" w:cs="Arial"/>
        </w:rPr>
      </w:pPr>
      <w:r w:rsidRPr="00B62599">
        <w:rPr>
          <w:rFonts w:ascii="Arial" w:hAnsi="Arial" w:cs="Arial"/>
        </w:rPr>
        <w:t xml:space="preserve">Before the High Court’s decision in </w:t>
      </w:r>
      <w:proofErr w:type="spellStart"/>
      <w:r w:rsidRPr="00E23369">
        <w:rPr>
          <w:rFonts w:ascii="Arial" w:hAnsi="Arial" w:cs="Arial"/>
        </w:rPr>
        <w:t>Bamford</w:t>
      </w:r>
      <w:proofErr w:type="spellEnd"/>
      <w:r w:rsidRPr="00E23369">
        <w:rPr>
          <w:rFonts w:ascii="Arial" w:hAnsi="Arial" w:cs="Arial"/>
        </w:rPr>
        <w:t>,</w:t>
      </w:r>
      <w:r w:rsidRPr="00B62599">
        <w:rPr>
          <w:rFonts w:ascii="Arial" w:hAnsi="Arial" w:cs="Arial"/>
        </w:rPr>
        <w:t xml:space="preserve"> the practice of treating trusts as flow</w:t>
      </w:r>
      <w:r w:rsidRPr="00B62599">
        <w:rPr>
          <w:rFonts w:ascii="Arial" w:hAnsi="Arial" w:cs="Arial"/>
        </w:rPr>
        <w:noBreakHyphen/>
        <w:t xml:space="preserve">through vehicles, either generally or subject to the terms of the trust deed, was widespread. </w:t>
      </w:r>
    </w:p>
    <w:p w:rsidR="00E23369" w:rsidRPr="00B62599" w:rsidRDefault="00E23369" w:rsidP="004821CD">
      <w:pPr>
        <w:rPr>
          <w:rFonts w:ascii="Arial" w:hAnsi="Arial" w:cs="Arial"/>
        </w:rPr>
      </w:pPr>
    </w:p>
    <w:p w:rsidR="004821CD" w:rsidRPr="00B62599" w:rsidRDefault="004821CD" w:rsidP="004821CD">
      <w:pPr>
        <w:rPr>
          <w:rFonts w:ascii="Arial" w:hAnsi="Arial" w:cs="Arial"/>
        </w:rPr>
      </w:pPr>
      <w:r w:rsidRPr="00B62599">
        <w:rPr>
          <w:rFonts w:ascii="Arial" w:hAnsi="Arial" w:cs="Arial"/>
        </w:rPr>
        <w:t>There remains confusion about whether ‘streaming’ of particular types of income, profits or gains to particular beneficiaries is effective for tax purposes.</w:t>
      </w:r>
    </w:p>
    <w:p w:rsidR="004821CD" w:rsidRDefault="004821CD" w:rsidP="004821CD">
      <w:pPr>
        <w:rPr>
          <w:rFonts w:ascii="Arial" w:hAnsi="Arial" w:cs="Arial"/>
        </w:rPr>
      </w:pPr>
      <w:r w:rsidRPr="00B62599">
        <w:rPr>
          <w:rFonts w:ascii="Arial" w:hAnsi="Arial" w:cs="Arial"/>
        </w:rPr>
        <w:t xml:space="preserve">Following the High Court’s confirmation of the ‘proportionate approach’ in </w:t>
      </w:r>
      <w:proofErr w:type="spellStart"/>
      <w:r w:rsidRPr="00E23369">
        <w:rPr>
          <w:rFonts w:ascii="Arial" w:hAnsi="Arial" w:cs="Arial"/>
        </w:rPr>
        <w:t>Bamford</w:t>
      </w:r>
      <w:proofErr w:type="spellEnd"/>
      <w:r w:rsidRPr="00E23369">
        <w:rPr>
          <w:rFonts w:ascii="Arial" w:hAnsi="Arial" w:cs="Arial"/>
        </w:rPr>
        <w:t>,</w:t>
      </w:r>
      <w:r w:rsidRPr="00B62599">
        <w:rPr>
          <w:rFonts w:ascii="Arial" w:hAnsi="Arial" w:cs="Arial"/>
        </w:rPr>
        <w:t xml:space="preserve"> taxpayers and their representatives expressed significant concern about whether it was still possible to stream amounts or whether a beneficiary is assessed on a proportionate share of a ‘blended’ amount of the trust’s taxable income. </w:t>
      </w:r>
    </w:p>
    <w:p w:rsidR="00E23369" w:rsidRPr="00B62599" w:rsidRDefault="00E23369" w:rsidP="004821CD">
      <w:pPr>
        <w:rPr>
          <w:rFonts w:ascii="Arial" w:hAnsi="Arial" w:cs="Arial"/>
        </w:rPr>
      </w:pPr>
    </w:p>
    <w:p w:rsidR="004821CD" w:rsidRPr="00B62599" w:rsidRDefault="004821CD" w:rsidP="004821CD">
      <w:pPr>
        <w:rPr>
          <w:rFonts w:ascii="Arial" w:hAnsi="Arial" w:cs="Arial"/>
        </w:rPr>
      </w:pPr>
      <w:r w:rsidRPr="00B62599">
        <w:rPr>
          <w:rFonts w:ascii="Arial" w:hAnsi="Arial" w:cs="Arial"/>
        </w:rPr>
        <w:t>After receiving advice from the Board</w:t>
      </w:r>
      <w:r w:rsidR="00087135">
        <w:rPr>
          <w:rFonts w:ascii="Arial" w:hAnsi="Arial" w:cs="Arial"/>
        </w:rPr>
        <w:t xml:space="preserve"> of Taxation</w:t>
      </w:r>
      <w:r w:rsidRPr="00B62599">
        <w:rPr>
          <w:rFonts w:ascii="Arial" w:hAnsi="Arial" w:cs="Arial"/>
        </w:rPr>
        <w:t xml:space="preserve">, the Government </w:t>
      </w:r>
      <w:r w:rsidR="00E23369">
        <w:rPr>
          <w:rFonts w:ascii="Arial" w:hAnsi="Arial" w:cs="Arial"/>
        </w:rPr>
        <w:t xml:space="preserve">in order to provide </w:t>
      </w:r>
      <w:r w:rsidR="000967AF">
        <w:rPr>
          <w:rFonts w:ascii="Arial" w:hAnsi="Arial" w:cs="Arial"/>
        </w:rPr>
        <w:t>certainty</w:t>
      </w:r>
      <w:r w:rsidR="00E23369">
        <w:rPr>
          <w:rFonts w:ascii="Arial" w:hAnsi="Arial" w:cs="Arial"/>
        </w:rPr>
        <w:t xml:space="preserve"> </w:t>
      </w:r>
      <w:r w:rsidRPr="00B62599">
        <w:rPr>
          <w:rFonts w:ascii="Arial" w:hAnsi="Arial" w:cs="Arial"/>
        </w:rPr>
        <w:t xml:space="preserve">introduced specific provisions in TLAA No.5 2011 to ensure that, where permitted by the trust’s deed, capital gains and franked distributions could be effectively ‘streamed’ for tax purposes. </w:t>
      </w:r>
    </w:p>
    <w:p w:rsidR="004821CD" w:rsidRPr="00B62599" w:rsidRDefault="004821CD" w:rsidP="00AC4E5E">
      <w:pPr>
        <w:suppressAutoHyphens w:val="0"/>
        <w:autoSpaceDE w:val="0"/>
        <w:autoSpaceDN w:val="0"/>
        <w:adjustRightInd w:val="0"/>
        <w:rPr>
          <w:rFonts w:ascii="Arial" w:hAnsi="Arial" w:cs="Arial"/>
        </w:rPr>
      </w:pPr>
    </w:p>
    <w:p w:rsidR="004821CD" w:rsidRPr="00B62599" w:rsidRDefault="00E23369" w:rsidP="00AC4E5E">
      <w:pPr>
        <w:suppressAutoHyphens w:val="0"/>
        <w:autoSpaceDE w:val="0"/>
        <w:autoSpaceDN w:val="0"/>
        <w:adjustRightInd w:val="0"/>
        <w:rPr>
          <w:rFonts w:ascii="Arial" w:hAnsi="Arial" w:cs="Arial"/>
        </w:rPr>
      </w:pPr>
      <w:r>
        <w:rPr>
          <w:rFonts w:ascii="Arial" w:hAnsi="Arial" w:cs="Arial"/>
        </w:rPr>
        <w:t>On the basis that character retention is maintained, we see no reason why there should be any restriction on the ability of trustees to stream.</w:t>
      </w:r>
      <w:r w:rsidR="00AB7951">
        <w:rPr>
          <w:rFonts w:ascii="Arial" w:hAnsi="Arial" w:cs="Arial"/>
        </w:rPr>
        <w:t xml:space="preserve"> As noted above, specific provisions could be introduced to remove the beneficiary’s access to concessions attached to that income where </w:t>
      </w:r>
      <w:r w:rsidR="000967AF">
        <w:rPr>
          <w:rFonts w:ascii="Arial" w:hAnsi="Arial" w:cs="Arial"/>
        </w:rPr>
        <w:t>appropriate</w:t>
      </w:r>
      <w:r w:rsidR="00087135">
        <w:rPr>
          <w:rFonts w:ascii="Arial" w:hAnsi="Arial" w:cs="Arial"/>
        </w:rPr>
        <w:t xml:space="preserve"> if this is required</w:t>
      </w:r>
      <w:r w:rsidR="00AB7951">
        <w:rPr>
          <w:rFonts w:ascii="Arial" w:hAnsi="Arial" w:cs="Arial"/>
        </w:rPr>
        <w:t>.</w:t>
      </w:r>
    </w:p>
    <w:p w:rsidR="00081C9A" w:rsidRPr="00B62599" w:rsidRDefault="00081C9A" w:rsidP="00AC4E5E">
      <w:pPr>
        <w:suppressAutoHyphens w:val="0"/>
        <w:autoSpaceDE w:val="0"/>
        <w:autoSpaceDN w:val="0"/>
        <w:adjustRightInd w:val="0"/>
        <w:rPr>
          <w:rFonts w:ascii="Arial" w:hAnsi="Arial" w:cs="Arial"/>
        </w:rPr>
      </w:pPr>
    </w:p>
    <w:p w:rsidR="00081C9A" w:rsidRPr="00B62599" w:rsidRDefault="00081C9A" w:rsidP="00AC4E5E">
      <w:pPr>
        <w:suppressAutoHyphens w:val="0"/>
        <w:autoSpaceDE w:val="0"/>
        <w:autoSpaceDN w:val="0"/>
        <w:adjustRightInd w:val="0"/>
        <w:rPr>
          <w:rFonts w:ascii="Arial" w:hAnsi="Arial" w:cs="Arial"/>
        </w:rPr>
      </w:pPr>
    </w:p>
    <w:p w:rsidR="005F2956" w:rsidRDefault="00F42029" w:rsidP="005F2956">
      <w:pPr>
        <w:pStyle w:val="header14ptorangebold"/>
        <w:rPr>
          <w:rFonts w:ascii="Arial Narrow" w:hAnsi="Arial Narrow"/>
          <w:lang w:val="en-AU"/>
        </w:rPr>
      </w:pPr>
      <w:r>
        <w:rPr>
          <w:rFonts w:ascii="Arial Narrow" w:hAnsi="Arial Narrow"/>
          <w:lang w:val="en-AU"/>
        </w:rPr>
        <w:t>One size fits all approach</w:t>
      </w:r>
    </w:p>
    <w:p w:rsidR="00081C9A" w:rsidRPr="00B62599" w:rsidRDefault="00081C9A" w:rsidP="00AC4E5E">
      <w:pPr>
        <w:suppressAutoHyphens w:val="0"/>
        <w:autoSpaceDE w:val="0"/>
        <w:autoSpaceDN w:val="0"/>
        <w:adjustRightInd w:val="0"/>
        <w:rPr>
          <w:rFonts w:ascii="Arial" w:hAnsi="Arial" w:cs="Arial"/>
        </w:rPr>
      </w:pPr>
    </w:p>
    <w:p w:rsidR="005446C2" w:rsidRDefault="00E2213A" w:rsidP="00AC4E5E">
      <w:pPr>
        <w:suppressAutoHyphens w:val="0"/>
        <w:autoSpaceDE w:val="0"/>
        <w:autoSpaceDN w:val="0"/>
        <w:adjustRightInd w:val="0"/>
        <w:rPr>
          <w:rFonts w:ascii="Arial" w:hAnsi="Arial" w:cs="Arial"/>
        </w:rPr>
      </w:pPr>
      <w:r w:rsidRPr="00B62599">
        <w:rPr>
          <w:rFonts w:ascii="Arial" w:hAnsi="Arial" w:cs="Arial"/>
        </w:rPr>
        <w:t xml:space="preserve">Given the wide variety of </w:t>
      </w:r>
      <w:r w:rsidR="005E7F9E" w:rsidRPr="00B62599">
        <w:rPr>
          <w:rFonts w:ascii="Arial" w:hAnsi="Arial" w:cs="Arial"/>
        </w:rPr>
        <w:t>trust</w:t>
      </w:r>
      <w:r w:rsidR="00256D7E">
        <w:rPr>
          <w:rFonts w:ascii="Arial" w:hAnsi="Arial" w:cs="Arial"/>
        </w:rPr>
        <w:t>s</w:t>
      </w:r>
      <w:r w:rsidR="005E7F9E" w:rsidRPr="00B62599">
        <w:rPr>
          <w:rFonts w:ascii="Arial" w:hAnsi="Arial" w:cs="Arial"/>
        </w:rPr>
        <w:t>, it</w:t>
      </w:r>
      <w:r w:rsidRPr="00B62599">
        <w:rPr>
          <w:rFonts w:ascii="Arial" w:hAnsi="Arial" w:cs="Arial"/>
        </w:rPr>
        <w:t xml:space="preserve"> may be prudent in the policy design review stage to </w:t>
      </w:r>
      <w:proofErr w:type="spellStart"/>
      <w:r w:rsidR="005446C2">
        <w:rPr>
          <w:rFonts w:ascii="Arial" w:hAnsi="Arial" w:cs="Arial"/>
        </w:rPr>
        <w:t>recogni</w:t>
      </w:r>
      <w:r w:rsidR="00087135">
        <w:rPr>
          <w:rFonts w:ascii="Arial" w:hAnsi="Arial" w:cs="Arial"/>
        </w:rPr>
        <w:t>s</w:t>
      </w:r>
      <w:r w:rsidR="005446C2">
        <w:rPr>
          <w:rFonts w:ascii="Arial" w:hAnsi="Arial" w:cs="Arial"/>
        </w:rPr>
        <w:t>ing</w:t>
      </w:r>
      <w:proofErr w:type="spellEnd"/>
      <w:r w:rsidR="005446C2">
        <w:rPr>
          <w:rFonts w:ascii="Arial" w:hAnsi="Arial" w:cs="Arial"/>
        </w:rPr>
        <w:t xml:space="preserve"> different categories of trust</w:t>
      </w:r>
      <w:r w:rsidR="00256D7E">
        <w:rPr>
          <w:rFonts w:ascii="Arial" w:hAnsi="Arial" w:cs="Arial"/>
        </w:rPr>
        <w:t>s</w:t>
      </w:r>
      <w:r w:rsidR="005446C2">
        <w:rPr>
          <w:rFonts w:ascii="Arial" w:hAnsi="Arial" w:cs="Arial"/>
        </w:rPr>
        <w:t xml:space="preserve"> and treat these in different way</w:t>
      </w:r>
      <w:r w:rsidR="00232E1B">
        <w:rPr>
          <w:rFonts w:ascii="Arial" w:hAnsi="Arial" w:cs="Arial"/>
        </w:rPr>
        <w:t xml:space="preserve"> to other trust</w:t>
      </w:r>
      <w:r w:rsidR="005446C2">
        <w:rPr>
          <w:rFonts w:ascii="Arial" w:hAnsi="Arial" w:cs="Arial"/>
        </w:rPr>
        <w:t xml:space="preserve">. The IPA </w:t>
      </w:r>
      <w:r w:rsidRPr="00B62599">
        <w:rPr>
          <w:rFonts w:ascii="Arial" w:hAnsi="Arial" w:cs="Arial"/>
        </w:rPr>
        <w:t>give</w:t>
      </w:r>
      <w:r w:rsidR="005446C2">
        <w:rPr>
          <w:rFonts w:ascii="Arial" w:hAnsi="Arial" w:cs="Arial"/>
        </w:rPr>
        <w:t>s</w:t>
      </w:r>
      <w:r w:rsidRPr="00B62599">
        <w:rPr>
          <w:rFonts w:ascii="Arial" w:hAnsi="Arial" w:cs="Arial"/>
        </w:rPr>
        <w:t xml:space="preserve"> strong support for </w:t>
      </w:r>
      <w:proofErr w:type="spellStart"/>
      <w:r w:rsidRPr="00B62599">
        <w:rPr>
          <w:rFonts w:ascii="Arial" w:hAnsi="Arial" w:cs="Arial"/>
        </w:rPr>
        <w:t>recogni</w:t>
      </w:r>
      <w:r w:rsidR="00256D7E">
        <w:rPr>
          <w:rFonts w:ascii="Arial" w:hAnsi="Arial" w:cs="Arial"/>
        </w:rPr>
        <w:t>s</w:t>
      </w:r>
      <w:r w:rsidRPr="00B62599">
        <w:rPr>
          <w:rFonts w:ascii="Arial" w:hAnsi="Arial" w:cs="Arial"/>
        </w:rPr>
        <w:t>ing</w:t>
      </w:r>
      <w:proofErr w:type="spellEnd"/>
      <w:r w:rsidRPr="00B62599">
        <w:rPr>
          <w:rFonts w:ascii="Arial" w:hAnsi="Arial" w:cs="Arial"/>
        </w:rPr>
        <w:t xml:space="preserve"> different categories of trust and treating these in different ways. </w:t>
      </w:r>
      <w:r w:rsidR="000967AF">
        <w:rPr>
          <w:rFonts w:ascii="Arial" w:hAnsi="Arial" w:cs="Arial"/>
        </w:rPr>
        <w:t xml:space="preserve"> Some overseas jurisdictions have adopted this approach</w:t>
      </w:r>
      <w:r w:rsidR="00256D7E">
        <w:rPr>
          <w:rFonts w:ascii="Arial" w:hAnsi="Arial" w:cs="Arial"/>
        </w:rPr>
        <w:t>,</w:t>
      </w:r>
      <w:r w:rsidR="000967AF">
        <w:rPr>
          <w:rFonts w:ascii="Arial" w:hAnsi="Arial" w:cs="Arial"/>
        </w:rPr>
        <w:t xml:space="preserve"> which we believe warrants some serious consideration.</w:t>
      </w:r>
    </w:p>
    <w:p w:rsidR="005446C2" w:rsidRDefault="005446C2" w:rsidP="00AC4E5E">
      <w:pPr>
        <w:suppressAutoHyphens w:val="0"/>
        <w:autoSpaceDE w:val="0"/>
        <w:autoSpaceDN w:val="0"/>
        <w:adjustRightInd w:val="0"/>
        <w:rPr>
          <w:rFonts w:ascii="Arial" w:hAnsi="Arial" w:cs="Arial"/>
        </w:rPr>
      </w:pPr>
    </w:p>
    <w:p w:rsidR="00E2213A" w:rsidRPr="00B62599" w:rsidRDefault="00E2213A" w:rsidP="00AC4E5E">
      <w:pPr>
        <w:suppressAutoHyphens w:val="0"/>
        <w:autoSpaceDE w:val="0"/>
        <w:autoSpaceDN w:val="0"/>
        <w:adjustRightInd w:val="0"/>
        <w:rPr>
          <w:rFonts w:ascii="Arial" w:hAnsi="Arial" w:cs="Arial"/>
        </w:rPr>
      </w:pPr>
      <w:r w:rsidRPr="00B62599">
        <w:rPr>
          <w:rFonts w:ascii="Arial" w:hAnsi="Arial" w:cs="Arial"/>
        </w:rPr>
        <w:t xml:space="preserve">A similar process has already begun for managed investment </w:t>
      </w:r>
      <w:r w:rsidR="00D10C9D" w:rsidRPr="00B62599">
        <w:rPr>
          <w:rFonts w:ascii="Arial" w:hAnsi="Arial" w:cs="Arial"/>
        </w:rPr>
        <w:t>trusts (MIT’s)</w:t>
      </w:r>
      <w:r w:rsidRPr="00B62599">
        <w:rPr>
          <w:rFonts w:ascii="Arial" w:hAnsi="Arial" w:cs="Arial"/>
        </w:rPr>
        <w:t xml:space="preserve"> which will have </w:t>
      </w:r>
      <w:r w:rsidR="00D10C9D" w:rsidRPr="00B62599">
        <w:rPr>
          <w:rFonts w:ascii="Arial" w:hAnsi="Arial" w:cs="Arial"/>
        </w:rPr>
        <w:t xml:space="preserve">their </w:t>
      </w:r>
      <w:r w:rsidRPr="00B62599">
        <w:rPr>
          <w:rFonts w:ascii="Arial" w:hAnsi="Arial" w:cs="Arial"/>
        </w:rPr>
        <w:t>own tax regime. A similar process could be adopted for fixed trusts</w:t>
      </w:r>
      <w:r w:rsidR="00F42029">
        <w:rPr>
          <w:rFonts w:ascii="Arial" w:hAnsi="Arial" w:cs="Arial"/>
        </w:rPr>
        <w:t xml:space="preserve"> or other categories of trust</w:t>
      </w:r>
      <w:r w:rsidR="00256D7E">
        <w:rPr>
          <w:rFonts w:ascii="Arial" w:hAnsi="Arial" w:cs="Arial"/>
        </w:rPr>
        <w:t>s</w:t>
      </w:r>
      <w:r w:rsidR="00F42029">
        <w:rPr>
          <w:rFonts w:ascii="Arial" w:hAnsi="Arial" w:cs="Arial"/>
        </w:rPr>
        <w:t xml:space="preserve"> that are </w:t>
      </w:r>
      <w:r w:rsidR="005446C2">
        <w:rPr>
          <w:rFonts w:ascii="Arial" w:hAnsi="Arial" w:cs="Arial"/>
        </w:rPr>
        <w:t>unique enough t</w:t>
      </w:r>
      <w:r w:rsidR="00256D7E">
        <w:rPr>
          <w:rFonts w:ascii="Arial" w:hAnsi="Arial" w:cs="Arial"/>
        </w:rPr>
        <w:t>o</w:t>
      </w:r>
      <w:r w:rsidR="005446C2">
        <w:rPr>
          <w:rFonts w:ascii="Arial" w:hAnsi="Arial" w:cs="Arial"/>
        </w:rPr>
        <w:t xml:space="preserve"> warrant more targeted tax rules reflecting their individual </w:t>
      </w:r>
      <w:r w:rsidR="00256D7E">
        <w:rPr>
          <w:rFonts w:ascii="Arial" w:hAnsi="Arial" w:cs="Arial"/>
        </w:rPr>
        <w:t>characteristics</w:t>
      </w:r>
      <w:r w:rsidR="005446C2">
        <w:rPr>
          <w:rFonts w:ascii="Arial" w:hAnsi="Arial" w:cs="Arial"/>
        </w:rPr>
        <w:t>. We understand that this can create complexity</w:t>
      </w:r>
      <w:r w:rsidR="00256D7E">
        <w:rPr>
          <w:rFonts w:ascii="Arial" w:hAnsi="Arial" w:cs="Arial"/>
        </w:rPr>
        <w:t>,</w:t>
      </w:r>
      <w:r w:rsidR="005446C2">
        <w:rPr>
          <w:rFonts w:ascii="Arial" w:hAnsi="Arial" w:cs="Arial"/>
        </w:rPr>
        <w:t xml:space="preserve"> (border rules and entry/exit issues) but if there are clear rules about the different categories of trust</w:t>
      </w:r>
      <w:r w:rsidR="00256D7E">
        <w:rPr>
          <w:rFonts w:ascii="Arial" w:hAnsi="Arial" w:cs="Arial"/>
        </w:rPr>
        <w:t>s</w:t>
      </w:r>
      <w:r w:rsidR="005446C2">
        <w:rPr>
          <w:rFonts w:ascii="Arial" w:hAnsi="Arial" w:cs="Arial"/>
        </w:rPr>
        <w:t xml:space="preserve"> this could mitigate some of the potential problems</w:t>
      </w:r>
      <w:r w:rsidR="00256D7E">
        <w:rPr>
          <w:rFonts w:ascii="Arial" w:hAnsi="Arial" w:cs="Arial"/>
        </w:rPr>
        <w:t>.</w:t>
      </w:r>
    </w:p>
    <w:p w:rsidR="00D224D2" w:rsidRDefault="00D224D2" w:rsidP="00AC4E5E">
      <w:pPr>
        <w:suppressAutoHyphens w:val="0"/>
        <w:autoSpaceDE w:val="0"/>
        <w:autoSpaceDN w:val="0"/>
        <w:adjustRightInd w:val="0"/>
        <w:rPr>
          <w:rFonts w:ascii="Arial" w:hAnsi="Arial" w:cs="Arial"/>
          <w:color w:val="000000"/>
          <w:lang w:val="en"/>
        </w:rPr>
      </w:pPr>
    </w:p>
    <w:p w:rsidR="00D224D2" w:rsidRDefault="00DF1D45" w:rsidP="00DF1D45">
      <w:pPr>
        <w:pStyle w:val="header14ptorangebold"/>
        <w:rPr>
          <w:rFonts w:ascii="Arial" w:hAnsi="Arial" w:cs="Arial"/>
          <w:color w:val="000000"/>
          <w:lang w:val="en"/>
        </w:rPr>
      </w:pPr>
      <w:r>
        <w:rPr>
          <w:rFonts w:ascii="Arial Narrow" w:hAnsi="Arial Narrow"/>
          <w:lang w:val="en-AU"/>
        </w:rPr>
        <w:t xml:space="preserve">Alternatives to the proportionate approach for taxing </w:t>
      </w:r>
      <w:r w:rsidR="000967AF">
        <w:rPr>
          <w:rFonts w:ascii="Arial Narrow" w:hAnsi="Arial Narrow"/>
          <w:lang w:val="en-AU"/>
        </w:rPr>
        <w:t>beneficiaries</w:t>
      </w:r>
    </w:p>
    <w:p w:rsidR="00796583" w:rsidRDefault="00796583" w:rsidP="00AC4E5E">
      <w:pPr>
        <w:suppressAutoHyphens w:val="0"/>
        <w:autoSpaceDE w:val="0"/>
        <w:autoSpaceDN w:val="0"/>
        <w:adjustRightInd w:val="0"/>
        <w:rPr>
          <w:rFonts w:ascii="Arial" w:hAnsi="Arial" w:cs="Arial"/>
          <w:color w:val="000000"/>
          <w:lang w:val="en"/>
        </w:rPr>
      </w:pPr>
    </w:p>
    <w:p w:rsidR="0011129D" w:rsidRDefault="00796583" w:rsidP="00AC4E5E">
      <w:pPr>
        <w:suppressAutoHyphens w:val="0"/>
        <w:autoSpaceDE w:val="0"/>
        <w:autoSpaceDN w:val="0"/>
        <w:adjustRightInd w:val="0"/>
        <w:rPr>
          <w:rFonts w:ascii="Arial" w:hAnsi="Arial" w:cs="Arial"/>
          <w:color w:val="000000"/>
          <w:lang w:val="en"/>
        </w:rPr>
      </w:pPr>
      <w:r>
        <w:rPr>
          <w:rFonts w:ascii="Arial" w:hAnsi="Arial" w:cs="Arial"/>
          <w:color w:val="000000"/>
          <w:lang w:val="en"/>
        </w:rPr>
        <w:t xml:space="preserve">As well as addressing specific issues impeding the effective operation of Division 6, the consultation paper considers whether a new model should be used to tax liabilities to beneficiaries. The proportionate approach has been accepted practice used for taxing beneficiaries. Practitioners have become familiar </w:t>
      </w:r>
      <w:r w:rsidR="0011129D">
        <w:rPr>
          <w:rFonts w:ascii="Arial" w:hAnsi="Arial" w:cs="Arial"/>
          <w:color w:val="000000"/>
          <w:lang w:val="en"/>
        </w:rPr>
        <w:t xml:space="preserve">with this approach whereby the </w:t>
      </w:r>
      <w:r w:rsidR="000967AF">
        <w:rPr>
          <w:rFonts w:ascii="Arial" w:hAnsi="Arial" w:cs="Arial"/>
          <w:color w:val="000000"/>
          <w:lang w:val="en"/>
        </w:rPr>
        <w:t>beneficiary’s</w:t>
      </w:r>
      <w:r w:rsidR="0011129D">
        <w:rPr>
          <w:rFonts w:ascii="Arial" w:hAnsi="Arial" w:cs="Arial"/>
          <w:color w:val="000000"/>
          <w:lang w:val="en"/>
        </w:rPr>
        <w:t xml:space="preserve"> share of income of the trust determines their share in the taxable income of the trust on the same basis.</w:t>
      </w:r>
    </w:p>
    <w:p w:rsidR="00DF1D45" w:rsidRDefault="00DF1D45" w:rsidP="00AC4E5E">
      <w:pPr>
        <w:suppressAutoHyphens w:val="0"/>
        <w:autoSpaceDE w:val="0"/>
        <w:autoSpaceDN w:val="0"/>
        <w:adjustRightInd w:val="0"/>
        <w:rPr>
          <w:rFonts w:ascii="Arial" w:hAnsi="Arial" w:cs="Arial"/>
          <w:color w:val="000000"/>
          <w:lang w:val="en"/>
        </w:rPr>
      </w:pPr>
    </w:p>
    <w:p w:rsidR="00E4527F" w:rsidRDefault="0011129D" w:rsidP="00AC4E5E">
      <w:pPr>
        <w:suppressAutoHyphens w:val="0"/>
        <w:autoSpaceDE w:val="0"/>
        <w:autoSpaceDN w:val="0"/>
        <w:adjustRightInd w:val="0"/>
        <w:rPr>
          <w:rFonts w:ascii="Arial" w:hAnsi="Arial" w:cs="Arial"/>
          <w:color w:val="000000"/>
          <w:lang w:val="en"/>
        </w:rPr>
      </w:pPr>
      <w:r>
        <w:rPr>
          <w:rFonts w:ascii="Arial" w:hAnsi="Arial" w:cs="Arial"/>
          <w:color w:val="000000"/>
          <w:lang w:val="en"/>
        </w:rPr>
        <w:t>The proportionate approach however can produce anomalous outcomes</w:t>
      </w:r>
      <w:r w:rsidR="00256D7E">
        <w:rPr>
          <w:rFonts w:ascii="Arial" w:hAnsi="Arial" w:cs="Arial"/>
          <w:color w:val="000000"/>
          <w:lang w:val="en"/>
        </w:rPr>
        <w:t>,</w:t>
      </w:r>
      <w:r w:rsidR="00F06AF9">
        <w:rPr>
          <w:rFonts w:ascii="Arial" w:hAnsi="Arial" w:cs="Arial"/>
          <w:color w:val="000000"/>
          <w:lang w:val="en"/>
        </w:rPr>
        <w:t xml:space="preserve"> which can lead to unfair tax impost on beneficiaries.</w:t>
      </w:r>
      <w:r w:rsidR="00211CA9">
        <w:rPr>
          <w:rFonts w:ascii="Arial" w:hAnsi="Arial" w:cs="Arial"/>
          <w:color w:val="000000"/>
          <w:lang w:val="en"/>
        </w:rPr>
        <w:t xml:space="preserve"> It can also result in tax being avoided by directing assessable income to exempt beneficiaries, without the full entitlement to the trust income. </w:t>
      </w:r>
      <w:r w:rsidR="00F06AF9">
        <w:rPr>
          <w:rFonts w:ascii="Arial" w:hAnsi="Arial" w:cs="Arial"/>
          <w:color w:val="000000"/>
          <w:lang w:val="en"/>
        </w:rPr>
        <w:t xml:space="preserve"> The alternative is the quantum approach which allocates taxable income to a beneficiary based on the (quantum) amount of their entitlement to trust amounts that relate to </w:t>
      </w:r>
      <w:r w:rsidR="000967AF">
        <w:rPr>
          <w:rFonts w:ascii="Arial" w:hAnsi="Arial" w:cs="Arial"/>
          <w:color w:val="000000"/>
          <w:lang w:val="en"/>
        </w:rPr>
        <w:t>taxable</w:t>
      </w:r>
      <w:r w:rsidR="00F06AF9">
        <w:rPr>
          <w:rFonts w:ascii="Arial" w:hAnsi="Arial" w:cs="Arial"/>
          <w:color w:val="000000"/>
          <w:lang w:val="en"/>
        </w:rPr>
        <w:t xml:space="preserve"> income. The key advantage of the quantum approach is its simplicity and straightforwardness. This approach however increases the likelihood of unallocated </w:t>
      </w:r>
      <w:r w:rsidR="00B00AE9">
        <w:rPr>
          <w:rFonts w:ascii="Arial" w:hAnsi="Arial" w:cs="Arial"/>
          <w:color w:val="000000"/>
          <w:lang w:val="en"/>
        </w:rPr>
        <w:t xml:space="preserve">amounts especially in cases </w:t>
      </w:r>
      <w:r w:rsidR="00E4527F">
        <w:rPr>
          <w:rFonts w:ascii="Arial" w:hAnsi="Arial" w:cs="Arial"/>
          <w:color w:val="000000"/>
          <w:lang w:val="en"/>
        </w:rPr>
        <w:t>where the taxable income of a trust exceeds its distributable income.</w:t>
      </w:r>
    </w:p>
    <w:p w:rsidR="00B00AE9" w:rsidRDefault="00B00AE9" w:rsidP="00AC4E5E">
      <w:pPr>
        <w:suppressAutoHyphens w:val="0"/>
        <w:autoSpaceDE w:val="0"/>
        <w:autoSpaceDN w:val="0"/>
        <w:adjustRightInd w:val="0"/>
        <w:rPr>
          <w:rFonts w:ascii="Arial" w:hAnsi="Arial" w:cs="Arial"/>
          <w:color w:val="000000"/>
          <w:lang w:val="en"/>
        </w:rPr>
      </w:pPr>
    </w:p>
    <w:p w:rsidR="001504E4" w:rsidRDefault="00E4527F" w:rsidP="001504E4">
      <w:pPr>
        <w:rPr>
          <w:rFonts w:ascii="Arial" w:hAnsi="Arial" w:cs="Arial"/>
        </w:rPr>
      </w:pPr>
      <w:r>
        <w:rPr>
          <w:rFonts w:ascii="Arial" w:hAnsi="Arial" w:cs="Arial"/>
          <w:color w:val="000000"/>
          <w:lang w:val="en"/>
        </w:rPr>
        <w:t>The current treatment of unallocated amounts makes the quantum approach unattractive.</w:t>
      </w:r>
      <w:r w:rsidR="00F06AF9">
        <w:rPr>
          <w:rFonts w:ascii="Arial" w:hAnsi="Arial" w:cs="Arial"/>
          <w:color w:val="000000"/>
          <w:lang w:val="en"/>
        </w:rPr>
        <w:t xml:space="preserve"> </w:t>
      </w:r>
      <w:r w:rsidR="001504E4" w:rsidRPr="001504E4">
        <w:rPr>
          <w:rFonts w:ascii="Arial" w:hAnsi="Arial" w:cs="Arial"/>
        </w:rPr>
        <w:t>Under the current law, unallocated amounts are assessed to the trustee typically at the top marginal rate (plus Medicare Levy). Subsequent distributions of these amounts are generally not taxable.</w:t>
      </w:r>
    </w:p>
    <w:p w:rsidR="00FC0278" w:rsidRPr="001504E4" w:rsidRDefault="00FC0278" w:rsidP="001504E4">
      <w:pPr>
        <w:rPr>
          <w:rFonts w:ascii="Arial" w:hAnsi="Arial" w:cs="Arial"/>
        </w:rPr>
      </w:pPr>
    </w:p>
    <w:p w:rsidR="001504E4" w:rsidRDefault="001504E4" w:rsidP="001504E4">
      <w:pPr>
        <w:rPr>
          <w:rFonts w:ascii="Arial" w:hAnsi="Arial" w:cs="Arial"/>
        </w:rPr>
      </w:pPr>
      <w:r w:rsidRPr="001504E4">
        <w:rPr>
          <w:rFonts w:ascii="Arial" w:hAnsi="Arial" w:cs="Arial"/>
        </w:rPr>
        <w:t>If unallocated or retained amounts are taxed at relatively high rates as is currently the case, there is a strong incentive for trustees to ensure that beneficiaries are entitled to all of the trust’s income each year. This tax treatment ensures that trusts are effectively used as flow</w:t>
      </w:r>
      <w:r w:rsidRPr="001504E4">
        <w:rPr>
          <w:rFonts w:ascii="Arial" w:hAnsi="Arial" w:cs="Arial"/>
        </w:rPr>
        <w:noBreakHyphen/>
        <w:t xml:space="preserve">through vehicles even though the actual ‘cash’ within the trust may not actually be paid out to the relevant beneficiaries for a number of years. </w:t>
      </w:r>
    </w:p>
    <w:p w:rsidR="00FC0278" w:rsidRPr="001504E4" w:rsidRDefault="00FC0278" w:rsidP="001504E4">
      <w:pPr>
        <w:rPr>
          <w:rFonts w:ascii="Arial" w:hAnsi="Arial" w:cs="Arial"/>
        </w:rPr>
      </w:pPr>
    </w:p>
    <w:p w:rsidR="001504E4" w:rsidRDefault="001504E4" w:rsidP="001504E4">
      <w:pPr>
        <w:rPr>
          <w:rFonts w:ascii="Arial" w:hAnsi="Arial" w:cs="Arial"/>
        </w:rPr>
      </w:pPr>
      <w:r w:rsidRPr="001504E4">
        <w:rPr>
          <w:rFonts w:ascii="Arial" w:hAnsi="Arial" w:cs="Arial"/>
        </w:rPr>
        <w:t xml:space="preserve">Alternatively, if the trustee were taxed at a lower </w:t>
      </w:r>
      <w:r w:rsidR="000967AF" w:rsidRPr="001504E4">
        <w:rPr>
          <w:rFonts w:ascii="Arial" w:hAnsi="Arial" w:cs="Arial"/>
        </w:rPr>
        <w:t>rate</w:t>
      </w:r>
      <w:r w:rsidR="000967AF">
        <w:rPr>
          <w:rFonts w:ascii="Arial" w:hAnsi="Arial" w:cs="Arial"/>
        </w:rPr>
        <w:t xml:space="preserve"> (i.e.</w:t>
      </w:r>
      <w:r w:rsidR="00FC0278">
        <w:rPr>
          <w:rFonts w:ascii="Arial" w:hAnsi="Arial" w:cs="Arial"/>
        </w:rPr>
        <w:t xml:space="preserve"> corporate tax rate)</w:t>
      </w:r>
      <w:r w:rsidRPr="001504E4">
        <w:rPr>
          <w:rFonts w:ascii="Arial" w:hAnsi="Arial" w:cs="Arial"/>
        </w:rPr>
        <w:t xml:space="preserve"> than the top marginal rate when some of the income is accumulated in the trust, there would be less incentive for the trustee to ensure that beneficiaries were made entitled to all of the trust’s income. This tax treatment would increase the scope for trusts to be used more like accumulation vehicles, with amounts being taxed to the trustee and retained for use within the trust. </w:t>
      </w:r>
    </w:p>
    <w:p w:rsidR="00B00AE9" w:rsidRPr="001504E4" w:rsidRDefault="00B00AE9" w:rsidP="001504E4">
      <w:pPr>
        <w:rPr>
          <w:rFonts w:ascii="Arial" w:hAnsi="Arial" w:cs="Arial"/>
        </w:rPr>
      </w:pPr>
    </w:p>
    <w:p w:rsidR="007E0666" w:rsidRDefault="00342B29" w:rsidP="001504E4">
      <w:pPr>
        <w:rPr>
          <w:rFonts w:ascii="Arial" w:hAnsi="Arial" w:cs="Arial"/>
        </w:rPr>
      </w:pPr>
      <w:r>
        <w:rPr>
          <w:rFonts w:ascii="Arial" w:hAnsi="Arial" w:cs="Arial"/>
        </w:rPr>
        <w:t>The IPA would ideally like the option of trust</w:t>
      </w:r>
      <w:r w:rsidR="00256D7E">
        <w:rPr>
          <w:rFonts w:ascii="Arial" w:hAnsi="Arial" w:cs="Arial"/>
        </w:rPr>
        <w:t>s</w:t>
      </w:r>
      <w:r>
        <w:rPr>
          <w:rFonts w:ascii="Arial" w:hAnsi="Arial" w:cs="Arial"/>
        </w:rPr>
        <w:t xml:space="preserve"> to be able to accumulate unallocated income. If budgetary considerations do not permit such a change in policy, then a more </w:t>
      </w:r>
      <w:proofErr w:type="spellStart"/>
      <w:r>
        <w:rPr>
          <w:rFonts w:ascii="Arial" w:hAnsi="Arial" w:cs="Arial"/>
        </w:rPr>
        <w:t>favourable</w:t>
      </w:r>
      <w:proofErr w:type="spellEnd"/>
      <w:r>
        <w:rPr>
          <w:rFonts w:ascii="Arial" w:hAnsi="Arial" w:cs="Arial"/>
        </w:rPr>
        <w:t xml:space="preserve"> tax rate than the current regime would be</w:t>
      </w:r>
      <w:r w:rsidR="00697AE5">
        <w:rPr>
          <w:rFonts w:ascii="Arial" w:hAnsi="Arial" w:cs="Arial"/>
        </w:rPr>
        <w:t xml:space="preserve"> a</w:t>
      </w:r>
      <w:r>
        <w:rPr>
          <w:rFonts w:ascii="Arial" w:hAnsi="Arial" w:cs="Arial"/>
        </w:rPr>
        <w:t xml:space="preserve"> positive outcome. Alternatively </w:t>
      </w:r>
      <w:r w:rsidR="00087135">
        <w:rPr>
          <w:rFonts w:ascii="Arial" w:hAnsi="Arial" w:cs="Arial"/>
        </w:rPr>
        <w:t xml:space="preserve">only the </w:t>
      </w:r>
      <w:r>
        <w:rPr>
          <w:rFonts w:ascii="Arial" w:hAnsi="Arial" w:cs="Arial"/>
        </w:rPr>
        <w:t>difference between distributable trust income and tr</w:t>
      </w:r>
      <w:r w:rsidR="007E0666">
        <w:rPr>
          <w:rFonts w:ascii="Arial" w:hAnsi="Arial" w:cs="Arial"/>
        </w:rPr>
        <w:t>ust taxable income which result</w:t>
      </w:r>
      <w:r w:rsidR="00232E1B">
        <w:rPr>
          <w:rFonts w:ascii="Arial" w:hAnsi="Arial" w:cs="Arial"/>
        </w:rPr>
        <w:t>s</w:t>
      </w:r>
      <w:r w:rsidR="007E0666">
        <w:rPr>
          <w:rFonts w:ascii="Arial" w:hAnsi="Arial" w:cs="Arial"/>
        </w:rPr>
        <w:t xml:space="preserve"> in </w:t>
      </w:r>
      <w:r w:rsidR="00232E1B">
        <w:rPr>
          <w:rFonts w:ascii="Arial" w:hAnsi="Arial" w:cs="Arial"/>
        </w:rPr>
        <w:t xml:space="preserve">an amount of </w:t>
      </w:r>
      <w:r w:rsidR="007E0666">
        <w:rPr>
          <w:rFonts w:ascii="Arial" w:hAnsi="Arial" w:cs="Arial"/>
        </w:rPr>
        <w:t xml:space="preserve">unallocated income </w:t>
      </w:r>
      <w:r w:rsidR="00232E1B">
        <w:rPr>
          <w:rFonts w:ascii="Arial" w:hAnsi="Arial" w:cs="Arial"/>
        </w:rPr>
        <w:t>is</w:t>
      </w:r>
      <w:r w:rsidR="007E0666">
        <w:rPr>
          <w:rFonts w:ascii="Arial" w:hAnsi="Arial" w:cs="Arial"/>
        </w:rPr>
        <w:t xml:space="preserve"> taxed at </w:t>
      </w:r>
      <w:r w:rsidR="00087135">
        <w:rPr>
          <w:rFonts w:ascii="Arial" w:hAnsi="Arial" w:cs="Arial"/>
        </w:rPr>
        <w:t xml:space="preserve">a </w:t>
      </w:r>
      <w:r w:rsidR="007E0666">
        <w:rPr>
          <w:rFonts w:ascii="Arial" w:hAnsi="Arial" w:cs="Arial"/>
        </w:rPr>
        <w:t xml:space="preserve">more </w:t>
      </w:r>
      <w:proofErr w:type="spellStart"/>
      <w:r w:rsidR="007E0666">
        <w:rPr>
          <w:rFonts w:ascii="Arial" w:hAnsi="Arial" w:cs="Arial"/>
        </w:rPr>
        <w:t>favourable</w:t>
      </w:r>
      <w:proofErr w:type="spellEnd"/>
      <w:r w:rsidR="007E0666">
        <w:rPr>
          <w:rFonts w:ascii="Arial" w:hAnsi="Arial" w:cs="Arial"/>
        </w:rPr>
        <w:t xml:space="preserve"> tax rate. Any of these outcomes would improve the quantum approach and are worthy of consideration.</w:t>
      </w:r>
    </w:p>
    <w:p w:rsidR="007E0666" w:rsidRDefault="007E0666" w:rsidP="001504E4">
      <w:pPr>
        <w:rPr>
          <w:rFonts w:ascii="Arial" w:hAnsi="Arial" w:cs="Arial"/>
        </w:rPr>
      </w:pPr>
    </w:p>
    <w:p w:rsidR="007E0666" w:rsidRDefault="007E0666" w:rsidP="001504E4">
      <w:pPr>
        <w:rPr>
          <w:rFonts w:ascii="Arial" w:hAnsi="Arial" w:cs="Arial"/>
        </w:rPr>
      </w:pPr>
      <w:r>
        <w:rPr>
          <w:rFonts w:ascii="Arial" w:hAnsi="Arial" w:cs="Arial"/>
        </w:rPr>
        <w:t>The consultation paper outlines three possible alternatives to taxing trust beneficiaries. They are a patch model, proportionate within class, and trustee assessment and deduction model (TAD)</w:t>
      </w:r>
    </w:p>
    <w:p w:rsidR="003063ED" w:rsidRDefault="003063ED" w:rsidP="001504E4">
      <w:pPr>
        <w:rPr>
          <w:rFonts w:ascii="Arial" w:hAnsi="Arial" w:cs="Arial"/>
        </w:rPr>
      </w:pPr>
    </w:p>
    <w:p w:rsidR="00D03DEB" w:rsidRDefault="003063ED" w:rsidP="001504E4">
      <w:pPr>
        <w:rPr>
          <w:rFonts w:ascii="Arial" w:hAnsi="Arial" w:cs="Arial"/>
        </w:rPr>
      </w:pPr>
      <w:r>
        <w:rPr>
          <w:rFonts w:ascii="Arial" w:hAnsi="Arial" w:cs="Arial"/>
        </w:rPr>
        <w:t xml:space="preserve">Our brief </w:t>
      </w:r>
      <w:r w:rsidR="003F3CB4">
        <w:rPr>
          <w:rFonts w:ascii="Arial" w:hAnsi="Arial" w:cs="Arial"/>
        </w:rPr>
        <w:t>thoughts on each model option are</w:t>
      </w:r>
      <w:r w:rsidR="00F306B4">
        <w:rPr>
          <w:rFonts w:ascii="Arial" w:hAnsi="Arial" w:cs="Arial"/>
        </w:rPr>
        <w:t xml:space="preserve"> </w:t>
      </w:r>
      <w:r>
        <w:rPr>
          <w:rFonts w:ascii="Arial" w:hAnsi="Arial" w:cs="Arial"/>
        </w:rPr>
        <w:t>as follows:</w:t>
      </w:r>
    </w:p>
    <w:p w:rsidR="00F306B4" w:rsidRDefault="00F306B4" w:rsidP="001504E4">
      <w:pPr>
        <w:rPr>
          <w:rFonts w:ascii="Arial" w:hAnsi="Arial" w:cs="Arial"/>
        </w:rPr>
      </w:pPr>
    </w:p>
    <w:p w:rsidR="00D03DEB" w:rsidRDefault="00D03DEB" w:rsidP="001504E4">
      <w:pPr>
        <w:rPr>
          <w:rFonts w:ascii="Arial" w:hAnsi="Arial" w:cs="Arial"/>
          <w:b/>
        </w:rPr>
      </w:pPr>
      <w:r w:rsidRPr="00F137C3">
        <w:rPr>
          <w:rFonts w:ascii="Arial" w:hAnsi="Arial" w:cs="Arial"/>
          <w:b/>
        </w:rPr>
        <w:t>Patch Model</w:t>
      </w:r>
    </w:p>
    <w:p w:rsidR="00087135" w:rsidRPr="00F137C3" w:rsidRDefault="00087135" w:rsidP="001504E4">
      <w:pPr>
        <w:rPr>
          <w:rFonts w:ascii="Arial" w:hAnsi="Arial" w:cs="Arial"/>
          <w:b/>
        </w:rPr>
      </w:pPr>
    </w:p>
    <w:p w:rsidR="00D8413C" w:rsidRDefault="00D03DEB" w:rsidP="001504E4">
      <w:pPr>
        <w:rPr>
          <w:rFonts w:ascii="Arial" w:hAnsi="Arial" w:cs="Arial"/>
        </w:rPr>
      </w:pPr>
      <w:r>
        <w:rPr>
          <w:rFonts w:ascii="Arial" w:hAnsi="Arial" w:cs="Arial"/>
        </w:rPr>
        <w:t>This model involves retaining the existing structure of Division 6, but defining the term ‘income of the trust estate” for tax purposes</w:t>
      </w:r>
      <w:r w:rsidR="00F50506">
        <w:rPr>
          <w:rFonts w:ascii="Arial" w:hAnsi="Arial" w:cs="Arial"/>
        </w:rPr>
        <w:t xml:space="preserve"> to improve the operation of the proportionate approach under the existing arrangements.</w:t>
      </w:r>
      <w:r w:rsidR="003063ED">
        <w:rPr>
          <w:rFonts w:ascii="Arial" w:hAnsi="Arial" w:cs="Arial"/>
        </w:rPr>
        <w:t xml:space="preserve"> </w:t>
      </w:r>
      <w:r w:rsidR="00F50506">
        <w:rPr>
          <w:rFonts w:ascii="Arial" w:hAnsi="Arial" w:cs="Arial"/>
        </w:rPr>
        <w:t>The paper canvasses three options for defining above term namely: (</w:t>
      </w:r>
      <w:proofErr w:type="spellStart"/>
      <w:r w:rsidR="00F50506">
        <w:rPr>
          <w:rFonts w:ascii="Arial" w:hAnsi="Arial" w:cs="Arial"/>
        </w:rPr>
        <w:t>i</w:t>
      </w:r>
      <w:proofErr w:type="spellEnd"/>
      <w:r w:rsidR="00F50506">
        <w:rPr>
          <w:rFonts w:ascii="Arial" w:hAnsi="Arial" w:cs="Arial"/>
        </w:rPr>
        <w:t xml:space="preserve">) </w:t>
      </w:r>
      <w:r w:rsidR="007D00C6">
        <w:rPr>
          <w:rFonts w:ascii="Arial" w:hAnsi="Arial" w:cs="Arial"/>
        </w:rPr>
        <w:t xml:space="preserve">tax concepts, (ii) accounting concepts (iii) retain current approach relying on general trust law. Based on previous submissions on </w:t>
      </w:r>
      <w:r w:rsidR="00547331">
        <w:rPr>
          <w:rFonts w:ascii="Arial" w:hAnsi="Arial" w:cs="Arial"/>
        </w:rPr>
        <w:t>an</w:t>
      </w:r>
      <w:r w:rsidR="007D00C6">
        <w:rPr>
          <w:rFonts w:ascii="Arial" w:hAnsi="Arial" w:cs="Arial"/>
        </w:rPr>
        <w:t xml:space="preserve"> earlier discussion paper on the topic released last year, the preferred option was to use tax concepts.</w:t>
      </w:r>
      <w:r w:rsidR="00D8413C">
        <w:rPr>
          <w:rFonts w:ascii="Arial" w:hAnsi="Arial" w:cs="Arial"/>
        </w:rPr>
        <w:t xml:space="preserve"> </w:t>
      </w:r>
      <w:r w:rsidR="00211CA9">
        <w:rPr>
          <w:rFonts w:ascii="Arial" w:hAnsi="Arial" w:cs="Arial"/>
        </w:rPr>
        <w:t>This model could create issues for t</w:t>
      </w:r>
      <w:r w:rsidR="00D8413C">
        <w:rPr>
          <w:rFonts w:ascii="Arial" w:hAnsi="Arial" w:cs="Arial"/>
        </w:rPr>
        <w:t xml:space="preserve">rust deeds without flexible income definitions </w:t>
      </w:r>
      <w:r w:rsidR="00211CA9">
        <w:rPr>
          <w:rFonts w:ascii="Arial" w:hAnsi="Arial" w:cs="Arial"/>
        </w:rPr>
        <w:t xml:space="preserve">where trustees </w:t>
      </w:r>
      <w:r w:rsidR="00232E1B">
        <w:rPr>
          <w:rFonts w:ascii="Arial" w:hAnsi="Arial" w:cs="Arial"/>
        </w:rPr>
        <w:t xml:space="preserve">do not </w:t>
      </w:r>
      <w:r w:rsidR="00211CA9">
        <w:rPr>
          <w:rFonts w:ascii="Arial" w:hAnsi="Arial" w:cs="Arial"/>
        </w:rPr>
        <w:t>have</w:t>
      </w:r>
      <w:r w:rsidR="00D8413C">
        <w:rPr>
          <w:rFonts w:ascii="Arial" w:hAnsi="Arial" w:cs="Arial"/>
        </w:rPr>
        <w:t xml:space="preserve"> the option to equate income of the trust estate with the trust’s taxable income</w:t>
      </w:r>
      <w:r w:rsidR="00232E1B">
        <w:rPr>
          <w:rFonts w:ascii="Arial" w:hAnsi="Arial" w:cs="Arial"/>
        </w:rPr>
        <w:t>.</w:t>
      </w:r>
    </w:p>
    <w:p w:rsidR="00232E1B" w:rsidRDefault="00232E1B" w:rsidP="001504E4">
      <w:pPr>
        <w:rPr>
          <w:rFonts w:ascii="Arial" w:hAnsi="Arial" w:cs="Arial"/>
        </w:rPr>
      </w:pPr>
    </w:p>
    <w:p w:rsidR="00D8413C" w:rsidRDefault="00D8413C" w:rsidP="001504E4">
      <w:pPr>
        <w:rPr>
          <w:rFonts w:ascii="Arial" w:hAnsi="Arial" w:cs="Arial"/>
          <w:b/>
        </w:rPr>
      </w:pPr>
      <w:r w:rsidRPr="00F137C3">
        <w:rPr>
          <w:rFonts w:ascii="Arial" w:hAnsi="Arial" w:cs="Arial"/>
          <w:b/>
        </w:rPr>
        <w:t>A proportionate within a class</w:t>
      </w:r>
    </w:p>
    <w:p w:rsidR="00087135" w:rsidRPr="00F137C3" w:rsidRDefault="00087135" w:rsidP="001504E4">
      <w:pPr>
        <w:rPr>
          <w:rFonts w:ascii="Arial" w:hAnsi="Arial" w:cs="Arial"/>
          <w:b/>
        </w:rPr>
      </w:pPr>
    </w:p>
    <w:p w:rsidR="00087135" w:rsidRDefault="00D8413C" w:rsidP="00D8413C">
      <w:pPr>
        <w:suppressAutoHyphens w:val="0"/>
        <w:autoSpaceDE w:val="0"/>
        <w:autoSpaceDN w:val="0"/>
        <w:adjustRightInd w:val="0"/>
        <w:rPr>
          <w:rFonts w:ascii="Arial" w:hAnsi="Arial" w:cs="Arial"/>
          <w:lang w:val="en-AU" w:eastAsia="en-AU" w:bidi="ar-SA"/>
        </w:rPr>
      </w:pPr>
      <w:r w:rsidRPr="000B2930">
        <w:rPr>
          <w:rFonts w:ascii="Arial" w:hAnsi="Arial" w:cs="Arial"/>
          <w:lang w:val="en-AU" w:eastAsia="en-AU" w:bidi="ar-SA"/>
        </w:rPr>
        <w:t xml:space="preserve">This model operates </w:t>
      </w:r>
      <w:r w:rsidR="00D30D80" w:rsidRPr="000B2930">
        <w:rPr>
          <w:rFonts w:ascii="Arial" w:hAnsi="Arial" w:cs="Arial"/>
          <w:lang w:val="en-AU" w:eastAsia="en-AU" w:bidi="ar-SA"/>
        </w:rPr>
        <w:t xml:space="preserve">in a similar way to the current present entitlement model with an additional step to ascertain the classes of income and the proportionate entitlement in relation to these classes. This model </w:t>
      </w:r>
      <w:r w:rsidRPr="000B2930">
        <w:rPr>
          <w:rFonts w:ascii="Arial" w:hAnsi="Arial" w:cs="Arial"/>
          <w:lang w:val="en-AU" w:eastAsia="en-AU" w:bidi="ar-SA"/>
        </w:rPr>
        <w:t>would seek to codify the ATO’s administrative practice that was provided up until 30 June</w:t>
      </w:r>
      <w:r w:rsidR="00087135">
        <w:rPr>
          <w:rFonts w:ascii="Arial" w:hAnsi="Arial" w:cs="Arial"/>
          <w:lang w:val="en-AU" w:eastAsia="en-AU" w:bidi="ar-SA"/>
        </w:rPr>
        <w:t xml:space="preserve"> </w:t>
      </w:r>
      <w:r w:rsidRPr="000B2930">
        <w:rPr>
          <w:rFonts w:ascii="Arial" w:hAnsi="Arial" w:cs="Arial"/>
          <w:lang w:val="en-AU" w:eastAsia="en-AU" w:bidi="ar-SA"/>
        </w:rPr>
        <w:t>2010</w:t>
      </w:r>
      <w:r w:rsidR="00D30D80" w:rsidRPr="000B2930">
        <w:rPr>
          <w:rFonts w:ascii="Arial" w:hAnsi="Arial" w:cs="Arial"/>
          <w:lang w:val="en-AU" w:eastAsia="en-AU" w:bidi="ar-SA"/>
        </w:rPr>
        <w:t xml:space="preserve"> before it was withdrawn due to </w:t>
      </w:r>
      <w:proofErr w:type="spellStart"/>
      <w:r w:rsidR="00D30D80" w:rsidRPr="000B2930">
        <w:rPr>
          <w:rFonts w:ascii="Arial" w:hAnsi="Arial" w:cs="Arial"/>
          <w:lang w:val="en-AU" w:eastAsia="en-AU" w:bidi="ar-SA"/>
        </w:rPr>
        <w:t>Bamford</w:t>
      </w:r>
      <w:proofErr w:type="spellEnd"/>
      <w:r w:rsidR="00D30D80" w:rsidRPr="000B2930">
        <w:rPr>
          <w:rFonts w:ascii="Arial" w:hAnsi="Arial" w:cs="Arial"/>
          <w:lang w:val="en-AU" w:eastAsia="en-AU" w:bidi="ar-SA"/>
        </w:rPr>
        <w:t xml:space="preserve"> decision</w:t>
      </w:r>
      <w:r w:rsidRPr="000B2930">
        <w:rPr>
          <w:rFonts w:ascii="Arial" w:hAnsi="Arial" w:cs="Arial"/>
          <w:lang w:val="en-AU" w:eastAsia="en-AU" w:bidi="ar-SA"/>
        </w:rPr>
        <w:t>. Taxation Ruling TR 92/13</w:t>
      </w:r>
      <w:r w:rsidR="00D30D80" w:rsidRPr="000B2930">
        <w:rPr>
          <w:rFonts w:ascii="Arial" w:hAnsi="Arial" w:cs="Arial"/>
          <w:lang w:val="en-AU" w:eastAsia="en-AU" w:bidi="ar-SA"/>
        </w:rPr>
        <w:t xml:space="preserve"> issued by</w:t>
      </w:r>
      <w:r w:rsidRPr="000B2930">
        <w:rPr>
          <w:rFonts w:ascii="Arial" w:hAnsi="Arial" w:cs="Arial"/>
          <w:lang w:val="en-AU" w:eastAsia="en-AU" w:bidi="ar-SA"/>
        </w:rPr>
        <w:t xml:space="preserve"> the ATO allowed a proportionate approach to be applied within</w:t>
      </w:r>
      <w:r w:rsidR="00D30D80" w:rsidRPr="000B2930">
        <w:rPr>
          <w:rFonts w:ascii="Arial" w:hAnsi="Arial" w:cs="Arial"/>
          <w:lang w:val="en-AU" w:eastAsia="en-AU" w:bidi="ar-SA"/>
        </w:rPr>
        <w:t xml:space="preserve"> </w:t>
      </w:r>
      <w:r w:rsidRPr="000B2930">
        <w:rPr>
          <w:rFonts w:ascii="Arial" w:hAnsi="Arial" w:cs="Arial"/>
          <w:lang w:val="en-AU" w:eastAsia="en-AU" w:bidi="ar-SA"/>
        </w:rPr>
        <w:t>the various classes of income of a trust.</w:t>
      </w:r>
      <w:r w:rsidR="000B2930" w:rsidRPr="000B2930">
        <w:rPr>
          <w:rFonts w:ascii="Arial" w:hAnsi="Arial" w:cs="Arial"/>
          <w:lang w:val="en-AU" w:eastAsia="en-AU" w:bidi="ar-SA"/>
        </w:rPr>
        <w:t xml:space="preserve"> Given that this ruling had been in existence for over 18 years it had become accepted practice and was reasonably well understood.</w:t>
      </w:r>
    </w:p>
    <w:p w:rsidR="00087135" w:rsidRDefault="00087135" w:rsidP="00D8413C">
      <w:pPr>
        <w:suppressAutoHyphens w:val="0"/>
        <w:autoSpaceDE w:val="0"/>
        <w:autoSpaceDN w:val="0"/>
        <w:adjustRightInd w:val="0"/>
        <w:rPr>
          <w:rFonts w:ascii="Arial" w:hAnsi="Arial" w:cs="Arial"/>
          <w:lang w:val="en-AU" w:eastAsia="en-AU" w:bidi="ar-SA"/>
        </w:rPr>
      </w:pPr>
    </w:p>
    <w:p w:rsidR="00D8413C" w:rsidRPr="000B2930" w:rsidRDefault="000B2930" w:rsidP="00D8413C">
      <w:pPr>
        <w:suppressAutoHyphens w:val="0"/>
        <w:autoSpaceDE w:val="0"/>
        <w:autoSpaceDN w:val="0"/>
        <w:adjustRightInd w:val="0"/>
        <w:rPr>
          <w:rFonts w:ascii="Arial" w:hAnsi="Arial" w:cs="Arial"/>
          <w:lang w:val="en-AU" w:eastAsia="en-AU" w:bidi="ar-SA"/>
        </w:rPr>
      </w:pPr>
      <w:r w:rsidRPr="000B2930">
        <w:rPr>
          <w:rFonts w:ascii="Arial" w:hAnsi="Arial" w:cs="Arial"/>
          <w:lang w:val="en-AU" w:eastAsia="en-AU" w:bidi="ar-SA"/>
        </w:rPr>
        <w:t>The treatment of losses under this model would need further consideration</w:t>
      </w:r>
      <w:r w:rsidR="00F306B4">
        <w:rPr>
          <w:rFonts w:ascii="Arial" w:hAnsi="Arial" w:cs="Arial"/>
          <w:lang w:val="en-AU" w:eastAsia="en-AU" w:bidi="ar-SA"/>
        </w:rPr>
        <w:t>, in particular how to treat losses at a class level if a proportionate within class model was adopted.</w:t>
      </w:r>
    </w:p>
    <w:p w:rsidR="009843A1" w:rsidRDefault="009843A1" w:rsidP="00D8413C">
      <w:pPr>
        <w:rPr>
          <w:sz w:val="22"/>
          <w:szCs w:val="22"/>
          <w:lang w:val="en-AU" w:eastAsia="en-AU" w:bidi="ar-SA"/>
        </w:rPr>
      </w:pPr>
    </w:p>
    <w:p w:rsidR="000B2930" w:rsidRPr="00F137C3" w:rsidRDefault="000B2930" w:rsidP="000B2930">
      <w:pPr>
        <w:rPr>
          <w:rFonts w:ascii="Arial" w:hAnsi="Arial" w:cs="Arial"/>
          <w:b/>
        </w:rPr>
      </w:pPr>
      <w:r w:rsidRPr="00F137C3">
        <w:rPr>
          <w:rFonts w:ascii="Arial" w:hAnsi="Arial" w:cs="Arial"/>
          <w:b/>
        </w:rPr>
        <w:t>Trustee assessment and deduction model (TAD)</w:t>
      </w:r>
    </w:p>
    <w:p w:rsidR="009843A1" w:rsidRDefault="009843A1" w:rsidP="00D8413C">
      <w:pPr>
        <w:rPr>
          <w:sz w:val="22"/>
          <w:szCs w:val="22"/>
          <w:lang w:val="en-AU" w:eastAsia="en-AU" w:bidi="ar-SA"/>
        </w:rPr>
      </w:pPr>
    </w:p>
    <w:p w:rsidR="00E400CA" w:rsidRDefault="009843A1" w:rsidP="009843A1">
      <w:pPr>
        <w:suppressAutoHyphens w:val="0"/>
        <w:autoSpaceDE w:val="0"/>
        <w:autoSpaceDN w:val="0"/>
        <w:adjustRightInd w:val="0"/>
        <w:rPr>
          <w:rFonts w:ascii="Arial" w:hAnsi="Arial" w:cs="Arial"/>
          <w:lang w:val="en-AU" w:eastAsia="en-AU" w:bidi="ar-SA"/>
        </w:rPr>
      </w:pPr>
      <w:r w:rsidRPr="000B2930">
        <w:rPr>
          <w:rFonts w:ascii="Arial" w:hAnsi="Arial" w:cs="Arial"/>
          <w:lang w:val="en-AU" w:eastAsia="en-AU" w:bidi="ar-SA"/>
        </w:rPr>
        <w:t>A TAD model is one where the trustee of a trust is assessable on the income they derive but a deduction</w:t>
      </w:r>
      <w:r w:rsidR="001773B5">
        <w:rPr>
          <w:rFonts w:ascii="Arial" w:hAnsi="Arial" w:cs="Arial"/>
          <w:lang w:val="en-AU" w:eastAsia="en-AU" w:bidi="ar-SA"/>
        </w:rPr>
        <w:t xml:space="preserve"> </w:t>
      </w:r>
      <w:r w:rsidRPr="000B2930">
        <w:rPr>
          <w:rFonts w:ascii="Arial" w:hAnsi="Arial" w:cs="Arial"/>
          <w:lang w:val="en-AU" w:eastAsia="en-AU" w:bidi="ar-SA"/>
        </w:rPr>
        <w:t>is provided to the trustee for distributions it makes to the beneficiaries of the trust</w:t>
      </w:r>
      <w:r w:rsidR="00E400CA">
        <w:rPr>
          <w:rFonts w:ascii="Arial" w:hAnsi="Arial" w:cs="Arial"/>
          <w:lang w:val="en-AU" w:eastAsia="en-AU" w:bidi="ar-SA"/>
        </w:rPr>
        <w:t>. It effectively taxes the taxable income of a trust in the hands of those beneficiaries that receive the economic benefits related to that taxable income. Assessable amounts not distributed are taxed in the hands of the trustee</w:t>
      </w:r>
      <w:r w:rsidR="0073237C">
        <w:rPr>
          <w:rFonts w:ascii="Arial" w:hAnsi="Arial" w:cs="Arial"/>
          <w:lang w:val="en-AU" w:eastAsia="en-AU" w:bidi="ar-SA"/>
        </w:rPr>
        <w:t>. If the trustee distributes all of the taxable income no tax is payable by the trustee.</w:t>
      </w:r>
      <w:r w:rsidRPr="000B2930">
        <w:rPr>
          <w:rFonts w:ascii="Arial" w:hAnsi="Arial" w:cs="Arial"/>
          <w:lang w:val="en-AU" w:eastAsia="en-AU" w:bidi="ar-SA"/>
        </w:rPr>
        <w:t xml:space="preserve">  </w:t>
      </w:r>
    </w:p>
    <w:p w:rsidR="00E400CA" w:rsidRDefault="00E400CA" w:rsidP="009843A1">
      <w:pPr>
        <w:suppressAutoHyphens w:val="0"/>
        <w:autoSpaceDE w:val="0"/>
        <w:autoSpaceDN w:val="0"/>
        <w:adjustRightInd w:val="0"/>
        <w:rPr>
          <w:rFonts w:ascii="Arial" w:hAnsi="Arial" w:cs="Arial"/>
          <w:lang w:val="en-AU" w:eastAsia="en-AU" w:bidi="ar-SA"/>
        </w:rPr>
      </w:pPr>
    </w:p>
    <w:p w:rsidR="009843A1" w:rsidRPr="000B2930" w:rsidRDefault="009843A1" w:rsidP="009843A1">
      <w:pPr>
        <w:suppressAutoHyphens w:val="0"/>
        <w:autoSpaceDE w:val="0"/>
        <w:autoSpaceDN w:val="0"/>
        <w:adjustRightInd w:val="0"/>
        <w:rPr>
          <w:rFonts w:ascii="Arial" w:hAnsi="Arial" w:cs="Arial"/>
          <w:lang w:val="en-AU" w:eastAsia="en-AU" w:bidi="ar-SA"/>
        </w:rPr>
      </w:pPr>
      <w:r w:rsidRPr="000B2930">
        <w:rPr>
          <w:rFonts w:ascii="Arial" w:hAnsi="Arial" w:cs="Arial"/>
          <w:lang w:val="en-AU" w:eastAsia="en-AU" w:bidi="ar-SA"/>
        </w:rPr>
        <w:t>The distributions made by the trustee are then taxable in the hands</w:t>
      </w:r>
      <w:r w:rsidR="00E400CA">
        <w:rPr>
          <w:rFonts w:ascii="Arial" w:hAnsi="Arial" w:cs="Arial"/>
          <w:lang w:val="en-AU" w:eastAsia="en-AU" w:bidi="ar-SA"/>
        </w:rPr>
        <w:t xml:space="preserve"> </w:t>
      </w:r>
      <w:r w:rsidRPr="000B2930">
        <w:rPr>
          <w:rFonts w:ascii="Arial" w:hAnsi="Arial" w:cs="Arial"/>
          <w:lang w:val="en-AU" w:eastAsia="en-AU" w:bidi="ar-SA"/>
        </w:rPr>
        <w:t>of the beneficiaries who receive the distributions. The model is effectively a ‘quantum approach’ based on distributions of taxable income rather than a</w:t>
      </w:r>
      <w:r w:rsidR="001773B5">
        <w:rPr>
          <w:rFonts w:ascii="Arial" w:hAnsi="Arial" w:cs="Arial"/>
          <w:lang w:val="en-AU" w:eastAsia="en-AU" w:bidi="ar-SA"/>
        </w:rPr>
        <w:t xml:space="preserve"> </w:t>
      </w:r>
      <w:r w:rsidRPr="000B2930">
        <w:rPr>
          <w:rFonts w:ascii="Arial" w:hAnsi="Arial" w:cs="Arial"/>
          <w:lang w:val="en-AU" w:eastAsia="en-AU" w:bidi="ar-SA"/>
        </w:rPr>
        <w:t>concept of ‘entitlement’ to income. As the distribution would be linked to the assessable income of the</w:t>
      </w:r>
      <w:r w:rsidR="001773B5">
        <w:rPr>
          <w:rFonts w:ascii="Arial" w:hAnsi="Arial" w:cs="Arial"/>
          <w:lang w:val="en-AU" w:eastAsia="en-AU" w:bidi="ar-SA"/>
        </w:rPr>
        <w:t xml:space="preserve"> </w:t>
      </w:r>
      <w:r w:rsidRPr="000B2930">
        <w:rPr>
          <w:rFonts w:ascii="Arial" w:hAnsi="Arial" w:cs="Arial"/>
          <w:lang w:val="en-AU" w:eastAsia="en-AU" w:bidi="ar-SA"/>
        </w:rPr>
        <w:t xml:space="preserve">trust, the distribution would also be tagged with a tax character </w:t>
      </w:r>
      <w:r w:rsidR="0073237C">
        <w:rPr>
          <w:rFonts w:ascii="Arial" w:hAnsi="Arial" w:cs="Arial"/>
          <w:lang w:val="en-AU" w:eastAsia="en-AU" w:bidi="ar-SA"/>
        </w:rPr>
        <w:t>allowing full</w:t>
      </w:r>
      <w:r w:rsidRPr="000B2930">
        <w:rPr>
          <w:rFonts w:ascii="Arial" w:hAnsi="Arial" w:cs="Arial"/>
          <w:lang w:val="en-AU" w:eastAsia="en-AU" w:bidi="ar-SA"/>
        </w:rPr>
        <w:t xml:space="preserve"> character flowthrough.</w:t>
      </w:r>
    </w:p>
    <w:p w:rsidR="00D30D80" w:rsidRDefault="0073237C" w:rsidP="001773B5">
      <w:pPr>
        <w:suppressAutoHyphens w:val="0"/>
        <w:autoSpaceDE w:val="0"/>
        <w:autoSpaceDN w:val="0"/>
        <w:adjustRightInd w:val="0"/>
        <w:rPr>
          <w:rFonts w:ascii="Arial" w:hAnsi="Arial" w:cs="Arial"/>
          <w:lang w:val="en-AU" w:eastAsia="en-AU" w:bidi="ar-SA"/>
        </w:rPr>
      </w:pPr>
      <w:r>
        <w:rPr>
          <w:rFonts w:ascii="Arial" w:hAnsi="Arial" w:cs="Arial"/>
          <w:lang w:val="en-AU" w:eastAsia="en-AU" w:bidi="ar-SA"/>
        </w:rPr>
        <w:t>Under this model</w:t>
      </w:r>
      <w:r w:rsidR="009843A1" w:rsidRPr="000B2930">
        <w:rPr>
          <w:rFonts w:ascii="Arial" w:hAnsi="Arial" w:cs="Arial"/>
          <w:lang w:val="en-AU" w:eastAsia="en-AU" w:bidi="ar-SA"/>
        </w:rPr>
        <w:t xml:space="preserve"> trustees </w:t>
      </w:r>
      <w:r>
        <w:rPr>
          <w:rFonts w:ascii="Arial" w:hAnsi="Arial" w:cs="Arial"/>
          <w:lang w:val="en-AU" w:eastAsia="en-AU" w:bidi="ar-SA"/>
        </w:rPr>
        <w:t>will</w:t>
      </w:r>
      <w:r w:rsidR="009843A1" w:rsidRPr="000B2930">
        <w:rPr>
          <w:rFonts w:ascii="Arial" w:hAnsi="Arial" w:cs="Arial"/>
          <w:lang w:val="en-AU" w:eastAsia="en-AU" w:bidi="ar-SA"/>
        </w:rPr>
        <w:t xml:space="preserve"> only </w:t>
      </w:r>
      <w:r>
        <w:rPr>
          <w:rFonts w:ascii="Arial" w:hAnsi="Arial" w:cs="Arial"/>
          <w:lang w:val="en-AU" w:eastAsia="en-AU" w:bidi="ar-SA"/>
        </w:rPr>
        <w:t xml:space="preserve">be </w:t>
      </w:r>
      <w:r w:rsidR="009843A1" w:rsidRPr="000B2930">
        <w:rPr>
          <w:rFonts w:ascii="Arial" w:hAnsi="Arial" w:cs="Arial"/>
          <w:lang w:val="en-AU" w:eastAsia="en-AU" w:bidi="ar-SA"/>
        </w:rPr>
        <w:t>assessed on taxable amounts that are</w:t>
      </w:r>
      <w:r w:rsidR="001773B5">
        <w:rPr>
          <w:rFonts w:ascii="Arial" w:hAnsi="Arial" w:cs="Arial"/>
          <w:lang w:val="en-AU" w:eastAsia="en-AU" w:bidi="ar-SA"/>
        </w:rPr>
        <w:t xml:space="preserve"> </w:t>
      </w:r>
      <w:r w:rsidR="009843A1" w:rsidRPr="000B2930">
        <w:rPr>
          <w:rFonts w:ascii="Arial" w:hAnsi="Arial" w:cs="Arial"/>
          <w:lang w:val="en-AU" w:eastAsia="en-AU" w:bidi="ar-SA"/>
        </w:rPr>
        <w:t xml:space="preserve">retained in the trust. The definition of a distribution </w:t>
      </w:r>
      <w:r>
        <w:rPr>
          <w:rFonts w:ascii="Arial" w:hAnsi="Arial" w:cs="Arial"/>
          <w:lang w:val="en-AU" w:eastAsia="en-AU" w:bidi="ar-SA"/>
        </w:rPr>
        <w:t xml:space="preserve">under this model </w:t>
      </w:r>
      <w:r w:rsidR="009843A1" w:rsidRPr="000B2930">
        <w:rPr>
          <w:rFonts w:ascii="Arial" w:hAnsi="Arial" w:cs="Arial"/>
          <w:lang w:val="en-AU" w:eastAsia="en-AU" w:bidi="ar-SA"/>
        </w:rPr>
        <w:t xml:space="preserve">will therefore, be critical. </w:t>
      </w:r>
      <w:r w:rsidR="00225AB8">
        <w:rPr>
          <w:rFonts w:ascii="Arial" w:hAnsi="Arial" w:cs="Arial"/>
          <w:lang w:val="en-AU" w:eastAsia="en-AU" w:bidi="ar-SA"/>
        </w:rPr>
        <w:t xml:space="preserve">If actual </w:t>
      </w:r>
      <w:r w:rsidR="009843A1" w:rsidRPr="000B2930">
        <w:rPr>
          <w:rFonts w:ascii="Arial" w:hAnsi="Arial" w:cs="Arial"/>
          <w:lang w:val="en-AU" w:eastAsia="en-AU" w:bidi="ar-SA"/>
        </w:rPr>
        <w:t>‘cash’ distributions are likely to be required</w:t>
      </w:r>
      <w:r w:rsidR="00225AB8">
        <w:rPr>
          <w:rFonts w:ascii="Arial" w:hAnsi="Arial" w:cs="Arial"/>
          <w:lang w:val="en-AU" w:eastAsia="en-AU" w:bidi="ar-SA"/>
        </w:rPr>
        <w:t xml:space="preserve"> for the trustee to obtain a deduction</w:t>
      </w:r>
      <w:r w:rsidR="009843A1" w:rsidRPr="000B2930">
        <w:rPr>
          <w:rFonts w:ascii="Arial" w:hAnsi="Arial" w:cs="Arial"/>
          <w:lang w:val="en-AU" w:eastAsia="en-AU" w:bidi="ar-SA"/>
        </w:rPr>
        <w:t xml:space="preserve">, this </w:t>
      </w:r>
      <w:r w:rsidR="00225AB8">
        <w:rPr>
          <w:rFonts w:ascii="Arial" w:hAnsi="Arial" w:cs="Arial"/>
          <w:lang w:val="en-AU" w:eastAsia="en-AU" w:bidi="ar-SA"/>
        </w:rPr>
        <w:t>could</w:t>
      </w:r>
      <w:r w:rsidR="009843A1" w:rsidRPr="000B2930">
        <w:rPr>
          <w:rFonts w:ascii="Arial" w:hAnsi="Arial" w:cs="Arial"/>
          <w:lang w:val="en-AU" w:eastAsia="en-AU" w:bidi="ar-SA"/>
        </w:rPr>
        <w:t xml:space="preserve"> impose</w:t>
      </w:r>
      <w:r w:rsidR="001773B5">
        <w:rPr>
          <w:rFonts w:ascii="Arial" w:hAnsi="Arial" w:cs="Arial"/>
          <w:lang w:val="en-AU" w:eastAsia="en-AU" w:bidi="ar-SA"/>
        </w:rPr>
        <w:t xml:space="preserve"> </w:t>
      </w:r>
      <w:r w:rsidR="009843A1" w:rsidRPr="000B2930">
        <w:rPr>
          <w:rFonts w:ascii="Arial" w:hAnsi="Arial" w:cs="Arial"/>
          <w:lang w:val="en-AU" w:eastAsia="en-AU" w:bidi="ar-SA"/>
        </w:rPr>
        <w:t xml:space="preserve">financing difficulties for SME businesses unless unpaid distributions are also allowed (i.e. as </w:t>
      </w:r>
      <w:r w:rsidR="00211CA9">
        <w:rPr>
          <w:rFonts w:ascii="Arial" w:hAnsi="Arial" w:cs="Arial"/>
          <w:lang w:val="en-AU" w:eastAsia="en-AU" w:bidi="ar-SA"/>
        </w:rPr>
        <w:t xml:space="preserve">is the case </w:t>
      </w:r>
      <w:r w:rsidR="009843A1" w:rsidRPr="000B2930">
        <w:rPr>
          <w:rFonts w:ascii="Arial" w:hAnsi="Arial" w:cs="Arial"/>
          <w:lang w:val="en-AU" w:eastAsia="en-AU" w:bidi="ar-SA"/>
        </w:rPr>
        <w:t>with</w:t>
      </w:r>
      <w:r w:rsidR="001773B5">
        <w:rPr>
          <w:rFonts w:ascii="Arial" w:hAnsi="Arial" w:cs="Arial"/>
          <w:lang w:val="en-AU" w:eastAsia="en-AU" w:bidi="ar-SA"/>
        </w:rPr>
        <w:t xml:space="preserve"> </w:t>
      </w:r>
      <w:r w:rsidR="009843A1" w:rsidRPr="000B2930">
        <w:rPr>
          <w:rFonts w:ascii="Arial" w:hAnsi="Arial" w:cs="Arial"/>
          <w:lang w:val="en-AU" w:eastAsia="en-AU" w:bidi="ar-SA"/>
        </w:rPr>
        <w:t>companies and dividends).</w:t>
      </w:r>
    </w:p>
    <w:p w:rsidR="00087135" w:rsidRPr="000B2930" w:rsidRDefault="00087135" w:rsidP="001773B5">
      <w:pPr>
        <w:suppressAutoHyphens w:val="0"/>
        <w:autoSpaceDE w:val="0"/>
        <w:autoSpaceDN w:val="0"/>
        <w:adjustRightInd w:val="0"/>
        <w:rPr>
          <w:rFonts w:ascii="Arial" w:hAnsi="Arial" w:cs="Arial"/>
        </w:rPr>
      </w:pPr>
    </w:p>
    <w:p w:rsidR="007E632B" w:rsidRDefault="00225AB8" w:rsidP="001504E4">
      <w:pPr>
        <w:rPr>
          <w:rFonts w:ascii="Arial" w:hAnsi="Arial" w:cs="Arial"/>
        </w:rPr>
      </w:pPr>
      <w:r>
        <w:rPr>
          <w:rFonts w:ascii="Arial" w:hAnsi="Arial" w:cs="Arial"/>
        </w:rPr>
        <w:t>The consultation paper does not address the issue of subsequent distributions by trustees of unallocated amounts which have already borne a level of trustee tax.</w:t>
      </w:r>
    </w:p>
    <w:p w:rsidR="007E632B" w:rsidRDefault="007E632B" w:rsidP="001504E4">
      <w:pPr>
        <w:rPr>
          <w:rFonts w:ascii="Arial" w:hAnsi="Arial" w:cs="Arial"/>
        </w:rPr>
      </w:pPr>
    </w:p>
    <w:p w:rsidR="007E0666" w:rsidRDefault="007E632B" w:rsidP="001504E4">
      <w:pPr>
        <w:rPr>
          <w:rFonts w:ascii="Arial" w:hAnsi="Arial" w:cs="Arial"/>
        </w:rPr>
      </w:pPr>
      <w:r>
        <w:rPr>
          <w:rFonts w:ascii="Arial" w:hAnsi="Arial" w:cs="Arial"/>
        </w:rPr>
        <w:t>The TAD model has the potential to reduce complexity and compliance costs to determine the tax liabilities of the beneficiaries and trustees of the trust and warrants further investigat</w:t>
      </w:r>
      <w:r w:rsidR="00B975F2">
        <w:rPr>
          <w:rFonts w:ascii="Arial" w:hAnsi="Arial" w:cs="Arial"/>
        </w:rPr>
        <w:t xml:space="preserve">ion. The attraction of the TAD model would be further enhanced </w:t>
      </w:r>
      <w:r w:rsidR="00547331">
        <w:rPr>
          <w:rFonts w:ascii="Arial" w:hAnsi="Arial" w:cs="Arial"/>
        </w:rPr>
        <w:t>if</w:t>
      </w:r>
      <w:r w:rsidR="00B975F2">
        <w:rPr>
          <w:rFonts w:ascii="Arial" w:hAnsi="Arial" w:cs="Arial"/>
        </w:rPr>
        <w:t xml:space="preserve"> the rate of tax paid by the trustee on unallocated amounts was struck at a rate lower than the present highest marginal tax rate. </w:t>
      </w:r>
      <w:r w:rsidR="00547331">
        <w:rPr>
          <w:rFonts w:ascii="Arial" w:hAnsi="Arial" w:cs="Arial"/>
        </w:rPr>
        <w:t>Similarly</w:t>
      </w:r>
      <w:r w:rsidR="00851DF6">
        <w:rPr>
          <w:rFonts w:ascii="Arial" w:hAnsi="Arial" w:cs="Arial"/>
        </w:rPr>
        <w:t xml:space="preserve"> if beneficiaries received </w:t>
      </w:r>
      <w:proofErr w:type="spellStart"/>
      <w:r w:rsidR="00851DF6">
        <w:rPr>
          <w:rFonts w:ascii="Arial" w:hAnsi="Arial" w:cs="Arial"/>
        </w:rPr>
        <w:t>favourable</w:t>
      </w:r>
      <w:proofErr w:type="spellEnd"/>
      <w:r w:rsidR="00851DF6">
        <w:rPr>
          <w:rFonts w:ascii="Arial" w:hAnsi="Arial" w:cs="Arial"/>
        </w:rPr>
        <w:t xml:space="preserve"> tax treatment for subsequent distributions by trustees of unallocated income in which tax has already been borne at trustee level. </w:t>
      </w:r>
      <w:proofErr w:type="spellStart"/>
      <w:r w:rsidR="00851DF6">
        <w:rPr>
          <w:rFonts w:ascii="Arial" w:hAnsi="Arial" w:cs="Arial"/>
        </w:rPr>
        <w:t>Favourable</w:t>
      </w:r>
      <w:proofErr w:type="spellEnd"/>
      <w:r w:rsidR="00851DF6">
        <w:rPr>
          <w:rFonts w:ascii="Arial" w:hAnsi="Arial" w:cs="Arial"/>
        </w:rPr>
        <w:t xml:space="preserve"> tax treatment </w:t>
      </w:r>
      <w:r w:rsidR="004372C5">
        <w:rPr>
          <w:rFonts w:ascii="Arial" w:hAnsi="Arial" w:cs="Arial"/>
        </w:rPr>
        <w:t>in the form of</w:t>
      </w:r>
      <w:r w:rsidR="00851DF6">
        <w:rPr>
          <w:rFonts w:ascii="Arial" w:hAnsi="Arial" w:cs="Arial"/>
        </w:rPr>
        <w:t xml:space="preserve"> a </w:t>
      </w:r>
      <w:r w:rsidR="00B71127">
        <w:rPr>
          <w:rFonts w:ascii="Arial" w:hAnsi="Arial" w:cs="Arial"/>
        </w:rPr>
        <w:t xml:space="preserve">tax </w:t>
      </w:r>
      <w:r w:rsidR="00851DF6">
        <w:rPr>
          <w:rFonts w:ascii="Arial" w:hAnsi="Arial" w:cs="Arial"/>
        </w:rPr>
        <w:t xml:space="preserve">offset </w:t>
      </w:r>
      <w:r w:rsidR="00B71127">
        <w:rPr>
          <w:rFonts w:ascii="Arial" w:hAnsi="Arial" w:cs="Arial"/>
        </w:rPr>
        <w:t xml:space="preserve">without having to resort to </w:t>
      </w:r>
      <w:r w:rsidR="00547331">
        <w:rPr>
          <w:rFonts w:ascii="Arial" w:hAnsi="Arial" w:cs="Arial"/>
        </w:rPr>
        <w:t>an</w:t>
      </w:r>
      <w:r w:rsidR="00B71127">
        <w:rPr>
          <w:rFonts w:ascii="Arial" w:hAnsi="Arial" w:cs="Arial"/>
        </w:rPr>
        <w:t xml:space="preserve"> imputation system as applies to dividends</w:t>
      </w:r>
      <w:r w:rsidR="001F5A68">
        <w:rPr>
          <w:rFonts w:ascii="Arial" w:hAnsi="Arial" w:cs="Arial"/>
        </w:rPr>
        <w:t xml:space="preserve"> would enhance the appeal of the TAD model</w:t>
      </w:r>
      <w:r w:rsidR="00B71127">
        <w:rPr>
          <w:rFonts w:ascii="Arial" w:hAnsi="Arial" w:cs="Arial"/>
        </w:rPr>
        <w:t>.</w:t>
      </w:r>
      <w:r w:rsidR="00851DF6">
        <w:rPr>
          <w:rFonts w:ascii="Arial" w:hAnsi="Arial" w:cs="Arial"/>
        </w:rPr>
        <w:t xml:space="preserve"> </w:t>
      </w:r>
      <w:r w:rsidR="004C472D">
        <w:rPr>
          <w:rFonts w:ascii="Arial" w:hAnsi="Arial" w:cs="Arial"/>
        </w:rPr>
        <w:t>If more</w:t>
      </w:r>
      <w:r w:rsidR="004372C5">
        <w:rPr>
          <w:rFonts w:ascii="Arial" w:hAnsi="Arial" w:cs="Arial"/>
        </w:rPr>
        <w:t xml:space="preserve"> </w:t>
      </w:r>
      <w:proofErr w:type="spellStart"/>
      <w:r w:rsidR="004372C5">
        <w:rPr>
          <w:rFonts w:ascii="Arial" w:hAnsi="Arial" w:cs="Arial"/>
        </w:rPr>
        <w:t>favourable</w:t>
      </w:r>
      <w:proofErr w:type="spellEnd"/>
      <w:r w:rsidR="004372C5">
        <w:rPr>
          <w:rFonts w:ascii="Arial" w:hAnsi="Arial" w:cs="Arial"/>
        </w:rPr>
        <w:t xml:space="preserve"> tax treatment was limited to only differences between trust distributable income and taxable income, then this would limit the cost of such a proposal and discourage trust being used as accumulation vehicles. </w:t>
      </w:r>
    </w:p>
    <w:p w:rsidR="00F137C3" w:rsidRDefault="00F137C3" w:rsidP="00F42029">
      <w:pPr>
        <w:pStyle w:val="header14ptorangebold"/>
        <w:rPr>
          <w:rFonts w:ascii="Arial Narrow" w:hAnsi="Arial Narrow"/>
          <w:lang w:val="en-AU"/>
        </w:rPr>
      </w:pPr>
    </w:p>
    <w:p w:rsidR="00F42029" w:rsidRDefault="00F42029" w:rsidP="00F42029">
      <w:pPr>
        <w:pStyle w:val="header14ptorangebold"/>
        <w:rPr>
          <w:rFonts w:ascii="Arial Narrow" w:hAnsi="Arial Narrow"/>
          <w:lang w:val="en-AU"/>
        </w:rPr>
      </w:pPr>
      <w:r>
        <w:rPr>
          <w:rFonts w:ascii="Arial Narrow" w:hAnsi="Arial Narrow"/>
          <w:lang w:val="en-AU"/>
        </w:rPr>
        <w:t>Transitional Relief</w:t>
      </w:r>
    </w:p>
    <w:p w:rsidR="00F42029" w:rsidRPr="00B62599" w:rsidRDefault="00F42029" w:rsidP="00F42029">
      <w:pPr>
        <w:suppressAutoHyphens w:val="0"/>
        <w:autoSpaceDE w:val="0"/>
        <w:autoSpaceDN w:val="0"/>
        <w:adjustRightInd w:val="0"/>
        <w:rPr>
          <w:rFonts w:ascii="Arial" w:hAnsi="Arial" w:cs="Arial"/>
        </w:rPr>
      </w:pPr>
    </w:p>
    <w:p w:rsidR="00F42029" w:rsidRDefault="00F42029" w:rsidP="00F42029">
      <w:pPr>
        <w:suppressAutoHyphens w:val="0"/>
        <w:autoSpaceDE w:val="0"/>
        <w:autoSpaceDN w:val="0"/>
        <w:adjustRightInd w:val="0"/>
        <w:rPr>
          <w:rFonts w:ascii="Arial" w:hAnsi="Arial" w:cs="Arial"/>
          <w:color w:val="000000"/>
          <w:lang w:val="en"/>
        </w:rPr>
      </w:pPr>
      <w:r w:rsidRPr="00B62599">
        <w:rPr>
          <w:rFonts w:ascii="Arial" w:hAnsi="Arial" w:cs="Arial"/>
          <w:color w:val="000000"/>
          <w:lang w:val="en"/>
        </w:rPr>
        <w:t xml:space="preserve">In the advent that taxpayers are </w:t>
      </w:r>
      <w:r w:rsidR="00232E1B">
        <w:rPr>
          <w:rFonts w:ascii="Arial" w:hAnsi="Arial" w:cs="Arial"/>
          <w:color w:val="000000"/>
          <w:lang w:val="en"/>
        </w:rPr>
        <w:t>disadvantaged</w:t>
      </w:r>
      <w:r w:rsidRPr="00B62599">
        <w:rPr>
          <w:rFonts w:ascii="Arial" w:hAnsi="Arial" w:cs="Arial"/>
          <w:color w:val="000000"/>
          <w:lang w:val="en"/>
        </w:rPr>
        <w:t xml:space="preserve"> with the way trust will be treated going forward, there should be some consideration for transitional relief allowing taxpayers to move to another structure without tax implications.</w:t>
      </w:r>
      <w:r>
        <w:rPr>
          <w:rFonts w:ascii="Arial" w:hAnsi="Arial" w:cs="Arial"/>
          <w:color w:val="000000"/>
          <w:lang w:val="en"/>
        </w:rPr>
        <w:t xml:space="preserve"> </w:t>
      </w:r>
      <w:r w:rsidR="00B71127">
        <w:rPr>
          <w:rFonts w:ascii="Arial" w:hAnsi="Arial" w:cs="Arial"/>
          <w:color w:val="000000"/>
          <w:lang w:val="en"/>
        </w:rPr>
        <w:t xml:space="preserve">Taxpayers who have already established trust structures in good faith may want the opportunity to move to a different structure if the changes </w:t>
      </w:r>
      <w:r w:rsidR="00C50AF4">
        <w:rPr>
          <w:rFonts w:ascii="Arial" w:hAnsi="Arial" w:cs="Arial"/>
          <w:color w:val="000000"/>
          <w:lang w:val="en"/>
        </w:rPr>
        <w:t xml:space="preserve">result in </w:t>
      </w:r>
      <w:r w:rsidR="00B71127">
        <w:rPr>
          <w:rFonts w:ascii="Arial" w:hAnsi="Arial" w:cs="Arial"/>
          <w:color w:val="000000"/>
          <w:lang w:val="en"/>
        </w:rPr>
        <w:t xml:space="preserve">adverse </w:t>
      </w:r>
      <w:r w:rsidR="00C50AF4">
        <w:rPr>
          <w:rFonts w:ascii="Arial" w:hAnsi="Arial" w:cs="Arial"/>
          <w:color w:val="000000"/>
          <w:lang w:val="en"/>
        </w:rPr>
        <w:t>outcomes.</w:t>
      </w:r>
      <w:r w:rsidR="00B71127">
        <w:rPr>
          <w:rFonts w:ascii="Arial" w:hAnsi="Arial" w:cs="Arial"/>
          <w:color w:val="000000"/>
          <w:lang w:val="en"/>
        </w:rPr>
        <w:t xml:space="preserve">  </w:t>
      </w:r>
    </w:p>
    <w:p w:rsidR="00E25CAC" w:rsidRPr="00E30EFE" w:rsidRDefault="00E25CAC" w:rsidP="00AC4E5E">
      <w:pPr>
        <w:suppressAutoHyphens w:val="0"/>
        <w:autoSpaceDE w:val="0"/>
        <w:autoSpaceDN w:val="0"/>
        <w:adjustRightInd w:val="0"/>
        <w:rPr>
          <w:rFonts w:ascii="Arial Narrow" w:hAnsi="Arial Narrow"/>
          <w:lang w:val="en-AU"/>
        </w:rPr>
      </w:pPr>
      <w:r>
        <w:rPr>
          <w:rFonts w:ascii="Arial" w:hAnsi="Arial" w:cs="Arial"/>
          <w:sz w:val="20"/>
          <w:szCs w:val="22"/>
        </w:rPr>
        <w:br w:type="page"/>
      </w:r>
      <w:r>
        <w:t>Contact</w:t>
      </w:r>
    </w:p>
    <w:p w:rsidR="00E25CAC" w:rsidRDefault="00E25CAC" w:rsidP="00E25CAC">
      <w:pPr>
        <w:rPr>
          <w:rFonts w:ascii="Arial Bold" w:hAnsi="Arial Bold"/>
          <w:color w:val="272727"/>
        </w:rPr>
      </w:pPr>
    </w:p>
    <w:p w:rsidR="00E25CAC" w:rsidRPr="00AB416E" w:rsidRDefault="00E25CAC" w:rsidP="00E25CAC">
      <w:pPr>
        <w:pStyle w:val="Subhead-Arial12ptbold"/>
      </w:pPr>
      <w:r>
        <w:t>IPA</w:t>
      </w:r>
      <w:r w:rsidRPr="00AB416E">
        <w:t xml:space="preserve"> Head Office</w:t>
      </w:r>
    </w:p>
    <w:p w:rsidR="00E25CAC" w:rsidRPr="00AB416E" w:rsidRDefault="00E25CAC" w:rsidP="00E25CAC">
      <w:pPr>
        <w:pStyle w:val="BodytextArial10pt"/>
      </w:pPr>
      <w:r w:rsidRPr="00AB416E">
        <w:t>Level 6, 555 Lonsdale Street</w:t>
      </w:r>
      <w:r>
        <w:br/>
      </w:r>
      <w:r w:rsidRPr="00AB416E">
        <w:t>Melbourne Victoria 3000</w:t>
      </w:r>
      <w:r>
        <w:br/>
      </w:r>
      <w:r w:rsidRPr="00AB416E">
        <w:t>Australia</w:t>
      </w:r>
    </w:p>
    <w:p w:rsidR="00E25CAC" w:rsidRPr="00AB416E" w:rsidRDefault="00E25CAC" w:rsidP="00E25CAC">
      <w:pPr>
        <w:pStyle w:val="BodytextArial10pt"/>
      </w:pPr>
      <w:r w:rsidRPr="00AB416E">
        <w:t>Tel : 61 3 8665 3100</w:t>
      </w:r>
      <w:r>
        <w:br/>
      </w:r>
      <w:r w:rsidRPr="00AB416E">
        <w:t>Fax: 61 3 8665 3130</w:t>
      </w:r>
      <w:r>
        <w:br/>
      </w:r>
      <w:r w:rsidRPr="00AB416E">
        <w:t xml:space="preserve">Email : </w:t>
      </w:r>
      <w:hyperlink r:id="rId12" w:history="1">
        <w:r>
          <w:rPr>
            <w:rStyle w:val="Hyperlink"/>
          </w:rPr>
          <w:t>natoffice@publicaccountants.org.au</w:t>
        </w:r>
      </w:hyperlink>
      <w:r>
        <w:br/>
      </w:r>
      <w:r w:rsidRPr="00AB416E">
        <w:t xml:space="preserve">Website: </w:t>
      </w:r>
      <w:r w:rsidRPr="0000224A">
        <w:t>www.publicaccountants.org.au/</w:t>
      </w:r>
    </w:p>
    <w:p w:rsidR="00E25CAC" w:rsidRPr="00AB416E" w:rsidRDefault="00E25CAC" w:rsidP="00E25CAC">
      <w:pPr>
        <w:pStyle w:val="BodytextArial10pt"/>
      </w:pPr>
    </w:p>
    <w:p w:rsidR="00E25CAC" w:rsidRPr="00AB416E" w:rsidRDefault="00E25CAC" w:rsidP="00E25CAC">
      <w:pPr>
        <w:pStyle w:val="BodytextArial10pt"/>
      </w:pPr>
      <w:r>
        <w:t>IPA</w:t>
      </w:r>
      <w:r w:rsidRPr="00AB416E">
        <w:t xml:space="preserve"> Divisional Offices are located in the following cities:</w:t>
      </w:r>
    </w:p>
    <w:p w:rsidR="00E25CAC" w:rsidRPr="00AB416E" w:rsidRDefault="00E25CAC" w:rsidP="00E25CAC">
      <w:pPr>
        <w:pStyle w:val="BodytextArial10pt"/>
      </w:pPr>
      <w:r w:rsidRPr="00AB416E">
        <w:t>Melbourne</w:t>
      </w:r>
      <w:r>
        <w:br/>
      </w:r>
      <w:r w:rsidRPr="00AB416E">
        <w:t>Sydney</w:t>
      </w:r>
      <w:r>
        <w:br/>
      </w:r>
      <w:r w:rsidRPr="00AB416E">
        <w:t>Brisbane</w:t>
      </w:r>
      <w:r>
        <w:br/>
      </w:r>
      <w:r w:rsidRPr="00AB416E">
        <w:t>Adelaide</w:t>
      </w:r>
      <w:r>
        <w:br/>
      </w:r>
      <w:r w:rsidRPr="00AB416E">
        <w:t>Hobart</w:t>
      </w:r>
      <w:r>
        <w:br/>
      </w:r>
      <w:r w:rsidRPr="00AB416E">
        <w:t>Perth</w:t>
      </w:r>
      <w:r>
        <w:br/>
      </w:r>
      <w:r w:rsidRPr="00AB416E">
        <w:t>Canberra</w:t>
      </w:r>
    </w:p>
    <w:p w:rsidR="00E25CAC" w:rsidRPr="00AB416E" w:rsidRDefault="00E25CAC" w:rsidP="00E25CAC">
      <w:pPr>
        <w:pStyle w:val="BodytextArial10pt"/>
      </w:pPr>
      <w:r w:rsidRPr="00AB416E">
        <w:t xml:space="preserve">The </w:t>
      </w:r>
      <w:r>
        <w:t>IPA</w:t>
      </w:r>
      <w:r w:rsidRPr="00AB416E">
        <w:t xml:space="preserve"> has secretariats in:</w:t>
      </w:r>
    </w:p>
    <w:p w:rsidR="00E25CAC" w:rsidRPr="00AB416E" w:rsidRDefault="00E25CAC" w:rsidP="00E25CAC">
      <w:pPr>
        <w:pStyle w:val="BodytextArial10pt"/>
      </w:pPr>
      <w:r w:rsidRPr="00AB416E">
        <w:t>Kuala Lumpur</w:t>
      </w:r>
      <w:r>
        <w:br/>
      </w:r>
      <w:r w:rsidRPr="00AB416E">
        <w:t>Beijing</w:t>
      </w:r>
    </w:p>
    <w:p w:rsidR="00E25CAC" w:rsidRPr="00AB416E" w:rsidRDefault="00E25CAC" w:rsidP="00E25CAC">
      <w:pPr>
        <w:pStyle w:val="BodytextArial10pt"/>
      </w:pPr>
      <w:r w:rsidRPr="00AB416E">
        <w:t xml:space="preserve">For enquiries within Australia call 1800 625 625 for your nearest Divisional Office.  International enquiries can be directed in the first instance to </w:t>
      </w:r>
      <w:r>
        <w:t>IPA</w:t>
      </w:r>
      <w:r w:rsidRPr="00AB416E">
        <w:t xml:space="preserve"> Head Office.</w:t>
      </w:r>
    </w:p>
    <w:p w:rsidR="00E25CAC" w:rsidRDefault="00E25CAC">
      <w:pPr>
        <w:rPr>
          <w:rFonts w:ascii="Times New Roman" w:hAnsi="Times New Roman" w:cs="Times New Roman"/>
          <w:sz w:val="20"/>
          <w:szCs w:val="20"/>
          <w:lang w:val="en-AU" w:bidi="ar-SA"/>
        </w:rPr>
      </w:pPr>
    </w:p>
    <w:sectPr w:rsidR="00E25CAC" w:rsidSect="00E25CAC">
      <w:headerReference w:type="even" r:id="rId13"/>
      <w:headerReference w:type="default" r:id="rId14"/>
      <w:footerReference w:type="even" r:id="rId15"/>
      <w:footerReference w:type="default" r:id="rId16"/>
      <w:headerReference w:type="first" r:id="rId17"/>
      <w:footerReference w:type="first" r:id="rId18"/>
      <w:type w:val="continuous"/>
      <w:pgSz w:w="11899" w:h="16838"/>
      <w:pgMar w:top="1701" w:right="1134" w:bottom="1701"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218" w:rsidRDefault="00CB4218">
      <w:r>
        <w:separator/>
      </w:r>
    </w:p>
  </w:endnote>
  <w:endnote w:type="continuationSeparator" w:id="0">
    <w:p w:rsidR="00CB4218" w:rsidRDefault="00CB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CA9" w:rsidRDefault="00211C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821" w:tblpY="15761"/>
      <w:tblW w:w="7514" w:type="dxa"/>
      <w:tblLayout w:type="fixed"/>
      <w:tblCellMar>
        <w:left w:w="0" w:type="dxa"/>
        <w:right w:w="0" w:type="dxa"/>
      </w:tblCellMar>
      <w:tblLook w:val="0000" w:firstRow="0" w:lastRow="0" w:firstColumn="0" w:lastColumn="0" w:noHBand="0" w:noVBand="0"/>
    </w:tblPr>
    <w:tblGrid>
      <w:gridCol w:w="865"/>
      <w:gridCol w:w="6649"/>
    </w:tblGrid>
    <w:tr w:rsidR="00211CA9">
      <w:trPr>
        <w:trHeight w:val="140"/>
      </w:trPr>
      <w:tc>
        <w:tcPr>
          <w:tcW w:w="865" w:type="dxa"/>
        </w:tcPr>
        <w:p w:rsidR="00211CA9" w:rsidRPr="005327DB" w:rsidRDefault="00211CA9" w:rsidP="00E25CAC">
          <w:pPr>
            <w:rPr>
              <w:color w:val="BFBFBF"/>
            </w:rPr>
          </w:pPr>
          <w:r w:rsidRPr="005327DB">
            <w:rPr>
              <w:rFonts w:ascii="Arial Bold" w:hAnsi="Arial Bold"/>
              <w:noProof/>
              <w:color w:val="BFBFBF"/>
            </w:rPr>
            <w:fldChar w:fldCharType="begin"/>
          </w:r>
          <w:r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023FBE">
            <w:rPr>
              <w:rFonts w:ascii="Arial Bold" w:hAnsi="Arial Bold"/>
              <w:noProof/>
              <w:color w:val="BFBFBF"/>
            </w:rPr>
            <w:t>11</w:t>
          </w:r>
          <w:r w:rsidRPr="005327DB">
            <w:rPr>
              <w:rFonts w:ascii="Arial Bold" w:hAnsi="Arial Bold"/>
              <w:noProof/>
              <w:color w:val="BFBFBF"/>
            </w:rPr>
            <w:fldChar w:fldCharType="end"/>
          </w:r>
        </w:p>
      </w:tc>
      <w:tc>
        <w:tcPr>
          <w:tcW w:w="6649" w:type="dxa"/>
        </w:tcPr>
        <w:p w:rsidR="00211CA9" w:rsidRPr="005327DB" w:rsidRDefault="00211CA9" w:rsidP="00E25CAC">
          <w:pPr>
            <w:rPr>
              <w:rFonts w:ascii="Arial Bold" w:hAnsi="Arial Bold"/>
              <w:color w:val="BFBFBF"/>
              <w:sz w:val="22"/>
            </w:rPr>
          </w:pPr>
          <w:r w:rsidRPr="005327DB">
            <w:rPr>
              <w:rFonts w:ascii="Arial Bold" w:hAnsi="Arial Bold"/>
              <w:color w:val="BFBFBF"/>
              <w:sz w:val="22"/>
            </w:rPr>
            <w:t>Title</w:t>
          </w:r>
        </w:p>
      </w:tc>
    </w:tr>
  </w:tbl>
  <w:p w:rsidR="00211CA9" w:rsidRDefault="00023FBE" w:rsidP="00E25CA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36pt;margin-top:-37.3pt;width:152pt;height:37pt;rotation:180;flip:x y;z-index:251657728;mso-wrap-edited:f;mso-position-horizontal-relative:text;mso-position-vertical-relative:text" wrapcoords="-106 0 -106 20718 21600 20718 21600 0 -106 0">
          <v:imagedata r:id="rId1" o:title="NO023_IPACrestfull_2011-Feb_300dpi"/>
        </v:shape>
      </w:pict>
    </w:r>
  </w:p>
  <w:p w:rsidR="00211CA9" w:rsidRDefault="00211CA9" w:rsidP="00E25CA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CA9" w:rsidRDefault="00211C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218" w:rsidRDefault="00CB4218">
      <w:r>
        <w:separator/>
      </w:r>
    </w:p>
  </w:footnote>
  <w:footnote w:type="continuationSeparator" w:id="0">
    <w:p w:rsidR="00CB4218" w:rsidRDefault="00CB4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CA9" w:rsidRDefault="00211C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CA9" w:rsidRDefault="00211CA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CA9" w:rsidRDefault="00211C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1.25pt" o:bullet="t">
        <v:imagedata r:id="rId1" o:title="wedgie dot point"/>
      </v:shape>
    </w:pict>
  </w:numPicBullet>
  <w:abstractNum w:abstractNumId="0">
    <w:nsid w:val="FFFFFF1D"/>
    <w:multiLevelType w:val="multilevel"/>
    <w:tmpl w:val="ABCE6F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E6891EA"/>
    <w:lvl w:ilvl="0">
      <w:start w:val="1"/>
      <w:numFmt w:val="decimal"/>
      <w:lvlText w:val="%1."/>
      <w:lvlJc w:val="left"/>
      <w:pPr>
        <w:tabs>
          <w:tab w:val="num" w:pos="1492"/>
        </w:tabs>
        <w:ind w:left="1492" w:hanging="360"/>
      </w:pPr>
    </w:lvl>
  </w:abstractNum>
  <w:abstractNum w:abstractNumId="2">
    <w:nsid w:val="FFFFFF7D"/>
    <w:multiLevelType w:val="singleLevel"/>
    <w:tmpl w:val="6E509630"/>
    <w:lvl w:ilvl="0">
      <w:start w:val="1"/>
      <w:numFmt w:val="decimal"/>
      <w:lvlText w:val="%1."/>
      <w:lvlJc w:val="left"/>
      <w:pPr>
        <w:tabs>
          <w:tab w:val="num" w:pos="1209"/>
        </w:tabs>
        <w:ind w:left="1209" w:hanging="360"/>
      </w:pPr>
    </w:lvl>
  </w:abstractNum>
  <w:abstractNum w:abstractNumId="3">
    <w:nsid w:val="FFFFFF7E"/>
    <w:multiLevelType w:val="singleLevel"/>
    <w:tmpl w:val="84A4FE60"/>
    <w:lvl w:ilvl="0">
      <w:start w:val="1"/>
      <w:numFmt w:val="decimal"/>
      <w:lvlText w:val="%1."/>
      <w:lvlJc w:val="left"/>
      <w:pPr>
        <w:tabs>
          <w:tab w:val="num" w:pos="926"/>
        </w:tabs>
        <w:ind w:left="926" w:hanging="360"/>
      </w:pPr>
    </w:lvl>
  </w:abstractNum>
  <w:abstractNum w:abstractNumId="4">
    <w:nsid w:val="FFFFFF7F"/>
    <w:multiLevelType w:val="singleLevel"/>
    <w:tmpl w:val="21AAD8BE"/>
    <w:lvl w:ilvl="0">
      <w:start w:val="1"/>
      <w:numFmt w:val="decimal"/>
      <w:lvlText w:val="%1."/>
      <w:lvlJc w:val="left"/>
      <w:pPr>
        <w:tabs>
          <w:tab w:val="num" w:pos="643"/>
        </w:tabs>
        <w:ind w:left="643" w:hanging="360"/>
      </w:pPr>
    </w:lvl>
  </w:abstractNum>
  <w:abstractNum w:abstractNumId="5">
    <w:nsid w:val="FFFFFF80"/>
    <w:multiLevelType w:val="singleLevel"/>
    <w:tmpl w:val="FE8A7D2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44C8DD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4C0C50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1709EB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A6AE558"/>
    <w:lvl w:ilvl="0">
      <w:start w:val="1"/>
      <w:numFmt w:val="decimal"/>
      <w:lvlText w:val="%1."/>
      <w:lvlJc w:val="left"/>
      <w:pPr>
        <w:tabs>
          <w:tab w:val="num" w:pos="360"/>
        </w:tabs>
        <w:ind w:left="360" w:hanging="360"/>
      </w:pPr>
    </w:lvl>
  </w:abstractNum>
  <w:abstractNum w:abstractNumId="10">
    <w:nsid w:val="FFFFFF89"/>
    <w:multiLevelType w:val="singleLevel"/>
    <w:tmpl w:val="316A21C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Table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2">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13">
    <w:nsid w:val="00000003"/>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14">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15">
    <w:nsid w:val="00000005"/>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16">
    <w:nsid w:val="00000006"/>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17">
    <w:nsid w:val="00000007"/>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18">
    <w:nsid w:val="00000008"/>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19">
    <w:nsid w:val="00000009"/>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20">
    <w:nsid w:val="0000000A"/>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21">
    <w:nsid w:val="0000000B"/>
    <w:multiLevelType w:val="singleLevel"/>
    <w:tmpl w:val="98509C7A"/>
    <w:lvl w:ilvl="0">
      <w:start w:val="1"/>
      <w:numFmt w:val="bullet"/>
      <w:lvlText w:val=""/>
      <w:lvlPicBulletId w:val="0"/>
      <w:lvlJc w:val="left"/>
      <w:pPr>
        <w:ind w:left="1080" w:hanging="360"/>
      </w:pPr>
      <w:rPr>
        <w:rFonts w:ascii="Symbol" w:hAnsi="Symbol" w:hint="default"/>
        <w:color w:val="auto"/>
      </w:rPr>
    </w:lvl>
  </w:abstractNum>
  <w:abstractNum w:abstractNumId="22">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23">
    <w:nsid w:val="0000000D"/>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24">
    <w:nsid w:val="0000000E"/>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25">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26">
    <w:nsid w:val="00000010"/>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27">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28">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29">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30">
    <w:nsid w:val="00000014"/>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31">
    <w:nsid w:val="00000015"/>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32">
    <w:nsid w:val="00000016"/>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33">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34">
    <w:nsid w:val="00000018"/>
    <w:multiLevelType w:val="singleLevel"/>
    <w:tmpl w:val="98509C7A"/>
    <w:lvl w:ilvl="0">
      <w:start w:val="1"/>
      <w:numFmt w:val="bullet"/>
      <w:lvlText w:val=""/>
      <w:lvlPicBulletId w:val="0"/>
      <w:lvlJc w:val="left"/>
      <w:pPr>
        <w:ind w:left="720" w:hanging="360"/>
      </w:pPr>
      <w:rPr>
        <w:rFonts w:ascii="Symbol" w:hAnsi="Symbol" w:hint="default"/>
        <w:color w:val="auto"/>
      </w:rPr>
    </w:lvl>
  </w:abstractNum>
  <w:abstractNum w:abstractNumId="35">
    <w:nsid w:val="00000019"/>
    <w:multiLevelType w:val="multilevel"/>
    <w:tmpl w:val="00000019"/>
    <w:lvl w:ilvl="0">
      <w:start w:val="1"/>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6">
    <w:nsid w:val="0000001A"/>
    <w:multiLevelType w:val="multilevel"/>
    <w:tmpl w:val="0000001A"/>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7">
    <w:nsid w:val="018E65C7"/>
    <w:multiLevelType w:val="multilevel"/>
    <w:tmpl w:val="4E4AE9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nsid w:val="0BBD78BA"/>
    <w:multiLevelType w:val="hybridMultilevel"/>
    <w:tmpl w:val="A0240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19C960FD"/>
    <w:multiLevelType w:val="multilevel"/>
    <w:tmpl w:val="876815A6"/>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szCs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40">
    <w:nsid w:val="27440C8B"/>
    <w:multiLevelType w:val="multilevel"/>
    <w:tmpl w:val="69FA1556"/>
    <w:name w:val="StandardBulletedList_"/>
    <w:lvl w:ilvl="0">
      <w:start w:val="1"/>
      <w:numFmt w:val="bullet"/>
      <w:lvlRestart w:val="0"/>
      <w:pStyle w:val="Bullet"/>
      <w:lvlText w:val="•"/>
      <w:lvlJc w:val="left"/>
      <w:pPr>
        <w:tabs>
          <w:tab w:val="num" w:pos="566"/>
        </w:tabs>
        <w:ind w:left="566" w:hanging="566"/>
      </w:pPr>
      <w:rPr>
        <w:rFonts w:ascii="Times New Roman" w:hAnsi="Times New Roman"/>
        <w:b w:val="0"/>
        <w:i w:val="0"/>
      </w:rPr>
    </w:lvl>
    <w:lvl w:ilvl="1">
      <w:start w:val="1"/>
      <w:numFmt w:val="bullet"/>
      <w:pStyle w:val="Dash"/>
      <w:lvlText w:val="–"/>
      <w:lvlJc w:val="left"/>
      <w:pPr>
        <w:tabs>
          <w:tab w:val="num" w:pos="1134"/>
        </w:tabs>
        <w:ind w:left="1134" w:hanging="568"/>
      </w:pPr>
      <w:rPr>
        <w:rFonts w:ascii="Times New Roman" w:hAnsi="Times New Roman"/>
        <w:b w:val="0"/>
        <w:i w:val="0"/>
      </w:rPr>
    </w:lvl>
    <w:lvl w:ilvl="2">
      <w:start w:val="1"/>
      <w:numFmt w:val="bullet"/>
      <w:pStyle w:val="DoubleDot"/>
      <w:lvlText w:val=":"/>
      <w:lvlJc w:val="left"/>
      <w:pPr>
        <w:tabs>
          <w:tab w:val="num" w:pos="1700"/>
        </w:tabs>
        <w:ind w:left="1700" w:hanging="566"/>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41">
    <w:nsid w:val="2CF14949"/>
    <w:multiLevelType w:val="hybridMultilevel"/>
    <w:tmpl w:val="2EBEA4CA"/>
    <w:lvl w:ilvl="0" w:tplc="98509C7A">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431247CB"/>
    <w:multiLevelType w:val="hybridMultilevel"/>
    <w:tmpl w:val="F4B44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9DF4121"/>
    <w:multiLevelType w:val="hybridMultilevel"/>
    <w:tmpl w:val="BE6A600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B733550"/>
    <w:multiLevelType w:val="hybridMultilevel"/>
    <w:tmpl w:val="1EC60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6397DBD"/>
    <w:multiLevelType w:val="hybridMultilevel"/>
    <w:tmpl w:val="D4D6BFB4"/>
    <w:lvl w:ilvl="0" w:tplc="98509C7A">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Wingdings"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Wingdings" w:hint="default"/>
      </w:rPr>
    </w:lvl>
    <w:lvl w:ilvl="8" w:tplc="FFFFFFFF" w:tentative="1">
      <w:start w:val="1"/>
      <w:numFmt w:val="bullet"/>
      <w:lvlText w:val=""/>
      <w:lvlJc w:val="left"/>
      <w:pPr>
        <w:ind w:left="6840" w:hanging="360"/>
      </w:pPr>
      <w:rPr>
        <w:rFonts w:ascii="Wingdings" w:hAnsi="Wingdings" w:hint="default"/>
      </w:rPr>
    </w:lvl>
  </w:abstractNum>
  <w:abstractNum w:abstractNumId="46">
    <w:nsid w:val="6BE756DC"/>
    <w:multiLevelType w:val="multilevel"/>
    <w:tmpl w:val="F61428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12"/>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27"/>
  </w:num>
  <w:num w:numId="18">
    <w:abstractNumId w:val="28"/>
  </w:num>
  <w:num w:numId="19">
    <w:abstractNumId w:val="29"/>
  </w:num>
  <w:num w:numId="20">
    <w:abstractNumId w:val="30"/>
  </w:num>
  <w:num w:numId="21">
    <w:abstractNumId w:val="31"/>
  </w:num>
  <w:num w:numId="22">
    <w:abstractNumId w:val="32"/>
  </w:num>
  <w:num w:numId="23">
    <w:abstractNumId w:val="33"/>
  </w:num>
  <w:num w:numId="24">
    <w:abstractNumId w:val="34"/>
  </w:num>
  <w:num w:numId="25">
    <w:abstractNumId w:val="35"/>
  </w:num>
  <w:num w:numId="26">
    <w:abstractNumId w:val="36"/>
  </w:num>
  <w:num w:numId="27">
    <w:abstractNumId w:val="45"/>
  </w:num>
  <w:num w:numId="28">
    <w:abstractNumId w:val="37"/>
  </w:num>
  <w:num w:numId="29">
    <w:abstractNumId w:val="41"/>
  </w:num>
  <w:num w:numId="30">
    <w:abstractNumId w:val="46"/>
  </w:num>
  <w:num w:numId="31">
    <w:abstractNumId w:val="10"/>
  </w:num>
  <w:num w:numId="32">
    <w:abstractNumId w:val="8"/>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 w:numId="41">
    <w:abstractNumId w:val="0"/>
  </w:num>
  <w:num w:numId="42">
    <w:abstractNumId w:val="40"/>
  </w:num>
  <w:num w:numId="43">
    <w:abstractNumId w:val="39"/>
  </w:num>
  <w:num w:numId="44">
    <w:abstractNumId w:val="38"/>
  </w:num>
  <w:num w:numId="45">
    <w:abstractNumId w:val="42"/>
  </w:num>
  <w:num w:numId="46">
    <w:abstractNumId w:val="43"/>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20"/>
  <w:drawingGridHorizontalSpacing w:val="120"/>
  <w:drawingGridVerticalSpacing w:val="0"/>
  <w:displayHorizontalDrawingGridEvery w:val="0"/>
  <w:displayVerticalDrawingGridEvery w:val="0"/>
  <w:characterSpacingControl w:val="doNotCompress"/>
  <w:hdrShapeDefaults>
    <o:shapedefaults v:ext="edit" spidmax="2057">
      <o:colormenu v:ext="edit" fillcolor="none"/>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702E"/>
    <w:rsid w:val="00000DA3"/>
    <w:rsid w:val="00001D3F"/>
    <w:rsid w:val="00003F15"/>
    <w:rsid w:val="000059D9"/>
    <w:rsid w:val="00006330"/>
    <w:rsid w:val="0000741E"/>
    <w:rsid w:val="00011B5D"/>
    <w:rsid w:val="000161C2"/>
    <w:rsid w:val="00023FBE"/>
    <w:rsid w:val="00045E64"/>
    <w:rsid w:val="0005563E"/>
    <w:rsid w:val="0006019C"/>
    <w:rsid w:val="00064984"/>
    <w:rsid w:val="000654BC"/>
    <w:rsid w:val="000738A4"/>
    <w:rsid w:val="00081C9A"/>
    <w:rsid w:val="00087135"/>
    <w:rsid w:val="000967AF"/>
    <w:rsid w:val="000B2930"/>
    <w:rsid w:val="000C55AF"/>
    <w:rsid w:val="000C79F1"/>
    <w:rsid w:val="000E38A7"/>
    <w:rsid w:val="000F0D86"/>
    <w:rsid w:val="000F436E"/>
    <w:rsid w:val="0011129D"/>
    <w:rsid w:val="00111FE4"/>
    <w:rsid w:val="00130741"/>
    <w:rsid w:val="001307C9"/>
    <w:rsid w:val="00136823"/>
    <w:rsid w:val="001504E4"/>
    <w:rsid w:val="0015056F"/>
    <w:rsid w:val="0015280F"/>
    <w:rsid w:val="00160C25"/>
    <w:rsid w:val="00166B46"/>
    <w:rsid w:val="001773B5"/>
    <w:rsid w:val="001A3A75"/>
    <w:rsid w:val="001B33A5"/>
    <w:rsid w:val="001C2629"/>
    <w:rsid w:val="001F0ADA"/>
    <w:rsid w:val="001F2B7E"/>
    <w:rsid w:val="001F5A68"/>
    <w:rsid w:val="001F6C35"/>
    <w:rsid w:val="00200FE8"/>
    <w:rsid w:val="00205AD1"/>
    <w:rsid w:val="00206ACA"/>
    <w:rsid w:val="00211CA9"/>
    <w:rsid w:val="00213BE8"/>
    <w:rsid w:val="00216D16"/>
    <w:rsid w:val="00222778"/>
    <w:rsid w:val="00225AB8"/>
    <w:rsid w:val="00232E1B"/>
    <w:rsid w:val="00245163"/>
    <w:rsid w:val="00246941"/>
    <w:rsid w:val="0025447D"/>
    <w:rsid w:val="00256D7E"/>
    <w:rsid w:val="002D4931"/>
    <w:rsid w:val="002E5C38"/>
    <w:rsid w:val="002F1281"/>
    <w:rsid w:val="003063ED"/>
    <w:rsid w:val="00312081"/>
    <w:rsid w:val="0031263D"/>
    <w:rsid w:val="00321031"/>
    <w:rsid w:val="00325064"/>
    <w:rsid w:val="00341B92"/>
    <w:rsid w:val="00342B29"/>
    <w:rsid w:val="00347341"/>
    <w:rsid w:val="00354D1A"/>
    <w:rsid w:val="00361A13"/>
    <w:rsid w:val="0036527A"/>
    <w:rsid w:val="003904EA"/>
    <w:rsid w:val="00392530"/>
    <w:rsid w:val="003B0E85"/>
    <w:rsid w:val="003B7C88"/>
    <w:rsid w:val="003D4F2E"/>
    <w:rsid w:val="003E3B53"/>
    <w:rsid w:val="003E42BA"/>
    <w:rsid w:val="003F3CB4"/>
    <w:rsid w:val="0040119B"/>
    <w:rsid w:val="00402481"/>
    <w:rsid w:val="004351A7"/>
    <w:rsid w:val="004372C5"/>
    <w:rsid w:val="00442243"/>
    <w:rsid w:val="00447871"/>
    <w:rsid w:val="00454BC2"/>
    <w:rsid w:val="0045528F"/>
    <w:rsid w:val="00476E26"/>
    <w:rsid w:val="00481489"/>
    <w:rsid w:val="004821CD"/>
    <w:rsid w:val="00487A92"/>
    <w:rsid w:val="004C472D"/>
    <w:rsid w:val="004C64D7"/>
    <w:rsid w:val="004E465A"/>
    <w:rsid w:val="00515121"/>
    <w:rsid w:val="00520828"/>
    <w:rsid w:val="00530AB9"/>
    <w:rsid w:val="005446C2"/>
    <w:rsid w:val="005455CD"/>
    <w:rsid w:val="00547331"/>
    <w:rsid w:val="00570C1E"/>
    <w:rsid w:val="0057573B"/>
    <w:rsid w:val="00585AB1"/>
    <w:rsid w:val="00593705"/>
    <w:rsid w:val="005A3F67"/>
    <w:rsid w:val="005C13E1"/>
    <w:rsid w:val="005C37BA"/>
    <w:rsid w:val="005C7C54"/>
    <w:rsid w:val="005D4F91"/>
    <w:rsid w:val="005E7F9E"/>
    <w:rsid w:val="005F2956"/>
    <w:rsid w:val="005F47D2"/>
    <w:rsid w:val="00603609"/>
    <w:rsid w:val="006053E8"/>
    <w:rsid w:val="0061567A"/>
    <w:rsid w:val="0062164B"/>
    <w:rsid w:val="00640BA4"/>
    <w:rsid w:val="0064491F"/>
    <w:rsid w:val="00661172"/>
    <w:rsid w:val="00686169"/>
    <w:rsid w:val="00697AE5"/>
    <w:rsid w:val="006A3896"/>
    <w:rsid w:val="006A5846"/>
    <w:rsid w:val="006A6274"/>
    <w:rsid w:val="006B3FB2"/>
    <w:rsid w:val="006B5FF1"/>
    <w:rsid w:val="006D4E05"/>
    <w:rsid w:val="006F29A5"/>
    <w:rsid w:val="006F7484"/>
    <w:rsid w:val="00706500"/>
    <w:rsid w:val="00725E42"/>
    <w:rsid w:val="0073237C"/>
    <w:rsid w:val="00766A5B"/>
    <w:rsid w:val="0078468A"/>
    <w:rsid w:val="00796583"/>
    <w:rsid w:val="007A397E"/>
    <w:rsid w:val="007A3ACE"/>
    <w:rsid w:val="007A667F"/>
    <w:rsid w:val="007A78F0"/>
    <w:rsid w:val="007B1964"/>
    <w:rsid w:val="007D00C6"/>
    <w:rsid w:val="007D066C"/>
    <w:rsid w:val="007E0666"/>
    <w:rsid w:val="007E632B"/>
    <w:rsid w:val="007E6D90"/>
    <w:rsid w:val="00825E4E"/>
    <w:rsid w:val="0083376D"/>
    <w:rsid w:val="00840228"/>
    <w:rsid w:val="00840E0F"/>
    <w:rsid w:val="0085065C"/>
    <w:rsid w:val="00851DF6"/>
    <w:rsid w:val="00853428"/>
    <w:rsid w:val="0086622E"/>
    <w:rsid w:val="008819C9"/>
    <w:rsid w:val="008C0CDC"/>
    <w:rsid w:val="008C3708"/>
    <w:rsid w:val="008D2056"/>
    <w:rsid w:val="0090679C"/>
    <w:rsid w:val="0091701A"/>
    <w:rsid w:val="00925047"/>
    <w:rsid w:val="00951550"/>
    <w:rsid w:val="00963E3A"/>
    <w:rsid w:val="0096500E"/>
    <w:rsid w:val="00971A0E"/>
    <w:rsid w:val="009843A1"/>
    <w:rsid w:val="009932D4"/>
    <w:rsid w:val="009A1CA1"/>
    <w:rsid w:val="009C500A"/>
    <w:rsid w:val="009D4B2F"/>
    <w:rsid w:val="009E0595"/>
    <w:rsid w:val="00A11D01"/>
    <w:rsid w:val="00A37AE3"/>
    <w:rsid w:val="00A37BCD"/>
    <w:rsid w:val="00A41605"/>
    <w:rsid w:val="00A456BF"/>
    <w:rsid w:val="00A5000B"/>
    <w:rsid w:val="00A54EF7"/>
    <w:rsid w:val="00A60745"/>
    <w:rsid w:val="00A773E2"/>
    <w:rsid w:val="00A90D6C"/>
    <w:rsid w:val="00A9185A"/>
    <w:rsid w:val="00A96C94"/>
    <w:rsid w:val="00AB23D4"/>
    <w:rsid w:val="00AB7951"/>
    <w:rsid w:val="00AC4E5E"/>
    <w:rsid w:val="00AD5E0A"/>
    <w:rsid w:val="00B00AE9"/>
    <w:rsid w:val="00B05FEB"/>
    <w:rsid w:val="00B17006"/>
    <w:rsid w:val="00B469C6"/>
    <w:rsid w:val="00B62599"/>
    <w:rsid w:val="00B66F8A"/>
    <w:rsid w:val="00B71127"/>
    <w:rsid w:val="00B97278"/>
    <w:rsid w:val="00B975F2"/>
    <w:rsid w:val="00BA3391"/>
    <w:rsid w:val="00BB1ACB"/>
    <w:rsid w:val="00BE54BD"/>
    <w:rsid w:val="00BF702E"/>
    <w:rsid w:val="00C01F0B"/>
    <w:rsid w:val="00C16E29"/>
    <w:rsid w:val="00C35C68"/>
    <w:rsid w:val="00C43F61"/>
    <w:rsid w:val="00C44D70"/>
    <w:rsid w:val="00C50AF4"/>
    <w:rsid w:val="00C66024"/>
    <w:rsid w:val="00C8431D"/>
    <w:rsid w:val="00C84392"/>
    <w:rsid w:val="00C911C6"/>
    <w:rsid w:val="00CA7782"/>
    <w:rsid w:val="00CB4218"/>
    <w:rsid w:val="00CE0921"/>
    <w:rsid w:val="00CE45AD"/>
    <w:rsid w:val="00CF4B82"/>
    <w:rsid w:val="00D03DEB"/>
    <w:rsid w:val="00D10C9D"/>
    <w:rsid w:val="00D224D2"/>
    <w:rsid w:val="00D30972"/>
    <w:rsid w:val="00D30AB0"/>
    <w:rsid w:val="00D30D80"/>
    <w:rsid w:val="00D57CB0"/>
    <w:rsid w:val="00D71140"/>
    <w:rsid w:val="00D8413C"/>
    <w:rsid w:val="00DA5F47"/>
    <w:rsid w:val="00DC7BE8"/>
    <w:rsid w:val="00DD59C1"/>
    <w:rsid w:val="00DE0C89"/>
    <w:rsid w:val="00DE210B"/>
    <w:rsid w:val="00DE2496"/>
    <w:rsid w:val="00DF1D45"/>
    <w:rsid w:val="00DF2411"/>
    <w:rsid w:val="00E01142"/>
    <w:rsid w:val="00E05936"/>
    <w:rsid w:val="00E13910"/>
    <w:rsid w:val="00E20396"/>
    <w:rsid w:val="00E21913"/>
    <w:rsid w:val="00E2213A"/>
    <w:rsid w:val="00E23369"/>
    <w:rsid w:val="00E25CAC"/>
    <w:rsid w:val="00E27319"/>
    <w:rsid w:val="00E302B4"/>
    <w:rsid w:val="00E33DFA"/>
    <w:rsid w:val="00E400CA"/>
    <w:rsid w:val="00E4527F"/>
    <w:rsid w:val="00E57314"/>
    <w:rsid w:val="00E60CFD"/>
    <w:rsid w:val="00E7308B"/>
    <w:rsid w:val="00E90025"/>
    <w:rsid w:val="00E97C5C"/>
    <w:rsid w:val="00EA6858"/>
    <w:rsid w:val="00EB3748"/>
    <w:rsid w:val="00EB4186"/>
    <w:rsid w:val="00EB6B1E"/>
    <w:rsid w:val="00EB7586"/>
    <w:rsid w:val="00EC2080"/>
    <w:rsid w:val="00EC4827"/>
    <w:rsid w:val="00EC5586"/>
    <w:rsid w:val="00EC7DC5"/>
    <w:rsid w:val="00ED251A"/>
    <w:rsid w:val="00EE41F4"/>
    <w:rsid w:val="00EE5F04"/>
    <w:rsid w:val="00F05EA4"/>
    <w:rsid w:val="00F06AF9"/>
    <w:rsid w:val="00F137C3"/>
    <w:rsid w:val="00F26B4A"/>
    <w:rsid w:val="00F3061C"/>
    <w:rsid w:val="00F306B4"/>
    <w:rsid w:val="00F401A6"/>
    <w:rsid w:val="00F42029"/>
    <w:rsid w:val="00F4393D"/>
    <w:rsid w:val="00F45430"/>
    <w:rsid w:val="00F50506"/>
    <w:rsid w:val="00F52013"/>
    <w:rsid w:val="00F54368"/>
    <w:rsid w:val="00F732F0"/>
    <w:rsid w:val="00F810F2"/>
    <w:rsid w:val="00F96907"/>
    <w:rsid w:val="00FC0278"/>
    <w:rsid w:val="00FC0E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pPr>
      <w:suppressAutoHyphens/>
    </w:pPr>
    <w:rPr>
      <w:rFonts w:ascii="Calibri" w:hAnsi="Calibri" w:cs="Calibri"/>
      <w:sz w:val="24"/>
      <w:szCs w:val="24"/>
      <w:lang w:val="en-US" w:eastAsia="en-US" w:bidi="en-US"/>
    </w:rPr>
  </w:style>
  <w:style w:type="paragraph" w:styleId="Heading1">
    <w:name w:val="heading 1"/>
    <w:basedOn w:val="Normal"/>
    <w:next w:val="Normal"/>
    <w:qFormat/>
    <w:pPr>
      <w:keepNext/>
      <w:spacing w:before="240" w:after="60"/>
      <w:outlineLvl w:val="0"/>
    </w:pPr>
    <w:rPr>
      <w:rFonts w:ascii="Cambria" w:hAnsi="Cambria"/>
      <w:b/>
      <w:bCs/>
      <w:kern w:val="1"/>
      <w:sz w:val="32"/>
      <w:szCs w:val="32"/>
      <w:lang w:eastAsia="ar-SA" w:bidi="ar-SA"/>
    </w:rPr>
  </w:style>
  <w:style w:type="paragraph" w:styleId="Heading2">
    <w:name w:val="heading 2"/>
    <w:basedOn w:val="Normal"/>
    <w:next w:val="Normal"/>
    <w:qFormat/>
    <w:pPr>
      <w:keepNext/>
      <w:spacing w:before="240" w:after="60"/>
      <w:outlineLvl w:val="1"/>
    </w:pPr>
    <w:rPr>
      <w:rFonts w:ascii="Cambria" w:hAnsi="Cambria"/>
      <w:b/>
      <w:bCs/>
      <w:i/>
      <w:iCs/>
      <w:sz w:val="28"/>
      <w:szCs w:val="28"/>
      <w:lang w:eastAsia="ar-SA" w:bidi="ar-SA"/>
    </w:rPr>
  </w:style>
  <w:style w:type="paragraph" w:styleId="Heading3">
    <w:name w:val="heading 3"/>
    <w:basedOn w:val="Normal"/>
    <w:next w:val="Normal"/>
    <w:qFormat/>
    <w:pPr>
      <w:keepNext/>
      <w:spacing w:before="240" w:after="60"/>
      <w:outlineLvl w:val="2"/>
    </w:pPr>
    <w:rPr>
      <w:rFonts w:ascii="Cambria" w:hAnsi="Cambria"/>
      <w:b/>
      <w:bCs/>
      <w:sz w:val="26"/>
      <w:szCs w:val="26"/>
      <w:lang w:eastAsia="ar-SA" w:bidi="ar-SA"/>
    </w:rPr>
  </w:style>
  <w:style w:type="paragraph" w:styleId="Heading4">
    <w:name w:val="heading 4"/>
    <w:basedOn w:val="Normal"/>
    <w:next w:val="Normal"/>
    <w:qFormat/>
    <w:pPr>
      <w:keepNext/>
      <w:spacing w:before="240" w:after="60"/>
      <w:outlineLvl w:val="3"/>
    </w:pPr>
    <w:rPr>
      <w:b/>
      <w:bCs/>
      <w:sz w:val="28"/>
      <w:szCs w:val="28"/>
      <w:lang w:eastAsia="ar-SA" w:bidi="ar-SA"/>
    </w:rPr>
  </w:style>
  <w:style w:type="paragraph" w:styleId="Heading5">
    <w:name w:val="heading 5"/>
    <w:basedOn w:val="Normal"/>
    <w:next w:val="Normal"/>
    <w:qFormat/>
    <w:pPr>
      <w:spacing w:before="240" w:after="60"/>
      <w:outlineLvl w:val="4"/>
    </w:pPr>
    <w:rPr>
      <w:b/>
      <w:bCs/>
      <w:i/>
      <w:iCs/>
      <w:sz w:val="26"/>
      <w:szCs w:val="26"/>
      <w:lang w:eastAsia="ar-SA" w:bidi="ar-SA"/>
    </w:rPr>
  </w:style>
  <w:style w:type="paragraph" w:styleId="Heading6">
    <w:name w:val="heading 6"/>
    <w:basedOn w:val="Normal"/>
    <w:next w:val="Normal"/>
    <w:qFormat/>
    <w:pPr>
      <w:spacing w:before="240" w:after="60"/>
      <w:outlineLvl w:val="5"/>
    </w:pPr>
    <w:rPr>
      <w:b/>
      <w:bCs/>
      <w:sz w:val="20"/>
      <w:szCs w:val="20"/>
      <w:lang w:eastAsia="ar-SA" w:bidi="ar-SA"/>
    </w:rPr>
  </w:style>
  <w:style w:type="paragraph" w:styleId="Heading7">
    <w:name w:val="heading 7"/>
    <w:basedOn w:val="Normal"/>
    <w:next w:val="Normal"/>
    <w:qFormat/>
    <w:pPr>
      <w:spacing w:before="240" w:after="60"/>
      <w:outlineLvl w:val="6"/>
    </w:pPr>
    <w:rPr>
      <w:lang w:eastAsia="ar-SA" w:bidi="ar-SA"/>
    </w:rPr>
  </w:style>
  <w:style w:type="paragraph" w:styleId="Heading8">
    <w:name w:val="heading 8"/>
    <w:basedOn w:val="Normal"/>
    <w:next w:val="Normal"/>
    <w:qFormat/>
    <w:pPr>
      <w:spacing w:before="240" w:after="60"/>
      <w:outlineLvl w:val="7"/>
    </w:pPr>
    <w:rPr>
      <w:i/>
      <w:iCs/>
      <w:lang w:eastAsia="ar-SA" w:bidi="ar-SA"/>
    </w:rPr>
  </w:style>
  <w:style w:type="paragraph" w:styleId="Heading9">
    <w:name w:val="heading 9"/>
    <w:basedOn w:val="Normal"/>
    <w:next w:val="Normal"/>
    <w:qFormat/>
    <w:pPr>
      <w:spacing w:before="240" w:after="60"/>
      <w:outlineLvl w:val="8"/>
    </w:pPr>
    <w:rPr>
      <w:rFonts w:ascii="Cambria" w:hAnsi="Cambria"/>
      <w:sz w:val="20"/>
      <w:szCs w:val="20"/>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suppressAutoHyphens w:val="0"/>
      <w:autoSpaceDE w:val="0"/>
      <w:autoSpaceDN w:val="0"/>
      <w:adjustRightInd w:val="0"/>
      <w:spacing w:line="288" w:lineRule="auto"/>
      <w:textAlignment w:val="center"/>
    </w:pPr>
    <w:rPr>
      <w:rFonts w:ascii="MinionPro-Regular" w:hAnsi="MinionPro-Regular" w:cs="MinionPro-Regular"/>
      <w:color w:val="000000"/>
      <w:lang w:val="en-GB" w:bidi="ar-SA"/>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bidi="ar-SA"/>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rsid w:val="00561964"/>
    <w:pPr>
      <w:tabs>
        <w:tab w:val="center" w:pos="4320"/>
        <w:tab w:val="right" w:pos="8640"/>
      </w:tabs>
    </w:pPr>
  </w:style>
  <w:style w:type="character" w:customStyle="1" w:styleId="HeaderChar">
    <w:name w:val="Header Char"/>
    <w:basedOn w:val="DefaultParagraphFont"/>
    <w:link w:val="Header"/>
    <w:rsid w:val="00561964"/>
    <w:rPr>
      <w:rFonts w:ascii="Calibri" w:hAnsi="Calibri" w:cs="Calibri"/>
      <w:sz w:val="24"/>
      <w:szCs w:val="24"/>
      <w:lang w:val="en-US" w:bidi="en-US"/>
    </w:rPr>
  </w:style>
  <w:style w:type="paragraph" w:styleId="Footer">
    <w:name w:val="footer"/>
    <w:basedOn w:val="Normal"/>
    <w:link w:val="FooterChar"/>
    <w:rsid w:val="00561964"/>
    <w:pPr>
      <w:tabs>
        <w:tab w:val="center" w:pos="4320"/>
        <w:tab w:val="right" w:pos="8640"/>
      </w:tabs>
    </w:pPr>
  </w:style>
  <w:style w:type="character" w:customStyle="1" w:styleId="FooterChar">
    <w:name w:val="Footer Char"/>
    <w:basedOn w:val="DefaultParagraphFont"/>
    <w:link w:val="Footer"/>
    <w:rsid w:val="00561964"/>
    <w:rPr>
      <w:rFonts w:ascii="Calibri" w:hAnsi="Calibri" w:cs="Calibri"/>
      <w:sz w:val="24"/>
      <w:szCs w:val="24"/>
      <w:lang w:val="en-US" w:bidi="en-US"/>
    </w:rPr>
  </w:style>
  <w:style w:type="paragraph" w:styleId="FootnoteText">
    <w:name w:val="footnote text"/>
    <w:basedOn w:val="Normal"/>
    <w:link w:val="FootnoteTextChar"/>
    <w:uiPriority w:val="99"/>
    <w:rsid w:val="00F05EA4"/>
    <w:pPr>
      <w:tabs>
        <w:tab w:val="left" w:pos="284"/>
      </w:tabs>
      <w:suppressAutoHyphens w:val="0"/>
      <w:ind w:left="284" w:hanging="284"/>
      <w:jc w:val="both"/>
    </w:pPr>
    <w:rPr>
      <w:rFonts w:cs="Times New Roman"/>
      <w:color w:val="000000"/>
      <w:sz w:val="18"/>
      <w:szCs w:val="20"/>
      <w:lang w:val="en-AU" w:eastAsia="en-AU" w:bidi="ar-SA"/>
    </w:rPr>
  </w:style>
  <w:style w:type="character" w:customStyle="1" w:styleId="FootnoteTextChar">
    <w:name w:val="Footnote Text Char"/>
    <w:basedOn w:val="DefaultParagraphFont"/>
    <w:link w:val="FootnoteText"/>
    <w:uiPriority w:val="99"/>
    <w:rsid w:val="00F05EA4"/>
    <w:rPr>
      <w:rFonts w:ascii="Calibri" w:hAnsi="Calibri"/>
      <w:color w:val="000000"/>
      <w:sz w:val="18"/>
    </w:rPr>
  </w:style>
  <w:style w:type="paragraph" w:customStyle="1" w:styleId="Bullet">
    <w:name w:val="Bullet"/>
    <w:basedOn w:val="Normal"/>
    <w:link w:val="BulletChar"/>
    <w:uiPriority w:val="99"/>
    <w:rsid w:val="00F05EA4"/>
    <w:pPr>
      <w:numPr>
        <w:numId w:val="42"/>
      </w:numPr>
      <w:suppressAutoHyphens w:val="0"/>
      <w:spacing w:after="240" w:line="280" w:lineRule="exact"/>
      <w:jc w:val="both"/>
    </w:pPr>
    <w:rPr>
      <w:rFonts w:cs="Times New Roman"/>
      <w:color w:val="000000"/>
      <w:sz w:val="22"/>
      <w:szCs w:val="20"/>
      <w:lang w:val="en-AU" w:eastAsia="en-AU" w:bidi="ar-SA"/>
    </w:rPr>
  </w:style>
  <w:style w:type="paragraph" w:customStyle="1" w:styleId="Dash">
    <w:name w:val="Dash"/>
    <w:basedOn w:val="Normal"/>
    <w:uiPriority w:val="99"/>
    <w:rsid w:val="00F05EA4"/>
    <w:pPr>
      <w:numPr>
        <w:ilvl w:val="1"/>
        <w:numId w:val="42"/>
      </w:numPr>
      <w:tabs>
        <w:tab w:val="clear" w:pos="1134"/>
        <w:tab w:val="num" w:pos="1701"/>
      </w:tabs>
      <w:suppressAutoHyphens w:val="0"/>
      <w:spacing w:after="240"/>
      <w:ind w:left="1701" w:hanging="567"/>
    </w:pPr>
    <w:rPr>
      <w:rFonts w:cs="Times New Roman"/>
      <w:color w:val="000000"/>
      <w:sz w:val="22"/>
      <w:lang w:val="en-AU" w:eastAsia="en-AU" w:bidi="ar-SA"/>
    </w:rPr>
  </w:style>
  <w:style w:type="paragraph" w:customStyle="1" w:styleId="DoubleDot">
    <w:name w:val="Double Dot"/>
    <w:basedOn w:val="Normal"/>
    <w:uiPriority w:val="99"/>
    <w:rsid w:val="00F05EA4"/>
    <w:pPr>
      <w:numPr>
        <w:ilvl w:val="2"/>
        <w:numId w:val="42"/>
      </w:numPr>
      <w:tabs>
        <w:tab w:val="clear" w:pos="1700"/>
        <w:tab w:val="num" w:pos="360"/>
      </w:tabs>
      <w:suppressAutoHyphens w:val="0"/>
      <w:spacing w:after="240" w:line="280" w:lineRule="exact"/>
      <w:ind w:left="0" w:firstLine="0"/>
      <w:jc w:val="both"/>
    </w:pPr>
    <w:rPr>
      <w:rFonts w:cs="Times New Roman"/>
      <w:color w:val="000000"/>
      <w:sz w:val="22"/>
      <w:szCs w:val="20"/>
      <w:lang w:val="en-AU" w:eastAsia="en-AU" w:bidi="ar-SA"/>
    </w:rPr>
  </w:style>
  <w:style w:type="paragraph" w:customStyle="1" w:styleId="OneLevelNumberedParagraph">
    <w:name w:val="One Level Numbered Paragraph"/>
    <w:basedOn w:val="Normal"/>
    <w:rsid w:val="00F05EA4"/>
    <w:pPr>
      <w:numPr>
        <w:numId w:val="43"/>
      </w:numPr>
      <w:suppressAutoHyphens w:val="0"/>
      <w:spacing w:after="240" w:line="280" w:lineRule="exact"/>
      <w:jc w:val="both"/>
    </w:pPr>
    <w:rPr>
      <w:rFonts w:cs="Times New Roman"/>
      <w:color w:val="000000"/>
      <w:sz w:val="22"/>
      <w:szCs w:val="20"/>
      <w:lang w:val="en-AU" w:eastAsia="en-AU" w:bidi="ar-SA"/>
    </w:rPr>
  </w:style>
  <w:style w:type="character" w:styleId="FootnoteReference">
    <w:name w:val="footnote reference"/>
    <w:basedOn w:val="DefaultParagraphFont"/>
    <w:uiPriority w:val="99"/>
    <w:rsid w:val="00F05EA4"/>
    <w:rPr>
      <w:rFonts w:cs="Times New Roman"/>
      <w:vertAlign w:val="superscript"/>
    </w:rPr>
  </w:style>
  <w:style w:type="character" w:customStyle="1" w:styleId="BulletChar">
    <w:name w:val="Bullet Char"/>
    <w:basedOn w:val="DefaultParagraphFont"/>
    <w:link w:val="Bullet"/>
    <w:uiPriority w:val="99"/>
    <w:locked/>
    <w:rsid w:val="00F05EA4"/>
    <w:rPr>
      <w:rFonts w:ascii="Calibri" w:hAnsi="Calibri"/>
      <w:color w:val="000000"/>
      <w:sz w:val="22"/>
    </w:rPr>
  </w:style>
  <w:style w:type="paragraph" w:styleId="NormalWeb">
    <w:name w:val="Normal (Web)"/>
    <w:basedOn w:val="Normal"/>
    <w:uiPriority w:val="99"/>
    <w:unhideWhenUsed/>
    <w:rsid w:val="001C2629"/>
    <w:pPr>
      <w:suppressAutoHyphens w:val="0"/>
    </w:pPr>
    <w:rPr>
      <w:rFonts w:ascii="Times New Roman" w:hAnsi="Times New Roman" w:cs="Times New Roman"/>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7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atoffice@publicaccountants.org.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ny.greco@publicaccountants.org.a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C7377-931F-43A2-8948-CF4A5A7A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3685</Words>
  <Characters>19164</Characters>
  <Application>Microsoft Office Word</Application>
  <DocSecurity>0</DocSecurity>
  <Lines>580</Lines>
  <Paragraphs>243</Paragraphs>
  <ScaleCrop>false</ScaleCrop>
  <HeadingPairs>
    <vt:vector size="2" baseType="variant">
      <vt:variant>
        <vt:lpstr>Title</vt:lpstr>
      </vt:variant>
      <vt:variant>
        <vt:i4>1</vt:i4>
      </vt:variant>
    </vt:vector>
  </HeadingPairs>
  <TitlesOfParts>
    <vt:vector size="1" baseType="lpstr">
      <vt:lpstr>Submission: Modernising the taxation of trust income – options for reform </vt:lpstr>
    </vt:vector>
  </TitlesOfParts>
  <Company/>
  <LinksUpToDate>false</LinksUpToDate>
  <CharactersWithSpaces>22606</CharactersWithSpaces>
  <SharedDoc>false</SharedDoc>
  <HLinks>
    <vt:vector size="12" baseType="variant">
      <vt:variant>
        <vt:i4>1966206</vt:i4>
      </vt:variant>
      <vt:variant>
        <vt:i4>3</vt:i4>
      </vt:variant>
      <vt:variant>
        <vt:i4>0</vt:i4>
      </vt:variant>
      <vt:variant>
        <vt:i4>5</vt:i4>
      </vt:variant>
      <vt:variant>
        <vt:lpwstr>mailto:natoffice@publicaccountants.org.au</vt:lpwstr>
      </vt:variant>
      <vt:variant>
        <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Modernising the taxation of trust income – options for reform </dc:title>
  <dc:subject/>
  <dc:creator>Submitted by IPA</dc:creator>
  <cp:keywords/>
  <cp:lastModifiedBy>Mai, Yuanyuan</cp:lastModifiedBy>
  <cp:revision>4</cp:revision>
  <cp:lastPrinted>2012-02-12T23:00:00Z</cp:lastPrinted>
  <dcterms:created xsi:type="dcterms:W3CDTF">2012-02-14T05:15:00Z</dcterms:created>
  <dcterms:modified xsi:type="dcterms:W3CDTF">2012-07-26T07:23:00Z</dcterms:modified>
</cp:coreProperties>
</file>