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6AB" w:rsidRDefault="001C16AB" w:rsidP="006D5D5C">
      <w:pPr>
        <w:pStyle w:val="Title"/>
        <w:rPr>
          <w:sz w:val="24"/>
          <w:szCs w:val="24"/>
        </w:rPr>
      </w:pPr>
    </w:p>
    <w:p w:rsidR="00113B36" w:rsidRDefault="001C16AB" w:rsidP="00113B36">
      <w:pPr>
        <w:pStyle w:val="Title"/>
        <w:keepNext/>
        <w:rPr>
          <w:sz w:val="36"/>
          <w:szCs w:val="36"/>
        </w:rPr>
      </w:pPr>
      <w:r w:rsidRPr="001C16AB">
        <w:rPr>
          <w:sz w:val="36"/>
          <w:szCs w:val="36"/>
        </w:rPr>
        <w:t>Reforms to</w:t>
      </w:r>
      <w:r w:rsidR="008A0D8C">
        <w:rPr>
          <w:sz w:val="36"/>
          <w:szCs w:val="36"/>
        </w:rPr>
        <w:t xml:space="preserve"> address corporate misuse of the </w:t>
      </w:r>
    </w:p>
    <w:p w:rsidR="00D73A16" w:rsidRDefault="008A0D8C" w:rsidP="00113B36">
      <w:pPr>
        <w:pStyle w:val="Title"/>
        <w:keepNext/>
        <w:rPr>
          <w:sz w:val="36"/>
          <w:szCs w:val="36"/>
        </w:rPr>
      </w:pPr>
      <w:r>
        <w:rPr>
          <w:sz w:val="36"/>
          <w:szCs w:val="36"/>
        </w:rPr>
        <w:t xml:space="preserve">Fair Entitlements Guarantee </w:t>
      </w:r>
      <w:r w:rsidR="001C16AB" w:rsidRPr="001C16AB">
        <w:rPr>
          <w:sz w:val="36"/>
          <w:szCs w:val="36"/>
        </w:rPr>
        <w:t>Scheme</w:t>
      </w:r>
    </w:p>
    <w:p w:rsidR="00113B36" w:rsidRDefault="00113B36" w:rsidP="006D5D5C">
      <w:pPr>
        <w:pStyle w:val="Title"/>
        <w:rPr>
          <w:sz w:val="28"/>
          <w:szCs w:val="28"/>
        </w:rPr>
      </w:pPr>
      <w:r>
        <w:rPr>
          <w:sz w:val="28"/>
          <w:szCs w:val="28"/>
        </w:rPr>
        <w:t xml:space="preserve">Submission by Henry Davis York </w:t>
      </w:r>
    </w:p>
    <w:p w:rsidR="00113B36" w:rsidRPr="00113B36" w:rsidRDefault="00113B36" w:rsidP="006D5D5C">
      <w:pPr>
        <w:pStyle w:val="Title"/>
        <w:rPr>
          <w:sz w:val="28"/>
          <w:szCs w:val="28"/>
        </w:rPr>
      </w:pPr>
      <w:r>
        <w:rPr>
          <w:sz w:val="28"/>
          <w:szCs w:val="28"/>
        </w:rPr>
        <w:t>16 June 2017</w:t>
      </w:r>
    </w:p>
    <w:p w:rsidR="008A0D8C" w:rsidRPr="001C16AB" w:rsidRDefault="008A0D8C" w:rsidP="006D5D5C">
      <w:pPr>
        <w:pStyle w:val="Title"/>
        <w:rPr>
          <w:sz w:val="36"/>
          <w:szCs w:val="36"/>
        </w:rPr>
      </w:pPr>
    </w:p>
    <w:p w:rsidR="0051288E" w:rsidRDefault="0051288E" w:rsidP="006D5D5C">
      <w:pPr>
        <w:pStyle w:val="Title"/>
        <w:rPr>
          <w:sz w:val="24"/>
          <w:szCs w:val="24"/>
        </w:rPr>
      </w:pPr>
    </w:p>
    <w:p w:rsidR="002E3923" w:rsidRDefault="002E3923">
      <w:pPr>
        <w:spacing w:line="240" w:lineRule="auto"/>
        <w:sectPr w:rsidR="002E3923" w:rsidSect="009B47BC">
          <w:headerReference w:type="even" r:id="rId9"/>
          <w:headerReference w:type="default" r:id="rId10"/>
          <w:footerReference w:type="even" r:id="rId11"/>
          <w:footerReference w:type="default" r:id="rId12"/>
          <w:headerReference w:type="first" r:id="rId13"/>
          <w:footerReference w:type="first" r:id="rId14"/>
          <w:pgSz w:w="11907" w:h="16839"/>
          <w:pgMar w:top="660" w:right="1701" w:bottom="567" w:left="1701" w:header="1134" w:footer="567" w:gutter="0"/>
          <w:pgNumType w:start="1"/>
          <w:cols w:space="708"/>
          <w:titlePg/>
          <w:docGrid w:linePitch="360"/>
        </w:sectPr>
      </w:pPr>
    </w:p>
    <w:p w:rsidR="003B60D6" w:rsidRDefault="003B60D6" w:rsidP="00571B8C">
      <w:pPr>
        <w:pStyle w:val="TOC"/>
      </w:pPr>
      <w:r w:rsidRPr="001762F9">
        <w:lastRenderedPageBreak/>
        <w:t>TABLE OF CONTENTS</w:t>
      </w:r>
    </w:p>
    <w:p w:rsidR="00240603" w:rsidRDefault="00240603" w:rsidP="00B110C1"/>
    <w:p w:rsidR="007C493C" w:rsidRDefault="006E1F4B">
      <w:pPr>
        <w:pStyle w:val="TOC1"/>
        <w:rPr>
          <w:rFonts w:asciiTheme="minorHAnsi" w:eastAsiaTheme="minorEastAsia" w:hAnsiTheme="minorHAnsi" w:cstheme="minorBidi"/>
          <w:color w:val="auto"/>
          <w:sz w:val="22"/>
          <w:szCs w:val="22"/>
        </w:rPr>
      </w:pPr>
      <w:r>
        <w:rPr>
          <w:color w:val="00A99D"/>
        </w:rPr>
        <w:fldChar w:fldCharType="begin"/>
      </w:r>
      <w:r>
        <w:rPr>
          <w:color w:val="00A99D"/>
        </w:rPr>
        <w:instrText xml:space="preserve"> TOC \o "3-4" \f \t "Heading 1,1,Heading 2,2,Level 1 (Legal),1" </w:instrText>
      </w:r>
      <w:r>
        <w:rPr>
          <w:color w:val="00A99D"/>
        </w:rPr>
        <w:fldChar w:fldCharType="separate"/>
      </w:r>
      <w:r w:rsidR="007C493C">
        <w:t>1</w:t>
      </w:r>
      <w:r w:rsidR="007C493C">
        <w:rPr>
          <w:rFonts w:asciiTheme="minorHAnsi" w:eastAsiaTheme="minorEastAsia" w:hAnsiTheme="minorHAnsi" w:cstheme="minorBidi"/>
          <w:color w:val="auto"/>
          <w:sz w:val="22"/>
          <w:szCs w:val="22"/>
        </w:rPr>
        <w:tab/>
      </w:r>
      <w:r w:rsidR="007C493C">
        <w:t>About Henry Davis York</w:t>
      </w:r>
      <w:r w:rsidR="007C493C">
        <w:tab/>
      </w:r>
      <w:r w:rsidR="007C493C">
        <w:fldChar w:fldCharType="begin"/>
      </w:r>
      <w:r w:rsidR="007C493C">
        <w:instrText xml:space="preserve"> PAGEREF _Toc485402002 \h </w:instrText>
      </w:r>
      <w:r w:rsidR="007C493C">
        <w:fldChar w:fldCharType="separate"/>
      </w:r>
      <w:r w:rsidR="007C493C">
        <w:t>3</w:t>
      </w:r>
      <w:r w:rsidR="007C493C">
        <w:fldChar w:fldCharType="end"/>
      </w:r>
    </w:p>
    <w:p w:rsidR="007C493C" w:rsidRDefault="007C493C">
      <w:pPr>
        <w:pStyle w:val="TOC1"/>
        <w:rPr>
          <w:rFonts w:asciiTheme="minorHAnsi" w:eastAsiaTheme="minorEastAsia" w:hAnsiTheme="minorHAnsi" w:cstheme="minorBidi"/>
          <w:color w:val="auto"/>
          <w:sz w:val="22"/>
          <w:szCs w:val="22"/>
        </w:rPr>
      </w:pPr>
      <w:r>
        <w:t>2</w:t>
      </w:r>
      <w:r>
        <w:rPr>
          <w:rFonts w:asciiTheme="minorHAnsi" w:eastAsiaTheme="minorEastAsia" w:hAnsiTheme="minorHAnsi" w:cstheme="minorBidi"/>
          <w:color w:val="auto"/>
          <w:sz w:val="22"/>
          <w:szCs w:val="22"/>
        </w:rPr>
        <w:tab/>
      </w:r>
      <w:r>
        <w:t>Introduction</w:t>
      </w:r>
      <w:r>
        <w:tab/>
      </w:r>
      <w:r>
        <w:fldChar w:fldCharType="begin"/>
      </w:r>
      <w:r>
        <w:instrText xml:space="preserve"> PAGEREF _Toc485402003 \h </w:instrText>
      </w:r>
      <w:r>
        <w:fldChar w:fldCharType="separate"/>
      </w:r>
      <w:r>
        <w:t>3</w:t>
      </w:r>
      <w:r>
        <w:fldChar w:fldCharType="end"/>
      </w:r>
    </w:p>
    <w:p w:rsidR="007C493C" w:rsidRDefault="007C493C">
      <w:pPr>
        <w:pStyle w:val="TOC1"/>
        <w:rPr>
          <w:rFonts w:asciiTheme="minorHAnsi" w:eastAsiaTheme="minorEastAsia" w:hAnsiTheme="minorHAnsi" w:cstheme="minorBidi"/>
          <w:color w:val="auto"/>
          <w:sz w:val="22"/>
          <w:szCs w:val="22"/>
        </w:rPr>
      </w:pPr>
      <w:r>
        <w:t>3</w:t>
      </w:r>
      <w:r>
        <w:rPr>
          <w:rFonts w:asciiTheme="minorHAnsi" w:eastAsiaTheme="minorEastAsia" w:hAnsiTheme="minorHAnsi" w:cstheme="minorBidi"/>
          <w:color w:val="auto"/>
          <w:sz w:val="22"/>
          <w:szCs w:val="22"/>
        </w:rPr>
        <w:tab/>
      </w:r>
      <w:r>
        <w:t>Reform to Part 5.8A of the Corporations Act</w:t>
      </w:r>
      <w:r>
        <w:tab/>
      </w:r>
      <w:r>
        <w:fldChar w:fldCharType="begin"/>
      </w:r>
      <w:r>
        <w:instrText xml:space="preserve"> PAGEREF _Toc485402004 \h </w:instrText>
      </w:r>
      <w:r>
        <w:fldChar w:fldCharType="separate"/>
      </w:r>
      <w:r>
        <w:t>4</w:t>
      </w:r>
      <w:r>
        <w:fldChar w:fldCharType="end"/>
      </w:r>
    </w:p>
    <w:p w:rsidR="007C493C" w:rsidRDefault="007C493C">
      <w:pPr>
        <w:pStyle w:val="TOC1"/>
        <w:rPr>
          <w:rFonts w:asciiTheme="minorHAnsi" w:eastAsiaTheme="minorEastAsia" w:hAnsiTheme="minorHAnsi" w:cstheme="minorBidi"/>
          <w:color w:val="auto"/>
          <w:sz w:val="22"/>
          <w:szCs w:val="22"/>
        </w:rPr>
      </w:pPr>
      <w:r>
        <w:t>4</w:t>
      </w:r>
      <w:r>
        <w:rPr>
          <w:rFonts w:asciiTheme="minorHAnsi" w:eastAsiaTheme="minorEastAsia" w:hAnsiTheme="minorHAnsi" w:cstheme="minorBidi"/>
          <w:color w:val="auto"/>
          <w:sz w:val="22"/>
          <w:szCs w:val="22"/>
        </w:rPr>
        <w:tab/>
      </w:r>
      <w:r>
        <w:t>Preventing abuse of corporate group structures to avoid paying employee entitlements</w:t>
      </w:r>
      <w:r>
        <w:tab/>
      </w:r>
      <w:r>
        <w:fldChar w:fldCharType="begin"/>
      </w:r>
      <w:r>
        <w:instrText xml:space="preserve"> PAGEREF _Toc485402005 \h </w:instrText>
      </w:r>
      <w:r>
        <w:fldChar w:fldCharType="separate"/>
      </w:r>
      <w:r>
        <w:t>8</w:t>
      </w:r>
      <w:r>
        <w:fldChar w:fldCharType="end"/>
      </w:r>
    </w:p>
    <w:p w:rsidR="007C493C" w:rsidRDefault="007C493C">
      <w:pPr>
        <w:pStyle w:val="TOC1"/>
        <w:rPr>
          <w:rFonts w:asciiTheme="minorHAnsi" w:eastAsiaTheme="minorEastAsia" w:hAnsiTheme="minorHAnsi" w:cstheme="minorBidi"/>
          <w:color w:val="auto"/>
          <w:sz w:val="22"/>
          <w:szCs w:val="22"/>
        </w:rPr>
      </w:pPr>
      <w:r>
        <w:t>5</w:t>
      </w:r>
      <w:r>
        <w:rPr>
          <w:rFonts w:asciiTheme="minorHAnsi" w:eastAsiaTheme="minorEastAsia" w:hAnsiTheme="minorHAnsi" w:cstheme="minorBidi"/>
          <w:color w:val="auto"/>
          <w:sz w:val="22"/>
          <w:szCs w:val="22"/>
        </w:rPr>
        <w:tab/>
      </w:r>
      <w:r>
        <w:t>Sanctioning directors and officers with a track record of involvement in insolvencies where FEG is relied upon</w:t>
      </w:r>
      <w:r>
        <w:tab/>
      </w:r>
      <w:r>
        <w:fldChar w:fldCharType="begin"/>
      </w:r>
      <w:r>
        <w:instrText xml:space="preserve"> PAGEREF _Toc485402006 \h </w:instrText>
      </w:r>
      <w:r>
        <w:fldChar w:fldCharType="separate"/>
      </w:r>
      <w:r>
        <w:t>10</w:t>
      </w:r>
      <w:r>
        <w:fldChar w:fldCharType="end"/>
      </w:r>
    </w:p>
    <w:p w:rsidR="007C493C" w:rsidRDefault="007C493C">
      <w:pPr>
        <w:pStyle w:val="TOC1"/>
        <w:rPr>
          <w:rFonts w:asciiTheme="minorHAnsi" w:eastAsiaTheme="minorEastAsia" w:hAnsiTheme="minorHAnsi" w:cstheme="minorBidi"/>
          <w:color w:val="auto"/>
          <w:sz w:val="22"/>
          <w:szCs w:val="22"/>
        </w:rPr>
      </w:pPr>
      <w:r>
        <w:t>6</w:t>
      </w:r>
      <w:r>
        <w:rPr>
          <w:rFonts w:asciiTheme="minorHAnsi" w:eastAsiaTheme="minorEastAsia" w:hAnsiTheme="minorHAnsi" w:cstheme="minorBidi"/>
          <w:color w:val="auto"/>
          <w:sz w:val="22"/>
          <w:szCs w:val="22"/>
        </w:rPr>
        <w:tab/>
      </w:r>
      <w:r>
        <w:t>Corporate trustees and clarity on competing priorities</w:t>
      </w:r>
      <w:r>
        <w:tab/>
      </w:r>
      <w:r>
        <w:fldChar w:fldCharType="begin"/>
      </w:r>
      <w:r>
        <w:instrText xml:space="preserve"> PAGEREF _Toc485402007 \h </w:instrText>
      </w:r>
      <w:r>
        <w:fldChar w:fldCharType="separate"/>
      </w:r>
      <w:r>
        <w:t>10</w:t>
      </w:r>
      <w:r>
        <w:fldChar w:fldCharType="end"/>
      </w:r>
    </w:p>
    <w:p w:rsidR="007C493C" w:rsidRDefault="007C493C">
      <w:pPr>
        <w:pStyle w:val="TOC1"/>
        <w:rPr>
          <w:rFonts w:asciiTheme="minorHAnsi" w:eastAsiaTheme="minorEastAsia" w:hAnsiTheme="minorHAnsi" w:cstheme="minorBidi"/>
          <w:color w:val="auto"/>
          <w:sz w:val="22"/>
          <w:szCs w:val="22"/>
        </w:rPr>
      </w:pPr>
      <w:r>
        <w:t>7</w:t>
      </w:r>
      <w:r>
        <w:rPr>
          <w:rFonts w:asciiTheme="minorHAnsi" w:eastAsiaTheme="minorEastAsia" w:hAnsiTheme="minorHAnsi" w:cstheme="minorBidi"/>
          <w:color w:val="auto"/>
          <w:sz w:val="22"/>
          <w:szCs w:val="22"/>
        </w:rPr>
        <w:tab/>
      </w:r>
      <w:r>
        <w:t>Additional suggested reforms by HDY</w:t>
      </w:r>
      <w:r>
        <w:tab/>
      </w:r>
      <w:r>
        <w:fldChar w:fldCharType="begin"/>
      </w:r>
      <w:r>
        <w:instrText xml:space="preserve"> PAGEREF _Toc485402008 \h </w:instrText>
      </w:r>
      <w:r>
        <w:fldChar w:fldCharType="separate"/>
      </w:r>
      <w:r>
        <w:t>11</w:t>
      </w:r>
      <w:r>
        <w:fldChar w:fldCharType="end"/>
      </w:r>
    </w:p>
    <w:p w:rsidR="007C493C" w:rsidRDefault="007C493C">
      <w:pPr>
        <w:pStyle w:val="TOC1"/>
        <w:rPr>
          <w:rFonts w:asciiTheme="minorHAnsi" w:eastAsiaTheme="minorEastAsia" w:hAnsiTheme="minorHAnsi" w:cstheme="minorBidi"/>
          <w:color w:val="auto"/>
          <w:sz w:val="22"/>
          <w:szCs w:val="22"/>
        </w:rPr>
      </w:pPr>
      <w:r>
        <w:t>Appendix A</w:t>
      </w:r>
      <w:r>
        <w:tab/>
      </w:r>
      <w:r>
        <w:fldChar w:fldCharType="begin"/>
      </w:r>
      <w:r>
        <w:instrText xml:space="preserve"> PAGEREF _Toc485402009 \h </w:instrText>
      </w:r>
      <w:r>
        <w:fldChar w:fldCharType="separate"/>
      </w:r>
      <w:r>
        <w:t>14</w:t>
      </w:r>
      <w:r>
        <w:fldChar w:fldCharType="end"/>
      </w:r>
    </w:p>
    <w:p w:rsidR="007C493C" w:rsidRDefault="007C493C">
      <w:pPr>
        <w:pStyle w:val="TOC1"/>
        <w:rPr>
          <w:rFonts w:asciiTheme="minorHAnsi" w:eastAsiaTheme="minorEastAsia" w:hAnsiTheme="minorHAnsi" w:cstheme="minorBidi"/>
          <w:color w:val="auto"/>
          <w:sz w:val="22"/>
          <w:szCs w:val="22"/>
        </w:rPr>
      </w:pPr>
      <w:r>
        <w:t>Appendix B</w:t>
      </w:r>
      <w:r>
        <w:tab/>
      </w:r>
      <w:r>
        <w:fldChar w:fldCharType="begin"/>
      </w:r>
      <w:r>
        <w:instrText xml:space="preserve"> PAGEREF _Toc485402010 \h </w:instrText>
      </w:r>
      <w:r>
        <w:fldChar w:fldCharType="separate"/>
      </w:r>
      <w:r>
        <w:t>17</w:t>
      </w:r>
      <w:r>
        <w:fldChar w:fldCharType="end"/>
      </w:r>
    </w:p>
    <w:p w:rsidR="00531427" w:rsidRDefault="006E1F4B" w:rsidP="00B110C1">
      <w:r>
        <w:rPr>
          <w:noProof/>
          <w:color w:val="00A99D"/>
          <w:sz w:val="24"/>
        </w:rPr>
        <w:fldChar w:fldCharType="end"/>
      </w:r>
    </w:p>
    <w:p w:rsidR="00D73A16" w:rsidRDefault="00D73A16" w:rsidP="001A669C">
      <w:pPr>
        <w:spacing w:line="240" w:lineRule="auto"/>
        <w:sectPr w:rsidR="00D73A16" w:rsidSect="009B47BC">
          <w:headerReference w:type="first" r:id="rId15"/>
          <w:footerReference w:type="first" r:id="rId16"/>
          <w:pgSz w:w="11907" w:h="16839"/>
          <w:pgMar w:top="1134" w:right="1701" w:bottom="567" w:left="1701" w:header="1134" w:footer="567" w:gutter="0"/>
          <w:cols w:space="708"/>
          <w:titlePg/>
          <w:docGrid w:linePitch="360"/>
        </w:sectPr>
      </w:pPr>
    </w:p>
    <w:p w:rsidR="00663C0E" w:rsidRPr="00C81332" w:rsidRDefault="00663C0E" w:rsidP="0023188F">
      <w:pPr>
        <w:pStyle w:val="Level1Legal"/>
      </w:pPr>
      <w:bookmarkStart w:id="0" w:name="_Toc485402002"/>
      <w:r>
        <w:lastRenderedPageBreak/>
        <w:t>About Henry Davis York</w:t>
      </w:r>
      <w:bookmarkEnd w:id="0"/>
    </w:p>
    <w:p w:rsidR="00663C0E" w:rsidRPr="00113B36" w:rsidRDefault="00663C0E" w:rsidP="00113B36">
      <w:pPr>
        <w:pStyle w:val="Level2Schedule"/>
        <w:rPr>
          <w:sz w:val="21"/>
        </w:rPr>
      </w:pPr>
      <w:r w:rsidRPr="00113B36">
        <w:rPr>
          <w:sz w:val="21"/>
        </w:rPr>
        <w:t xml:space="preserve">Henry Davis York has one of Australia's leading restructuring and insolvency practices. </w:t>
      </w:r>
    </w:p>
    <w:p w:rsidR="00663C0E" w:rsidRPr="00113B36" w:rsidRDefault="00663C0E" w:rsidP="00113B36">
      <w:pPr>
        <w:pStyle w:val="Level2Schedule"/>
        <w:rPr>
          <w:sz w:val="21"/>
        </w:rPr>
      </w:pPr>
      <w:r w:rsidRPr="00113B36">
        <w:rPr>
          <w:sz w:val="21"/>
        </w:rPr>
        <w:t xml:space="preserve">Our team is consistently recognised by our clients, peers and industry bodies for its pre-eminence, evidenced by the complexity, scale and sensitivity of the matters entrusted to us. We have had leading roles in Australia's most important and high profile corporate collapses, major insolvencies and ground-breaking restructurings in recent years, and many of the matters our team has advised on have involved 'firsts' which have led to landmark judgments and changes in the law. </w:t>
      </w:r>
    </w:p>
    <w:p w:rsidR="00E40222" w:rsidRPr="00113B36" w:rsidRDefault="00663C0E" w:rsidP="00113B36">
      <w:pPr>
        <w:pStyle w:val="Level2Schedule"/>
        <w:rPr>
          <w:color w:val="auto"/>
          <w:sz w:val="21"/>
        </w:rPr>
      </w:pPr>
      <w:r w:rsidRPr="00113B36">
        <w:rPr>
          <w:sz w:val="21"/>
        </w:rPr>
        <w:t xml:space="preserve">Relevantly, we </w:t>
      </w:r>
      <w:r w:rsidR="000953B2">
        <w:rPr>
          <w:sz w:val="21"/>
        </w:rPr>
        <w:t xml:space="preserve">have provided extensive advice </w:t>
      </w:r>
      <w:r w:rsidRPr="00113B36">
        <w:rPr>
          <w:sz w:val="21"/>
        </w:rPr>
        <w:t xml:space="preserve">to the Commonwealth </w:t>
      </w:r>
      <w:r w:rsidR="00CD5261">
        <w:rPr>
          <w:sz w:val="21"/>
        </w:rPr>
        <w:t xml:space="preserve">of Australia </w:t>
      </w:r>
      <w:r w:rsidRPr="00113B36">
        <w:rPr>
          <w:sz w:val="21"/>
        </w:rPr>
        <w:t xml:space="preserve">as represented by the Department of Employment in respect of </w:t>
      </w:r>
      <w:r w:rsidR="000953B2">
        <w:rPr>
          <w:sz w:val="21"/>
        </w:rPr>
        <w:t xml:space="preserve">issues arising under the </w:t>
      </w:r>
      <w:r w:rsidRPr="00113B36">
        <w:rPr>
          <w:i/>
          <w:sz w:val="21"/>
        </w:rPr>
        <w:t>Fair Entitlement Guarantees Act 2012</w:t>
      </w:r>
      <w:r w:rsidRPr="00113B36">
        <w:rPr>
          <w:sz w:val="21"/>
        </w:rPr>
        <w:t xml:space="preserve"> (</w:t>
      </w:r>
      <w:proofErr w:type="spellStart"/>
      <w:r w:rsidRPr="00113B36">
        <w:rPr>
          <w:sz w:val="21"/>
        </w:rPr>
        <w:t>Cth</w:t>
      </w:r>
      <w:proofErr w:type="spellEnd"/>
      <w:r w:rsidRPr="00113B36">
        <w:rPr>
          <w:sz w:val="21"/>
        </w:rPr>
        <w:t>) (</w:t>
      </w:r>
      <w:proofErr w:type="spellStart"/>
      <w:r w:rsidRPr="00113B36">
        <w:rPr>
          <w:b/>
          <w:sz w:val="21"/>
        </w:rPr>
        <w:t>FEG</w:t>
      </w:r>
      <w:proofErr w:type="spellEnd"/>
      <w:r w:rsidRPr="00113B36">
        <w:rPr>
          <w:b/>
          <w:sz w:val="21"/>
        </w:rPr>
        <w:t xml:space="preserve"> Act</w:t>
      </w:r>
      <w:r w:rsidR="000953B2">
        <w:rPr>
          <w:sz w:val="21"/>
        </w:rPr>
        <w:t>)</w:t>
      </w:r>
      <w:r w:rsidR="00CA2F16">
        <w:rPr>
          <w:sz w:val="21"/>
        </w:rPr>
        <w:t>. W</w:t>
      </w:r>
      <w:r w:rsidRPr="00113B36">
        <w:rPr>
          <w:sz w:val="21"/>
        </w:rPr>
        <w:t>e</w:t>
      </w:r>
      <w:r w:rsidR="000953B2">
        <w:rPr>
          <w:sz w:val="21"/>
        </w:rPr>
        <w:t xml:space="preserve"> presently act for the liquidators of </w:t>
      </w:r>
      <w:proofErr w:type="spellStart"/>
      <w:r w:rsidR="000953B2">
        <w:rPr>
          <w:sz w:val="21"/>
        </w:rPr>
        <w:t>Bruck</w:t>
      </w:r>
      <w:proofErr w:type="spellEnd"/>
      <w:r w:rsidR="000953B2">
        <w:rPr>
          <w:sz w:val="21"/>
        </w:rPr>
        <w:t xml:space="preserve"> Textile Technologies Pty Ltd (in liquidation)</w:t>
      </w:r>
      <w:r w:rsidR="00C65485">
        <w:rPr>
          <w:sz w:val="21"/>
        </w:rPr>
        <w:t xml:space="preserve"> in </w:t>
      </w:r>
      <w:r w:rsidR="00CA2F16">
        <w:rPr>
          <w:sz w:val="21"/>
        </w:rPr>
        <w:t xml:space="preserve">proceedings </w:t>
      </w:r>
      <w:r w:rsidR="00C65485" w:rsidRPr="00113B36">
        <w:rPr>
          <w:sz w:val="21"/>
        </w:rPr>
        <w:t xml:space="preserve">under Part 5.8A of the </w:t>
      </w:r>
      <w:r w:rsidR="00C65485" w:rsidRPr="00113B36">
        <w:rPr>
          <w:i/>
          <w:sz w:val="21"/>
        </w:rPr>
        <w:t>Corporations Act 2001</w:t>
      </w:r>
      <w:r w:rsidR="00C65485" w:rsidRPr="00113B36">
        <w:rPr>
          <w:sz w:val="21"/>
        </w:rPr>
        <w:t xml:space="preserve"> (</w:t>
      </w:r>
      <w:proofErr w:type="spellStart"/>
      <w:r w:rsidR="00C65485" w:rsidRPr="00113B36">
        <w:rPr>
          <w:sz w:val="21"/>
        </w:rPr>
        <w:t>Cth</w:t>
      </w:r>
      <w:proofErr w:type="spellEnd"/>
      <w:r w:rsidR="00C65485" w:rsidRPr="00113B36">
        <w:rPr>
          <w:sz w:val="21"/>
        </w:rPr>
        <w:t>)</w:t>
      </w:r>
      <w:r w:rsidR="000953B2">
        <w:rPr>
          <w:sz w:val="21"/>
        </w:rPr>
        <w:t xml:space="preserve"> in</w:t>
      </w:r>
      <w:r w:rsidR="00CA2F16">
        <w:rPr>
          <w:sz w:val="21"/>
        </w:rPr>
        <w:t xml:space="preserve"> the Federal Court of Australia</w:t>
      </w:r>
      <w:r w:rsidR="000953B2" w:rsidRPr="00113B36">
        <w:rPr>
          <w:sz w:val="21"/>
        </w:rPr>
        <w:t>.</w:t>
      </w:r>
    </w:p>
    <w:p w:rsidR="00663C0E" w:rsidRDefault="00663C0E" w:rsidP="0023188F">
      <w:pPr>
        <w:pStyle w:val="Level1Legal"/>
      </w:pPr>
      <w:bookmarkStart w:id="1" w:name="_Toc485402003"/>
      <w:r>
        <w:t>Introduction</w:t>
      </w:r>
      <w:bookmarkEnd w:id="1"/>
    </w:p>
    <w:p w:rsidR="00663C0E" w:rsidRPr="00113B36" w:rsidRDefault="00663C0E" w:rsidP="0023188F">
      <w:pPr>
        <w:pStyle w:val="Level2Legal"/>
        <w:rPr>
          <w:sz w:val="21"/>
        </w:rPr>
      </w:pPr>
      <w:r w:rsidRPr="00113B36">
        <w:rPr>
          <w:sz w:val="21"/>
        </w:rPr>
        <w:t xml:space="preserve">The Consultation Paper makes a compelling case for reforms </w:t>
      </w:r>
      <w:r w:rsidR="00346E63">
        <w:rPr>
          <w:sz w:val="21"/>
        </w:rPr>
        <w:t xml:space="preserve">which would have the effect of ensuring that </w:t>
      </w:r>
      <w:r w:rsidR="00346E63">
        <w:rPr>
          <w:sz w:val="21"/>
        </w:rPr>
        <w:t xml:space="preserve">the </w:t>
      </w:r>
      <w:r w:rsidR="00346E63" w:rsidRPr="00113B36">
        <w:rPr>
          <w:sz w:val="21"/>
        </w:rPr>
        <w:t xml:space="preserve">scheme established by the </w:t>
      </w:r>
      <w:proofErr w:type="spellStart"/>
      <w:r w:rsidR="00346E63" w:rsidRPr="00113B36">
        <w:rPr>
          <w:sz w:val="21"/>
        </w:rPr>
        <w:t>FEG</w:t>
      </w:r>
      <w:proofErr w:type="spellEnd"/>
      <w:r w:rsidR="00346E63" w:rsidRPr="00113B36">
        <w:rPr>
          <w:sz w:val="21"/>
        </w:rPr>
        <w:t xml:space="preserve"> Act (</w:t>
      </w:r>
      <w:proofErr w:type="spellStart"/>
      <w:r w:rsidR="00346E63" w:rsidRPr="00113B36">
        <w:rPr>
          <w:b/>
          <w:sz w:val="21"/>
        </w:rPr>
        <w:t>FEG</w:t>
      </w:r>
      <w:proofErr w:type="spellEnd"/>
      <w:r w:rsidR="00346E63" w:rsidRPr="00113B36">
        <w:rPr>
          <w:b/>
          <w:sz w:val="21"/>
        </w:rPr>
        <w:t xml:space="preserve"> Scheme</w:t>
      </w:r>
      <w:r w:rsidR="00346E63" w:rsidRPr="00113B36">
        <w:rPr>
          <w:sz w:val="21"/>
        </w:rPr>
        <w:t xml:space="preserve">) </w:t>
      </w:r>
      <w:r w:rsidR="00346E63">
        <w:rPr>
          <w:sz w:val="21"/>
        </w:rPr>
        <w:t>operates as</w:t>
      </w:r>
      <w:r w:rsidRPr="00113B36">
        <w:rPr>
          <w:sz w:val="21"/>
        </w:rPr>
        <w:t xml:space="preserve"> a genuine safety net for employees who suffer financial loss because of the insolvency of their employer. </w:t>
      </w:r>
    </w:p>
    <w:p w:rsidR="00663C0E" w:rsidRPr="00113B36" w:rsidRDefault="00663C0E" w:rsidP="0023188F">
      <w:pPr>
        <w:pStyle w:val="Level2Legal"/>
        <w:rPr>
          <w:sz w:val="21"/>
        </w:rPr>
      </w:pPr>
      <w:r w:rsidRPr="00113B36">
        <w:rPr>
          <w:sz w:val="21"/>
        </w:rPr>
        <w:t>Achieving this overall goal is important not only as a matter of achieving good public policy but also to ensure that the FEG Scheme remains on financially sustainable footing over the longer term.</w:t>
      </w:r>
    </w:p>
    <w:p w:rsidR="00663C0E" w:rsidRPr="00113B36" w:rsidRDefault="00663C0E" w:rsidP="0023188F">
      <w:pPr>
        <w:pStyle w:val="Level2Legal"/>
        <w:rPr>
          <w:sz w:val="21"/>
        </w:rPr>
      </w:pPr>
      <w:r w:rsidRPr="00113B36">
        <w:rPr>
          <w:sz w:val="21"/>
        </w:rPr>
        <w:t xml:space="preserve">On that latter score, the Consultation Paper notes the advances made by the FEG Recovery Program to achieve financial recoveries to offset the outlays made by the Commonwealth under the FEG Scheme. </w:t>
      </w:r>
      <w:r w:rsidR="00AE3CE6">
        <w:rPr>
          <w:sz w:val="21"/>
        </w:rPr>
        <w:t xml:space="preserve">The Australian Government is to be commended for its now permanent commitment to this innovative approach. </w:t>
      </w:r>
      <w:r w:rsidR="001932A7">
        <w:rPr>
          <w:sz w:val="21"/>
        </w:rPr>
        <w:t>This will play an increasingly important role in achieving the goals of the proposed reform by providing much</w:t>
      </w:r>
      <w:r w:rsidR="0033409A">
        <w:rPr>
          <w:sz w:val="21"/>
        </w:rPr>
        <w:t>-</w:t>
      </w:r>
      <w:r w:rsidR="001932A7">
        <w:rPr>
          <w:sz w:val="21"/>
        </w:rPr>
        <w:t>needed resources</w:t>
      </w:r>
      <w:r w:rsidR="0080631C">
        <w:rPr>
          <w:sz w:val="21"/>
        </w:rPr>
        <w:t xml:space="preserve"> to bring appropriate actions</w:t>
      </w:r>
      <w:r w:rsidR="001932A7">
        <w:rPr>
          <w:sz w:val="21"/>
        </w:rPr>
        <w:t xml:space="preserve">. </w:t>
      </w:r>
    </w:p>
    <w:p w:rsidR="00663C0E" w:rsidRPr="00113B36" w:rsidRDefault="00663C0E" w:rsidP="0023188F">
      <w:pPr>
        <w:pStyle w:val="Level2Legal"/>
        <w:rPr>
          <w:sz w:val="21"/>
        </w:rPr>
      </w:pPr>
      <w:r w:rsidRPr="00113B36">
        <w:rPr>
          <w:sz w:val="21"/>
        </w:rPr>
        <w:t xml:space="preserve">Also, we acknowledge the Government's previous attempts via </w:t>
      </w:r>
      <w:r w:rsidRPr="0080631C">
        <w:rPr>
          <w:sz w:val="21"/>
        </w:rPr>
        <w:t>the</w:t>
      </w:r>
      <w:r w:rsidRPr="0080631C">
        <w:rPr>
          <w:i/>
          <w:sz w:val="21"/>
        </w:rPr>
        <w:t xml:space="preserve"> Fair Entitlements Guarantee Amendment Bill 2014</w:t>
      </w:r>
      <w:r w:rsidRPr="00113B36">
        <w:rPr>
          <w:sz w:val="21"/>
        </w:rPr>
        <w:t xml:space="preserve"> </w:t>
      </w:r>
      <w:r w:rsidRPr="00113B36">
        <w:rPr>
          <w:sz w:val="21"/>
          <w:lang w:val="en"/>
        </w:rPr>
        <w:t>to reduce the maximum redundancy pay entitlement under the FEG Scheme</w:t>
      </w:r>
      <w:r w:rsidR="003C45D2" w:rsidRPr="00113B36">
        <w:rPr>
          <w:sz w:val="21"/>
          <w:lang w:val="en"/>
        </w:rPr>
        <w:t xml:space="preserve"> by capping it at</w:t>
      </w:r>
      <w:r w:rsidRPr="00113B36">
        <w:rPr>
          <w:sz w:val="21"/>
          <w:lang w:val="en"/>
        </w:rPr>
        <w:t xml:space="preserve"> 16 weeks' pay. This was estimated at the time as likely to result in savings of $79.4 million over the forward estimates.</w:t>
      </w:r>
      <w:r w:rsidRPr="00113B36">
        <w:rPr>
          <w:rStyle w:val="FootnoteReference"/>
          <w:sz w:val="21"/>
          <w:lang w:val="en"/>
        </w:rPr>
        <w:footnoteReference w:id="1"/>
      </w:r>
      <w:r w:rsidR="003C45D2" w:rsidRPr="00113B36">
        <w:rPr>
          <w:sz w:val="21"/>
          <w:lang w:val="en"/>
        </w:rPr>
        <w:t>A t</w:t>
      </w:r>
      <w:r w:rsidRPr="00113B36">
        <w:rPr>
          <w:sz w:val="21"/>
          <w:lang w:val="en"/>
        </w:rPr>
        <w:t xml:space="preserve">axpayer subsidy of redundancy payments of more than 16 weeks is difficult to justify. We suggest that the Australian Government give consideration to the prospects of reviving that </w:t>
      </w:r>
      <w:r w:rsidR="0080631C">
        <w:rPr>
          <w:sz w:val="21"/>
          <w:lang w:val="en"/>
        </w:rPr>
        <w:t>bill</w:t>
      </w:r>
      <w:r w:rsidRPr="00113B36">
        <w:rPr>
          <w:sz w:val="21"/>
          <w:lang w:val="en"/>
        </w:rPr>
        <w:t>.</w:t>
      </w:r>
    </w:p>
    <w:p w:rsidR="00663C0E" w:rsidRPr="00113B36" w:rsidRDefault="00BA6249" w:rsidP="0023188F">
      <w:pPr>
        <w:pStyle w:val="Level2Legal"/>
        <w:rPr>
          <w:sz w:val="21"/>
        </w:rPr>
      </w:pPr>
      <w:r>
        <w:rPr>
          <w:sz w:val="21"/>
        </w:rPr>
        <w:t>As</w:t>
      </w:r>
      <w:r w:rsidR="00663C0E" w:rsidRPr="00113B36">
        <w:rPr>
          <w:sz w:val="21"/>
        </w:rPr>
        <w:t xml:space="preserve"> the submission of the Australian Restructuring Insolvency and Turnaround Association (</w:t>
      </w:r>
      <w:proofErr w:type="spellStart"/>
      <w:r w:rsidR="00663C0E" w:rsidRPr="00113B36">
        <w:rPr>
          <w:b/>
          <w:sz w:val="21"/>
        </w:rPr>
        <w:t>ARITA</w:t>
      </w:r>
      <w:proofErr w:type="spellEnd"/>
      <w:r w:rsidR="00663C0E" w:rsidRPr="00113B36">
        <w:rPr>
          <w:sz w:val="21"/>
        </w:rPr>
        <w:t xml:space="preserve">) notes, the existence of the FEG Scheme since the inception of </w:t>
      </w:r>
      <w:r w:rsidR="00663C0E" w:rsidRPr="00113B36">
        <w:rPr>
          <w:sz w:val="21"/>
        </w:rPr>
        <w:lastRenderedPageBreak/>
        <w:t>its predecessor schemes has carried with it the moral hazard that responsibility for unpaid employee entitlements</w:t>
      </w:r>
      <w:r w:rsidR="003C45D2" w:rsidRPr="00113B36">
        <w:rPr>
          <w:sz w:val="21"/>
        </w:rPr>
        <w:t xml:space="preserve"> could be passed onto tax</w:t>
      </w:r>
      <w:r w:rsidR="00663C0E" w:rsidRPr="00113B36">
        <w:rPr>
          <w:sz w:val="21"/>
        </w:rPr>
        <w:t>payers.</w:t>
      </w:r>
    </w:p>
    <w:p w:rsidR="00663C0E" w:rsidRPr="00113B36" w:rsidRDefault="00663C0E" w:rsidP="0023188F">
      <w:pPr>
        <w:pStyle w:val="Level2Legal"/>
        <w:rPr>
          <w:sz w:val="21"/>
        </w:rPr>
      </w:pPr>
      <w:r w:rsidRPr="00113B36">
        <w:rPr>
          <w:sz w:val="21"/>
        </w:rPr>
        <w:t>The Consultation Paper gives significant weight to the widespread concern that the FEG Scheme is being abused by reason of practices calculated to offload a business' financial liabilities onto the taxpayer using the FEG Scheme. Those concerns were well expressed by one commentator in The Australian newspaper on 20 April 2016:</w:t>
      </w:r>
    </w:p>
    <w:p w:rsidR="00663C0E" w:rsidRPr="00113B36" w:rsidRDefault="00663C0E" w:rsidP="0023188F">
      <w:pPr>
        <w:pStyle w:val="Level2Legal"/>
        <w:numPr>
          <w:ilvl w:val="0"/>
          <w:numId w:val="0"/>
        </w:numPr>
        <w:ind w:left="1440"/>
        <w:rPr>
          <w:sz w:val="21"/>
        </w:rPr>
      </w:pPr>
      <w:r w:rsidRPr="00113B36">
        <w:rPr>
          <w:sz w:val="21"/>
        </w:rPr>
        <w:t>After all, when a company goes broke and a government fund automatically kicks in to pay millions of dollars to workers to cover unpaid entitlements, those payments send a couple of messages. First, the government will cover at least part of their unpaid entitlements. And second, that if a corporate boss mismanages a business, or worse, if they are a crook or a spiv and fail to pay workers their entitlements, taxpayers will pick up the tab for their financial failures.</w:t>
      </w:r>
    </w:p>
    <w:p w:rsidR="00CD5261" w:rsidRPr="00CD5261" w:rsidRDefault="00663C0E" w:rsidP="0023188F">
      <w:pPr>
        <w:pStyle w:val="Level2Legal"/>
        <w:rPr>
          <w:sz w:val="21"/>
        </w:rPr>
      </w:pPr>
      <w:r w:rsidRPr="00113B36">
        <w:rPr>
          <w:sz w:val="21"/>
        </w:rPr>
        <w:t xml:space="preserve">The Consultation Paper </w:t>
      </w:r>
      <w:r w:rsidR="00CA2F16">
        <w:rPr>
          <w:sz w:val="21"/>
        </w:rPr>
        <w:t xml:space="preserve">therefore </w:t>
      </w:r>
      <w:r w:rsidRPr="00113B36">
        <w:rPr>
          <w:sz w:val="21"/>
        </w:rPr>
        <w:t xml:space="preserve">rightly focuses on measures designed to prevent abuse of </w:t>
      </w:r>
      <w:r w:rsidRPr="00CD5261">
        <w:rPr>
          <w:sz w:val="21"/>
        </w:rPr>
        <w:t xml:space="preserve">the FEG Scheme by: </w:t>
      </w:r>
    </w:p>
    <w:p w:rsidR="00346E63" w:rsidRDefault="00663C0E" w:rsidP="00CD5261">
      <w:pPr>
        <w:pStyle w:val="Level3Legal"/>
        <w:rPr>
          <w:color w:val="414141" w:themeColor="accent6"/>
        </w:rPr>
      </w:pPr>
      <w:r w:rsidRPr="00CD5261">
        <w:rPr>
          <w:color w:val="414141" w:themeColor="accent6"/>
        </w:rPr>
        <w:t>deterring practices which prevent, reduce or avoid the proper pa</w:t>
      </w:r>
      <w:r w:rsidR="00346E63">
        <w:rPr>
          <w:color w:val="414141" w:themeColor="accent6"/>
        </w:rPr>
        <w:t>yment of employee entitlements;</w:t>
      </w:r>
    </w:p>
    <w:p w:rsidR="00CD5261" w:rsidRPr="00CD5261" w:rsidRDefault="00663C0E" w:rsidP="00CD5261">
      <w:pPr>
        <w:pStyle w:val="Level3Legal"/>
        <w:rPr>
          <w:color w:val="414141" w:themeColor="accent6"/>
        </w:rPr>
      </w:pPr>
      <w:r w:rsidRPr="00CD5261">
        <w:rPr>
          <w:color w:val="414141" w:themeColor="accent6"/>
        </w:rPr>
        <w:t xml:space="preserve">reducing improper reliance on the FEG </w:t>
      </w:r>
      <w:r w:rsidR="00CD5261" w:rsidRPr="00CD5261">
        <w:rPr>
          <w:color w:val="414141" w:themeColor="accent6"/>
        </w:rPr>
        <w:t>S</w:t>
      </w:r>
      <w:r w:rsidRPr="00CD5261">
        <w:rPr>
          <w:color w:val="414141" w:themeColor="accent6"/>
        </w:rPr>
        <w:t xml:space="preserve">cheme; and </w:t>
      </w:r>
    </w:p>
    <w:p w:rsidR="003C45D2" w:rsidRPr="00113B36" w:rsidRDefault="00663C0E" w:rsidP="00CD5261">
      <w:pPr>
        <w:pStyle w:val="Level3Legal"/>
      </w:pPr>
      <w:r w:rsidRPr="00CD5261">
        <w:rPr>
          <w:color w:val="414141" w:themeColor="accent6"/>
        </w:rPr>
        <w:t>increasing the consequences for corporate wrongdoing.</w:t>
      </w:r>
    </w:p>
    <w:p w:rsidR="00663C0E" w:rsidRPr="00113B36" w:rsidRDefault="00663C0E" w:rsidP="0023188F">
      <w:pPr>
        <w:pStyle w:val="Level2Legal"/>
        <w:rPr>
          <w:sz w:val="21"/>
        </w:rPr>
      </w:pPr>
      <w:r w:rsidRPr="00113B36">
        <w:rPr>
          <w:sz w:val="21"/>
        </w:rPr>
        <w:t xml:space="preserve">Any reforms </w:t>
      </w:r>
      <w:r w:rsidR="00CD5261">
        <w:rPr>
          <w:sz w:val="21"/>
        </w:rPr>
        <w:t>in connection with the FEG S</w:t>
      </w:r>
      <w:r w:rsidR="00CA2F16">
        <w:rPr>
          <w:sz w:val="21"/>
        </w:rPr>
        <w:t xml:space="preserve">cheme </w:t>
      </w:r>
      <w:r w:rsidRPr="00113B36">
        <w:rPr>
          <w:sz w:val="21"/>
        </w:rPr>
        <w:t xml:space="preserve">will need to be considered in the context of the "safe harbour" and "ipso facto" reforms </w:t>
      </w:r>
      <w:r w:rsidR="00CA2F16">
        <w:rPr>
          <w:sz w:val="21"/>
        </w:rPr>
        <w:t xml:space="preserve">currently before Parliament </w:t>
      </w:r>
      <w:r w:rsidRPr="00113B36">
        <w:rPr>
          <w:sz w:val="21"/>
        </w:rPr>
        <w:t xml:space="preserve">in the </w:t>
      </w:r>
      <w:r w:rsidRPr="0080631C">
        <w:rPr>
          <w:i/>
          <w:sz w:val="21"/>
        </w:rPr>
        <w:t>Treasury Laws Amendment (2017 Enterprise Incentives No. 2 Bill) 2017</w:t>
      </w:r>
      <w:r w:rsidRPr="00113B36">
        <w:rPr>
          <w:sz w:val="21"/>
        </w:rPr>
        <w:t>.</w:t>
      </w:r>
      <w:r w:rsidR="00CA2F16">
        <w:rPr>
          <w:sz w:val="21"/>
        </w:rPr>
        <w:t xml:space="preserve"> It will be important to ensure that the </w:t>
      </w:r>
      <w:r w:rsidR="00CD5261">
        <w:rPr>
          <w:sz w:val="21"/>
        </w:rPr>
        <w:t>FEG S</w:t>
      </w:r>
      <w:r w:rsidR="00FB2E64">
        <w:rPr>
          <w:sz w:val="21"/>
        </w:rPr>
        <w:t xml:space="preserve">cheme </w:t>
      </w:r>
      <w:r w:rsidR="00CA2F16">
        <w:rPr>
          <w:sz w:val="21"/>
        </w:rPr>
        <w:t xml:space="preserve">reforms </w:t>
      </w:r>
      <w:r w:rsidR="00FB2E64">
        <w:rPr>
          <w:sz w:val="21"/>
        </w:rPr>
        <w:t>are consistent</w:t>
      </w:r>
      <w:r w:rsidRPr="00113B36">
        <w:rPr>
          <w:sz w:val="21"/>
        </w:rPr>
        <w:t>, not just in their legislative operation but also in seeking to achieve the policy goal of encouraging a culture of ef</w:t>
      </w:r>
      <w:r w:rsidR="0080631C">
        <w:rPr>
          <w:sz w:val="21"/>
        </w:rPr>
        <w:t>fective business restructuring.</w:t>
      </w:r>
    </w:p>
    <w:p w:rsidR="003C45D2" w:rsidRPr="00762FC3" w:rsidRDefault="003C45D2" w:rsidP="0023188F">
      <w:pPr>
        <w:pStyle w:val="Level1Legal"/>
      </w:pPr>
      <w:bookmarkStart w:id="2" w:name="_Toc485402004"/>
      <w:r w:rsidRPr="00762FC3">
        <w:t>Reform to Part 5.8A of the Corporations Act</w:t>
      </w:r>
      <w:bookmarkEnd w:id="2"/>
    </w:p>
    <w:p w:rsidR="003C45D2" w:rsidRPr="00113B36" w:rsidRDefault="003C45D2" w:rsidP="0023188F">
      <w:pPr>
        <w:pStyle w:val="Level2Legal"/>
        <w:rPr>
          <w:sz w:val="21"/>
        </w:rPr>
      </w:pPr>
      <w:r w:rsidRPr="00113B36">
        <w:rPr>
          <w:sz w:val="21"/>
        </w:rPr>
        <w:t>The Consultation Paper proposes options for reform of Part 5.8A to make it more effective.</w:t>
      </w:r>
    </w:p>
    <w:p w:rsidR="003C45D2" w:rsidRPr="00113B36" w:rsidRDefault="003C45D2" w:rsidP="0023188F">
      <w:pPr>
        <w:pStyle w:val="Level2Legal"/>
        <w:rPr>
          <w:sz w:val="21"/>
        </w:rPr>
      </w:pPr>
      <w:r w:rsidRPr="00113B36">
        <w:rPr>
          <w:sz w:val="21"/>
        </w:rPr>
        <w:t>The law as it currently stands seeks to strongly discourage directors and officers from disadvantaging workers. Section 596AB of the Act creates both a criminal offence and a commercial recovery action for liquidators where transactions have been entered into with a provable intention of avoiding the payment of employee entitlements.</w:t>
      </w:r>
    </w:p>
    <w:p w:rsidR="003C45D2" w:rsidRPr="00113B36" w:rsidRDefault="003C45D2" w:rsidP="0023188F">
      <w:pPr>
        <w:pStyle w:val="Level2Legal"/>
        <w:rPr>
          <w:sz w:val="21"/>
        </w:rPr>
      </w:pPr>
      <w:r w:rsidRPr="00113B36">
        <w:rPr>
          <w:sz w:val="21"/>
        </w:rPr>
        <w:t>However, Part 5.8A has been of little use in securing payment of employees’ entitlements in situations of corporate failure. HDY agrees with the analysis and observations contained in the Consultation Paper that Part 5.8A has largely been ineffective since its introduction.</w:t>
      </w:r>
    </w:p>
    <w:p w:rsidR="003C45D2" w:rsidRPr="00113B36" w:rsidRDefault="003C45D2" w:rsidP="0023188F">
      <w:pPr>
        <w:pStyle w:val="Level2Legal"/>
        <w:rPr>
          <w:sz w:val="21"/>
        </w:rPr>
      </w:pPr>
      <w:r w:rsidRPr="00113B36">
        <w:rPr>
          <w:sz w:val="21"/>
        </w:rPr>
        <w:lastRenderedPageBreak/>
        <w:t>A key weakness in those provisions is the element of subjective intent. Section 596AB, even in a commercial recovery action, requires proof of subjective intent and as a result it is yet to be tested in court.</w:t>
      </w:r>
    </w:p>
    <w:p w:rsidR="003C45D2" w:rsidRPr="00113B36" w:rsidRDefault="003C45D2" w:rsidP="0023188F">
      <w:pPr>
        <w:pStyle w:val="Level2Legal"/>
        <w:rPr>
          <w:sz w:val="21"/>
        </w:rPr>
      </w:pPr>
      <w:r w:rsidRPr="00113B36">
        <w:rPr>
          <w:sz w:val="21"/>
        </w:rPr>
        <w:t xml:space="preserve">In HDY's experience, the requirement to prove a subjective intent imposes too high a threshold. The difficulties in bringing a successful action are exacerbated in the context of a liquidation where officers and directors of the company are often reluctant and unwilling participants, books and records are often not well-kept and, if they are available, it is nevertheless difficult to demonstrate the requisite intention. </w:t>
      </w:r>
    </w:p>
    <w:p w:rsidR="003C45D2" w:rsidRPr="00113B36" w:rsidRDefault="003C45D2" w:rsidP="0023188F">
      <w:pPr>
        <w:pStyle w:val="Level2Legal"/>
        <w:rPr>
          <w:sz w:val="21"/>
        </w:rPr>
      </w:pPr>
      <w:r w:rsidRPr="00113B36">
        <w:rPr>
          <w:sz w:val="21"/>
        </w:rPr>
        <w:t xml:space="preserve">To improve the effectiveness of Part 5.8A, the Consultation Paper proposes a range of options to amend the existing provisions within </w:t>
      </w:r>
      <w:r w:rsidR="00CD5261">
        <w:rPr>
          <w:sz w:val="21"/>
        </w:rPr>
        <w:t>the Part</w:t>
      </w:r>
      <w:r w:rsidRPr="00113B36">
        <w:rPr>
          <w:sz w:val="21"/>
        </w:rPr>
        <w:t xml:space="preserve">. The thrust of these various options is to lower the threshold for proof of both the criminal and commercial recovery actions by moving away from subjective to more objective tests. It also contemplates expanding the persons who may bring a recovery or punitive action to include the Fair Work Ombudsman, ASIC, </w:t>
      </w:r>
      <w:proofErr w:type="spellStart"/>
      <w:r w:rsidRPr="00113B36">
        <w:rPr>
          <w:sz w:val="21"/>
        </w:rPr>
        <w:t>FEG</w:t>
      </w:r>
      <w:proofErr w:type="spellEnd"/>
      <w:r w:rsidRPr="00113B36">
        <w:rPr>
          <w:sz w:val="21"/>
        </w:rPr>
        <w:t xml:space="preserve"> or the </w:t>
      </w:r>
      <w:proofErr w:type="spellStart"/>
      <w:r w:rsidRPr="00113B36">
        <w:rPr>
          <w:sz w:val="21"/>
        </w:rPr>
        <w:t>ATO</w:t>
      </w:r>
      <w:proofErr w:type="spellEnd"/>
      <w:r w:rsidRPr="00113B36">
        <w:rPr>
          <w:sz w:val="21"/>
        </w:rPr>
        <w:t>.</w:t>
      </w:r>
    </w:p>
    <w:p w:rsidR="003C45D2" w:rsidRPr="00113B36" w:rsidRDefault="003C45D2" w:rsidP="0023188F">
      <w:pPr>
        <w:pStyle w:val="Level2Legal"/>
        <w:rPr>
          <w:sz w:val="21"/>
        </w:rPr>
      </w:pPr>
      <w:r w:rsidRPr="00113B36">
        <w:rPr>
          <w:sz w:val="21"/>
        </w:rPr>
        <w:t>HDY agrees that these measures would likely increase the effectiveness of the provisions leading to recoveries and sanctions which would increase the deterrent effect. However, we suggest that consideration should be given to going one step further by bringing the provisions of Part 5.8A into the legal ecosystem of the recovery actions available under Part 5.7B the Corporations Act. Specifically, we propose the introduction of:</w:t>
      </w:r>
    </w:p>
    <w:p w:rsidR="003C45D2" w:rsidRPr="00113B36" w:rsidRDefault="003C45D2" w:rsidP="0023188F">
      <w:pPr>
        <w:pStyle w:val="Level3Legal"/>
        <w:rPr>
          <w:color w:val="414141" w:themeColor="accent6"/>
        </w:rPr>
      </w:pPr>
      <w:r w:rsidRPr="00113B36">
        <w:rPr>
          <w:color w:val="414141" w:themeColor="accent6"/>
        </w:rPr>
        <w:t>a new voidable transaction that is added to Division 2 of Part 5.7B of the Corporations Act, being a transaction to defeat employee creditors; and</w:t>
      </w:r>
    </w:p>
    <w:p w:rsidR="003C45D2" w:rsidRPr="00113B36" w:rsidRDefault="003C45D2" w:rsidP="0023188F">
      <w:pPr>
        <w:pStyle w:val="Level3Legal"/>
        <w:rPr>
          <w:color w:val="414141" w:themeColor="accent6"/>
        </w:rPr>
      </w:pPr>
      <w:r w:rsidRPr="00113B36">
        <w:rPr>
          <w:color w:val="414141" w:themeColor="accent6"/>
        </w:rPr>
        <w:t>a new civil penalty provision which is modelled on the insolvent trading provisions in Divisions 3 and 4 of Part 5.7B.</w:t>
      </w:r>
    </w:p>
    <w:p w:rsidR="0080631C" w:rsidRDefault="0080631C" w:rsidP="0023188F">
      <w:pPr>
        <w:pStyle w:val="Level2Legal"/>
        <w:rPr>
          <w:sz w:val="21"/>
        </w:rPr>
      </w:pPr>
      <w:r w:rsidRPr="00113B36">
        <w:rPr>
          <w:sz w:val="21"/>
        </w:rPr>
        <w:t xml:space="preserve">At </w:t>
      </w:r>
      <w:r w:rsidRPr="00113B36">
        <w:rPr>
          <w:b/>
          <w:sz w:val="21"/>
        </w:rPr>
        <w:t>Appendix A</w:t>
      </w:r>
      <w:r w:rsidRPr="00113B36">
        <w:rPr>
          <w:sz w:val="21"/>
        </w:rPr>
        <w:t xml:space="preserve"> to this submission are some suggested draft legislative provis</w:t>
      </w:r>
      <w:r>
        <w:rPr>
          <w:sz w:val="21"/>
        </w:rPr>
        <w:t>ions for further consideration.</w:t>
      </w:r>
      <w:r w:rsidRPr="00113B36">
        <w:rPr>
          <w:sz w:val="21"/>
        </w:rPr>
        <w:t xml:space="preserve"> </w:t>
      </w:r>
    </w:p>
    <w:p w:rsidR="003C45D2" w:rsidRPr="00113B36" w:rsidRDefault="003C45D2" w:rsidP="0023188F">
      <w:pPr>
        <w:pStyle w:val="Level2Legal"/>
        <w:rPr>
          <w:sz w:val="21"/>
        </w:rPr>
      </w:pPr>
      <w:r w:rsidRPr="00113B36">
        <w:rPr>
          <w:sz w:val="21"/>
        </w:rPr>
        <w:t>Adopting this approach would build on and take advantage of already existing legal frameworks, concepts and mechanisms contained in Part</w:t>
      </w:r>
      <w:r w:rsidR="0080631C">
        <w:rPr>
          <w:sz w:val="21"/>
        </w:rPr>
        <w:t xml:space="preserve"> 5.7B</w:t>
      </w:r>
      <w:r w:rsidRPr="00113B36">
        <w:rPr>
          <w:sz w:val="21"/>
        </w:rPr>
        <w:t xml:space="preserve">. Also, it would potentially facilitate the blending of all of the options contemplated in the Consultation Paper to create a much broader 'toolbox' for deterring and preventing abuse of the FEG Scheme. </w:t>
      </w:r>
      <w:r w:rsidR="0080631C">
        <w:rPr>
          <w:sz w:val="21"/>
        </w:rPr>
        <w:t>We provide further explanation below.</w:t>
      </w:r>
    </w:p>
    <w:p w:rsidR="003C45D2" w:rsidRPr="00113B36" w:rsidRDefault="003C45D2" w:rsidP="00113B36">
      <w:pPr>
        <w:pStyle w:val="Heading6"/>
      </w:pPr>
      <w:r w:rsidRPr="00113B36">
        <w:t>A new voidable transaction</w:t>
      </w:r>
    </w:p>
    <w:p w:rsidR="003C45D2" w:rsidRPr="00113B36" w:rsidRDefault="003C45D2" w:rsidP="0023188F">
      <w:pPr>
        <w:pStyle w:val="Level2Legal"/>
        <w:rPr>
          <w:sz w:val="21"/>
        </w:rPr>
      </w:pPr>
      <w:r w:rsidRPr="00113B36">
        <w:rPr>
          <w:sz w:val="21"/>
        </w:rPr>
        <w:t xml:space="preserve">If a transaction is voidable under s588FE of the Corporations Act, s588FF empowers the Court to make a wide array of possible remedies include making a transaction void, ordering compensation, and varying a person's right to prove a debt in the winding up. These various remedies enable a Court to, as appropriate, apply remedies that would have the effect of undoing the transaction or at least reducing the benefits of a transaction for a particular individual and enhancing the </w:t>
      </w:r>
      <w:proofErr w:type="spellStart"/>
      <w:r w:rsidRPr="00113B36">
        <w:rPr>
          <w:i/>
          <w:sz w:val="21"/>
        </w:rPr>
        <w:t>pari</w:t>
      </w:r>
      <w:proofErr w:type="spellEnd"/>
      <w:r w:rsidRPr="00113B36">
        <w:rPr>
          <w:i/>
          <w:sz w:val="21"/>
        </w:rPr>
        <w:t xml:space="preserve"> </w:t>
      </w:r>
      <w:proofErr w:type="spellStart"/>
      <w:r w:rsidRPr="00113B36">
        <w:rPr>
          <w:i/>
          <w:sz w:val="21"/>
        </w:rPr>
        <w:t>passu</w:t>
      </w:r>
      <w:proofErr w:type="spellEnd"/>
      <w:r w:rsidRPr="00113B36">
        <w:rPr>
          <w:sz w:val="21"/>
        </w:rPr>
        <w:t xml:space="preserve"> distribution of the company's assets among all creditors.</w:t>
      </w:r>
    </w:p>
    <w:p w:rsidR="003C45D2" w:rsidRPr="00113B36" w:rsidRDefault="003C45D2" w:rsidP="0023188F">
      <w:pPr>
        <w:pStyle w:val="Level2Legal"/>
        <w:rPr>
          <w:sz w:val="21"/>
        </w:rPr>
      </w:pPr>
      <w:r w:rsidRPr="00113B36">
        <w:rPr>
          <w:sz w:val="21"/>
        </w:rPr>
        <w:t>The availability of voidable transactions would give access to an expanded set of remedies against expanded categories of potential defendants</w:t>
      </w:r>
      <w:r w:rsidR="001740BD">
        <w:rPr>
          <w:sz w:val="21"/>
        </w:rPr>
        <w:t xml:space="preserve"> than is available under the current provisions</w:t>
      </w:r>
      <w:r w:rsidRPr="00113B36">
        <w:rPr>
          <w:sz w:val="21"/>
        </w:rPr>
        <w:t xml:space="preserve">. For example, </w:t>
      </w:r>
      <w:r w:rsidR="001740BD">
        <w:rPr>
          <w:sz w:val="21"/>
        </w:rPr>
        <w:t>in the situation of a transaction to transfer</w:t>
      </w:r>
      <w:r w:rsidRPr="00113B36">
        <w:rPr>
          <w:sz w:val="21"/>
        </w:rPr>
        <w:t xml:space="preserve"> a company's businesses or assets for nominal or no value to another </w:t>
      </w:r>
      <w:r w:rsidRPr="00113B36">
        <w:rPr>
          <w:sz w:val="21"/>
        </w:rPr>
        <w:lastRenderedPageBreak/>
        <w:t>company before placing the company in liquidation for the purpose of avoiding employee creditor claims, the voidable transaction provisions would enable a claim to be brought against the company that received the business or assets.</w:t>
      </w:r>
    </w:p>
    <w:p w:rsidR="003C45D2" w:rsidRPr="00113B36" w:rsidRDefault="003C45D2" w:rsidP="0023188F">
      <w:pPr>
        <w:pStyle w:val="Level2Legal"/>
        <w:rPr>
          <w:sz w:val="21"/>
        </w:rPr>
      </w:pPr>
      <w:r w:rsidRPr="00113B36">
        <w:rPr>
          <w:sz w:val="21"/>
        </w:rPr>
        <w:t>By contrast, the existing provisions (and the changes to them canvassed in the Consultation Paper) are focused on sanctioning or obtaining compensation from those (normally directors, officers and their advisers) who have engaged in the relevant conduct but otherwise not undoing or attacking the transaction itself.</w:t>
      </w:r>
    </w:p>
    <w:p w:rsidR="003C45D2" w:rsidRPr="00113B36" w:rsidRDefault="003C45D2" w:rsidP="0023188F">
      <w:pPr>
        <w:pStyle w:val="Level2Legal"/>
        <w:rPr>
          <w:sz w:val="21"/>
        </w:rPr>
      </w:pPr>
      <w:r w:rsidRPr="00113B36">
        <w:rPr>
          <w:sz w:val="21"/>
        </w:rPr>
        <w:t xml:space="preserve">For a new voidable transaction to be successful, properly identifying the elements that constitute the voidable transaction is a critical exercise and we suggest that consultation be undertaken on the drafting of </w:t>
      </w:r>
      <w:r w:rsidR="00105155">
        <w:rPr>
          <w:sz w:val="21"/>
        </w:rPr>
        <w:t>defining</w:t>
      </w:r>
      <w:r w:rsidRPr="00113B36">
        <w:rPr>
          <w:sz w:val="21"/>
        </w:rPr>
        <w:t xml:space="preserve"> a "transaction to defeat employee creditors." In the meantime, we make the following comments: </w:t>
      </w:r>
    </w:p>
    <w:p w:rsidR="003C45D2" w:rsidRPr="00113B36" w:rsidRDefault="003C45D2" w:rsidP="0023188F">
      <w:pPr>
        <w:pStyle w:val="Level3Legal"/>
        <w:rPr>
          <w:color w:val="414141" w:themeColor="accent6"/>
        </w:rPr>
      </w:pPr>
      <w:r w:rsidRPr="00113B36">
        <w:rPr>
          <w:color w:val="414141" w:themeColor="accent6"/>
        </w:rPr>
        <w:t>careful consideration needs to be given to defining or identifying the type of transaction sought to be impugned. The elements of this conduct should be based on objective criteria using concepts that appear in Part 5.7B provisions which contain objectively ascertainable tests and criteria; and</w:t>
      </w:r>
    </w:p>
    <w:p w:rsidR="003C45D2" w:rsidRPr="00113B36" w:rsidRDefault="003C45D2" w:rsidP="0023188F">
      <w:pPr>
        <w:pStyle w:val="Level3Legal"/>
        <w:rPr>
          <w:color w:val="414141" w:themeColor="accent6"/>
        </w:rPr>
      </w:pPr>
      <w:r w:rsidRPr="00113B36">
        <w:rPr>
          <w:color w:val="414141" w:themeColor="accent6"/>
        </w:rPr>
        <w:t xml:space="preserve">not all transactions or restructurings are strictly unlawful simply because FEG claims are made. The provision ought to be drafted so that genuine restructurings are not captured and persons are not liable for civil or criminal penalties simply because the restructure impacts on employee entitlements and FEG claims. In this respect, we suggest that defences be made available where there is a genuine restructuring for the benefit of the employees or the ongoing viability/going concern of the company concerned. </w:t>
      </w:r>
      <w:r w:rsidR="00105155">
        <w:rPr>
          <w:color w:val="414141" w:themeColor="accent6"/>
        </w:rPr>
        <w:t>In that respect, w</w:t>
      </w:r>
      <w:r w:rsidRPr="00113B36">
        <w:rPr>
          <w:color w:val="414141" w:themeColor="accent6"/>
        </w:rPr>
        <w:t xml:space="preserve">e note and agree with the points raised by </w:t>
      </w:r>
      <w:proofErr w:type="spellStart"/>
      <w:r w:rsidRPr="00113B36">
        <w:rPr>
          <w:color w:val="414141" w:themeColor="accent6"/>
        </w:rPr>
        <w:t>ARITA</w:t>
      </w:r>
      <w:proofErr w:type="spellEnd"/>
      <w:r w:rsidRPr="00113B36">
        <w:rPr>
          <w:color w:val="414141" w:themeColor="accent6"/>
        </w:rPr>
        <w:t xml:space="preserve"> in their submissions under Point 3.1.</w:t>
      </w:r>
    </w:p>
    <w:p w:rsidR="003C45D2" w:rsidRPr="00113B36" w:rsidRDefault="003C45D2" w:rsidP="0023188F">
      <w:pPr>
        <w:pStyle w:val="Level2Legal"/>
        <w:rPr>
          <w:sz w:val="21"/>
        </w:rPr>
      </w:pPr>
      <w:r w:rsidRPr="00113B36">
        <w:rPr>
          <w:sz w:val="21"/>
        </w:rPr>
        <w:t>Irrespective of whether the company was insolvent</w:t>
      </w:r>
      <w:r w:rsidR="00105155">
        <w:rPr>
          <w:sz w:val="21"/>
        </w:rPr>
        <w:t xml:space="preserve"> </w:t>
      </w:r>
      <w:r w:rsidR="00105155" w:rsidRPr="00113B36">
        <w:rPr>
          <w:sz w:val="21"/>
        </w:rPr>
        <w:t>at the ti</w:t>
      </w:r>
      <w:r w:rsidR="00105155">
        <w:rPr>
          <w:sz w:val="21"/>
        </w:rPr>
        <w:t>me the transaction was incurred</w:t>
      </w:r>
      <w:r w:rsidRPr="00113B36">
        <w:rPr>
          <w:sz w:val="21"/>
        </w:rPr>
        <w:t>, most of the different types of voidable transactions within Division 2 require proof that the transaction was an insolvent transaction which requires proof that the company became insolvent because of entering into the transaction or doing things to give effect to the transaction (under section 588FC). This is a question of fact and in our experience often requires expert evidence and a forensic analysis of the books and records of the company (oftentimes which are in disarray) – both of which require a significant outlay of time and resources during recovery proceedings.</w:t>
      </w:r>
    </w:p>
    <w:p w:rsidR="003C45D2" w:rsidRPr="00113B36" w:rsidRDefault="003C45D2" w:rsidP="0023188F">
      <w:pPr>
        <w:pStyle w:val="Level2Legal"/>
        <w:rPr>
          <w:sz w:val="21"/>
        </w:rPr>
      </w:pPr>
      <w:r w:rsidRPr="00113B36">
        <w:rPr>
          <w:sz w:val="21"/>
        </w:rPr>
        <w:t>Unreasonable director-related transactions however do not require a solvency test. Under section 588FE(6A), a transaction is voidable if it is an unreasonable director-related transaction and it was entered into during the 4 years ending on the relation-back day; in lieu of an insolvency test, a statutorily set time period applies. Presumably this is because there is no need to prove insolvency in circumstances where the transaction benefits the director (or his associates) personally to the detriment of the company.</w:t>
      </w:r>
    </w:p>
    <w:p w:rsidR="003C45D2" w:rsidRPr="00113B36" w:rsidRDefault="003C45D2" w:rsidP="0023188F">
      <w:pPr>
        <w:pStyle w:val="Level2Legal"/>
        <w:rPr>
          <w:sz w:val="21"/>
        </w:rPr>
      </w:pPr>
      <w:r w:rsidRPr="00113B36">
        <w:rPr>
          <w:sz w:val="21"/>
        </w:rPr>
        <w:t xml:space="preserve">Similarly, we consider that a voidable transaction that is made to defeat employee creditors should not require a solvency test and instead apply a period prior to the relation-back day to capture the scope of transactions. We suggest a period of 2 years from the relation-back day which is limited enough in scope. </w:t>
      </w:r>
    </w:p>
    <w:p w:rsidR="00113B36" w:rsidRPr="00082C7B" w:rsidRDefault="003C45D2" w:rsidP="00113B36">
      <w:pPr>
        <w:pStyle w:val="Level2Legal"/>
        <w:rPr>
          <w:sz w:val="21"/>
        </w:rPr>
      </w:pPr>
      <w:r w:rsidRPr="00113B36">
        <w:rPr>
          <w:sz w:val="21"/>
        </w:rPr>
        <w:lastRenderedPageBreak/>
        <w:t>It is already the case that if there is sufficient evidence of intentionality in defeating creditors (according to an objective test) an insolvent transaction taking place within 10 years from the relation-back date can be voidable (s588FE(5)). Similarly, we propose that if there is sufficient evidence of intentionality in abusing the FEG Scheme or defeating employee creditors, a transaction to defeat employee creditors within a 10 year period prior to the relation-back date should also be voidable.</w:t>
      </w:r>
    </w:p>
    <w:p w:rsidR="003C45D2" w:rsidRPr="00113B36" w:rsidRDefault="003C45D2" w:rsidP="00113B36">
      <w:pPr>
        <w:pStyle w:val="Heading6"/>
      </w:pPr>
      <w:r w:rsidRPr="00113B36">
        <w:t>A new duty to prevent transactions to defeat employee creditors</w:t>
      </w:r>
    </w:p>
    <w:p w:rsidR="003C45D2" w:rsidRPr="00113B36" w:rsidRDefault="003C45D2" w:rsidP="0023188F">
      <w:pPr>
        <w:pStyle w:val="Level2Legal"/>
        <w:rPr>
          <w:sz w:val="21"/>
        </w:rPr>
      </w:pPr>
      <w:r w:rsidRPr="00113B36">
        <w:rPr>
          <w:sz w:val="21"/>
        </w:rPr>
        <w:t>The Consultation Paper contemplates:</w:t>
      </w:r>
    </w:p>
    <w:p w:rsidR="003C45D2" w:rsidRPr="00113B36" w:rsidRDefault="003C45D2" w:rsidP="0023188F">
      <w:pPr>
        <w:pStyle w:val="Level3Legal"/>
        <w:rPr>
          <w:color w:val="414141" w:themeColor="accent6"/>
        </w:rPr>
      </w:pPr>
      <w:r w:rsidRPr="00113B36">
        <w:rPr>
          <w:b/>
          <w:color w:val="414141" w:themeColor="accent6"/>
        </w:rPr>
        <w:t>Civil penalty:</w:t>
      </w:r>
      <w:r w:rsidRPr="00113B36">
        <w:rPr>
          <w:color w:val="414141" w:themeColor="accent6"/>
        </w:rPr>
        <w:t xml:space="preserve"> two alternative civil penalty regimes with objective tests: one focuses on what a reasonable person would have or ought to have known about the agreement or transaction, and the other on the reasonableness of the transaction or agreement itself; and</w:t>
      </w:r>
    </w:p>
    <w:p w:rsidR="003C45D2" w:rsidRPr="00113B36" w:rsidRDefault="003C45D2" w:rsidP="0023188F">
      <w:pPr>
        <w:pStyle w:val="Level3Legal"/>
        <w:rPr>
          <w:color w:val="414141" w:themeColor="accent6"/>
        </w:rPr>
      </w:pPr>
      <w:r w:rsidRPr="00113B36">
        <w:rPr>
          <w:b/>
          <w:color w:val="414141" w:themeColor="accent6"/>
        </w:rPr>
        <w:t xml:space="preserve">Criminal penalty: </w:t>
      </w:r>
      <w:r w:rsidRPr="00113B36">
        <w:rPr>
          <w:color w:val="414141" w:themeColor="accent6"/>
        </w:rPr>
        <w:t xml:space="preserve">easing the standard of proof of section 596AB from requiring the substantive intention to defeat employee entitlements to an objective test for recovery actions under section 596AB to improve the effectiveness of the scheme and prevent avoidance. </w:t>
      </w:r>
    </w:p>
    <w:p w:rsidR="003C45D2" w:rsidRPr="00113B36" w:rsidRDefault="003C45D2" w:rsidP="0023188F">
      <w:pPr>
        <w:pStyle w:val="Level2Legal"/>
        <w:rPr>
          <w:sz w:val="21"/>
        </w:rPr>
      </w:pPr>
      <w:r w:rsidRPr="00113B36">
        <w:rPr>
          <w:sz w:val="21"/>
        </w:rPr>
        <w:t>In the alternative to these approaches (but adopting their intent), consideration could be given to introducing a new duty to "prevent transactions to defeat employee creditors" which is modelled on the insolvent trading provisions in Divisions 3 and 4 of Part 5.7B including by making it a civil penalty provision, creating an offence, enabling creditors (or at least employee creditors) to take action, and establishing appropriate defences. In doing so, the focus is on deterring the effect of defeating employee creditors (akin to directors' duties and other civil penalty provisions under the Corporations Act) and involves attacking those transactions where the objective justification for a transaction is (or includes) reducing the assets of a corporation otherwise available to pay employee entitlements - without being overly prescriptive about the categories or elements of those "sharp corporate practices" thus allowing for flexibility around the scope of conduct and behaviour which would fall within the ambit of the proposed duty.</w:t>
      </w:r>
    </w:p>
    <w:p w:rsidR="003C45D2" w:rsidRPr="00113B36" w:rsidRDefault="00701C37" w:rsidP="0023188F">
      <w:pPr>
        <w:pStyle w:val="Level2Legal"/>
        <w:rPr>
          <w:sz w:val="21"/>
        </w:rPr>
      </w:pPr>
      <w:r>
        <w:rPr>
          <w:sz w:val="21"/>
        </w:rPr>
        <w:t>We suggest a</w:t>
      </w:r>
      <w:r w:rsidR="003C45D2" w:rsidRPr="00113B36">
        <w:rPr>
          <w:sz w:val="21"/>
        </w:rPr>
        <w:t xml:space="preserve">nalogous provisions set out under Division 4 of Part 5.7B in respect of recovery and compensation and the ability of the creditor to bring proceedings for compensation ought also be included. This would allow employee creditors to seek compensation orders against persons (in addition to ASIC who may seek compensation orders and other remedies provided for under the civil penalty provisions). </w:t>
      </w:r>
    </w:p>
    <w:p w:rsidR="003C45D2" w:rsidRPr="00113B36" w:rsidRDefault="003C45D2" w:rsidP="0023188F">
      <w:pPr>
        <w:pStyle w:val="Level2Legal"/>
        <w:rPr>
          <w:sz w:val="21"/>
        </w:rPr>
      </w:pPr>
      <w:r w:rsidRPr="00113B36">
        <w:rPr>
          <w:sz w:val="21"/>
        </w:rPr>
        <w:t>For the sake of clarity, the provision should specify that reference to an "employee creditor" would include any subrogated creditor (such as the Commonwealth of Australia represented by its Government agency insofar as it makes any FEG payment).</w:t>
      </w:r>
      <w:r w:rsidRPr="00113B36">
        <w:rPr>
          <w:rStyle w:val="FootnoteReference"/>
          <w:sz w:val="21"/>
        </w:rPr>
        <w:footnoteReference w:id="2"/>
      </w:r>
      <w:r w:rsidRPr="00113B36">
        <w:rPr>
          <w:sz w:val="21"/>
        </w:rPr>
        <w:t xml:space="preserve"> </w:t>
      </w:r>
    </w:p>
    <w:p w:rsidR="000D5DD1" w:rsidRDefault="000D5DD1" w:rsidP="0023188F">
      <w:pPr>
        <w:pStyle w:val="Level2Legal"/>
        <w:rPr>
          <w:sz w:val="21"/>
        </w:rPr>
      </w:pPr>
      <w:r>
        <w:rPr>
          <w:sz w:val="21"/>
        </w:rPr>
        <w:lastRenderedPageBreak/>
        <w:t xml:space="preserve">In terms of the </w:t>
      </w:r>
      <w:r w:rsidR="002836F9">
        <w:rPr>
          <w:sz w:val="21"/>
        </w:rPr>
        <w:t>"persons" who might be bound by the proposed new duty to prevent transactions to defeat employee creditors</w:t>
      </w:r>
      <w:r>
        <w:rPr>
          <w:sz w:val="21"/>
        </w:rPr>
        <w:t xml:space="preserve">, the Consultation Paper </w:t>
      </w:r>
      <w:r w:rsidR="00067D16">
        <w:rPr>
          <w:sz w:val="21"/>
        </w:rPr>
        <w:t xml:space="preserve">observes in relation to the current provisions under Part 5.8A </w:t>
      </w:r>
      <w:r>
        <w:rPr>
          <w:sz w:val="21"/>
        </w:rPr>
        <w:t>that it is not clear to what parties, including third parties such as insolvency adviser</w:t>
      </w:r>
      <w:r w:rsidR="002836F9">
        <w:rPr>
          <w:sz w:val="21"/>
        </w:rPr>
        <w:t>s</w:t>
      </w:r>
      <w:r>
        <w:rPr>
          <w:sz w:val="21"/>
        </w:rPr>
        <w:t xml:space="preserve">, </w:t>
      </w:r>
      <w:r w:rsidR="00067D16">
        <w:rPr>
          <w:sz w:val="21"/>
        </w:rPr>
        <w:t>the Part is</w:t>
      </w:r>
      <w:r>
        <w:rPr>
          <w:sz w:val="21"/>
        </w:rPr>
        <w:t xml:space="preserve"> intended to apply. </w:t>
      </w:r>
      <w:r w:rsidR="00067D16">
        <w:rPr>
          <w:sz w:val="21"/>
        </w:rPr>
        <w:t>It seems clear that it should be, as a minimum, a director, officer or other person involved in the management of the company, but could</w:t>
      </w:r>
      <w:r w:rsidR="00701C37">
        <w:rPr>
          <w:sz w:val="21"/>
        </w:rPr>
        <w:t xml:space="preserve"> also be a broader category of "</w:t>
      </w:r>
      <w:r w:rsidR="00067D16">
        <w:rPr>
          <w:sz w:val="21"/>
        </w:rPr>
        <w:t>persons involved in the transaction to defeat employee creditors</w:t>
      </w:r>
      <w:r w:rsidR="005E5D72">
        <w:rPr>
          <w:sz w:val="21"/>
        </w:rPr>
        <w:t xml:space="preserve">." In that way, there would need to be some nexus of the involvement of the "person" in the relevant transaction but such a person would have available the defences proposed in the new section 588HB including the defence of reasonable grounds and defence of non-participation in company management (refer to </w:t>
      </w:r>
      <w:r w:rsidR="005E5D72" w:rsidRPr="005E5D72">
        <w:rPr>
          <w:b/>
          <w:sz w:val="21"/>
        </w:rPr>
        <w:t>Appendix A</w:t>
      </w:r>
      <w:r w:rsidR="005E5D72">
        <w:rPr>
          <w:sz w:val="21"/>
        </w:rPr>
        <w:t xml:space="preserve">). </w:t>
      </w:r>
    </w:p>
    <w:p w:rsidR="003C45D2" w:rsidRPr="00113B36" w:rsidRDefault="003C45D2" w:rsidP="0023188F">
      <w:pPr>
        <w:pStyle w:val="Level2Legal"/>
        <w:rPr>
          <w:sz w:val="21"/>
        </w:rPr>
      </w:pPr>
      <w:r w:rsidRPr="00113B36">
        <w:rPr>
          <w:sz w:val="21"/>
        </w:rPr>
        <w:t>Consideration would need to be given to the interaction of this new proposed provision in the context of</w:t>
      </w:r>
      <w:r w:rsidR="00701C37">
        <w:rPr>
          <w:sz w:val="21"/>
        </w:rPr>
        <w:t xml:space="preserve"> </w:t>
      </w:r>
      <w:r w:rsidRPr="00113B36">
        <w:rPr>
          <w:sz w:val="21"/>
        </w:rPr>
        <w:t xml:space="preserve">the </w:t>
      </w:r>
      <w:r w:rsidRPr="00105155">
        <w:rPr>
          <w:sz w:val="21"/>
        </w:rPr>
        <w:t>Treasury Laws Amendment (2017 Enterprise Incentives No. 2 Bill) 2017.</w:t>
      </w:r>
      <w:r w:rsidRPr="00113B36">
        <w:rPr>
          <w:sz w:val="21"/>
        </w:rPr>
        <w:t xml:space="preserve"> That bill provides that the safe harbour from insolvent trading is not available where the company is failing to pay the entitlements of its employees "by the time they fall due</w:t>
      </w:r>
      <w:r w:rsidR="00105155">
        <w:rPr>
          <w:sz w:val="21"/>
        </w:rPr>
        <w:t>." I</w:t>
      </w:r>
      <w:r w:rsidRPr="00113B36">
        <w:rPr>
          <w:sz w:val="21"/>
        </w:rPr>
        <w:t xml:space="preserve">t might well be that a preferable formulation is that the safe harbour will not be available where any restructuring involves or includes a "transaction to defeat employee creditors". This safeguard will help to ensure that the safe harbour is not available where a company has not attended, or is not attending, to its obligations to properly pay its employees and have sufficient assets available to meet employee entitlements during and shortly after the period of the safe harbour. By doing so, the risk of nefarious conduct and abuse of the </w:t>
      </w:r>
      <w:r w:rsidR="00CD5261">
        <w:rPr>
          <w:sz w:val="21"/>
        </w:rPr>
        <w:t>FEG Scheme</w:t>
      </w:r>
      <w:r w:rsidRPr="00113B36">
        <w:rPr>
          <w:sz w:val="21"/>
        </w:rPr>
        <w:t xml:space="preserve"> is mitigated as the safe harbour would not apply if the employer entity does not attend to payment of its employee entitlements.</w:t>
      </w:r>
    </w:p>
    <w:p w:rsidR="0023188F" w:rsidRPr="0023188F" w:rsidRDefault="0023188F" w:rsidP="0023188F">
      <w:pPr>
        <w:pStyle w:val="Level1Legal"/>
      </w:pPr>
      <w:bookmarkStart w:id="3" w:name="_Toc485402005"/>
      <w:r w:rsidRPr="0023188F">
        <w:t>Preventing abuse of corporate group structures to avoid paying employee entitlements</w:t>
      </w:r>
      <w:bookmarkEnd w:id="3"/>
    </w:p>
    <w:p w:rsidR="0023188F" w:rsidRPr="00113B36" w:rsidRDefault="0023188F" w:rsidP="0023188F">
      <w:pPr>
        <w:pStyle w:val="Level2Legal"/>
        <w:rPr>
          <w:sz w:val="21"/>
        </w:rPr>
      </w:pPr>
      <w:r w:rsidRPr="00113B36">
        <w:rPr>
          <w:sz w:val="21"/>
        </w:rPr>
        <w:t xml:space="preserve">HDY supports reforms which are aimed at preventing abuse of corporate group structures to avoid meeting employee entitlements. </w:t>
      </w:r>
    </w:p>
    <w:p w:rsidR="0023188F" w:rsidRPr="00113B36" w:rsidRDefault="0023188F" w:rsidP="0023188F">
      <w:pPr>
        <w:pStyle w:val="Level2Legal"/>
        <w:rPr>
          <w:sz w:val="21"/>
        </w:rPr>
      </w:pPr>
      <w:r w:rsidRPr="00113B36">
        <w:rPr>
          <w:sz w:val="21"/>
        </w:rPr>
        <w:t>By introducing contribution orders to allow recourse to solvent related entities in a corporate group to meet the employee entitlement liabilities of the insolvent entity:</w:t>
      </w:r>
    </w:p>
    <w:p w:rsidR="0023188F" w:rsidRPr="00113B36" w:rsidRDefault="0023188F" w:rsidP="0023188F">
      <w:pPr>
        <w:pStyle w:val="Level3Legal"/>
        <w:rPr>
          <w:color w:val="414141" w:themeColor="accent6"/>
        </w:rPr>
      </w:pPr>
      <w:r w:rsidRPr="00113B36">
        <w:rPr>
          <w:color w:val="414141" w:themeColor="accent6"/>
        </w:rPr>
        <w:t xml:space="preserve">the risk of misuse of corporate group structures to avoid meeting employee entitlements would be mitigated as the other entities of the corporate group may be legally liable meet the employee entitlement claims and recourse may be made to the assets of solvent related entities in a corporate group; </w:t>
      </w:r>
    </w:p>
    <w:p w:rsidR="0023188F" w:rsidRPr="00113B36" w:rsidRDefault="0023188F" w:rsidP="0023188F">
      <w:pPr>
        <w:pStyle w:val="Level3Legal"/>
        <w:rPr>
          <w:color w:val="414141" w:themeColor="accent6"/>
        </w:rPr>
      </w:pPr>
      <w:r w:rsidRPr="00113B36">
        <w:rPr>
          <w:color w:val="414141" w:themeColor="accent6"/>
        </w:rPr>
        <w:t xml:space="preserve">the risk of repeated phoenix activity and repeated director misbehaviour would be mitigated as there would be limited financial benefit if employee entitlements can be claimed from other related entities; </w:t>
      </w:r>
    </w:p>
    <w:p w:rsidR="0023188F" w:rsidRPr="00113B36" w:rsidRDefault="0023188F" w:rsidP="0023188F">
      <w:pPr>
        <w:pStyle w:val="Level3Legal"/>
        <w:rPr>
          <w:color w:val="414141" w:themeColor="accent6"/>
        </w:rPr>
      </w:pPr>
      <w:r w:rsidRPr="00113B36">
        <w:rPr>
          <w:color w:val="414141" w:themeColor="accent6"/>
        </w:rPr>
        <w:t xml:space="preserve">the risk of any 'moral hazard' or temptation for misuse and misconduct arising from the existence of the </w:t>
      </w:r>
      <w:r w:rsidR="00CD5261">
        <w:rPr>
          <w:color w:val="414141" w:themeColor="accent6"/>
        </w:rPr>
        <w:t>FEG Scheme</w:t>
      </w:r>
      <w:r w:rsidRPr="00113B36">
        <w:rPr>
          <w:color w:val="414141" w:themeColor="accent6"/>
        </w:rPr>
        <w:t xml:space="preserve"> would be mitigated, if there is no financial incentive to, or benefit from, engaging in sharp corporate practices;</w:t>
      </w:r>
    </w:p>
    <w:p w:rsidR="0023188F" w:rsidRPr="00113B36" w:rsidRDefault="0023188F" w:rsidP="0023188F">
      <w:pPr>
        <w:pStyle w:val="Level3Legal"/>
        <w:rPr>
          <w:color w:val="414141" w:themeColor="accent6"/>
        </w:rPr>
      </w:pPr>
      <w:r w:rsidRPr="00113B36">
        <w:rPr>
          <w:color w:val="414141" w:themeColor="accent6"/>
        </w:rPr>
        <w:t xml:space="preserve">the liquidated entity or the corporate group may be more willing to proactively work with the Commonwealth and other entities within the corporate group prior to or during the liquidation process, thus the </w:t>
      </w:r>
      <w:r w:rsidRPr="00113B36">
        <w:rPr>
          <w:color w:val="414141" w:themeColor="accent6"/>
        </w:rPr>
        <w:lastRenderedPageBreak/>
        <w:t xml:space="preserve">Commonwealth will be proactively engaged in the liquidation process rather than being on the 'back foot' as a passive participant and funder. </w:t>
      </w:r>
    </w:p>
    <w:p w:rsidR="0023188F" w:rsidRPr="00113B36" w:rsidRDefault="0023188F" w:rsidP="0023188F">
      <w:pPr>
        <w:pStyle w:val="Level2Legal"/>
        <w:rPr>
          <w:sz w:val="21"/>
        </w:rPr>
      </w:pPr>
      <w:bookmarkStart w:id="4" w:name="_Ref485133302"/>
      <w:r w:rsidRPr="00113B36">
        <w:rPr>
          <w:sz w:val="21"/>
        </w:rPr>
        <w:t xml:space="preserve">The Consultation Paper identifies that the contribution order reforms necessarily require subverting the separate entity limited liability principles by allowing piercing of the corporate veil. This is a fundamental principle of company law that separate companies have separate legal entities and contribution orders necessarily require relaxation of these principles. However, there is merit in piercing the corporate veil where the justifications of the corporate veil/limited liability are absent and where the risk of damaging legitimate enterprises operated through </w:t>
      </w:r>
      <w:r w:rsidR="00C364DC">
        <w:rPr>
          <w:sz w:val="21"/>
        </w:rPr>
        <w:t xml:space="preserve">a </w:t>
      </w:r>
      <w:r w:rsidRPr="00113B36">
        <w:rPr>
          <w:sz w:val="21"/>
        </w:rPr>
        <w:t xml:space="preserve">corporate group is minimal or non-existent. There </w:t>
      </w:r>
      <w:r w:rsidR="00C364DC">
        <w:rPr>
          <w:sz w:val="21"/>
        </w:rPr>
        <w:t>are</w:t>
      </w:r>
      <w:r w:rsidRPr="00113B36">
        <w:rPr>
          <w:sz w:val="21"/>
        </w:rPr>
        <w:t xml:space="preserve"> already corporate veil-piercing mechanisms existing under the Corporations Act - for example, under section 588V where holding companies can be held liable for insolvent trading by a subsidiary, and Division 8 Part 5.6 which allows for pooling of assets of insolvent companies within corporate groups. Thus, where policy considerations are sufficient persuasive and justified, there is merit in allowing courts to pierce the corporate veil. </w:t>
      </w:r>
    </w:p>
    <w:bookmarkEnd w:id="4"/>
    <w:p w:rsidR="0023188F" w:rsidRPr="00113B36" w:rsidRDefault="0023188F" w:rsidP="00113B36">
      <w:pPr>
        <w:pStyle w:val="Heading6"/>
      </w:pPr>
      <w:r w:rsidRPr="00113B36">
        <w:t>"Just and equitable" criteria</w:t>
      </w:r>
    </w:p>
    <w:p w:rsidR="0023188F" w:rsidRPr="00113B36" w:rsidRDefault="0023188F" w:rsidP="0023188F">
      <w:pPr>
        <w:pStyle w:val="Level2Legal"/>
        <w:rPr>
          <w:sz w:val="21"/>
        </w:rPr>
      </w:pPr>
      <w:r w:rsidRPr="00113B36">
        <w:rPr>
          <w:sz w:val="21"/>
        </w:rPr>
        <w:t xml:space="preserve">The Consultation Paper envisages that contribution orders may be made where it is considered 'just and equitable' to do so. The criteria and application of 'just and equitable' may have a significant effect on the efficacy of the reform - if construed too narrowly, there will be little change to the current state of affairs; if construed too broadly, this may cause uncertainty in commercial dealings and cause the insolvency/liquidation or weakening of </w:t>
      </w:r>
      <w:r w:rsidR="00C364DC">
        <w:rPr>
          <w:sz w:val="21"/>
        </w:rPr>
        <w:t xml:space="preserve">the other </w:t>
      </w:r>
      <w:r w:rsidRPr="00113B36">
        <w:rPr>
          <w:sz w:val="21"/>
        </w:rPr>
        <w:t xml:space="preserve">entities within the corporate group if the assets of those solvent entities will be called upon to meet the contribution order. </w:t>
      </w:r>
    </w:p>
    <w:p w:rsidR="0023188F" w:rsidRPr="00113B36" w:rsidRDefault="0023188F" w:rsidP="0023188F">
      <w:pPr>
        <w:pStyle w:val="Level2Legal"/>
        <w:rPr>
          <w:sz w:val="21"/>
        </w:rPr>
      </w:pPr>
      <w:r w:rsidRPr="00113B36">
        <w:rPr>
          <w:sz w:val="21"/>
        </w:rPr>
        <w:t xml:space="preserve">The concept of 'just and equitable' is already used in the Australian Corporations Act under section 579E(1) in respect of the court's powers to make pooling orders for winding up related entities within a corporate group. We suggest that the 'just and equitable' criteria set out under section 597E(12) of the Corporations Act be adopted - these are a denser set of provisions than that provided for under the New Zealand and Irish Companies Acts. </w:t>
      </w:r>
    </w:p>
    <w:p w:rsidR="0023188F" w:rsidRPr="00113B36" w:rsidRDefault="0023188F" w:rsidP="0023188F">
      <w:pPr>
        <w:pStyle w:val="Level2Legal"/>
        <w:rPr>
          <w:sz w:val="21"/>
        </w:rPr>
      </w:pPr>
      <w:r w:rsidRPr="00113B36">
        <w:rPr>
          <w:sz w:val="21"/>
        </w:rPr>
        <w:t xml:space="preserve">The court is required to consider a non-exhaustive list of matters under section 579E(12) in their consideration of whether it would be 'just and equitable' to making the pooling order. Notably, one of the factors under section 579E(12) is "the extent to which creditors of any of the companies in the group may be advantaged or disadvantaged by the making of the order." This factor will be important in any contribution order to mitigate the risk of the solvent related entity being brought to insolvency arising from the contribution order, and also mitigate the risk of uncertainty in commercial dealings which might discourage investment and lending by banks. It would make little sense to benefit the creditors of the insolvent entity at the expense of the creditors of the solvent entities. </w:t>
      </w:r>
    </w:p>
    <w:p w:rsidR="0023188F" w:rsidRPr="00113B36" w:rsidRDefault="0023188F" w:rsidP="0023188F">
      <w:pPr>
        <w:pStyle w:val="Level2Legal"/>
        <w:rPr>
          <w:sz w:val="21"/>
        </w:rPr>
      </w:pPr>
      <w:r w:rsidRPr="00113B36">
        <w:rPr>
          <w:sz w:val="21"/>
        </w:rPr>
        <w:t xml:space="preserve">Further, to mitigate the risk of misuse of the contribution order scheme, we submit that consideration also ought to be given to including exceptions to the ability of the court to make contribution orders. This is to assist with ensuring that the courts undertake a pragmatic examination of the actual commercial reality of the corporate group and to avoid mischief resulting from an unyielding application of the "just and equitable" criteria. Consideration ought to be given to adopting provisions akin to the exceptions contained under section 599(6) of the Irish Companies Act which </w:t>
      </w:r>
      <w:r w:rsidRPr="00113B36">
        <w:rPr>
          <w:sz w:val="21"/>
        </w:rPr>
        <w:lastRenderedPageBreak/>
        <w:t xml:space="preserve">provides that notwithstanding any other provision, it is not just and equitable to make an order under section 599 if the </w:t>
      </w:r>
      <w:r w:rsidRPr="00113B36">
        <w:rPr>
          <w:i/>
          <w:sz w:val="21"/>
        </w:rPr>
        <w:t>only</w:t>
      </w:r>
      <w:r w:rsidRPr="00113B36">
        <w:rPr>
          <w:sz w:val="21"/>
        </w:rPr>
        <w:t xml:space="preserve"> ground for making the order is (a) the fact that a company is related to another company; or (b) that creditors of the company being wound up have relied on the fact that another company is or has been related to the first-mentioned company. </w:t>
      </w:r>
    </w:p>
    <w:p w:rsidR="0023188F" w:rsidRPr="00113B36" w:rsidRDefault="0023188F" w:rsidP="0023188F">
      <w:pPr>
        <w:pStyle w:val="Level2Legal"/>
        <w:rPr>
          <w:sz w:val="21"/>
        </w:rPr>
      </w:pPr>
      <w:r w:rsidRPr="00113B36">
        <w:rPr>
          <w:sz w:val="21"/>
        </w:rPr>
        <w:t>Further, we submit that consideration should be given to allowing the Commonwealth to make applications to the court for contribution o</w:t>
      </w:r>
      <w:r w:rsidR="006B5C0C">
        <w:rPr>
          <w:sz w:val="21"/>
        </w:rPr>
        <w:t xml:space="preserve">rders in certain circumstances, such as </w:t>
      </w:r>
      <w:r w:rsidRPr="00113B36">
        <w:rPr>
          <w:sz w:val="21"/>
        </w:rPr>
        <w:t xml:space="preserve">if the liquidator is unwilling or unable to do so. Additionally, contribution orders should be complementary to recovery proceedings (the new voidable transaction to defeat employee creditors as discussed above) so as to prevent double recovery. </w:t>
      </w:r>
    </w:p>
    <w:p w:rsidR="0023188F" w:rsidRPr="00113B36" w:rsidRDefault="0023188F" w:rsidP="0023188F">
      <w:pPr>
        <w:pStyle w:val="Level2Legal"/>
        <w:rPr>
          <w:sz w:val="21"/>
        </w:rPr>
      </w:pPr>
      <w:r w:rsidRPr="00113B36">
        <w:rPr>
          <w:sz w:val="21"/>
        </w:rPr>
        <w:t xml:space="preserve">Finally, we note the suggestion that the pooling provisions provided under Division 8, Part 5.6 of the Corporations Act could be extended to solvent entities to achieve a similar result. We refer to </w:t>
      </w:r>
      <w:proofErr w:type="spellStart"/>
      <w:r w:rsidRPr="00113B36">
        <w:rPr>
          <w:sz w:val="21"/>
        </w:rPr>
        <w:t>ARITA's</w:t>
      </w:r>
      <w:proofErr w:type="spellEnd"/>
      <w:r w:rsidRPr="00113B36">
        <w:rPr>
          <w:sz w:val="21"/>
        </w:rPr>
        <w:t xml:space="preserve"> submission under point 4.1 and agree with the comments contained there. </w:t>
      </w:r>
    </w:p>
    <w:p w:rsidR="0023188F" w:rsidRPr="0023188F" w:rsidRDefault="0023188F" w:rsidP="0023188F">
      <w:pPr>
        <w:pStyle w:val="Level1Legal"/>
      </w:pPr>
      <w:bookmarkStart w:id="5" w:name="_Toc485402006"/>
      <w:r w:rsidRPr="0023188F">
        <w:t>Sanctioning directors and officers with a track record of involvement in insolvencies where FEG is relied upon</w:t>
      </w:r>
      <w:bookmarkEnd w:id="5"/>
    </w:p>
    <w:p w:rsidR="0023188F" w:rsidRPr="00113B36" w:rsidRDefault="0023188F" w:rsidP="0023188F">
      <w:pPr>
        <w:pStyle w:val="Level2Legal"/>
        <w:rPr>
          <w:sz w:val="21"/>
        </w:rPr>
      </w:pPr>
      <w:r w:rsidRPr="00113B36">
        <w:rPr>
          <w:sz w:val="21"/>
        </w:rPr>
        <w:t xml:space="preserve">We support the proposed reform to introduce specific sanctions for directors in Part 2D.6 where there has been repeated failure to prevent transactions that defeat employee creditors and results in improper reliance on the </w:t>
      </w:r>
      <w:r w:rsidR="00CD5261">
        <w:rPr>
          <w:sz w:val="21"/>
        </w:rPr>
        <w:t>FEG Scheme</w:t>
      </w:r>
      <w:r w:rsidRPr="00113B36">
        <w:rPr>
          <w:sz w:val="21"/>
        </w:rPr>
        <w:t xml:space="preserve">. </w:t>
      </w:r>
    </w:p>
    <w:p w:rsidR="0023188F" w:rsidRPr="00113B36" w:rsidRDefault="0023188F" w:rsidP="0023188F">
      <w:pPr>
        <w:pStyle w:val="Level2Legal"/>
        <w:rPr>
          <w:sz w:val="21"/>
        </w:rPr>
      </w:pPr>
      <w:r w:rsidRPr="00113B36">
        <w:rPr>
          <w:sz w:val="21"/>
        </w:rPr>
        <w:t xml:space="preserve">However, we query why the specific FEG sanction would require other contraventions of the Corporations Act or other laws as a pre-requisite for either the Court or ASIC to disqualify the person. The fact that the director has relied on the </w:t>
      </w:r>
      <w:r w:rsidR="00CD5261">
        <w:rPr>
          <w:sz w:val="21"/>
        </w:rPr>
        <w:t>FEG Scheme</w:t>
      </w:r>
      <w:r w:rsidRPr="00113B36">
        <w:rPr>
          <w:sz w:val="21"/>
        </w:rPr>
        <w:t xml:space="preserve"> two or more times to pay redundant workers outstanding employee entitlements, where there has been minimal or no return of the FEG advances made in each case of reliance on the </w:t>
      </w:r>
      <w:r w:rsidR="00CD5261">
        <w:rPr>
          <w:sz w:val="21"/>
        </w:rPr>
        <w:t>FEG Scheme</w:t>
      </w:r>
      <w:r w:rsidRPr="00113B36">
        <w:rPr>
          <w:sz w:val="21"/>
        </w:rPr>
        <w:t xml:space="preserve">, should be sufficient to enable disqualification of directors. </w:t>
      </w:r>
    </w:p>
    <w:p w:rsidR="00AC5E25" w:rsidRPr="00113B36" w:rsidRDefault="0023188F" w:rsidP="00AC5E25">
      <w:pPr>
        <w:pStyle w:val="Level2Legal"/>
        <w:rPr>
          <w:sz w:val="21"/>
        </w:rPr>
      </w:pPr>
      <w:r w:rsidRPr="00113B36">
        <w:rPr>
          <w:sz w:val="21"/>
        </w:rPr>
        <w:t>We also suggest that consideration ought be given to expanding standing to allow the Commonwealth to make an application for a disqualification of a director insofar as it involves directors repeatedly engaging in failures to prevent transactions to defeat employee creditors.</w:t>
      </w:r>
    </w:p>
    <w:p w:rsidR="00AC5E25" w:rsidRPr="00AC5E25" w:rsidRDefault="000953B2" w:rsidP="00AC5E25">
      <w:pPr>
        <w:pStyle w:val="Level1Legal"/>
      </w:pPr>
      <w:bookmarkStart w:id="6" w:name="_Toc485402007"/>
      <w:r>
        <w:t>C</w:t>
      </w:r>
      <w:r w:rsidR="00AC5E25" w:rsidRPr="00AC5E25">
        <w:t>orporate trustees and clarity on competing priorities</w:t>
      </w:r>
      <w:bookmarkEnd w:id="6"/>
    </w:p>
    <w:p w:rsidR="00AC5E25" w:rsidRPr="00113B36" w:rsidRDefault="00AC5E25" w:rsidP="00113B36">
      <w:pPr>
        <w:pStyle w:val="Heading6"/>
      </w:pPr>
      <w:r w:rsidRPr="00113B36">
        <w:t>Corporate trustees</w:t>
      </w:r>
    </w:p>
    <w:p w:rsidR="00AC5E25" w:rsidRPr="00113B36" w:rsidRDefault="00AC5E25" w:rsidP="00AC5E25">
      <w:pPr>
        <w:pStyle w:val="Level2Legal"/>
        <w:rPr>
          <w:sz w:val="21"/>
        </w:rPr>
      </w:pPr>
      <w:r w:rsidRPr="00113B36">
        <w:rPr>
          <w:sz w:val="21"/>
        </w:rPr>
        <w:t xml:space="preserve">Recent cases have exposed that there is a legislative lacuna in dealing with creditors' claims in a trust scenario. We support legislative amendment to make it clear that the section 556 priorities apply to the external administration of corporate trustees. </w:t>
      </w:r>
    </w:p>
    <w:p w:rsidR="00AC5E25" w:rsidRPr="00113B36" w:rsidRDefault="00AC5E25" w:rsidP="00AC5E25">
      <w:pPr>
        <w:pStyle w:val="Level2Legal"/>
        <w:rPr>
          <w:sz w:val="21"/>
        </w:rPr>
      </w:pPr>
      <w:r w:rsidRPr="00113B36">
        <w:rPr>
          <w:sz w:val="21"/>
        </w:rPr>
        <w:t xml:space="preserve">We also refer to </w:t>
      </w:r>
      <w:proofErr w:type="spellStart"/>
      <w:r w:rsidRPr="00113B36">
        <w:rPr>
          <w:sz w:val="21"/>
        </w:rPr>
        <w:t>ARITA's</w:t>
      </w:r>
      <w:proofErr w:type="spellEnd"/>
      <w:r w:rsidRPr="00113B36">
        <w:rPr>
          <w:sz w:val="21"/>
        </w:rPr>
        <w:t xml:space="preserve"> submission and agree with the comments contained under point 6.1. </w:t>
      </w:r>
    </w:p>
    <w:p w:rsidR="00AC5E25" w:rsidRPr="00113B36" w:rsidRDefault="00AC5E25" w:rsidP="00113B36">
      <w:pPr>
        <w:pStyle w:val="Heading6"/>
      </w:pPr>
      <w:r w:rsidRPr="00113B36">
        <w:lastRenderedPageBreak/>
        <w:t>Clarity on competing priorities</w:t>
      </w:r>
    </w:p>
    <w:p w:rsidR="00AC5E25" w:rsidRPr="00113B36" w:rsidRDefault="00AC5E25" w:rsidP="00AC5E25">
      <w:pPr>
        <w:pStyle w:val="Level2Legal"/>
        <w:rPr>
          <w:sz w:val="21"/>
        </w:rPr>
      </w:pPr>
      <w:r w:rsidRPr="00113B36">
        <w:rPr>
          <w:sz w:val="21"/>
        </w:rPr>
        <w:t xml:space="preserve">We agree and repeat the comments contained under point 6.2 of </w:t>
      </w:r>
      <w:proofErr w:type="spellStart"/>
      <w:r w:rsidRPr="00113B36">
        <w:rPr>
          <w:sz w:val="21"/>
        </w:rPr>
        <w:t>ARITA's</w:t>
      </w:r>
      <w:proofErr w:type="spellEnd"/>
      <w:r w:rsidRPr="00113B36">
        <w:rPr>
          <w:sz w:val="21"/>
        </w:rPr>
        <w:t xml:space="preserve"> submission, and offer the following additional comments.  </w:t>
      </w:r>
    </w:p>
    <w:p w:rsidR="00AC5E25" w:rsidRPr="00113B36" w:rsidRDefault="00AC5E25" w:rsidP="00AC5E25">
      <w:pPr>
        <w:pStyle w:val="Level2Legal"/>
        <w:rPr>
          <w:b/>
          <w:sz w:val="21"/>
        </w:rPr>
      </w:pPr>
      <w:r w:rsidRPr="00113B36">
        <w:rPr>
          <w:sz w:val="21"/>
        </w:rPr>
        <w:t>The courts have confirmed the existence of a liquidator's lien at common law - a liquidator usually has an equitable lien or charge over funds in his or her control for the costs and expenses incurred by the liquidator in the realisation of the asset which created the fund.</w:t>
      </w:r>
      <w:r w:rsidRPr="00113B36">
        <w:rPr>
          <w:sz w:val="21"/>
          <w:vertAlign w:val="superscript"/>
        </w:rPr>
        <w:footnoteReference w:id="3"/>
      </w:r>
      <w:r w:rsidRPr="00113B36">
        <w:rPr>
          <w:sz w:val="21"/>
        </w:rPr>
        <w:t xml:space="preserve"> Thus, insofar costs and expenses incurred by the liquidator or receiver are properly chargeable against the funds under the lien, those expenses and costs can be paid in priority to the secured creditor. Further legal analysis about the scope of a liquidator's lien appears at </w:t>
      </w:r>
      <w:r w:rsidR="00AB2D9A" w:rsidRPr="00113B36">
        <w:rPr>
          <w:b/>
          <w:sz w:val="21"/>
        </w:rPr>
        <w:t xml:space="preserve">Appendix B. </w:t>
      </w:r>
      <w:r w:rsidRPr="00113B36">
        <w:rPr>
          <w:sz w:val="21"/>
        </w:rPr>
        <w:t xml:space="preserve"> </w:t>
      </w:r>
    </w:p>
    <w:p w:rsidR="00AC5E25" w:rsidRPr="00113B36" w:rsidRDefault="00AC5E25" w:rsidP="00AC5E25">
      <w:pPr>
        <w:pStyle w:val="Level2Legal"/>
        <w:rPr>
          <w:sz w:val="21"/>
        </w:rPr>
      </w:pPr>
      <w:r w:rsidRPr="00113B36">
        <w:rPr>
          <w:sz w:val="21"/>
        </w:rPr>
        <w:t>The Consultation Paper suggests that there is a misconceived practice amongst insolvency practitioners that 'general costs' (that is, costs other than those incurred associated with the realisation of the relevant assets) can be paid in pri</w:t>
      </w:r>
      <w:r w:rsidR="006B5C0C">
        <w:rPr>
          <w:sz w:val="21"/>
        </w:rPr>
        <w:t>ority to employee creditors.</w:t>
      </w:r>
    </w:p>
    <w:p w:rsidR="00AC5E25" w:rsidRPr="00113B36" w:rsidRDefault="00AC5E25" w:rsidP="00AC5E25">
      <w:pPr>
        <w:pStyle w:val="Level2Legal"/>
        <w:rPr>
          <w:sz w:val="21"/>
        </w:rPr>
      </w:pPr>
      <w:r w:rsidRPr="00113B36">
        <w:rPr>
          <w:sz w:val="21"/>
        </w:rPr>
        <w:t xml:space="preserve">Section 561 is silent as to whether liquidators are able to pay out their remuneration ahead of employee creditors. Thus there would be a benefit in legislative amendment to clarify under section 561 that liquidators' costs and expenses incurred in the realisation of the asset the subject of the circulating security interest is to be met from the fund ahead of employee creditors and secured creditors.  This would remove the need for liquidators to rely on equitable liens principles to have their costs and expenses met. </w:t>
      </w:r>
    </w:p>
    <w:p w:rsidR="00AC5E25" w:rsidRPr="00113B36" w:rsidRDefault="00AC5E25" w:rsidP="00AC5E25">
      <w:pPr>
        <w:pStyle w:val="Level2Legal"/>
        <w:rPr>
          <w:sz w:val="21"/>
        </w:rPr>
      </w:pPr>
      <w:r w:rsidRPr="00113B36">
        <w:rPr>
          <w:sz w:val="21"/>
        </w:rPr>
        <w:t>However the amendment will need to be carefully drafted so that it takes into account</w:t>
      </w:r>
      <w:r w:rsidR="006B5C0C">
        <w:rPr>
          <w:sz w:val="21"/>
        </w:rPr>
        <w:t xml:space="preserve"> the liquidator's</w:t>
      </w:r>
      <w:r w:rsidRPr="00113B36">
        <w:rPr>
          <w:sz w:val="21"/>
        </w:rPr>
        <w:t xml:space="preserve"> other functions which may be necessary and incidental to realising and distr</w:t>
      </w:r>
      <w:r w:rsidR="006B5C0C">
        <w:rPr>
          <w:sz w:val="21"/>
        </w:rPr>
        <w:t>ibuting the fund. Other</w:t>
      </w:r>
      <w:r w:rsidRPr="00113B36">
        <w:rPr>
          <w:sz w:val="21"/>
        </w:rPr>
        <w:t xml:space="preserve"> functions include identifying the preferential creditors and paying them, </w:t>
      </w:r>
      <w:r w:rsidR="006B5C0C">
        <w:rPr>
          <w:sz w:val="21"/>
        </w:rPr>
        <w:t xml:space="preserve">and the </w:t>
      </w:r>
      <w:r w:rsidRPr="00113B36">
        <w:rPr>
          <w:sz w:val="21"/>
        </w:rPr>
        <w:t xml:space="preserve">statutorily prescribed functions, including reports to government regulatory bodies and creditors and pursuing recovery proceedings under Part 5.7B or misconduct proceedings against former management. On one interpretation, these activities sit outside realising the circulating security asset which created the fund and so the costs associated with those functions cannot be met from that fund. </w:t>
      </w:r>
      <w:r w:rsidR="006B5C0C">
        <w:rPr>
          <w:sz w:val="21"/>
        </w:rPr>
        <w:t>W</w:t>
      </w:r>
      <w:r w:rsidR="006B5C0C" w:rsidRPr="00113B36">
        <w:rPr>
          <w:sz w:val="21"/>
        </w:rPr>
        <w:t>here the only asset in a liquidation is a circulating security asset and there are no other recoveries</w:t>
      </w:r>
      <w:r w:rsidR="006B5C0C">
        <w:rPr>
          <w:sz w:val="21"/>
        </w:rPr>
        <w:t>,</w:t>
      </w:r>
      <w:r w:rsidRPr="00113B36">
        <w:rPr>
          <w:sz w:val="21"/>
        </w:rPr>
        <w:t xml:space="preserve"> liquidators </w:t>
      </w:r>
      <w:r w:rsidR="006B5C0C">
        <w:rPr>
          <w:sz w:val="21"/>
        </w:rPr>
        <w:t xml:space="preserve">may be discouraged </w:t>
      </w:r>
      <w:r w:rsidRPr="00113B36">
        <w:rPr>
          <w:sz w:val="21"/>
        </w:rPr>
        <w:t xml:space="preserve">from proper exercise of their statutory functions and from pursuing legitimate recovery proceedings </w:t>
      </w:r>
      <w:r w:rsidR="006B5C0C" w:rsidRPr="00113B36">
        <w:rPr>
          <w:sz w:val="21"/>
        </w:rPr>
        <w:t>if they perceive that they will be left out of pocket in doing so - potentially to the financial detriment of creditors as well as to the detriment of society at large from a public policy perspective.</w:t>
      </w:r>
    </w:p>
    <w:p w:rsidR="00AC5E25" w:rsidRPr="00AC5E25" w:rsidRDefault="00AC5E25" w:rsidP="00AC5E25">
      <w:pPr>
        <w:pStyle w:val="Level2Legal"/>
      </w:pPr>
      <w:r w:rsidRPr="00113B36">
        <w:rPr>
          <w:sz w:val="21"/>
        </w:rPr>
        <w:t xml:space="preserve">We suggest that it may be appropriate to set out what types of costs and expenses can be claimed from and the accounting arrangements for the proceeds of realising circulating security assets in the Corporations Regulations or in the </w:t>
      </w:r>
      <w:proofErr w:type="spellStart"/>
      <w:r w:rsidRPr="00113B36">
        <w:rPr>
          <w:sz w:val="21"/>
        </w:rPr>
        <w:t>ARITA</w:t>
      </w:r>
      <w:proofErr w:type="spellEnd"/>
      <w:r w:rsidRPr="00113B36">
        <w:rPr>
          <w:sz w:val="21"/>
        </w:rPr>
        <w:t xml:space="preserve"> Code. This will ensure greater transparency and understanding that only certain types of costs and expenses will be paid in priority to employee creditors and secured creditors.</w:t>
      </w:r>
      <w:r w:rsidRPr="00AC5E25">
        <w:t xml:space="preserve"> </w:t>
      </w:r>
    </w:p>
    <w:p w:rsidR="008E4614" w:rsidRPr="008E4614" w:rsidRDefault="00AC5E25" w:rsidP="008E4614">
      <w:pPr>
        <w:pStyle w:val="Level1Legal"/>
      </w:pPr>
      <w:bookmarkStart w:id="7" w:name="_Toc485402008"/>
      <w:r w:rsidRPr="00AC5E25">
        <w:lastRenderedPageBreak/>
        <w:t>Addi</w:t>
      </w:r>
      <w:r w:rsidR="00CF5868">
        <w:t>tional suggested reforms by HDY</w:t>
      </w:r>
      <w:bookmarkEnd w:id="7"/>
    </w:p>
    <w:p w:rsidR="00CF5868" w:rsidRPr="00CF5868" w:rsidRDefault="00CF5868" w:rsidP="00CF5868">
      <w:pPr>
        <w:pStyle w:val="Heading6"/>
      </w:pPr>
      <w:r>
        <w:t>Information-gathering powers</w:t>
      </w:r>
    </w:p>
    <w:p w:rsidR="0040131B" w:rsidRDefault="00F91F06" w:rsidP="00AC5E25">
      <w:pPr>
        <w:pStyle w:val="Level2Legal"/>
        <w:rPr>
          <w:sz w:val="21"/>
        </w:rPr>
      </w:pPr>
      <w:r>
        <w:rPr>
          <w:sz w:val="21"/>
        </w:rPr>
        <w:t xml:space="preserve">The administration of the FEG Scheme relies in large part on the cooperation of insolvency practitioners in providing information and assistance to the Commonwealth to enable it to perform its administrative functions. There is currently no legislative power for the Commonwealth to require those insolvency practitioners to cooperate with the Commonwealth and in particular to require provision of information which may be relevant to the exercise of its functions under the FEG Act. It is to the credit of the many highly professional insolvency practitioners that such an approach has worked to date. </w:t>
      </w:r>
    </w:p>
    <w:p w:rsidR="00AE5FAF" w:rsidRDefault="00F91F06" w:rsidP="006A3AEB">
      <w:pPr>
        <w:pStyle w:val="Level2Legal"/>
        <w:rPr>
          <w:sz w:val="21"/>
        </w:rPr>
      </w:pPr>
      <w:r>
        <w:rPr>
          <w:sz w:val="21"/>
        </w:rPr>
        <w:t xml:space="preserve">However, in our experience there have been situations where information reasonably necessary for the Commonwealth to fulfil </w:t>
      </w:r>
      <w:r w:rsidR="002D7079">
        <w:rPr>
          <w:sz w:val="21"/>
        </w:rPr>
        <w:t xml:space="preserve">its </w:t>
      </w:r>
      <w:r>
        <w:rPr>
          <w:sz w:val="21"/>
        </w:rPr>
        <w:t xml:space="preserve">administrative functions, to enable the Minister to exercise his or her discretion to trigger the operation of the FEG Scheme under </w:t>
      </w:r>
      <w:r w:rsidR="00AE5FAF">
        <w:rPr>
          <w:sz w:val="21"/>
        </w:rPr>
        <w:t>section 49</w:t>
      </w:r>
      <w:r>
        <w:rPr>
          <w:sz w:val="21"/>
        </w:rPr>
        <w:t xml:space="preserve"> during the period of voluntary administration</w:t>
      </w:r>
      <w:r w:rsidR="001A0ACF">
        <w:rPr>
          <w:sz w:val="21"/>
        </w:rPr>
        <w:t xml:space="preserve">, </w:t>
      </w:r>
      <w:r>
        <w:rPr>
          <w:sz w:val="21"/>
        </w:rPr>
        <w:t xml:space="preserve">or to otherwise enable the </w:t>
      </w:r>
      <w:r w:rsidR="001A0ACF">
        <w:rPr>
          <w:sz w:val="21"/>
        </w:rPr>
        <w:t>Commonwealth</w:t>
      </w:r>
      <w:r>
        <w:rPr>
          <w:sz w:val="21"/>
        </w:rPr>
        <w:t xml:space="preserve"> to assess what other steps it might take to protect or minimise </w:t>
      </w:r>
      <w:r w:rsidR="001A0ACF">
        <w:rPr>
          <w:sz w:val="21"/>
        </w:rPr>
        <w:t xml:space="preserve">its </w:t>
      </w:r>
      <w:r>
        <w:rPr>
          <w:sz w:val="21"/>
        </w:rPr>
        <w:t>liability (including under the FEG Recovery Program)</w:t>
      </w:r>
      <w:r w:rsidR="00052F2B">
        <w:rPr>
          <w:sz w:val="21"/>
        </w:rPr>
        <w:t xml:space="preserve">, has been refused to be provided. </w:t>
      </w:r>
      <w:r w:rsidR="00400D22">
        <w:rPr>
          <w:sz w:val="21"/>
        </w:rPr>
        <w:t xml:space="preserve">In those situations, the Commonwealth's options are limited to applying to become an eligible applicant to conduct a public examinations under sections 596A and 596B. </w:t>
      </w:r>
      <w:r w:rsidR="00E53156">
        <w:rPr>
          <w:sz w:val="21"/>
        </w:rPr>
        <w:t xml:space="preserve">This is an unsatisfactory position for all involved and the Commonwealth should be given some statutory powers to require information. </w:t>
      </w:r>
    </w:p>
    <w:p w:rsidR="006A3AEB" w:rsidRPr="008E4614" w:rsidRDefault="001740BD" w:rsidP="006A3AEB">
      <w:pPr>
        <w:pStyle w:val="Level2Legal"/>
        <w:rPr>
          <w:sz w:val="21"/>
        </w:rPr>
      </w:pPr>
      <w:r>
        <w:rPr>
          <w:sz w:val="21"/>
        </w:rPr>
        <w:t>S</w:t>
      </w:r>
      <w:r w:rsidR="008E4614" w:rsidRPr="00113B36">
        <w:rPr>
          <w:sz w:val="21"/>
        </w:rPr>
        <w:t xml:space="preserve">uch an information-gathering power </w:t>
      </w:r>
      <w:r>
        <w:rPr>
          <w:sz w:val="21"/>
        </w:rPr>
        <w:t xml:space="preserve">would necessarily </w:t>
      </w:r>
      <w:r w:rsidR="008E4614" w:rsidRPr="00113B36">
        <w:rPr>
          <w:sz w:val="21"/>
        </w:rPr>
        <w:t>be subject to review and the circumstances in which the Commonwealth can require this information will need to be properly provided for, so as to ensure certainty in the exercise of any external administrator's duties</w:t>
      </w:r>
      <w:r>
        <w:rPr>
          <w:sz w:val="21"/>
        </w:rPr>
        <w:t xml:space="preserve"> and to minimise the burden on such external administrators</w:t>
      </w:r>
      <w:r w:rsidR="008E4614" w:rsidRPr="00113B36">
        <w:rPr>
          <w:sz w:val="21"/>
        </w:rPr>
        <w:t>.</w:t>
      </w:r>
    </w:p>
    <w:p w:rsidR="00CF5868" w:rsidRPr="00CF5868" w:rsidRDefault="00CF5868" w:rsidP="00CF5868">
      <w:pPr>
        <w:pStyle w:val="Heading6"/>
      </w:pPr>
      <w:r>
        <w:t xml:space="preserve">Commonwealth as an active creditor in a voluntary administration </w:t>
      </w:r>
    </w:p>
    <w:p w:rsidR="00701C37" w:rsidRDefault="00701C37" w:rsidP="00AC5E25">
      <w:pPr>
        <w:pStyle w:val="Level2Legal"/>
        <w:rPr>
          <w:sz w:val="21"/>
        </w:rPr>
      </w:pPr>
      <w:r>
        <w:rPr>
          <w:sz w:val="21"/>
        </w:rPr>
        <w:t xml:space="preserve">At present, the </w:t>
      </w:r>
      <w:proofErr w:type="spellStart"/>
      <w:r>
        <w:rPr>
          <w:sz w:val="21"/>
        </w:rPr>
        <w:t>FEG</w:t>
      </w:r>
      <w:proofErr w:type="spellEnd"/>
      <w:r>
        <w:rPr>
          <w:sz w:val="21"/>
        </w:rPr>
        <w:t xml:space="preserve"> </w:t>
      </w:r>
      <w:r w:rsidR="000846FD">
        <w:rPr>
          <w:sz w:val="21"/>
        </w:rPr>
        <w:t>S</w:t>
      </w:r>
      <w:r>
        <w:rPr>
          <w:sz w:val="21"/>
        </w:rPr>
        <w:t xml:space="preserve">cheme </w:t>
      </w:r>
      <w:r w:rsidR="000846FD">
        <w:rPr>
          <w:sz w:val="21"/>
        </w:rPr>
        <w:t>only comes into operation in respect of an employer company if the employer company enters into liquidation.</w:t>
      </w:r>
      <w:r w:rsidR="000846FD">
        <w:rPr>
          <w:rStyle w:val="FootnoteReference"/>
          <w:sz w:val="21"/>
        </w:rPr>
        <w:footnoteReference w:id="4"/>
      </w:r>
      <w:r w:rsidR="000846FD">
        <w:rPr>
          <w:sz w:val="21"/>
        </w:rPr>
        <w:t xml:space="preserve"> </w:t>
      </w:r>
      <w:r>
        <w:rPr>
          <w:sz w:val="21"/>
        </w:rPr>
        <w:t>However,</w:t>
      </w:r>
      <w:r w:rsidR="000846FD">
        <w:rPr>
          <w:sz w:val="21"/>
        </w:rPr>
        <w:t xml:space="preserve"> it is often the case that a company will enter into liquidation following voluntary administration and, in some instances, a DOCA process. This can </w:t>
      </w:r>
      <w:r w:rsidR="001740BD">
        <w:rPr>
          <w:sz w:val="21"/>
        </w:rPr>
        <w:t xml:space="preserve">sometimes </w:t>
      </w:r>
      <w:r w:rsidR="000846FD">
        <w:rPr>
          <w:sz w:val="21"/>
        </w:rPr>
        <w:t>be a lengthy and protracted exercise</w:t>
      </w:r>
      <w:r w:rsidR="001740BD">
        <w:rPr>
          <w:sz w:val="21"/>
        </w:rPr>
        <w:t xml:space="preserve"> if the court grants extensions of time</w:t>
      </w:r>
      <w:r w:rsidR="000846FD">
        <w:rPr>
          <w:sz w:val="21"/>
        </w:rPr>
        <w:t xml:space="preserve">. More recently, the courts have demonstrated a propensity to grant lengthy extensions to the convening period (for example, in the voluntary administrations of Arrium Group and Dick Smith Group). During that lengthy process, the Commonwealth retains a passive role and </w:t>
      </w:r>
      <w:r w:rsidR="001740BD">
        <w:rPr>
          <w:sz w:val="21"/>
        </w:rPr>
        <w:t>has limited avenues</w:t>
      </w:r>
      <w:r w:rsidR="000846FD">
        <w:rPr>
          <w:sz w:val="21"/>
        </w:rPr>
        <w:t xml:space="preserve"> to </w:t>
      </w:r>
      <w:r w:rsidR="001740BD">
        <w:rPr>
          <w:sz w:val="21"/>
        </w:rPr>
        <w:t xml:space="preserve">participate in the voluntary administration or </w:t>
      </w:r>
      <w:proofErr w:type="spellStart"/>
      <w:r w:rsidR="001740BD">
        <w:rPr>
          <w:sz w:val="21"/>
        </w:rPr>
        <w:t>DOCA</w:t>
      </w:r>
      <w:proofErr w:type="spellEnd"/>
      <w:r w:rsidR="001740BD">
        <w:rPr>
          <w:sz w:val="21"/>
        </w:rPr>
        <w:t xml:space="preserve"> process</w:t>
      </w:r>
      <w:bookmarkStart w:id="8" w:name="_GoBack"/>
      <w:bookmarkEnd w:id="8"/>
      <w:r w:rsidR="000846FD">
        <w:rPr>
          <w:sz w:val="21"/>
        </w:rPr>
        <w:t xml:space="preserve">. </w:t>
      </w:r>
    </w:p>
    <w:p w:rsidR="00AC5E25" w:rsidRPr="006A3AEB" w:rsidRDefault="000846FD" w:rsidP="006A3AEB">
      <w:pPr>
        <w:pStyle w:val="Level2Legal"/>
        <w:rPr>
          <w:sz w:val="21"/>
        </w:rPr>
      </w:pPr>
      <w:r w:rsidRPr="00CF5868">
        <w:rPr>
          <w:sz w:val="21"/>
        </w:rPr>
        <w:t xml:space="preserve">In some cases, </w:t>
      </w:r>
      <w:r w:rsidR="0099181F" w:rsidRPr="00CF5868">
        <w:rPr>
          <w:sz w:val="21"/>
        </w:rPr>
        <w:t xml:space="preserve">there is therefore an argument for the Commonwealth's significant role to be recognised (for example, when there is a high likelihood that it will be required to make payments under the FEG Act if the company does go into liquidation) at an earlier stage so that it can, to the extent appropriate and reasonable, help shape the outcome of a voluntary administration or DOCA. It may therefore be </w:t>
      </w:r>
      <w:r w:rsidRPr="00CF5868">
        <w:rPr>
          <w:sz w:val="21"/>
        </w:rPr>
        <w:t xml:space="preserve">appropriate </w:t>
      </w:r>
      <w:r w:rsidR="0099181F" w:rsidRPr="00CF5868">
        <w:rPr>
          <w:sz w:val="21"/>
        </w:rPr>
        <w:t xml:space="preserve">in certain circumstances to allow </w:t>
      </w:r>
      <w:r w:rsidRPr="00CF5868">
        <w:rPr>
          <w:sz w:val="21"/>
        </w:rPr>
        <w:t xml:space="preserve">FEG to </w:t>
      </w:r>
      <w:r w:rsidR="00CF5868" w:rsidRPr="00CF5868">
        <w:rPr>
          <w:sz w:val="21"/>
        </w:rPr>
        <w:t xml:space="preserve">make payments </w:t>
      </w:r>
      <w:r w:rsidR="00916A37">
        <w:rPr>
          <w:sz w:val="21"/>
        </w:rPr>
        <w:lastRenderedPageBreak/>
        <w:t xml:space="preserve">during the period of voluntary administration, </w:t>
      </w:r>
      <w:r w:rsidR="002D7079">
        <w:rPr>
          <w:sz w:val="21"/>
        </w:rPr>
        <w:t>DOCA</w:t>
      </w:r>
      <w:r w:rsidRPr="00CF5868">
        <w:rPr>
          <w:sz w:val="21"/>
        </w:rPr>
        <w:t xml:space="preserve"> </w:t>
      </w:r>
      <w:r w:rsidR="00916A37">
        <w:rPr>
          <w:sz w:val="21"/>
        </w:rPr>
        <w:t xml:space="preserve">or scheme </w:t>
      </w:r>
      <w:r w:rsidRPr="00CF5868">
        <w:rPr>
          <w:sz w:val="21"/>
        </w:rPr>
        <w:t xml:space="preserve">of arrangement to avoid triggering larger liquidation claims on FEG. </w:t>
      </w:r>
    </w:p>
    <w:p w:rsidR="0023188F" w:rsidRPr="00113B36" w:rsidRDefault="00AC5E25" w:rsidP="00AC5E25">
      <w:pPr>
        <w:pStyle w:val="Level2Legal"/>
        <w:rPr>
          <w:sz w:val="21"/>
        </w:rPr>
      </w:pPr>
      <w:r w:rsidRPr="00113B36">
        <w:rPr>
          <w:sz w:val="21"/>
        </w:rPr>
        <w:t xml:space="preserve">We also suggest that amendments could be made to the Corporations Act or the FEG Act to require that where there is a likely risk of significant FEG claims being made, the Commonwealth has automatic membership to the statutory Committee of Inspection or Committee of Creditors (whether in the case of a voluntary administration or liquidation). </w:t>
      </w:r>
    </w:p>
    <w:p w:rsidR="002B700F" w:rsidRDefault="002B700F" w:rsidP="002B700F">
      <w:pPr>
        <w:pStyle w:val="FO2Legal"/>
      </w:pPr>
    </w:p>
    <w:p w:rsidR="002B700F" w:rsidRDefault="002B700F">
      <w:pPr>
        <w:spacing w:line="240" w:lineRule="auto"/>
        <w:rPr>
          <w:bCs/>
          <w:caps/>
          <w:color w:val="017070" w:themeColor="accent1"/>
          <w:kern w:val="32"/>
          <w:sz w:val="24"/>
          <w:szCs w:val="32"/>
        </w:rPr>
      </w:pPr>
      <w:r>
        <w:br w:type="page"/>
      </w:r>
    </w:p>
    <w:p w:rsidR="002B700F" w:rsidRPr="002B700F" w:rsidRDefault="002B700F" w:rsidP="002B700F">
      <w:pPr>
        <w:pStyle w:val="Heading1"/>
      </w:pPr>
      <w:bookmarkStart w:id="9" w:name="_Toc485402009"/>
      <w:r w:rsidRPr="002B700F">
        <w:lastRenderedPageBreak/>
        <w:t xml:space="preserve">Appendix </w:t>
      </w:r>
      <w:r w:rsidR="00AB2D9A">
        <w:t>A</w:t>
      </w:r>
      <w:bookmarkEnd w:id="9"/>
    </w:p>
    <w:p w:rsidR="002B700F" w:rsidRPr="00113B36" w:rsidRDefault="002B700F" w:rsidP="00113B36">
      <w:pPr>
        <w:pStyle w:val="Heading6"/>
      </w:pPr>
      <w:r w:rsidRPr="00113B36">
        <w:t>To be inserted as a new section 588FDB</w:t>
      </w:r>
      <w:r w:rsidR="00113B36">
        <w:t>:</w:t>
      </w:r>
    </w:p>
    <w:p w:rsidR="002B700F" w:rsidRPr="00113B36" w:rsidRDefault="002B700F" w:rsidP="002B700F">
      <w:pPr>
        <w:spacing w:line="240" w:lineRule="auto"/>
        <w:rPr>
          <w:rFonts w:asciiTheme="majorHAnsi" w:hAnsiTheme="majorHAnsi" w:cstheme="majorHAnsi"/>
          <w:b/>
          <w:u w:val="single"/>
        </w:rPr>
      </w:pPr>
    </w:p>
    <w:p w:rsidR="002B700F" w:rsidRPr="00113B36" w:rsidRDefault="002B700F" w:rsidP="00113B36">
      <w:pPr>
        <w:spacing w:line="240" w:lineRule="auto"/>
        <w:ind w:left="720"/>
        <w:rPr>
          <w:rFonts w:asciiTheme="majorHAnsi" w:hAnsiTheme="majorHAnsi" w:cstheme="majorHAnsi"/>
          <w:color w:val="414141" w:themeColor="accent6"/>
        </w:rPr>
      </w:pPr>
      <w:r w:rsidRPr="00113B36">
        <w:rPr>
          <w:rFonts w:asciiTheme="majorHAnsi" w:hAnsiTheme="majorHAnsi" w:cstheme="majorHAnsi"/>
          <w:b/>
          <w:color w:val="414141" w:themeColor="accent6"/>
        </w:rPr>
        <w:t xml:space="preserve">588FDB </w:t>
      </w:r>
      <w:r w:rsidRPr="00113B36">
        <w:rPr>
          <w:rFonts w:asciiTheme="majorHAnsi" w:hAnsiTheme="majorHAnsi" w:cstheme="majorHAnsi"/>
          <w:b/>
          <w:i/>
          <w:color w:val="414141" w:themeColor="accent6"/>
        </w:rPr>
        <w:t xml:space="preserve"> </w:t>
      </w:r>
      <w:r w:rsidRPr="00113B36">
        <w:rPr>
          <w:rFonts w:asciiTheme="majorHAnsi" w:hAnsiTheme="majorHAnsi" w:cstheme="majorHAnsi"/>
          <w:b/>
          <w:color w:val="414141" w:themeColor="accent6"/>
        </w:rPr>
        <w:t>Transactions to defeat employee creditors</w:t>
      </w:r>
    </w:p>
    <w:p w:rsidR="002B700F" w:rsidRPr="00113B36" w:rsidRDefault="002B700F" w:rsidP="00113B36">
      <w:pPr>
        <w:spacing w:line="240" w:lineRule="auto"/>
        <w:ind w:left="1440"/>
        <w:rPr>
          <w:rFonts w:asciiTheme="majorHAnsi" w:hAnsiTheme="majorHAnsi" w:cstheme="majorHAnsi"/>
          <w:color w:val="414141" w:themeColor="accent6"/>
        </w:rPr>
      </w:pPr>
    </w:p>
    <w:p w:rsidR="002B700F" w:rsidRPr="00113B36" w:rsidRDefault="002B700F" w:rsidP="00113B36">
      <w:pPr>
        <w:spacing w:line="240" w:lineRule="auto"/>
        <w:ind w:left="1440"/>
        <w:rPr>
          <w:rFonts w:asciiTheme="majorHAnsi" w:hAnsiTheme="majorHAnsi" w:cstheme="majorHAnsi"/>
          <w:color w:val="414141" w:themeColor="accent6"/>
        </w:rPr>
      </w:pPr>
      <w:r w:rsidRPr="00113B36">
        <w:rPr>
          <w:rFonts w:asciiTheme="majorHAnsi" w:hAnsiTheme="majorHAnsi" w:cstheme="majorHAnsi"/>
          <w:color w:val="414141" w:themeColor="accent6"/>
        </w:rPr>
        <w:t xml:space="preserve">(1) A </w:t>
      </w:r>
      <w:r w:rsidRPr="00113B36">
        <w:rPr>
          <w:rFonts w:asciiTheme="majorHAnsi" w:hAnsiTheme="majorHAnsi" w:cstheme="majorHAnsi"/>
          <w:b/>
          <w:i/>
          <w:color w:val="414141" w:themeColor="accent6"/>
        </w:rPr>
        <w:t>transaction to defeat employee creditors</w:t>
      </w:r>
      <w:r w:rsidRPr="00113B36">
        <w:rPr>
          <w:rFonts w:asciiTheme="majorHAnsi" w:hAnsiTheme="majorHAnsi" w:cstheme="majorHAnsi"/>
          <w:color w:val="414141" w:themeColor="accent6"/>
        </w:rPr>
        <w:t xml:space="preserve"> means:</w:t>
      </w:r>
    </w:p>
    <w:p w:rsidR="002B700F" w:rsidRPr="00113B36" w:rsidRDefault="002B700F" w:rsidP="00113B36">
      <w:pPr>
        <w:spacing w:line="240" w:lineRule="auto"/>
        <w:ind w:left="1440"/>
        <w:rPr>
          <w:rFonts w:asciiTheme="majorHAnsi" w:hAnsiTheme="majorHAnsi" w:cstheme="majorHAnsi"/>
          <w:color w:val="414141" w:themeColor="accent6"/>
        </w:rPr>
      </w:pPr>
    </w:p>
    <w:p w:rsidR="002B700F" w:rsidRPr="00113B36" w:rsidRDefault="002B700F" w:rsidP="00113B36">
      <w:pPr>
        <w:spacing w:after="240"/>
        <w:ind w:left="2138"/>
        <w:rPr>
          <w:rFonts w:asciiTheme="majorHAnsi" w:hAnsiTheme="majorHAnsi" w:cstheme="majorHAnsi"/>
          <w:color w:val="414141" w:themeColor="accent6"/>
        </w:rPr>
      </w:pPr>
      <w:r w:rsidRPr="00113B36">
        <w:rPr>
          <w:rFonts w:asciiTheme="majorHAnsi" w:hAnsiTheme="majorHAnsi" w:cstheme="majorHAnsi"/>
          <w:color w:val="414141" w:themeColor="accent6"/>
        </w:rPr>
        <w:t>(a) a transaction which has the effect of:</w:t>
      </w:r>
    </w:p>
    <w:p w:rsidR="002B700F" w:rsidRPr="00113B36" w:rsidRDefault="002B700F" w:rsidP="00113B36">
      <w:pPr>
        <w:spacing w:after="240"/>
        <w:ind w:left="2880"/>
        <w:rPr>
          <w:rFonts w:asciiTheme="majorHAnsi" w:hAnsiTheme="majorHAnsi" w:cstheme="majorHAnsi"/>
          <w:color w:val="414141" w:themeColor="accent6"/>
        </w:rPr>
      </w:pPr>
      <w:r w:rsidRPr="00113B36">
        <w:rPr>
          <w:rFonts w:asciiTheme="majorHAnsi" w:hAnsiTheme="majorHAnsi" w:cstheme="majorHAnsi"/>
          <w:color w:val="414141" w:themeColor="accent6"/>
        </w:rPr>
        <w:t>(</w:t>
      </w:r>
      <w:proofErr w:type="spellStart"/>
      <w:r w:rsidRPr="00113B36">
        <w:rPr>
          <w:rFonts w:asciiTheme="majorHAnsi" w:hAnsiTheme="majorHAnsi" w:cstheme="majorHAnsi"/>
          <w:color w:val="414141" w:themeColor="accent6"/>
        </w:rPr>
        <w:t>i</w:t>
      </w:r>
      <w:proofErr w:type="spellEnd"/>
      <w:r w:rsidRPr="00113B36">
        <w:rPr>
          <w:rFonts w:asciiTheme="majorHAnsi" w:hAnsiTheme="majorHAnsi" w:cstheme="majorHAnsi"/>
          <w:color w:val="414141" w:themeColor="accent6"/>
        </w:rPr>
        <w:t>) preventing the recovery of the entitlement of employees of a company; or</w:t>
      </w:r>
    </w:p>
    <w:p w:rsidR="002B700F" w:rsidRPr="00113B36" w:rsidRDefault="002B700F" w:rsidP="00113B36">
      <w:pPr>
        <w:spacing w:after="240"/>
        <w:ind w:left="2847"/>
        <w:rPr>
          <w:rFonts w:asciiTheme="majorHAnsi" w:hAnsiTheme="majorHAnsi" w:cstheme="majorHAnsi"/>
          <w:color w:val="414141" w:themeColor="accent6"/>
        </w:rPr>
      </w:pPr>
      <w:r w:rsidRPr="00113B36">
        <w:rPr>
          <w:rFonts w:asciiTheme="majorHAnsi" w:hAnsiTheme="majorHAnsi" w:cstheme="majorHAnsi"/>
          <w:color w:val="414141" w:themeColor="accent6"/>
        </w:rPr>
        <w:t xml:space="preserve">(ii) reducing the amount of entitlements of employees of a company that can be recovered; and </w:t>
      </w:r>
    </w:p>
    <w:p w:rsidR="002B700F" w:rsidRPr="00113B36" w:rsidRDefault="002B700F" w:rsidP="00113B36">
      <w:pPr>
        <w:spacing w:after="240"/>
        <w:ind w:left="2160"/>
        <w:rPr>
          <w:rFonts w:asciiTheme="majorHAnsi" w:hAnsiTheme="majorHAnsi" w:cstheme="majorHAnsi"/>
          <w:color w:val="414141" w:themeColor="accent6"/>
        </w:rPr>
      </w:pPr>
      <w:r w:rsidRPr="00113B36">
        <w:rPr>
          <w:rFonts w:asciiTheme="majorHAnsi" w:hAnsiTheme="majorHAnsi" w:cstheme="majorHAnsi"/>
          <w:color w:val="414141" w:themeColor="accent6"/>
        </w:rPr>
        <w:t>(b) a transaction that a reasonable person in the company's circumstances would not have entered into, having regard to:</w:t>
      </w:r>
    </w:p>
    <w:p w:rsidR="002B700F" w:rsidRPr="00113B36" w:rsidRDefault="002B700F" w:rsidP="00113B36">
      <w:pPr>
        <w:spacing w:after="240"/>
        <w:ind w:left="2847"/>
        <w:rPr>
          <w:rFonts w:asciiTheme="majorHAnsi" w:hAnsiTheme="majorHAnsi" w:cstheme="majorHAnsi"/>
          <w:color w:val="414141" w:themeColor="accent6"/>
        </w:rPr>
      </w:pPr>
      <w:r w:rsidRPr="00113B36">
        <w:rPr>
          <w:rFonts w:asciiTheme="majorHAnsi" w:hAnsiTheme="majorHAnsi" w:cstheme="majorHAnsi"/>
          <w:color w:val="414141" w:themeColor="accent6"/>
        </w:rPr>
        <w:t>(</w:t>
      </w:r>
      <w:proofErr w:type="spellStart"/>
      <w:r w:rsidRPr="00113B36">
        <w:rPr>
          <w:rFonts w:asciiTheme="majorHAnsi" w:hAnsiTheme="majorHAnsi" w:cstheme="majorHAnsi"/>
          <w:color w:val="414141" w:themeColor="accent6"/>
        </w:rPr>
        <w:t>i</w:t>
      </w:r>
      <w:proofErr w:type="spellEnd"/>
      <w:r w:rsidRPr="00113B36">
        <w:rPr>
          <w:rFonts w:asciiTheme="majorHAnsi" w:hAnsiTheme="majorHAnsi" w:cstheme="majorHAnsi"/>
          <w:color w:val="414141" w:themeColor="accent6"/>
        </w:rPr>
        <w:t>) the benefits (if any) to the company of entering into the transaction; and</w:t>
      </w:r>
    </w:p>
    <w:p w:rsidR="002B700F" w:rsidRPr="00113B36" w:rsidRDefault="002B700F" w:rsidP="00113B36">
      <w:pPr>
        <w:spacing w:after="240"/>
        <w:ind w:left="2847"/>
        <w:rPr>
          <w:rFonts w:asciiTheme="majorHAnsi" w:hAnsiTheme="majorHAnsi" w:cstheme="majorHAnsi"/>
          <w:color w:val="414141" w:themeColor="accent6"/>
        </w:rPr>
      </w:pPr>
      <w:r w:rsidRPr="00113B36">
        <w:rPr>
          <w:rFonts w:asciiTheme="majorHAnsi" w:hAnsiTheme="majorHAnsi" w:cstheme="majorHAnsi"/>
          <w:color w:val="414141" w:themeColor="accent6"/>
        </w:rPr>
        <w:t xml:space="preserve">(ii) the detriment to the company's employees of entering into the transaction; and </w:t>
      </w:r>
    </w:p>
    <w:p w:rsidR="002B700F" w:rsidRPr="00113B36" w:rsidRDefault="002B700F" w:rsidP="00113B36">
      <w:pPr>
        <w:spacing w:after="240"/>
        <w:ind w:left="2847"/>
        <w:rPr>
          <w:rFonts w:asciiTheme="majorHAnsi" w:hAnsiTheme="majorHAnsi" w:cstheme="majorHAnsi"/>
          <w:color w:val="414141" w:themeColor="accent6"/>
        </w:rPr>
      </w:pPr>
      <w:r w:rsidRPr="00113B36">
        <w:rPr>
          <w:rFonts w:asciiTheme="majorHAnsi" w:hAnsiTheme="majorHAnsi" w:cstheme="majorHAnsi"/>
          <w:color w:val="414141" w:themeColor="accent6"/>
        </w:rPr>
        <w:t>(iii) the respective benefits to other parties to the transaction of entering into it; and</w:t>
      </w:r>
    </w:p>
    <w:p w:rsidR="002B700F" w:rsidRPr="00113B36" w:rsidRDefault="002B700F" w:rsidP="00113B36">
      <w:pPr>
        <w:spacing w:after="240"/>
        <w:ind w:left="2847"/>
        <w:rPr>
          <w:rFonts w:asciiTheme="majorHAnsi" w:hAnsiTheme="majorHAnsi" w:cstheme="majorHAnsi"/>
          <w:color w:val="414141" w:themeColor="accent6"/>
        </w:rPr>
      </w:pPr>
      <w:r w:rsidRPr="00113B36">
        <w:rPr>
          <w:rFonts w:asciiTheme="majorHAnsi" w:hAnsiTheme="majorHAnsi" w:cstheme="majorHAnsi"/>
          <w:color w:val="414141" w:themeColor="accent6"/>
        </w:rPr>
        <w:t>(iv) the effect on recovery of the entitlements of employees of a company; and</w:t>
      </w:r>
    </w:p>
    <w:p w:rsidR="002B700F" w:rsidRPr="00113B36" w:rsidRDefault="002B700F" w:rsidP="00113B36">
      <w:pPr>
        <w:spacing w:after="240"/>
        <w:ind w:left="2847"/>
        <w:rPr>
          <w:rFonts w:asciiTheme="majorHAnsi" w:hAnsiTheme="majorHAnsi" w:cstheme="majorHAnsi"/>
          <w:i/>
          <w:color w:val="414141" w:themeColor="accent6"/>
        </w:rPr>
      </w:pPr>
      <w:r w:rsidRPr="00113B36">
        <w:rPr>
          <w:rFonts w:asciiTheme="majorHAnsi" w:hAnsiTheme="majorHAnsi" w:cstheme="majorHAnsi"/>
          <w:color w:val="414141" w:themeColor="accent6"/>
        </w:rPr>
        <w:t>(v) any other relevant matter.</w:t>
      </w:r>
    </w:p>
    <w:p w:rsidR="002B700F" w:rsidRPr="00113B36" w:rsidRDefault="002B700F" w:rsidP="002B700F">
      <w:pPr>
        <w:spacing w:line="240" w:lineRule="auto"/>
        <w:rPr>
          <w:rFonts w:asciiTheme="majorHAnsi" w:hAnsiTheme="majorHAnsi" w:cstheme="majorHAnsi"/>
          <w:b/>
          <w:u w:val="single"/>
        </w:rPr>
      </w:pPr>
    </w:p>
    <w:p w:rsidR="002B700F" w:rsidRPr="00113B36" w:rsidRDefault="002B700F" w:rsidP="00113B36">
      <w:pPr>
        <w:pStyle w:val="Heading6"/>
      </w:pPr>
      <w:r w:rsidRPr="00113B36">
        <w:t>Amendment to section 588FE of the Corporat</w:t>
      </w:r>
      <w:r w:rsidR="00113B36">
        <w:t>ions Act: Voidable transactions:</w:t>
      </w:r>
    </w:p>
    <w:p w:rsidR="002B700F" w:rsidRPr="00113B36" w:rsidRDefault="002B700F" w:rsidP="002B700F">
      <w:pPr>
        <w:spacing w:line="240" w:lineRule="auto"/>
        <w:rPr>
          <w:rFonts w:asciiTheme="majorHAnsi" w:hAnsiTheme="majorHAnsi" w:cstheme="majorHAnsi"/>
        </w:rPr>
      </w:pPr>
    </w:p>
    <w:p w:rsidR="002B700F" w:rsidRPr="00113B36" w:rsidRDefault="002B700F" w:rsidP="00113B36">
      <w:pPr>
        <w:spacing w:line="240" w:lineRule="auto"/>
        <w:ind w:left="720"/>
        <w:rPr>
          <w:rFonts w:asciiTheme="majorHAnsi" w:hAnsiTheme="majorHAnsi" w:cstheme="majorHAnsi"/>
          <w:color w:val="414141" w:themeColor="accent6"/>
        </w:rPr>
      </w:pPr>
      <w:r w:rsidRPr="00113B36">
        <w:rPr>
          <w:rFonts w:asciiTheme="majorHAnsi" w:hAnsiTheme="majorHAnsi" w:cstheme="majorHAnsi"/>
          <w:color w:val="414141" w:themeColor="accent6"/>
        </w:rPr>
        <w:t>Insert after (5):</w:t>
      </w:r>
    </w:p>
    <w:p w:rsidR="002B700F" w:rsidRPr="00113B36" w:rsidRDefault="002B700F" w:rsidP="00113B36">
      <w:pPr>
        <w:spacing w:line="240" w:lineRule="auto"/>
        <w:ind w:left="720"/>
        <w:rPr>
          <w:rFonts w:asciiTheme="majorHAnsi" w:hAnsiTheme="majorHAnsi" w:cstheme="majorHAnsi"/>
          <w:color w:val="414141" w:themeColor="accent6"/>
        </w:rPr>
      </w:pPr>
    </w:p>
    <w:p w:rsidR="002B700F" w:rsidRPr="00113B36" w:rsidRDefault="002B700F" w:rsidP="00113B36">
      <w:pPr>
        <w:spacing w:line="240" w:lineRule="auto"/>
        <w:ind w:left="1440"/>
        <w:rPr>
          <w:rFonts w:asciiTheme="majorHAnsi" w:hAnsiTheme="majorHAnsi" w:cstheme="majorHAnsi"/>
          <w:color w:val="414141" w:themeColor="accent6"/>
        </w:rPr>
      </w:pPr>
      <w:r w:rsidRPr="00113B36">
        <w:rPr>
          <w:rFonts w:asciiTheme="majorHAnsi" w:hAnsiTheme="majorHAnsi" w:cstheme="majorHAnsi"/>
          <w:color w:val="414141" w:themeColor="accent6"/>
        </w:rPr>
        <w:t>(5A) [</w:t>
      </w:r>
      <w:r w:rsidRPr="00113B36">
        <w:rPr>
          <w:rFonts w:asciiTheme="majorHAnsi" w:hAnsiTheme="majorHAnsi" w:cstheme="majorHAnsi"/>
          <w:b/>
          <w:color w:val="414141" w:themeColor="accent6"/>
        </w:rPr>
        <w:t>Voidable where transaction to defeat employee creditors</w:t>
      </w:r>
      <w:r w:rsidRPr="00113B36">
        <w:rPr>
          <w:rFonts w:asciiTheme="majorHAnsi" w:hAnsiTheme="majorHAnsi" w:cstheme="majorHAnsi"/>
          <w:color w:val="414141" w:themeColor="accent6"/>
        </w:rPr>
        <w:t xml:space="preserve">] The transaction is voidable if: </w:t>
      </w:r>
    </w:p>
    <w:p w:rsidR="002B700F" w:rsidRPr="00113B36" w:rsidRDefault="002B700F" w:rsidP="00113B36">
      <w:pPr>
        <w:spacing w:line="240" w:lineRule="auto"/>
        <w:ind w:left="1440"/>
        <w:rPr>
          <w:rFonts w:asciiTheme="majorHAnsi" w:hAnsiTheme="majorHAnsi" w:cstheme="majorHAnsi"/>
          <w:color w:val="414141" w:themeColor="accent6"/>
        </w:rPr>
      </w:pPr>
    </w:p>
    <w:p w:rsidR="002B700F" w:rsidRPr="00113B36" w:rsidRDefault="002B700F" w:rsidP="00113B36">
      <w:pPr>
        <w:spacing w:line="240" w:lineRule="auto"/>
        <w:ind w:left="2160"/>
        <w:rPr>
          <w:rFonts w:asciiTheme="majorHAnsi" w:hAnsiTheme="majorHAnsi" w:cstheme="majorHAnsi"/>
          <w:color w:val="414141" w:themeColor="accent6"/>
        </w:rPr>
      </w:pPr>
      <w:r w:rsidRPr="00113B36">
        <w:rPr>
          <w:rFonts w:asciiTheme="majorHAnsi" w:hAnsiTheme="majorHAnsi" w:cstheme="majorHAnsi"/>
          <w:color w:val="414141" w:themeColor="accent6"/>
        </w:rPr>
        <w:t xml:space="preserve">(a) it is a </w:t>
      </w:r>
      <w:r w:rsidRPr="00113B36">
        <w:rPr>
          <w:rFonts w:asciiTheme="majorHAnsi" w:hAnsiTheme="majorHAnsi" w:cstheme="majorHAnsi"/>
          <w:b/>
          <w:i/>
          <w:color w:val="414141" w:themeColor="accent6"/>
        </w:rPr>
        <w:t>transaction to defeat employee creditors</w:t>
      </w:r>
      <w:r w:rsidRPr="00113B36">
        <w:rPr>
          <w:rFonts w:asciiTheme="majorHAnsi" w:hAnsiTheme="majorHAnsi" w:cstheme="majorHAnsi"/>
          <w:color w:val="414141" w:themeColor="accent6"/>
        </w:rPr>
        <w:t>; and</w:t>
      </w:r>
    </w:p>
    <w:p w:rsidR="002B700F" w:rsidRPr="00113B36" w:rsidRDefault="002B700F" w:rsidP="00113B36">
      <w:pPr>
        <w:spacing w:line="240" w:lineRule="auto"/>
        <w:ind w:left="2160"/>
        <w:rPr>
          <w:rFonts w:asciiTheme="majorHAnsi" w:hAnsiTheme="majorHAnsi" w:cstheme="majorHAnsi"/>
          <w:color w:val="414141" w:themeColor="accent6"/>
        </w:rPr>
      </w:pPr>
    </w:p>
    <w:p w:rsidR="002B700F" w:rsidRPr="00113B36" w:rsidRDefault="002B700F" w:rsidP="00113B36">
      <w:pPr>
        <w:spacing w:line="240" w:lineRule="auto"/>
        <w:ind w:left="2160"/>
        <w:rPr>
          <w:rFonts w:asciiTheme="majorHAnsi" w:hAnsiTheme="majorHAnsi" w:cstheme="majorHAnsi"/>
          <w:color w:val="414141" w:themeColor="accent6"/>
        </w:rPr>
      </w:pPr>
      <w:r w:rsidRPr="00113B36">
        <w:rPr>
          <w:rFonts w:asciiTheme="majorHAnsi" w:hAnsiTheme="majorHAnsi" w:cstheme="majorHAnsi"/>
          <w:color w:val="414141" w:themeColor="accent6"/>
        </w:rPr>
        <w:t xml:space="preserve">(b) it was entered into, or an act was done for the purposes of giving effect </w:t>
      </w:r>
      <w:r w:rsidR="00FB2E64">
        <w:rPr>
          <w:rFonts w:asciiTheme="majorHAnsi" w:hAnsiTheme="majorHAnsi" w:cstheme="majorHAnsi"/>
          <w:color w:val="414141" w:themeColor="accent6"/>
        </w:rPr>
        <w:t>to the transaction, during the 2</w:t>
      </w:r>
      <w:r w:rsidRPr="00113B36">
        <w:rPr>
          <w:rFonts w:asciiTheme="majorHAnsi" w:hAnsiTheme="majorHAnsi" w:cstheme="majorHAnsi"/>
          <w:color w:val="414141" w:themeColor="accent6"/>
        </w:rPr>
        <w:t xml:space="preserve"> year</w:t>
      </w:r>
      <w:r w:rsidR="00FB2E64">
        <w:rPr>
          <w:rFonts w:asciiTheme="majorHAnsi" w:hAnsiTheme="majorHAnsi" w:cstheme="majorHAnsi"/>
          <w:color w:val="414141" w:themeColor="accent6"/>
        </w:rPr>
        <w:t>s</w:t>
      </w:r>
      <w:r w:rsidRPr="00113B36">
        <w:rPr>
          <w:rFonts w:asciiTheme="majorHAnsi" w:hAnsiTheme="majorHAnsi" w:cstheme="majorHAnsi"/>
          <w:color w:val="414141" w:themeColor="accent6"/>
        </w:rPr>
        <w:t xml:space="preserve"> ending on the relation-back day.</w:t>
      </w:r>
    </w:p>
    <w:p w:rsidR="002B700F" w:rsidRPr="00113B36" w:rsidRDefault="002B700F" w:rsidP="00113B36">
      <w:pPr>
        <w:spacing w:line="240" w:lineRule="auto"/>
        <w:ind w:left="1440"/>
        <w:rPr>
          <w:rFonts w:asciiTheme="majorHAnsi" w:hAnsiTheme="majorHAnsi" w:cstheme="majorHAnsi"/>
          <w:color w:val="414141" w:themeColor="accent6"/>
        </w:rPr>
      </w:pPr>
    </w:p>
    <w:p w:rsidR="002B700F" w:rsidRPr="00113B36" w:rsidRDefault="002B700F" w:rsidP="00113B36">
      <w:pPr>
        <w:spacing w:line="240" w:lineRule="auto"/>
        <w:ind w:left="1440"/>
        <w:rPr>
          <w:rFonts w:asciiTheme="majorHAnsi" w:hAnsiTheme="majorHAnsi" w:cstheme="majorHAnsi"/>
          <w:color w:val="414141" w:themeColor="accent6"/>
        </w:rPr>
      </w:pPr>
      <w:r w:rsidRPr="00113B36">
        <w:rPr>
          <w:rFonts w:asciiTheme="majorHAnsi" w:hAnsiTheme="majorHAnsi" w:cstheme="majorHAnsi"/>
          <w:color w:val="414141" w:themeColor="accent6"/>
        </w:rPr>
        <w:t>(5B) [</w:t>
      </w:r>
      <w:r w:rsidRPr="00113B36">
        <w:rPr>
          <w:rFonts w:asciiTheme="majorHAnsi" w:hAnsiTheme="majorHAnsi" w:cstheme="majorHAnsi"/>
          <w:b/>
          <w:color w:val="414141" w:themeColor="accent6"/>
        </w:rPr>
        <w:t>Voidable where employee creditor defeating purpose</w:t>
      </w:r>
      <w:r w:rsidRPr="00113B36">
        <w:rPr>
          <w:rFonts w:asciiTheme="majorHAnsi" w:hAnsiTheme="majorHAnsi" w:cstheme="majorHAnsi"/>
          <w:color w:val="414141" w:themeColor="accent6"/>
        </w:rPr>
        <w:t>] The transaction is voidable if:</w:t>
      </w:r>
    </w:p>
    <w:p w:rsidR="002B700F" w:rsidRPr="00113B36" w:rsidRDefault="002B700F" w:rsidP="00113B36">
      <w:pPr>
        <w:spacing w:line="240" w:lineRule="auto"/>
        <w:ind w:left="1440"/>
        <w:rPr>
          <w:rFonts w:asciiTheme="majorHAnsi" w:hAnsiTheme="majorHAnsi" w:cstheme="majorHAnsi"/>
          <w:color w:val="414141" w:themeColor="accent6"/>
        </w:rPr>
      </w:pPr>
    </w:p>
    <w:p w:rsidR="002B700F" w:rsidRPr="00113B36" w:rsidRDefault="002B700F" w:rsidP="00113B36">
      <w:pPr>
        <w:spacing w:line="240" w:lineRule="auto"/>
        <w:ind w:left="2160"/>
        <w:rPr>
          <w:rFonts w:asciiTheme="majorHAnsi" w:hAnsiTheme="majorHAnsi" w:cstheme="majorHAnsi"/>
          <w:color w:val="414141" w:themeColor="accent6"/>
        </w:rPr>
      </w:pPr>
      <w:r w:rsidRPr="00113B36">
        <w:rPr>
          <w:rFonts w:asciiTheme="majorHAnsi" w:hAnsiTheme="majorHAnsi" w:cstheme="majorHAnsi"/>
          <w:color w:val="414141" w:themeColor="accent6"/>
        </w:rPr>
        <w:t xml:space="preserve">(a) it is a </w:t>
      </w:r>
      <w:r w:rsidRPr="00113B36">
        <w:rPr>
          <w:rFonts w:asciiTheme="majorHAnsi" w:hAnsiTheme="majorHAnsi" w:cstheme="majorHAnsi"/>
          <w:b/>
          <w:i/>
          <w:color w:val="414141" w:themeColor="accent6"/>
        </w:rPr>
        <w:t>transaction to defeat employee creditors</w:t>
      </w:r>
      <w:r w:rsidRPr="00113B36">
        <w:rPr>
          <w:rFonts w:asciiTheme="majorHAnsi" w:hAnsiTheme="majorHAnsi" w:cstheme="majorHAnsi"/>
          <w:color w:val="414141" w:themeColor="accent6"/>
        </w:rPr>
        <w:t>; and</w:t>
      </w:r>
    </w:p>
    <w:p w:rsidR="002B700F" w:rsidRPr="00113B36" w:rsidRDefault="002B700F" w:rsidP="00113B36">
      <w:pPr>
        <w:spacing w:line="240" w:lineRule="auto"/>
        <w:ind w:left="2160"/>
        <w:rPr>
          <w:rFonts w:asciiTheme="majorHAnsi" w:hAnsiTheme="majorHAnsi" w:cstheme="majorHAnsi"/>
          <w:color w:val="414141" w:themeColor="accent6"/>
        </w:rPr>
      </w:pPr>
    </w:p>
    <w:p w:rsidR="002B700F" w:rsidRPr="00113B36" w:rsidRDefault="002B700F" w:rsidP="00113B36">
      <w:pPr>
        <w:spacing w:line="240" w:lineRule="auto"/>
        <w:ind w:left="2160"/>
        <w:rPr>
          <w:rFonts w:asciiTheme="majorHAnsi" w:hAnsiTheme="majorHAnsi" w:cstheme="majorHAnsi"/>
          <w:color w:val="414141" w:themeColor="accent6"/>
        </w:rPr>
      </w:pPr>
      <w:r w:rsidRPr="00113B36">
        <w:rPr>
          <w:rFonts w:asciiTheme="majorHAnsi" w:hAnsiTheme="majorHAnsi" w:cstheme="majorHAnsi"/>
          <w:color w:val="414141" w:themeColor="accent6"/>
        </w:rPr>
        <w:t>(b) the company became a party to the transaction:</w:t>
      </w:r>
    </w:p>
    <w:p w:rsidR="002B700F" w:rsidRPr="00113B36" w:rsidRDefault="002B700F" w:rsidP="00113B36">
      <w:pPr>
        <w:spacing w:line="240" w:lineRule="auto"/>
        <w:ind w:left="2160"/>
        <w:rPr>
          <w:rFonts w:asciiTheme="majorHAnsi" w:hAnsiTheme="majorHAnsi" w:cstheme="majorHAnsi"/>
          <w:color w:val="414141" w:themeColor="accent6"/>
        </w:rPr>
      </w:pPr>
    </w:p>
    <w:p w:rsidR="002B700F" w:rsidRPr="00113B36" w:rsidRDefault="002B700F" w:rsidP="00113B36">
      <w:pPr>
        <w:spacing w:line="240" w:lineRule="auto"/>
        <w:ind w:left="2880"/>
        <w:rPr>
          <w:rFonts w:asciiTheme="majorHAnsi" w:hAnsiTheme="majorHAnsi" w:cstheme="majorHAnsi"/>
          <w:color w:val="414141" w:themeColor="accent6"/>
        </w:rPr>
      </w:pPr>
      <w:r w:rsidRPr="00113B36">
        <w:rPr>
          <w:rFonts w:asciiTheme="majorHAnsi" w:hAnsiTheme="majorHAnsi" w:cstheme="majorHAnsi"/>
          <w:color w:val="414141" w:themeColor="accent6"/>
        </w:rPr>
        <w:lastRenderedPageBreak/>
        <w:t>(</w:t>
      </w:r>
      <w:proofErr w:type="spellStart"/>
      <w:r w:rsidRPr="00113B36">
        <w:rPr>
          <w:rFonts w:asciiTheme="majorHAnsi" w:hAnsiTheme="majorHAnsi" w:cstheme="majorHAnsi"/>
          <w:color w:val="414141" w:themeColor="accent6"/>
        </w:rPr>
        <w:t>i</w:t>
      </w:r>
      <w:proofErr w:type="spellEnd"/>
      <w:r w:rsidRPr="00113B36">
        <w:rPr>
          <w:rFonts w:asciiTheme="majorHAnsi" w:hAnsiTheme="majorHAnsi" w:cstheme="majorHAnsi"/>
          <w:color w:val="414141" w:themeColor="accent6"/>
        </w:rPr>
        <w:t>) for the purpose, or for purposes including the purpose, of defeating, delaying or interfering with, the rights of any or all of its employee creditors on a winding up of the company; or</w:t>
      </w:r>
    </w:p>
    <w:p w:rsidR="002B700F" w:rsidRPr="00113B36" w:rsidRDefault="002B700F" w:rsidP="00113B36">
      <w:pPr>
        <w:spacing w:line="240" w:lineRule="auto"/>
        <w:ind w:left="2880"/>
        <w:rPr>
          <w:rFonts w:asciiTheme="majorHAnsi" w:hAnsiTheme="majorHAnsi" w:cstheme="majorHAnsi"/>
          <w:color w:val="414141" w:themeColor="accent6"/>
        </w:rPr>
      </w:pPr>
    </w:p>
    <w:p w:rsidR="002B700F" w:rsidRPr="00113B36" w:rsidRDefault="002B700F" w:rsidP="00113B36">
      <w:pPr>
        <w:spacing w:line="240" w:lineRule="auto"/>
        <w:ind w:left="2880"/>
        <w:rPr>
          <w:rFonts w:asciiTheme="majorHAnsi" w:hAnsiTheme="majorHAnsi" w:cstheme="majorHAnsi"/>
          <w:color w:val="414141" w:themeColor="accent6"/>
        </w:rPr>
      </w:pPr>
      <w:r w:rsidRPr="00113B36">
        <w:rPr>
          <w:rFonts w:asciiTheme="majorHAnsi" w:hAnsiTheme="majorHAnsi" w:cstheme="majorHAnsi"/>
          <w:color w:val="414141" w:themeColor="accent6"/>
        </w:rPr>
        <w:t xml:space="preserve">(ii) arising from an intention of, or intentions that include the intention of, being a </w:t>
      </w:r>
      <w:r w:rsidRPr="00113B36">
        <w:rPr>
          <w:rFonts w:asciiTheme="majorHAnsi" w:hAnsiTheme="majorHAnsi" w:cstheme="majorHAnsi"/>
          <w:b/>
          <w:i/>
          <w:color w:val="414141" w:themeColor="accent6"/>
        </w:rPr>
        <w:t>transaction to defeat employee creditors</w:t>
      </w:r>
      <w:r w:rsidRPr="00113B36">
        <w:rPr>
          <w:rFonts w:asciiTheme="majorHAnsi" w:hAnsiTheme="majorHAnsi" w:cstheme="majorHAnsi"/>
          <w:color w:val="414141" w:themeColor="accent6"/>
        </w:rPr>
        <w:t xml:space="preserve">; and </w:t>
      </w:r>
    </w:p>
    <w:p w:rsidR="002B700F" w:rsidRPr="00113B36" w:rsidRDefault="002B700F" w:rsidP="00113B36">
      <w:pPr>
        <w:spacing w:line="240" w:lineRule="auto"/>
        <w:ind w:left="2160"/>
        <w:rPr>
          <w:rFonts w:asciiTheme="majorHAnsi" w:hAnsiTheme="majorHAnsi" w:cstheme="majorHAnsi"/>
          <w:color w:val="414141" w:themeColor="accent6"/>
        </w:rPr>
      </w:pPr>
    </w:p>
    <w:p w:rsidR="002B700F" w:rsidRPr="00113B36" w:rsidRDefault="002B700F" w:rsidP="00113B36">
      <w:pPr>
        <w:spacing w:line="240" w:lineRule="auto"/>
        <w:ind w:left="2160"/>
        <w:rPr>
          <w:rFonts w:asciiTheme="majorHAnsi" w:hAnsiTheme="majorHAnsi" w:cstheme="majorHAnsi"/>
          <w:color w:val="414141" w:themeColor="accent6"/>
        </w:rPr>
      </w:pPr>
      <w:r w:rsidRPr="00113B36">
        <w:rPr>
          <w:rFonts w:asciiTheme="majorHAnsi" w:hAnsiTheme="majorHAnsi" w:cstheme="majorHAnsi"/>
          <w:color w:val="414141" w:themeColor="accent6"/>
        </w:rPr>
        <w:t>(c) the transaction was entered into, or an act was done for the purpose of giving effect to the transaction, during the 10 years ending on the relation-back day.</w:t>
      </w:r>
    </w:p>
    <w:p w:rsidR="002B700F" w:rsidRDefault="002B700F" w:rsidP="002B700F">
      <w:pPr>
        <w:spacing w:line="240" w:lineRule="auto"/>
        <w:rPr>
          <w:rFonts w:asciiTheme="majorHAnsi" w:hAnsiTheme="majorHAnsi" w:cstheme="majorHAnsi"/>
          <w:b/>
          <w:u w:val="single"/>
        </w:rPr>
      </w:pPr>
    </w:p>
    <w:p w:rsidR="00113B36" w:rsidRPr="00113B36" w:rsidRDefault="00113B36" w:rsidP="002B700F">
      <w:pPr>
        <w:spacing w:line="240" w:lineRule="auto"/>
        <w:rPr>
          <w:rFonts w:asciiTheme="majorHAnsi" w:hAnsiTheme="majorHAnsi" w:cstheme="majorHAnsi"/>
          <w:b/>
          <w:u w:val="single"/>
        </w:rPr>
      </w:pPr>
    </w:p>
    <w:p w:rsidR="002B700F" w:rsidRPr="00113B36" w:rsidRDefault="002B700F" w:rsidP="00113B36">
      <w:pPr>
        <w:pStyle w:val="Heading6"/>
      </w:pPr>
      <w:r w:rsidRPr="00113B36">
        <w:t>To be inserted as a division after Division 3</w:t>
      </w:r>
      <w:r w:rsidR="00113B36">
        <w:t>:</w:t>
      </w:r>
    </w:p>
    <w:p w:rsidR="002B700F" w:rsidRPr="00113B36" w:rsidRDefault="002B700F" w:rsidP="002B700F">
      <w:pPr>
        <w:spacing w:line="240" w:lineRule="auto"/>
        <w:rPr>
          <w:rFonts w:asciiTheme="majorHAnsi" w:hAnsiTheme="majorHAnsi" w:cstheme="majorHAnsi"/>
          <w:b/>
        </w:rPr>
      </w:pPr>
    </w:p>
    <w:p w:rsidR="002B700F" w:rsidRPr="00113B36" w:rsidRDefault="002B700F" w:rsidP="00113B36">
      <w:pPr>
        <w:spacing w:line="240" w:lineRule="auto"/>
        <w:ind w:left="720"/>
        <w:rPr>
          <w:rFonts w:asciiTheme="majorHAnsi" w:hAnsiTheme="majorHAnsi" w:cstheme="majorHAnsi"/>
          <w:b/>
          <w:color w:val="414141" w:themeColor="accent6"/>
        </w:rPr>
      </w:pPr>
      <w:r w:rsidRPr="00113B36">
        <w:rPr>
          <w:rFonts w:asciiTheme="majorHAnsi" w:hAnsiTheme="majorHAnsi" w:cstheme="majorHAnsi"/>
          <w:b/>
          <w:color w:val="414141" w:themeColor="accent6"/>
        </w:rPr>
        <w:t>Division 3A - Person's duty to prevent transaction to defeat employee creditors</w:t>
      </w:r>
    </w:p>
    <w:p w:rsidR="002B700F" w:rsidRPr="00113B36" w:rsidRDefault="002B700F" w:rsidP="00113B36">
      <w:pPr>
        <w:spacing w:line="240" w:lineRule="auto"/>
        <w:ind w:left="720"/>
        <w:rPr>
          <w:rFonts w:asciiTheme="majorHAnsi" w:hAnsiTheme="majorHAnsi" w:cstheme="majorHAnsi"/>
          <w:color w:val="414141" w:themeColor="accent6"/>
        </w:rPr>
      </w:pPr>
    </w:p>
    <w:p w:rsidR="002B700F" w:rsidRPr="00113B36" w:rsidRDefault="002B700F" w:rsidP="00113B36">
      <w:pPr>
        <w:spacing w:line="240" w:lineRule="auto"/>
        <w:ind w:left="720"/>
        <w:rPr>
          <w:rFonts w:asciiTheme="majorHAnsi" w:hAnsiTheme="majorHAnsi" w:cstheme="majorHAnsi"/>
          <w:b/>
          <w:i/>
          <w:color w:val="414141" w:themeColor="accent6"/>
        </w:rPr>
      </w:pPr>
      <w:r w:rsidRPr="00113B36">
        <w:rPr>
          <w:rFonts w:asciiTheme="majorHAnsi" w:hAnsiTheme="majorHAnsi" w:cstheme="majorHAnsi"/>
          <w:b/>
          <w:i/>
          <w:color w:val="414141" w:themeColor="accent6"/>
        </w:rPr>
        <w:t>588HA  Person's duty to prevent transaction to defeat employee creditors</w:t>
      </w:r>
    </w:p>
    <w:p w:rsidR="002B700F" w:rsidRPr="00113B36" w:rsidRDefault="002B700F" w:rsidP="00113B36">
      <w:pPr>
        <w:spacing w:line="240" w:lineRule="auto"/>
        <w:ind w:left="720"/>
        <w:rPr>
          <w:rFonts w:asciiTheme="majorHAnsi" w:hAnsiTheme="majorHAnsi" w:cstheme="majorHAnsi"/>
          <w:color w:val="414141" w:themeColor="accent6"/>
        </w:rPr>
      </w:pPr>
    </w:p>
    <w:p w:rsidR="002B700F" w:rsidRPr="00113B36" w:rsidRDefault="002B700F" w:rsidP="00113B36">
      <w:pPr>
        <w:spacing w:line="240" w:lineRule="auto"/>
        <w:ind w:left="1440"/>
        <w:rPr>
          <w:rFonts w:asciiTheme="majorHAnsi" w:hAnsiTheme="majorHAnsi" w:cstheme="majorHAnsi"/>
          <w:color w:val="414141" w:themeColor="accent6"/>
        </w:rPr>
      </w:pPr>
      <w:r w:rsidRPr="00113B36">
        <w:rPr>
          <w:rFonts w:asciiTheme="majorHAnsi" w:hAnsiTheme="majorHAnsi" w:cstheme="majorHAnsi"/>
          <w:color w:val="414141" w:themeColor="accent6"/>
        </w:rPr>
        <w:t>(1) [</w:t>
      </w:r>
      <w:r w:rsidRPr="00113B36">
        <w:rPr>
          <w:rFonts w:asciiTheme="majorHAnsi" w:hAnsiTheme="majorHAnsi" w:cstheme="majorHAnsi"/>
          <w:b/>
          <w:color w:val="414141" w:themeColor="accent6"/>
        </w:rPr>
        <w:t>Application</w:t>
      </w:r>
      <w:r w:rsidRPr="00113B36">
        <w:rPr>
          <w:rFonts w:asciiTheme="majorHAnsi" w:hAnsiTheme="majorHAnsi" w:cstheme="majorHAnsi"/>
          <w:color w:val="414141" w:themeColor="accent6"/>
        </w:rPr>
        <w:t>] This section applies if:</w:t>
      </w:r>
    </w:p>
    <w:p w:rsidR="002B700F" w:rsidRPr="00113B36" w:rsidRDefault="002B700F" w:rsidP="00113B36">
      <w:pPr>
        <w:spacing w:line="240" w:lineRule="auto"/>
        <w:ind w:left="1440"/>
        <w:rPr>
          <w:rFonts w:asciiTheme="majorHAnsi" w:hAnsiTheme="majorHAnsi" w:cstheme="majorHAnsi"/>
          <w:color w:val="414141" w:themeColor="accent6"/>
        </w:rPr>
      </w:pPr>
    </w:p>
    <w:p w:rsidR="002B700F" w:rsidRPr="00113B36" w:rsidRDefault="002B700F" w:rsidP="00113B36">
      <w:pPr>
        <w:spacing w:line="240" w:lineRule="auto"/>
        <w:ind w:left="2160"/>
        <w:rPr>
          <w:rFonts w:asciiTheme="majorHAnsi" w:hAnsiTheme="majorHAnsi" w:cstheme="majorHAnsi"/>
          <w:color w:val="414141" w:themeColor="accent6"/>
        </w:rPr>
      </w:pPr>
      <w:r w:rsidRPr="00113B36">
        <w:rPr>
          <w:rFonts w:asciiTheme="majorHAnsi" w:hAnsiTheme="majorHAnsi" w:cstheme="majorHAnsi"/>
          <w:color w:val="414141" w:themeColor="accent6"/>
        </w:rPr>
        <w:t xml:space="preserve">(a) a company enters into a </w:t>
      </w:r>
      <w:r w:rsidRPr="00113B36">
        <w:rPr>
          <w:rFonts w:asciiTheme="majorHAnsi" w:hAnsiTheme="majorHAnsi" w:cstheme="majorHAnsi"/>
          <w:b/>
          <w:i/>
          <w:color w:val="414141" w:themeColor="accent6"/>
        </w:rPr>
        <w:t>transaction to defeat employee creditors</w:t>
      </w:r>
      <w:r w:rsidRPr="00113B36">
        <w:rPr>
          <w:rFonts w:asciiTheme="majorHAnsi" w:hAnsiTheme="majorHAnsi" w:cstheme="majorHAnsi"/>
          <w:color w:val="414141" w:themeColor="accent6"/>
        </w:rPr>
        <w:t xml:space="preserve">; </w:t>
      </w:r>
    </w:p>
    <w:p w:rsidR="002B700F" w:rsidRPr="00113B36" w:rsidRDefault="002B700F" w:rsidP="00113B36">
      <w:pPr>
        <w:spacing w:line="240" w:lineRule="auto"/>
        <w:ind w:left="2160"/>
        <w:rPr>
          <w:rFonts w:asciiTheme="majorHAnsi" w:hAnsiTheme="majorHAnsi" w:cstheme="majorHAnsi"/>
          <w:color w:val="414141" w:themeColor="accent6"/>
        </w:rPr>
      </w:pPr>
    </w:p>
    <w:p w:rsidR="002B700F" w:rsidRPr="00113B36" w:rsidRDefault="002B700F" w:rsidP="00113B36">
      <w:pPr>
        <w:spacing w:line="240" w:lineRule="auto"/>
        <w:ind w:left="2160"/>
        <w:rPr>
          <w:rFonts w:asciiTheme="majorHAnsi" w:hAnsiTheme="majorHAnsi" w:cstheme="majorHAnsi"/>
          <w:color w:val="414141" w:themeColor="accent6"/>
        </w:rPr>
      </w:pPr>
      <w:r w:rsidRPr="00113B36">
        <w:rPr>
          <w:rFonts w:asciiTheme="majorHAnsi" w:hAnsiTheme="majorHAnsi" w:cstheme="majorHAnsi"/>
          <w:color w:val="414141" w:themeColor="accent6"/>
        </w:rPr>
        <w:t xml:space="preserve">(b) at the time, there are reasonable grounds for suspecting that the transaction is a </w:t>
      </w:r>
      <w:r w:rsidRPr="00113B36">
        <w:rPr>
          <w:rFonts w:asciiTheme="majorHAnsi" w:hAnsiTheme="majorHAnsi" w:cstheme="majorHAnsi"/>
          <w:b/>
          <w:i/>
          <w:color w:val="414141" w:themeColor="accent6"/>
        </w:rPr>
        <w:t>transaction to defeat employee creditors</w:t>
      </w:r>
      <w:r w:rsidRPr="00113B36">
        <w:rPr>
          <w:rFonts w:asciiTheme="majorHAnsi" w:hAnsiTheme="majorHAnsi" w:cstheme="majorHAnsi"/>
          <w:color w:val="414141" w:themeColor="accent6"/>
        </w:rPr>
        <w:t>.</w:t>
      </w:r>
    </w:p>
    <w:p w:rsidR="002B700F" w:rsidRPr="00113B36" w:rsidRDefault="002B700F" w:rsidP="00113B36">
      <w:pPr>
        <w:spacing w:line="240" w:lineRule="auto"/>
        <w:ind w:left="2160"/>
        <w:rPr>
          <w:rFonts w:asciiTheme="majorHAnsi" w:hAnsiTheme="majorHAnsi" w:cstheme="majorHAnsi"/>
          <w:color w:val="414141" w:themeColor="accent6"/>
        </w:rPr>
      </w:pPr>
    </w:p>
    <w:p w:rsidR="002B700F" w:rsidRPr="00113B36" w:rsidRDefault="002B700F" w:rsidP="00113B36">
      <w:pPr>
        <w:spacing w:line="240" w:lineRule="auto"/>
        <w:ind w:left="1440"/>
        <w:rPr>
          <w:rFonts w:asciiTheme="majorHAnsi" w:hAnsiTheme="majorHAnsi" w:cstheme="majorHAnsi"/>
          <w:color w:val="414141" w:themeColor="accent6"/>
        </w:rPr>
      </w:pPr>
      <w:r w:rsidRPr="00113B36">
        <w:rPr>
          <w:rFonts w:asciiTheme="majorHAnsi" w:hAnsiTheme="majorHAnsi" w:cstheme="majorHAnsi"/>
          <w:color w:val="414141" w:themeColor="accent6"/>
        </w:rPr>
        <w:t>(2) [</w:t>
      </w:r>
      <w:r w:rsidRPr="00113B36">
        <w:rPr>
          <w:rFonts w:asciiTheme="majorHAnsi" w:hAnsiTheme="majorHAnsi" w:cstheme="majorHAnsi"/>
          <w:b/>
          <w:color w:val="414141" w:themeColor="accent6"/>
        </w:rPr>
        <w:t>Failure to prevent transaction to defeat employee creditors</w:t>
      </w:r>
      <w:r w:rsidRPr="00113B36">
        <w:rPr>
          <w:rFonts w:asciiTheme="majorHAnsi" w:hAnsiTheme="majorHAnsi" w:cstheme="majorHAnsi"/>
          <w:color w:val="414141" w:themeColor="accent6"/>
        </w:rPr>
        <w:t xml:space="preserve">] By failing to prevent the company from entering into a </w:t>
      </w:r>
      <w:r w:rsidRPr="00113B36">
        <w:rPr>
          <w:rFonts w:asciiTheme="majorHAnsi" w:hAnsiTheme="majorHAnsi" w:cstheme="majorHAnsi"/>
          <w:b/>
          <w:i/>
          <w:color w:val="414141" w:themeColor="accent6"/>
        </w:rPr>
        <w:t>transaction to defeat employee creditors</w:t>
      </w:r>
      <w:r w:rsidRPr="00113B36">
        <w:rPr>
          <w:rFonts w:asciiTheme="majorHAnsi" w:hAnsiTheme="majorHAnsi" w:cstheme="majorHAnsi"/>
          <w:b/>
          <w:color w:val="414141" w:themeColor="accent6"/>
        </w:rPr>
        <w:t xml:space="preserve"> </w:t>
      </w:r>
      <w:r w:rsidRPr="00113B36">
        <w:rPr>
          <w:rFonts w:asciiTheme="majorHAnsi" w:hAnsiTheme="majorHAnsi" w:cstheme="majorHAnsi"/>
          <w:color w:val="414141" w:themeColor="accent6"/>
        </w:rPr>
        <w:t>a person contravenes this section if:</w:t>
      </w:r>
    </w:p>
    <w:p w:rsidR="002B700F" w:rsidRPr="00113B36" w:rsidRDefault="002B700F" w:rsidP="00113B36">
      <w:pPr>
        <w:spacing w:line="240" w:lineRule="auto"/>
        <w:ind w:left="1440"/>
        <w:rPr>
          <w:rFonts w:asciiTheme="majorHAnsi" w:hAnsiTheme="majorHAnsi" w:cstheme="majorHAnsi"/>
          <w:color w:val="414141" w:themeColor="accent6"/>
        </w:rPr>
      </w:pPr>
    </w:p>
    <w:p w:rsidR="002B700F" w:rsidRPr="00113B36" w:rsidRDefault="002B700F" w:rsidP="00113B36">
      <w:pPr>
        <w:spacing w:line="240" w:lineRule="auto"/>
        <w:ind w:left="2160"/>
        <w:rPr>
          <w:rFonts w:asciiTheme="majorHAnsi" w:hAnsiTheme="majorHAnsi" w:cstheme="majorHAnsi"/>
          <w:color w:val="414141" w:themeColor="accent6"/>
        </w:rPr>
      </w:pPr>
      <w:r w:rsidRPr="00113B36">
        <w:rPr>
          <w:rFonts w:asciiTheme="majorHAnsi" w:hAnsiTheme="majorHAnsi" w:cstheme="majorHAnsi"/>
          <w:color w:val="414141" w:themeColor="accent6"/>
        </w:rPr>
        <w:t xml:space="preserve">(a) the person is aware at the time of the transaction that the transaction is a </w:t>
      </w:r>
      <w:r w:rsidRPr="00113B36">
        <w:rPr>
          <w:rFonts w:asciiTheme="majorHAnsi" w:hAnsiTheme="majorHAnsi" w:cstheme="majorHAnsi"/>
          <w:b/>
          <w:i/>
          <w:color w:val="414141" w:themeColor="accent6"/>
        </w:rPr>
        <w:t>transaction to defeat employee creditors</w:t>
      </w:r>
      <w:r w:rsidRPr="00113B36">
        <w:rPr>
          <w:rFonts w:asciiTheme="majorHAnsi" w:hAnsiTheme="majorHAnsi" w:cstheme="majorHAnsi"/>
          <w:color w:val="414141" w:themeColor="accent6"/>
        </w:rPr>
        <w:t>; or</w:t>
      </w:r>
    </w:p>
    <w:p w:rsidR="002B700F" w:rsidRPr="00113B36" w:rsidRDefault="002B700F" w:rsidP="00113B36">
      <w:pPr>
        <w:spacing w:line="240" w:lineRule="auto"/>
        <w:ind w:left="2160"/>
        <w:rPr>
          <w:rFonts w:asciiTheme="majorHAnsi" w:hAnsiTheme="majorHAnsi" w:cstheme="majorHAnsi"/>
          <w:color w:val="414141" w:themeColor="accent6"/>
        </w:rPr>
      </w:pPr>
    </w:p>
    <w:p w:rsidR="002B700F" w:rsidRPr="00113B36" w:rsidRDefault="002B700F" w:rsidP="00113B36">
      <w:pPr>
        <w:spacing w:line="240" w:lineRule="auto"/>
        <w:ind w:left="2160"/>
        <w:rPr>
          <w:rFonts w:asciiTheme="majorHAnsi" w:hAnsiTheme="majorHAnsi" w:cstheme="majorHAnsi"/>
          <w:color w:val="414141" w:themeColor="accent6"/>
        </w:rPr>
      </w:pPr>
      <w:r w:rsidRPr="00113B36">
        <w:rPr>
          <w:rFonts w:asciiTheme="majorHAnsi" w:hAnsiTheme="majorHAnsi" w:cstheme="majorHAnsi"/>
          <w:color w:val="414141" w:themeColor="accent6"/>
        </w:rPr>
        <w:t>(b) a reasonable person in a like position in the company's circumstances would be so aware.</w:t>
      </w:r>
    </w:p>
    <w:p w:rsidR="002B700F" w:rsidRPr="00113B36" w:rsidRDefault="002B700F" w:rsidP="00113B36">
      <w:pPr>
        <w:spacing w:line="240" w:lineRule="auto"/>
        <w:ind w:left="2160"/>
        <w:rPr>
          <w:rFonts w:asciiTheme="majorHAnsi" w:hAnsiTheme="majorHAnsi" w:cstheme="majorHAnsi"/>
          <w:color w:val="414141" w:themeColor="accent6"/>
        </w:rPr>
      </w:pPr>
    </w:p>
    <w:p w:rsidR="002B700F" w:rsidRPr="00113B36" w:rsidRDefault="002B700F" w:rsidP="00113B36">
      <w:pPr>
        <w:spacing w:line="240" w:lineRule="auto"/>
        <w:ind w:left="1440"/>
        <w:rPr>
          <w:rFonts w:asciiTheme="majorHAnsi" w:hAnsiTheme="majorHAnsi" w:cstheme="majorHAnsi"/>
          <w:color w:val="414141" w:themeColor="accent6"/>
        </w:rPr>
      </w:pPr>
      <w:r w:rsidRPr="00113B36">
        <w:rPr>
          <w:rFonts w:asciiTheme="majorHAnsi" w:hAnsiTheme="majorHAnsi" w:cstheme="majorHAnsi"/>
          <w:b/>
          <w:i/>
          <w:color w:val="414141" w:themeColor="accent6"/>
        </w:rPr>
        <w:t>Note</w:t>
      </w:r>
      <w:r w:rsidRPr="00113B36">
        <w:rPr>
          <w:rFonts w:asciiTheme="majorHAnsi" w:hAnsiTheme="majorHAnsi" w:cstheme="majorHAnsi"/>
          <w:i/>
          <w:color w:val="414141" w:themeColor="accent6"/>
        </w:rPr>
        <w:t xml:space="preserve">: This subsection is a civil penalty provision (see section 1317E(1)). </w:t>
      </w:r>
    </w:p>
    <w:p w:rsidR="002B700F" w:rsidRPr="00113B36" w:rsidRDefault="002B700F" w:rsidP="00113B36">
      <w:pPr>
        <w:spacing w:line="240" w:lineRule="auto"/>
        <w:ind w:left="1440"/>
        <w:rPr>
          <w:rFonts w:asciiTheme="majorHAnsi" w:hAnsiTheme="majorHAnsi" w:cstheme="majorHAnsi"/>
          <w:color w:val="414141" w:themeColor="accent6"/>
        </w:rPr>
      </w:pPr>
    </w:p>
    <w:p w:rsidR="002B700F" w:rsidRPr="00113B36" w:rsidRDefault="002B700F" w:rsidP="00113B36">
      <w:pPr>
        <w:spacing w:line="240" w:lineRule="auto"/>
        <w:ind w:left="1440"/>
        <w:rPr>
          <w:rFonts w:asciiTheme="majorHAnsi" w:hAnsiTheme="majorHAnsi" w:cstheme="majorHAnsi"/>
          <w:color w:val="414141" w:themeColor="accent6"/>
        </w:rPr>
      </w:pPr>
      <w:r w:rsidRPr="00113B36">
        <w:rPr>
          <w:rFonts w:asciiTheme="majorHAnsi" w:hAnsiTheme="majorHAnsi" w:cstheme="majorHAnsi"/>
          <w:color w:val="414141" w:themeColor="accent6"/>
        </w:rPr>
        <w:t>(3) [</w:t>
      </w:r>
      <w:r w:rsidRPr="00113B36">
        <w:rPr>
          <w:rFonts w:asciiTheme="majorHAnsi" w:hAnsiTheme="majorHAnsi" w:cstheme="majorHAnsi"/>
          <w:b/>
          <w:color w:val="414141" w:themeColor="accent6"/>
        </w:rPr>
        <w:t>Where person commits an offence</w:t>
      </w:r>
      <w:r w:rsidRPr="00113B36">
        <w:rPr>
          <w:rFonts w:asciiTheme="majorHAnsi" w:hAnsiTheme="majorHAnsi" w:cstheme="majorHAnsi"/>
          <w:color w:val="414141" w:themeColor="accent6"/>
        </w:rPr>
        <w:t>] A person commits an offence if:</w:t>
      </w:r>
    </w:p>
    <w:p w:rsidR="002B700F" w:rsidRPr="00113B36" w:rsidRDefault="002B700F" w:rsidP="00113B36">
      <w:pPr>
        <w:spacing w:line="240" w:lineRule="auto"/>
        <w:ind w:left="1440"/>
        <w:rPr>
          <w:rFonts w:asciiTheme="majorHAnsi" w:hAnsiTheme="majorHAnsi" w:cstheme="majorHAnsi"/>
          <w:color w:val="414141" w:themeColor="accent6"/>
        </w:rPr>
      </w:pPr>
    </w:p>
    <w:p w:rsidR="002B700F" w:rsidRPr="00113B36" w:rsidRDefault="002B700F" w:rsidP="00113B36">
      <w:pPr>
        <w:spacing w:line="240" w:lineRule="auto"/>
        <w:ind w:left="2160"/>
        <w:rPr>
          <w:rFonts w:asciiTheme="majorHAnsi" w:hAnsiTheme="majorHAnsi" w:cstheme="majorHAnsi"/>
          <w:color w:val="414141" w:themeColor="accent6"/>
        </w:rPr>
      </w:pPr>
      <w:r w:rsidRPr="00113B36">
        <w:rPr>
          <w:rFonts w:asciiTheme="majorHAnsi" w:hAnsiTheme="majorHAnsi" w:cstheme="majorHAnsi"/>
          <w:color w:val="414141" w:themeColor="accent6"/>
        </w:rPr>
        <w:t xml:space="preserve">(a) a company enters into a </w:t>
      </w:r>
      <w:r w:rsidRPr="00113B36">
        <w:rPr>
          <w:rFonts w:asciiTheme="majorHAnsi" w:hAnsiTheme="majorHAnsi" w:cstheme="majorHAnsi"/>
          <w:b/>
          <w:i/>
          <w:color w:val="414141" w:themeColor="accent6"/>
        </w:rPr>
        <w:t>transaction to defeat employee creditors</w:t>
      </w:r>
      <w:r w:rsidRPr="00113B36">
        <w:rPr>
          <w:rFonts w:asciiTheme="majorHAnsi" w:hAnsiTheme="majorHAnsi" w:cstheme="majorHAnsi"/>
          <w:color w:val="414141" w:themeColor="accent6"/>
        </w:rPr>
        <w:t>; and</w:t>
      </w:r>
    </w:p>
    <w:p w:rsidR="002B700F" w:rsidRPr="00113B36" w:rsidRDefault="002B700F" w:rsidP="00113B36">
      <w:pPr>
        <w:spacing w:line="240" w:lineRule="auto"/>
        <w:ind w:left="2160"/>
        <w:rPr>
          <w:rFonts w:asciiTheme="majorHAnsi" w:hAnsiTheme="majorHAnsi" w:cstheme="majorHAnsi"/>
          <w:color w:val="414141" w:themeColor="accent6"/>
        </w:rPr>
      </w:pPr>
    </w:p>
    <w:p w:rsidR="002B700F" w:rsidRPr="00113B36" w:rsidRDefault="002B700F" w:rsidP="00113B36">
      <w:pPr>
        <w:spacing w:line="240" w:lineRule="auto"/>
        <w:ind w:left="2160"/>
        <w:rPr>
          <w:rFonts w:asciiTheme="majorHAnsi" w:hAnsiTheme="majorHAnsi" w:cstheme="majorHAnsi"/>
          <w:color w:val="414141" w:themeColor="accent6"/>
        </w:rPr>
      </w:pPr>
      <w:r w:rsidRPr="00113B36">
        <w:rPr>
          <w:rFonts w:asciiTheme="majorHAnsi" w:hAnsiTheme="majorHAnsi" w:cstheme="majorHAnsi"/>
          <w:color w:val="414141" w:themeColor="accent6"/>
        </w:rPr>
        <w:t xml:space="preserve">(b) the person's failure to prevent the company entering into a </w:t>
      </w:r>
      <w:r w:rsidRPr="00113B36">
        <w:rPr>
          <w:rFonts w:asciiTheme="majorHAnsi" w:hAnsiTheme="majorHAnsi" w:cstheme="majorHAnsi"/>
          <w:b/>
          <w:i/>
          <w:color w:val="414141" w:themeColor="accent6"/>
        </w:rPr>
        <w:t xml:space="preserve">transaction to defeat employee creditors </w:t>
      </w:r>
      <w:r w:rsidRPr="00113B36">
        <w:rPr>
          <w:rFonts w:asciiTheme="majorHAnsi" w:hAnsiTheme="majorHAnsi" w:cstheme="majorHAnsi"/>
          <w:color w:val="414141" w:themeColor="accent6"/>
        </w:rPr>
        <w:t>was dishonest.</w:t>
      </w:r>
    </w:p>
    <w:p w:rsidR="00607997" w:rsidRPr="00113B36" w:rsidRDefault="00607997" w:rsidP="00113B36">
      <w:pPr>
        <w:spacing w:line="240" w:lineRule="auto"/>
        <w:ind w:left="2160"/>
        <w:rPr>
          <w:rFonts w:asciiTheme="majorHAnsi" w:hAnsiTheme="majorHAnsi" w:cstheme="majorHAnsi"/>
          <w:color w:val="414141" w:themeColor="accent6"/>
        </w:rPr>
      </w:pPr>
    </w:p>
    <w:p w:rsidR="00607997" w:rsidRPr="00113B36" w:rsidRDefault="00607997" w:rsidP="00113B36">
      <w:pPr>
        <w:spacing w:line="240" w:lineRule="auto"/>
        <w:ind w:left="2160"/>
        <w:rPr>
          <w:rFonts w:asciiTheme="majorHAnsi" w:hAnsiTheme="majorHAnsi" w:cstheme="majorHAnsi"/>
          <w:color w:val="414141" w:themeColor="accent6"/>
        </w:rPr>
      </w:pPr>
    </w:p>
    <w:p w:rsidR="00607997" w:rsidRPr="00113B36" w:rsidRDefault="00607997" w:rsidP="00113B36">
      <w:pPr>
        <w:spacing w:line="240" w:lineRule="auto"/>
        <w:ind w:left="720"/>
        <w:rPr>
          <w:rFonts w:asciiTheme="majorHAnsi" w:hAnsiTheme="majorHAnsi" w:cstheme="majorHAnsi"/>
          <w:b/>
          <w:i/>
          <w:color w:val="414141" w:themeColor="accent6"/>
        </w:rPr>
      </w:pPr>
      <w:r w:rsidRPr="00113B36">
        <w:rPr>
          <w:rFonts w:asciiTheme="majorHAnsi" w:hAnsiTheme="majorHAnsi" w:cstheme="majorHAnsi"/>
          <w:b/>
          <w:i/>
          <w:color w:val="414141" w:themeColor="accent6"/>
        </w:rPr>
        <w:t>588HB  Defences</w:t>
      </w:r>
    </w:p>
    <w:p w:rsidR="00607997" w:rsidRPr="00113B36" w:rsidRDefault="00607997" w:rsidP="00113B36">
      <w:pPr>
        <w:spacing w:line="240" w:lineRule="auto"/>
        <w:ind w:left="1440"/>
        <w:rPr>
          <w:rFonts w:asciiTheme="majorHAnsi" w:hAnsiTheme="majorHAnsi" w:cstheme="majorHAnsi"/>
          <w:color w:val="414141" w:themeColor="accent6"/>
        </w:rPr>
      </w:pPr>
    </w:p>
    <w:p w:rsidR="00607997" w:rsidRPr="00113B36" w:rsidRDefault="00607997" w:rsidP="00113B36">
      <w:pPr>
        <w:spacing w:line="240" w:lineRule="auto"/>
        <w:ind w:left="1440"/>
        <w:rPr>
          <w:rFonts w:asciiTheme="majorHAnsi" w:hAnsiTheme="majorHAnsi" w:cstheme="majorHAnsi"/>
          <w:color w:val="414141" w:themeColor="accent6"/>
        </w:rPr>
      </w:pPr>
      <w:r w:rsidRPr="00113B36">
        <w:rPr>
          <w:rFonts w:asciiTheme="majorHAnsi" w:hAnsiTheme="majorHAnsi" w:cstheme="majorHAnsi"/>
          <w:color w:val="414141" w:themeColor="accent6"/>
        </w:rPr>
        <w:t>(1) [</w:t>
      </w:r>
      <w:r w:rsidRPr="00113B36">
        <w:rPr>
          <w:rFonts w:asciiTheme="majorHAnsi" w:hAnsiTheme="majorHAnsi" w:cstheme="majorHAnsi"/>
          <w:b/>
          <w:color w:val="414141" w:themeColor="accent6"/>
        </w:rPr>
        <w:t>Application</w:t>
      </w:r>
      <w:r w:rsidRPr="00113B36">
        <w:rPr>
          <w:rFonts w:asciiTheme="majorHAnsi" w:hAnsiTheme="majorHAnsi" w:cstheme="majorHAnsi"/>
          <w:color w:val="414141" w:themeColor="accent6"/>
        </w:rPr>
        <w:t xml:space="preserve">] This section has effect for the purposes of proceedings for a contravention of subsection 588HA(2) in relation to the entry into a </w:t>
      </w:r>
      <w:r w:rsidRPr="00113B36">
        <w:rPr>
          <w:rFonts w:asciiTheme="majorHAnsi" w:hAnsiTheme="majorHAnsi" w:cstheme="majorHAnsi"/>
          <w:b/>
          <w:i/>
          <w:color w:val="414141" w:themeColor="accent6"/>
        </w:rPr>
        <w:t>transaction to defeat employee creditors</w:t>
      </w:r>
      <w:r w:rsidRPr="00113B36">
        <w:rPr>
          <w:rFonts w:asciiTheme="majorHAnsi" w:hAnsiTheme="majorHAnsi" w:cstheme="majorHAnsi"/>
          <w:color w:val="414141" w:themeColor="accent6"/>
        </w:rPr>
        <w:t>.</w:t>
      </w:r>
    </w:p>
    <w:p w:rsidR="00607997" w:rsidRPr="00113B36" w:rsidRDefault="00607997" w:rsidP="00113B36">
      <w:pPr>
        <w:spacing w:line="240" w:lineRule="auto"/>
        <w:ind w:left="1440"/>
        <w:rPr>
          <w:rFonts w:asciiTheme="majorHAnsi" w:hAnsiTheme="majorHAnsi" w:cstheme="majorHAnsi"/>
          <w:color w:val="414141" w:themeColor="accent6"/>
        </w:rPr>
      </w:pPr>
    </w:p>
    <w:p w:rsidR="00607997" w:rsidRPr="00113B36" w:rsidRDefault="00607997" w:rsidP="00113B36">
      <w:pPr>
        <w:spacing w:line="240" w:lineRule="auto"/>
        <w:ind w:left="1440"/>
        <w:rPr>
          <w:rFonts w:asciiTheme="majorHAnsi" w:hAnsiTheme="majorHAnsi" w:cstheme="majorHAnsi"/>
          <w:color w:val="414141" w:themeColor="accent6"/>
        </w:rPr>
      </w:pPr>
      <w:r w:rsidRPr="00113B36">
        <w:rPr>
          <w:rFonts w:asciiTheme="majorHAnsi" w:hAnsiTheme="majorHAnsi" w:cstheme="majorHAnsi"/>
          <w:color w:val="414141" w:themeColor="accent6"/>
        </w:rPr>
        <w:lastRenderedPageBreak/>
        <w:t>(2) [</w:t>
      </w:r>
      <w:r w:rsidRPr="00113B36">
        <w:rPr>
          <w:rFonts w:asciiTheme="majorHAnsi" w:hAnsiTheme="majorHAnsi" w:cstheme="majorHAnsi"/>
          <w:b/>
          <w:color w:val="414141" w:themeColor="accent6"/>
        </w:rPr>
        <w:t>Defence of reasonable grounds</w:t>
      </w:r>
      <w:r w:rsidRPr="00113B36">
        <w:rPr>
          <w:rFonts w:asciiTheme="majorHAnsi" w:hAnsiTheme="majorHAnsi" w:cstheme="majorHAnsi"/>
          <w:color w:val="414141" w:themeColor="accent6"/>
        </w:rPr>
        <w:t xml:space="preserve">] It is a defence if it is proved that, at the time when the transaction was entered into, the person had reasonable grounds to expect, and did expect, that the transaction was not a </w:t>
      </w:r>
      <w:r w:rsidRPr="00113B36">
        <w:rPr>
          <w:rFonts w:asciiTheme="majorHAnsi" w:hAnsiTheme="majorHAnsi" w:cstheme="majorHAnsi"/>
          <w:b/>
          <w:i/>
          <w:color w:val="414141" w:themeColor="accent6"/>
        </w:rPr>
        <w:t>transaction to defeat employee creditors</w:t>
      </w:r>
      <w:r w:rsidRPr="00113B36">
        <w:rPr>
          <w:rFonts w:asciiTheme="majorHAnsi" w:hAnsiTheme="majorHAnsi" w:cstheme="majorHAnsi"/>
          <w:color w:val="414141" w:themeColor="accent6"/>
        </w:rPr>
        <w:t xml:space="preserve">. </w:t>
      </w:r>
    </w:p>
    <w:p w:rsidR="00607997" w:rsidRPr="00113B36" w:rsidRDefault="00607997" w:rsidP="00113B36">
      <w:pPr>
        <w:spacing w:line="240" w:lineRule="auto"/>
        <w:ind w:left="1440"/>
        <w:rPr>
          <w:rFonts w:asciiTheme="majorHAnsi" w:hAnsiTheme="majorHAnsi" w:cstheme="majorHAnsi"/>
          <w:color w:val="414141" w:themeColor="accent6"/>
        </w:rPr>
      </w:pPr>
    </w:p>
    <w:p w:rsidR="00607997" w:rsidRPr="00113B36" w:rsidRDefault="00607997" w:rsidP="00113B36">
      <w:pPr>
        <w:spacing w:line="240" w:lineRule="auto"/>
        <w:ind w:left="1440"/>
        <w:rPr>
          <w:rFonts w:asciiTheme="majorHAnsi" w:hAnsiTheme="majorHAnsi" w:cstheme="majorHAnsi"/>
          <w:color w:val="414141" w:themeColor="accent6"/>
        </w:rPr>
      </w:pPr>
      <w:r w:rsidRPr="00113B36">
        <w:rPr>
          <w:rFonts w:asciiTheme="majorHAnsi" w:hAnsiTheme="majorHAnsi" w:cstheme="majorHAnsi"/>
          <w:color w:val="414141" w:themeColor="accent6"/>
        </w:rPr>
        <w:t>(3) [</w:t>
      </w:r>
      <w:r w:rsidRPr="00113B36">
        <w:rPr>
          <w:rFonts w:asciiTheme="majorHAnsi" w:hAnsiTheme="majorHAnsi" w:cstheme="majorHAnsi"/>
          <w:b/>
          <w:color w:val="414141" w:themeColor="accent6"/>
        </w:rPr>
        <w:t>Defence of non-participation in company management</w:t>
      </w:r>
      <w:r w:rsidRPr="00113B36">
        <w:rPr>
          <w:rFonts w:asciiTheme="majorHAnsi" w:hAnsiTheme="majorHAnsi" w:cstheme="majorHAnsi"/>
          <w:color w:val="414141" w:themeColor="accent6"/>
        </w:rPr>
        <w:t xml:space="preserve">] It is a defence if it is proved that, at the time when the </w:t>
      </w:r>
      <w:r w:rsidRPr="00113B36">
        <w:rPr>
          <w:rFonts w:asciiTheme="majorHAnsi" w:hAnsiTheme="majorHAnsi" w:cstheme="majorHAnsi"/>
          <w:b/>
          <w:i/>
          <w:color w:val="414141" w:themeColor="accent6"/>
        </w:rPr>
        <w:t>transaction to defeat employee creditors</w:t>
      </w:r>
      <w:r w:rsidRPr="00113B36">
        <w:rPr>
          <w:rFonts w:asciiTheme="majorHAnsi" w:hAnsiTheme="majorHAnsi" w:cstheme="majorHAnsi"/>
          <w:color w:val="414141" w:themeColor="accent6"/>
        </w:rPr>
        <w:t xml:space="preserve"> was entered into, the person, because of illness or for some other good reason, did not take part at that time in the management or affairs of the company.</w:t>
      </w:r>
    </w:p>
    <w:p w:rsidR="00607997" w:rsidRPr="00113B36" w:rsidRDefault="00607997" w:rsidP="00113B36">
      <w:pPr>
        <w:spacing w:line="240" w:lineRule="auto"/>
        <w:ind w:left="1440"/>
        <w:rPr>
          <w:rFonts w:asciiTheme="majorHAnsi" w:hAnsiTheme="majorHAnsi" w:cstheme="majorHAnsi"/>
          <w:color w:val="414141" w:themeColor="accent6"/>
        </w:rPr>
      </w:pPr>
    </w:p>
    <w:p w:rsidR="00607997" w:rsidRPr="00113B36" w:rsidRDefault="00607997" w:rsidP="00113B36">
      <w:pPr>
        <w:spacing w:line="240" w:lineRule="auto"/>
        <w:ind w:left="1440"/>
        <w:rPr>
          <w:rFonts w:asciiTheme="majorHAnsi" w:hAnsiTheme="majorHAnsi" w:cstheme="majorHAnsi"/>
          <w:color w:val="414141" w:themeColor="accent6"/>
        </w:rPr>
      </w:pPr>
      <w:r w:rsidRPr="00113B36">
        <w:rPr>
          <w:rFonts w:asciiTheme="majorHAnsi" w:hAnsiTheme="majorHAnsi" w:cstheme="majorHAnsi"/>
          <w:color w:val="414141" w:themeColor="accent6"/>
        </w:rPr>
        <w:t>(4) [</w:t>
      </w:r>
      <w:r w:rsidRPr="00113B36">
        <w:rPr>
          <w:rFonts w:asciiTheme="majorHAnsi" w:hAnsiTheme="majorHAnsi" w:cstheme="majorHAnsi"/>
          <w:b/>
          <w:color w:val="414141" w:themeColor="accent6"/>
        </w:rPr>
        <w:t>Defence of reasonable steps</w:t>
      </w:r>
      <w:r w:rsidRPr="00113B36">
        <w:rPr>
          <w:rFonts w:asciiTheme="majorHAnsi" w:hAnsiTheme="majorHAnsi" w:cstheme="majorHAnsi"/>
          <w:color w:val="414141" w:themeColor="accent6"/>
        </w:rPr>
        <w:t xml:space="preserve">] It is a defence if it is proved that the person took all reasonable steps to prevent the company from entering into the </w:t>
      </w:r>
      <w:r w:rsidRPr="00113B36">
        <w:rPr>
          <w:rFonts w:asciiTheme="majorHAnsi" w:hAnsiTheme="majorHAnsi" w:cstheme="majorHAnsi"/>
          <w:b/>
          <w:i/>
          <w:color w:val="414141" w:themeColor="accent6"/>
        </w:rPr>
        <w:t>transaction to defeat employee creditors</w:t>
      </w:r>
      <w:r w:rsidRPr="00113B36">
        <w:rPr>
          <w:rFonts w:asciiTheme="majorHAnsi" w:hAnsiTheme="majorHAnsi" w:cstheme="majorHAnsi"/>
          <w:color w:val="414141" w:themeColor="accent6"/>
        </w:rPr>
        <w:t>.</w:t>
      </w:r>
    </w:p>
    <w:p w:rsidR="00607997" w:rsidRPr="00113B36" w:rsidRDefault="00607997" w:rsidP="00113B36">
      <w:pPr>
        <w:spacing w:line="240" w:lineRule="auto"/>
        <w:ind w:left="1440"/>
        <w:rPr>
          <w:rFonts w:asciiTheme="majorHAnsi" w:hAnsiTheme="majorHAnsi" w:cstheme="majorHAnsi"/>
          <w:color w:val="414141" w:themeColor="accent6"/>
        </w:rPr>
      </w:pPr>
    </w:p>
    <w:p w:rsidR="00607997" w:rsidRPr="00113B36" w:rsidRDefault="00607997" w:rsidP="00113B36">
      <w:pPr>
        <w:spacing w:line="240" w:lineRule="auto"/>
        <w:ind w:left="1440"/>
        <w:rPr>
          <w:rFonts w:asciiTheme="majorHAnsi" w:hAnsiTheme="majorHAnsi" w:cstheme="majorHAnsi"/>
          <w:color w:val="414141" w:themeColor="accent6"/>
        </w:rPr>
      </w:pPr>
      <w:r w:rsidRPr="00113B36">
        <w:rPr>
          <w:rFonts w:asciiTheme="majorHAnsi" w:hAnsiTheme="majorHAnsi" w:cstheme="majorHAnsi"/>
          <w:color w:val="414141" w:themeColor="accent6"/>
        </w:rPr>
        <w:t>(5) [</w:t>
      </w:r>
      <w:r w:rsidRPr="00113B36">
        <w:rPr>
          <w:rFonts w:asciiTheme="majorHAnsi" w:hAnsiTheme="majorHAnsi" w:cstheme="majorHAnsi"/>
          <w:b/>
          <w:color w:val="414141" w:themeColor="accent6"/>
        </w:rPr>
        <w:t>Matters in determining defence</w:t>
      </w:r>
      <w:r w:rsidRPr="00113B36">
        <w:rPr>
          <w:rFonts w:asciiTheme="majorHAnsi" w:hAnsiTheme="majorHAnsi" w:cstheme="majorHAnsi"/>
          <w:color w:val="414141" w:themeColor="accent6"/>
        </w:rPr>
        <w:t>] In determining whether a defence under subsection (4) has been proved, the matters to which regard is to be had include, but are not limited to:</w:t>
      </w:r>
    </w:p>
    <w:p w:rsidR="00607997" w:rsidRPr="00113B36" w:rsidRDefault="00607997" w:rsidP="00113B36">
      <w:pPr>
        <w:spacing w:line="240" w:lineRule="auto"/>
        <w:ind w:left="720"/>
        <w:rPr>
          <w:rFonts w:asciiTheme="majorHAnsi" w:hAnsiTheme="majorHAnsi" w:cstheme="majorHAnsi"/>
          <w:color w:val="414141" w:themeColor="accent6"/>
        </w:rPr>
      </w:pPr>
    </w:p>
    <w:p w:rsidR="00607997" w:rsidRPr="00113B36" w:rsidRDefault="00607997" w:rsidP="00113B36">
      <w:pPr>
        <w:spacing w:line="240" w:lineRule="auto"/>
        <w:ind w:left="2160"/>
        <w:rPr>
          <w:rFonts w:asciiTheme="majorHAnsi" w:hAnsiTheme="majorHAnsi" w:cstheme="majorHAnsi"/>
          <w:color w:val="414141" w:themeColor="accent6"/>
        </w:rPr>
      </w:pPr>
      <w:r w:rsidRPr="00113B36">
        <w:rPr>
          <w:rFonts w:asciiTheme="majorHAnsi" w:hAnsiTheme="majorHAnsi" w:cstheme="majorHAnsi"/>
          <w:color w:val="414141" w:themeColor="accent6"/>
        </w:rPr>
        <w:t xml:space="preserve">(a) any action the person took with a view to preventing the </w:t>
      </w:r>
      <w:r w:rsidRPr="00113B36">
        <w:rPr>
          <w:rFonts w:asciiTheme="majorHAnsi" w:hAnsiTheme="majorHAnsi" w:cstheme="majorHAnsi"/>
          <w:b/>
          <w:i/>
          <w:color w:val="414141" w:themeColor="accent6"/>
        </w:rPr>
        <w:t>transaction to defeat employee creditors</w:t>
      </w:r>
      <w:r w:rsidRPr="00113B36">
        <w:rPr>
          <w:rFonts w:asciiTheme="majorHAnsi" w:hAnsiTheme="majorHAnsi" w:cstheme="majorHAnsi"/>
          <w:color w:val="414141" w:themeColor="accent6"/>
        </w:rPr>
        <w:t xml:space="preserve">; and </w:t>
      </w:r>
    </w:p>
    <w:p w:rsidR="00607997" w:rsidRPr="00113B36" w:rsidRDefault="00607997" w:rsidP="00113B36">
      <w:pPr>
        <w:spacing w:line="240" w:lineRule="auto"/>
        <w:ind w:left="2160"/>
        <w:rPr>
          <w:rFonts w:asciiTheme="majorHAnsi" w:hAnsiTheme="majorHAnsi" w:cstheme="majorHAnsi"/>
          <w:color w:val="414141" w:themeColor="accent6"/>
        </w:rPr>
      </w:pPr>
    </w:p>
    <w:p w:rsidR="00607997" w:rsidRPr="00113B36" w:rsidRDefault="00607997" w:rsidP="00113B36">
      <w:pPr>
        <w:spacing w:line="240" w:lineRule="auto"/>
        <w:ind w:left="2160"/>
        <w:rPr>
          <w:rFonts w:asciiTheme="majorHAnsi" w:hAnsiTheme="majorHAnsi" w:cstheme="majorHAnsi"/>
          <w:color w:val="414141" w:themeColor="accent6"/>
        </w:rPr>
      </w:pPr>
      <w:r w:rsidRPr="00113B36">
        <w:rPr>
          <w:rFonts w:asciiTheme="majorHAnsi" w:hAnsiTheme="majorHAnsi" w:cstheme="majorHAnsi"/>
          <w:color w:val="414141" w:themeColor="accent6"/>
        </w:rPr>
        <w:t xml:space="preserve">(b) when that action was taken; and </w:t>
      </w:r>
    </w:p>
    <w:p w:rsidR="00607997" w:rsidRPr="00113B36" w:rsidRDefault="00607997" w:rsidP="00113B36">
      <w:pPr>
        <w:spacing w:line="240" w:lineRule="auto"/>
        <w:ind w:left="2160"/>
        <w:rPr>
          <w:rFonts w:asciiTheme="majorHAnsi" w:hAnsiTheme="majorHAnsi" w:cstheme="majorHAnsi"/>
          <w:color w:val="414141" w:themeColor="accent6"/>
        </w:rPr>
      </w:pPr>
    </w:p>
    <w:p w:rsidR="00607997" w:rsidRPr="00113B36" w:rsidRDefault="00607997" w:rsidP="00113B36">
      <w:pPr>
        <w:pStyle w:val="FO2Legal"/>
        <w:ind w:left="1440"/>
        <w:rPr>
          <w:rFonts w:asciiTheme="majorHAnsi" w:hAnsiTheme="majorHAnsi" w:cstheme="majorHAnsi"/>
          <w:color w:val="414141" w:themeColor="accent6"/>
        </w:rPr>
      </w:pPr>
      <w:r w:rsidRPr="00113B36">
        <w:rPr>
          <w:rFonts w:asciiTheme="majorHAnsi" w:hAnsiTheme="majorHAnsi" w:cstheme="majorHAnsi"/>
          <w:color w:val="414141" w:themeColor="accent6"/>
        </w:rPr>
        <w:t>(c) the results of that action.</w:t>
      </w:r>
    </w:p>
    <w:p w:rsidR="00607997" w:rsidRPr="00113B36" w:rsidRDefault="00607997" w:rsidP="002B700F">
      <w:pPr>
        <w:spacing w:line="240" w:lineRule="auto"/>
        <w:ind w:left="1440"/>
        <w:rPr>
          <w:rFonts w:asciiTheme="majorHAnsi" w:hAnsiTheme="majorHAnsi" w:cstheme="majorHAnsi"/>
        </w:rPr>
      </w:pPr>
    </w:p>
    <w:p w:rsidR="00607997" w:rsidRDefault="00607997">
      <w:pPr>
        <w:spacing w:line="240" w:lineRule="auto"/>
        <w:rPr>
          <w:sz w:val="24"/>
          <w:szCs w:val="24"/>
        </w:rPr>
      </w:pPr>
      <w:r w:rsidRPr="00113B36">
        <w:rPr>
          <w:rFonts w:asciiTheme="majorHAnsi" w:hAnsiTheme="majorHAnsi" w:cstheme="majorHAnsi"/>
        </w:rPr>
        <w:br w:type="page"/>
      </w:r>
    </w:p>
    <w:p w:rsidR="002B700F" w:rsidRDefault="00022265" w:rsidP="00607997">
      <w:pPr>
        <w:pStyle w:val="Heading1"/>
      </w:pPr>
      <w:bookmarkStart w:id="10" w:name="_Toc485402010"/>
      <w:r>
        <w:lastRenderedPageBreak/>
        <w:t>A</w:t>
      </w:r>
      <w:r w:rsidR="00607997">
        <w:t xml:space="preserve">ppendix </w:t>
      </w:r>
      <w:r w:rsidR="00FE2AA9">
        <w:t>B</w:t>
      </w:r>
      <w:bookmarkEnd w:id="10"/>
    </w:p>
    <w:p w:rsidR="00113B36" w:rsidRPr="00113B36" w:rsidRDefault="00113B36" w:rsidP="00113B36">
      <w:pPr>
        <w:pStyle w:val="Level1List"/>
        <w:rPr>
          <w:color w:val="414141" w:themeColor="accent6"/>
        </w:rPr>
      </w:pPr>
      <w:r w:rsidRPr="00113B36">
        <w:rPr>
          <w:color w:val="414141" w:themeColor="accent6"/>
        </w:rPr>
        <w:t xml:space="preserve">A liquidator usually has an equitable lien or charge over funds in his or her control not only for the costs and expenses of obtaining, getting in and realising the property but also for general remuneration: </w:t>
      </w:r>
      <w:r w:rsidRPr="00113B36">
        <w:rPr>
          <w:i/>
          <w:color w:val="414141" w:themeColor="accent6"/>
        </w:rPr>
        <w:t xml:space="preserve">Nationwide News Pty Ltd v </w:t>
      </w:r>
      <w:proofErr w:type="spellStart"/>
      <w:r w:rsidRPr="00113B36">
        <w:rPr>
          <w:i/>
          <w:color w:val="414141" w:themeColor="accent6"/>
        </w:rPr>
        <w:t>Samalot</w:t>
      </w:r>
      <w:proofErr w:type="spellEnd"/>
      <w:r w:rsidRPr="00113B36">
        <w:rPr>
          <w:i/>
          <w:color w:val="414141" w:themeColor="accent6"/>
        </w:rPr>
        <w:t xml:space="preserve"> Enterprises Pty Ltd (No 2)</w:t>
      </w:r>
      <w:r w:rsidRPr="00113B36">
        <w:rPr>
          <w:color w:val="414141" w:themeColor="accent6"/>
        </w:rPr>
        <w:t xml:space="preserve"> (1986) 5 </w:t>
      </w:r>
      <w:proofErr w:type="spellStart"/>
      <w:r w:rsidRPr="00113B36">
        <w:rPr>
          <w:color w:val="414141" w:themeColor="accent6"/>
        </w:rPr>
        <w:t>NSWLR</w:t>
      </w:r>
      <w:proofErr w:type="spellEnd"/>
      <w:r w:rsidRPr="00113B36">
        <w:rPr>
          <w:color w:val="414141" w:themeColor="accent6"/>
        </w:rPr>
        <w:t xml:space="preserve"> 227 at 230G; </w:t>
      </w:r>
      <w:r w:rsidRPr="00113B36">
        <w:rPr>
          <w:i/>
          <w:color w:val="414141" w:themeColor="accent6"/>
        </w:rPr>
        <w:t xml:space="preserve">Re </w:t>
      </w:r>
      <w:proofErr w:type="spellStart"/>
      <w:r w:rsidRPr="00113B36">
        <w:rPr>
          <w:i/>
          <w:color w:val="414141" w:themeColor="accent6"/>
        </w:rPr>
        <w:t>Biposo</w:t>
      </w:r>
      <w:proofErr w:type="spellEnd"/>
      <w:r w:rsidRPr="00113B36">
        <w:rPr>
          <w:i/>
          <w:color w:val="414141" w:themeColor="accent6"/>
        </w:rPr>
        <w:t xml:space="preserve"> Pty Ltd (No 2) </w:t>
      </w:r>
      <w:r w:rsidRPr="00113B36">
        <w:rPr>
          <w:color w:val="414141" w:themeColor="accent6"/>
        </w:rPr>
        <w:t xml:space="preserve">(1995) 14 </w:t>
      </w:r>
      <w:proofErr w:type="spellStart"/>
      <w:r w:rsidRPr="00113B36">
        <w:rPr>
          <w:color w:val="414141" w:themeColor="accent6"/>
        </w:rPr>
        <w:t>ACLC</w:t>
      </w:r>
      <w:proofErr w:type="spellEnd"/>
      <w:r w:rsidRPr="00113B36">
        <w:rPr>
          <w:color w:val="414141" w:themeColor="accent6"/>
        </w:rPr>
        <w:t xml:space="preserve"> 78 at 79. Such a charge can give the liquidator priority over claims of unsecured creditors. However, because of the statutory order of priorities under s</w:t>
      </w:r>
      <w:r w:rsidR="00B510D1">
        <w:rPr>
          <w:color w:val="414141" w:themeColor="accent6"/>
        </w:rPr>
        <w:t>ection</w:t>
      </w:r>
      <w:r w:rsidRPr="00113B36">
        <w:rPr>
          <w:color w:val="414141" w:themeColor="accent6"/>
        </w:rPr>
        <w:t xml:space="preserve"> 556(1) of the </w:t>
      </w:r>
      <w:r w:rsidRPr="00B510D1">
        <w:rPr>
          <w:color w:val="414141" w:themeColor="accent6"/>
        </w:rPr>
        <w:t>Corporations Act,</w:t>
      </w:r>
      <w:r w:rsidRPr="00113B36">
        <w:rPr>
          <w:color w:val="414141" w:themeColor="accent6"/>
        </w:rPr>
        <w:t xml:space="preserve"> the liquidator’s costs, expenses and remuneration usually has priority to the claims of other unsecured creditors anyway, so the significance of the liquidator’s lien vis-à-vis the unsecured creditors is of little practical relevance. Rather, the significance arises vis-à-vis secured creditors, the issue usually being whether the liquidator’s later equitable charge (the “liquidator’s lien”) can take priority over the earlier security interest of a creditor. </w:t>
      </w:r>
    </w:p>
    <w:p w:rsidR="00113B36" w:rsidRPr="00113B36" w:rsidRDefault="00113B36" w:rsidP="00113B36">
      <w:pPr>
        <w:pStyle w:val="Level1List"/>
        <w:rPr>
          <w:color w:val="414141" w:themeColor="accent6"/>
        </w:rPr>
      </w:pPr>
      <w:r w:rsidRPr="00113B36">
        <w:rPr>
          <w:color w:val="414141" w:themeColor="accent6"/>
        </w:rPr>
        <w:t xml:space="preserve">The existence of a liquidator’s lien at common law has recently been re-affirmed by the High Court in </w:t>
      </w:r>
      <w:r w:rsidRPr="00B510D1">
        <w:rPr>
          <w:i/>
          <w:color w:val="414141" w:themeColor="accent6"/>
        </w:rPr>
        <w:t xml:space="preserve">Stewart v Atco Controls Pty Ltd (In </w:t>
      </w:r>
      <w:proofErr w:type="spellStart"/>
      <w:r w:rsidRPr="00B510D1">
        <w:rPr>
          <w:i/>
          <w:color w:val="414141" w:themeColor="accent6"/>
        </w:rPr>
        <w:t>liq</w:t>
      </w:r>
      <w:proofErr w:type="spellEnd"/>
      <w:r w:rsidRPr="00B510D1">
        <w:rPr>
          <w:i/>
          <w:color w:val="414141" w:themeColor="accent6"/>
        </w:rPr>
        <w:t>)</w:t>
      </w:r>
      <w:r w:rsidR="00B510D1">
        <w:rPr>
          <w:color w:val="414141" w:themeColor="accent6"/>
        </w:rPr>
        <w:t xml:space="preserve"> (2014) 252 </w:t>
      </w:r>
      <w:proofErr w:type="spellStart"/>
      <w:r w:rsidR="00B510D1">
        <w:rPr>
          <w:color w:val="414141" w:themeColor="accent6"/>
        </w:rPr>
        <w:t>CLR</w:t>
      </w:r>
      <w:proofErr w:type="spellEnd"/>
      <w:r w:rsidR="00B510D1">
        <w:rPr>
          <w:color w:val="414141" w:themeColor="accent6"/>
        </w:rPr>
        <w:t xml:space="preserve"> 307.</w:t>
      </w:r>
      <w:r w:rsidRPr="00113B36">
        <w:rPr>
          <w:color w:val="414141" w:themeColor="accent6"/>
        </w:rPr>
        <w:t xml:space="preserve"> The Court (</w:t>
      </w:r>
      <w:proofErr w:type="spellStart"/>
      <w:r w:rsidRPr="00113B36">
        <w:rPr>
          <w:color w:val="414141" w:themeColor="accent6"/>
        </w:rPr>
        <w:t>Crennan</w:t>
      </w:r>
      <w:proofErr w:type="spellEnd"/>
      <w:r w:rsidRPr="00113B36">
        <w:rPr>
          <w:color w:val="414141" w:themeColor="accent6"/>
        </w:rPr>
        <w:t xml:space="preserve">, </w:t>
      </w:r>
      <w:proofErr w:type="spellStart"/>
      <w:r w:rsidRPr="00113B36">
        <w:rPr>
          <w:color w:val="414141" w:themeColor="accent6"/>
        </w:rPr>
        <w:t>Kiefel</w:t>
      </w:r>
      <w:proofErr w:type="spellEnd"/>
      <w:r w:rsidRPr="00113B36">
        <w:rPr>
          <w:color w:val="414141" w:themeColor="accent6"/>
        </w:rPr>
        <w:t xml:space="preserve">, Bell, </w:t>
      </w:r>
      <w:proofErr w:type="spellStart"/>
      <w:r w:rsidRPr="00113B36">
        <w:rPr>
          <w:color w:val="414141" w:themeColor="accent6"/>
        </w:rPr>
        <w:t>Gageler</w:t>
      </w:r>
      <w:proofErr w:type="spellEnd"/>
      <w:r w:rsidRPr="00113B36">
        <w:rPr>
          <w:color w:val="414141" w:themeColor="accent6"/>
        </w:rPr>
        <w:t xml:space="preserve"> and Keane </w:t>
      </w:r>
      <w:proofErr w:type="spellStart"/>
      <w:r w:rsidRPr="00113B36">
        <w:rPr>
          <w:color w:val="414141" w:themeColor="accent6"/>
        </w:rPr>
        <w:t>JJ</w:t>
      </w:r>
      <w:proofErr w:type="spellEnd"/>
      <w:r w:rsidRPr="00113B36">
        <w:rPr>
          <w:color w:val="414141" w:themeColor="accent6"/>
        </w:rPr>
        <w:t>) described (at para [22]) a liquidator’s lien in the following terms:</w:t>
      </w:r>
    </w:p>
    <w:p w:rsidR="00113B36" w:rsidRPr="00113B36" w:rsidRDefault="00113B36" w:rsidP="00113B36">
      <w:pPr>
        <w:pStyle w:val="FO1List"/>
        <w:tabs>
          <w:tab w:val="left" w:pos="1560"/>
        </w:tabs>
        <w:ind w:left="2280" w:right="720" w:hanging="840"/>
        <w:rPr>
          <w:color w:val="414141" w:themeColor="accent6"/>
          <w:sz w:val="19"/>
        </w:rPr>
      </w:pPr>
      <w:r w:rsidRPr="00113B36">
        <w:rPr>
          <w:color w:val="414141" w:themeColor="accent6"/>
          <w:sz w:val="19"/>
        </w:rPr>
        <w:t>[22]</w:t>
      </w:r>
      <w:r w:rsidRPr="00113B36">
        <w:rPr>
          <w:color w:val="414141" w:themeColor="accent6"/>
          <w:sz w:val="19"/>
        </w:rPr>
        <w:tab/>
        <w:t>[A] secured creditor may not have the benefit of a fund created by a liquidator’s efforts in the winding up without the liquidator’s costs and expenses, including the remuneration, of creating that fund being first met. To that end, equity will create a charge over the fund in priority to that of the secured creditor.</w:t>
      </w:r>
    </w:p>
    <w:p w:rsidR="00113B36" w:rsidRPr="00113B36" w:rsidRDefault="00113B36" w:rsidP="00113B36">
      <w:pPr>
        <w:pStyle w:val="Level1List"/>
        <w:rPr>
          <w:color w:val="414141" w:themeColor="accent6"/>
        </w:rPr>
      </w:pPr>
      <w:r w:rsidRPr="00113B36">
        <w:rPr>
          <w:color w:val="414141" w:themeColor="accent6"/>
        </w:rPr>
        <w:t>The Court noted (at [16]) similarities between a liquidator’s lien and a vendor’s lien for unpaid purchase moneys, and a solicitor’s lien over any property recovered or judgment obtained by a solicitor’s work.</w:t>
      </w:r>
    </w:p>
    <w:p w:rsidR="00113B36" w:rsidRPr="00113B36" w:rsidRDefault="00113B36" w:rsidP="00113B36">
      <w:pPr>
        <w:pStyle w:val="Level1List"/>
        <w:rPr>
          <w:color w:val="414141" w:themeColor="accent6"/>
        </w:rPr>
      </w:pPr>
      <w:r w:rsidRPr="00113B36">
        <w:rPr>
          <w:color w:val="414141" w:themeColor="accent6"/>
        </w:rPr>
        <w:t>Some guidance as to the particular costs and expenses of the liquidator that may be chargeable against the fund is provided at para [41]:</w:t>
      </w:r>
    </w:p>
    <w:p w:rsidR="00113B36" w:rsidRPr="00113B36" w:rsidRDefault="00113B36" w:rsidP="00113B36">
      <w:pPr>
        <w:pStyle w:val="FO1List"/>
        <w:tabs>
          <w:tab w:val="left" w:pos="1560"/>
        </w:tabs>
        <w:ind w:left="2280" w:right="720" w:hanging="840"/>
        <w:rPr>
          <w:color w:val="414141" w:themeColor="accent6"/>
          <w:sz w:val="19"/>
        </w:rPr>
      </w:pPr>
      <w:r w:rsidRPr="00113B36">
        <w:rPr>
          <w:color w:val="414141" w:themeColor="accent6"/>
          <w:sz w:val="19"/>
        </w:rPr>
        <w:t xml:space="preserve">[41] </w:t>
      </w:r>
      <w:r w:rsidRPr="00113B36">
        <w:rPr>
          <w:color w:val="414141" w:themeColor="accent6"/>
          <w:sz w:val="19"/>
        </w:rPr>
        <w:tab/>
        <w:t>The proper question … is whether, in a general sense, the costs and expenses claimed by the liquidator could be said to have been incurred in the realisation of the asset which created the fund. Whether the costs and expenses claimed were in fact so incurred is a matter to be determined when the liquidator verifies his accounts.</w:t>
      </w:r>
    </w:p>
    <w:p w:rsidR="00113B36" w:rsidRPr="00113B36" w:rsidRDefault="00113B36" w:rsidP="00113B36">
      <w:pPr>
        <w:pStyle w:val="Level1List"/>
        <w:rPr>
          <w:color w:val="414141" w:themeColor="accent6"/>
        </w:rPr>
      </w:pPr>
      <w:r w:rsidRPr="00113B36">
        <w:rPr>
          <w:color w:val="414141" w:themeColor="accent6"/>
        </w:rPr>
        <w:t>However, the Court did not consider which particular costs and expenses incurred by the liquidator were properly chargeable against the settlement sum under the liquidator’s lien. The liquidator had not yet verified his accounts, and the matter was remitted to the primary judge for further consideration.</w:t>
      </w:r>
    </w:p>
    <w:p w:rsidR="00113B36" w:rsidRPr="00113B36" w:rsidRDefault="00113B36" w:rsidP="00113B36">
      <w:pPr>
        <w:pStyle w:val="Level1List"/>
        <w:rPr>
          <w:color w:val="414141" w:themeColor="accent6"/>
        </w:rPr>
      </w:pPr>
      <w:r w:rsidRPr="00113B36">
        <w:rPr>
          <w:color w:val="414141" w:themeColor="accent6"/>
        </w:rPr>
        <w:t xml:space="preserve">The reasoning of the High Court in </w:t>
      </w:r>
      <w:r w:rsidRPr="00113B36">
        <w:rPr>
          <w:i/>
          <w:color w:val="414141" w:themeColor="accent6"/>
        </w:rPr>
        <w:t>Atco</w:t>
      </w:r>
      <w:r w:rsidRPr="00113B36">
        <w:rPr>
          <w:color w:val="414141" w:themeColor="accent6"/>
        </w:rPr>
        <w:t xml:space="preserve"> </w:t>
      </w:r>
      <w:r w:rsidRPr="00113B36">
        <w:rPr>
          <w:i/>
          <w:color w:val="414141" w:themeColor="accent6"/>
        </w:rPr>
        <w:t>Controls</w:t>
      </w:r>
      <w:r w:rsidRPr="00113B36">
        <w:rPr>
          <w:color w:val="414141" w:themeColor="accent6"/>
        </w:rPr>
        <w:t xml:space="preserve"> was based substantially on the decision of Dixon J in </w:t>
      </w:r>
      <w:r w:rsidRPr="00113B36">
        <w:rPr>
          <w:i/>
          <w:color w:val="414141" w:themeColor="accent6"/>
        </w:rPr>
        <w:t xml:space="preserve">In re Universal Distributing Co Ltd (In </w:t>
      </w:r>
      <w:proofErr w:type="spellStart"/>
      <w:r w:rsidRPr="00113B36">
        <w:rPr>
          <w:i/>
          <w:color w:val="414141" w:themeColor="accent6"/>
        </w:rPr>
        <w:t>liq</w:t>
      </w:r>
      <w:proofErr w:type="spellEnd"/>
      <w:r w:rsidRPr="00113B36">
        <w:rPr>
          <w:i/>
          <w:color w:val="414141" w:themeColor="accent6"/>
        </w:rPr>
        <w:t>)</w:t>
      </w:r>
      <w:r w:rsidRPr="00113B36">
        <w:rPr>
          <w:color w:val="414141" w:themeColor="accent6"/>
        </w:rPr>
        <w:t xml:space="preserve"> (1933) 48 </w:t>
      </w:r>
      <w:proofErr w:type="spellStart"/>
      <w:r w:rsidRPr="00113B36">
        <w:rPr>
          <w:color w:val="414141" w:themeColor="accent6"/>
        </w:rPr>
        <w:t>CLR</w:t>
      </w:r>
      <w:proofErr w:type="spellEnd"/>
      <w:r w:rsidRPr="00113B36">
        <w:rPr>
          <w:color w:val="414141" w:themeColor="accent6"/>
        </w:rPr>
        <w:t xml:space="preserve"> 171. In that case, the question for determination was whether “the liquidator can charge against the fund passing through his hands as between himself and the person to whom it is payable, so much of the remuneration fixed for work done in the winding up as is </w:t>
      </w:r>
      <w:proofErr w:type="spellStart"/>
      <w:r w:rsidRPr="00113B36">
        <w:rPr>
          <w:color w:val="414141" w:themeColor="accent6"/>
        </w:rPr>
        <w:t>referable</w:t>
      </w:r>
      <w:proofErr w:type="spellEnd"/>
      <w:r w:rsidRPr="00113B36">
        <w:rPr>
          <w:color w:val="414141" w:themeColor="accent6"/>
        </w:rPr>
        <w:t xml:space="preserve"> to the calling in and conversion of the assets producing the fund” (at 174-175).</w:t>
      </w:r>
    </w:p>
    <w:p w:rsidR="00113B36" w:rsidRPr="00113B36" w:rsidRDefault="00113B36" w:rsidP="00113B36">
      <w:pPr>
        <w:pStyle w:val="Level1List"/>
        <w:rPr>
          <w:color w:val="414141" w:themeColor="accent6"/>
        </w:rPr>
      </w:pPr>
      <w:r w:rsidRPr="00113B36">
        <w:rPr>
          <w:color w:val="414141" w:themeColor="accent6"/>
        </w:rPr>
        <w:lastRenderedPageBreak/>
        <w:t xml:space="preserve">The facts of </w:t>
      </w:r>
      <w:r w:rsidRPr="00113B36">
        <w:rPr>
          <w:i/>
          <w:color w:val="414141" w:themeColor="accent6"/>
        </w:rPr>
        <w:t xml:space="preserve">Universal Distributing </w:t>
      </w:r>
      <w:r w:rsidRPr="00113B36">
        <w:rPr>
          <w:color w:val="414141" w:themeColor="accent6"/>
        </w:rPr>
        <w:t>were as follows. The company had given a debenture-holder a floating charge over the assets of the company. The company was placed in liquidation. The liquidator had spent time and effort recovering moneys, including uncalled capital and debts. However, the assets of the company were insufficient to satisfy the liabilities secured by the debenture. The debenture-holder objected to the liquidator being paid remuneration and certain disbursements out of the company’s assets in priority to his security.</w:t>
      </w:r>
    </w:p>
    <w:p w:rsidR="00113B36" w:rsidRPr="00113B36" w:rsidRDefault="00113B36" w:rsidP="00113B36">
      <w:pPr>
        <w:pStyle w:val="Level1List"/>
        <w:rPr>
          <w:color w:val="414141" w:themeColor="accent6"/>
        </w:rPr>
      </w:pPr>
      <w:r w:rsidRPr="00113B36">
        <w:rPr>
          <w:color w:val="414141" w:themeColor="accent6"/>
        </w:rPr>
        <w:t>Dixon J held (at 174) that the liquidator was entitled to be paid from the fund of moneys, in priority to the debenture-holder, his expenses which had been “reasonably incurred [by the liquidator] in the care, preservation and realization of the property.”</w:t>
      </w:r>
    </w:p>
    <w:p w:rsidR="00113B36" w:rsidRPr="00113B36" w:rsidRDefault="00113B36" w:rsidP="00113B36">
      <w:pPr>
        <w:pStyle w:val="Level1List"/>
        <w:rPr>
          <w:color w:val="414141" w:themeColor="accent6"/>
        </w:rPr>
      </w:pPr>
      <w:r w:rsidRPr="00113B36">
        <w:rPr>
          <w:color w:val="414141" w:themeColor="accent6"/>
        </w:rPr>
        <w:t>Dixon J further held (at 175) that the liquidator’s remuneration “for work done for the exclusive purpose of raising the fund” could also be charged upon the fund.</w:t>
      </w:r>
    </w:p>
    <w:p w:rsidR="00113B36" w:rsidRPr="00113B36" w:rsidRDefault="00113B36" w:rsidP="00113B36">
      <w:pPr>
        <w:pStyle w:val="Level1List"/>
        <w:rPr>
          <w:color w:val="414141" w:themeColor="accent6"/>
        </w:rPr>
      </w:pPr>
      <w:r w:rsidRPr="00113B36">
        <w:rPr>
          <w:color w:val="414141" w:themeColor="accent6"/>
        </w:rPr>
        <w:t>Dixon J’s reasoning was as follows (at 174):</w:t>
      </w:r>
    </w:p>
    <w:p w:rsidR="00113B36" w:rsidRPr="00113B36" w:rsidRDefault="00113B36" w:rsidP="00113B36">
      <w:pPr>
        <w:pStyle w:val="Level1List"/>
        <w:numPr>
          <w:ilvl w:val="0"/>
          <w:numId w:val="0"/>
        </w:numPr>
        <w:ind w:left="1440" w:right="720"/>
        <w:rPr>
          <w:color w:val="414141" w:themeColor="accent6"/>
          <w:sz w:val="19"/>
        </w:rPr>
      </w:pPr>
      <w:r w:rsidRPr="00113B36">
        <w:rPr>
          <w:color w:val="414141" w:themeColor="accent6"/>
          <w:sz w:val="19"/>
        </w:rPr>
        <w:t>If a creditor whose debt is secured over the assets of the company come in and have his rights decided in the winding up, he is entitled to be paid principal and interest out of the fund produced by the assets encumbered by his debt after the deduction of the costs, charges and expenses incidental to the realization of such assets (</w:t>
      </w:r>
      <w:r w:rsidRPr="00113B36">
        <w:rPr>
          <w:i/>
          <w:color w:val="414141" w:themeColor="accent6"/>
          <w:sz w:val="19"/>
        </w:rPr>
        <w:t>In re Marine Mansions Co</w:t>
      </w:r>
      <w:r w:rsidRPr="00113B36">
        <w:rPr>
          <w:color w:val="414141" w:themeColor="accent6"/>
          <w:sz w:val="19"/>
        </w:rPr>
        <w:t xml:space="preserve"> (1867) </w:t>
      </w:r>
      <w:proofErr w:type="spellStart"/>
      <w:r w:rsidRPr="00113B36">
        <w:rPr>
          <w:color w:val="414141" w:themeColor="accent6"/>
          <w:sz w:val="19"/>
        </w:rPr>
        <w:t>LR</w:t>
      </w:r>
      <w:proofErr w:type="spellEnd"/>
      <w:r w:rsidRPr="00113B36">
        <w:rPr>
          <w:color w:val="414141" w:themeColor="accent6"/>
          <w:sz w:val="19"/>
        </w:rPr>
        <w:t xml:space="preserve"> 4 </w:t>
      </w:r>
      <w:proofErr w:type="spellStart"/>
      <w:r w:rsidRPr="00113B36">
        <w:rPr>
          <w:color w:val="414141" w:themeColor="accent6"/>
          <w:sz w:val="19"/>
        </w:rPr>
        <w:t>Eq</w:t>
      </w:r>
      <w:proofErr w:type="spellEnd"/>
      <w:r w:rsidRPr="00113B36">
        <w:rPr>
          <w:color w:val="414141" w:themeColor="accent6"/>
          <w:sz w:val="19"/>
        </w:rPr>
        <w:t xml:space="preserve"> 601 at 611). The security is paramount to the general costs and expenses of the liquidation, but the expenses attendant upon the realization of the funds affected by the security must be borne by it (</w:t>
      </w:r>
      <w:r w:rsidRPr="00113B36">
        <w:rPr>
          <w:i/>
          <w:color w:val="414141" w:themeColor="accent6"/>
          <w:sz w:val="19"/>
        </w:rPr>
        <w:t>In re Oriental Hotels Co; Perry v Oriental Hotels Co</w:t>
      </w:r>
      <w:r w:rsidRPr="00113B36">
        <w:rPr>
          <w:color w:val="414141" w:themeColor="accent6"/>
          <w:sz w:val="19"/>
        </w:rPr>
        <w:t xml:space="preserve"> (1871) </w:t>
      </w:r>
      <w:proofErr w:type="spellStart"/>
      <w:r w:rsidRPr="00113B36">
        <w:rPr>
          <w:color w:val="414141" w:themeColor="accent6"/>
          <w:sz w:val="19"/>
        </w:rPr>
        <w:t>LR</w:t>
      </w:r>
      <w:proofErr w:type="spellEnd"/>
      <w:r w:rsidRPr="00113B36">
        <w:rPr>
          <w:color w:val="414141" w:themeColor="accent6"/>
          <w:sz w:val="19"/>
        </w:rPr>
        <w:t xml:space="preserve"> 12 </w:t>
      </w:r>
      <w:proofErr w:type="spellStart"/>
      <w:r w:rsidRPr="00113B36">
        <w:rPr>
          <w:color w:val="414141" w:themeColor="accent6"/>
          <w:sz w:val="19"/>
        </w:rPr>
        <w:t>Eq</w:t>
      </w:r>
      <w:proofErr w:type="spellEnd"/>
      <w:r w:rsidRPr="00113B36">
        <w:rPr>
          <w:color w:val="414141" w:themeColor="accent6"/>
          <w:sz w:val="19"/>
        </w:rPr>
        <w:t xml:space="preserve"> 126). The debenture-holders are creditors who have a specific right to the property for the purpose of paying their debts. But if it is realized in the winding up, a proceeding to which they are thus parties, the proceeds must bear the cost of the realization just as if they had begun a suit for its realization or had themselves realized it without suit (</w:t>
      </w:r>
      <w:proofErr w:type="spellStart"/>
      <w:r w:rsidRPr="00113B36">
        <w:rPr>
          <w:color w:val="414141" w:themeColor="accent6"/>
          <w:sz w:val="19"/>
        </w:rPr>
        <w:t>cf</w:t>
      </w:r>
      <w:proofErr w:type="spellEnd"/>
      <w:r w:rsidRPr="00113B36">
        <w:rPr>
          <w:color w:val="414141" w:themeColor="accent6"/>
          <w:sz w:val="19"/>
        </w:rPr>
        <w:t xml:space="preserve"> In</w:t>
      </w:r>
      <w:r w:rsidRPr="00113B36">
        <w:rPr>
          <w:i/>
          <w:color w:val="414141" w:themeColor="accent6"/>
          <w:sz w:val="19"/>
        </w:rPr>
        <w:t xml:space="preserve"> re Regent’s Canal Ironworks Co; Ex parte </w:t>
      </w:r>
      <w:proofErr w:type="spellStart"/>
      <w:r w:rsidRPr="00113B36">
        <w:rPr>
          <w:i/>
          <w:color w:val="414141" w:themeColor="accent6"/>
          <w:sz w:val="19"/>
        </w:rPr>
        <w:t>Grissell</w:t>
      </w:r>
      <w:proofErr w:type="spellEnd"/>
      <w:r w:rsidRPr="00113B36">
        <w:rPr>
          <w:i/>
          <w:color w:val="414141" w:themeColor="accent6"/>
          <w:sz w:val="19"/>
        </w:rPr>
        <w:t xml:space="preserve"> </w:t>
      </w:r>
      <w:r w:rsidRPr="00113B36">
        <w:rPr>
          <w:color w:val="414141" w:themeColor="accent6"/>
          <w:sz w:val="19"/>
        </w:rPr>
        <w:t xml:space="preserve">(1875) 3 </w:t>
      </w:r>
      <w:proofErr w:type="spellStart"/>
      <w:r w:rsidRPr="00113B36">
        <w:rPr>
          <w:color w:val="414141" w:themeColor="accent6"/>
          <w:sz w:val="19"/>
        </w:rPr>
        <w:t>Ch</w:t>
      </w:r>
      <w:proofErr w:type="spellEnd"/>
      <w:r w:rsidRPr="00113B36">
        <w:rPr>
          <w:color w:val="414141" w:themeColor="accent6"/>
          <w:sz w:val="19"/>
        </w:rPr>
        <w:t xml:space="preserve"> D 411 per James LJ at 427; and see </w:t>
      </w:r>
      <w:r w:rsidRPr="00113B36">
        <w:rPr>
          <w:i/>
          <w:color w:val="414141" w:themeColor="accent6"/>
          <w:sz w:val="19"/>
        </w:rPr>
        <w:t>Batten v Wedgwood Coal and Iron Co</w:t>
      </w:r>
      <w:r w:rsidRPr="00113B36">
        <w:rPr>
          <w:color w:val="414141" w:themeColor="accent6"/>
          <w:sz w:val="19"/>
        </w:rPr>
        <w:t xml:space="preserve"> (1884) 28 </w:t>
      </w:r>
      <w:proofErr w:type="spellStart"/>
      <w:r w:rsidRPr="00113B36">
        <w:rPr>
          <w:color w:val="414141" w:themeColor="accent6"/>
          <w:sz w:val="19"/>
        </w:rPr>
        <w:t>Ch</w:t>
      </w:r>
      <w:proofErr w:type="spellEnd"/>
      <w:r w:rsidRPr="00113B36">
        <w:rPr>
          <w:color w:val="414141" w:themeColor="accent6"/>
          <w:sz w:val="19"/>
        </w:rPr>
        <w:t xml:space="preserve"> D 317 per Pearson J at 325). Dixon J cited a number of old English authorities: the 1867 decision </w:t>
      </w:r>
      <w:r w:rsidRPr="00113B36">
        <w:rPr>
          <w:i/>
          <w:color w:val="414141" w:themeColor="accent6"/>
          <w:sz w:val="19"/>
        </w:rPr>
        <w:t>In re Marine Mansions Co</w:t>
      </w:r>
      <w:r w:rsidRPr="00113B36">
        <w:rPr>
          <w:color w:val="414141" w:themeColor="accent6"/>
          <w:sz w:val="19"/>
        </w:rPr>
        <w:t xml:space="preserve">; the 1871 decision </w:t>
      </w:r>
      <w:r w:rsidRPr="00113B36">
        <w:rPr>
          <w:i/>
          <w:color w:val="414141" w:themeColor="accent6"/>
          <w:sz w:val="19"/>
        </w:rPr>
        <w:t>In re Oriental Hotels Co; Perry v Oriental Hotels Co</w:t>
      </w:r>
      <w:r w:rsidRPr="00113B36">
        <w:rPr>
          <w:color w:val="414141" w:themeColor="accent6"/>
          <w:sz w:val="19"/>
        </w:rPr>
        <w:t xml:space="preserve">; the 1875 decision </w:t>
      </w:r>
      <w:r w:rsidRPr="00113B36">
        <w:rPr>
          <w:i/>
          <w:color w:val="414141" w:themeColor="accent6"/>
          <w:sz w:val="19"/>
        </w:rPr>
        <w:t xml:space="preserve">In re Regent’s Canal Ironworks Co; Ex parte </w:t>
      </w:r>
      <w:proofErr w:type="spellStart"/>
      <w:r w:rsidRPr="00113B36">
        <w:rPr>
          <w:i/>
          <w:color w:val="414141" w:themeColor="accent6"/>
          <w:sz w:val="19"/>
        </w:rPr>
        <w:t>Grissell</w:t>
      </w:r>
      <w:proofErr w:type="spellEnd"/>
      <w:r w:rsidRPr="00113B36">
        <w:rPr>
          <w:color w:val="414141" w:themeColor="accent6"/>
          <w:sz w:val="19"/>
        </w:rPr>
        <w:t xml:space="preserve">; and the 1884 decision </w:t>
      </w:r>
      <w:r w:rsidRPr="00113B36">
        <w:rPr>
          <w:i/>
          <w:color w:val="414141" w:themeColor="accent6"/>
          <w:sz w:val="19"/>
        </w:rPr>
        <w:t>Batten v Wedgwood Coal and Iron Co</w:t>
      </w:r>
      <w:r w:rsidRPr="00113B36">
        <w:rPr>
          <w:color w:val="414141" w:themeColor="accent6"/>
          <w:sz w:val="19"/>
        </w:rPr>
        <w:t>. Each of those cases involved a situation where (</w:t>
      </w:r>
      <w:proofErr w:type="spellStart"/>
      <w:r w:rsidRPr="00113B36">
        <w:rPr>
          <w:color w:val="414141" w:themeColor="accent6"/>
          <w:sz w:val="19"/>
        </w:rPr>
        <w:t>i</w:t>
      </w:r>
      <w:proofErr w:type="spellEnd"/>
      <w:r w:rsidRPr="00113B36">
        <w:rPr>
          <w:color w:val="414141" w:themeColor="accent6"/>
          <w:sz w:val="19"/>
        </w:rPr>
        <w:t xml:space="preserve">) there was particular property over which security had been granted; (ii) the property was realised by a liquidator or receiver; and (iii) the fund created by the realisation of the property was insufficient to pay both the secured creditor and the liquidator’s or receiver’s costs. In each case, it was held that the costs and expenses of realising the property took priority over payment to the secured creditor. (The </w:t>
      </w:r>
      <w:proofErr w:type="spellStart"/>
      <w:r w:rsidRPr="00113B36">
        <w:rPr>
          <w:color w:val="414141" w:themeColor="accent6"/>
          <w:sz w:val="19"/>
        </w:rPr>
        <w:t>DCT</w:t>
      </w:r>
      <w:proofErr w:type="spellEnd"/>
      <w:r w:rsidRPr="00113B36">
        <w:rPr>
          <w:color w:val="414141" w:themeColor="accent6"/>
          <w:sz w:val="19"/>
        </w:rPr>
        <w:t xml:space="preserve"> is not a secured creditor.)</w:t>
      </w:r>
    </w:p>
    <w:p w:rsidR="00113B36" w:rsidRPr="00113B36" w:rsidRDefault="00113B36" w:rsidP="00113B36">
      <w:pPr>
        <w:pStyle w:val="Level1List"/>
        <w:rPr>
          <w:color w:val="414141" w:themeColor="accent6"/>
        </w:rPr>
      </w:pPr>
      <w:r w:rsidRPr="00113B36">
        <w:rPr>
          <w:color w:val="414141" w:themeColor="accent6"/>
        </w:rPr>
        <w:t xml:space="preserve">The general principle applied in each of those cases is well-stated by James LJ in </w:t>
      </w:r>
      <w:r w:rsidRPr="00113B36">
        <w:rPr>
          <w:i/>
          <w:color w:val="414141" w:themeColor="accent6"/>
        </w:rPr>
        <w:t xml:space="preserve">In re Regent’s Canal Ironworks Co; Ex parte </w:t>
      </w:r>
      <w:proofErr w:type="spellStart"/>
      <w:r w:rsidRPr="00113B36">
        <w:rPr>
          <w:i/>
          <w:color w:val="414141" w:themeColor="accent6"/>
        </w:rPr>
        <w:t>Grissell</w:t>
      </w:r>
      <w:proofErr w:type="spellEnd"/>
      <w:r w:rsidRPr="00113B36">
        <w:rPr>
          <w:color w:val="414141" w:themeColor="accent6"/>
        </w:rPr>
        <w:t xml:space="preserve"> (at 427):</w:t>
      </w:r>
    </w:p>
    <w:p w:rsidR="00113B36" w:rsidRPr="00113B36" w:rsidRDefault="00113B36" w:rsidP="00113B36">
      <w:pPr>
        <w:pStyle w:val="FO1List"/>
        <w:tabs>
          <w:tab w:val="left" w:pos="709"/>
        </w:tabs>
        <w:ind w:left="1440" w:right="720" w:firstLine="11"/>
        <w:rPr>
          <w:color w:val="414141" w:themeColor="accent6"/>
          <w:sz w:val="19"/>
        </w:rPr>
      </w:pPr>
      <w:r w:rsidRPr="00113B36">
        <w:rPr>
          <w:color w:val="414141" w:themeColor="accent6"/>
          <w:sz w:val="19"/>
        </w:rPr>
        <w:t xml:space="preserve">The debenture holders are the creditors to whom the property belonged; they were creditors of the company independently, but besides being creditors of the company they had a specific right to the property for the purpose of paying their debts. If the property is realized in the proceedings to which they are parties they must pay the costs of the realization, just as they would have had to pay them if they had their own suit for the purpose of realizing it, or if they had employed a person out of doors. Those are </w:t>
      </w:r>
      <w:r w:rsidRPr="00113B36">
        <w:rPr>
          <w:color w:val="414141" w:themeColor="accent6"/>
          <w:sz w:val="19"/>
        </w:rPr>
        <w:lastRenderedPageBreak/>
        <w:t>charges to be deducted out of the proceeds of the property, and they are only entitled to the net proceeds of the property.</w:t>
      </w:r>
    </w:p>
    <w:p w:rsidR="00113B36" w:rsidRPr="00113B36" w:rsidRDefault="00113B36" w:rsidP="00113B36">
      <w:pPr>
        <w:pStyle w:val="Level1List"/>
        <w:rPr>
          <w:color w:val="414141" w:themeColor="accent6"/>
        </w:rPr>
      </w:pPr>
      <w:r w:rsidRPr="00113B36">
        <w:rPr>
          <w:color w:val="414141" w:themeColor="accent6"/>
        </w:rPr>
        <w:t xml:space="preserve">In </w:t>
      </w:r>
      <w:r w:rsidRPr="00113B36">
        <w:rPr>
          <w:i/>
          <w:color w:val="414141" w:themeColor="accent6"/>
        </w:rPr>
        <w:t>Atco Controls</w:t>
      </w:r>
      <w:r w:rsidRPr="00113B36">
        <w:rPr>
          <w:color w:val="414141" w:themeColor="accent6"/>
        </w:rPr>
        <w:t xml:space="preserve">, the respondent sought to make something out of Dixon J’s statement in </w:t>
      </w:r>
      <w:r w:rsidRPr="00113B36">
        <w:rPr>
          <w:i/>
          <w:color w:val="414141" w:themeColor="accent6"/>
        </w:rPr>
        <w:t>Universal Distributing</w:t>
      </w:r>
      <w:r w:rsidRPr="00113B36">
        <w:rPr>
          <w:color w:val="414141" w:themeColor="accent6"/>
        </w:rPr>
        <w:t xml:space="preserve"> (at 175) that remuneration for work done for the “exclusive purpose” of raising </w:t>
      </w:r>
      <w:r w:rsidR="00CA2F16">
        <w:rPr>
          <w:color w:val="414141" w:themeColor="accent6"/>
        </w:rPr>
        <w:t>the fund may be chargeable upon</w:t>
      </w:r>
      <w:r w:rsidRPr="00113B36">
        <w:rPr>
          <w:color w:val="414141" w:themeColor="accent6"/>
        </w:rPr>
        <w:t>. The Court (at [40]) interpreted Dixon J’s statement as meaning that only remuneration for work done in connection with creating the fund was chargeable on the fund. The Court held that the statement did not require the consideration of the liquidator’s subjective purpose in undertaking the work.</w:t>
      </w:r>
    </w:p>
    <w:p w:rsidR="00113B36" w:rsidRPr="00113B36" w:rsidRDefault="00113B36" w:rsidP="00113B36">
      <w:pPr>
        <w:pStyle w:val="Level1List"/>
        <w:rPr>
          <w:color w:val="414141" w:themeColor="accent6"/>
        </w:rPr>
      </w:pPr>
      <w:r w:rsidRPr="00113B36">
        <w:rPr>
          <w:color w:val="414141" w:themeColor="accent6"/>
        </w:rPr>
        <w:t xml:space="preserve">In </w:t>
      </w:r>
      <w:r w:rsidRPr="00113B36">
        <w:rPr>
          <w:i/>
          <w:color w:val="414141" w:themeColor="accent6"/>
        </w:rPr>
        <w:t xml:space="preserve">In re MF Global Australia Ltd (in </w:t>
      </w:r>
      <w:proofErr w:type="spellStart"/>
      <w:r w:rsidRPr="00113B36">
        <w:rPr>
          <w:i/>
          <w:color w:val="414141" w:themeColor="accent6"/>
        </w:rPr>
        <w:t>liq</w:t>
      </w:r>
      <w:proofErr w:type="spellEnd"/>
      <w:r w:rsidRPr="00113B36">
        <w:rPr>
          <w:i/>
          <w:color w:val="414141" w:themeColor="accent6"/>
        </w:rPr>
        <w:t>)</w:t>
      </w:r>
      <w:r w:rsidRPr="00113B36">
        <w:rPr>
          <w:color w:val="414141" w:themeColor="accent6"/>
        </w:rPr>
        <w:t xml:space="preserve"> (No 2) [2012] </w:t>
      </w:r>
      <w:proofErr w:type="spellStart"/>
      <w:r w:rsidRPr="00113B36">
        <w:rPr>
          <w:color w:val="414141" w:themeColor="accent6"/>
        </w:rPr>
        <w:t>NSWSC</w:t>
      </w:r>
      <w:proofErr w:type="spellEnd"/>
      <w:r w:rsidRPr="00113B36">
        <w:rPr>
          <w:color w:val="414141" w:themeColor="accent6"/>
        </w:rPr>
        <w:t xml:space="preserve"> 1426, Black J said:</w:t>
      </w:r>
    </w:p>
    <w:p w:rsidR="00113B36" w:rsidRPr="00113B36" w:rsidRDefault="00113B36" w:rsidP="00113B36">
      <w:pPr>
        <w:pStyle w:val="FO1List"/>
        <w:tabs>
          <w:tab w:val="left" w:pos="1418"/>
        </w:tabs>
        <w:ind w:left="2127" w:hanging="709"/>
        <w:rPr>
          <w:color w:val="414141" w:themeColor="accent6"/>
          <w:sz w:val="19"/>
          <w:szCs w:val="19"/>
        </w:rPr>
      </w:pPr>
      <w:r w:rsidRPr="00113B36">
        <w:rPr>
          <w:color w:val="414141" w:themeColor="accent6"/>
          <w:sz w:val="19"/>
          <w:szCs w:val="19"/>
        </w:rPr>
        <w:t>[50]</w:t>
      </w:r>
      <w:r w:rsidRPr="00113B36">
        <w:rPr>
          <w:color w:val="414141" w:themeColor="accent6"/>
          <w:sz w:val="19"/>
          <w:szCs w:val="19"/>
        </w:rPr>
        <w:tab/>
        <w:t xml:space="preserve">There is authority that the remuneration, costs and expenses incurred by a person such as a liquidator in preserving, recovering and realising a fund on behalf of others should be paid out of, and are secured by an equitable lien over, the fund: </w:t>
      </w:r>
      <w:r w:rsidRPr="00113B36">
        <w:rPr>
          <w:i/>
          <w:color w:val="414141" w:themeColor="accent6"/>
          <w:sz w:val="19"/>
          <w:szCs w:val="19"/>
        </w:rPr>
        <w:t xml:space="preserve">Re Universal Distributing Co Ltd (in </w:t>
      </w:r>
      <w:proofErr w:type="spellStart"/>
      <w:r w:rsidRPr="00113B36">
        <w:rPr>
          <w:i/>
          <w:color w:val="414141" w:themeColor="accent6"/>
          <w:sz w:val="19"/>
          <w:szCs w:val="19"/>
        </w:rPr>
        <w:t>liq</w:t>
      </w:r>
      <w:proofErr w:type="spellEnd"/>
      <w:r w:rsidRPr="00113B36">
        <w:rPr>
          <w:i/>
          <w:color w:val="414141" w:themeColor="accent6"/>
          <w:sz w:val="19"/>
          <w:szCs w:val="19"/>
        </w:rPr>
        <w:t>)</w:t>
      </w:r>
      <w:r w:rsidRPr="00113B36">
        <w:rPr>
          <w:color w:val="414141" w:themeColor="accent6"/>
          <w:sz w:val="19"/>
          <w:szCs w:val="19"/>
        </w:rPr>
        <w:t xml:space="preserve"> [1933] HCA 2; (1933) 48 </w:t>
      </w:r>
      <w:proofErr w:type="spellStart"/>
      <w:r w:rsidRPr="00113B36">
        <w:rPr>
          <w:color w:val="414141" w:themeColor="accent6"/>
          <w:sz w:val="19"/>
          <w:szCs w:val="19"/>
        </w:rPr>
        <w:t>CLR</w:t>
      </w:r>
      <w:proofErr w:type="spellEnd"/>
      <w:r w:rsidRPr="00113B36">
        <w:rPr>
          <w:color w:val="414141" w:themeColor="accent6"/>
          <w:sz w:val="19"/>
          <w:szCs w:val="19"/>
        </w:rPr>
        <w:t xml:space="preserve"> 171; </w:t>
      </w:r>
      <w:r w:rsidRPr="00113B36">
        <w:rPr>
          <w:i/>
          <w:color w:val="414141" w:themeColor="accent6"/>
          <w:sz w:val="19"/>
          <w:szCs w:val="19"/>
        </w:rPr>
        <w:t xml:space="preserve">Coad v Wellness Pursuit Pty Ltd (in </w:t>
      </w:r>
      <w:proofErr w:type="spellStart"/>
      <w:r w:rsidRPr="00113B36">
        <w:rPr>
          <w:i/>
          <w:color w:val="414141" w:themeColor="accent6"/>
          <w:sz w:val="19"/>
          <w:szCs w:val="19"/>
        </w:rPr>
        <w:t>liq</w:t>
      </w:r>
      <w:proofErr w:type="spellEnd"/>
      <w:r w:rsidRPr="00113B36">
        <w:rPr>
          <w:i/>
          <w:color w:val="414141" w:themeColor="accent6"/>
          <w:sz w:val="19"/>
          <w:szCs w:val="19"/>
        </w:rPr>
        <w:t>)</w:t>
      </w:r>
      <w:r w:rsidRPr="00113B36">
        <w:rPr>
          <w:color w:val="414141" w:themeColor="accent6"/>
          <w:sz w:val="19"/>
          <w:szCs w:val="19"/>
        </w:rPr>
        <w:t xml:space="preserve"> [2009] </w:t>
      </w:r>
      <w:proofErr w:type="spellStart"/>
      <w:r w:rsidRPr="00113B36">
        <w:rPr>
          <w:color w:val="414141" w:themeColor="accent6"/>
          <w:sz w:val="19"/>
          <w:szCs w:val="19"/>
        </w:rPr>
        <w:t>WASCA</w:t>
      </w:r>
      <w:proofErr w:type="spellEnd"/>
      <w:r w:rsidRPr="00113B36">
        <w:rPr>
          <w:color w:val="414141" w:themeColor="accent6"/>
          <w:sz w:val="19"/>
          <w:szCs w:val="19"/>
        </w:rPr>
        <w:t xml:space="preserve"> 68; (2009) 40 WAR 53; </w:t>
      </w:r>
      <w:r w:rsidRPr="00113B36">
        <w:rPr>
          <w:i/>
          <w:color w:val="414141" w:themeColor="accent6"/>
          <w:sz w:val="19"/>
          <w:szCs w:val="19"/>
        </w:rPr>
        <w:t xml:space="preserve">Re </w:t>
      </w:r>
      <w:proofErr w:type="spellStart"/>
      <w:r w:rsidRPr="00113B36">
        <w:rPr>
          <w:i/>
          <w:color w:val="414141" w:themeColor="accent6"/>
          <w:sz w:val="19"/>
          <w:szCs w:val="19"/>
        </w:rPr>
        <w:t>Parbery</w:t>
      </w:r>
      <w:proofErr w:type="spellEnd"/>
      <w:r w:rsidRPr="00113B36">
        <w:rPr>
          <w:i/>
          <w:color w:val="414141" w:themeColor="accent6"/>
          <w:sz w:val="19"/>
          <w:szCs w:val="19"/>
        </w:rPr>
        <w:t xml:space="preserve"> &amp; </w:t>
      </w:r>
      <w:proofErr w:type="spellStart"/>
      <w:r w:rsidRPr="00113B36">
        <w:rPr>
          <w:i/>
          <w:color w:val="414141" w:themeColor="accent6"/>
          <w:sz w:val="19"/>
          <w:szCs w:val="19"/>
        </w:rPr>
        <w:t>Ors</w:t>
      </w:r>
      <w:proofErr w:type="spellEnd"/>
      <w:r w:rsidRPr="00113B36">
        <w:rPr>
          <w:i/>
          <w:color w:val="414141" w:themeColor="accent6"/>
          <w:sz w:val="19"/>
          <w:szCs w:val="19"/>
        </w:rPr>
        <w:t xml:space="preserve"> (as liquidators of Trio Capital Ltd (in </w:t>
      </w:r>
      <w:proofErr w:type="spellStart"/>
      <w:r w:rsidRPr="00113B36">
        <w:rPr>
          <w:i/>
          <w:color w:val="414141" w:themeColor="accent6"/>
          <w:sz w:val="19"/>
          <w:szCs w:val="19"/>
        </w:rPr>
        <w:t>liq</w:t>
      </w:r>
      <w:proofErr w:type="spellEnd"/>
      <w:r w:rsidRPr="00113B36">
        <w:rPr>
          <w:i/>
          <w:color w:val="414141" w:themeColor="accent6"/>
          <w:sz w:val="19"/>
          <w:szCs w:val="19"/>
        </w:rPr>
        <w:t xml:space="preserve">)) </w:t>
      </w:r>
      <w:r w:rsidRPr="00113B36">
        <w:rPr>
          <w:color w:val="414141" w:themeColor="accent6"/>
          <w:sz w:val="19"/>
          <w:szCs w:val="19"/>
        </w:rPr>
        <w:t xml:space="preserve">[2012] </w:t>
      </w:r>
      <w:proofErr w:type="spellStart"/>
      <w:r w:rsidRPr="00113B36">
        <w:rPr>
          <w:color w:val="414141" w:themeColor="accent6"/>
          <w:sz w:val="19"/>
          <w:szCs w:val="19"/>
        </w:rPr>
        <w:t>NSWSC</w:t>
      </w:r>
      <w:proofErr w:type="spellEnd"/>
      <w:r w:rsidRPr="00113B36">
        <w:rPr>
          <w:color w:val="414141" w:themeColor="accent6"/>
          <w:sz w:val="19"/>
          <w:szCs w:val="19"/>
        </w:rPr>
        <w:t xml:space="preserve"> 597 at [18]; (2012) 88 </w:t>
      </w:r>
      <w:proofErr w:type="spellStart"/>
      <w:r w:rsidRPr="00113B36">
        <w:rPr>
          <w:color w:val="414141" w:themeColor="accent6"/>
          <w:sz w:val="19"/>
          <w:szCs w:val="19"/>
        </w:rPr>
        <w:t>ACSR</w:t>
      </w:r>
      <w:proofErr w:type="spellEnd"/>
      <w:r w:rsidRPr="00113B36">
        <w:rPr>
          <w:color w:val="414141" w:themeColor="accent6"/>
          <w:sz w:val="19"/>
          <w:szCs w:val="19"/>
        </w:rPr>
        <w:t xml:space="preserve"> 700. In </w:t>
      </w:r>
      <w:r w:rsidRPr="00113B36">
        <w:rPr>
          <w:i/>
          <w:color w:val="414141" w:themeColor="accent6"/>
          <w:sz w:val="19"/>
          <w:szCs w:val="19"/>
        </w:rPr>
        <w:t xml:space="preserve">13 Coromandel Place Pty Ltd v CL Custodians Pty Ltd (in </w:t>
      </w:r>
      <w:proofErr w:type="spellStart"/>
      <w:r w:rsidRPr="00113B36">
        <w:rPr>
          <w:i/>
          <w:color w:val="414141" w:themeColor="accent6"/>
          <w:sz w:val="19"/>
          <w:szCs w:val="19"/>
        </w:rPr>
        <w:t>liq</w:t>
      </w:r>
      <w:proofErr w:type="spellEnd"/>
      <w:r w:rsidRPr="00113B36">
        <w:rPr>
          <w:i/>
          <w:color w:val="414141" w:themeColor="accent6"/>
          <w:sz w:val="19"/>
          <w:szCs w:val="19"/>
        </w:rPr>
        <w:t xml:space="preserve">) </w:t>
      </w:r>
      <w:r w:rsidRPr="00113B36">
        <w:rPr>
          <w:color w:val="414141" w:themeColor="accent6"/>
          <w:sz w:val="19"/>
          <w:szCs w:val="19"/>
        </w:rPr>
        <w:t>above at [34], Finkelstein J observed that:</w:t>
      </w:r>
    </w:p>
    <w:p w:rsidR="00113B36" w:rsidRPr="00113B36" w:rsidRDefault="00113B36" w:rsidP="00113B36">
      <w:pPr>
        <w:pStyle w:val="FO3List"/>
        <w:ind w:left="2869"/>
        <w:rPr>
          <w:color w:val="414141" w:themeColor="accent6"/>
        </w:rPr>
      </w:pPr>
      <w:r w:rsidRPr="00113B36">
        <w:rPr>
          <w:color w:val="414141" w:themeColor="accent6"/>
          <w:sz w:val="19"/>
          <w:szCs w:val="19"/>
        </w:rPr>
        <w:t>These cases establish, clearly enough in my opinion, that provided a liquidator is acting reasonably he is entitled to be indemnified out of trust assets for his costs and expenses in carrying out the following activities: identifying or attempting to identify trust assets; recovering or attempting to recover trust assets; realising or attempting to realise trust assets; protecting or attempting to protect trust assets; distributing trust assets to the persons beneficially entitled to them.</w:t>
      </w:r>
    </w:p>
    <w:p w:rsidR="00113B36" w:rsidRPr="00113B36" w:rsidRDefault="00113B36" w:rsidP="00113B36">
      <w:pPr>
        <w:pStyle w:val="Level1List"/>
        <w:rPr>
          <w:color w:val="414141" w:themeColor="accent6"/>
        </w:rPr>
      </w:pPr>
      <w:r w:rsidRPr="00113B36">
        <w:rPr>
          <w:color w:val="414141" w:themeColor="accent6"/>
        </w:rPr>
        <w:t>Therefore, a person, such as a liquidator, who incurs expenses realising property for the creation of a fund, is entitled to the payment of his or her expenses incurred realising the property (including remuneration), in priority to all other persons having a claim over the fund, even persons with a security interest over the fund. The expenses chargeable against the fund are those expenses reasonably incurred in the care, preservation and realisation of the property, which includes remuneration for the work done.</w:t>
      </w:r>
    </w:p>
    <w:p w:rsidR="00607997" w:rsidRPr="00113B36" w:rsidRDefault="00607997" w:rsidP="00607997">
      <w:pPr>
        <w:rPr>
          <w:color w:val="414141" w:themeColor="accent6"/>
        </w:rPr>
      </w:pPr>
    </w:p>
    <w:p w:rsidR="00607997" w:rsidRPr="00113B36" w:rsidRDefault="00607997">
      <w:pPr>
        <w:pStyle w:val="FO2Legal"/>
        <w:rPr>
          <w:color w:val="414141" w:themeColor="accent6"/>
          <w:sz w:val="24"/>
          <w:szCs w:val="24"/>
        </w:rPr>
      </w:pPr>
    </w:p>
    <w:sectPr w:rsidR="00607997" w:rsidRPr="00113B36" w:rsidSect="009B47BC">
      <w:headerReference w:type="even" r:id="rId17"/>
      <w:headerReference w:type="default" r:id="rId18"/>
      <w:footerReference w:type="even" r:id="rId19"/>
      <w:footerReference w:type="default" r:id="rId20"/>
      <w:headerReference w:type="first" r:id="rId21"/>
      <w:footerReference w:type="first" r:id="rId22"/>
      <w:pgSz w:w="11907" w:h="16839"/>
      <w:pgMar w:top="1134" w:right="1701" w:bottom="567" w:left="1701" w:header="113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31B" w:rsidRDefault="0040131B">
      <w:r>
        <w:separator/>
      </w:r>
    </w:p>
  </w:endnote>
  <w:endnote w:type="continuationSeparator" w:id="0">
    <w:p w:rsidR="0040131B" w:rsidRDefault="00401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31B" w:rsidRDefault="0040131B" w:rsidP="00F928BD">
    <w:pPr>
      <w:tabs>
        <w:tab w:val="right" w:pos="8505"/>
      </w:tabs>
    </w:pPr>
  </w:p>
  <w:p w:rsidR="0040131B" w:rsidRDefault="0040131B" w:rsidP="00F928BD">
    <w:pPr>
      <w:pBdr>
        <w:top w:val="single" w:sz="4" w:space="4" w:color="auto"/>
      </w:pBdr>
      <w:tabs>
        <w:tab w:val="right" w:pos="8505"/>
      </w:tabs>
      <w:rPr>
        <w:szCs w:val="14"/>
      </w:rPr>
    </w:pPr>
    <w:r w:rsidRPr="00B8761E">
      <w:fldChar w:fldCharType="begin"/>
    </w:r>
    <w:r w:rsidRPr="00B8761E">
      <w:instrText xml:space="preserve"> IF </w:instrText>
    </w:r>
    <w:r w:rsidRPr="00B8761E">
      <w:fldChar w:fldCharType="begin"/>
    </w:r>
    <w:r w:rsidRPr="00B8761E">
      <w:instrText xml:space="preserve"> = AND( </w:instrText>
    </w:r>
    <w:r w:rsidRPr="00B8761E">
      <w:fldChar w:fldCharType="begin"/>
    </w:r>
    <w:r w:rsidRPr="00B8761E">
      <w:instrText xml:space="preserve"> COMPARE </w:instrText>
    </w:r>
    <w:r w:rsidR="001740BD">
      <w:fldChar w:fldCharType="begin"/>
    </w:r>
    <w:r w:rsidR="001740BD">
      <w:instrText xml:space="preserve"> DOCPROPERTY DocID </w:instrText>
    </w:r>
    <w:r w:rsidR="001740BD">
      <w:fldChar w:fldCharType="separate"/>
    </w:r>
    <w:r w:rsidR="00346E63">
      <w:instrText>19594386_1/AWK/AWK000</w:instrText>
    </w:r>
    <w:r w:rsidR="001740BD">
      <w:fldChar w:fldCharType="end"/>
    </w:r>
    <w:r w:rsidRPr="00B8761E">
      <w:instrText xml:space="preserve"> &lt;&gt; "Error!*"  </w:instrText>
    </w:r>
    <w:r w:rsidRPr="00B8761E">
      <w:fldChar w:fldCharType="separate"/>
    </w:r>
    <w:r w:rsidR="00346E63">
      <w:rPr>
        <w:noProof/>
      </w:rPr>
      <w:instrText>1</w:instrText>
    </w:r>
    <w:r w:rsidRPr="00B8761E">
      <w:fldChar w:fldCharType="end"/>
    </w:r>
    <w:r w:rsidRPr="00B8761E">
      <w:instrText xml:space="preserve">, </w:instrText>
    </w:r>
    <w:r w:rsidRPr="00B8761E">
      <w:fldChar w:fldCharType="begin"/>
    </w:r>
    <w:r w:rsidRPr="00B8761E">
      <w:instrText xml:space="preserve"> COMPARE </w:instrText>
    </w:r>
    <w:r w:rsidR="001740BD">
      <w:fldChar w:fldCharType="begin"/>
    </w:r>
    <w:r w:rsidR="001740BD">
      <w:instrText xml:space="preserve"> FILENAME </w:instrText>
    </w:r>
    <w:r w:rsidR="001740BD">
      <w:fldChar w:fldCharType="separate"/>
    </w:r>
    <w:r w:rsidR="00346E63">
      <w:rPr>
        <w:noProof/>
      </w:rPr>
      <w:instrText>19594386_1</w:instrText>
    </w:r>
    <w:r w:rsidR="001740BD">
      <w:rPr>
        <w:noProof/>
      </w:rPr>
      <w:fldChar w:fldCharType="end"/>
    </w:r>
    <w:r w:rsidRPr="00B8761E">
      <w:instrText xml:space="preserve"> &lt;&gt; "Normal" </w:instrText>
    </w:r>
    <w:r w:rsidRPr="00B8761E">
      <w:fldChar w:fldCharType="separate"/>
    </w:r>
    <w:r w:rsidR="00346E63">
      <w:rPr>
        <w:noProof/>
      </w:rPr>
      <w:instrText>1</w:instrText>
    </w:r>
    <w:r w:rsidRPr="00B8761E">
      <w:fldChar w:fldCharType="end"/>
    </w:r>
    <w:r w:rsidRPr="00B8761E">
      <w:instrText xml:space="preserve"> ) </w:instrText>
    </w:r>
    <w:r w:rsidRPr="00B8761E">
      <w:fldChar w:fldCharType="separate"/>
    </w:r>
    <w:r w:rsidR="00346E63">
      <w:rPr>
        <w:noProof/>
      </w:rPr>
      <w:instrText>1</w:instrText>
    </w:r>
    <w:r w:rsidRPr="00B8761E">
      <w:fldChar w:fldCharType="end"/>
    </w:r>
    <w:r w:rsidRPr="00B8761E">
      <w:instrText xml:space="preserve"> = 1  </w:instrText>
    </w:r>
    <w:r w:rsidR="001740BD">
      <w:fldChar w:fldCharType="begin"/>
    </w:r>
    <w:r w:rsidR="001740BD">
      <w:instrText xml:space="preserve"> DOCPROPERTY DocID </w:instrText>
    </w:r>
    <w:r w:rsidR="001740BD">
      <w:fldChar w:fldCharType="separate"/>
    </w:r>
    <w:r w:rsidR="00346E63">
      <w:instrText>19594386_1/AWK/AWK000</w:instrText>
    </w:r>
    <w:r w:rsidR="001740BD">
      <w:fldChar w:fldCharType="end"/>
    </w:r>
    <w:r w:rsidRPr="00B8761E">
      <w:instrText xml:space="preserve"> "" </w:instrText>
    </w:r>
    <w:r w:rsidRPr="00B8761E">
      <w:fldChar w:fldCharType="separate"/>
    </w:r>
    <w:r w:rsidR="00346E63">
      <w:rPr>
        <w:noProof/>
      </w:rPr>
      <w:t>19594386_1/AWK/AWK000</w:t>
    </w:r>
    <w:r w:rsidRPr="00B8761E">
      <w:fldChar w:fldCharType="end"/>
    </w:r>
    <w:r w:rsidRPr="00B8761E">
      <w:tab/>
      <w:t xml:space="preserve">Page </w:t>
    </w:r>
    <w:r w:rsidRPr="00B8761E">
      <w:rPr>
        <w:szCs w:val="14"/>
      </w:rPr>
      <w:fldChar w:fldCharType="begin"/>
    </w:r>
    <w:r w:rsidRPr="00B8761E">
      <w:rPr>
        <w:szCs w:val="14"/>
      </w:rPr>
      <w:instrText xml:space="preserve"> PAGE </w:instrText>
    </w:r>
    <w:r w:rsidRPr="00B8761E">
      <w:rPr>
        <w:szCs w:val="14"/>
      </w:rPr>
      <w:fldChar w:fldCharType="separate"/>
    </w:r>
    <w:r>
      <w:rPr>
        <w:noProof/>
        <w:szCs w:val="14"/>
      </w:rPr>
      <w:t>1</w:t>
    </w:r>
    <w:r w:rsidRPr="00B8761E">
      <w:rPr>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265" w:rsidRDefault="000222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265" w:rsidRDefault="0002226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31B" w:rsidRDefault="0040131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31B" w:rsidRDefault="0040131B" w:rsidP="00F928BD">
    <w:pPr>
      <w:tabs>
        <w:tab w:val="right" w:pos="8505"/>
      </w:tabs>
    </w:pPr>
  </w:p>
  <w:p w:rsidR="0040131B" w:rsidRDefault="0040131B" w:rsidP="00F928BD">
    <w:pPr>
      <w:pBdr>
        <w:top w:val="single" w:sz="4" w:space="4" w:color="auto"/>
      </w:pBdr>
      <w:tabs>
        <w:tab w:val="right" w:pos="8505"/>
      </w:tabs>
      <w:rPr>
        <w:szCs w:val="14"/>
      </w:rPr>
    </w:pPr>
    <w:r w:rsidRPr="00B8761E">
      <w:fldChar w:fldCharType="begin"/>
    </w:r>
    <w:r w:rsidRPr="00B8761E">
      <w:instrText xml:space="preserve"> IF </w:instrText>
    </w:r>
    <w:r w:rsidRPr="00B8761E">
      <w:fldChar w:fldCharType="begin"/>
    </w:r>
    <w:r w:rsidRPr="00B8761E">
      <w:instrText xml:space="preserve"> = AND( </w:instrText>
    </w:r>
    <w:r w:rsidRPr="00B8761E">
      <w:fldChar w:fldCharType="begin"/>
    </w:r>
    <w:r w:rsidRPr="00B8761E">
      <w:instrText xml:space="preserve"> COMPARE </w:instrText>
    </w:r>
    <w:r w:rsidR="001740BD">
      <w:fldChar w:fldCharType="begin"/>
    </w:r>
    <w:r w:rsidR="001740BD">
      <w:instrText xml:space="preserve"> DOCPROPERTY DocID </w:instrText>
    </w:r>
    <w:r w:rsidR="001740BD">
      <w:fldChar w:fldCharType="separate"/>
    </w:r>
    <w:r w:rsidR="00346E63">
      <w:instrText>19594386_1/AWK/AWK000</w:instrText>
    </w:r>
    <w:r w:rsidR="001740BD">
      <w:fldChar w:fldCharType="end"/>
    </w:r>
    <w:r w:rsidRPr="00B8761E">
      <w:instrText xml:space="preserve"> &lt;&gt; "Error!*"  </w:instrText>
    </w:r>
    <w:r w:rsidRPr="00B8761E">
      <w:fldChar w:fldCharType="separate"/>
    </w:r>
    <w:r w:rsidR="00346E63">
      <w:rPr>
        <w:noProof/>
      </w:rPr>
      <w:instrText>1</w:instrText>
    </w:r>
    <w:r w:rsidRPr="00B8761E">
      <w:fldChar w:fldCharType="end"/>
    </w:r>
    <w:r w:rsidRPr="00B8761E">
      <w:instrText xml:space="preserve">, </w:instrText>
    </w:r>
    <w:r w:rsidRPr="00B8761E">
      <w:fldChar w:fldCharType="begin"/>
    </w:r>
    <w:r w:rsidRPr="00B8761E">
      <w:instrText xml:space="preserve"> COMPARE </w:instrText>
    </w:r>
    <w:r w:rsidR="001740BD">
      <w:fldChar w:fldCharType="begin"/>
    </w:r>
    <w:r w:rsidR="001740BD">
      <w:instrText xml:space="preserve"> FILENAME </w:instrText>
    </w:r>
    <w:r w:rsidR="001740BD">
      <w:fldChar w:fldCharType="separate"/>
    </w:r>
    <w:r w:rsidR="00346E63">
      <w:rPr>
        <w:noProof/>
      </w:rPr>
      <w:instrText>19594386_1</w:instrText>
    </w:r>
    <w:r w:rsidR="001740BD">
      <w:rPr>
        <w:noProof/>
      </w:rPr>
      <w:fldChar w:fldCharType="end"/>
    </w:r>
    <w:r w:rsidRPr="00B8761E">
      <w:instrText xml:space="preserve"> &lt;&gt; "Normal" </w:instrText>
    </w:r>
    <w:r w:rsidRPr="00B8761E">
      <w:fldChar w:fldCharType="separate"/>
    </w:r>
    <w:r w:rsidR="00346E63">
      <w:rPr>
        <w:noProof/>
      </w:rPr>
      <w:instrText>1</w:instrText>
    </w:r>
    <w:r w:rsidRPr="00B8761E">
      <w:fldChar w:fldCharType="end"/>
    </w:r>
    <w:r w:rsidRPr="00B8761E">
      <w:instrText xml:space="preserve"> ) </w:instrText>
    </w:r>
    <w:r w:rsidRPr="00B8761E">
      <w:fldChar w:fldCharType="separate"/>
    </w:r>
    <w:r w:rsidR="00346E63">
      <w:rPr>
        <w:noProof/>
      </w:rPr>
      <w:instrText>1</w:instrText>
    </w:r>
    <w:r w:rsidRPr="00B8761E">
      <w:fldChar w:fldCharType="end"/>
    </w:r>
    <w:r w:rsidRPr="00B8761E">
      <w:instrText xml:space="preserve"> = 1  </w:instrText>
    </w:r>
    <w:r w:rsidR="001740BD">
      <w:fldChar w:fldCharType="begin"/>
    </w:r>
    <w:r w:rsidR="001740BD">
      <w:instrText xml:space="preserve"> DOCPROPERTY DocID </w:instrText>
    </w:r>
    <w:r w:rsidR="001740BD">
      <w:fldChar w:fldCharType="separate"/>
    </w:r>
    <w:r w:rsidR="00346E63">
      <w:instrText>19594386_1/AWK/AWK000</w:instrText>
    </w:r>
    <w:r w:rsidR="001740BD">
      <w:fldChar w:fldCharType="end"/>
    </w:r>
    <w:r w:rsidRPr="00B8761E">
      <w:instrText xml:space="preserve"> "" </w:instrText>
    </w:r>
    <w:r w:rsidRPr="00B8761E">
      <w:fldChar w:fldCharType="separate"/>
    </w:r>
    <w:r w:rsidR="00346E63">
      <w:rPr>
        <w:noProof/>
      </w:rPr>
      <w:t>19594386_1/AWK/AWK000</w:t>
    </w:r>
    <w:r w:rsidRPr="00B8761E">
      <w:fldChar w:fldCharType="end"/>
    </w:r>
    <w:r w:rsidRPr="00B8761E">
      <w:tab/>
      <w:t xml:space="preserve">Page </w:t>
    </w:r>
    <w:r w:rsidRPr="00B8761E">
      <w:rPr>
        <w:szCs w:val="14"/>
      </w:rPr>
      <w:fldChar w:fldCharType="begin"/>
    </w:r>
    <w:r w:rsidRPr="00B8761E">
      <w:rPr>
        <w:szCs w:val="14"/>
      </w:rPr>
      <w:instrText xml:space="preserve"> PAGE </w:instrText>
    </w:r>
    <w:r w:rsidRPr="00B8761E">
      <w:rPr>
        <w:szCs w:val="14"/>
      </w:rPr>
      <w:fldChar w:fldCharType="separate"/>
    </w:r>
    <w:r>
      <w:rPr>
        <w:noProof/>
        <w:szCs w:val="14"/>
      </w:rPr>
      <w:t>1</w:t>
    </w:r>
    <w:r w:rsidRPr="00B8761E">
      <w:rPr>
        <w:szCs w:val="1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31B" w:rsidRDefault="0040131B" w:rsidP="001E3D07">
    <w:pPr>
      <w:pStyle w:val="Footer"/>
      <w:rPr>
        <w:sz w:val="16"/>
        <w:szCs w:val="16"/>
      </w:rPr>
    </w:pPr>
  </w:p>
  <w:p w:rsidR="0040131B" w:rsidRDefault="0040131B" w:rsidP="001E3D07">
    <w:pPr>
      <w:pStyle w:val="Footer"/>
    </w:pPr>
    <w:r>
      <w:tab/>
    </w:r>
  </w:p>
  <w:p w:rsidR="0040131B" w:rsidRPr="001E3D07" w:rsidRDefault="0040131B" w:rsidP="001E3D07">
    <w:pPr>
      <w:pStyle w:val="Footer"/>
      <w:pBdr>
        <w:top w:val="single" w:sz="4" w:space="4" w:color="auto"/>
      </w:pBdr>
    </w:pPr>
    <w:r>
      <w:fldChar w:fldCharType="begin"/>
    </w:r>
    <w:r>
      <w:instrText xml:space="preserve"> PAGE   \* MERGEFORMAT </w:instrText>
    </w:r>
    <w:r>
      <w:fldChar w:fldCharType="separate"/>
    </w:r>
    <w:r w:rsidR="001740BD">
      <w:rPr>
        <w:noProof/>
      </w:rPr>
      <w:t>4</w:t>
    </w:r>
    <w:r>
      <w:rPr>
        <w:noProof/>
      </w:rPr>
      <w:fldChar w:fldCharType="end"/>
    </w:r>
    <w:r w:rsidRPr="00B8761E">
      <w:tab/>
    </w:r>
    <w:r>
      <w:rPr>
        <w:noProof/>
      </w:rPr>
      <w:drawing>
        <wp:inline distT="0" distB="0" distL="0" distR="0" wp14:anchorId="6F0D8788" wp14:editId="75155DD8">
          <wp:extent cx="1257300" cy="83820"/>
          <wp:effectExtent l="0" t="0" r="0" b="0"/>
          <wp:docPr id="3" name="Picture 3" descr="\\hdyshare01\APPS01\HDY MS Templates\templates\hdy docs\source files\hdy_logo_bw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dyshare01\APPS01\HDY MS Templates\templates\hdy docs\source files\hdy_logo_bw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3820"/>
                  </a:xfrm>
                  <a:prstGeom prst="rect">
                    <a:avLst/>
                  </a:prstGeom>
                  <a:noFill/>
                  <a:ln>
                    <a:noFill/>
                  </a:ln>
                </pic:spPr>
              </pic:pic>
            </a:graphicData>
          </a:graphic>
        </wp:inline>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31B" w:rsidRDefault="0040131B" w:rsidP="001E3D07">
    <w:pPr>
      <w:pStyle w:val="Footer"/>
      <w:rPr>
        <w:sz w:val="16"/>
        <w:szCs w:val="16"/>
      </w:rPr>
    </w:pPr>
  </w:p>
  <w:p w:rsidR="0040131B" w:rsidRDefault="0040131B" w:rsidP="001E3D07">
    <w:pPr>
      <w:pStyle w:val="Footer"/>
    </w:pPr>
    <w:r>
      <w:tab/>
    </w:r>
  </w:p>
  <w:p w:rsidR="0040131B" w:rsidRPr="001E3D07" w:rsidRDefault="0040131B" w:rsidP="001E3D07">
    <w:pPr>
      <w:pStyle w:val="Footer"/>
      <w:pBdr>
        <w:top w:val="single" w:sz="4" w:space="4" w:color="auto"/>
      </w:pBdr>
    </w:pPr>
    <w:r>
      <w:fldChar w:fldCharType="begin"/>
    </w:r>
    <w:r>
      <w:instrText xml:space="preserve"> PAGE   \* MERGEFORMAT </w:instrText>
    </w:r>
    <w:r>
      <w:fldChar w:fldCharType="separate"/>
    </w:r>
    <w:r w:rsidR="001740BD">
      <w:rPr>
        <w:noProof/>
      </w:rPr>
      <w:t>3</w:t>
    </w:r>
    <w:r>
      <w:rPr>
        <w:noProof/>
      </w:rPr>
      <w:fldChar w:fldCharType="end"/>
    </w:r>
    <w:r w:rsidRPr="00B8761E">
      <w:tab/>
    </w:r>
    <w:r>
      <w:rPr>
        <w:noProof/>
      </w:rPr>
      <w:drawing>
        <wp:inline distT="0" distB="0" distL="0" distR="0" wp14:anchorId="4FBE27D2" wp14:editId="4D0A82F9">
          <wp:extent cx="1257300" cy="83820"/>
          <wp:effectExtent l="0" t="0" r="0" b="0"/>
          <wp:docPr id="2" name="Picture 2" descr="\\hdyshare01\APPS01\HDY MS Templates\templates\hdy docs\source files\hdy_logo_bw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dyshare01\APPS01\HDY MS Templates\templates\hdy docs\source files\hdy_logo_bw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382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31B" w:rsidRDefault="0040131B">
      <w:r>
        <w:separator/>
      </w:r>
    </w:p>
  </w:footnote>
  <w:footnote w:type="continuationSeparator" w:id="0">
    <w:p w:rsidR="0040131B" w:rsidRDefault="0040131B">
      <w:r>
        <w:continuationSeparator/>
      </w:r>
    </w:p>
  </w:footnote>
  <w:footnote w:id="1">
    <w:p w:rsidR="0040131B" w:rsidRPr="00B510D1" w:rsidRDefault="0040131B" w:rsidP="00663C0E">
      <w:pPr>
        <w:pStyle w:val="FootnoteText"/>
        <w:rPr>
          <w:color w:val="414141" w:themeColor="accent6"/>
        </w:rPr>
      </w:pPr>
      <w:r w:rsidRPr="00B510D1">
        <w:rPr>
          <w:rStyle w:val="FootnoteReference"/>
          <w:color w:val="414141" w:themeColor="accent6"/>
        </w:rPr>
        <w:footnoteRef/>
      </w:r>
      <w:r w:rsidRPr="00B510D1">
        <w:rPr>
          <w:color w:val="414141" w:themeColor="accent6"/>
        </w:rPr>
        <w:t xml:space="preserve"> Explanatory Memorandum, Fair Entitlements Guarantee Amendment Bill 2014, p. 2</w:t>
      </w:r>
    </w:p>
  </w:footnote>
  <w:footnote w:id="2">
    <w:p w:rsidR="0040131B" w:rsidRPr="00B510D1" w:rsidRDefault="0040131B" w:rsidP="003C45D2">
      <w:pPr>
        <w:pStyle w:val="FootnoteText"/>
        <w:rPr>
          <w:color w:val="414141" w:themeColor="accent6"/>
        </w:rPr>
      </w:pPr>
      <w:r w:rsidRPr="00B510D1">
        <w:rPr>
          <w:rStyle w:val="FootnoteReference"/>
          <w:color w:val="414141" w:themeColor="accent6"/>
        </w:rPr>
        <w:footnoteRef/>
      </w:r>
      <w:r w:rsidRPr="00B510D1">
        <w:rPr>
          <w:color w:val="414141" w:themeColor="accent6"/>
        </w:rPr>
        <w:t xml:space="preserve"> The Commonwealth of Australia, once it makes entitlement payments pursuant to the FEG Act, 'stands in the shoes' of the FEG claimants whose entitlements were paid as a subrogated creditor arising out of principles of equity and allows the Commonwealth to exercise rights that are or were available to those employees. Additionally, Part 5 of the FEG Act specifically provides under Part 5 the ability for the Commonwealth to recover FEG amounts paid. </w:t>
      </w:r>
    </w:p>
  </w:footnote>
  <w:footnote w:id="3">
    <w:p w:rsidR="0040131B" w:rsidRPr="00B510D1" w:rsidRDefault="0040131B" w:rsidP="00AC5E25">
      <w:pPr>
        <w:pStyle w:val="FootnoteText"/>
        <w:rPr>
          <w:color w:val="414141" w:themeColor="accent6"/>
        </w:rPr>
      </w:pPr>
      <w:r w:rsidRPr="00B510D1">
        <w:rPr>
          <w:rStyle w:val="FootnoteReference"/>
          <w:color w:val="414141" w:themeColor="accent6"/>
        </w:rPr>
        <w:footnoteRef/>
      </w:r>
      <w:r w:rsidRPr="00B510D1">
        <w:rPr>
          <w:color w:val="414141" w:themeColor="accent6"/>
        </w:rPr>
        <w:t xml:space="preserve"> See </w:t>
      </w:r>
      <w:r w:rsidRPr="00B510D1">
        <w:rPr>
          <w:i/>
          <w:color w:val="414141" w:themeColor="accent6"/>
        </w:rPr>
        <w:t xml:space="preserve">Stewart v Atco Controls Pty Ltd (in </w:t>
      </w:r>
      <w:proofErr w:type="spellStart"/>
      <w:r w:rsidRPr="00B510D1">
        <w:rPr>
          <w:i/>
          <w:color w:val="414141" w:themeColor="accent6"/>
        </w:rPr>
        <w:t>Liq</w:t>
      </w:r>
      <w:proofErr w:type="spellEnd"/>
      <w:r w:rsidRPr="00B510D1">
        <w:rPr>
          <w:i/>
          <w:color w:val="414141" w:themeColor="accent6"/>
        </w:rPr>
        <w:t xml:space="preserve">) </w:t>
      </w:r>
      <w:r w:rsidRPr="00B510D1">
        <w:rPr>
          <w:color w:val="414141" w:themeColor="accent6"/>
        </w:rPr>
        <w:t xml:space="preserve">(2014) 252 </w:t>
      </w:r>
      <w:proofErr w:type="spellStart"/>
      <w:r w:rsidRPr="00B510D1">
        <w:rPr>
          <w:color w:val="414141" w:themeColor="accent6"/>
        </w:rPr>
        <w:t>CLR</w:t>
      </w:r>
      <w:proofErr w:type="spellEnd"/>
      <w:r w:rsidRPr="00B510D1">
        <w:rPr>
          <w:color w:val="414141" w:themeColor="accent6"/>
        </w:rPr>
        <w:t xml:space="preserve"> 307 at [22] and [41]; </w:t>
      </w:r>
      <w:r w:rsidRPr="00B510D1">
        <w:rPr>
          <w:i/>
          <w:color w:val="414141" w:themeColor="accent6"/>
        </w:rPr>
        <w:t xml:space="preserve">In re Universal Distributing Co Ltd (in </w:t>
      </w:r>
      <w:proofErr w:type="spellStart"/>
      <w:r w:rsidRPr="00B510D1">
        <w:rPr>
          <w:i/>
          <w:color w:val="414141" w:themeColor="accent6"/>
        </w:rPr>
        <w:t>liq</w:t>
      </w:r>
      <w:proofErr w:type="spellEnd"/>
      <w:r w:rsidRPr="00B510D1">
        <w:rPr>
          <w:i/>
          <w:color w:val="414141" w:themeColor="accent6"/>
        </w:rPr>
        <w:t xml:space="preserve">) </w:t>
      </w:r>
      <w:r w:rsidRPr="00B510D1">
        <w:rPr>
          <w:color w:val="414141" w:themeColor="accent6"/>
        </w:rPr>
        <w:t xml:space="preserve">(1933) 48 </w:t>
      </w:r>
      <w:proofErr w:type="spellStart"/>
      <w:r w:rsidRPr="00B510D1">
        <w:rPr>
          <w:color w:val="414141" w:themeColor="accent6"/>
        </w:rPr>
        <w:t>CLR</w:t>
      </w:r>
      <w:proofErr w:type="spellEnd"/>
      <w:r w:rsidRPr="00B510D1">
        <w:rPr>
          <w:color w:val="414141" w:themeColor="accent6"/>
        </w:rPr>
        <w:t xml:space="preserve"> 171 at 174-175. </w:t>
      </w:r>
    </w:p>
  </w:footnote>
  <w:footnote w:id="4">
    <w:p w:rsidR="0040131B" w:rsidRPr="000846FD" w:rsidRDefault="0040131B">
      <w:pPr>
        <w:pStyle w:val="FootnoteText"/>
        <w:rPr>
          <w:szCs w:val="17"/>
        </w:rPr>
      </w:pPr>
      <w:r w:rsidRPr="000846FD">
        <w:rPr>
          <w:rStyle w:val="FootnoteReference"/>
          <w:szCs w:val="17"/>
        </w:rPr>
        <w:footnoteRef/>
      </w:r>
      <w:r w:rsidRPr="000846FD">
        <w:rPr>
          <w:szCs w:val="17"/>
        </w:rPr>
        <w:t xml:space="preserve"> There is provision for the ministerial discretion to be exercised to declare the</w:t>
      </w:r>
      <w:r>
        <w:rPr>
          <w:szCs w:val="17"/>
        </w:rPr>
        <w:t xml:space="preserve"> FEG</w:t>
      </w:r>
      <w:r w:rsidRPr="000846FD">
        <w:rPr>
          <w:szCs w:val="17"/>
        </w:rPr>
        <w:t xml:space="preserve"> Act applies to entities under Part 5.3A in circumstances where it appears that the entity will be wound up.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31B" w:rsidRPr="00822A12" w:rsidRDefault="0040131B" w:rsidP="00F928BD">
    <w:pPr>
      <w:pBdr>
        <w:bottom w:val="single" w:sz="4" w:space="4" w:color="auto"/>
      </w:pBdr>
      <w:tabs>
        <w:tab w:val="right" w:pos="8505"/>
      </w:tabs>
      <w:rPr>
        <w:spacing w:val="30"/>
        <w:szCs w:val="16"/>
      </w:rPr>
    </w:pPr>
    <w:r w:rsidRPr="0086224C">
      <w:tab/>
    </w:r>
    <w:r w:rsidRPr="00822A12">
      <w:rPr>
        <w:spacing w:val="30"/>
        <w:szCs w:val="16"/>
      </w:rPr>
      <w:t>HENRY DAVIS YORK</w:t>
    </w:r>
  </w:p>
  <w:p w:rsidR="0040131B" w:rsidRDefault="0040131B" w:rsidP="00F928BD">
    <w:pPr>
      <w:tabs>
        <w:tab w:val="right" w:pos="850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265" w:rsidRDefault="000222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31B" w:rsidRDefault="0040131B">
    <w:pPr>
      <w:pStyle w:val="Header"/>
    </w:pPr>
  </w:p>
  <w:p w:rsidR="0040131B" w:rsidRDefault="0040131B">
    <w:pPr>
      <w:pStyle w:val="Header"/>
    </w:pPr>
  </w:p>
  <w:p w:rsidR="0040131B" w:rsidRDefault="0040131B">
    <w:pPr>
      <w:pStyle w:val="Header"/>
    </w:pPr>
  </w:p>
  <w:p w:rsidR="0040131B" w:rsidRDefault="0040131B">
    <w:pPr>
      <w:pStyle w:val="Header"/>
    </w:pPr>
    <w:r>
      <w:rPr>
        <w:noProof/>
      </w:rPr>
      <w:drawing>
        <wp:anchor distT="0" distB="0" distL="114300" distR="114300" simplePos="0" relativeHeight="251658240" behindDoc="1" locked="0" layoutInCell="1" allowOverlap="1" wp14:anchorId="0105F06F" wp14:editId="5BE59310">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posOffset>1807372</wp:posOffset>
          </wp:positionV>
          <wp:extent cx="7555865" cy="1797685"/>
          <wp:effectExtent l="0" t="0" r="6985" b="0"/>
          <wp:wrapNone/>
          <wp:docPr id="12" name="Picture 12" descr="Tender Cov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5865" cy="1797685"/>
                  </a:xfrm>
                  <a:prstGeom prst="rect">
                    <a:avLst/>
                  </a:prstGeom>
                </pic:spPr>
              </pic:pic>
            </a:graphicData>
          </a:graphic>
          <wp14:sizeRelH relativeFrom="margin">
            <wp14:pctWidth>0</wp14:pctWidth>
          </wp14:sizeRelH>
          <wp14:sizeRelV relativeFrom="margin">
            <wp14:pctHeight>0</wp14:pctHeight>
          </wp14:sizeRelV>
        </wp:anchor>
      </w:drawing>
    </w:r>
  </w:p>
  <w:p w:rsidR="0040131B" w:rsidRDefault="0040131B">
    <w:pPr>
      <w:pStyle w:val="Header"/>
    </w:pPr>
    <w:r>
      <w:rPr>
        <w:noProof/>
      </w:rPr>
      <w:drawing>
        <wp:anchor distT="0" distB="0" distL="114300" distR="114300" simplePos="0" relativeHeight="251659264" behindDoc="1" locked="0" layoutInCell="1" allowOverlap="1" wp14:anchorId="1147A442" wp14:editId="047535F2">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posOffset>3614258</wp:posOffset>
          </wp:positionV>
          <wp:extent cx="7555865" cy="4683125"/>
          <wp:effectExtent l="0" t="0" r="6985" b="3175"/>
          <wp:wrapNone/>
          <wp:docPr id="11" name="Picture 11" descr="Tender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6157" cy="4683211"/>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31B" w:rsidRPr="00005F3B" w:rsidRDefault="0040131B" w:rsidP="00005F3B">
    <w:pPr>
      <w:pStyle w:val="Header"/>
    </w:pPr>
    <w:r>
      <w:t>Reforms to address corporate misuse of the Fair Entitlements Guarantee Scheme - Submission by Henry Davis York</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31B" w:rsidRPr="00822A12" w:rsidRDefault="0040131B" w:rsidP="00F928BD">
    <w:pPr>
      <w:pBdr>
        <w:bottom w:val="single" w:sz="4" w:space="4" w:color="auto"/>
      </w:pBdr>
      <w:tabs>
        <w:tab w:val="right" w:pos="8505"/>
      </w:tabs>
      <w:rPr>
        <w:spacing w:val="30"/>
        <w:szCs w:val="16"/>
      </w:rPr>
    </w:pPr>
    <w:r w:rsidRPr="0086224C">
      <w:tab/>
    </w:r>
    <w:r w:rsidRPr="00822A12">
      <w:rPr>
        <w:spacing w:val="30"/>
        <w:szCs w:val="16"/>
      </w:rPr>
      <w:t>HENRY DAVIS YORK</w:t>
    </w:r>
  </w:p>
  <w:p w:rsidR="0040131B" w:rsidRDefault="0040131B" w:rsidP="00F928BD">
    <w:pPr>
      <w:tabs>
        <w:tab w:val="right" w:pos="8505"/>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31B" w:rsidRPr="00806C17" w:rsidRDefault="0040131B" w:rsidP="00806C17">
    <w:pPr>
      <w:pStyle w:val="Header"/>
    </w:pPr>
    <w:r>
      <w:t>Reforms to address corporate misuse of the Fair Entitlements Guarantee Scheme - Submission by Henry Davis York</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31B" w:rsidRPr="000B240E" w:rsidRDefault="0040131B" w:rsidP="00005F3B">
    <w:pPr>
      <w:pStyle w:val="Header"/>
    </w:pPr>
    <w:r>
      <w:t>Reforms to address corporate misuse of the Fair Entitlements Guarantee Scheme - Submission by Henry Davis York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440C4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0A2606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C4A1600"/>
    <w:lvl w:ilvl="0">
      <w:start w:val="1"/>
      <w:numFmt w:val="decimal"/>
      <w:pStyle w:val="ListNumber3"/>
      <w:lvlText w:val="%1."/>
      <w:lvlJc w:val="left"/>
      <w:pPr>
        <w:tabs>
          <w:tab w:val="num" w:pos="926"/>
        </w:tabs>
        <w:ind w:left="926" w:hanging="360"/>
      </w:pPr>
    </w:lvl>
  </w:abstractNum>
  <w:abstractNum w:abstractNumId="3">
    <w:nsid w:val="FFFFFF7F"/>
    <w:multiLevelType w:val="singleLevel"/>
    <w:tmpl w:val="00EE014A"/>
    <w:lvl w:ilvl="0">
      <w:start w:val="1"/>
      <w:numFmt w:val="decimal"/>
      <w:pStyle w:val="ListNumber2"/>
      <w:lvlText w:val="%1."/>
      <w:lvlJc w:val="left"/>
      <w:pPr>
        <w:tabs>
          <w:tab w:val="num" w:pos="643"/>
        </w:tabs>
        <w:ind w:left="643" w:hanging="360"/>
      </w:pPr>
    </w:lvl>
  </w:abstractNum>
  <w:abstractNum w:abstractNumId="4">
    <w:nsid w:val="FFFFFF80"/>
    <w:multiLevelType w:val="singleLevel"/>
    <w:tmpl w:val="2A0C59E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6E04127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102774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BA4354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D4FA2F8E"/>
    <w:lvl w:ilvl="0">
      <w:start w:val="1"/>
      <w:numFmt w:val="decimal"/>
      <w:pStyle w:val="ListNumber"/>
      <w:lvlText w:val="%1."/>
      <w:lvlJc w:val="left"/>
      <w:pPr>
        <w:tabs>
          <w:tab w:val="num" w:pos="360"/>
        </w:tabs>
        <w:ind w:left="360" w:hanging="360"/>
      </w:pPr>
    </w:lvl>
  </w:abstractNum>
  <w:abstractNum w:abstractNumId="9">
    <w:nsid w:val="FFFFFF89"/>
    <w:multiLevelType w:val="singleLevel"/>
    <w:tmpl w:val="A700359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A30FCD"/>
    <w:multiLevelType w:val="hybridMultilevel"/>
    <w:tmpl w:val="E2D486B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50F3938"/>
    <w:multiLevelType w:val="multilevel"/>
    <w:tmpl w:val="8806F456"/>
    <w:numStyleLink w:val="Tender"/>
  </w:abstractNum>
  <w:abstractNum w:abstractNumId="12">
    <w:nsid w:val="0B0A29FB"/>
    <w:multiLevelType w:val="multilevel"/>
    <w:tmpl w:val="09F2C584"/>
    <w:name w:val="Recitals"/>
    <w:lvl w:ilvl="0">
      <w:start w:val="1"/>
      <w:numFmt w:val="upperLetter"/>
      <w:pStyle w:val="RecitalsA"/>
      <w:lvlText w:val="%1"/>
      <w:lvlJc w:val="left"/>
      <w:pPr>
        <w:tabs>
          <w:tab w:val="num" w:pos="720"/>
        </w:tabs>
        <w:ind w:left="720" w:hanging="720"/>
      </w:pPr>
      <w:rPr>
        <w:b w:val="0"/>
        <w:sz w:val="21"/>
      </w:rPr>
    </w:lvl>
    <w:lvl w:ilvl="1">
      <w:start w:val="1"/>
      <w:numFmt w:val="lowerLetter"/>
      <w:pStyle w:val="Recitalsa0"/>
      <w:lvlText w:val="(%2)"/>
      <w:lvlJc w:val="left"/>
      <w:pPr>
        <w:tabs>
          <w:tab w:val="num" w:pos="1440"/>
        </w:tabs>
        <w:ind w:left="1440" w:hanging="720"/>
      </w:pPr>
      <w:rPr>
        <w:b w:val="0"/>
        <w:sz w:val="21"/>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0B393202"/>
    <w:multiLevelType w:val="singleLevel"/>
    <w:tmpl w:val="00000000"/>
    <w:lvl w:ilvl="0">
      <w:start w:val="1"/>
      <w:numFmt w:val="bullet"/>
      <w:lvlText w:val="·"/>
      <w:legacy w:legacy="1" w:legacySpace="120" w:legacyIndent="360"/>
      <w:lvlJc w:val="left"/>
      <w:pPr>
        <w:ind w:left="360" w:hanging="360"/>
      </w:pPr>
      <w:rPr>
        <w:rFonts w:ascii="Symbol" w:hAnsi="Symbol" w:hint="default"/>
      </w:rPr>
    </w:lvl>
  </w:abstractNum>
  <w:abstractNum w:abstractNumId="14">
    <w:nsid w:val="141B1169"/>
    <w:multiLevelType w:val="multilevel"/>
    <w:tmpl w:val="672A4460"/>
    <w:name w:val="Table"/>
    <w:lvl w:ilvl="0">
      <w:start w:val="1"/>
      <w:numFmt w:val="decimal"/>
      <w:pStyle w:val="Level1Table"/>
      <w:lvlText w:val="%1."/>
      <w:lvlJc w:val="left"/>
      <w:pPr>
        <w:tabs>
          <w:tab w:val="num" w:pos="357"/>
        </w:tabs>
        <w:ind w:left="357" w:hanging="357"/>
      </w:pPr>
      <w:rPr>
        <w:b w:val="0"/>
        <w:sz w:val="21"/>
      </w:rPr>
    </w:lvl>
    <w:lvl w:ilvl="1">
      <w:start w:val="1"/>
      <w:numFmt w:val="lowerLetter"/>
      <w:pStyle w:val="Level2Table"/>
      <w:lvlText w:val="(%2)"/>
      <w:lvlJc w:val="left"/>
      <w:pPr>
        <w:tabs>
          <w:tab w:val="num" w:pos="357"/>
        </w:tabs>
        <w:ind w:left="357" w:hanging="357"/>
      </w:pPr>
      <w:rPr>
        <w:b w:val="0"/>
        <w:sz w:val="21"/>
      </w:rPr>
    </w:lvl>
    <w:lvl w:ilvl="2">
      <w:start w:val="1"/>
      <w:numFmt w:val="lowerRoman"/>
      <w:pStyle w:val="Level3Table"/>
      <w:lvlText w:val="(%3)"/>
      <w:lvlJc w:val="left"/>
      <w:pPr>
        <w:tabs>
          <w:tab w:val="num" w:pos="357"/>
        </w:tabs>
        <w:ind w:left="357" w:hanging="357"/>
      </w:pPr>
      <w:rPr>
        <w:b w:val="0"/>
        <w:sz w:val="21"/>
      </w:rPr>
    </w:lvl>
    <w:lvl w:ilvl="3">
      <w:start w:val="1"/>
      <w:numFmt w:val="upperLetter"/>
      <w:pStyle w:val="Level4Table"/>
      <w:lvlText w:val="(%4)"/>
      <w:lvlJc w:val="left"/>
      <w:pPr>
        <w:tabs>
          <w:tab w:val="num" w:pos="357"/>
        </w:tabs>
        <w:ind w:left="357" w:hanging="357"/>
      </w:pPr>
      <w:rPr>
        <w:b w:val="0"/>
        <w:sz w:val="20"/>
      </w:rPr>
    </w:lvl>
    <w:lvl w:ilvl="4">
      <w:start w:val="1"/>
      <w:numFmt w:val="decimal"/>
      <w:pStyle w:val="Level5Table"/>
      <w:lvlText w:val="(%5)"/>
      <w:lvlJc w:val="left"/>
      <w:pPr>
        <w:tabs>
          <w:tab w:val="num" w:pos="357"/>
        </w:tabs>
        <w:ind w:left="357" w:hanging="357"/>
      </w:pPr>
      <w:rPr>
        <w:b w:val="0"/>
        <w:sz w:val="2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16F5915"/>
    <w:multiLevelType w:val="multilevel"/>
    <w:tmpl w:val="ED94E3E2"/>
    <w:name w:val="Definitions"/>
    <w:lvl w:ilvl="0">
      <w:start w:val="1"/>
      <w:numFmt w:val="none"/>
      <w:pStyle w:val="Definitionsitem"/>
      <w:suff w:val="nothing"/>
      <w:lvlText w:val=""/>
      <w:lvlJc w:val="left"/>
      <w:pPr>
        <w:tabs>
          <w:tab w:val="num" w:pos="720"/>
        </w:tabs>
        <w:ind w:left="720" w:firstLine="0"/>
      </w:pPr>
      <w:rPr>
        <w:b w:val="0"/>
        <w:sz w:val="21"/>
      </w:rPr>
    </w:lvl>
    <w:lvl w:ilvl="1">
      <w:start w:val="1"/>
      <w:numFmt w:val="lowerLetter"/>
      <w:pStyle w:val="Definitionsa"/>
      <w:lvlText w:val="(%2)"/>
      <w:lvlJc w:val="left"/>
      <w:pPr>
        <w:tabs>
          <w:tab w:val="num" w:pos="1440"/>
        </w:tabs>
        <w:ind w:left="1440" w:hanging="720"/>
      </w:pPr>
      <w:rPr>
        <w:b w:val="0"/>
        <w:sz w:val="21"/>
      </w:rPr>
    </w:lvl>
    <w:lvl w:ilvl="2">
      <w:start w:val="1"/>
      <w:numFmt w:val="lowerRoman"/>
      <w:pStyle w:val="Definitionsi"/>
      <w:lvlText w:val="(%3)"/>
      <w:lvlJc w:val="left"/>
      <w:pPr>
        <w:tabs>
          <w:tab w:val="num" w:pos="2160"/>
        </w:tabs>
        <w:ind w:left="2160" w:hanging="720"/>
      </w:pPr>
      <w:rPr>
        <w:b w:val="0"/>
        <w:sz w:val="21"/>
      </w:rPr>
    </w:lvl>
    <w:lvl w:ilvl="3">
      <w:start w:val="1"/>
      <w:numFmt w:val="upperLetter"/>
      <w:pStyle w:val="DefinitionsCapA"/>
      <w:lvlText w:val="(%4)"/>
      <w:lvlJc w:val="left"/>
      <w:pPr>
        <w:tabs>
          <w:tab w:val="num" w:pos="2880"/>
        </w:tabs>
        <w:ind w:left="2880" w:hanging="720"/>
      </w:pPr>
      <w:rPr>
        <w:b w:val="0"/>
        <w:sz w:val="21"/>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5D75600"/>
    <w:multiLevelType w:val="singleLevel"/>
    <w:tmpl w:val="00000000"/>
    <w:lvl w:ilvl="0">
      <w:start w:val="1"/>
      <w:numFmt w:val="bullet"/>
      <w:lvlText w:val="·"/>
      <w:legacy w:legacy="1" w:legacySpace="120" w:legacyIndent="360"/>
      <w:lvlJc w:val="left"/>
      <w:pPr>
        <w:ind w:left="360" w:hanging="360"/>
      </w:pPr>
      <w:rPr>
        <w:rFonts w:ascii="Symbol" w:hAnsi="Symbol" w:hint="default"/>
      </w:rPr>
    </w:lvl>
  </w:abstractNum>
  <w:abstractNum w:abstractNumId="17">
    <w:nsid w:val="26BE0961"/>
    <w:multiLevelType w:val="multilevel"/>
    <w:tmpl w:val="8806F456"/>
    <w:numStyleLink w:val="Tender"/>
  </w:abstractNum>
  <w:abstractNum w:abstractNumId="18">
    <w:nsid w:val="28AC7EFD"/>
    <w:multiLevelType w:val="multilevel"/>
    <w:tmpl w:val="8806F456"/>
    <w:numStyleLink w:val="Tender"/>
  </w:abstractNum>
  <w:abstractNum w:abstractNumId="19">
    <w:nsid w:val="2CA20A73"/>
    <w:multiLevelType w:val="singleLevel"/>
    <w:tmpl w:val="00000000"/>
    <w:lvl w:ilvl="0">
      <w:start w:val="1"/>
      <w:numFmt w:val="bullet"/>
      <w:lvlText w:val="·"/>
      <w:legacy w:legacy="1" w:legacySpace="120" w:legacyIndent="360"/>
      <w:lvlJc w:val="left"/>
      <w:pPr>
        <w:ind w:left="360" w:hanging="360"/>
      </w:pPr>
      <w:rPr>
        <w:rFonts w:ascii="Symbol" w:hAnsi="Symbol" w:hint="default"/>
      </w:rPr>
    </w:lvl>
  </w:abstractNum>
  <w:abstractNum w:abstractNumId="20">
    <w:nsid w:val="2D170176"/>
    <w:multiLevelType w:val="multilevel"/>
    <w:tmpl w:val="DBFE2950"/>
    <w:lvl w:ilvl="0">
      <w:start w:val="1"/>
      <w:numFmt w:val="upperLetter"/>
      <w:lvlText w:val="%1"/>
      <w:lvlJc w:val="left"/>
      <w:pPr>
        <w:tabs>
          <w:tab w:val="num" w:pos="720"/>
        </w:tabs>
        <w:ind w:left="720" w:hanging="720"/>
      </w:pPr>
      <w:rPr>
        <w:b/>
        <w:sz w:val="21"/>
      </w:rPr>
    </w:lvl>
    <w:lvl w:ilvl="1">
      <w:start w:val="1"/>
      <w:numFmt w:val="lowerLetter"/>
      <w:lvlText w:val="(%2)"/>
      <w:lvlJc w:val="left"/>
      <w:pPr>
        <w:tabs>
          <w:tab w:val="num" w:pos="720"/>
        </w:tabs>
        <w:ind w:left="720" w:hanging="720"/>
      </w:pPr>
      <w:rPr>
        <w:b/>
        <w:sz w:val="21"/>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FC4399A"/>
    <w:multiLevelType w:val="hybridMultilevel"/>
    <w:tmpl w:val="0BE6BEB6"/>
    <w:lvl w:ilvl="0" w:tplc="613CCB18">
      <w:start w:val="1"/>
      <w:numFmt w:val="decimal"/>
      <w:lvlText w:val="%1."/>
      <w:lvlJc w:val="left"/>
      <w:pPr>
        <w:ind w:left="720" w:hanging="360"/>
      </w:pPr>
    </w:lvl>
    <w:lvl w:ilvl="1" w:tplc="E55CAF4E">
      <w:start w:val="1"/>
      <w:numFmt w:val="lowerLetter"/>
      <w:lvlText w:val="%2."/>
      <w:lvlJc w:val="left"/>
      <w:pPr>
        <w:ind w:left="1440" w:hanging="360"/>
      </w:pPr>
    </w:lvl>
    <w:lvl w:ilvl="2" w:tplc="B1B04480" w:tentative="1">
      <w:start w:val="1"/>
      <w:numFmt w:val="lowerRoman"/>
      <w:lvlText w:val="%3."/>
      <w:lvlJc w:val="right"/>
      <w:pPr>
        <w:ind w:left="2160" w:hanging="180"/>
      </w:pPr>
    </w:lvl>
    <w:lvl w:ilvl="3" w:tplc="527493B6" w:tentative="1">
      <w:start w:val="1"/>
      <w:numFmt w:val="decimal"/>
      <w:lvlText w:val="%4."/>
      <w:lvlJc w:val="left"/>
      <w:pPr>
        <w:ind w:left="2880" w:hanging="360"/>
      </w:pPr>
    </w:lvl>
    <w:lvl w:ilvl="4" w:tplc="1D1E4C0A" w:tentative="1">
      <w:start w:val="1"/>
      <w:numFmt w:val="lowerLetter"/>
      <w:lvlText w:val="%5."/>
      <w:lvlJc w:val="left"/>
      <w:pPr>
        <w:ind w:left="3600" w:hanging="360"/>
      </w:pPr>
    </w:lvl>
    <w:lvl w:ilvl="5" w:tplc="9A483E60" w:tentative="1">
      <w:start w:val="1"/>
      <w:numFmt w:val="lowerRoman"/>
      <w:lvlText w:val="%6."/>
      <w:lvlJc w:val="right"/>
      <w:pPr>
        <w:ind w:left="4320" w:hanging="180"/>
      </w:pPr>
    </w:lvl>
    <w:lvl w:ilvl="6" w:tplc="702487C0" w:tentative="1">
      <w:start w:val="1"/>
      <w:numFmt w:val="decimal"/>
      <w:lvlText w:val="%7."/>
      <w:lvlJc w:val="left"/>
      <w:pPr>
        <w:ind w:left="5040" w:hanging="360"/>
      </w:pPr>
    </w:lvl>
    <w:lvl w:ilvl="7" w:tplc="711811FE" w:tentative="1">
      <w:start w:val="1"/>
      <w:numFmt w:val="lowerLetter"/>
      <w:lvlText w:val="%8."/>
      <w:lvlJc w:val="left"/>
      <w:pPr>
        <w:ind w:left="5760" w:hanging="360"/>
      </w:pPr>
    </w:lvl>
    <w:lvl w:ilvl="8" w:tplc="B358B992" w:tentative="1">
      <w:start w:val="1"/>
      <w:numFmt w:val="lowerRoman"/>
      <w:lvlText w:val="%9."/>
      <w:lvlJc w:val="right"/>
      <w:pPr>
        <w:ind w:left="6480" w:hanging="180"/>
      </w:pPr>
    </w:lvl>
  </w:abstractNum>
  <w:abstractNum w:abstractNumId="22">
    <w:nsid w:val="34D810F9"/>
    <w:multiLevelType w:val="multilevel"/>
    <w:tmpl w:val="CD7A69AA"/>
    <w:name w:val="Schedule"/>
    <w:lvl w:ilvl="0">
      <w:start w:val="1"/>
      <w:numFmt w:val="decimal"/>
      <w:pStyle w:val="Level1Schedule"/>
      <w:lvlText w:val="%1"/>
      <w:lvlJc w:val="left"/>
      <w:pPr>
        <w:tabs>
          <w:tab w:val="num" w:pos="720"/>
        </w:tabs>
        <w:ind w:left="720" w:hanging="720"/>
      </w:pPr>
      <w:rPr>
        <w:b/>
        <w:sz w:val="21"/>
      </w:rPr>
    </w:lvl>
    <w:lvl w:ilvl="1">
      <w:start w:val="1"/>
      <w:numFmt w:val="decimal"/>
      <w:pStyle w:val="Level2Schedule"/>
      <w:lvlText w:val="%1.%2"/>
      <w:lvlJc w:val="left"/>
      <w:pPr>
        <w:tabs>
          <w:tab w:val="num" w:pos="720"/>
        </w:tabs>
        <w:ind w:left="720" w:hanging="720"/>
      </w:pPr>
      <w:rPr>
        <w:b w:val="0"/>
        <w:sz w:val="21"/>
      </w:rPr>
    </w:lvl>
    <w:lvl w:ilvl="2">
      <w:start w:val="1"/>
      <w:numFmt w:val="lowerLetter"/>
      <w:pStyle w:val="Level3Schedule"/>
      <w:lvlText w:val="(%3)"/>
      <w:lvlJc w:val="left"/>
      <w:pPr>
        <w:tabs>
          <w:tab w:val="num" w:pos="1440"/>
        </w:tabs>
        <w:ind w:left="1440" w:hanging="720"/>
      </w:pPr>
      <w:rPr>
        <w:b w:val="0"/>
        <w:sz w:val="21"/>
      </w:rPr>
    </w:lvl>
    <w:lvl w:ilvl="3">
      <w:start w:val="1"/>
      <w:numFmt w:val="lowerRoman"/>
      <w:pStyle w:val="Level4Schedule"/>
      <w:lvlText w:val="(%4)"/>
      <w:lvlJc w:val="left"/>
      <w:pPr>
        <w:tabs>
          <w:tab w:val="num" w:pos="2160"/>
        </w:tabs>
        <w:ind w:left="2160" w:hanging="720"/>
      </w:pPr>
      <w:rPr>
        <w:b w:val="0"/>
        <w:sz w:val="21"/>
      </w:rPr>
    </w:lvl>
    <w:lvl w:ilvl="4">
      <w:start w:val="1"/>
      <w:numFmt w:val="upperLetter"/>
      <w:pStyle w:val="Level5Schedule"/>
      <w:lvlText w:val="(%5)"/>
      <w:lvlJc w:val="left"/>
      <w:pPr>
        <w:tabs>
          <w:tab w:val="num" w:pos="2880"/>
        </w:tabs>
        <w:ind w:left="2880" w:hanging="720"/>
      </w:pPr>
      <w:rPr>
        <w:b w:val="0"/>
        <w:sz w:val="2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5D60A9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3BE50533"/>
    <w:multiLevelType w:val="multilevel"/>
    <w:tmpl w:val="5AAE213A"/>
    <w:lvl w:ilvl="0">
      <w:start w:val="1"/>
      <w:numFmt w:val="bullet"/>
      <w:lvlText w:val=""/>
      <w:lvlJc w:val="left"/>
      <w:pPr>
        <w:ind w:left="720" w:hanging="360"/>
      </w:pPr>
      <w:rPr>
        <w:rFonts w:ascii="Wingdings" w:hAnsi="Wingdings" w:hint="default"/>
        <w:color w:val="auto"/>
      </w:rPr>
    </w:lvl>
    <w:lvl w:ilvl="1">
      <w:start w:val="1"/>
      <w:numFmt w:val="bullet"/>
      <w:lvlText w:val="-"/>
      <w:lvlJc w:val="left"/>
      <w:pPr>
        <w:ind w:left="1440" w:hanging="360"/>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3931A04"/>
    <w:multiLevelType w:val="multilevel"/>
    <w:tmpl w:val="5AAE213A"/>
    <w:lvl w:ilvl="0">
      <w:start w:val="1"/>
      <w:numFmt w:val="bullet"/>
      <w:lvlText w:val=""/>
      <w:lvlJc w:val="left"/>
      <w:pPr>
        <w:ind w:left="720" w:hanging="360"/>
      </w:pPr>
      <w:rPr>
        <w:rFonts w:ascii="Wingdings" w:hAnsi="Wingdings" w:hint="default"/>
        <w:color w:val="auto"/>
      </w:rPr>
    </w:lvl>
    <w:lvl w:ilvl="1">
      <w:start w:val="1"/>
      <w:numFmt w:val="bullet"/>
      <w:lvlText w:val="-"/>
      <w:lvlJc w:val="left"/>
      <w:pPr>
        <w:ind w:left="1440" w:hanging="360"/>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5FE5732"/>
    <w:multiLevelType w:val="hybridMultilevel"/>
    <w:tmpl w:val="AA4E12A0"/>
    <w:lvl w:ilvl="0" w:tplc="9E0E1CCE">
      <w:start w:val="1"/>
      <w:numFmt w:val="bullet"/>
      <w:lvlText w:val=""/>
      <w:lvlJc w:val="left"/>
      <w:pPr>
        <w:ind w:left="720" w:hanging="360"/>
      </w:pPr>
      <w:rPr>
        <w:rFonts w:ascii="Wingdings" w:hAnsi="Wingdings" w:hint="default"/>
      </w:rPr>
    </w:lvl>
    <w:lvl w:ilvl="1" w:tplc="8A5ED4AA" w:tentative="1">
      <w:start w:val="1"/>
      <w:numFmt w:val="bullet"/>
      <w:lvlText w:val="o"/>
      <w:lvlJc w:val="left"/>
      <w:pPr>
        <w:ind w:left="1440" w:hanging="360"/>
      </w:pPr>
      <w:rPr>
        <w:rFonts w:ascii="Courier New" w:hAnsi="Courier New" w:cs="Courier New" w:hint="default"/>
      </w:rPr>
    </w:lvl>
    <w:lvl w:ilvl="2" w:tplc="2B12C980" w:tentative="1">
      <w:start w:val="1"/>
      <w:numFmt w:val="bullet"/>
      <w:lvlText w:val=""/>
      <w:lvlJc w:val="left"/>
      <w:pPr>
        <w:ind w:left="2160" w:hanging="360"/>
      </w:pPr>
      <w:rPr>
        <w:rFonts w:ascii="Wingdings" w:hAnsi="Wingdings" w:hint="default"/>
      </w:rPr>
    </w:lvl>
    <w:lvl w:ilvl="3" w:tplc="A67EA746" w:tentative="1">
      <w:start w:val="1"/>
      <w:numFmt w:val="bullet"/>
      <w:lvlText w:val=""/>
      <w:lvlJc w:val="left"/>
      <w:pPr>
        <w:ind w:left="2880" w:hanging="360"/>
      </w:pPr>
      <w:rPr>
        <w:rFonts w:ascii="Symbol" w:hAnsi="Symbol" w:hint="default"/>
      </w:rPr>
    </w:lvl>
    <w:lvl w:ilvl="4" w:tplc="B39E2EEE" w:tentative="1">
      <w:start w:val="1"/>
      <w:numFmt w:val="bullet"/>
      <w:lvlText w:val="o"/>
      <w:lvlJc w:val="left"/>
      <w:pPr>
        <w:ind w:left="3600" w:hanging="360"/>
      </w:pPr>
      <w:rPr>
        <w:rFonts w:ascii="Courier New" w:hAnsi="Courier New" w:cs="Courier New" w:hint="default"/>
      </w:rPr>
    </w:lvl>
    <w:lvl w:ilvl="5" w:tplc="B3FA109A" w:tentative="1">
      <w:start w:val="1"/>
      <w:numFmt w:val="bullet"/>
      <w:lvlText w:val=""/>
      <w:lvlJc w:val="left"/>
      <w:pPr>
        <w:ind w:left="4320" w:hanging="360"/>
      </w:pPr>
      <w:rPr>
        <w:rFonts w:ascii="Wingdings" w:hAnsi="Wingdings" w:hint="default"/>
      </w:rPr>
    </w:lvl>
    <w:lvl w:ilvl="6" w:tplc="691AA842" w:tentative="1">
      <w:start w:val="1"/>
      <w:numFmt w:val="bullet"/>
      <w:lvlText w:val=""/>
      <w:lvlJc w:val="left"/>
      <w:pPr>
        <w:ind w:left="5040" w:hanging="360"/>
      </w:pPr>
      <w:rPr>
        <w:rFonts w:ascii="Symbol" w:hAnsi="Symbol" w:hint="default"/>
      </w:rPr>
    </w:lvl>
    <w:lvl w:ilvl="7" w:tplc="999C7F16" w:tentative="1">
      <w:start w:val="1"/>
      <w:numFmt w:val="bullet"/>
      <w:lvlText w:val="o"/>
      <w:lvlJc w:val="left"/>
      <w:pPr>
        <w:ind w:left="5760" w:hanging="360"/>
      </w:pPr>
      <w:rPr>
        <w:rFonts w:ascii="Courier New" w:hAnsi="Courier New" w:cs="Courier New" w:hint="default"/>
      </w:rPr>
    </w:lvl>
    <w:lvl w:ilvl="8" w:tplc="0F5EF590" w:tentative="1">
      <w:start w:val="1"/>
      <w:numFmt w:val="bullet"/>
      <w:lvlText w:val=""/>
      <w:lvlJc w:val="left"/>
      <w:pPr>
        <w:ind w:left="6480" w:hanging="360"/>
      </w:pPr>
      <w:rPr>
        <w:rFonts w:ascii="Wingdings" w:hAnsi="Wingdings" w:hint="default"/>
      </w:rPr>
    </w:lvl>
  </w:abstractNum>
  <w:abstractNum w:abstractNumId="27">
    <w:nsid w:val="4E2112AE"/>
    <w:multiLevelType w:val="multilevel"/>
    <w:tmpl w:val="5AAE213A"/>
    <w:lvl w:ilvl="0">
      <w:start w:val="1"/>
      <w:numFmt w:val="bullet"/>
      <w:lvlText w:val=""/>
      <w:lvlJc w:val="left"/>
      <w:pPr>
        <w:ind w:left="720" w:hanging="360"/>
      </w:pPr>
      <w:rPr>
        <w:rFonts w:ascii="Wingdings" w:hAnsi="Wingdings" w:hint="default"/>
        <w:color w:val="auto"/>
      </w:rPr>
    </w:lvl>
    <w:lvl w:ilvl="1">
      <w:start w:val="1"/>
      <w:numFmt w:val="bullet"/>
      <w:lvlText w:val="-"/>
      <w:lvlJc w:val="left"/>
      <w:pPr>
        <w:ind w:left="1440" w:hanging="360"/>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0D07551"/>
    <w:multiLevelType w:val="multilevel"/>
    <w:tmpl w:val="8806F456"/>
    <w:styleLink w:val="Tender"/>
    <w:lvl w:ilvl="0">
      <w:start w:val="1"/>
      <w:numFmt w:val="bullet"/>
      <w:pStyle w:val="ListParagraph"/>
      <w:lvlText w:val=""/>
      <w:lvlJc w:val="left"/>
      <w:pPr>
        <w:ind w:left="284" w:hanging="284"/>
      </w:pPr>
      <w:rPr>
        <w:rFonts w:ascii="Wingdings" w:hAnsi="Wingdings"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29">
    <w:nsid w:val="595727AB"/>
    <w:multiLevelType w:val="multilevel"/>
    <w:tmpl w:val="8806F456"/>
    <w:numStyleLink w:val="Tender"/>
  </w:abstractNum>
  <w:abstractNum w:abstractNumId="30">
    <w:nsid w:val="5AB0681A"/>
    <w:multiLevelType w:val="multilevel"/>
    <w:tmpl w:val="A0567648"/>
    <w:name w:val="Legal"/>
    <w:lvl w:ilvl="0">
      <w:start w:val="1"/>
      <w:numFmt w:val="decimal"/>
      <w:pStyle w:val="Level1Legal"/>
      <w:lvlText w:val="%1"/>
      <w:lvlJc w:val="left"/>
      <w:pPr>
        <w:tabs>
          <w:tab w:val="num" w:pos="720"/>
        </w:tabs>
        <w:ind w:left="720" w:hanging="720"/>
      </w:pPr>
      <w:rPr>
        <w:b w:val="0"/>
        <w:sz w:val="24"/>
        <w:szCs w:val="24"/>
      </w:rPr>
    </w:lvl>
    <w:lvl w:ilvl="1">
      <w:start w:val="1"/>
      <w:numFmt w:val="decimal"/>
      <w:pStyle w:val="Level2Legal"/>
      <w:lvlText w:val="%1.%2"/>
      <w:lvlJc w:val="left"/>
      <w:pPr>
        <w:tabs>
          <w:tab w:val="num" w:pos="720"/>
        </w:tabs>
        <w:ind w:left="720" w:hanging="720"/>
      </w:pPr>
      <w:rPr>
        <w:b w:val="0"/>
        <w:sz w:val="21"/>
        <w:szCs w:val="21"/>
      </w:rPr>
    </w:lvl>
    <w:lvl w:ilvl="2">
      <w:start w:val="1"/>
      <w:numFmt w:val="lowerLetter"/>
      <w:pStyle w:val="Level3Legal"/>
      <w:lvlText w:val="(%3)"/>
      <w:lvlJc w:val="left"/>
      <w:pPr>
        <w:tabs>
          <w:tab w:val="num" w:pos="1440"/>
        </w:tabs>
        <w:ind w:left="1440" w:hanging="720"/>
      </w:pPr>
      <w:rPr>
        <w:b w:val="0"/>
        <w:sz w:val="21"/>
      </w:rPr>
    </w:lvl>
    <w:lvl w:ilvl="3">
      <w:start w:val="1"/>
      <w:numFmt w:val="lowerRoman"/>
      <w:pStyle w:val="Level4Legal"/>
      <w:lvlText w:val="(%4)"/>
      <w:lvlJc w:val="left"/>
      <w:pPr>
        <w:tabs>
          <w:tab w:val="num" w:pos="2160"/>
        </w:tabs>
        <w:ind w:left="2160" w:hanging="720"/>
      </w:pPr>
      <w:rPr>
        <w:b w:val="0"/>
        <w:sz w:val="21"/>
      </w:rPr>
    </w:lvl>
    <w:lvl w:ilvl="4">
      <w:start w:val="1"/>
      <w:numFmt w:val="upperLetter"/>
      <w:pStyle w:val="Level5Legal"/>
      <w:lvlText w:val="(%5)"/>
      <w:lvlJc w:val="left"/>
      <w:pPr>
        <w:tabs>
          <w:tab w:val="num" w:pos="2880"/>
        </w:tabs>
        <w:ind w:left="2880" w:hanging="720"/>
      </w:pPr>
      <w:rPr>
        <w:b w:val="0"/>
        <w:sz w:val="2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AC02F94"/>
    <w:multiLevelType w:val="multilevel"/>
    <w:tmpl w:val="8806F456"/>
    <w:numStyleLink w:val="Tender"/>
  </w:abstractNum>
  <w:abstractNum w:abstractNumId="32">
    <w:nsid w:val="64611B3D"/>
    <w:multiLevelType w:val="multilevel"/>
    <w:tmpl w:val="F76A4A0C"/>
    <w:name w:val="List"/>
    <w:lvl w:ilvl="0">
      <w:start w:val="1"/>
      <w:numFmt w:val="decimal"/>
      <w:pStyle w:val="Level1List"/>
      <w:lvlText w:val="%1."/>
      <w:lvlJc w:val="left"/>
      <w:pPr>
        <w:tabs>
          <w:tab w:val="num" w:pos="720"/>
        </w:tabs>
        <w:ind w:left="720" w:hanging="720"/>
      </w:pPr>
      <w:rPr>
        <w:b w:val="0"/>
        <w:sz w:val="21"/>
      </w:rPr>
    </w:lvl>
    <w:lvl w:ilvl="1">
      <w:start w:val="1"/>
      <w:numFmt w:val="lowerLetter"/>
      <w:pStyle w:val="Level2List"/>
      <w:lvlText w:val="(%2)"/>
      <w:lvlJc w:val="left"/>
      <w:pPr>
        <w:tabs>
          <w:tab w:val="num" w:pos="1440"/>
        </w:tabs>
        <w:ind w:left="1440" w:hanging="720"/>
      </w:pPr>
      <w:rPr>
        <w:b w:val="0"/>
        <w:sz w:val="21"/>
      </w:rPr>
    </w:lvl>
    <w:lvl w:ilvl="2">
      <w:start w:val="1"/>
      <w:numFmt w:val="lowerRoman"/>
      <w:pStyle w:val="Level3List"/>
      <w:lvlText w:val="(%3)"/>
      <w:lvlJc w:val="left"/>
      <w:pPr>
        <w:tabs>
          <w:tab w:val="num" w:pos="2160"/>
        </w:tabs>
        <w:ind w:left="2160" w:hanging="720"/>
      </w:pPr>
      <w:rPr>
        <w:b w:val="0"/>
        <w:sz w:val="21"/>
      </w:rPr>
    </w:lvl>
    <w:lvl w:ilvl="3">
      <w:start w:val="1"/>
      <w:numFmt w:val="upperLetter"/>
      <w:pStyle w:val="Level4List"/>
      <w:lvlText w:val="(%4)"/>
      <w:lvlJc w:val="left"/>
      <w:pPr>
        <w:tabs>
          <w:tab w:val="num" w:pos="2880"/>
        </w:tabs>
        <w:ind w:left="2880" w:hanging="720"/>
      </w:pPr>
      <w:rPr>
        <w:b w:val="0"/>
        <w:sz w:val="20"/>
      </w:rPr>
    </w:lvl>
    <w:lvl w:ilvl="4">
      <w:start w:val="1"/>
      <w:numFmt w:val="decimal"/>
      <w:pStyle w:val="Level5List"/>
      <w:lvlText w:val="(%5)"/>
      <w:lvlJc w:val="left"/>
      <w:pPr>
        <w:tabs>
          <w:tab w:val="num" w:pos="3600"/>
        </w:tabs>
        <w:ind w:left="3600" w:hanging="720"/>
      </w:pPr>
      <w:rPr>
        <w:b w:val="0"/>
        <w:sz w:val="2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5221E31"/>
    <w:multiLevelType w:val="singleLevel"/>
    <w:tmpl w:val="00000000"/>
    <w:lvl w:ilvl="0">
      <w:start w:val="1"/>
      <w:numFmt w:val="bullet"/>
      <w:lvlText w:val="·"/>
      <w:legacy w:legacy="1" w:legacySpace="120" w:legacyIndent="360"/>
      <w:lvlJc w:val="left"/>
      <w:pPr>
        <w:ind w:left="360" w:hanging="360"/>
      </w:pPr>
      <w:rPr>
        <w:rFonts w:ascii="Symbol" w:hAnsi="Symbol" w:hint="default"/>
      </w:rPr>
    </w:lvl>
  </w:abstractNum>
  <w:abstractNum w:abstractNumId="34">
    <w:nsid w:val="6B555A37"/>
    <w:multiLevelType w:val="multilevel"/>
    <w:tmpl w:val="5AAE213A"/>
    <w:lvl w:ilvl="0">
      <w:start w:val="1"/>
      <w:numFmt w:val="bullet"/>
      <w:lvlText w:val=""/>
      <w:lvlJc w:val="left"/>
      <w:pPr>
        <w:ind w:left="720" w:hanging="360"/>
      </w:pPr>
      <w:rPr>
        <w:rFonts w:ascii="Wingdings" w:hAnsi="Wingdings" w:hint="default"/>
        <w:color w:val="auto"/>
      </w:rPr>
    </w:lvl>
    <w:lvl w:ilvl="1">
      <w:start w:val="1"/>
      <w:numFmt w:val="bullet"/>
      <w:lvlText w:val="-"/>
      <w:lvlJc w:val="left"/>
      <w:pPr>
        <w:ind w:left="1440" w:hanging="360"/>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DBF0970"/>
    <w:multiLevelType w:val="multilevel"/>
    <w:tmpl w:val="5AAE213A"/>
    <w:lvl w:ilvl="0">
      <w:start w:val="1"/>
      <w:numFmt w:val="bullet"/>
      <w:lvlText w:val=""/>
      <w:lvlJc w:val="left"/>
      <w:pPr>
        <w:ind w:left="720" w:hanging="360"/>
      </w:pPr>
      <w:rPr>
        <w:rFonts w:ascii="Wingdings" w:hAnsi="Wingdings" w:hint="default"/>
        <w:color w:val="auto"/>
      </w:rPr>
    </w:lvl>
    <w:lvl w:ilvl="1">
      <w:start w:val="1"/>
      <w:numFmt w:val="bullet"/>
      <w:lvlText w:val="-"/>
      <w:lvlJc w:val="left"/>
      <w:pPr>
        <w:ind w:left="1440" w:hanging="360"/>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F9B4D64"/>
    <w:multiLevelType w:val="multilevel"/>
    <w:tmpl w:val="7DC0BDAC"/>
    <w:name w:val="Advices"/>
    <w:lvl w:ilvl="0">
      <w:start w:val="1"/>
      <w:numFmt w:val="upperLetter"/>
      <w:pStyle w:val="AdvicesA"/>
      <w:lvlText w:val="%1"/>
      <w:lvlJc w:val="left"/>
      <w:pPr>
        <w:tabs>
          <w:tab w:val="num" w:pos="720"/>
        </w:tabs>
        <w:ind w:left="720" w:hanging="720"/>
      </w:pPr>
      <w:rPr>
        <w:b/>
        <w:sz w:val="21"/>
      </w:rPr>
    </w:lvl>
    <w:lvl w:ilvl="1">
      <w:start w:val="1"/>
      <w:numFmt w:val="lowerLetter"/>
      <w:pStyle w:val="Advicesa0"/>
      <w:lvlText w:val="(%2)"/>
      <w:lvlJc w:val="left"/>
      <w:pPr>
        <w:tabs>
          <w:tab w:val="num" w:pos="720"/>
        </w:tabs>
        <w:ind w:left="720" w:hanging="720"/>
      </w:pPr>
      <w:rPr>
        <w:b/>
        <w:sz w:val="21"/>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8024360"/>
    <w:multiLevelType w:val="multilevel"/>
    <w:tmpl w:val="8806F456"/>
    <w:numStyleLink w:val="Tender"/>
  </w:abstractNum>
  <w:abstractNum w:abstractNumId="38">
    <w:nsid w:val="78691B50"/>
    <w:multiLevelType w:val="multilevel"/>
    <w:tmpl w:val="8806F456"/>
    <w:numStyleLink w:val="Tender"/>
  </w:abstractNum>
  <w:abstractNum w:abstractNumId="39">
    <w:nsid w:val="7C971009"/>
    <w:multiLevelType w:val="multilevel"/>
    <w:tmpl w:val="8806F456"/>
    <w:numStyleLink w:val="Tender"/>
  </w:abstractNum>
  <w:num w:numId="1">
    <w:abstractNumId w:val="9"/>
  </w:num>
  <w:num w:numId="2">
    <w:abstractNumId w:val="9"/>
  </w:num>
  <w:num w:numId="3">
    <w:abstractNumId w:val="20"/>
  </w:num>
  <w:num w:numId="4">
    <w:abstractNumId w:val="20"/>
  </w:num>
  <w:num w:numId="5">
    <w:abstractNumId w:val="30"/>
  </w:num>
  <w:num w:numId="6">
    <w:abstractNumId w:val="22"/>
  </w:num>
  <w:num w:numId="7">
    <w:abstractNumId w:val="32"/>
  </w:num>
  <w:num w:numId="8">
    <w:abstractNumId w:val="12"/>
  </w:num>
  <w:num w:numId="9">
    <w:abstractNumId w:val="15"/>
  </w:num>
  <w:num w:numId="10">
    <w:abstractNumId w:val="36"/>
  </w:num>
  <w:num w:numId="11">
    <w:abstractNumId w:val="14"/>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6"/>
  </w:num>
  <w:num w:numId="22">
    <w:abstractNumId w:val="27"/>
  </w:num>
  <w:num w:numId="23">
    <w:abstractNumId w:val="10"/>
  </w:num>
  <w:num w:numId="24">
    <w:abstractNumId w:val="24"/>
  </w:num>
  <w:num w:numId="25">
    <w:abstractNumId w:val="25"/>
  </w:num>
  <w:num w:numId="26">
    <w:abstractNumId w:val="28"/>
  </w:num>
  <w:num w:numId="27">
    <w:abstractNumId w:val="29"/>
  </w:num>
  <w:num w:numId="28">
    <w:abstractNumId w:val="38"/>
  </w:num>
  <w:num w:numId="29">
    <w:abstractNumId w:val="39"/>
  </w:num>
  <w:num w:numId="30">
    <w:abstractNumId w:val="21"/>
  </w:num>
  <w:num w:numId="31">
    <w:abstractNumId w:val="18"/>
  </w:num>
  <w:num w:numId="32">
    <w:abstractNumId w:val="19"/>
  </w:num>
  <w:num w:numId="33">
    <w:abstractNumId w:val="31"/>
  </w:num>
  <w:num w:numId="34">
    <w:abstractNumId w:val="23"/>
  </w:num>
  <w:num w:numId="35">
    <w:abstractNumId w:val="35"/>
  </w:num>
  <w:num w:numId="36">
    <w:abstractNumId w:val="37"/>
  </w:num>
  <w:num w:numId="37">
    <w:abstractNumId w:val="34"/>
  </w:num>
  <w:num w:numId="38">
    <w:abstractNumId w:val="17"/>
  </w:num>
  <w:num w:numId="39">
    <w:abstractNumId w:val="11"/>
  </w:num>
  <w:num w:numId="40">
    <w:abstractNumId w:val="16"/>
  </w:num>
  <w:num w:numId="41">
    <w:abstractNumId w:val="13"/>
  </w:num>
  <w:num w:numId="42">
    <w:abstractNumId w:val="33"/>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suppressSpBfAfterPgBrk/>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UserTemplatesPath" w:val="c:\\templates\\hdy docs\\"/>
  </w:docVars>
  <w:rsids>
    <w:rsidRoot w:val="00D27E45"/>
    <w:rsid w:val="000010D4"/>
    <w:rsid w:val="000019A2"/>
    <w:rsid w:val="0000285A"/>
    <w:rsid w:val="00002899"/>
    <w:rsid w:val="00002D27"/>
    <w:rsid w:val="00003F1B"/>
    <w:rsid w:val="00004E38"/>
    <w:rsid w:val="00005F3B"/>
    <w:rsid w:val="00022265"/>
    <w:rsid w:val="00026319"/>
    <w:rsid w:val="00027F4C"/>
    <w:rsid w:val="00030626"/>
    <w:rsid w:val="00040C1B"/>
    <w:rsid w:val="000444EB"/>
    <w:rsid w:val="0004509E"/>
    <w:rsid w:val="00047162"/>
    <w:rsid w:val="00051835"/>
    <w:rsid w:val="00052F2B"/>
    <w:rsid w:val="000644F0"/>
    <w:rsid w:val="00064804"/>
    <w:rsid w:val="000659A0"/>
    <w:rsid w:val="000674BA"/>
    <w:rsid w:val="00067D16"/>
    <w:rsid w:val="00070609"/>
    <w:rsid w:val="00074D55"/>
    <w:rsid w:val="00075A18"/>
    <w:rsid w:val="00082AAD"/>
    <w:rsid w:val="00082C7B"/>
    <w:rsid w:val="000846FD"/>
    <w:rsid w:val="00087723"/>
    <w:rsid w:val="0009242E"/>
    <w:rsid w:val="00093C06"/>
    <w:rsid w:val="000953B2"/>
    <w:rsid w:val="000974A9"/>
    <w:rsid w:val="000A0582"/>
    <w:rsid w:val="000A445F"/>
    <w:rsid w:val="000A4AC2"/>
    <w:rsid w:val="000A7314"/>
    <w:rsid w:val="000B240E"/>
    <w:rsid w:val="000B46E3"/>
    <w:rsid w:val="000B7117"/>
    <w:rsid w:val="000C1CB2"/>
    <w:rsid w:val="000C1FD9"/>
    <w:rsid w:val="000C3332"/>
    <w:rsid w:val="000C39C8"/>
    <w:rsid w:val="000C40C6"/>
    <w:rsid w:val="000C72A6"/>
    <w:rsid w:val="000D040E"/>
    <w:rsid w:val="000D1BD6"/>
    <w:rsid w:val="000D36D6"/>
    <w:rsid w:val="000D5DD1"/>
    <w:rsid w:val="000D5F98"/>
    <w:rsid w:val="000E00B2"/>
    <w:rsid w:val="000E1771"/>
    <w:rsid w:val="000E282D"/>
    <w:rsid w:val="000E536B"/>
    <w:rsid w:val="000F64A0"/>
    <w:rsid w:val="0010105E"/>
    <w:rsid w:val="0010124A"/>
    <w:rsid w:val="00105155"/>
    <w:rsid w:val="0010795C"/>
    <w:rsid w:val="00113515"/>
    <w:rsid w:val="00113B36"/>
    <w:rsid w:val="00113C6C"/>
    <w:rsid w:val="00124D47"/>
    <w:rsid w:val="0013101E"/>
    <w:rsid w:val="0014041B"/>
    <w:rsid w:val="001417C4"/>
    <w:rsid w:val="001418D1"/>
    <w:rsid w:val="00141BFE"/>
    <w:rsid w:val="00145725"/>
    <w:rsid w:val="00151733"/>
    <w:rsid w:val="00151873"/>
    <w:rsid w:val="00152B19"/>
    <w:rsid w:val="001578A0"/>
    <w:rsid w:val="001627CA"/>
    <w:rsid w:val="00162E0B"/>
    <w:rsid w:val="001654A1"/>
    <w:rsid w:val="00170E03"/>
    <w:rsid w:val="00171B5C"/>
    <w:rsid w:val="001722C2"/>
    <w:rsid w:val="001740BD"/>
    <w:rsid w:val="001762F9"/>
    <w:rsid w:val="001805E7"/>
    <w:rsid w:val="0018666C"/>
    <w:rsid w:val="001932A7"/>
    <w:rsid w:val="00194F98"/>
    <w:rsid w:val="00195D09"/>
    <w:rsid w:val="00195FC7"/>
    <w:rsid w:val="0019608B"/>
    <w:rsid w:val="00196F7A"/>
    <w:rsid w:val="00197229"/>
    <w:rsid w:val="001A0ACF"/>
    <w:rsid w:val="001A110E"/>
    <w:rsid w:val="001A2520"/>
    <w:rsid w:val="001A3EE9"/>
    <w:rsid w:val="001A669C"/>
    <w:rsid w:val="001A7B0C"/>
    <w:rsid w:val="001B063C"/>
    <w:rsid w:val="001B3BF8"/>
    <w:rsid w:val="001B3CBE"/>
    <w:rsid w:val="001C0089"/>
    <w:rsid w:val="001C16AB"/>
    <w:rsid w:val="001C35C8"/>
    <w:rsid w:val="001C54AF"/>
    <w:rsid w:val="001D0258"/>
    <w:rsid w:val="001D15B2"/>
    <w:rsid w:val="001D510A"/>
    <w:rsid w:val="001E0851"/>
    <w:rsid w:val="001E0C2B"/>
    <w:rsid w:val="001E0F2F"/>
    <w:rsid w:val="001E154E"/>
    <w:rsid w:val="001E2475"/>
    <w:rsid w:val="001E2889"/>
    <w:rsid w:val="001E3D07"/>
    <w:rsid w:val="001E5C2B"/>
    <w:rsid w:val="001E6946"/>
    <w:rsid w:val="001E7593"/>
    <w:rsid w:val="001F54E5"/>
    <w:rsid w:val="001F58DD"/>
    <w:rsid w:val="002014AE"/>
    <w:rsid w:val="00201E03"/>
    <w:rsid w:val="00212597"/>
    <w:rsid w:val="00213509"/>
    <w:rsid w:val="00215418"/>
    <w:rsid w:val="00216618"/>
    <w:rsid w:val="00217FBE"/>
    <w:rsid w:val="0022335A"/>
    <w:rsid w:val="0022497A"/>
    <w:rsid w:val="00225A16"/>
    <w:rsid w:val="002279B5"/>
    <w:rsid w:val="0023188F"/>
    <w:rsid w:val="00240603"/>
    <w:rsid w:val="00246721"/>
    <w:rsid w:val="00254111"/>
    <w:rsid w:val="002541CD"/>
    <w:rsid w:val="00256597"/>
    <w:rsid w:val="00256D27"/>
    <w:rsid w:val="00261035"/>
    <w:rsid w:val="0026357D"/>
    <w:rsid w:val="002648FF"/>
    <w:rsid w:val="00267B30"/>
    <w:rsid w:val="00271B87"/>
    <w:rsid w:val="00272F91"/>
    <w:rsid w:val="00273329"/>
    <w:rsid w:val="00273CB0"/>
    <w:rsid w:val="00273E25"/>
    <w:rsid w:val="00276E27"/>
    <w:rsid w:val="00280737"/>
    <w:rsid w:val="002836F9"/>
    <w:rsid w:val="00283A97"/>
    <w:rsid w:val="00293F2D"/>
    <w:rsid w:val="002A4153"/>
    <w:rsid w:val="002A625E"/>
    <w:rsid w:val="002B2372"/>
    <w:rsid w:val="002B37C3"/>
    <w:rsid w:val="002B427C"/>
    <w:rsid w:val="002B46F7"/>
    <w:rsid w:val="002B5B2E"/>
    <w:rsid w:val="002B700F"/>
    <w:rsid w:val="002C43D6"/>
    <w:rsid w:val="002C5947"/>
    <w:rsid w:val="002D39C3"/>
    <w:rsid w:val="002D3AC7"/>
    <w:rsid w:val="002D7079"/>
    <w:rsid w:val="002E156E"/>
    <w:rsid w:val="002E3923"/>
    <w:rsid w:val="002E416E"/>
    <w:rsid w:val="002F2A2C"/>
    <w:rsid w:val="00310264"/>
    <w:rsid w:val="0031174A"/>
    <w:rsid w:val="0032208A"/>
    <w:rsid w:val="00322DC3"/>
    <w:rsid w:val="00326677"/>
    <w:rsid w:val="00332FE7"/>
    <w:rsid w:val="00333CD7"/>
    <w:rsid w:val="0033409A"/>
    <w:rsid w:val="0033790A"/>
    <w:rsid w:val="00345FEE"/>
    <w:rsid w:val="00346E63"/>
    <w:rsid w:val="00351E82"/>
    <w:rsid w:val="00357F74"/>
    <w:rsid w:val="0036267A"/>
    <w:rsid w:val="00382C91"/>
    <w:rsid w:val="00384067"/>
    <w:rsid w:val="00390080"/>
    <w:rsid w:val="0039757D"/>
    <w:rsid w:val="003A0126"/>
    <w:rsid w:val="003A7340"/>
    <w:rsid w:val="003B3F18"/>
    <w:rsid w:val="003B60D6"/>
    <w:rsid w:val="003B66BA"/>
    <w:rsid w:val="003B79DB"/>
    <w:rsid w:val="003C0619"/>
    <w:rsid w:val="003C26AA"/>
    <w:rsid w:val="003C45D2"/>
    <w:rsid w:val="003C6028"/>
    <w:rsid w:val="003D1095"/>
    <w:rsid w:val="003D13F0"/>
    <w:rsid w:val="003D2E88"/>
    <w:rsid w:val="003D6EEB"/>
    <w:rsid w:val="003E48B3"/>
    <w:rsid w:val="003F0676"/>
    <w:rsid w:val="003F1648"/>
    <w:rsid w:val="003F6B18"/>
    <w:rsid w:val="003F7775"/>
    <w:rsid w:val="00400D22"/>
    <w:rsid w:val="0040131B"/>
    <w:rsid w:val="00402AF1"/>
    <w:rsid w:val="00404429"/>
    <w:rsid w:val="00404C65"/>
    <w:rsid w:val="00405281"/>
    <w:rsid w:val="00405283"/>
    <w:rsid w:val="00406F2B"/>
    <w:rsid w:val="00412B76"/>
    <w:rsid w:val="00412CC6"/>
    <w:rsid w:val="004134C6"/>
    <w:rsid w:val="00413507"/>
    <w:rsid w:val="00413D29"/>
    <w:rsid w:val="00414839"/>
    <w:rsid w:val="0041565A"/>
    <w:rsid w:val="00421AB1"/>
    <w:rsid w:val="004352C3"/>
    <w:rsid w:val="004379D1"/>
    <w:rsid w:val="004438E3"/>
    <w:rsid w:val="00443E23"/>
    <w:rsid w:val="00452DC7"/>
    <w:rsid w:val="0046264D"/>
    <w:rsid w:val="0046766A"/>
    <w:rsid w:val="00474AC5"/>
    <w:rsid w:val="00475214"/>
    <w:rsid w:val="00484EBC"/>
    <w:rsid w:val="00491276"/>
    <w:rsid w:val="004938F6"/>
    <w:rsid w:val="00493F9F"/>
    <w:rsid w:val="004A0C0C"/>
    <w:rsid w:val="004A2287"/>
    <w:rsid w:val="004A3395"/>
    <w:rsid w:val="004B28D2"/>
    <w:rsid w:val="004B6821"/>
    <w:rsid w:val="004C1148"/>
    <w:rsid w:val="004C22A5"/>
    <w:rsid w:val="004D105D"/>
    <w:rsid w:val="004D32B6"/>
    <w:rsid w:val="004D35C5"/>
    <w:rsid w:val="004D56B6"/>
    <w:rsid w:val="004E5F42"/>
    <w:rsid w:val="004F06D1"/>
    <w:rsid w:val="004F32AC"/>
    <w:rsid w:val="004F4DC7"/>
    <w:rsid w:val="004F57A0"/>
    <w:rsid w:val="004F79B9"/>
    <w:rsid w:val="00500C50"/>
    <w:rsid w:val="00503421"/>
    <w:rsid w:val="00504796"/>
    <w:rsid w:val="00505CFB"/>
    <w:rsid w:val="0050691D"/>
    <w:rsid w:val="00507CF6"/>
    <w:rsid w:val="0051288E"/>
    <w:rsid w:val="005132BA"/>
    <w:rsid w:val="00513E84"/>
    <w:rsid w:val="00515F65"/>
    <w:rsid w:val="005171C8"/>
    <w:rsid w:val="0051796C"/>
    <w:rsid w:val="00520EFF"/>
    <w:rsid w:val="00521431"/>
    <w:rsid w:val="00531427"/>
    <w:rsid w:val="00533CFB"/>
    <w:rsid w:val="0053456D"/>
    <w:rsid w:val="00536791"/>
    <w:rsid w:val="0054203C"/>
    <w:rsid w:val="005460FC"/>
    <w:rsid w:val="005519B5"/>
    <w:rsid w:val="00553999"/>
    <w:rsid w:val="00555BF7"/>
    <w:rsid w:val="005562FB"/>
    <w:rsid w:val="00561DB2"/>
    <w:rsid w:val="0056341E"/>
    <w:rsid w:val="005658FE"/>
    <w:rsid w:val="00571B8C"/>
    <w:rsid w:val="00572B06"/>
    <w:rsid w:val="005731CA"/>
    <w:rsid w:val="005827A2"/>
    <w:rsid w:val="005849A7"/>
    <w:rsid w:val="00595AC5"/>
    <w:rsid w:val="0059688C"/>
    <w:rsid w:val="00596B17"/>
    <w:rsid w:val="00596CF3"/>
    <w:rsid w:val="005A2E89"/>
    <w:rsid w:val="005A3752"/>
    <w:rsid w:val="005A398A"/>
    <w:rsid w:val="005A7F01"/>
    <w:rsid w:val="005B2838"/>
    <w:rsid w:val="005B3026"/>
    <w:rsid w:val="005B6B17"/>
    <w:rsid w:val="005C108A"/>
    <w:rsid w:val="005C3F3C"/>
    <w:rsid w:val="005C6FD1"/>
    <w:rsid w:val="005D5BE4"/>
    <w:rsid w:val="005E5D72"/>
    <w:rsid w:val="005F0933"/>
    <w:rsid w:val="005F717F"/>
    <w:rsid w:val="006017D0"/>
    <w:rsid w:val="00601E9E"/>
    <w:rsid w:val="006034BA"/>
    <w:rsid w:val="00607997"/>
    <w:rsid w:val="00610214"/>
    <w:rsid w:val="00610F68"/>
    <w:rsid w:val="00611848"/>
    <w:rsid w:val="00613735"/>
    <w:rsid w:val="00614D11"/>
    <w:rsid w:val="00616B40"/>
    <w:rsid w:val="0062091E"/>
    <w:rsid w:val="0062387D"/>
    <w:rsid w:val="0062647D"/>
    <w:rsid w:val="0063532A"/>
    <w:rsid w:val="006404FB"/>
    <w:rsid w:val="00642504"/>
    <w:rsid w:val="00642D6B"/>
    <w:rsid w:val="00650465"/>
    <w:rsid w:val="00650F21"/>
    <w:rsid w:val="00651287"/>
    <w:rsid w:val="0065520C"/>
    <w:rsid w:val="00662E5D"/>
    <w:rsid w:val="0066320E"/>
    <w:rsid w:val="00663C0E"/>
    <w:rsid w:val="006660BC"/>
    <w:rsid w:val="00667FAC"/>
    <w:rsid w:val="0067115F"/>
    <w:rsid w:val="006716A0"/>
    <w:rsid w:val="00672E7D"/>
    <w:rsid w:val="00673087"/>
    <w:rsid w:val="00683D63"/>
    <w:rsid w:val="0068430E"/>
    <w:rsid w:val="0069042F"/>
    <w:rsid w:val="0069098B"/>
    <w:rsid w:val="00692F94"/>
    <w:rsid w:val="00693C44"/>
    <w:rsid w:val="0069479A"/>
    <w:rsid w:val="00694C3B"/>
    <w:rsid w:val="006A0D4E"/>
    <w:rsid w:val="006A1F70"/>
    <w:rsid w:val="006A3AEB"/>
    <w:rsid w:val="006A3F18"/>
    <w:rsid w:val="006A6345"/>
    <w:rsid w:val="006A6495"/>
    <w:rsid w:val="006A73F9"/>
    <w:rsid w:val="006A783A"/>
    <w:rsid w:val="006B0542"/>
    <w:rsid w:val="006B069F"/>
    <w:rsid w:val="006B25FB"/>
    <w:rsid w:val="006B5C0C"/>
    <w:rsid w:val="006B66DB"/>
    <w:rsid w:val="006C712C"/>
    <w:rsid w:val="006C7DA9"/>
    <w:rsid w:val="006D5D5C"/>
    <w:rsid w:val="006E1F4B"/>
    <w:rsid w:val="006E3E3B"/>
    <w:rsid w:val="006E7D93"/>
    <w:rsid w:val="006F0D29"/>
    <w:rsid w:val="006F2F50"/>
    <w:rsid w:val="006F773A"/>
    <w:rsid w:val="00701C37"/>
    <w:rsid w:val="00710EBD"/>
    <w:rsid w:val="00711BD7"/>
    <w:rsid w:val="00713E82"/>
    <w:rsid w:val="007174E1"/>
    <w:rsid w:val="00717571"/>
    <w:rsid w:val="0072786F"/>
    <w:rsid w:val="00727A4E"/>
    <w:rsid w:val="007337FD"/>
    <w:rsid w:val="00734D5A"/>
    <w:rsid w:val="00735B49"/>
    <w:rsid w:val="00743DFA"/>
    <w:rsid w:val="00755668"/>
    <w:rsid w:val="00756911"/>
    <w:rsid w:val="0076094A"/>
    <w:rsid w:val="0076563B"/>
    <w:rsid w:val="00766C71"/>
    <w:rsid w:val="00770A88"/>
    <w:rsid w:val="00770B52"/>
    <w:rsid w:val="007733A5"/>
    <w:rsid w:val="00781422"/>
    <w:rsid w:val="00781607"/>
    <w:rsid w:val="007925B6"/>
    <w:rsid w:val="00796949"/>
    <w:rsid w:val="00796B93"/>
    <w:rsid w:val="007971D0"/>
    <w:rsid w:val="00797499"/>
    <w:rsid w:val="00797F83"/>
    <w:rsid w:val="007A0CD6"/>
    <w:rsid w:val="007A3C79"/>
    <w:rsid w:val="007A4366"/>
    <w:rsid w:val="007A7403"/>
    <w:rsid w:val="007B27FD"/>
    <w:rsid w:val="007B3CDA"/>
    <w:rsid w:val="007C493C"/>
    <w:rsid w:val="007C6D1E"/>
    <w:rsid w:val="007C6D7F"/>
    <w:rsid w:val="007C75C6"/>
    <w:rsid w:val="007D3832"/>
    <w:rsid w:val="007D7F97"/>
    <w:rsid w:val="007E70C9"/>
    <w:rsid w:val="0080631C"/>
    <w:rsid w:val="00806C17"/>
    <w:rsid w:val="00810540"/>
    <w:rsid w:val="0081093C"/>
    <w:rsid w:val="00810990"/>
    <w:rsid w:val="00822227"/>
    <w:rsid w:val="00822CED"/>
    <w:rsid w:val="008276B3"/>
    <w:rsid w:val="00831A50"/>
    <w:rsid w:val="00831E47"/>
    <w:rsid w:val="0083450A"/>
    <w:rsid w:val="00841F8D"/>
    <w:rsid w:val="00846B44"/>
    <w:rsid w:val="00852020"/>
    <w:rsid w:val="00856DB0"/>
    <w:rsid w:val="00857674"/>
    <w:rsid w:val="00857C8A"/>
    <w:rsid w:val="008720BB"/>
    <w:rsid w:val="00877EF5"/>
    <w:rsid w:val="008818AC"/>
    <w:rsid w:val="00890087"/>
    <w:rsid w:val="00890699"/>
    <w:rsid w:val="008921AA"/>
    <w:rsid w:val="008924FE"/>
    <w:rsid w:val="008A0D8C"/>
    <w:rsid w:val="008A4412"/>
    <w:rsid w:val="008A51D6"/>
    <w:rsid w:val="008B3079"/>
    <w:rsid w:val="008B362D"/>
    <w:rsid w:val="008B6019"/>
    <w:rsid w:val="008C0C6C"/>
    <w:rsid w:val="008C6374"/>
    <w:rsid w:val="008D3725"/>
    <w:rsid w:val="008E10FC"/>
    <w:rsid w:val="008E40BB"/>
    <w:rsid w:val="008E4614"/>
    <w:rsid w:val="008E4B74"/>
    <w:rsid w:val="008F27D2"/>
    <w:rsid w:val="008F4658"/>
    <w:rsid w:val="00910175"/>
    <w:rsid w:val="00910CC5"/>
    <w:rsid w:val="00912693"/>
    <w:rsid w:val="00912AC2"/>
    <w:rsid w:val="00913161"/>
    <w:rsid w:val="009159AA"/>
    <w:rsid w:val="00916A37"/>
    <w:rsid w:val="0092254E"/>
    <w:rsid w:val="0092725F"/>
    <w:rsid w:val="00931ED4"/>
    <w:rsid w:val="0093280F"/>
    <w:rsid w:val="00940A04"/>
    <w:rsid w:val="0094110D"/>
    <w:rsid w:val="00944AD8"/>
    <w:rsid w:val="00945051"/>
    <w:rsid w:val="00950B9B"/>
    <w:rsid w:val="00952305"/>
    <w:rsid w:val="009620D5"/>
    <w:rsid w:val="00962F8C"/>
    <w:rsid w:val="009648CB"/>
    <w:rsid w:val="00967832"/>
    <w:rsid w:val="00970A7E"/>
    <w:rsid w:val="00972743"/>
    <w:rsid w:val="009744B0"/>
    <w:rsid w:val="00974A44"/>
    <w:rsid w:val="009763BA"/>
    <w:rsid w:val="009835B3"/>
    <w:rsid w:val="00986939"/>
    <w:rsid w:val="0099139B"/>
    <w:rsid w:val="0099181F"/>
    <w:rsid w:val="00992C40"/>
    <w:rsid w:val="00993800"/>
    <w:rsid w:val="00995FE6"/>
    <w:rsid w:val="009B27A3"/>
    <w:rsid w:val="009B2FB3"/>
    <w:rsid w:val="009B47BC"/>
    <w:rsid w:val="009B4967"/>
    <w:rsid w:val="009B625E"/>
    <w:rsid w:val="009C206C"/>
    <w:rsid w:val="009C6B03"/>
    <w:rsid w:val="009D50DC"/>
    <w:rsid w:val="009D7581"/>
    <w:rsid w:val="009D7F00"/>
    <w:rsid w:val="009E1D18"/>
    <w:rsid w:val="009E2CCB"/>
    <w:rsid w:val="009E3E42"/>
    <w:rsid w:val="009E73EE"/>
    <w:rsid w:val="009F0FFA"/>
    <w:rsid w:val="009F1603"/>
    <w:rsid w:val="009F2839"/>
    <w:rsid w:val="009F34E1"/>
    <w:rsid w:val="009F4EF2"/>
    <w:rsid w:val="009F5361"/>
    <w:rsid w:val="009F7314"/>
    <w:rsid w:val="00A00A59"/>
    <w:rsid w:val="00A0430D"/>
    <w:rsid w:val="00A0685F"/>
    <w:rsid w:val="00A1059C"/>
    <w:rsid w:val="00A1317F"/>
    <w:rsid w:val="00A14F91"/>
    <w:rsid w:val="00A22CE0"/>
    <w:rsid w:val="00A25A64"/>
    <w:rsid w:val="00A2787E"/>
    <w:rsid w:val="00A341F5"/>
    <w:rsid w:val="00A36809"/>
    <w:rsid w:val="00A4028B"/>
    <w:rsid w:val="00A40852"/>
    <w:rsid w:val="00A41713"/>
    <w:rsid w:val="00A42EEE"/>
    <w:rsid w:val="00A448B8"/>
    <w:rsid w:val="00A44CE7"/>
    <w:rsid w:val="00A44D1A"/>
    <w:rsid w:val="00A460B6"/>
    <w:rsid w:val="00A531BC"/>
    <w:rsid w:val="00A53ABB"/>
    <w:rsid w:val="00A6327C"/>
    <w:rsid w:val="00A64B0F"/>
    <w:rsid w:val="00A64E07"/>
    <w:rsid w:val="00A6541B"/>
    <w:rsid w:val="00A67A09"/>
    <w:rsid w:val="00A713F3"/>
    <w:rsid w:val="00A76BD7"/>
    <w:rsid w:val="00A77B2F"/>
    <w:rsid w:val="00A81509"/>
    <w:rsid w:val="00A82A75"/>
    <w:rsid w:val="00A94BA3"/>
    <w:rsid w:val="00A95959"/>
    <w:rsid w:val="00A95AC5"/>
    <w:rsid w:val="00A96598"/>
    <w:rsid w:val="00AA54D6"/>
    <w:rsid w:val="00AA5D08"/>
    <w:rsid w:val="00AA613B"/>
    <w:rsid w:val="00AA6893"/>
    <w:rsid w:val="00AB29E0"/>
    <w:rsid w:val="00AB2D9A"/>
    <w:rsid w:val="00AB332F"/>
    <w:rsid w:val="00AB4959"/>
    <w:rsid w:val="00AB5C34"/>
    <w:rsid w:val="00AB77E7"/>
    <w:rsid w:val="00AC20E8"/>
    <w:rsid w:val="00AC3982"/>
    <w:rsid w:val="00AC5E25"/>
    <w:rsid w:val="00AC6684"/>
    <w:rsid w:val="00AD0401"/>
    <w:rsid w:val="00AD37AA"/>
    <w:rsid w:val="00AD419C"/>
    <w:rsid w:val="00AD59AF"/>
    <w:rsid w:val="00AE1491"/>
    <w:rsid w:val="00AE2B18"/>
    <w:rsid w:val="00AE3CE6"/>
    <w:rsid w:val="00AE5D52"/>
    <w:rsid w:val="00AE5FAF"/>
    <w:rsid w:val="00AE6CFC"/>
    <w:rsid w:val="00AF13BD"/>
    <w:rsid w:val="00AF14D0"/>
    <w:rsid w:val="00AF221D"/>
    <w:rsid w:val="00AF30FB"/>
    <w:rsid w:val="00B00F59"/>
    <w:rsid w:val="00B0594A"/>
    <w:rsid w:val="00B110C1"/>
    <w:rsid w:val="00B117F1"/>
    <w:rsid w:val="00B11BED"/>
    <w:rsid w:val="00B16AA0"/>
    <w:rsid w:val="00B23D57"/>
    <w:rsid w:val="00B26BF5"/>
    <w:rsid w:val="00B3342B"/>
    <w:rsid w:val="00B334FA"/>
    <w:rsid w:val="00B348E1"/>
    <w:rsid w:val="00B4544D"/>
    <w:rsid w:val="00B474CD"/>
    <w:rsid w:val="00B479D3"/>
    <w:rsid w:val="00B510D1"/>
    <w:rsid w:val="00B51764"/>
    <w:rsid w:val="00B55674"/>
    <w:rsid w:val="00B63346"/>
    <w:rsid w:val="00B63FB9"/>
    <w:rsid w:val="00B642FA"/>
    <w:rsid w:val="00B65028"/>
    <w:rsid w:val="00B66A33"/>
    <w:rsid w:val="00B67BE6"/>
    <w:rsid w:val="00B72D29"/>
    <w:rsid w:val="00B73243"/>
    <w:rsid w:val="00B73917"/>
    <w:rsid w:val="00B75451"/>
    <w:rsid w:val="00B766D8"/>
    <w:rsid w:val="00B77578"/>
    <w:rsid w:val="00B805C7"/>
    <w:rsid w:val="00B817D1"/>
    <w:rsid w:val="00B82120"/>
    <w:rsid w:val="00B90E5F"/>
    <w:rsid w:val="00B92492"/>
    <w:rsid w:val="00B96B67"/>
    <w:rsid w:val="00B97A82"/>
    <w:rsid w:val="00BA1B6C"/>
    <w:rsid w:val="00BA2BEF"/>
    <w:rsid w:val="00BA2EDE"/>
    <w:rsid w:val="00BA3022"/>
    <w:rsid w:val="00BA5C52"/>
    <w:rsid w:val="00BA6249"/>
    <w:rsid w:val="00BB19B7"/>
    <w:rsid w:val="00BB5D63"/>
    <w:rsid w:val="00BB71E7"/>
    <w:rsid w:val="00BC1E86"/>
    <w:rsid w:val="00BC48C2"/>
    <w:rsid w:val="00BD3B17"/>
    <w:rsid w:val="00BD6444"/>
    <w:rsid w:val="00BE2772"/>
    <w:rsid w:val="00BE28D7"/>
    <w:rsid w:val="00BE79DA"/>
    <w:rsid w:val="00BF46AC"/>
    <w:rsid w:val="00BF6257"/>
    <w:rsid w:val="00BF7ACC"/>
    <w:rsid w:val="00C00B3D"/>
    <w:rsid w:val="00C05A94"/>
    <w:rsid w:val="00C114BC"/>
    <w:rsid w:val="00C124B1"/>
    <w:rsid w:val="00C12678"/>
    <w:rsid w:val="00C24DFF"/>
    <w:rsid w:val="00C262F2"/>
    <w:rsid w:val="00C32FE3"/>
    <w:rsid w:val="00C330C5"/>
    <w:rsid w:val="00C343C8"/>
    <w:rsid w:val="00C364DC"/>
    <w:rsid w:val="00C37BED"/>
    <w:rsid w:val="00C37FE9"/>
    <w:rsid w:val="00C4149E"/>
    <w:rsid w:val="00C4505B"/>
    <w:rsid w:val="00C5377E"/>
    <w:rsid w:val="00C6146D"/>
    <w:rsid w:val="00C65485"/>
    <w:rsid w:val="00C745E9"/>
    <w:rsid w:val="00C85E6B"/>
    <w:rsid w:val="00C861EA"/>
    <w:rsid w:val="00C87D80"/>
    <w:rsid w:val="00C90C5D"/>
    <w:rsid w:val="00C949DB"/>
    <w:rsid w:val="00C971D3"/>
    <w:rsid w:val="00CA133C"/>
    <w:rsid w:val="00CA2F16"/>
    <w:rsid w:val="00CA525A"/>
    <w:rsid w:val="00CB05C4"/>
    <w:rsid w:val="00CB1482"/>
    <w:rsid w:val="00CC496E"/>
    <w:rsid w:val="00CC6C44"/>
    <w:rsid w:val="00CD1165"/>
    <w:rsid w:val="00CD1E24"/>
    <w:rsid w:val="00CD4E75"/>
    <w:rsid w:val="00CD5261"/>
    <w:rsid w:val="00CD611E"/>
    <w:rsid w:val="00CD62BE"/>
    <w:rsid w:val="00CE0278"/>
    <w:rsid w:val="00CE2C41"/>
    <w:rsid w:val="00CE5709"/>
    <w:rsid w:val="00CE6798"/>
    <w:rsid w:val="00CF1439"/>
    <w:rsid w:val="00CF2280"/>
    <w:rsid w:val="00CF2F4E"/>
    <w:rsid w:val="00CF5868"/>
    <w:rsid w:val="00CF6EBF"/>
    <w:rsid w:val="00CF6EC4"/>
    <w:rsid w:val="00D14FDB"/>
    <w:rsid w:val="00D172B5"/>
    <w:rsid w:val="00D23B6A"/>
    <w:rsid w:val="00D24553"/>
    <w:rsid w:val="00D259FE"/>
    <w:rsid w:val="00D27E45"/>
    <w:rsid w:val="00D342D8"/>
    <w:rsid w:val="00D34B09"/>
    <w:rsid w:val="00D41382"/>
    <w:rsid w:val="00D42DA1"/>
    <w:rsid w:val="00D4354F"/>
    <w:rsid w:val="00D435DC"/>
    <w:rsid w:val="00D44FF6"/>
    <w:rsid w:val="00D475B6"/>
    <w:rsid w:val="00D47E88"/>
    <w:rsid w:val="00D50F74"/>
    <w:rsid w:val="00D526F2"/>
    <w:rsid w:val="00D52732"/>
    <w:rsid w:val="00D52AF3"/>
    <w:rsid w:val="00D5519C"/>
    <w:rsid w:val="00D572E0"/>
    <w:rsid w:val="00D61DA8"/>
    <w:rsid w:val="00D67DF3"/>
    <w:rsid w:val="00D71F66"/>
    <w:rsid w:val="00D73A16"/>
    <w:rsid w:val="00D805FC"/>
    <w:rsid w:val="00D81169"/>
    <w:rsid w:val="00D87C94"/>
    <w:rsid w:val="00D943D4"/>
    <w:rsid w:val="00D95482"/>
    <w:rsid w:val="00D95D7F"/>
    <w:rsid w:val="00DA3FD2"/>
    <w:rsid w:val="00DA4C0E"/>
    <w:rsid w:val="00DA671C"/>
    <w:rsid w:val="00DB3C2D"/>
    <w:rsid w:val="00DB4CA4"/>
    <w:rsid w:val="00DB60A1"/>
    <w:rsid w:val="00DB7805"/>
    <w:rsid w:val="00DC0D29"/>
    <w:rsid w:val="00DC3403"/>
    <w:rsid w:val="00DC39F6"/>
    <w:rsid w:val="00DC3D71"/>
    <w:rsid w:val="00DC7678"/>
    <w:rsid w:val="00DD02FC"/>
    <w:rsid w:val="00DD6710"/>
    <w:rsid w:val="00DE4787"/>
    <w:rsid w:val="00DE65E6"/>
    <w:rsid w:val="00DF311A"/>
    <w:rsid w:val="00E00775"/>
    <w:rsid w:val="00E009D8"/>
    <w:rsid w:val="00E01219"/>
    <w:rsid w:val="00E01CBC"/>
    <w:rsid w:val="00E031F8"/>
    <w:rsid w:val="00E066B9"/>
    <w:rsid w:val="00E11965"/>
    <w:rsid w:val="00E2034A"/>
    <w:rsid w:val="00E24415"/>
    <w:rsid w:val="00E275CE"/>
    <w:rsid w:val="00E3670D"/>
    <w:rsid w:val="00E40222"/>
    <w:rsid w:val="00E42FFF"/>
    <w:rsid w:val="00E44036"/>
    <w:rsid w:val="00E45BE8"/>
    <w:rsid w:val="00E46A74"/>
    <w:rsid w:val="00E47358"/>
    <w:rsid w:val="00E50441"/>
    <w:rsid w:val="00E53156"/>
    <w:rsid w:val="00E61344"/>
    <w:rsid w:val="00E657F5"/>
    <w:rsid w:val="00E65AB6"/>
    <w:rsid w:val="00E67E21"/>
    <w:rsid w:val="00E93D1A"/>
    <w:rsid w:val="00E96DF2"/>
    <w:rsid w:val="00E97D9A"/>
    <w:rsid w:val="00EA5B96"/>
    <w:rsid w:val="00EB74B0"/>
    <w:rsid w:val="00EB7E92"/>
    <w:rsid w:val="00EC4653"/>
    <w:rsid w:val="00EC559B"/>
    <w:rsid w:val="00EC6648"/>
    <w:rsid w:val="00EC6E36"/>
    <w:rsid w:val="00EC7A65"/>
    <w:rsid w:val="00ED6AAB"/>
    <w:rsid w:val="00EE2C86"/>
    <w:rsid w:val="00EF57C4"/>
    <w:rsid w:val="00EF57F3"/>
    <w:rsid w:val="00F103AF"/>
    <w:rsid w:val="00F10A2A"/>
    <w:rsid w:val="00F11073"/>
    <w:rsid w:val="00F132FF"/>
    <w:rsid w:val="00F33888"/>
    <w:rsid w:val="00F33B18"/>
    <w:rsid w:val="00F416A3"/>
    <w:rsid w:val="00F42C0B"/>
    <w:rsid w:val="00F4391B"/>
    <w:rsid w:val="00F44068"/>
    <w:rsid w:val="00F4555C"/>
    <w:rsid w:val="00F51471"/>
    <w:rsid w:val="00F51E20"/>
    <w:rsid w:val="00F53211"/>
    <w:rsid w:val="00F55715"/>
    <w:rsid w:val="00F57855"/>
    <w:rsid w:val="00F61D65"/>
    <w:rsid w:val="00F61DDB"/>
    <w:rsid w:val="00F71236"/>
    <w:rsid w:val="00F74101"/>
    <w:rsid w:val="00F7690E"/>
    <w:rsid w:val="00F80371"/>
    <w:rsid w:val="00F82FA2"/>
    <w:rsid w:val="00F833D4"/>
    <w:rsid w:val="00F851E5"/>
    <w:rsid w:val="00F91F06"/>
    <w:rsid w:val="00F928BD"/>
    <w:rsid w:val="00F95474"/>
    <w:rsid w:val="00F96DBC"/>
    <w:rsid w:val="00F9737C"/>
    <w:rsid w:val="00FA20B7"/>
    <w:rsid w:val="00FA2D37"/>
    <w:rsid w:val="00FA5CB6"/>
    <w:rsid w:val="00FA7941"/>
    <w:rsid w:val="00FB2E64"/>
    <w:rsid w:val="00FB3425"/>
    <w:rsid w:val="00FB47DF"/>
    <w:rsid w:val="00FC60D1"/>
    <w:rsid w:val="00FC6668"/>
    <w:rsid w:val="00FD01C7"/>
    <w:rsid w:val="00FD0EBA"/>
    <w:rsid w:val="00FD4147"/>
    <w:rsid w:val="00FE2AA9"/>
    <w:rsid w:val="00FE4424"/>
    <w:rsid w:val="00FF2601"/>
    <w:rsid w:val="00FF4D66"/>
    <w:rsid w:val="00FF60CC"/>
    <w:rsid w:val="00FF62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1"/>
        <w:szCs w:val="21"/>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Closing" w:uiPriority="98"/>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F18"/>
    <w:pPr>
      <w:spacing w:line="264" w:lineRule="auto"/>
    </w:pPr>
  </w:style>
  <w:style w:type="paragraph" w:styleId="Heading1">
    <w:name w:val="heading 1"/>
    <w:basedOn w:val="Normal"/>
    <w:next w:val="Normal"/>
    <w:qFormat/>
    <w:rsid w:val="00EC559B"/>
    <w:pPr>
      <w:keepNext/>
      <w:spacing w:before="480" w:after="240"/>
      <w:outlineLvl w:val="0"/>
    </w:pPr>
    <w:rPr>
      <w:bCs/>
      <w:caps/>
      <w:color w:val="017070" w:themeColor="accent1"/>
      <w:kern w:val="32"/>
      <w:sz w:val="24"/>
      <w:szCs w:val="32"/>
    </w:rPr>
  </w:style>
  <w:style w:type="paragraph" w:styleId="Heading2">
    <w:name w:val="heading 2"/>
    <w:basedOn w:val="Normal"/>
    <w:next w:val="Normal"/>
    <w:link w:val="Heading2Char"/>
    <w:qFormat/>
    <w:rsid w:val="002D39C3"/>
    <w:pPr>
      <w:keepNext/>
      <w:spacing w:before="240" w:after="240"/>
      <w:outlineLvl w:val="1"/>
    </w:pPr>
    <w:rPr>
      <w:bCs/>
      <w:iCs/>
      <w:color w:val="414141" w:themeColor="accent6"/>
      <w:sz w:val="24"/>
      <w:szCs w:val="28"/>
    </w:rPr>
  </w:style>
  <w:style w:type="paragraph" w:styleId="Heading3">
    <w:name w:val="heading 3"/>
    <w:basedOn w:val="Normal"/>
    <w:next w:val="Normal"/>
    <w:qFormat/>
    <w:rsid w:val="002D39C3"/>
    <w:pPr>
      <w:keepNext/>
      <w:spacing w:before="240" w:after="240"/>
      <w:jc w:val="both"/>
      <w:outlineLvl w:val="2"/>
    </w:pPr>
    <w:rPr>
      <w:color w:val="414141" w:themeColor="accent6"/>
    </w:rPr>
  </w:style>
  <w:style w:type="paragraph" w:styleId="Heading4">
    <w:name w:val="heading 4"/>
    <w:basedOn w:val="Normal"/>
    <w:next w:val="Normal"/>
    <w:link w:val="Heading4Char"/>
    <w:unhideWhenUsed/>
    <w:qFormat/>
    <w:rsid w:val="00950B9B"/>
    <w:pPr>
      <w:keepNext/>
      <w:keepLines/>
      <w:spacing w:before="240" w:after="240"/>
      <w:outlineLvl w:val="3"/>
    </w:pPr>
    <w:rPr>
      <w:rFonts w:asciiTheme="majorHAnsi" w:eastAsiaTheme="majorEastAsia" w:hAnsiTheme="majorHAnsi" w:cstheme="majorBidi"/>
      <w:bCs/>
      <w:iCs/>
      <w:color w:val="595959"/>
    </w:rPr>
  </w:style>
  <w:style w:type="paragraph" w:styleId="Heading5">
    <w:name w:val="heading 5"/>
    <w:basedOn w:val="Normal"/>
    <w:next w:val="Normal"/>
    <w:link w:val="Heading5Char"/>
    <w:semiHidden/>
    <w:unhideWhenUsed/>
    <w:qFormat/>
    <w:rsid w:val="00E01CBC"/>
    <w:pPr>
      <w:keepNext/>
      <w:keepLines/>
      <w:spacing w:before="200"/>
      <w:outlineLvl w:val="4"/>
    </w:pPr>
    <w:rPr>
      <w:rFonts w:asciiTheme="majorHAnsi" w:eastAsiaTheme="majorEastAsia" w:hAnsiTheme="majorHAnsi" w:cstheme="majorBidi"/>
      <w:color w:val="003737" w:themeColor="accent1" w:themeShade="7F"/>
    </w:rPr>
  </w:style>
  <w:style w:type="paragraph" w:styleId="Heading6">
    <w:name w:val="heading 6"/>
    <w:basedOn w:val="Normal"/>
    <w:next w:val="Normal"/>
    <w:link w:val="Heading6Char"/>
    <w:unhideWhenUsed/>
    <w:qFormat/>
    <w:rsid w:val="00E01CBC"/>
    <w:pPr>
      <w:keepNext/>
      <w:keepLines/>
      <w:spacing w:before="200"/>
      <w:outlineLvl w:val="5"/>
    </w:pPr>
    <w:rPr>
      <w:rFonts w:asciiTheme="majorHAnsi" w:eastAsiaTheme="majorEastAsia" w:hAnsiTheme="majorHAnsi" w:cstheme="majorBidi"/>
      <w:i/>
      <w:iCs/>
      <w:color w:val="003737" w:themeColor="accent1" w:themeShade="7F"/>
    </w:rPr>
  </w:style>
  <w:style w:type="paragraph" w:styleId="Heading7">
    <w:name w:val="heading 7"/>
    <w:basedOn w:val="Normal"/>
    <w:next w:val="Normal"/>
    <w:link w:val="Heading7Char"/>
    <w:semiHidden/>
    <w:unhideWhenUsed/>
    <w:qFormat/>
    <w:rsid w:val="00E01CB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E01CB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E01CB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italsA">
    <w:name w:val="Recitals A"/>
    <w:basedOn w:val="Normal"/>
    <w:rsid w:val="00C949DB"/>
    <w:pPr>
      <w:numPr>
        <w:numId w:val="8"/>
      </w:numPr>
      <w:tabs>
        <w:tab w:val="clear" w:pos="720"/>
      </w:tabs>
      <w:spacing w:after="240"/>
    </w:pPr>
  </w:style>
  <w:style w:type="paragraph" w:customStyle="1" w:styleId="Recitalsa0">
    <w:name w:val="Recitals (a)"/>
    <w:basedOn w:val="Normal"/>
    <w:rsid w:val="00C949DB"/>
    <w:pPr>
      <w:numPr>
        <w:ilvl w:val="1"/>
        <w:numId w:val="8"/>
      </w:numPr>
      <w:tabs>
        <w:tab w:val="clear" w:pos="1440"/>
      </w:tabs>
      <w:spacing w:after="240"/>
    </w:pPr>
  </w:style>
  <w:style w:type="paragraph" w:customStyle="1" w:styleId="Definitionsitem">
    <w:name w:val="Definitions item"/>
    <w:basedOn w:val="Normal"/>
    <w:rsid w:val="00C949DB"/>
    <w:pPr>
      <w:numPr>
        <w:numId w:val="9"/>
      </w:numPr>
      <w:tabs>
        <w:tab w:val="clear" w:pos="720"/>
      </w:tabs>
      <w:spacing w:after="240"/>
    </w:pPr>
  </w:style>
  <w:style w:type="paragraph" w:customStyle="1" w:styleId="Definitionsa">
    <w:name w:val="Definitions (a)"/>
    <w:basedOn w:val="Normal"/>
    <w:rsid w:val="00C949DB"/>
    <w:pPr>
      <w:numPr>
        <w:ilvl w:val="1"/>
        <w:numId w:val="9"/>
      </w:numPr>
      <w:tabs>
        <w:tab w:val="clear" w:pos="1440"/>
      </w:tabs>
      <w:spacing w:after="240"/>
    </w:pPr>
  </w:style>
  <w:style w:type="paragraph" w:customStyle="1" w:styleId="Definitionsi">
    <w:name w:val="Definitions (i)"/>
    <w:basedOn w:val="Normal"/>
    <w:rsid w:val="00C949DB"/>
    <w:pPr>
      <w:numPr>
        <w:ilvl w:val="2"/>
        <w:numId w:val="9"/>
      </w:numPr>
      <w:tabs>
        <w:tab w:val="clear" w:pos="2160"/>
      </w:tabs>
      <w:spacing w:after="240"/>
    </w:pPr>
  </w:style>
  <w:style w:type="paragraph" w:customStyle="1" w:styleId="AdvicesA">
    <w:name w:val="Advices A"/>
    <w:basedOn w:val="Normal"/>
    <w:next w:val="Normal"/>
    <w:rsid w:val="00002899"/>
    <w:pPr>
      <w:keepNext/>
      <w:numPr>
        <w:numId w:val="10"/>
      </w:numPr>
      <w:tabs>
        <w:tab w:val="clear" w:pos="720"/>
      </w:tabs>
      <w:spacing w:after="240"/>
    </w:pPr>
    <w:rPr>
      <w:b/>
    </w:rPr>
  </w:style>
  <w:style w:type="paragraph" w:customStyle="1" w:styleId="Advicesa0">
    <w:name w:val="Advices (a)"/>
    <w:basedOn w:val="Normal"/>
    <w:next w:val="Normal"/>
    <w:rsid w:val="00002899"/>
    <w:pPr>
      <w:keepNext/>
      <w:numPr>
        <w:ilvl w:val="1"/>
        <w:numId w:val="10"/>
      </w:numPr>
      <w:tabs>
        <w:tab w:val="clear" w:pos="720"/>
      </w:tabs>
      <w:spacing w:after="240"/>
    </w:pPr>
    <w:rPr>
      <w:b/>
    </w:rPr>
  </w:style>
  <w:style w:type="paragraph" w:customStyle="1" w:styleId="Level1Legal">
    <w:name w:val="Level 1 (Legal)"/>
    <w:basedOn w:val="Normal"/>
    <w:next w:val="FO1Legal"/>
    <w:rsid w:val="00EC559B"/>
    <w:pPr>
      <w:keepNext/>
      <w:numPr>
        <w:numId w:val="5"/>
      </w:numPr>
      <w:tabs>
        <w:tab w:val="clear" w:pos="720"/>
      </w:tabs>
      <w:spacing w:before="480" w:after="240"/>
      <w:outlineLvl w:val="0"/>
    </w:pPr>
    <w:rPr>
      <w:caps/>
      <w:color w:val="017070" w:themeColor="accent1"/>
      <w:sz w:val="24"/>
      <w:szCs w:val="24"/>
    </w:rPr>
  </w:style>
  <w:style w:type="paragraph" w:customStyle="1" w:styleId="Level2Legal">
    <w:name w:val="Level 2 (Legal)"/>
    <w:basedOn w:val="Normal"/>
    <w:next w:val="FO2Legal"/>
    <w:qFormat/>
    <w:rsid w:val="002D39C3"/>
    <w:pPr>
      <w:numPr>
        <w:ilvl w:val="1"/>
        <w:numId w:val="5"/>
      </w:numPr>
      <w:spacing w:before="240" w:after="240"/>
      <w:outlineLvl w:val="1"/>
    </w:pPr>
    <w:rPr>
      <w:color w:val="414141" w:themeColor="accent6"/>
      <w:sz w:val="24"/>
    </w:rPr>
  </w:style>
  <w:style w:type="paragraph" w:customStyle="1" w:styleId="Level3Legal">
    <w:name w:val="Level 3 (Legal)"/>
    <w:basedOn w:val="Normal"/>
    <w:rsid w:val="00C949DB"/>
    <w:pPr>
      <w:numPr>
        <w:ilvl w:val="2"/>
        <w:numId w:val="5"/>
      </w:numPr>
      <w:tabs>
        <w:tab w:val="clear" w:pos="1440"/>
      </w:tabs>
      <w:spacing w:after="240"/>
    </w:pPr>
  </w:style>
  <w:style w:type="paragraph" w:customStyle="1" w:styleId="Level4Legal">
    <w:name w:val="Level 4 (Legal)"/>
    <w:basedOn w:val="Normal"/>
    <w:rsid w:val="00C949DB"/>
    <w:pPr>
      <w:numPr>
        <w:ilvl w:val="3"/>
        <w:numId w:val="5"/>
      </w:numPr>
      <w:tabs>
        <w:tab w:val="clear" w:pos="2160"/>
      </w:tabs>
      <w:spacing w:after="240"/>
    </w:pPr>
  </w:style>
  <w:style w:type="paragraph" w:customStyle="1" w:styleId="Level5Legal">
    <w:name w:val="Level 5 (Legal)"/>
    <w:basedOn w:val="Normal"/>
    <w:rsid w:val="00C949DB"/>
    <w:pPr>
      <w:numPr>
        <w:ilvl w:val="4"/>
        <w:numId w:val="5"/>
      </w:numPr>
      <w:tabs>
        <w:tab w:val="clear" w:pos="2880"/>
      </w:tabs>
      <w:spacing w:after="240"/>
    </w:pPr>
  </w:style>
  <w:style w:type="paragraph" w:customStyle="1" w:styleId="Level1Schedule">
    <w:name w:val="Level 1 (Schedule)"/>
    <w:basedOn w:val="Level1Legal"/>
    <w:next w:val="FO1Schedule"/>
    <w:rsid w:val="00C949DB"/>
    <w:pPr>
      <w:numPr>
        <w:numId w:val="6"/>
      </w:numPr>
      <w:tabs>
        <w:tab w:val="clear" w:pos="720"/>
      </w:tabs>
      <w:outlineLvl w:val="9"/>
    </w:pPr>
  </w:style>
  <w:style w:type="paragraph" w:customStyle="1" w:styleId="Level2Schedule">
    <w:name w:val="Level 2 (Schedule)"/>
    <w:basedOn w:val="Level2Legal"/>
    <w:next w:val="FO2Schedule"/>
    <w:rsid w:val="002D39C3"/>
    <w:pPr>
      <w:numPr>
        <w:numId w:val="6"/>
      </w:numPr>
      <w:tabs>
        <w:tab w:val="clear" w:pos="720"/>
      </w:tabs>
      <w:outlineLvl w:val="9"/>
    </w:pPr>
  </w:style>
  <w:style w:type="paragraph" w:customStyle="1" w:styleId="Level3Schedule">
    <w:name w:val="Level 3 (Schedule)"/>
    <w:basedOn w:val="Level3Legal"/>
    <w:rsid w:val="00C949DB"/>
    <w:pPr>
      <w:numPr>
        <w:numId w:val="6"/>
      </w:numPr>
      <w:tabs>
        <w:tab w:val="clear" w:pos="1440"/>
      </w:tabs>
    </w:pPr>
  </w:style>
  <w:style w:type="paragraph" w:customStyle="1" w:styleId="Level4Schedule">
    <w:name w:val="Level 4 (Schedule)"/>
    <w:basedOn w:val="Level4Legal"/>
    <w:rsid w:val="00C949DB"/>
    <w:pPr>
      <w:numPr>
        <w:numId w:val="6"/>
      </w:numPr>
      <w:tabs>
        <w:tab w:val="clear" w:pos="2160"/>
      </w:tabs>
    </w:pPr>
  </w:style>
  <w:style w:type="paragraph" w:customStyle="1" w:styleId="Level5Schedule">
    <w:name w:val="Level 5 (Schedule)"/>
    <w:basedOn w:val="Level5Legal"/>
    <w:rsid w:val="00C949DB"/>
    <w:pPr>
      <w:numPr>
        <w:numId w:val="6"/>
      </w:numPr>
      <w:tabs>
        <w:tab w:val="clear" w:pos="2880"/>
      </w:tabs>
    </w:pPr>
  </w:style>
  <w:style w:type="paragraph" w:customStyle="1" w:styleId="Level1List">
    <w:name w:val="Level 1 (List)"/>
    <w:basedOn w:val="Normal"/>
    <w:rsid w:val="00C949DB"/>
    <w:pPr>
      <w:numPr>
        <w:numId w:val="7"/>
      </w:numPr>
      <w:tabs>
        <w:tab w:val="clear" w:pos="720"/>
      </w:tabs>
      <w:spacing w:after="240"/>
    </w:pPr>
  </w:style>
  <w:style w:type="paragraph" w:customStyle="1" w:styleId="Level2List">
    <w:name w:val="Level 2 (List)"/>
    <w:basedOn w:val="Normal"/>
    <w:rsid w:val="00C949DB"/>
    <w:pPr>
      <w:numPr>
        <w:ilvl w:val="1"/>
        <w:numId w:val="7"/>
      </w:numPr>
      <w:tabs>
        <w:tab w:val="clear" w:pos="1440"/>
      </w:tabs>
      <w:spacing w:after="240"/>
    </w:pPr>
  </w:style>
  <w:style w:type="paragraph" w:customStyle="1" w:styleId="Level3List">
    <w:name w:val="Level 3 (List)"/>
    <w:basedOn w:val="Normal"/>
    <w:rsid w:val="00C949DB"/>
    <w:pPr>
      <w:numPr>
        <w:ilvl w:val="2"/>
        <w:numId w:val="7"/>
      </w:numPr>
      <w:tabs>
        <w:tab w:val="clear" w:pos="2160"/>
      </w:tabs>
      <w:spacing w:after="240"/>
    </w:pPr>
  </w:style>
  <w:style w:type="paragraph" w:customStyle="1" w:styleId="Level4List">
    <w:name w:val="Level 4 (List)"/>
    <w:basedOn w:val="Normal"/>
    <w:rsid w:val="00C949DB"/>
    <w:pPr>
      <w:numPr>
        <w:ilvl w:val="3"/>
        <w:numId w:val="7"/>
      </w:numPr>
      <w:tabs>
        <w:tab w:val="clear" w:pos="2880"/>
      </w:tabs>
      <w:spacing w:after="240"/>
    </w:pPr>
  </w:style>
  <w:style w:type="paragraph" w:customStyle="1" w:styleId="Level5List">
    <w:name w:val="Level 5 (List)"/>
    <w:basedOn w:val="Normal"/>
    <w:rsid w:val="00C949DB"/>
    <w:pPr>
      <w:numPr>
        <w:ilvl w:val="4"/>
        <w:numId w:val="7"/>
      </w:numPr>
      <w:tabs>
        <w:tab w:val="clear" w:pos="3600"/>
      </w:tabs>
      <w:spacing w:after="240"/>
    </w:pPr>
  </w:style>
  <w:style w:type="paragraph" w:customStyle="1" w:styleId="FO1Legal">
    <w:name w:val="FO_1 (Legal)"/>
    <w:basedOn w:val="Normal"/>
    <w:rsid w:val="00C949DB"/>
    <w:pPr>
      <w:spacing w:after="240"/>
      <w:ind w:left="720"/>
    </w:pPr>
  </w:style>
  <w:style w:type="paragraph" w:customStyle="1" w:styleId="FO2Legal">
    <w:name w:val="FO_2 (Legal)"/>
    <w:basedOn w:val="Normal"/>
    <w:rsid w:val="00C949DB"/>
    <w:pPr>
      <w:spacing w:after="240"/>
      <w:ind w:left="720"/>
    </w:pPr>
  </w:style>
  <w:style w:type="paragraph" w:customStyle="1" w:styleId="FO3Legal">
    <w:name w:val="FO_3 (Legal)"/>
    <w:basedOn w:val="Normal"/>
    <w:rsid w:val="00C949DB"/>
    <w:pPr>
      <w:spacing w:after="240"/>
      <w:ind w:left="1440"/>
    </w:pPr>
  </w:style>
  <w:style w:type="paragraph" w:customStyle="1" w:styleId="FO4Legal">
    <w:name w:val="FO_4 (Legal)"/>
    <w:basedOn w:val="Normal"/>
    <w:rsid w:val="00C949DB"/>
    <w:pPr>
      <w:spacing w:after="240"/>
      <w:ind w:left="2160"/>
    </w:pPr>
  </w:style>
  <w:style w:type="paragraph" w:customStyle="1" w:styleId="FO5Legal">
    <w:name w:val="FO_5 (Legal)"/>
    <w:basedOn w:val="Normal"/>
    <w:rsid w:val="00C949DB"/>
    <w:pPr>
      <w:spacing w:after="240"/>
      <w:ind w:left="2880"/>
    </w:pPr>
  </w:style>
  <w:style w:type="paragraph" w:customStyle="1" w:styleId="FO1Schedule">
    <w:name w:val="FO_1 (Schedule)"/>
    <w:basedOn w:val="FO1Legal"/>
    <w:rsid w:val="00C949DB"/>
  </w:style>
  <w:style w:type="paragraph" w:customStyle="1" w:styleId="FO2Schedule">
    <w:name w:val="FO_2 (Schedule)"/>
    <w:basedOn w:val="FO2Legal"/>
    <w:rsid w:val="00C949DB"/>
  </w:style>
  <w:style w:type="paragraph" w:customStyle="1" w:styleId="FO3Schedule">
    <w:name w:val="FO_3 (Schedule)"/>
    <w:basedOn w:val="FO3Legal"/>
    <w:rsid w:val="00C949DB"/>
  </w:style>
  <w:style w:type="paragraph" w:customStyle="1" w:styleId="FO4Schedule">
    <w:name w:val="FO_4 (Schedule)"/>
    <w:basedOn w:val="FO4Legal"/>
    <w:rsid w:val="00C949DB"/>
  </w:style>
  <w:style w:type="paragraph" w:customStyle="1" w:styleId="FO5Schedule">
    <w:name w:val="FO_5 (Schedule)"/>
    <w:basedOn w:val="FO5Legal"/>
    <w:rsid w:val="00C949DB"/>
  </w:style>
  <w:style w:type="paragraph" w:customStyle="1" w:styleId="FO1List">
    <w:name w:val="FO_1 (List)"/>
    <w:basedOn w:val="Normal"/>
    <w:rsid w:val="00C949DB"/>
    <w:pPr>
      <w:spacing w:after="240"/>
      <w:ind w:left="720"/>
    </w:pPr>
  </w:style>
  <w:style w:type="paragraph" w:customStyle="1" w:styleId="FO2List">
    <w:name w:val="FO_2 (List)"/>
    <w:basedOn w:val="Normal"/>
    <w:rsid w:val="00C949DB"/>
    <w:pPr>
      <w:spacing w:after="240"/>
      <w:ind w:left="1440"/>
    </w:pPr>
  </w:style>
  <w:style w:type="paragraph" w:customStyle="1" w:styleId="FO3List">
    <w:name w:val="FO_3 (List)"/>
    <w:basedOn w:val="Normal"/>
    <w:rsid w:val="00C949DB"/>
    <w:pPr>
      <w:spacing w:after="240"/>
      <w:ind w:left="2160"/>
    </w:pPr>
  </w:style>
  <w:style w:type="paragraph" w:customStyle="1" w:styleId="FO4List">
    <w:name w:val="FO_4 (List)"/>
    <w:basedOn w:val="Normal"/>
    <w:rsid w:val="00C949DB"/>
    <w:pPr>
      <w:spacing w:after="240"/>
      <w:ind w:left="2880"/>
    </w:pPr>
  </w:style>
  <w:style w:type="paragraph" w:customStyle="1" w:styleId="FO5List">
    <w:name w:val="FO_5 (List)"/>
    <w:basedOn w:val="Normal"/>
    <w:rsid w:val="00C949DB"/>
    <w:pPr>
      <w:spacing w:after="240"/>
      <w:ind w:left="3600"/>
    </w:pPr>
  </w:style>
  <w:style w:type="character" w:customStyle="1" w:styleId="Attest1">
    <w:name w:val="Attest 1"/>
    <w:basedOn w:val="DefaultParagraphFont"/>
    <w:semiHidden/>
    <w:rsid w:val="00002899"/>
  </w:style>
  <w:style w:type="character" w:customStyle="1" w:styleId="Attest2">
    <w:name w:val="Attest 2"/>
    <w:semiHidden/>
    <w:rsid w:val="00002899"/>
    <w:rPr>
      <w:sz w:val="17"/>
    </w:rPr>
  </w:style>
  <w:style w:type="paragraph" w:customStyle="1" w:styleId="Attestation1">
    <w:name w:val="Attestation 1"/>
    <w:basedOn w:val="Normal"/>
    <w:rsid w:val="00002899"/>
    <w:pPr>
      <w:keepNext/>
    </w:pPr>
  </w:style>
  <w:style w:type="paragraph" w:customStyle="1" w:styleId="Attestation2">
    <w:name w:val="Attestation 2"/>
    <w:basedOn w:val="Attestation1"/>
    <w:rsid w:val="00002899"/>
    <w:rPr>
      <w:sz w:val="17"/>
    </w:rPr>
  </w:style>
  <w:style w:type="paragraph" w:styleId="BodyText">
    <w:name w:val="Body Text"/>
    <w:basedOn w:val="Normal"/>
    <w:link w:val="BodyTextChar"/>
    <w:rsid w:val="00002899"/>
    <w:pPr>
      <w:tabs>
        <w:tab w:val="left" w:pos="680"/>
        <w:tab w:val="left" w:pos="1304"/>
        <w:tab w:val="left" w:pos="2041"/>
        <w:tab w:val="left" w:pos="2665"/>
        <w:tab w:val="left" w:pos="3289"/>
      </w:tabs>
      <w:spacing w:after="120"/>
      <w:jc w:val="both"/>
    </w:pPr>
  </w:style>
  <w:style w:type="paragraph" w:customStyle="1" w:styleId="DAHeading">
    <w:name w:val="DA Heading"/>
    <w:basedOn w:val="Heading1"/>
    <w:next w:val="Normal"/>
    <w:rsid w:val="00002899"/>
    <w:pPr>
      <w:outlineLvl w:val="9"/>
    </w:pPr>
    <w:rPr>
      <w:caps w:val="0"/>
      <w:sz w:val="21"/>
    </w:rPr>
  </w:style>
  <w:style w:type="paragraph" w:customStyle="1" w:styleId="DATitle">
    <w:name w:val="DA Title"/>
    <w:basedOn w:val="Normal"/>
    <w:next w:val="Normal"/>
    <w:rsid w:val="00E01CBC"/>
    <w:pPr>
      <w:pBdr>
        <w:bottom w:val="single" w:sz="24" w:space="12" w:color="808080"/>
      </w:pBdr>
      <w:spacing w:after="240"/>
    </w:pPr>
    <w:rPr>
      <w:kern w:val="28"/>
      <w:sz w:val="48"/>
    </w:rPr>
  </w:style>
  <w:style w:type="paragraph" w:styleId="EnvelopeAddress">
    <w:name w:val="envelope address"/>
    <w:basedOn w:val="Normal"/>
    <w:semiHidden/>
    <w:rsid w:val="00002899"/>
    <w:pPr>
      <w:framePr w:w="5041" w:h="1979" w:hRule="exact" w:hSpace="181" w:vSpace="181" w:wrap="around" w:vAnchor="page" w:hAnchor="page" w:x="3828" w:y="2269"/>
    </w:pPr>
  </w:style>
  <w:style w:type="paragraph" w:styleId="EnvelopeReturn">
    <w:name w:val="envelope return"/>
    <w:basedOn w:val="Normal"/>
    <w:semiHidden/>
    <w:rsid w:val="00002899"/>
    <w:pPr>
      <w:tabs>
        <w:tab w:val="left" w:pos="680"/>
        <w:tab w:val="left" w:pos="1304"/>
        <w:tab w:val="left" w:pos="2041"/>
        <w:tab w:val="left" w:pos="2665"/>
        <w:tab w:val="left" w:pos="3289"/>
      </w:tabs>
      <w:jc w:val="both"/>
    </w:pPr>
    <w:rPr>
      <w:rFonts w:ascii="Helvetica" w:hAnsi="Helvetica"/>
      <w:sz w:val="20"/>
    </w:rPr>
  </w:style>
  <w:style w:type="paragraph" w:styleId="Footer">
    <w:name w:val="footer"/>
    <w:basedOn w:val="Normal"/>
    <w:link w:val="FooterChar"/>
    <w:uiPriority w:val="99"/>
    <w:rsid w:val="00002899"/>
    <w:pPr>
      <w:tabs>
        <w:tab w:val="right" w:pos="8505"/>
      </w:tabs>
    </w:pPr>
    <w:rPr>
      <w:sz w:val="14"/>
    </w:rPr>
  </w:style>
  <w:style w:type="character" w:styleId="FootnoteReference">
    <w:name w:val="footnote reference"/>
    <w:semiHidden/>
    <w:rsid w:val="00002899"/>
    <w:rPr>
      <w:vertAlign w:val="superscript"/>
    </w:rPr>
  </w:style>
  <w:style w:type="paragraph" w:styleId="FootnoteText">
    <w:name w:val="footnote text"/>
    <w:basedOn w:val="Normal"/>
    <w:semiHidden/>
    <w:rsid w:val="00002899"/>
    <w:pPr>
      <w:tabs>
        <w:tab w:val="left" w:pos="357"/>
      </w:tabs>
    </w:pPr>
    <w:rPr>
      <w:sz w:val="17"/>
    </w:rPr>
  </w:style>
  <w:style w:type="paragraph" w:styleId="Header">
    <w:name w:val="header"/>
    <w:basedOn w:val="Normal"/>
    <w:link w:val="HeaderChar"/>
    <w:uiPriority w:val="99"/>
    <w:rsid w:val="006D5D5C"/>
    <w:pPr>
      <w:pBdr>
        <w:bottom w:val="none" w:sz="0" w:space="0" w:color="017070" w:themeColor="accent1"/>
      </w:pBdr>
      <w:tabs>
        <w:tab w:val="right" w:pos="8505"/>
      </w:tabs>
      <w:spacing w:after="320"/>
      <w:jc w:val="right"/>
    </w:pPr>
    <w:rPr>
      <w:color w:val="017070" w:themeColor="accent1"/>
      <w:sz w:val="16"/>
    </w:rPr>
  </w:style>
  <w:style w:type="character" w:customStyle="1" w:styleId="Hint">
    <w:name w:val="Hint"/>
    <w:rsid w:val="00002899"/>
    <w:rPr>
      <w:rFonts w:ascii="Arial" w:hAnsi="Arial" w:cs="Arial"/>
      <w:vanish/>
      <w:color w:val="FF0000"/>
    </w:rPr>
  </w:style>
  <w:style w:type="character" w:customStyle="1" w:styleId="iddVariableMarker">
    <w:name w:val="iddVariableMarker"/>
    <w:semiHidden/>
    <w:rsid w:val="00002899"/>
    <w:rPr>
      <w:rFonts w:ascii="Comic Sans MS" w:hAnsi="Comic Sans MS"/>
      <w:color w:val="0000FF"/>
      <w:sz w:val="18"/>
    </w:rPr>
  </w:style>
  <w:style w:type="paragraph" w:styleId="ListBullet">
    <w:name w:val="List Bullet"/>
    <w:basedOn w:val="Normal"/>
    <w:autoRedefine/>
    <w:rsid w:val="00D47E88"/>
    <w:pPr>
      <w:numPr>
        <w:numId w:val="2"/>
      </w:numPr>
      <w:tabs>
        <w:tab w:val="left" w:pos="1304"/>
        <w:tab w:val="left" w:pos="2041"/>
        <w:tab w:val="left" w:pos="2665"/>
        <w:tab w:val="left" w:pos="3289"/>
      </w:tabs>
      <w:spacing w:line="240" w:lineRule="auto"/>
    </w:pPr>
    <w:rPr>
      <w:rFonts w:cs="Times New Roman"/>
    </w:rPr>
  </w:style>
  <w:style w:type="paragraph" w:styleId="NoteHeading">
    <w:name w:val="Note Heading"/>
    <w:basedOn w:val="Normal"/>
    <w:next w:val="Normal"/>
    <w:semiHidden/>
    <w:rsid w:val="00002899"/>
  </w:style>
  <w:style w:type="character" w:customStyle="1" w:styleId="NotesChar">
    <w:name w:val="NotesChar"/>
    <w:semiHidden/>
    <w:rsid w:val="00002899"/>
    <w:rPr>
      <w:rFonts w:ascii="Comic Sans MS" w:hAnsi="Comic Sans MS"/>
      <w:color w:val="0000FF"/>
      <w:szCs w:val="24"/>
      <w:shd w:val="pct25" w:color="auto" w:fill="auto"/>
    </w:rPr>
  </w:style>
  <w:style w:type="paragraph" w:customStyle="1" w:styleId="NotesPara">
    <w:name w:val="NotesPara"/>
    <w:basedOn w:val="Normal"/>
    <w:semiHidden/>
    <w:rsid w:val="00002899"/>
    <w:rPr>
      <w:color w:val="FF0000"/>
    </w:rPr>
  </w:style>
  <w:style w:type="character" w:styleId="PageNumber">
    <w:name w:val="page number"/>
    <w:basedOn w:val="DefaultParagraphFont"/>
    <w:rsid w:val="00002899"/>
  </w:style>
  <w:style w:type="paragraph" w:customStyle="1" w:styleId="ScheduleHeading">
    <w:name w:val="Schedule Heading"/>
    <w:basedOn w:val="Heading1"/>
    <w:next w:val="Normal"/>
    <w:rsid w:val="00002899"/>
    <w:pPr>
      <w:pageBreakBefore/>
      <w:spacing w:before="240"/>
      <w:outlineLvl w:val="9"/>
    </w:pPr>
    <w:rPr>
      <w:sz w:val="21"/>
    </w:rPr>
  </w:style>
  <w:style w:type="paragraph" w:customStyle="1" w:styleId="SubjectMatterDescription">
    <w:name w:val="Subject (Matter Description)"/>
    <w:basedOn w:val="Normal"/>
    <w:next w:val="Normal"/>
    <w:rsid w:val="00E01CBC"/>
    <w:pPr>
      <w:pBdr>
        <w:bottom w:val="single" w:sz="6" w:space="1" w:color="808080"/>
      </w:pBdr>
    </w:pPr>
    <w:rPr>
      <w:b/>
    </w:rPr>
  </w:style>
  <w:style w:type="table" w:styleId="TableGrid">
    <w:name w:val="Table Grid"/>
    <w:basedOn w:val="TableNormal"/>
    <w:rsid w:val="0000289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HDYwithheaderrow">
    <w:name w:val="Table HDY (with header row)"/>
    <w:basedOn w:val="TableNormal"/>
    <w:rsid w:val="001C16AB"/>
    <w:rPr>
      <w:rFonts w:asciiTheme="minorHAnsi" w:hAnsiTheme="minorHAnsi"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Pr>
    <w:tblStylePr w:type="firstRow">
      <w:rPr>
        <w:b/>
        <w:color w:val="FFFFFF"/>
      </w:rPr>
      <w:tblPr/>
      <w:tcPr>
        <w:shd w:val="clear" w:color="017070" w:themeColor="accent1" w:fill="017070" w:themeFill="accent1"/>
      </w:tcPr>
    </w:tblStylePr>
  </w:style>
  <w:style w:type="table" w:customStyle="1" w:styleId="TableHDYwithoutheaderrow">
    <w:name w:val="Table HDY (without header row)"/>
    <w:basedOn w:val="TableNormal"/>
    <w:rsid w:val="003F777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Pr>
    <w:tblStylePr w:type="firstRow">
      <w:rPr>
        <w:b w:val="0"/>
      </w:rPr>
    </w:tblStylePr>
  </w:style>
  <w:style w:type="paragraph" w:styleId="Title">
    <w:name w:val="Title"/>
    <w:basedOn w:val="Normal"/>
    <w:qFormat/>
    <w:rsid w:val="006D5D5C"/>
    <w:pPr>
      <w:outlineLvl w:val="0"/>
    </w:pPr>
    <w:rPr>
      <w:b/>
      <w:bCs/>
      <w:color w:val="FFFFFF" w:themeColor="background1"/>
      <w:kern w:val="28"/>
      <w:sz w:val="32"/>
      <w:szCs w:val="32"/>
    </w:rPr>
  </w:style>
  <w:style w:type="paragraph" w:styleId="TOC1">
    <w:name w:val="toc 1"/>
    <w:basedOn w:val="Normal"/>
    <w:next w:val="Normal"/>
    <w:autoRedefine/>
    <w:uiPriority w:val="39"/>
    <w:qFormat/>
    <w:rsid w:val="00B474CD"/>
    <w:pPr>
      <w:pBdr>
        <w:bottom w:val="single" w:sz="6" w:space="1" w:color="808080"/>
        <w:between w:val="single" w:sz="6" w:space="1" w:color="808080"/>
      </w:pBdr>
      <w:tabs>
        <w:tab w:val="right" w:pos="8505"/>
      </w:tabs>
      <w:spacing w:before="240"/>
      <w:ind w:left="720" w:hanging="720"/>
    </w:pPr>
    <w:rPr>
      <w:noProof/>
      <w:color w:val="017070" w:themeColor="accent1"/>
      <w:sz w:val="24"/>
    </w:rPr>
  </w:style>
  <w:style w:type="paragraph" w:styleId="TOC2">
    <w:name w:val="toc 2"/>
    <w:basedOn w:val="Normal"/>
    <w:next w:val="Normal"/>
    <w:autoRedefine/>
    <w:uiPriority w:val="39"/>
    <w:qFormat/>
    <w:rsid w:val="00DB7805"/>
    <w:pPr>
      <w:tabs>
        <w:tab w:val="left" w:pos="1429"/>
        <w:tab w:val="right" w:pos="8497"/>
      </w:tabs>
      <w:spacing w:before="100"/>
      <w:ind w:left="1429" w:right="720" w:hanging="720"/>
    </w:pPr>
    <w:rPr>
      <w:noProof/>
      <w:sz w:val="24"/>
    </w:rPr>
  </w:style>
  <w:style w:type="paragraph" w:styleId="TOC3">
    <w:name w:val="toc 3"/>
    <w:basedOn w:val="Normal"/>
    <w:next w:val="Normal"/>
    <w:autoRedefine/>
    <w:uiPriority w:val="39"/>
    <w:qFormat/>
    <w:rsid w:val="001D15B2"/>
    <w:pPr>
      <w:tabs>
        <w:tab w:val="right" w:pos="8505"/>
      </w:tabs>
      <w:spacing w:before="100"/>
      <w:ind w:left="1429" w:right="720" w:hanging="720"/>
    </w:pPr>
    <w:rPr>
      <w:noProof/>
    </w:rPr>
  </w:style>
  <w:style w:type="paragraph" w:styleId="TOC9">
    <w:name w:val="toc 9"/>
    <w:basedOn w:val="Normal"/>
    <w:next w:val="Normal"/>
    <w:autoRedefine/>
    <w:semiHidden/>
    <w:rsid w:val="00D95482"/>
    <w:pPr>
      <w:pBdr>
        <w:bottom w:val="single" w:sz="6" w:space="1" w:color="808080"/>
        <w:between w:val="single" w:sz="6" w:space="1" w:color="808080"/>
      </w:pBdr>
      <w:tabs>
        <w:tab w:val="right" w:pos="8505"/>
      </w:tabs>
      <w:spacing w:before="240"/>
      <w:ind w:left="720" w:hanging="720"/>
    </w:pPr>
    <w:rPr>
      <w:caps/>
    </w:rPr>
  </w:style>
  <w:style w:type="paragraph" w:customStyle="1" w:styleId="Level1Table">
    <w:name w:val="Level 1 (Table)"/>
    <w:basedOn w:val="Normal"/>
    <w:rsid w:val="007A0CD6"/>
    <w:pPr>
      <w:numPr>
        <w:numId w:val="11"/>
      </w:numPr>
      <w:tabs>
        <w:tab w:val="clear" w:pos="357"/>
      </w:tabs>
    </w:pPr>
  </w:style>
  <w:style w:type="paragraph" w:customStyle="1" w:styleId="Level2Table">
    <w:name w:val="Level 2 (Table)"/>
    <w:basedOn w:val="Normal"/>
    <w:rsid w:val="007A0CD6"/>
    <w:pPr>
      <w:numPr>
        <w:ilvl w:val="1"/>
        <w:numId w:val="11"/>
      </w:numPr>
      <w:tabs>
        <w:tab w:val="clear" w:pos="357"/>
      </w:tabs>
    </w:pPr>
  </w:style>
  <w:style w:type="paragraph" w:customStyle="1" w:styleId="Level3Table">
    <w:name w:val="Level 3 (Table)"/>
    <w:basedOn w:val="Normal"/>
    <w:rsid w:val="007A0CD6"/>
    <w:pPr>
      <w:numPr>
        <w:ilvl w:val="2"/>
        <w:numId w:val="11"/>
      </w:numPr>
      <w:tabs>
        <w:tab w:val="clear" w:pos="357"/>
      </w:tabs>
    </w:pPr>
  </w:style>
  <w:style w:type="paragraph" w:customStyle="1" w:styleId="Level4Table">
    <w:name w:val="Level 4 (Table)"/>
    <w:basedOn w:val="Normal"/>
    <w:rsid w:val="007A0CD6"/>
    <w:pPr>
      <w:numPr>
        <w:ilvl w:val="3"/>
        <w:numId w:val="11"/>
      </w:numPr>
      <w:tabs>
        <w:tab w:val="clear" w:pos="357"/>
      </w:tabs>
    </w:pPr>
  </w:style>
  <w:style w:type="paragraph" w:customStyle="1" w:styleId="Level5Table">
    <w:name w:val="Level 5 (Table)"/>
    <w:basedOn w:val="Normal"/>
    <w:rsid w:val="007A0CD6"/>
    <w:pPr>
      <w:numPr>
        <w:ilvl w:val="4"/>
        <w:numId w:val="11"/>
      </w:numPr>
      <w:tabs>
        <w:tab w:val="clear" w:pos="357"/>
      </w:tabs>
    </w:pPr>
  </w:style>
  <w:style w:type="paragraph" w:customStyle="1" w:styleId="FO1Table">
    <w:name w:val="FO_1 (Table)"/>
    <w:basedOn w:val="Normal"/>
    <w:rsid w:val="007A0CD6"/>
    <w:pPr>
      <w:ind w:left="357"/>
    </w:pPr>
  </w:style>
  <w:style w:type="paragraph" w:customStyle="1" w:styleId="FO2Table">
    <w:name w:val="FO_2 (Table)"/>
    <w:basedOn w:val="Normal"/>
    <w:rsid w:val="007A0CD6"/>
    <w:pPr>
      <w:ind w:left="357"/>
    </w:pPr>
  </w:style>
  <w:style w:type="paragraph" w:customStyle="1" w:styleId="FO3Table">
    <w:name w:val="FO_3 (Table)"/>
    <w:basedOn w:val="Normal"/>
    <w:rsid w:val="007A0CD6"/>
    <w:pPr>
      <w:ind w:left="357"/>
    </w:pPr>
  </w:style>
  <w:style w:type="paragraph" w:customStyle="1" w:styleId="FO4Table">
    <w:name w:val="FO_4 (Table)"/>
    <w:basedOn w:val="Normal"/>
    <w:rsid w:val="007A0CD6"/>
    <w:pPr>
      <w:ind w:left="357"/>
    </w:pPr>
  </w:style>
  <w:style w:type="paragraph" w:customStyle="1" w:styleId="FO5Table">
    <w:name w:val="FO_5 (Table)"/>
    <w:basedOn w:val="Normal"/>
    <w:rsid w:val="007A0CD6"/>
    <w:pPr>
      <w:ind w:left="357"/>
    </w:pPr>
  </w:style>
  <w:style w:type="paragraph" w:styleId="ListParagraph">
    <w:name w:val="List Paragraph"/>
    <w:basedOn w:val="Normal"/>
    <w:uiPriority w:val="34"/>
    <w:qFormat/>
    <w:rsid w:val="00D87C94"/>
    <w:pPr>
      <w:numPr>
        <w:numId w:val="38"/>
      </w:numPr>
      <w:spacing w:after="120"/>
    </w:pPr>
  </w:style>
  <w:style w:type="paragraph" w:styleId="BalloonText">
    <w:name w:val="Balloon Text"/>
    <w:basedOn w:val="Normal"/>
    <w:link w:val="BalloonTextChar"/>
    <w:rsid w:val="00E01CB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01CBC"/>
    <w:rPr>
      <w:rFonts w:ascii="Tahoma" w:hAnsi="Tahoma" w:cs="Tahoma"/>
      <w:sz w:val="16"/>
      <w:szCs w:val="16"/>
    </w:rPr>
  </w:style>
  <w:style w:type="paragraph" w:styleId="Bibliography">
    <w:name w:val="Bibliography"/>
    <w:basedOn w:val="Normal"/>
    <w:next w:val="Normal"/>
    <w:uiPriority w:val="37"/>
    <w:semiHidden/>
    <w:unhideWhenUsed/>
    <w:rsid w:val="00E01CBC"/>
  </w:style>
  <w:style w:type="paragraph" w:styleId="BodyText2">
    <w:name w:val="Body Text 2"/>
    <w:basedOn w:val="Normal"/>
    <w:link w:val="BodyText2Char"/>
    <w:rsid w:val="00E01CBC"/>
    <w:pPr>
      <w:spacing w:after="120" w:line="480" w:lineRule="auto"/>
    </w:pPr>
  </w:style>
  <w:style w:type="character" w:customStyle="1" w:styleId="BodyText2Char">
    <w:name w:val="Body Text 2 Char"/>
    <w:basedOn w:val="DefaultParagraphFont"/>
    <w:link w:val="BodyText2"/>
    <w:rsid w:val="00E01CBC"/>
    <w:rPr>
      <w:rFonts w:ascii="Arial" w:hAnsi="Arial" w:cs="Arial"/>
      <w:sz w:val="21"/>
    </w:rPr>
  </w:style>
  <w:style w:type="paragraph" w:styleId="BodyText3">
    <w:name w:val="Body Text 3"/>
    <w:basedOn w:val="Normal"/>
    <w:link w:val="BodyText3Char"/>
    <w:rsid w:val="00E01CBC"/>
    <w:pPr>
      <w:spacing w:after="120"/>
    </w:pPr>
    <w:rPr>
      <w:sz w:val="16"/>
      <w:szCs w:val="16"/>
    </w:rPr>
  </w:style>
  <w:style w:type="character" w:customStyle="1" w:styleId="BodyText3Char">
    <w:name w:val="Body Text 3 Char"/>
    <w:basedOn w:val="DefaultParagraphFont"/>
    <w:link w:val="BodyText3"/>
    <w:rsid w:val="00E01CBC"/>
    <w:rPr>
      <w:rFonts w:ascii="Arial" w:hAnsi="Arial" w:cs="Arial"/>
      <w:sz w:val="16"/>
      <w:szCs w:val="16"/>
    </w:rPr>
  </w:style>
  <w:style w:type="paragraph" w:styleId="BodyTextFirstIndent">
    <w:name w:val="Body Text First Indent"/>
    <w:basedOn w:val="BodyText"/>
    <w:link w:val="BodyTextFirstIndentChar"/>
    <w:rsid w:val="00E01CBC"/>
    <w:pPr>
      <w:tabs>
        <w:tab w:val="clear" w:pos="680"/>
        <w:tab w:val="clear" w:pos="1304"/>
        <w:tab w:val="clear" w:pos="2041"/>
        <w:tab w:val="clear" w:pos="2665"/>
        <w:tab w:val="clear" w:pos="3289"/>
      </w:tabs>
      <w:spacing w:after="0"/>
      <w:ind w:firstLine="360"/>
      <w:jc w:val="left"/>
    </w:pPr>
  </w:style>
  <w:style w:type="character" w:customStyle="1" w:styleId="BodyTextChar">
    <w:name w:val="Body Text Char"/>
    <w:basedOn w:val="DefaultParagraphFont"/>
    <w:link w:val="BodyText"/>
    <w:rsid w:val="00E01CBC"/>
    <w:rPr>
      <w:rFonts w:ascii="Arial" w:hAnsi="Arial" w:cs="Arial"/>
      <w:sz w:val="21"/>
    </w:rPr>
  </w:style>
  <w:style w:type="character" w:customStyle="1" w:styleId="BodyTextFirstIndentChar">
    <w:name w:val="Body Text First Indent Char"/>
    <w:basedOn w:val="BodyTextChar"/>
    <w:link w:val="BodyTextFirstIndent"/>
    <w:rsid w:val="00E01CBC"/>
    <w:rPr>
      <w:rFonts w:ascii="Arial" w:hAnsi="Arial" w:cs="Arial"/>
      <w:sz w:val="21"/>
    </w:rPr>
  </w:style>
  <w:style w:type="paragraph" w:styleId="BodyTextIndent">
    <w:name w:val="Body Text Indent"/>
    <w:basedOn w:val="Normal"/>
    <w:link w:val="BodyTextIndentChar"/>
    <w:rsid w:val="00E01CBC"/>
    <w:pPr>
      <w:spacing w:after="120"/>
      <w:ind w:left="283"/>
    </w:pPr>
  </w:style>
  <w:style w:type="character" w:customStyle="1" w:styleId="BodyTextIndentChar">
    <w:name w:val="Body Text Indent Char"/>
    <w:basedOn w:val="DefaultParagraphFont"/>
    <w:link w:val="BodyTextIndent"/>
    <w:rsid w:val="00E01CBC"/>
    <w:rPr>
      <w:rFonts w:ascii="Arial" w:hAnsi="Arial" w:cs="Arial"/>
      <w:sz w:val="21"/>
    </w:rPr>
  </w:style>
  <w:style w:type="paragraph" w:styleId="BodyTextFirstIndent2">
    <w:name w:val="Body Text First Indent 2"/>
    <w:basedOn w:val="BodyTextIndent"/>
    <w:link w:val="BodyTextFirstIndent2Char"/>
    <w:rsid w:val="00E01CBC"/>
    <w:pPr>
      <w:spacing w:after="0"/>
      <w:ind w:left="360" w:firstLine="360"/>
    </w:pPr>
  </w:style>
  <w:style w:type="character" w:customStyle="1" w:styleId="BodyTextFirstIndent2Char">
    <w:name w:val="Body Text First Indent 2 Char"/>
    <w:basedOn w:val="BodyTextIndentChar"/>
    <w:link w:val="BodyTextFirstIndent2"/>
    <w:rsid w:val="00E01CBC"/>
    <w:rPr>
      <w:rFonts w:ascii="Arial" w:hAnsi="Arial" w:cs="Arial"/>
      <w:sz w:val="21"/>
    </w:rPr>
  </w:style>
  <w:style w:type="paragraph" w:styleId="BodyTextIndent2">
    <w:name w:val="Body Text Indent 2"/>
    <w:basedOn w:val="Normal"/>
    <w:link w:val="BodyTextIndent2Char"/>
    <w:rsid w:val="00E01CBC"/>
    <w:pPr>
      <w:spacing w:after="120" w:line="480" w:lineRule="auto"/>
      <w:ind w:left="283"/>
    </w:pPr>
  </w:style>
  <w:style w:type="character" w:customStyle="1" w:styleId="BodyTextIndent2Char">
    <w:name w:val="Body Text Indent 2 Char"/>
    <w:basedOn w:val="DefaultParagraphFont"/>
    <w:link w:val="BodyTextIndent2"/>
    <w:rsid w:val="00E01CBC"/>
    <w:rPr>
      <w:rFonts w:ascii="Arial" w:hAnsi="Arial" w:cs="Arial"/>
      <w:sz w:val="21"/>
    </w:rPr>
  </w:style>
  <w:style w:type="paragraph" w:styleId="BodyTextIndent3">
    <w:name w:val="Body Text Indent 3"/>
    <w:basedOn w:val="Normal"/>
    <w:link w:val="BodyTextIndent3Char"/>
    <w:rsid w:val="00E01CBC"/>
    <w:pPr>
      <w:spacing w:after="120"/>
      <w:ind w:left="283"/>
    </w:pPr>
    <w:rPr>
      <w:sz w:val="16"/>
      <w:szCs w:val="16"/>
    </w:rPr>
  </w:style>
  <w:style w:type="character" w:customStyle="1" w:styleId="BodyTextIndent3Char">
    <w:name w:val="Body Text Indent 3 Char"/>
    <w:basedOn w:val="DefaultParagraphFont"/>
    <w:link w:val="BodyTextIndent3"/>
    <w:rsid w:val="00E01CBC"/>
    <w:rPr>
      <w:rFonts w:ascii="Arial" w:hAnsi="Arial" w:cs="Arial"/>
      <w:sz w:val="16"/>
      <w:szCs w:val="16"/>
    </w:rPr>
  </w:style>
  <w:style w:type="paragraph" w:styleId="Caption">
    <w:name w:val="caption"/>
    <w:basedOn w:val="Normal"/>
    <w:next w:val="Normal"/>
    <w:semiHidden/>
    <w:unhideWhenUsed/>
    <w:qFormat/>
    <w:rsid w:val="00E01CBC"/>
    <w:pPr>
      <w:spacing w:after="200" w:line="240" w:lineRule="auto"/>
    </w:pPr>
    <w:rPr>
      <w:b/>
      <w:bCs/>
      <w:color w:val="017070" w:themeColor="accent1"/>
      <w:sz w:val="18"/>
      <w:szCs w:val="18"/>
    </w:rPr>
  </w:style>
  <w:style w:type="paragraph" w:styleId="CommentText">
    <w:name w:val="annotation text"/>
    <w:basedOn w:val="Normal"/>
    <w:link w:val="CommentTextChar"/>
    <w:rsid w:val="00E01CBC"/>
    <w:pPr>
      <w:spacing w:line="240" w:lineRule="auto"/>
    </w:pPr>
    <w:rPr>
      <w:sz w:val="20"/>
    </w:rPr>
  </w:style>
  <w:style w:type="character" w:customStyle="1" w:styleId="CommentTextChar">
    <w:name w:val="Comment Text Char"/>
    <w:basedOn w:val="DefaultParagraphFont"/>
    <w:link w:val="CommentText"/>
    <w:rsid w:val="00E01CBC"/>
    <w:rPr>
      <w:rFonts w:ascii="Arial" w:hAnsi="Arial" w:cs="Arial"/>
    </w:rPr>
  </w:style>
  <w:style w:type="paragraph" w:styleId="CommentSubject">
    <w:name w:val="annotation subject"/>
    <w:basedOn w:val="CommentText"/>
    <w:next w:val="CommentText"/>
    <w:link w:val="CommentSubjectChar"/>
    <w:rsid w:val="00E01CBC"/>
    <w:rPr>
      <w:b/>
      <w:bCs/>
    </w:rPr>
  </w:style>
  <w:style w:type="character" w:customStyle="1" w:styleId="CommentSubjectChar">
    <w:name w:val="Comment Subject Char"/>
    <w:basedOn w:val="CommentTextChar"/>
    <w:link w:val="CommentSubject"/>
    <w:rsid w:val="00E01CBC"/>
    <w:rPr>
      <w:rFonts w:ascii="Arial" w:hAnsi="Arial" w:cs="Arial"/>
      <w:b/>
      <w:bCs/>
    </w:rPr>
  </w:style>
  <w:style w:type="paragraph" w:styleId="Date">
    <w:name w:val="Date"/>
    <w:basedOn w:val="Normal"/>
    <w:next w:val="Normal"/>
    <w:link w:val="DateChar"/>
    <w:rsid w:val="00E01CBC"/>
  </w:style>
  <w:style w:type="character" w:customStyle="1" w:styleId="DateChar">
    <w:name w:val="Date Char"/>
    <w:basedOn w:val="DefaultParagraphFont"/>
    <w:link w:val="Date"/>
    <w:rsid w:val="00E01CBC"/>
    <w:rPr>
      <w:rFonts w:ascii="Arial" w:hAnsi="Arial" w:cs="Arial"/>
      <w:sz w:val="21"/>
    </w:rPr>
  </w:style>
  <w:style w:type="paragraph" w:styleId="DocumentMap">
    <w:name w:val="Document Map"/>
    <w:basedOn w:val="Normal"/>
    <w:link w:val="DocumentMapChar"/>
    <w:rsid w:val="00E01CBC"/>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E01CBC"/>
    <w:rPr>
      <w:rFonts w:ascii="Tahoma" w:hAnsi="Tahoma" w:cs="Tahoma"/>
      <w:sz w:val="16"/>
      <w:szCs w:val="16"/>
    </w:rPr>
  </w:style>
  <w:style w:type="paragraph" w:styleId="E-mailSignature">
    <w:name w:val="E-mail Signature"/>
    <w:basedOn w:val="Normal"/>
    <w:link w:val="E-mailSignatureChar"/>
    <w:rsid w:val="00E01CBC"/>
    <w:pPr>
      <w:spacing w:line="240" w:lineRule="auto"/>
    </w:pPr>
  </w:style>
  <w:style w:type="character" w:customStyle="1" w:styleId="E-mailSignatureChar">
    <w:name w:val="E-mail Signature Char"/>
    <w:basedOn w:val="DefaultParagraphFont"/>
    <w:link w:val="E-mailSignature"/>
    <w:rsid w:val="00E01CBC"/>
    <w:rPr>
      <w:rFonts w:ascii="Arial" w:hAnsi="Arial" w:cs="Arial"/>
      <w:sz w:val="21"/>
    </w:rPr>
  </w:style>
  <w:style w:type="paragraph" w:styleId="EndnoteText">
    <w:name w:val="endnote text"/>
    <w:basedOn w:val="Normal"/>
    <w:link w:val="EndnoteTextChar"/>
    <w:rsid w:val="00E01CBC"/>
    <w:pPr>
      <w:spacing w:line="240" w:lineRule="auto"/>
    </w:pPr>
    <w:rPr>
      <w:sz w:val="20"/>
    </w:rPr>
  </w:style>
  <w:style w:type="character" w:customStyle="1" w:styleId="EndnoteTextChar">
    <w:name w:val="Endnote Text Char"/>
    <w:basedOn w:val="DefaultParagraphFont"/>
    <w:link w:val="EndnoteText"/>
    <w:rsid w:val="00E01CBC"/>
    <w:rPr>
      <w:rFonts w:ascii="Arial" w:hAnsi="Arial" w:cs="Arial"/>
    </w:rPr>
  </w:style>
  <w:style w:type="character" w:customStyle="1" w:styleId="Heading4Char">
    <w:name w:val="Heading 4 Char"/>
    <w:basedOn w:val="DefaultParagraphFont"/>
    <w:link w:val="Heading4"/>
    <w:rsid w:val="00950B9B"/>
    <w:rPr>
      <w:rFonts w:asciiTheme="majorHAnsi" w:eastAsiaTheme="majorEastAsia" w:hAnsiTheme="majorHAnsi" w:cstheme="majorBidi"/>
      <w:bCs/>
      <w:iCs/>
      <w:color w:val="595959"/>
    </w:rPr>
  </w:style>
  <w:style w:type="character" w:customStyle="1" w:styleId="Heading5Char">
    <w:name w:val="Heading 5 Char"/>
    <w:basedOn w:val="DefaultParagraphFont"/>
    <w:link w:val="Heading5"/>
    <w:semiHidden/>
    <w:rsid w:val="00E01CBC"/>
    <w:rPr>
      <w:rFonts w:asciiTheme="majorHAnsi" w:eastAsiaTheme="majorEastAsia" w:hAnsiTheme="majorHAnsi" w:cstheme="majorBidi"/>
      <w:color w:val="003737" w:themeColor="accent1" w:themeShade="7F"/>
      <w:sz w:val="21"/>
    </w:rPr>
  </w:style>
  <w:style w:type="character" w:customStyle="1" w:styleId="Heading6Char">
    <w:name w:val="Heading 6 Char"/>
    <w:basedOn w:val="DefaultParagraphFont"/>
    <w:link w:val="Heading6"/>
    <w:rsid w:val="00E01CBC"/>
    <w:rPr>
      <w:rFonts w:asciiTheme="majorHAnsi" w:eastAsiaTheme="majorEastAsia" w:hAnsiTheme="majorHAnsi" w:cstheme="majorBidi"/>
      <w:i/>
      <w:iCs/>
      <w:color w:val="003737" w:themeColor="accent1" w:themeShade="7F"/>
      <w:sz w:val="21"/>
    </w:rPr>
  </w:style>
  <w:style w:type="character" w:customStyle="1" w:styleId="Heading7Char">
    <w:name w:val="Heading 7 Char"/>
    <w:basedOn w:val="DefaultParagraphFont"/>
    <w:link w:val="Heading7"/>
    <w:semiHidden/>
    <w:rsid w:val="00E01CBC"/>
    <w:rPr>
      <w:rFonts w:asciiTheme="majorHAnsi" w:eastAsiaTheme="majorEastAsia" w:hAnsiTheme="majorHAnsi" w:cstheme="majorBidi"/>
      <w:i/>
      <w:iCs/>
      <w:color w:val="404040" w:themeColor="text1" w:themeTint="BF"/>
      <w:sz w:val="21"/>
    </w:rPr>
  </w:style>
  <w:style w:type="character" w:customStyle="1" w:styleId="Heading8Char">
    <w:name w:val="Heading 8 Char"/>
    <w:basedOn w:val="DefaultParagraphFont"/>
    <w:link w:val="Heading8"/>
    <w:semiHidden/>
    <w:rsid w:val="00E01CB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E01CBC"/>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rsid w:val="00E01CBC"/>
    <w:pPr>
      <w:spacing w:line="240" w:lineRule="auto"/>
    </w:pPr>
    <w:rPr>
      <w:i/>
      <w:iCs/>
    </w:rPr>
  </w:style>
  <w:style w:type="character" w:customStyle="1" w:styleId="HTMLAddressChar">
    <w:name w:val="HTML Address Char"/>
    <w:basedOn w:val="DefaultParagraphFont"/>
    <w:link w:val="HTMLAddress"/>
    <w:rsid w:val="00E01CBC"/>
    <w:rPr>
      <w:rFonts w:ascii="Arial" w:hAnsi="Arial" w:cs="Arial"/>
      <w:i/>
      <w:iCs/>
      <w:sz w:val="21"/>
    </w:rPr>
  </w:style>
  <w:style w:type="paragraph" w:styleId="HTMLPreformatted">
    <w:name w:val="HTML Preformatted"/>
    <w:basedOn w:val="Normal"/>
    <w:link w:val="HTMLPreformattedChar"/>
    <w:rsid w:val="00E01CBC"/>
    <w:pPr>
      <w:spacing w:line="240" w:lineRule="auto"/>
    </w:pPr>
    <w:rPr>
      <w:rFonts w:ascii="Consolas" w:hAnsi="Consolas"/>
      <w:sz w:val="20"/>
    </w:rPr>
  </w:style>
  <w:style w:type="character" w:customStyle="1" w:styleId="HTMLPreformattedChar">
    <w:name w:val="HTML Preformatted Char"/>
    <w:basedOn w:val="DefaultParagraphFont"/>
    <w:link w:val="HTMLPreformatted"/>
    <w:rsid w:val="00E01CBC"/>
    <w:rPr>
      <w:rFonts w:ascii="Consolas" w:hAnsi="Consolas" w:cs="Arial"/>
    </w:rPr>
  </w:style>
  <w:style w:type="paragraph" w:styleId="Index1">
    <w:name w:val="index 1"/>
    <w:basedOn w:val="Normal"/>
    <w:next w:val="Normal"/>
    <w:autoRedefine/>
    <w:rsid w:val="00E01CBC"/>
    <w:pPr>
      <w:spacing w:line="240" w:lineRule="auto"/>
      <w:ind w:left="210" w:hanging="210"/>
    </w:pPr>
  </w:style>
  <w:style w:type="paragraph" w:styleId="Index2">
    <w:name w:val="index 2"/>
    <w:basedOn w:val="Normal"/>
    <w:next w:val="Normal"/>
    <w:autoRedefine/>
    <w:rsid w:val="00E01CBC"/>
    <w:pPr>
      <w:spacing w:line="240" w:lineRule="auto"/>
      <w:ind w:left="420" w:hanging="210"/>
    </w:pPr>
  </w:style>
  <w:style w:type="paragraph" w:styleId="Index3">
    <w:name w:val="index 3"/>
    <w:basedOn w:val="Normal"/>
    <w:next w:val="Normal"/>
    <w:autoRedefine/>
    <w:rsid w:val="00E01CBC"/>
    <w:pPr>
      <w:spacing w:line="240" w:lineRule="auto"/>
      <w:ind w:left="630" w:hanging="210"/>
    </w:pPr>
  </w:style>
  <w:style w:type="paragraph" w:styleId="Index4">
    <w:name w:val="index 4"/>
    <w:basedOn w:val="Normal"/>
    <w:next w:val="Normal"/>
    <w:autoRedefine/>
    <w:rsid w:val="00E01CBC"/>
    <w:pPr>
      <w:spacing w:line="240" w:lineRule="auto"/>
      <w:ind w:left="840" w:hanging="210"/>
    </w:pPr>
  </w:style>
  <w:style w:type="paragraph" w:styleId="Index5">
    <w:name w:val="index 5"/>
    <w:basedOn w:val="Normal"/>
    <w:next w:val="Normal"/>
    <w:autoRedefine/>
    <w:rsid w:val="00E01CBC"/>
    <w:pPr>
      <w:spacing w:line="240" w:lineRule="auto"/>
      <w:ind w:left="1050" w:hanging="210"/>
    </w:pPr>
  </w:style>
  <w:style w:type="paragraph" w:styleId="Index6">
    <w:name w:val="index 6"/>
    <w:basedOn w:val="Normal"/>
    <w:next w:val="Normal"/>
    <w:autoRedefine/>
    <w:rsid w:val="00E01CBC"/>
    <w:pPr>
      <w:spacing w:line="240" w:lineRule="auto"/>
      <w:ind w:left="1260" w:hanging="210"/>
    </w:pPr>
  </w:style>
  <w:style w:type="paragraph" w:styleId="Index7">
    <w:name w:val="index 7"/>
    <w:basedOn w:val="Normal"/>
    <w:next w:val="Normal"/>
    <w:autoRedefine/>
    <w:rsid w:val="00E01CBC"/>
    <w:pPr>
      <w:spacing w:line="240" w:lineRule="auto"/>
      <w:ind w:left="1470" w:hanging="210"/>
    </w:pPr>
  </w:style>
  <w:style w:type="paragraph" w:styleId="Index8">
    <w:name w:val="index 8"/>
    <w:basedOn w:val="Normal"/>
    <w:next w:val="Normal"/>
    <w:autoRedefine/>
    <w:rsid w:val="00E01CBC"/>
    <w:pPr>
      <w:spacing w:line="240" w:lineRule="auto"/>
      <w:ind w:left="1680" w:hanging="210"/>
    </w:pPr>
  </w:style>
  <w:style w:type="paragraph" w:styleId="Index9">
    <w:name w:val="index 9"/>
    <w:basedOn w:val="Normal"/>
    <w:next w:val="Normal"/>
    <w:autoRedefine/>
    <w:rsid w:val="00E01CBC"/>
    <w:pPr>
      <w:spacing w:line="240" w:lineRule="auto"/>
      <w:ind w:left="1890" w:hanging="210"/>
    </w:pPr>
  </w:style>
  <w:style w:type="paragraph" w:styleId="IndexHeading">
    <w:name w:val="index heading"/>
    <w:basedOn w:val="Normal"/>
    <w:next w:val="Index1"/>
    <w:rsid w:val="00E01CB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01CBC"/>
    <w:pPr>
      <w:pBdr>
        <w:bottom w:val="single" w:sz="4" w:space="4" w:color="808080"/>
      </w:pBdr>
      <w:spacing w:before="200" w:after="280"/>
      <w:ind w:left="936" w:right="936"/>
    </w:pPr>
    <w:rPr>
      <w:b/>
      <w:bCs/>
      <w:i/>
      <w:iCs/>
      <w:color w:val="017070" w:themeColor="accent1"/>
    </w:rPr>
  </w:style>
  <w:style w:type="character" w:customStyle="1" w:styleId="IntenseQuoteChar">
    <w:name w:val="Intense Quote Char"/>
    <w:basedOn w:val="DefaultParagraphFont"/>
    <w:link w:val="IntenseQuote"/>
    <w:uiPriority w:val="30"/>
    <w:rsid w:val="00E01CBC"/>
    <w:rPr>
      <w:rFonts w:ascii="Arial" w:hAnsi="Arial" w:cs="Arial"/>
      <w:b/>
      <w:bCs/>
      <w:i/>
      <w:iCs/>
      <w:color w:val="017070" w:themeColor="accent1"/>
      <w:sz w:val="21"/>
    </w:rPr>
  </w:style>
  <w:style w:type="paragraph" w:styleId="List">
    <w:name w:val="List"/>
    <w:basedOn w:val="Normal"/>
    <w:rsid w:val="00E01CBC"/>
    <w:pPr>
      <w:ind w:left="283" w:hanging="283"/>
      <w:contextualSpacing/>
    </w:pPr>
  </w:style>
  <w:style w:type="paragraph" w:styleId="List2">
    <w:name w:val="List 2"/>
    <w:basedOn w:val="Normal"/>
    <w:rsid w:val="00E01CBC"/>
    <w:pPr>
      <w:ind w:left="566" w:hanging="283"/>
      <w:contextualSpacing/>
    </w:pPr>
  </w:style>
  <w:style w:type="paragraph" w:styleId="List3">
    <w:name w:val="List 3"/>
    <w:basedOn w:val="Normal"/>
    <w:rsid w:val="00E01CBC"/>
    <w:pPr>
      <w:ind w:left="849" w:hanging="283"/>
      <w:contextualSpacing/>
    </w:pPr>
  </w:style>
  <w:style w:type="paragraph" w:styleId="List4">
    <w:name w:val="List 4"/>
    <w:basedOn w:val="Normal"/>
    <w:rsid w:val="00E01CBC"/>
    <w:pPr>
      <w:ind w:left="1132" w:hanging="283"/>
      <w:contextualSpacing/>
    </w:pPr>
  </w:style>
  <w:style w:type="paragraph" w:styleId="List5">
    <w:name w:val="List 5"/>
    <w:basedOn w:val="Normal"/>
    <w:rsid w:val="00E01CBC"/>
    <w:pPr>
      <w:ind w:left="1415" w:hanging="283"/>
      <w:contextualSpacing/>
    </w:pPr>
  </w:style>
  <w:style w:type="paragraph" w:styleId="ListBullet2">
    <w:name w:val="List Bullet 2"/>
    <w:basedOn w:val="Normal"/>
    <w:rsid w:val="00E01CBC"/>
    <w:pPr>
      <w:numPr>
        <w:numId w:val="12"/>
      </w:numPr>
      <w:contextualSpacing/>
    </w:pPr>
  </w:style>
  <w:style w:type="paragraph" w:styleId="ListBullet3">
    <w:name w:val="List Bullet 3"/>
    <w:basedOn w:val="Normal"/>
    <w:rsid w:val="00E01CBC"/>
    <w:pPr>
      <w:numPr>
        <w:numId w:val="13"/>
      </w:numPr>
      <w:contextualSpacing/>
    </w:pPr>
  </w:style>
  <w:style w:type="paragraph" w:styleId="ListBullet4">
    <w:name w:val="List Bullet 4"/>
    <w:basedOn w:val="Normal"/>
    <w:rsid w:val="00E01CBC"/>
    <w:pPr>
      <w:numPr>
        <w:numId w:val="14"/>
      </w:numPr>
      <w:contextualSpacing/>
    </w:pPr>
  </w:style>
  <w:style w:type="paragraph" w:styleId="ListBullet5">
    <w:name w:val="List Bullet 5"/>
    <w:basedOn w:val="Normal"/>
    <w:rsid w:val="00E01CBC"/>
    <w:pPr>
      <w:numPr>
        <w:numId w:val="15"/>
      </w:numPr>
      <w:contextualSpacing/>
    </w:pPr>
  </w:style>
  <w:style w:type="paragraph" w:styleId="ListContinue">
    <w:name w:val="List Continue"/>
    <w:basedOn w:val="Normal"/>
    <w:rsid w:val="00E01CBC"/>
    <w:pPr>
      <w:spacing w:after="120"/>
      <w:ind w:left="283"/>
      <w:contextualSpacing/>
    </w:pPr>
  </w:style>
  <w:style w:type="paragraph" w:styleId="ListContinue2">
    <w:name w:val="List Continue 2"/>
    <w:basedOn w:val="Normal"/>
    <w:rsid w:val="00E01CBC"/>
    <w:pPr>
      <w:spacing w:after="120"/>
      <w:ind w:left="566"/>
      <w:contextualSpacing/>
    </w:pPr>
  </w:style>
  <w:style w:type="paragraph" w:styleId="ListContinue3">
    <w:name w:val="List Continue 3"/>
    <w:basedOn w:val="Normal"/>
    <w:rsid w:val="00E01CBC"/>
    <w:pPr>
      <w:spacing w:after="120"/>
      <w:ind w:left="849"/>
      <w:contextualSpacing/>
    </w:pPr>
  </w:style>
  <w:style w:type="paragraph" w:styleId="ListContinue4">
    <w:name w:val="List Continue 4"/>
    <w:basedOn w:val="Normal"/>
    <w:rsid w:val="00E01CBC"/>
    <w:pPr>
      <w:spacing w:after="120"/>
      <w:ind w:left="1132"/>
      <w:contextualSpacing/>
    </w:pPr>
  </w:style>
  <w:style w:type="paragraph" w:styleId="ListContinue5">
    <w:name w:val="List Continue 5"/>
    <w:basedOn w:val="Normal"/>
    <w:rsid w:val="00E01CBC"/>
    <w:pPr>
      <w:spacing w:after="120"/>
      <w:ind w:left="1415"/>
      <w:contextualSpacing/>
    </w:pPr>
  </w:style>
  <w:style w:type="paragraph" w:styleId="ListNumber">
    <w:name w:val="List Number"/>
    <w:basedOn w:val="Normal"/>
    <w:rsid w:val="00E01CBC"/>
    <w:pPr>
      <w:numPr>
        <w:numId w:val="16"/>
      </w:numPr>
      <w:contextualSpacing/>
    </w:pPr>
  </w:style>
  <w:style w:type="paragraph" w:styleId="ListNumber2">
    <w:name w:val="List Number 2"/>
    <w:basedOn w:val="Normal"/>
    <w:rsid w:val="00E01CBC"/>
    <w:pPr>
      <w:numPr>
        <w:numId w:val="17"/>
      </w:numPr>
      <w:contextualSpacing/>
    </w:pPr>
  </w:style>
  <w:style w:type="paragraph" w:styleId="ListNumber3">
    <w:name w:val="List Number 3"/>
    <w:basedOn w:val="Normal"/>
    <w:rsid w:val="00E01CBC"/>
    <w:pPr>
      <w:numPr>
        <w:numId w:val="18"/>
      </w:numPr>
      <w:contextualSpacing/>
    </w:pPr>
  </w:style>
  <w:style w:type="paragraph" w:styleId="ListNumber4">
    <w:name w:val="List Number 4"/>
    <w:basedOn w:val="Normal"/>
    <w:rsid w:val="00E01CBC"/>
    <w:pPr>
      <w:numPr>
        <w:numId w:val="19"/>
      </w:numPr>
      <w:contextualSpacing/>
    </w:pPr>
  </w:style>
  <w:style w:type="paragraph" w:styleId="ListNumber5">
    <w:name w:val="List Number 5"/>
    <w:basedOn w:val="Normal"/>
    <w:rsid w:val="00E01CBC"/>
    <w:pPr>
      <w:numPr>
        <w:numId w:val="20"/>
      </w:numPr>
      <w:contextualSpacing/>
    </w:pPr>
  </w:style>
  <w:style w:type="paragraph" w:styleId="MacroText">
    <w:name w:val="macro"/>
    <w:link w:val="MacroTextChar"/>
    <w:rsid w:val="005460FC"/>
    <w:pPr>
      <w:tabs>
        <w:tab w:val="left" w:pos="480"/>
        <w:tab w:val="left" w:pos="960"/>
        <w:tab w:val="left" w:pos="1440"/>
        <w:tab w:val="left" w:pos="1920"/>
        <w:tab w:val="left" w:pos="2400"/>
        <w:tab w:val="left" w:pos="2880"/>
        <w:tab w:val="left" w:pos="3360"/>
        <w:tab w:val="left" w:pos="3840"/>
        <w:tab w:val="left" w:pos="4320"/>
      </w:tabs>
      <w:jc w:val="both"/>
    </w:pPr>
    <w:rPr>
      <w:rFonts w:cs="Courier New"/>
    </w:rPr>
  </w:style>
  <w:style w:type="character" w:customStyle="1" w:styleId="MacroTextChar">
    <w:name w:val="Macro Text Char"/>
    <w:basedOn w:val="DefaultParagraphFont"/>
    <w:link w:val="MacroText"/>
    <w:rsid w:val="005460FC"/>
    <w:rPr>
      <w:rFonts w:ascii="Arial" w:hAnsi="Arial" w:cs="Courier New"/>
    </w:rPr>
  </w:style>
  <w:style w:type="paragraph" w:styleId="MessageHeader">
    <w:name w:val="Message Header"/>
    <w:basedOn w:val="Normal"/>
    <w:link w:val="MessageHeaderChar"/>
    <w:rsid w:val="00E01CBC"/>
    <w:pPr>
      <w:pBdr>
        <w:top w:val="single" w:sz="6" w:space="1" w:color="auto"/>
        <w:left w:val="single" w:sz="6" w:space="1" w:color="auto"/>
        <w:bottom w:val="single" w:sz="6" w:space="1" w:color="808080"/>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01CBC"/>
    <w:rPr>
      <w:rFonts w:asciiTheme="majorHAnsi" w:eastAsiaTheme="majorEastAsia" w:hAnsiTheme="majorHAnsi" w:cstheme="majorBidi"/>
      <w:sz w:val="24"/>
      <w:szCs w:val="24"/>
      <w:shd w:val="pct20" w:color="auto" w:fill="auto"/>
    </w:rPr>
  </w:style>
  <w:style w:type="paragraph" w:styleId="NoSpacing">
    <w:name w:val="No Spacing"/>
    <w:uiPriority w:val="1"/>
    <w:qFormat/>
    <w:rsid w:val="00E01CBC"/>
  </w:style>
  <w:style w:type="paragraph" w:styleId="NormalWeb">
    <w:name w:val="Normal (Web)"/>
    <w:basedOn w:val="Normal"/>
    <w:rsid w:val="00E01CBC"/>
    <w:rPr>
      <w:rFonts w:ascii="Times New Roman" w:hAnsi="Times New Roman" w:cs="Times New Roman"/>
      <w:sz w:val="24"/>
      <w:szCs w:val="24"/>
    </w:rPr>
  </w:style>
  <w:style w:type="paragraph" w:styleId="NormalIndent">
    <w:name w:val="Normal Indent"/>
    <w:basedOn w:val="Normal"/>
    <w:rsid w:val="00E01CBC"/>
    <w:pPr>
      <w:ind w:left="720"/>
    </w:pPr>
  </w:style>
  <w:style w:type="paragraph" w:styleId="PlainText">
    <w:name w:val="Plain Text"/>
    <w:basedOn w:val="Normal"/>
    <w:link w:val="PlainTextChar"/>
    <w:rsid w:val="00E01CBC"/>
    <w:pPr>
      <w:spacing w:line="240" w:lineRule="auto"/>
    </w:pPr>
    <w:rPr>
      <w:rFonts w:ascii="Consolas" w:hAnsi="Consolas"/>
    </w:rPr>
  </w:style>
  <w:style w:type="character" w:customStyle="1" w:styleId="PlainTextChar">
    <w:name w:val="Plain Text Char"/>
    <w:basedOn w:val="DefaultParagraphFont"/>
    <w:link w:val="PlainText"/>
    <w:rsid w:val="00E01CBC"/>
    <w:rPr>
      <w:rFonts w:ascii="Consolas" w:hAnsi="Consolas" w:cs="Arial"/>
      <w:sz w:val="21"/>
      <w:szCs w:val="21"/>
    </w:rPr>
  </w:style>
  <w:style w:type="paragraph" w:styleId="Quote">
    <w:name w:val="Quote"/>
    <w:basedOn w:val="Normal"/>
    <w:next w:val="Normal"/>
    <w:link w:val="QuoteChar"/>
    <w:uiPriority w:val="29"/>
    <w:qFormat/>
    <w:rsid w:val="006A3F18"/>
    <w:pPr>
      <w:spacing w:after="120" w:line="240" w:lineRule="auto"/>
      <w:ind w:left="2410"/>
    </w:pPr>
    <w:rPr>
      <w:color w:val="017070" w:themeColor="accent1"/>
      <w:sz w:val="24"/>
      <w:szCs w:val="24"/>
    </w:rPr>
  </w:style>
  <w:style w:type="character" w:customStyle="1" w:styleId="QuoteChar">
    <w:name w:val="Quote Char"/>
    <w:basedOn w:val="DefaultParagraphFont"/>
    <w:link w:val="Quote"/>
    <w:uiPriority w:val="29"/>
    <w:rsid w:val="006A3F18"/>
    <w:rPr>
      <w:color w:val="017070" w:themeColor="accent1"/>
      <w:sz w:val="24"/>
      <w:szCs w:val="24"/>
    </w:rPr>
  </w:style>
  <w:style w:type="paragraph" w:styleId="Salutation">
    <w:name w:val="Salutation"/>
    <w:basedOn w:val="Normal"/>
    <w:next w:val="Normal"/>
    <w:link w:val="SalutationChar"/>
    <w:rsid w:val="00E01CBC"/>
  </w:style>
  <w:style w:type="character" w:customStyle="1" w:styleId="SalutationChar">
    <w:name w:val="Salutation Char"/>
    <w:basedOn w:val="DefaultParagraphFont"/>
    <w:link w:val="Salutation"/>
    <w:rsid w:val="00E01CBC"/>
    <w:rPr>
      <w:rFonts w:ascii="Arial" w:hAnsi="Arial" w:cs="Arial"/>
      <w:sz w:val="21"/>
    </w:rPr>
  </w:style>
  <w:style w:type="paragraph" w:styleId="Signature">
    <w:name w:val="Signature"/>
    <w:basedOn w:val="Normal"/>
    <w:link w:val="SignatureChar"/>
    <w:rsid w:val="00E01CBC"/>
    <w:pPr>
      <w:spacing w:line="240" w:lineRule="auto"/>
      <w:ind w:left="4252"/>
    </w:pPr>
  </w:style>
  <w:style w:type="character" w:customStyle="1" w:styleId="SignatureChar">
    <w:name w:val="Signature Char"/>
    <w:basedOn w:val="DefaultParagraphFont"/>
    <w:link w:val="Signature"/>
    <w:rsid w:val="00E01CBC"/>
    <w:rPr>
      <w:rFonts w:ascii="Arial" w:hAnsi="Arial" w:cs="Arial"/>
      <w:sz w:val="21"/>
    </w:rPr>
  </w:style>
  <w:style w:type="paragraph" w:styleId="Subtitle">
    <w:name w:val="Subtitle"/>
    <w:basedOn w:val="Normal"/>
    <w:next w:val="Normal"/>
    <w:link w:val="SubtitleChar"/>
    <w:qFormat/>
    <w:rsid w:val="00E01CBC"/>
    <w:pPr>
      <w:numPr>
        <w:ilvl w:val="1"/>
      </w:numPr>
    </w:pPr>
    <w:rPr>
      <w:rFonts w:asciiTheme="majorHAnsi" w:eastAsiaTheme="majorEastAsia" w:hAnsiTheme="majorHAnsi" w:cstheme="majorBidi"/>
      <w:i/>
      <w:iCs/>
      <w:color w:val="017070" w:themeColor="accent1"/>
      <w:spacing w:val="15"/>
      <w:sz w:val="24"/>
      <w:szCs w:val="24"/>
    </w:rPr>
  </w:style>
  <w:style w:type="character" w:customStyle="1" w:styleId="SubtitleChar">
    <w:name w:val="Subtitle Char"/>
    <w:basedOn w:val="DefaultParagraphFont"/>
    <w:link w:val="Subtitle"/>
    <w:rsid w:val="00E01CBC"/>
    <w:rPr>
      <w:rFonts w:asciiTheme="majorHAnsi" w:eastAsiaTheme="majorEastAsia" w:hAnsiTheme="majorHAnsi" w:cstheme="majorBidi"/>
      <w:i/>
      <w:iCs/>
      <w:color w:val="017070" w:themeColor="accent1"/>
      <w:spacing w:val="15"/>
      <w:sz w:val="24"/>
      <w:szCs w:val="24"/>
    </w:rPr>
  </w:style>
  <w:style w:type="paragraph" w:styleId="TableofAuthorities">
    <w:name w:val="table of authorities"/>
    <w:basedOn w:val="Normal"/>
    <w:next w:val="Normal"/>
    <w:rsid w:val="00E01CBC"/>
    <w:pPr>
      <w:ind w:left="210" w:hanging="210"/>
    </w:pPr>
  </w:style>
  <w:style w:type="paragraph" w:styleId="TableofFigures">
    <w:name w:val="table of figures"/>
    <w:basedOn w:val="Normal"/>
    <w:next w:val="Normal"/>
    <w:rsid w:val="00E01CBC"/>
  </w:style>
  <w:style w:type="paragraph" w:styleId="TOAHeading">
    <w:name w:val="toa heading"/>
    <w:basedOn w:val="Normal"/>
    <w:next w:val="Normal"/>
    <w:rsid w:val="00E01CB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rsid w:val="001D15B2"/>
    <w:pPr>
      <w:tabs>
        <w:tab w:val="right" w:pos="8495"/>
      </w:tabs>
      <w:spacing w:before="100"/>
      <w:ind w:left="629" w:firstLine="79"/>
    </w:pPr>
    <w:rPr>
      <w:noProof/>
    </w:rPr>
  </w:style>
  <w:style w:type="paragraph" w:styleId="TOC5">
    <w:name w:val="toc 5"/>
    <w:basedOn w:val="Normal"/>
    <w:next w:val="Normal"/>
    <w:autoRedefine/>
    <w:rsid w:val="00E01CBC"/>
    <w:pPr>
      <w:spacing w:after="100"/>
      <w:ind w:left="840"/>
    </w:pPr>
  </w:style>
  <w:style w:type="paragraph" w:styleId="TOC6">
    <w:name w:val="toc 6"/>
    <w:basedOn w:val="Normal"/>
    <w:next w:val="Normal"/>
    <w:autoRedefine/>
    <w:rsid w:val="00E01CBC"/>
    <w:pPr>
      <w:spacing w:after="100"/>
      <w:ind w:left="1050"/>
    </w:pPr>
  </w:style>
  <w:style w:type="paragraph" w:styleId="TOC7">
    <w:name w:val="toc 7"/>
    <w:basedOn w:val="Normal"/>
    <w:next w:val="Normal"/>
    <w:autoRedefine/>
    <w:rsid w:val="00E01CBC"/>
    <w:pPr>
      <w:spacing w:after="100"/>
      <w:ind w:left="1260"/>
    </w:pPr>
  </w:style>
  <w:style w:type="paragraph" w:styleId="TOC8">
    <w:name w:val="toc 8"/>
    <w:basedOn w:val="Normal"/>
    <w:next w:val="Normal"/>
    <w:autoRedefine/>
    <w:rsid w:val="00E01CBC"/>
    <w:pPr>
      <w:spacing w:after="100"/>
      <w:ind w:left="1470"/>
    </w:pPr>
  </w:style>
  <w:style w:type="paragraph" w:styleId="TOCHeading">
    <w:name w:val="TOC Heading"/>
    <w:basedOn w:val="Heading1"/>
    <w:next w:val="Normal"/>
    <w:uiPriority w:val="39"/>
    <w:semiHidden/>
    <w:unhideWhenUsed/>
    <w:qFormat/>
    <w:rsid w:val="00E01CBC"/>
    <w:pPr>
      <w:keepLines/>
      <w:spacing w:after="0"/>
      <w:outlineLvl w:val="9"/>
    </w:pPr>
    <w:rPr>
      <w:rFonts w:asciiTheme="majorHAnsi" w:eastAsiaTheme="majorEastAsia" w:hAnsiTheme="majorHAnsi" w:cstheme="majorBidi"/>
      <w:color w:val="005353" w:themeColor="accent1" w:themeShade="BF"/>
      <w:kern w:val="0"/>
      <w:szCs w:val="28"/>
    </w:rPr>
  </w:style>
  <w:style w:type="paragraph" w:customStyle="1" w:styleId="LHHeader">
    <w:name w:val="LHHeader"/>
    <w:rsid w:val="00C90C5D"/>
    <w:pPr>
      <w:spacing w:line="264" w:lineRule="auto"/>
    </w:pPr>
    <w:rPr>
      <w:sz w:val="16"/>
      <w:szCs w:val="16"/>
    </w:rPr>
  </w:style>
  <w:style w:type="character" w:styleId="Hyperlink">
    <w:name w:val="Hyperlink"/>
    <w:basedOn w:val="DefaultParagraphFont"/>
    <w:uiPriority w:val="99"/>
    <w:rsid w:val="00B110C1"/>
    <w:rPr>
      <w:color w:val="0000FF"/>
      <w:u w:val="single"/>
    </w:rPr>
  </w:style>
  <w:style w:type="character" w:customStyle="1" w:styleId="FooterChar">
    <w:name w:val="Footer Char"/>
    <w:basedOn w:val="DefaultParagraphFont"/>
    <w:link w:val="Footer"/>
    <w:uiPriority w:val="99"/>
    <w:rsid w:val="009648CB"/>
    <w:rPr>
      <w:rFonts w:ascii="Arial" w:hAnsi="Arial" w:cs="Arial"/>
      <w:sz w:val="14"/>
    </w:rPr>
  </w:style>
  <w:style w:type="paragraph" w:customStyle="1" w:styleId="DefinitionsCapA">
    <w:name w:val="Definitions (CapA)"/>
    <w:basedOn w:val="Normal"/>
    <w:link w:val="DefinitionsCapAChar"/>
    <w:rsid w:val="00531427"/>
    <w:pPr>
      <w:numPr>
        <w:ilvl w:val="3"/>
        <w:numId w:val="9"/>
      </w:numPr>
      <w:tabs>
        <w:tab w:val="clear" w:pos="2880"/>
      </w:tabs>
      <w:spacing w:after="240"/>
    </w:pPr>
  </w:style>
  <w:style w:type="character" w:customStyle="1" w:styleId="DefinitionsCapAChar">
    <w:name w:val="Definitions (CapA) Char"/>
    <w:basedOn w:val="DefaultParagraphFont"/>
    <w:link w:val="DefinitionsCapA"/>
    <w:rsid w:val="00531427"/>
    <w:rPr>
      <w:rFonts w:ascii="Arial" w:hAnsi="Arial" w:cs="Arial"/>
      <w:sz w:val="21"/>
    </w:rPr>
  </w:style>
  <w:style w:type="paragraph" w:customStyle="1" w:styleId="Heading">
    <w:name w:val="Heading"/>
    <w:basedOn w:val="Heading3"/>
    <w:qFormat/>
    <w:rsid w:val="00474AC5"/>
  </w:style>
  <w:style w:type="paragraph" w:customStyle="1" w:styleId="StyleHeading3CustomColorRGB0169157Before12pt">
    <w:name w:val="Style Heading 3 + Custom Color(RGB(0169157)) Before:  12 pt"/>
    <w:basedOn w:val="Heading3"/>
    <w:rsid w:val="00474AC5"/>
    <w:rPr>
      <w:rFonts w:cs="Times New Roman"/>
      <w:bCs/>
    </w:rPr>
  </w:style>
  <w:style w:type="paragraph" w:customStyle="1" w:styleId="StyleLevel1LegalCustomColorRGB0169157">
    <w:name w:val="Style Level 1 (Legal) + Custom Color(RGB(0169157))"/>
    <w:basedOn w:val="Level1Legal"/>
    <w:rsid w:val="00A341F5"/>
    <w:rPr>
      <w:bCs/>
    </w:rPr>
  </w:style>
  <w:style w:type="numbering" w:customStyle="1" w:styleId="Tender">
    <w:name w:val="Tender"/>
    <w:uiPriority w:val="99"/>
    <w:rsid w:val="00CF6EBF"/>
    <w:pPr>
      <w:numPr>
        <w:numId w:val="26"/>
      </w:numPr>
    </w:pPr>
  </w:style>
  <w:style w:type="character" w:customStyle="1" w:styleId="HeaderChar">
    <w:name w:val="Header Char"/>
    <w:basedOn w:val="DefaultParagraphFont"/>
    <w:link w:val="Header"/>
    <w:uiPriority w:val="99"/>
    <w:rsid w:val="006D5D5C"/>
    <w:rPr>
      <w:color w:val="017070" w:themeColor="accent1"/>
      <w:sz w:val="16"/>
    </w:rPr>
  </w:style>
  <w:style w:type="paragraph" w:customStyle="1" w:styleId="EmployeeName">
    <w:name w:val="Employee Name"/>
    <w:basedOn w:val="Normal"/>
    <w:qFormat/>
    <w:rsid w:val="006C7DA9"/>
    <w:pPr>
      <w:spacing w:before="20"/>
    </w:pPr>
    <w:rPr>
      <w:color w:val="017070" w:themeColor="accent1"/>
      <w:sz w:val="24"/>
      <w:szCs w:val="24"/>
    </w:rPr>
  </w:style>
  <w:style w:type="paragraph" w:customStyle="1" w:styleId="EmployeeTitle">
    <w:name w:val="Employee Title"/>
    <w:basedOn w:val="Normal"/>
    <w:qFormat/>
    <w:rsid w:val="006C7DA9"/>
  </w:style>
  <w:style w:type="character" w:styleId="PlaceholderText">
    <w:name w:val="Placeholder Text"/>
    <w:basedOn w:val="DefaultParagraphFont"/>
    <w:uiPriority w:val="99"/>
    <w:semiHidden/>
    <w:rsid w:val="00404429"/>
    <w:rPr>
      <w:color w:val="808080"/>
    </w:rPr>
  </w:style>
  <w:style w:type="paragraph" w:customStyle="1" w:styleId="Quotesourcelarge">
    <w:name w:val="Quote source large"/>
    <w:basedOn w:val="Normal"/>
    <w:qFormat/>
    <w:rsid w:val="00151873"/>
    <w:pPr>
      <w:ind w:left="4706"/>
    </w:pPr>
    <w:rPr>
      <w:sz w:val="32"/>
      <w:szCs w:val="32"/>
    </w:rPr>
  </w:style>
  <w:style w:type="paragraph" w:customStyle="1" w:styleId="TOC">
    <w:name w:val="TOC"/>
    <w:basedOn w:val="Normal"/>
    <w:qFormat/>
    <w:rsid w:val="00571B8C"/>
    <w:rPr>
      <w:caps/>
      <w:color w:val="017070" w:themeColor="accent1"/>
      <w:sz w:val="24"/>
      <w:szCs w:val="24"/>
    </w:rPr>
  </w:style>
  <w:style w:type="character" w:styleId="Emphasis">
    <w:name w:val="Emphasis"/>
    <w:basedOn w:val="DefaultParagraphFont"/>
    <w:qFormat/>
    <w:rsid w:val="006D5D5C"/>
    <w:rPr>
      <w:i/>
      <w:iCs/>
    </w:rPr>
  </w:style>
  <w:style w:type="paragraph" w:customStyle="1" w:styleId="EmployeeDetails">
    <w:name w:val="Employee Details"/>
    <w:basedOn w:val="Normal"/>
    <w:qFormat/>
    <w:rsid w:val="006C7DA9"/>
    <w:pPr>
      <w:tabs>
        <w:tab w:val="left" w:pos="284"/>
      </w:tabs>
      <w:spacing w:line="240" w:lineRule="auto"/>
    </w:pPr>
    <w:rPr>
      <w:rFonts w:cs="Times New Roman"/>
      <w:sz w:val="20"/>
      <w:szCs w:val="20"/>
    </w:rPr>
  </w:style>
  <w:style w:type="paragraph" w:customStyle="1" w:styleId="EmployeeEmail">
    <w:name w:val="Employee Email"/>
    <w:basedOn w:val="EmployeeDetails"/>
    <w:qFormat/>
    <w:rsid w:val="004F57A0"/>
    <w:rPr>
      <w:sz w:val="18"/>
    </w:rPr>
  </w:style>
  <w:style w:type="table" w:customStyle="1" w:styleId="BDTable">
    <w:name w:val="BD Table"/>
    <w:basedOn w:val="TableNormal"/>
    <w:uiPriority w:val="99"/>
    <w:rsid w:val="00FB3425"/>
    <w:rPr>
      <w:rFonts w:cs="Times New Roman"/>
      <w:szCs w:val="20"/>
    </w:rPr>
    <w:tblPr/>
  </w:style>
  <w:style w:type="paragraph" w:customStyle="1" w:styleId="ProfileHeading1">
    <w:name w:val="Profile Heading 1"/>
    <w:basedOn w:val="BodyText"/>
    <w:next w:val="BodyText"/>
    <w:qFormat/>
    <w:rsid w:val="005171C8"/>
    <w:pPr>
      <w:spacing w:before="567"/>
    </w:pPr>
    <w:rPr>
      <w:color w:val="017070" w:themeColor="accent1"/>
      <w:sz w:val="24"/>
      <w:szCs w:val="24"/>
      <w:lang w:eastAsia="en-US"/>
    </w:rPr>
  </w:style>
  <w:style w:type="paragraph" w:customStyle="1" w:styleId="ProfileHeading2">
    <w:name w:val="Profile Heading 2"/>
    <w:basedOn w:val="ProfileHeading1"/>
    <w:next w:val="BodyText"/>
    <w:qFormat/>
    <w:rsid w:val="00A53ABB"/>
    <w:pPr>
      <w:spacing w:before="447"/>
    </w:pPr>
  </w:style>
  <w:style w:type="paragraph" w:customStyle="1" w:styleId="Quotelarge">
    <w:name w:val="Quote large"/>
    <w:next w:val="Quotesourcelarge"/>
    <w:qFormat/>
    <w:rsid w:val="00151873"/>
    <w:pPr>
      <w:ind w:left="4706"/>
    </w:pPr>
    <w:rPr>
      <w:i/>
      <w:sz w:val="52"/>
      <w:szCs w:val="52"/>
    </w:rPr>
  </w:style>
  <w:style w:type="paragraph" w:customStyle="1" w:styleId="Quotesource">
    <w:name w:val="Quote source"/>
    <w:basedOn w:val="Normal"/>
    <w:qFormat/>
    <w:rsid w:val="006A3F18"/>
    <w:pPr>
      <w:spacing w:line="240" w:lineRule="auto"/>
      <w:ind w:left="2410"/>
    </w:pPr>
  </w:style>
  <w:style w:type="character" w:customStyle="1" w:styleId="Heading2Char">
    <w:name w:val="Heading 2 Char"/>
    <w:basedOn w:val="DefaultParagraphFont"/>
    <w:link w:val="Heading2"/>
    <w:rsid w:val="002D39C3"/>
    <w:rPr>
      <w:bCs/>
      <w:iCs/>
      <w:color w:val="414141" w:themeColor="accent6"/>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1"/>
        <w:szCs w:val="21"/>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Closing" w:uiPriority="98"/>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F18"/>
    <w:pPr>
      <w:spacing w:line="264" w:lineRule="auto"/>
    </w:pPr>
  </w:style>
  <w:style w:type="paragraph" w:styleId="Heading1">
    <w:name w:val="heading 1"/>
    <w:basedOn w:val="Normal"/>
    <w:next w:val="Normal"/>
    <w:qFormat/>
    <w:rsid w:val="00EC559B"/>
    <w:pPr>
      <w:keepNext/>
      <w:spacing w:before="480" w:after="240"/>
      <w:outlineLvl w:val="0"/>
    </w:pPr>
    <w:rPr>
      <w:bCs/>
      <w:caps/>
      <w:color w:val="017070" w:themeColor="accent1"/>
      <w:kern w:val="32"/>
      <w:sz w:val="24"/>
      <w:szCs w:val="32"/>
    </w:rPr>
  </w:style>
  <w:style w:type="paragraph" w:styleId="Heading2">
    <w:name w:val="heading 2"/>
    <w:basedOn w:val="Normal"/>
    <w:next w:val="Normal"/>
    <w:link w:val="Heading2Char"/>
    <w:qFormat/>
    <w:rsid w:val="002D39C3"/>
    <w:pPr>
      <w:keepNext/>
      <w:spacing w:before="240" w:after="240"/>
      <w:outlineLvl w:val="1"/>
    </w:pPr>
    <w:rPr>
      <w:bCs/>
      <w:iCs/>
      <w:color w:val="414141" w:themeColor="accent6"/>
      <w:sz w:val="24"/>
      <w:szCs w:val="28"/>
    </w:rPr>
  </w:style>
  <w:style w:type="paragraph" w:styleId="Heading3">
    <w:name w:val="heading 3"/>
    <w:basedOn w:val="Normal"/>
    <w:next w:val="Normal"/>
    <w:qFormat/>
    <w:rsid w:val="002D39C3"/>
    <w:pPr>
      <w:keepNext/>
      <w:spacing w:before="240" w:after="240"/>
      <w:jc w:val="both"/>
      <w:outlineLvl w:val="2"/>
    </w:pPr>
    <w:rPr>
      <w:color w:val="414141" w:themeColor="accent6"/>
    </w:rPr>
  </w:style>
  <w:style w:type="paragraph" w:styleId="Heading4">
    <w:name w:val="heading 4"/>
    <w:basedOn w:val="Normal"/>
    <w:next w:val="Normal"/>
    <w:link w:val="Heading4Char"/>
    <w:unhideWhenUsed/>
    <w:qFormat/>
    <w:rsid w:val="00950B9B"/>
    <w:pPr>
      <w:keepNext/>
      <w:keepLines/>
      <w:spacing w:before="240" w:after="240"/>
      <w:outlineLvl w:val="3"/>
    </w:pPr>
    <w:rPr>
      <w:rFonts w:asciiTheme="majorHAnsi" w:eastAsiaTheme="majorEastAsia" w:hAnsiTheme="majorHAnsi" w:cstheme="majorBidi"/>
      <w:bCs/>
      <w:iCs/>
      <w:color w:val="595959"/>
    </w:rPr>
  </w:style>
  <w:style w:type="paragraph" w:styleId="Heading5">
    <w:name w:val="heading 5"/>
    <w:basedOn w:val="Normal"/>
    <w:next w:val="Normal"/>
    <w:link w:val="Heading5Char"/>
    <w:semiHidden/>
    <w:unhideWhenUsed/>
    <w:qFormat/>
    <w:rsid w:val="00E01CBC"/>
    <w:pPr>
      <w:keepNext/>
      <w:keepLines/>
      <w:spacing w:before="200"/>
      <w:outlineLvl w:val="4"/>
    </w:pPr>
    <w:rPr>
      <w:rFonts w:asciiTheme="majorHAnsi" w:eastAsiaTheme="majorEastAsia" w:hAnsiTheme="majorHAnsi" w:cstheme="majorBidi"/>
      <w:color w:val="003737" w:themeColor="accent1" w:themeShade="7F"/>
    </w:rPr>
  </w:style>
  <w:style w:type="paragraph" w:styleId="Heading6">
    <w:name w:val="heading 6"/>
    <w:basedOn w:val="Normal"/>
    <w:next w:val="Normal"/>
    <w:link w:val="Heading6Char"/>
    <w:unhideWhenUsed/>
    <w:qFormat/>
    <w:rsid w:val="00E01CBC"/>
    <w:pPr>
      <w:keepNext/>
      <w:keepLines/>
      <w:spacing w:before="200"/>
      <w:outlineLvl w:val="5"/>
    </w:pPr>
    <w:rPr>
      <w:rFonts w:asciiTheme="majorHAnsi" w:eastAsiaTheme="majorEastAsia" w:hAnsiTheme="majorHAnsi" w:cstheme="majorBidi"/>
      <w:i/>
      <w:iCs/>
      <w:color w:val="003737" w:themeColor="accent1" w:themeShade="7F"/>
    </w:rPr>
  </w:style>
  <w:style w:type="paragraph" w:styleId="Heading7">
    <w:name w:val="heading 7"/>
    <w:basedOn w:val="Normal"/>
    <w:next w:val="Normal"/>
    <w:link w:val="Heading7Char"/>
    <w:semiHidden/>
    <w:unhideWhenUsed/>
    <w:qFormat/>
    <w:rsid w:val="00E01CB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E01CB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E01CB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italsA">
    <w:name w:val="Recitals A"/>
    <w:basedOn w:val="Normal"/>
    <w:rsid w:val="00C949DB"/>
    <w:pPr>
      <w:numPr>
        <w:numId w:val="8"/>
      </w:numPr>
      <w:tabs>
        <w:tab w:val="clear" w:pos="720"/>
      </w:tabs>
      <w:spacing w:after="240"/>
    </w:pPr>
  </w:style>
  <w:style w:type="paragraph" w:customStyle="1" w:styleId="Recitalsa0">
    <w:name w:val="Recitals (a)"/>
    <w:basedOn w:val="Normal"/>
    <w:rsid w:val="00C949DB"/>
    <w:pPr>
      <w:numPr>
        <w:ilvl w:val="1"/>
        <w:numId w:val="8"/>
      </w:numPr>
      <w:tabs>
        <w:tab w:val="clear" w:pos="1440"/>
      </w:tabs>
      <w:spacing w:after="240"/>
    </w:pPr>
  </w:style>
  <w:style w:type="paragraph" w:customStyle="1" w:styleId="Definitionsitem">
    <w:name w:val="Definitions item"/>
    <w:basedOn w:val="Normal"/>
    <w:rsid w:val="00C949DB"/>
    <w:pPr>
      <w:numPr>
        <w:numId w:val="9"/>
      </w:numPr>
      <w:tabs>
        <w:tab w:val="clear" w:pos="720"/>
      </w:tabs>
      <w:spacing w:after="240"/>
    </w:pPr>
  </w:style>
  <w:style w:type="paragraph" w:customStyle="1" w:styleId="Definitionsa">
    <w:name w:val="Definitions (a)"/>
    <w:basedOn w:val="Normal"/>
    <w:rsid w:val="00C949DB"/>
    <w:pPr>
      <w:numPr>
        <w:ilvl w:val="1"/>
        <w:numId w:val="9"/>
      </w:numPr>
      <w:tabs>
        <w:tab w:val="clear" w:pos="1440"/>
      </w:tabs>
      <w:spacing w:after="240"/>
    </w:pPr>
  </w:style>
  <w:style w:type="paragraph" w:customStyle="1" w:styleId="Definitionsi">
    <w:name w:val="Definitions (i)"/>
    <w:basedOn w:val="Normal"/>
    <w:rsid w:val="00C949DB"/>
    <w:pPr>
      <w:numPr>
        <w:ilvl w:val="2"/>
        <w:numId w:val="9"/>
      </w:numPr>
      <w:tabs>
        <w:tab w:val="clear" w:pos="2160"/>
      </w:tabs>
      <w:spacing w:after="240"/>
    </w:pPr>
  </w:style>
  <w:style w:type="paragraph" w:customStyle="1" w:styleId="AdvicesA">
    <w:name w:val="Advices A"/>
    <w:basedOn w:val="Normal"/>
    <w:next w:val="Normal"/>
    <w:rsid w:val="00002899"/>
    <w:pPr>
      <w:keepNext/>
      <w:numPr>
        <w:numId w:val="10"/>
      </w:numPr>
      <w:tabs>
        <w:tab w:val="clear" w:pos="720"/>
      </w:tabs>
      <w:spacing w:after="240"/>
    </w:pPr>
    <w:rPr>
      <w:b/>
    </w:rPr>
  </w:style>
  <w:style w:type="paragraph" w:customStyle="1" w:styleId="Advicesa0">
    <w:name w:val="Advices (a)"/>
    <w:basedOn w:val="Normal"/>
    <w:next w:val="Normal"/>
    <w:rsid w:val="00002899"/>
    <w:pPr>
      <w:keepNext/>
      <w:numPr>
        <w:ilvl w:val="1"/>
        <w:numId w:val="10"/>
      </w:numPr>
      <w:tabs>
        <w:tab w:val="clear" w:pos="720"/>
      </w:tabs>
      <w:spacing w:after="240"/>
    </w:pPr>
    <w:rPr>
      <w:b/>
    </w:rPr>
  </w:style>
  <w:style w:type="paragraph" w:customStyle="1" w:styleId="Level1Legal">
    <w:name w:val="Level 1 (Legal)"/>
    <w:basedOn w:val="Normal"/>
    <w:next w:val="FO1Legal"/>
    <w:rsid w:val="00EC559B"/>
    <w:pPr>
      <w:keepNext/>
      <w:numPr>
        <w:numId w:val="5"/>
      </w:numPr>
      <w:tabs>
        <w:tab w:val="clear" w:pos="720"/>
      </w:tabs>
      <w:spacing w:before="480" w:after="240"/>
      <w:outlineLvl w:val="0"/>
    </w:pPr>
    <w:rPr>
      <w:caps/>
      <w:color w:val="017070" w:themeColor="accent1"/>
      <w:sz w:val="24"/>
      <w:szCs w:val="24"/>
    </w:rPr>
  </w:style>
  <w:style w:type="paragraph" w:customStyle="1" w:styleId="Level2Legal">
    <w:name w:val="Level 2 (Legal)"/>
    <w:basedOn w:val="Normal"/>
    <w:next w:val="FO2Legal"/>
    <w:qFormat/>
    <w:rsid w:val="002D39C3"/>
    <w:pPr>
      <w:numPr>
        <w:ilvl w:val="1"/>
        <w:numId w:val="5"/>
      </w:numPr>
      <w:spacing w:before="240" w:after="240"/>
      <w:outlineLvl w:val="1"/>
    </w:pPr>
    <w:rPr>
      <w:color w:val="414141" w:themeColor="accent6"/>
      <w:sz w:val="24"/>
    </w:rPr>
  </w:style>
  <w:style w:type="paragraph" w:customStyle="1" w:styleId="Level3Legal">
    <w:name w:val="Level 3 (Legal)"/>
    <w:basedOn w:val="Normal"/>
    <w:rsid w:val="00C949DB"/>
    <w:pPr>
      <w:numPr>
        <w:ilvl w:val="2"/>
        <w:numId w:val="5"/>
      </w:numPr>
      <w:tabs>
        <w:tab w:val="clear" w:pos="1440"/>
      </w:tabs>
      <w:spacing w:after="240"/>
    </w:pPr>
  </w:style>
  <w:style w:type="paragraph" w:customStyle="1" w:styleId="Level4Legal">
    <w:name w:val="Level 4 (Legal)"/>
    <w:basedOn w:val="Normal"/>
    <w:rsid w:val="00C949DB"/>
    <w:pPr>
      <w:numPr>
        <w:ilvl w:val="3"/>
        <w:numId w:val="5"/>
      </w:numPr>
      <w:tabs>
        <w:tab w:val="clear" w:pos="2160"/>
      </w:tabs>
      <w:spacing w:after="240"/>
    </w:pPr>
  </w:style>
  <w:style w:type="paragraph" w:customStyle="1" w:styleId="Level5Legal">
    <w:name w:val="Level 5 (Legal)"/>
    <w:basedOn w:val="Normal"/>
    <w:rsid w:val="00C949DB"/>
    <w:pPr>
      <w:numPr>
        <w:ilvl w:val="4"/>
        <w:numId w:val="5"/>
      </w:numPr>
      <w:tabs>
        <w:tab w:val="clear" w:pos="2880"/>
      </w:tabs>
      <w:spacing w:after="240"/>
    </w:pPr>
  </w:style>
  <w:style w:type="paragraph" w:customStyle="1" w:styleId="Level1Schedule">
    <w:name w:val="Level 1 (Schedule)"/>
    <w:basedOn w:val="Level1Legal"/>
    <w:next w:val="FO1Schedule"/>
    <w:rsid w:val="00C949DB"/>
    <w:pPr>
      <w:numPr>
        <w:numId w:val="6"/>
      </w:numPr>
      <w:tabs>
        <w:tab w:val="clear" w:pos="720"/>
      </w:tabs>
      <w:outlineLvl w:val="9"/>
    </w:pPr>
  </w:style>
  <w:style w:type="paragraph" w:customStyle="1" w:styleId="Level2Schedule">
    <w:name w:val="Level 2 (Schedule)"/>
    <w:basedOn w:val="Level2Legal"/>
    <w:next w:val="FO2Schedule"/>
    <w:rsid w:val="002D39C3"/>
    <w:pPr>
      <w:numPr>
        <w:numId w:val="6"/>
      </w:numPr>
      <w:tabs>
        <w:tab w:val="clear" w:pos="720"/>
      </w:tabs>
      <w:outlineLvl w:val="9"/>
    </w:pPr>
  </w:style>
  <w:style w:type="paragraph" w:customStyle="1" w:styleId="Level3Schedule">
    <w:name w:val="Level 3 (Schedule)"/>
    <w:basedOn w:val="Level3Legal"/>
    <w:rsid w:val="00C949DB"/>
    <w:pPr>
      <w:numPr>
        <w:numId w:val="6"/>
      </w:numPr>
      <w:tabs>
        <w:tab w:val="clear" w:pos="1440"/>
      </w:tabs>
    </w:pPr>
  </w:style>
  <w:style w:type="paragraph" w:customStyle="1" w:styleId="Level4Schedule">
    <w:name w:val="Level 4 (Schedule)"/>
    <w:basedOn w:val="Level4Legal"/>
    <w:rsid w:val="00C949DB"/>
    <w:pPr>
      <w:numPr>
        <w:numId w:val="6"/>
      </w:numPr>
      <w:tabs>
        <w:tab w:val="clear" w:pos="2160"/>
      </w:tabs>
    </w:pPr>
  </w:style>
  <w:style w:type="paragraph" w:customStyle="1" w:styleId="Level5Schedule">
    <w:name w:val="Level 5 (Schedule)"/>
    <w:basedOn w:val="Level5Legal"/>
    <w:rsid w:val="00C949DB"/>
    <w:pPr>
      <w:numPr>
        <w:numId w:val="6"/>
      </w:numPr>
      <w:tabs>
        <w:tab w:val="clear" w:pos="2880"/>
      </w:tabs>
    </w:pPr>
  </w:style>
  <w:style w:type="paragraph" w:customStyle="1" w:styleId="Level1List">
    <w:name w:val="Level 1 (List)"/>
    <w:basedOn w:val="Normal"/>
    <w:rsid w:val="00C949DB"/>
    <w:pPr>
      <w:numPr>
        <w:numId w:val="7"/>
      </w:numPr>
      <w:tabs>
        <w:tab w:val="clear" w:pos="720"/>
      </w:tabs>
      <w:spacing w:after="240"/>
    </w:pPr>
  </w:style>
  <w:style w:type="paragraph" w:customStyle="1" w:styleId="Level2List">
    <w:name w:val="Level 2 (List)"/>
    <w:basedOn w:val="Normal"/>
    <w:rsid w:val="00C949DB"/>
    <w:pPr>
      <w:numPr>
        <w:ilvl w:val="1"/>
        <w:numId w:val="7"/>
      </w:numPr>
      <w:tabs>
        <w:tab w:val="clear" w:pos="1440"/>
      </w:tabs>
      <w:spacing w:after="240"/>
    </w:pPr>
  </w:style>
  <w:style w:type="paragraph" w:customStyle="1" w:styleId="Level3List">
    <w:name w:val="Level 3 (List)"/>
    <w:basedOn w:val="Normal"/>
    <w:rsid w:val="00C949DB"/>
    <w:pPr>
      <w:numPr>
        <w:ilvl w:val="2"/>
        <w:numId w:val="7"/>
      </w:numPr>
      <w:tabs>
        <w:tab w:val="clear" w:pos="2160"/>
      </w:tabs>
      <w:spacing w:after="240"/>
    </w:pPr>
  </w:style>
  <w:style w:type="paragraph" w:customStyle="1" w:styleId="Level4List">
    <w:name w:val="Level 4 (List)"/>
    <w:basedOn w:val="Normal"/>
    <w:rsid w:val="00C949DB"/>
    <w:pPr>
      <w:numPr>
        <w:ilvl w:val="3"/>
        <w:numId w:val="7"/>
      </w:numPr>
      <w:tabs>
        <w:tab w:val="clear" w:pos="2880"/>
      </w:tabs>
      <w:spacing w:after="240"/>
    </w:pPr>
  </w:style>
  <w:style w:type="paragraph" w:customStyle="1" w:styleId="Level5List">
    <w:name w:val="Level 5 (List)"/>
    <w:basedOn w:val="Normal"/>
    <w:rsid w:val="00C949DB"/>
    <w:pPr>
      <w:numPr>
        <w:ilvl w:val="4"/>
        <w:numId w:val="7"/>
      </w:numPr>
      <w:tabs>
        <w:tab w:val="clear" w:pos="3600"/>
      </w:tabs>
      <w:spacing w:after="240"/>
    </w:pPr>
  </w:style>
  <w:style w:type="paragraph" w:customStyle="1" w:styleId="FO1Legal">
    <w:name w:val="FO_1 (Legal)"/>
    <w:basedOn w:val="Normal"/>
    <w:rsid w:val="00C949DB"/>
    <w:pPr>
      <w:spacing w:after="240"/>
      <w:ind w:left="720"/>
    </w:pPr>
  </w:style>
  <w:style w:type="paragraph" w:customStyle="1" w:styleId="FO2Legal">
    <w:name w:val="FO_2 (Legal)"/>
    <w:basedOn w:val="Normal"/>
    <w:rsid w:val="00C949DB"/>
    <w:pPr>
      <w:spacing w:after="240"/>
      <w:ind w:left="720"/>
    </w:pPr>
  </w:style>
  <w:style w:type="paragraph" w:customStyle="1" w:styleId="FO3Legal">
    <w:name w:val="FO_3 (Legal)"/>
    <w:basedOn w:val="Normal"/>
    <w:rsid w:val="00C949DB"/>
    <w:pPr>
      <w:spacing w:after="240"/>
      <w:ind w:left="1440"/>
    </w:pPr>
  </w:style>
  <w:style w:type="paragraph" w:customStyle="1" w:styleId="FO4Legal">
    <w:name w:val="FO_4 (Legal)"/>
    <w:basedOn w:val="Normal"/>
    <w:rsid w:val="00C949DB"/>
    <w:pPr>
      <w:spacing w:after="240"/>
      <w:ind w:left="2160"/>
    </w:pPr>
  </w:style>
  <w:style w:type="paragraph" w:customStyle="1" w:styleId="FO5Legal">
    <w:name w:val="FO_5 (Legal)"/>
    <w:basedOn w:val="Normal"/>
    <w:rsid w:val="00C949DB"/>
    <w:pPr>
      <w:spacing w:after="240"/>
      <w:ind w:left="2880"/>
    </w:pPr>
  </w:style>
  <w:style w:type="paragraph" w:customStyle="1" w:styleId="FO1Schedule">
    <w:name w:val="FO_1 (Schedule)"/>
    <w:basedOn w:val="FO1Legal"/>
    <w:rsid w:val="00C949DB"/>
  </w:style>
  <w:style w:type="paragraph" w:customStyle="1" w:styleId="FO2Schedule">
    <w:name w:val="FO_2 (Schedule)"/>
    <w:basedOn w:val="FO2Legal"/>
    <w:rsid w:val="00C949DB"/>
  </w:style>
  <w:style w:type="paragraph" w:customStyle="1" w:styleId="FO3Schedule">
    <w:name w:val="FO_3 (Schedule)"/>
    <w:basedOn w:val="FO3Legal"/>
    <w:rsid w:val="00C949DB"/>
  </w:style>
  <w:style w:type="paragraph" w:customStyle="1" w:styleId="FO4Schedule">
    <w:name w:val="FO_4 (Schedule)"/>
    <w:basedOn w:val="FO4Legal"/>
    <w:rsid w:val="00C949DB"/>
  </w:style>
  <w:style w:type="paragraph" w:customStyle="1" w:styleId="FO5Schedule">
    <w:name w:val="FO_5 (Schedule)"/>
    <w:basedOn w:val="FO5Legal"/>
    <w:rsid w:val="00C949DB"/>
  </w:style>
  <w:style w:type="paragraph" w:customStyle="1" w:styleId="FO1List">
    <w:name w:val="FO_1 (List)"/>
    <w:basedOn w:val="Normal"/>
    <w:rsid w:val="00C949DB"/>
    <w:pPr>
      <w:spacing w:after="240"/>
      <w:ind w:left="720"/>
    </w:pPr>
  </w:style>
  <w:style w:type="paragraph" w:customStyle="1" w:styleId="FO2List">
    <w:name w:val="FO_2 (List)"/>
    <w:basedOn w:val="Normal"/>
    <w:rsid w:val="00C949DB"/>
    <w:pPr>
      <w:spacing w:after="240"/>
      <w:ind w:left="1440"/>
    </w:pPr>
  </w:style>
  <w:style w:type="paragraph" w:customStyle="1" w:styleId="FO3List">
    <w:name w:val="FO_3 (List)"/>
    <w:basedOn w:val="Normal"/>
    <w:rsid w:val="00C949DB"/>
    <w:pPr>
      <w:spacing w:after="240"/>
      <w:ind w:left="2160"/>
    </w:pPr>
  </w:style>
  <w:style w:type="paragraph" w:customStyle="1" w:styleId="FO4List">
    <w:name w:val="FO_4 (List)"/>
    <w:basedOn w:val="Normal"/>
    <w:rsid w:val="00C949DB"/>
    <w:pPr>
      <w:spacing w:after="240"/>
      <w:ind w:left="2880"/>
    </w:pPr>
  </w:style>
  <w:style w:type="paragraph" w:customStyle="1" w:styleId="FO5List">
    <w:name w:val="FO_5 (List)"/>
    <w:basedOn w:val="Normal"/>
    <w:rsid w:val="00C949DB"/>
    <w:pPr>
      <w:spacing w:after="240"/>
      <w:ind w:left="3600"/>
    </w:pPr>
  </w:style>
  <w:style w:type="character" w:customStyle="1" w:styleId="Attest1">
    <w:name w:val="Attest 1"/>
    <w:basedOn w:val="DefaultParagraphFont"/>
    <w:semiHidden/>
    <w:rsid w:val="00002899"/>
  </w:style>
  <w:style w:type="character" w:customStyle="1" w:styleId="Attest2">
    <w:name w:val="Attest 2"/>
    <w:semiHidden/>
    <w:rsid w:val="00002899"/>
    <w:rPr>
      <w:sz w:val="17"/>
    </w:rPr>
  </w:style>
  <w:style w:type="paragraph" w:customStyle="1" w:styleId="Attestation1">
    <w:name w:val="Attestation 1"/>
    <w:basedOn w:val="Normal"/>
    <w:rsid w:val="00002899"/>
    <w:pPr>
      <w:keepNext/>
    </w:pPr>
  </w:style>
  <w:style w:type="paragraph" w:customStyle="1" w:styleId="Attestation2">
    <w:name w:val="Attestation 2"/>
    <w:basedOn w:val="Attestation1"/>
    <w:rsid w:val="00002899"/>
    <w:rPr>
      <w:sz w:val="17"/>
    </w:rPr>
  </w:style>
  <w:style w:type="paragraph" w:styleId="BodyText">
    <w:name w:val="Body Text"/>
    <w:basedOn w:val="Normal"/>
    <w:link w:val="BodyTextChar"/>
    <w:rsid w:val="00002899"/>
    <w:pPr>
      <w:tabs>
        <w:tab w:val="left" w:pos="680"/>
        <w:tab w:val="left" w:pos="1304"/>
        <w:tab w:val="left" w:pos="2041"/>
        <w:tab w:val="left" w:pos="2665"/>
        <w:tab w:val="left" w:pos="3289"/>
      </w:tabs>
      <w:spacing w:after="120"/>
      <w:jc w:val="both"/>
    </w:pPr>
  </w:style>
  <w:style w:type="paragraph" w:customStyle="1" w:styleId="DAHeading">
    <w:name w:val="DA Heading"/>
    <w:basedOn w:val="Heading1"/>
    <w:next w:val="Normal"/>
    <w:rsid w:val="00002899"/>
    <w:pPr>
      <w:outlineLvl w:val="9"/>
    </w:pPr>
    <w:rPr>
      <w:caps w:val="0"/>
      <w:sz w:val="21"/>
    </w:rPr>
  </w:style>
  <w:style w:type="paragraph" w:customStyle="1" w:styleId="DATitle">
    <w:name w:val="DA Title"/>
    <w:basedOn w:val="Normal"/>
    <w:next w:val="Normal"/>
    <w:rsid w:val="00E01CBC"/>
    <w:pPr>
      <w:pBdr>
        <w:bottom w:val="single" w:sz="24" w:space="12" w:color="808080"/>
      </w:pBdr>
      <w:spacing w:after="240"/>
    </w:pPr>
    <w:rPr>
      <w:kern w:val="28"/>
      <w:sz w:val="48"/>
    </w:rPr>
  </w:style>
  <w:style w:type="paragraph" w:styleId="EnvelopeAddress">
    <w:name w:val="envelope address"/>
    <w:basedOn w:val="Normal"/>
    <w:semiHidden/>
    <w:rsid w:val="00002899"/>
    <w:pPr>
      <w:framePr w:w="5041" w:h="1979" w:hRule="exact" w:hSpace="181" w:vSpace="181" w:wrap="around" w:vAnchor="page" w:hAnchor="page" w:x="3828" w:y="2269"/>
    </w:pPr>
  </w:style>
  <w:style w:type="paragraph" w:styleId="EnvelopeReturn">
    <w:name w:val="envelope return"/>
    <w:basedOn w:val="Normal"/>
    <w:semiHidden/>
    <w:rsid w:val="00002899"/>
    <w:pPr>
      <w:tabs>
        <w:tab w:val="left" w:pos="680"/>
        <w:tab w:val="left" w:pos="1304"/>
        <w:tab w:val="left" w:pos="2041"/>
        <w:tab w:val="left" w:pos="2665"/>
        <w:tab w:val="left" w:pos="3289"/>
      </w:tabs>
      <w:jc w:val="both"/>
    </w:pPr>
    <w:rPr>
      <w:rFonts w:ascii="Helvetica" w:hAnsi="Helvetica"/>
      <w:sz w:val="20"/>
    </w:rPr>
  </w:style>
  <w:style w:type="paragraph" w:styleId="Footer">
    <w:name w:val="footer"/>
    <w:basedOn w:val="Normal"/>
    <w:link w:val="FooterChar"/>
    <w:uiPriority w:val="99"/>
    <w:rsid w:val="00002899"/>
    <w:pPr>
      <w:tabs>
        <w:tab w:val="right" w:pos="8505"/>
      </w:tabs>
    </w:pPr>
    <w:rPr>
      <w:sz w:val="14"/>
    </w:rPr>
  </w:style>
  <w:style w:type="character" w:styleId="FootnoteReference">
    <w:name w:val="footnote reference"/>
    <w:semiHidden/>
    <w:rsid w:val="00002899"/>
    <w:rPr>
      <w:vertAlign w:val="superscript"/>
    </w:rPr>
  </w:style>
  <w:style w:type="paragraph" w:styleId="FootnoteText">
    <w:name w:val="footnote text"/>
    <w:basedOn w:val="Normal"/>
    <w:semiHidden/>
    <w:rsid w:val="00002899"/>
    <w:pPr>
      <w:tabs>
        <w:tab w:val="left" w:pos="357"/>
      </w:tabs>
    </w:pPr>
    <w:rPr>
      <w:sz w:val="17"/>
    </w:rPr>
  </w:style>
  <w:style w:type="paragraph" w:styleId="Header">
    <w:name w:val="header"/>
    <w:basedOn w:val="Normal"/>
    <w:link w:val="HeaderChar"/>
    <w:uiPriority w:val="99"/>
    <w:rsid w:val="006D5D5C"/>
    <w:pPr>
      <w:pBdr>
        <w:bottom w:val="none" w:sz="0" w:space="0" w:color="017070" w:themeColor="accent1"/>
      </w:pBdr>
      <w:tabs>
        <w:tab w:val="right" w:pos="8505"/>
      </w:tabs>
      <w:spacing w:after="320"/>
      <w:jc w:val="right"/>
    </w:pPr>
    <w:rPr>
      <w:color w:val="017070" w:themeColor="accent1"/>
      <w:sz w:val="16"/>
    </w:rPr>
  </w:style>
  <w:style w:type="character" w:customStyle="1" w:styleId="Hint">
    <w:name w:val="Hint"/>
    <w:rsid w:val="00002899"/>
    <w:rPr>
      <w:rFonts w:ascii="Arial" w:hAnsi="Arial" w:cs="Arial"/>
      <w:vanish/>
      <w:color w:val="FF0000"/>
    </w:rPr>
  </w:style>
  <w:style w:type="character" w:customStyle="1" w:styleId="iddVariableMarker">
    <w:name w:val="iddVariableMarker"/>
    <w:semiHidden/>
    <w:rsid w:val="00002899"/>
    <w:rPr>
      <w:rFonts w:ascii="Comic Sans MS" w:hAnsi="Comic Sans MS"/>
      <w:color w:val="0000FF"/>
      <w:sz w:val="18"/>
    </w:rPr>
  </w:style>
  <w:style w:type="paragraph" w:styleId="ListBullet">
    <w:name w:val="List Bullet"/>
    <w:basedOn w:val="Normal"/>
    <w:autoRedefine/>
    <w:rsid w:val="00D47E88"/>
    <w:pPr>
      <w:numPr>
        <w:numId w:val="2"/>
      </w:numPr>
      <w:tabs>
        <w:tab w:val="left" w:pos="1304"/>
        <w:tab w:val="left" w:pos="2041"/>
        <w:tab w:val="left" w:pos="2665"/>
        <w:tab w:val="left" w:pos="3289"/>
      </w:tabs>
      <w:spacing w:line="240" w:lineRule="auto"/>
    </w:pPr>
    <w:rPr>
      <w:rFonts w:cs="Times New Roman"/>
    </w:rPr>
  </w:style>
  <w:style w:type="paragraph" w:styleId="NoteHeading">
    <w:name w:val="Note Heading"/>
    <w:basedOn w:val="Normal"/>
    <w:next w:val="Normal"/>
    <w:semiHidden/>
    <w:rsid w:val="00002899"/>
  </w:style>
  <w:style w:type="character" w:customStyle="1" w:styleId="NotesChar">
    <w:name w:val="NotesChar"/>
    <w:semiHidden/>
    <w:rsid w:val="00002899"/>
    <w:rPr>
      <w:rFonts w:ascii="Comic Sans MS" w:hAnsi="Comic Sans MS"/>
      <w:color w:val="0000FF"/>
      <w:szCs w:val="24"/>
      <w:shd w:val="pct25" w:color="auto" w:fill="auto"/>
    </w:rPr>
  </w:style>
  <w:style w:type="paragraph" w:customStyle="1" w:styleId="NotesPara">
    <w:name w:val="NotesPara"/>
    <w:basedOn w:val="Normal"/>
    <w:semiHidden/>
    <w:rsid w:val="00002899"/>
    <w:rPr>
      <w:color w:val="FF0000"/>
    </w:rPr>
  </w:style>
  <w:style w:type="character" w:styleId="PageNumber">
    <w:name w:val="page number"/>
    <w:basedOn w:val="DefaultParagraphFont"/>
    <w:rsid w:val="00002899"/>
  </w:style>
  <w:style w:type="paragraph" w:customStyle="1" w:styleId="ScheduleHeading">
    <w:name w:val="Schedule Heading"/>
    <w:basedOn w:val="Heading1"/>
    <w:next w:val="Normal"/>
    <w:rsid w:val="00002899"/>
    <w:pPr>
      <w:pageBreakBefore/>
      <w:spacing w:before="240"/>
      <w:outlineLvl w:val="9"/>
    </w:pPr>
    <w:rPr>
      <w:sz w:val="21"/>
    </w:rPr>
  </w:style>
  <w:style w:type="paragraph" w:customStyle="1" w:styleId="SubjectMatterDescription">
    <w:name w:val="Subject (Matter Description)"/>
    <w:basedOn w:val="Normal"/>
    <w:next w:val="Normal"/>
    <w:rsid w:val="00E01CBC"/>
    <w:pPr>
      <w:pBdr>
        <w:bottom w:val="single" w:sz="6" w:space="1" w:color="808080"/>
      </w:pBdr>
    </w:pPr>
    <w:rPr>
      <w:b/>
    </w:rPr>
  </w:style>
  <w:style w:type="table" w:styleId="TableGrid">
    <w:name w:val="Table Grid"/>
    <w:basedOn w:val="TableNormal"/>
    <w:rsid w:val="0000289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HDYwithheaderrow">
    <w:name w:val="Table HDY (with header row)"/>
    <w:basedOn w:val="TableNormal"/>
    <w:rsid w:val="001C16AB"/>
    <w:rPr>
      <w:rFonts w:asciiTheme="minorHAnsi" w:hAnsiTheme="minorHAnsi"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Pr>
    <w:tblStylePr w:type="firstRow">
      <w:rPr>
        <w:b/>
        <w:color w:val="FFFFFF"/>
      </w:rPr>
      <w:tblPr/>
      <w:tcPr>
        <w:shd w:val="clear" w:color="017070" w:themeColor="accent1" w:fill="017070" w:themeFill="accent1"/>
      </w:tcPr>
    </w:tblStylePr>
  </w:style>
  <w:style w:type="table" w:customStyle="1" w:styleId="TableHDYwithoutheaderrow">
    <w:name w:val="Table HDY (without header row)"/>
    <w:basedOn w:val="TableNormal"/>
    <w:rsid w:val="003F777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Pr>
    <w:tblStylePr w:type="firstRow">
      <w:rPr>
        <w:b w:val="0"/>
      </w:rPr>
    </w:tblStylePr>
  </w:style>
  <w:style w:type="paragraph" w:styleId="Title">
    <w:name w:val="Title"/>
    <w:basedOn w:val="Normal"/>
    <w:qFormat/>
    <w:rsid w:val="006D5D5C"/>
    <w:pPr>
      <w:outlineLvl w:val="0"/>
    </w:pPr>
    <w:rPr>
      <w:b/>
      <w:bCs/>
      <w:color w:val="FFFFFF" w:themeColor="background1"/>
      <w:kern w:val="28"/>
      <w:sz w:val="32"/>
      <w:szCs w:val="32"/>
    </w:rPr>
  </w:style>
  <w:style w:type="paragraph" w:styleId="TOC1">
    <w:name w:val="toc 1"/>
    <w:basedOn w:val="Normal"/>
    <w:next w:val="Normal"/>
    <w:autoRedefine/>
    <w:uiPriority w:val="39"/>
    <w:qFormat/>
    <w:rsid w:val="00B474CD"/>
    <w:pPr>
      <w:pBdr>
        <w:bottom w:val="single" w:sz="6" w:space="1" w:color="808080"/>
        <w:between w:val="single" w:sz="6" w:space="1" w:color="808080"/>
      </w:pBdr>
      <w:tabs>
        <w:tab w:val="right" w:pos="8505"/>
      </w:tabs>
      <w:spacing w:before="240"/>
      <w:ind w:left="720" w:hanging="720"/>
    </w:pPr>
    <w:rPr>
      <w:noProof/>
      <w:color w:val="017070" w:themeColor="accent1"/>
      <w:sz w:val="24"/>
    </w:rPr>
  </w:style>
  <w:style w:type="paragraph" w:styleId="TOC2">
    <w:name w:val="toc 2"/>
    <w:basedOn w:val="Normal"/>
    <w:next w:val="Normal"/>
    <w:autoRedefine/>
    <w:uiPriority w:val="39"/>
    <w:qFormat/>
    <w:rsid w:val="00DB7805"/>
    <w:pPr>
      <w:tabs>
        <w:tab w:val="left" w:pos="1429"/>
        <w:tab w:val="right" w:pos="8497"/>
      </w:tabs>
      <w:spacing w:before="100"/>
      <w:ind w:left="1429" w:right="720" w:hanging="720"/>
    </w:pPr>
    <w:rPr>
      <w:noProof/>
      <w:sz w:val="24"/>
    </w:rPr>
  </w:style>
  <w:style w:type="paragraph" w:styleId="TOC3">
    <w:name w:val="toc 3"/>
    <w:basedOn w:val="Normal"/>
    <w:next w:val="Normal"/>
    <w:autoRedefine/>
    <w:uiPriority w:val="39"/>
    <w:qFormat/>
    <w:rsid w:val="001D15B2"/>
    <w:pPr>
      <w:tabs>
        <w:tab w:val="right" w:pos="8505"/>
      </w:tabs>
      <w:spacing w:before="100"/>
      <w:ind w:left="1429" w:right="720" w:hanging="720"/>
    </w:pPr>
    <w:rPr>
      <w:noProof/>
    </w:rPr>
  </w:style>
  <w:style w:type="paragraph" w:styleId="TOC9">
    <w:name w:val="toc 9"/>
    <w:basedOn w:val="Normal"/>
    <w:next w:val="Normal"/>
    <w:autoRedefine/>
    <w:semiHidden/>
    <w:rsid w:val="00D95482"/>
    <w:pPr>
      <w:pBdr>
        <w:bottom w:val="single" w:sz="6" w:space="1" w:color="808080"/>
        <w:between w:val="single" w:sz="6" w:space="1" w:color="808080"/>
      </w:pBdr>
      <w:tabs>
        <w:tab w:val="right" w:pos="8505"/>
      </w:tabs>
      <w:spacing w:before="240"/>
      <w:ind w:left="720" w:hanging="720"/>
    </w:pPr>
    <w:rPr>
      <w:caps/>
    </w:rPr>
  </w:style>
  <w:style w:type="paragraph" w:customStyle="1" w:styleId="Level1Table">
    <w:name w:val="Level 1 (Table)"/>
    <w:basedOn w:val="Normal"/>
    <w:rsid w:val="007A0CD6"/>
    <w:pPr>
      <w:numPr>
        <w:numId w:val="11"/>
      </w:numPr>
      <w:tabs>
        <w:tab w:val="clear" w:pos="357"/>
      </w:tabs>
    </w:pPr>
  </w:style>
  <w:style w:type="paragraph" w:customStyle="1" w:styleId="Level2Table">
    <w:name w:val="Level 2 (Table)"/>
    <w:basedOn w:val="Normal"/>
    <w:rsid w:val="007A0CD6"/>
    <w:pPr>
      <w:numPr>
        <w:ilvl w:val="1"/>
        <w:numId w:val="11"/>
      </w:numPr>
      <w:tabs>
        <w:tab w:val="clear" w:pos="357"/>
      </w:tabs>
    </w:pPr>
  </w:style>
  <w:style w:type="paragraph" w:customStyle="1" w:styleId="Level3Table">
    <w:name w:val="Level 3 (Table)"/>
    <w:basedOn w:val="Normal"/>
    <w:rsid w:val="007A0CD6"/>
    <w:pPr>
      <w:numPr>
        <w:ilvl w:val="2"/>
        <w:numId w:val="11"/>
      </w:numPr>
      <w:tabs>
        <w:tab w:val="clear" w:pos="357"/>
      </w:tabs>
    </w:pPr>
  </w:style>
  <w:style w:type="paragraph" w:customStyle="1" w:styleId="Level4Table">
    <w:name w:val="Level 4 (Table)"/>
    <w:basedOn w:val="Normal"/>
    <w:rsid w:val="007A0CD6"/>
    <w:pPr>
      <w:numPr>
        <w:ilvl w:val="3"/>
        <w:numId w:val="11"/>
      </w:numPr>
      <w:tabs>
        <w:tab w:val="clear" w:pos="357"/>
      </w:tabs>
    </w:pPr>
  </w:style>
  <w:style w:type="paragraph" w:customStyle="1" w:styleId="Level5Table">
    <w:name w:val="Level 5 (Table)"/>
    <w:basedOn w:val="Normal"/>
    <w:rsid w:val="007A0CD6"/>
    <w:pPr>
      <w:numPr>
        <w:ilvl w:val="4"/>
        <w:numId w:val="11"/>
      </w:numPr>
      <w:tabs>
        <w:tab w:val="clear" w:pos="357"/>
      </w:tabs>
    </w:pPr>
  </w:style>
  <w:style w:type="paragraph" w:customStyle="1" w:styleId="FO1Table">
    <w:name w:val="FO_1 (Table)"/>
    <w:basedOn w:val="Normal"/>
    <w:rsid w:val="007A0CD6"/>
    <w:pPr>
      <w:ind w:left="357"/>
    </w:pPr>
  </w:style>
  <w:style w:type="paragraph" w:customStyle="1" w:styleId="FO2Table">
    <w:name w:val="FO_2 (Table)"/>
    <w:basedOn w:val="Normal"/>
    <w:rsid w:val="007A0CD6"/>
    <w:pPr>
      <w:ind w:left="357"/>
    </w:pPr>
  </w:style>
  <w:style w:type="paragraph" w:customStyle="1" w:styleId="FO3Table">
    <w:name w:val="FO_3 (Table)"/>
    <w:basedOn w:val="Normal"/>
    <w:rsid w:val="007A0CD6"/>
    <w:pPr>
      <w:ind w:left="357"/>
    </w:pPr>
  </w:style>
  <w:style w:type="paragraph" w:customStyle="1" w:styleId="FO4Table">
    <w:name w:val="FO_4 (Table)"/>
    <w:basedOn w:val="Normal"/>
    <w:rsid w:val="007A0CD6"/>
    <w:pPr>
      <w:ind w:left="357"/>
    </w:pPr>
  </w:style>
  <w:style w:type="paragraph" w:customStyle="1" w:styleId="FO5Table">
    <w:name w:val="FO_5 (Table)"/>
    <w:basedOn w:val="Normal"/>
    <w:rsid w:val="007A0CD6"/>
    <w:pPr>
      <w:ind w:left="357"/>
    </w:pPr>
  </w:style>
  <w:style w:type="paragraph" w:styleId="ListParagraph">
    <w:name w:val="List Paragraph"/>
    <w:basedOn w:val="Normal"/>
    <w:uiPriority w:val="34"/>
    <w:qFormat/>
    <w:rsid w:val="00D87C94"/>
    <w:pPr>
      <w:numPr>
        <w:numId w:val="38"/>
      </w:numPr>
      <w:spacing w:after="120"/>
    </w:pPr>
  </w:style>
  <w:style w:type="paragraph" w:styleId="BalloonText">
    <w:name w:val="Balloon Text"/>
    <w:basedOn w:val="Normal"/>
    <w:link w:val="BalloonTextChar"/>
    <w:rsid w:val="00E01CB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01CBC"/>
    <w:rPr>
      <w:rFonts w:ascii="Tahoma" w:hAnsi="Tahoma" w:cs="Tahoma"/>
      <w:sz w:val="16"/>
      <w:szCs w:val="16"/>
    </w:rPr>
  </w:style>
  <w:style w:type="paragraph" w:styleId="Bibliography">
    <w:name w:val="Bibliography"/>
    <w:basedOn w:val="Normal"/>
    <w:next w:val="Normal"/>
    <w:uiPriority w:val="37"/>
    <w:semiHidden/>
    <w:unhideWhenUsed/>
    <w:rsid w:val="00E01CBC"/>
  </w:style>
  <w:style w:type="paragraph" w:styleId="BodyText2">
    <w:name w:val="Body Text 2"/>
    <w:basedOn w:val="Normal"/>
    <w:link w:val="BodyText2Char"/>
    <w:rsid w:val="00E01CBC"/>
    <w:pPr>
      <w:spacing w:after="120" w:line="480" w:lineRule="auto"/>
    </w:pPr>
  </w:style>
  <w:style w:type="character" w:customStyle="1" w:styleId="BodyText2Char">
    <w:name w:val="Body Text 2 Char"/>
    <w:basedOn w:val="DefaultParagraphFont"/>
    <w:link w:val="BodyText2"/>
    <w:rsid w:val="00E01CBC"/>
    <w:rPr>
      <w:rFonts w:ascii="Arial" w:hAnsi="Arial" w:cs="Arial"/>
      <w:sz w:val="21"/>
    </w:rPr>
  </w:style>
  <w:style w:type="paragraph" w:styleId="BodyText3">
    <w:name w:val="Body Text 3"/>
    <w:basedOn w:val="Normal"/>
    <w:link w:val="BodyText3Char"/>
    <w:rsid w:val="00E01CBC"/>
    <w:pPr>
      <w:spacing w:after="120"/>
    </w:pPr>
    <w:rPr>
      <w:sz w:val="16"/>
      <w:szCs w:val="16"/>
    </w:rPr>
  </w:style>
  <w:style w:type="character" w:customStyle="1" w:styleId="BodyText3Char">
    <w:name w:val="Body Text 3 Char"/>
    <w:basedOn w:val="DefaultParagraphFont"/>
    <w:link w:val="BodyText3"/>
    <w:rsid w:val="00E01CBC"/>
    <w:rPr>
      <w:rFonts w:ascii="Arial" w:hAnsi="Arial" w:cs="Arial"/>
      <w:sz w:val="16"/>
      <w:szCs w:val="16"/>
    </w:rPr>
  </w:style>
  <w:style w:type="paragraph" w:styleId="BodyTextFirstIndent">
    <w:name w:val="Body Text First Indent"/>
    <w:basedOn w:val="BodyText"/>
    <w:link w:val="BodyTextFirstIndentChar"/>
    <w:rsid w:val="00E01CBC"/>
    <w:pPr>
      <w:tabs>
        <w:tab w:val="clear" w:pos="680"/>
        <w:tab w:val="clear" w:pos="1304"/>
        <w:tab w:val="clear" w:pos="2041"/>
        <w:tab w:val="clear" w:pos="2665"/>
        <w:tab w:val="clear" w:pos="3289"/>
      </w:tabs>
      <w:spacing w:after="0"/>
      <w:ind w:firstLine="360"/>
      <w:jc w:val="left"/>
    </w:pPr>
  </w:style>
  <w:style w:type="character" w:customStyle="1" w:styleId="BodyTextChar">
    <w:name w:val="Body Text Char"/>
    <w:basedOn w:val="DefaultParagraphFont"/>
    <w:link w:val="BodyText"/>
    <w:rsid w:val="00E01CBC"/>
    <w:rPr>
      <w:rFonts w:ascii="Arial" w:hAnsi="Arial" w:cs="Arial"/>
      <w:sz w:val="21"/>
    </w:rPr>
  </w:style>
  <w:style w:type="character" w:customStyle="1" w:styleId="BodyTextFirstIndentChar">
    <w:name w:val="Body Text First Indent Char"/>
    <w:basedOn w:val="BodyTextChar"/>
    <w:link w:val="BodyTextFirstIndent"/>
    <w:rsid w:val="00E01CBC"/>
    <w:rPr>
      <w:rFonts w:ascii="Arial" w:hAnsi="Arial" w:cs="Arial"/>
      <w:sz w:val="21"/>
    </w:rPr>
  </w:style>
  <w:style w:type="paragraph" w:styleId="BodyTextIndent">
    <w:name w:val="Body Text Indent"/>
    <w:basedOn w:val="Normal"/>
    <w:link w:val="BodyTextIndentChar"/>
    <w:rsid w:val="00E01CBC"/>
    <w:pPr>
      <w:spacing w:after="120"/>
      <w:ind w:left="283"/>
    </w:pPr>
  </w:style>
  <w:style w:type="character" w:customStyle="1" w:styleId="BodyTextIndentChar">
    <w:name w:val="Body Text Indent Char"/>
    <w:basedOn w:val="DefaultParagraphFont"/>
    <w:link w:val="BodyTextIndent"/>
    <w:rsid w:val="00E01CBC"/>
    <w:rPr>
      <w:rFonts w:ascii="Arial" w:hAnsi="Arial" w:cs="Arial"/>
      <w:sz w:val="21"/>
    </w:rPr>
  </w:style>
  <w:style w:type="paragraph" w:styleId="BodyTextFirstIndent2">
    <w:name w:val="Body Text First Indent 2"/>
    <w:basedOn w:val="BodyTextIndent"/>
    <w:link w:val="BodyTextFirstIndent2Char"/>
    <w:rsid w:val="00E01CBC"/>
    <w:pPr>
      <w:spacing w:after="0"/>
      <w:ind w:left="360" w:firstLine="360"/>
    </w:pPr>
  </w:style>
  <w:style w:type="character" w:customStyle="1" w:styleId="BodyTextFirstIndent2Char">
    <w:name w:val="Body Text First Indent 2 Char"/>
    <w:basedOn w:val="BodyTextIndentChar"/>
    <w:link w:val="BodyTextFirstIndent2"/>
    <w:rsid w:val="00E01CBC"/>
    <w:rPr>
      <w:rFonts w:ascii="Arial" w:hAnsi="Arial" w:cs="Arial"/>
      <w:sz w:val="21"/>
    </w:rPr>
  </w:style>
  <w:style w:type="paragraph" w:styleId="BodyTextIndent2">
    <w:name w:val="Body Text Indent 2"/>
    <w:basedOn w:val="Normal"/>
    <w:link w:val="BodyTextIndent2Char"/>
    <w:rsid w:val="00E01CBC"/>
    <w:pPr>
      <w:spacing w:after="120" w:line="480" w:lineRule="auto"/>
      <w:ind w:left="283"/>
    </w:pPr>
  </w:style>
  <w:style w:type="character" w:customStyle="1" w:styleId="BodyTextIndent2Char">
    <w:name w:val="Body Text Indent 2 Char"/>
    <w:basedOn w:val="DefaultParagraphFont"/>
    <w:link w:val="BodyTextIndent2"/>
    <w:rsid w:val="00E01CBC"/>
    <w:rPr>
      <w:rFonts w:ascii="Arial" w:hAnsi="Arial" w:cs="Arial"/>
      <w:sz w:val="21"/>
    </w:rPr>
  </w:style>
  <w:style w:type="paragraph" w:styleId="BodyTextIndent3">
    <w:name w:val="Body Text Indent 3"/>
    <w:basedOn w:val="Normal"/>
    <w:link w:val="BodyTextIndent3Char"/>
    <w:rsid w:val="00E01CBC"/>
    <w:pPr>
      <w:spacing w:after="120"/>
      <w:ind w:left="283"/>
    </w:pPr>
    <w:rPr>
      <w:sz w:val="16"/>
      <w:szCs w:val="16"/>
    </w:rPr>
  </w:style>
  <w:style w:type="character" w:customStyle="1" w:styleId="BodyTextIndent3Char">
    <w:name w:val="Body Text Indent 3 Char"/>
    <w:basedOn w:val="DefaultParagraphFont"/>
    <w:link w:val="BodyTextIndent3"/>
    <w:rsid w:val="00E01CBC"/>
    <w:rPr>
      <w:rFonts w:ascii="Arial" w:hAnsi="Arial" w:cs="Arial"/>
      <w:sz w:val="16"/>
      <w:szCs w:val="16"/>
    </w:rPr>
  </w:style>
  <w:style w:type="paragraph" w:styleId="Caption">
    <w:name w:val="caption"/>
    <w:basedOn w:val="Normal"/>
    <w:next w:val="Normal"/>
    <w:semiHidden/>
    <w:unhideWhenUsed/>
    <w:qFormat/>
    <w:rsid w:val="00E01CBC"/>
    <w:pPr>
      <w:spacing w:after="200" w:line="240" w:lineRule="auto"/>
    </w:pPr>
    <w:rPr>
      <w:b/>
      <w:bCs/>
      <w:color w:val="017070" w:themeColor="accent1"/>
      <w:sz w:val="18"/>
      <w:szCs w:val="18"/>
    </w:rPr>
  </w:style>
  <w:style w:type="paragraph" w:styleId="CommentText">
    <w:name w:val="annotation text"/>
    <w:basedOn w:val="Normal"/>
    <w:link w:val="CommentTextChar"/>
    <w:rsid w:val="00E01CBC"/>
    <w:pPr>
      <w:spacing w:line="240" w:lineRule="auto"/>
    </w:pPr>
    <w:rPr>
      <w:sz w:val="20"/>
    </w:rPr>
  </w:style>
  <w:style w:type="character" w:customStyle="1" w:styleId="CommentTextChar">
    <w:name w:val="Comment Text Char"/>
    <w:basedOn w:val="DefaultParagraphFont"/>
    <w:link w:val="CommentText"/>
    <w:rsid w:val="00E01CBC"/>
    <w:rPr>
      <w:rFonts w:ascii="Arial" w:hAnsi="Arial" w:cs="Arial"/>
    </w:rPr>
  </w:style>
  <w:style w:type="paragraph" w:styleId="CommentSubject">
    <w:name w:val="annotation subject"/>
    <w:basedOn w:val="CommentText"/>
    <w:next w:val="CommentText"/>
    <w:link w:val="CommentSubjectChar"/>
    <w:rsid w:val="00E01CBC"/>
    <w:rPr>
      <w:b/>
      <w:bCs/>
    </w:rPr>
  </w:style>
  <w:style w:type="character" w:customStyle="1" w:styleId="CommentSubjectChar">
    <w:name w:val="Comment Subject Char"/>
    <w:basedOn w:val="CommentTextChar"/>
    <w:link w:val="CommentSubject"/>
    <w:rsid w:val="00E01CBC"/>
    <w:rPr>
      <w:rFonts w:ascii="Arial" w:hAnsi="Arial" w:cs="Arial"/>
      <w:b/>
      <w:bCs/>
    </w:rPr>
  </w:style>
  <w:style w:type="paragraph" w:styleId="Date">
    <w:name w:val="Date"/>
    <w:basedOn w:val="Normal"/>
    <w:next w:val="Normal"/>
    <w:link w:val="DateChar"/>
    <w:rsid w:val="00E01CBC"/>
  </w:style>
  <w:style w:type="character" w:customStyle="1" w:styleId="DateChar">
    <w:name w:val="Date Char"/>
    <w:basedOn w:val="DefaultParagraphFont"/>
    <w:link w:val="Date"/>
    <w:rsid w:val="00E01CBC"/>
    <w:rPr>
      <w:rFonts w:ascii="Arial" w:hAnsi="Arial" w:cs="Arial"/>
      <w:sz w:val="21"/>
    </w:rPr>
  </w:style>
  <w:style w:type="paragraph" w:styleId="DocumentMap">
    <w:name w:val="Document Map"/>
    <w:basedOn w:val="Normal"/>
    <w:link w:val="DocumentMapChar"/>
    <w:rsid w:val="00E01CBC"/>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E01CBC"/>
    <w:rPr>
      <w:rFonts w:ascii="Tahoma" w:hAnsi="Tahoma" w:cs="Tahoma"/>
      <w:sz w:val="16"/>
      <w:szCs w:val="16"/>
    </w:rPr>
  </w:style>
  <w:style w:type="paragraph" w:styleId="E-mailSignature">
    <w:name w:val="E-mail Signature"/>
    <w:basedOn w:val="Normal"/>
    <w:link w:val="E-mailSignatureChar"/>
    <w:rsid w:val="00E01CBC"/>
    <w:pPr>
      <w:spacing w:line="240" w:lineRule="auto"/>
    </w:pPr>
  </w:style>
  <w:style w:type="character" w:customStyle="1" w:styleId="E-mailSignatureChar">
    <w:name w:val="E-mail Signature Char"/>
    <w:basedOn w:val="DefaultParagraphFont"/>
    <w:link w:val="E-mailSignature"/>
    <w:rsid w:val="00E01CBC"/>
    <w:rPr>
      <w:rFonts w:ascii="Arial" w:hAnsi="Arial" w:cs="Arial"/>
      <w:sz w:val="21"/>
    </w:rPr>
  </w:style>
  <w:style w:type="paragraph" w:styleId="EndnoteText">
    <w:name w:val="endnote text"/>
    <w:basedOn w:val="Normal"/>
    <w:link w:val="EndnoteTextChar"/>
    <w:rsid w:val="00E01CBC"/>
    <w:pPr>
      <w:spacing w:line="240" w:lineRule="auto"/>
    </w:pPr>
    <w:rPr>
      <w:sz w:val="20"/>
    </w:rPr>
  </w:style>
  <w:style w:type="character" w:customStyle="1" w:styleId="EndnoteTextChar">
    <w:name w:val="Endnote Text Char"/>
    <w:basedOn w:val="DefaultParagraphFont"/>
    <w:link w:val="EndnoteText"/>
    <w:rsid w:val="00E01CBC"/>
    <w:rPr>
      <w:rFonts w:ascii="Arial" w:hAnsi="Arial" w:cs="Arial"/>
    </w:rPr>
  </w:style>
  <w:style w:type="character" w:customStyle="1" w:styleId="Heading4Char">
    <w:name w:val="Heading 4 Char"/>
    <w:basedOn w:val="DefaultParagraphFont"/>
    <w:link w:val="Heading4"/>
    <w:rsid w:val="00950B9B"/>
    <w:rPr>
      <w:rFonts w:asciiTheme="majorHAnsi" w:eastAsiaTheme="majorEastAsia" w:hAnsiTheme="majorHAnsi" w:cstheme="majorBidi"/>
      <w:bCs/>
      <w:iCs/>
      <w:color w:val="595959"/>
    </w:rPr>
  </w:style>
  <w:style w:type="character" w:customStyle="1" w:styleId="Heading5Char">
    <w:name w:val="Heading 5 Char"/>
    <w:basedOn w:val="DefaultParagraphFont"/>
    <w:link w:val="Heading5"/>
    <w:semiHidden/>
    <w:rsid w:val="00E01CBC"/>
    <w:rPr>
      <w:rFonts w:asciiTheme="majorHAnsi" w:eastAsiaTheme="majorEastAsia" w:hAnsiTheme="majorHAnsi" w:cstheme="majorBidi"/>
      <w:color w:val="003737" w:themeColor="accent1" w:themeShade="7F"/>
      <w:sz w:val="21"/>
    </w:rPr>
  </w:style>
  <w:style w:type="character" w:customStyle="1" w:styleId="Heading6Char">
    <w:name w:val="Heading 6 Char"/>
    <w:basedOn w:val="DefaultParagraphFont"/>
    <w:link w:val="Heading6"/>
    <w:rsid w:val="00E01CBC"/>
    <w:rPr>
      <w:rFonts w:asciiTheme="majorHAnsi" w:eastAsiaTheme="majorEastAsia" w:hAnsiTheme="majorHAnsi" w:cstheme="majorBidi"/>
      <w:i/>
      <w:iCs/>
      <w:color w:val="003737" w:themeColor="accent1" w:themeShade="7F"/>
      <w:sz w:val="21"/>
    </w:rPr>
  </w:style>
  <w:style w:type="character" w:customStyle="1" w:styleId="Heading7Char">
    <w:name w:val="Heading 7 Char"/>
    <w:basedOn w:val="DefaultParagraphFont"/>
    <w:link w:val="Heading7"/>
    <w:semiHidden/>
    <w:rsid w:val="00E01CBC"/>
    <w:rPr>
      <w:rFonts w:asciiTheme="majorHAnsi" w:eastAsiaTheme="majorEastAsia" w:hAnsiTheme="majorHAnsi" w:cstheme="majorBidi"/>
      <w:i/>
      <w:iCs/>
      <w:color w:val="404040" w:themeColor="text1" w:themeTint="BF"/>
      <w:sz w:val="21"/>
    </w:rPr>
  </w:style>
  <w:style w:type="character" w:customStyle="1" w:styleId="Heading8Char">
    <w:name w:val="Heading 8 Char"/>
    <w:basedOn w:val="DefaultParagraphFont"/>
    <w:link w:val="Heading8"/>
    <w:semiHidden/>
    <w:rsid w:val="00E01CB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E01CBC"/>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rsid w:val="00E01CBC"/>
    <w:pPr>
      <w:spacing w:line="240" w:lineRule="auto"/>
    </w:pPr>
    <w:rPr>
      <w:i/>
      <w:iCs/>
    </w:rPr>
  </w:style>
  <w:style w:type="character" w:customStyle="1" w:styleId="HTMLAddressChar">
    <w:name w:val="HTML Address Char"/>
    <w:basedOn w:val="DefaultParagraphFont"/>
    <w:link w:val="HTMLAddress"/>
    <w:rsid w:val="00E01CBC"/>
    <w:rPr>
      <w:rFonts w:ascii="Arial" w:hAnsi="Arial" w:cs="Arial"/>
      <w:i/>
      <w:iCs/>
      <w:sz w:val="21"/>
    </w:rPr>
  </w:style>
  <w:style w:type="paragraph" w:styleId="HTMLPreformatted">
    <w:name w:val="HTML Preformatted"/>
    <w:basedOn w:val="Normal"/>
    <w:link w:val="HTMLPreformattedChar"/>
    <w:rsid w:val="00E01CBC"/>
    <w:pPr>
      <w:spacing w:line="240" w:lineRule="auto"/>
    </w:pPr>
    <w:rPr>
      <w:rFonts w:ascii="Consolas" w:hAnsi="Consolas"/>
      <w:sz w:val="20"/>
    </w:rPr>
  </w:style>
  <w:style w:type="character" w:customStyle="1" w:styleId="HTMLPreformattedChar">
    <w:name w:val="HTML Preformatted Char"/>
    <w:basedOn w:val="DefaultParagraphFont"/>
    <w:link w:val="HTMLPreformatted"/>
    <w:rsid w:val="00E01CBC"/>
    <w:rPr>
      <w:rFonts w:ascii="Consolas" w:hAnsi="Consolas" w:cs="Arial"/>
    </w:rPr>
  </w:style>
  <w:style w:type="paragraph" w:styleId="Index1">
    <w:name w:val="index 1"/>
    <w:basedOn w:val="Normal"/>
    <w:next w:val="Normal"/>
    <w:autoRedefine/>
    <w:rsid w:val="00E01CBC"/>
    <w:pPr>
      <w:spacing w:line="240" w:lineRule="auto"/>
      <w:ind w:left="210" w:hanging="210"/>
    </w:pPr>
  </w:style>
  <w:style w:type="paragraph" w:styleId="Index2">
    <w:name w:val="index 2"/>
    <w:basedOn w:val="Normal"/>
    <w:next w:val="Normal"/>
    <w:autoRedefine/>
    <w:rsid w:val="00E01CBC"/>
    <w:pPr>
      <w:spacing w:line="240" w:lineRule="auto"/>
      <w:ind w:left="420" w:hanging="210"/>
    </w:pPr>
  </w:style>
  <w:style w:type="paragraph" w:styleId="Index3">
    <w:name w:val="index 3"/>
    <w:basedOn w:val="Normal"/>
    <w:next w:val="Normal"/>
    <w:autoRedefine/>
    <w:rsid w:val="00E01CBC"/>
    <w:pPr>
      <w:spacing w:line="240" w:lineRule="auto"/>
      <w:ind w:left="630" w:hanging="210"/>
    </w:pPr>
  </w:style>
  <w:style w:type="paragraph" w:styleId="Index4">
    <w:name w:val="index 4"/>
    <w:basedOn w:val="Normal"/>
    <w:next w:val="Normal"/>
    <w:autoRedefine/>
    <w:rsid w:val="00E01CBC"/>
    <w:pPr>
      <w:spacing w:line="240" w:lineRule="auto"/>
      <w:ind w:left="840" w:hanging="210"/>
    </w:pPr>
  </w:style>
  <w:style w:type="paragraph" w:styleId="Index5">
    <w:name w:val="index 5"/>
    <w:basedOn w:val="Normal"/>
    <w:next w:val="Normal"/>
    <w:autoRedefine/>
    <w:rsid w:val="00E01CBC"/>
    <w:pPr>
      <w:spacing w:line="240" w:lineRule="auto"/>
      <w:ind w:left="1050" w:hanging="210"/>
    </w:pPr>
  </w:style>
  <w:style w:type="paragraph" w:styleId="Index6">
    <w:name w:val="index 6"/>
    <w:basedOn w:val="Normal"/>
    <w:next w:val="Normal"/>
    <w:autoRedefine/>
    <w:rsid w:val="00E01CBC"/>
    <w:pPr>
      <w:spacing w:line="240" w:lineRule="auto"/>
      <w:ind w:left="1260" w:hanging="210"/>
    </w:pPr>
  </w:style>
  <w:style w:type="paragraph" w:styleId="Index7">
    <w:name w:val="index 7"/>
    <w:basedOn w:val="Normal"/>
    <w:next w:val="Normal"/>
    <w:autoRedefine/>
    <w:rsid w:val="00E01CBC"/>
    <w:pPr>
      <w:spacing w:line="240" w:lineRule="auto"/>
      <w:ind w:left="1470" w:hanging="210"/>
    </w:pPr>
  </w:style>
  <w:style w:type="paragraph" w:styleId="Index8">
    <w:name w:val="index 8"/>
    <w:basedOn w:val="Normal"/>
    <w:next w:val="Normal"/>
    <w:autoRedefine/>
    <w:rsid w:val="00E01CBC"/>
    <w:pPr>
      <w:spacing w:line="240" w:lineRule="auto"/>
      <w:ind w:left="1680" w:hanging="210"/>
    </w:pPr>
  </w:style>
  <w:style w:type="paragraph" w:styleId="Index9">
    <w:name w:val="index 9"/>
    <w:basedOn w:val="Normal"/>
    <w:next w:val="Normal"/>
    <w:autoRedefine/>
    <w:rsid w:val="00E01CBC"/>
    <w:pPr>
      <w:spacing w:line="240" w:lineRule="auto"/>
      <w:ind w:left="1890" w:hanging="210"/>
    </w:pPr>
  </w:style>
  <w:style w:type="paragraph" w:styleId="IndexHeading">
    <w:name w:val="index heading"/>
    <w:basedOn w:val="Normal"/>
    <w:next w:val="Index1"/>
    <w:rsid w:val="00E01CB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01CBC"/>
    <w:pPr>
      <w:pBdr>
        <w:bottom w:val="single" w:sz="4" w:space="4" w:color="808080"/>
      </w:pBdr>
      <w:spacing w:before="200" w:after="280"/>
      <w:ind w:left="936" w:right="936"/>
    </w:pPr>
    <w:rPr>
      <w:b/>
      <w:bCs/>
      <w:i/>
      <w:iCs/>
      <w:color w:val="017070" w:themeColor="accent1"/>
    </w:rPr>
  </w:style>
  <w:style w:type="character" w:customStyle="1" w:styleId="IntenseQuoteChar">
    <w:name w:val="Intense Quote Char"/>
    <w:basedOn w:val="DefaultParagraphFont"/>
    <w:link w:val="IntenseQuote"/>
    <w:uiPriority w:val="30"/>
    <w:rsid w:val="00E01CBC"/>
    <w:rPr>
      <w:rFonts w:ascii="Arial" w:hAnsi="Arial" w:cs="Arial"/>
      <w:b/>
      <w:bCs/>
      <w:i/>
      <w:iCs/>
      <w:color w:val="017070" w:themeColor="accent1"/>
      <w:sz w:val="21"/>
    </w:rPr>
  </w:style>
  <w:style w:type="paragraph" w:styleId="List">
    <w:name w:val="List"/>
    <w:basedOn w:val="Normal"/>
    <w:rsid w:val="00E01CBC"/>
    <w:pPr>
      <w:ind w:left="283" w:hanging="283"/>
      <w:contextualSpacing/>
    </w:pPr>
  </w:style>
  <w:style w:type="paragraph" w:styleId="List2">
    <w:name w:val="List 2"/>
    <w:basedOn w:val="Normal"/>
    <w:rsid w:val="00E01CBC"/>
    <w:pPr>
      <w:ind w:left="566" w:hanging="283"/>
      <w:contextualSpacing/>
    </w:pPr>
  </w:style>
  <w:style w:type="paragraph" w:styleId="List3">
    <w:name w:val="List 3"/>
    <w:basedOn w:val="Normal"/>
    <w:rsid w:val="00E01CBC"/>
    <w:pPr>
      <w:ind w:left="849" w:hanging="283"/>
      <w:contextualSpacing/>
    </w:pPr>
  </w:style>
  <w:style w:type="paragraph" w:styleId="List4">
    <w:name w:val="List 4"/>
    <w:basedOn w:val="Normal"/>
    <w:rsid w:val="00E01CBC"/>
    <w:pPr>
      <w:ind w:left="1132" w:hanging="283"/>
      <w:contextualSpacing/>
    </w:pPr>
  </w:style>
  <w:style w:type="paragraph" w:styleId="List5">
    <w:name w:val="List 5"/>
    <w:basedOn w:val="Normal"/>
    <w:rsid w:val="00E01CBC"/>
    <w:pPr>
      <w:ind w:left="1415" w:hanging="283"/>
      <w:contextualSpacing/>
    </w:pPr>
  </w:style>
  <w:style w:type="paragraph" w:styleId="ListBullet2">
    <w:name w:val="List Bullet 2"/>
    <w:basedOn w:val="Normal"/>
    <w:rsid w:val="00E01CBC"/>
    <w:pPr>
      <w:numPr>
        <w:numId w:val="12"/>
      </w:numPr>
      <w:contextualSpacing/>
    </w:pPr>
  </w:style>
  <w:style w:type="paragraph" w:styleId="ListBullet3">
    <w:name w:val="List Bullet 3"/>
    <w:basedOn w:val="Normal"/>
    <w:rsid w:val="00E01CBC"/>
    <w:pPr>
      <w:numPr>
        <w:numId w:val="13"/>
      </w:numPr>
      <w:contextualSpacing/>
    </w:pPr>
  </w:style>
  <w:style w:type="paragraph" w:styleId="ListBullet4">
    <w:name w:val="List Bullet 4"/>
    <w:basedOn w:val="Normal"/>
    <w:rsid w:val="00E01CBC"/>
    <w:pPr>
      <w:numPr>
        <w:numId w:val="14"/>
      </w:numPr>
      <w:contextualSpacing/>
    </w:pPr>
  </w:style>
  <w:style w:type="paragraph" w:styleId="ListBullet5">
    <w:name w:val="List Bullet 5"/>
    <w:basedOn w:val="Normal"/>
    <w:rsid w:val="00E01CBC"/>
    <w:pPr>
      <w:numPr>
        <w:numId w:val="15"/>
      </w:numPr>
      <w:contextualSpacing/>
    </w:pPr>
  </w:style>
  <w:style w:type="paragraph" w:styleId="ListContinue">
    <w:name w:val="List Continue"/>
    <w:basedOn w:val="Normal"/>
    <w:rsid w:val="00E01CBC"/>
    <w:pPr>
      <w:spacing w:after="120"/>
      <w:ind w:left="283"/>
      <w:contextualSpacing/>
    </w:pPr>
  </w:style>
  <w:style w:type="paragraph" w:styleId="ListContinue2">
    <w:name w:val="List Continue 2"/>
    <w:basedOn w:val="Normal"/>
    <w:rsid w:val="00E01CBC"/>
    <w:pPr>
      <w:spacing w:after="120"/>
      <w:ind w:left="566"/>
      <w:contextualSpacing/>
    </w:pPr>
  </w:style>
  <w:style w:type="paragraph" w:styleId="ListContinue3">
    <w:name w:val="List Continue 3"/>
    <w:basedOn w:val="Normal"/>
    <w:rsid w:val="00E01CBC"/>
    <w:pPr>
      <w:spacing w:after="120"/>
      <w:ind w:left="849"/>
      <w:contextualSpacing/>
    </w:pPr>
  </w:style>
  <w:style w:type="paragraph" w:styleId="ListContinue4">
    <w:name w:val="List Continue 4"/>
    <w:basedOn w:val="Normal"/>
    <w:rsid w:val="00E01CBC"/>
    <w:pPr>
      <w:spacing w:after="120"/>
      <w:ind w:left="1132"/>
      <w:contextualSpacing/>
    </w:pPr>
  </w:style>
  <w:style w:type="paragraph" w:styleId="ListContinue5">
    <w:name w:val="List Continue 5"/>
    <w:basedOn w:val="Normal"/>
    <w:rsid w:val="00E01CBC"/>
    <w:pPr>
      <w:spacing w:after="120"/>
      <w:ind w:left="1415"/>
      <w:contextualSpacing/>
    </w:pPr>
  </w:style>
  <w:style w:type="paragraph" w:styleId="ListNumber">
    <w:name w:val="List Number"/>
    <w:basedOn w:val="Normal"/>
    <w:rsid w:val="00E01CBC"/>
    <w:pPr>
      <w:numPr>
        <w:numId w:val="16"/>
      </w:numPr>
      <w:contextualSpacing/>
    </w:pPr>
  </w:style>
  <w:style w:type="paragraph" w:styleId="ListNumber2">
    <w:name w:val="List Number 2"/>
    <w:basedOn w:val="Normal"/>
    <w:rsid w:val="00E01CBC"/>
    <w:pPr>
      <w:numPr>
        <w:numId w:val="17"/>
      </w:numPr>
      <w:contextualSpacing/>
    </w:pPr>
  </w:style>
  <w:style w:type="paragraph" w:styleId="ListNumber3">
    <w:name w:val="List Number 3"/>
    <w:basedOn w:val="Normal"/>
    <w:rsid w:val="00E01CBC"/>
    <w:pPr>
      <w:numPr>
        <w:numId w:val="18"/>
      </w:numPr>
      <w:contextualSpacing/>
    </w:pPr>
  </w:style>
  <w:style w:type="paragraph" w:styleId="ListNumber4">
    <w:name w:val="List Number 4"/>
    <w:basedOn w:val="Normal"/>
    <w:rsid w:val="00E01CBC"/>
    <w:pPr>
      <w:numPr>
        <w:numId w:val="19"/>
      </w:numPr>
      <w:contextualSpacing/>
    </w:pPr>
  </w:style>
  <w:style w:type="paragraph" w:styleId="ListNumber5">
    <w:name w:val="List Number 5"/>
    <w:basedOn w:val="Normal"/>
    <w:rsid w:val="00E01CBC"/>
    <w:pPr>
      <w:numPr>
        <w:numId w:val="20"/>
      </w:numPr>
      <w:contextualSpacing/>
    </w:pPr>
  </w:style>
  <w:style w:type="paragraph" w:styleId="MacroText">
    <w:name w:val="macro"/>
    <w:link w:val="MacroTextChar"/>
    <w:rsid w:val="005460FC"/>
    <w:pPr>
      <w:tabs>
        <w:tab w:val="left" w:pos="480"/>
        <w:tab w:val="left" w:pos="960"/>
        <w:tab w:val="left" w:pos="1440"/>
        <w:tab w:val="left" w:pos="1920"/>
        <w:tab w:val="left" w:pos="2400"/>
        <w:tab w:val="left" w:pos="2880"/>
        <w:tab w:val="left" w:pos="3360"/>
        <w:tab w:val="left" w:pos="3840"/>
        <w:tab w:val="left" w:pos="4320"/>
      </w:tabs>
      <w:jc w:val="both"/>
    </w:pPr>
    <w:rPr>
      <w:rFonts w:cs="Courier New"/>
    </w:rPr>
  </w:style>
  <w:style w:type="character" w:customStyle="1" w:styleId="MacroTextChar">
    <w:name w:val="Macro Text Char"/>
    <w:basedOn w:val="DefaultParagraphFont"/>
    <w:link w:val="MacroText"/>
    <w:rsid w:val="005460FC"/>
    <w:rPr>
      <w:rFonts w:ascii="Arial" w:hAnsi="Arial" w:cs="Courier New"/>
    </w:rPr>
  </w:style>
  <w:style w:type="paragraph" w:styleId="MessageHeader">
    <w:name w:val="Message Header"/>
    <w:basedOn w:val="Normal"/>
    <w:link w:val="MessageHeaderChar"/>
    <w:rsid w:val="00E01CBC"/>
    <w:pPr>
      <w:pBdr>
        <w:top w:val="single" w:sz="6" w:space="1" w:color="auto"/>
        <w:left w:val="single" w:sz="6" w:space="1" w:color="auto"/>
        <w:bottom w:val="single" w:sz="6" w:space="1" w:color="808080"/>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01CBC"/>
    <w:rPr>
      <w:rFonts w:asciiTheme="majorHAnsi" w:eastAsiaTheme="majorEastAsia" w:hAnsiTheme="majorHAnsi" w:cstheme="majorBidi"/>
      <w:sz w:val="24"/>
      <w:szCs w:val="24"/>
      <w:shd w:val="pct20" w:color="auto" w:fill="auto"/>
    </w:rPr>
  </w:style>
  <w:style w:type="paragraph" w:styleId="NoSpacing">
    <w:name w:val="No Spacing"/>
    <w:uiPriority w:val="1"/>
    <w:qFormat/>
    <w:rsid w:val="00E01CBC"/>
  </w:style>
  <w:style w:type="paragraph" w:styleId="NormalWeb">
    <w:name w:val="Normal (Web)"/>
    <w:basedOn w:val="Normal"/>
    <w:rsid w:val="00E01CBC"/>
    <w:rPr>
      <w:rFonts w:ascii="Times New Roman" w:hAnsi="Times New Roman" w:cs="Times New Roman"/>
      <w:sz w:val="24"/>
      <w:szCs w:val="24"/>
    </w:rPr>
  </w:style>
  <w:style w:type="paragraph" w:styleId="NormalIndent">
    <w:name w:val="Normal Indent"/>
    <w:basedOn w:val="Normal"/>
    <w:rsid w:val="00E01CBC"/>
    <w:pPr>
      <w:ind w:left="720"/>
    </w:pPr>
  </w:style>
  <w:style w:type="paragraph" w:styleId="PlainText">
    <w:name w:val="Plain Text"/>
    <w:basedOn w:val="Normal"/>
    <w:link w:val="PlainTextChar"/>
    <w:rsid w:val="00E01CBC"/>
    <w:pPr>
      <w:spacing w:line="240" w:lineRule="auto"/>
    </w:pPr>
    <w:rPr>
      <w:rFonts w:ascii="Consolas" w:hAnsi="Consolas"/>
    </w:rPr>
  </w:style>
  <w:style w:type="character" w:customStyle="1" w:styleId="PlainTextChar">
    <w:name w:val="Plain Text Char"/>
    <w:basedOn w:val="DefaultParagraphFont"/>
    <w:link w:val="PlainText"/>
    <w:rsid w:val="00E01CBC"/>
    <w:rPr>
      <w:rFonts w:ascii="Consolas" w:hAnsi="Consolas" w:cs="Arial"/>
      <w:sz w:val="21"/>
      <w:szCs w:val="21"/>
    </w:rPr>
  </w:style>
  <w:style w:type="paragraph" w:styleId="Quote">
    <w:name w:val="Quote"/>
    <w:basedOn w:val="Normal"/>
    <w:next w:val="Normal"/>
    <w:link w:val="QuoteChar"/>
    <w:uiPriority w:val="29"/>
    <w:qFormat/>
    <w:rsid w:val="006A3F18"/>
    <w:pPr>
      <w:spacing w:after="120" w:line="240" w:lineRule="auto"/>
      <w:ind w:left="2410"/>
    </w:pPr>
    <w:rPr>
      <w:color w:val="017070" w:themeColor="accent1"/>
      <w:sz w:val="24"/>
      <w:szCs w:val="24"/>
    </w:rPr>
  </w:style>
  <w:style w:type="character" w:customStyle="1" w:styleId="QuoteChar">
    <w:name w:val="Quote Char"/>
    <w:basedOn w:val="DefaultParagraphFont"/>
    <w:link w:val="Quote"/>
    <w:uiPriority w:val="29"/>
    <w:rsid w:val="006A3F18"/>
    <w:rPr>
      <w:color w:val="017070" w:themeColor="accent1"/>
      <w:sz w:val="24"/>
      <w:szCs w:val="24"/>
    </w:rPr>
  </w:style>
  <w:style w:type="paragraph" w:styleId="Salutation">
    <w:name w:val="Salutation"/>
    <w:basedOn w:val="Normal"/>
    <w:next w:val="Normal"/>
    <w:link w:val="SalutationChar"/>
    <w:rsid w:val="00E01CBC"/>
  </w:style>
  <w:style w:type="character" w:customStyle="1" w:styleId="SalutationChar">
    <w:name w:val="Salutation Char"/>
    <w:basedOn w:val="DefaultParagraphFont"/>
    <w:link w:val="Salutation"/>
    <w:rsid w:val="00E01CBC"/>
    <w:rPr>
      <w:rFonts w:ascii="Arial" w:hAnsi="Arial" w:cs="Arial"/>
      <w:sz w:val="21"/>
    </w:rPr>
  </w:style>
  <w:style w:type="paragraph" w:styleId="Signature">
    <w:name w:val="Signature"/>
    <w:basedOn w:val="Normal"/>
    <w:link w:val="SignatureChar"/>
    <w:rsid w:val="00E01CBC"/>
    <w:pPr>
      <w:spacing w:line="240" w:lineRule="auto"/>
      <w:ind w:left="4252"/>
    </w:pPr>
  </w:style>
  <w:style w:type="character" w:customStyle="1" w:styleId="SignatureChar">
    <w:name w:val="Signature Char"/>
    <w:basedOn w:val="DefaultParagraphFont"/>
    <w:link w:val="Signature"/>
    <w:rsid w:val="00E01CBC"/>
    <w:rPr>
      <w:rFonts w:ascii="Arial" w:hAnsi="Arial" w:cs="Arial"/>
      <w:sz w:val="21"/>
    </w:rPr>
  </w:style>
  <w:style w:type="paragraph" w:styleId="Subtitle">
    <w:name w:val="Subtitle"/>
    <w:basedOn w:val="Normal"/>
    <w:next w:val="Normal"/>
    <w:link w:val="SubtitleChar"/>
    <w:qFormat/>
    <w:rsid w:val="00E01CBC"/>
    <w:pPr>
      <w:numPr>
        <w:ilvl w:val="1"/>
      </w:numPr>
    </w:pPr>
    <w:rPr>
      <w:rFonts w:asciiTheme="majorHAnsi" w:eastAsiaTheme="majorEastAsia" w:hAnsiTheme="majorHAnsi" w:cstheme="majorBidi"/>
      <w:i/>
      <w:iCs/>
      <w:color w:val="017070" w:themeColor="accent1"/>
      <w:spacing w:val="15"/>
      <w:sz w:val="24"/>
      <w:szCs w:val="24"/>
    </w:rPr>
  </w:style>
  <w:style w:type="character" w:customStyle="1" w:styleId="SubtitleChar">
    <w:name w:val="Subtitle Char"/>
    <w:basedOn w:val="DefaultParagraphFont"/>
    <w:link w:val="Subtitle"/>
    <w:rsid w:val="00E01CBC"/>
    <w:rPr>
      <w:rFonts w:asciiTheme="majorHAnsi" w:eastAsiaTheme="majorEastAsia" w:hAnsiTheme="majorHAnsi" w:cstheme="majorBidi"/>
      <w:i/>
      <w:iCs/>
      <w:color w:val="017070" w:themeColor="accent1"/>
      <w:spacing w:val="15"/>
      <w:sz w:val="24"/>
      <w:szCs w:val="24"/>
    </w:rPr>
  </w:style>
  <w:style w:type="paragraph" w:styleId="TableofAuthorities">
    <w:name w:val="table of authorities"/>
    <w:basedOn w:val="Normal"/>
    <w:next w:val="Normal"/>
    <w:rsid w:val="00E01CBC"/>
    <w:pPr>
      <w:ind w:left="210" w:hanging="210"/>
    </w:pPr>
  </w:style>
  <w:style w:type="paragraph" w:styleId="TableofFigures">
    <w:name w:val="table of figures"/>
    <w:basedOn w:val="Normal"/>
    <w:next w:val="Normal"/>
    <w:rsid w:val="00E01CBC"/>
  </w:style>
  <w:style w:type="paragraph" w:styleId="TOAHeading">
    <w:name w:val="toa heading"/>
    <w:basedOn w:val="Normal"/>
    <w:next w:val="Normal"/>
    <w:rsid w:val="00E01CB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rsid w:val="001D15B2"/>
    <w:pPr>
      <w:tabs>
        <w:tab w:val="right" w:pos="8495"/>
      </w:tabs>
      <w:spacing w:before="100"/>
      <w:ind w:left="629" w:firstLine="79"/>
    </w:pPr>
    <w:rPr>
      <w:noProof/>
    </w:rPr>
  </w:style>
  <w:style w:type="paragraph" w:styleId="TOC5">
    <w:name w:val="toc 5"/>
    <w:basedOn w:val="Normal"/>
    <w:next w:val="Normal"/>
    <w:autoRedefine/>
    <w:rsid w:val="00E01CBC"/>
    <w:pPr>
      <w:spacing w:after="100"/>
      <w:ind w:left="840"/>
    </w:pPr>
  </w:style>
  <w:style w:type="paragraph" w:styleId="TOC6">
    <w:name w:val="toc 6"/>
    <w:basedOn w:val="Normal"/>
    <w:next w:val="Normal"/>
    <w:autoRedefine/>
    <w:rsid w:val="00E01CBC"/>
    <w:pPr>
      <w:spacing w:after="100"/>
      <w:ind w:left="1050"/>
    </w:pPr>
  </w:style>
  <w:style w:type="paragraph" w:styleId="TOC7">
    <w:name w:val="toc 7"/>
    <w:basedOn w:val="Normal"/>
    <w:next w:val="Normal"/>
    <w:autoRedefine/>
    <w:rsid w:val="00E01CBC"/>
    <w:pPr>
      <w:spacing w:after="100"/>
      <w:ind w:left="1260"/>
    </w:pPr>
  </w:style>
  <w:style w:type="paragraph" w:styleId="TOC8">
    <w:name w:val="toc 8"/>
    <w:basedOn w:val="Normal"/>
    <w:next w:val="Normal"/>
    <w:autoRedefine/>
    <w:rsid w:val="00E01CBC"/>
    <w:pPr>
      <w:spacing w:after="100"/>
      <w:ind w:left="1470"/>
    </w:pPr>
  </w:style>
  <w:style w:type="paragraph" w:styleId="TOCHeading">
    <w:name w:val="TOC Heading"/>
    <w:basedOn w:val="Heading1"/>
    <w:next w:val="Normal"/>
    <w:uiPriority w:val="39"/>
    <w:semiHidden/>
    <w:unhideWhenUsed/>
    <w:qFormat/>
    <w:rsid w:val="00E01CBC"/>
    <w:pPr>
      <w:keepLines/>
      <w:spacing w:after="0"/>
      <w:outlineLvl w:val="9"/>
    </w:pPr>
    <w:rPr>
      <w:rFonts w:asciiTheme="majorHAnsi" w:eastAsiaTheme="majorEastAsia" w:hAnsiTheme="majorHAnsi" w:cstheme="majorBidi"/>
      <w:color w:val="005353" w:themeColor="accent1" w:themeShade="BF"/>
      <w:kern w:val="0"/>
      <w:szCs w:val="28"/>
    </w:rPr>
  </w:style>
  <w:style w:type="paragraph" w:customStyle="1" w:styleId="LHHeader">
    <w:name w:val="LHHeader"/>
    <w:rsid w:val="00C90C5D"/>
    <w:pPr>
      <w:spacing w:line="264" w:lineRule="auto"/>
    </w:pPr>
    <w:rPr>
      <w:sz w:val="16"/>
      <w:szCs w:val="16"/>
    </w:rPr>
  </w:style>
  <w:style w:type="character" w:styleId="Hyperlink">
    <w:name w:val="Hyperlink"/>
    <w:basedOn w:val="DefaultParagraphFont"/>
    <w:uiPriority w:val="99"/>
    <w:rsid w:val="00B110C1"/>
    <w:rPr>
      <w:color w:val="0000FF"/>
      <w:u w:val="single"/>
    </w:rPr>
  </w:style>
  <w:style w:type="character" w:customStyle="1" w:styleId="FooterChar">
    <w:name w:val="Footer Char"/>
    <w:basedOn w:val="DefaultParagraphFont"/>
    <w:link w:val="Footer"/>
    <w:uiPriority w:val="99"/>
    <w:rsid w:val="009648CB"/>
    <w:rPr>
      <w:rFonts w:ascii="Arial" w:hAnsi="Arial" w:cs="Arial"/>
      <w:sz w:val="14"/>
    </w:rPr>
  </w:style>
  <w:style w:type="paragraph" w:customStyle="1" w:styleId="DefinitionsCapA">
    <w:name w:val="Definitions (CapA)"/>
    <w:basedOn w:val="Normal"/>
    <w:link w:val="DefinitionsCapAChar"/>
    <w:rsid w:val="00531427"/>
    <w:pPr>
      <w:numPr>
        <w:ilvl w:val="3"/>
        <w:numId w:val="9"/>
      </w:numPr>
      <w:tabs>
        <w:tab w:val="clear" w:pos="2880"/>
      </w:tabs>
      <w:spacing w:after="240"/>
    </w:pPr>
  </w:style>
  <w:style w:type="character" w:customStyle="1" w:styleId="DefinitionsCapAChar">
    <w:name w:val="Definitions (CapA) Char"/>
    <w:basedOn w:val="DefaultParagraphFont"/>
    <w:link w:val="DefinitionsCapA"/>
    <w:rsid w:val="00531427"/>
    <w:rPr>
      <w:rFonts w:ascii="Arial" w:hAnsi="Arial" w:cs="Arial"/>
      <w:sz w:val="21"/>
    </w:rPr>
  </w:style>
  <w:style w:type="paragraph" w:customStyle="1" w:styleId="Heading">
    <w:name w:val="Heading"/>
    <w:basedOn w:val="Heading3"/>
    <w:qFormat/>
    <w:rsid w:val="00474AC5"/>
  </w:style>
  <w:style w:type="paragraph" w:customStyle="1" w:styleId="StyleHeading3CustomColorRGB0169157Before12pt">
    <w:name w:val="Style Heading 3 + Custom Color(RGB(0169157)) Before:  12 pt"/>
    <w:basedOn w:val="Heading3"/>
    <w:rsid w:val="00474AC5"/>
    <w:rPr>
      <w:rFonts w:cs="Times New Roman"/>
      <w:bCs/>
    </w:rPr>
  </w:style>
  <w:style w:type="paragraph" w:customStyle="1" w:styleId="StyleLevel1LegalCustomColorRGB0169157">
    <w:name w:val="Style Level 1 (Legal) + Custom Color(RGB(0169157))"/>
    <w:basedOn w:val="Level1Legal"/>
    <w:rsid w:val="00A341F5"/>
    <w:rPr>
      <w:bCs/>
    </w:rPr>
  </w:style>
  <w:style w:type="numbering" w:customStyle="1" w:styleId="Tender">
    <w:name w:val="Tender"/>
    <w:uiPriority w:val="99"/>
    <w:rsid w:val="00CF6EBF"/>
    <w:pPr>
      <w:numPr>
        <w:numId w:val="26"/>
      </w:numPr>
    </w:pPr>
  </w:style>
  <w:style w:type="character" w:customStyle="1" w:styleId="HeaderChar">
    <w:name w:val="Header Char"/>
    <w:basedOn w:val="DefaultParagraphFont"/>
    <w:link w:val="Header"/>
    <w:uiPriority w:val="99"/>
    <w:rsid w:val="006D5D5C"/>
    <w:rPr>
      <w:color w:val="017070" w:themeColor="accent1"/>
      <w:sz w:val="16"/>
    </w:rPr>
  </w:style>
  <w:style w:type="paragraph" w:customStyle="1" w:styleId="EmployeeName">
    <w:name w:val="Employee Name"/>
    <w:basedOn w:val="Normal"/>
    <w:qFormat/>
    <w:rsid w:val="006C7DA9"/>
    <w:pPr>
      <w:spacing w:before="20"/>
    </w:pPr>
    <w:rPr>
      <w:color w:val="017070" w:themeColor="accent1"/>
      <w:sz w:val="24"/>
      <w:szCs w:val="24"/>
    </w:rPr>
  </w:style>
  <w:style w:type="paragraph" w:customStyle="1" w:styleId="EmployeeTitle">
    <w:name w:val="Employee Title"/>
    <w:basedOn w:val="Normal"/>
    <w:qFormat/>
    <w:rsid w:val="006C7DA9"/>
  </w:style>
  <w:style w:type="character" w:styleId="PlaceholderText">
    <w:name w:val="Placeholder Text"/>
    <w:basedOn w:val="DefaultParagraphFont"/>
    <w:uiPriority w:val="99"/>
    <w:semiHidden/>
    <w:rsid w:val="00404429"/>
    <w:rPr>
      <w:color w:val="808080"/>
    </w:rPr>
  </w:style>
  <w:style w:type="paragraph" w:customStyle="1" w:styleId="Quotesourcelarge">
    <w:name w:val="Quote source large"/>
    <w:basedOn w:val="Normal"/>
    <w:qFormat/>
    <w:rsid w:val="00151873"/>
    <w:pPr>
      <w:ind w:left="4706"/>
    </w:pPr>
    <w:rPr>
      <w:sz w:val="32"/>
      <w:szCs w:val="32"/>
    </w:rPr>
  </w:style>
  <w:style w:type="paragraph" w:customStyle="1" w:styleId="TOC">
    <w:name w:val="TOC"/>
    <w:basedOn w:val="Normal"/>
    <w:qFormat/>
    <w:rsid w:val="00571B8C"/>
    <w:rPr>
      <w:caps/>
      <w:color w:val="017070" w:themeColor="accent1"/>
      <w:sz w:val="24"/>
      <w:szCs w:val="24"/>
    </w:rPr>
  </w:style>
  <w:style w:type="character" w:styleId="Emphasis">
    <w:name w:val="Emphasis"/>
    <w:basedOn w:val="DefaultParagraphFont"/>
    <w:qFormat/>
    <w:rsid w:val="006D5D5C"/>
    <w:rPr>
      <w:i/>
      <w:iCs/>
    </w:rPr>
  </w:style>
  <w:style w:type="paragraph" w:customStyle="1" w:styleId="EmployeeDetails">
    <w:name w:val="Employee Details"/>
    <w:basedOn w:val="Normal"/>
    <w:qFormat/>
    <w:rsid w:val="006C7DA9"/>
    <w:pPr>
      <w:tabs>
        <w:tab w:val="left" w:pos="284"/>
      </w:tabs>
      <w:spacing w:line="240" w:lineRule="auto"/>
    </w:pPr>
    <w:rPr>
      <w:rFonts w:cs="Times New Roman"/>
      <w:sz w:val="20"/>
      <w:szCs w:val="20"/>
    </w:rPr>
  </w:style>
  <w:style w:type="paragraph" w:customStyle="1" w:styleId="EmployeeEmail">
    <w:name w:val="Employee Email"/>
    <w:basedOn w:val="EmployeeDetails"/>
    <w:qFormat/>
    <w:rsid w:val="004F57A0"/>
    <w:rPr>
      <w:sz w:val="18"/>
    </w:rPr>
  </w:style>
  <w:style w:type="table" w:customStyle="1" w:styleId="BDTable">
    <w:name w:val="BD Table"/>
    <w:basedOn w:val="TableNormal"/>
    <w:uiPriority w:val="99"/>
    <w:rsid w:val="00FB3425"/>
    <w:rPr>
      <w:rFonts w:cs="Times New Roman"/>
      <w:szCs w:val="20"/>
    </w:rPr>
    <w:tblPr/>
  </w:style>
  <w:style w:type="paragraph" w:customStyle="1" w:styleId="ProfileHeading1">
    <w:name w:val="Profile Heading 1"/>
    <w:basedOn w:val="BodyText"/>
    <w:next w:val="BodyText"/>
    <w:qFormat/>
    <w:rsid w:val="005171C8"/>
    <w:pPr>
      <w:spacing w:before="567"/>
    </w:pPr>
    <w:rPr>
      <w:color w:val="017070" w:themeColor="accent1"/>
      <w:sz w:val="24"/>
      <w:szCs w:val="24"/>
      <w:lang w:eastAsia="en-US"/>
    </w:rPr>
  </w:style>
  <w:style w:type="paragraph" w:customStyle="1" w:styleId="ProfileHeading2">
    <w:name w:val="Profile Heading 2"/>
    <w:basedOn w:val="ProfileHeading1"/>
    <w:next w:val="BodyText"/>
    <w:qFormat/>
    <w:rsid w:val="00A53ABB"/>
    <w:pPr>
      <w:spacing w:before="447"/>
    </w:pPr>
  </w:style>
  <w:style w:type="paragraph" w:customStyle="1" w:styleId="Quotelarge">
    <w:name w:val="Quote large"/>
    <w:next w:val="Quotesourcelarge"/>
    <w:qFormat/>
    <w:rsid w:val="00151873"/>
    <w:pPr>
      <w:ind w:left="4706"/>
    </w:pPr>
    <w:rPr>
      <w:i/>
      <w:sz w:val="52"/>
      <w:szCs w:val="52"/>
    </w:rPr>
  </w:style>
  <w:style w:type="paragraph" w:customStyle="1" w:styleId="Quotesource">
    <w:name w:val="Quote source"/>
    <w:basedOn w:val="Normal"/>
    <w:qFormat/>
    <w:rsid w:val="006A3F18"/>
    <w:pPr>
      <w:spacing w:line="240" w:lineRule="auto"/>
      <w:ind w:left="2410"/>
    </w:pPr>
  </w:style>
  <w:style w:type="character" w:customStyle="1" w:styleId="Heading2Char">
    <w:name w:val="Heading 2 Char"/>
    <w:basedOn w:val="DefaultParagraphFont"/>
    <w:link w:val="Heading2"/>
    <w:rsid w:val="002D39C3"/>
    <w:rPr>
      <w:bCs/>
      <w:iCs/>
      <w:color w:val="414141" w:themeColor="accent6"/>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28" Type="http://schemas.openxmlformats.org/officeDocument/2006/relationships/customXml" Target="../customXml/item5.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customXml" Target="../customXml/item4.xml"/><Relationship Id="rId30" Type="http://schemas.openxmlformats.org/officeDocument/2006/relationships/customXml" Target="../customXml/item7.xml"/></Relationships>
</file>

<file path=word/_rels/footer6.xml.rels><?xml version="1.0" encoding="UTF-8" standalone="yes"?>
<Relationships xmlns="http://schemas.openxmlformats.org/package/2006/relationships"><Relationship Id="rId1" Type="http://schemas.openxmlformats.org/officeDocument/2006/relationships/image" Target="media/image3.jpeg"/></Relationships>
</file>

<file path=word/_rels/footer7.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HDY\BD.dotm" TargetMode="External"/></Relationships>
</file>

<file path=word/theme/theme1.xml><?xml version="1.0" encoding="utf-8"?>
<a:theme xmlns:a="http://schemas.openxmlformats.org/drawingml/2006/main" name="HDY">
  <a:themeElements>
    <a:clrScheme name="HDY">
      <a:dk1>
        <a:sysClr val="windowText" lastClr="000000"/>
      </a:dk1>
      <a:lt1>
        <a:srgbClr val="FFFFFF"/>
      </a:lt1>
      <a:dk2>
        <a:srgbClr val="3F3F3F"/>
      </a:dk2>
      <a:lt2>
        <a:srgbClr val="FFFFFF"/>
      </a:lt2>
      <a:accent1>
        <a:srgbClr val="017070"/>
      </a:accent1>
      <a:accent2>
        <a:srgbClr val="7C184D"/>
      </a:accent2>
      <a:accent3>
        <a:srgbClr val="E9A835"/>
      </a:accent3>
      <a:accent4>
        <a:srgbClr val="F37163"/>
      </a:accent4>
      <a:accent5>
        <a:srgbClr val="E5E4E2"/>
      </a:accent5>
      <a:accent6>
        <a:srgbClr val="414141"/>
      </a:accent6>
      <a:hlink>
        <a:srgbClr val="548DD4"/>
      </a:hlink>
      <a:folHlink>
        <a:srgbClr val="17365D"/>
      </a:folHlink>
    </a:clrScheme>
    <a:fontScheme name="HD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4171" ma:contentTypeDescription=" " ma:contentTypeScope="" ma:versionID="412a1119644f3a9476de2eac40146424">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59e21e03e44977699deb3c2e5906622"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2017MG-90-18173</_dlc_DocId>
    <TaxCatchAll xmlns="d4dd4adf-ddb3-46a3-8d7c-fab3fb2a6bc7">
      <Value>2</Value>
    </TaxCatchAll>
    <_dlc_DocIdUrl xmlns="d4dd4adf-ddb3-46a3-8d7c-fab3fb2a6bc7">
      <Url>http://tweb/sites/mg/fsd/_layouts/15/DocIdRedir.aspx?ID=2017MG-90-18173</Url>
      <Description>2017MG-90-18173</Description>
    </_dlc_DocIdUrl>
    <IconOverlay xmlns="http://schemas.microsoft.com/sharepoint/v4" xsi:nil="true"/>
  </documentManagement>
</p:properties>
</file>

<file path=customXml/itemProps1.xml><?xml version="1.0" encoding="utf-8"?>
<ds:datastoreItem xmlns:ds="http://schemas.openxmlformats.org/officeDocument/2006/customXml" ds:itemID="{CBF511EB-F593-4E74-8C7F-856B1ED74372}">
  <ds:schemaRefs>
    <ds:schemaRef ds:uri="http://schemas.openxmlformats.org/officeDocument/2006/bibliography"/>
  </ds:schemaRefs>
</ds:datastoreItem>
</file>

<file path=customXml/itemProps2.xml><?xml version="1.0" encoding="utf-8"?>
<ds:datastoreItem xmlns:ds="http://schemas.openxmlformats.org/officeDocument/2006/customXml" ds:itemID="{D968099D-A6D2-485D-ABDB-CFF8054720CF}"/>
</file>

<file path=customXml/itemProps3.xml><?xml version="1.0" encoding="utf-8"?>
<ds:datastoreItem xmlns:ds="http://schemas.openxmlformats.org/officeDocument/2006/customXml" ds:itemID="{6BD4F824-497D-4754-8D01-A7645376767D}"/>
</file>

<file path=customXml/itemProps4.xml><?xml version="1.0" encoding="utf-8"?>
<ds:datastoreItem xmlns:ds="http://schemas.openxmlformats.org/officeDocument/2006/customXml" ds:itemID="{BE586A43-A500-4F72-96D1-56359DAB5D6B}"/>
</file>

<file path=customXml/itemProps5.xml><?xml version="1.0" encoding="utf-8"?>
<ds:datastoreItem xmlns:ds="http://schemas.openxmlformats.org/officeDocument/2006/customXml" ds:itemID="{51237787-7F3E-434A-8A48-1E46E0662842}"/>
</file>

<file path=customXml/itemProps6.xml><?xml version="1.0" encoding="utf-8"?>
<ds:datastoreItem xmlns:ds="http://schemas.openxmlformats.org/officeDocument/2006/customXml" ds:itemID="{6FA970A8-51C3-4F82-90A6-597E3F2DB0A5}"/>
</file>

<file path=customXml/itemProps7.xml><?xml version="1.0" encoding="utf-8"?>
<ds:datastoreItem xmlns:ds="http://schemas.openxmlformats.org/officeDocument/2006/customXml" ds:itemID="{88AB65A2-6903-46ED-8E73-F221A709E140}"/>
</file>

<file path=docProps/app.xml><?xml version="1.0" encoding="utf-8"?>
<Properties xmlns="http://schemas.openxmlformats.org/officeDocument/2006/extended-properties" xmlns:vt="http://schemas.openxmlformats.org/officeDocument/2006/docPropsVTypes">
  <Template>BD</Template>
  <TotalTime>30</TotalTime>
  <Pages>19</Pages>
  <Words>7257</Words>
  <Characters>37926</Characters>
  <Application>Microsoft Office Word</Application>
  <DocSecurity>0</DocSecurity>
  <Lines>715</Lines>
  <Paragraphs>199</Paragraphs>
  <ScaleCrop>false</ScaleCrop>
  <HeadingPairs>
    <vt:vector size="2" baseType="variant">
      <vt:variant>
        <vt:lpstr>Title</vt:lpstr>
      </vt:variant>
      <vt:variant>
        <vt:i4>1</vt:i4>
      </vt:variant>
    </vt:vector>
  </HeadingPairs>
  <TitlesOfParts>
    <vt:vector size="1" baseType="lpstr">
      <vt:lpstr>Tender</vt:lpstr>
    </vt:vector>
  </TitlesOfParts>
  <Company>HDY</Company>
  <LinksUpToDate>false</LinksUpToDate>
  <CharactersWithSpaces>44984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dc:title>
  <dc:creator>Henry Davis York</dc:creator>
  <dc:description/>
  <cp:lastModifiedBy>Henry Davis York</cp:lastModifiedBy>
  <cp:revision>4</cp:revision>
  <cp:lastPrinted>2017-06-16T07:47:00Z</cp:lastPrinted>
  <dcterms:created xsi:type="dcterms:W3CDTF">2017-06-16T08:43:00Z</dcterms:created>
  <dcterms:modified xsi:type="dcterms:W3CDTF">2017-06-16T23:07:00Z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o">
    <vt:lpwstr>19594386_1</vt:lpwstr>
  </property>
  <property fmtid="{D5CDD505-2E9C-101B-9397-08002B2CF9AE}" pid="3" name="AuthorInitials">
    <vt:lpwstr>AWK</vt:lpwstr>
  </property>
  <property fmtid="{D5CDD505-2E9C-101B-9397-08002B2CF9AE}" pid="4" name="MatterNo">
    <vt:lpwstr>AWK000</vt:lpwstr>
  </property>
  <property fmtid="{D5CDD505-2E9C-101B-9397-08002B2CF9AE}" pid="5" name="DocID">
    <vt:lpwstr>19594386_1/AWK/AWK000</vt:lpwstr>
  </property>
  <property fmtid="{D5CDD505-2E9C-101B-9397-08002B2CF9AE}" pid="6" name="BDTemplate">
    <vt:lpwstr>Tender</vt:lpwstr>
  </property>
  <property fmtid="{D5CDD505-2E9C-101B-9397-08002B2CF9AE}" pid="7" name="WorkSiteDoc">
    <vt:bool>true</vt:bool>
  </property>
  <property fmtid="{D5CDD505-2E9C-101B-9397-08002B2CF9AE}" pid="8" name="Original DocNo">
    <vt:lpwstr>19592911_1</vt:lpwstr>
  </property>
  <property fmtid="{D5CDD505-2E9C-101B-9397-08002B2CF9AE}" pid="9" name="ContentTypeId">
    <vt:lpwstr>0x010100E95D40E5DFEA714B90E88DB5CE07A6B500935D0CF8835BE447895972B43AB8EC93</vt:lpwstr>
  </property>
  <property fmtid="{D5CDD505-2E9C-101B-9397-08002B2CF9AE}" pid="10" name="TSYRecordClass">
    <vt:lpwstr>2;#TSY RA-9081 - Retain as national archives|bbf0bcde-1687-4ff2-bc57-f31b5d545d4b</vt:lpwstr>
  </property>
  <property fmtid="{D5CDD505-2E9C-101B-9397-08002B2CF9AE}" pid="11" name="_dlc_DocIdItemGuid">
    <vt:lpwstr>025f8663-2d3e-472a-9270-e13cdcf59b22</vt:lpwstr>
  </property>
</Properties>
</file>