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2EDEC6" w14:textId="77777777" w:rsidR="0056559F" w:rsidRPr="006D0240" w:rsidRDefault="0056559F" w:rsidP="0056559F">
      <w:pPr>
        <w:pStyle w:val="CoverTitleSub"/>
        <w:rPr>
          <w:rFonts w:cs="Calibri"/>
          <w:color w:val="auto"/>
          <w:szCs w:val="36"/>
        </w:rPr>
      </w:pPr>
      <w:r>
        <w:rPr>
          <w:rFonts w:cs="Calibri"/>
          <w:noProof/>
          <w:color w:val="auto"/>
          <w:szCs w:val="36"/>
        </w:rPr>
        <w:drawing>
          <wp:inline distT="0" distB="0" distL="0" distR="0" wp14:anchorId="245336D8" wp14:editId="276BCD05">
            <wp:extent cx="2023654" cy="1016169"/>
            <wp:effectExtent l="0" t="0" r="0" b="0"/>
            <wp:docPr id="1" name="Picture 1" descr="Australian Goverment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_stacke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9124" cy="1013894"/>
                    </a:xfrm>
                    <a:prstGeom prst="rect">
                      <a:avLst/>
                    </a:prstGeom>
                  </pic:spPr>
                </pic:pic>
              </a:graphicData>
            </a:graphic>
          </wp:inline>
        </w:drawing>
      </w:r>
    </w:p>
    <w:p w14:paraId="6925356F" w14:textId="77777777" w:rsidR="0056559F" w:rsidRPr="0090524A" w:rsidRDefault="00400F46" w:rsidP="0056559F">
      <w:pPr>
        <w:pStyle w:val="CoverTitleMain"/>
        <w:shd w:val="clear" w:color="auto" w:fill="FFFFFF" w:themeFill="background1"/>
        <w:spacing w:before="2760" w:after="240"/>
        <w:rPr>
          <w:rFonts w:ascii="Garamond" w:hAnsi="Garamond"/>
        </w:rPr>
      </w:pPr>
      <w:r>
        <w:rPr>
          <w:rFonts w:ascii="Garamond" w:hAnsi="Garamond"/>
        </w:rPr>
        <w:t>Foreign Investment Framework 2017 </w:t>
      </w:r>
      <w:r w:rsidR="00707AAE">
        <w:rPr>
          <w:rFonts w:ascii="Garamond" w:hAnsi="Garamond"/>
        </w:rPr>
        <w:t>Legislative</w:t>
      </w:r>
      <w:r w:rsidR="009F002F">
        <w:rPr>
          <w:rFonts w:ascii="Garamond" w:hAnsi="Garamond"/>
        </w:rPr>
        <w:t xml:space="preserve"> Package</w:t>
      </w:r>
    </w:p>
    <w:p w14:paraId="537FC58E" w14:textId="5583F452" w:rsidR="0056559F" w:rsidRPr="0090524A" w:rsidRDefault="0056559F" w:rsidP="0056559F">
      <w:pPr>
        <w:pStyle w:val="CoverTitleSub"/>
        <w:pBdr>
          <w:top w:val="single" w:sz="24" w:space="4" w:color="342E82"/>
        </w:pBdr>
        <w:spacing w:before="480"/>
        <w:rPr>
          <w:rFonts w:ascii="Garamond" w:hAnsi="Garamond"/>
        </w:rPr>
      </w:pPr>
      <w:r>
        <w:rPr>
          <w:rFonts w:ascii="Garamond" w:hAnsi="Garamond"/>
        </w:rPr>
        <w:t>Consultation</w:t>
      </w:r>
      <w:r w:rsidRPr="0090524A">
        <w:rPr>
          <w:rFonts w:ascii="Garamond" w:hAnsi="Garamond"/>
        </w:rPr>
        <w:t xml:space="preserve"> Paper</w:t>
      </w:r>
      <w:r w:rsidRPr="0090524A">
        <w:rPr>
          <w:rFonts w:ascii="Garamond" w:hAnsi="Garamond"/>
        </w:rPr>
        <w:br/>
      </w:r>
      <w:r w:rsidR="00022328">
        <w:rPr>
          <w:rFonts w:ascii="Garamond" w:hAnsi="Garamond"/>
          <w:szCs w:val="28"/>
        </w:rPr>
        <w:t>March</w:t>
      </w:r>
      <w:bookmarkStart w:id="0" w:name="_GoBack"/>
      <w:bookmarkEnd w:id="0"/>
      <w:r w:rsidR="009F002F">
        <w:rPr>
          <w:rFonts w:ascii="Garamond" w:hAnsi="Garamond"/>
          <w:szCs w:val="28"/>
        </w:rPr>
        <w:t xml:space="preserve"> 2017</w:t>
      </w:r>
    </w:p>
    <w:p w14:paraId="67CAB771" w14:textId="77777777" w:rsidR="0056559F" w:rsidRDefault="0056559F"/>
    <w:p w14:paraId="66EC689A" w14:textId="77777777" w:rsidR="0056559F" w:rsidRDefault="0056559F"/>
    <w:tbl>
      <w:tblPr>
        <w:tblW w:w="4885" w:type="pct"/>
        <w:tblInd w:w="108" w:type="dxa"/>
        <w:shd w:val="clear" w:color="auto" w:fill="E6E6E6"/>
        <w:tblLook w:val="01E0" w:firstRow="1" w:lastRow="1" w:firstColumn="1" w:lastColumn="1" w:noHBand="0" w:noVBand="0"/>
      </w:tblPr>
      <w:tblGrid>
        <w:gridCol w:w="9072"/>
      </w:tblGrid>
      <w:tr w:rsidR="000A7BCF" w14:paraId="62D23268" w14:textId="77777777" w:rsidTr="00447234">
        <w:tc>
          <w:tcPr>
            <w:tcW w:w="5000" w:type="pct"/>
            <w:shd w:val="clear" w:color="auto" w:fill="E6E6E6"/>
          </w:tcPr>
          <w:p w14:paraId="1675D422" w14:textId="77777777" w:rsidR="000A7BCF" w:rsidRDefault="00352FCF">
            <w:pPr>
              <w:pStyle w:val="NotesHeading"/>
            </w:pPr>
            <w:r>
              <w:t>Notes to participants</w:t>
            </w:r>
          </w:p>
          <w:p w14:paraId="4157DD51" w14:textId="77777777" w:rsidR="000A7BCF" w:rsidRPr="008950C5" w:rsidRDefault="00352FCF">
            <w:pPr>
              <w:pStyle w:val="Disclaimer"/>
            </w:pPr>
            <w:r>
              <w:t xml:space="preserve">The principles outlined in this paper have not received Government approval </w:t>
            </w:r>
            <w:r w:rsidR="0056559F">
              <w:t xml:space="preserve">and are obviously not yet law. </w:t>
            </w:r>
            <w:r>
              <w:t>As a consequence, this paper is merely a guide as to how the principles might operate.</w:t>
            </w:r>
          </w:p>
        </w:tc>
      </w:tr>
    </w:tbl>
    <w:p w14:paraId="3B3AB532" w14:textId="77777777" w:rsidR="000A7BCF" w:rsidRDefault="000A7BCF"/>
    <w:p w14:paraId="5646176E" w14:textId="77777777" w:rsidR="0056559F" w:rsidRDefault="0056559F"/>
    <w:p w14:paraId="59FDAFC0" w14:textId="77777777" w:rsidR="000A7BCF" w:rsidRDefault="000A7BCF">
      <w:pPr>
        <w:sectPr w:rsidR="000A7BCF" w:rsidSect="0056559F">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709" w:footer="709" w:gutter="0"/>
          <w:cols w:space="708"/>
          <w:titlePg/>
          <w:docGrid w:linePitch="360"/>
        </w:sectPr>
      </w:pPr>
    </w:p>
    <w:p w14:paraId="744C3BF4" w14:textId="77777777" w:rsidR="00813AC3" w:rsidRDefault="00813AC3" w:rsidP="00813AC3"/>
    <w:p w14:paraId="01366556" w14:textId="77777777" w:rsidR="00810145" w:rsidRDefault="009A1724" w:rsidP="009A1724">
      <w:pPr>
        <w:pStyle w:val="ContentsHeading"/>
        <w:rPr>
          <w:noProof/>
        </w:rPr>
      </w:pPr>
      <w:r>
        <w:t>Contents</w:t>
      </w:r>
      <w:r w:rsidR="0056559F">
        <w:rPr>
          <w:b/>
          <w:sz w:val="24"/>
          <w:szCs w:val="22"/>
        </w:rPr>
        <w:fldChar w:fldCharType="begin"/>
      </w:r>
      <w:r w:rsidR="0056559F">
        <w:instrText xml:space="preserve"> TOC \o "1-3" \h \z \u </w:instrText>
      </w:r>
      <w:r w:rsidR="0056559F">
        <w:rPr>
          <w:b/>
          <w:sz w:val="24"/>
          <w:szCs w:val="22"/>
        </w:rPr>
        <w:fldChar w:fldCharType="separate"/>
      </w:r>
    </w:p>
    <w:p w14:paraId="1EDA3DE8" w14:textId="77777777" w:rsidR="00810145" w:rsidRDefault="00022328">
      <w:pPr>
        <w:pStyle w:val="TOC2"/>
        <w:rPr>
          <w:rFonts w:asciiTheme="minorHAnsi" w:eastAsiaTheme="minorEastAsia" w:hAnsiTheme="minorHAnsi" w:cstheme="minorBidi"/>
          <w:noProof/>
          <w:color w:val="auto"/>
          <w:szCs w:val="22"/>
        </w:rPr>
      </w:pPr>
      <w:hyperlink w:anchor="_Toc476738982" w:history="1">
        <w:r w:rsidR="00810145" w:rsidRPr="00EA138C">
          <w:rPr>
            <w:rStyle w:val="Hyperlink"/>
            <w:noProof/>
          </w:rPr>
          <w:t>Consultation Process</w:t>
        </w:r>
        <w:r w:rsidR="00810145">
          <w:rPr>
            <w:noProof/>
            <w:webHidden/>
          </w:rPr>
          <w:tab/>
        </w:r>
        <w:r w:rsidR="00810145">
          <w:rPr>
            <w:noProof/>
            <w:webHidden/>
          </w:rPr>
          <w:fldChar w:fldCharType="begin"/>
        </w:r>
        <w:r w:rsidR="00810145">
          <w:rPr>
            <w:noProof/>
            <w:webHidden/>
          </w:rPr>
          <w:instrText xml:space="preserve"> PAGEREF _Toc476738982 \h </w:instrText>
        </w:r>
        <w:r w:rsidR="00810145">
          <w:rPr>
            <w:noProof/>
            <w:webHidden/>
          </w:rPr>
        </w:r>
        <w:r w:rsidR="00810145">
          <w:rPr>
            <w:noProof/>
            <w:webHidden/>
          </w:rPr>
          <w:fldChar w:fldCharType="separate"/>
        </w:r>
        <w:r w:rsidR="00810145">
          <w:rPr>
            <w:noProof/>
            <w:webHidden/>
          </w:rPr>
          <w:t>4</w:t>
        </w:r>
        <w:r w:rsidR="00810145">
          <w:rPr>
            <w:noProof/>
            <w:webHidden/>
          </w:rPr>
          <w:fldChar w:fldCharType="end"/>
        </w:r>
      </w:hyperlink>
    </w:p>
    <w:p w14:paraId="3585A076" w14:textId="77777777" w:rsidR="00810145" w:rsidRDefault="00022328">
      <w:pPr>
        <w:pStyle w:val="TOC3"/>
        <w:rPr>
          <w:rFonts w:asciiTheme="minorHAnsi" w:eastAsiaTheme="minorEastAsia" w:hAnsiTheme="minorHAnsi" w:cstheme="minorBidi"/>
          <w:noProof/>
          <w:color w:val="auto"/>
          <w:szCs w:val="22"/>
        </w:rPr>
      </w:pPr>
      <w:hyperlink w:anchor="_Toc476738983" w:history="1">
        <w:r w:rsidR="00810145" w:rsidRPr="00EA138C">
          <w:rPr>
            <w:rStyle w:val="Hyperlink"/>
            <w:noProof/>
          </w:rPr>
          <w:t>Request for feedback and comments</w:t>
        </w:r>
        <w:r w:rsidR="00810145">
          <w:rPr>
            <w:noProof/>
            <w:webHidden/>
          </w:rPr>
          <w:tab/>
        </w:r>
        <w:r w:rsidR="00810145">
          <w:rPr>
            <w:noProof/>
            <w:webHidden/>
          </w:rPr>
          <w:fldChar w:fldCharType="begin"/>
        </w:r>
        <w:r w:rsidR="00810145">
          <w:rPr>
            <w:noProof/>
            <w:webHidden/>
          </w:rPr>
          <w:instrText xml:space="preserve"> PAGEREF _Toc476738983 \h </w:instrText>
        </w:r>
        <w:r w:rsidR="00810145">
          <w:rPr>
            <w:noProof/>
            <w:webHidden/>
          </w:rPr>
        </w:r>
        <w:r w:rsidR="00810145">
          <w:rPr>
            <w:noProof/>
            <w:webHidden/>
          </w:rPr>
          <w:fldChar w:fldCharType="separate"/>
        </w:r>
        <w:r w:rsidR="00810145">
          <w:rPr>
            <w:noProof/>
            <w:webHidden/>
          </w:rPr>
          <w:t>4</w:t>
        </w:r>
        <w:r w:rsidR="00810145">
          <w:rPr>
            <w:noProof/>
            <w:webHidden/>
          </w:rPr>
          <w:fldChar w:fldCharType="end"/>
        </w:r>
      </w:hyperlink>
    </w:p>
    <w:p w14:paraId="6269902A" w14:textId="77777777" w:rsidR="00810145" w:rsidRDefault="00022328">
      <w:pPr>
        <w:pStyle w:val="TOC1"/>
        <w:rPr>
          <w:rFonts w:asciiTheme="minorHAnsi" w:eastAsiaTheme="minorEastAsia" w:hAnsiTheme="minorHAnsi" w:cstheme="minorBidi"/>
          <w:b w:val="0"/>
          <w:noProof/>
          <w:color w:val="auto"/>
          <w:sz w:val="22"/>
        </w:rPr>
      </w:pPr>
      <w:hyperlink w:anchor="_Toc476738984" w:history="1">
        <w:r w:rsidR="00810145" w:rsidRPr="00EA138C">
          <w:rPr>
            <w:rStyle w:val="Hyperlink"/>
            <w:noProof/>
          </w:rPr>
          <w:t>Foreign Investment Framework 2017 Legislative Package</w:t>
        </w:r>
        <w:r w:rsidR="00810145">
          <w:rPr>
            <w:noProof/>
            <w:webHidden/>
          </w:rPr>
          <w:tab/>
        </w:r>
        <w:r w:rsidR="00810145">
          <w:rPr>
            <w:noProof/>
            <w:webHidden/>
          </w:rPr>
          <w:fldChar w:fldCharType="begin"/>
        </w:r>
        <w:r w:rsidR="00810145">
          <w:rPr>
            <w:noProof/>
            <w:webHidden/>
          </w:rPr>
          <w:instrText xml:space="preserve"> PAGEREF _Toc476738984 \h </w:instrText>
        </w:r>
        <w:r w:rsidR="00810145">
          <w:rPr>
            <w:noProof/>
            <w:webHidden/>
          </w:rPr>
        </w:r>
        <w:r w:rsidR="00810145">
          <w:rPr>
            <w:noProof/>
            <w:webHidden/>
          </w:rPr>
          <w:fldChar w:fldCharType="separate"/>
        </w:r>
        <w:r w:rsidR="00810145">
          <w:rPr>
            <w:noProof/>
            <w:webHidden/>
          </w:rPr>
          <w:t>1</w:t>
        </w:r>
        <w:r w:rsidR="00810145">
          <w:rPr>
            <w:noProof/>
            <w:webHidden/>
          </w:rPr>
          <w:fldChar w:fldCharType="end"/>
        </w:r>
      </w:hyperlink>
    </w:p>
    <w:p w14:paraId="06CC93D2" w14:textId="77777777" w:rsidR="00810145" w:rsidRDefault="00022328">
      <w:pPr>
        <w:pStyle w:val="TOC2"/>
        <w:rPr>
          <w:rFonts w:asciiTheme="minorHAnsi" w:eastAsiaTheme="minorEastAsia" w:hAnsiTheme="minorHAnsi" w:cstheme="minorBidi"/>
          <w:noProof/>
          <w:color w:val="auto"/>
          <w:szCs w:val="22"/>
        </w:rPr>
      </w:pPr>
      <w:hyperlink w:anchor="_Toc476738985" w:history="1">
        <w:r w:rsidR="00810145" w:rsidRPr="00EA138C">
          <w:rPr>
            <w:rStyle w:val="Hyperlink"/>
            <w:noProof/>
          </w:rPr>
          <w:t>Background</w:t>
        </w:r>
        <w:r w:rsidR="00810145">
          <w:rPr>
            <w:noProof/>
            <w:webHidden/>
          </w:rPr>
          <w:tab/>
        </w:r>
        <w:r w:rsidR="00810145">
          <w:rPr>
            <w:noProof/>
            <w:webHidden/>
          </w:rPr>
          <w:fldChar w:fldCharType="begin"/>
        </w:r>
        <w:r w:rsidR="00810145">
          <w:rPr>
            <w:noProof/>
            <w:webHidden/>
          </w:rPr>
          <w:instrText xml:space="preserve"> PAGEREF _Toc476738985 \h </w:instrText>
        </w:r>
        <w:r w:rsidR="00810145">
          <w:rPr>
            <w:noProof/>
            <w:webHidden/>
          </w:rPr>
        </w:r>
        <w:r w:rsidR="00810145">
          <w:rPr>
            <w:noProof/>
            <w:webHidden/>
          </w:rPr>
          <w:fldChar w:fldCharType="separate"/>
        </w:r>
        <w:r w:rsidR="00810145">
          <w:rPr>
            <w:noProof/>
            <w:webHidden/>
          </w:rPr>
          <w:t>1</w:t>
        </w:r>
        <w:r w:rsidR="00810145">
          <w:rPr>
            <w:noProof/>
            <w:webHidden/>
          </w:rPr>
          <w:fldChar w:fldCharType="end"/>
        </w:r>
      </w:hyperlink>
    </w:p>
    <w:p w14:paraId="714F9CBA" w14:textId="77777777" w:rsidR="00810145" w:rsidRDefault="00022328">
      <w:pPr>
        <w:pStyle w:val="TOC2"/>
        <w:rPr>
          <w:rFonts w:asciiTheme="minorHAnsi" w:eastAsiaTheme="minorEastAsia" w:hAnsiTheme="minorHAnsi" w:cstheme="minorBidi"/>
          <w:noProof/>
          <w:color w:val="auto"/>
          <w:szCs w:val="22"/>
        </w:rPr>
      </w:pPr>
      <w:hyperlink w:anchor="_Toc476738986" w:history="1">
        <w:r w:rsidR="00810145" w:rsidRPr="00EA138C">
          <w:rPr>
            <w:rStyle w:val="Hyperlink"/>
            <w:noProof/>
          </w:rPr>
          <w:t>Issues for discussion</w:t>
        </w:r>
        <w:r w:rsidR="00810145">
          <w:rPr>
            <w:noProof/>
            <w:webHidden/>
          </w:rPr>
          <w:tab/>
        </w:r>
        <w:r w:rsidR="00810145">
          <w:rPr>
            <w:noProof/>
            <w:webHidden/>
          </w:rPr>
          <w:fldChar w:fldCharType="begin"/>
        </w:r>
        <w:r w:rsidR="00810145">
          <w:rPr>
            <w:noProof/>
            <w:webHidden/>
          </w:rPr>
          <w:instrText xml:space="preserve"> PAGEREF _Toc476738986 \h </w:instrText>
        </w:r>
        <w:r w:rsidR="00810145">
          <w:rPr>
            <w:noProof/>
            <w:webHidden/>
          </w:rPr>
        </w:r>
        <w:r w:rsidR="00810145">
          <w:rPr>
            <w:noProof/>
            <w:webHidden/>
          </w:rPr>
          <w:fldChar w:fldCharType="separate"/>
        </w:r>
        <w:r w:rsidR="00810145">
          <w:rPr>
            <w:noProof/>
            <w:webHidden/>
          </w:rPr>
          <w:t>2</w:t>
        </w:r>
        <w:r w:rsidR="00810145">
          <w:rPr>
            <w:noProof/>
            <w:webHidden/>
          </w:rPr>
          <w:fldChar w:fldCharType="end"/>
        </w:r>
      </w:hyperlink>
    </w:p>
    <w:p w14:paraId="163C89AD" w14:textId="77777777" w:rsidR="00810145" w:rsidRDefault="00022328">
      <w:pPr>
        <w:pStyle w:val="TOC1"/>
        <w:rPr>
          <w:rFonts w:asciiTheme="minorHAnsi" w:eastAsiaTheme="minorEastAsia" w:hAnsiTheme="minorHAnsi" w:cstheme="minorBidi"/>
          <w:b w:val="0"/>
          <w:noProof/>
          <w:color w:val="auto"/>
          <w:sz w:val="22"/>
        </w:rPr>
      </w:pPr>
      <w:hyperlink w:anchor="_Toc476738987" w:history="1">
        <w:r w:rsidR="00810145" w:rsidRPr="00EA138C">
          <w:rPr>
            <w:rStyle w:val="Hyperlink"/>
            <w:noProof/>
          </w:rPr>
          <w:t>Issues for Consultation</w:t>
        </w:r>
        <w:r w:rsidR="00810145">
          <w:rPr>
            <w:noProof/>
            <w:webHidden/>
          </w:rPr>
          <w:tab/>
        </w:r>
        <w:r w:rsidR="00810145">
          <w:rPr>
            <w:noProof/>
            <w:webHidden/>
          </w:rPr>
          <w:fldChar w:fldCharType="begin"/>
        </w:r>
        <w:r w:rsidR="00810145">
          <w:rPr>
            <w:noProof/>
            <w:webHidden/>
          </w:rPr>
          <w:instrText xml:space="preserve"> PAGEREF _Toc476738987 \h </w:instrText>
        </w:r>
        <w:r w:rsidR="00810145">
          <w:rPr>
            <w:noProof/>
            <w:webHidden/>
          </w:rPr>
        </w:r>
        <w:r w:rsidR="00810145">
          <w:rPr>
            <w:noProof/>
            <w:webHidden/>
          </w:rPr>
          <w:fldChar w:fldCharType="separate"/>
        </w:r>
        <w:r w:rsidR="00810145">
          <w:rPr>
            <w:noProof/>
            <w:webHidden/>
          </w:rPr>
          <w:t>3</w:t>
        </w:r>
        <w:r w:rsidR="00810145">
          <w:rPr>
            <w:noProof/>
            <w:webHidden/>
          </w:rPr>
          <w:fldChar w:fldCharType="end"/>
        </w:r>
      </w:hyperlink>
    </w:p>
    <w:p w14:paraId="2B7A804D" w14:textId="77777777" w:rsidR="00810145" w:rsidRDefault="00022328">
      <w:pPr>
        <w:pStyle w:val="TOC2"/>
        <w:rPr>
          <w:rFonts w:asciiTheme="minorHAnsi" w:eastAsiaTheme="minorEastAsia" w:hAnsiTheme="minorHAnsi" w:cstheme="minorBidi"/>
          <w:noProof/>
          <w:color w:val="auto"/>
          <w:szCs w:val="22"/>
        </w:rPr>
      </w:pPr>
      <w:hyperlink w:anchor="_Toc476738988" w:history="1">
        <w:r w:rsidR="00810145" w:rsidRPr="00EA138C">
          <w:rPr>
            <w:rStyle w:val="Hyperlink"/>
            <w:noProof/>
          </w:rPr>
          <w:t>1. Residential land</w:t>
        </w:r>
        <w:r w:rsidR="00810145">
          <w:rPr>
            <w:noProof/>
            <w:webHidden/>
          </w:rPr>
          <w:tab/>
        </w:r>
        <w:r w:rsidR="00810145">
          <w:rPr>
            <w:noProof/>
            <w:webHidden/>
          </w:rPr>
          <w:fldChar w:fldCharType="begin"/>
        </w:r>
        <w:r w:rsidR="00810145">
          <w:rPr>
            <w:noProof/>
            <w:webHidden/>
          </w:rPr>
          <w:instrText xml:space="preserve"> PAGEREF _Toc476738988 \h </w:instrText>
        </w:r>
        <w:r w:rsidR="00810145">
          <w:rPr>
            <w:noProof/>
            <w:webHidden/>
          </w:rPr>
        </w:r>
        <w:r w:rsidR="00810145">
          <w:rPr>
            <w:noProof/>
            <w:webHidden/>
          </w:rPr>
          <w:fldChar w:fldCharType="separate"/>
        </w:r>
        <w:r w:rsidR="00810145">
          <w:rPr>
            <w:noProof/>
            <w:webHidden/>
          </w:rPr>
          <w:t>3</w:t>
        </w:r>
        <w:r w:rsidR="00810145">
          <w:rPr>
            <w:noProof/>
            <w:webHidden/>
          </w:rPr>
          <w:fldChar w:fldCharType="end"/>
        </w:r>
      </w:hyperlink>
    </w:p>
    <w:p w14:paraId="1598C445" w14:textId="77777777" w:rsidR="00810145" w:rsidRDefault="00022328">
      <w:pPr>
        <w:pStyle w:val="TOC3"/>
        <w:rPr>
          <w:rFonts w:asciiTheme="minorHAnsi" w:eastAsiaTheme="minorEastAsia" w:hAnsiTheme="minorHAnsi" w:cstheme="minorBidi"/>
          <w:noProof/>
          <w:color w:val="auto"/>
          <w:szCs w:val="22"/>
        </w:rPr>
      </w:pPr>
      <w:hyperlink w:anchor="_Toc476738989" w:history="1">
        <w:r w:rsidR="00810145" w:rsidRPr="00EA138C">
          <w:rPr>
            <w:rStyle w:val="Hyperlink"/>
            <w:noProof/>
          </w:rPr>
          <w:t>Background</w:t>
        </w:r>
        <w:r w:rsidR="00810145">
          <w:rPr>
            <w:noProof/>
            <w:webHidden/>
          </w:rPr>
          <w:tab/>
        </w:r>
        <w:r w:rsidR="00810145">
          <w:rPr>
            <w:noProof/>
            <w:webHidden/>
          </w:rPr>
          <w:fldChar w:fldCharType="begin"/>
        </w:r>
        <w:r w:rsidR="00810145">
          <w:rPr>
            <w:noProof/>
            <w:webHidden/>
          </w:rPr>
          <w:instrText xml:space="preserve"> PAGEREF _Toc476738989 \h </w:instrText>
        </w:r>
        <w:r w:rsidR="00810145">
          <w:rPr>
            <w:noProof/>
            <w:webHidden/>
          </w:rPr>
        </w:r>
        <w:r w:rsidR="00810145">
          <w:rPr>
            <w:noProof/>
            <w:webHidden/>
          </w:rPr>
          <w:fldChar w:fldCharType="separate"/>
        </w:r>
        <w:r w:rsidR="00810145">
          <w:rPr>
            <w:noProof/>
            <w:webHidden/>
          </w:rPr>
          <w:t>3</w:t>
        </w:r>
        <w:r w:rsidR="00810145">
          <w:rPr>
            <w:noProof/>
            <w:webHidden/>
          </w:rPr>
          <w:fldChar w:fldCharType="end"/>
        </w:r>
      </w:hyperlink>
    </w:p>
    <w:p w14:paraId="20AE4AAF" w14:textId="77777777" w:rsidR="00810145" w:rsidRDefault="00022328">
      <w:pPr>
        <w:pStyle w:val="TOC3"/>
        <w:rPr>
          <w:rFonts w:asciiTheme="minorHAnsi" w:eastAsiaTheme="minorEastAsia" w:hAnsiTheme="minorHAnsi" w:cstheme="minorBidi"/>
          <w:noProof/>
          <w:color w:val="auto"/>
          <w:szCs w:val="22"/>
        </w:rPr>
      </w:pPr>
      <w:hyperlink w:anchor="_Toc476738990" w:history="1">
        <w:r w:rsidR="00810145" w:rsidRPr="00EA138C">
          <w:rPr>
            <w:rStyle w:val="Hyperlink"/>
            <w:noProof/>
          </w:rPr>
          <w:t>The problem</w:t>
        </w:r>
        <w:r w:rsidR="00810145">
          <w:rPr>
            <w:noProof/>
            <w:webHidden/>
          </w:rPr>
          <w:tab/>
        </w:r>
        <w:r w:rsidR="00810145">
          <w:rPr>
            <w:noProof/>
            <w:webHidden/>
          </w:rPr>
          <w:fldChar w:fldCharType="begin"/>
        </w:r>
        <w:r w:rsidR="00810145">
          <w:rPr>
            <w:noProof/>
            <w:webHidden/>
          </w:rPr>
          <w:instrText xml:space="preserve"> PAGEREF _Toc476738990 \h </w:instrText>
        </w:r>
        <w:r w:rsidR="00810145">
          <w:rPr>
            <w:noProof/>
            <w:webHidden/>
          </w:rPr>
        </w:r>
        <w:r w:rsidR="00810145">
          <w:rPr>
            <w:noProof/>
            <w:webHidden/>
          </w:rPr>
          <w:fldChar w:fldCharType="separate"/>
        </w:r>
        <w:r w:rsidR="00810145">
          <w:rPr>
            <w:noProof/>
            <w:webHidden/>
          </w:rPr>
          <w:t>3</w:t>
        </w:r>
        <w:r w:rsidR="00810145">
          <w:rPr>
            <w:noProof/>
            <w:webHidden/>
          </w:rPr>
          <w:fldChar w:fldCharType="end"/>
        </w:r>
      </w:hyperlink>
    </w:p>
    <w:p w14:paraId="5973D737" w14:textId="77777777" w:rsidR="00810145" w:rsidRDefault="00022328">
      <w:pPr>
        <w:pStyle w:val="TOC3"/>
        <w:rPr>
          <w:rFonts w:asciiTheme="minorHAnsi" w:eastAsiaTheme="minorEastAsia" w:hAnsiTheme="minorHAnsi" w:cstheme="minorBidi"/>
          <w:noProof/>
          <w:color w:val="auto"/>
          <w:szCs w:val="22"/>
        </w:rPr>
      </w:pPr>
      <w:hyperlink w:anchor="_Toc476738991" w:history="1">
        <w:r w:rsidR="00810145" w:rsidRPr="00EA138C">
          <w:rPr>
            <w:rStyle w:val="Hyperlink"/>
            <w:noProof/>
          </w:rPr>
          <w:t>Case for government action</w:t>
        </w:r>
        <w:r w:rsidR="00810145">
          <w:rPr>
            <w:noProof/>
            <w:webHidden/>
          </w:rPr>
          <w:tab/>
        </w:r>
        <w:r w:rsidR="00810145">
          <w:rPr>
            <w:noProof/>
            <w:webHidden/>
          </w:rPr>
          <w:fldChar w:fldCharType="begin"/>
        </w:r>
        <w:r w:rsidR="00810145">
          <w:rPr>
            <w:noProof/>
            <w:webHidden/>
          </w:rPr>
          <w:instrText xml:space="preserve"> PAGEREF _Toc476738991 \h </w:instrText>
        </w:r>
        <w:r w:rsidR="00810145">
          <w:rPr>
            <w:noProof/>
            <w:webHidden/>
          </w:rPr>
        </w:r>
        <w:r w:rsidR="00810145">
          <w:rPr>
            <w:noProof/>
            <w:webHidden/>
          </w:rPr>
          <w:fldChar w:fldCharType="separate"/>
        </w:r>
        <w:r w:rsidR="00810145">
          <w:rPr>
            <w:noProof/>
            <w:webHidden/>
          </w:rPr>
          <w:t>4</w:t>
        </w:r>
        <w:r w:rsidR="00810145">
          <w:rPr>
            <w:noProof/>
            <w:webHidden/>
          </w:rPr>
          <w:fldChar w:fldCharType="end"/>
        </w:r>
      </w:hyperlink>
    </w:p>
    <w:p w14:paraId="4C14494C" w14:textId="77777777" w:rsidR="00810145" w:rsidRDefault="00022328">
      <w:pPr>
        <w:pStyle w:val="TOC3"/>
        <w:rPr>
          <w:rFonts w:asciiTheme="minorHAnsi" w:eastAsiaTheme="minorEastAsia" w:hAnsiTheme="minorHAnsi" w:cstheme="minorBidi"/>
          <w:noProof/>
          <w:color w:val="auto"/>
          <w:szCs w:val="22"/>
        </w:rPr>
      </w:pPr>
      <w:hyperlink w:anchor="_Toc476738992" w:history="1">
        <w:r w:rsidR="00810145" w:rsidRPr="00EA138C">
          <w:rPr>
            <w:rStyle w:val="Hyperlink"/>
            <w:noProof/>
          </w:rPr>
          <w:t>Policy options</w:t>
        </w:r>
        <w:r w:rsidR="00810145">
          <w:rPr>
            <w:noProof/>
            <w:webHidden/>
          </w:rPr>
          <w:tab/>
        </w:r>
        <w:r w:rsidR="00810145">
          <w:rPr>
            <w:noProof/>
            <w:webHidden/>
          </w:rPr>
          <w:fldChar w:fldCharType="begin"/>
        </w:r>
        <w:r w:rsidR="00810145">
          <w:rPr>
            <w:noProof/>
            <w:webHidden/>
          </w:rPr>
          <w:instrText xml:space="preserve"> PAGEREF _Toc476738992 \h </w:instrText>
        </w:r>
        <w:r w:rsidR="00810145">
          <w:rPr>
            <w:noProof/>
            <w:webHidden/>
          </w:rPr>
        </w:r>
        <w:r w:rsidR="00810145">
          <w:rPr>
            <w:noProof/>
            <w:webHidden/>
          </w:rPr>
          <w:fldChar w:fldCharType="separate"/>
        </w:r>
        <w:r w:rsidR="00810145">
          <w:rPr>
            <w:noProof/>
            <w:webHidden/>
          </w:rPr>
          <w:t>4</w:t>
        </w:r>
        <w:r w:rsidR="00810145">
          <w:rPr>
            <w:noProof/>
            <w:webHidden/>
          </w:rPr>
          <w:fldChar w:fldCharType="end"/>
        </w:r>
      </w:hyperlink>
    </w:p>
    <w:p w14:paraId="414CCD2A" w14:textId="77777777" w:rsidR="00810145" w:rsidRDefault="00022328">
      <w:pPr>
        <w:pStyle w:val="TOC3"/>
        <w:rPr>
          <w:rFonts w:asciiTheme="minorHAnsi" w:eastAsiaTheme="minorEastAsia" w:hAnsiTheme="minorHAnsi" w:cstheme="minorBidi"/>
          <w:noProof/>
          <w:color w:val="auto"/>
          <w:szCs w:val="22"/>
        </w:rPr>
      </w:pPr>
      <w:hyperlink w:anchor="_Toc476738993" w:history="1">
        <w:r w:rsidR="00810145" w:rsidRPr="00EA138C">
          <w:rPr>
            <w:rStyle w:val="Hyperlink"/>
            <w:noProof/>
          </w:rPr>
          <w:t>Cost/benefit analysis of each option</w:t>
        </w:r>
        <w:r w:rsidR="00810145">
          <w:rPr>
            <w:noProof/>
            <w:webHidden/>
          </w:rPr>
          <w:tab/>
        </w:r>
        <w:r w:rsidR="00810145">
          <w:rPr>
            <w:noProof/>
            <w:webHidden/>
          </w:rPr>
          <w:fldChar w:fldCharType="begin"/>
        </w:r>
        <w:r w:rsidR="00810145">
          <w:rPr>
            <w:noProof/>
            <w:webHidden/>
          </w:rPr>
          <w:instrText xml:space="preserve"> PAGEREF _Toc476738993 \h </w:instrText>
        </w:r>
        <w:r w:rsidR="00810145">
          <w:rPr>
            <w:noProof/>
            <w:webHidden/>
          </w:rPr>
        </w:r>
        <w:r w:rsidR="00810145">
          <w:rPr>
            <w:noProof/>
            <w:webHidden/>
          </w:rPr>
          <w:fldChar w:fldCharType="separate"/>
        </w:r>
        <w:r w:rsidR="00810145">
          <w:rPr>
            <w:noProof/>
            <w:webHidden/>
          </w:rPr>
          <w:t>5</w:t>
        </w:r>
        <w:r w:rsidR="00810145">
          <w:rPr>
            <w:noProof/>
            <w:webHidden/>
          </w:rPr>
          <w:fldChar w:fldCharType="end"/>
        </w:r>
      </w:hyperlink>
    </w:p>
    <w:p w14:paraId="3A6794F5" w14:textId="77777777" w:rsidR="00810145" w:rsidRDefault="00022328">
      <w:pPr>
        <w:pStyle w:val="TOC2"/>
        <w:rPr>
          <w:rFonts w:asciiTheme="minorHAnsi" w:eastAsiaTheme="minorEastAsia" w:hAnsiTheme="minorHAnsi" w:cstheme="minorBidi"/>
          <w:noProof/>
          <w:color w:val="auto"/>
          <w:szCs w:val="22"/>
        </w:rPr>
      </w:pPr>
      <w:hyperlink w:anchor="_Toc476738994" w:history="1">
        <w:r w:rsidR="00810145" w:rsidRPr="00EA138C">
          <w:rPr>
            <w:rStyle w:val="Hyperlink"/>
            <w:noProof/>
          </w:rPr>
          <w:t>2. Non</w:t>
        </w:r>
        <w:r w:rsidR="00810145" w:rsidRPr="00EA138C">
          <w:rPr>
            <w:rStyle w:val="Hyperlink"/>
            <w:noProof/>
          </w:rPr>
          <w:noBreakHyphen/>
          <w:t>vacant commercial land</w:t>
        </w:r>
        <w:r w:rsidR="00810145">
          <w:rPr>
            <w:noProof/>
            <w:webHidden/>
          </w:rPr>
          <w:tab/>
        </w:r>
        <w:r w:rsidR="00810145">
          <w:rPr>
            <w:noProof/>
            <w:webHidden/>
          </w:rPr>
          <w:fldChar w:fldCharType="begin"/>
        </w:r>
        <w:r w:rsidR="00810145">
          <w:rPr>
            <w:noProof/>
            <w:webHidden/>
          </w:rPr>
          <w:instrText xml:space="preserve"> PAGEREF _Toc476738994 \h </w:instrText>
        </w:r>
        <w:r w:rsidR="00810145">
          <w:rPr>
            <w:noProof/>
            <w:webHidden/>
          </w:rPr>
        </w:r>
        <w:r w:rsidR="00810145">
          <w:rPr>
            <w:noProof/>
            <w:webHidden/>
          </w:rPr>
          <w:fldChar w:fldCharType="separate"/>
        </w:r>
        <w:r w:rsidR="00810145">
          <w:rPr>
            <w:noProof/>
            <w:webHidden/>
          </w:rPr>
          <w:t>7</w:t>
        </w:r>
        <w:r w:rsidR="00810145">
          <w:rPr>
            <w:noProof/>
            <w:webHidden/>
          </w:rPr>
          <w:fldChar w:fldCharType="end"/>
        </w:r>
      </w:hyperlink>
    </w:p>
    <w:p w14:paraId="32CA4688" w14:textId="77777777" w:rsidR="00810145" w:rsidRDefault="00022328">
      <w:pPr>
        <w:pStyle w:val="TOC3"/>
        <w:rPr>
          <w:rFonts w:asciiTheme="minorHAnsi" w:eastAsiaTheme="minorEastAsia" w:hAnsiTheme="minorHAnsi" w:cstheme="minorBidi"/>
          <w:noProof/>
          <w:color w:val="auto"/>
          <w:szCs w:val="22"/>
        </w:rPr>
      </w:pPr>
      <w:hyperlink w:anchor="_Toc476738995" w:history="1">
        <w:r w:rsidR="00810145" w:rsidRPr="00EA138C">
          <w:rPr>
            <w:rStyle w:val="Hyperlink"/>
            <w:noProof/>
          </w:rPr>
          <w:t>Background</w:t>
        </w:r>
        <w:r w:rsidR="00810145">
          <w:rPr>
            <w:noProof/>
            <w:webHidden/>
          </w:rPr>
          <w:tab/>
        </w:r>
        <w:r w:rsidR="00810145">
          <w:rPr>
            <w:noProof/>
            <w:webHidden/>
          </w:rPr>
          <w:fldChar w:fldCharType="begin"/>
        </w:r>
        <w:r w:rsidR="00810145">
          <w:rPr>
            <w:noProof/>
            <w:webHidden/>
          </w:rPr>
          <w:instrText xml:space="preserve"> PAGEREF _Toc476738995 \h </w:instrText>
        </w:r>
        <w:r w:rsidR="00810145">
          <w:rPr>
            <w:noProof/>
            <w:webHidden/>
          </w:rPr>
        </w:r>
        <w:r w:rsidR="00810145">
          <w:rPr>
            <w:noProof/>
            <w:webHidden/>
          </w:rPr>
          <w:fldChar w:fldCharType="separate"/>
        </w:r>
        <w:r w:rsidR="00810145">
          <w:rPr>
            <w:noProof/>
            <w:webHidden/>
          </w:rPr>
          <w:t>7</w:t>
        </w:r>
        <w:r w:rsidR="00810145">
          <w:rPr>
            <w:noProof/>
            <w:webHidden/>
          </w:rPr>
          <w:fldChar w:fldCharType="end"/>
        </w:r>
      </w:hyperlink>
    </w:p>
    <w:p w14:paraId="1500ACD8" w14:textId="77777777" w:rsidR="00810145" w:rsidRDefault="00022328">
      <w:pPr>
        <w:pStyle w:val="TOC3"/>
        <w:rPr>
          <w:rFonts w:asciiTheme="minorHAnsi" w:eastAsiaTheme="minorEastAsia" w:hAnsiTheme="minorHAnsi" w:cstheme="minorBidi"/>
          <w:noProof/>
          <w:color w:val="auto"/>
          <w:szCs w:val="22"/>
        </w:rPr>
      </w:pPr>
      <w:hyperlink w:anchor="_Toc476738996" w:history="1">
        <w:r w:rsidR="00810145" w:rsidRPr="00EA138C">
          <w:rPr>
            <w:rStyle w:val="Hyperlink"/>
            <w:noProof/>
          </w:rPr>
          <w:t>The problem</w:t>
        </w:r>
        <w:r w:rsidR="00810145">
          <w:rPr>
            <w:noProof/>
            <w:webHidden/>
          </w:rPr>
          <w:tab/>
        </w:r>
        <w:r w:rsidR="00810145">
          <w:rPr>
            <w:noProof/>
            <w:webHidden/>
          </w:rPr>
          <w:fldChar w:fldCharType="begin"/>
        </w:r>
        <w:r w:rsidR="00810145">
          <w:rPr>
            <w:noProof/>
            <w:webHidden/>
          </w:rPr>
          <w:instrText xml:space="preserve"> PAGEREF _Toc476738996 \h </w:instrText>
        </w:r>
        <w:r w:rsidR="00810145">
          <w:rPr>
            <w:noProof/>
            <w:webHidden/>
          </w:rPr>
        </w:r>
        <w:r w:rsidR="00810145">
          <w:rPr>
            <w:noProof/>
            <w:webHidden/>
          </w:rPr>
          <w:fldChar w:fldCharType="separate"/>
        </w:r>
        <w:r w:rsidR="00810145">
          <w:rPr>
            <w:noProof/>
            <w:webHidden/>
          </w:rPr>
          <w:t>7</w:t>
        </w:r>
        <w:r w:rsidR="00810145">
          <w:rPr>
            <w:noProof/>
            <w:webHidden/>
          </w:rPr>
          <w:fldChar w:fldCharType="end"/>
        </w:r>
      </w:hyperlink>
    </w:p>
    <w:p w14:paraId="55F3A15A" w14:textId="77777777" w:rsidR="00810145" w:rsidRDefault="00022328">
      <w:pPr>
        <w:pStyle w:val="TOC3"/>
        <w:rPr>
          <w:rFonts w:asciiTheme="minorHAnsi" w:eastAsiaTheme="minorEastAsia" w:hAnsiTheme="minorHAnsi" w:cstheme="minorBidi"/>
          <w:noProof/>
          <w:color w:val="auto"/>
          <w:szCs w:val="22"/>
        </w:rPr>
      </w:pPr>
      <w:hyperlink w:anchor="_Toc476738997" w:history="1">
        <w:r w:rsidR="00810145" w:rsidRPr="00EA138C">
          <w:rPr>
            <w:rStyle w:val="Hyperlink"/>
            <w:noProof/>
          </w:rPr>
          <w:t>Case for government action</w:t>
        </w:r>
        <w:r w:rsidR="00810145">
          <w:rPr>
            <w:noProof/>
            <w:webHidden/>
          </w:rPr>
          <w:tab/>
        </w:r>
        <w:r w:rsidR="00810145">
          <w:rPr>
            <w:noProof/>
            <w:webHidden/>
          </w:rPr>
          <w:fldChar w:fldCharType="begin"/>
        </w:r>
        <w:r w:rsidR="00810145">
          <w:rPr>
            <w:noProof/>
            <w:webHidden/>
          </w:rPr>
          <w:instrText xml:space="preserve"> PAGEREF _Toc476738997 \h </w:instrText>
        </w:r>
        <w:r w:rsidR="00810145">
          <w:rPr>
            <w:noProof/>
            <w:webHidden/>
          </w:rPr>
        </w:r>
        <w:r w:rsidR="00810145">
          <w:rPr>
            <w:noProof/>
            <w:webHidden/>
          </w:rPr>
          <w:fldChar w:fldCharType="separate"/>
        </w:r>
        <w:r w:rsidR="00810145">
          <w:rPr>
            <w:noProof/>
            <w:webHidden/>
          </w:rPr>
          <w:t>8</w:t>
        </w:r>
        <w:r w:rsidR="00810145">
          <w:rPr>
            <w:noProof/>
            <w:webHidden/>
          </w:rPr>
          <w:fldChar w:fldCharType="end"/>
        </w:r>
      </w:hyperlink>
    </w:p>
    <w:p w14:paraId="7E81CD16" w14:textId="77777777" w:rsidR="00810145" w:rsidRDefault="00022328">
      <w:pPr>
        <w:pStyle w:val="TOC3"/>
        <w:rPr>
          <w:rFonts w:asciiTheme="minorHAnsi" w:eastAsiaTheme="minorEastAsia" w:hAnsiTheme="minorHAnsi" w:cstheme="minorBidi"/>
          <w:noProof/>
          <w:color w:val="auto"/>
          <w:szCs w:val="22"/>
        </w:rPr>
      </w:pPr>
      <w:hyperlink w:anchor="_Toc476738998" w:history="1">
        <w:r w:rsidR="00810145" w:rsidRPr="00EA138C">
          <w:rPr>
            <w:rStyle w:val="Hyperlink"/>
            <w:noProof/>
          </w:rPr>
          <w:t>Policy options</w:t>
        </w:r>
        <w:r w:rsidR="00810145">
          <w:rPr>
            <w:noProof/>
            <w:webHidden/>
          </w:rPr>
          <w:tab/>
        </w:r>
        <w:r w:rsidR="00810145">
          <w:rPr>
            <w:noProof/>
            <w:webHidden/>
          </w:rPr>
          <w:fldChar w:fldCharType="begin"/>
        </w:r>
        <w:r w:rsidR="00810145">
          <w:rPr>
            <w:noProof/>
            <w:webHidden/>
          </w:rPr>
          <w:instrText xml:space="preserve"> PAGEREF _Toc476738998 \h </w:instrText>
        </w:r>
        <w:r w:rsidR="00810145">
          <w:rPr>
            <w:noProof/>
            <w:webHidden/>
          </w:rPr>
        </w:r>
        <w:r w:rsidR="00810145">
          <w:rPr>
            <w:noProof/>
            <w:webHidden/>
          </w:rPr>
          <w:fldChar w:fldCharType="separate"/>
        </w:r>
        <w:r w:rsidR="00810145">
          <w:rPr>
            <w:noProof/>
            <w:webHidden/>
          </w:rPr>
          <w:t>8</w:t>
        </w:r>
        <w:r w:rsidR="00810145">
          <w:rPr>
            <w:noProof/>
            <w:webHidden/>
          </w:rPr>
          <w:fldChar w:fldCharType="end"/>
        </w:r>
      </w:hyperlink>
    </w:p>
    <w:p w14:paraId="54A5CB90" w14:textId="77777777" w:rsidR="00810145" w:rsidRDefault="00022328">
      <w:pPr>
        <w:pStyle w:val="TOC3"/>
        <w:rPr>
          <w:rFonts w:asciiTheme="minorHAnsi" w:eastAsiaTheme="minorEastAsia" w:hAnsiTheme="minorHAnsi" w:cstheme="minorBidi"/>
          <w:noProof/>
          <w:color w:val="auto"/>
          <w:szCs w:val="22"/>
        </w:rPr>
      </w:pPr>
      <w:hyperlink w:anchor="_Toc476738999" w:history="1">
        <w:r w:rsidR="00810145" w:rsidRPr="00EA138C">
          <w:rPr>
            <w:rStyle w:val="Hyperlink"/>
            <w:noProof/>
          </w:rPr>
          <w:t>Cost benefit analysis of each option</w:t>
        </w:r>
        <w:r w:rsidR="00810145">
          <w:rPr>
            <w:noProof/>
            <w:webHidden/>
          </w:rPr>
          <w:tab/>
        </w:r>
        <w:r w:rsidR="00810145">
          <w:rPr>
            <w:noProof/>
            <w:webHidden/>
          </w:rPr>
          <w:fldChar w:fldCharType="begin"/>
        </w:r>
        <w:r w:rsidR="00810145">
          <w:rPr>
            <w:noProof/>
            <w:webHidden/>
          </w:rPr>
          <w:instrText xml:space="preserve"> PAGEREF _Toc476738999 \h </w:instrText>
        </w:r>
        <w:r w:rsidR="00810145">
          <w:rPr>
            <w:noProof/>
            <w:webHidden/>
          </w:rPr>
        </w:r>
        <w:r w:rsidR="00810145">
          <w:rPr>
            <w:noProof/>
            <w:webHidden/>
          </w:rPr>
          <w:fldChar w:fldCharType="separate"/>
        </w:r>
        <w:r w:rsidR="00810145">
          <w:rPr>
            <w:noProof/>
            <w:webHidden/>
          </w:rPr>
          <w:t>8</w:t>
        </w:r>
        <w:r w:rsidR="00810145">
          <w:rPr>
            <w:noProof/>
            <w:webHidden/>
          </w:rPr>
          <w:fldChar w:fldCharType="end"/>
        </w:r>
      </w:hyperlink>
    </w:p>
    <w:p w14:paraId="777F35D7" w14:textId="77777777" w:rsidR="00810145" w:rsidRDefault="00022328">
      <w:pPr>
        <w:pStyle w:val="TOC2"/>
        <w:rPr>
          <w:rFonts w:asciiTheme="minorHAnsi" w:eastAsiaTheme="minorEastAsia" w:hAnsiTheme="minorHAnsi" w:cstheme="minorBidi"/>
          <w:noProof/>
          <w:color w:val="auto"/>
          <w:szCs w:val="22"/>
        </w:rPr>
      </w:pPr>
      <w:hyperlink w:anchor="_Toc476739000" w:history="1">
        <w:r w:rsidR="00810145" w:rsidRPr="00EA138C">
          <w:rPr>
            <w:rStyle w:val="Hyperlink"/>
            <w:noProof/>
          </w:rPr>
          <w:t>3. Low sensitivity business investment</w:t>
        </w:r>
        <w:r w:rsidR="00810145">
          <w:rPr>
            <w:noProof/>
            <w:webHidden/>
          </w:rPr>
          <w:tab/>
        </w:r>
        <w:r w:rsidR="00810145">
          <w:rPr>
            <w:noProof/>
            <w:webHidden/>
          </w:rPr>
          <w:fldChar w:fldCharType="begin"/>
        </w:r>
        <w:r w:rsidR="00810145">
          <w:rPr>
            <w:noProof/>
            <w:webHidden/>
          </w:rPr>
          <w:instrText xml:space="preserve"> PAGEREF _Toc476739000 \h </w:instrText>
        </w:r>
        <w:r w:rsidR="00810145">
          <w:rPr>
            <w:noProof/>
            <w:webHidden/>
          </w:rPr>
        </w:r>
        <w:r w:rsidR="00810145">
          <w:rPr>
            <w:noProof/>
            <w:webHidden/>
          </w:rPr>
          <w:fldChar w:fldCharType="separate"/>
        </w:r>
        <w:r w:rsidR="00810145">
          <w:rPr>
            <w:noProof/>
            <w:webHidden/>
          </w:rPr>
          <w:t>9</w:t>
        </w:r>
        <w:r w:rsidR="00810145">
          <w:rPr>
            <w:noProof/>
            <w:webHidden/>
          </w:rPr>
          <w:fldChar w:fldCharType="end"/>
        </w:r>
      </w:hyperlink>
    </w:p>
    <w:p w14:paraId="664173D6" w14:textId="77777777" w:rsidR="00810145" w:rsidRDefault="00022328">
      <w:pPr>
        <w:pStyle w:val="TOC3"/>
        <w:rPr>
          <w:rFonts w:asciiTheme="minorHAnsi" w:eastAsiaTheme="minorEastAsia" w:hAnsiTheme="minorHAnsi" w:cstheme="minorBidi"/>
          <w:noProof/>
          <w:color w:val="auto"/>
          <w:szCs w:val="22"/>
        </w:rPr>
      </w:pPr>
      <w:hyperlink w:anchor="_Toc476739001" w:history="1">
        <w:r w:rsidR="00810145" w:rsidRPr="00EA138C">
          <w:rPr>
            <w:rStyle w:val="Hyperlink"/>
            <w:noProof/>
          </w:rPr>
          <w:t>Background</w:t>
        </w:r>
        <w:r w:rsidR="00810145">
          <w:rPr>
            <w:noProof/>
            <w:webHidden/>
          </w:rPr>
          <w:tab/>
        </w:r>
        <w:r w:rsidR="00810145">
          <w:rPr>
            <w:noProof/>
            <w:webHidden/>
          </w:rPr>
          <w:fldChar w:fldCharType="begin"/>
        </w:r>
        <w:r w:rsidR="00810145">
          <w:rPr>
            <w:noProof/>
            <w:webHidden/>
          </w:rPr>
          <w:instrText xml:space="preserve"> PAGEREF _Toc476739001 \h </w:instrText>
        </w:r>
        <w:r w:rsidR="00810145">
          <w:rPr>
            <w:noProof/>
            <w:webHidden/>
          </w:rPr>
        </w:r>
        <w:r w:rsidR="00810145">
          <w:rPr>
            <w:noProof/>
            <w:webHidden/>
          </w:rPr>
          <w:fldChar w:fldCharType="separate"/>
        </w:r>
        <w:r w:rsidR="00810145">
          <w:rPr>
            <w:noProof/>
            <w:webHidden/>
          </w:rPr>
          <w:t>9</w:t>
        </w:r>
        <w:r w:rsidR="00810145">
          <w:rPr>
            <w:noProof/>
            <w:webHidden/>
          </w:rPr>
          <w:fldChar w:fldCharType="end"/>
        </w:r>
      </w:hyperlink>
    </w:p>
    <w:p w14:paraId="7805C6CF" w14:textId="77777777" w:rsidR="00810145" w:rsidRDefault="00022328">
      <w:pPr>
        <w:pStyle w:val="TOC3"/>
        <w:rPr>
          <w:rFonts w:asciiTheme="minorHAnsi" w:eastAsiaTheme="minorEastAsia" w:hAnsiTheme="minorHAnsi" w:cstheme="minorBidi"/>
          <w:noProof/>
          <w:color w:val="auto"/>
          <w:szCs w:val="22"/>
        </w:rPr>
      </w:pPr>
      <w:hyperlink w:anchor="_Toc476739002" w:history="1">
        <w:r w:rsidR="00810145" w:rsidRPr="00EA138C">
          <w:rPr>
            <w:rStyle w:val="Hyperlink"/>
            <w:noProof/>
          </w:rPr>
          <w:t>The problem</w:t>
        </w:r>
        <w:r w:rsidR="00810145">
          <w:rPr>
            <w:noProof/>
            <w:webHidden/>
          </w:rPr>
          <w:tab/>
        </w:r>
        <w:r w:rsidR="00810145">
          <w:rPr>
            <w:noProof/>
            <w:webHidden/>
          </w:rPr>
          <w:fldChar w:fldCharType="begin"/>
        </w:r>
        <w:r w:rsidR="00810145">
          <w:rPr>
            <w:noProof/>
            <w:webHidden/>
          </w:rPr>
          <w:instrText xml:space="preserve"> PAGEREF _Toc476739002 \h </w:instrText>
        </w:r>
        <w:r w:rsidR="00810145">
          <w:rPr>
            <w:noProof/>
            <w:webHidden/>
          </w:rPr>
        </w:r>
        <w:r w:rsidR="00810145">
          <w:rPr>
            <w:noProof/>
            <w:webHidden/>
          </w:rPr>
          <w:fldChar w:fldCharType="separate"/>
        </w:r>
        <w:r w:rsidR="00810145">
          <w:rPr>
            <w:noProof/>
            <w:webHidden/>
          </w:rPr>
          <w:t>10</w:t>
        </w:r>
        <w:r w:rsidR="00810145">
          <w:rPr>
            <w:noProof/>
            <w:webHidden/>
          </w:rPr>
          <w:fldChar w:fldCharType="end"/>
        </w:r>
      </w:hyperlink>
    </w:p>
    <w:p w14:paraId="10A8ECE3" w14:textId="77777777" w:rsidR="00810145" w:rsidRDefault="00022328">
      <w:pPr>
        <w:pStyle w:val="TOC3"/>
        <w:rPr>
          <w:rFonts w:asciiTheme="minorHAnsi" w:eastAsiaTheme="minorEastAsia" w:hAnsiTheme="minorHAnsi" w:cstheme="minorBidi"/>
          <w:noProof/>
          <w:color w:val="auto"/>
          <w:szCs w:val="22"/>
        </w:rPr>
      </w:pPr>
      <w:hyperlink w:anchor="_Toc476739003" w:history="1">
        <w:r w:rsidR="00810145" w:rsidRPr="00EA138C">
          <w:rPr>
            <w:rStyle w:val="Hyperlink"/>
            <w:noProof/>
          </w:rPr>
          <w:t>Case for government action</w:t>
        </w:r>
        <w:r w:rsidR="00810145">
          <w:rPr>
            <w:noProof/>
            <w:webHidden/>
          </w:rPr>
          <w:tab/>
        </w:r>
        <w:r w:rsidR="00810145">
          <w:rPr>
            <w:noProof/>
            <w:webHidden/>
          </w:rPr>
          <w:fldChar w:fldCharType="begin"/>
        </w:r>
        <w:r w:rsidR="00810145">
          <w:rPr>
            <w:noProof/>
            <w:webHidden/>
          </w:rPr>
          <w:instrText xml:space="preserve"> PAGEREF _Toc476739003 \h </w:instrText>
        </w:r>
        <w:r w:rsidR="00810145">
          <w:rPr>
            <w:noProof/>
            <w:webHidden/>
          </w:rPr>
        </w:r>
        <w:r w:rsidR="00810145">
          <w:rPr>
            <w:noProof/>
            <w:webHidden/>
          </w:rPr>
          <w:fldChar w:fldCharType="separate"/>
        </w:r>
        <w:r w:rsidR="00810145">
          <w:rPr>
            <w:noProof/>
            <w:webHidden/>
          </w:rPr>
          <w:t>10</w:t>
        </w:r>
        <w:r w:rsidR="00810145">
          <w:rPr>
            <w:noProof/>
            <w:webHidden/>
          </w:rPr>
          <w:fldChar w:fldCharType="end"/>
        </w:r>
      </w:hyperlink>
    </w:p>
    <w:p w14:paraId="3B947357" w14:textId="77777777" w:rsidR="00810145" w:rsidRDefault="00022328">
      <w:pPr>
        <w:pStyle w:val="TOC3"/>
        <w:rPr>
          <w:rFonts w:asciiTheme="minorHAnsi" w:eastAsiaTheme="minorEastAsia" w:hAnsiTheme="minorHAnsi" w:cstheme="minorBidi"/>
          <w:noProof/>
          <w:color w:val="auto"/>
          <w:szCs w:val="22"/>
        </w:rPr>
      </w:pPr>
      <w:hyperlink w:anchor="_Toc476739004" w:history="1">
        <w:r w:rsidR="00810145" w:rsidRPr="00EA138C">
          <w:rPr>
            <w:rStyle w:val="Hyperlink"/>
            <w:noProof/>
          </w:rPr>
          <w:t>Policy options</w:t>
        </w:r>
        <w:r w:rsidR="00810145">
          <w:rPr>
            <w:noProof/>
            <w:webHidden/>
          </w:rPr>
          <w:tab/>
        </w:r>
        <w:r w:rsidR="00810145">
          <w:rPr>
            <w:noProof/>
            <w:webHidden/>
          </w:rPr>
          <w:fldChar w:fldCharType="begin"/>
        </w:r>
        <w:r w:rsidR="00810145">
          <w:rPr>
            <w:noProof/>
            <w:webHidden/>
          </w:rPr>
          <w:instrText xml:space="preserve"> PAGEREF _Toc476739004 \h </w:instrText>
        </w:r>
        <w:r w:rsidR="00810145">
          <w:rPr>
            <w:noProof/>
            <w:webHidden/>
          </w:rPr>
        </w:r>
        <w:r w:rsidR="00810145">
          <w:rPr>
            <w:noProof/>
            <w:webHidden/>
          </w:rPr>
          <w:fldChar w:fldCharType="separate"/>
        </w:r>
        <w:r w:rsidR="00810145">
          <w:rPr>
            <w:noProof/>
            <w:webHidden/>
          </w:rPr>
          <w:t>10</w:t>
        </w:r>
        <w:r w:rsidR="00810145">
          <w:rPr>
            <w:noProof/>
            <w:webHidden/>
          </w:rPr>
          <w:fldChar w:fldCharType="end"/>
        </w:r>
      </w:hyperlink>
    </w:p>
    <w:p w14:paraId="4919B742" w14:textId="77777777" w:rsidR="00810145" w:rsidRDefault="00022328">
      <w:pPr>
        <w:pStyle w:val="TOC3"/>
        <w:rPr>
          <w:rFonts w:asciiTheme="minorHAnsi" w:eastAsiaTheme="minorEastAsia" w:hAnsiTheme="minorHAnsi" w:cstheme="minorBidi"/>
          <w:noProof/>
          <w:color w:val="auto"/>
          <w:szCs w:val="22"/>
        </w:rPr>
      </w:pPr>
      <w:hyperlink w:anchor="_Toc476739005" w:history="1">
        <w:r w:rsidR="00810145" w:rsidRPr="00EA138C">
          <w:rPr>
            <w:rStyle w:val="Hyperlink"/>
            <w:noProof/>
          </w:rPr>
          <w:t>Cost benefit analysis of each option</w:t>
        </w:r>
        <w:r w:rsidR="00810145">
          <w:rPr>
            <w:noProof/>
            <w:webHidden/>
          </w:rPr>
          <w:tab/>
        </w:r>
        <w:r w:rsidR="00810145">
          <w:rPr>
            <w:noProof/>
            <w:webHidden/>
          </w:rPr>
          <w:fldChar w:fldCharType="begin"/>
        </w:r>
        <w:r w:rsidR="00810145">
          <w:rPr>
            <w:noProof/>
            <w:webHidden/>
          </w:rPr>
          <w:instrText xml:space="preserve"> PAGEREF _Toc476739005 \h </w:instrText>
        </w:r>
        <w:r w:rsidR="00810145">
          <w:rPr>
            <w:noProof/>
            <w:webHidden/>
          </w:rPr>
        </w:r>
        <w:r w:rsidR="00810145">
          <w:rPr>
            <w:noProof/>
            <w:webHidden/>
          </w:rPr>
          <w:fldChar w:fldCharType="separate"/>
        </w:r>
        <w:r w:rsidR="00810145">
          <w:rPr>
            <w:noProof/>
            <w:webHidden/>
          </w:rPr>
          <w:t>11</w:t>
        </w:r>
        <w:r w:rsidR="00810145">
          <w:rPr>
            <w:noProof/>
            <w:webHidden/>
          </w:rPr>
          <w:fldChar w:fldCharType="end"/>
        </w:r>
      </w:hyperlink>
    </w:p>
    <w:p w14:paraId="7A9832F8" w14:textId="77777777" w:rsidR="00810145" w:rsidRDefault="00022328">
      <w:pPr>
        <w:pStyle w:val="TOC2"/>
        <w:rPr>
          <w:rFonts w:asciiTheme="minorHAnsi" w:eastAsiaTheme="minorEastAsia" w:hAnsiTheme="minorHAnsi" w:cstheme="minorBidi"/>
          <w:noProof/>
          <w:color w:val="auto"/>
          <w:szCs w:val="22"/>
        </w:rPr>
      </w:pPr>
      <w:hyperlink w:anchor="_Toc476739006" w:history="1">
        <w:r w:rsidR="00810145" w:rsidRPr="00EA138C">
          <w:rPr>
            <w:rStyle w:val="Hyperlink"/>
            <w:noProof/>
          </w:rPr>
          <w:t>4. Commercial Fees</w:t>
        </w:r>
        <w:r w:rsidR="00810145">
          <w:rPr>
            <w:noProof/>
            <w:webHidden/>
          </w:rPr>
          <w:tab/>
        </w:r>
        <w:r w:rsidR="00810145">
          <w:rPr>
            <w:noProof/>
            <w:webHidden/>
          </w:rPr>
          <w:fldChar w:fldCharType="begin"/>
        </w:r>
        <w:r w:rsidR="00810145">
          <w:rPr>
            <w:noProof/>
            <w:webHidden/>
          </w:rPr>
          <w:instrText xml:space="preserve"> PAGEREF _Toc476739006 \h </w:instrText>
        </w:r>
        <w:r w:rsidR="00810145">
          <w:rPr>
            <w:noProof/>
            <w:webHidden/>
          </w:rPr>
        </w:r>
        <w:r w:rsidR="00810145">
          <w:rPr>
            <w:noProof/>
            <w:webHidden/>
          </w:rPr>
          <w:fldChar w:fldCharType="separate"/>
        </w:r>
        <w:r w:rsidR="00810145">
          <w:rPr>
            <w:noProof/>
            <w:webHidden/>
          </w:rPr>
          <w:t>12</w:t>
        </w:r>
        <w:r w:rsidR="00810145">
          <w:rPr>
            <w:noProof/>
            <w:webHidden/>
          </w:rPr>
          <w:fldChar w:fldCharType="end"/>
        </w:r>
      </w:hyperlink>
    </w:p>
    <w:p w14:paraId="3BE845B0" w14:textId="77777777" w:rsidR="00810145" w:rsidRDefault="00022328">
      <w:pPr>
        <w:pStyle w:val="TOC3"/>
        <w:rPr>
          <w:rFonts w:asciiTheme="minorHAnsi" w:eastAsiaTheme="minorEastAsia" w:hAnsiTheme="minorHAnsi" w:cstheme="minorBidi"/>
          <w:noProof/>
          <w:color w:val="auto"/>
          <w:szCs w:val="22"/>
        </w:rPr>
      </w:pPr>
      <w:hyperlink w:anchor="_Toc476739007" w:history="1">
        <w:r w:rsidR="00810145" w:rsidRPr="00EA138C">
          <w:rPr>
            <w:rStyle w:val="Hyperlink"/>
            <w:noProof/>
          </w:rPr>
          <w:t>Background</w:t>
        </w:r>
        <w:r w:rsidR="00810145">
          <w:rPr>
            <w:noProof/>
            <w:webHidden/>
          </w:rPr>
          <w:tab/>
        </w:r>
        <w:r w:rsidR="00810145">
          <w:rPr>
            <w:noProof/>
            <w:webHidden/>
          </w:rPr>
          <w:fldChar w:fldCharType="begin"/>
        </w:r>
        <w:r w:rsidR="00810145">
          <w:rPr>
            <w:noProof/>
            <w:webHidden/>
          </w:rPr>
          <w:instrText xml:space="preserve"> PAGEREF _Toc476739007 \h </w:instrText>
        </w:r>
        <w:r w:rsidR="00810145">
          <w:rPr>
            <w:noProof/>
            <w:webHidden/>
          </w:rPr>
        </w:r>
        <w:r w:rsidR="00810145">
          <w:rPr>
            <w:noProof/>
            <w:webHidden/>
          </w:rPr>
          <w:fldChar w:fldCharType="separate"/>
        </w:r>
        <w:r w:rsidR="00810145">
          <w:rPr>
            <w:noProof/>
            <w:webHidden/>
          </w:rPr>
          <w:t>12</w:t>
        </w:r>
        <w:r w:rsidR="00810145">
          <w:rPr>
            <w:noProof/>
            <w:webHidden/>
          </w:rPr>
          <w:fldChar w:fldCharType="end"/>
        </w:r>
      </w:hyperlink>
    </w:p>
    <w:p w14:paraId="58C63280" w14:textId="77777777" w:rsidR="00810145" w:rsidRDefault="00022328">
      <w:pPr>
        <w:pStyle w:val="TOC3"/>
        <w:rPr>
          <w:rFonts w:asciiTheme="minorHAnsi" w:eastAsiaTheme="minorEastAsia" w:hAnsiTheme="minorHAnsi" w:cstheme="minorBidi"/>
          <w:noProof/>
          <w:color w:val="auto"/>
          <w:szCs w:val="22"/>
        </w:rPr>
      </w:pPr>
      <w:hyperlink w:anchor="_Toc476739008" w:history="1">
        <w:r w:rsidR="00810145" w:rsidRPr="00EA138C">
          <w:rPr>
            <w:rStyle w:val="Hyperlink"/>
            <w:noProof/>
          </w:rPr>
          <w:t>The problem</w:t>
        </w:r>
        <w:r w:rsidR="00810145">
          <w:rPr>
            <w:noProof/>
            <w:webHidden/>
          </w:rPr>
          <w:tab/>
        </w:r>
        <w:r w:rsidR="00810145">
          <w:rPr>
            <w:noProof/>
            <w:webHidden/>
          </w:rPr>
          <w:fldChar w:fldCharType="begin"/>
        </w:r>
        <w:r w:rsidR="00810145">
          <w:rPr>
            <w:noProof/>
            <w:webHidden/>
          </w:rPr>
          <w:instrText xml:space="preserve"> PAGEREF _Toc476739008 \h </w:instrText>
        </w:r>
        <w:r w:rsidR="00810145">
          <w:rPr>
            <w:noProof/>
            <w:webHidden/>
          </w:rPr>
        </w:r>
        <w:r w:rsidR="00810145">
          <w:rPr>
            <w:noProof/>
            <w:webHidden/>
          </w:rPr>
          <w:fldChar w:fldCharType="separate"/>
        </w:r>
        <w:r w:rsidR="00810145">
          <w:rPr>
            <w:noProof/>
            <w:webHidden/>
          </w:rPr>
          <w:t>13</w:t>
        </w:r>
        <w:r w:rsidR="00810145">
          <w:rPr>
            <w:noProof/>
            <w:webHidden/>
          </w:rPr>
          <w:fldChar w:fldCharType="end"/>
        </w:r>
      </w:hyperlink>
    </w:p>
    <w:p w14:paraId="468C2FDE" w14:textId="77777777" w:rsidR="00810145" w:rsidRDefault="00022328">
      <w:pPr>
        <w:pStyle w:val="TOC3"/>
        <w:rPr>
          <w:rFonts w:asciiTheme="minorHAnsi" w:eastAsiaTheme="minorEastAsia" w:hAnsiTheme="minorHAnsi" w:cstheme="minorBidi"/>
          <w:noProof/>
          <w:color w:val="auto"/>
          <w:szCs w:val="22"/>
        </w:rPr>
      </w:pPr>
      <w:hyperlink w:anchor="_Toc476739009" w:history="1">
        <w:r w:rsidR="00810145" w:rsidRPr="00EA138C">
          <w:rPr>
            <w:rStyle w:val="Hyperlink"/>
            <w:noProof/>
          </w:rPr>
          <w:t>Case for government action</w:t>
        </w:r>
        <w:r w:rsidR="00810145">
          <w:rPr>
            <w:noProof/>
            <w:webHidden/>
          </w:rPr>
          <w:tab/>
        </w:r>
        <w:r w:rsidR="00810145">
          <w:rPr>
            <w:noProof/>
            <w:webHidden/>
          </w:rPr>
          <w:fldChar w:fldCharType="begin"/>
        </w:r>
        <w:r w:rsidR="00810145">
          <w:rPr>
            <w:noProof/>
            <w:webHidden/>
          </w:rPr>
          <w:instrText xml:space="preserve"> PAGEREF _Toc476739009 \h </w:instrText>
        </w:r>
        <w:r w:rsidR="00810145">
          <w:rPr>
            <w:noProof/>
            <w:webHidden/>
          </w:rPr>
        </w:r>
        <w:r w:rsidR="00810145">
          <w:rPr>
            <w:noProof/>
            <w:webHidden/>
          </w:rPr>
          <w:fldChar w:fldCharType="separate"/>
        </w:r>
        <w:r w:rsidR="00810145">
          <w:rPr>
            <w:noProof/>
            <w:webHidden/>
          </w:rPr>
          <w:t>15</w:t>
        </w:r>
        <w:r w:rsidR="00810145">
          <w:rPr>
            <w:noProof/>
            <w:webHidden/>
          </w:rPr>
          <w:fldChar w:fldCharType="end"/>
        </w:r>
      </w:hyperlink>
    </w:p>
    <w:p w14:paraId="0B15298C" w14:textId="77777777" w:rsidR="00810145" w:rsidRDefault="00022328">
      <w:pPr>
        <w:pStyle w:val="TOC3"/>
        <w:rPr>
          <w:rFonts w:asciiTheme="minorHAnsi" w:eastAsiaTheme="minorEastAsia" w:hAnsiTheme="minorHAnsi" w:cstheme="minorBidi"/>
          <w:noProof/>
          <w:color w:val="auto"/>
          <w:szCs w:val="22"/>
        </w:rPr>
      </w:pPr>
      <w:hyperlink w:anchor="_Toc476739010" w:history="1">
        <w:r w:rsidR="00810145" w:rsidRPr="00EA138C">
          <w:rPr>
            <w:rStyle w:val="Hyperlink"/>
            <w:noProof/>
          </w:rPr>
          <w:t>Policy options</w:t>
        </w:r>
        <w:r w:rsidR="00810145">
          <w:rPr>
            <w:noProof/>
            <w:webHidden/>
          </w:rPr>
          <w:tab/>
        </w:r>
        <w:r w:rsidR="00810145">
          <w:rPr>
            <w:noProof/>
            <w:webHidden/>
          </w:rPr>
          <w:fldChar w:fldCharType="begin"/>
        </w:r>
        <w:r w:rsidR="00810145">
          <w:rPr>
            <w:noProof/>
            <w:webHidden/>
          </w:rPr>
          <w:instrText xml:space="preserve"> PAGEREF _Toc476739010 \h </w:instrText>
        </w:r>
        <w:r w:rsidR="00810145">
          <w:rPr>
            <w:noProof/>
            <w:webHidden/>
          </w:rPr>
        </w:r>
        <w:r w:rsidR="00810145">
          <w:rPr>
            <w:noProof/>
            <w:webHidden/>
          </w:rPr>
          <w:fldChar w:fldCharType="separate"/>
        </w:r>
        <w:r w:rsidR="00810145">
          <w:rPr>
            <w:noProof/>
            <w:webHidden/>
          </w:rPr>
          <w:t>15</w:t>
        </w:r>
        <w:r w:rsidR="00810145">
          <w:rPr>
            <w:noProof/>
            <w:webHidden/>
          </w:rPr>
          <w:fldChar w:fldCharType="end"/>
        </w:r>
      </w:hyperlink>
    </w:p>
    <w:p w14:paraId="45E7A7CA" w14:textId="77777777" w:rsidR="00810145" w:rsidRDefault="00022328">
      <w:pPr>
        <w:pStyle w:val="TOC3"/>
        <w:rPr>
          <w:rFonts w:asciiTheme="minorHAnsi" w:eastAsiaTheme="minorEastAsia" w:hAnsiTheme="minorHAnsi" w:cstheme="minorBidi"/>
          <w:noProof/>
          <w:color w:val="auto"/>
          <w:szCs w:val="22"/>
        </w:rPr>
      </w:pPr>
      <w:hyperlink w:anchor="_Toc476739011" w:history="1">
        <w:r w:rsidR="00810145" w:rsidRPr="00EA138C">
          <w:rPr>
            <w:rStyle w:val="Hyperlink"/>
            <w:noProof/>
          </w:rPr>
          <w:t>Cost benefit analysis of each option</w:t>
        </w:r>
        <w:r w:rsidR="00810145">
          <w:rPr>
            <w:noProof/>
            <w:webHidden/>
          </w:rPr>
          <w:tab/>
        </w:r>
        <w:r w:rsidR="00810145">
          <w:rPr>
            <w:noProof/>
            <w:webHidden/>
          </w:rPr>
          <w:fldChar w:fldCharType="begin"/>
        </w:r>
        <w:r w:rsidR="00810145">
          <w:rPr>
            <w:noProof/>
            <w:webHidden/>
          </w:rPr>
          <w:instrText xml:space="preserve"> PAGEREF _Toc476739011 \h </w:instrText>
        </w:r>
        <w:r w:rsidR="00810145">
          <w:rPr>
            <w:noProof/>
            <w:webHidden/>
          </w:rPr>
        </w:r>
        <w:r w:rsidR="00810145">
          <w:rPr>
            <w:noProof/>
            <w:webHidden/>
          </w:rPr>
          <w:fldChar w:fldCharType="separate"/>
        </w:r>
        <w:r w:rsidR="00810145">
          <w:rPr>
            <w:noProof/>
            <w:webHidden/>
          </w:rPr>
          <w:t>17</w:t>
        </w:r>
        <w:r w:rsidR="00810145">
          <w:rPr>
            <w:noProof/>
            <w:webHidden/>
          </w:rPr>
          <w:fldChar w:fldCharType="end"/>
        </w:r>
      </w:hyperlink>
    </w:p>
    <w:p w14:paraId="631CD89B" w14:textId="77777777" w:rsidR="00810145" w:rsidRDefault="00022328">
      <w:pPr>
        <w:pStyle w:val="TOC2"/>
        <w:rPr>
          <w:rFonts w:asciiTheme="minorHAnsi" w:eastAsiaTheme="minorEastAsia" w:hAnsiTheme="minorHAnsi" w:cstheme="minorBidi"/>
          <w:noProof/>
          <w:color w:val="auto"/>
          <w:szCs w:val="22"/>
        </w:rPr>
      </w:pPr>
      <w:hyperlink w:anchor="_Toc476739012" w:history="1">
        <w:r w:rsidR="00810145" w:rsidRPr="00EA138C">
          <w:rPr>
            <w:rStyle w:val="Hyperlink"/>
            <w:noProof/>
          </w:rPr>
          <w:t>5. Miscellaneous technical issues and ideas for further reform</w:t>
        </w:r>
        <w:r w:rsidR="00810145">
          <w:rPr>
            <w:noProof/>
            <w:webHidden/>
          </w:rPr>
          <w:tab/>
        </w:r>
        <w:r w:rsidR="00810145">
          <w:rPr>
            <w:noProof/>
            <w:webHidden/>
          </w:rPr>
          <w:fldChar w:fldCharType="begin"/>
        </w:r>
        <w:r w:rsidR="00810145">
          <w:rPr>
            <w:noProof/>
            <w:webHidden/>
          </w:rPr>
          <w:instrText xml:space="preserve"> PAGEREF _Toc476739012 \h </w:instrText>
        </w:r>
        <w:r w:rsidR="00810145">
          <w:rPr>
            <w:noProof/>
            <w:webHidden/>
          </w:rPr>
        </w:r>
        <w:r w:rsidR="00810145">
          <w:rPr>
            <w:noProof/>
            <w:webHidden/>
          </w:rPr>
          <w:fldChar w:fldCharType="separate"/>
        </w:r>
        <w:r w:rsidR="00810145">
          <w:rPr>
            <w:noProof/>
            <w:webHidden/>
          </w:rPr>
          <w:t>18</w:t>
        </w:r>
        <w:r w:rsidR="00810145">
          <w:rPr>
            <w:noProof/>
            <w:webHidden/>
          </w:rPr>
          <w:fldChar w:fldCharType="end"/>
        </w:r>
      </w:hyperlink>
    </w:p>
    <w:p w14:paraId="64AEA58C" w14:textId="77777777" w:rsidR="00810145" w:rsidRDefault="00022328">
      <w:pPr>
        <w:pStyle w:val="TOC1"/>
        <w:rPr>
          <w:rFonts w:asciiTheme="minorHAnsi" w:eastAsiaTheme="minorEastAsia" w:hAnsiTheme="minorHAnsi" w:cstheme="minorBidi"/>
          <w:b w:val="0"/>
          <w:noProof/>
          <w:color w:val="auto"/>
          <w:sz w:val="22"/>
        </w:rPr>
      </w:pPr>
      <w:hyperlink w:anchor="_Toc476739013" w:history="1">
        <w:r w:rsidR="00810145" w:rsidRPr="00EA138C">
          <w:rPr>
            <w:rStyle w:val="Hyperlink"/>
            <w:noProof/>
          </w:rPr>
          <w:t>Conclusion</w:t>
        </w:r>
        <w:r w:rsidR="00810145">
          <w:rPr>
            <w:noProof/>
            <w:webHidden/>
          </w:rPr>
          <w:tab/>
        </w:r>
        <w:r w:rsidR="00810145">
          <w:rPr>
            <w:noProof/>
            <w:webHidden/>
          </w:rPr>
          <w:fldChar w:fldCharType="begin"/>
        </w:r>
        <w:r w:rsidR="00810145">
          <w:rPr>
            <w:noProof/>
            <w:webHidden/>
          </w:rPr>
          <w:instrText xml:space="preserve"> PAGEREF _Toc476739013 \h </w:instrText>
        </w:r>
        <w:r w:rsidR="00810145">
          <w:rPr>
            <w:noProof/>
            <w:webHidden/>
          </w:rPr>
        </w:r>
        <w:r w:rsidR="00810145">
          <w:rPr>
            <w:noProof/>
            <w:webHidden/>
          </w:rPr>
          <w:fldChar w:fldCharType="separate"/>
        </w:r>
        <w:r w:rsidR="00810145">
          <w:rPr>
            <w:noProof/>
            <w:webHidden/>
          </w:rPr>
          <w:t>18</w:t>
        </w:r>
        <w:r w:rsidR="00810145">
          <w:rPr>
            <w:noProof/>
            <w:webHidden/>
          </w:rPr>
          <w:fldChar w:fldCharType="end"/>
        </w:r>
      </w:hyperlink>
    </w:p>
    <w:p w14:paraId="1B11D3A3" w14:textId="77777777" w:rsidR="00810145" w:rsidRDefault="00022328">
      <w:pPr>
        <w:pStyle w:val="TOC1"/>
        <w:rPr>
          <w:rFonts w:asciiTheme="minorHAnsi" w:eastAsiaTheme="minorEastAsia" w:hAnsiTheme="minorHAnsi" w:cstheme="minorBidi"/>
          <w:b w:val="0"/>
          <w:noProof/>
          <w:color w:val="auto"/>
          <w:sz w:val="22"/>
        </w:rPr>
      </w:pPr>
      <w:hyperlink w:anchor="_Toc476739014" w:history="1">
        <w:r w:rsidR="00810145" w:rsidRPr="00EA138C">
          <w:rPr>
            <w:rStyle w:val="Hyperlink"/>
            <w:noProof/>
          </w:rPr>
          <w:t>Attachment A — Business Fees 2016</w:t>
        </w:r>
        <w:r w:rsidR="00810145" w:rsidRPr="00EA138C">
          <w:rPr>
            <w:rStyle w:val="Hyperlink"/>
            <w:noProof/>
          </w:rPr>
          <w:noBreakHyphen/>
          <w:t>17 Financial Year</w:t>
        </w:r>
        <w:r w:rsidR="00810145">
          <w:rPr>
            <w:noProof/>
            <w:webHidden/>
          </w:rPr>
          <w:tab/>
        </w:r>
        <w:r w:rsidR="00810145">
          <w:rPr>
            <w:noProof/>
            <w:webHidden/>
          </w:rPr>
          <w:fldChar w:fldCharType="begin"/>
        </w:r>
        <w:r w:rsidR="00810145">
          <w:rPr>
            <w:noProof/>
            <w:webHidden/>
          </w:rPr>
          <w:instrText xml:space="preserve"> PAGEREF _Toc476739014 \h </w:instrText>
        </w:r>
        <w:r w:rsidR="00810145">
          <w:rPr>
            <w:noProof/>
            <w:webHidden/>
          </w:rPr>
        </w:r>
        <w:r w:rsidR="00810145">
          <w:rPr>
            <w:noProof/>
            <w:webHidden/>
          </w:rPr>
          <w:fldChar w:fldCharType="separate"/>
        </w:r>
        <w:r w:rsidR="00810145">
          <w:rPr>
            <w:noProof/>
            <w:webHidden/>
          </w:rPr>
          <w:t>20</w:t>
        </w:r>
        <w:r w:rsidR="00810145">
          <w:rPr>
            <w:noProof/>
            <w:webHidden/>
          </w:rPr>
          <w:fldChar w:fldCharType="end"/>
        </w:r>
      </w:hyperlink>
    </w:p>
    <w:p w14:paraId="15F0DDA6" w14:textId="77777777" w:rsidR="00810145" w:rsidRDefault="00022328">
      <w:pPr>
        <w:pStyle w:val="TOC3"/>
        <w:rPr>
          <w:rFonts w:asciiTheme="minorHAnsi" w:eastAsiaTheme="minorEastAsia" w:hAnsiTheme="minorHAnsi" w:cstheme="minorBidi"/>
          <w:noProof/>
          <w:color w:val="auto"/>
          <w:szCs w:val="22"/>
        </w:rPr>
      </w:pPr>
      <w:hyperlink w:anchor="_Toc476739015" w:history="1">
        <w:r w:rsidR="00810145" w:rsidRPr="00EA138C">
          <w:rPr>
            <w:rStyle w:val="Hyperlink"/>
            <w:noProof/>
          </w:rPr>
          <w:t>Action type</w:t>
        </w:r>
        <w:r w:rsidR="00810145">
          <w:rPr>
            <w:noProof/>
            <w:webHidden/>
          </w:rPr>
          <w:tab/>
        </w:r>
        <w:r w:rsidR="00810145">
          <w:rPr>
            <w:noProof/>
            <w:webHidden/>
          </w:rPr>
          <w:fldChar w:fldCharType="begin"/>
        </w:r>
        <w:r w:rsidR="00810145">
          <w:rPr>
            <w:noProof/>
            <w:webHidden/>
          </w:rPr>
          <w:instrText xml:space="preserve"> PAGEREF _Toc476739015 \h </w:instrText>
        </w:r>
        <w:r w:rsidR="00810145">
          <w:rPr>
            <w:noProof/>
            <w:webHidden/>
          </w:rPr>
        </w:r>
        <w:r w:rsidR="00810145">
          <w:rPr>
            <w:noProof/>
            <w:webHidden/>
          </w:rPr>
          <w:fldChar w:fldCharType="separate"/>
        </w:r>
        <w:r w:rsidR="00810145">
          <w:rPr>
            <w:noProof/>
            <w:webHidden/>
          </w:rPr>
          <w:t>20</w:t>
        </w:r>
        <w:r w:rsidR="00810145">
          <w:rPr>
            <w:noProof/>
            <w:webHidden/>
          </w:rPr>
          <w:fldChar w:fldCharType="end"/>
        </w:r>
      </w:hyperlink>
    </w:p>
    <w:p w14:paraId="5473DD14" w14:textId="77777777" w:rsidR="00810145" w:rsidRDefault="00022328">
      <w:pPr>
        <w:pStyle w:val="TOC3"/>
        <w:rPr>
          <w:rFonts w:asciiTheme="minorHAnsi" w:eastAsiaTheme="minorEastAsia" w:hAnsiTheme="minorHAnsi" w:cstheme="minorBidi"/>
          <w:noProof/>
          <w:color w:val="auto"/>
          <w:szCs w:val="22"/>
        </w:rPr>
      </w:pPr>
      <w:hyperlink w:anchor="_Toc476739016" w:history="1">
        <w:r w:rsidR="00810145" w:rsidRPr="00EA138C">
          <w:rPr>
            <w:rStyle w:val="Hyperlink"/>
            <w:noProof/>
          </w:rPr>
          <w:t>Fee Payable</w:t>
        </w:r>
        <w:r w:rsidR="00810145">
          <w:rPr>
            <w:noProof/>
            <w:webHidden/>
          </w:rPr>
          <w:tab/>
        </w:r>
        <w:r w:rsidR="00810145">
          <w:rPr>
            <w:noProof/>
            <w:webHidden/>
          </w:rPr>
          <w:fldChar w:fldCharType="begin"/>
        </w:r>
        <w:r w:rsidR="00810145">
          <w:rPr>
            <w:noProof/>
            <w:webHidden/>
          </w:rPr>
          <w:instrText xml:space="preserve"> PAGEREF _Toc476739016 \h </w:instrText>
        </w:r>
        <w:r w:rsidR="00810145">
          <w:rPr>
            <w:noProof/>
            <w:webHidden/>
          </w:rPr>
        </w:r>
        <w:r w:rsidR="00810145">
          <w:rPr>
            <w:noProof/>
            <w:webHidden/>
          </w:rPr>
          <w:fldChar w:fldCharType="separate"/>
        </w:r>
        <w:r w:rsidR="00810145">
          <w:rPr>
            <w:noProof/>
            <w:webHidden/>
          </w:rPr>
          <w:t>20</w:t>
        </w:r>
        <w:r w:rsidR="00810145">
          <w:rPr>
            <w:noProof/>
            <w:webHidden/>
          </w:rPr>
          <w:fldChar w:fldCharType="end"/>
        </w:r>
      </w:hyperlink>
    </w:p>
    <w:p w14:paraId="7BF535CF" w14:textId="77777777" w:rsidR="00810145" w:rsidRDefault="00022328">
      <w:pPr>
        <w:pStyle w:val="TOC1"/>
        <w:rPr>
          <w:rFonts w:asciiTheme="minorHAnsi" w:eastAsiaTheme="minorEastAsia" w:hAnsiTheme="minorHAnsi" w:cstheme="minorBidi"/>
          <w:b w:val="0"/>
          <w:noProof/>
          <w:color w:val="auto"/>
          <w:sz w:val="22"/>
        </w:rPr>
      </w:pPr>
      <w:hyperlink w:anchor="_Toc476739017" w:history="1">
        <w:r w:rsidR="00810145" w:rsidRPr="00EA138C">
          <w:rPr>
            <w:rStyle w:val="Hyperlink"/>
            <w:noProof/>
          </w:rPr>
          <w:t>Attachment B — Costing Assumptions</w:t>
        </w:r>
        <w:r w:rsidR="00810145">
          <w:rPr>
            <w:noProof/>
            <w:webHidden/>
          </w:rPr>
          <w:tab/>
        </w:r>
        <w:r w:rsidR="00810145">
          <w:rPr>
            <w:noProof/>
            <w:webHidden/>
          </w:rPr>
          <w:fldChar w:fldCharType="begin"/>
        </w:r>
        <w:r w:rsidR="00810145">
          <w:rPr>
            <w:noProof/>
            <w:webHidden/>
          </w:rPr>
          <w:instrText xml:space="preserve"> PAGEREF _Toc476739017 \h </w:instrText>
        </w:r>
        <w:r w:rsidR="00810145">
          <w:rPr>
            <w:noProof/>
            <w:webHidden/>
          </w:rPr>
        </w:r>
        <w:r w:rsidR="00810145">
          <w:rPr>
            <w:noProof/>
            <w:webHidden/>
          </w:rPr>
          <w:fldChar w:fldCharType="separate"/>
        </w:r>
        <w:r w:rsidR="00810145">
          <w:rPr>
            <w:noProof/>
            <w:webHidden/>
          </w:rPr>
          <w:t>24</w:t>
        </w:r>
        <w:r w:rsidR="00810145">
          <w:rPr>
            <w:noProof/>
            <w:webHidden/>
          </w:rPr>
          <w:fldChar w:fldCharType="end"/>
        </w:r>
      </w:hyperlink>
    </w:p>
    <w:p w14:paraId="091E3579" w14:textId="77777777" w:rsidR="00810145" w:rsidRDefault="00022328">
      <w:pPr>
        <w:pStyle w:val="TOC2"/>
        <w:rPr>
          <w:rFonts w:asciiTheme="minorHAnsi" w:eastAsiaTheme="minorEastAsia" w:hAnsiTheme="minorHAnsi" w:cstheme="minorBidi"/>
          <w:noProof/>
          <w:color w:val="auto"/>
          <w:szCs w:val="22"/>
        </w:rPr>
      </w:pPr>
      <w:hyperlink w:anchor="_Toc476739018" w:history="1">
        <w:r w:rsidR="00810145" w:rsidRPr="00EA138C">
          <w:rPr>
            <w:rStyle w:val="Hyperlink"/>
            <w:noProof/>
          </w:rPr>
          <w:t>Lodging a foreign investment application or notice</w:t>
        </w:r>
        <w:r w:rsidR="00810145">
          <w:rPr>
            <w:noProof/>
            <w:webHidden/>
          </w:rPr>
          <w:tab/>
        </w:r>
        <w:r w:rsidR="00810145">
          <w:rPr>
            <w:noProof/>
            <w:webHidden/>
          </w:rPr>
          <w:fldChar w:fldCharType="begin"/>
        </w:r>
        <w:r w:rsidR="00810145">
          <w:rPr>
            <w:noProof/>
            <w:webHidden/>
          </w:rPr>
          <w:instrText xml:space="preserve"> PAGEREF _Toc476739018 \h </w:instrText>
        </w:r>
        <w:r w:rsidR="00810145">
          <w:rPr>
            <w:noProof/>
            <w:webHidden/>
          </w:rPr>
        </w:r>
        <w:r w:rsidR="00810145">
          <w:rPr>
            <w:noProof/>
            <w:webHidden/>
          </w:rPr>
          <w:fldChar w:fldCharType="separate"/>
        </w:r>
        <w:r w:rsidR="00810145">
          <w:rPr>
            <w:noProof/>
            <w:webHidden/>
          </w:rPr>
          <w:t>24</w:t>
        </w:r>
        <w:r w:rsidR="00810145">
          <w:rPr>
            <w:noProof/>
            <w:webHidden/>
          </w:rPr>
          <w:fldChar w:fldCharType="end"/>
        </w:r>
      </w:hyperlink>
    </w:p>
    <w:p w14:paraId="66F60C64" w14:textId="77777777" w:rsidR="00810145" w:rsidRDefault="00022328">
      <w:pPr>
        <w:pStyle w:val="TOC3"/>
        <w:rPr>
          <w:rFonts w:asciiTheme="minorHAnsi" w:eastAsiaTheme="minorEastAsia" w:hAnsiTheme="minorHAnsi" w:cstheme="minorBidi"/>
          <w:noProof/>
          <w:color w:val="auto"/>
          <w:szCs w:val="22"/>
        </w:rPr>
      </w:pPr>
      <w:hyperlink w:anchor="_Toc476739019" w:history="1">
        <w:r w:rsidR="00810145" w:rsidRPr="00EA138C">
          <w:rPr>
            <w:rStyle w:val="Hyperlink"/>
            <w:noProof/>
          </w:rPr>
          <w:t>Business acquisitions</w:t>
        </w:r>
        <w:r w:rsidR="00810145">
          <w:rPr>
            <w:noProof/>
            <w:webHidden/>
          </w:rPr>
          <w:tab/>
        </w:r>
        <w:r w:rsidR="00810145">
          <w:rPr>
            <w:noProof/>
            <w:webHidden/>
          </w:rPr>
          <w:fldChar w:fldCharType="begin"/>
        </w:r>
        <w:r w:rsidR="00810145">
          <w:rPr>
            <w:noProof/>
            <w:webHidden/>
          </w:rPr>
          <w:instrText xml:space="preserve"> PAGEREF _Toc476739019 \h </w:instrText>
        </w:r>
        <w:r w:rsidR="00810145">
          <w:rPr>
            <w:noProof/>
            <w:webHidden/>
          </w:rPr>
        </w:r>
        <w:r w:rsidR="00810145">
          <w:rPr>
            <w:noProof/>
            <w:webHidden/>
          </w:rPr>
          <w:fldChar w:fldCharType="separate"/>
        </w:r>
        <w:r w:rsidR="00810145">
          <w:rPr>
            <w:noProof/>
            <w:webHidden/>
          </w:rPr>
          <w:t>24</w:t>
        </w:r>
        <w:r w:rsidR="00810145">
          <w:rPr>
            <w:noProof/>
            <w:webHidden/>
          </w:rPr>
          <w:fldChar w:fldCharType="end"/>
        </w:r>
      </w:hyperlink>
    </w:p>
    <w:p w14:paraId="08464354" w14:textId="77777777" w:rsidR="00810145" w:rsidRDefault="00022328">
      <w:pPr>
        <w:pStyle w:val="TOC3"/>
        <w:rPr>
          <w:rFonts w:asciiTheme="minorHAnsi" w:eastAsiaTheme="minorEastAsia" w:hAnsiTheme="minorHAnsi" w:cstheme="minorBidi"/>
          <w:noProof/>
          <w:color w:val="auto"/>
          <w:szCs w:val="22"/>
        </w:rPr>
      </w:pPr>
      <w:hyperlink w:anchor="_Toc476739020" w:history="1">
        <w:r w:rsidR="00810145" w:rsidRPr="00EA138C">
          <w:rPr>
            <w:rStyle w:val="Hyperlink"/>
            <w:noProof/>
          </w:rPr>
          <w:t>Residential land acquisitions</w:t>
        </w:r>
        <w:r w:rsidR="00810145">
          <w:rPr>
            <w:noProof/>
            <w:webHidden/>
          </w:rPr>
          <w:tab/>
        </w:r>
        <w:r w:rsidR="00810145">
          <w:rPr>
            <w:noProof/>
            <w:webHidden/>
          </w:rPr>
          <w:fldChar w:fldCharType="begin"/>
        </w:r>
        <w:r w:rsidR="00810145">
          <w:rPr>
            <w:noProof/>
            <w:webHidden/>
          </w:rPr>
          <w:instrText xml:space="preserve"> PAGEREF _Toc476739020 \h </w:instrText>
        </w:r>
        <w:r w:rsidR="00810145">
          <w:rPr>
            <w:noProof/>
            <w:webHidden/>
          </w:rPr>
        </w:r>
        <w:r w:rsidR="00810145">
          <w:rPr>
            <w:noProof/>
            <w:webHidden/>
          </w:rPr>
          <w:fldChar w:fldCharType="separate"/>
        </w:r>
        <w:r w:rsidR="00810145">
          <w:rPr>
            <w:noProof/>
            <w:webHidden/>
          </w:rPr>
          <w:t>24</w:t>
        </w:r>
        <w:r w:rsidR="00810145">
          <w:rPr>
            <w:noProof/>
            <w:webHidden/>
          </w:rPr>
          <w:fldChar w:fldCharType="end"/>
        </w:r>
      </w:hyperlink>
    </w:p>
    <w:p w14:paraId="1034F9A3" w14:textId="77777777" w:rsidR="0056559F" w:rsidRDefault="0056559F" w:rsidP="0056559F">
      <w:r>
        <w:fldChar w:fldCharType="end"/>
      </w:r>
    </w:p>
    <w:p w14:paraId="5B59A4E6" w14:textId="77777777" w:rsidR="00F30068" w:rsidRDefault="00F30068" w:rsidP="0056559F">
      <w:pPr>
        <w:sectPr w:rsidR="00F30068" w:rsidSect="0056559F">
          <w:headerReference w:type="first" r:id="rId21"/>
          <w:pgSz w:w="11906" w:h="16838" w:code="9"/>
          <w:pgMar w:top="1418" w:right="1418" w:bottom="1418" w:left="1418" w:header="709" w:footer="709" w:gutter="0"/>
          <w:cols w:space="708"/>
          <w:titlePg/>
          <w:docGrid w:linePitch="360"/>
        </w:sectPr>
      </w:pPr>
    </w:p>
    <w:p w14:paraId="1917FEB9" w14:textId="77777777" w:rsidR="00F30068" w:rsidRPr="005750C6" w:rsidRDefault="00F30068" w:rsidP="005750C6">
      <w:pPr>
        <w:pStyle w:val="Heading2NotNumbered"/>
      </w:pPr>
      <w:bookmarkStart w:id="1" w:name="_Toc474922917"/>
      <w:bookmarkStart w:id="2" w:name="_Toc474924136"/>
      <w:bookmarkStart w:id="3" w:name="_Toc476738982"/>
      <w:r w:rsidRPr="005750C6">
        <w:lastRenderedPageBreak/>
        <w:t>Consultation Process</w:t>
      </w:r>
      <w:bookmarkEnd w:id="1"/>
      <w:bookmarkEnd w:id="2"/>
      <w:bookmarkEnd w:id="3"/>
    </w:p>
    <w:p w14:paraId="4893B9A7" w14:textId="77777777" w:rsidR="00F30068" w:rsidRDefault="00F30068" w:rsidP="005750C6">
      <w:pPr>
        <w:pStyle w:val="Heading3"/>
      </w:pPr>
      <w:bookmarkStart w:id="4" w:name="_Toc474922918"/>
      <w:bookmarkStart w:id="5" w:name="_Toc474924137"/>
      <w:bookmarkStart w:id="6" w:name="_Toc476738983"/>
      <w:r>
        <w:t>Request for feedback and comments</w:t>
      </w:r>
      <w:bookmarkEnd w:id="4"/>
      <w:bookmarkEnd w:id="5"/>
      <w:bookmarkEnd w:id="6"/>
    </w:p>
    <w:p w14:paraId="66460937" w14:textId="77777777" w:rsidR="009F002F" w:rsidRPr="009F002F" w:rsidRDefault="009F002F" w:rsidP="009F002F">
      <w:pPr>
        <w:rPr>
          <w:rFonts w:cs="Arial"/>
        </w:rPr>
      </w:pPr>
      <w:r w:rsidRPr="009F002F">
        <w:rPr>
          <w:rFonts w:cs="Arial"/>
        </w:rPr>
        <w:t xml:space="preserve">Submissions will be made available on the Treasury website unless you clearly indicate that you would like all or part of your submission to remain confidential. Automatically generated confidentiality statements in emails do not suffice for this purpose. A request made under the </w:t>
      </w:r>
      <w:r w:rsidRPr="00A56141">
        <w:rPr>
          <w:rFonts w:cs="Arial"/>
          <w:i/>
        </w:rPr>
        <w:t>Freedom of Information Act 1982</w:t>
      </w:r>
      <w:r w:rsidRPr="009F002F">
        <w:rPr>
          <w:rFonts w:cs="Arial"/>
        </w:rPr>
        <w:t xml:space="preserve"> for access to a submission marked confidential will be determined in accordance with that Act.</w:t>
      </w:r>
    </w:p>
    <w:p w14:paraId="27DC831C" w14:textId="77777777" w:rsidR="00F30068" w:rsidRDefault="009F002F" w:rsidP="009F002F">
      <w:pPr>
        <w:rPr>
          <w:rFonts w:cs="Arial"/>
        </w:rPr>
      </w:pPr>
      <w:r w:rsidRPr="009F002F">
        <w:rPr>
          <w:rFonts w:cs="Arial"/>
        </w:rPr>
        <w:t>Submissions should include the name of your organisation (or your name if the submission is made as an individual) and contact details for the submission, including an email address and contact telephone number where available. While submissions may be lodged electronically or by post, electronic lodgement is strongly preferred. For accessibility reasons, please email responses in a Word or RTF format. An additional PDF version may also be submitted.</w:t>
      </w:r>
    </w:p>
    <w:p w14:paraId="519E93E0" w14:textId="7C70FE59" w:rsidR="00F30068" w:rsidRDefault="00F30068" w:rsidP="00F30068">
      <w:pPr>
        <w:pStyle w:val="Heading4"/>
      </w:pPr>
      <w:r>
        <w:rPr>
          <w:rFonts w:cs="Calibri"/>
          <w:bCs w:val="0"/>
        </w:rPr>
        <w:t xml:space="preserve">Closing date for submissions: </w:t>
      </w:r>
      <w:r w:rsidR="000C0522">
        <w:t xml:space="preserve">Wednesday 29 </w:t>
      </w:r>
      <w:r w:rsidR="002727DF">
        <w:t>March 2017</w:t>
      </w:r>
    </w:p>
    <w:tbl>
      <w:tblPr>
        <w:tblW w:w="0" w:type="auto"/>
        <w:tblLook w:val="01E0" w:firstRow="1" w:lastRow="1" w:firstColumn="1" w:lastColumn="1" w:noHBand="0" w:noVBand="0"/>
      </w:tblPr>
      <w:tblGrid>
        <w:gridCol w:w="1668"/>
        <w:gridCol w:w="7618"/>
      </w:tblGrid>
      <w:tr w:rsidR="00F30068" w14:paraId="42E279B3" w14:textId="77777777" w:rsidTr="00E07267">
        <w:tc>
          <w:tcPr>
            <w:tcW w:w="1668" w:type="dxa"/>
            <w:hideMark/>
          </w:tcPr>
          <w:p w14:paraId="4B9BD5E3" w14:textId="77777777" w:rsidR="00F30068" w:rsidRDefault="00F30068" w:rsidP="00E07267">
            <w:pPr>
              <w:pStyle w:val="SingleParagraph"/>
              <w:rPr>
                <w:rFonts w:cs="Arial"/>
              </w:rPr>
            </w:pPr>
            <w:bookmarkStart w:id="7" w:name="OLE_LINK5" w:colFirst="0" w:colLast="0"/>
            <w:bookmarkStart w:id="8" w:name="OLE_LINK6" w:colFirst="0" w:colLast="0"/>
            <w:r>
              <w:rPr>
                <w:rFonts w:cs="Arial"/>
              </w:rPr>
              <w:t xml:space="preserve">Email: </w:t>
            </w:r>
          </w:p>
        </w:tc>
        <w:tc>
          <w:tcPr>
            <w:tcW w:w="7618" w:type="dxa"/>
            <w:hideMark/>
          </w:tcPr>
          <w:p w14:paraId="34693351" w14:textId="77777777" w:rsidR="00F30068" w:rsidRDefault="009F002F" w:rsidP="00E07267">
            <w:pPr>
              <w:rPr>
                <w:rFonts w:ascii="Calibri" w:hAnsi="Calibri" w:cs="Arial"/>
              </w:rPr>
            </w:pPr>
            <w:r>
              <w:rPr>
                <w:rFonts w:cs="Arial"/>
              </w:rPr>
              <w:t>ForeignInvestmentConsultation@treasury.gov.au</w:t>
            </w:r>
          </w:p>
        </w:tc>
      </w:tr>
      <w:bookmarkEnd w:id="7"/>
      <w:bookmarkEnd w:id="8"/>
      <w:tr w:rsidR="00F30068" w14:paraId="6BB3C4D3" w14:textId="77777777" w:rsidTr="00E07267">
        <w:tc>
          <w:tcPr>
            <w:tcW w:w="1668" w:type="dxa"/>
            <w:hideMark/>
          </w:tcPr>
          <w:p w14:paraId="0563A89D" w14:textId="77777777" w:rsidR="00F30068" w:rsidRDefault="00F30068" w:rsidP="00E07267">
            <w:pPr>
              <w:pStyle w:val="SingleParagraph"/>
              <w:rPr>
                <w:rFonts w:cs="Arial"/>
              </w:rPr>
            </w:pPr>
            <w:r>
              <w:rPr>
                <w:rFonts w:cs="Arial"/>
              </w:rPr>
              <w:t>Mail:</w:t>
            </w:r>
          </w:p>
        </w:tc>
        <w:tc>
          <w:tcPr>
            <w:tcW w:w="7618" w:type="dxa"/>
            <w:hideMark/>
          </w:tcPr>
          <w:p w14:paraId="5B4847AE" w14:textId="77777777" w:rsidR="00F30068" w:rsidRDefault="009F002F" w:rsidP="00E07267">
            <w:pPr>
              <w:pStyle w:val="SingleParagraph"/>
              <w:rPr>
                <w:rFonts w:ascii="Calibri" w:hAnsi="Calibri" w:cs="Arial"/>
              </w:rPr>
            </w:pPr>
            <w:r>
              <w:rPr>
                <w:rFonts w:cs="Arial"/>
              </w:rPr>
              <w:t>Manager</w:t>
            </w:r>
          </w:p>
          <w:p w14:paraId="7EF2C456" w14:textId="15DA8D54" w:rsidR="00F30068" w:rsidRDefault="00620046" w:rsidP="00E07267">
            <w:pPr>
              <w:pStyle w:val="SingleParagraph"/>
              <w:rPr>
                <w:rFonts w:cs="Arial"/>
              </w:rPr>
            </w:pPr>
            <w:r>
              <w:rPr>
                <w:rFonts w:cs="Arial"/>
              </w:rPr>
              <w:t xml:space="preserve">Foreign </w:t>
            </w:r>
            <w:r w:rsidR="009F002F">
              <w:rPr>
                <w:rFonts w:cs="Arial"/>
              </w:rPr>
              <w:t>Investment Policy Unit</w:t>
            </w:r>
          </w:p>
          <w:p w14:paraId="4263072F" w14:textId="77777777" w:rsidR="00F30068" w:rsidRDefault="00F30068" w:rsidP="00E07267">
            <w:pPr>
              <w:pStyle w:val="SingleParagraph"/>
              <w:rPr>
                <w:rFonts w:cs="Arial"/>
              </w:rPr>
            </w:pPr>
            <w:r>
              <w:rPr>
                <w:rFonts w:cs="Arial"/>
              </w:rPr>
              <w:t>The Treasury</w:t>
            </w:r>
          </w:p>
          <w:p w14:paraId="6C177E26" w14:textId="77777777" w:rsidR="00F30068" w:rsidRDefault="00F30068" w:rsidP="00E07267">
            <w:pPr>
              <w:pStyle w:val="SingleParagraph"/>
              <w:rPr>
                <w:rFonts w:cs="Arial"/>
              </w:rPr>
            </w:pPr>
            <w:r>
              <w:rPr>
                <w:rFonts w:cs="Arial"/>
              </w:rPr>
              <w:t>Langton Crescent</w:t>
            </w:r>
          </w:p>
          <w:p w14:paraId="5C4F5D1B" w14:textId="77777777" w:rsidR="00F30068" w:rsidRDefault="00F30068" w:rsidP="00E07267">
            <w:pPr>
              <w:rPr>
                <w:rFonts w:ascii="Calibri" w:hAnsi="Calibri" w:cs="Arial"/>
              </w:rPr>
            </w:pPr>
            <w:r>
              <w:rPr>
                <w:rFonts w:cs="Arial"/>
              </w:rPr>
              <w:t>PARKES  ACT  2600</w:t>
            </w:r>
          </w:p>
        </w:tc>
      </w:tr>
      <w:tr w:rsidR="00F30068" w14:paraId="5C3010DC" w14:textId="77777777" w:rsidTr="00E07267">
        <w:tc>
          <w:tcPr>
            <w:tcW w:w="1668" w:type="dxa"/>
            <w:hideMark/>
          </w:tcPr>
          <w:p w14:paraId="6A92C1B2" w14:textId="77777777" w:rsidR="00F30068" w:rsidRDefault="00F30068" w:rsidP="00E07267">
            <w:pPr>
              <w:pStyle w:val="SingleParagraph"/>
              <w:rPr>
                <w:rFonts w:cs="Arial"/>
              </w:rPr>
            </w:pPr>
            <w:r>
              <w:rPr>
                <w:rFonts w:cs="Arial"/>
              </w:rPr>
              <w:t>Enq</w:t>
            </w:r>
            <w:r>
              <w:rPr>
                <w:rStyle w:val="SingleParagraphChar"/>
                <w:rFonts w:cs="Arial"/>
              </w:rPr>
              <w:t>u</w:t>
            </w:r>
            <w:r>
              <w:rPr>
                <w:rFonts w:cs="Arial"/>
              </w:rPr>
              <w:t>iries:</w:t>
            </w:r>
          </w:p>
        </w:tc>
        <w:tc>
          <w:tcPr>
            <w:tcW w:w="7618" w:type="dxa"/>
            <w:hideMark/>
          </w:tcPr>
          <w:p w14:paraId="1B1DAAD9" w14:textId="77777777" w:rsidR="00F30068" w:rsidRDefault="00F30068" w:rsidP="009F002F">
            <w:pPr>
              <w:rPr>
                <w:rFonts w:ascii="Calibri" w:hAnsi="Calibri" w:cs="Arial"/>
              </w:rPr>
            </w:pPr>
            <w:r>
              <w:rPr>
                <w:rFonts w:cs="Arial"/>
              </w:rPr>
              <w:t xml:space="preserve">Enquiries can be initially directed to </w:t>
            </w:r>
            <w:r w:rsidR="009F002F">
              <w:rPr>
                <w:rFonts w:cs="Arial"/>
              </w:rPr>
              <w:t xml:space="preserve">Anita </w:t>
            </w:r>
            <w:proofErr w:type="spellStart"/>
            <w:r w:rsidR="009F002F">
              <w:rPr>
                <w:rFonts w:cs="Arial"/>
              </w:rPr>
              <w:t>Levanat</w:t>
            </w:r>
            <w:proofErr w:type="spellEnd"/>
          </w:p>
        </w:tc>
      </w:tr>
      <w:tr w:rsidR="00F30068" w14:paraId="0282242E" w14:textId="77777777" w:rsidTr="00E07267">
        <w:tc>
          <w:tcPr>
            <w:tcW w:w="1668" w:type="dxa"/>
            <w:hideMark/>
          </w:tcPr>
          <w:p w14:paraId="3B03B372" w14:textId="77777777" w:rsidR="00F30068" w:rsidRDefault="00F30068" w:rsidP="00E07267">
            <w:pPr>
              <w:rPr>
                <w:rFonts w:ascii="Calibri" w:hAnsi="Calibri" w:cs="Arial"/>
              </w:rPr>
            </w:pPr>
            <w:r>
              <w:rPr>
                <w:rFonts w:cs="Arial"/>
              </w:rPr>
              <w:t>Phone:</w:t>
            </w:r>
          </w:p>
        </w:tc>
        <w:tc>
          <w:tcPr>
            <w:tcW w:w="7618" w:type="dxa"/>
            <w:hideMark/>
          </w:tcPr>
          <w:p w14:paraId="1807E8FE" w14:textId="77777777" w:rsidR="00F30068" w:rsidRDefault="00F30068" w:rsidP="009F002F">
            <w:pPr>
              <w:rPr>
                <w:rFonts w:ascii="Calibri" w:hAnsi="Calibri" w:cs="Arial"/>
              </w:rPr>
            </w:pPr>
            <w:r>
              <w:rPr>
                <w:rFonts w:cs="Arial"/>
              </w:rPr>
              <w:t xml:space="preserve">02 6263 </w:t>
            </w:r>
            <w:r w:rsidR="009F002F">
              <w:rPr>
                <w:rFonts w:cs="Arial"/>
              </w:rPr>
              <w:t>1545</w:t>
            </w:r>
          </w:p>
        </w:tc>
      </w:tr>
    </w:tbl>
    <w:p w14:paraId="55B2AC43" w14:textId="77777777" w:rsidR="0056559F" w:rsidRDefault="0056559F" w:rsidP="0056559F"/>
    <w:p w14:paraId="42875EFC" w14:textId="77777777" w:rsidR="00F30068" w:rsidRDefault="00F30068" w:rsidP="0056559F"/>
    <w:p w14:paraId="5E53AF74" w14:textId="77777777" w:rsidR="0056559F" w:rsidRPr="0056559F" w:rsidRDefault="0056559F" w:rsidP="0056559F">
      <w:pPr>
        <w:sectPr w:rsidR="0056559F" w:rsidRPr="0056559F" w:rsidSect="0056559F">
          <w:pgSz w:w="11906" w:h="16838" w:code="9"/>
          <w:pgMar w:top="1418" w:right="1418" w:bottom="1418" w:left="1418" w:header="709" w:footer="709" w:gutter="0"/>
          <w:cols w:space="708"/>
          <w:titlePg/>
          <w:docGrid w:linePitch="360"/>
        </w:sectPr>
      </w:pPr>
    </w:p>
    <w:p w14:paraId="4B7EE109" w14:textId="77777777" w:rsidR="000A7BCF" w:rsidRDefault="00400F46">
      <w:pPr>
        <w:pStyle w:val="Heading1"/>
      </w:pPr>
      <w:bookmarkStart w:id="9" w:name="_Toc476738984"/>
      <w:r>
        <w:lastRenderedPageBreak/>
        <w:t xml:space="preserve">Foreign Investment Framework </w:t>
      </w:r>
      <w:r w:rsidR="009F002F">
        <w:t xml:space="preserve">2017 </w:t>
      </w:r>
      <w:r w:rsidR="00875F78">
        <w:t>Legislative</w:t>
      </w:r>
      <w:r w:rsidR="009F002F">
        <w:t xml:space="preserve"> Package</w:t>
      </w:r>
      <w:bookmarkEnd w:id="9"/>
    </w:p>
    <w:p w14:paraId="5D8C05B0" w14:textId="77777777" w:rsidR="000A7BCF" w:rsidRDefault="00352FCF">
      <w:pPr>
        <w:pStyle w:val="Heading2"/>
      </w:pPr>
      <w:bookmarkStart w:id="10" w:name="_Toc306887371"/>
      <w:bookmarkStart w:id="11" w:name="_Toc476738985"/>
      <w:r>
        <w:t>Background</w:t>
      </w:r>
      <w:bookmarkEnd w:id="10"/>
      <w:bookmarkEnd w:id="11"/>
    </w:p>
    <w:p w14:paraId="5FC30E99" w14:textId="49A071A8" w:rsidR="00707AAE" w:rsidRDefault="004F5B24" w:rsidP="004F5B24">
      <w:pPr>
        <w:pStyle w:val="OutlineNumbered1"/>
      </w:pPr>
      <w:r w:rsidRPr="004F5B24">
        <w:t>The Government welcomes foreign investment because it plays an important and beneficial role in the Australian economy. It has helped build Australia</w:t>
      </w:r>
      <w:r w:rsidR="007E22CB">
        <w:t>’</w:t>
      </w:r>
      <w:r w:rsidRPr="004F5B24">
        <w:t>s economy and will continue to enhance the wellbeing of Australians by supporting economic growth and prosperity.</w:t>
      </w:r>
    </w:p>
    <w:p w14:paraId="5913DF5E" w14:textId="2D56AE8C" w:rsidR="004F5B24" w:rsidRDefault="004F5B24" w:rsidP="004F5B24">
      <w:pPr>
        <w:pStyle w:val="OutlineNumbered1"/>
      </w:pPr>
      <w:r w:rsidRPr="004F5B24">
        <w:t>Notwithstanding the benefits of foreign investment to the community, there is a need to ensure foreign investment is consistent with Australia</w:t>
      </w:r>
      <w:r w:rsidR="007E22CB">
        <w:t>’</w:t>
      </w:r>
      <w:r w:rsidRPr="004F5B24">
        <w:t>s interests and the community retains confidence in the benefits of foreign investment.</w:t>
      </w:r>
    </w:p>
    <w:p w14:paraId="6A6D068B" w14:textId="09BB0468" w:rsidR="004F5B24" w:rsidRDefault="004F5B24" w:rsidP="004F5B24">
      <w:pPr>
        <w:pStyle w:val="OutlineNumbered1"/>
      </w:pPr>
      <w:r w:rsidRPr="004F5B24">
        <w:t>The Government reviews foreign investment proposals against the national interest on a case</w:t>
      </w:r>
      <w:r w:rsidR="007E22CB">
        <w:noBreakHyphen/>
      </w:r>
      <w:r w:rsidRPr="004F5B24">
        <w:t>by</w:t>
      </w:r>
      <w:r w:rsidR="007E22CB">
        <w:noBreakHyphen/>
      </w:r>
      <w:r w:rsidRPr="004F5B24">
        <w:t>case basis</w:t>
      </w:r>
      <w:r w:rsidR="00206977">
        <w:t xml:space="preserve">. The Treasurer has the power to block foreign investment proposals or apply conditions to the way proposals are implemented to ensure they are not contrary to the national interest. </w:t>
      </w:r>
    </w:p>
    <w:p w14:paraId="73A0E3D3" w14:textId="657F85EC" w:rsidR="004F5B24" w:rsidRDefault="004F5B24" w:rsidP="004F5B24">
      <w:pPr>
        <w:pStyle w:val="OutlineNumbered1"/>
      </w:pPr>
      <w:r w:rsidRPr="004F5B24">
        <w:t xml:space="preserve">The foreign investment review framework is set by the legislative framework </w:t>
      </w:r>
      <w:r>
        <w:t xml:space="preserve">through the </w:t>
      </w:r>
      <w:r>
        <w:rPr>
          <w:i/>
        </w:rPr>
        <w:t xml:space="preserve">Foreign Acquisitions and Takeovers Act 1975 </w:t>
      </w:r>
      <w:r>
        <w:t xml:space="preserve">(FATA) and the </w:t>
      </w:r>
      <w:r>
        <w:rPr>
          <w:i/>
        </w:rPr>
        <w:t xml:space="preserve">Foreign Acquisitions and Takeovers Fees Imposition Act 2015 </w:t>
      </w:r>
      <w:r>
        <w:t>(Fees Act) and their associated regulations. The legislative framework is s</w:t>
      </w:r>
      <w:r w:rsidRPr="004F5B24">
        <w:t>upported by Australia</w:t>
      </w:r>
      <w:r w:rsidR="007E22CB">
        <w:t>’</w:t>
      </w:r>
      <w:r w:rsidRPr="004F5B24">
        <w:t>s Foreign Investment Policy (the</w:t>
      </w:r>
      <w:r w:rsidR="00455D15">
        <w:t> </w:t>
      </w:r>
      <w:r w:rsidRPr="004F5B24">
        <w:t>Policy) and Guidance Notes on the specific application of the law.</w:t>
      </w:r>
    </w:p>
    <w:p w14:paraId="7E5113FA" w14:textId="371B2A50" w:rsidR="004F5B24" w:rsidRDefault="004F5B24" w:rsidP="00EA2A50">
      <w:pPr>
        <w:pStyle w:val="OutlineNumbered1"/>
      </w:pPr>
      <w:r>
        <w:t>On 1 December 2015, the most significant changes to Australia</w:t>
      </w:r>
      <w:r w:rsidR="007E22CB">
        <w:t>’</w:t>
      </w:r>
      <w:r>
        <w:t xml:space="preserve">s foreign investment framework in over 40 years were introduced. </w:t>
      </w:r>
      <w:r w:rsidRPr="004F5B24">
        <w:t xml:space="preserve">The reforms </w:t>
      </w:r>
      <w:r w:rsidR="00EA2A50">
        <w:t>provided for</w:t>
      </w:r>
      <w:r w:rsidRPr="004F5B24">
        <w:t xml:space="preserve"> stronger enforcement of the rules</w:t>
      </w:r>
      <w:r w:rsidR="00EA2A50">
        <w:t>, a</w:t>
      </w:r>
      <w:r w:rsidRPr="004F5B24">
        <w:t xml:space="preserve"> better resourced system </w:t>
      </w:r>
      <w:r w:rsidR="00EA2A50">
        <w:t>and</w:t>
      </w:r>
      <w:r w:rsidRPr="004F5B24">
        <w:t xml:space="preserve"> clearer rules for foreign investors. </w:t>
      </w:r>
      <w:r>
        <w:t>The reforms included:</w:t>
      </w:r>
    </w:p>
    <w:p w14:paraId="07786778" w14:textId="78C44387" w:rsidR="004F5B24" w:rsidRDefault="004F5B24" w:rsidP="00D978FE">
      <w:pPr>
        <w:pStyle w:val="OutlineNumbered2"/>
        <w:tabs>
          <w:tab w:val="clear" w:pos="851"/>
          <w:tab w:val="left" w:pos="1418"/>
        </w:tabs>
        <w:ind w:left="1418" w:hanging="851"/>
      </w:pPr>
      <w:r w:rsidRPr="004F5B24">
        <w:t>increased enforcement of the residential real estate rules by establishing a dedicated unit within the A</w:t>
      </w:r>
      <w:r w:rsidR="00455D15">
        <w:t xml:space="preserve">ustralian </w:t>
      </w:r>
      <w:r w:rsidRPr="004F5B24">
        <w:t>T</w:t>
      </w:r>
      <w:r w:rsidR="00455D15">
        <w:t xml:space="preserve">axation </w:t>
      </w:r>
      <w:r w:rsidRPr="004F5B24">
        <w:t>O</w:t>
      </w:r>
      <w:r w:rsidR="00455D15">
        <w:t>ffice (ATO)</w:t>
      </w:r>
      <w:r w:rsidRPr="004F5B24">
        <w:t xml:space="preserve"> to review cases and strengthen compliance</w:t>
      </w:r>
      <w:r w:rsidR="00F762DD">
        <w:t>,</w:t>
      </w:r>
    </w:p>
    <w:p w14:paraId="31260DA2" w14:textId="77777777" w:rsidR="004F5B24" w:rsidRDefault="004F5B24" w:rsidP="00D978FE">
      <w:pPr>
        <w:pStyle w:val="OutlineNumbered2"/>
        <w:tabs>
          <w:tab w:val="clear" w:pos="851"/>
          <w:tab w:val="left" w:pos="1418"/>
        </w:tabs>
        <w:ind w:left="1418" w:hanging="851"/>
      </w:pPr>
      <w:r>
        <w:t>stricter and more flexible penalties to make it easier to pursue foreign investors that breach the rules</w:t>
      </w:r>
      <w:r w:rsidR="00F762DD">
        <w:t xml:space="preserve">, </w:t>
      </w:r>
    </w:p>
    <w:p w14:paraId="1BE5CBAE" w14:textId="77777777" w:rsidR="004F5B24" w:rsidRDefault="004F5B24" w:rsidP="00D978FE">
      <w:pPr>
        <w:pStyle w:val="OutlineNumbered2"/>
        <w:tabs>
          <w:tab w:val="clear" w:pos="851"/>
          <w:tab w:val="left" w:pos="1418"/>
        </w:tabs>
        <w:ind w:left="1418" w:hanging="851"/>
      </w:pPr>
      <w:r>
        <w:t>application fees to ensure that Australian taxpayers no longer have to fund the cost of administering the system</w:t>
      </w:r>
      <w:r w:rsidR="00F762DD">
        <w:t xml:space="preserve">, </w:t>
      </w:r>
    </w:p>
    <w:p w14:paraId="59C3A528" w14:textId="77777777" w:rsidR="004F5B24" w:rsidRDefault="004F5B24" w:rsidP="00D978FE">
      <w:pPr>
        <w:pStyle w:val="OutlineNumbered2"/>
        <w:tabs>
          <w:tab w:val="clear" w:pos="851"/>
          <w:tab w:val="left" w:pos="1418"/>
        </w:tabs>
        <w:ind w:left="1418" w:hanging="851"/>
      </w:pPr>
      <w:r>
        <w:t>increased scrutiny around agricultural investments by lowering the applicable thresholds</w:t>
      </w:r>
      <w:r w:rsidR="00F762DD">
        <w:t xml:space="preserve">, </w:t>
      </w:r>
    </w:p>
    <w:p w14:paraId="41A3CC4B" w14:textId="77777777" w:rsidR="004F5B24" w:rsidRDefault="004F5B24" w:rsidP="00D978FE">
      <w:pPr>
        <w:pStyle w:val="OutlineNumbered2"/>
        <w:tabs>
          <w:tab w:val="clear" w:pos="851"/>
          <w:tab w:val="left" w:pos="1418"/>
        </w:tabs>
        <w:ind w:left="1418" w:hanging="851"/>
      </w:pPr>
      <w:r>
        <w:t>improved transparency through comprehensive foreign ownership of land and water registers</w:t>
      </w:r>
      <w:r w:rsidR="00745717">
        <w:t xml:space="preserve">, </w:t>
      </w:r>
    </w:p>
    <w:p w14:paraId="43E12E24" w14:textId="5ECC6B38" w:rsidR="004F5B24" w:rsidRDefault="004F5B24" w:rsidP="00D978FE">
      <w:pPr>
        <w:pStyle w:val="OutlineNumbered2"/>
        <w:tabs>
          <w:tab w:val="clear" w:pos="851"/>
          <w:tab w:val="left" w:pos="1418"/>
        </w:tabs>
        <w:ind w:left="1418" w:hanging="851"/>
      </w:pPr>
      <w:r>
        <w:t>an overhaul of the legislation including bringing foreign government investor screening requirements into the legislative framework</w:t>
      </w:r>
      <w:r w:rsidR="00745717">
        <w:t xml:space="preserve">, and </w:t>
      </w:r>
    </w:p>
    <w:p w14:paraId="30B3ED33" w14:textId="2435B7FA" w:rsidR="003C02D5" w:rsidRDefault="00745717" w:rsidP="00D978FE">
      <w:pPr>
        <w:pStyle w:val="OutlineNumbered2"/>
        <w:tabs>
          <w:tab w:val="clear" w:pos="851"/>
          <w:tab w:val="left" w:pos="1418"/>
        </w:tabs>
        <w:ind w:left="1418" w:hanging="851"/>
      </w:pPr>
      <w:proofErr w:type="gramStart"/>
      <w:r>
        <w:t>reducing</w:t>
      </w:r>
      <w:proofErr w:type="gramEnd"/>
      <w:r>
        <w:t xml:space="preserve"> regulatory burden by removing</w:t>
      </w:r>
      <w:r w:rsidR="00037625">
        <w:t xml:space="preserve"> some</w:t>
      </w:r>
      <w:r>
        <w:t xml:space="preserve"> routine cases from the screening system. </w:t>
      </w:r>
    </w:p>
    <w:p w14:paraId="019F9A5E" w14:textId="192DF92F" w:rsidR="003C02D5" w:rsidRDefault="003C02D5" w:rsidP="003C02D5">
      <w:pPr>
        <w:pStyle w:val="OutlineNumbered1"/>
      </w:pPr>
      <w:r>
        <w:lastRenderedPageBreak/>
        <w:t>In the year since the reforms were implemented, the Government has been seeking ong</w:t>
      </w:r>
      <w:r w:rsidR="009B198C">
        <w:t xml:space="preserve">oing feedback from stakeholders </w:t>
      </w:r>
      <w:r>
        <w:t>on how the reforms are working in practice</w:t>
      </w:r>
      <w:r w:rsidR="00D978FE">
        <w:t xml:space="preserve">. </w:t>
      </w:r>
      <w:r w:rsidR="00623695">
        <w:t>U</w:t>
      </w:r>
      <w:r w:rsidR="009B198C">
        <w:t xml:space="preserve">nintended consequences stemming from the 2015 reforms and opportunities for red tape reduction have been identified through this process. </w:t>
      </w:r>
    </w:p>
    <w:p w14:paraId="41C46608" w14:textId="2083F5C9" w:rsidR="0048136F" w:rsidRDefault="00623695" w:rsidP="0048136F">
      <w:pPr>
        <w:pStyle w:val="OutlineNumbered1"/>
      </w:pPr>
      <w:r>
        <w:t>T</w:t>
      </w:r>
      <w:r w:rsidR="003C02D5">
        <w:t>his consultation paper seek</w:t>
      </w:r>
      <w:r>
        <w:t>s</w:t>
      </w:r>
      <w:r w:rsidR="003C02D5">
        <w:t xml:space="preserve"> formal views from stakeholders on a suite of proposed changes in the areas of residential land, non</w:t>
      </w:r>
      <w:r w:rsidR="007E22CB">
        <w:noBreakHyphen/>
      </w:r>
      <w:r w:rsidR="003C02D5">
        <w:t xml:space="preserve">vacant commercial land, low sensitivity business investment and fees. </w:t>
      </w:r>
      <w:r w:rsidR="0048136F" w:rsidRPr="0048136F">
        <w:t>Stakeholders are invited to provide feedback on the proposed changes and the estimated regulatory costs of the options.</w:t>
      </w:r>
    </w:p>
    <w:p w14:paraId="62F1BDA5" w14:textId="1339C21B" w:rsidR="003C02D5" w:rsidRDefault="003C02D5" w:rsidP="003C02D5">
      <w:pPr>
        <w:pStyle w:val="OutlineNumbered1"/>
      </w:pPr>
      <w:r>
        <w:t xml:space="preserve">The paper also provides an opportunity for stakeholders to </w:t>
      </w:r>
      <w:r w:rsidR="00455D15">
        <w:t>present</w:t>
      </w:r>
      <w:r>
        <w:t xml:space="preserve"> examples on how technical issu</w:t>
      </w:r>
      <w:r w:rsidR="009B198C">
        <w:t>es in the legislation could be addressed</w:t>
      </w:r>
      <w:r w:rsidR="0035531A">
        <w:t xml:space="preserve"> and any other ideas for reform.</w:t>
      </w:r>
    </w:p>
    <w:p w14:paraId="3AF33403" w14:textId="77777777" w:rsidR="000E2A62" w:rsidRDefault="000E2A62" w:rsidP="007B0C60">
      <w:pPr>
        <w:pStyle w:val="OutlineNumbered1"/>
      </w:pPr>
      <w:r>
        <w:t xml:space="preserve">The final </w:t>
      </w:r>
      <w:r w:rsidR="00F762DD">
        <w:t xml:space="preserve">legislative </w:t>
      </w:r>
      <w:r>
        <w:t>package and the approach to its implementation will be determined by the Government following consultation</w:t>
      </w:r>
      <w:r w:rsidR="00EA3A1C">
        <w:t>.</w:t>
      </w:r>
    </w:p>
    <w:p w14:paraId="1F1F277E" w14:textId="77777777" w:rsidR="000A7BCF" w:rsidRDefault="00352FCF">
      <w:pPr>
        <w:pStyle w:val="Heading2"/>
      </w:pPr>
      <w:bookmarkStart w:id="12" w:name="_Toc306887373"/>
      <w:bookmarkStart w:id="13" w:name="_Toc476738986"/>
      <w:r>
        <w:t>Issues for discussion</w:t>
      </w:r>
      <w:bookmarkEnd w:id="12"/>
      <w:bookmarkEnd w:id="13"/>
    </w:p>
    <w:p w14:paraId="093ABC6E" w14:textId="77777777" w:rsidR="00C76F10" w:rsidRDefault="007B0C60" w:rsidP="00C76F10">
      <w:pPr>
        <w:pStyle w:val="OutlineNumbered1"/>
      </w:pPr>
      <w:r>
        <w:t xml:space="preserve">There are five areas where </w:t>
      </w:r>
      <w:r w:rsidR="00707AAE">
        <w:t>unintended consequences have been identified and where the r</w:t>
      </w:r>
      <w:r w:rsidR="005161CF">
        <w:t xml:space="preserve">egulatory burden can be reduced. </w:t>
      </w:r>
    </w:p>
    <w:p w14:paraId="2D5B8F85" w14:textId="7093384D" w:rsidR="007B0C60" w:rsidRPr="005161CF" w:rsidRDefault="00906C08" w:rsidP="00D978FE">
      <w:pPr>
        <w:pStyle w:val="OutlineNumbered3"/>
        <w:numPr>
          <w:ilvl w:val="2"/>
          <w:numId w:val="18"/>
        </w:numPr>
        <w:tabs>
          <w:tab w:val="clear" w:pos="1984"/>
          <w:tab w:val="num" w:pos="1134"/>
        </w:tabs>
        <w:ind w:left="1134" w:hanging="567"/>
      </w:pPr>
      <w:r>
        <w:rPr>
          <w:b/>
        </w:rPr>
        <w:t>R</w:t>
      </w:r>
      <w:r w:rsidR="005161CF" w:rsidRPr="00360DFB">
        <w:rPr>
          <w:b/>
        </w:rPr>
        <w:t xml:space="preserve">esidential </w:t>
      </w:r>
      <w:r w:rsidR="00810145">
        <w:rPr>
          <w:b/>
        </w:rPr>
        <w:t>l</w:t>
      </w:r>
      <w:r w:rsidR="007633B7" w:rsidRPr="00360DFB">
        <w:rPr>
          <w:b/>
        </w:rPr>
        <w:t>and</w:t>
      </w:r>
      <w:r w:rsidR="00360DFB" w:rsidRPr="00360DFB">
        <w:rPr>
          <w:b/>
        </w:rPr>
        <w:t>:</w:t>
      </w:r>
      <w:r>
        <w:t xml:space="preserve"> S</w:t>
      </w:r>
      <w:r w:rsidR="00360DFB">
        <w:t>ome of the settings may incentivise non</w:t>
      </w:r>
      <w:r w:rsidR="007E22CB">
        <w:noBreakHyphen/>
      </w:r>
      <w:r w:rsidR="00360DFB">
        <w:t xml:space="preserve">compliance and </w:t>
      </w:r>
      <w:r w:rsidR="002A6461">
        <w:t>may have distortionary affects</w:t>
      </w:r>
      <w:r w:rsidR="00D978FE">
        <w:t xml:space="preserve">. </w:t>
      </w:r>
    </w:p>
    <w:p w14:paraId="2C9DA6B4" w14:textId="42FBC085" w:rsidR="007B0C60" w:rsidRPr="005161CF" w:rsidRDefault="00906C08" w:rsidP="00D978FE">
      <w:pPr>
        <w:pStyle w:val="OutlineNumbered3"/>
        <w:numPr>
          <w:ilvl w:val="2"/>
          <w:numId w:val="18"/>
        </w:numPr>
        <w:tabs>
          <w:tab w:val="clear" w:pos="1984"/>
          <w:tab w:val="num" w:pos="1134"/>
        </w:tabs>
        <w:ind w:left="1134" w:hanging="567"/>
      </w:pPr>
      <w:r>
        <w:rPr>
          <w:b/>
        </w:rPr>
        <w:t>N</w:t>
      </w:r>
      <w:r w:rsidR="00707AAE" w:rsidRPr="00360DFB">
        <w:rPr>
          <w:b/>
        </w:rPr>
        <w:t>on</w:t>
      </w:r>
      <w:r w:rsidR="007E22CB">
        <w:rPr>
          <w:b/>
        </w:rPr>
        <w:noBreakHyphen/>
      </w:r>
      <w:r w:rsidR="00707AAE" w:rsidRPr="00360DFB">
        <w:rPr>
          <w:b/>
        </w:rPr>
        <w:t>vacant c</w:t>
      </w:r>
      <w:r w:rsidR="007B0C60" w:rsidRPr="00360DFB">
        <w:rPr>
          <w:b/>
        </w:rPr>
        <w:t>ommercial land</w:t>
      </w:r>
      <w:r w:rsidR="00360DFB">
        <w:rPr>
          <w:b/>
        </w:rPr>
        <w:t xml:space="preserve">: </w:t>
      </w:r>
      <w:r>
        <w:t>S</w:t>
      </w:r>
      <w:r w:rsidR="00360DFB">
        <w:t xml:space="preserve">ome lower sensitivity investments are still subject to the framework. This is inconsistent with the intent of the 2015 reforms to remove </w:t>
      </w:r>
      <w:r>
        <w:t>low sensitivity cases from the system</w:t>
      </w:r>
      <w:r w:rsidR="00D978FE">
        <w:t xml:space="preserve">. </w:t>
      </w:r>
    </w:p>
    <w:p w14:paraId="37110283" w14:textId="2AC5BC94" w:rsidR="007B0C60" w:rsidRPr="005161CF" w:rsidRDefault="00906C08" w:rsidP="00D978FE">
      <w:pPr>
        <w:pStyle w:val="OutlineNumbered3"/>
        <w:numPr>
          <w:ilvl w:val="2"/>
          <w:numId w:val="18"/>
        </w:numPr>
        <w:tabs>
          <w:tab w:val="clear" w:pos="1984"/>
          <w:tab w:val="num" w:pos="1134"/>
        </w:tabs>
        <w:ind w:left="1134" w:hanging="567"/>
      </w:pPr>
      <w:r>
        <w:rPr>
          <w:b/>
        </w:rPr>
        <w:t>L</w:t>
      </w:r>
      <w:r w:rsidR="007B0C60" w:rsidRPr="00360DFB">
        <w:rPr>
          <w:b/>
        </w:rPr>
        <w:t xml:space="preserve">ow sensitivity </w:t>
      </w:r>
      <w:r w:rsidR="00360DFB">
        <w:rPr>
          <w:b/>
        </w:rPr>
        <w:t xml:space="preserve">business investment: </w:t>
      </w:r>
      <w:r w:rsidR="00360DFB">
        <w:t xml:space="preserve">The framework still </w:t>
      </w:r>
      <w:r w:rsidR="00360DFB" w:rsidRPr="00360DFB">
        <w:t>casts a broad net in relation to some of the investments that must be notified</w:t>
      </w:r>
      <w:r w:rsidR="00A926FC">
        <w:t xml:space="preserve"> to the Treasurer</w:t>
      </w:r>
      <w:r w:rsidR="00360DFB" w:rsidRPr="00360DFB">
        <w:t>. This results in some relatively low value and low sensitivity investments</w:t>
      </w:r>
      <w:r w:rsidR="001D43AF">
        <w:t xml:space="preserve"> being captured</w:t>
      </w:r>
      <w:r w:rsidR="00360DFB" w:rsidRPr="00360DFB">
        <w:t>. The introduction of fees in 2015 has further reinforced the concern about the level of regulatory burden for such investments</w:t>
      </w:r>
      <w:r w:rsidR="004622A8">
        <w:t xml:space="preserve">. </w:t>
      </w:r>
    </w:p>
    <w:p w14:paraId="229A1B22" w14:textId="6B680CE3" w:rsidR="00EA3A1C" w:rsidRPr="005161CF" w:rsidRDefault="00906C08" w:rsidP="00D978FE">
      <w:pPr>
        <w:pStyle w:val="OutlineNumbered3"/>
        <w:numPr>
          <w:ilvl w:val="2"/>
          <w:numId w:val="18"/>
        </w:numPr>
        <w:tabs>
          <w:tab w:val="clear" w:pos="1984"/>
          <w:tab w:val="num" w:pos="1134"/>
        </w:tabs>
        <w:ind w:left="1134" w:hanging="567"/>
      </w:pPr>
      <w:r>
        <w:rPr>
          <w:b/>
        </w:rPr>
        <w:t>F</w:t>
      </w:r>
      <w:r w:rsidR="005161CF" w:rsidRPr="00360DFB">
        <w:rPr>
          <w:b/>
        </w:rPr>
        <w:t>ees</w:t>
      </w:r>
      <w:r w:rsidR="00360DFB">
        <w:rPr>
          <w:b/>
        </w:rPr>
        <w:t xml:space="preserve">: </w:t>
      </w:r>
      <w:r>
        <w:t>T</w:t>
      </w:r>
      <w:r w:rsidR="00360DFB" w:rsidRPr="00360DFB">
        <w:t xml:space="preserve">he fees framework can be difficult for stakeholders to apply and burdensome to administer. There are also situations where the size of the fee </w:t>
      </w:r>
      <w:r w:rsidR="001D43AF">
        <w:t>varies with the form of the investment</w:t>
      </w:r>
      <w:r w:rsidR="00360DFB" w:rsidRPr="00360DFB">
        <w:t>.</w:t>
      </w:r>
      <w:r w:rsidR="005161CF">
        <w:t xml:space="preserve"> </w:t>
      </w:r>
    </w:p>
    <w:p w14:paraId="0D0F9C08" w14:textId="67767E8D" w:rsidR="00EA3A1C" w:rsidRPr="005161CF" w:rsidRDefault="00906C08" w:rsidP="00D978FE">
      <w:pPr>
        <w:pStyle w:val="OutlineNumbered3"/>
        <w:numPr>
          <w:ilvl w:val="2"/>
          <w:numId w:val="18"/>
        </w:numPr>
        <w:tabs>
          <w:tab w:val="clear" w:pos="1984"/>
          <w:tab w:val="num" w:pos="1134"/>
        </w:tabs>
        <w:ind w:left="1134" w:hanging="567"/>
      </w:pPr>
      <w:r>
        <w:rPr>
          <w:b/>
        </w:rPr>
        <w:t>M</w:t>
      </w:r>
      <w:r w:rsidR="00EA3A1C" w:rsidRPr="00360DFB">
        <w:rPr>
          <w:b/>
        </w:rPr>
        <w:t>iscellaneous technical issues</w:t>
      </w:r>
      <w:r w:rsidR="0035531A">
        <w:rPr>
          <w:b/>
        </w:rPr>
        <w:t xml:space="preserve"> and ideas f</w:t>
      </w:r>
      <w:r w:rsidR="0048136F">
        <w:rPr>
          <w:b/>
        </w:rPr>
        <w:t>or further reform</w:t>
      </w:r>
      <w:r w:rsidR="00360DFB">
        <w:t xml:space="preserve">: </w:t>
      </w:r>
      <w:r>
        <w:t xml:space="preserve">There is an opportunity to address technical issues in the legislation that are </w:t>
      </w:r>
      <w:r w:rsidR="00360DFB" w:rsidRPr="00360DFB">
        <w:t>mostly minor or machinery in nature</w:t>
      </w:r>
      <w:r w:rsidR="0048136F">
        <w:t xml:space="preserve"> as well as for stakeholders to provide further reform ideas not covered in the paper.</w:t>
      </w:r>
    </w:p>
    <w:p w14:paraId="2AE1869F" w14:textId="202E1E29" w:rsidR="00866AE3" w:rsidRDefault="005161CF" w:rsidP="00F5707E">
      <w:pPr>
        <w:pStyle w:val="OutlineNumbered1"/>
      </w:pPr>
      <w:r>
        <w:t>Stakeholders are invited to provide views</w:t>
      </w:r>
      <w:r w:rsidR="00A56141">
        <w:t xml:space="preserve"> on</w:t>
      </w:r>
      <w:r>
        <w:t xml:space="preserve"> </w:t>
      </w:r>
      <w:r w:rsidR="00A56141">
        <w:t xml:space="preserve">both </w:t>
      </w:r>
      <w:r w:rsidR="00741D03">
        <w:t>the</w:t>
      </w:r>
      <w:r>
        <w:t xml:space="preserve"> options </w:t>
      </w:r>
      <w:r w:rsidR="00741D03">
        <w:t xml:space="preserve">which </w:t>
      </w:r>
      <w:r>
        <w:t>should be pursued</w:t>
      </w:r>
      <w:r w:rsidR="00741D03">
        <w:t xml:space="preserve">, </w:t>
      </w:r>
      <w:r w:rsidR="00E05E0D">
        <w:t>an</w:t>
      </w:r>
      <w:r w:rsidR="00E90667">
        <w:t>d the estimated regulatory cost</w:t>
      </w:r>
      <w:r w:rsidR="001D0597">
        <w:t>/cost saving of each option</w:t>
      </w:r>
      <w:r w:rsidR="00E05E0D">
        <w:t xml:space="preserve">. </w:t>
      </w:r>
      <w:r w:rsidR="001D0597">
        <w:t xml:space="preserve">Stakeholders are also invited to provide comments on the </w:t>
      </w:r>
      <w:proofErr w:type="spellStart"/>
      <w:r w:rsidR="001D0597">
        <w:t>c</w:t>
      </w:r>
      <w:r w:rsidR="00F5707E" w:rsidRPr="00F5707E">
        <w:t>ostings</w:t>
      </w:r>
      <w:proofErr w:type="spellEnd"/>
      <w:r w:rsidR="00F5707E" w:rsidRPr="00F5707E">
        <w:t xml:space="preserve"> assumptions detailed at </w:t>
      </w:r>
      <w:r w:rsidR="00F5707E" w:rsidRPr="00B56E6F">
        <w:rPr>
          <w:b/>
        </w:rPr>
        <w:t>Attachment</w:t>
      </w:r>
      <w:r w:rsidR="00B56E6F" w:rsidRPr="00B56E6F">
        <w:rPr>
          <w:b/>
        </w:rPr>
        <w:t xml:space="preserve"> B</w:t>
      </w:r>
      <w:r w:rsidR="001D0597">
        <w:t>.</w:t>
      </w:r>
    </w:p>
    <w:p w14:paraId="28F63F94" w14:textId="11E54666" w:rsidR="00875F78" w:rsidRDefault="00875F78" w:rsidP="00EA3A1C">
      <w:pPr>
        <w:pStyle w:val="OutlineNumbered1"/>
      </w:pPr>
      <w:r>
        <w:t xml:space="preserve">The options put forward include making changes to the </w:t>
      </w:r>
      <w:r w:rsidRPr="00875F78">
        <w:rPr>
          <w:i/>
        </w:rPr>
        <w:t>Foreign Acquisitions and Takeovers Regulation 2015</w:t>
      </w:r>
      <w:r w:rsidR="00906C08">
        <w:rPr>
          <w:i/>
        </w:rPr>
        <w:t xml:space="preserve"> </w:t>
      </w:r>
      <w:r w:rsidR="00E37169">
        <w:t>(Regulation)</w:t>
      </w:r>
      <w:r w:rsidRPr="00875F78">
        <w:t>,</w:t>
      </w:r>
      <w:r>
        <w:t xml:space="preserve"> the Fees Act and the </w:t>
      </w:r>
      <w:r w:rsidRPr="00875F78">
        <w:rPr>
          <w:i/>
        </w:rPr>
        <w:t xml:space="preserve">Foreign Acquisitions and Takeovers Fees Imposition </w:t>
      </w:r>
      <w:r w:rsidR="00E37169">
        <w:rPr>
          <w:i/>
        </w:rPr>
        <w:t>Regulation</w:t>
      </w:r>
      <w:r w:rsidRPr="00875F78">
        <w:rPr>
          <w:i/>
        </w:rPr>
        <w:t xml:space="preserve"> 2015</w:t>
      </w:r>
      <w:r w:rsidR="00E37169">
        <w:rPr>
          <w:i/>
        </w:rPr>
        <w:t xml:space="preserve"> </w:t>
      </w:r>
      <w:r w:rsidR="00E37169">
        <w:t>(Fees Regulation)</w:t>
      </w:r>
      <w:r w:rsidRPr="00875F78">
        <w:t xml:space="preserve">. </w:t>
      </w:r>
      <w:r>
        <w:t xml:space="preserve">Changes to </w:t>
      </w:r>
      <w:r w:rsidR="0092213A">
        <w:t xml:space="preserve">the </w:t>
      </w:r>
      <w:r w:rsidR="00906C08">
        <w:t xml:space="preserve">FATA </w:t>
      </w:r>
      <w:r>
        <w:t xml:space="preserve">are not being considered </w:t>
      </w:r>
      <w:r w:rsidR="001D43AF">
        <w:t xml:space="preserve">in this process. </w:t>
      </w:r>
    </w:p>
    <w:p w14:paraId="1FEA77AF" w14:textId="77777777" w:rsidR="00875F78" w:rsidRDefault="00875F78">
      <w:pPr>
        <w:spacing w:after="0" w:line="240" w:lineRule="auto"/>
        <w:jc w:val="left"/>
      </w:pPr>
      <w:r>
        <w:br w:type="page"/>
      </w:r>
    </w:p>
    <w:p w14:paraId="00FE29C7" w14:textId="77777777" w:rsidR="00875F78" w:rsidRDefault="00875F78" w:rsidP="00875F78">
      <w:pPr>
        <w:pStyle w:val="Heading1"/>
      </w:pPr>
      <w:bookmarkStart w:id="14" w:name="_Toc476738987"/>
      <w:r>
        <w:lastRenderedPageBreak/>
        <w:t>Issues for Consultation</w:t>
      </w:r>
      <w:bookmarkEnd w:id="14"/>
    </w:p>
    <w:p w14:paraId="3195696C" w14:textId="77777777" w:rsidR="00875F78" w:rsidRDefault="00875F78" w:rsidP="00D978FE">
      <w:pPr>
        <w:pStyle w:val="Heading2"/>
      </w:pPr>
      <w:bookmarkStart w:id="15" w:name="_Toc476738988"/>
      <w:r>
        <w:t xml:space="preserve">1. Residential </w:t>
      </w:r>
      <w:r w:rsidR="007633B7">
        <w:t>land</w:t>
      </w:r>
      <w:bookmarkEnd w:id="15"/>
    </w:p>
    <w:p w14:paraId="4BFA1B91" w14:textId="77777777" w:rsidR="00875F78" w:rsidRDefault="00875F78" w:rsidP="00875F78">
      <w:pPr>
        <w:pStyle w:val="Heading3"/>
      </w:pPr>
      <w:bookmarkStart w:id="16" w:name="_Toc474922924"/>
      <w:bookmarkStart w:id="17" w:name="_Toc474924143"/>
      <w:bookmarkStart w:id="18" w:name="_Toc476738989"/>
      <w:r>
        <w:t>Background</w:t>
      </w:r>
      <w:bookmarkEnd w:id="16"/>
      <w:bookmarkEnd w:id="17"/>
      <w:bookmarkEnd w:id="18"/>
    </w:p>
    <w:p w14:paraId="55006C05" w14:textId="77777777" w:rsidR="00637682" w:rsidRDefault="00695120" w:rsidP="00637682">
      <w:pPr>
        <w:pStyle w:val="OutlineNumbered1"/>
      </w:pPr>
      <w:r>
        <w:t>Fo</w:t>
      </w:r>
      <w:r w:rsidR="00637682" w:rsidRPr="00637682">
        <w:t xml:space="preserve">reign persons generally need to apply for foreign investment approval before purchasing residential </w:t>
      </w:r>
      <w:r w:rsidR="007633B7">
        <w:t>land</w:t>
      </w:r>
      <w:r w:rsidR="00637682" w:rsidRPr="00637682">
        <w:t xml:space="preserve"> in Australia.</w:t>
      </w:r>
    </w:p>
    <w:p w14:paraId="0C3CD1FD" w14:textId="4BC7E228" w:rsidR="00695120" w:rsidRDefault="00637682" w:rsidP="00637682">
      <w:pPr>
        <w:pStyle w:val="OutlineNumbered1"/>
      </w:pPr>
      <w:r w:rsidRPr="00637682">
        <w:t>The Government</w:t>
      </w:r>
      <w:r w:rsidR="007E22CB">
        <w:t>’</w:t>
      </w:r>
      <w:r w:rsidRPr="00637682">
        <w:t xml:space="preserve">s policy is to channel foreign investment into new dwellings as this creates additional jobs in the construction industry and helps support economic growth. </w:t>
      </w:r>
    </w:p>
    <w:p w14:paraId="1450860B" w14:textId="0962A934" w:rsidR="00695120" w:rsidRDefault="00637682" w:rsidP="00695120">
      <w:pPr>
        <w:pStyle w:val="OutlineNumbered1"/>
      </w:pPr>
      <w:r w:rsidRPr="00637682">
        <w:t xml:space="preserve">Consistent with this aim, </w:t>
      </w:r>
      <w:r w:rsidR="00695120">
        <w:t>n</w:t>
      </w:r>
      <w:r w:rsidR="00695120" w:rsidRPr="00695120">
        <w:t>on</w:t>
      </w:r>
      <w:r w:rsidR="007E22CB">
        <w:noBreakHyphen/>
      </w:r>
      <w:r w:rsidR="00695120" w:rsidRPr="00695120">
        <w:t>resident foreign persons are generally prohibited from purchasing established dwellings. However, temporary residents can apply to purchase one established dwelling to use as a residence while they live in Australia.</w:t>
      </w:r>
    </w:p>
    <w:p w14:paraId="70331123" w14:textId="0FBCA102" w:rsidR="00875F78" w:rsidRDefault="00637682" w:rsidP="00875F78">
      <w:pPr>
        <w:pStyle w:val="OutlineNumbered1"/>
      </w:pPr>
      <w:r>
        <w:t>The</w:t>
      </w:r>
      <w:r w:rsidR="00875F78" w:rsidRPr="00875F78">
        <w:t xml:space="preserve"> framework is based on foreign persons receiving individual approval for a </w:t>
      </w:r>
      <w:r>
        <w:t>specific property</w:t>
      </w:r>
      <w:r w:rsidR="00695120">
        <w:t xml:space="preserve"> prior to making the purchase</w:t>
      </w:r>
      <w:r>
        <w:t>. Broad pre</w:t>
      </w:r>
      <w:r w:rsidR="007E22CB">
        <w:noBreakHyphen/>
      </w:r>
      <w:r>
        <w:t xml:space="preserve">approval through </w:t>
      </w:r>
      <w:r w:rsidR="007E22CB">
        <w:t>‘</w:t>
      </w:r>
      <w:r>
        <w:t>exemption certificates</w:t>
      </w:r>
      <w:r w:rsidR="007E22CB">
        <w:t>’</w:t>
      </w:r>
      <w:r>
        <w:t xml:space="preserve"> can be granted for eligible foreign persons seeking to acquire </w:t>
      </w:r>
      <w:r w:rsidR="000E7971">
        <w:t xml:space="preserve">an </w:t>
      </w:r>
      <w:r>
        <w:t>established dwelling</w:t>
      </w:r>
      <w:r w:rsidR="0092213A">
        <w:t xml:space="preserve"> (the Established Dwelling Exemption Certificate (EDEC))</w:t>
      </w:r>
      <w:r>
        <w:t xml:space="preserve">, </w:t>
      </w:r>
      <w:r w:rsidR="00875F78" w:rsidRPr="00875F78">
        <w:t xml:space="preserve">or </w:t>
      </w:r>
      <w:r>
        <w:t>for developers seeking to sell new d</w:t>
      </w:r>
      <w:r w:rsidR="00875F78" w:rsidRPr="00875F78">
        <w:t xml:space="preserve">wellings </w:t>
      </w:r>
      <w:r>
        <w:t>to foreign persons</w:t>
      </w:r>
      <w:r w:rsidR="00695120">
        <w:t xml:space="preserve"> (the New Dwelling Exemption Certificate</w:t>
      </w:r>
      <w:r w:rsidR="0092213A">
        <w:t> </w:t>
      </w:r>
      <w:r w:rsidR="00695120">
        <w:t>(NDEC))</w:t>
      </w:r>
      <w:r w:rsidR="00875F78" w:rsidRPr="00875F78">
        <w:t>.</w:t>
      </w:r>
    </w:p>
    <w:p w14:paraId="72254DF1" w14:textId="62B1D59E" w:rsidR="00875F78" w:rsidRDefault="00875F78" w:rsidP="00875F78">
      <w:pPr>
        <w:pStyle w:val="Heading3"/>
      </w:pPr>
      <w:bookmarkStart w:id="19" w:name="_Toc474922925"/>
      <w:bookmarkStart w:id="20" w:name="_Toc474924144"/>
      <w:bookmarkStart w:id="21" w:name="_Toc476738990"/>
      <w:r>
        <w:t xml:space="preserve">The </w:t>
      </w:r>
      <w:r w:rsidR="001F3FED">
        <w:t>p</w:t>
      </w:r>
      <w:r>
        <w:t>roblem</w:t>
      </w:r>
      <w:bookmarkEnd w:id="19"/>
      <w:bookmarkEnd w:id="20"/>
      <w:bookmarkEnd w:id="21"/>
    </w:p>
    <w:p w14:paraId="1C2C1BDA" w14:textId="77777777" w:rsidR="004C529B" w:rsidRDefault="001F32AD" w:rsidP="004C529B">
      <w:pPr>
        <w:pStyle w:val="Heading4"/>
      </w:pPr>
      <w:r w:rsidRPr="004C529B">
        <w:t xml:space="preserve">Inconsistent </w:t>
      </w:r>
      <w:r w:rsidR="00695120">
        <w:t>exemption certificate framework</w:t>
      </w:r>
    </w:p>
    <w:p w14:paraId="63353310" w14:textId="65CEB32E" w:rsidR="004C529B" w:rsidRDefault="00695120" w:rsidP="004C529B">
      <w:pPr>
        <w:pStyle w:val="OutlineNumbered1"/>
      </w:pPr>
      <w:r>
        <w:t>B</w:t>
      </w:r>
      <w:r w:rsidR="001F32AD">
        <w:t>road pre</w:t>
      </w:r>
      <w:r w:rsidR="007E22CB">
        <w:noBreakHyphen/>
      </w:r>
      <w:r w:rsidR="001F32AD">
        <w:t xml:space="preserve">approval through an exemption certificate can only </w:t>
      </w:r>
      <w:r>
        <w:t xml:space="preserve">be </w:t>
      </w:r>
      <w:r w:rsidR="004C529B">
        <w:t>granted</w:t>
      </w:r>
      <w:r w:rsidR="001F32AD">
        <w:t xml:space="preserve"> for foreign persons wanting to purchase an established dwelling or for property developers wanting to sell new dwellings to foreign persons. </w:t>
      </w:r>
    </w:p>
    <w:p w14:paraId="0AF4E7D9" w14:textId="5DBA8CD7" w:rsidR="004C529B" w:rsidRDefault="001F32AD" w:rsidP="004C529B">
      <w:pPr>
        <w:pStyle w:val="OutlineNumbered1"/>
      </w:pPr>
      <w:r>
        <w:t xml:space="preserve">Foreign persons wishing to purchase </w:t>
      </w:r>
      <w:r w:rsidR="00003DC4">
        <w:t xml:space="preserve">a </w:t>
      </w:r>
      <w:r>
        <w:t xml:space="preserve">new dwelling or vacant residential land need to apply </w:t>
      </w:r>
      <w:r w:rsidR="004C529B">
        <w:t>individually for each property they are considering, even if they only w</w:t>
      </w:r>
      <w:r w:rsidR="00695120">
        <w:t>ant</w:t>
      </w:r>
      <w:r w:rsidR="004C529B">
        <w:t xml:space="preserve"> to make one purchase. This results in higher fees and application costs</w:t>
      </w:r>
      <w:r w:rsidR="00695120">
        <w:t xml:space="preserve"> compared with an established dwelling exemption certificate</w:t>
      </w:r>
      <w:r w:rsidR="004C529B">
        <w:t xml:space="preserve"> as multiple applications may be required. </w:t>
      </w:r>
    </w:p>
    <w:p w14:paraId="74200E8E" w14:textId="7AD30BC4" w:rsidR="001F32AD" w:rsidRDefault="00F70623" w:rsidP="004C529B">
      <w:pPr>
        <w:pStyle w:val="OutlineNumbered1"/>
      </w:pPr>
      <w:r>
        <w:t xml:space="preserve">These arrangements </w:t>
      </w:r>
      <w:r w:rsidR="004C529B">
        <w:t>may also incentivise non</w:t>
      </w:r>
      <w:r w:rsidR="007E22CB">
        <w:noBreakHyphen/>
      </w:r>
      <w:r w:rsidR="004C529B">
        <w:t xml:space="preserve">compliance where </w:t>
      </w:r>
      <w:r w:rsidR="004C529B" w:rsidRPr="004C529B">
        <w:t xml:space="preserve">it is cheaper for a foreign person who considers multiple properties, but only wishes to buy one, to pay a fine and notify after </w:t>
      </w:r>
      <w:r w:rsidR="00AC510D">
        <w:t>they have purchased the property</w:t>
      </w:r>
      <w:r w:rsidR="004C529B">
        <w:t>,</w:t>
      </w:r>
      <w:r w:rsidR="004C529B" w:rsidRPr="004C529B">
        <w:t xml:space="preserve"> rather than </w:t>
      </w:r>
      <w:r w:rsidR="00E05E0D">
        <w:t>apply multiple times</w:t>
      </w:r>
      <w:r w:rsidR="0092213A">
        <w:t xml:space="preserve"> in advance</w:t>
      </w:r>
      <w:r w:rsidR="004C529B" w:rsidRPr="004C529B">
        <w:t>.</w:t>
      </w:r>
    </w:p>
    <w:p w14:paraId="0CDB5EB1" w14:textId="4CAC3BD3" w:rsidR="001F32AD" w:rsidRDefault="001F32AD" w:rsidP="004C529B">
      <w:pPr>
        <w:pStyle w:val="Heading4"/>
      </w:pPr>
      <w:r>
        <w:t>Treatment of f</w:t>
      </w:r>
      <w:r w:rsidRPr="001F32AD">
        <w:t>ailed off</w:t>
      </w:r>
      <w:r w:rsidR="007E22CB">
        <w:noBreakHyphen/>
      </w:r>
      <w:r w:rsidRPr="001F32AD">
        <w:t>the</w:t>
      </w:r>
      <w:r w:rsidR="007E22CB">
        <w:noBreakHyphen/>
      </w:r>
      <w:r w:rsidRPr="001F32AD">
        <w:t>plan settlements</w:t>
      </w:r>
    </w:p>
    <w:p w14:paraId="56CC5E94" w14:textId="25673949" w:rsidR="00574E9D" w:rsidRDefault="00CF38A9" w:rsidP="00574E9D">
      <w:pPr>
        <w:pStyle w:val="OutlineNumbered1"/>
      </w:pPr>
      <w:r>
        <w:t>W</w:t>
      </w:r>
      <w:r w:rsidR="00574E9D" w:rsidRPr="00574E9D">
        <w:t>here a person enters a contract to acquire an off</w:t>
      </w:r>
      <w:r w:rsidR="007E22CB">
        <w:noBreakHyphen/>
      </w:r>
      <w:r w:rsidR="00574E9D" w:rsidRPr="00574E9D">
        <w:t>the</w:t>
      </w:r>
      <w:r w:rsidR="007E22CB">
        <w:noBreakHyphen/>
      </w:r>
      <w:r w:rsidR="00574E9D" w:rsidRPr="00574E9D">
        <w:t>plan dwelling and that contract becomes binding, the dwelling is considered sold</w:t>
      </w:r>
      <w:r>
        <w:t xml:space="preserve"> under the FATA</w:t>
      </w:r>
      <w:r w:rsidR="00574E9D" w:rsidRPr="00574E9D">
        <w:t>. If the parties do not complete settlement, the dwelling would then be considered an established dwelling for any future acquisitions</w:t>
      </w:r>
      <w:r w:rsidR="0092213A">
        <w:t>. This</w:t>
      </w:r>
      <w:r w:rsidR="00574E9D" w:rsidRPr="00574E9D">
        <w:t xml:space="preserve"> would preclude most foreign</w:t>
      </w:r>
      <w:r w:rsidR="0092213A">
        <w:t xml:space="preserve"> persons</w:t>
      </w:r>
      <w:r w:rsidR="00574E9D" w:rsidRPr="00574E9D">
        <w:t xml:space="preserve"> from </w:t>
      </w:r>
      <w:r w:rsidR="00003DC4">
        <w:t xml:space="preserve">later </w:t>
      </w:r>
      <w:r w:rsidR="00574E9D" w:rsidRPr="00574E9D">
        <w:t>purchasing the dwelling.</w:t>
      </w:r>
    </w:p>
    <w:p w14:paraId="79552908" w14:textId="66C6E8BE" w:rsidR="00574E9D" w:rsidRDefault="00574E9D" w:rsidP="00574E9D">
      <w:pPr>
        <w:pStyle w:val="OutlineNumbered1"/>
      </w:pPr>
      <w:r w:rsidRPr="00574E9D">
        <w:lastRenderedPageBreak/>
        <w:t xml:space="preserve">Not allowing foreign persons to purchase these dwellings, for which the title has never been transferred, may affect the ability of developers </w:t>
      </w:r>
      <w:r w:rsidR="00003DC4">
        <w:t xml:space="preserve">or the initial purchaser of the dwelling, </w:t>
      </w:r>
      <w:r w:rsidRPr="00574E9D">
        <w:t>to on sell these dwellings</w:t>
      </w:r>
      <w:r w:rsidR="004B1681">
        <w:t>.</w:t>
      </w:r>
    </w:p>
    <w:p w14:paraId="59C5D2D4" w14:textId="5C9EA2E2" w:rsidR="00F70623" w:rsidRDefault="00414A89" w:rsidP="00F70623">
      <w:pPr>
        <w:pStyle w:val="OutlineNumbered1"/>
      </w:pPr>
      <w:r>
        <w:t>On 26 November 2016, the Treasurer announced that foreign buyers would be allowed to purchase an off</w:t>
      </w:r>
      <w:r w:rsidR="007E22CB">
        <w:noBreakHyphen/>
      </w:r>
      <w:r>
        <w:t>the</w:t>
      </w:r>
      <w:r w:rsidR="007E22CB">
        <w:noBreakHyphen/>
      </w:r>
      <w:r>
        <w:t xml:space="preserve">plan dwelling (as a new dwelling) when another foreign buyer has failed to reach settlement. Currently, an </w:t>
      </w:r>
      <w:r w:rsidR="00574E9D" w:rsidRPr="00574E9D">
        <w:t>administrative solution</w:t>
      </w:r>
      <w:r>
        <w:t xml:space="preserve"> is in place that allows </w:t>
      </w:r>
      <w:r w:rsidR="00574E9D" w:rsidRPr="00574E9D">
        <w:t xml:space="preserve">foreign persons making individual applications to receive approval in these circumstances. </w:t>
      </w:r>
      <w:r w:rsidR="00D83227" w:rsidRPr="00F70623">
        <w:t>For purchases in a development where the developer has a NDEC, the developer</w:t>
      </w:r>
      <w:r w:rsidR="00D83227">
        <w:t xml:space="preserve"> should report the purchase and the ATO will not pursue these purchases as breaches.</w:t>
      </w:r>
    </w:p>
    <w:p w14:paraId="23D201FD" w14:textId="091C7C93" w:rsidR="00F70623" w:rsidRDefault="008F59AC" w:rsidP="00F70623">
      <w:pPr>
        <w:pStyle w:val="OutlineNumbered1"/>
      </w:pPr>
      <w:r>
        <w:t>However, these purchases remain legally in breach of the FATA</w:t>
      </w:r>
      <w:r w:rsidR="00D9550B">
        <w:t xml:space="preserve"> provisions</w:t>
      </w:r>
      <w:r w:rsidR="002C6532">
        <w:t xml:space="preserve"> if they do</w:t>
      </w:r>
      <w:r w:rsidR="00A80833">
        <w:t xml:space="preserve"> </w:t>
      </w:r>
      <w:r w:rsidR="002C6532">
        <w:t>n</w:t>
      </w:r>
      <w:r w:rsidR="00A80833">
        <w:t>o</w:t>
      </w:r>
      <w:r w:rsidR="002C6532">
        <w:t>t have a separate approval</w:t>
      </w:r>
      <w:r>
        <w:t>, which creates a lack of certainty for investors</w:t>
      </w:r>
      <w:r w:rsidR="00D9550B">
        <w:t xml:space="preserve"> about whether their purchases are compliant with the law. </w:t>
      </w:r>
    </w:p>
    <w:p w14:paraId="520CFB21" w14:textId="4AA3089F" w:rsidR="001F32AD" w:rsidRDefault="001F32AD" w:rsidP="00F70623">
      <w:pPr>
        <w:pStyle w:val="Heading4"/>
      </w:pPr>
      <w:r w:rsidRPr="001F32AD">
        <w:t>Residential land used for commercial purposes</w:t>
      </w:r>
      <w:r>
        <w:t xml:space="preserve"> </w:t>
      </w:r>
    </w:p>
    <w:p w14:paraId="570AFF9F" w14:textId="356BC107" w:rsidR="00414A89" w:rsidRDefault="00414A89" w:rsidP="00414A89">
      <w:pPr>
        <w:pStyle w:val="OutlineNumbered1"/>
      </w:pPr>
      <w:r>
        <w:t xml:space="preserve">Currently, land meets the definition of </w:t>
      </w:r>
      <w:r w:rsidR="007E22CB">
        <w:t>‘</w:t>
      </w:r>
      <w:r>
        <w:t>commercial land</w:t>
      </w:r>
      <w:r w:rsidR="007E22CB">
        <w:t>’</w:t>
      </w:r>
      <w:r>
        <w:t xml:space="preserve"> under the FATA if a dwelling is not located on the land, or the dwelling located on the land is considered a </w:t>
      </w:r>
      <w:r w:rsidR="007E22CB">
        <w:t>‘</w:t>
      </w:r>
      <w:r>
        <w:t>commercial residential premises</w:t>
      </w:r>
      <w:r w:rsidR="007E22CB">
        <w:t>’</w:t>
      </w:r>
      <w:r>
        <w:t xml:space="preserve">. The term </w:t>
      </w:r>
      <w:r w:rsidR="007E22CB">
        <w:t>‘</w:t>
      </w:r>
      <w:r>
        <w:t>commercial residential premises</w:t>
      </w:r>
      <w:r w:rsidR="007E22CB">
        <w:t>’</w:t>
      </w:r>
      <w:r>
        <w:t xml:space="preserve"> has the same meaning as set out in the </w:t>
      </w:r>
      <w:r w:rsidRPr="00D9550B">
        <w:rPr>
          <w:i/>
        </w:rPr>
        <w:t>A New Tax System (Goods and Services Tax) Act 1999</w:t>
      </w:r>
      <w:r>
        <w:t xml:space="preserve"> (</w:t>
      </w:r>
      <w:r w:rsidR="003174A3">
        <w:t>GST </w:t>
      </w:r>
      <w:r>
        <w:t>definition).</w:t>
      </w:r>
    </w:p>
    <w:p w14:paraId="5BFD6069" w14:textId="77777777" w:rsidR="00414A89" w:rsidRDefault="00414A89" w:rsidP="00777FEB">
      <w:pPr>
        <w:pStyle w:val="OutlineNumbered1"/>
      </w:pPr>
      <w:r w:rsidRPr="00414A89">
        <w:t xml:space="preserve">The GST definition of commercial residential premises excludes some land that for the purposes of the foreign investment framework would be considered commercial in nature. </w:t>
      </w:r>
      <w:r>
        <w:t>These include</w:t>
      </w:r>
      <w:r w:rsidRPr="00414A89">
        <w:t xml:space="preserve"> aged care facilities, retirement villages and certain student accommodation.</w:t>
      </w:r>
      <w:r w:rsidR="00777FEB">
        <w:t xml:space="preserve"> </w:t>
      </w:r>
    </w:p>
    <w:p w14:paraId="22687A55" w14:textId="2204137D" w:rsidR="00777FEB" w:rsidRPr="00777FEB" w:rsidRDefault="00777FEB" w:rsidP="00414A89">
      <w:pPr>
        <w:pStyle w:val="OutlineNumbered1"/>
      </w:pPr>
      <w:r w:rsidRPr="00777FEB">
        <w:t xml:space="preserve">As all acquisitions of residential land require notification, </w:t>
      </w:r>
      <w:r w:rsidR="009D4E79">
        <w:t>commercial developments in this sub</w:t>
      </w:r>
      <w:r w:rsidR="007E22CB">
        <w:noBreakHyphen/>
      </w:r>
      <w:r w:rsidR="009D4E79">
        <w:t xml:space="preserve">sector face different treatment from other sectors. </w:t>
      </w:r>
      <w:r w:rsidR="00CA574B">
        <w:t>Further, f</w:t>
      </w:r>
      <w:r w:rsidR="00CA574B" w:rsidRPr="00CA574B">
        <w:t xml:space="preserve">oreign owners of these facilities must also receive approval </w:t>
      </w:r>
      <w:r w:rsidR="00CA574B">
        <w:t xml:space="preserve">each time they use a </w:t>
      </w:r>
      <w:r w:rsidR="00CA574B" w:rsidRPr="00CA574B">
        <w:t>mandatory buyback mechanism such that they receive ownership of dwellings internal to a greater complex temporarily</w:t>
      </w:r>
      <w:r w:rsidR="00CF38A9">
        <w:t>,</w:t>
      </w:r>
      <w:r w:rsidR="00CA574B" w:rsidRPr="00CA574B">
        <w:t xml:space="preserve"> before on selling the dwelling to new residents in their facilities. </w:t>
      </w:r>
    </w:p>
    <w:p w14:paraId="1D29CEB8" w14:textId="77777777" w:rsidR="00777FEB" w:rsidRDefault="0036750C" w:rsidP="0036750C">
      <w:pPr>
        <w:pStyle w:val="Heading3"/>
      </w:pPr>
      <w:bookmarkStart w:id="22" w:name="_Toc474922926"/>
      <w:bookmarkStart w:id="23" w:name="_Toc474924145"/>
      <w:bookmarkStart w:id="24" w:name="_Toc476738991"/>
      <w:r>
        <w:t>Case for government action</w:t>
      </w:r>
      <w:bookmarkEnd w:id="22"/>
      <w:bookmarkEnd w:id="23"/>
      <w:bookmarkEnd w:id="24"/>
    </w:p>
    <w:p w14:paraId="67EC3964" w14:textId="7967262E" w:rsidR="00963F5A" w:rsidRDefault="00963F5A" w:rsidP="00963F5A">
      <w:pPr>
        <w:pStyle w:val="OutlineNumbered1"/>
      </w:pPr>
      <w:r>
        <w:t>Given that the Government is responsible for regulating foreign investment, the Government should ensure that the foreign investment framework is operating efficiently and as intended so to align with the Government</w:t>
      </w:r>
      <w:r w:rsidR="007E22CB">
        <w:t>’</w:t>
      </w:r>
      <w:r>
        <w:t xml:space="preserve">s policy objectives. </w:t>
      </w:r>
    </w:p>
    <w:p w14:paraId="6C629548" w14:textId="2237A0B8" w:rsidR="00963F5A" w:rsidRDefault="00963F5A" w:rsidP="0036750C">
      <w:pPr>
        <w:pStyle w:val="OutlineNumbered1"/>
      </w:pPr>
      <w:r>
        <w:t>In relation to residential land, s</w:t>
      </w:r>
      <w:r w:rsidR="0036750C">
        <w:t>ome of the changes to the residential land rules through the 2015 reforms have resu</w:t>
      </w:r>
      <w:r w:rsidR="009D4E79">
        <w:t xml:space="preserve">lted in unintended consequences. </w:t>
      </w:r>
    </w:p>
    <w:p w14:paraId="1D05D0D6" w14:textId="1A7836FF" w:rsidR="00963F5A" w:rsidRDefault="004D27B9" w:rsidP="000E1AB0">
      <w:pPr>
        <w:pStyle w:val="Heading3"/>
      </w:pPr>
      <w:bookmarkStart w:id="25" w:name="_Toc474922927"/>
      <w:bookmarkStart w:id="26" w:name="_Toc474924146"/>
      <w:bookmarkStart w:id="27" w:name="_Toc476738992"/>
      <w:r>
        <w:t>Policy o</w:t>
      </w:r>
      <w:r w:rsidR="000E1AB0">
        <w:t>ptions</w:t>
      </w:r>
      <w:bookmarkEnd w:id="25"/>
      <w:bookmarkEnd w:id="26"/>
      <w:bookmarkEnd w:id="27"/>
    </w:p>
    <w:p w14:paraId="032967F4" w14:textId="77777777" w:rsidR="000E1AB0" w:rsidRDefault="000E1AB0" w:rsidP="000E1AB0">
      <w:pPr>
        <w:pStyle w:val="Heading4"/>
      </w:pPr>
      <w:r>
        <w:t>Option 1: No change</w:t>
      </w:r>
    </w:p>
    <w:p w14:paraId="6685B6AF" w14:textId="57C64BF4" w:rsidR="000E1AB0" w:rsidRDefault="000E1AB0" w:rsidP="000E1AB0">
      <w:pPr>
        <w:pStyle w:val="OutlineNumbered1"/>
      </w:pPr>
      <w:r>
        <w:t>This option would see no change to the residential land rules, and current administrative work</w:t>
      </w:r>
      <w:r w:rsidR="007E22CB">
        <w:noBreakHyphen/>
      </w:r>
      <w:proofErr w:type="spellStart"/>
      <w:r>
        <w:t>arounds</w:t>
      </w:r>
      <w:proofErr w:type="spellEnd"/>
      <w:r>
        <w:t xml:space="preserve"> regarding failed off</w:t>
      </w:r>
      <w:r w:rsidR="007E22CB">
        <w:noBreakHyphen/>
      </w:r>
      <w:r>
        <w:t>the</w:t>
      </w:r>
      <w:r w:rsidR="007E22CB">
        <w:noBreakHyphen/>
      </w:r>
      <w:r>
        <w:t>plan settlements would continue to operate outside the regulator</w:t>
      </w:r>
      <w:r w:rsidR="00420DB7">
        <w:t xml:space="preserve">y framework. </w:t>
      </w:r>
    </w:p>
    <w:p w14:paraId="55E133F6" w14:textId="1CD39A82" w:rsidR="00420DB7" w:rsidRDefault="00420DB7" w:rsidP="0079055E">
      <w:pPr>
        <w:pStyle w:val="Heading4"/>
      </w:pPr>
      <w:r>
        <w:lastRenderedPageBreak/>
        <w:t xml:space="preserve">Option 2: </w:t>
      </w:r>
      <w:r w:rsidR="0059381F">
        <w:t>Introduce a new exemption certificate(s) for new dwellings and vacant residential land</w:t>
      </w:r>
    </w:p>
    <w:p w14:paraId="3B934CE5" w14:textId="168B491C" w:rsidR="00420DB7" w:rsidRDefault="00420DB7" w:rsidP="00420DB7">
      <w:pPr>
        <w:pStyle w:val="OutlineNumbered1"/>
      </w:pPr>
      <w:r>
        <w:t xml:space="preserve">This option is the introduction of </w:t>
      </w:r>
      <w:r w:rsidR="0092213A">
        <w:t xml:space="preserve">a </w:t>
      </w:r>
      <w:r>
        <w:t>new exemption certificate</w:t>
      </w:r>
      <w:r w:rsidR="00E85FCC">
        <w:t>(</w:t>
      </w:r>
      <w:r>
        <w:t>s</w:t>
      </w:r>
      <w:r w:rsidR="00E85FCC">
        <w:t>)</w:t>
      </w:r>
      <w:r>
        <w:t xml:space="preserve"> which </w:t>
      </w:r>
      <w:r w:rsidR="0092213A">
        <w:t xml:space="preserve">will </w:t>
      </w:r>
      <w:r w:rsidR="00CF38A9">
        <w:t>allow</w:t>
      </w:r>
      <w:r w:rsidRPr="00420DB7">
        <w:t xml:space="preserve"> foreign persons to receive </w:t>
      </w:r>
      <w:r w:rsidR="00CF38A9">
        <w:t>broad pre</w:t>
      </w:r>
      <w:r w:rsidR="007E22CB">
        <w:noBreakHyphen/>
      </w:r>
      <w:r w:rsidRPr="00420DB7">
        <w:t xml:space="preserve">approval to purchase one new dwelling </w:t>
      </w:r>
      <w:r w:rsidR="00CF38A9">
        <w:t xml:space="preserve">or vacant </w:t>
      </w:r>
      <w:r w:rsidR="00E85FCC">
        <w:t xml:space="preserve">residential </w:t>
      </w:r>
      <w:r w:rsidR="00CF38A9">
        <w:t xml:space="preserve">block. </w:t>
      </w:r>
    </w:p>
    <w:p w14:paraId="1CF9AF95" w14:textId="77777777" w:rsidR="00420DB7" w:rsidRDefault="00420DB7" w:rsidP="00420DB7">
      <w:pPr>
        <w:pStyle w:val="OutlineNumbered1"/>
      </w:pPr>
      <w:r w:rsidRPr="00420DB7">
        <w:t xml:space="preserve">Conditions will be applied in a manner that is consistent with </w:t>
      </w:r>
      <w:r w:rsidR="00CF38A9">
        <w:t xml:space="preserve">the policy and </w:t>
      </w:r>
      <w:r w:rsidRPr="00420DB7">
        <w:t xml:space="preserve">foreign persons will be required to notify where an actual purchase has been made. Fees are likely to align with the highest potential purchase as currently implemented with </w:t>
      </w:r>
      <w:r w:rsidR="0092213A">
        <w:t>EDECs</w:t>
      </w:r>
      <w:r w:rsidR="00CF38A9">
        <w:t>.</w:t>
      </w:r>
      <w:r>
        <w:t xml:space="preserve"> </w:t>
      </w:r>
    </w:p>
    <w:p w14:paraId="31D1980F" w14:textId="64EBEBDD" w:rsidR="00420DB7" w:rsidRDefault="0059381F" w:rsidP="0079055E">
      <w:pPr>
        <w:pStyle w:val="Heading4"/>
      </w:pPr>
      <w:r>
        <w:t>Option 3:</w:t>
      </w:r>
      <w:r w:rsidR="00420DB7">
        <w:t xml:space="preserve"> Introduce a new exemption certificate for failed off</w:t>
      </w:r>
      <w:r w:rsidR="007E22CB">
        <w:noBreakHyphen/>
      </w:r>
      <w:r w:rsidR="00420DB7">
        <w:t>the</w:t>
      </w:r>
      <w:r w:rsidR="007E22CB">
        <w:noBreakHyphen/>
      </w:r>
      <w:r w:rsidR="00420DB7">
        <w:t>plan settlements</w:t>
      </w:r>
    </w:p>
    <w:p w14:paraId="50C34260" w14:textId="1EB6082D" w:rsidR="00420DB7" w:rsidRDefault="00420DB7" w:rsidP="00420DB7">
      <w:pPr>
        <w:pStyle w:val="OutlineNumbered1"/>
      </w:pPr>
      <w:r>
        <w:t>On 26 November</w:t>
      </w:r>
      <w:r w:rsidR="000B5293">
        <w:t xml:space="preserve"> 2016</w:t>
      </w:r>
      <w:r>
        <w:t xml:space="preserve">, the Treasurer announced that a new </w:t>
      </w:r>
      <w:r w:rsidRPr="00420DB7">
        <w:t>exemption certificate will be introduced to allow developers to sell dwellings to foreign persons which have been the subject of a failed settlement.</w:t>
      </w:r>
    </w:p>
    <w:p w14:paraId="6DD64F4A" w14:textId="5DE588D7" w:rsidR="00420DB7" w:rsidRDefault="008B648C" w:rsidP="00420DB7">
      <w:pPr>
        <w:pStyle w:val="OutlineNumbered1"/>
      </w:pPr>
      <w:r>
        <w:t xml:space="preserve">The certificate will be </w:t>
      </w:r>
      <w:r w:rsidR="00E85FCC">
        <w:t xml:space="preserve">issued in conjunction with all </w:t>
      </w:r>
      <w:r w:rsidR="00CF38A9">
        <w:t>NDEC</w:t>
      </w:r>
      <w:r w:rsidR="00E85FCC">
        <w:t xml:space="preserve">s and </w:t>
      </w:r>
      <w:r w:rsidR="009D4E79">
        <w:t xml:space="preserve">it is proposed that </w:t>
      </w:r>
      <w:r w:rsidR="00E85FCC">
        <w:t>no additional fee will be charged</w:t>
      </w:r>
      <w:r w:rsidR="00CF38A9">
        <w:t xml:space="preserve">. </w:t>
      </w:r>
    </w:p>
    <w:p w14:paraId="51ACB1BC" w14:textId="6399375F" w:rsidR="008B648C" w:rsidRPr="0079055E" w:rsidRDefault="0059381F" w:rsidP="00360DFB">
      <w:pPr>
        <w:pStyle w:val="Heading5"/>
        <w:rPr>
          <w:rStyle w:val="Heading4Char"/>
          <w:b/>
        </w:rPr>
      </w:pPr>
      <w:r w:rsidRPr="0079055E">
        <w:rPr>
          <w:rStyle w:val="Heading4Char"/>
          <w:b/>
        </w:rPr>
        <w:t xml:space="preserve">Option 4: </w:t>
      </w:r>
      <w:r w:rsidR="008B648C" w:rsidRPr="0079055E">
        <w:rPr>
          <w:rStyle w:val="Heading4Char"/>
          <w:b/>
        </w:rPr>
        <w:t xml:space="preserve"> Amend the treatment of residential land used for commercial purposes</w:t>
      </w:r>
    </w:p>
    <w:p w14:paraId="692B49B1" w14:textId="113D1F87" w:rsidR="008B648C" w:rsidRDefault="00E37169" w:rsidP="008B648C">
      <w:pPr>
        <w:pStyle w:val="OutlineNumbered1"/>
      </w:pPr>
      <w:r>
        <w:t>Amend section 52 of the Regulation so that residential land that is an aged care facility, retirement village or certain student accommodation</w:t>
      </w:r>
      <w:r w:rsidRPr="00E37169">
        <w:t xml:space="preserve"> </w:t>
      </w:r>
      <w:r>
        <w:t>is aligned with the non</w:t>
      </w:r>
      <w:r w:rsidR="007E22CB">
        <w:noBreakHyphen/>
      </w:r>
      <w:r>
        <w:t xml:space="preserve">vacant commercial land </w:t>
      </w:r>
      <w:r w:rsidRPr="00E37169">
        <w:t>screening thresholds</w:t>
      </w:r>
      <w:r>
        <w:t xml:space="preserve"> (either $55 million or $252 million)</w:t>
      </w:r>
      <w:r w:rsidRPr="00E37169">
        <w:t>.</w:t>
      </w:r>
    </w:p>
    <w:p w14:paraId="3CB707AF" w14:textId="77777777" w:rsidR="00E37169" w:rsidRDefault="00E37169" w:rsidP="00E37169">
      <w:pPr>
        <w:pStyle w:val="OutlineNumbered1"/>
      </w:pPr>
      <w:r w:rsidRPr="00E37169">
        <w:t xml:space="preserve">As foreign government investors are subject to a zero dollar screening threshold regardless of the type of property to be acquired, they will still be required to seek approval. This will be retained for purchases of an overall facility. However, </w:t>
      </w:r>
      <w:r w:rsidR="00CF38A9">
        <w:t xml:space="preserve">an exemption from notification will be introduced </w:t>
      </w:r>
      <w:r w:rsidRPr="00E37169">
        <w:t xml:space="preserve">for foreign government investors who are operators of </w:t>
      </w:r>
      <w:r w:rsidR="00E05E0D">
        <w:t>f</w:t>
      </w:r>
      <w:r w:rsidRPr="00E37169">
        <w:t>acilities that utilise a mandatory buyback mechanism</w:t>
      </w:r>
      <w:r w:rsidR="00E05E0D">
        <w:t>.</w:t>
      </w:r>
    </w:p>
    <w:tbl>
      <w:tblPr>
        <w:tblStyle w:val="TableGrid"/>
        <w:tblW w:w="0" w:type="auto"/>
        <w:tblInd w:w="567" w:type="dxa"/>
        <w:tblLook w:val="04A0" w:firstRow="1" w:lastRow="0" w:firstColumn="1" w:lastColumn="0" w:noHBand="0" w:noVBand="1"/>
      </w:tblPr>
      <w:tblGrid>
        <w:gridCol w:w="8719"/>
      </w:tblGrid>
      <w:tr w:rsidR="001A7D6C" w14:paraId="7DCAD508" w14:textId="77777777" w:rsidTr="001A7D6C">
        <w:tc>
          <w:tcPr>
            <w:tcW w:w="9286" w:type="dxa"/>
          </w:tcPr>
          <w:p w14:paraId="74ABCC55" w14:textId="7DD64FDB" w:rsidR="001A7D6C" w:rsidRDefault="001A7D6C" w:rsidP="00D978FE">
            <w:pPr>
              <w:pStyle w:val="Heading5"/>
              <w:outlineLvl w:val="4"/>
            </w:pPr>
            <w:r>
              <w:t xml:space="preserve">Question for consultation: How should student accommodation </w:t>
            </w:r>
            <w:proofErr w:type="gramStart"/>
            <w:r>
              <w:t>be</w:t>
            </w:r>
            <w:proofErr w:type="gramEnd"/>
            <w:r>
              <w:t xml:space="preserve"> defined</w:t>
            </w:r>
            <w:r w:rsidR="007E221E">
              <w:t>?</w:t>
            </w:r>
          </w:p>
        </w:tc>
      </w:tr>
    </w:tbl>
    <w:p w14:paraId="60B1F0D7" w14:textId="12C73B1B" w:rsidR="001A7D6C" w:rsidRDefault="001A7D6C" w:rsidP="00D978FE">
      <w:pPr>
        <w:pStyle w:val="SingleParagraph"/>
      </w:pPr>
    </w:p>
    <w:p w14:paraId="54AE8C21" w14:textId="2251783E" w:rsidR="00E37169" w:rsidRDefault="00E37169" w:rsidP="00E37169">
      <w:pPr>
        <w:pStyle w:val="Heading4"/>
      </w:pPr>
      <w:r>
        <w:t xml:space="preserve">Option </w:t>
      </w:r>
      <w:r w:rsidR="0059381F">
        <w:t>5</w:t>
      </w:r>
      <w:r>
        <w:t xml:space="preserve">: </w:t>
      </w:r>
      <w:r w:rsidR="0059381F">
        <w:t>Introduce</w:t>
      </w:r>
      <w:r>
        <w:t xml:space="preserve"> Option</w:t>
      </w:r>
      <w:r w:rsidR="0059381F">
        <w:t>s</w:t>
      </w:r>
      <w:r>
        <w:t xml:space="preserve"> 2</w:t>
      </w:r>
      <w:r w:rsidR="007E22CB">
        <w:noBreakHyphen/>
      </w:r>
      <w:r w:rsidR="0059381F">
        <w:t>4</w:t>
      </w:r>
    </w:p>
    <w:p w14:paraId="4742B9BC" w14:textId="5BBB073E" w:rsidR="0059381F" w:rsidRDefault="0059381F" w:rsidP="0059381F">
      <w:pPr>
        <w:pStyle w:val="OutlineNumbered1"/>
      </w:pPr>
      <w:r>
        <w:t xml:space="preserve">This option would introduce all of the amendments as outlined above. </w:t>
      </w:r>
    </w:p>
    <w:p w14:paraId="4DFAB232" w14:textId="0084D10B" w:rsidR="00C3544B" w:rsidRDefault="000F352B" w:rsidP="00C3544B">
      <w:pPr>
        <w:pStyle w:val="Heading3"/>
      </w:pPr>
      <w:bookmarkStart w:id="28" w:name="_Toc474922928"/>
      <w:bookmarkStart w:id="29" w:name="_Toc474924147"/>
      <w:bookmarkStart w:id="30" w:name="_Toc476738993"/>
      <w:r>
        <w:t>Cost/</w:t>
      </w:r>
      <w:r w:rsidR="00C3544B">
        <w:t>benefit analysis of each option</w:t>
      </w:r>
      <w:bookmarkEnd w:id="28"/>
      <w:bookmarkEnd w:id="29"/>
      <w:bookmarkEnd w:id="30"/>
    </w:p>
    <w:p w14:paraId="25930334" w14:textId="77777777" w:rsidR="00C3544B" w:rsidRDefault="00C3544B" w:rsidP="00C3544B">
      <w:pPr>
        <w:pStyle w:val="Heading4"/>
      </w:pPr>
      <w:r>
        <w:t>Option 1: No change</w:t>
      </w:r>
    </w:p>
    <w:p w14:paraId="13EEAFF8" w14:textId="77777777" w:rsidR="00C3544B" w:rsidRDefault="00C3544B" w:rsidP="00C3544B">
      <w:pPr>
        <w:pStyle w:val="Heading5"/>
      </w:pPr>
      <w:r>
        <w:t>Benefits</w:t>
      </w:r>
    </w:p>
    <w:p w14:paraId="46E17AE9" w14:textId="77777777" w:rsidR="00C3544B" w:rsidRDefault="00C3544B" w:rsidP="00C3544B">
      <w:pPr>
        <w:pStyle w:val="OutlineNumbered1"/>
      </w:pPr>
      <w:r>
        <w:t xml:space="preserve">The benefit of this option is that there are </w:t>
      </w:r>
      <w:proofErr w:type="gramStart"/>
      <w:r>
        <w:t>no additional regulatory impacts for foreign investors as the current arrangements would not change</w:t>
      </w:r>
      <w:proofErr w:type="gramEnd"/>
      <w:r>
        <w:t>.</w:t>
      </w:r>
    </w:p>
    <w:p w14:paraId="533510DD" w14:textId="77777777" w:rsidR="00C3544B" w:rsidRDefault="00C3544B" w:rsidP="00C3544B">
      <w:pPr>
        <w:pStyle w:val="Heading5"/>
      </w:pPr>
      <w:r>
        <w:t>Costs</w:t>
      </w:r>
    </w:p>
    <w:p w14:paraId="35D4CE6B" w14:textId="121CFCE7" w:rsidR="009F7378" w:rsidRDefault="00C3544B" w:rsidP="00C25DB4">
      <w:pPr>
        <w:pStyle w:val="OutlineNumbered1"/>
      </w:pPr>
      <w:r>
        <w:t xml:space="preserve">This option would not meet the policy objectives of reducing regulatory burden and addressing unintended consequences from the 2015 reforms. Foreign investors would continue to be required to meet screening arrangements that could otherwise be reduced. </w:t>
      </w:r>
    </w:p>
    <w:p w14:paraId="50A00CD0" w14:textId="115D87D9" w:rsidR="00C25DB4" w:rsidRDefault="00C25DB4" w:rsidP="000F352B">
      <w:pPr>
        <w:pStyle w:val="Heading4"/>
      </w:pPr>
      <w:r>
        <w:lastRenderedPageBreak/>
        <w:t xml:space="preserve">Option 2: </w:t>
      </w:r>
      <w:r w:rsidR="001C0CC9">
        <w:t>Introduce a new exemption certificate(s) for new dwellings and vacant residential land</w:t>
      </w:r>
    </w:p>
    <w:p w14:paraId="27187542" w14:textId="511589C8" w:rsidR="00C25DB4" w:rsidRDefault="00C25DB4" w:rsidP="00C25DB4">
      <w:pPr>
        <w:pStyle w:val="OutlineNumbered1"/>
      </w:pPr>
      <w:r>
        <w:t>The benefits of this option are that each of the unintended consequences that have been identified would be addressed.</w:t>
      </w:r>
      <w:r w:rsidR="004007DF">
        <w:t xml:space="preserve"> The regulatory burden would be reduced for foreign investors who only wish to purchase one property. </w:t>
      </w:r>
    </w:p>
    <w:p w14:paraId="7B7AD8DD" w14:textId="30B33EC8" w:rsidR="0013032B" w:rsidRDefault="0013032B" w:rsidP="00D32E11">
      <w:pPr>
        <w:pStyle w:val="OutlineNumbered1"/>
      </w:pPr>
      <w:r>
        <w:t xml:space="preserve">It is assumed that around 100 cases per year would be </w:t>
      </w:r>
      <w:r w:rsidR="00FA299F">
        <w:t>removed</w:t>
      </w:r>
      <w:r>
        <w:t xml:space="preserve"> by introducing the new exemption certificates. This will result in a regulatory cost saving of a</w:t>
      </w:r>
      <w:r w:rsidR="00D32E11">
        <w:t>pproximately $</w:t>
      </w:r>
      <w:r w:rsidR="004F2F82">
        <w:t>1</w:t>
      </w:r>
      <w:r w:rsidR="000C0522">
        <w:t>00</w:t>
      </w:r>
      <w:r w:rsidR="00D32E11">
        <w:t>,</w:t>
      </w:r>
      <w:r w:rsidR="00BA6443">
        <w:t>000</w:t>
      </w:r>
      <w:r w:rsidR="00D32E11">
        <w:t xml:space="preserve"> per year.</w:t>
      </w:r>
    </w:p>
    <w:p w14:paraId="54219E8C" w14:textId="05B845C4" w:rsidR="00D978FE" w:rsidRDefault="00D978FE" w:rsidP="00D978FE">
      <w:pPr>
        <w:pStyle w:val="TableMainHeading"/>
        <w:ind w:left="567"/>
      </w:pPr>
      <w:r>
        <w:t>Average annual regulatory cost saving from business as usual</w:t>
      </w:r>
    </w:p>
    <w:tbl>
      <w:tblPr>
        <w:tblStyle w:val="TableGrid"/>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2165"/>
        <w:gridCol w:w="2166"/>
        <w:gridCol w:w="2166"/>
      </w:tblGrid>
      <w:tr w:rsidR="000F352B" w14:paraId="61C54509" w14:textId="77777777" w:rsidTr="000F352B">
        <w:tc>
          <w:tcPr>
            <w:tcW w:w="2222" w:type="dxa"/>
          </w:tcPr>
          <w:p w14:paraId="69FCC238" w14:textId="20B3D748" w:rsidR="000F352B" w:rsidRDefault="000F352B" w:rsidP="00D978FE">
            <w:pPr>
              <w:pStyle w:val="TableColumnHeadingLeft"/>
            </w:pPr>
            <w:r>
              <w:t>Change in costs</w:t>
            </w:r>
          </w:p>
          <w:p w14:paraId="04BF120A" w14:textId="1BB872B1" w:rsidR="000F352B" w:rsidRDefault="000F352B" w:rsidP="00D978FE">
            <w:pPr>
              <w:pStyle w:val="TableColumnHeadingLeft"/>
            </w:pPr>
            <w:r>
              <w:t>($ million)</w:t>
            </w:r>
          </w:p>
        </w:tc>
        <w:tc>
          <w:tcPr>
            <w:tcW w:w="2165" w:type="dxa"/>
          </w:tcPr>
          <w:p w14:paraId="3123BA1D" w14:textId="14DBA584" w:rsidR="000F352B" w:rsidRDefault="000F352B" w:rsidP="00D978FE">
            <w:pPr>
              <w:pStyle w:val="TableColumnHeadingLeft"/>
            </w:pPr>
            <w:r>
              <w:t>Business</w:t>
            </w:r>
          </w:p>
        </w:tc>
        <w:tc>
          <w:tcPr>
            <w:tcW w:w="2166" w:type="dxa"/>
          </w:tcPr>
          <w:p w14:paraId="42A7B204" w14:textId="49698155" w:rsidR="000F352B" w:rsidRDefault="000F352B" w:rsidP="00D978FE">
            <w:pPr>
              <w:pStyle w:val="TableColumnHeadingLeft"/>
            </w:pPr>
            <w:r>
              <w:t>Individuals</w:t>
            </w:r>
          </w:p>
        </w:tc>
        <w:tc>
          <w:tcPr>
            <w:tcW w:w="2166" w:type="dxa"/>
          </w:tcPr>
          <w:p w14:paraId="3665283C" w14:textId="6F93858C" w:rsidR="000F352B" w:rsidRDefault="000F352B" w:rsidP="00D978FE">
            <w:pPr>
              <w:pStyle w:val="TableColumnHeadingLeft"/>
            </w:pPr>
            <w:r>
              <w:t>Total change</w:t>
            </w:r>
          </w:p>
        </w:tc>
      </w:tr>
      <w:tr w:rsidR="000F352B" w14:paraId="514F4AFE" w14:textId="77777777" w:rsidTr="000F352B">
        <w:tc>
          <w:tcPr>
            <w:tcW w:w="2222" w:type="dxa"/>
          </w:tcPr>
          <w:p w14:paraId="67F64FCC" w14:textId="2A7991D0" w:rsidR="000F352B" w:rsidRDefault="000F352B" w:rsidP="00D978FE">
            <w:pPr>
              <w:pStyle w:val="TableTextLeft"/>
            </w:pPr>
            <w:r>
              <w:t>Total</w:t>
            </w:r>
          </w:p>
        </w:tc>
        <w:tc>
          <w:tcPr>
            <w:tcW w:w="2165" w:type="dxa"/>
          </w:tcPr>
          <w:p w14:paraId="6F6023AB" w14:textId="108FAD5B" w:rsidR="000F352B" w:rsidRPr="005D145D" w:rsidRDefault="00AC2A5B" w:rsidP="00D978FE">
            <w:pPr>
              <w:pStyle w:val="TableTextLeft"/>
              <w:rPr>
                <w:highlight w:val="yellow"/>
              </w:rPr>
            </w:pPr>
            <w:r w:rsidRPr="00AC2A5B">
              <w:t>No change</w:t>
            </w:r>
          </w:p>
        </w:tc>
        <w:tc>
          <w:tcPr>
            <w:tcW w:w="2166" w:type="dxa"/>
          </w:tcPr>
          <w:p w14:paraId="564539CD" w14:textId="62845C13" w:rsidR="000F352B" w:rsidRPr="00212A18" w:rsidRDefault="008D5859" w:rsidP="000C0522">
            <w:pPr>
              <w:pStyle w:val="TableTextLeft"/>
            </w:pPr>
            <w:r>
              <w:t>0.</w:t>
            </w:r>
            <w:r w:rsidR="004F2F82">
              <w:t>1</w:t>
            </w:r>
          </w:p>
        </w:tc>
        <w:tc>
          <w:tcPr>
            <w:tcW w:w="2166" w:type="dxa"/>
          </w:tcPr>
          <w:p w14:paraId="38C74FDB" w14:textId="231E48A4" w:rsidR="000F352B" w:rsidRPr="00212A18" w:rsidRDefault="00B93D88" w:rsidP="000C0522">
            <w:pPr>
              <w:pStyle w:val="TableTextLeft"/>
            </w:pPr>
            <w:r>
              <w:t>0.</w:t>
            </w:r>
            <w:r w:rsidR="004F2F82">
              <w:t>1</w:t>
            </w:r>
            <w:r>
              <w:t xml:space="preserve"> </w:t>
            </w:r>
          </w:p>
        </w:tc>
      </w:tr>
    </w:tbl>
    <w:p w14:paraId="5D9EAEC5" w14:textId="50EC569E" w:rsidR="007C6073" w:rsidRPr="000F352B" w:rsidRDefault="007C6073" w:rsidP="00D978FE">
      <w:pPr>
        <w:pStyle w:val="SingleParagraph"/>
      </w:pPr>
    </w:p>
    <w:p w14:paraId="0367B269" w14:textId="691C0C79" w:rsidR="001C0CC9" w:rsidRPr="001C0CC9" w:rsidRDefault="001C0CC9" w:rsidP="001C0CC9">
      <w:pPr>
        <w:pStyle w:val="Heading4"/>
      </w:pPr>
      <w:r w:rsidRPr="001C0CC9">
        <w:t>Option 3: Introduce a new exemption certificate for failed off</w:t>
      </w:r>
      <w:r w:rsidR="007E22CB">
        <w:noBreakHyphen/>
      </w:r>
      <w:r w:rsidRPr="001C0CC9">
        <w:t>the</w:t>
      </w:r>
      <w:r w:rsidR="007E22CB">
        <w:noBreakHyphen/>
      </w:r>
      <w:r w:rsidRPr="001C0CC9">
        <w:t>plan settlements</w:t>
      </w:r>
    </w:p>
    <w:p w14:paraId="2BA3A059" w14:textId="0AB7D97E" w:rsidR="007C6073" w:rsidRDefault="007C6073" w:rsidP="007C6073">
      <w:pPr>
        <w:pStyle w:val="OutlineNumbered1"/>
      </w:pPr>
      <w:r>
        <w:t xml:space="preserve">Option </w:t>
      </w:r>
      <w:r w:rsidR="009A7A0D">
        <w:t>3</w:t>
      </w:r>
      <w:r>
        <w:t xml:space="preserve"> would introduce a new exemption certificate for failed off</w:t>
      </w:r>
      <w:r w:rsidR="007E22CB">
        <w:noBreakHyphen/>
      </w:r>
      <w:r>
        <w:t>the</w:t>
      </w:r>
      <w:r w:rsidR="007E22CB">
        <w:noBreakHyphen/>
      </w:r>
      <w:r>
        <w:t xml:space="preserve">plan settlements, as announced by the Treasurer on 26 November 2016. This will enable property developers to sell dwellings that have not completed settlement as </w:t>
      </w:r>
      <w:r w:rsidR="007E22CB">
        <w:t>‘</w:t>
      </w:r>
      <w:r>
        <w:t>new dwellings</w:t>
      </w:r>
      <w:r w:rsidR="007E22CB">
        <w:t>’</w:t>
      </w:r>
      <w:r>
        <w:t xml:space="preserve"> to foreign persons.</w:t>
      </w:r>
    </w:p>
    <w:p w14:paraId="429AA2E8" w14:textId="59D67BD4" w:rsidR="009A7A0D" w:rsidRPr="007B265E" w:rsidRDefault="009A7A0D" w:rsidP="007C6073">
      <w:pPr>
        <w:pStyle w:val="OutlineNumbered1"/>
      </w:pPr>
      <w:r w:rsidRPr="007B265E">
        <w:t>As these new exemption certificates will be given in conjunctio</w:t>
      </w:r>
      <w:r w:rsidR="00767A07" w:rsidRPr="007B265E">
        <w:t xml:space="preserve">n with the existing </w:t>
      </w:r>
      <w:r w:rsidR="00A24F30" w:rsidRPr="007B265E">
        <w:t>NDEC and no additional compliance will be required</w:t>
      </w:r>
      <w:r w:rsidR="008B0CFA" w:rsidRPr="007B265E">
        <w:t xml:space="preserve"> </w:t>
      </w:r>
      <w:r w:rsidR="007B265E" w:rsidRPr="007B265E">
        <w:t>upon application</w:t>
      </w:r>
      <w:r w:rsidR="00A24F30" w:rsidRPr="007B265E">
        <w:t xml:space="preserve">, the </w:t>
      </w:r>
      <w:r w:rsidR="007B265E" w:rsidRPr="007B265E">
        <w:t xml:space="preserve">overall </w:t>
      </w:r>
      <w:r w:rsidR="00A24F30" w:rsidRPr="007B265E">
        <w:t xml:space="preserve">regulatory cost is estimated to be </w:t>
      </w:r>
      <w:r w:rsidR="007B265E" w:rsidRPr="007B265E">
        <w:t xml:space="preserve">negligible. </w:t>
      </w:r>
    </w:p>
    <w:p w14:paraId="43BBF901" w14:textId="462D9835" w:rsidR="001C0CC9" w:rsidRPr="001C0CC9" w:rsidRDefault="001C0CC9" w:rsidP="00C601C3">
      <w:pPr>
        <w:pStyle w:val="Heading4"/>
        <w:spacing w:before="240"/>
      </w:pPr>
      <w:r w:rsidRPr="001C0CC9">
        <w:t>Option 4: Amend the treatment of residential land used for commercial purposes</w:t>
      </w:r>
    </w:p>
    <w:p w14:paraId="43530791" w14:textId="20AAF473" w:rsidR="007C6073" w:rsidRDefault="007C6073" w:rsidP="007C6073">
      <w:pPr>
        <w:pStyle w:val="OutlineNumbered1"/>
      </w:pPr>
      <w:r>
        <w:t xml:space="preserve">Option </w:t>
      </w:r>
      <w:r w:rsidR="001C0CC9">
        <w:t>4</w:t>
      </w:r>
      <w:r>
        <w:t xml:space="preserve"> </w:t>
      </w:r>
      <w:r w:rsidR="00021873">
        <w:t>will ensure that residential land that is an aged care facility, retirement village or certain student accommodation</w:t>
      </w:r>
      <w:r w:rsidR="00021873" w:rsidRPr="00E37169">
        <w:t xml:space="preserve"> </w:t>
      </w:r>
      <w:r w:rsidR="00021873">
        <w:t>is aligned with the non</w:t>
      </w:r>
      <w:r w:rsidR="007E22CB">
        <w:noBreakHyphen/>
      </w:r>
      <w:r w:rsidR="00021873">
        <w:t xml:space="preserve">vacant commercial land </w:t>
      </w:r>
      <w:r w:rsidR="00021873" w:rsidRPr="00E37169">
        <w:t>screening thresholds</w:t>
      </w:r>
      <w:r w:rsidR="00021873">
        <w:t xml:space="preserve"> (either $55 million or $252 million). </w:t>
      </w:r>
      <w:r w:rsidR="00AC2A5B">
        <w:t>All</w:t>
      </w:r>
      <w:r w:rsidR="0013032B">
        <w:t xml:space="preserve"> investors</w:t>
      </w:r>
      <w:r w:rsidR="00AC2A5B">
        <w:t>, including foreign</w:t>
      </w:r>
      <w:r w:rsidR="0013032B">
        <w:t xml:space="preserve"> government investors</w:t>
      </w:r>
      <w:r w:rsidR="00AC2A5B">
        <w:t>,</w:t>
      </w:r>
      <w:r w:rsidR="0013032B">
        <w:t xml:space="preserve"> will also be exempt from notification where they make purchases as the operator of a facility that are of a mandatory buyback nature. </w:t>
      </w:r>
      <w:r w:rsidR="001C0CC9">
        <w:t xml:space="preserve">This will reduce regulatory burden for transactions that are </w:t>
      </w:r>
      <w:r w:rsidR="00A77943">
        <w:t>routine commercial transactions</w:t>
      </w:r>
      <w:r w:rsidR="001C0CC9">
        <w:t xml:space="preserve">. </w:t>
      </w:r>
    </w:p>
    <w:p w14:paraId="02533F46" w14:textId="74230BD9" w:rsidR="00AC2A5B" w:rsidRDefault="00FA299F" w:rsidP="007C6073">
      <w:pPr>
        <w:pStyle w:val="OutlineNumbered1"/>
      </w:pPr>
      <w:r>
        <w:t>It is assumed that around 10 cases per year would be removed and that these cases would have costs in line with an average business application. This will result in a regulatory cost saving of approximately $</w:t>
      </w:r>
      <w:r w:rsidR="000C0522">
        <w:t>300</w:t>
      </w:r>
      <w:r w:rsidR="003C118D">
        <w:t>,000</w:t>
      </w:r>
      <w:r>
        <w:t xml:space="preserve"> per year.</w:t>
      </w:r>
    </w:p>
    <w:p w14:paraId="2E9E3D2A" w14:textId="42EF78CE" w:rsidR="00D978FE" w:rsidRDefault="00D978FE" w:rsidP="00D978FE">
      <w:pPr>
        <w:pStyle w:val="TableMainHeading"/>
        <w:ind w:left="567"/>
      </w:pPr>
      <w:r w:rsidRPr="005D145D">
        <w:t>Average annual regulatory cost saving from business as usual</w:t>
      </w:r>
    </w:p>
    <w:tbl>
      <w:tblPr>
        <w:tblStyle w:val="TableGrid"/>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2165"/>
        <w:gridCol w:w="2166"/>
        <w:gridCol w:w="2166"/>
      </w:tblGrid>
      <w:tr w:rsidR="005D145D" w:rsidRPr="005D145D" w14:paraId="13FDEB8B" w14:textId="77777777" w:rsidTr="00E51657">
        <w:tc>
          <w:tcPr>
            <w:tcW w:w="2222" w:type="dxa"/>
          </w:tcPr>
          <w:p w14:paraId="7A2CA246" w14:textId="77777777" w:rsidR="005D145D" w:rsidRPr="005D145D" w:rsidRDefault="005D145D" w:rsidP="00D978FE">
            <w:pPr>
              <w:pStyle w:val="TableColumnHeadingLeft"/>
            </w:pPr>
            <w:r w:rsidRPr="005D145D">
              <w:t>Change in costs</w:t>
            </w:r>
          </w:p>
          <w:p w14:paraId="1D5A5829" w14:textId="77777777" w:rsidR="005D145D" w:rsidRPr="005D145D" w:rsidRDefault="005D145D" w:rsidP="00D978FE">
            <w:pPr>
              <w:pStyle w:val="TableColumnHeadingLeft"/>
            </w:pPr>
            <w:r w:rsidRPr="005D145D">
              <w:t>($ million)</w:t>
            </w:r>
          </w:p>
        </w:tc>
        <w:tc>
          <w:tcPr>
            <w:tcW w:w="2165" w:type="dxa"/>
          </w:tcPr>
          <w:p w14:paraId="2DF4D29F" w14:textId="77777777" w:rsidR="005D145D" w:rsidRPr="005D145D" w:rsidRDefault="005D145D" w:rsidP="00D978FE">
            <w:pPr>
              <w:pStyle w:val="TableColumnHeadingLeft"/>
            </w:pPr>
            <w:r w:rsidRPr="005D145D">
              <w:t>Business</w:t>
            </w:r>
          </w:p>
        </w:tc>
        <w:tc>
          <w:tcPr>
            <w:tcW w:w="2166" w:type="dxa"/>
          </w:tcPr>
          <w:p w14:paraId="2440DA4E" w14:textId="77777777" w:rsidR="005D145D" w:rsidRPr="005D145D" w:rsidRDefault="005D145D" w:rsidP="00D978FE">
            <w:pPr>
              <w:pStyle w:val="TableColumnHeadingLeft"/>
            </w:pPr>
            <w:r w:rsidRPr="005D145D">
              <w:t>Individuals</w:t>
            </w:r>
          </w:p>
        </w:tc>
        <w:tc>
          <w:tcPr>
            <w:tcW w:w="2166" w:type="dxa"/>
          </w:tcPr>
          <w:p w14:paraId="6703B32E" w14:textId="77777777" w:rsidR="005D145D" w:rsidRPr="005D145D" w:rsidRDefault="005D145D" w:rsidP="00D978FE">
            <w:pPr>
              <w:pStyle w:val="TableColumnHeadingLeft"/>
            </w:pPr>
            <w:r w:rsidRPr="005D145D">
              <w:t>Total change</w:t>
            </w:r>
          </w:p>
        </w:tc>
      </w:tr>
      <w:tr w:rsidR="005D145D" w:rsidRPr="005D145D" w14:paraId="31BEC60D" w14:textId="77777777" w:rsidTr="00E51657">
        <w:tc>
          <w:tcPr>
            <w:tcW w:w="2222" w:type="dxa"/>
          </w:tcPr>
          <w:p w14:paraId="0F41E254" w14:textId="77777777" w:rsidR="005D145D" w:rsidRPr="00AC2A5B" w:rsidRDefault="005D145D" w:rsidP="00D978FE">
            <w:pPr>
              <w:pStyle w:val="TableTextLeft"/>
            </w:pPr>
            <w:r w:rsidRPr="00AC2A5B">
              <w:t>Total</w:t>
            </w:r>
          </w:p>
        </w:tc>
        <w:tc>
          <w:tcPr>
            <w:tcW w:w="2165" w:type="dxa"/>
          </w:tcPr>
          <w:p w14:paraId="6D947825" w14:textId="51444E22" w:rsidR="005D145D" w:rsidRPr="00AC2A5B" w:rsidRDefault="00BA6443" w:rsidP="00D978FE">
            <w:pPr>
              <w:pStyle w:val="TableTextLeft"/>
            </w:pPr>
            <w:r>
              <w:t>0.</w:t>
            </w:r>
            <w:r w:rsidR="000C0522">
              <w:t>3</w:t>
            </w:r>
          </w:p>
        </w:tc>
        <w:tc>
          <w:tcPr>
            <w:tcW w:w="2166" w:type="dxa"/>
          </w:tcPr>
          <w:p w14:paraId="73D21627" w14:textId="06B301C5" w:rsidR="005D145D" w:rsidRPr="00AC2A5B" w:rsidRDefault="00AC2A5B" w:rsidP="00D978FE">
            <w:pPr>
              <w:pStyle w:val="TableTextLeft"/>
            </w:pPr>
            <w:r w:rsidRPr="00AC2A5B">
              <w:t>No change</w:t>
            </w:r>
          </w:p>
        </w:tc>
        <w:tc>
          <w:tcPr>
            <w:tcW w:w="2166" w:type="dxa"/>
          </w:tcPr>
          <w:p w14:paraId="5DA8D9F7" w14:textId="0A19FA56" w:rsidR="005D145D" w:rsidRPr="00AC2A5B" w:rsidRDefault="00CD7F32" w:rsidP="00D978FE">
            <w:pPr>
              <w:pStyle w:val="TableTextLeft"/>
            </w:pPr>
            <w:r>
              <w:t>$</w:t>
            </w:r>
            <w:r w:rsidR="00BA6443">
              <w:t>0.</w:t>
            </w:r>
            <w:r w:rsidR="000C0522">
              <w:t>3</w:t>
            </w:r>
          </w:p>
        </w:tc>
      </w:tr>
    </w:tbl>
    <w:p w14:paraId="05834C6D" w14:textId="187618EE" w:rsidR="00E91918" w:rsidRDefault="00E91918" w:rsidP="00D978FE">
      <w:pPr>
        <w:pStyle w:val="SingleParagraph"/>
      </w:pPr>
    </w:p>
    <w:p w14:paraId="05A72A3F" w14:textId="77777777" w:rsidR="00E91918" w:rsidRDefault="00E91918">
      <w:pPr>
        <w:spacing w:after="0" w:line="240" w:lineRule="auto"/>
        <w:jc w:val="left"/>
      </w:pPr>
      <w:r>
        <w:br w:type="page"/>
      </w:r>
    </w:p>
    <w:p w14:paraId="2487CEA1" w14:textId="506623EC" w:rsidR="00875C21" w:rsidRDefault="001218CF" w:rsidP="001218CF">
      <w:pPr>
        <w:pStyle w:val="Heading4"/>
      </w:pPr>
      <w:r w:rsidRPr="001218CF">
        <w:rPr>
          <w:rFonts w:ascii="Book Antiqua" w:hAnsi="Book Antiqua"/>
          <w:b w:val="0"/>
          <w:bCs w:val="0"/>
          <w:color w:val="000000"/>
          <w:szCs w:val="20"/>
        </w:rPr>
        <w:lastRenderedPageBreak/>
        <w:t xml:space="preserve"> </w:t>
      </w:r>
      <w:r w:rsidR="00273EBF">
        <w:t>Option 5</w:t>
      </w:r>
      <w:r w:rsidR="00875C21">
        <w:t xml:space="preserve">: </w:t>
      </w:r>
      <w:r w:rsidR="00273EBF">
        <w:t>Introduce Options 2</w:t>
      </w:r>
      <w:r w:rsidR="007E22CB">
        <w:noBreakHyphen/>
      </w:r>
      <w:r w:rsidR="00273EBF">
        <w:t>4</w:t>
      </w:r>
    </w:p>
    <w:p w14:paraId="2DE21D45" w14:textId="475260AA" w:rsidR="007E2FFF" w:rsidRDefault="007E2FFF" w:rsidP="007E2FFF">
      <w:pPr>
        <w:pStyle w:val="OutlineNumbered1"/>
      </w:pPr>
      <w:r>
        <w:t>The benefits of Option 5 are the same as the combined benefits for Options 2</w:t>
      </w:r>
      <w:r w:rsidR="007E22CB">
        <w:noBreakHyphen/>
      </w:r>
      <w:r>
        <w:t>4.</w:t>
      </w:r>
    </w:p>
    <w:p w14:paraId="5836090E" w14:textId="1778710B" w:rsidR="00D978FE" w:rsidRDefault="00D978FE" w:rsidP="00D978FE">
      <w:pPr>
        <w:pStyle w:val="TableMainHeading"/>
        <w:ind w:left="567"/>
      </w:pPr>
      <w:r w:rsidRPr="007E2FFF">
        <w:t>Average annual regulatory cost saving from business as usual</w:t>
      </w:r>
    </w:p>
    <w:tbl>
      <w:tblPr>
        <w:tblStyle w:val="TableGrid"/>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2165"/>
        <w:gridCol w:w="2166"/>
        <w:gridCol w:w="2166"/>
      </w:tblGrid>
      <w:tr w:rsidR="007E2FFF" w:rsidRPr="007E2FFF" w14:paraId="57CE87D8" w14:textId="77777777" w:rsidTr="007A1EA1">
        <w:trPr>
          <w:cantSplit/>
        </w:trPr>
        <w:tc>
          <w:tcPr>
            <w:tcW w:w="2222" w:type="dxa"/>
          </w:tcPr>
          <w:p w14:paraId="715E0B41" w14:textId="77777777" w:rsidR="007E2FFF" w:rsidRPr="007E2FFF" w:rsidRDefault="007E2FFF" w:rsidP="00D978FE">
            <w:pPr>
              <w:pStyle w:val="TableColumnHeadingLeft"/>
            </w:pPr>
            <w:r w:rsidRPr="007E2FFF">
              <w:t>Change in costs</w:t>
            </w:r>
          </w:p>
          <w:p w14:paraId="3FE2B4CC" w14:textId="77777777" w:rsidR="007E2FFF" w:rsidRPr="007E2FFF" w:rsidRDefault="007E2FFF" w:rsidP="00D978FE">
            <w:pPr>
              <w:pStyle w:val="TableColumnHeadingLeft"/>
            </w:pPr>
            <w:r w:rsidRPr="007E2FFF">
              <w:t>($ million)</w:t>
            </w:r>
          </w:p>
        </w:tc>
        <w:tc>
          <w:tcPr>
            <w:tcW w:w="2165" w:type="dxa"/>
          </w:tcPr>
          <w:p w14:paraId="773EDD6F" w14:textId="77777777" w:rsidR="007E2FFF" w:rsidRPr="007E2FFF" w:rsidRDefault="007E2FFF" w:rsidP="00D978FE">
            <w:pPr>
              <w:pStyle w:val="TableColumnHeadingLeft"/>
            </w:pPr>
            <w:r w:rsidRPr="007E2FFF">
              <w:t>Business</w:t>
            </w:r>
          </w:p>
        </w:tc>
        <w:tc>
          <w:tcPr>
            <w:tcW w:w="2166" w:type="dxa"/>
          </w:tcPr>
          <w:p w14:paraId="41C1D7AC" w14:textId="77777777" w:rsidR="007E2FFF" w:rsidRPr="007E2FFF" w:rsidRDefault="007E2FFF" w:rsidP="00D978FE">
            <w:pPr>
              <w:pStyle w:val="TableColumnHeadingLeft"/>
            </w:pPr>
            <w:r w:rsidRPr="007E2FFF">
              <w:t>Individuals</w:t>
            </w:r>
          </w:p>
        </w:tc>
        <w:tc>
          <w:tcPr>
            <w:tcW w:w="2166" w:type="dxa"/>
          </w:tcPr>
          <w:p w14:paraId="447BADFC" w14:textId="77777777" w:rsidR="007E2FFF" w:rsidRPr="007E2FFF" w:rsidRDefault="007E2FFF" w:rsidP="00D978FE">
            <w:pPr>
              <w:pStyle w:val="TableColumnHeadingLeft"/>
            </w:pPr>
            <w:r w:rsidRPr="007E2FFF">
              <w:t>Total change</w:t>
            </w:r>
          </w:p>
        </w:tc>
      </w:tr>
      <w:tr w:rsidR="003C118D" w:rsidRPr="007E2FFF" w14:paraId="45CD27DC" w14:textId="77777777" w:rsidTr="00E51657">
        <w:tc>
          <w:tcPr>
            <w:tcW w:w="2222" w:type="dxa"/>
          </w:tcPr>
          <w:p w14:paraId="293E4781" w14:textId="77777777" w:rsidR="003C118D" w:rsidRPr="00AC2A5B" w:rsidRDefault="003C118D" w:rsidP="00D978FE">
            <w:pPr>
              <w:pStyle w:val="TableTextLeft"/>
            </w:pPr>
            <w:r w:rsidRPr="00AC2A5B">
              <w:t>Total</w:t>
            </w:r>
          </w:p>
        </w:tc>
        <w:tc>
          <w:tcPr>
            <w:tcW w:w="2165" w:type="dxa"/>
          </w:tcPr>
          <w:p w14:paraId="5549F821" w14:textId="6950FB06" w:rsidR="003C118D" w:rsidRPr="00AC2A5B" w:rsidRDefault="003C118D" w:rsidP="00D978FE">
            <w:pPr>
              <w:pStyle w:val="TableTextLeft"/>
            </w:pPr>
            <w:r>
              <w:t>0.</w:t>
            </w:r>
            <w:r w:rsidR="000C0522">
              <w:t>3</w:t>
            </w:r>
          </w:p>
        </w:tc>
        <w:tc>
          <w:tcPr>
            <w:tcW w:w="2166" w:type="dxa"/>
          </w:tcPr>
          <w:p w14:paraId="11C0E2C8" w14:textId="2A363E42" w:rsidR="003C118D" w:rsidRPr="00AC2A5B" w:rsidRDefault="000C0522" w:rsidP="00D978FE">
            <w:pPr>
              <w:pStyle w:val="TableTextLeft"/>
            </w:pPr>
            <w:r>
              <w:t>0.1</w:t>
            </w:r>
          </w:p>
        </w:tc>
        <w:tc>
          <w:tcPr>
            <w:tcW w:w="2166" w:type="dxa"/>
          </w:tcPr>
          <w:p w14:paraId="2FC8CF80" w14:textId="29918B1C" w:rsidR="003C118D" w:rsidRPr="00AC2A5B" w:rsidRDefault="000C0522" w:rsidP="00D978FE">
            <w:pPr>
              <w:pStyle w:val="TableTextLeft"/>
            </w:pPr>
            <w:r>
              <w:t>$0.4</w:t>
            </w:r>
          </w:p>
        </w:tc>
      </w:tr>
    </w:tbl>
    <w:p w14:paraId="1793382A" w14:textId="77777777" w:rsidR="007E2FFF" w:rsidRPr="007E2FFF" w:rsidRDefault="007E2FFF" w:rsidP="007A1EA1">
      <w:pPr>
        <w:pStyle w:val="SingleParagraph"/>
      </w:pPr>
    </w:p>
    <w:p w14:paraId="72960D63" w14:textId="169F20E6" w:rsidR="00E40519" w:rsidRDefault="00E40519" w:rsidP="00E40519">
      <w:pPr>
        <w:pStyle w:val="Heading2"/>
      </w:pPr>
      <w:bookmarkStart w:id="31" w:name="_Toc476738994"/>
      <w:r>
        <w:t>2. Non</w:t>
      </w:r>
      <w:r w:rsidR="007E22CB">
        <w:noBreakHyphen/>
      </w:r>
      <w:r>
        <w:t>vacant commercial land</w:t>
      </w:r>
      <w:bookmarkEnd w:id="31"/>
    </w:p>
    <w:p w14:paraId="018C83B5" w14:textId="77777777" w:rsidR="00E40519" w:rsidRDefault="00E40519" w:rsidP="00E40519">
      <w:pPr>
        <w:pStyle w:val="Heading3"/>
      </w:pPr>
      <w:bookmarkStart w:id="32" w:name="_Toc474922930"/>
      <w:bookmarkStart w:id="33" w:name="_Toc474924149"/>
      <w:bookmarkStart w:id="34" w:name="_Toc476738995"/>
      <w:r>
        <w:t>Background</w:t>
      </w:r>
      <w:bookmarkEnd w:id="32"/>
      <w:bookmarkEnd w:id="33"/>
      <w:bookmarkEnd w:id="34"/>
    </w:p>
    <w:p w14:paraId="06A56A15" w14:textId="19CF3BD2" w:rsidR="00B30E86" w:rsidRDefault="00CF38A9" w:rsidP="00B30E86">
      <w:pPr>
        <w:pStyle w:val="OutlineNumbered1"/>
      </w:pPr>
      <w:r>
        <w:t>Part of the policy intent of the 2</w:t>
      </w:r>
      <w:r w:rsidR="00B30E86" w:rsidRPr="00B30E86">
        <w:t>015 reform</w:t>
      </w:r>
      <w:r>
        <w:t>s</w:t>
      </w:r>
      <w:r w:rsidR="00B30E86" w:rsidRPr="00B30E86">
        <w:t xml:space="preserve"> was to reduce the number of routine cases from the system. </w:t>
      </w:r>
      <w:r w:rsidR="00357421">
        <w:t xml:space="preserve">This included raising the </w:t>
      </w:r>
      <w:r w:rsidR="00B30E86" w:rsidRPr="00B30E86">
        <w:t xml:space="preserve">monetary screening threshold for </w:t>
      </w:r>
      <w:r w:rsidR="00B30E86">
        <w:t>non</w:t>
      </w:r>
      <w:r w:rsidR="007E22CB">
        <w:noBreakHyphen/>
      </w:r>
      <w:r w:rsidR="00B30E86">
        <w:t>vacant</w:t>
      </w:r>
      <w:r w:rsidR="00B30E86" w:rsidRPr="00B30E86">
        <w:t xml:space="preserve"> commercial land from $55 million to $252 million</w:t>
      </w:r>
      <w:r w:rsidR="00B30E86">
        <w:t xml:space="preserve"> (a </w:t>
      </w:r>
      <w:r w:rsidR="00B30E86" w:rsidRPr="00B30E86">
        <w:t xml:space="preserve">$1,094 million </w:t>
      </w:r>
      <w:r w:rsidR="00B30E86">
        <w:t xml:space="preserve">threshold applies </w:t>
      </w:r>
      <w:r w:rsidR="00B30E86" w:rsidRPr="00B30E86">
        <w:t>for agreement country investors</w:t>
      </w:r>
      <w:r w:rsidR="00B30E86">
        <w:rPr>
          <w:rStyle w:val="FootnoteReference"/>
        </w:rPr>
        <w:footnoteReference w:id="2"/>
      </w:r>
      <w:r w:rsidR="00B30E86">
        <w:t>)</w:t>
      </w:r>
      <w:r w:rsidR="00B30E86" w:rsidRPr="00B30E86">
        <w:t>.</w:t>
      </w:r>
    </w:p>
    <w:p w14:paraId="12E36B5E" w14:textId="77777777" w:rsidR="00B30E86" w:rsidRDefault="00B27551" w:rsidP="00B30E86">
      <w:pPr>
        <w:pStyle w:val="OutlineNumbered2"/>
      </w:pPr>
      <w:r>
        <w:t>F</w:t>
      </w:r>
      <w:r w:rsidR="00B30E86" w:rsidRPr="00B30E86">
        <w:t xml:space="preserve">oreign government investors are required to notify before acquiring any interest in </w:t>
      </w:r>
      <w:r>
        <w:t>Australian</w:t>
      </w:r>
      <w:r w:rsidR="00B30E86" w:rsidRPr="00B30E86">
        <w:t xml:space="preserve"> land, regardless of the value and their country of origin.</w:t>
      </w:r>
    </w:p>
    <w:p w14:paraId="399ABBEB" w14:textId="0A9279CD" w:rsidR="00B30E86" w:rsidRDefault="00B30E86" w:rsidP="00B30E86">
      <w:pPr>
        <w:pStyle w:val="OutlineNumbered1"/>
      </w:pPr>
      <w:r w:rsidRPr="00B30E86">
        <w:t xml:space="preserve">However, </w:t>
      </w:r>
      <w:r w:rsidR="00B27551">
        <w:t>non</w:t>
      </w:r>
      <w:r w:rsidR="007E22CB">
        <w:noBreakHyphen/>
      </w:r>
      <w:r w:rsidR="00B27551">
        <w:t>vacant commercial land has a lower $55 million screening threshold if the requirements for t</w:t>
      </w:r>
      <w:r w:rsidR="00357421">
        <w:t>he</w:t>
      </w:r>
      <w:r w:rsidR="00B27551">
        <w:t xml:space="preserve"> lower threshold are met. </w:t>
      </w:r>
      <w:r w:rsidR="00E51657">
        <w:t>Land that is subject to the l</w:t>
      </w:r>
      <w:r w:rsidR="00B27551">
        <w:t xml:space="preserve">ower threshold land </w:t>
      </w:r>
      <w:r w:rsidR="00357421">
        <w:t xml:space="preserve">is considered sensitive and </w:t>
      </w:r>
      <w:r w:rsidR="00B27551">
        <w:t xml:space="preserve">includes </w:t>
      </w:r>
      <w:r w:rsidRPr="00B30E86">
        <w:t>land under prescribed airspace, buildings where all or part of the building will be leased to an Australian government agency or body, or land where public infrastructure will be located.</w:t>
      </w:r>
      <w:r w:rsidR="00E51657">
        <w:t xml:space="preserve"> The full definition of sensitive land is included at sub</w:t>
      </w:r>
      <w:r w:rsidR="007E22CB">
        <w:noBreakHyphen/>
      </w:r>
      <w:r w:rsidR="00E51657">
        <w:t xml:space="preserve">section 52(6) of the Regulation. </w:t>
      </w:r>
    </w:p>
    <w:p w14:paraId="00280280" w14:textId="17509704" w:rsidR="00B30E86" w:rsidRDefault="001F3FED" w:rsidP="00B30E86">
      <w:pPr>
        <w:pStyle w:val="Heading3"/>
      </w:pPr>
      <w:bookmarkStart w:id="35" w:name="_Toc474922931"/>
      <w:bookmarkStart w:id="36" w:name="_Toc474924150"/>
      <w:bookmarkStart w:id="37" w:name="_Toc476738996"/>
      <w:r>
        <w:t>The p</w:t>
      </w:r>
      <w:r w:rsidR="00B30E86">
        <w:t>roblem</w:t>
      </w:r>
      <w:bookmarkEnd w:id="35"/>
      <w:bookmarkEnd w:id="36"/>
      <w:bookmarkEnd w:id="37"/>
    </w:p>
    <w:p w14:paraId="19F49562" w14:textId="3FA1B52A" w:rsidR="00360DFB" w:rsidRPr="00360DFB" w:rsidRDefault="00B27551" w:rsidP="00360DFB">
      <w:pPr>
        <w:pStyle w:val="OutlineNumbered1"/>
        <w:rPr>
          <w:b/>
          <w:bCs/>
        </w:rPr>
      </w:pPr>
      <w:r>
        <w:t>In practice, the lower threshold land definition has had the effect of ca</w:t>
      </w:r>
      <w:r w:rsidR="000C0522">
        <w:t>pturing</w:t>
      </w:r>
      <w:r w:rsidR="0099399E">
        <w:t xml:space="preserve"> more </w:t>
      </w:r>
      <w:r w:rsidR="00360DFB" w:rsidRPr="00360DFB">
        <w:t xml:space="preserve">applications </w:t>
      </w:r>
      <w:r w:rsidR="0099399E">
        <w:t>than intended when developing the 2015 reforms</w:t>
      </w:r>
      <w:r w:rsidR="00360DFB" w:rsidRPr="00360DFB">
        <w:t xml:space="preserve">. This is imposing an unnecessary regulatory </w:t>
      </w:r>
      <w:r w:rsidR="002874E8">
        <w:t>burden on applicants and diverting</w:t>
      </w:r>
      <w:r w:rsidR="00360DFB" w:rsidRPr="00360DFB">
        <w:t xml:space="preserve"> screening resources from potentially more sensitive cases.</w:t>
      </w:r>
    </w:p>
    <w:p w14:paraId="5713A2E0" w14:textId="54CE4E05" w:rsidR="00360DFB" w:rsidRPr="00360DFB" w:rsidRDefault="00360DFB" w:rsidP="00360DFB">
      <w:pPr>
        <w:pStyle w:val="OutlineNumbered1"/>
        <w:rPr>
          <w:b/>
          <w:bCs/>
        </w:rPr>
      </w:pPr>
      <w:r w:rsidRPr="00360DFB">
        <w:t xml:space="preserve">In particular, the inclusion of </w:t>
      </w:r>
      <w:r w:rsidR="007E22CB">
        <w:t>‘</w:t>
      </w:r>
      <w:r w:rsidRPr="00360DFB">
        <w:t>land under prescribed airspace</w:t>
      </w:r>
      <w:r w:rsidR="007E22CB">
        <w:t>’</w:t>
      </w:r>
      <w:r w:rsidRPr="00360DFB">
        <w:t xml:space="preserve"> in the definition means that most buildings in capital cities are subject to the lower threshold. For example, land under prescribed airspace in Sydney stretches from Newcastle to Wollongong. </w:t>
      </w:r>
    </w:p>
    <w:p w14:paraId="18C934DD" w14:textId="4D5E4BF8" w:rsidR="00B30E86" w:rsidRDefault="00360DFB" w:rsidP="00360DFB">
      <w:pPr>
        <w:pStyle w:val="OutlineNumbered1"/>
      </w:pPr>
      <w:r w:rsidRPr="00360DFB">
        <w:t xml:space="preserve">Stakeholders have raised concerns that the lower threshold is </w:t>
      </w:r>
      <w:r w:rsidR="00376B6B">
        <w:t xml:space="preserve">placing an unnecessary regulatory burden on investment, </w:t>
      </w:r>
      <w:r w:rsidRPr="00360DFB">
        <w:t>particularly because of the prescribed airspace element.</w:t>
      </w:r>
    </w:p>
    <w:p w14:paraId="79FDBBD4" w14:textId="77777777" w:rsidR="00360DFB" w:rsidRDefault="00360DFB" w:rsidP="00360DFB">
      <w:pPr>
        <w:pStyle w:val="Heading3"/>
      </w:pPr>
      <w:bookmarkStart w:id="38" w:name="_Toc474922932"/>
      <w:bookmarkStart w:id="39" w:name="_Toc474924151"/>
      <w:bookmarkStart w:id="40" w:name="_Toc476738997"/>
      <w:r>
        <w:lastRenderedPageBreak/>
        <w:t>Case for government action</w:t>
      </w:r>
      <w:bookmarkEnd w:id="38"/>
      <w:bookmarkEnd w:id="39"/>
      <w:bookmarkEnd w:id="40"/>
    </w:p>
    <w:p w14:paraId="161BA10A" w14:textId="23D5D473" w:rsidR="00360DFB" w:rsidRDefault="00E479D0" w:rsidP="00360DFB">
      <w:pPr>
        <w:pStyle w:val="OutlineNumbered1"/>
      </w:pPr>
      <w:r>
        <w:t>The low</w:t>
      </w:r>
      <w:r w:rsidR="007E22CB">
        <w:noBreakHyphen/>
      </w:r>
      <w:r>
        <w:t xml:space="preserve">threshold land definition is not operating in accordance with the intent of the 2015 reforms to remove routine cases from the system and is creating unnecessary regulatory burden. </w:t>
      </w:r>
      <w:r w:rsidR="00B27551">
        <w:t xml:space="preserve">Government action is required to </w:t>
      </w:r>
      <w:r>
        <w:t xml:space="preserve">review the current </w:t>
      </w:r>
      <w:r w:rsidR="00B27551">
        <w:t xml:space="preserve">arrangements </w:t>
      </w:r>
      <w:r>
        <w:t>and better align them with the intended policy outcome.</w:t>
      </w:r>
    </w:p>
    <w:p w14:paraId="3CFDBB33" w14:textId="6ED564B5" w:rsidR="00E479D0" w:rsidRDefault="001F3FED" w:rsidP="00E479D0">
      <w:pPr>
        <w:pStyle w:val="Heading3"/>
      </w:pPr>
      <w:bookmarkStart w:id="41" w:name="_Toc474922933"/>
      <w:bookmarkStart w:id="42" w:name="_Toc474924152"/>
      <w:bookmarkStart w:id="43" w:name="_Toc476738998"/>
      <w:r>
        <w:t>Policy o</w:t>
      </w:r>
      <w:r w:rsidR="00E479D0">
        <w:t>ptions</w:t>
      </w:r>
      <w:bookmarkEnd w:id="41"/>
      <w:bookmarkEnd w:id="42"/>
      <w:bookmarkEnd w:id="43"/>
    </w:p>
    <w:p w14:paraId="6D0360B3" w14:textId="77777777" w:rsidR="00E479D0" w:rsidRDefault="00E479D0" w:rsidP="00E479D0">
      <w:pPr>
        <w:pStyle w:val="Heading4"/>
      </w:pPr>
      <w:r>
        <w:t>Option 1: No change</w:t>
      </w:r>
    </w:p>
    <w:p w14:paraId="35A1B6AD" w14:textId="2D84E43E" w:rsidR="00E479D0" w:rsidRDefault="00E479D0" w:rsidP="00E479D0">
      <w:pPr>
        <w:pStyle w:val="OutlineNumbered1"/>
      </w:pPr>
      <w:r>
        <w:t xml:space="preserve">This option would see no change to the current definition of </w:t>
      </w:r>
      <w:r w:rsidR="007E22CB">
        <w:t>‘</w:t>
      </w:r>
      <w:r>
        <w:t>low</w:t>
      </w:r>
      <w:r w:rsidR="007E22CB">
        <w:noBreakHyphen/>
      </w:r>
      <w:r>
        <w:t>threshold</w:t>
      </w:r>
      <w:r w:rsidR="007E22CB">
        <w:t>’</w:t>
      </w:r>
      <w:r>
        <w:t xml:space="preserve"> non</w:t>
      </w:r>
      <w:r w:rsidR="007E22CB">
        <w:noBreakHyphen/>
      </w:r>
      <w:r>
        <w:t xml:space="preserve">vacant commercial land. </w:t>
      </w:r>
    </w:p>
    <w:p w14:paraId="17E9EA3C" w14:textId="23FD7E31" w:rsidR="00E479D0" w:rsidRDefault="00E479D0" w:rsidP="00E479D0">
      <w:pPr>
        <w:pStyle w:val="Heading4"/>
      </w:pPr>
      <w:r>
        <w:t xml:space="preserve">Option 2: Narrow the scope of the </w:t>
      </w:r>
      <w:r w:rsidR="007E22CB">
        <w:t>‘</w:t>
      </w:r>
      <w:r>
        <w:t>low</w:t>
      </w:r>
      <w:r w:rsidR="007E22CB">
        <w:noBreakHyphen/>
      </w:r>
      <w:r>
        <w:t>threshold</w:t>
      </w:r>
      <w:r w:rsidR="007E22CB">
        <w:t>’</w:t>
      </w:r>
      <w:r>
        <w:t xml:space="preserve"> non</w:t>
      </w:r>
      <w:r w:rsidR="007E22CB">
        <w:noBreakHyphen/>
      </w:r>
      <w:r>
        <w:t>vacant commercial land definition</w:t>
      </w:r>
    </w:p>
    <w:p w14:paraId="3987620B" w14:textId="5BDD615D" w:rsidR="00E479D0" w:rsidRDefault="003B1DC3" w:rsidP="005D6AE6">
      <w:pPr>
        <w:pStyle w:val="OutlineNumbered1"/>
      </w:pPr>
      <w:r>
        <w:t xml:space="preserve">Under this option the scope of the </w:t>
      </w:r>
      <w:r w:rsidR="007E22CB">
        <w:t>‘</w:t>
      </w:r>
      <w:r>
        <w:t>low</w:t>
      </w:r>
      <w:r w:rsidR="007E22CB">
        <w:noBreakHyphen/>
      </w:r>
      <w:r>
        <w:t>threshold</w:t>
      </w:r>
      <w:r w:rsidR="007E22CB">
        <w:t>’</w:t>
      </w:r>
      <w:r>
        <w:t xml:space="preserve"> non</w:t>
      </w:r>
      <w:r w:rsidR="007E22CB">
        <w:noBreakHyphen/>
      </w:r>
      <w:r>
        <w:t xml:space="preserve">vacant commercial land definition would be narrowed. In particular </w:t>
      </w:r>
      <w:r w:rsidR="007E22CB">
        <w:t>‘</w:t>
      </w:r>
      <w:r w:rsidR="00E479D0" w:rsidRPr="00E479D0">
        <w:t>land under prescribed airspace</w:t>
      </w:r>
      <w:r w:rsidR="007E22CB">
        <w:t>’</w:t>
      </w:r>
      <w:r w:rsidR="00E479D0" w:rsidRPr="00E479D0">
        <w:t xml:space="preserve"> </w:t>
      </w:r>
      <w:r>
        <w:t>would be removed from the definition</w:t>
      </w:r>
      <w:r w:rsidR="0042396F">
        <w:t xml:space="preserve">. </w:t>
      </w:r>
    </w:p>
    <w:p w14:paraId="19C913B2" w14:textId="5664FE09" w:rsidR="00CC6C15" w:rsidRDefault="00CC6C15" w:rsidP="00CC6C15">
      <w:pPr>
        <w:pStyle w:val="Heading4"/>
      </w:pPr>
      <w:r>
        <w:t xml:space="preserve">Option 3: Remove the </w:t>
      </w:r>
      <w:r w:rsidR="007E22CB">
        <w:t>‘</w:t>
      </w:r>
      <w:r>
        <w:t>low</w:t>
      </w:r>
      <w:r w:rsidR="007E22CB">
        <w:noBreakHyphen/>
      </w:r>
      <w:r>
        <w:t>threshold</w:t>
      </w:r>
      <w:r w:rsidR="007E22CB">
        <w:t>’</w:t>
      </w:r>
      <w:r>
        <w:t xml:space="preserve"> land notification requirement</w:t>
      </w:r>
    </w:p>
    <w:p w14:paraId="52054305" w14:textId="23FDD6A5" w:rsidR="00357421" w:rsidRDefault="00CC6C15" w:rsidP="004B5E87">
      <w:pPr>
        <w:pStyle w:val="OutlineNumbered1"/>
      </w:pPr>
      <w:r>
        <w:t xml:space="preserve">This option would remove the requirement to notify for </w:t>
      </w:r>
      <w:r w:rsidR="007E22CB">
        <w:t>‘</w:t>
      </w:r>
      <w:r>
        <w:t>low</w:t>
      </w:r>
      <w:r w:rsidR="007E22CB">
        <w:noBreakHyphen/>
      </w:r>
      <w:r>
        <w:t>threshold</w:t>
      </w:r>
      <w:r w:rsidR="007E22CB">
        <w:t>’</w:t>
      </w:r>
      <w:r>
        <w:t xml:space="preserve"> land</w:t>
      </w:r>
      <w:r w:rsidR="004B5E87">
        <w:t>. Non</w:t>
      </w:r>
      <w:r w:rsidR="007E22CB">
        <w:noBreakHyphen/>
      </w:r>
      <w:r w:rsidR="004B5E87">
        <w:t>vacant commercial land would only be screened at the $</w:t>
      </w:r>
      <w:r w:rsidR="004B5E87" w:rsidRPr="004B5E87">
        <w:t xml:space="preserve">252 million </w:t>
      </w:r>
      <w:r w:rsidR="004B5E87">
        <w:t>or</w:t>
      </w:r>
      <w:r w:rsidR="004B5E87" w:rsidRPr="004B5E87">
        <w:t xml:space="preserve"> $1,094</w:t>
      </w:r>
      <w:r w:rsidR="00190091">
        <w:t> </w:t>
      </w:r>
      <w:r w:rsidR="004B5E87" w:rsidRPr="004B5E87">
        <w:t>million threshold</w:t>
      </w:r>
      <w:r w:rsidR="004B5E87">
        <w:t xml:space="preserve">s. </w:t>
      </w:r>
    </w:p>
    <w:p w14:paraId="2EE8E8DD" w14:textId="77777777" w:rsidR="004B5E87" w:rsidRDefault="004B5E87" w:rsidP="00357421">
      <w:pPr>
        <w:pStyle w:val="Heading3"/>
      </w:pPr>
      <w:bookmarkStart w:id="44" w:name="_Toc474922934"/>
      <w:bookmarkStart w:id="45" w:name="_Toc474924153"/>
      <w:bookmarkStart w:id="46" w:name="_Toc476738999"/>
      <w:r w:rsidRPr="004B5E87">
        <w:t>Cost benefit analysis of each option</w:t>
      </w:r>
      <w:bookmarkEnd w:id="44"/>
      <w:bookmarkEnd w:id="45"/>
      <w:bookmarkEnd w:id="46"/>
    </w:p>
    <w:p w14:paraId="383A3C27" w14:textId="77777777" w:rsidR="004B5E87" w:rsidRDefault="004B5E87" w:rsidP="004B5E87">
      <w:pPr>
        <w:pStyle w:val="Heading4"/>
      </w:pPr>
      <w:r>
        <w:t>Option 1: No change</w:t>
      </w:r>
    </w:p>
    <w:p w14:paraId="2D228427" w14:textId="77777777" w:rsidR="004B5E87" w:rsidRPr="004B5E87" w:rsidRDefault="004B5E87" w:rsidP="004B5E87">
      <w:pPr>
        <w:pStyle w:val="Heading5"/>
      </w:pPr>
      <w:r w:rsidRPr="004B5E87">
        <w:t>Benefits</w:t>
      </w:r>
    </w:p>
    <w:p w14:paraId="203499CC" w14:textId="77777777" w:rsidR="004B5E87" w:rsidRPr="005D6AE6" w:rsidRDefault="004B5E87" w:rsidP="005D6AE6">
      <w:pPr>
        <w:pStyle w:val="OutlineNumbered1"/>
        <w:rPr>
          <w:bCs/>
        </w:rPr>
      </w:pPr>
      <w:r w:rsidRPr="005D6AE6">
        <w:rPr>
          <w:bCs/>
        </w:rPr>
        <w:t xml:space="preserve">The benefit of this option is that there are </w:t>
      </w:r>
      <w:proofErr w:type="gramStart"/>
      <w:r w:rsidRPr="005D6AE6">
        <w:rPr>
          <w:bCs/>
        </w:rPr>
        <w:t>no additional regulatory impacts for foreign investors as the current arrangements would not change</w:t>
      </w:r>
      <w:proofErr w:type="gramEnd"/>
      <w:r w:rsidRPr="005D6AE6">
        <w:rPr>
          <w:bCs/>
        </w:rPr>
        <w:t>.</w:t>
      </w:r>
    </w:p>
    <w:p w14:paraId="1CFCE17B" w14:textId="77777777" w:rsidR="004B5E87" w:rsidRPr="004B5E87" w:rsidRDefault="004B5E87" w:rsidP="004B5E87">
      <w:pPr>
        <w:pStyle w:val="Heading5"/>
      </w:pPr>
      <w:r w:rsidRPr="004B5E87">
        <w:t>Costs</w:t>
      </w:r>
    </w:p>
    <w:p w14:paraId="2C62F244" w14:textId="55C833C8" w:rsidR="004B5E87" w:rsidRPr="005D6AE6" w:rsidRDefault="004B5E87" w:rsidP="005D6AE6">
      <w:pPr>
        <w:pStyle w:val="OutlineNumbered1"/>
        <w:rPr>
          <w:bCs/>
        </w:rPr>
      </w:pPr>
      <w:r w:rsidRPr="005D6AE6">
        <w:rPr>
          <w:bCs/>
        </w:rPr>
        <w:t xml:space="preserve">This option would not meet the policy objectives of reducing regulatory burden and </w:t>
      </w:r>
      <w:r w:rsidR="00B752EC" w:rsidRPr="005D6AE6">
        <w:rPr>
          <w:bCs/>
        </w:rPr>
        <w:t>removing routine cases</w:t>
      </w:r>
      <w:r w:rsidRPr="005D6AE6">
        <w:rPr>
          <w:bCs/>
        </w:rPr>
        <w:t xml:space="preserve"> from the </w:t>
      </w:r>
      <w:r w:rsidR="00B752EC" w:rsidRPr="005D6AE6">
        <w:rPr>
          <w:bCs/>
        </w:rPr>
        <w:t>system</w:t>
      </w:r>
      <w:r w:rsidRPr="005D6AE6">
        <w:rPr>
          <w:bCs/>
        </w:rPr>
        <w:t>. Foreign investors would continue to be required to meet screening arrangements that could otherwise be reduced. Further</w:t>
      </w:r>
      <w:r w:rsidR="00C8441B" w:rsidRPr="005D6AE6">
        <w:rPr>
          <w:bCs/>
        </w:rPr>
        <w:t>,</w:t>
      </w:r>
      <w:r w:rsidRPr="005D6AE6">
        <w:rPr>
          <w:bCs/>
        </w:rPr>
        <w:t xml:space="preserve"> screening resources </w:t>
      </w:r>
      <w:r w:rsidR="00C8441B" w:rsidRPr="005D6AE6">
        <w:rPr>
          <w:bCs/>
        </w:rPr>
        <w:t>will continue to be dedicated to screening relatively low</w:t>
      </w:r>
      <w:r w:rsidR="007E22CB">
        <w:rPr>
          <w:bCs/>
        </w:rPr>
        <w:noBreakHyphen/>
      </w:r>
      <w:r w:rsidR="00C8441B" w:rsidRPr="005D6AE6">
        <w:rPr>
          <w:bCs/>
        </w:rPr>
        <w:t>sensitivity proposals, diverting resources from assessing more sensitive proposals.</w:t>
      </w:r>
    </w:p>
    <w:p w14:paraId="6AF4F896" w14:textId="7B74B32D" w:rsidR="00C8441B" w:rsidRDefault="00C8441B" w:rsidP="00C8441B">
      <w:pPr>
        <w:pStyle w:val="Heading4"/>
      </w:pPr>
      <w:r>
        <w:t xml:space="preserve">Option 2: </w:t>
      </w:r>
      <w:r w:rsidRPr="00C8441B">
        <w:t xml:space="preserve">Narrow the scope of the </w:t>
      </w:r>
      <w:r w:rsidR="007E22CB">
        <w:t>‘</w:t>
      </w:r>
      <w:r w:rsidRPr="00C8441B">
        <w:t>low</w:t>
      </w:r>
      <w:r w:rsidR="007E22CB">
        <w:noBreakHyphen/>
      </w:r>
      <w:r w:rsidRPr="00C8441B">
        <w:t>threshold</w:t>
      </w:r>
      <w:r w:rsidR="007E22CB">
        <w:t>’</w:t>
      </w:r>
      <w:r w:rsidRPr="00C8441B">
        <w:t xml:space="preserve"> non</w:t>
      </w:r>
      <w:r w:rsidR="007E22CB">
        <w:noBreakHyphen/>
      </w:r>
      <w:r w:rsidRPr="00C8441B">
        <w:t>vacant commercial land definition</w:t>
      </w:r>
    </w:p>
    <w:p w14:paraId="194CD570" w14:textId="391E429B" w:rsidR="00E91918" w:rsidRDefault="002102A8" w:rsidP="005D6AE6">
      <w:pPr>
        <w:pStyle w:val="OutlineNumbered1"/>
      </w:pPr>
      <w:r>
        <w:t>The benefit</w:t>
      </w:r>
      <w:r w:rsidR="00C8441B" w:rsidRPr="007E2FFF">
        <w:t xml:space="preserve"> of Option 2 is that regulatory burden will be reduced</w:t>
      </w:r>
      <w:r w:rsidR="00B752EC">
        <w:t xml:space="preserve"> by removing routine cases from the screening requirement</w:t>
      </w:r>
      <w:r w:rsidR="00D978FE">
        <w:t xml:space="preserve">. </w:t>
      </w:r>
    </w:p>
    <w:p w14:paraId="58EE1317" w14:textId="77777777" w:rsidR="00E91918" w:rsidRDefault="00E91918">
      <w:pPr>
        <w:spacing w:after="0" w:line="240" w:lineRule="auto"/>
        <w:jc w:val="left"/>
      </w:pPr>
      <w:r>
        <w:br w:type="page"/>
      </w:r>
    </w:p>
    <w:p w14:paraId="752882B4" w14:textId="49DB57B8" w:rsidR="00543F09" w:rsidRDefault="007544E7" w:rsidP="00543F09">
      <w:pPr>
        <w:pStyle w:val="OutlineNumbered1"/>
      </w:pPr>
      <w:r>
        <w:lastRenderedPageBreak/>
        <w:t xml:space="preserve">It is estimated that 15 applications </w:t>
      </w:r>
      <w:r w:rsidR="005816FC">
        <w:t xml:space="preserve">per year </w:t>
      </w:r>
      <w:r>
        <w:t xml:space="preserve">would not require screening if </w:t>
      </w:r>
      <w:r w:rsidR="007E22CB">
        <w:t>‘</w:t>
      </w:r>
      <w:r>
        <w:t>prescribed airspace</w:t>
      </w:r>
      <w:r w:rsidR="007E22CB">
        <w:t>’</w:t>
      </w:r>
      <w:r>
        <w:t xml:space="preserve"> was removed from the definition of sensitive land. This w</w:t>
      </w:r>
      <w:r w:rsidR="005816FC">
        <w:t>ould be a regul</w:t>
      </w:r>
      <w:r w:rsidR="000C0522">
        <w:t>atory saving of approximately $50</w:t>
      </w:r>
      <w:r w:rsidR="005816FC">
        <w:t>0,000</w:t>
      </w:r>
      <w:r>
        <w:t xml:space="preserve"> per year</w:t>
      </w:r>
      <w:r w:rsidR="00543F09">
        <w:t xml:space="preserve"> based on the estimated average cost for lodging a foreign investment application. </w:t>
      </w:r>
    </w:p>
    <w:p w14:paraId="47D0800E" w14:textId="3437E6A9" w:rsidR="007A1EA1" w:rsidRDefault="007A1EA1" w:rsidP="007A1EA1">
      <w:pPr>
        <w:pStyle w:val="TableMainHeading"/>
        <w:ind w:left="567"/>
      </w:pPr>
      <w:r w:rsidRPr="007E2FFF">
        <w:t>Average annual regulatory cost saving from business as usual</w:t>
      </w:r>
    </w:p>
    <w:tbl>
      <w:tblPr>
        <w:tblStyle w:val="TableGrid"/>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2165"/>
        <w:gridCol w:w="2166"/>
        <w:gridCol w:w="2166"/>
      </w:tblGrid>
      <w:tr w:rsidR="005D6AE6" w:rsidRPr="007E2FFF" w14:paraId="6C0802AA" w14:textId="77777777" w:rsidTr="00AE515C">
        <w:tc>
          <w:tcPr>
            <w:tcW w:w="2222" w:type="dxa"/>
          </w:tcPr>
          <w:p w14:paraId="6EF45816" w14:textId="77777777" w:rsidR="005D6AE6" w:rsidRPr="007E2FFF" w:rsidRDefault="005D6AE6" w:rsidP="007A1EA1">
            <w:pPr>
              <w:pStyle w:val="TableColumnHeadingLeft"/>
            </w:pPr>
            <w:r w:rsidRPr="007E2FFF">
              <w:t>Change in costs</w:t>
            </w:r>
          </w:p>
          <w:p w14:paraId="2EE42E18" w14:textId="77777777" w:rsidR="005D6AE6" w:rsidRPr="007E2FFF" w:rsidRDefault="005D6AE6" w:rsidP="007A1EA1">
            <w:pPr>
              <w:pStyle w:val="TableColumnHeadingLeft"/>
            </w:pPr>
            <w:r w:rsidRPr="007E2FFF">
              <w:t>($ million)</w:t>
            </w:r>
          </w:p>
        </w:tc>
        <w:tc>
          <w:tcPr>
            <w:tcW w:w="2165" w:type="dxa"/>
          </w:tcPr>
          <w:p w14:paraId="02C909FE" w14:textId="77777777" w:rsidR="005D6AE6" w:rsidRPr="007E2FFF" w:rsidRDefault="005D6AE6" w:rsidP="007A1EA1">
            <w:pPr>
              <w:pStyle w:val="TableColumnHeadingLeft"/>
            </w:pPr>
            <w:r w:rsidRPr="007E2FFF">
              <w:t>Business</w:t>
            </w:r>
          </w:p>
        </w:tc>
        <w:tc>
          <w:tcPr>
            <w:tcW w:w="2166" w:type="dxa"/>
          </w:tcPr>
          <w:p w14:paraId="7590FC62" w14:textId="77777777" w:rsidR="005D6AE6" w:rsidRPr="007E2FFF" w:rsidRDefault="005D6AE6" w:rsidP="007A1EA1">
            <w:pPr>
              <w:pStyle w:val="TableColumnHeadingLeft"/>
            </w:pPr>
            <w:r w:rsidRPr="007E2FFF">
              <w:t>Individuals</w:t>
            </w:r>
          </w:p>
        </w:tc>
        <w:tc>
          <w:tcPr>
            <w:tcW w:w="2166" w:type="dxa"/>
          </w:tcPr>
          <w:p w14:paraId="562F34C3" w14:textId="77777777" w:rsidR="005D6AE6" w:rsidRPr="007E2FFF" w:rsidRDefault="005D6AE6" w:rsidP="007A1EA1">
            <w:pPr>
              <w:pStyle w:val="TableColumnHeadingLeft"/>
            </w:pPr>
            <w:r w:rsidRPr="007E2FFF">
              <w:t>Total change</w:t>
            </w:r>
          </w:p>
        </w:tc>
      </w:tr>
      <w:tr w:rsidR="005D6AE6" w:rsidRPr="007E2FFF" w14:paraId="5210ED1F" w14:textId="77777777" w:rsidTr="00AE515C">
        <w:tc>
          <w:tcPr>
            <w:tcW w:w="2222" w:type="dxa"/>
          </w:tcPr>
          <w:p w14:paraId="0A5B2E32" w14:textId="77777777" w:rsidR="005D6AE6" w:rsidRPr="007E2FFF" w:rsidRDefault="005D6AE6" w:rsidP="007A1EA1">
            <w:pPr>
              <w:pStyle w:val="TableTextLeft"/>
            </w:pPr>
            <w:r w:rsidRPr="007E2FFF">
              <w:t>Total</w:t>
            </w:r>
          </w:p>
        </w:tc>
        <w:tc>
          <w:tcPr>
            <w:tcW w:w="2165" w:type="dxa"/>
          </w:tcPr>
          <w:p w14:paraId="6707DFFF" w14:textId="51757209" w:rsidR="005D6AE6" w:rsidRPr="005816FC" w:rsidRDefault="005D6AE6" w:rsidP="000C0522">
            <w:pPr>
              <w:pStyle w:val="TableTextLeft"/>
            </w:pPr>
            <w:r>
              <w:t>0.</w:t>
            </w:r>
            <w:r w:rsidR="000C0522">
              <w:t>5</w:t>
            </w:r>
          </w:p>
        </w:tc>
        <w:tc>
          <w:tcPr>
            <w:tcW w:w="2166" w:type="dxa"/>
          </w:tcPr>
          <w:p w14:paraId="34291D71" w14:textId="77777777" w:rsidR="005D6AE6" w:rsidRPr="005816FC" w:rsidRDefault="005D6AE6" w:rsidP="007A1EA1">
            <w:pPr>
              <w:pStyle w:val="TableTextLeft"/>
            </w:pPr>
            <w:r w:rsidRPr="005816FC">
              <w:t>No change</w:t>
            </w:r>
          </w:p>
        </w:tc>
        <w:tc>
          <w:tcPr>
            <w:tcW w:w="2166" w:type="dxa"/>
          </w:tcPr>
          <w:p w14:paraId="285B4FCB" w14:textId="4F7FC3D2" w:rsidR="005D6AE6" w:rsidRPr="005816FC" w:rsidRDefault="005D6AE6" w:rsidP="000C0522">
            <w:pPr>
              <w:pStyle w:val="TableTextLeft"/>
            </w:pPr>
            <w:r>
              <w:t>0.</w:t>
            </w:r>
            <w:r w:rsidR="000C0522">
              <w:t>5</w:t>
            </w:r>
          </w:p>
        </w:tc>
      </w:tr>
    </w:tbl>
    <w:p w14:paraId="03CB1373" w14:textId="77777777" w:rsidR="00AE515C" w:rsidRDefault="00AE515C" w:rsidP="007A1EA1">
      <w:pPr>
        <w:pStyle w:val="SingleParagraph"/>
      </w:pPr>
    </w:p>
    <w:p w14:paraId="6B076228" w14:textId="0B359132" w:rsidR="004B5E87" w:rsidRDefault="00C8441B" w:rsidP="00C8441B">
      <w:pPr>
        <w:pStyle w:val="Heading4"/>
      </w:pPr>
      <w:r>
        <w:t xml:space="preserve">Option 3: </w:t>
      </w:r>
      <w:r w:rsidRPr="00C8441B">
        <w:t xml:space="preserve">Remove the </w:t>
      </w:r>
      <w:r w:rsidR="007E22CB">
        <w:t>‘</w:t>
      </w:r>
      <w:r w:rsidRPr="00C8441B">
        <w:t>low</w:t>
      </w:r>
      <w:r w:rsidR="007E22CB">
        <w:noBreakHyphen/>
      </w:r>
      <w:r w:rsidRPr="00C8441B">
        <w:t>threshold</w:t>
      </w:r>
      <w:r w:rsidR="007E22CB">
        <w:t>’</w:t>
      </w:r>
      <w:r w:rsidRPr="00C8441B">
        <w:t xml:space="preserve"> land notification requirement</w:t>
      </w:r>
    </w:p>
    <w:p w14:paraId="154D9BA9" w14:textId="77777777" w:rsidR="00C8441B" w:rsidRDefault="00C8441B" w:rsidP="00C8441B">
      <w:pPr>
        <w:pStyle w:val="Heading5"/>
      </w:pPr>
      <w:r>
        <w:t>Benefits</w:t>
      </w:r>
    </w:p>
    <w:p w14:paraId="5D5950EC" w14:textId="77777777" w:rsidR="00C8441B" w:rsidRDefault="00C8441B" w:rsidP="008717BE">
      <w:pPr>
        <w:pStyle w:val="OutlineNumbered1"/>
      </w:pPr>
      <w:r w:rsidRPr="007E2FFF">
        <w:t xml:space="preserve">The benefit of this option is that regulatory burden will be reduced. </w:t>
      </w:r>
    </w:p>
    <w:p w14:paraId="07E62093" w14:textId="2D61DFBE" w:rsidR="00E90667" w:rsidRDefault="00E90667" w:rsidP="00E90667">
      <w:pPr>
        <w:pStyle w:val="OutlineNumbered1"/>
      </w:pPr>
      <w:r>
        <w:t>It is estimated that 20 applications per year would not require screening if the lower value threshold for sensitive land was removed. This would be a regula</w:t>
      </w:r>
      <w:r w:rsidR="000C0522">
        <w:t>tory saving of approximately $60</w:t>
      </w:r>
      <w:r>
        <w:t xml:space="preserve">0,000 per year based on the estimated average cost for lodging a foreign investment application. </w:t>
      </w:r>
    </w:p>
    <w:p w14:paraId="29F2A6B5" w14:textId="4EF940D7" w:rsidR="007A1EA1" w:rsidRPr="005816FC" w:rsidRDefault="007A1EA1" w:rsidP="007A1EA1">
      <w:pPr>
        <w:pStyle w:val="TableMainHeading"/>
        <w:ind w:left="567"/>
      </w:pPr>
      <w:r w:rsidRPr="007E2FFF">
        <w:t>Average annual regulatory cost saving from business as usual</w:t>
      </w:r>
    </w:p>
    <w:tbl>
      <w:tblPr>
        <w:tblStyle w:val="TableGrid"/>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2165"/>
        <w:gridCol w:w="2166"/>
        <w:gridCol w:w="2166"/>
      </w:tblGrid>
      <w:tr w:rsidR="00E90667" w:rsidRPr="007E2FFF" w14:paraId="244FCD10" w14:textId="77777777" w:rsidTr="007906AC">
        <w:tc>
          <w:tcPr>
            <w:tcW w:w="2222" w:type="dxa"/>
          </w:tcPr>
          <w:p w14:paraId="15310149" w14:textId="77777777" w:rsidR="00E90667" w:rsidRPr="007E2FFF" w:rsidRDefault="00E90667" w:rsidP="007A1EA1">
            <w:pPr>
              <w:pStyle w:val="TableColumnHeadingLeft"/>
            </w:pPr>
            <w:r w:rsidRPr="007E2FFF">
              <w:t>Change in costs</w:t>
            </w:r>
          </w:p>
          <w:p w14:paraId="140B117C" w14:textId="77777777" w:rsidR="00E90667" w:rsidRPr="007E2FFF" w:rsidRDefault="00E90667" w:rsidP="007A1EA1">
            <w:pPr>
              <w:pStyle w:val="TableColumnHeadingLeft"/>
            </w:pPr>
            <w:r w:rsidRPr="007E2FFF">
              <w:t>($ million)</w:t>
            </w:r>
          </w:p>
        </w:tc>
        <w:tc>
          <w:tcPr>
            <w:tcW w:w="2165" w:type="dxa"/>
          </w:tcPr>
          <w:p w14:paraId="07AA6BDC" w14:textId="77777777" w:rsidR="00E90667" w:rsidRPr="007E2FFF" w:rsidRDefault="00E90667" w:rsidP="007A1EA1">
            <w:pPr>
              <w:pStyle w:val="TableColumnHeadingLeft"/>
            </w:pPr>
            <w:r w:rsidRPr="007E2FFF">
              <w:t>Business</w:t>
            </w:r>
          </w:p>
        </w:tc>
        <w:tc>
          <w:tcPr>
            <w:tcW w:w="2166" w:type="dxa"/>
          </w:tcPr>
          <w:p w14:paraId="2FF89809" w14:textId="77777777" w:rsidR="00E90667" w:rsidRPr="007E2FFF" w:rsidRDefault="00E90667" w:rsidP="007A1EA1">
            <w:pPr>
              <w:pStyle w:val="TableColumnHeadingLeft"/>
            </w:pPr>
            <w:r w:rsidRPr="007E2FFF">
              <w:t>Individuals</w:t>
            </w:r>
          </w:p>
        </w:tc>
        <w:tc>
          <w:tcPr>
            <w:tcW w:w="2166" w:type="dxa"/>
          </w:tcPr>
          <w:p w14:paraId="6EED6530" w14:textId="77777777" w:rsidR="00E90667" w:rsidRPr="007E2FFF" w:rsidRDefault="00E90667" w:rsidP="007A1EA1">
            <w:pPr>
              <w:pStyle w:val="TableColumnHeadingLeft"/>
            </w:pPr>
            <w:r w:rsidRPr="007E2FFF">
              <w:t>Total change</w:t>
            </w:r>
          </w:p>
        </w:tc>
      </w:tr>
      <w:tr w:rsidR="00E90667" w:rsidRPr="007E2FFF" w14:paraId="68CEC925" w14:textId="77777777" w:rsidTr="007906AC">
        <w:tc>
          <w:tcPr>
            <w:tcW w:w="2222" w:type="dxa"/>
          </w:tcPr>
          <w:p w14:paraId="247AA493" w14:textId="77777777" w:rsidR="00E90667" w:rsidRPr="007E2FFF" w:rsidRDefault="00E90667" w:rsidP="007A1EA1">
            <w:pPr>
              <w:pStyle w:val="TableTextLeft"/>
            </w:pPr>
            <w:r w:rsidRPr="007E2FFF">
              <w:t>Total</w:t>
            </w:r>
          </w:p>
        </w:tc>
        <w:tc>
          <w:tcPr>
            <w:tcW w:w="2165" w:type="dxa"/>
          </w:tcPr>
          <w:p w14:paraId="10085301" w14:textId="6E0B29B1" w:rsidR="00E90667" w:rsidRPr="005816FC" w:rsidRDefault="00E90667" w:rsidP="007A1EA1">
            <w:pPr>
              <w:pStyle w:val="TableTextLeft"/>
            </w:pPr>
            <w:r>
              <w:t>0.</w:t>
            </w:r>
            <w:r w:rsidR="000C0522">
              <w:t>6</w:t>
            </w:r>
          </w:p>
        </w:tc>
        <w:tc>
          <w:tcPr>
            <w:tcW w:w="2166" w:type="dxa"/>
          </w:tcPr>
          <w:p w14:paraId="2A64F84D" w14:textId="77777777" w:rsidR="00E90667" w:rsidRPr="005816FC" w:rsidRDefault="00E90667" w:rsidP="007A1EA1">
            <w:pPr>
              <w:pStyle w:val="TableTextLeft"/>
            </w:pPr>
            <w:r w:rsidRPr="005816FC">
              <w:t>No change</w:t>
            </w:r>
          </w:p>
        </w:tc>
        <w:tc>
          <w:tcPr>
            <w:tcW w:w="2166" w:type="dxa"/>
          </w:tcPr>
          <w:p w14:paraId="7E965884" w14:textId="5E52B1FB" w:rsidR="00E90667" w:rsidRPr="005816FC" w:rsidRDefault="00E90667" w:rsidP="007A1EA1">
            <w:pPr>
              <w:pStyle w:val="TableTextLeft"/>
            </w:pPr>
            <w:r>
              <w:t>0.</w:t>
            </w:r>
            <w:r w:rsidR="000C0522">
              <w:t>6</w:t>
            </w:r>
          </w:p>
        </w:tc>
      </w:tr>
    </w:tbl>
    <w:p w14:paraId="4C669FBC" w14:textId="77777777" w:rsidR="00E90667" w:rsidRPr="007E2FFF" w:rsidRDefault="00E90667" w:rsidP="007A1EA1">
      <w:pPr>
        <w:pStyle w:val="SingleParagraph"/>
      </w:pPr>
    </w:p>
    <w:p w14:paraId="46826638" w14:textId="77777777" w:rsidR="00C8441B" w:rsidRDefault="00C8441B" w:rsidP="00C8441B">
      <w:pPr>
        <w:pStyle w:val="Heading5"/>
      </w:pPr>
      <w:r>
        <w:t>Costs</w:t>
      </w:r>
    </w:p>
    <w:p w14:paraId="13984F2F" w14:textId="4BDC05A8" w:rsidR="00C8441B" w:rsidRPr="007E2FFF" w:rsidRDefault="00B27551" w:rsidP="00C8441B">
      <w:pPr>
        <w:pStyle w:val="OutlineNumbered1"/>
      </w:pPr>
      <w:r w:rsidRPr="007E2FFF">
        <w:t>Eliminating the lower value threshold entirely may heighten concerns about whether the screening regime is adequately capturing proposals that</w:t>
      </w:r>
      <w:r w:rsidR="00AE515C">
        <w:t xml:space="preserve"> may raise sensitivities. While</w:t>
      </w:r>
      <w:r w:rsidRPr="007E2FFF">
        <w:t xml:space="preserve"> narrowing some non</w:t>
      </w:r>
      <w:r w:rsidR="007E22CB">
        <w:noBreakHyphen/>
      </w:r>
      <w:r w:rsidRPr="007E2FFF">
        <w:t>contentious aspects of the definition is not likely to raise concerns, the community may expect other elements to remain part of the screening system</w:t>
      </w:r>
      <w:r w:rsidR="007A1EA1">
        <w:t>.</w:t>
      </w:r>
    </w:p>
    <w:p w14:paraId="25B89C68" w14:textId="77777777" w:rsidR="004A5479" w:rsidRDefault="004A5479" w:rsidP="004A5479">
      <w:pPr>
        <w:pStyle w:val="Heading2"/>
      </w:pPr>
      <w:bookmarkStart w:id="47" w:name="_Toc476739000"/>
      <w:r>
        <w:t>3. Low sensitivity business investment</w:t>
      </w:r>
      <w:bookmarkEnd w:id="47"/>
    </w:p>
    <w:p w14:paraId="3654F8A1" w14:textId="77777777" w:rsidR="004A5479" w:rsidRDefault="00A02623" w:rsidP="00A02623">
      <w:pPr>
        <w:pStyle w:val="Heading3"/>
      </w:pPr>
      <w:bookmarkStart w:id="48" w:name="_Toc474922936"/>
      <w:bookmarkStart w:id="49" w:name="_Toc474924155"/>
      <w:bookmarkStart w:id="50" w:name="_Toc476739001"/>
      <w:r>
        <w:t>Background</w:t>
      </w:r>
      <w:bookmarkEnd w:id="48"/>
      <w:bookmarkEnd w:id="49"/>
      <w:bookmarkEnd w:id="50"/>
    </w:p>
    <w:p w14:paraId="74D310D3" w14:textId="0755D4C9" w:rsidR="00B92217" w:rsidRDefault="00B92217" w:rsidP="002F1CE2">
      <w:pPr>
        <w:pStyle w:val="OutlineNumbered1"/>
      </w:pPr>
      <w:r>
        <w:t>Foreign persons must get approval before acquiring a substantial interest (at least 20</w:t>
      </w:r>
      <w:r w:rsidR="00B752EC">
        <w:t> </w:t>
      </w:r>
      <w:r>
        <w:t>per cent) in an Australian entity that</w:t>
      </w:r>
      <w:r w:rsidR="002F1CE2">
        <w:t xml:space="preserve"> is valued above $252 million or</w:t>
      </w:r>
      <w:r>
        <w:t xml:space="preserve"> $1,094 million </w:t>
      </w:r>
      <w:r w:rsidR="002F1CE2">
        <w:t>for</w:t>
      </w:r>
      <w:r>
        <w:t xml:space="preserve"> agreement country investors</w:t>
      </w:r>
      <w:r w:rsidR="002F1CE2">
        <w:t>.</w:t>
      </w:r>
      <w:r>
        <w:t xml:space="preserve"> However, the $252 million threshold applies to these investors if investing in sensitive businesses. </w:t>
      </w:r>
    </w:p>
    <w:p w14:paraId="603974C6" w14:textId="77777777" w:rsidR="00B92217" w:rsidRDefault="002F1CE2" w:rsidP="00B92217">
      <w:pPr>
        <w:pStyle w:val="OutlineNumbered1"/>
      </w:pPr>
      <w:r>
        <w:t>In addition</w:t>
      </w:r>
      <w:r w:rsidR="00B92217" w:rsidRPr="00B92217">
        <w:t>, all foreign government investors must get approval before acquiring a direct interest in Australia (generally at least 10 per cent, or the ability to influence, participate in or control), starting a new business or acquiring an interest in Australian land regardless of the value of the investment.</w:t>
      </w:r>
    </w:p>
    <w:p w14:paraId="1741AF04" w14:textId="4F36EA96" w:rsidR="00B92217" w:rsidRDefault="002F1CE2" w:rsidP="00B92217">
      <w:pPr>
        <w:pStyle w:val="OutlineNumbered1"/>
      </w:pPr>
      <w:r>
        <w:t xml:space="preserve">An important change in the </w:t>
      </w:r>
      <w:r w:rsidR="00B92217" w:rsidRPr="00B92217">
        <w:t xml:space="preserve">2015 reforms was </w:t>
      </w:r>
      <w:r w:rsidR="00AD78DD">
        <w:t>to incorporate</w:t>
      </w:r>
      <w:r w:rsidR="00B92217" w:rsidRPr="00B92217">
        <w:t xml:space="preserve"> foreign government investor specific screening requirements into the legislative framework. Previously, foreign government investors notified the Treasurer about </w:t>
      </w:r>
      <w:r w:rsidR="00C22522">
        <w:t xml:space="preserve">such </w:t>
      </w:r>
      <w:r w:rsidR="00B92217" w:rsidRPr="00B92217">
        <w:t xml:space="preserve">proposed investments under the Policy only. </w:t>
      </w:r>
    </w:p>
    <w:p w14:paraId="3CF53DE6" w14:textId="4E7A85F1" w:rsidR="005507B8" w:rsidRDefault="001F3FED" w:rsidP="00B92217">
      <w:pPr>
        <w:pStyle w:val="Heading3"/>
      </w:pPr>
      <w:bookmarkStart w:id="51" w:name="_Toc474922937"/>
      <w:bookmarkStart w:id="52" w:name="_Toc474924156"/>
      <w:bookmarkStart w:id="53" w:name="_Toc476739002"/>
      <w:r>
        <w:lastRenderedPageBreak/>
        <w:t>The p</w:t>
      </w:r>
      <w:r w:rsidR="005507B8">
        <w:t>roblem</w:t>
      </w:r>
      <w:bookmarkEnd w:id="51"/>
      <w:bookmarkEnd w:id="52"/>
      <w:bookmarkEnd w:id="53"/>
    </w:p>
    <w:p w14:paraId="275462A5" w14:textId="77777777" w:rsidR="00B92217" w:rsidRDefault="005507B8" w:rsidP="005507B8">
      <w:pPr>
        <w:pStyle w:val="OutlineNumbered1"/>
      </w:pPr>
      <w:r>
        <w:t xml:space="preserve">The foreign investment framework necessarily </w:t>
      </w:r>
      <w:r w:rsidRPr="005507B8">
        <w:t>casts a broad net in relation to actions required to be notified</w:t>
      </w:r>
      <w:r>
        <w:t xml:space="preserve"> to the Treasurer</w:t>
      </w:r>
      <w:r w:rsidRPr="005507B8">
        <w:t xml:space="preserve"> </w:t>
      </w:r>
      <w:r w:rsidR="00B92217">
        <w:t>for review</w:t>
      </w:r>
      <w:r>
        <w:t xml:space="preserve">. </w:t>
      </w:r>
      <w:r w:rsidR="002F1CE2">
        <w:t xml:space="preserve">However, in practice </w:t>
      </w:r>
      <w:r w:rsidR="00B92217">
        <w:t>a small percentage of acquisitions that must be notified raise national interest concerns that result in the Treasurer imposing conditions or prohibiting the proposal.</w:t>
      </w:r>
    </w:p>
    <w:p w14:paraId="6B590F5B" w14:textId="70790541" w:rsidR="00B92217" w:rsidRDefault="00494DE6" w:rsidP="00494DE6">
      <w:pPr>
        <w:pStyle w:val="OutlineNumbered1"/>
      </w:pPr>
      <w:r>
        <w:t>This results in a high</w:t>
      </w:r>
      <w:r w:rsidR="004622A8">
        <w:t>er than desirable</w:t>
      </w:r>
      <w:r>
        <w:t xml:space="preserve"> regulatory impost on business proposals that are </w:t>
      </w:r>
      <w:r w:rsidR="002F1CE2">
        <w:t>of low sensitivity</w:t>
      </w:r>
      <w:r w:rsidR="00C22522">
        <w:t xml:space="preserve"> and have to be notified</w:t>
      </w:r>
      <w:r>
        <w:t>.</w:t>
      </w:r>
      <w:r w:rsidR="002F1CE2">
        <w:t xml:space="preserve"> </w:t>
      </w:r>
    </w:p>
    <w:p w14:paraId="52AF17D5" w14:textId="59198EB7" w:rsidR="009E1420" w:rsidRDefault="00494DE6" w:rsidP="005507B8">
      <w:pPr>
        <w:pStyle w:val="OutlineNumbered1"/>
      </w:pPr>
      <w:r>
        <w:t xml:space="preserve">Foreign government investors in particular have voiced concerns about </w:t>
      </w:r>
      <w:r w:rsidR="004622A8">
        <w:t>t</w:t>
      </w:r>
      <w:r>
        <w:t>he degree of regulatory burden</w:t>
      </w:r>
      <w:r w:rsidR="004622A8">
        <w:t xml:space="preserve"> since foreign government investor screening requirements were brought into the legislative framework. </w:t>
      </w:r>
      <w:r w:rsidR="00D47381">
        <w:t xml:space="preserve">While </w:t>
      </w:r>
      <w:r w:rsidR="004733BB">
        <w:t>this provided</w:t>
      </w:r>
      <w:r w:rsidR="00D47381">
        <w:t xml:space="preserve"> more certainty, these </w:t>
      </w:r>
      <w:r w:rsidR="00A02623" w:rsidRPr="00A02623">
        <w:t xml:space="preserve">investors are </w:t>
      </w:r>
      <w:r w:rsidR="00D47381">
        <w:t xml:space="preserve">also </w:t>
      </w:r>
      <w:r w:rsidR="00A02623" w:rsidRPr="00A02623">
        <w:t xml:space="preserve">now required to notify certain acquisitions under the legislation </w:t>
      </w:r>
      <w:r w:rsidR="004622A8">
        <w:t xml:space="preserve">regardless of the size and value of the investment, </w:t>
      </w:r>
      <w:r w:rsidR="00A02623" w:rsidRPr="00A02623">
        <w:t>pay fees, and are subject to potential penalties for non</w:t>
      </w:r>
      <w:r w:rsidR="007E22CB">
        <w:noBreakHyphen/>
      </w:r>
      <w:r w:rsidR="00A02623" w:rsidRPr="00A02623">
        <w:t>compliance.</w:t>
      </w:r>
      <w:r w:rsidR="005507B8">
        <w:t xml:space="preserve"> </w:t>
      </w:r>
    </w:p>
    <w:p w14:paraId="2232374C" w14:textId="77777777" w:rsidR="004208A1" w:rsidRDefault="004208A1" w:rsidP="004208A1">
      <w:pPr>
        <w:pStyle w:val="Heading3"/>
      </w:pPr>
      <w:bookmarkStart w:id="54" w:name="_Toc474922938"/>
      <w:bookmarkStart w:id="55" w:name="_Toc474924157"/>
      <w:bookmarkStart w:id="56" w:name="_Toc476739003"/>
      <w:r>
        <w:t>Case for government action</w:t>
      </w:r>
      <w:bookmarkEnd w:id="54"/>
      <w:bookmarkEnd w:id="55"/>
      <w:bookmarkEnd w:id="56"/>
    </w:p>
    <w:p w14:paraId="7B802E2E" w14:textId="77777777" w:rsidR="004208A1" w:rsidRDefault="004208A1" w:rsidP="004208A1">
      <w:pPr>
        <w:pStyle w:val="OutlineNumbered1"/>
      </w:pPr>
      <w:r>
        <w:t xml:space="preserve">Not all foreign investment proposals that </w:t>
      </w:r>
      <w:r w:rsidR="008B4699">
        <w:t xml:space="preserve">are </w:t>
      </w:r>
      <w:r>
        <w:t xml:space="preserve">notified to the Treasurer raise national interest concerns, however there is a role to ensure the foreign investment framework is working effectively to assess whether foreign investment is in the national interest and is targeted to those investments that are likely to raise sensitivities. </w:t>
      </w:r>
    </w:p>
    <w:p w14:paraId="504C1B38" w14:textId="4F29D96E" w:rsidR="005507B8" w:rsidRDefault="001F3FED" w:rsidP="004208A1">
      <w:pPr>
        <w:pStyle w:val="Heading3"/>
      </w:pPr>
      <w:bookmarkStart w:id="57" w:name="_Toc474922939"/>
      <w:bookmarkStart w:id="58" w:name="_Toc474924158"/>
      <w:bookmarkStart w:id="59" w:name="_Toc476739004"/>
      <w:r>
        <w:t>Policy o</w:t>
      </w:r>
      <w:r w:rsidR="005507B8">
        <w:t>ptions</w:t>
      </w:r>
      <w:bookmarkEnd w:id="57"/>
      <w:bookmarkEnd w:id="58"/>
      <w:bookmarkEnd w:id="59"/>
    </w:p>
    <w:p w14:paraId="12BD2204" w14:textId="77777777" w:rsidR="005507B8" w:rsidRDefault="005507B8" w:rsidP="005507B8">
      <w:pPr>
        <w:pStyle w:val="Heading4"/>
      </w:pPr>
      <w:r>
        <w:t>Option 1: No change</w:t>
      </w:r>
    </w:p>
    <w:p w14:paraId="7CCEB1CA" w14:textId="77777777" w:rsidR="009E1420" w:rsidRPr="009E1420" w:rsidRDefault="009E1420" w:rsidP="009E1420">
      <w:pPr>
        <w:pStyle w:val="OutlineNumbered1"/>
      </w:pPr>
      <w:r>
        <w:t xml:space="preserve">This option would see no change to the current screening arrangements for low value and low sensitivity business proposals. </w:t>
      </w:r>
    </w:p>
    <w:p w14:paraId="20879762" w14:textId="64F6BDE7" w:rsidR="005507B8" w:rsidRDefault="005507B8" w:rsidP="005507B8">
      <w:pPr>
        <w:pStyle w:val="Heading4"/>
      </w:pPr>
      <w:r>
        <w:t xml:space="preserve">Option 2: </w:t>
      </w:r>
      <w:r w:rsidR="009E1420">
        <w:t xml:space="preserve">Introduce </w:t>
      </w:r>
      <w:r w:rsidR="00D5191F">
        <w:t xml:space="preserve">new </w:t>
      </w:r>
      <w:r w:rsidR="004333C0">
        <w:t>exemption certificate</w:t>
      </w:r>
      <w:r w:rsidR="00C22522">
        <w:t>s</w:t>
      </w:r>
      <w:r w:rsidR="004333C0">
        <w:t xml:space="preserve"> for low sensitivity business proposals</w:t>
      </w:r>
    </w:p>
    <w:p w14:paraId="0F5D45F6" w14:textId="21F89521" w:rsidR="00446D66" w:rsidRDefault="00446D66" w:rsidP="00AD78DD">
      <w:pPr>
        <w:pStyle w:val="OutlineNumbered1"/>
      </w:pPr>
      <w:r>
        <w:t>This option would introduce two new exemption certificates that would grant broad pre</w:t>
      </w:r>
      <w:r w:rsidR="007E22CB">
        <w:noBreakHyphen/>
      </w:r>
      <w:r>
        <w:t>approval to certain non</w:t>
      </w:r>
      <w:r w:rsidR="007E22CB">
        <w:noBreakHyphen/>
      </w:r>
      <w:r>
        <w:t>sensitive business proposals.</w:t>
      </w:r>
      <w:r w:rsidR="00AD78DD">
        <w:t xml:space="preserve"> Currently, e</w:t>
      </w:r>
      <w:r w:rsidR="00AD78DD" w:rsidRPr="00AD78DD">
        <w:t xml:space="preserve">xcept for the exemption certificate for those in the business of underwriting, available exemption certificates are limited to acquisitions of interests in Australian land. </w:t>
      </w:r>
    </w:p>
    <w:p w14:paraId="0851B939" w14:textId="7058452E" w:rsidR="00446D66" w:rsidRDefault="00446D66" w:rsidP="00584976">
      <w:pPr>
        <w:pStyle w:val="OutlineNumbered1"/>
      </w:pPr>
      <w:r>
        <w:t xml:space="preserve">An </w:t>
      </w:r>
      <w:r w:rsidRPr="002C10C3">
        <w:rPr>
          <w:b/>
        </w:rPr>
        <w:t>exemption certificate for interests in securities</w:t>
      </w:r>
      <w:r>
        <w:t xml:space="preserve"> would provide broad</w:t>
      </w:r>
      <w:r w:rsidR="00C22522">
        <w:t xml:space="preserve"> pre</w:t>
      </w:r>
      <w:r w:rsidR="007E22CB">
        <w:noBreakHyphen/>
      </w:r>
      <w:r>
        <w:t xml:space="preserve">approval for foreign persons acquiring securities. The certificate would exempt the foreign person from the requirement to provide notices to the Treasurer for securities acquisitions covered by the certificate. The Treasurer would retain powers to issue divestments </w:t>
      </w:r>
      <w:r w:rsidR="00C22522">
        <w:t xml:space="preserve">or impose conditions </w:t>
      </w:r>
      <w:r>
        <w:t xml:space="preserve">if an acquisition was considered contrary to the national interest. </w:t>
      </w:r>
    </w:p>
    <w:p w14:paraId="423B84CB" w14:textId="3CC3AEBF" w:rsidR="00446D66" w:rsidRDefault="00446D66" w:rsidP="00584976">
      <w:pPr>
        <w:pStyle w:val="OutlineNumbered1"/>
      </w:pPr>
      <w:r>
        <w:t xml:space="preserve">An </w:t>
      </w:r>
      <w:r w:rsidRPr="00B80319">
        <w:rPr>
          <w:b/>
        </w:rPr>
        <w:t>exemption certificate for foreign government investors</w:t>
      </w:r>
      <w:r>
        <w:t xml:space="preserve"> would exempt specific foreign government investor</w:t>
      </w:r>
      <w:r w:rsidR="007E22CB">
        <w:noBreakHyphen/>
      </w:r>
      <w:r>
        <w:t>only screening requirements. The certificate would exempt the foreign government investor from the FATA for actions covered by the certificate</w:t>
      </w:r>
      <w:r w:rsidR="00FF18F5">
        <w:t>, including when acquiring a direct interest by purchasing the assets of an Australian business</w:t>
      </w:r>
      <w:r w:rsidR="00D978FE">
        <w:t xml:space="preserve">. </w:t>
      </w:r>
    </w:p>
    <w:p w14:paraId="7E54BF65" w14:textId="0DABD883" w:rsidR="00D5191F" w:rsidRDefault="00D5191F" w:rsidP="00584976">
      <w:pPr>
        <w:pStyle w:val="OutlineNumbered1"/>
      </w:pPr>
      <w:r>
        <w:t>The</w:t>
      </w:r>
      <w:r w:rsidR="00B80319">
        <w:t xml:space="preserve"> </w:t>
      </w:r>
      <w:r w:rsidR="002C10C3" w:rsidRPr="002C10C3">
        <w:t>exemption certificate</w:t>
      </w:r>
      <w:r w:rsidR="00C22522">
        <w:t>s</w:t>
      </w:r>
      <w:r w:rsidR="002C10C3" w:rsidRPr="002C10C3">
        <w:t xml:space="preserve"> </w:t>
      </w:r>
      <w:r w:rsidR="00B80319">
        <w:t>would</w:t>
      </w:r>
      <w:r w:rsidR="002C10C3" w:rsidRPr="002C10C3">
        <w:t xml:space="preserve"> be subject to reporting requirements and </w:t>
      </w:r>
      <w:r w:rsidR="002C10C3">
        <w:t xml:space="preserve">would cover actions within specified parameters </w:t>
      </w:r>
      <w:r w:rsidR="002C10C3" w:rsidRPr="002C10C3">
        <w:t>(for example, total spend or percentage interest limits). As is the case with existing certificates, conditions may also be applied.</w:t>
      </w:r>
    </w:p>
    <w:p w14:paraId="143F7CFB" w14:textId="3D1EDBB9" w:rsidR="00311CBF" w:rsidRDefault="00311CBF" w:rsidP="00584976">
      <w:pPr>
        <w:pStyle w:val="OutlineNumbered1"/>
      </w:pPr>
      <w:r>
        <w:lastRenderedPageBreak/>
        <w:t xml:space="preserve">In terms of parameters, the Government is considering a $100 million per transaction limit for actions covered by the certificate. </w:t>
      </w:r>
      <w:r w:rsidR="00DE08FB">
        <w:t xml:space="preserve">Sensitive business transactions </w:t>
      </w:r>
      <w:r>
        <w:t xml:space="preserve">would not be eligible to be covered by an exemption certificate and will continue to </w:t>
      </w:r>
      <w:r w:rsidR="00B8354F">
        <w:t>require separate notification.</w:t>
      </w:r>
    </w:p>
    <w:p w14:paraId="62AA6340" w14:textId="07185DA0" w:rsidR="002C10C3" w:rsidRDefault="00B80319" w:rsidP="00584976">
      <w:pPr>
        <w:pStyle w:val="OutlineNumbered1"/>
      </w:pPr>
      <w:r>
        <w:t>The new c</w:t>
      </w:r>
      <w:r w:rsidR="00DE08FB">
        <w:t>ertificate</w:t>
      </w:r>
      <w:r w:rsidR="002C10C3">
        <w:t xml:space="preserve"> could be </w:t>
      </w:r>
      <w:r w:rsidR="00C22522">
        <w:t xml:space="preserve">introduced by </w:t>
      </w:r>
      <w:r w:rsidR="002C10C3" w:rsidRPr="002C10C3">
        <w:t>a broad power that in practice could be more narrowly applied on a case</w:t>
      </w:r>
      <w:r w:rsidR="007E22CB">
        <w:noBreakHyphen/>
      </w:r>
      <w:r w:rsidR="002C10C3" w:rsidRPr="002C10C3">
        <w:t>by</w:t>
      </w:r>
      <w:r w:rsidR="007E22CB">
        <w:noBreakHyphen/>
      </w:r>
      <w:r w:rsidR="002C10C3" w:rsidRPr="002C10C3">
        <w:t>case basis to ensure that the certificates granted would not be contrary to the national interest. Alternatively, limitations on the grant of the certificate</w:t>
      </w:r>
      <w:r>
        <w:t>s</w:t>
      </w:r>
      <w:r w:rsidR="00E76D44">
        <w:t xml:space="preserve"> could be prescribed in the R</w:t>
      </w:r>
      <w:r w:rsidR="002C10C3" w:rsidRPr="002C10C3">
        <w:t>egulation</w:t>
      </w:r>
      <w:r w:rsidR="00C22522">
        <w:t xml:space="preserve"> (however, falling within these limitations would not necessarily guarantee a certificate</w:t>
      </w:r>
      <w:r w:rsidR="00584976">
        <w:t>,</w:t>
      </w:r>
      <w:r w:rsidR="00C22522">
        <w:t xml:space="preserve"> as the grant</w:t>
      </w:r>
      <w:r w:rsidR="00584976">
        <w:t xml:space="preserve">ing of </w:t>
      </w:r>
      <w:r w:rsidR="00C8733E">
        <w:t xml:space="preserve">such </w:t>
      </w:r>
      <w:r w:rsidR="00584976">
        <w:t>a certificate</w:t>
      </w:r>
      <w:r w:rsidR="00C22522">
        <w:t xml:space="preserve"> w</w:t>
      </w:r>
      <w:r w:rsidR="00255135">
        <w:t>ill still be assessed on a case</w:t>
      </w:r>
      <w:r w:rsidR="007E22CB">
        <w:noBreakHyphen/>
      </w:r>
      <w:r w:rsidR="00255135">
        <w:t>by</w:t>
      </w:r>
      <w:r w:rsidR="007E22CB">
        <w:noBreakHyphen/>
      </w:r>
      <w:r w:rsidR="00C22522">
        <w:t>case basis)</w:t>
      </w:r>
      <w:r w:rsidR="002C10C3" w:rsidRPr="002C10C3">
        <w:t>.</w:t>
      </w:r>
    </w:p>
    <w:p w14:paraId="3DAE85B0" w14:textId="77777777" w:rsidR="00B80319" w:rsidRDefault="00B80319" w:rsidP="00B80319">
      <w:pPr>
        <w:pStyle w:val="Heading4"/>
      </w:pPr>
      <w:r>
        <w:t xml:space="preserve">Option 3: </w:t>
      </w:r>
      <w:r w:rsidR="00DE08FB">
        <w:t xml:space="preserve">Exempt </w:t>
      </w:r>
      <w:r>
        <w:t xml:space="preserve">low sensitivity business </w:t>
      </w:r>
      <w:r w:rsidR="00776E7C">
        <w:t>proposals</w:t>
      </w:r>
      <w:r>
        <w:t xml:space="preserve"> from </w:t>
      </w:r>
      <w:r w:rsidR="00DE08FB">
        <w:t>notification requirements</w:t>
      </w:r>
    </w:p>
    <w:p w14:paraId="6B4B78F1" w14:textId="5C2AF564" w:rsidR="00397EF3" w:rsidRDefault="00B80319" w:rsidP="00397EF3">
      <w:pPr>
        <w:pStyle w:val="OutlineNumbered1"/>
      </w:pPr>
      <w:r>
        <w:t xml:space="preserve">This option would remove </w:t>
      </w:r>
      <w:r w:rsidR="00DE08FB">
        <w:t>t</w:t>
      </w:r>
      <w:r w:rsidR="00CD1AD4">
        <w:t xml:space="preserve">he requirement to notify the Treasurer for acquisitions of securities in an entity where the consideration is $100 million or less. </w:t>
      </w:r>
      <w:r w:rsidR="00776E7C">
        <w:t xml:space="preserve">This will mostly affect foreign government investors who need to notify from a $0 threshold. </w:t>
      </w:r>
      <w:r w:rsidR="00CD1AD4">
        <w:t>The actions would continue to be significant actions (meaning the Treasurer retains certain powers). This will make it voluntary to notify for low</w:t>
      </w:r>
      <w:r w:rsidR="007E22CB">
        <w:noBreakHyphen/>
      </w:r>
      <w:r w:rsidR="00CD1AD4">
        <w:t xml:space="preserve">value acquisitions which are less likely to raise sensitivities. </w:t>
      </w:r>
    </w:p>
    <w:p w14:paraId="496BA4BE" w14:textId="77777777" w:rsidR="00397EF3" w:rsidRDefault="00A00E96" w:rsidP="00A00E96">
      <w:pPr>
        <w:pStyle w:val="Heading3"/>
      </w:pPr>
      <w:bookmarkStart w:id="60" w:name="_Toc474922940"/>
      <w:bookmarkStart w:id="61" w:name="_Toc474924159"/>
      <w:bookmarkStart w:id="62" w:name="_Toc476739005"/>
      <w:r>
        <w:t>Cost benefit analysis of each option</w:t>
      </w:r>
      <w:bookmarkEnd w:id="60"/>
      <w:bookmarkEnd w:id="61"/>
      <w:bookmarkEnd w:id="62"/>
    </w:p>
    <w:p w14:paraId="419BFC24" w14:textId="77777777" w:rsidR="00A00E96" w:rsidRDefault="00A00E96" w:rsidP="00A00E96">
      <w:pPr>
        <w:pStyle w:val="Heading4"/>
      </w:pPr>
      <w:r>
        <w:t>Option 1: No change</w:t>
      </w:r>
    </w:p>
    <w:p w14:paraId="1824D93B" w14:textId="77777777" w:rsidR="00A00E96" w:rsidRDefault="00A00E96" w:rsidP="00A00E96">
      <w:pPr>
        <w:pStyle w:val="Heading5"/>
      </w:pPr>
      <w:r>
        <w:t>Benefits</w:t>
      </w:r>
    </w:p>
    <w:p w14:paraId="58AE7257" w14:textId="77777777" w:rsidR="00A00E96" w:rsidRDefault="00A00E96" w:rsidP="00A00E96">
      <w:pPr>
        <w:pStyle w:val="OutlineNumbered1"/>
      </w:pPr>
      <w:r>
        <w:t xml:space="preserve">The benefit of this option is that there are </w:t>
      </w:r>
      <w:proofErr w:type="gramStart"/>
      <w:r>
        <w:t>no additional regulatory impacts for foreign investors as the current arrangements would not change</w:t>
      </w:r>
      <w:proofErr w:type="gramEnd"/>
      <w:r>
        <w:t>.</w:t>
      </w:r>
    </w:p>
    <w:p w14:paraId="37655F81" w14:textId="77777777" w:rsidR="00A00E96" w:rsidRDefault="00A00E96" w:rsidP="00A00E96">
      <w:pPr>
        <w:pStyle w:val="Heading5"/>
      </w:pPr>
      <w:r>
        <w:t>Costs</w:t>
      </w:r>
    </w:p>
    <w:p w14:paraId="470DA0EB" w14:textId="768C52E9" w:rsidR="00A00E96" w:rsidRPr="00A00E96" w:rsidRDefault="00A00E96" w:rsidP="00A00E96">
      <w:pPr>
        <w:pStyle w:val="OutlineNumbered1"/>
      </w:pPr>
      <w:r>
        <w:t>Continuing to impose regulatory burden on low</w:t>
      </w:r>
      <w:r w:rsidR="007E22CB">
        <w:noBreakHyphen/>
      </w:r>
      <w:r>
        <w:t xml:space="preserve">sensitivity cases would not meet the policy objective of </w:t>
      </w:r>
      <w:r w:rsidR="00614FE7">
        <w:t>targeting higher sensitivity cases</w:t>
      </w:r>
      <w:r>
        <w:t xml:space="preserve">. Some foreign investments will continue to bear regulatory burden that </w:t>
      </w:r>
      <w:r w:rsidR="00614FE7">
        <w:t xml:space="preserve">may be </w:t>
      </w:r>
      <w:r>
        <w:t>disproportionate</w:t>
      </w:r>
      <w:r w:rsidR="00AF32CB">
        <w:t xml:space="preserve"> to their level of sensitivity. </w:t>
      </w:r>
    </w:p>
    <w:p w14:paraId="70E33507" w14:textId="77777777" w:rsidR="00A00E96" w:rsidRDefault="00AF32CB" w:rsidP="00AF32CB">
      <w:pPr>
        <w:pStyle w:val="Heading4"/>
      </w:pPr>
      <w:r w:rsidRPr="00AF32CB">
        <w:t>Option 2: Introduce new exemption certificates for low sensitivity business proposals</w:t>
      </w:r>
    </w:p>
    <w:p w14:paraId="353E88FA" w14:textId="37CBD339" w:rsidR="007906AC" w:rsidRPr="007906AC" w:rsidRDefault="007906AC" w:rsidP="007906AC">
      <w:pPr>
        <w:pStyle w:val="Heading5"/>
      </w:pPr>
      <w:r>
        <w:t>Benefits</w:t>
      </w:r>
    </w:p>
    <w:p w14:paraId="70DC26C5" w14:textId="1B7E6AA5" w:rsidR="00AF32CB" w:rsidRDefault="00AF32CB" w:rsidP="00AF32CB">
      <w:pPr>
        <w:pStyle w:val="OutlineNumbered1"/>
      </w:pPr>
      <w:r>
        <w:t>Option 2 has the benefits of significantly reducing the regulatory burden for low sensiti</w:t>
      </w:r>
      <w:r w:rsidR="002871F6">
        <w:t xml:space="preserve">vity proposals while </w:t>
      </w:r>
      <w:r w:rsidR="000D5208">
        <w:t xml:space="preserve">reassuring the community </w:t>
      </w:r>
      <w:r>
        <w:t>that the national interest is still</w:t>
      </w:r>
      <w:r w:rsidR="00FA2EF4">
        <w:t xml:space="preserve"> being assessed</w:t>
      </w:r>
      <w:r w:rsidR="000D5208">
        <w:t>.</w:t>
      </w:r>
      <w:r w:rsidR="00115F66">
        <w:t xml:space="preserve"> </w:t>
      </w:r>
    </w:p>
    <w:p w14:paraId="35FE0E12" w14:textId="488FC2C8" w:rsidR="00115F66" w:rsidRDefault="00115F66" w:rsidP="00AF32CB">
      <w:pPr>
        <w:pStyle w:val="OutlineNumbered1"/>
      </w:pPr>
      <w:r>
        <w:t xml:space="preserve">It is assumed that up to 80 cases per year would be </w:t>
      </w:r>
      <w:r w:rsidR="00614FE7">
        <w:t>removed from the regime</w:t>
      </w:r>
      <w:r>
        <w:t xml:space="preserve"> by introducing the new exemption certificates</w:t>
      </w:r>
      <w:r w:rsidR="00D77920">
        <w:t xml:space="preserve"> (based on analysis of the number of cases where a single foreign person has lodged multiple applications)</w:t>
      </w:r>
      <w:r>
        <w:t xml:space="preserve">. </w:t>
      </w:r>
      <w:r w:rsidR="00FA339F">
        <w:t>This would save over $2 million in application fees and would</w:t>
      </w:r>
      <w:r>
        <w:t xml:space="preserve"> result in a </w:t>
      </w:r>
      <w:r w:rsidR="009B3C61">
        <w:t>compliance</w:t>
      </w:r>
      <w:r>
        <w:t xml:space="preserve"> cost saving of approximately $</w:t>
      </w:r>
      <w:r w:rsidR="00B53BD7">
        <w:t>2.4 million</w:t>
      </w:r>
      <w:r>
        <w:t xml:space="preserve"> per year.</w:t>
      </w:r>
    </w:p>
    <w:p w14:paraId="00F20F54" w14:textId="7A436A83" w:rsidR="007A1EA1" w:rsidRDefault="007A1EA1" w:rsidP="007A1EA1">
      <w:pPr>
        <w:pStyle w:val="TableMainHeading"/>
        <w:ind w:left="567"/>
      </w:pPr>
      <w:r w:rsidRPr="007E2FFF">
        <w:t>Average annual regulatory cost saving from business as usual</w:t>
      </w:r>
    </w:p>
    <w:tbl>
      <w:tblPr>
        <w:tblStyle w:val="TableGrid"/>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2165"/>
        <w:gridCol w:w="2166"/>
        <w:gridCol w:w="2166"/>
      </w:tblGrid>
      <w:tr w:rsidR="007E2FFF" w:rsidRPr="007E2FFF" w14:paraId="4521CEE6" w14:textId="77777777" w:rsidTr="00E51657">
        <w:tc>
          <w:tcPr>
            <w:tcW w:w="2222" w:type="dxa"/>
          </w:tcPr>
          <w:p w14:paraId="74F5C885" w14:textId="77777777" w:rsidR="007E2FFF" w:rsidRPr="007E2FFF" w:rsidRDefault="007E2FFF" w:rsidP="007A1EA1">
            <w:pPr>
              <w:pStyle w:val="TableColumnHeadingLeft"/>
            </w:pPr>
            <w:r w:rsidRPr="007E2FFF">
              <w:t>Change in costs</w:t>
            </w:r>
          </w:p>
          <w:p w14:paraId="141A87FC" w14:textId="77777777" w:rsidR="007E2FFF" w:rsidRPr="007E2FFF" w:rsidRDefault="007E2FFF" w:rsidP="007A1EA1">
            <w:pPr>
              <w:pStyle w:val="TableColumnHeadingLeft"/>
            </w:pPr>
            <w:r w:rsidRPr="007E2FFF">
              <w:t>($ million)</w:t>
            </w:r>
          </w:p>
        </w:tc>
        <w:tc>
          <w:tcPr>
            <w:tcW w:w="2165" w:type="dxa"/>
          </w:tcPr>
          <w:p w14:paraId="58DF9727" w14:textId="77777777" w:rsidR="007E2FFF" w:rsidRPr="007E2FFF" w:rsidRDefault="007E2FFF" w:rsidP="007A1EA1">
            <w:pPr>
              <w:pStyle w:val="TableColumnHeadingLeft"/>
            </w:pPr>
            <w:r w:rsidRPr="007E2FFF">
              <w:t>Business</w:t>
            </w:r>
          </w:p>
        </w:tc>
        <w:tc>
          <w:tcPr>
            <w:tcW w:w="2166" w:type="dxa"/>
          </w:tcPr>
          <w:p w14:paraId="14B68D62" w14:textId="77777777" w:rsidR="007E2FFF" w:rsidRPr="007E2FFF" w:rsidRDefault="007E2FFF" w:rsidP="007A1EA1">
            <w:pPr>
              <w:pStyle w:val="TableColumnHeadingLeft"/>
            </w:pPr>
            <w:r w:rsidRPr="007E2FFF">
              <w:t>Individuals</w:t>
            </w:r>
          </w:p>
        </w:tc>
        <w:tc>
          <w:tcPr>
            <w:tcW w:w="2166" w:type="dxa"/>
          </w:tcPr>
          <w:p w14:paraId="3A5AB6C1" w14:textId="77777777" w:rsidR="007E2FFF" w:rsidRPr="007E2FFF" w:rsidRDefault="007E2FFF" w:rsidP="007A1EA1">
            <w:pPr>
              <w:pStyle w:val="TableColumnHeadingLeft"/>
            </w:pPr>
            <w:r w:rsidRPr="007E2FFF">
              <w:t>Total change</w:t>
            </w:r>
          </w:p>
        </w:tc>
      </w:tr>
      <w:tr w:rsidR="00115F66" w:rsidRPr="007E2FFF" w14:paraId="5C274C18" w14:textId="77777777" w:rsidTr="00E51657">
        <w:tc>
          <w:tcPr>
            <w:tcW w:w="2222" w:type="dxa"/>
          </w:tcPr>
          <w:p w14:paraId="5D199FE0" w14:textId="7AC77CB2" w:rsidR="00115F66" w:rsidRPr="007E2FFF" w:rsidRDefault="00115F66" w:rsidP="007A1EA1">
            <w:pPr>
              <w:pStyle w:val="TableTextLeft"/>
            </w:pPr>
            <w:r>
              <w:t>Total</w:t>
            </w:r>
          </w:p>
        </w:tc>
        <w:tc>
          <w:tcPr>
            <w:tcW w:w="2165" w:type="dxa"/>
          </w:tcPr>
          <w:p w14:paraId="3B172EBD" w14:textId="01F45EF6" w:rsidR="00115F66" w:rsidRPr="007E2FFF" w:rsidRDefault="000C0522" w:rsidP="007A1EA1">
            <w:pPr>
              <w:pStyle w:val="TableTextLeft"/>
            </w:pPr>
            <w:r>
              <w:t>2.4</w:t>
            </w:r>
          </w:p>
        </w:tc>
        <w:tc>
          <w:tcPr>
            <w:tcW w:w="2166" w:type="dxa"/>
          </w:tcPr>
          <w:p w14:paraId="0368E4C0" w14:textId="68F86FB9" w:rsidR="00115F66" w:rsidRPr="007E2FFF" w:rsidRDefault="00115F66" w:rsidP="007A1EA1">
            <w:pPr>
              <w:pStyle w:val="TableTextLeft"/>
            </w:pPr>
            <w:r w:rsidRPr="00115F66">
              <w:t>No change</w:t>
            </w:r>
          </w:p>
        </w:tc>
        <w:tc>
          <w:tcPr>
            <w:tcW w:w="2166" w:type="dxa"/>
          </w:tcPr>
          <w:p w14:paraId="6A1C564A" w14:textId="2DDC5B10" w:rsidR="00115F66" w:rsidRPr="007E2FFF" w:rsidRDefault="000C0522" w:rsidP="007A1EA1">
            <w:pPr>
              <w:pStyle w:val="TableTextLeft"/>
            </w:pPr>
            <w:r>
              <w:t>2.4</w:t>
            </w:r>
          </w:p>
        </w:tc>
      </w:tr>
    </w:tbl>
    <w:p w14:paraId="25ADCDFC" w14:textId="77777777" w:rsidR="007E2FFF" w:rsidRDefault="007E2FFF" w:rsidP="007E2FFF">
      <w:pPr>
        <w:pStyle w:val="OutlineNumbered1"/>
        <w:numPr>
          <w:ilvl w:val="0"/>
          <w:numId w:val="0"/>
        </w:numPr>
      </w:pPr>
    </w:p>
    <w:p w14:paraId="6ECFD5C3" w14:textId="77777777" w:rsidR="00AF32CB" w:rsidRDefault="00AF32CB" w:rsidP="00AF32CB">
      <w:pPr>
        <w:pStyle w:val="Heading4"/>
      </w:pPr>
      <w:r>
        <w:t xml:space="preserve">Option 3: </w:t>
      </w:r>
      <w:r w:rsidR="00CD1AD4" w:rsidRPr="00CD1AD4">
        <w:t>Exempt certain low value and low sensitivity business investments from notification requirements</w:t>
      </w:r>
    </w:p>
    <w:p w14:paraId="364896D2" w14:textId="77777777" w:rsidR="002A55B5" w:rsidRDefault="00FA2EF4" w:rsidP="00FA2EF4">
      <w:pPr>
        <w:pStyle w:val="Heading5"/>
      </w:pPr>
      <w:r>
        <w:t>Benefits</w:t>
      </w:r>
    </w:p>
    <w:p w14:paraId="5842980C" w14:textId="0EAFB806" w:rsidR="007E2FFF" w:rsidRDefault="00FA2EF4" w:rsidP="00987EEA">
      <w:pPr>
        <w:pStyle w:val="OutlineNumbered1"/>
      </w:pPr>
      <w:r w:rsidRPr="00FA2EF4">
        <w:t xml:space="preserve">Option </w:t>
      </w:r>
      <w:r w:rsidR="00B42412">
        <w:t>3 would</w:t>
      </w:r>
      <w:r w:rsidR="00987EEA">
        <w:t xml:space="preserve"> reduce</w:t>
      </w:r>
      <w:r w:rsidRPr="00FA2EF4">
        <w:t xml:space="preserve"> the regulatory burden for low sensitivity proposals</w:t>
      </w:r>
      <w:r>
        <w:t>.</w:t>
      </w:r>
      <w:r w:rsidR="00115F66">
        <w:t xml:space="preserve"> It is estimated that 298 cases will be saved from the requirement to notify per year</w:t>
      </w:r>
      <w:r w:rsidR="00D77920">
        <w:t xml:space="preserve"> (based on analysis about the number of cases received with a consideration of less than $100</w:t>
      </w:r>
      <w:r w:rsidR="00473D35">
        <w:t> </w:t>
      </w:r>
      <w:r w:rsidR="00D77920">
        <w:t>million)</w:t>
      </w:r>
      <w:r w:rsidR="00115F66">
        <w:t>.</w:t>
      </w:r>
      <w:r w:rsidR="00C84EB8">
        <w:t xml:space="preserve"> This</w:t>
      </w:r>
      <w:r w:rsidR="00A03684">
        <w:t xml:space="preserve"> would save over $7</w:t>
      </w:r>
      <w:r w:rsidR="00BB0ECF">
        <w:t>.5</w:t>
      </w:r>
      <w:r w:rsidR="00A03684">
        <w:t xml:space="preserve"> million in application fees and would result in a compliance cost saving of approximately </w:t>
      </w:r>
      <w:r w:rsidR="00C84EB8">
        <w:t>$</w:t>
      </w:r>
      <w:r w:rsidR="00A03684">
        <w:t>9</w:t>
      </w:r>
      <w:r w:rsidR="00473D35">
        <w:t>.</w:t>
      </w:r>
      <w:r w:rsidR="00F45B47">
        <w:t>1</w:t>
      </w:r>
      <w:r w:rsidR="00473D35">
        <w:t xml:space="preserve"> million</w:t>
      </w:r>
      <w:r w:rsidR="00A03684">
        <w:t xml:space="preserve"> per year</w:t>
      </w:r>
      <w:r w:rsidR="00C84EB8">
        <w:t xml:space="preserve">. </w:t>
      </w:r>
    </w:p>
    <w:p w14:paraId="276A22E2" w14:textId="783ABD7C" w:rsidR="007A1EA1" w:rsidRDefault="007A1EA1" w:rsidP="007A1EA1">
      <w:pPr>
        <w:pStyle w:val="TableMainHeading"/>
        <w:ind w:left="567"/>
      </w:pPr>
      <w:r w:rsidRPr="007E2FFF">
        <w:t>Average annual regulatory cost saving from business as usual</w:t>
      </w:r>
    </w:p>
    <w:tbl>
      <w:tblPr>
        <w:tblStyle w:val="TableGrid"/>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2165"/>
        <w:gridCol w:w="2166"/>
        <w:gridCol w:w="2166"/>
      </w:tblGrid>
      <w:tr w:rsidR="00C84EB8" w:rsidRPr="007E2FFF" w14:paraId="1D6BE7A4" w14:textId="77777777" w:rsidTr="001911CA">
        <w:tc>
          <w:tcPr>
            <w:tcW w:w="2222" w:type="dxa"/>
          </w:tcPr>
          <w:p w14:paraId="3B65D380" w14:textId="77777777" w:rsidR="00C84EB8" w:rsidRPr="007E2FFF" w:rsidRDefault="00C84EB8" w:rsidP="007A1EA1">
            <w:pPr>
              <w:pStyle w:val="TableColumnHeadingLeft"/>
            </w:pPr>
            <w:r w:rsidRPr="007E2FFF">
              <w:t>Change in costs</w:t>
            </w:r>
          </w:p>
          <w:p w14:paraId="4C6FB1F6" w14:textId="77777777" w:rsidR="00C84EB8" w:rsidRPr="007E2FFF" w:rsidRDefault="00C84EB8" w:rsidP="007A1EA1">
            <w:pPr>
              <w:pStyle w:val="TableColumnHeadingLeft"/>
            </w:pPr>
            <w:r w:rsidRPr="007E2FFF">
              <w:t>($ million)</w:t>
            </w:r>
          </w:p>
        </w:tc>
        <w:tc>
          <w:tcPr>
            <w:tcW w:w="2165" w:type="dxa"/>
          </w:tcPr>
          <w:p w14:paraId="740B09C0" w14:textId="77777777" w:rsidR="00C84EB8" w:rsidRPr="007E2FFF" w:rsidRDefault="00C84EB8" w:rsidP="007A1EA1">
            <w:pPr>
              <w:pStyle w:val="TableColumnHeadingLeft"/>
            </w:pPr>
            <w:r w:rsidRPr="007E2FFF">
              <w:t>Business</w:t>
            </w:r>
          </w:p>
        </w:tc>
        <w:tc>
          <w:tcPr>
            <w:tcW w:w="2166" w:type="dxa"/>
          </w:tcPr>
          <w:p w14:paraId="6681ED5B" w14:textId="77777777" w:rsidR="00C84EB8" w:rsidRPr="007E2FFF" w:rsidRDefault="00C84EB8" w:rsidP="007A1EA1">
            <w:pPr>
              <w:pStyle w:val="TableColumnHeadingLeft"/>
            </w:pPr>
            <w:r w:rsidRPr="007E2FFF">
              <w:t>Individuals</w:t>
            </w:r>
          </w:p>
        </w:tc>
        <w:tc>
          <w:tcPr>
            <w:tcW w:w="2166" w:type="dxa"/>
          </w:tcPr>
          <w:p w14:paraId="217B9766" w14:textId="77777777" w:rsidR="00C84EB8" w:rsidRPr="007E2FFF" w:rsidRDefault="00C84EB8" w:rsidP="007A1EA1">
            <w:pPr>
              <w:pStyle w:val="TableColumnHeadingLeft"/>
            </w:pPr>
            <w:r w:rsidRPr="007E2FFF">
              <w:t>Total change</w:t>
            </w:r>
          </w:p>
        </w:tc>
      </w:tr>
      <w:tr w:rsidR="00C84EB8" w:rsidRPr="007E2FFF" w14:paraId="20CC8ECC" w14:textId="77777777" w:rsidTr="001911CA">
        <w:tc>
          <w:tcPr>
            <w:tcW w:w="2222" w:type="dxa"/>
          </w:tcPr>
          <w:p w14:paraId="4FA25246" w14:textId="49050F7D" w:rsidR="00C84EB8" w:rsidRPr="007E2FFF" w:rsidRDefault="00C84EB8" w:rsidP="007A1EA1">
            <w:pPr>
              <w:pStyle w:val="TableTextLeft"/>
            </w:pPr>
            <w:r w:rsidRPr="007E2FFF">
              <w:t>Total</w:t>
            </w:r>
            <w:r>
              <w:t xml:space="preserve"> </w:t>
            </w:r>
          </w:p>
        </w:tc>
        <w:tc>
          <w:tcPr>
            <w:tcW w:w="2165" w:type="dxa"/>
          </w:tcPr>
          <w:p w14:paraId="213B1D26" w14:textId="3B107D1C" w:rsidR="00C84EB8" w:rsidRPr="00C84EB8" w:rsidRDefault="000C0522" w:rsidP="007A1EA1">
            <w:pPr>
              <w:pStyle w:val="TableTextLeft"/>
            </w:pPr>
            <w:r>
              <w:t>9.1</w:t>
            </w:r>
          </w:p>
        </w:tc>
        <w:tc>
          <w:tcPr>
            <w:tcW w:w="2166" w:type="dxa"/>
          </w:tcPr>
          <w:p w14:paraId="73DA0CD9" w14:textId="770E6DC1" w:rsidR="00C84EB8" w:rsidRPr="00C84EB8" w:rsidRDefault="00C84EB8" w:rsidP="007A1EA1">
            <w:pPr>
              <w:pStyle w:val="TableTextLeft"/>
            </w:pPr>
            <w:r w:rsidRPr="00C84EB8">
              <w:t>No change</w:t>
            </w:r>
          </w:p>
        </w:tc>
        <w:tc>
          <w:tcPr>
            <w:tcW w:w="2166" w:type="dxa"/>
          </w:tcPr>
          <w:p w14:paraId="0F2BDD11" w14:textId="651D26C5" w:rsidR="00C84EB8" w:rsidRPr="00C84EB8" w:rsidRDefault="000C0522" w:rsidP="007A1EA1">
            <w:pPr>
              <w:pStyle w:val="TableTextLeft"/>
            </w:pPr>
            <w:r>
              <w:t>9.1</w:t>
            </w:r>
          </w:p>
        </w:tc>
      </w:tr>
    </w:tbl>
    <w:p w14:paraId="462A6CBB" w14:textId="77777777" w:rsidR="004010AF" w:rsidRDefault="004010AF" w:rsidP="007A1EA1">
      <w:pPr>
        <w:pStyle w:val="SingleParagraph"/>
      </w:pPr>
    </w:p>
    <w:p w14:paraId="0B305D19" w14:textId="77777777" w:rsidR="00FA2EF4" w:rsidRDefault="00987EEA" w:rsidP="00987EEA">
      <w:pPr>
        <w:pStyle w:val="Heading5"/>
      </w:pPr>
      <w:r>
        <w:t>Costs</w:t>
      </w:r>
    </w:p>
    <w:p w14:paraId="597051CF" w14:textId="184C42A1" w:rsidR="000D5208" w:rsidRPr="000D5208" w:rsidRDefault="000D5208" w:rsidP="000D5208">
      <w:pPr>
        <w:pStyle w:val="OutlineNumbered1"/>
      </w:pPr>
      <w:r>
        <w:t>R</w:t>
      </w:r>
      <w:r w:rsidR="00575E8F">
        <w:t xml:space="preserve">aising the </w:t>
      </w:r>
      <w:r w:rsidR="009B5510">
        <w:t>notification</w:t>
      </w:r>
      <w:r w:rsidR="00575E8F">
        <w:t xml:space="preserve"> threshold</w:t>
      </w:r>
      <w:r w:rsidRPr="000D5208">
        <w:t xml:space="preserve"> may heighten concerns about whether the screening regime is adequately capturing proposals that may raise sensitivities. </w:t>
      </w:r>
    </w:p>
    <w:p w14:paraId="44FF6836" w14:textId="7A8957FA" w:rsidR="00987EEA" w:rsidRDefault="00E42408" w:rsidP="00E42408">
      <w:pPr>
        <w:pStyle w:val="OutlineNumbered1"/>
      </w:pPr>
      <w:r>
        <w:t xml:space="preserve">Further, </w:t>
      </w:r>
      <w:r w:rsidRPr="00E42408">
        <w:t>limitations arising from Australia</w:t>
      </w:r>
      <w:r w:rsidR="007E22CB">
        <w:t>’</w:t>
      </w:r>
      <w:r w:rsidRPr="00E42408">
        <w:t>s international commitment</w:t>
      </w:r>
      <w:r w:rsidR="00575E8F">
        <w:t>s in relation to the framework</w:t>
      </w:r>
      <w:r w:rsidRPr="00E42408">
        <w:t xml:space="preserve"> mean </w:t>
      </w:r>
      <w:r w:rsidR="00575E8F">
        <w:t xml:space="preserve">that </w:t>
      </w:r>
      <w:r w:rsidRPr="00E42408">
        <w:t xml:space="preserve">once an exemption is introduced for some actions, </w:t>
      </w:r>
      <w:r w:rsidR="00026487">
        <w:t>the exemption</w:t>
      </w:r>
      <w:r w:rsidRPr="00E42408">
        <w:t xml:space="preserve"> cannot be readily removed for investors of some countries</w:t>
      </w:r>
      <w:r>
        <w:t xml:space="preserve">. This will reduce flexibility to address community concerns and respond to changing national interest concerns. </w:t>
      </w:r>
    </w:p>
    <w:p w14:paraId="624C299D" w14:textId="77777777" w:rsidR="00E42408" w:rsidRDefault="003C0E4D" w:rsidP="003C0E4D">
      <w:pPr>
        <w:pStyle w:val="Heading2"/>
      </w:pPr>
      <w:bookmarkStart w:id="63" w:name="_Toc476739006"/>
      <w:r>
        <w:t xml:space="preserve">4. </w:t>
      </w:r>
      <w:r w:rsidR="00A24ED8">
        <w:t xml:space="preserve">Commercial </w:t>
      </w:r>
      <w:r>
        <w:t>Fees</w:t>
      </w:r>
      <w:bookmarkEnd w:id="63"/>
    </w:p>
    <w:p w14:paraId="1EE5540A" w14:textId="77777777" w:rsidR="003C0E4D" w:rsidRDefault="003C0E4D" w:rsidP="003C0E4D">
      <w:pPr>
        <w:pStyle w:val="Heading3"/>
      </w:pPr>
      <w:bookmarkStart w:id="64" w:name="_Toc474922942"/>
      <w:bookmarkStart w:id="65" w:name="_Toc474924161"/>
      <w:bookmarkStart w:id="66" w:name="_Toc476739007"/>
      <w:r>
        <w:t>Background</w:t>
      </w:r>
      <w:bookmarkEnd w:id="64"/>
      <w:bookmarkEnd w:id="65"/>
      <w:bookmarkEnd w:id="66"/>
    </w:p>
    <w:p w14:paraId="5ED5BB9A" w14:textId="77777777" w:rsidR="00757420" w:rsidRDefault="00380BF4" w:rsidP="00206977">
      <w:pPr>
        <w:pStyle w:val="OutlineNumbered1"/>
      </w:pPr>
      <w:r>
        <w:t>A key change that took effect on 1 December 2015</w:t>
      </w:r>
      <w:r w:rsidR="00206977">
        <w:t xml:space="preserve"> </w:t>
      </w:r>
      <w:r w:rsidR="00757420">
        <w:t xml:space="preserve">was the introduction of application fees. </w:t>
      </w:r>
      <w:r w:rsidR="009F2018">
        <w:t>F</w:t>
      </w:r>
      <w:r w:rsidR="00757420">
        <w:t xml:space="preserve">ees are generally payable by any person who makes an application under the </w:t>
      </w:r>
      <w:r w:rsidR="009F2018">
        <w:t>FATA</w:t>
      </w:r>
      <w:r w:rsidR="00757420">
        <w:t xml:space="preserve">. Applications are not considered made until the correct fee has been paid. </w:t>
      </w:r>
    </w:p>
    <w:p w14:paraId="1635CF4D" w14:textId="50A47773" w:rsidR="009C67B5" w:rsidRDefault="00757420" w:rsidP="00A9151E">
      <w:pPr>
        <w:pStyle w:val="OutlineNumbered1"/>
      </w:pPr>
      <w:r>
        <w:t xml:space="preserve">Application fees </w:t>
      </w:r>
      <w:r w:rsidR="003322F8">
        <w:t xml:space="preserve">vary </w:t>
      </w:r>
      <w:r>
        <w:t>based on the type and size of an acquisition. Fees for business proposals generally range from $25,</w:t>
      </w:r>
      <w:r w:rsidR="003322F8">
        <w:t>3</w:t>
      </w:r>
      <w:r>
        <w:t>00 to $10</w:t>
      </w:r>
      <w:r w:rsidR="003322F8">
        <w:t>1</w:t>
      </w:r>
      <w:r>
        <w:t>,</w:t>
      </w:r>
      <w:r w:rsidR="003322F8">
        <w:t>5</w:t>
      </w:r>
      <w:r>
        <w:t xml:space="preserve">00 depending on the size of the transaction. Land fees vary depending on the type of land being </w:t>
      </w:r>
      <w:proofErr w:type="gramStart"/>
      <w:r>
        <w:t>acquired,</w:t>
      </w:r>
      <w:proofErr w:type="gramEnd"/>
      <w:r>
        <w:t xml:space="preserve"> with agricultural land incurring tiered fees based on the value of the transaction</w:t>
      </w:r>
      <w:r w:rsidR="009C67B5">
        <w:t>, but are capped at $10</w:t>
      </w:r>
      <w:r w:rsidR="003322F8">
        <w:t>1</w:t>
      </w:r>
      <w:r w:rsidR="009C67B5">
        <w:t>,</w:t>
      </w:r>
      <w:r w:rsidR="003322F8">
        <w:t>5</w:t>
      </w:r>
      <w:r w:rsidR="009C67B5">
        <w:t>00</w:t>
      </w:r>
      <w:r>
        <w:t xml:space="preserve">. </w:t>
      </w:r>
      <w:r w:rsidR="00A5481A" w:rsidRPr="00A5481A">
        <w:t xml:space="preserve">The current </w:t>
      </w:r>
      <w:r w:rsidR="00A9151E">
        <w:t xml:space="preserve">business </w:t>
      </w:r>
      <w:r w:rsidR="00A5481A" w:rsidRPr="00A5481A">
        <w:t xml:space="preserve">fee structure is at </w:t>
      </w:r>
      <w:r w:rsidR="00A5481A" w:rsidRPr="00A9151E">
        <w:rPr>
          <w:u w:val="single"/>
        </w:rPr>
        <w:t>Attachment A</w:t>
      </w:r>
      <w:r w:rsidR="00A5481A" w:rsidRPr="00A5481A">
        <w:t>.</w:t>
      </w:r>
    </w:p>
    <w:p w14:paraId="295E7B51" w14:textId="77777777" w:rsidR="006E5587" w:rsidRDefault="006E5587" w:rsidP="006E5587">
      <w:pPr>
        <w:pStyle w:val="OutlineNumbered1"/>
      </w:pPr>
      <w:r>
        <w:t xml:space="preserve">There are a range of fee rules that may lower fees in certain circumstances. </w:t>
      </w:r>
    </w:p>
    <w:p w14:paraId="28AD8AB3" w14:textId="655233DB" w:rsidR="00757420" w:rsidRDefault="00757420" w:rsidP="00757420">
      <w:pPr>
        <w:pStyle w:val="OutlineNumbered1"/>
      </w:pPr>
      <w:r>
        <w:t xml:space="preserve">The Treasurer may waive or remit a fee if satisfied that it is not contrary to the national interest to do so. </w:t>
      </w:r>
      <w:r w:rsidR="00A5481A">
        <w:t>Fee waivers and remi</w:t>
      </w:r>
      <w:r w:rsidR="00255135">
        <w:t>ssions are considered on a case</w:t>
      </w:r>
      <w:r w:rsidR="007E22CB">
        <w:noBreakHyphen/>
      </w:r>
      <w:r w:rsidR="00255135">
        <w:t>by</w:t>
      </w:r>
      <w:r w:rsidR="007E22CB">
        <w:noBreakHyphen/>
      </w:r>
      <w:r w:rsidR="00A5481A">
        <w:t>case basis and are administered by ATO and Treasury officers under delegation.</w:t>
      </w:r>
    </w:p>
    <w:p w14:paraId="24AEB851" w14:textId="77777777" w:rsidR="00757420" w:rsidRDefault="00A5481A" w:rsidP="00A5481A">
      <w:pPr>
        <w:pStyle w:val="Heading3"/>
      </w:pPr>
      <w:bookmarkStart w:id="67" w:name="_Toc474922943"/>
      <w:bookmarkStart w:id="68" w:name="_Toc474924162"/>
      <w:bookmarkStart w:id="69" w:name="_Toc476739008"/>
      <w:r>
        <w:lastRenderedPageBreak/>
        <w:t>The problem</w:t>
      </w:r>
      <w:bookmarkEnd w:id="67"/>
      <w:bookmarkEnd w:id="68"/>
      <w:bookmarkEnd w:id="69"/>
    </w:p>
    <w:p w14:paraId="5DE1B33F" w14:textId="77777777" w:rsidR="00B26608" w:rsidRDefault="00B26608" w:rsidP="00B26608">
      <w:pPr>
        <w:pStyle w:val="Heading4"/>
      </w:pPr>
      <w:r>
        <w:t>Fee complexity</w:t>
      </w:r>
    </w:p>
    <w:p w14:paraId="36A65E17" w14:textId="4B481468" w:rsidR="00E71A19" w:rsidRDefault="00B26608" w:rsidP="00B26608">
      <w:pPr>
        <w:pStyle w:val="OutlineNumbered1"/>
      </w:pPr>
      <w:r>
        <w:t>The</w:t>
      </w:r>
      <w:r w:rsidRPr="00910329">
        <w:t xml:space="preserve"> introduction of fees </w:t>
      </w:r>
      <w:r>
        <w:t>was a significant change</w:t>
      </w:r>
      <w:r w:rsidR="008D0464">
        <w:t xml:space="preserve">. </w:t>
      </w:r>
      <w:r w:rsidR="00E71A19">
        <w:t xml:space="preserve">While teething issues with the introduction of any </w:t>
      </w:r>
      <w:r w:rsidR="008D0464">
        <w:t>large</w:t>
      </w:r>
      <w:r w:rsidR="00E71A19">
        <w:t xml:space="preserve"> change is to be expected, experiences with the fee system indicate that the fee settings</w:t>
      </w:r>
      <w:r w:rsidR="00273B98">
        <w:t xml:space="preserve"> for commercial transactions</w:t>
      </w:r>
      <w:r w:rsidR="00E71A19">
        <w:t xml:space="preserve"> are </w:t>
      </w:r>
      <w:r w:rsidR="008D0464">
        <w:t xml:space="preserve">unnecessarily complex. </w:t>
      </w:r>
      <w:r w:rsidR="00A24ED8">
        <w:t xml:space="preserve">This consultation paper discusses issues and options with regards to commercial fees. Changes to the residential land fees are not being considered </w:t>
      </w:r>
      <w:r w:rsidR="00843AF0">
        <w:t>in the context of t</w:t>
      </w:r>
      <w:r w:rsidR="002871F6">
        <w:t>his</w:t>
      </w:r>
      <w:r w:rsidR="00843AF0">
        <w:t xml:space="preserve"> legislative package</w:t>
      </w:r>
      <w:r w:rsidR="00D978FE">
        <w:t xml:space="preserve">. </w:t>
      </w:r>
    </w:p>
    <w:p w14:paraId="277468E8" w14:textId="77777777" w:rsidR="00A17DEB" w:rsidRDefault="006E5587" w:rsidP="00273B98">
      <w:pPr>
        <w:pStyle w:val="OutlineNumbered1"/>
      </w:pPr>
      <w:r>
        <w:t>F</w:t>
      </w:r>
      <w:r w:rsidR="00E71A19">
        <w:t xml:space="preserve">ee complexity stems from different fees for different acquisition types, with some fees tiered on a sliding scale based on consideration. </w:t>
      </w:r>
      <w:r w:rsidR="00A17DEB">
        <w:t xml:space="preserve">For example, a $20 million commercial acquisition </w:t>
      </w:r>
      <w:r w:rsidR="00A17DEB" w:rsidRPr="00A17DEB">
        <w:t xml:space="preserve">could attract a fee of $10,100 </w:t>
      </w:r>
      <w:r w:rsidR="00A17DEB">
        <w:t>for vacant commercial land</w:t>
      </w:r>
      <w:r w:rsidR="00A17DEB" w:rsidRPr="00A17DEB">
        <w:t xml:space="preserve">, $25,300 </w:t>
      </w:r>
      <w:r w:rsidR="00A17DEB">
        <w:t>for an acquisition of securities, $101,500 for</w:t>
      </w:r>
      <w:r w:rsidR="00A17DEB" w:rsidRPr="00A17DEB">
        <w:t xml:space="preserve"> agricultural land </w:t>
      </w:r>
      <w:r w:rsidR="00A17DEB">
        <w:t>or</w:t>
      </w:r>
      <w:r w:rsidR="00A17DEB" w:rsidRPr="00A17DEB">
        <w:t xml:space="preserve"> $203,000 for residential land.</w:t>
      </w:r>
    </w:p>
    <w:p w14:paraId="37E949E0" w14:textId="77777777" w:rsidR="00B26608" w:rsidRDefault="008D0464" w:rsidP="008D0464">
      <w:pPr>
        <w:pStyle w:val="OutlineNumbered1"/>
      </w:pPr>
      <w:r>
        <w:t>In some cases, significant work has to be done to identify the actions that are being notified under the framework and then confirm the correct fee. This has</w:t>
      </w:r>
      <w:r w:rsidR="00B26608">
        <w:t xml:space="preserve"> </w:t>
      </w:r>
      <w:r>
        <w:t>added</w:t>
      </w:r>
      <w:r w:rsidR="00B26608">
        <w:t xml:space="preserve"> complexity in administering the system </w:t>
      </w:r>
      <w:r>
        <w:t>and in some cases</w:t>
      </w:r>
      <w:r w:rsidR="00B26608">
        <w:t xml:space="preserve"> has adversely impacted timeliness in processing applications.</w:t>
      </w:r>
    </w:p>
    <w:p w14:paraId="0BC3D5B1" w14:textId="56753377" w:rsidR="00B26608" w:rsidRDefault="001644FC" w:rsidP="00B26608">
      <w:pPr>
        <w:pStyle w:val="Heading4"/>
      </w:pPr>
      <w:r>
        <w:t>F</w:t>
      </w:r>
      <w:r w:rsidR="009F2018">
        <w:t xml:space="preserve">ees for small commercial transactions </w:t>
      </w:r>
    </w:p>
    <w:p w14:paraId="72E9AD6E" w14:textId="571C390D" w:rsidR="00E33217" w:rsidRDefault="00266467" w:rsidP="0078766B">
      <w:pPr>
        <w:pStyle w:val="OutlineNumbered1"/>
      </w:pPr>
      <w:r>
        <w:t xml:space="preserve">In </w:t>
      </w:r>
      <w:r w:rsidR="0078766B">
        <w:t xml:space="preserve">some </w:t>
      </w:r>
      <w:r>
        <w:t xml:space="preserve">cases where the commercial transaction is low value, </w:t>
      </w:r>
      <w:r w:rsidR="009F2018">
        <w:t xml:space="preserve">the fee </w:t>
      </w:r>
      <w:r w:rsidR="001644FC">
        <w:t xml:space="preserve">represents a relatively large impost </w:t>
      </w:r>
      <w:r w:rsidR="00E33217">
        <w:t xml:space="preserve">and may therefore discourage certain types of investments. </w:t>
      </w:r>
    </w:p>
    <w:p w14:paraId="09AF55C4" w14:textId="77777777" w:rsidR="004A41F8" w:rsidRDefault="00E33217" w:rsidP="00E33217">
      <w:pPr>
        <w:pStyle w:val="OutlineNumbered1"/>
      </w:pPr>
      <w:r>
        <w:t xml:space="preserve">Fees are </w:t>
      </w:r>
      <w:r w:rsidR="0078766B">
        <w:t>of particular concern to foreign government investors. The</w:t>
      </w:r>
      <w:r w:rsidR="0078766B" w:rsidRPr="0078766B">
        <w:t xml:space="preserve"> $0 </w:t>
      </w:r>
      <w:r w:rsidR="0078766B">
        <w:t xml:space="preserve">screening </w:t>
      </w:r>
      <w:r w:rsidR="0078766B" w:rsidRPr="0078766B">
        <w:t xml:space="preserve">threshold means that they can be liable for application fees on minor transactions </w:t>
      </w:r>
      <w:r w:rsidR="004A41F8">
        <w:t xml:space="preserve">which are not </w:t>
      </w:r>
      <w:proofErr w:type="spellStart"/>
      <w:r w:rsidR="004A41F8">
        <w:t>notifiable</w:t>
      </w:r>
      <w:proofErr w:type="spellEnd"/>
      <w:r w:rsidR="004A41F8">
        <w:t xml:space="preserve"> for private investors</w:t>
      </w:r>
      <w:r w:rsidR="006E5587">
        <w:t xml:space="preserve">. </w:t>
      </w:r>
    </w:p>
    <w:p w14:paraId="2679FCF9" w14:textId="198A5243" w:rsidR="0078766B" w:rsidRDefault="00E33217" w:rsidP="004A41F8">
      <w:pPr>
        <w:pStyle w:val="OutlineNumbered2"/>
      </w:pPr>
      <w:r>
        <w:t xml:space="preserve">For example, a $25,300 fee would be payable for a small $4 million venture capital investment by a foreign government investor, while a private investor would generally only need approval </w:t>
      </w:r>
      <w:r w:rsidR="004A41F8">
        <w:t xml:space="preserve">and pay a fee </w:t>
      </w:r>
      <w:r>
        <w:t xml:space="preserve">unless the </w:t>
      </w:r>
      <w:r w:rsidR="0078766B" w:rsidRPr="0078766B">
        <w:t>Australian target is above $252 million).</w:t>
      </w:r>
      <w:r w:rsidR="004A41F8">
        <w:t xml:space="preserve"> This </w:t>
      </w:r>
      <w:r w:rsidR="00380BF4">
        <w:t>provides a</w:t>
      </w:r>
      <w:r w:rsidR="004A41F8">
        <w:t xml:space="preserve"> </w:t>
      </w:r>
      <w:r w:rsidR="005516F2">
        <w:t xml:space="preserve">relatively </w:t>
      </w:r>
      <w:r w:rsidR="001B71A5">
        <w:t>high</w:t>
      </w:r>
      <w:r w:rsidR="005516F2">
        <w:t xml:space="preserve"> </w:t>
      </w:r>
      <w:r w:rsidR="004A41F8">
        <w:t>fee burden for smaller acquisitions.</w:t>
      </w:r>
    </w:p>
    <w:p w14:paraId="30EA9BD9" w14:textId="08F7812A" w:rsidR="0078766B" w:rsidRDefault="0078766B" w:rsidP="00246A38">
      <w:pPr>
        <w:pStyle w:val="OutlineNumbered1"/>
      </w:pPr>
      <w:r>
        <w:t xml:space="preserve">Another area where there are </w:t>
      </w:r>
      <w:r w:rsidR="00E33217">
        <w:t>disproportionate fee outcomes is for businesses acquiring residential land for commercial purposes. The residential l</w:t>
      </w:r>
      <w:r w:rsidR="00465D3F">
        <w:t>and fees (tiered at around $10,1</w:t>
      </w:r>
      <w:r w:rsidR="00E33217">
        <w:t>00 per million and uncapped) were aimed at individu</w:t>
      </w:r>
      <w:r w:rsidR="006E5587">
        <w:t xml:space="preserve">als purchasing residential land. </w:t>
      </w:r>
      <w:r w:rsidR="004A41F8">
        <w:t xml:space="preserve">As the residential land fees are uncapped, there have been examples of very large fees (up to hundreds of thousands of dollars) being paid by property developers seeking to acquire many titles of residential land for commercial purposes. </w:t>
      </w:r>
    </w:p>
    <w:p w14:paraId="3369A0EF" w14:textId="60DFD510" w:rsidR="006E5587" w:rsidRDefault="004A41F8" w:rsidP="006E5587">
      <w:pPr>
        <w:pStyle w:val="OutlineNumbered1"/>
      </w:pPr>
      <w:r>
        <w:t xml:space="preserve">In response to concerns that the fee framework creates disincentives to investment, the discretionary fee waiver and remission power in the FATA has been used </w:t>
      </w:r>
      <w:r w:rsidR="00465D3F">
        <w:t>reduce fees</w:t>
      </w:r>
      <w:r>
        <w:t xml:space="preserve"> in certain circumstances. </w:t>
      </w:r>
      <w:r w:rsidR="006E5587">
        <w:t>These are outlined in the box below.</w:t>
      </w:r>
    </w:p>
    <w:tbl>
      <w:tblPr>
        <w:tblStyle w:val="TableGrid"/>
        <w:tblW w:w="0" w:type="auto"/>
        <w:tblInd w:w="567" w:type="dxa"/>
        <w:tblLook w:val="04A0" w:firstRow="1" w:lastRow="0" w:firstColumn="1" w:lastColumn="0" w:noHBand="0" w:noVBand="1"/>
      </w:tblPr>
      <w:tblGrid>
        <w:gridCol w:w="8719"/>
      </w:tblGrid>
      <w:tr w:rsidR="006E5587" w14:paraId="0E6ABDC1" w14:textId="77777777" w:rsidTr="006E5587">
        <w:tc>
          <w:tcPr>
            <w:tcW w:w="9286" w:type="dxa"/>
          </w:tcPr>
          <w:p w14:paraId="764FC723" w14:textId="77777777" w:rsidR="006E5587" w:rsidRDefault="006E5587" w:rsidP="006E5587">
            <w:pPr>
              <w:pStyle w:val="Heading5"/>
              <w:outlineLvl w:val="4"/>
            </w:pPr>
            <w:r w:rsidRPr="006E5587">
              <w:lastRenderedPageBreak/>
              <w:t>Discretionary Fee Waive</w:t>
            </w:r>
            <w:r w:rsidR="002F2A12">
              <w:t>r</w:t>
            </w:r>
            <w:r w:rsidRPr="006E5587">
              <w:t>s</w:t>
            </w:r>
          </w:p>
          <w:p w14:paraId="6D979381" w14:textId="2C6A7D83" w:rsidR="006E5587" w:rsidRDefault="006E5587" w:rsidP="006E5587">
            <w:pPr>
              <w:pStyle w:val="OutlineNumbered2"/>
            </w:pPr>
            <w:r w:rsidRPr="006E5587">
              <w:rPr>
                <w:b/>
              </w:rPr>
              <w:t>Small non</w:t>
            </w:r>
            <w:r w:rsidR="007E22CB">
              <w:rPr>
                <w:b/>
              </w:rPr>
              <w:noBreakHyphen/>
            </w:r>
            <w:r w:rsidRPr="006E5587">
              <w:rPr>
                <w:b/>
              </w:rPr>
              <w:t>land acquisitions.</w:t>
            </w:r>
            <w:r>
              <w:t xml:space="preserve"> A partial fee waiver will generally be considered where an applicant is making a non</w:t>
            </w:r>
            <w:r w:rsidR="007E22CB">
              <w:noBreakHyphen/>
            </w:r>
            <w:r>
              <w:t>land acquisition of $10 million or less. The fee for these transactions will generally be reduced to $1000.</w:t>
            </w:r>
          </w:p>
          <w:p w14:paraId="6B02BD90" w14:textId="49AB4EF5" w:rsidR="006E5587" w:rsidRDefault="006E5587" w:rsidP="006E5587">
            <w:pPr>
              <w:pStyle w:val="OutlineNumbered2"/>
            </w:pPr>
            <w:r w:rsidRPr="006E5587">
              <w:rPr>
                <w:b/>
              </w:rPr>
              <w:t>Foreign government investors acquiring developed commercial land.</w:t>
            </w:r>
            <w:r>
              <w:t xml:space="preserve"> A partial fee waiver will generally be considered where a foreign government investor is acquiring developed commercial land where the consideration is $55 million or less. The fee for these transactions will generally be reduced to $1</w:t>
            </w:r>
            <w:r w:rsidR="007A1EA1">
              <w:t>,</w:t>
            </w:r>
            <w:r>
              <w:t>000.</w:t>
            </w:r>
          </w:p>
          <w:p w14:paraId="632F2756" w14:textId="77777777" w:rsidR="006E5587" w:rsidRDefault="006E5587" w:rsidP="006E5587">
            <w:pPr>
              <w:pStyle w:val="OutlineNumbered2"/>
            </w:pPr>
            <w:r w:rsidRPr="006E5587">
              <w:rPr>
                <w:b/>
              </w:rPr>
              <w:t xml:space="preserve">Entities carrying on a business acquiring multiple residential land titles </w:t>
            </w:r>
            <w:proofErr w:type="gramStart"/>
            <w:r w:rsidRPr="006E5587">
              <w:rPr>
                <w:b/>
              </w:rPr>
              <w:t>under</w:t>
            </w:r>
            <w:proofErr w:type="gramEnd"/>
            <w:r w:rsidRPr="006E5587">
              <w:rPr>
                <w:b/>
              </w:rPr>
              <w:t xml:space="preserve"> one agreement</w:t>
            </w:r>
            <w:r>
              <w:t>: A partial fee waiver will generally be considered where an entity carrying on a business in Australia is purchasing residential land. The fee waiver may be applied so that the entity will only pay the highest fee applicable for multiple actions occurring under one agreement. For example, a property developer acquiring multiple titles of residential land for redevelopment under one agreement may only pay the highest fee, rather than a separate fee for each title of residential land.</w:t>
            </w:r>
          </w:p>
          <w:p w14:paraId="2304E8FC" w14:textId="77777777" w:rsidR="006E5587" w:rsidRPr="006E5587" w:rsidRDefault="006E5587" w:rsidP="006E5587">
            <w:pPr>
              <w:pStyle w:val="OutlineNumbered2"/>
            </w:pPr>
            <w:r w:rsidRPr="006E5587">
              <w:rPr>
                <w:b/>
              </w:rPr>
              <w:t>Entities carrying on a business acquiring securities in an entity that primarily holds residential land</w:t>
            </w:r>
            <w:r>
              <w:t>: A partial fee waiver will generally be considered where the fee for an entity carrying on a business in Australia acquiring securities in an entity that primarily holds residential land exceeds $25,300. The fee waiver may be applied so that the entity will pay a maximum of $25,300 if the consideration for the transaction is below $1 billion.</w:t>
            </w:r>
          </w:p>
        </w:tc>
      </w:tr>
    </w:tbl>
    <w:p w14:paraId="2FFE3D0D" w14:textId="77777777" w:rsidR="006E5587" w:rsidRDefault="006E5587" w:rsidP="00D63CF1">
      <w:pPr>
        <w:pStyle w:val="SingleParagraph"/>
      </w:pPr>
    </w:p>
    <w:p w14:paraId="4778EE72" w14:textId="77777777" w:rsidR="004F7481" w:rsidRDefault="004F7481" w:rsidP="004F7481">
      <w:pPr>
        <w:pStyle w:val="Heading4"/>
      </w:pPr>
      <w:r>
        <w:t>Internal reorganisations</w:t>
      </w:r>
    </w:p>
    <w:p w14:paraId="05605346" w14:textId="3B8A8AD2" w:rsidR="00AB2E37" w:rsidRDefault="006E5587" w:rsidP="004F7481">
      <w:pPr>
        <w:pStyle w:val="OutlineNumbered1"/>
      </w:pPr>
      <w:r>
        <w:t>A concessional fee of $10,100 applies if the transaction meets the definition of</w:t>
      </w:r>
      <w:r w:rsidR="004157BD">
        <w:t xml:space="preserve"> an </w:t>
      </w:r>
      <w:r w:rsidR="007E22CB">
        <w:t>‘</w:t>
      </w:r>
      <w:r>
        <w:t>internal reorganisation.</w:t>
      </w:r>
      <w:r w:rsidR="007E22CB">
        <w:t>’</w:t>
      </w:r>
      <w:r>
        <w:t xml:space="preserve"> Generally, internal reorganisations have captured the transfer of an interest from one entity to another, provid</w:t>
      </w:r>
      <w:r w:rsidR="00AB2E37">
        <w:t xml:space="preserve">ed the </w:t>
      </w:r>
      <w:r w:rsidR="004157BD">
        <w:t xml:space="preserve">following </w:t>
      </w:r>
      <w:r w:rsidR="00AB2E37">
        <w:t xml:space="preserve">definition has been met. </w:t>
      </w:r>
    </w:p>
    <w:tbl>
      <w:tblPr>
        <w:tblStyle w:val="TableGrid"/>
        <w:tblW w:w="0" w:type="auto"/>
        <w:tblInd w:w="567" w:type="dxa"/>
        <w:tblLook w:val="04A0" w:firstRow="1" w:lastRow="0" w:firstColumn="1" w:lastColumn="0" w:noHBand="0" w:noVBand="1"/>
      </w:tblPr>
      <w:tblGrid>
        <w:gridCol w:w="8719"/>
      </w:tblGrid>
      <w:tr w:rsidR="00AB2E37" w14:paraId="2512FC9A" w14:textId="77777777" w:rsidTr="00D63CF1">
        <w:tc>
          <w:tcPr>
            <w:tcW w:w="8719" w:type="dxa"/>
          </w:tcPr>
          <w:p w14:paraId="5B675F52" w14:textId="77777777" w:rsidR="00AB2E37" w:rsidRDefault="002F2A12" w:rsidP="00AB2E37">
            <w:pPr>
              <w:pStyle w:val="Heading5"/>
              <w:outlineLvl w:val="4"/>
            </w:pPr>
            <w:r>
              <w:lastRenderedPageBreak/>
              <w:t>Internal reorganisation definition</w:t>
            </w:r>
          </w:p>
          <w:p w14:paraId="27C0C427" w14:textId="77777777" w:rsidR="002F2A12" w:rsidRDefault="002F2A12" w:rsidP="00D63CF1">
            <w:r>
              <w:t>Section 4(1) of the Fees Act outlines the definition of internal reorganisation:</w:t>
            </w:r>
          </w:p>
          <w:p w14:paraId="2931CD35" w14:textId="77777777" w:rsidR="002F2A12" w:rsidRDefault="002F2A12" w:rsidP="00D63CF1">
            <w:r w:rsidRPr="002F2A12">
              <w:rPr>
                <w:b/>
                <w:i/>
              </w:rPr>
              <w:t>internal reorganisation</w:t>
            </w:r>
            <w:r>
              <w:t xml:space="preserve"> means an acquisition by an entity (the first entity) of:</w:t>
            </w:r>
          </w:p>
          <w:p w14:paraId="769A3734" w14:textId="27B2026C" w:rsidR="002F2A12" w:rsidRDefault="002F2A12" w:rsidP="00D63CF1">
            <w:pPr>
              <w:pStyle w:val="AlphaParagraph"/>
            </w:pPr>
            <w:r>
              <w:t xml:space="preserve"> an interest in securities in another entity if:</w:t>
            </w:r>
          </w:p>
          <w:p w14:paraId="1544B4A3" w14:textId="7313A3C0" w:rsidR="002F2A12" w:rsidRDefault="002F2A12" w:rsidP="00D63CF1">
            <w:pPr>
              <w:pStyle w:val="AlphaParagraph"/>
              <w:numPr>
                <w:ilvl w:val="0"/>
                <w:numId w:val="19"/>
              </w:numPr>
            </w:pPr>
            <w:r>
              <w:t>both entities are subsidiaries of the same holding entity; or</w:t>
            </w:r>
          </w:p>
          <w:p w14:paraId="07D29687" w14:textId="5004EE37" w:rsidR="002F2A12" w:rsidRDefault="002F2A12" w:rsidP="00D63CF1">
            <w:pPr>
              <w:pStyle w:val="AlphaParagraph"/>
              <w:numPr>
                <w:ilvl w:val="0"/>
                <w:numId w:val="19"/>
              </w:numPr>
            </w:pPr>
            <w:r>
              <w:t>the other entity is a subsidiary of the first entity; or</w:t>
            </w:r>
          </w:p>
          <w:p w14:paraId="34E56D32" w14:textId="6A5D77AC" w:rsidR="002F2A12" w:rsidRDefault="002F2A12" w:rsidP="00D63CF1">
            <w:pPr>
              <w:pStyle w:val="AlphaParagraph"/>
            </w:pPr>
            <w:r>
              <w:t xml:space="preserve"> an interest in an asset or Australian land from another entity if</w:t>
            </w:r>
          </w:p>
          <w:p w14:paraId="609ADAD3" w14:textId="36BEDF76" w:rsidR="002F2A12" w:rsidRDefault="002F2A12" w:rsidP="00D63CF1">
            <w:pPr>
              <w:pStyle w:val="AlphaParagraph"/>
              <w:numPr>
                <w:ilvl w:val="0"/>
                <w:numId w:val="20"/>
              </w:numPr>
            </w:pPr>
            <w:r>
              <w:t xml:space="preserve">both </w:t>
            </w:r>
            <w:bookmarkStart w:id="70" w:name="tempbookmark"/>
            <w:r>
              <w:t>entities are subsidiaries of the same holding entity; or</w:t>
            </w:r>
          </w:p>
          <w:p w14:paraId="2FC9AB51" w14:textId="2405ADA7" w:rsidR="002F2A12" w:rsidRDefault="002F2A12" w:rsidP="00D63CF1">
            <w:pPr>
              <w:pStyle w:val="AlphaParagraph"/>
              <w:numPr>
                <w:ilvl w:val="0"/>
                <w:numId w:val="20"/>
              </w:numPr>
            </w:pPr>
            <w:r>
              <w:t>the other entity is the holding entity of the first entity; or</w:t>
            </w:r>
          </w:p>
          <w:p w14:paraId="66BE1405" w14:textId="5A55B236" w:rsidR="002F2A12" w:rsidRPr="002F2A12" w:rsidRDefault="002F2A12" w:rsidP="00D63CF1">
            <w:pPr>
              <w:pStyle w:val="AlphaParagraph"/>
              <w:numPr>
                <w:ilvl w:val="0"/>
                <w:numId w:val="20"/>
              </w:numPr>
            </w:pPr>
            <w:proofErr w:type="gramStart"/>
            <w:r>
              <w:t>the</w:t>
            </w:r>
            <w:proofErr w:type="gramEnd"/>
            <w:r>
              <w:t xml:space="preserve"> other </w:t>
            </w:r>
            <w:bookmarkEnd w:id="70"/>
            <w:r>
              <w:t>entity is a subsidiary of the first entity.</w:t>
            </w:r>
          </w:p>
        </w:tc>
      </w:tr>
    </w:tbl>
    <w:p w14:paraId="304C33A0" w14:textId="77777777" w:rsidR="00AB2E37" w:rsidRDefault="00AB2E37" w:rsidP="00D63CF1">
      <w:pPr>
        <w:pStyle w:val="SingleParagraph"/>
      </w:pPr>
    </w:p>
    <w:p w14:paraId="76655052" w14:textId="77777777" w:rsidR="004F7481" w:rsidRPr="004F7481" w:rsidRDefault="002F2A12" w:rsidP="004F7481">
      <w:pPr>
        <w:pStyle w:val="OutlineNumbered1"/>
      </w:pPr>
      <w:r>
        <w:t xml:space="preserve">In practice, the definition is unclear as to whether </w:t>
      </w:r>
      <w:r w:rsidR="006E5587">
        <w:t>newly created interests (such as leasehold interest in land) being transferred from one entity to another</w:t>
      </w:r>
      <w:r>
        <w:t xml:space="preserve"> are captured. </w:t>
      </w:r>
      <w:r w:rsidR="00FD27BB">
        <w:t xml:space="preserve">Further, a small number of cases have been received that are essentially reorganisations but do not technically meet the definition. </w:t>
      </w:r>
      <w:r>
        <w:t xml:space="preserve">This has resulted in uncertainty regarding the fee for some transactions. </w:t>
      </w:r>
    </w:p>
    <w:p w14:paraId="27C759C5" w14:textId="77777777" w:rsidR="009C784E" w:rsidRDefault="004A41F8" w:rsidP="00263F57">
      <w:pPr>
        <w:pStyle w:val="Heading3"/>
      </w:pPr>
      <w:bookmarkStart w:id="71" w:name="_Toc474922944"/>
      <w:bookmarkStart w:id="72" w:name="_Toc474924163"/>
      <w:bookmarkStart w:id="73" w:name="_Toc476739009"/>
      <w:r>
        <w:t>Case for government action</w:t>
      </w:r>
      <w:bookmarkEnd w:id="71"/>
      <w:bookmarkEnd w:id="72"/>
      <w:bookmarkEnd w:id="73"/>
    </w:p>
    <w:p w14:paraId="25CB9756" w14:textId="3B840312" w:rsidR="002F2A12" w:rsidRPr="002F2A12" w:rsidRDefault="00532C70" w:rsidP="00532C70">
      <w:pPr>
        <w:pStyle w:val="OutlineNumbered1"/>
      </w:pPr>
      <w:r>
        <w:t>The current fee settings are complex and potentially discourag</w:t>
      </w:r>
      <w:r w:rsidR="00380BF4">
        <w:t>e</w:t>
      </w:r>
      <w:r>
        <w:t xml:space="preserve"> certain investments. T</w:t>
      </w:r>
      <w:r w:rsidRPr="00532C70">
        <w:t xml:space="preserve">here is a </w:t>
      </w:r>
      <w:r w:rsidR="001B71A5">
        <w:t>case to review</w:t>
      </w:r>
      <w:r w:rsidRPr="00532C70">
        <w:t xml:space="preserve"> the </w:t>
      </w:r>
      <w:r>
        <w:t>fee structure and make amendments to ensure the fees can work as efficiently as possible, without creating distortions in the system</w:t>
      </w:r>
      <w:r w:rsidR="00380BF4">
        <w:t>.</w:t>
      </w:r>
    </w:p>
    <w:p w14:paraId="0E797DA3" w14:textId="73185DD4" w:rsidR="00B26608" w:rsidRDefault="001F3FED" w:rsidP="00263F57">
      <w:pPr>
        <w:pStyle w:val="Heading3"/>
      </w:pPr>
      <w:bookmarkStart w:id="74" w:name="_Toc474922945"/>
      <w:bookmarkStart w:id="75" w:name="_Toc474924164"/>
      <w:bookmarkStart w:id="76" w:name="_Toc476739010"/>
      <w:r>
        <w:t>Policy o</w:t>
      </w:r>
      <w:r w:rsidR="00263F57">
        <w:t>ptions</w:t>
      </w:r>
      <w:bookmarkEnd w:id="74"/>
      <w:bookmarkEnd w:id="75"/>
      <w:bookmarkEnd w:id="76"/>
    </w:p>
    <w:p w14:paraId="65D57CF3" w14:textId="77777777" w:rsidR="004F7481" w:rsidRDefault="004F7481" w:rsidP="004F7481">
      <w:pPr>
        <w:pStyle w:val="Heading4"/>
      </w:pPr>
      <w:r>
        <w:t>Option 1: No change</w:t>
      </w:r>
    </w:p>
    <w:p w14:paraId="4A2772F5" w14:textId="58C11A64" w:rsidR="004F7481" w:rsidRDefault="004F7481" w:rsidP="004F7481">
      <w:pPr>
        <w:pStyle w:val="OutlineNumbered1"/>
      </w:pPr>
      <w:r>
        <w:t>This option would see no change to the current arrangements. Certain fee waivers and remissions would continue to be d</w:t>
      </w:r>
      <w:r w:rsidR="00255135">
        <w:t>ecided via discretion on a case</w:t>
      </w:r>
      <w:r w:rsidR="007E22CB">
        <w:noBreakHyphen/>
      </w:r>
      <w:r w:rsidR="00255135">
        <w:t>by</w:t>
      </w:r>
      <w:r w:rsidR="007E22CB">
        <w:noBreakHyphen/>
      </w:r>
      <w:r>
        <w:t xml:space="preserve">case basis. </w:t>
      </w:r>
    </w:p>
    <w:p w14:paraId="6672046F" w14:textId="77777777" w:rsidR="004F7481" w:rsidRDefault="004F7481" w:rsidP="004F7481">
      <w:pPr>
        <w:pStyle w:val="Heading4"/>
      </w:pPr>
      <w:r>
        <w:t xml:space="preserve">Option 2: </w:t>
      </w:r>
      <w:r w:rsidR="00431202">
        <w:t>Minor changes to the fees framework</w:t>
      </w:r>
    </w:p>
    <w:p w14:paraId="3F20F196" w14:textId="77777777" w:rsidR="00431202" w:rsidRDefault="00431202" w:rsidP="00431202">
      <w:pPr>
        <w:pStyle w:val="OutlineNumbered1"/>
      </w:pPr>
      <w:r>
        <w:t>This option would include two main changes to the fees framework:</w:t>
      </w:r>
    </w:p>
    <w:p w14:paraId="6DE0EA78" w14:textId="206A8B6D" w:rsidR="00431202" w:rsidRDefault="00431202" w:rsidP="000854BC">
      <w:pPr>
        <w:pStyle w:val="OutlineNumbered2"/>
      </w:pPr>
      <w:proofErr w:type="gramStart"/>
      <w:r w:rsidRPr="00431202">
        <w:rPr>
          <w:b/>
        </w:rPr>
        <w:t>Legislate</w:t>
      </w:r>
      <w:proofErr w:type="gramEnd"/>
      <w:r w:rsidRPr="00431202">
        <w:rPr>
          <w:b/>
        </w:rPr>
        <w:t xml:space="preserve"> existing fee waiver principles:</w:t>
      </w:r>
      <w:r>
        <w:t xml:space="preserve"> This would see the fee waiver principles as outlined above being</w:t>
      </w:r>
      <w:r w:rsidR="00255135">
        <w:t xml:space="preserve"> legislated. Discretionary case</w:t>
      </w:r>
      <w:r w:rsidR="007E22CB">
        <w:noBreakHyphen/>
      </w:r>
      <w:r w:rsidR="00255135">
        <w:t>by</w:t>
      </w:r>
      <w:r w:rsidR="007E22CB">
        <w:noBreakHyphen/>
      </w:r>
      <w:r>
        <w:t>case decision making on the fee in these situations would not need to take place.</w:t>
      </w:r>
    </w:p>
    <w:p w14:paraId="688FFBC5" w14:textId="77777777" w:rsidR="00336651" w:rsidRDefault="00431202" w:rsidP="000854BC">
      <w:pPr>
        <w:pStyle w:val="OutlineNumbered2"/>
      </w:pPr>
      <w:r>
        <w:rPr>
          <w:b/>
        </w:rPr>
        <w:t>Expand the definition of internal reorganisation:</w:t>
      </w:r>
      <w:r>
        <w:t xml:space="preserve"> The definition of internal reorganisation could be expanded </w:t>
      </w:r>
      <w:r w:rsidR="00336651">
        <w:t>which would result in more cases being eligible for a concessional fee.</w:t>
      </w:r>
    </w:p>
    <w:p w14:paraId="76BAB045" w14:textId="77777777" w:rsidR="00336651" w:rsidRDefault="00336651" w:rsidP="00336651">
      <w:pPr>
        <w:pStyle w:val="OutlineNumbered2"/>
      </w:pPr>
      <w:r>
        <w:t xml:space="preserve">Examples of where the definition could be expanded include: </w:t>
      </w:r>
    </w:p>
    <w:p w14:paraId="730942FF" w14:textId="77777777" w:rsidR="00336651" w:rsidRDefault="00336651" w:rsidP="00336651">
      <w:pPr>
        <w:pStyle w:val="OutlineNumbered3"/>
      </w:pPr>
      <w:r w:rsidRPr="00336651">
        <w:rPr>
          <w:b/>
        </w:rPr>
        <w:lastRenderedPageBreak/>
        <w:t xml:space="preserve">Capturing newly created interests </w:t>
      </w:r>
      <w:r>
        <w:t>rather than the transfer of existing interests as is the current practice. An example of this is a subsidiary acquiring a leasehold interest in land from the subsidiary owning the freehold interest.</w:t>
      </w:r>
    </w:p>
    <w:p w14:paraId="455C1B1C" w14:textId="19DE1D09" w:rsidR="00336651" w:rsidRDefault="00336651" w:rsidP="00336651">
      <w:pPr>
        <w:pStyle w:val="OutlineNumbered3"/>
      </w:pPr>
      <w:r>
        <w:rPr>
          <w:b/>
        </w:rPr>
        <w:t>Extending the definition to non</w:t>
      </w:r>
      <w:r w:rsidR="007E22CB">
        <w:rPr>
          <w:b/>
        </w:rPr>
        <w:noBreakHyphen/>
      </w:r>
      <w:r>
        <w:rPr>
          <w:b/>
        </w:rPr>
        <w:t xml:space="preserve">subsidiaries </w:t>
      </w:r>
      <w:r>
        <w:t xml:space="preserve">such as where either the existing holder or new holder does not qualify as a subsidiary of the same group. </w:t>
      </w:r>
    </w:p>
    <w:p w14:paraId="7988DF5B" w14:textId="1A4ADC81" w:rsidR="0009349A" w:rsidRDefault="0009349A" w:rsidP="0009349A">
      <w:pPr>
        <w:pStyle w:val="OutlineNumbered2"/>
      </w:pPr>
      <w:r>
        <w:t xml:space="preserve">Broadening the definition of internal reorganisation may have the effect of qualifying more cases for a lower concessional fee (currently at $10,100). </w:t>
      </w:r>
      <w:r w:rsidR="00626FB2">
        <w:t>S</w:t>
      </w:r>
      <w:r>
        <w:t xml:space="preserve">ome cases that would previously have received a nil fee from the </w:t>
      </w:r>
      <w:r w:rsidR="007E22CB">
        <w:t>‘</w:t>
      </w:r>
      <w:r>
        <w:t>majority owners</w:t>
      </w:r>
      <w:r w:rsidR="007E22CB">
        <w:t>’</w:t>
      </w:r>
      <w:r>
        <w:t xml:space="preserve"> fee rule </w:t>
      </w:r>
      <w:r w:rsidR="00626FB2">
        <w:t>may</w:t>
      </w:r>
      <w:r>
        <w:t xml:space="preserve"> be disadvantaged by being captured in the internal reorganisation definition. </w:t>
      </w:r>
    </w:p>
    <w:tbl>
      <w:tblPr>
        <w:tblStyle w:val="TableGrid"/>
        <w:tblW w:w="0" w:type="auto"/>
        <w:tblInd w:w="567" w:type="dxa"/>
        <w:tblLook w:val="04A0" w:firstRow="1" w:lastRow="0" w:firstColumn="1" w:lastColumn="0" w:noHBand="0" w:noVBand="1"/>
      </w:tblPr>
      <w:tblGrid>
        <w:gridCol w:w="8719"/>
      </w:tblGrid>
      <w:tr w:rsidR="0032317E" w14:paraId="7F404D09" w14:textId="77777777" w:rsidTr="00C54333">
        <w:tc>
          <w:tcPr>
            <w:tcW w:w="9286" w:type="dxa"/>
          </w:tcPr>
          <w:p w14:paraId="15B5EC8B" w14:textId="179162B4" w:rsidR="0032317E" w:rsidRDefault="0032317E" w:rsidP="00626FB2">
            <w:pPr>
              <w:pStyle w:val="Heading5"/>
              <w:outlineLvl w:val="4"/>
            </w:pPr>
            <w:r>
              <w:t xml:space="preserve">Question for consultation: </w:t>
            </w:r>
            <w:r w:rsidR="00626FB2">
              <w:t xml:space="preserve">Further to the implication of the </w:t>
            </w:r>
            <w:r w:rsidR="007E22CB">
              <w:t>‘</w:t>
            </w:r>
            <w:r w:rsidR="00626FB2">
              <w:t>majority owners</w:t>
            </w:r>
            <w:r w:rsidR="007E22CB">
              <w:t>’</w:t>
            </w:r>
            <w:r w:rsidR="00626FB2">
              <w:t xml:space="preserve"> fee rule outlined above, are there any other consequences from widening the internal reorganisation definition?</w:t>
            </w:r>
          </w:p>
        </w:tc>
      </w:tr>
    </w:tbl>
    <w:p w14:paraId="762ACC77" w14:textId="0C62C5DC" w:rsidR="0032317E" w:rsidRDefault="0032317E" w:rsidP="000854BC">
      <w:pPr>
        <w:pStyle w:val="SingleParagraph"/>
      </w:pPr>
    </w:p>
    <w:p w14:paraId="12ED8C44" w14:textId="77777777" w:rsidR="00431202" w:rsidRDefault="00431202" w:rsidP="00431202">
      <w:pPr>
        <w:pStyle w:val="Heading4"/>
      </w:pPr>
      <w:r>
        <w:t>Option 3: Streamline the fees framework</w:t>
      </w:r>
    </w:p>
    <w:p w14:paraId="3E2AB6E3" w14:textId="13A80B22" w:rsidR="00431202" w:rsidRDefault="00431202" w:rsidP="00431202">
      <w:pPr>
        <w:pStyle w:val="OutlineNumbered1"/>
      </w:pPr>
      <w:r>
        <w:t>This option would move to a simpler overall fee structure to reduce complexity</w:t>
      </w:r>
      <w:r w:rsidR="0036359D">
        <w:t xml:space="preserve"> for</w:t>
      </w:r>
      <w:r>
        <w:t xml:space="preserve"> </w:t>
      </w:r>
      <w:r w:rsidR="0036359D">
        <w:t>business fees</w:t>
      </w:r>
      <w:r>
        <w:t xml:space="preserve">. </w:t>
      </w:r>
    </w:p>
    <w:p w14:paraId="07B7066C" w14:textId="77777777" w:rsidR="00431202" w:rsidRDefault="00431202" w:rsidP="00431202">
      <w:pPr>
        <w:pStyle w:val="Heading5"/>
      </w:pPr>
      <w:r>
        <w:t xml:space="preserve">Option 3a: Flat fee structure </w:t>
      </w:r>
    </w:p>
    <w:p w14:paraId="681A135A" w14:textId="10C7C6E0" w:rsidR="00F71EF5" w:rsidRDefault="001C0CC9" w:rsidP="00F34F88">
      <w:pPr>
        <w:pStyle w:val="OutlineNumbered1"/>
      </w:pPr>
      <w:r>
        <w:t xml:space="preserve">This option would provide for a flat fee structure where the fee is not dependent on the type of action being taken or the consideration. The number of fee outcomes would be reduced to four making the overall system simpler. </w:t>
      </w:r>
      <w:r w:rsidR="00EC6BEC">
        <w:t xml:space="preserve">The main effect of this change </w:t>
      </w:r>
      <w:r w:rsidR="00F34F88">
        <w:t>is to</w:t>
      </w:r>
      <w:r w:rsidR="00EC6BEC">
        <w:t xml:space="preserve"> </w:t>
      </w:r>
      <w:r w:rsidR="00F34F88">
        <w:t xml:space="preserve">streamline the fees for </w:t>
      </w:r>
      <w:r w:rsidR="00EC6BEC">
        <w:t xml:space="preserve">land transactions and bring them in line with corporate transactions. </w:t>
      </w:r>
      <w:r w:rsidR="004010AF">
        <w:t xml:space="preserve">An </w:t>
      </w:r>
      <w:r>
        <w:t>indicative fee structure is outlined below</w:t>
      </w:r>
      <w:r w:rsidR="00D60341">
        <w:t>:</w:t>
      </w:r>
    </w:p>
    <w:tbl>
      <w:tblPr>
        <w:tblStyle w:val="TableGrid"/>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19"/>
      </w:tblGrid>
      <w:tr w:rsidR="00D60341" w14:paraId="4EDEFE42" w14:textId="77777777" w:rsidTr="00F70623">
        <w:tc>
          <w:tcPr>
            <w:tcW w:w="4503" w:type="dxa"/>
          </w:tcPr>
          <w:p w14:paraId="05DA6350" w14:textId="0956D672" w:rsidR="00D60341" w:rsidRPr="00B65060" w:rsidRDefault="00D60341" w:rsidP="000854BC">
            <w:pPr>
              <w:pStyle w:val="TableColumnHeadingLeft"/>
            </w:pPr>
            <w:r w:rsidRPr="00B65060">
              <w:t>Action</w:t>
            </w:r>
            <w:r w:rsidR="00F34F88">
              <w:t>*</w:t>
            </w:r>
          </w:p>
        </w:tc>
        <w:tc>
          <w:tcPr>
            <w:tcW w:w="4819" w:type="dxa"/>
          </w:tcPr>
          <w:p w14:paraId="2620AECF" w14:textId="5C001E6C" w:rsidR="00D60341" w:rsidRPr="00B65060" w:rsidRDefault="00D60341" w:rsidP="000854BC">
            <w:pPr>
              <w:pStyle w:val="TableColumnHeadingLeft"/>
            </w:pPr>
            <w:r w:rsidRPr="00B65060">
              <w:t>Fee</w:t>
            </w:r>
          </w:p>
        </w:tc>
      </w:tr>
      <w:tr w:rsidR="00D60341" w14:paraId="0D973728" w14:textId="77777777" w:rsidTr="00F70623">
        <w:tc>
          <w:tcPr>
            <w:tcW w:w="4503" w:type="dxa"/>
          </w:tcPr>
          <w:p w14:paraId="5BCD199E" w14:textId="147D9307" w:rsidR="00D60341" w:rsidRPr="00B65060" w:rsidRDefault="00F34F88" w:rsidP="000854BC">
            <w:pPr>
              <w:pStyle w:val="TableTextLeft"/>
            </w:pPr>
            <w:r>
              <w:t>S</w:t>
            </w:r>
            <w:r w:rsidR="00D60341" w:rsidRPr="00B65060">
              <w:t xml:space="preserve">ignificant and </w:t>
            </w:r>
            <w:proofErr w:type="spellStart"/>
            <w:r w:rsidR="00D60341" w:rsidRPr="00B65060">
              <w:t>notifiable</w:t>
            </w:r>
            <w:proofErr w:type="spellEnd"/>
            <w:r w:rsidR="00D60341" w:rsidRPr="00B65060">
              <w:t xml:space="preserve"> actions</w:t>
            </w:r>
          </w:p>
        </w:tc>
        <w:tc>
          <w:tcPr>
            <w:tcW w:w="4819" w:type="dxa"/>
          </w:tcPr>
          <w:p w14:paraId="665CB4F6" w14:textId="51ABD67C" w:rsidR="00D60341" w:rsidRPr="00B65060" w:rsidRDefault="00D60341" w:rsidP="000854BC">
            <w:pPr>
              <w:pStyle w:val="TableTextLeft"/>
            </w:pPr>
            <w:r w:rsidRPr="00B65060">
              <w:t>$2</w:t>
            </w:r>
            <w:r w:rsidR="001B71A5">
              <w:t>5</w:t>
            </w:r>
            <w:r w:rsidRPr="00B65060">
              <w:t>,</w:t>
            </w:r>
            <w:r w:rsidR="001B71A5">
              <w:t>3</w:t>
            </w:r>
            <w:r w:rsidRPr="00B65060">
              <w:t>00</w:t>
            </w:r>
          </w:p>
        </w:tc>
      </w:tr>
      <w:tr w:rsidR="00D60341" w14:paraId="5E420744" w14:textId="77777777" w:rsidTr="00F70623">
        <w:tc>
          <w:tcPr>
            <w:tcW w:w="4503" w:type="dxa"/>
          </w:tcPr>
          <w:p w14:paraId="7D2BC1AF" w14:textId="599BA7EF" w:rsidR="00D60341" w:rsidRPr="00B65060" w:rsidRDefault="00D60341" w:rsidP="000854BC">
            <w:pPr>
              <w:pStyle w:val="TableTextLeft"/>
            </w:pPr>
            <w:r w:rsidRPr="00B65060">
              <w:t xml:space="preserve">Applications for exemption certificates </w:t>
            </w:r>
          </w:p>
        </w:tc>
        <w:tc>
          <w:tcPr>
            <w:tcW w:w="4819" w:type="dxa"/>
          </w:tcPr>
          <w:p w14:paraId="12B253B5" w14:textId="41BB16EE" w:rsidR="00D60341" w:rsidRPr="00B65060" w:rsidRDefault="00D60341" w:rsidP="000854BC">
            <w:pPr>
              <w:pStyle w:val="TableTextLeft"/>
            </w:pPr>
            <w:r w:rsidRPr="00B65060">
              <w:t>$2</w:t>
            </w:r>
            <w:r w:rsidR="001B71A5">
              <w:t>5</w:t>
            </w:r>
            <w:r w:rsidRPr="00B65060">
              <w:t>,</w:t>
            </w:r>
            <w:r w:rsidR="001B71A5">
              <w:t>3</w:t>
            </w:r>
            <w:r w:rsidRPr="00B65060">
              <w:t>00</w:t>
            </w:r>
          </w:p>
        </w:tc>
      </w:tr>
      <w:tr w:rsidR="00EC6BEC" w14:paraId="3D5E959F" w14:textId="77777777" w:rsidTr="00F70623">
        <w:tc>
          <w:tcPr>
            <w:tcW w:w="4503" w:type="dxa"/>
          </w:tcPr>
          <w:p w14:paraId="6B8985BB" w14:textId="71AEA3B2" w:rsidR="00EC6BEC" w:rsidRPr="00B65060" w:rsidRDefault="00F34F88" w:rsidP="000854BC">
            <w:pPr>
              <w:pStyle w:val="TableTextLeft"/>
            </w:pPr>
            <w:r>
              <w:t>S</w:t>
            </w:r>
            <w:r w:rsidR="00EC6BEC">
              <w:t xml:space="preserve">ignificant and </w:t>
            </w:r>
            <w:proofErr w:type="spellStart"/>
            <w:r w:rsidR="00EC6BEC">
              <w:t>notifiable</w:t>
            </w:r>
            <w:proofErr w:type="spellEnd"/>
            <w:r w:rsidR="00EC6BEC">
              <w:t xml:space="preserve"> actions and applications for exemption certificates where the consideration is over $1 billion</w:t>
            </w:r>
          </w:p>
        </w:tc>
        <w:tc>
          <w:tcPr>
            <w:tcW w:w="4819" w:type="dxa"/>
          </w:tcPr>
          <w:p w14:paraId="15DC3EB6" w14:textId="12113E7D" w:rsidR="00EC6BEC" w:rsidRPr="00B65060" w:rsidRDefault="00EC6BEC" w:rsidP="000854BC">
            <w:pPr>
              <w:pStyle w:val="TableTextLeft"/>
            </w:pPr>
            <w:r>
              <w:t>$10</w:t>
            </w:r>
            <w:r w:rsidR="004010AF">
              <w:t>1,5</w:t>
            </w:r>
            <w:r>
              <w:t>00</w:t>
            </w:r>
          </w:p>
        </w:tc>
      </w:tr>
      <w:tr w:rsidR="00D60341" w14:paraId="7974BA08" w14:textId="77777777" w:rsidTr="00F70623">
        <w:tc>
          <w:tcPr>
            <w:tcW w:w="4503" w:type="dxa"/>
          </w:tcPr>
          <w:p w14:paraId="261DA49B" w14:textId="17CC66C9" w:rsidR="00D60341" w:rsidRPr="00B65060" w:rsidRDefault="00D60341" w:rsidP="000854BC">
            <w:pPr>
              <w:pStyle w:val="TableTextLeft"/>
            </w:pPr>
            <w:r w:rsidRPr="00B65060">
              <w:t>Reorganisations</w:t>
            </w:r>
          </w:p>
        </w:tc>
        <w:tc>
          <w:tcPr>
            <w:tcW w:w="4819" w:type="dxa"/>
          </w:tcPr>
          <w:p w14:paraId="5A408D2C" w14:textId="5542EF8A" w:rsidR="00D60341" w:rsidRPr="00B65060" w:rsidRDefault="00D60341" w:rsidP="000854BC">
            <w:pPr>
              <w:pStyle w:val="TableTextLeft"/>
            </w:pPr>
            <w:r w:rsidRPr="00B65060">
              <w:t>$10,100</w:t>
            </w:r>
          </w:p>
        </w:tc>
      </w:tr>
      <w:tr w:rsidR="00D60341" w14:paraId="2858E2C1" w14:textId="77777777" w:rsidTr="00F70623">
        <w:tc>
          <w:tcPr>
            <w:tcW w:w="4503" w:type="dxa"/>
          </w:tcPr>
          <w:p w14:paraId="0E11B813" w14:textId="6F644617" w:rsidR="00D60341" w:rsidRPr="00B65060" w:rsidRDefault="00D60341" w:rsidP="000854BC">
            <w:pPr>
              <w:pStyle w:val="TableTextLeft"/>
            </w:pPr>
            <w:r w:rsidRPr="00B65060">
              <w:t>Variations</w:t>
            </w:r>
          </w:p>
        </w:tc>
        <w:tc>
          <w:tcPr>
            <w:tcW w:w="4819" w:type="dxa"/>
          </w:tcPr>
          <w:p w14:paraId="58CF6B6C" w14:textId="69136CC4" w:rsidR="00D60341" w:rsidRPr="00B65060" w:rsidRDefault="00D60341" w:rsidP="000854BC">
            <w:pPr>
              <w:pStyle w:val="TableTextLeft"/>
            </w:pPr>
            <w:r w:rsidRPr="00B65060">
              <w:t>$5,000</w:t>
            </w:r>
          </w:p>
        </w:tc>
      </w:tr>
    </w:tbl>
    <w:p w14:paraId="4F2AB235" w14:textId="0486132F" w:rsidR="00A93D39" w:rsidRDefault="00F34F88" w:rsidP="000854BC">
      <w:pPr>
        <w:pStyle w:val="ChartorTableNote"/>
      </w:pPr>
      <w:r>
        <w:t>*Does not include residential land</w:t>
      </w:r>
    </w:p>
    <w:p w14:paraId="4711656B" w14:textId="77777777" w:rsidR="000854BC" w:rsidRPr="000854BC" w:rsidRDefault="000854BC" w:rsidP="000854BC">
      <w:pPr>
        <w:pStyle w:val="SingleParagraph"/>
      </w:pPr>
    </w:p>
    <w:p w14:paraId="34038B6C" w14:textId="77777777" w:rsidR="00431202" w:rsidRDefault="00431202" w:rsidP="00431202">
      <w:pPr>
        <w:pStyle w:val="Heading5"/>
      </w:pPr>
      <w:r>
        <w:t>Option 3b: Tiered fees based on consideration</w:t>
      </w:r>
    </w:p>
    <w:p w14:paraId="070884DB" w14:textId="77777777" w:rsidR="00431202" w:rsidRDefault="00431202" w:rsidP="00431202">
      <w:pPr>
        <w:pStyle w:val="OutlineNumbered1"/>
      </w:pPr>
      <w:r>
        <w:t xml:space="preserve">This option will provide a tiered fees structure for all business transactions. The fees would be tiered depending on the size of the transaction. </w:t>
      </w:r>
    </w:p>
    <w:p w14:paraId="46D8E715" w14:textId="35D7B147" w:rsidR="001C0CC9" w:rsidRDefault="001C0CC9" w:rsidP="001C0CC9">
      <w:pPr>
        <w:pStyle w:val="OutlineNumbered1"/>
      </w:pPr>
      <w:r>
        <w:t>An indicative fee structure would be 0.1% of the value of the consideration. The tiered fee structure would be capped, for example at $100,000.</w:t>
      </w:r>
    </w:p>
    <w:tbl>
      <w:tblPr>
        <w:tblStyle w:val="TableGrid"/>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19"/>
      </w:tblGrid>
      <w:tr w:rsidR="001C0CC9" w14:paraId="69D62A77" w14:textId="77777777" w:rsidTr="000854BC">
        <w:trPr>
          <w:cantSplit/>
        </w:trPr>
        <w:tc>
          <w:tcPr>
            <w:tcW w:w="4503" w:type="dxa"/>
          </w:tcPr>
          <w:p w14:paraId="0A25EC45" w14:textId="77777777" w:rsidR="001C0CC9" w:rsidRPr="00B65060" w:rsidRDefault="001C0CC9" w:rsidP="000854BC">
            <w:pPr>
              <w:pStyle w:val="TableColumnHeadingLeft"/>
            </w:pPr>
            <w:r w:rsidRPr="00B65060">
              <w:t>Consideration</w:t>
            </w:r>
          </w:p>
        </w:tc>
        <w:tc>
          <w:tcPr>
            <w:tcW w:w="4819" w:type="dxa"/>
          </w:tcPr>
          <w:p w14:paraId="6BE5CC29" w14:textId="77777777" w:rsidR="001C0CC9" w:rsidRPr="00B65060" w:rsidRDefault="001C0CC9" w:rsidP="000854BC">
            <w:pPr>
              <w:pStyle w:val="TableColumnHeadingLeft"/>
            </w:pPr>
            <w:r w:rsidRPr="00B65060">
              <w:t>Fee at 0.1%</w:t>
            </w:r>
          </w:p>
        </w:tc>
      </w:tr>
      <w:tr w:rsidR="001C0CC9" w14:paraId="2812D5BF" w14:textId="77777777" w:rsidTr="000854BC">
        <w:trPr>
          <w:cantSplit/>
        </w:trPr>
        <w:tc>
          <w:tcPr>
            <w:tcW w:w="4503" w:type="dxa"/>
          </w:tcPr>
          <w:p w14:paraId="582814E2" w14:textId="77777777" w:rsidR="001C0CC9" w:rsidRPr="00B65060" w:rsidRDefault="001C0CC9" w:rsidP="000854BC">
            <w:pPr>
              <w:pStyle w:val="TableTextLeft"/>
            </w:pPr>
            <w:r w:rsidRPr="00B65060">
              <w:t>All transactions at $1 million and below</w:t>
            </w:r>
          </w:p>
        </w:tc>
        <w:tc>
          <w:tcPr>
            <w:tcW w:w="4819" w:type="dxa"/>
          </w:tcPr>
          <w:p w14:paraId="14B61365" w14:textId="77777777" w:rsidR="001C0CC9" w:rsidRPr="00B65060" w:rsidRDefault="001C0CC9" w:rsidP="000854BC">
            <w:pPr>
              <w:pStyle w:val="TableTextLeft"/>
            </w:pPr>
            <w:r w:rsidRPr="00B65060">
              <w:t>$1,000</w:t>
            </w:r>
          </w:p>
        </w:tc>
      </w:tr>
      <w:tr w:rsidR="001C0CC9" w14:paraId="6A8C4805" w14:textId="77777777" w:rsidTr="000854BC">
        <w:trPr>
          <w:cantSplit/>
        </w:trPr>
        <w:tc>
          <w:tcPr>
            <w:tcW w:w="4503" w:type="dxa"/>
          </w:tcPr>
          <w:p w14:paraId="759EC1DF" w14:textId="77777777" w:rsidR="001C0CC9" w:rsidRPr="00B65060" w:rsidRDefault="001C0CC9" w:rsidP="000854BC">
            <w:pPr>
              <w:pStyle w:val="TableTextLeft"/>
            </w:pPr>
            <w:r w:rsidRPr="00B65060">
              <w:t>$10 million</w:t>
            </w:r>
          </w:p>
        </w:tc>
        <w:tc>
          <w:tcPr>
            <w:tcW w:w="4819" w:type="dxa"/>
          </w:tcPr>
          <w:p w14:paraId="66807EC5" w14:textId="77777777" w:rsidR="001C0CC9" w:rsidRPr="00B65060" w:rsidRDefault="001C0CC9" w:rsidP="000854BC">
            <w:pPr>
              <w:pStyle w:val="TableTextLeft"/>
            </w:pPr>
            <w:r w:rsidRPr="00B65060">
              <w:t>$10,000</w:t>
            </w:r>
          </w:p>
        </w:tc>
      </w:tr>
      <w:tr w:rsidR="001C0CC9" w14:paraId="1093F450" w14:textId="77777777" w:rsidTr="000854BC">
        <w:trPr>
          <w:cantSplit/>
        </w:trPr>
        <w:tc>
          <w:tcPr>
            <w:tcW w:w="4503" w:type="dxa"/>
          </w:tcPr>
          <w:p w14:paraId="22B3DCB5" w14:textId="77777777" w:rsidR="001C0CC9" w:rsidRPr="00B65060" w:rsidRDefault="001C0CC9" w:rsidP="000854BC">
            <w:pPr>
              <w:pStyle w:val="TableTextLeft"/>
            </w:pPr>
            <w:r w:rsidRPr="00B65060">
              <w:lastRenderedPageBreak/>
              <w:t>$50 million</w:t>
            </w:r>
          </w:p>
        </w:tc>
        <w:tc>
          <w:tcPr>
            <w:tcW w:w="4819" w:type="dxa"/>
          </w:tcPr>
          <w:p w14:paraId="6926CD04" w14:textId="77777777" w:rsidR="001C0CC9" w:rsidRPr="00B65060" w:rsidRDefault="001C0CC9" w:rsidP="000854BC">
            <w:pPr>
              <w:pStyle w:val="TableTextLeft"/>
            </w:pPr>
            <w:r w:rsidRPr="00B65060">
              <w:t>$50,000</w:t>
            </w:r>
          </w:p>
        </w:tc>
      </w:tr>
      <w:tr w:rsidR="001C0CC9" w14:paraId="6061F6C2" w14:textId="77777777" w:rsidTr="000854BC">
        <w:trPr>
          <w:cantSplit/>
        </w:trPr>
        <w:tc>
          <w:tcPr>
            <w:tcW w:w="4503" w:type="dxa"/>
          </w:tcPr>
          <w:p w14:paraId="17105D15" w14:textId="4F7702F6" w:rsidR="001C0CC9" w:rsidRPr="00B65060" w:rsidRDefault="001C0CC9" w:rsidP="000854BC">
            <w:pPr>
              <w:pStyle w:val="TableTextLeft"/>
            </w:pPr>
            <w:r w:rsidRPr="00B65060">
              <w:t>$100 million and above</w:t>
            </w:r>
          </w:p>
        </w:tc>
        <w:tc>
          <w:tcPr>
            <w:tcW w:w="4819" w:type="dxa"/>
          </w:tcPr>
          <w:p w14:paraId="69CFB50F" w14:textId="77777777" w:rsidR="001C0CC9" w:rsidRPr="00B65060" w:rsidRDefault="001C0CC9" w:rsidP="000854BC">
            <w:pPr>
              <w:pStyle w:val="TableTextLeft"/>
            </w:pPr>
            <w:r w:rsidRPr="00B65060">
              <w:t>$100,000</w:t>
            </w:r>
          </w:p>
        </w:tc>
      </w:tr>
    </w:tbl>
    <w:p w14:paraId="217E4341" w14:textId="77777777" w:rsidR="004F7481" w:rsidRPr="004F7481" w:rsidRDefault="004F7481" w:rsidP="004F7481">
      <w:pPr>
        <w:pStyle w:val="Heading3"/>
      </w:pPr>
      <w:bookmarkStart w:id="77" w:name="_Toc474922946"/>
      <w:bookmarkStart w:id="78" w:name="_Toc474924165"/>
      <w:bookmarkStart w:id="79" w:name="_Toc476739011"/>
      <w:r>
        <w:t>Cost benefit analysis of each option</w:t>
      </w:r>
      <w:bookmarkEnd w:id="77"/>
      <w:bookmarkEnd w:id="78"/>
      <w:bookmarkEnd w:id="79"/>
      <w:r>
        <w:t xml:space="preserve"> </w:t>
      </w:r>
    </w:p>
    <w:p w14:paraId="03E6DE59" w14:textId="77777777" w:rsidR="00263F57" w:rsidRDefault="00263F57" w:rsidP="00263F57">
      <w:pPr>
        <w:pStyle w:val="Heading4"/>
      </w:pPr>
      <w:r>
        <w:t>Option 1: No change</w:t>
      </w:r>
    </w:p>
    <w:p w14:paraId="4AECA59E" w14:textId="77777777" w:rsidR="00263F57" w:rsidRDefault="00263F57" w:rsidP="00263F57">
      <w:pPr>
        <w:pStyle w:val="Heading5"/>
      </w:pPr>
      <w:r>
        <w:t>Benefits</w:t>
      </w:r>
    </w:p>
    <w:p w14:paraId="739A7B75" w14:textId="77777777" w:rsidR="00263F57" w:rsidRDefault="00263F57" w:rsidP="00263F57">
      <w:pPr>
        <w:pStyle w:val="OutlineNumbered1"/>
      </w:pPr>
      <w:r>
        <w:t xml:space="preserve">The benefits of this outcome are that </w:t>
      </w:r>
      <w:r w:rsidR="008958A0">
        <w:t xml:space="preserve">there are </w:t>
      </w:r>
      <w:proofErr w:type="gramStart"/>
      <w:r w:rsidR="008958A0">
        <w:t>no additional regulatory impacts for foreign investors as the current arrangements would not change</w:t>
      </w:r>
      <w:proofErr w:type="gramEnd"/>
      <w:r w:rsidR="008958A0">
        <w:t>.</w:t>
      </w:r>
    </w:p>
    <w:p w14:paraId="087F2846" w14:textId="77777777" w:rsidR="008958A0" w:rsidRDefault="008958A0" w:rsidP="008958A0">
      <w:pPr>
        <w:pStyle w:val="Heading5"/>
      </w:pPr>
      <w:r>
        <w:t>Costs</w:t>
      </w:r>
    </w:p>
    <w:p w14:paraId="1138C725" w14:textId="5A301907" w:rsidR="008958A0" w:rsidRDefault="004F7481" w:rsidP="008958A0">
      <w:pPr>
        <w:pStyle w:val="OutlineNumbered1"/>
      </w:pPr>
      <w:r>
        <w:t xml:space="preserve">Under this option, there will continue to be complexity in the fee system with the use of discretionary fee waivers to address some </w:t>
      </w:r>
      <w:r w:rsidR="00EC6BEC">
        <w:t xml:space="preserve">anomalous </w:t>
      </w:r>
      <w:r>
        <w:t xml:space="preserve">fee </w:t>
      </w:r>
      <w:r w:rsidR="005145E2">
        <w:t>outcomes</w:t>
      </w:r>
      <w:r>
        <w:t>. The use of discretionary fee waivers will continue to impose administration and delay costs on applicants</w:t>
      </w:r>
      <w:r w:rsidR="0023396E">
        <w:t>.</w:t>
      </w:r>
    </w:p>
    <w:p w14:paraId="113B9A42" w14:textId="57F6ED6F" w:rsidR="00532C70" w:rsidRDefault="00431202" w:rsidP="007E2FFF">
      <w:pPr>
        <w:pStyle w:val="Heading4"/>
      </w:pPr>
      <w:r w:rsidRPr="00431202">
        <w:t>Option 2: Minor changes to the fees framework</w:t>
      </w:r>
    </w:p>
    <w:p w14:paraId="5864BA06" w14:textId="2ACE594E" w:rsidR="0023396E" w:rsidRPr="0023396E" w:rsidRDefault="0023396E" w:rsidP="0023396E">
      <w:pPr>
        <w:pStyle w:val="Heading5"/>
      </w:pPr>
      <w:r>
        <w:t>Benefits</w:t>
      </w:r>
    </w:p>
    <w:p w14:paraId="36999EA8" w14:textId="638297B4" w:rsidR="00F71EF5" w:rsidRDefault="00F71EF5" w:rsidP="00F71EF5">
      <w:pPr>
        <w:pStyle w:val="OutlineNumbered1"/>
      </w:pPr>
      <w:r>
        <w:t xml:space="preserve">This option will create more certainty regarding the fees for smaller foreign investment applications as the current discretionary decisions will be incorporated into the legislation. It will also save on administration and time costs as discretionary decision making to implement the </w:t>
      </w:r>
      <w:r w:rsidR="007E22CB">
        <w:t>‘</w:t>
      </w:r>
      <w:r>
        <w:t>fee waiver principles</w:t>
      </w:r>
      <w:r w:rsidR="007E22CB">
        <w:t>’</w:t>
      </w:r>
      <w:r>
        <w:t xml:space="preserve"> will not be required.</w:t>
      </w:r>
    </w:p>
    <w:p w14:paraId="4CB6F87B" w14:textId="2E80E874" w:rsidR="00083084" w:rsidRDefault="00083084" w:rsidP="00F71EF5">
      <w:pPr>
        <w:pStyle w:val="OutlineNumbered1"/>
      </w:pPr>
      <w:r>
        <w:t xml:space="preserve">It is estimated that </w:t>
      </w:r>
      <w:r w:rsidR="0036359D">
        <w:t>five</w:t>
      </w:r>
      <w:r>
        <w:t xml:space="preserve"> additional cases per year would benefit from a </w:t>
      </w:r>
      <w:r w:rsidR="00F050DC">
        <w:t>widening of the internal reorganisation definition</w:t>
      </w:r>
      <w:r>
        <w:t xml:space="preserve"> saving $76,000 </w:t>
      </w:r>
      <w:r w:rsidR="00F050DC">
        <w:t>in fees per year</w:t>
      </w:r>
      <w:r>
        <w:t xml:space="preserve">. </w:t>
      </w:r>
      <w:r w:rsidR="00F050DC">
        <w:t xml:space="preserve">As there will be no additional compliance costs </w:t>
      </w:r>
      <w:r w:rsidR="00FC00E6">
        <w:t>required</w:t>
      </w:r>
      <w:r w:rsidR="00F050DC">
        <w:t xml:space="preserve">, the regulatory change is estimated to be neutral. </w:t>
      </w:r>
    </w:p>
    <w:p w14:paraId="0921393F" w14:textId="262196FB" w:rsidR="00954C5A" w:rsidRDefault="00954C5A" w:rsidP="00F71EF5">
      <w:pPr>
        <w:pStyle w:val="OutlineNumbered1"/>
      </w:pPr>
      <w:r>
        <w:t xml:space="preserve">It is estimated that 180 cases per year would benefit from regulatory cost savings from legislating the fee waiver principles. Assuming three hours were saved per fee waiver application, </w:t>
      </w:r>
      <w:r w:rsidR="0036359D">
        <w:t>there is an</w:t>
      </w:r>
      <w:r>
        <w:t xml:space="preserve"> estimated </w:t>
      </w:r>
      <w:r w:rsidR="0062596C">
        <w:t>compliance</w:t>
      </w:r>
      <w:r>
        <w:t xml:space="preserve"> cost saving of $4</w:t>
      </w:r>
      <w:r w:rsidR="006408B0">
        <w:t>00</w:t>
      </w:r>
      <w:r>
        <w:t>,000 per year.</w:t>
      </w:r>
    </w:p>
    <w:p w14:paraId="31803499" w14:textId="16D88101" w:rsidR="000854BC" w:rsidRDefault="000854BC" w:rsidP="000854BC">
      <w:pPr>
        <w:pStyle w:val="TableMainHeading"/>
        <w:ind w:left="567"/>
      </w:pPr>
      <w:r w:rsidRPr="000854BC">
        <w:t>Average annual regulatory cost saving from business as usual</w:t>
      </w:r>
    </w:p>
    <w:tbl>
      <w:tblPr>
        <w:tblStyle w:val="TableGrid"/>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2165"/>
        <w:gridCol w:w="2166"/>
        <w:gridCol w:w="2166"/>
      </w:tblGrid>
      <w:tr w:rsidR="007E2FFF" w:rsidRPr="007E2FFF" w14:paraId="32B5FA29" w14:textId="77777777" w:rsidTr="00E51657">
        <w:tc>
          <w:tcPr>
            <w:tcW w:w="2222" w:type="dxa"/>
          </w:tcPr>
          <w:p w14:paraId="351BC846" w14:textId="77777777" w:rsidR="007E2FFF" w:rsidRPr="007E2FFF" w:rsidRDefault="007E2FFF" w:rsidP="000854BC">
            <w:pPr>
              <w:pStyle w:val="TableColumnHeadingLeft"/>
            </w:pPr>
            <w:r w:rsidRPr="007E2FFF">
              <w:t>Change in costs</w:t>
            </w:r>
          </w:p>
          <w:p w14:paraId="05DEEE0A" w14:textId="224F916D" w:rsidR="007E2FFF" w:rsidRPr="007E2FFF" w:rsidRDefault="007E2FFF" w:rsidP="000854BC">
            <w:pPr>
              <w:pStyle w:val="TableColumnHeadingLeft"/>
            </w:pPr>
            <w:r w:rsidRPr="007E2FFF">
              <w:t>($ million)</w:t>
            </w:r>
          </w:p>
        </w:tc>
        <w:tc>
          <w:tcPr>
            <w:tcW w:w="2165" w:type="dxa"/>
          </w:tcPr>
          <w:p w14:paraId="545EA97B" w14:textId="77777777" w:rsidR="007E2FFF" w:rsidRPr="007E2FFF" w:rsidRDefault="007E2FFF" w:rsidP="000854BC">
            <w:pPr>
              <w:pStyle w:val="TableColumnHeadingLeft"/>
            </w:pPr>
            <w:r w:rsidRPr="007E2FFF">
              <w:t>Business</w:t>
            </w:r>
          </w:p>
        </w:tc>
        <w:tc>
          <w:tcPr>
            <w:tcW w:w="2166" w:type="dxa"/>
          </w:tcPr>
          <w:p w14:paraId="4E98C832" w14:textId="77777777" w:rsidR="007E2FFF" w:rsidRPr="007E2FFF" w:rsidRDefault="007E2FFF" w:rsidP="000854BC">
            <w:pPr>
              <w:pStyle w:val="TableColumnHeadingLeft"/>
            </w:pPr>
            <w:r w:rsidRPr="007E2FFF">
              <w:t>Individuals</w:t>
            </w:r>
          </w:p>
        </w:tc>
        <w:tc>
          <w:tcPr>
            <w:tcW w:w="2166" w:type="dxa"/>
          </w:tcPr>
          <w:p w14:paraId="5645114F" w14:textId="77777777" w:rsidR="007E2FFF" w:rsidRPr="007E2FFF" w:rsidRDefault="007E2FFF" w:rsidP="000854BC">
            <w:pPr>
              <w:pStyle w:val="TableColumnHeadingLeft"/>
            </w:pPr>
            <w:r w:rsidRPr="007E2FFF">
              <w:t>Total change</w:t>
            </w:r>
          </w:p>
        </w:tc>
      </w:tr>
      <w:tr w:rsidR="00083084" w:rsidRPr="007E2FFF" w14:paraId="7C746FDF" w14:textId="77777777" w:rsidTr="00E51657">
        <w:tc>
          <w:tcPr>
            <w:tcW w:w="2222" w:type="dxa"/>
          </w:tcPr>
          <w:p w14:paraId="13D4BD43" w14:textId="14A7E738" w:rsidR="00083084" w:rsidRDefault="00083084" w:rsidP="000854BC">
            <w:pPr>
              <w:pStyle w:val="TableTextLeft"/>
            </w:pPr>
            <w:r>
              <w:t>Internal Reorganisation</w:t>
            </w:r>
          </w:p>
        </w:tc>
        <w:tc>
          <w:tcPr>
            <w:tcW w:w="2165" w:type="dxa"/>
          </w:tcPr>
          <w:p w14:paraId="636D7C51" w14:textId="6AF99771" w:rsidR="00083084" w:rsidRPr="00954C5A" w:rsidRDefault="00D57D54" w:rsidP="000854BC">
            <w:pPr>
              <w:pStyle w:val="TableTextLeft"/>
            </w:pPr>
            <w:r>
              <w:t>No change</w:t>
            </w:r>
          </w:p>
        </w:tc>
        <w:tc>
          <w:tcPr>
            <w:tcW w:w="2166" w:type="dxa"/>
          </w:tcPr>
          <w:p w14:paraId="7A472C7A" w14:textId="4952D0CE" w:rsidR="00083084" w:rsidRPr="00954C5A" w:rsidRDefault="00954C5A" w:rsidP="000854BC">
            <w:pPr>
              <w:pStyle w:val="TableTextLeft"/>
            </w:pPr>
            <w:r w:rsidRPr="00954C5A">
              <w:t>No change</w:t>
            </w:r>
          </w:p>
        </w:tc>
        <w:tc>
          <w:tcPr>
            <w:tcW w:w="2166" w:type="dxa"/>
          </w:tcPr>
          <w:p w14:paraId="17824A98" w14:textId="4DF4BC17" w:rsidR="00083084" w:rsidRPr="00954C5A" w:rsidRDefault="00D57D54" w:rsidP="000854BC">
            <w:pPr>
              <w:pStyle w:val="TableTextLeft"/>
            </w:pPr>
            <w:r>
              <w:t>No change</w:t>
            </w:r>
          </w:p>
        </w:tc>
      </w:tr>
      <w:tr w:rsidR="00083084" w:rsidRPr="007E2FFF" w14:paraId="0A7D2938" w14:textId="77777777" w:rsidTr="00E51657">
        <w:tc>
          <w:tcPr>
            <w:tcW w:w="2222" w:type="dxa"/>
          </w:tcPr>
          <w:p w14:paraId="38702A69" w14:textId="085E08D1" w:rsidR="00083084" w:rsidRPr="007E2FFF" w:rsidRDefault="00083084" w:rsidP="000854BC">
            <w:pPr>
              <w:pStyle w:val="TableTextLeft"/>
            </w:pPr>
            <w:r>
              <w:t>Fee waiver principles</w:t>
            </w:r>
          </w:p>
        </w:tc>
        <w:tc>
          <w:tcPr>
            <w:tcW w:w="2165" w:type="dxa"/>
          </w:tcPr>
          <w:p w14:paraId="4217C391" w14:textId="404DB66A" w:rsidR="00083084" w:rsidRPr="00954C5A" w:rsidRDefault="00452235" w:rsidP="000854BC">
            <w:pPr>
              <w:pStyle w:val="TableTextLeft"/>
            </w:pPr>
            <w:r>
              <w:t>0.</w:t>
            </w:r>
            <w:r w:rsidR="006408B0">
              <w:t>4</w:t>
            </w:r>
          </w:p>
        </w:tc>
        <w:tc>
          <w:tcPr>
            <w:tcW w:w="2166" w:type="dxa"/>
          </w:tcPr>
          <w:p w14:paraId="24B66380" w14:textId="2CF08D7D" w:rsidR="00083084" w:rsidRPr="00954C5A" w:rsidRDefault="00954C5A" w:rsidP="000854BC">
            <w:pPr>
              <w:pStyle w:val="TableTextLeft"/>
            </w:pPr>
            <w:r w:rsidRPr="00954C5A">
              <w:t>No change</w:t>
            </w:r>
          </w:p>
        </w:tc>
        <w:tc>
          <w:tcPr>
            <w:tcW w:w="2166" w:type="dxa"/>
          </w:tcPr>
          <w:p w14:paraId="0413E678" w14:textId="421AE78A" w:rsidR="00083084" w:rsidRPr="00954C5A" w:rsidRDefault="00452235" w:rsidP="000854BC">
            <w:pPr>
              <w:pStyle w:val="TableTextLeft"/>
            </w:pPr>
            <w:r>
              <w:t>0.</w:t>
            </w:r>
            <w:r w:rsidR="006408B0">
              <w:t>4</w:t>
            </w:r>
          </w:p>
        </w:tc>
      </w:tr>
      <w:tr w:rsidR="007E2FFF" w:rsidRPr="00F34F88" w14:paraId="04CF3C07" w14:textId="77777777" w:rsidTr="00E51657">
        <w:tc>
          <w:tcPr>
            <w:tcW w:w="2222" w:type="dxa"/>
          </w:tcPr>
          <w:p w14:paraId="0A4AD768" w14:textId="77777777" w:rsidR="007E2FFF" w:rsidRPr="00F34F88" w:rsidRDefault="007E2FFF" w:rsidP="000854BC">
            <w:pPr>
              <w:pStyle w:val="TableTextLeft"/>
              <w:rPr>
                <w:b/>
              </w:rPr>
            </w:pPr>
            <w:r w:rsidRPr="00F34F88">
              <w:rPr>
                <w:b/>
              </w:rPr>
              <w:t>Total</w:t>
            </w:r>
          </w:p>
        </w:tc>
        <w:tc>
          <w:tcPr>
            <w:tcW w:w="2165" w:type="dxa"/>
          </w:tcPr>
          <w:p w14:paraId="74366275" w14:textId="75F7414A" w:rsidR="007E2FFF" w:rsidRPr="00F34F88" w:rsidRDefault="00954C5A" w:rsidP="000854BC">
            <w:pPr>
              <w:pStyle w:val="TableTextLeft"/>
              <w:rPr>
                <w:b/>
              </w:rPr>
            </w:pPr>
            <w:r w:rsidRPr="00F34F88">
              <w:rPr>
                <w:b/>
              </w:rPr>
              <w:t>0.</w:t>
            </w:r>
            <w:r w:rsidR="006408B0">
              <w:rPr>
                <w:b/>
              </w:rPr>
              <w:t>4</w:t>
            </w:r>
          </w:p>
        </w:tc>
        <w:tc>
          <w:tcPr>
            <w:tcW w:w="2166" w:type="dxa"/>
          </w:tcPr>
          <w:p w14:paraId="656C0CC0" w14:textId="54932B85" w:rsidR="007E2FFF" w:rsidRPr="00F34F88" w:rsidRDefault="00954C5A" w:rsidP="000854BC">
            <w:pPr>
              <w:pStyle w:val="TableTextLeft"/>
              <w:rPr>
                <w:b/>
              </w:rPr>
            </w:pPr>
            <w:r w:rsidRPr="00F34F88">
              <w:rPr>
                <w:b/>
              </w:rPr>
              <w:t>No change</w:t>
            </w:r>
          </w:p>
        </w:tc>
        <w:tc>
          <w:tcPr>
            <w:tcW w:w="2166" w:type="dxa"/>
          </w:tcPr>
          <w:p w14:paraId="7D321151" w14:textId="65E63EA1" w:rsidR="007E2FFF" w:rsidRPr="00F34F88" w:rsidRDefault="00954C5A" w:rsidP="000854BC">
            <w:pPr>
              <w:pStyle w:val="TableTextLeft"/>
              <w:rPr>
                <w:b/>
              </w:rPr>
            </w:pPr>
            <w:r w:rsidRPr="00F34F88">
              <w:rPr>
                <w:b/>
              </w:rPr>
              <w:t>0.</w:t>
            </w:r>
            <w:r w:rsidR="006408B0">
              <w:rPr>
                <w:b/>
              </w:rPr>
              <w:t>4</w:t>
            </w:r>
          </w:p>
        </w:tc>
      </w:tr>
    </w:tbl>
    <w:p w14:paraId="09AD556D" w14:textId="77777777" w:rsidR="007E2FFF" w:rsidRDefault="007E2FFF" w:rsidP="000854BC">
      <w:pPr>
        <w:pStyle w:val="SingleParagraph"/>
      </w:pPr>
    </w:p>
    <w:p w14:paraId="3A883440" w14:textId="092BA87B" w:rsidR="004F7481" w:rsidRDefault="00431202" w:rsidP="00431202">
      <w:pPr>
        <w:pStyle w:val="Heading4"/>
      </w:pPr>
      <w:r w:rsidRPr="00431202">
        <w:t>Option 3: Streamline the fees framework</w:t>
      </w:r>
    </w:p>
    <w:p w14:paraId="164947D4" w14:textId="77777777" w:rsidR="00F71EF5" w:rsidRDefault="00F71EF5" w:rsidP="00F71EF5">
      <w:pPr>
        <w:pStyle w:val="Heading5"/>
      </w:pPr>
      <w:r>
        <w:t>Benefits</w:t>
      </w:r>
    </w:p>
    <w:p w14:paraId="14555BEC" w14:textId="1BD47E01" w:rsidR="00F71EF5" w:rsidRDefault="00F71EF5" w:rsidP="00F71EF5">
      <w:pPr>
        <w:pStyle w:val="OutlineNumbered1"/>
      </w:pPr>
      <w:r>
        <w:t xml:space="preserve">The benefits of streamlining the fees framework is that the fees will be simpler for foreign investors to understand and simpler for the government to administer. </w:t>
      </w:r>
      <w:r w:rsidR="006C008F">
        <w:t>It is anticipated that any changes to the business fees framework will be</w:t>
      </w:r>
      <w:r>
        <w:t xml:space="preserve"> </w:t>
      </w:r>
      <w:r w:rsidR="00D367E4">
        <w:t>revenue</w:t>
      </w:r>
      <w:r>
        <w:t xml:space="preserve"> neutral overall.</w:t>
      </w:r>
    </w:p>
    <w:p w14:paraId="382F3513" w14:textId="52E1D6FE" w:rsidR="00954C5A" w:rsidRDefault="00954C5A" w:rsidP="00F71EF5">
      <w:pPr>
        <w:pStyle w:val="OutlineNumbered1"/>
      </w:pPr>
      <w:r>
        <w:t xml:space="preserve">If a flat fee is implemented, it is assumed that approximately </w:t>
      </w:r>
      <w:r w:rsidR="00AF251C">
        <w:t>1300</w:t>
      </w:r>
      <w:r>
        <w:t xml:space="preserve"> business cases would be affected, with a reduction in 1.5 hours per case to determine the fee and a </w:t>
      </w:r>
      <w:r>
        <w:lastRenderedPageBreak/>
        <w:t>further 1.5 hours reduced in correspondence during cas</w:t>
      </w:r>
      <w:r w:rsidR="001A1602">
        <w:t xml:space="preserve">e assessment. This results in an estimated </w:t>
      </w:r>
      <w:r w:rsidRPr="00E07B29">
        <w:t>$3</w:t>
      </w:r>
      <w:r w:rsidR="00473D35">
        <w:t>.1 million</w:t>
      </w:r>
      <w:r w:rsidRPr="00E07B29">
        <w:t xml:space="preserve"> </w:t>
      </w:r>
      <w:r w:rsidR="0096286F">
        <w:t>compliance</w:t>
      </w:r>
      <w:r>
        <w:t xml:space="preserve"> cost saving per year.</w:t>
      </w:r>
    </w:p>
    <w:p w14:paraId="592A656F" w14:textId="65C635B2" w:rsidR="000854BC" w:rsidRDefault="000854BC" w:rsidP="000854BC">
      <w:pPr>
        <w:pStyle w:val="TableMainHeading"/>
        <w:ind w:left="567"/>
      </w:pPr>
      <w:r w:rsidRPr="007E2FFF">
        <w:t>Average annual regulatory cost saving from business as usual</w:t>
      </w:r>
    </w:p>
    <w:tbl>
      <w:tblPr>
        <w:tblStyle w:val="TableGrid"/>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2165"/>
        <w:gridCol w:w="2166"/>
        <w:gridCol w:w="2166"/>
      </w:tblGrid>
      <w:tr w:rsidR="00B6089B" w:rsidRPr="007E2FFF" w14:paraId="1EF87211" w14:textId="77777777" w:rsidTr="00AE515C">
        <w:tc>
          <w:tcPr>
            <w:tcW w:w="2222" w:type="dxa"/>
          </w:tcPr>
          <w:p w14:paraId="53FD52FD" w14:textId="77777777" w:rsidR="00B6089B" w:rsidRPr="007E2FFF" w:rsidRDefault="00B6089B" w:rsidP="000854BC">
            <w:pPr>
              <w:pStyle w:val="TableColumnHeadingLeft"/>
            </w:pPr>
            <w:r w:rsidRPr="007E2FFF">
              <w:t>Change in costs</w:t>
            </w:r>
          </w:p>
          <w:p w14:paraId="3865A08F" w14:textId="77777777" w:rsidR="00B6089B" w:rsidRPr="007E2FFF" w:rsidRDefault="00B6089B" w:rsidP="000854BC">
            <w:pPr>
              <w:pStyle w:val="TableColumnHeadingLeft"/>
            </w:pPr>
            <w:r w:rsidRPr="007E2FFF">
              <w:t>($ million)</w:t>
            </w:r>
          </w:p>
        </w:tc>
        <w:tc>
          <w:tcPr>
            <w:tcW w:w="2165" w:type="dxa"/>
          </w:tcPr>
          <w:p w14:paraId="2DCD4FF6" w14:textId="77777777" w:rsidR="00B6089B" w:rsidRPr="007E2FFF" w:rsidRDefault="00B6089B" w:rsidP="000854BC">
            <w:pPr>
              <w:pStyle w:val="TableColumnHeadingLeft"/>
            </w:pPr>
            <w:r w:rsidRPr="007E2FFF">
              <w:t>Business</w:t>
            </w:r>
          </w:p>
        </w:tc>
        <w:tc>
          <w:tcPr>
            <w:tcW w:w="2166" w:type="dxa"/>
          </w:tcPr>
          <w:p w14:paraId="38816B2E" w14:textId="77777777" w:rsidR="00B6089B" w:rsidRPr="007E2FFF" w:rsidRDefault="00B6089B" w:rsidP="000854BC">
            <w:pPr>
              <w:pStyle w:val="TableColumnHeadingLeft"/>
            </w:pPr>
            <w:r w:rsidRPr="007E2FFF">
              <w:t>Individuals</w:t>
            </w:r>
          </w:p>
        </w:tc>
        <w:tc>
          <w:tcPr>
            <w:tcW w:w="2166" w:type="dxa"/>
          </w:tcPr>
          <w:p w14:paraId="57F9A33E" w14:textId="77777777" w:rsidR="00B6089B" w:rsidRPr="007E2FFF" w:rsidRDefault="00B6089B" w:rsidP="000854BC">
            <w:pPr>
              <w:pStyle w:val="TableColumnHeadingLeft"/>
            </w:pPr>
            <w:r w:rsidRPr="007E2FFF">
              <w:t>Total change</w:t>
            </w:r>
          </w:p>
        </w:tc>
      </w:tr>
      <w:tr w:rsidR="00B6089B" w:rsidRPr="007E2FFF" w14:paraId="53A01DBF" w14:textId="77777777" w:rsidTr="00AE515C">
        <w:tc>
          <w:tcPr>
            <w:tcW w:w="2222" w:type="dxa"/>
          </w:tcPr>
          <w:p w14:paraId="3C3CC946" w14:textId="77777777" w:rsidR="00B6089B" w:rsidRPr="007E2FFF" w:rsidRDefault="00B6089B" w:rsidP="000854BC">
            <w:pPr>
              <w:pStyle w:val="TableTextLeft"/>
            </w:pPr>
            <w:r>
              <w:t>Flat fee</w:t>
            </w:r>
          </w:p>
        </w:tc>
        <w:tc>
          <w:tcPr>
            <w:tcW w:w="2165" w:type="dxa"/>
          </w:tcPr>
          <w:p w14:paraId="030246C5" w14:textId="7BB30DC5" w:rsidR="00B6089B" w:rsidRPr="001A1602" w:rsidRDefault="006408B0" w:rsidP="000854BC">
            <w:pPr>
              <w:pStyle w:val="TableTextLeft"/>
            </w:pPr>
            <w:r>
              <w:t>3.1</w:t>
            </w:r>
          </w:p>
        </w:tc>
        <w:tc>
          <w:tcPr>
            <w:tcW w:w="2166" w:type="dxa"/>
          </w:tcPr>
          <w:p w14:paraId="096199DC" w14:textId="77777777" w:rsidR="00B6089B" w:rsidRPr="001A1602" w:rsidRDefault="00B6089B" w:rsidP="000854BC">
            <w:pPr>
              <w:pStyle w:val="TableTextLeft"/>
            </w:pPr>
            <w:r w:rsidRPr="001A1602">
              <w:t>No change</w:t>
            </w:r>
          </w:p>
        </w:tc>
        <w:tc>
          <w:tcPr>
            <w:tcW w:w="2166" w:type="dxa"/>
          </w:tcPr>
          <w:p w14:paraId="00583970" w14:textId="06457758" w:rsidR="00B6089B" w:rsidRPr="001A1602" w:rsidRDefault="006408B0" w:rsidP="000854BC">
            <w:pPr>
              <w:pStyle w:val="TableTextLeft"/>
            </w:pPr>
            <w:r>
              <w:t>3.1</w:t>
            </w:r>
          </w:p>
        </w:tc>
      </w:tr>
      <w:tr w:rsidR="00B6089B" w:rsidRPr="007E2FFF" w14:paraId="627388C9" w14:textId="77777777" w:rsidTr="00AE515C">
        <w:tc>
          <w:tcPr>
            <w:tcW w:w="2222" w:type="dxa"/>
          </w:tcPr>
          <w:p w14:paraId="40A20F71" w14:textId="77777777" w:rsidR="00B6089B" w:rsidRPr="001B3CA1" w:rsidRDefault="00B6089B" w:rsidP="000854BC">
            <w:pPr>
              <w:pStyle w:val="TableTextLeft"/>
              <w:rPr>
                <w:b/>
              </w:rPr>
            </w:pPr>
            <w:r w:rsidRPr="001B3CA1">
              <w:rPr>
                <w:b/>
              </w:rPr>
              <w:t>Total</w:t>
            </w:r>
          </w:p>
        </w:tc>
        <w:tc>
          <w:tcPr>
            <w:tcW w:w="2165" w:type="dxa"/>
          </w:tcPr>
          <w:p w14:paraId="24374854" w14:textId="3AE785A2" w:rsidR="00B6089B" w:rsidRPr="001B3CA1" w:rsidRDefault="006408B0" w:rsidP="000854BC">
            <w:pPr>
              <w:pStyle w:val="TableTextLeft"/>
              <w:rPr>
                <w:b/>
              </w:rPr>
            </w:pPr>
            <w:r>
              <w:rPr>
                <w:b/>
              </w:rPr>
              <w:t>3.1</w:t>
            </w:r>
          </w:p>
        </w:tc>
        <w:tc>
          <w:tcPr>
            <w:tcW w:w="2166" w:type="dxa"/>
          </w:tcPr>
          <w:p w14:paraId="77DE9607" w14:textId="77777777" w:rsidR="00B6089B" w:rsidRPr="001B3CA1" w:rsidRDefault="00B6089B" w:rsidP="000854BC">
            <w:pPr>
              <w:pStyle w:val="TableTextLeft"/>
              <w:rPr>
                <w:b/>
              </w:rPr>
            </w:pPr>
            <w:r w:rsidRPr="001B3CA1">
              <w:rPr>
                <w:b/>
              </w:rPr>
              <w:t>No change</w:t>
            </w:r>
          </w:p>
        </w:tc>
        <w:tc>
          <w:tcPr>
            <w:tcW w:w="2166" w:type="dxa"/>
          </w:tcPr>
          <w:p w14:paraId="312E90BE" w14:textId="28CD26A0" w:rsidR="00B6089B" w:rsidRPr="001B3CA1" w:rsidRDefault="006408B0" w:rsidP="000854BC">
            <w:pPr>
              <w:pStyle w:val="TableTextLeft"/>
              <w:rPr>
                <w:b/>
              </w:rPr>
            </w:pPr>
            <w:r>
              <w:rPr>
                <w:b/>
              </w:rPr>
              <w:t>3.1</w:t>
            </w:r>
          </w:p>
        </w:tc>
      </w:tr>
    </w:tbl>
    <w:p w14:paraId="4802AB52" w14:textId="77777777" w:rsidR="00B6089B" w:rsidRDefault="00B6089B" w:rsidP="000854BC">
      <w:pPr>
        <w:pStyle w:val="SingleParagraph"/>
      </w:pPr>
    </w:p>
    <w:p w14:paraId="2C83934E" w14:textId="7344DCD6" w:rsidR="00954C5A" w:rsidRDefault="00954C5A" w:rsidP="00F71EF5">
      <w:pPr>
        <w:pStyle w:val="OutlineNumbered1"/>
      </w:pPr>
      <w:r>
        <w:t xml:space="preserve">If a tiered fee is implemented, it is assumed that approximately </w:t>
      </w:r>
      <w:r w:rsidR="00AF251C" w:rsidRPr="00E07B29">
        <w:t>1300</w:t>
      </w:r>
      <w:r w:rsidR="00AF251C">
        <w:t xml:space="preserve"> </w:t>
      </w:r>
      <w:r>
        <w:t xml:space="preserve">businesses cases would be affected, with a reduction in 1 hour in determining the fee and a further reduction of 1 hour in correspondence during case assessment. </w:t>
      </w:r>
      <w:r w:rsidR="001A1602">
        <w:t>The time savings are estimated to be less for the tiered fee option compared with the flat fee, as it is estimated more time will be required to determine the correct consideration. A tiered fee is estimated to result in a $2</w:t>
      </w:r>
      <w:r w:rsidR="00473D35">
        <w:t>.1 million</w:t>
      </w:r>
      <w:r w:rsidR="001A1602">
        <w:t xml:space="preserve"> </w:t>
      </w:r>
      <w:r w:rsidR="0096286F">
        <w:t xml:space="preserve">compliance </w:t>
      </w:r>
      <w:r w:rsidR="001A1602">
        <w:t xml:space="preserve">cost saving per year. </w:t>
      </w:r>
    </w:p>
    <w:p w14:paraId="78356080" w14:textId="06DE93FA" w:rsidR="000854BC" w:rsidRDefault="000854BC" w:rsidP="000854BC">
      <w:pPr>
        <w:pStyle w:val="TableMainHeading"/>
        <w:ind w:left="567"/>
      </w:pPr>
      <w:r w:rsidRPr="007E2FFF">
        <w:t>Average annual regulatory cost saving from business as usual</w:t>
      </w:r>
    </w:p>
    <w:tbl>
      <w:tblPr>
        <w:tblStyle w:val="TableGrid"/>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2165"/>
        <w:gridCol w:w="2166"/>
        <w:gridCol w:w="2166"/>
      </w:tblGrid>
      <w:tr w:rsidR="007E2FFF" w:rsidRPr="007E2FFF" w14:paraId="79C41CA0" w14:textId="77777777" w:rsidTr="00E51657">
        <w:tc>
          <w:tcPr>
            <w:tcW w:w="2222" w:type="dxa"/>
          </w:tcPr>
          <w:p w14:paraId="7210DF19" w14:textId="77777777" w:rsidR="007E2FFF" w:rsidRPr="007E2FFF" w:rsidRDefault="007E2FFF" w:rsidP="000854BC">
            <w:pPr>
              <w:pStyle w:val="TableColumnHeadingLeft"/>
            </w:pPr>
            <w:r w:rsidRPr="007E2FFF">
              <w:t>Change in costs</w:t>
            </w:r>
          </w:p>
          <w:p w14:paraId="0C4BB10E" w14:textId="77777777" w:rsidR="007E2FFF" w:rsidRPr="007E2FFF" w:rsidRDefault="007E2FFF" w:rsidP="000854BC">
            <w:pPr>
              <w:pStyle w:val="TableColumnHeadingLeft"/>
            </w:pPr>
            <w:r w:rsidRPr="007E2FFF">
              <w:t>($ million)</w:t>
            </w:r>
          </w:p>
        </w:tc>
        <w:tc>
          <w:tcPr>
            <w:tcW w:w="2165" w:type="dxa"/>
          </w:tcPr>
          <w:p w14:paraId="4ED41A03" w14:textId="77777777" w:rsidR="007E2FFF" w:rsidRPr="007E2FFF" w:rsidRDefault="007E2FFF" w:rsidP="000854BC">
            <w:pPr>
              <w:pStyle w:val="TableColumnHeadingLeft"/>
            </w:pPr>
            <w:r w:rsidRPr="007E2FFF">
              <w:t>Business</w:t>
            </w:r>
          </w:p>
        </w:tc>
        <w:tc>
          <w:tcPr>
            <w:tcW w:w="2166" w:type="dxa"/>
          </w:tcPr>
          <w:p w14:paraId="39F6BA36" w14:textId="77777777" w:rsidR="007E2FFF" w:rsidRPr="007E2FFF" w:rsidRDefault="007E2FFF" w:rsidP="000854BC">
            <w:pPr>
              <w:pStyle w:val="TableColumnHeadingLeft"/>
            </w:pPr>
            <w:r w:rsidRPr="007E2FFF">
              <w:t>Individuals</w:t>
            </w:r>
          </w:p>
        </w:tc>
        <w:tc>
          <w:tcPr>
            <w:tcW w:w="2166" w:type="dxa"/>
          </w:tcPr>
          <w:p w14:paraId="49526A48" w14:textId="77777777" w:rsidR="007E2FFF" w:rsidRPr="007E2FFF" w:rsidRDefault="007E2FFF" w:rsidP="000854BC">
            <w:pPr>
              <w:pStyle w:val="TableColumnHeadingLeft"/>
            </w:pPr>
            <w:r w:rsidRPr="007E2FFF">
              <w:t>Total change</w:t>
            </w:r>
          </w:p>
        </w:tc>
      </w:tr>
      <w:tr w:rsidR="00954C5A" w:rsidRPr="007E2FFF" w14:paraId="79EA9076" w14:textId="77777777" w:rsidTr="00E51657">
        <w:tc>
          <w:tcPr>
            <w:tcW w:w="2222" w:type="dxa"/>
          </w:tcPr>
          <w:p w14:paraId="032AEFAC" w14:textId="0C8A8E84" w:rsidR="00954C5A" w:rsidRPr="007E2FFF" w:rsidRDefault="00954C5A" w:rsidP="000854BC">
            <w:pPr>
              <w:pStyle w:val="TableTextLeft"/>
            </w:pPr>
            <w:r>
              <w:t>Tiered fee</w:t>
            </w:r>
          </w:p>
        </w:tc>
        <w:tc>
          <w:tcPr>
            <w:tcW w:w="2165" w:type="dxa"/>
          </w:tcPr>
          <w:p w14:paraId="2139514F" w14:textId="4FC0C23B" w:rsidR="00954C5A" w:rsidRPr="001A1602" w:rsidRDefault="0096286F" w:rsidP="000854BC">
            <w:pPr>
              <w:pStyle w:val="TableTextLeft"/>
            </w:pPr>
            <w:r>
              <w:t>2.</w:t>
            </w:r>
            <w:r w:rsidR="006408B0">
              <w:t>1</w:t>
            </w:r>
          </w:p>
        </w:tc>
        <w:tc>
          <w:tcPr>
            <w:tcW w:w="2166" w:type="dxa"/>
          </w:tcPr>
          <w:p w14:paraId="2EF1038B" w14:textId="1D0F46A4" w:rsidR="00954C5A" w:rsidRPr="001A1602" w:rsidRDefault="001A1602" w:rsidP="000854BC">
            <w:pPr>
              <w:pStyle w:val="TableTextLeft"/>
            </w:pPr>
            <w:r w:rsidRPr="001A1602">
              <w:t>No change</w:t>
            </w:r>
          </w:p>
        </w:tc>
        <w:tc>
          <w:tcPr>
            <w:tcW w:w="2166" w:type="dxa"/>
          </w:tcPr>
          <w:p w14:paraId="6F21ACAE" w14:textId="38B9D2F6" w:rsidR="00954C5A" w:rsidRPr="001A1602" w:rsidRDefault="0096286F" w:rsidP="000854BC">
            <w:pPr>
              <w:pStyle w:val="TableTextLeft"/>
            </w:pPr>
            <w:r>
              <w:t>2.</w:t>
            </w:r>
            <w:r w:rsidR="006408B0">
              <w:t>1</w:t>
            </w:r>
          </w:p>
        </w:tc>
      </w:tr>
      <w:tr w:rsidR="007E2FFF" w:rsidRPr="007E2FFF" w14:paraId="4DD074DE" w14:textId="77777777" w:rsidTr="00E51657">
        <w:tc>
          <w:tcPr>
            <w:tcW w:w="2222" w:type="dxa"/>
          </w:tcPr>
          <w:p w14:paraId="738B2979" w14:textId="77777777" w:rsidR="007E2FFF" w:rsidRPr="001B3CA1" w:rsidRDefault="007E2FFF" w:rsidP="000854BC">
            <w:pPr>
              <w:pStyle w:val="TableTextLeft"/>
              <w:rPr>
                <w:b/>
              </w:rPr>
            </w:pPr>
            <w:r w:rsidRPr="001B3CA1">
              <w:rPr>
                <w:b/>
              </w:rPr>
              <w:t>Total</w:t>
            </w:r>
          </w:p>
        </w:tc>
        <w:tc>
          <w:tcPr>
            <w:tcW w:w="2165" w:type="dxa"/>
          </w:tcPr>
          <w:p w14:paraId="3CC2F0D5" w14:textId="76E3CD62" w:rsidR="007E2FFF" w:rsidRPr="001B3CA1" w:rsidRDefault="0096286F" w:rsidP="000854BC">
            <w:pPr>
              <w:pStyle w:val="TableTextLeft"/>
              <w:rPr>
                <w:b/>
              </w:rPr>
            </w:pPr>
            <w:r>
              <w:rPr>
                <w:b/>
              </w:rPr>
              <w:t>2.</w:t>
            </w:r>
            <w:r w:rsidR="006408B0">
              <w:rPr>
                <w:b/>
              </w:rPr>
              <w:t>1</w:t>
            </w:r>
          </w:p>
        </w:tc>
        <w:tc>
          <w:tcPr>
            <w:tcW w:w="2166" w:type="dxa"/>
          </w:tcPr>
          <w:p w14:paraId="1D9DE82F" w14:textId="671C1AFE" w:rsidR="007E2FFF" w:rsidRPr="001B3CA1" w:rsidRDefault="001A1602" w:rsidP="000854BC">
            <w:pPr>
              <w:pStyle w:val="TableTextLeft"/>
              <w:rPr>
                <w:b/>
              </w:rPr>
            </w:pPr>
            <w:r w:rsidRPr="001B3CA1">
              <w:rPr>
                <w:b/>
              </w:rPr>
              <w:t>No change</w:t>
            </w:r>
          </w:p>
        </w:tc>
        <w:tc>
          <w:tcPr>
            <w:tcW w:w="2166" w:type="dxa"/>
          </w:tcPr>
          <w:p w14:paraId="4DE10D85" w14:textId="2D2A02FB" w:rsidR="007E2FFF" w:rsidRPr="001B3CA1" w:rsidRDefault="0096286F" w:rsidP="000854BC">
            <w:pPr>
              <w:pStyle w:val="TableTextLeft"/>
              <w:rPr>
                <w:b/>
              </w:rPr>
            </w:pPr>
            <w:r>
              <w:rPr>
                <w:b/>
              </w:rPr>
              <w:t>2.</w:t>
            </w:r>
            <w:r w:rsidR="006408B0">
              <w:rPr>
                <w:b/>
              </w:rPr>
              <w:t>1</w:t>
            </w:r>
          </w:p>
        </w:tc>
      </w:tr>
    </w:tbl>
    <w:p w14:paraId="222212B9" w14:textId="77777777" w:rsidR="007E2FFF" w:rsidRDefault="007E2FFF" w:rsidP="000854BC">
      <w:pPr>
        <w:pStyle w:val="SingleParagraph"/>
      </w:pPr>
    </w:p>
    <w:p w14:paraId="5DB92C27" w14:textId="084612F3" w:rsidR="0053515C" w:rsidRDefault="0053515C" w:rsidP="007D6B44">
      <w:pPr>
        <w:pStyle w:val="Heading2"/>
      </w:pPr>
      <w:bookmarkStart w:id="80" w:name="_Toc476739012"/>
      <w:r>
        <w:t>5. Miscellaneous technical issues</w:t>
      </w:r>
      <w:r w:rsidR="0038566F">
        <w:t xml:space="preserve"> and ideas for further reform</w:t>
      </w:r>
      <w:bookmarkEnd w:id="80"/>
    </w:p>
    <w:p w14:paraId="3869CC30" w14:textId="77777777" w:rsidR="0035531A" w:rsidRDefault="009D7908" w:rsidP="0048136F">
      <w:pPr>
        <w:pStyle w:val="OutlineNumbered1"/>
      </w:pPr>
      <w:r>
        <w:t>It is common with major legislative reform to follow with subsequent technical amendments</w:t>
      </w:r>
      <w:r w:rsidR="00357421">
        <w:t xml:space="preserve"> that </w:t>
      </w:r>
      <w:r>
        <w:t xml:space="preserve">are mostly minor in nature </w:t>
      </w:r>
      <w:r w:rsidR="00357421">
        <w:t xml:space="preserve">or seek to align more closely with the </w:t>
      </w:r>
      <w:r>
        <w:t>intended policy outcomes and commercial practices.</w:t>
      </w:r>
      <w:r w:rsidR="005145E2">
        <w:t xml:space="preserve"> </w:t>
      </w:r>
      <w:r>
        <w:t xml:space="preserve">Stakeholders are encouraged to provide examples of where technical amendments could be </w:t>
      </w:r>
      <w:r w:rsidR="00504BBA">
        <w:t xml:space="preserve">made to the FATA Regulation, Fees Act and Fees </w:t>
      </w:r>
      <w:r>
        <w:t xml:space="preserve">Regulation. </w:t>
      </w:r>
    </w:p>
    <w:p w14:paraId="7990444B" w14:textId="667766D1" w:rsidR="00EB22A1" w:rsidRPr="0035531A" w:rsidRDefault="00EB22A1">
      <w:pPr>
        <w:pStyle w:val="OutlineNumbered1"/>
      </w:pPr>
      <w:r w:rsidRPr="0035531A">
        <w:t xml:space="preserve">Stakeholders are also invited to provide </w:t>
      </w:r>
      <w:r w:rsidRPr="0048136F">
        <w:t xml:space="preserve">feedback on their experiences of the foreign investment framework </w:t>
      </w:r>
      <w:r w:rsidRPr="00620046">
        <w:t xml:space="preserve">since the 2015 </w:t>
      </w:r>
      <w:r w:rsidR="0038566F" w:rsidRPr="00620046">
        <w:t>changes</w:t>
      </w:r>
      <w:r w:rsidRPr="000C0522">
        <w:t xml:space="preserve">, and provide </w:t>
      </w:r>
      <w:r w:rsidR="0038566F" w:rsidRPr="000C0522">
        <w:t xml:space="preserve">any other ideas for reform, that are not covered in the paper. </w:t>
      </w:r>
      <w:r w:rsidR="004E7B87" w:rsidRPr="000C0522">
        <w:t xml:space="preserve"> </w:t>
      </w:r>
    </w:p>
    <w:p w14:paraId="57B8CDAC" w14:textId="77777777" w:rsidR="007B4589" w:rsidRDefault="007B4589" w:rsidP="007B4589">
      <w:pPr>
        <w:pStyle w:val="Heading1"/>
      </w:pPr>
      <w:bookmarkStart w:id="81" w:name="_Toc476739013"/>
      <w:r>
        <w:t>Conclusion</w:t>
      </w:r>
      <w:bookmarkEnd w:id="81"/>
    </w:p>
    <w:p w14:paraId="67B728C2" w14:textId="1A0A6F42" w:rsidR="00066657" w:rsidRDefault="00066657" w:rsidP="00066657">
      <w:pPr>
        <w:pStyle w:val="OutlineNumbered1"/>
      </w:pPr>
      <w:r>
        <w:t>On 1 December 2015, the most significant changes to Australia</w:t>
      </w:r>
      <w:r w:rsidR="007E22CB">
        <w:t>’</w:t>
      </w:r>
      <w:r>
        <w:t xml:space="preserve">s foreign investment framework in over 40 years were introduced. </w:t>
      </w:r>
      <w:r w:rsidRPr="004F5B24">
        <w:t xml:space="preserve">The reforms </w:t>
      </w:r>
      <w:r>
        <w:t>provided for</w:t>
      </w:r>
      <w:r w:rsidRPr="004F5B24">
        <w:t xml:space="preserve"> stronger enforcement of the rules</w:t>
      </w:r>
      <w:r>
        <w:t>, a</w:t>
      </w:r>
      <w:r w:rsidRPr="004F5B24">
        <w:t xml:space="preserve"> better resourced system </w:t>
      </w:r>
      <w:r>
        <w:t>and</w:t>
      </w:r>
      <w:r w:rsidRPr="004F5B24">
        <w:t xml:space="preserve"> clearer rules for foreign investors.</w:t>
      </w:r>
    </w:p>
    <w:p w14:paraId="78A37C2E" w14:textId="77777777" w:rsidR="009E2787" w:rsidRDefault="00066657" w:rsidP="00066657">
      <w:pPr>
        <w:pStyle w:val="OutlineNumbered1"/>
      </w:pPr>
      <w:r w:rsidRPr="00066657">
        <w:t xml:space="preserve">In the year since the reforms were implemented, the Government has been </w:t>
      </w:r>
      <w:r w:rsidR="009E2787">
        <w:t>seeking</w:t>
      </w:r>
      <w:r w:rsidRPr="00066657">
        <w:t xml:space="preserve"> </w:t>
      </w:r>
      <w:r w:rsidR="009E2787">
        <w:t xml:space="preserve">ongoing </w:t>
      </w:r>
      <w:r w:rsidRPr="00066657">
        <w:t xml:space="preserve">feedback from stakeholders on </w:t>
      </w:r>
      <w:r w:rsidR="009E2787">
        <w:t xml:space="preserve">how the reforms are working in practice and on any unintended consequences stemming from the reforms. </w:t>
      </w:r>
    </w:p>
    <w:p w14:paraId="32DFEB85" w14:textId="0DB04515" w:rsidR="00A03891" w:rsidRDefault="00A03891" w:rsidP="00A03891">
      <w:pPr>
        <w:pStyle w:val="OutlineNumbered1"/>
      </w:pPr>
      <w:r>
        <w:t>The Government has released this consultation paper to seek formal views from stakeholders on a suite of proposed changes in the areas of residential land, non</w:t>
      </w:r>
      <w:r w:rsidR="007E22CB">
        <w:noBreakHyphen/>
      </w:r>
      <w:r>
        <w:t xml:space="preserve">vacant commercial land, low sensitivity business investment and fees. The paper also </w:t>
      </w:r>
      <w:r>
        <w:lastRenderedPageBreak/>
        <w:t>provides an opportunity for stakeholders to provide examples on how technical issues in the legislation could be fixed</w:t>
      </w:r>
      <w:r w:rsidR="0038566F">
        <w:t xml:space="preserve">, and any other ideas for reform. </w:t>
      </w:r>
    </w:p>
    <w:p w14:paraId="535B1C11" w14:textId="42B08458" w:rsidR="00A03891" w:rsidRDefault="00A03891" w:rsidP="00A03891">
      <w:pPr>
        <w:pStyle w:val="OutlineNumbered1"/>
      </w:pPr>
      <w:r>
        <w:t>Stakeholders are invited to provide feedback on the proposed changes an</w:t>
      </w:r>
      <w:r w:rsidR="004F6FD6">
        <w:t>d the estimated regulatory cost/cost savings</w:t>
      </w:r>
      <w:r>
        <w:t xml:space="preserve"> of the options.</w:t>
      </w:r>
    </w:p>
    <w:p w14:paraId="69508E57" w14:textId="77777777" w:rsidR="00A03891" w:rsidRDefault="00A03891" w:rsidP="00A03891">
      <w:pPr>
        <w:pStyle w:val="OutlineNumbered1"/>
      </w:pPr>
      <w:r>
        <w:t>The final legislative package and the approach to its implementation will be determined by the Government following consultation.</w:t>
      </w:r>
    </w:p>
    <w:p w14:paraId="52719B76" w14:textId="77777777" w:rsidR="00066657" w:rsidRPr="00066657" w:rsidRDefault="009E2787" w:rsidP="00066657">
      <w:pPr>
        <w:pStyle w:val="OutlineNumbered1"/>
      </w:pPr>
      <w:r>
        <w:t xml:space="preserve">Further </w:t>
      </w:r>
      <w:r w:rsidR="009B198C">
        <w:t>targeted</w:t>
      </w:r>
      <w:r>
        <w:t xml:space="preserve"> consultation will take place on the exposure drafts of any legislative changes that are agreed by Government. </w:t>
      </w:r>
    </w:p>
    <w:p w14:paraId="6B65E15F" w14:textId="77777777" w:rsidR="007B4589" w:rsidRDefault="007B4589">
      <w:pPr>
        <w:spacing w:after="0" w:line="240" w:lineRule="auto"/>
        <w:jc w:val="left"/>
      </w:pPr>
      <w:r>
        <w:br w:type="page"/>
      </w:r>
    </w:p>
    <w:p w14:paraId="2BECDE48" w14:textId="4F8915EF" w:rsidR="007B4589" w:rsidRPr="00460774" w:rsidRDefault="007B4589" w:rsidP="000925D5">
      <w:pPr>
        <w:pStyle w:val="Heading1"/>
      </w:pPr>
      <w:bookmarkStart w:id="82" w:name="_Toc476739014"/>
      <w:r>
        <w:lastRenderedPageBreak/>
        <w:t>Attachment A</w:t>
      </w:r>
      <w:r w:rsidR="00D978FE">
        <w:t xml:space="preserve"> — </w:t>
      </w:r>
      <w:r w:rsidR="000925D5">
        <w:t xml:space="preserve">Business </w:t>
      </w:r>
      <w:r>
        <w:t>Fees 2016</w:t>
      </w:r>
      <w:r w:rsidR="007E22CB">
        <w:noBreakHyphen/>
      </w:r>
      <w:r>
        <w:t>17 Financial Year</w:t>
      </w:r>
      <w:bookmarkEnd w:id="82"/>
    </w:p>
    <w:tbl>
      <w:tblPr>
        <w:tblStyle w:val="TableGrid3"/>
        <w:tblW w:w="9322" w:type="dxa"/>
        <w:tblLook w:val="04A0" w:firstRow="1" w:lastRow="0" w:firstColumn="1" w:lastColumn="0" w:noHBand="0" w:noVBand="1"/>
      </w:tblPr>
      <w:tblGrid>
        <w:gridCol w:w="6237"/>
        <w:gridCol w:w="250"/>
        <w:gridCol w:w="2835"/>
      </w:tblGrid>
      <w:tr w:rsidR="007B4589" w:rsidRPr="00EF6E40" w14:paraId="1456D568" w14:textId="77777777" w:rsidTr="008717BE">
        <w:tc>
          <w:tcPr>
            <w:tcW w:w="6487" w:type="dxa"/>
            <w:gridSpan w:val="2"/>
            <w:shd w:val="clear" w:color="auto" w:fill="F3F9FF"/>
          </w:tcPr>
          <w:p w14:paraId="39182D00" w14:textId="77777777" w:rsidR="007B4589" w:rsidRPr="00EF6E40" w:rsidRDefault="007B4589" w:rsidP="00272D30">
            <w:pPr>
              <w:pStyle w:val="Heading3"/>
            </w:pPr>
            <w:bookmarkStart w:id="83" w:name="_Toc435549949"/>
            <w:bookmarkStart w:id="84" w:name="_Toc476739015"/>
            <w:r w:rsidRPr="00EF6E40">
              <w:t>Action type</w:t>
            </w:r>
            <w:bookmarkEnd w:id="83"/>
            <w:bookmarkEnd w:id="84"/>
          </w:p>
        </w:tc>
        <w:tc>
          <w:tcPr>
            <w:tcW w:w="2835" w:type="dxa"/>
            <w:shd w:val="clear" w:color="auto" w:fill="F3F9FF"/>
          </w:tcPr>
          <w:p w14:paraId="6F831F5B" w14:textId="77777777" w:rsidR="007B4589" w:rsidRPr="00EF6E40" w:rsidRDefault="007B4589" w:rsidP="00272D30">
            <w:pPr>
              <w:pStyle w:val="Heading3"/>
            </w:pPr>
            <w:bookmarkStart w:id="85" w:name="_Toc435549950"/>
            <w:bookmarkStart w:id="86" w:name="_Toc476739016"/>
            <w:r w:rsidRPr="00EF6E40">
              <w:t>Fee Payable</w:t>
            </w:r>
            <w:bookmarkEnd w:id="85"/>
            <w:bookmarkEnd w:id="86"/>
          </w:p>
        </w:tc>
      </w:tr>
      <w:tr w:rsidR="007B4589" w:rsidRPr="00EF6E40" w14:paraId="2528BD15" w14:textId="77777777" w:rsidTr="008717BE">
        <w:tc>
          <w:tcPr>
            <w:tcW w:w="9322" w:type="dxa"/>
            <w:gridSpan w:val="3"/>
            <w:shd w:val="clear" w:color="auto" w:fill="auto"/>
          </w:tcPr>
          <w:p w14:paraId="6245A71C" w14:textId="77777777" w:rsidR="007B4589" w:rsidRPr="00EF6E40" w:rsidRDefault="007B4589" w:rsidP="00272D30">
            <w:pPr>
              <w:pStyle w:val="Heading4"/>
            </w:pPr>
            <w:r w:rsidRPr="00EF6E40">
              <w:t>Entity</w:t>
            </w:r>
          </w:p>
        </w:tc>
      </w:tr>
      <w:tr w:rsidR="007B4589" w:rsidRPr="00EF6E40" w14:paraId="4B9F240D" w14:textId="77777777" w:rsidTr="008717BE">
        <w:trPr>
          <w:trHeight w:val="1020"/>
        </w:trPr>
        <w:tc>
          <w:tcPr>
            <w:tcW w:w="6487" w:type="dxa"/>
            <w:gridSpan w:val="2"/>
          </w:tcPr>
          <w:p w14:paraId="26EA954A" w14:textId="77777777" w:rsidR="007B4589" w:rsidRPr="00EF6E40" w:rsidRDefault="007B4589" w:rsidP="00272D30">
            <w:r w:rsidRPr="00EF6E40">
              <w:t>Acquiring an interest in securities in an entity or a direct interest in an entity which is an agribusiness</w:t>
            </w:r>
          </w:p>
          <w:p w14:paraId="65918715" w14:textId="77777777" w:rsidR="007B4589" w:rsidRPr="00EF6E40" w:rsidRDefault="007B4589" w:rsidP="00272D30">
            <w:r w:rsidRPr="00EF6E40">
              <w:t>A foreign government investor acquiring a direct interest in securities in an entity</w:t>
            </w:r>
          </w:p>
        </w:tc>
        <w:tc>
          <w:tcPr>
            <w:tcW w:w="2835" w:type="dxa"/>
          </w:tcPr>
          <w:p w14:paraId="1AF8120A" w14:textId="77777777" w:rsidR="007B4589" w:rsidRPr="00EF6E40" w:rsidRDefault="007B4589" w:rsidP="00272D30">
            <w:r w:rsidRPr="00EF6E40">
              <w:t>Where the consideration for the acquisition is $1 billion or less: $25,300</w:t>
            </w:r>
          </w:p>
          <w:p w14:paraId="39D8C234" w14:textId="77777777" w:rsidR="007B4589" w:rsidRPr="00EF6E40" w:rsidRDefault="007B4589" w:rsidP="00272D30">
            <w:r w:rsidRPr="00EF6E40">
              <w:t>Otherwise: $101,500</w:t>
            </w:r>
          </w:p>
        </w:tc>
      </w:tr>
      <w:tr w:rsidR="007B4589" w:rsidRPr="00EF6E40" w14:paraId="76155D90" w14:textId="77777777" w:rsidTr="008717BE">
        <w:tc>
          <w:tcPr>
            <w:tcW w:w="6487" w:type="dxa"/>
            <w:gridSpan w:val="2"/>
          </w:tcPr>
          <w:p w14:paraId="3336D46D" w14:textId="77777777" w:rsidR="007B4589" w:rsidRPr="00EF6E40" w:rsidRDefault="007B4589" w:rsidP="00272D30">
            <w:r w:rsidRPr="00EF6E40">
              <w:t>Acquiring an interest in securities in an entity where prior to the proposed acquisition, the foreign person holds an interest of 50 per cent or more in the entity (but excluding internal reorganisations)</w:t>
            </w:r>
          </w:p>
          <w:p w14:paraId="59801AEF" w14:textId="3B04F8FA" w:rsidR="007B4589" w:rsidRPr="00EF6E40" w:rsidRDefault="007B4589" w:rsidP="00272D30">
            <w:pPr>
              <w:rPr>
                <w:i/>
              </w:rPr>
            </w:pPr>
            <w:r w:rsidRPr="00EF6E40">
              <w:rPr>
                <w:i/>
              </w:rPr>
              <w:t>(Note</w:t>
            </w:r>
            <w:r w:rsidR="00D978FE">
              <w:rPr>
                <w:i/>
              </w:rPr>
              <w:t xml:space="preserve"> — </w:t>
            </w:r>
            <w:r w:rsidRPr="00EF6E40">
              <w:rPr>
                <w:i/>
              </w:rPr>
              <w:t>this does not apply if the action may be characterised in a different way. For example, for an acquisition of an interest in a land entity, a fee may still be payable for an acquisition of an interest in land)</w:t>
            </w:r>
          </w:p>
        </w:tc>
        <w:tc>
          <w:tcPr>
            <w:tcW w:w="2835" w:type="dxa"/>
          </w:tcPr>
          <w:p w14:paraId="22962BA7" w14:textId="77777777" w:rsidR="007B4589" w:rsidRPr="00EF6E40" w:rsidRDefault="007B4589" w:rsidP="00272D30">
            <w:r w:rsidRPr="00EF6E40">
              <w:t>Nil (no fee)</w:t>
            </w:r>
          </w:p>
        </w:tc>
      </w:tr>
      <w:tr w:rsidR="007B4589" w:rsidRPr="00EF6E40" w14:paraId="753D438C" w14:textId="77777777" w:rsidTr="008717BE">
        <w:tc>
          <w:tcPr>
            <w:tcW w:w="9322" w:type="dxa"/>
            <w:gridSpan w:val="3"/>
            <w:shd w:val="clear" w:color="auto" w:fill="FBFDFF"/>
          </w:tcPr>
          <w:p w14:paraId="2CB34A7C" w14:textId="77777777" w:rsidR="007B4589" w:rsidRPr="00EF6E40" w:rsidRDefault="007B4589" w:rsidP="00272D30">
            <w:pPr>
              <w:pStyle w:val="Heading4"/>
            </w:pPr>
            <w:r w:rsidRPr="00EF6E40">
              <w:t>Australian Business</w:t>
            </w:r>
          </w:p>
        </w:tc>
      </w:tr>
      <w:tr w:rsidR="007B4589" w:rsidRPr="00EF6E40" w14:paraId="4609C2EC" w14:textId="77777777" w:rsidTr="008717BE">
        <w:trPr>
          <w:trHeight w:val="1054"/>
        </w:trPr>
        <w:tc>
          <w:tcPr>
            <w:tcW w:w="6487" w:type="dxa"/>
            <w:gridSpan w:val="2"/>
          </w:tcPr>
          <w:p w14:paraId="4A553D28" w14:textId="77777777" w:rsidR="007B4589" w:rsidRPr="00EF6E40" w:rsidRDefault="007B4589" w:rsidP="00272D30">
            <w:r w:rsidRPr="00EF6E40">
              <w:t>Acquiring interests in assets of an Australian business or a direct interest in an Australian business that is an agribusiness</w:t>
            </w:r>
          </w:p>
          <w:p w14:paraId="0B9A63F2" w14:textId="77777777" w:rsidR="007B4589" w:rsidRPr="00EF6E40" w:rsidRDefault="007B4589" w:rsidP="00272D30">
            <w:r w:rsidRPr="00EF6E40">
              <w:t>A foreign government investor acquiring a direct interest in an Australian business</w:t>
            </w:r>
          </w:p>
        </w:tc>
        <w:tc>
          <w:tcPr>
            <w:tcW w:w="2835" w:type="dxa"/>
          </w:tcPr>
          <w:p w14:paraId="3CF8ED57" w14:textId="77777777" w:rsidR="007B4589" w:rsidRPr="00EF6E40" w:rsidRDefault="007B4589" w:rsidP="00272D30">
            <w:r w:rsidRPr="00EF6E40">
              <w:t>Where the consideration for the acquisition is $1 billion or less: $25,300.</w:t>
            </w:r>
          </w:p>
          <w:p w14:paraId="34B605D0" w14:textId="77777777" w:rsidR="007B4589" w:rsidRPr="00EF6E40" w:rsidRDefault="007B4589" w:rsidP="00272D30">
            <w:r w:rsidRPr="00EF6E40">
              <w:t>Otherwise: $101,500.</w:t>
            </w:r>
          </w:p>
        </w:tc>
      </w:tr>
      <w:tr w:rsidR="007B4589" w:rsidRPr="00EF6E40" w14:paraId="112D632D" w14:textId="77777777" w:rsidTr="008717BE">
        <w:tc>
          <w:tcPr>
            <w:tcW w:w="9322" w:type="dxa"/>
            <w:gridSpan w:val="3"/>
            <w:shd w:val="clear" w:color="auto" w:fill="FBFDFF"/>
          </w:tcPr>
          <w:p w14:paraId="7F87A0B6" w14:textId="77777777" w:rsidR="007B4589" w:rsidRPr="00EF6E40" w:rsidRDefault="007B4589" w:rsidP="00272D30">
            <w:pPr>
              <w:pStyle w:val="Heading4"/>
            </w:pPr>
            <w:r w:rsidRPr="00EF6E40">
              <w:t>Commercial land</w:t>
            </w:r>
          </w:p>
        </w:tc>
      </w:tr>
      <w:tr w:rsidR="007B4589" w:rsidRPr="00EF6E40" w14:paraId="35578C94" w14:textId="77777777" w:rsidTr="008717BE">
        <w:tc>
          <w:tcPr>
            <w:tcW w:w="6487" w:type="dxa"/>
            <w:gridSpan w:val="2"/>
          </w:tcPr>
          <w:p w14:paraId="15426EF8" w14:textId="77777777" w:rsidR="007B4589" w:rsidRPr="00EF6E40" w:rsidRDefault="007B4589" w:rsidP="00272D30">
            <w:r w:rsidRPr="00EF6E40">
              <w:t>Acquiring an interest in commercial land that is not vacant</w:t>
            </w:r>
          </w:p>
        </w:tc>
        <w:tc>
          <w:tcPr>
            <w:tcW w:w="2835" w:type="dxa"/>
          </w:tcPr>
          <w:p w14:paraId="30A7EDB9" w14:textId="77777777" w:rsidR="007B4589" w:rsidRPr="00EF6E40" w:rsidRDefault="007B4589" w:rsidP="00272D30">
            <w:r w:rsidRPr="00EF6E40">
              <w:t>$25,300</w:t>
            </w:r>
          </w:p>
        </w:tc>
      </w:tr>
      <w:tr w:rsidR="007B4589" w:rsidRPr="00EF6E40" w14:paraId="53FD62BF" w14:textId="77777777" w:rsidTr="008717BE">
        <w:tc>
          <w:tcPr>
            <w:tcW w:w="6487" w:type="dxa"/>
            <w:gridSpan w:val="2"/>
          </w:tcPr>
          <w:p w14:paraId="7AB8D058" w14:textId="77777777" w:rsidR="007B4589" w:rsidRPr="00EF6E40" w:rsidRDefault="007B4589" w:rsidP="00272D30">
            <w:r w:rsidRPr="00EF6E40">
              <w:t>Acquiring an interest in commercial land that is vacant</w:t>
            </w:r>
          </w:p>
        </w:tc>
        <w:tc>
          <w:tcPr>
            <w:tcW w:w="2835" w:type="dxa"/>
          </w:tcPr>
          <w:p w14:paraId="1F1DC438" w14:textId="77777777" w:rsidR="007B4589" w:rsidRPr="00EF6E40" w:rsidRDefault="007B4589" w:rsidP="00272D30">
            <w:r w:rsidRPr="00EF6E40">
              <w:t>$10,100</w:t>
            </w:r>
          </w:p>
        </w:tc>
      </w:tr>
      <w:tr w:rsidR="007B4589" w:rsidRPr="00EF6E40" w14:paraId="4487B14D" w14:textId="77777777" w:rsidTr="008717BE">
        <w:tc>
          <w:tcPr>
            <w:tcW w:w="9322" w:type="dxa"/>
            <w:gridSpan w:val="3"/>
            <w:shd w:val="clear" w:color="auto" w:fill="FBFDFF"/>
          </w:tcPr>
          <w:p w14:paraId="3AC22163" w14:textId="77777777" w:rsidR="007B4589" w:rsidRPr="00EF6E40" w:rsidRDefault="007B4589" w:rsidP="00272D30">
            <w:pPr>
              <w:pStyle w:val="Heading4"/>
            </w:pPr>
            <w:r w:rsidRPr="00EF6E40">
              <w:t>Agricultural land</w:t>
            </w:r>
          </w:p>
        </w:tc>
      </w:tr>
      <w:tr w:rsidR="007B4589" w:rsidRPr="00EF6E40" w14:paraId="0811BF05" w14:textId="77777777" w:rsidTr="008717BE">
        <w:tc>
          <w:tcPr>
            <w:tcW w:w="6487" w:type="dxa"/>
            <w:gridSpan w:val="2"/>
          </w:tcPr>
          <w:p w14:paraId="24A9A4C0" w14:textId="77777777" w:rsidR="007B4589" w:rsidRPr="00EF6E40" w:rsidRDefault="007B4589" w:rsidP="00272D30">
            <w:r w:rsidRPr="00EF6E40">
              <w:t>Acquiring an interest in agricultural land where the price of the acquisition is $1 million or less</w:t>
            </w:r>
          </w:p>
          <w:p w14:paraId="1B22220F" w14:textId="7F29431B" w:rsidR="007B4589" w:rsidRPr="00EF6E40" w:rsidRDefault="007B4589" w:rsidP="00272D30">
            <w:r w:rsidRPr="00EF6E40">
              <w:rPr>
                <w:b/>
              </w:rPr>
              <w:t>($0</w:t>
            </w:r>
            <w:r w:rsidR="00D978FE">
              <w:rPr>
                <w:b/>
              </w:rPr>
              <w:t xml:space="preserve"> — </w:t>
            </w:r>
            <w:r w:rsidRPr="00EF6E40">
              <w:rPr>
                <w:b/>
              </w:rPr>
              <w:t>$1,000,000)</w:t>
            </w:r>
          </w:p>
        </w:tc>
        <w:tc>
          <w:tcPr>
            <w:tcW w:w="2835" w:type="dxa"/>
          </w:tcPr>
          <w:p w14:paraId="078157CB" w14:textId="77777777" w:rsidR="007B4589" w:rsidRPr="00EF6E40" w:rsidRDefault="007B4589" w:rsidP="00272D30">
            <w:r w:rsidRPr="00EF6E40">
              <w:t>$5,000</w:t>
            </w:r>
          </w:p>
        </w:tc>
      </w:tr>
      <w:tr w:rsidR="007B4589" w:rsidRPr="00EF6E40" w14:paraId="3C901DD9" w14:textId="77777777" w:rsidTr="008717BE">
        <w:tc>
          <w:tcPr>
            <w:tcW w:w="6487" w:type="dxa"/>
            <w:gridSpan w:val="2"/>
          </w:tcPr>
          <w:p w14:paraId="2BD9E61B" w14:textId="77777777" w:rsidR="007B4589" w:rsidRPr="00EF6E40" w:rsidRDefault="007B4589" w:rsidP="00272D30">
            <w:r w:rsidRPr="00EF6E40">
              <w:t>Acquiring an interest in agricultural land where the price of the acquisition is more than $1 million and less than $2 million</w:t>
            </w:r>
          </w:p>
          <w:p w14:paraId="615D51A1" w14:textId="41426E84" w:rsidR="007B4589" w:rsidRPr="00EF6E40" w:rsidRDefault="007B4589" w:rsidP="00272D30">
            <w:r w:rsidRPr="00EF6E40">
              <w:rPr>
                <w:b/>
              </w:rPr>
              <w:t>($1,000,001</w:t>
            </w:r>
            <w:r w:rsidR="00D978FE">
              <w:rPr>
                <w:b/>
              </w:rPr>
              <w:t xml:space="preserve"> — </w:t>
            </w:r>
            <w:r w:rsidRPr="00EF6E40">
              <w:rPr>
                <w:b/>
              </w:rPr>
              <w:t>$1,999,999)</w:t>
            </w:r>
          </w:p>
        </w:tc>
        <w:tc>
          <w:tcPr>
            <w:tcW w:w="2835" w:type="dxa"/>
          </w:tcPr>
          <w:p w14:paraId="541173B1" w14:textId="77777777" w:rsidR="007B4589" w:rsidRPr="00EF6E40" w:rsidRDefault="007B4589" w:rsidP="00272D30">
            <w:r w:rsidRPr="00EF6E40">
              <w:t>$10,100 </w:t>
            </w:r>
          </w:p>
        </w:tc>
      </w:tr>
      <w:tr w:rsidR="007B4589" w:rsidRPr="00EF6E40" w14:paraId="325E4D34" w14:textId="77777777" w:rsidTr="008717BE">
        <w:tc>
          <w:tcPr>
            <w:tcW w:w="6487" w:type="dxa"/>
            <w:gridSpan w:val="2"/>
          </w:tcPr>
          <w:p w14:paraId="7FD5F1C8" w14:textId="77777777" w:rsidR="007B4589" w:rsidRPr="00EF6E40" w:rsidRDefault="007B4589" w:rsidP="00272D30">
            <w:r w:rsidRPr="00EF6E40">
              <w:t>Acquiring an interest in agricultural land where the price of the acquisition is between $2 million and less than $3 million</w:t>
            </w:r>
          </w:p>
          <w:p w14:paraId="4DA991B2" w14:textId="25CBF521" w:rsidR="007B4589" w:rsidRPr="00EF6E40" w:rsidRDefault="007B4589" w:rsidP="00272D30">
            <w:r w:rsidRPr="00EF6E40">
              <w:rPr>
                <w:b/>
              </w:rPr>
              <w:lastRenderedPageBreak/>
              <w:t>($2,000,000</w:t>
            </w:r>
            <w:r w:rsidR="00D978FE">
              <w:rPr>
                <w:b/>
              </w:rPr>
              <w:t xml:space="preserve"> — </w:t>
            </w:r>
            <w:r w:rsidRPr="00EF6E40">
              <w:rPr>
                <w:b/>
              </w:rPr>
              <w:t>$2,999,999)</w:t>
            </w:r>
          </w:p>
        </w:tc>
        <w:tc>
          <w:tcPr>
            <w:tcW w:w="2835" w:type="dxa"/>
          </w:tcPr>
          <w:p w14:paraId="7D47463B" w14:textId="77777777" w:rsidR="007B4589" w:rsidRPr="00EF6E40" w:rsidRDefault="007B4589" w:rsidP="00272D30">
            <w:r w:rsidRPr="00EF6E40">
              <w:lastRenderedPageBreak/>
              <w:t>$20,300</w:t>
            </w:r>
          </w:p>
        </w:tc>
      </w:tr>
      <w:tr w:rsidR="007B4589" w:rsidRPr="00EF6E40" w14:paraId="18A4B60B" w14:textId="77777777" w:rsidTr="008717BE">
        <w:tc>
          <w:tcPr>
            <w:tcW w:w="6487" w:type="dxa"/>
            <w:gridSpan w:val="2"/>
          </w:tcPr>
          <w:p w14:paraId="66C4A2D3" w14:textId="77777777" w:rsidR="007B4589" w:rsidRPr="00EF6E40" w:rsidRDefault="007B4589" w:rsidP="00272D30">
            <w:r w:rsidRPr="00EF6E40">
              <w:lastRenderedPageBreak/>
              <w:t>Acquiring an interest in agricultural land where the price of the acquisition is between $3 million and less than $4 million</w:t>
            </w:r>
          </w:p>
          <w:p w14:paraId="20A757D0" w14:textId="7DAEA9C1" w:rsidR="007B4589" w:rsidRPr="00EF6E40" w:rsidRDefault="007B4589" w:rsidP="00272D30">
            <w:pPr>
              <w:rPr>
                <w:b/>
              </w:rPr>
            </w:pPr>
            <w:r w:rsidRPr="00EF6E40">
              <w:rPr>
                <w:b/>
              </w:rPr>
              <w:t xml:space="preserve">($3,000,000 </w:t>
            </w:r>
            <w:r w:rsidR="007E22CB">
              <w:rPr>
                <w:b/>
              </w:rPr>
              <w:noBreakHyphen/>
            </w:r>
            <w:r w:rsidR="00473D35">
              <w:rPr>
                <w:b/>
              </w:rPr>
              <w:t>$3,999,999</w:t>
            </w:r>
            <w:r w:rsidRPr="00EF6E40">
              <w:rPr>
                <w:b/>
              </w:rPr>
              <w:t>)</w:t>
            </w:r>
          </w:p>
        </w:tc>
        <w:tc>
          <w:tcPr>
            <w:tcW w:w="2835" w:type="dxa"/>
          </w:tcPr>
          <w:p w14:paraId="4EE09443" w14:textId="77777777" w:rsidR="007B4589" w:rsidRPr="00EF6E40" w:rsidRDefault="007B4589" w:rsidP="00272D30">
            <w:r w:rsidRPr="00EF6E40">
              <w:t>$30,400</w:t>
            </w:r>
          </w:p>
        </w:tc>
      </w:tr>
      <w:tr w:rsidR="007B4589" w:rsidRPr="00EF6E40" w14:paraId="3567D885" w14:textId="77777777" w:rsidTr="008717BE">
        <w:tc>
          <w:tcPr>
            <w:tcW w:w="6487" w:type="dxa"/>
            <w:gridSpan w:val="2"/>
          </w:tcPr>
          <w:p w14:paraId="01E88676" w14:textId="77777777" w:rsidR="007B4589" w:rsidRPr="00EF6E40" w:rsidRDefault="007B4589" w:rsidP="00272D30">
            <w:r w:rsidRPr="00EF6E40">
              <w:t>Acquiring an interest in agricultural land where the price of the acquisition is between $4 million and less than $5 million</w:t>
            </w:r>
          </w:p>
          <w:p w14:paraId="507B14C3" w14:textId="1FD83D8E" w:rsidR="007B4589" w:rsidRPr="00EF6E40" w:rsidRDefault="007B4589" w:rsidP="00272D30">
            <w:pPr>
              <w:rPr>
                <w:b/>
              </w:rPr>
            </w:pPr>
            <w:r w:rsidRPr="00EF6E40">
              <w:rPr>
                <w:b/>
              </w:rPr>
              <w:t>($4,000,000</w:t>
            </w:r>
            <w:r w:rsidR="00D978FE">
              <w:rPr>
                <w:b/>
              </w:rPr>
              <w:t xml:space="preserve"> — </w:t>
            </w:r>
            <w:r w:rsidRPr="00EF6E40">
              <w:rPr>
                <w:b/>
              </w:rPr>
              <w:t>$4,999,999)</w:t>
            </w:r>
          </w:p>
        </w:tc>
        <w:tc>
          <w:tcPr>
            <w:tcW w:w="2835" w:type="dxa"/>
          </w:tcPr>
          <w:p w14:paraId="1CD86A04" w14:textId="77777777" w:rsidR="007B4589" w:rsidRPr="00EF6E40" w:rsidRDefault="007B4589" w:rsidP="00272D30">
            <w:r w:rsidRPr="00EF6E40">
              <w:t>$40,600</w:t>
            </w:r>
          </w:p>
        </w:tc>
      </w:tr>
      <w:tr w:rsidR="007B4589" w:rsidRPr="00EF6E40" w14:paraId="7384901A" w14:textId="77777777" w:rsidTr="008717BE">
        <w:tc>
          <w:tcPr>
            <w:tcW w:w="6487" w:type="dxa"/>
            <w:gridSpan w:val="2"/>
          </w:tcPr>
          <w:p w14:paraId="6BEA4194" w14:textId="77777777" w:rsidR="007B4589" w:rsidRPr="00EF6E40" w:rsidRDefault="007B4589" w:rsidP="00272D30">
            <w:r w:rsidRPr="00EF6E40">
              <w:t>Acquiring an interest in agricultural land where the price of the acquisition is between $5 million and less than $6 million</w:t>
            </w:r>
          </w:p>
          <w:p w14:paraId="14E2ADC0" w14:textId="2A8B8AB6" w:rsidR="007B4589" w:rsidRPr="00EF6E40" w:rsidRDefault="007B4589" w:rsidP="00272D30">
            <w:r w:rsidRPr="00EF6E40">
              <w:rPr>
                <w:b/>
              </w:rPr>
              <w:t>($5,000,000</w:t>
            </w:r>
            <w:r w:rsidR="00D978FE">
              <w:rPr>
                <w:b/>
              </w:rPr>
              <w:t xml:space="preserve"> — </w:t>
            </w:r>
            <w:r w:rsidRPr="00EF6E40">
              <w:rPr>
                <w:b/>
              </w:rPr>
              <w:t>$5,999,999)</w:t>
            </w:r>
          </w:p>
        </w:tc>
        <w:tc>
          <w:tcPr>
            <w:tcW w:w="2835" w:type="dxa"/>
          </w:tcPr>
          <w:p w14:paraId="57305047" w14:textId="77777777" w:rsidR="007B4589" w:rsidRPr="00EF6E40" w:rsidRDefault="007B4589" w:rsidP="00272D30">
            <w:r w:rsidRPr="00EF6E40">
              <w:t>$50,700</w:t>
            </w:r>
          </w:p>
        </w:tc>
      </w:tr>
      <w:tr w:rsidR="007B4589" w:rsidRPr="00EF6E40" w14:paraId="42CA4B06" w14:textId="77777777" w:rsidTr="008717BE">
        <w:tc>
          <w:tcPr>
            <w:tcW w:w="6487" w:type="dxa"/>
            <w:gridSpan w:val="2"/>
          </w:tcPr>
          <w:p w14:paraId="3F992D42" w14:textId="77777777" w:rsidR="007B4589" w:rsidRPr="00EF6E40" w:rsidRDefault="007B4589" w:rsidP="00272D30">
            <w:r w:rsidRPr="00EF6E40">
              <w:t>Acquiring an interest in agricultural land where the price of the acquisition is between $6 million and less than $7 million</w:t>
            </w:r>
          </w:p>
          <w:p w14:paraId="726A0188" w14:textId="4C0A5121" w:rsidR="007B4589" w:rsidRPr="00EF6E40" w:rsidRDefault="007B4589" w:rsidP="00272D30">
            <w:pPr>
              <w:rPr>
                <w:b/>
              </w:rPr>
            </w:pPr>
            <w:r w:rsidRPr="00EF6E40">
              <w:rPr>
                <w:b/>
              </w:rPr>
              <w:t>($6,000,000</w:t>
            </w:r>
            <w:r w:rsidR="00D978FE">
              <w:rPr>
                <w:b/>
              </w:rPr>
              <w:t xml:space="preserve"> — </w:t>
            </w:r>
            <w:r w:rsidRPr="00EF6E40">
              <w:rPr>
                <w:b/>
              </w:rPr>
              <w:t>$6,999,999)</w:t>
            </w:r>
          </w:p>
        </w:tc>
        <w:tc>
          <w:tcPr>
            <w:tcW w:w="2835" w:type="dxa"/>
          </w:tcPr>
          <w:p w14:paraId="67C9C653" w14:textId="77777777" w:rsidR="007B4589" w:rsidRPr="00EF6E40" w:rsidRDefault="007B4589" w:rsidP="00272D30">
            <w:r w:rsidRPr="00EF6E40">
              <w:t>$60,900</w:t>
            </w:r>
          </w:p>
        </w:tc>
      </w:tr>
      <w:tr w:rsidR="007B4589" w:rsidRPr="00EF6E40" w14:paraId="15CAB578" w14:textId="77777777" w:rsidTr="008717BE">
        <w:tc>
          <w:tcPr>
            <w:tcW w:w="6487" w:type="dxa"/>
            <w:gridSpan w:val="2"/>
          </w:tcPr>
          <w:p w14:paraId="65ACFC18" w14:textId="77777777" w:rsidR="007B4589" w:rsidRPr="00EF6E40" w:rsidRDefault="007B4589" w:rsidP="00272D30">
            <w:r w:rsidRPr="00EF6E40">
              <w:t xml:space="preserve">Acquiring an interest in agricultural land where the price of the acquisition is </w:t>
            </w:r>
          </w:p>
          <w:p w14:paraId="38501988" w14:textId="77777777" w:rsidR="007B4589" w:rsidRPr="00EF6E40" w:rsidRDefault="007B4589" w:rsidP="00272D30">
            <w:r w:rsidRPr="00EF6E40">
              <w:t>between $7 million and less than $8 million</w:t>
            </w:r>
          </w:p>
          <w:p w14:paraId="73F05710" w14:textId="5624A941" w:rsidR="007B4589" w:rsidRPr="00EF6E40" w:rsidRDefault="007B4589" w:rsidP="00272D30">
            <w:r w:rsidRPr="00EF6E40">
              <w:rPr>
                <w:b/>
              </w:rPr>
              <w:t>($7,000,000</w:t>
            </w:r>
            <w:r w:rsidR="00D978FE">
              <w:rPr>
                <w:b/>
              </w:rPr>
              <w:t xml:space="preserve"> — </w:t>
            </w:r>
            <w:r w:rsidRPr="00EF6E40">
              <w:rPr>
                <w:b/>
              </w:rPr>
              <w:t>$7,999,999)</w:t>
            </w:r>
          </w:p>
        </w:tc>
        <w:tc>
          <w:tcPr>
            <w:tcW w:w="2835" w:type="dxa"/>
          </w:tcPr>
          <w:p w14:paraId="6648E6CA" w14:textId="77777777" w:rsidR="007B4589" w:rsidRPr="00EF6E40" w:rsidRDefault="007B4589" w:rsidP="00272D30">
            <w:r w:rsidRPr="00EF6E40">
              <w:t>$71,000</w:t>
            </w:r>
          </w:p>
        </w:tc>
      </w:tr>
      <w:tr w:rsidR="007B4589" w:rsidRPr="00EF6E40" w14:paraId="6B3A33D2" w14:textId="77777777" w:rsidTr="008717BE">
        <w:tc>
          <w:tcPr>
            <w:tcW w:w="6487" w:type="dxa"/>
            <w:gridSpan w:val="2"/>
          </w:tcPr>
          <w:p w14:paraId="1CA06728" w14:textId="77777777" w:rsidR="007B4589" w:rsidRPr="00EF6E40" w:rsidRDefault="007B4589" w:rsidP="00272D30">
            <w:r w:rsidRPr="00EF6E40">
              <w:t>Acquiring an interest in agricultural land where the price of the acquisition is between $8 million and less than $9 million</w:t>
            </w:r>
          </w:p>
          <w:p w14:paraId="50A2239A" w14:textId="1A082042" w:rsidR="007B4589" w:rsidRPr="00EF6E40" w:rsidRDefault="007B4589" w:rsidP="00272D30">
            <w:pPr>
              <w:rPr>
                <w:b/>
              </w:rPr>
            </w:pPr>
            <w:r w:rsidRPr="00EF6E40">
              <w:rPr>
                <w:b/>
              </w:rPr>
              <w:t>($8,000,000</w:t>
            </w:r>
            <w:r w:rsidR="00D978FE">
              <w:rPr>
                <w:b/>
              </w:rPr>
              <w:t xml:space="preserve"> — </w:t>
            </w:r>
            <w:r w:rsidRPr="00EF6E40">
              <w:rPr>
                <w:b/>
              </w:rPr>
              <w:t>$8,999,999)</w:t>
            </w:r>
          </w:p>
        </w:tc>
        <w:tc>
          <w:tcPr>
            <w:tcW w:w="2835" w:type="dxa"/>
          </w:tcPr>
          <w:p w14:paraId="773C9C04" w14:textId="77777777" w:rsidR="007B4589" w:rsidRPr="00EF6E40" w:rsidRDefault="007B4589" w:rsidP="00272D30">
            <w:r w:rsidRPr="00EF6E40">
              <w:t>$81,200</w:t>
            </w:r>
          </w:p>
        </w:tc>
      </w:tr>
      <w:tr w:rsidR="007B4589" w:rsidRPr="00EF6E40" w14:paraId="2DF84521" w14:textId="77777777" w:rsidTr="008717BE">
        <w:tc>
          <w:tcPr>
            <w:tcW w:w="6487" w:type="dxa"/>
            <w:gridSpan w:val="2"/>
          </w:tcPr>
          <w:p w14:paraId="32E2EE8F" w14:textId="77777777" w:rsidR="007B4589" w:rsidRPr="00EF6E40" w:rsidRDefault="007B4589" w:rsidP="00272D30">
            <w:r w:rsidRPr="00EF6E40">
              <w:t>Acquiring an interest in agricultural land where the price of the acquisition is between $9 million and less than $10 million</w:t>
            </w:r>
          </w:p>
          <w:p w14:paraId="46E6B3BF" w14:textId="21363B58" w:rsidR="007B4589" w:rsidRPr="00EF6E40" w:rsidRDefault="007B4589" w:rsidP="00272D30">
            <w:pPr>
              <w:rPr>
                <w:b/>
              </w:rPr>
            </w:pPr>
            <w:r w:rsidRPr="00EF6E40">
              <w:rPr>
                <w:b/>
              </w:rPr>
              <w:t>($9,000,000</w:t>
            </w:r>
            <w:r w:rsidR="00D978FE">
              <w:rPr>
                <w:b/>
              </w:rPr>
              <w:t xml:space="preserve"> — </w:t>
            </w:r>
            <w:r w:rsidRPr="00EF6E40">
              <w:rPr>
                <w:b/>
              </w:rPr>
              <w:t>$9,999,999)</w:t>
            </w:r>
          </w:p>
        </w:tc>
        <w:tc>
          <w:tcPr>
            <w:tcW w:w="2835" w:type="dxa"/>
          </w:tcPr>
          <w:p w14:paraId="1B8A9163" w14:textId="77777777" w:rsidR="007B4589" w:rsidRPr="00EF6E40" w:rsidRDefault="007B4589" w:rsidP="00272D30">
            <w:r w:rsidRPr="00EF6E40">
              <w:t>$91,300</w:t>
            </w:r>
          </w:p>
        </w:tc>
      </w:tr>
      <w:tr w:rsidR="007B4589" w:rsidRPr="00EF6E40" w14:paraId="37A51C47" w14:textId="77777777" w:rsidTr="008717BE">
        <w:tc>
          <w:tcPr>
            <w:tcW w:w="6487" w:type="dxa"/>
            <w:gridSpan w:val="2"/>
          </w:tcPr>
          <w:p w14:paraId="2880C560" w14:textId="77777777" w:rsidR="007B4589" w:rsidRPr="00EF6E40" w:rsidRDefault="007B4589" w:rsidP="00272D30">
            <w:r w:rsidRPr="00EF6E40">
              <w:t>Acquiring an interest in agricultural land where the price of the acquisition is $10 million or more</w:t>
            </w:r>
          </w:p>
          <w:p w14:paraId="6F20CB2A" w14:textId="77777777" w:rsidR="007B4589" w:rsidRPr="00EF6E40" w:rsidRDefault="007B4589" w:rsidP="00272D30">
            <w:pPr>
              <w:rPr>
                <w:b/>
              </w:rPr>
            </w:pPr>
            <w:r w:rsidRPr="00EF6E40">
              <w:rPr>
                <w:b/>
              </w:rPr>
              <w:t>($10,000,000 or more)</w:t>
            </w:r>
          </w:p>
        </w:tc>
        <w:tc>
          <w:tcPr>
            <w:tcW w:w="2835" w:type="dxa"/>
          </w:tcPr>
          <w:p w14:paraId="581EFB8C" w14:textId="77777777" w:rsidR="007B4589" w:rsidRPr="00EF6E40" w:rsidRDefault="007B4589" w:rsidP="00272D30">
            <w:r w:rsidRPr="00EF6E40">
              <w:t>$101,500</w:t>
            </w:r>
          </w:p>
        </w:tc>
      </w:tr>
      <w:tr w:rsidR="007B4589" w:rsidRPr="00EF6E40" w14:paraId="65E4478D" w14:textId="77777777" w:rsidTr="008717BE">
        <w:tc>
          <w:tcPr>
            <w:tcW w:w="9322" w:type="dxa"/>
            <w:gridSpan w:val="3"/>
            <w:shd w:val="clear" w:color="auto" w:fill="FBFDFF"/>
          </w:tcPr>
          <w:p w14:paraId="543A9148" w14:textId="77777777" w:rsidR="007B4589" w:rsidRPr="00EF6E40" w:rsidRDefault="007B4589" w:rsidP="00272D30">
            <w:pPr>
              <w:pStyle w:val="Heading4"/>
            </w:pPr>
            <w:r w:rsidRPr="00EF6E40">
              <w:t>Mining, production or exploration tenements</w:t>
            </w:r>
          </w:p>
        </w:tc>
      </w:tr>
      <w:tr w:rsidR="007B4589" w:rsidRPr="00EF6E40" w14:paraId="49878F08" w14:textId="77777777" w:rsidTr="008872B8">
        <w:tc>
          <w:tcPr>
            <w:tcW w:w="6487" w:type="dxa"/>
            <w:gridSpan w:val="2"/>
          </w:tcPr>
          <w:p w14:paraId="0199E89C" w14:textId="77777777" w:rsidR="007B4589" w:rsidRPr="00EF6E40" w:rsidRDefault="007B4589" w:rsidP="00272D30">
            <w:r w:rsidRPr="00EF6E40">
              <w:t>Acquiring an interest in a mining or production tenement (except where a foreign person (other than a foreign government investor) is acquiring an interest from an Australian government body or an entity wholly owned by an Australian government body)</w:t>
            </w:r>
          </w:p>
        </w:tc>
        <w:tc>
          <w:tcPr>
            <w:tcW w:w="2835" w:type="dxa"/>
          </w:tcPr>
          <w:p w14:paraId="087D49DE" w14:textId="77777777" w:rsidR="007B4589" w:rsidRPr="00EF6E40" w:rsidRDefault="007B4589" w:rsidP="00272D30">
            <w:r w:rsidRPr="00EF6E40">
              <w:t>$25,300</w:t>
            </w:r>
          </w:p>
        </w:tc>
      </w:tr>
      <w:tr w:rsidR="007B4589" w:rsidRPr="00EF6E40" w14:paraId="746C7BD6" w14:textId="77777777" w:rsidTr="008872B8">
        <w:tc>
          <w:tcPr>
            <w:tcW w:w="6487" w:type="dxa"/>
            <w:gridSpan w:val="2"/>
          </w:tcPr>
          <w:p w14:paraId="708712E3" w14:textId="77777777" w:rsidR="007B4589" w:rsidRPr="00EF6E40" w:rsidRDefault="007B4589" w:rsidP="00272D30">
            <w:r w:rsidRPr="00EF6E40">
              <w:t xml:space="preserve">A foreign government investor acquiring a legal or equitable </w:t>
            </w:r>
            <w:r w:rsidRPr="00EF6E40">
              <w:lastRenderedPageBreak/>
              <w:t xml:space="preserve">interest in a mining, production or exploration tenement </w:t>
            </w:r>
          </w:p>
        </w:tc>
        <w:tc>
          <w:tcPr>
            <w:tcW w:w="2835" w:type="dxa"/>
          </w:tcPr>
          <w:p w14:paraId="08EC830F" w14:textId="77777777" w:rsidR="007B4589" w:rsidRPr="00EF6E40" w:rsidRDefault="007B4589" w:rsidP="00272D30">
            <w:r w:rsidRPr="00EF6E40">
              <w:lastRenderedPageBreak/>
              <w:t>$10,100</w:t>
            </w:r>
          </w:p>
        </w:tc>
      </w:tr>
      <w:tr w:rsidR="007B4589" w:rsidRPr="00EF6E40" w14:paraId="46592F1C" w14:textId="77777777" w:rsidTr="008872B8">
        <w:tc>
          <w:tcPr>
            <w:tcW w:w="6487" w:type="dxa"/>
            <w:gridSpan w:val="2"/>
          </w:tcPr>
          <w:p w14:paraId="00D7B316" w14:textId="77777777" w:rsidR="007B4589" w:rsidRPr="00EF6E40" w:rsidRDefault="007B4589" w:rsidP="00272D30">
            <w:r w:rsidRPr="00EF6E40">
              <w:lastRenderedPageBreak/>
              <w:t xml:space="preserve">A foreign government investor acquiring an interest of at least 10 per cent in securities in a mining, production or exploration entity </w:t>
            </w:r>
          </w:p>
        </w:tc>
        <w:tc>
          <w:tcPr>
            <w:tcW w:w="2835" w:type="dxa"/>
          </w:tcPr>
          <w:p w14:paraId="6DFE0D82" w14:textId="77777777" w:rsidR="007B4589" w:rsidRPr="00EF6E40" w:rsidRDefault="007B4589" w:rsidP="00272D30">
            <w:r w:rsidRPr="00EF6E40">
              <w:t>$10,100</w:t>
            </w:r>
          </w:p>
        </w:tc>
      </w:tr>
      <w:tr w:rsidR="007B4589" w:rsidRPr="00EF6E40" w14:paraId="1DD93B17" w14:textId="77777777" w:rsidTr="008717BE">
        <w:tc>
          <w:tcPr>
            <w:tcW w:w="9322" w:type="dxa"/>
            <w:gridSpan w:val="3"/>
            <w:shd w:val="clear" w:color="auto" w:fill="FBFDFF"/>
          </w:tcPr>
          <w:p w14:paraId="6671265A" w14:textId="77777777" w:rsidR="007B4589" w:rsidRPr="00EF6E40" w:rsidRDefault="007B4589" w:rsidP="00272D30">
            <w:pPr>
              <w:pStyle w:val="Heading4"/>
            </w:pPr>
            <w:r w:rsidRPr="00EF6E40">
              <w:t>Exemption certificates</w:t>
            </w:r>
          </w:p>
        </w:tc>
      </w:tr>
      <w:tr w:rsidR="007B4589" w:rsidRPr="00EF6E40" w14:paraId="550B7B9D" w14:textId="77777777" w:rsidTr="006408B0">
        <w:trPr>
          <w:trHeight w:val="904"/>
        </w:trPr>
        <w:tc>
          <w:tcPr>
            <w:tcW w:w="6487" w:type="dxa"/>
            <w:gridSpan w:val="2"/>
          </w:tcPr>
          <w:p w14:paraId="31BCA684" w14:textId="77777777" w:rsidR="007B4589" w:rsidRPr="00EF6E40" w:rsidRDefault="007B4589" w:rsidP="00272D30">
            <w:r w:rsidRPr="00EF6E40">
              <w:t>Applying for an exemption certificate in relation to a program to acquire interests in Australian land</w:t>
            </w:r>
          </w:p>
        </w:tc>
        <w:tc>
          <w:tcPr>
            <w:tcW w:w="2835" w:type="dxa"/>
          </w:tcPr>
          <w:p w14:paraId="2D4CE288" w14:textId="77777777" w:rsidR="007B4589" w:rsidRPr="00EF6E40" w:rsidRDefault="007B4589" w:rsidP="00272D30">
            <w:r w:rsidRPr="00EF6E40">
              <w:t>Where the consideration for the acquisition is $1 billion or less: $25,300.</w:t>
            </w:r>
          </w:p>
          <w:p w14:paraId="799B474E" w14:textId="77777777" w:rsidR="007B4589" w:rsidRPr="00EF6E40" w:rsidRDefault="007B4589" w:rsidP="00272D30">
            <w:r w:rsidRPr="00EF6E40">
              <w:t>Otherwise: $101,500.</w:t>
            </w:r>
          </w:p>
        </w:tc>
      </w:tr>
      <w:tr w:rsidR="007B4589" w:rsidRPr="00EF6E40" w14:paraId="45F4C580" w14:textId="77777777" w:rsidTr="006408B0">
        <w:tc>
          <w:tcPr>
            <w:tcW w:w="6487" w:type="dxa"/>
            <w:gridSpan w:val="2"/>
          </w:tcPr>
          <w:p w14:paraId="34920EAD" w14:textId="77777777" w:rsidR="007B4589" w:rsidRPr="00EF6E40" w:rsidRDefault="007B4589" w:rsidP="00272D30">
            <w:r w:rsidRPr="00EF6E40">
              <w:t>Applying for an exemption certificate to acquire securities through underwriting</w:t>
            </w:r>
          </w:p>
        </w:tc>
        <w:tc>
          <w:tcPr>
            <w:tcW w:w="2835" w:type="dxa"/>
          </w:tcPr>
          <w:p w14:paraId="6249D81D" w14:textId="77777777" w:rsidR="007B4589" w:rsidRPr="00EF6E40" w:rsidRDefault="007B4589" w:rsidP="00272D30">
            <w:r w:rsidRPr="00EF6E40">
              <w:t>$25,300</w:t>
            </w:r>
          </w:p>
        </w:tc>
      </w:tr>
      <w:tr w:rsidR="007B4589" w:rsidRPr="00EF6E40" w14:paraId="7018F8E0" w14:textId="77777777" w:rsidTr="006408B0">
        <w:tc>
          <w:tcPr>
            <w:tcW w:w="6487" w:type="dxa"/>
            <w:gridSpan w:val="2"/>
          </w:tcPr>
          <w:p w14:paraId="5A4987BB" w14:textId="77777777" w:rsidR="007B4589" w:rsidRPr="00EF6E40" w:rsidRDefault="007B4589" w:rsidP="00272D30">
            <w:r w:rsidRPr="00EF6E40">
              <w:t>Applying for an exemption certificate to acquire certain interests in tenements or interests in securities in mining, production or exploration entities, if those interests are not interests in Australian land.</w:t>
            </w:r>
          </w:p>
        </w:tc>
        <w:tc>
          <w:tcPr>
            <w:tcW w:w="2835" w:type="dxa"/>
          </w:tcPr>
          <w:p w14:paraId="51E8EEAB" w14:textId="0F799225" w:rsidR="007B4589" w:rsidRPr="00EF6E40" w:rsidRDefault="007B4589" w:rsidP="00272D30">
            <w:r w:rsidRPr="00EF6E40">
              <w:t>$25,300 or nil if the person or another entity is a member of the same wholly</w:t>
            </w:r>
            <w:r w:rsidR="007E22CB">
              <w:noBreakHyphen/>
            </w:r>
            <w:r w:rsidRPr="00EF6E40">
              <w:t xml:space="preserve">owned group (see section 6(2) of the </w:t>
            </w:r>
            <w:r w:rsidRPr="00EF6E40">
              <w:rPr>
                <w:i/>
              </w:rPr>
              <w:t>Foreign Acquisitions and Takeovers Fees Imposition Regulation 2015.</w:t>
            </w:r>
          </w:p>
        </w:tc>
      </w:tr>
      <w:tr w:rsidR="007B4589" w:rsidRPr="00EF6E40" w14:paraId="5BD6CC16" w14:textId="77777777" w:rsidTr="008717BE">
        <w:tc>
          <w:tcPr>
            <w:tcW w:w="9322" w:type="dxa"/>
            <w:gridSpan w:val="3"/>
            <w:shd w:val="clear" w:color="auto" w:fill="FBFDFF"/>
          </w:tcPr>
          <w:p w14:paraId="091092A7" w14:textId="77777777" w:rsidR="007B4589" w:rsidRPr="00EF6E40" w:rsidRDefault="007B4589" w:rsidP="00272D30">
            <w:pPr>
              <w:pStyle w:val="Heading4"/>
            </w:pPr>
            <w:r w:rsidRPr="00EF6E40">
              <w:t>Other fee rules</w:t>
            </w:r>
          </w:p>
        </w:tc>
      </w:tr>
      <w:tr w:rsidR="007B4589" w:rsidRPr="00EF6E40" w14:paraId="2EB42DD1" w14:textId="77777777" w:rsidTr="008717BE">
        <w:tc>
          <w:tcPr>
            <w:tcW w:w="6237" w:type="dxa"/>
          </w:tcPr>
          <w:p w14:paraId="5A604367" w14:textId="77777777" w:rsidR="007B4589" w:rsidRPr="00EF6E40" w:rsidRDefault="007B4589" w:rsidP="00272D30">
            <w:r w:rsidRPr="00EF6E40">
              <w:t>Internal reorganisation</w:t>
            </w:r>
          </w:p>
        </w:tc>
        <w:tc>
          <w:tcPr>
            <w:tcW w:w="3085" w:type="dxa"/>
            <w:gridSpan w:val="2"/>
          </w:tcPr>
          <w:p w14:paraId="3A06B756" w14:textId="77777777" w:rsidR="007B4589" w:rsidRPr="00EF6E40" w:rsidRDefault="007B4589" w:rsidP="00272D30">
            <w:r w:rsidRPr="00EF6E40">
              <w:t>$10,100</w:t>
            </w:r>
          </w:p>
        </w:tc>
      </w:tr>
      <w:tr w:rsidR="007B4589" w:rsidRPr="00EF6E40" w14:paraId="7CFAD03A" w14:textId="77777777" w:rsidTr="008717BE">
        <w:tc>
          <w:tcPr>
            <w:tcW w:w="6237" w:type="dxa"/>
          </w:tcPr>
          <w:p w14:paraId="514E8105" w14:textId="77777777" w:rsidR="007B4589" w:rsidRPr="00EF6E40" w:rsidRDefault="007B4589" w:rsidP="00272D30">
            <w:r w:rsidRPr="00EF6E40">
              <w:t xml:space="preserve">Foreign government investor starting an Australian business </w:t>
            </w:r>
          </w:p>
        </w:tc>
        <w:tc>
          <w:tcPr>
            <w:tcW w:w="3085" w:type="dxa"/>
            <w:gridSpan w:val="2"/>
          </w:tcPr>
          <w:p w14:paraId="4BB86B57" w14:textId="77777777" w:rsidR="007B4589" w:rsidRPr="00EF6E40" w:rsidRDefault="007B4589" w:rsidP="00272D30">
            <w:r w:rsidRPr="00EF6E40">
              <w:t>$10,100</w:t>
            </w:r>
          </w:p>
        </w:tc>
      </w:tr>
      <w:tr w:rsidR="007B4589" w:rsidRPr="00EF6E40" w14:paraId="29CBBD23" w14:textId="77777777" w:rsidTr="008717BE">
        <w:tc>
          <w:tcPr>
            <w:tcW w:w="6237" w:type="dxa"/>
          </w:tcPr>
          <w:p w14:paraId="3D13494A" w14:textId="77777777" w:rsidR="007B4589" w:rsidRPr="00EF6E40" w:rsidDel="00BE3FE0" w:rsidRDefault="007B4589" w:rsidP="00272D30">
            <w:r w:rsidRPr="00EF6E40">
              <w:t>Internal reorganisations by foreign government investors involving tenements that are not an interest in Australian land</w:t>
            </w:r>
          </w:p>
        </w:tc>
        <w:tc>
          <w:tcPr>
            <w:tcW w:w="3085" w:type="dxa"/>
            <w:gridSpan w:val="2"/>
          </w:tcPr>
          <w:p w14:paraId="27EF7E44" w14:textId="77777777" w:rsidR="007B4589" w:rsidRPr="00EF6E40" w:rsidRDefault="007B4589" w:rsidP="00272D30">
            <w:r w:rsidRPr="00EF6E40">
              <w:t>$10,100 (the fee may be nil in particular circumstances).</w:t>
            </w:r>
          </w:p>
        </w:tc>
      </w:tr>
      <w:tr w:rsidR="007B4589" w:rsidRPr="00EF6E40" w14:paraId="7270C1CC" w14:textId="77777777" w:rsidTr="008717BE">
        <w:tc>
          <w:tcPr>
            <w:tcW w:w="6237" w:type="dxa"/>
          </w:tcPr>
          <w:p w14:paraId="0823B7AB" w14:textId="77777777" w:rsidR="007B4589" w:rsidRPr="00EF6E40" w:rsidRDefault="007B4589" w:rsidP="00272D30">
            <w:r w:rsidRPr="00EF6E40">
              <w:t>Entering into an agreement relating to the affairs of an entity and under which one or more senior officers of the entity will be under an obligation to act in accordance with the directions, instructions or wishes of a foreign person who holds a substantial interest in the entity (or of an associate of such a foreign person)</w:t>
            </w:r>
          </w:p>
        </w:tc>
        <w:tc>
          <w:tcPr>
            <w:tcW w:w="3085" w:type="dxa"/>
            <w:gridSpan w:val="2"/>
          </w:tcPr>
          <w:p w14:paraId="5D49C754" w14:textId="77777777" w:rsidR="007B4589" w:rsidRPr="00EF6E40" w:rsidRDefault="007B4589" w:rsidP="00272D30">
            <w:r w:rsidRPr="00EF6E40">
              <w:t>$25,300</w:t>
            </w:r>
          </w:p>
        </w:tc>
      </w:tr>
      <w:tr w:rsidR="007B4589" w:rsidRPr="00EF6E40" w14:paraId="7063EDE3" w14:textId="77777777" w:rsidTr="008717BE">
        <w:tc>
          <w:tcPr>
            <w:tcW w:w="6237" w:type="dxa"/>
          </w:tcPr>
          <w:p w14:paraId="6AC7989B" w14:textId="77777777" w:rsidR="007B4589" w:rsidRPr="00EF6E40" w:rsidRDefault="007B4589" w:rsidP="00272D30">
            <w:r w:rsidRPr="00EF6E40">
              <w:t>Altering a constituent document of an entity as a result of which one or more senior officers of the entity will be under an obligation to act in accordance with the directions, instructions or wishes of a foreign person who holds a substantial interest in the entity (or of an associate of such a foreign person)</w:t>
            </w:r>
          </w:p>
        </w:tc>
        <w:tc>
          <w:tcPr>
            <w:tcW w:w="3085" w:type="dxa"/>
            <w:gridSpan w:val="2"/>
          </w:tcPr>
          <w:p w14:paraId="063668ED" w14:textId="77777777" w:rsidR="007B4589" w:rsidRPr="00EF6E40" w:rsidRDefault="007B4589" w:rsidP="00272D30">
            <w:r w:rsidRPr="00EF6E40">
              <w:t>$25,300</w:t>
            </w:r>
          </w:p>
        </w:tc>
      </w:tr>
      <w:tr w:rsidR="007B4589" w:rsidRPr="00EF6E40" w14:paraId="279B219F" w14:textId="77777777" w:rsidTr="008717BE">
        <w:trPr>
          <w:trHeight w:val="352"/>
        </w:trPr>
        <w:tc>
          <w:tcPr>
            <w:tcW w:w="6237" w:type="dxa"/>
          </w:tcPr>
          <w:p w14:paraId="44AA1A98" w14:textId="7D617899" w:rsidR="007B4589" w:rsidRPr="00EF6E40" w:rsidRDefault="007B4589" w:rsidP="00272D30">
            <w:r w:rsidRPr="00EF6E40">
              <w:t>Special rules may apply for actions taken by wholly</w:t>
            </w:r>
            <w:r w:rsidR="007E22CB">
              <w:noBreakHyphen/>
            </w:r>
            <w:r w:rsidRPr="00EF6E40">
              <w:t>owned groups</w:t>
            </w:r>
            <w:r w:rsidR="00D978FE">
              <w:t xml:space="preserve"> — </w:t>
            </w:r>
            <w:r w:rsidRPr="00EF6E40">
              <w:t xml:space="preserve">see section 14 of the </w:t>
            </w:r>
            <w:r w:rsidRPr="00EF6E40">
              <w:rPr>
                <w:i/>
              </w:rPr>
              <w:t>Foreign Acquisitions and Takeovers Fees Imposition Regulation 2015</w:t>
            </w:r>
          </w:p>
        </w:tc>
        <w:tc>
          <w:tcPr>
            <w:tcW w:w="3085" w:type="dxa"/>
            <w:gridSpan w:val="2"/>
          </w:tcPr>
          <w:p w14:paraId="4CCB2018" w14:textId="77777777" w:rsidR="007B4589" w:rsidRPr="00EF6E40" w:rsidRDefault="007B4589" w:rsidP="00272D30"/>
        </w:tc>
      </w:tr>
      <w:tr w:rsidR="007B4589" w:rsidRPr="00EF6E40" w14:paraId="2443D62D" w14:textId="77777777" w:rsidTr="008717BE">
        <w:tc>
          <w:tcPr>
            <w:tcW w:w="9322" w:type="dxa"/>
            <w:gridSpan w:val="3"/>
            <w:shd w:val="clear" w:color="auto" w:fill="FBFDFF"/>
          </w:tcPr>
          <w:p w14:paraId="05658FA1" w14:textId="77777777" w:rsidR="007B4589" w:rsidRPr="00EF6E40" w:rsidRDefault="007B4589" w:rsidP="00272D30">
            <w:pPr>
              <w:pStyle w:val="Heading4"/>
              <w:rPr>
                <w:i/>
              </w:rPr>
            </w:pPr>
            <w:r w:rsidRPr="00EF6E40">
              <w:lastRenderedPageBreak/>
              <w:t>Variations</w:t>
            </w:r>
          </w:p>
        </w:tc>
      </w:tr>
      <w:tr w:rsidR="007B4589" w:rsidRPr="00EF6E40" w14:paraId="2E09AF96" w14:textId="77777777" w:rsidTr="008717BE">
        <w:trPr>
          <w:cantSplit/>
        </w:trPr>
        <w:tc>
          <w:tcPr>
            <w:tcW w:w="6237" w:type="dxa"/>
          </w:tcPr>
          <w:p w14:paraId="597C4926" w14:textId="77777777" w:rsidR="007B4589" w:rsidRPr="00EF6E40" w:rsidRDefault="007B4589" w:rsidP="00272D30">
            <w:r w:rsidRPr="00EF6E40">
              <w:t>Applying for a variation of an exemption certificate</w:t>
            </w:r>
          </w:p>
        </w:tc>
        <w:tc>
          <w:tcPr>
            <w:tcW w:w="3085" w:type="dxa"/>
            <w:gridSpan w:val="2"/>
          </w:tcPr>
          <w:p w14:paraId="100F179E" w14:textId="77777777" w:rsidR="007B4589" w:rsidRPr="00EF6E40" w:rsidRDefault="007B4589" w:rsidP="00272D30">
            <w:r w:rsidRPr="00EF6E40">
              <w:t>$5,000</w:t>
            </w:r>
          </w:p>
        </w:tc>
      </w:tr>
      <w:tr w:rsidR="007B4589" w:rsidRPr="00EF6E40" w14:paraId="4DD3D80F" w14:textId="77777777" w:rsidTr="008717BE">
        <w:trPr>
          <w:cantSplit/>
        </w:trPr>
        <w:tc>
          <w:tcPr>
            <w:tcW w:w="6237" w:type="dxa"/>
          </w:tcPr>
          <w:p w14:paraId="44A1E742" w14:textId="77777777" w:rsidR="007B4589" w:rsidRPr="00EF6E40" w:rsidRDefault="007B4589" w:rsidP="00272D30">
            <w:r w:rsidRPr="00EF6E40">
              <w:t>Applying for a variation of a no objection notification</w:t>
            </w:r>
          </w:p>
        </w:tc>
        <w:tc>
          <w:tcPr>
            <w:tcW w:w="3085" w:type="dxa"/>
            <w:gridSpan w:val="2"/>
          </w:tcPr>
          <w:p w14:paraId="123199AF" w14:textId="77777777" w:rsidR="007B4589" w:rsidRPr="00EF6E40" w:rsidRDefault="007B4589" w:rsidP="00272D30">
            <w:r w:rsidRPr="00EF6E40">
              <w:t xml:space="preserve">$5,000 if for an acquisition of an interest in Australian land. </w:t>
            </w:r>
          </w:p>
          <w:p w14:paraId="13E185B9" w14:textId="77777777" w:rsidR="007B4589" w:rsidRPr="00EF6E40" w:rsidRDefault="007B4589" w:rsidP="00272D30">
            <w:r w:rsidRPr="00EF6E40">
              <w:t>Otherwise, $10,100.</w:t>
            </w:r>
          </w:p>
        </w:tc>
      </w:tr>
      <w:tr w:rsidR="007B4589" w:rsidRPr="00EF6E40" w14:paraId="558147CA" w14:textId="77777777" w:rsidTr="008717BE">
        <w:tc>
          <w:tcPr>
            <w:tcW w:w="9322" w:type="dxa"/>
            <w:gridSpan w:val="3"/>
            <w:shd w:val="clear" w:color="auto" w:fill="FBFDFF"/>
          </w:tcPr>
          <w:p w14:paraId="531486B9" w14:textId="77777777" w:rsidR="007B4589" w:rsidRPr="00EF6E40" w:rsidRDefault="007B4589" w:rsidP="00272D30">
            <w:pPr>
              <w:pStyle w:val="Heading4"/>
            </w:pPr>
            <w:r w:rsidRPr="00EF6E40">
              <w:t xml:space="preserve">Fee otherwise would be more than 25 per cent of the consideration (de </w:t>
            </w:r>
            <w:proofErr w:type="spellStart"/>
            <w:r w:rsidRPr="00EF6E40">
              <w:t>minimis</w:t>
            </w:r>
            <w:proofErr w:type="spellEnd"/>
            <w:r w:rsidRPr="00EF6E40">
              <w:t xml:space="preserve"> rule)</w:t>
            </w:r>
          </w:p>
        </w:tc>
      </w:tr>
      <w:tr w:rsidR="007B4589" w:rsidRPr="00EF6E40" w14:paraId="650B96C6" w14:textId="77777777" w:rsidTr="008717BE">
        <w:tc>
          <w:tcPr>
            <w:tcW w:w="6237" w:type="dxa"/>
          </w:tcPr>
          <w:p w14:paraId="5BABEF64" w14:textId="77777777" w:rsidR="007B4589" w:rsidRPr="00EF6E40" w:rsidRDefault="007B4589" w:rsidP="00272D30">
            <w:r w:rsidRPr="00EF6E40">
              <w:t>Where the fee for one or more of the actions specified above would be more than 25 per cent of the consideration for the proposed acquisition.</w:t>
            </w:r>
          </w:p>
          <w:p w14:paraId="6E0BB574" w14:textId="77777777" w:rsidR="007B4589" w:rsidRPr="00EF6E40" w:rsidRDefault="007B4589" w:rsidP="00272D30">
            <w:r w:rsidRPr="00EF6E40">
              <w:t>This excludes:</w:t>
            </w:r>
          </w:p>
          <w:p w14:paraId="523D1315" w14:textId="77777777" w:rsidR="007B4589" w:rsidRPr="00EF6E40" w:rsidRDefault="007B4589" w:rsidP="00272D30">
            <w:pPr>
              <w:pStyle w:val="Bullet"/>
            </w:pPr>
            <w:r w:rsidRPr="00EF6E40">
              <w:t>internal reorganisations;</w:t>
            </w:r>
          </w:p>
          <w:p w14:paraId="0C11F4B5" w14:textId="77777777" w:rsidR="007B4589" w:rsidRPr="00EF6E40" w:rsidRDefault="007B4589" w:rsidP="00272D30">
            <w:pPr>
              <w:pStyle w:val="Bullet"/>
            </w:pPr>
            <w:r w:rsidRPr="00EF6E40">
              <w:t>entering into an agreement relating to the affairs of an entity mentioned in section 40(2)(d) of the Act;</w:t>
            </w:r>
          </w:p>
          <w:p w14:paraId="27E582B2" w14:textId="77777777" w:rsidR="007B4589" w:rsidRPr="00EF6E40" w:rsidRDefault="007B4589" w:rsidP="00272D30">
            <w:pPr>
              <w:pStyle w:val="Bullet"/>
            </w:pPr>
            <w:r w:rsidRPr="00EF6E40">
              <w:t>altering a constituent document of an entity mentioned in section 40(2)(e) of the Act; and</w:t>
            </w:r>
          </w:p>
          <w:p w14:paraId="2AD3B052" w14:textId="77777777" w:rsidR="007B4589" w:rsidRPr="00EF6E40" w:rsidRDefault="007B4589" w:rsidP="00272D30">
            <w:pPr>
              <w:pStyle w:val="Bullet"/>
            </w:pPr>
            <w:proofErr w:type="gramStart"/>
            <w:r w:rsidRPr="00EF6E40">
              <w:t>entering</w:t>
            </w:r>
            <w:proofErr w:type="gramEnd"/>
            <w:r w:rsidRPr="00EF6E40">
              <w:t xml:space="preserve"> into or terminating a significant agreement with an Australian business.</w:t>
            </w:r>
          </w:p>
        </w:tc>
        <w:tc>
          <w:tcPr>
            <w:tcW w:w="3085" w:type="dxa"/>
            <w:gridSpan w:val="2"/>
          </w:tcPr>
          <w:p w14:paraId="16200279" w14:textId="77777777" w:rsidR="007B4589" w:rsidRPr="00EF6E40" w:rsidRDefault="007B4589" w:rsidP="00272D30">
            <w:r w:rsidRPr="00EF6E40">
              <w:t>$1,000</w:t>
            </w:r>
          </w:p>
        </w:tc>
      </w:tr>
      <w:tr w:rsidR="007B4589" w:rsidRPr="00EF6E40" w14:paraId="1A92A750" w14:textId="77777777" w:rsidTr="008717BE">
        <w:tc>
          <w:tcPr>
            <w:tcW w:w="9322" w:type="dxa"/>
            <w:gridSpan w:val="3"/>
            <w:shd w:val="clear" w:color="auto" w:fill="FBFDFF"/>
          </w:tcPr>
          <w:p w14:paraId="08A41A53" w14:textId="77777777" w:rsidR="007B4589" w:rsidRPr="00EF6E40" w:rsidRDefault="007B4589" w:rsidP="00272D30">
            <w:pPr>
              <w:pStyle w:val="Heading4"/>
            </w:pPr>
            <w:r w:rsidRPr="00EF6E40">
              <w:t>Voluntary notifications</w:t>
            </w:r>
          </w:p>
        </w:tc>
      </w:tr>
      <w:tr w:rsidR="007B4589" w:rsidRPr="00EF6E40" w14:paraId="49FCDF99" w14:textId="77777777" w:rsidTr="008717BE">
        <w:tc>
          <w:tcPr>
            <w:tcW w:w="6237" w:type="dxa"/>
          </w:tcPr>
          <w:p w14:paraId="072974A5" w14:textId="77777777" w:rsidR="007B4589" w:rsidRPr="00EF6E40" w:rsidRDefault="007B4589" w:rsidP="00272D30">
            <w:r w:rsidRPr="00EF6E40">
              <w:t xml:space="preserve">Giving notice of a significant action that is not a </w:t>
            </w:r>
            <w:proofErr w:type="spellStart"/>
            <w:r w:rsidRPr="00EF6E40">
              <w:t>notifiable</w:t>
            </w:r>
            <w:proofErr w:type="spellEnd"/>
            <w:r w:rsidRPr="00EF6E40">
              <w:t xml:space="preserve"> action</w:t>
            </w:r>
          </w:p>
        </w:tc>
        <w:tc>
          <w:tcPr>
            <w:tcW w:w="3085" w:type="dxa"/>
            <w:gridSpan w:val="2"/>
          </w:tcPr>
          <w:p w14:paraId="5C6C837B" w14:textId="77777777" w:rsidR="007B4589" w:rsidRPr="00EF6E40" w:rsidRDefault="007B4589" w:rsidP="00272D30">
            <w:pPr>
              <w:rPr>
                <w:sz w:val="2"/>
                <w:szCs w:val="16"/>
              </w:rPr>
            </w:pPr>
            <w:r w:rsidRPr="00EF6E40">
              <w:t xml:space="preserve">The same fee that would be payable for a </w:t>
            </w:r>
            <w:proofErr w:type="spellStart"/>
            <w:r w:rsidRPr="00EF6E40">
              <w:t>notifiable</w:t>
            </w:r>
            <w:proofErr w:type="spellEnd"/>
            <w:r w:rsidRPr="00EF6E40">
              <w:t xml:space="preserve"> action of the same acquisition type.</w:t>
            </w:r>
          </w:p>
        </w:tc>
      </w:tr>
    </w:tbl>
    <w:p w14:paraId="051AC93A" w14:textId="77777777" w:rsidR="007B4589" w:rsidRPr="00EF6E40" w:rsidRDefault="007B4589" w:rsidP="007B4589">
      <w:pPr>
        <w:spacing w:after="0"/>
        <w:rPr>
          <w:sz w:val="16"/>
          <w:szCs w:val="16"/>
        </w:rPr>
      </w:pPr>
    </w:p>
    <w:p w14:paraId="6FA664F9" w14:textId="77777777" w:rsidR="007B4589" w:rsidRDefault="007B4589" w:rsidP="007B4589"/>
    <w:p w14:paraId="5D7C996B" w14:textId="77777777" w:rsidR="009F7378" w:rsidRDefault="009F7378">
      <w:pPr>
        <w:spacing w:after="0" w:line="240" w:lineRule="auto"/>
        <w:jc w:val="left"/>
      </w:pPr>
      <w:r>
        <w:br w:type="page"/>
      </w:r>
    </w:p>
    <w:p w14:paraId="10168C8B" w14:textId="10865458" w:rsidR="009F7378" w:rsidRDefault="009F7378" w:rsidP="009F7378">
      <w:pPr>
        <w:pStyle w:val="Heading1"/>
      </w:pPr>
      <w:bookmarkStart w:id="87" w:name="_Toc476739017"/>
      <w:r>
        <w:lastRenderedPageBreak/>
        <w:t>Attachment B</w:t>
      </w:r>
      <w:r w:rsidR="00D978FE">
        <w:t xml:space="preserve"> — </w:t>
      </w:r>
      <w:r>
        <w:t>Costing Assumptions</w:t>
      </w:r>
      <w:bookmarkEnd w:id="87"/>
    </w:p>
    <w:p w14:paraId="0BDA89FA" w14:textId="041F86B8" w:rsidR="00075AAC" w:rsidRPr="00075AAC" w:rsidRDefault="00075AAC" w:rsidP="00075AAC">
      <w:r>
        <w:t xml:space="preserve">Stakeholders are invited to provide comments on the below costing assumptions used to formulate the estimated regulatory cost or savings for the options outlined in the paper. </w:t>
      </w:r>
    </w:p>
    <w:p w14:paraId="1CD45606" w14:textId="5BC0A6F5" w:rsidR="00273EBF" w:rsidRDefault="004D27B9" w:rsidP="00273EBF">
      <w:pPr>
        <w:pStyle w:val="Heading2"/>
      </w:pPr>
      <w:bookmarkStart w:id="88" w:name="_Toc476739018"/>
      <w:bookmarkStart w:id="89" w:name="_Toc474411132"/>
      <w:r>
        <w:t>Lodging a foreign investment application or n</w:t>
      </w:r>
      <w:r w:rsidR="00075AAC">
        <w:t>otice</w:t>
      </w:r>
      <w:bookmarkEnd w:id="88"/>
    </w:p>
    <w:p w14:paraId="753F9BA2" w14:textId="4594E47A" w:rsidR="00273EBF" w:rsidRDefault="004D27B9" w:rsidP="00273EBF">
      <w:pPr>
        <w:pStyle w:val="Heading3"/>
      </w:pPr>
      <w:bookmarkStart w:id="90" w:name="_Toc474922954"/>
      <w:bookmarkStart w:id="91" w:name="_Toc474924173"/>
      <w:bookmarkStart w:id="92" w:name="_Toc476739019"/>
      <w:r>
        <w:t>Business a</w:t>
      </w:r>
      <w:r w:rsidR="00273EBF">
        <w:t>cquisitions</w:t>
      </w:r>
      <w:bookmarkEnd w:id="90"/>
      <w:bookmarkEnd w:id="91"/>
      <w:bookmarkEnd w:id="92"/>
    </w:p>
    <w:p w14:paraId="7B0ABEE9" w14:textId="540970F2" w:rsidR="00273EBF" w:rsidRDefault="00273EBF" w:rsidP="00273EBF">
      <w:pPr>
        <w:pStyle w:val="OutlineNumbered1"/>
        <w:numPr>
          <w:ilvl w:val="0"/>
          <w:numId w:val="0"/>
        </w:numPr>
      </w:pPr>
      <w:r>
        <w:t>The following table outlines estimated average cost</w:t>
      </w:r>
      <w:r w:rsidR="00075AAC">
        <w:t>s</w:t>
      </w:r>
      <w:r>
        <w:t xml:space="preserve"> for lodging a foreign investment application or notice for all applications other than for residential land. </w:t>
      </w:r>
      <w:r w:rsidR="002C6F0A">
        <w:t xml:space="preserve">This cost </w:t>
      </w:r>
      <w:r w:rsidR="00CF4586">
        <w:t xml:space="preserve">has been </w:t>
      </w:r>
      <w:r w:rsidR="002C6F0A">
        <w:t xml:space="preserve">used to estimate the regulatory costs or savings for relevant options outlined in the paper. </w:t>
      </w:r>
    </w:p>
    <w:tbl>
      <w:tblPr>
        <w:tblStyle w:val="TableGrid1"/>
        <w:tblW w:w="0" w:type="auto"/>
        <w:tblLook w:val="04A0" w:firstRow="1" w:lastRow="0" w:firstColumn="1" w:lastColumn="0" w:noHBand="0" w:noVBand="1"/>
      </w:tblPr>
      <w:tblGrid>
        <w:gridCol w:w="3652"/>
        <w:gridCol w:w="1418"/>
        <w:gridCol w:w="1559"/>
        <w:gridCol w:w="2657"/>
      </w:tblGrid>
      <w:tr w:rsidR="00BA5F05" w14:paraId="1B6C9273" w14:textId="5C269F45" w:rsidTr="006F5D27">
        <w:tc>
          <w:tcPr>
            <w:tcW w:w="3652" w:type="dxa"/>
          </w:tcPr>
          <w:p w14:paraId="46835057" w14:textId="5CBF3FF3" w:rsidR="00BA5F05" w:rsidRDefault="00BA5F05" w:rsidP="00BA5F05">
            <w:pPr>
              <w:pStyle w:val="Heading4"/>
            </w:pPr>
            <w:r>
              <w:t>Task</w:t>
            </w:r>
          </w:p>
        </w:tc>
        <w:tc>
          <w:tcPr>
            <w:tcW w:w="1418" w:type="dxa"/>
          </w:tcPr>
          <w:p w14:paraId="36ADE3C9" w14:textId="30052851" w:rsidR="00BA5F05" w:rsidRDefault="00BA5F05" w:rsidP="00BA5F05">
            <w:pPr>
              <w:pStyle w:val="Heading4"/>
            </w:pPr>
            <w:r>
              <w:t>Hours</w:t>
            </w:r>
          </w:p>
        </w:tc>
        <w:tc>
          <w:tcPr>
            <w:tcW w:w="1559" w:type="dxa"/>
          </w:tcPr>
          <w:p w14:paraId="4808691D" w14:textId="4C696E6C" w:rsidR="00BA5F05" w:rsidRDefault="00BA5F05" w:rsidP="00BA5F05">
            <w:pPr>
              <w:pStyle w:val="Heading4"/>
            </w:pPr>
            <w:r>
              <w:t>Total Cost</w:t>
            </w:r>
            <w:r w:rsidR="0074764C">
              <w:t xml:space="preserve"> ($)</w:t>
            </w:r>
          </w:p>
        </w:tc>
        <w:tc>
          <w:tcPr>
            <w:tcW w:w="2657" w:type="dxa"/>
          </w:tcPr>
          <w:p w14:paraId="4C7E5983" w14:textId="71B89B87" w:rsidR="006F5D27" w:rsidRDefault="006F5D27" w:rsidP="00BA5F05">
            <w:pPr>
              <w:pStyle w:val="Heading4"/>
            </w:pPr>
            <w:r>
              <w:t>Comments</w:t>
            </w:r>
          </w:p>
        </w:tc>
      </w:tr>
      <w:tr w:rsidR="00BA5F05" w14:paraId="23A37360" w14:textId="5B1467A5" w:rsidTr="006F5D27">
        <w:tc>
          <w:tcPr>
            <w:tcW w:w="3652" w:type="dxa"/>
          </w:tcPr>
          <w:p w14:paraId="2F3B18A6" w14:textId="75C9921D" w:rsidR="00BA5F05" w:rsidRDefault="00BA5F05" w:rsidP="00CF4586">
            <w:pPr>
              <w:pStyle w:val="OutlineNumbered1"/>
              <w:numPr>
                <w:ilvl w:val="0"/>
                <w:numId w:val="0"/>
              </w:numPr>
              <w:jc w:val="left"/>
            </w:pPr>
            <w:r>
              <w:t xml:space="preserve">Consulted </w:t>
            </w:r>
            <w:r w:rsidRPr="00BA5F05">
              <w:t>FIRB website an</w:t>
            </w:r>
            <w:r>
              <w:t>d</w:t>
            </w:r>
            <w:r w:rsidRPr="00BA5F05">
              <w:t>/or phoned/emailed enquiries line</w:t>
            </w:r>
          </w:p>
        </w:tc>
        <w:tc>
          <w:tcPr>
            <w:tcW w:w="1418" w:type="dxa"/>
          </w:tcPr>
          <w:p w14:paraId="092D6E1A" w14:textId="324AF2F9" w:rsidR="00BA5F05" w:rsidRDefault="00BA5F05" w:rsidP="00273EBF">
            <w:pPr>
              <w:pStyle w:val="OutlineNumbered1"/>
              <w:numPr>
                <w:ilvl w:val="0"/>
                <w:numId w:val="0"/>
              </w:numPr>
            </w:pPr>
            <w:r>
              <w:t>1</w:t>
            </w:r>
          </w:p>
        </w:tc>
        <w:tc>
          <w:tcPr>
            <w:tcW w:w="1559" w:type="dxa"/>
          </w:tcPr>
          <w:p w14:paraId="2EE58E19" w14:textId="6007A45B" w:rsidR="00BA5F05" w:rsidRDefault="00BA5F05" w:rsidP="00273EBF">
            <w:pPr>
              <w:pStyle w:val="OutlineNumbered1"/>
              <w:numPr>
                <w:ilvl w:val="0"/>
                <w:numId w:val="0"/>
              </w:numPr>
            </w:pPr>
            <w:r>
              <w:t>65.45</w:t>
            </w:r>
          </w:p>
        </w:tc>
        <w:tc>
          <w:tcPr>
            <w:tcW w:w="2657" w:type="dxa"/>
          </w:tcPr>
          <w:p w14:paraId="3D96609B" w14:textId="044F00F0" w:rsidR="001C58AC" w:rsidRDefault="001C58AC" w:rsidP="00273EBF">
            <w:pPr>
              <w:pStyle w:val="OutlineNumbered1"/>
              <w:numPr>
                <w:ilvl w:val="0"/>
                <w:numId w:val="0"/>
              </w:numPr>
            </w:pPr>
            <w:r>
              <w:t>Cost based on Office of Best Practice Regulation (OBPR) default hourly rate</w:t>
            </w:r>
          </w:p>
        </w:tc>
      </w:tr>
      <w:tr w:rsidR="00BA5F05" w14:paraId="12362C7C" w14:textId="78F32647" w:rsidTr="006F5D27">
        <w:tc>
          <w:tcPr>
            <w:tcW w:w="3652" w:type="dxa"/>
          </w:tcPr>
          <w:p w14:paraId="508DF3FA" w14:textId="2878A94F" w:rsidR="00BA5F05" w:rsidRDefault="00BA5F05" w:rsidP="00CF4586">
            <w:pPr>
              <w:pStyle w:val="OutlineNumbered1"/>
              <w:numPr>
                <w:ilvl w:val="0"/>
                <w:numId w:val="0"/>
              </w:numPr>
              <w:jc w:val="left"/>
            </w:pPr>
            <w:r>
              <w:t>Sought legal advice</w:t>
            </w:r>
          </w:p>
        </w:tc>
        <w:tc>
          <w:tcPr>
            <w:tcW w:w="1418" w:type="dxa"/>
          </w:tcPr>
          <w:p w14:paraId="70D5B04F" w14:textId="3803FD56" w:rsidR="00BA5F05" w:rsidRDefault="00BA5F05" w:rsidP="00273EBF">
            <w:pPr>
              <w:pStyle w:val="OutlineNumbered1"/>
              <w:numPr>
                <w:ilvl w:val="0"/>
                <w:numId w:val="0"/>
              </w:numPr>
            </w:pPr>
            <w:r>
              <w:t>4</w:t>
            </w:r>
          </w:p>
        </w:tc>
        <w:tc>
          <w:tcPr>
            <w:tcW w:w="1559" w:type="dxa"/>
          </w:tcPr>
          <w:p w14:paraId="50D9B584" w14:textId="2D981238" w:rsidR="00BA5F05" w:rsidRPr="00CF4586" w:rsidRDefault="006F5D27" w:rsidP="00CF4586">
            <w:pPr>
              <w:pStyle w:val="OutlineNumbered1"/>
              <w:numPr>
                <w:ilvl w:val="0"/>
                <w:numId w:val="0"/>
              </w:numPr>
            </w:pPr>
            <w:r w:rsidRPr="00CF4586">
              <w:t>3</w:t>
            </w:r>
            <w:r w:rsidR="0074764C" w:rsidRPr="00CF4586">
              <w:t>,</w:t>
            </w:r>
            <w:r w:rsidRPr="00CF4586">
              <w:t>200</w:t>
            </w:r>
          </w:p>
        </w:tc>
        <w:tc>
          <w:tcPr>
            <w:tcW w:w="2657" w:type="dxa"/>
          </w:tcPr>
          <w:p w14:paraId="5E3D5A7B" w14:textId="70C1364E" w:rsidR="001C58AC" w:rsidRPr="00F70623" w:rsidRDefault="001C58AC" w:rsidP="0074764C">
            <w:pPr>
              <w:pStyle w:val="OutlineNumbered1"/>
              <w:numPr>
                <w:ilvl w:val="0"/>
                <w:numId w:val="0"/>
              </w:numPr>
            </w:pPr>
            <w:r w:rsidRPr="0074764C">
              <w:t>Cost based on a legal cost per hour estimated to be $800.</w:t>
            </w:r>
          </w:p>
        </w:tc>
      </w:tr>
      <w:tr w:rsidR="00BA5F05" w14:paraId="178ED15A" w14:textId="1F5C7A94" w:rsidTr="006F5D27">
        <w:tc>
          <w:tcPr>
            <w:tcW w:w="3652" w:type="dxa"/>
          </w:tcPr>
          <w:p w14:paraId="435550F6" w14:textId="474E329E" w:rsidR="00BA5F05" w:rsidRPr="003B5638" w:rsidRDefault="00BA5F05" w:rsidP="00CF4586">
            <w:pPr>
              <w:pStyle w:val="OutlineNumbered1"/>
              <w:numPr>
                <w:ilvl w:val="0"/>
                <w:numId w:val="0"/>
              </w:numPr>
              <w:jc w:val="left"/>
            </w:pPr>
            <w:r w:rsidRPr="003B5638">
              <w:t>Gathering documents to assist with developing an application</w:t>
            </w:r>
          </w:p>
        </w:tc>
        <w:tc>
          <w:tcPr>
            <w:tcW w:w="1418" w:type="dxa"/>
          </w:tcPr>
          <w:p w14:paraId="3B0FC4E2" w14:textId="1DF8A6D3" w:rsidR="00BA5F05" w:rsidRDefault="00BA5F05" w:rsidP="00273EBF">
            <w:pPr>
              <w:pStyle w:val="OutlineNumbered1"/>
              <w:numPr>
                <w:ilvl w:val="0"/>
                <w:numId w:val="0"/>
              </w:numPr>
            </w:pPr>
            <w:r>
              <w:t>20</w:t>
            </w:r>
          </w:p>
        </w:tc>
        <w:tc>
          <w:tcPr>
            <w:tcW w:w="1559" w:type="dxa"/>
          </w:tcPr>
          <w:p w14:paraId="6700F1EF" w14:textId="3DFFA81D" w:rsidR="00BA5F05" w:rsidRPr="00CF4586" w:rsidRDefault="006F5D27" w:rsidP="00CF4586">
            <w:pPr>
              <w:pStyle w:val="OutlineNumbered1"/>
              <w:numPr>
                <w:ilvl w:val="0"/>
                <w:numId w:val="0"/>
              </w:numPr>
            </w:pPr>
            <w:r w:rsidRPr="00CF4586">
              <w:t>1</w:t>
            </w:r>
            <w:r w:rsidR="0074764C" w:rsidRPr="00CF4586">
              <w:t>,</w:t>
            </w:r>
            <w:r w:rsidRPr="00CF4586">
              <w:t>309</w:t>
            </w:r>
          </w:p>
        </w:tc>
        <w:tc>
          <w:tcPr>
            <w:tcW w:w="2657" w:type="dxa"/>
          </w:tcPr>
          <w:p w14:paraId="04BFB4AF" w14:textId="63585849" w:rsidR="00DA441F" w:rsidRPr="00F70623" w:rsidRDefault="0074764C" w:rsidP="00F70623">
            <w:pPr>
              <w:pStyle w:val="OutlineNumbered1"/>
              <w:numPr>
                <w:ilvl w:val="0"/>
                <w:numId w:val="0"/>
              </w:numPr>
            </w:pPr>
            <w:r w:rsidRPr="00F70623">
              <w:t>OBPR default hourly rate</w:t>
            </w:r>
          </w:p>
        </w:tc>
      </w:tr>
      <w:tr w:rsidR="00BA5F05" w14:paraId="1C38F107" w14:textId="11B8D055" w:rsidTr="006F5D27">
        <w:tc>
          <w:tcPr>
            <w:tcW w:w="3652" w:type="dxa"/>
          </w:tcPr>
          <w:p w14:paraId="5D022F87" w14:textId="75C2967E" w:rsidR="00BA5F05" w:rsidRPr="00BA5F05" w:rsidRDefault="00BA5F05" w:rsidP="00CF4586">
            <w:pPr>
              <w:pStyle w:val="OutlineNumbered1"/>
              <w:numPr>
                <w:ilvl w:val="0"/>
                <w:numId w:val="0"/>
              </w:numPr>
              <w:jc w:val="left"/>
              <w:rPr>
                <w:rFonts w:ascii="Calibri" w:hAnsi="Calibri"/>
                <w:szCs w:val="22"/>
              </w:rPr>
            </w:pPr>
            <w:r w:rsidRPr="003B5638">
              <w:t>Determining the correct fee</w:t>
            </w:r>
          </w:p>
        </w:tc>
        <w:tc>
          <w:tcPr>
            <w:tcW w:w="1418" w:type="dxa"/>
          </w:tcPr>
          <w:p w14:paraId="37E632F9" w14:textId="45146020" w:rsidR="00BA5F05" w:rsidRDefault="00BA5F05" w:rsidP="00273EBF">
            <w:pPr>
              <w:pStyle w:val="OutlineNumbered1"/>
              <w:numPr>
                <w:ilvl w:val="0"/>
                <w:numId w:val="0"/>
              </w:numPr>
            </w:pPr>
            <w:r>
              <w:t>2</w:t>
            </w:r>
          </w:p>
        </w:tc>
        <w:tc>
          <w:tcPr>
            <w:tcW w:w="1559" w:type="dxa"/>
          </w:tcPr>
          <w:p w14:paraId="153E47A3" w14:textId="13E13C1A" w:rsidR="00BA5F05" w:rsidRDefault="006F5D27" w:rsidP="00273EBF">
            <w:pPr>
              <w:pStyle w:val="OutlineNumbered1"/>
              <w:numPr>
                <w:ilvl w:val="0"/>
                <w:numId w:val="0"/>
              </w:numPr>
            </w:pPr>
            <w:r>
              <w:t>1</w:t>
            </w:r>
            <w:r w:rsidR="0074764C">
              <w:t>,</w:t>
            </w:r>
            <w:r>
              <w:t>600</w:t>
            </w:r>
          </w:p>
        </w:tc>
        <w:tc>
          <w:tcPr>
            <w:tcW w:w="2657" w:type="dxa"/>
          </w:tcPr>
          <w:p w14:paraId="39C0F0B5" w14:textId="600CE4A7" w:rsidR="006F5D27" w:rsidRDefault="0074764C" w:rsidP="00273EBF">
            <w:pPr>
              <w:pStyle w:val="OutlineNumbered1"/>
              <w:numPr>
                <w:ilvl w:val="0"/>
                <w:numId w:val="0"/>
              </w:numPr>
            </w:pPr>
            <w:r>
              <w:t>Legal cost per hour</w:t>
            </w:r>
          </w:p>
        </w:tc>
      </w:tr>
      <w:tr w:rsidR="00BA5F05" w14:paraId="18BA4382" w14:textId="7F465671" w:rsidTr="006F5D27">
        <w:tc>
          <w:tcPr>
            <w:tcW w:w="3652" w:type="dxa"/>
          </w:tcPr>
          <w:p w14:paraId="4F834ED1" w14:textId="627B75C7" w:rsidR="00BA5F05" w:rsidRDefault="00BA5F05" w:rsidP="00CF4586">
            <w:pPr>
              <w:pStyle w:val="OutlineNumbered1"/>
              <w:numPr>
                <w:ilvl w:val="0"/>
                <w:numId w:val="0"/>
              </w:numPr>
              <w:jc w:val="left"/>
            </w:pPr>
            <w:r w:rsidRPr="00BA5F05">
              <w:t>Developing an application and submitting online</w:t>
            </w:r>
          </w:p>
        </w:tc>
        <w:tc>
          <w:tcPr>
            <w:tcW w:w="1418" w:type="dxa"/>
          </w:tcPr>
          <w:p w14:paraId="7B738762" w14:textId="3C5EC91F" w:rsidR="00BA5F05" w:rsidRDefault="00BA5F05" w:rsidP="00273EBF">
            <w:pPr>
              <w:pStyle w:val="OutlineNumbered1"/>
              <w:numPr>
                <w:ilvl w:val="0"/>
                <w:numId w:val="0"/>
              </w:numPr>
            </w:pPr>
            <w:r>
              <w:t>20</w:t>
            </w:r>
          </w:p>
        </w:tc>
        <w:tc>
          <w:tcPr>
            <w:tcW w:w="1559" w:type="dxa"/>
          </w:tcPr>
          <w:p w14:paraId="1A1DA42E" w14:textId="42CB6393" w:rsidR="00BA5F05" w:rsidRPr="00CF4586" w:rsidRDefault="006F5D27" w:rsidP="00CF4586">
            <w:pPr>
              <w:pStyle w:val="OutlineNumbered1"/>
              <w:numPr>
                <w:ilvl w:val="0"/>
                <w:numId w:val="0"/>
              </w:numPr>
            </w:pPr>
            <w:r w:rsidRPr="00CF4586">
              <w:t>16</w:t>
            </w:r>
            <w:r w:rsidR="0074764C" w:rsidRPr="00CF4586">
              <w:t>,</w:t>
            </w:r>
            <w:r w:rsidRPr="00CF4586">
              <w:t>000</w:t>
            </w:r>
          </w:p>
        </w:tc>
        <w:tc>
          <w:tcPr>
            <w:tcW w:w="2657" w:type="dxa"/>
          </w:tcPr>
          <w:p w14:paraId="751917B2" w14:textId="171DAD27" w:rsidR="006F5D27" w:rsidRPr="00F70623" w:rsidRDefault="0074764C" w:rsidP="00F70623">
            <w:pPr>
              <w:pStyle w:val="OutlineNumbered1"/>
              <w:numPr>
                <w:ilvl w:val="0"/>
                <w:numId w:val="0"/>
              </w:numPr>
            </w:pPr>
            <w:r w:rsidRPr="00F70623">
              <w:t>Legal cost per hour</w:t>
            </w:r>
          </w:p>
        </w:tc>
      </w:tr>
      <w:tr w:rsidR="00BA5F05" w14:paraId="28E03505" w14:textId="6121A748" w:rsidTr="006F5D27">
        <w:tc>
          <w:tcPr>
            <w:tcW w:w="3652" w:type="dxa"/>
          </w:tcPr>
          <w:p w14:paraId="69BA9D1D" w14:textId="67116709" w:rsidR="00BA5F05" w:rsidRPr="003B5638" w:rsidRDefault="003B5638" w:rsidP="00CF4586">
            <w:pPr>
              <w:pStyle w:val="OutlineNumbered1"/>
              <w:numPr>
                <w:ilvl w:val="0"/>
                <w:numId w:val="0"/>
              </w:numPr>
              <w:jc w:val="left"/>
            </w:pPr>
            <w:r w:rsidRPr="003B5638">
              <w:t>Paying the fee</w:t>
            </w:r>
          </w:p>
        </w:tc>
        <w:tc>
          <w:tcPr>
            <w:tcW w:w="1418" w:type="dxa"/>
          </w:tcPr>
          <w:p w14:paraId="372A608A" w14:textId="17DC63B6" w:rsidR="00BA5F05" w:rsidRDefault="003B5638" w:rsidP="00273EBF">
            <w:pPr>
              <w:pStyle w:val="OutlineNumbered1"/>
              <w:numPr>
                <w:ilvl w:val="0"/>
                <w:numId w:val="0"/>
              </w:numPr>
            </w:pPr>
            <w:r>
              <w:t>1</w:t>
            </w:r>
          </w:p>
        </w:tc>
        <w:tc>
          <w:tcPr>
            <w:tcW w:w="1559" w:type="dxa"/>
          </w:tcPr>
          <w:p w14:paraId="6FC66366" w14:textId="4ABC51B6" w:rsidR="00BA5F05" w:rsidRPr="00CF4586" w:rsidRDefault="003B5638" w:rsidP="00CF4586">
            <w:pPr>
              <w:pStyle w:val="OutlineNumbered1"/>
              <w:numPr>
                <w:ilvl w:val="0"/>
                <w:numId w:val="0"/>
              </w:numPr>
            </w:pPr>
            <w:r w:rsidRPr="00CF4586">
              <w:t>65.45</w:t>
            </w:r>
          </w:p>
        </w:tc>
        <w:tc>
          <w:tcPr>
            <w:tcW w:w="2657" w:type="dxa"/>
          </w:tcPr>
          <w:p w14:paraId="4D5AB64D" w14:textId="7717E7D1" w:rsidR="006F5D27" w:rsidRPr="00F70623" w:rsidRDefault="0074764C" w:rsidP="00F70623">
            <w:pPr>
              <w:pStyle w:val="OutlineNumbered1"/>
              <w:numPr>
                <w:ilvl w:val="0"/>
                <w:numId w:val="0"/>
              </w:numPr>
            </w:pPr>
            <w:r w:rsidRPr="00F70623">
              <w:t>OBPR default hourly rate</w:t>
            </w:r>
          </w:p>
        </w:tc>
      </w:tr>
      <w:tr w:rsidR="003B5638" w14:paraId="766ECBE4" w14:textId="21B50DF9" w:rsidTr="006F5D27">
        <w:tc>
          <w:tcPr>
            <w:tcW w:w="3652" w:type="dxa"/>
          </w:tcPr>
          <w:p w14:paraId="16658DEF" w14:textId="46A7AEB4" w:rsidR="003B5638" w:rsidRPr="003B5638" w:rsidRDefault="003B5638" w:rsidP="00CF4586">
            <w:pPr>
              <w:pStyle w:val="OutlineNumbered1"/>
              <w:numPr>
                <w:ilvl w:val="0"/>
                <w:numId w:val="0"/>
              </w:numPr>
              <w:jc w:val="left"/>
            </w:pPr>
            <w:r w:rsidRPr="003B5638">
              <w:t>Correspondence during case assessment</w:t>
            </w:r>
          </w:p>
        </w:tc>
        <w:tc>
          <w:tcPr>
            <w:tcW w:w="1418" w:type="dxa"/>
          </w:tcPr>
          <w:p w14:paraId="5102D9B2" w14:textId="29E5F932" w:rsidR="003B5638" w:rsidRDefault="003B5638" w:rsidP="00273EBF">
            <w:pPr>
              <w:pStyle w:val="OutlineNumbered1"/>
              <w:numPr>
                <w:ilvl w:val="0"/>
                <w:numId w:val="0"/>
              </w:numPr>
            </w:pPr>
            <w:r>
              <w:t>10</w:t>
            </w:r>
          </w:p>
        </w:tc>
        <w:tc>
          <w:tcPr>
            <w:tcW w:w="1559" w:type="dxa"/>
          </w:tcPr>
          <w:p w14:paraId="756673A1" w14:textId="0CC0EE88" w:rsidR="003B5638" w:rsidRPr="00CF4586" w:rsidRDefault="0074764C" w:rsidP="00CF4586">
            <w:pPr>
              <w:pStyle w:val="OutlineNumbered1"/>
              <w:numPr>
                <w:ilvl w:val="0"/>
                <w:numId w:val="0"/>
              </w:numPr>
            </w:pPr>
            <w:r w:rsidRPr="00CF4586">
              <w:t>8</w:t>
            </w:r>
            <w:r w:rsidR="00A62BC3">
              <w:t>,</w:t>
            </w:r>
            <w:r w:rsidRPr="00CF4586">
              <w:t>000</w:t>
            </w:r>
          </w:p>
        </w:tc>
        <w:tc>
          <w:tcPr>
            <w:tcW w:w="2657" w:type="dxa"/>
          </w:tcPr>
          <w:p w14:paraId="642BBD61" w14:textId="3173D1D1" w:rsidR="006F5D27" w:rsidRPr="00F70623" w:rsidRDefault="0074764C" w:rsidP="00F70623">
            <w:pPr>
              <w:pStyle w:val="OutlineNumbered1"/>
              <w:numPr>
                <w:ilvl w:val="0"/>
                <w:numId w:val="0"/>
              </w:numPr>
            </w:pPr>
            <w:r w:rsidRPr="00F70623">
              <w:t>Legal cost per hour</w:t>
            </w:r>
          </w:p>
        </w:tc>
      </w:tr>
      <w:tr w:rsidR="0074764C" w14:paraId="3315D192" w14:textId="77777777" w:rsidTr="006F5D27">
        <w:tc>
          <w:tcPr>
            <w:tcW w:w="3652" w:type="dxa"/>
          </w:tcPr>
          <w:p w14:paraId="62C8B37B" w14:textId="578774F5" w:rsidR="0074764C" w:rsidRPr="003B5638" w:rsidRDefault="0074764C" w:rsidP="00CF4586">
            <w:pPr>
              <w:pStyle w:val="OutlineNumbered1"/>
              <w:numPr>
                <w:ilvl w:val="0"/>
                <w:numId w:val="0"/>
              </w:numPr>
              <w:jc w:val="left"/>
            </w:pPr>
            <w:r>
              <w:t>Ongoing compliance with conditions and/or reporting</w:t>
            </w:r>
          </w:p>
        </w:tc>
        <w:tc>
          <w:tcPr>
            <w:tcW w:w="1418" w:type="dxa"/>
          </w:tcPr>
          <w:p w14:paraId="489A5E6F" w14:textId="029EC94D" w:rsidR="0074764C" w:rsidRDefault="0074764C" w:rsidP="00273EBF">
            <w:pPr>
              <w:pStyle w:val="OutlineNumbered1"/>
              <w:numPr>
                <w:ilvl w:val="0"/>
                <w:numId w:val="0"/>
              </w:numPr>
            </w:pPr>
            <w:r>
              <w:t>2</w:t>
            </w:r>
          </w:p>
        </w:tc>
        <w:tc>
          <w:tcPr>
            <w:tcW w:w="1559" w:type="dxa"/>
          </w:tcPr>
          <w:p w14:paraId="65259F9D" w14:textId="209D50D6" w:rsidR="0074764C" w:rsidRPr="00CF4586" w:rsidRDefault="0074764C" w:rsidP="00CF4586">
            <w:pPr>
              <w:pStyle w:val="OutlineNumbered1"/>
              <w:numPr>
                <w:ilvl w:val="0"/>
                <w:numId w:val="0"/>
              </w:numPr>
            </w:pPr>
            <w:r w:rsidRPr="00CF4586">
              <w:t>65.45</w:t>
            </w:r>
          </w:p>
        </w:tc>
        <w:tc>
          <w:tcPr>
            <w:tcW w:w="2657" w:type="dxa"/>
          </w:tcPr>
          <w:p w14:paraId="6F693B53" w14:textId="0D6656DE" w:rsidR="0074764C" w:rsidRPr="00F70623" w:rsidRDefault="0074764C" w:rsidP="00F70623">
            <w:pPr>
              <w:pStyle w:val="OutlineNumbered1"/>
              <w:numPr>
                <w:ilvl w:val="0"/>
                <w:numId w:val="0"/>
              </w:numPr>
            </w:pPr>
            <w:r w:rsidRPr="00F70623">
              <w:t>OBPR default hourly rate</w:t>
            </w:r>
          </w:p>
        </w:tc>
      </w:tr>
      <w:tr w:rsidR="0074764C" w14:paraId="6189FD94" w14:textId="77777777" w:rsidTr="006F5D27">
        <w:tc>
          <w:tcPr>
            <w:tcW w:w="3652" w:type="dxa"/>
          </w:tcPr>
          <w:p w14:paraId="2F32C980" w14:textId="4EE928FD" w:rsidR="0074764C" w:rsidRPr="0074764C" w:rsidRDefault="0074764C" w:rsidP="00CF4586">
            <w:pPr>
              <w:pStyle w:val="OutlineNumbered1"/>
              <w:numPr>
                <w:ilvl w:val="0"/>
                <w:numId w:val="0"/>
              </w:numPr>
              <w:jc w:val="left"/>
              <w:rPr>
                <w:b/>
              </w:rPr>
            </w:pPr>
            <w:r w:rsidRPr="0074764C">
              <w:rPr>
                <w:b/>
              </w:rPr>
              <w:t>Total compliance cost per business application</w:t>
            </w:r>
          </w:p>
        </w:tc>
        <w:tc>
          <w:tcPr>
            <w:tcW w:w="1418" w:type="dxa"/>
          </w:tcPr>
          <w:p w14:paraId="4A690A1E" w14:textId="61D6630D" w:rsidR="0074764C" w:rsidRPr="00CF4586" w:rsidRDefault="0074764C" w:rsidP="00273EBF">
            <w:pPr>
              <w:pStyle w:val="OutlineNumbered1"/>
              <w:numPr>
                <w:ilvl w:val="0"/>
                <w:numId w:val="0"/>
              </w:numPr>
              <w:rPr>
                <w:b/>
              </w:rPr>
            </w:pPr>
            <w:r w:rsidRPr="00CF4586">
              <w:rPr>
                <w:b/>
              </w:rPr>
              <w:t>60</w:t>
            </w:r>
          </w:p>
        </w:tc>
        <w:tc>
          <w:tcPr>
            <w:tcW w:w="1559" w:type="dxa"/>
          </w:tcPr>
          <w:p w14:paraId="3AB5F9D7" w14:textId="1BE4F6FA" w:rsidR="0074764C" w:rsidRPr="00CF4586" w:rsidRDefault="0074764C" w:rsidP="003B5638">
            <w:pPr>
              <w:rPr>
                <w:b/>
              </w:rPr>
            </w:pPr>
            <w:r w:rsidRPr="00CF4586">
              <w:rPr>
                <w:b/>
              </w:rPr>
              <w:t>30</w:t>
            </w:r>
            <w:r w:rsidR="00A62BC3">
              <w:rPr>
                <w:b/>
              </w:rPr>
              <w:t>,</w:t>
            </w:r>
            <w:r w:rsidRPr="00CF4586">
              <w:rPr>
                <w:b/>
              </w:rPr>
              <w:t>370.8</w:t>
            </w:r>
          </w:p>
        </w:tc>
        <w:tc>
          <w:tcPr>
            <w:tcW w:w="2657" w:type="dxa"/>
          </w:tcPr>
          <w:p w14:paraId="723E77E2" w14:textId="77777777" w:rsidR="0074764C" w:rsidRPr="00F70623" w:rsidRDefault="0074764C" w:rsidP="00F70623">
            <w:pPr>
              <w:pStyle w:val="OutlineNumbered1"/>
              <w:numPr>
                <w:ilvl w:val="0"/>
                <w:numId w:val="0"/>
              </w:numPr>
            </w:pPr>
          </w:p>
        </w:tc>
      </w:tr>
    </w:tbl>
    <w:p w14:paraId="323CE1B1" w14:textId="21932E3E" w:rsidR="00344D3C" w:rsidRDefault="00344D3C" w:rsidP="00272D30">
      <w:pPr>
        <w:pStyle w:val="SingleParagraph"/>
      </w:pPr>
    </w:p>
    <w:p w14:paraId="610B576A" w14:textId="01ED3ED2" w:rsidR="00273EBF" w:rsidRDefault="00273EBF" w:rsidP="00273EBF">
      <w:pPr>
        <w:pStyle w:val="Heading3"/>
      </w:pPr>
      <w:bookmarkStart w:id="93" w:name="_Toc474922955"/>
      <w:bookmarkStart w:id="94" w:name="_Toc474924174"/>
      <w:bookmarkStart w:id="95" w:name="_Toc476739020"/>
      <w:r>
        <w:t xml:space="preserve">Residential </w:t>
      </w:r>
      <w:r w:rsidR="004D27B9">
        <w:t>l</w:t>
      </w:r>
      <w:r w:rsidR="00075AAC">
        <w:t>and</w:t>
      </w:r>
      <w:bookmarkEnd w:id="93"/>
      <w:bookmarkEnd w:id="94"/>
      <w:r w:rsidR="00075AAC">
        <w:t xml:space="preserve"> </w:t>
      </w:r>
      <w:r w:rsidR="004D27B9">
        <w:t>acquisitions</w:t>
      </w:r>
      <w:bookmarkEnd w:id="95"/>
    </w:p>
    <w:p w14:paraId="06DE55F3" w14:textId="3EF206CB" w:rsidR="005A4EA4" w:rsidRDefault="00075AAC" w:rsidP="00075AAC">
      <w:pPr>
        <w:pStyle w:val="OutlineNumbered1"/>
        <w:numPr>
          <w:ilvl w:val="0"/>
          <w:numId w:val="0"/>
        </w:numPr>
      </w:pPr>
      <w:r>
        <w:t xml:space="preserve">The following table outlines estimated average costs for lodging a foreign investment application or notice for an acquisition in residential land. </w:t>
      </w:r>
      <w:r w:rsidRPr="00075AAC">
        <w:t xml:space="preserve">This cost </w:t>
      </w:r>
      <w:r w:rsidR="00F75B1A">
        <w:t xml:space="preserve">has been </w:t>
      </w:r>
      <w:r w:rsidRPr="00075AAC">
        <w:t xml:space="preserve">used to estimate the regulatory costs or savings for relevant options outlined in the paper. </w:t>
      </w:r>
    </w:p>
    <w:p w14:paraId="6097B16A" w14:textId="1A940952" w:rsidR="00075AAC" w:rsidRDefault="00404A14" w:rsidP="00075AAC">
      <w:pPr>
        <w:pStyle w:val="OutlineNumbered1"/>
        <w:numPr>
          <w:ilvl w:val="0"/>
          <w:numId w:val="0"/>
        </w:numPr>
      </w:pPr>
      <w:r>
        <w:lastRenderedPageBreak/>
        <w:t>The assumptions for residential land differ</w:t>
      </w:r>
      <w:r w:rsidR="00075AAC">
        <w:t xml:space="preserve"> from the business </w:t>
      </w:r>
      <w:r>
        <w:t>assumptions as it is assumed</w:t>
      </w:r>
      <w:r w:rsidR="00075AAC">
        <w:t xml:space="preserve"> residential land applications are less complex.</w:t>
      </w:r>
    </w:p>
    <w:tbl>
      <w:tblPr>
        <w:tblStyle w:val="TableGrid1"/>
        <w:tblW w:w="0" w:type="auto"/>
        <w:tblLook w:val="04A0" w:firstRow="1" w:lastRow="0" w:firstColumn="1" w:lastColumn="0" w:noHBand="0" w:noVBand="1"/>
      </w:tblPr>
      <w:tblGrid>
        <w:gridCol w:w="3652"/>
        <w:gridCol w:w="1418"/>
        <w:gridCol w:w="1559"/>
        <w:gridCol w:w="2657"/>
      </w:tblGrid>
      <w:tr w:rsidR="00B92845" w14:paraId="60A4E0AA" w14:textId="77777777" w:rsidTr="00F37C93">
        <w:tc>
          <w:tcPr>
            <w:tcW w:w="3652" w:type="dxa"/>
          </w:tcPr>
          <w:p w14:paraId="1ABB1EEA" w14:textId="77777777" w:rsidR="00B92845" w:rsidRDefault="00B92845" w:rsidP="00F37C93">
            <w:pPr>
              <w:pStyle w:val="Heading4"/>
            </w:pPr>
            <w:r>
              <w:t>Task</w:t>
            </w:r>
          </w:p>
        </w:tc>
        <w:tc>
          <w:tcPr>
            <w:tcW w:w="1418" w:type="dxa"/>
          </w:tcPr>
          <w:p w14:paraId="179DB68D" w14:textId="77777777" w:rsidR="00B92845" w:rsidRDefault="00B92845" w:rsidP="00F37C93">
            <w:pPr>
              <w:pStyle w:val="Heading4"/>
            </w:pPr>
            <w:r>
              <w:t>Hours</w:t>
            </w:r>
          </w:p>
        </w:tc>
        <w:tc>
          <w:tcPr>
            <w:tcW w:w="1559" w:type="dxa"/>
          </w:tcPr>
          <w:p w14:paraId="1870F3E6" w14:textId="77777777" w:rsidR="00B92845" w:rsidRDefault="00B92845" w:rsidP="00F37C93">
            <w:pPr>
              <w:pStyle w:val="Heading4"/>
            </w:pPr>
            <w:r>
              <w:t>Total Cost</w:t>
            </w:r>
          </w:p>
        </w:tc>
        <w:tc>
          <w:tcPr>
            <w:tcW w:w="2657" w:type="dxa"/>
          </w:tcPr>
          <w:p w14:paraId="40498CA1" w14:textId="77777777" w:rsidR="00B92845" w:rsidRDefault="00B92845" w:rsidP="00F37C93">
            <w:pPr>
              <w:pStyle w:val="Heading4"/>
            </w:pPr>
            <w:r>
              <w:t>Comments</w:t>
            </w:r>
          </w:p>
        </w:tc>
      </w:tr>
      <w:tr w:rsidR="00B92845" w14:paraId="6B9421DB" w14:textId="77777777" w:rsidTr="00F37C93">
        <w:tc>
          <w:tcPr>
            <w:tcW w:w="3652" w:type="dxa"/>
          </w:tcPr>
          <w:p w14:paraId="304BD457" w14:textId="3C24C1E8" w:rsidR="00B92845" w:rsidRDefault="00B92845" w:rsidP="00F75B1A">
            <w:pPr>
              <w:pStyle w:val="OutlineNumbered1"/>
              <w:numPr>
                <w:ilvl w:val="0"/>
                <w:numId w:val="0"/>
              </w:numPr>
              <w:jc w:val="left"/>
            </w:pPr>
            <w:r>
              <w:t xml:space="preserve">Consulted </w:t>
            </w:r>
            <w:r w:rsidRPr="00BA5F05">
              <w:t>FIRB website an</w:t>
            </w:r>
            <w:r>
              <w:t>d</w:t>
            </w:r>
            <w:r w:rsidRPr="00BA5F05">
              <w:t>/or phoned/emailed enquiries line</w:t>
            </w:r>
            <w:r w:rsidR="00F37C93">
              <w:t>, gathered documents for an application, payment of the application fee</w:t>
            </w:r>
          </w:p>
        </w:tc>
        <w:tc>
          <w:tcPr>
            <w:tcW w:w="1418" w:type="dxa"/>
          </w:tcPr>
          <w:p w14:paraId="681DEDBD" w14:textId="692FC35C" w:rsidR="00B92845" w:rsidRDefault="00B92845" w:rsidP="00F75B1A">
            <w:pPr>
              <w:pStyle w:val="OutlineNumbered1"/>
              <w:numPr>
                <w:ilvl w:val="0"/>
                <w:numId w:val="0"/>
              </w:numPr>
              <w:jc w:val="left"/>
            </w:pPr>
            <w:r>
              <w:t>1</w:t>
            </w:r>
            <w:r w:rsidR="00F37C93">
              <w:t>.5</w:t>
            </w:r>
          </w:p>
        </w:tc>
        <w:tc>
          <w:tcPr>
            <w:tcW w:w="1559" w:type="dxa"/>
          </w:tcPr>
          <w:p w14:paraId="5F364739" w14:textId="01C4353D" w:rsidR="00B92845" w:rsidRDefault="00F37C93" w:rsidP="00F75B1A">
            <w:pPr>
              <w:pStyle w:val="OutlineNumbered1"/>
              <w:numPr>
                <w:ilvl w:val="0"/>
                <w:numId w:val="0"/>
              </w:numPr>
              <w:jc w:val="left"/>
            </w:pPr>
            <w:r>
              <w:t>98.20</w:t>
            </w:r>
            <w:r w:rsidR="00B92845">
              <w:t>*</w:t>
            </w:r>
          </w:p>
        </w:tc>
        <w:tc>
          <w:tcPr>
            <w:tcW w:w="2657" w:type="dxa"/>
          </w:tcPr>
          <w:p w14:paraId="40572E33" w14:textId="35377436" w:rsidR="00B92845" w:rsidRDefault="00B92845" w:rsidP="00F75B1A">
            <w:pPr>
              <w:pStyle w:val="OutlineNumbered1"/>
              <w:numPr>
                <w:ilvl w:val="0"/>
                <w:numId w:val="0"/>
              </w:numPr>
              <w:jc w:val="left"/>
            </w:pPr>
            <w:r>
              <w:t>Cost based on Office of Best Practice Regulation (OBPR) default hourly rate</w:t>
            </w:r>
            <w:r w:rsidR="00F37C93">
              <w:t xml:space="preserve"> of $65.45</w:t>
            </w:r>
          </w:p>
        </w:tc>
      </w:tr>
      <w:tr w:rsidR="00B92845" w14:paraId="6A8B3A56" w14:textId="77777777" w:rsidTr="00F37C93">
        <w:tc>
          <w:tcPr>
            <w:tcW w:w="3652" w:type="dxa"/>
          </w:tcPr>
          <w:p w14:paraId="2CE3CBC4" w14:textId="75F9B469" w:rsidR="00B92845" w:rsidRDefault="00B92845" w:rsidP="00F75B1A">
            <w:pPr>
              <w:pStyle w:val="OutlineNumbered1"/>
              <w:numPr>
                <w:ilvl w:val="0"/>
                <w:numId w:val="0"/>
              </w:numPr>
              <w:jc w:val="left"/>
            </w:pPr>
            <w:r>
              <w:t>Sought legal advice</w:t>
            </w:r>
            <w:r w:rsidR="00F37C93">
              <w:t>, submitted application on behalf of individual, engagement with the ATO.</w:t>
            </w:r>
          </w:p>
        </w:tc>
        <w:tc>
          <w:tcPr>
            <w:tcW w:w="1418" w:type="dxa"/>
          </w:tcPr>
          <w:p w14:paraId="3A0CE5C3" w14:textId="21A6388E" w:rsidR="00B92845" w:rsidRDefault="00F37C93" w:rsidP="00F75B1A">
            <w:pPr>
              <w:pStyle w:val="OutlineNumbered1"/>
              <w:numPr>
                <w:ilvl w:val="0"/>
                <w:numId w:val="0"/>
              </w:numPr>
              <w:jc w:val="left"/>
            </w:pPr>
            <w:r>
              <w:t>1.5</w:t>
            </w:r>
          </w:p>
        </w:tc>
        <w:tc>
          <w:tcPr>
            <w:tcW w:w="1559" w:type="dxa"/>
          </w:tcPr>
          <w:p w14:paraId="1BD72F3A" w14:textId="4DBFEECB" w:rsidR="00B92845" w:rsidRPr="005A4EA4" w:rsidRDefault="00F37C93" w:rsidP="00F75B1A">
            <w:pPr>
              <w:jc w:val="left"/>
            </w:pPr>
            <w:r w:rsidRPr="005A4EA4">
              <w:t>1</w:t>
            </w:r>
            <w:r w:rsidR="00A62BC3">
              <w:t>,</w:t>
            </w:r>
            <w:r w:rsidRPr="005A4EA4">
              <w:t>200</w:t>
            </w:r>
          </w:p>
        </w:tc>
        <w:tc>
          <w:tcPr>
            <w:tcW w:w="2657" w:type="dxa"/>
          </w:tcPr>
          <w:p w14:paraId="293B7F31" w14:textId="77777777" w:rsidR="00B92845" w:rsidRPr="005A4EA4" w:rsidRDefault="00B92845" w:rsidP="00F75B1A">
            <w:pPr>
              <w:jc w:val="left"/>
            </w:pPr>
            <w:r w:rsidRPr="005A4EA4">
              <w:t>Cost based on a legal cost per hour estimated to be $800.</w:t>
            </w:r>
          </w:p>
        </w:tc>
      </w:tr>
      <w:tr w:rsidR="001911CA" w14:paraId="010ACEBD" w14:textId="77777777" w:rsidTr="00F37C93">
        <w:tc>
          <w:tcPr>
            <w:tcW w:w="3652" w:type="dxa"/>
          </w:tcPr>
          <w:p w14:paraId="4BC33178" w14:textId="764D6AEE" w:rsidR="001911CA" w:rsidRPr="00272D30" w:rsidRDefault="001911CA" w:rsidP="00272D30">
            <w:pPr>
              <w:rPr>
                <w:b/>
              </w:rPr>
            </w:pPr>
            <w:r w:rsidRPr="00272D30">
              <w:rPr>
                <w:b/>
              </w:rPr>
              <w:t>Total compliance cost per residential application</w:t>
            </w:r>
          </w:p>
        </w:tc>
        <w:tc>
          <w:tcPr>
            <w:tcW w:w="1418" w:type="dxa"/>
          </w:tcPr>
          <w:p w14:paraId="1A4D9C24" w14:textId="01BA7E97" w:rsidR="001911CA" w:rsidRPr="00272D30" w:rsidRDefault="001911CA" w:rsidP="00272D30">
            <w:pPr>
              <w:rPr>
                <w:b/>
              </w:rPr>
            </w:pPr>
            <w:r w:rsidRPr="00272D30">
              <w:rPr>
                <w:b/>
              </w:rPr>
              <w:t>3</w:t>
            </w:r>
          </w:p>
        </w:tc>
        <w:tc>
          <w:tcPr>
            <w:tcW w:w="1559" w:type="dxa"/>
          </w:tcPr>
          <w:p w14:paraId="2E6BD8DC" w14:textId="776069C4" w:rsidR="001911CA" w:rsidRPr="00272D30" w:rsidRDefault="006408B0" w:rsidP="00272D30">
            <w:pPr>
              <w:rPr>
                <w:b/>
              </w:rPr>
            </w:pPr>
            <w:r>
              <w:rPr>
                <w:b/>
              </w:rPr>
              <w:t>1</w:t>
            </w:r>
            <w:r w:rsidR="00A62BC3">
              <w:rPr>
                <w:b/>
              </w:rPr>
              <w:t>,</w:t>
            </w:r>
            <w:r>
              <w:rPr>
                <w:b/>
              </w:rPr>
              <w:t>298.2</w:t>
            </w:r>
          </w:p>
        </w:tc>
        <w:tc>
          <w:tcPr>
            <w:tcW w:w="2657" w:type="dxa"/>
          </w:tcPr>
          <w:p w14:paraId="7A6B4A35" w14:textId="77777777" w:rsidR="001911CA" w:rsidRDefault="001911CA" w:rsidP="00F75B1A">
            <w:pPr>
              <w:jc w:val="left"/>
              <w:rPr>
                <w:rFonts w:ascii="Calibri" w:hAnsi="Calibri"/>
                <w:szCs w:val="22"/>
              </w:rPr>
            </w:pPr>
          </w:p>
        </w:tc>
      </w:tr>
      <w:bookmarkEnd w:id="89"/>
    </w:tbl>
    <w:p w14:paraId="1D8A32FC" w14:textId="7DBFE3E1" w:rsidR="009F7378" w:rsidRPr="009F7378" w:rsidRDefault="009F7378" w:rsidP="00E91918">
      <w:pPr>
        <w:pStyle w:val="SingleParagraph"/>
      </w:pPr>
    </w:p>
    <w:sectPr w:rsidR="009F7378" w:rsidRPr="009F7378" w:rsidSect="001F32AD">
      <w:headerReference w:type="first" r:id="rId22"/>
      <w:footerReference w:type="first" r:id="rId23"/>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A4929" w14:textId="77777777" w:rsidR="00E16652" w:rsidRDefault="00E16652">
      <w:pPr>
        <w:spacing w:after="0" w:line="240" w:lineRule="auto"/>
      </w:pPr>
      <w:r>
        <w:separator/>
      </w:r>
    </w:p>
  </w:endnote>
  <w:endnote w:type="continuationSeparator" w:id="0">
    <w:p w14:paraId="642672B6" w14:textId="77777777" w:rsidR="00E16652" w:rsidRDefault="00E16652">
      <w:pPr>
        <w:spacing w:after="0" w:line="240" w:lineRule="auto"/>
      </w:pPr>
      <w:r>
        <w:continuationSeparator/>
      </w:r>
    </w:p>
  </w:endnote>
  <w:endnote w:type="continuationNotice" w:id="1">
    <w:p w14:paraId="03B79FA4" w14:textId="77777777" w:rsidR="00E16652" w:rsidRDefault="00E166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B9B68" w14:textId="77777777" w:rsidR="00E16652" w:rsidRDefault="00E16652">
    <w:pPr>
      <w:pStyle w:val="FooterEven"/>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A35927E" w14:textId="77777777" w:rsidR="00E16652" w:rsidRDefault="00A62BC3">
    <w:pPr>
      <w:pStyle w:val="SecurityClassificationFooter"/>
    </w:pPr>
    <w:fldSimple w:instr=" DOCPROPERTY SecurityClassification \* MERGEFORMAT ">
      <w:r w:rsidR="00E16652" w:rsidRPr="00E16652">
        <w:rPr>
          <w:rStyle w:val="PageNumber"/>
        </w:rPr>
        <w:t>In Confidence</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1F91D" w14:textId="77777777" w:rsidR="00E16652" w:rsidRDefault="00E16652">
    <w:pPr>
      <w:pStyle w:val="FooterOdd"/>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22328">
      <w:rPr>
        <w:rStyle w:val="PageNumber"/>
        <w:noProof/>
      </w:rPr>
      <w:t>25</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F59AC" w14:textId="77777777" w:rsidR="00E16652" w:rsidRDefault="00E1665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388DE" w14:textId="77777777" w:rsidR="00E16652" w:rsidRDefault="00E16652">
    <w:pPr>
      <w:pStyle w:val="FooterOdd"/>
      <w:rPr>
        <w:rStyle w:val="PageNumber"/>
      </w:rPr>
    </w:pPr>
    <w:r>
      <w:rPr>
        <w:rStyle w:val="PageNumber"/>
      </w:rPr>
      <w:t xml:space="preserve">Page </w:t>
    </w:r>
    <w:r w:rsidRPr="0056559F">
      <w:rPr>
        <w:rStyle w:val="PageNumber"/>
      </w:rPr>
      <w:fldChar w:fldCharType="begin"/>
    </w:r>
    <w:r w:rsidRPr="0056559F">
      <w:rPr>
        <w:rStyle w:val="PageNumber"/>
      </w:rPr>
      <w:instrText xml:space="preserve"> PAGE   \* MERGEFORMAT </w:instrText>
    </w:r>
    <w:r w:rsidRPr="0056559F">
      <w:rPr>
        <w:rStyle w:val="PageNumber"/>
      </w:rPr>
      <w:fldChar w:fldCharType="separate"/>
    </w:r>
    <w:r w:rsidR="00022328">
      <w:rPr>
        <w:rStyle w:val="PageNumber"/>
        <w:noProof/>
      </w:rPr>
      <w:t>1</w:t>
    </w:r>
    <w:r w:rsidRPr="0056559F">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1A3F3" w14:textId="77777777" w:rsidR="00E16652" w:rsidRDefault="00E16652">
      <w:pPr>
        <w:spacing w:after="0" w:line="240" w:lineRule="auto"/>
      </w:pPr>
      <w:r>
        <w:separator/>
      </w:r>
    </w:p>
  </w:footnote>
  <w:footnote w:type="continuationSeparator" w:id="0">
    <w:p w14:paraId="4DDF7BF3" w14:textId="77777777" w:rsidR="00E16652" w:rsidRDefault="00E16652">
      <w:pPr>
        <w:spacing w:after="0" w:line="240" w:lineRule="auto"/>
      </w:pPr>
      <w:r>
        <w:continuationSeparator/>
      </w:r>
    </w:p>
  </w:footnote>
  <w:footnote w:type="continuationNotice" w:id="1">
    <w:p w14:paraId="3338D8DD" w14:textId="77777777" w:rsidR="00E16652" w:rsidRDefault="00E16652">
      <w:pPr>
        <w:spacing w:after="0" w:line="240" w:lineRule="auto"/>
      </w:pPr>
    </w:p>
  </w:footnote>
  <w:footnote w:id="2">
    <w:p w14:paraId="6F40DFB5" w14:textId="2A33BE53" w:rsidR="00E16652" w:rsidRDefault="00E16652">
      <w:pPr>
        <w:pStyle w:val="FootnoteText"/>
      </w:pPr>
      <w:r w:rsidRPr="007A1EA1">
        <w:rPr>
          <w:rStyle w:val="FootnoteReference"/>
          <w:vertAlign w:val="baseline"/>
        </w:rPr>
        <w:footnoteRef/>
      </w:r>
      <w:r>
        <w:t xml:space="preserve"> </w:t>
      </w:r>
      <w:r>
        <w:tab/>
      </w:r>
      <w:r w:rsidRPr="00B30E86">
        <w:t xml:space="preserve">Agreement country investors are Chilean, Chinese, Japanese, New Zealand, </w:t>
      </w:r>
      <w:proofErr w:type="gramStart"/>
      <w:r w:rsidRPr="00B30E86">
        <w:t>South</w:t>
      </w:r>
      <w:proofErr w:type="gramEnd"/>
      <w:r w:rsidRPr="00B30E86">
        <w:t xml:space="preserve"> Korean and United States investors, except foreign government investors. This will also include Trans Pacific Partnership countries, when the TPP comes into force for that country (if higher thresholds do not already apply). TPP countries are: Brunei, Canada, Chile, Japan, Malaysia, Mexico, Peru, New Zealand, Singapore, the United States and Vietnam.</w:t>
      </w:r>
      <w:r>
        <w:t xml:space="preserve"> This will also include Singapore when the Agreement to amend the Singapore</w:t>
      </w:r>
      <w:r>
        <w:noBreakHyphen/>
        <w:t>Australia Free Trade Agreement enters into force.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B43C4" w14:textId="77777777" w:rsidR="00E16652" w:rsidRDefault="00A62BC3">
    <w:pPr>
      <w:pStyle w:val="SecurityClassificationHeader"/>
    </w:pPr>
    <w:fldSimple w:instr=" DOCPROPERTY SecurityClassification \* MERGEFORMAT ">
      <w:r w:rsidR="00E16652">
        <w:t>In Confidence</w:t>
      </w:r>
    </w:fldSimple>
  </w:p>
  <w:p w14:paraId="57937571" w14:textId="77777777" w:rsidR="00E16652" w:rsidRDefault="00E16652">
    <w:pPr>
      <w:pStyle w:val="HeaderEven"/>
    </w:pPr>
    <w:r>
      <w:t>Publication name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24821" w14:textId="0D09036A" w:rsidR="00E16652" w:rsidRDefault="00E16652" w:rsidP="00E91918">
    <w:pPr>
      <w:pStyle w:val="Header"/>
      <w:jc w:val="right"/>
    </w:pPr>
    <w:r w:rsidRPr="00E91918">
      <w:t>Foreign Investment Framework 2017 Legislative Package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8214D" w14:textId="77777777" w:rsidR="00E16652" w:rsidRDefault="00E1665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455E4" w14:textId="09CCA3C1" w:rsidR="00E16652" w:rsidRPr="00E91918" w:rsidRDefault="00E16652" w:rsidP="00E9191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0251E" w14:textId="2DD4BD65" w:rsidR="00E16652" w:rsidRPr="00E91918" w:rsidRDefault="00E16652" w:rsidP="00E919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960FD"/>
    <w:multiLevelType w:val="multilevel"/>
    <w:tmpl w:val="F9EA08CE"/>
    <w:name w:val="OneLevelNumberedParagraphList"/>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
    <w:nsid w:val="1C8F5EA7"/>
    <w:multiLevelType w:val="multilevel"/>
    <w:tmpl w:val="74A2E93E"/>
    <w:name w:val="Recommendation List"/>
    <w:lvl w:ilvl="0">
      <w:start w:val="1"/>
      <w:numFmt w:val="lowerLetter"/>
      <w:lvlRestart w:val="0"/>
      <w:pStyle w:val="RecommendationBullet"/>
      <w:lvlText w:val="(%1)"/>
      <w:lvlJc w:val="left"/>
      <w:pPr>
        <w:tabs>
          <w:tab w:val="num" w:pos="567"/>
        </w:tabs>
        <w:ind w:left="567" w:hanging="567"/>
      </w:pPr>
      <w:rPr>
        <w:rFonts w:ascii="Book Antiqua" w:hAnsi="Book Antiqua"/>
        <w:b w:val="0"/>
        <w:i w:val="0"/>
        <w:color w:val="000000"/>
        <w:sz w:val="22"/>
      </w:rPr>
    </w:lvl>
    <w:lvl w:ilvl="1">
      <w:start w:val="1"/>
      <w:numFmt w:val="lowerRoman"/>
      <w:pStyle w:val="RecommendationDash"/>
      <w:lvlText w:val="(%2)"/>
      <w:lvlJc w:val="left"/>
      <w:pPr>
        <w:tabs>
          <w:tab w:val="num" w:pos="1134"/>
        </w:tabs>
        <w:ind w:left="1134" w:hanging="567"/>
      </w:pPr>
      <w:rPr>
        <w:rFonts w:ascii="Book Antiqua" w:hAnsi="Book Antiqua"/>
        <w:b w:val="0"/>
        <w:i w:val="0"/>
        <w:color w:val="000000"/>
        <w:sz w:val="22"/>
      </w:rPr>
    </w:lvl>
    <w:lvl w:ilvl="2">
      <w:start w:val="1"/>
      <w:numFmt w:val="upperLetter"/>
      <w:pStyle w:val="RecommendationDoubleDot"/>
      <w:lvlText w:val="(%3)"/>
      <w:lvlJc w:val="left"/>
      <w:pPr>
        <w:tabs>
          <w:tab w:val="num" w:pos="1701"/>
        </w:tabs>
        <w:ind w:left="1701" w:hanging="567"/>
      </w:pPr>
      <w:rPr>
        <w:rFonts w:ascii="Book Antiqua" w:hAnsi="Book Antiqua"/>
        <w:b w:val="0"/>
        <w:i w:val="0"/>
        <w:color w:val="000000"/>
        <w:sz w:val="22"/>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
    <w:nsid w:val="1E945DE1"/>
    <w:multiLevelType w:val="hybridMultilevel"/>
    <w:tmpl w:val="C13E020C"/>
    <w:lvl w:ilvl="0" w:tplc="E54C210C">
      <w:start w:val="1"/>
      <w:numFmt w:val="bullet"/>
      <w:lvlText w:val=""/>
      <w:lvlJc w:val="left"/>
      <w:pPr>
        <w:ind w:left="783" w:hanging="360"/>
      </w:pPr>
      <w:rPr>
        <w:rFonts w:ascii="Symbol" w:hAnsi="Symbol" w:hint="default"/>
        <w:color w:val="1F497D" w:themeColor="text2"/>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
    <w:nsid w:val="256548E1"/>
    <w:multiLevelType w:val="multilevel"/>
    <w:tmpl w:val="1FA8B282"/>
    <w:name w:val="Recommendation Heading List"/>
    <w:lvl w:ilvl="0">
      <w:start w:val="1"/>
      <w:numFmt w:val="decimal"/>
      <w:lvlRestart w:val="0"/>
      <w:pStyle w:val="RecommendationHeading"/>
      <w:suff w:val="nothing"/>
      <w:lvlText w:val="Recommendation %1"/>
      <w:lvlJc w:val="left"/>
      <w:pPr>
        <w:ind w:left="0" w:firstLine="0"/>
      </w:pPr>
      <w:rPr>
        <w:rFonts w:ascii="Century Gothic" w:hAnsi="Century Gothic"/>
        <w:b/>
        <w:i w:val="0"/>
        <w:color w:val="000080"/>
        <w:sz w:val="22"/>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4">
    <w:nsid w:val="27440C8B"/>
    <w:multiLevelType w:val="multilevel"/>
    <w:tmpl w:val="F9D88F8E"/>
    <w:name w:val="StandardBulletedList"/>
    <w:lvl w:ilvl="0">
      <w:start w:val="1"/>
      <w:numFmt w:val="bullet"/>
      <w:pStyle w:val="Bullet"/>
      <w:lvlText w:val="•"/>
      <w:lvlJc w:val="left"/>
      <w:pPr>
        <w:tabs>
          <w:tab w:val="num" w:pos="520"/>
        </w:tabs>
        <w:ind w:left="520" w:hanging="520"/>
      </w:pPr>
      <w:rPr>
        <w:rFonts w:ascii="Times New Roman" w:hAnsi="Times New Roman" w:cs="Times New Roman"/>
        <w:b w:val="0"/>
        <w:i w:val="0"/>
      </w:rPr>
    </w:lvl>
    <w:lvl w:ilvl="1">
      <w:start w:val="1"/>
      <w:numFmt w:val="bullet"/>
      <w:pStyle w:val="Dash"/>
      <w:lvlText w:val="–"/>
      <w:lvlJc w:val="left"/>
      <w:pPr>
        <w:tabs>
          <w:tab w:val="num" w:pos="1040"/>
        </w:tabs>
        <w:ind w:left="1040" w:hanging="520"/>
      </w:pPr>
      <w:rPr>
        <w:rFonts w:ascii="Times New Roman" w:hAnsi="Times New Roman" w:cs="Times New Roman"/>
        <w:b w:val="0"/>
        <w:i w:val="0"/>
      </w:rPr>
    </w:lvl>
    <w:lvl w:ilvl="2">
      <w:start w:val="1"/>
      <w:numFmt w:val="bullet"/>
      <w:pStyle w:val="DoubleDot"/>
      <w:lvlText w:val=":"/>
      <w:lvlJc w:val="left"/>
      <w:pPr>
        <w:tabs>
          <w:tab w:val="num" w:pos="1560"/>
        </w:tabs>
        <w:ind w:left="1560" w:hanging="520"/>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5">
    <w:nsid w:val="2C80684F"/>
    <w:multiLevelType w:val="hybridMultilevel"/>
    <w:tmpl w:val="DC566CC4"/>
    <w:lvl w:ilvl="0" w:tplc="0C09001B">
      <w:start w:val="1"/>
      <w:numFmt w:val="lowerRoman"/>
      <w:lvlText w:val="%1."/>
      <w:lvlJc w:val="right"/>
      <w:pPr>
        <w:ind w:left="1003" w:hanging="360"/>
      </w:pPr>
    </w:lvl>
    <w:lvl w:ilvl="1" w:tplc="0C090019" w:tentative="1">
      <w:start w:val="1"/>
      <w:numFmt w:val="lowerLetter"/>
      <w:lvlText w:val="%2."/>
      <w:lvlJc w:val="left"/>
      <w:pPr>
        <w:ind w:left="1723" w:hanging="360"/>
      </w:pPr>
    </w:lvl>
    <w:lvl w:ilvl="2" w:tplc="0C09001B" w:tentative="1">
      <w:start w:val="1"/>
      <w:numFmt w:val="lowerRoman"/>
      <w:lvlText w:val="%3."/>
      <w:lvlJc w:val="right"/>
      <w:pPr>
        <w:ind w:left="2443" w:hanging="180"/>
      </w:pPr>
    </w:lvl>
    <w:lvl w:ilvl="3" w:tplc="0C09000F" w:tentative="1">
      <w:start w:val="1"/>
      <w:numFmt w:val="decimal"/>
      <w:lvlText w:val="%4."/>
      <w:lvlJc w:val="left"/>
      <w:pPr>
        <w:ind w:left="3163" w:hanging="360"/>
      </w:pPr>
    </w:lvl>
    <w:lvl w:ilvl="4" w:tplc="0C090019" w:tentative="1">
      <w:start w:val="1"/>
      <w:numFmt w:val="lowerLetter"/>
      <w:lvlText w:val="%5."/>
      <w:lvlJc w:val="left"/>
      <w:pPr>
        <w:ind w:left="3883" w:hanging="360"/>
      </w:pPr>
    </w:lvl>
    <w:lvl w:ilvl="5" w:tplc="0C09001B" w:tentative="1">
      <w:start w:val="1"/>
      <w:numFmt w:val="lowerRoman"/>
      <w:lvlText w:val="%6."/>
      <w:lvlJc w:val="right"/>
      <w:pPr>
        <w:ind w:left="4603" w:hanging="180"/>
      </w:pPr>
    </w:lvl>
    <w:lvl w:ilvl="6" w:tplc="0C09000F" w:tentative="1">
      <w:start w:val="1"/>
      <w:numFmt w:val="decimal"/>
      <w:lvlText w:val="%7."/>
      <w:lvlJc w:val="left"/>
      <w:pPr>
        <w:ind w:left="5323" w:hanging="360"/>
      </w:pPr>
    </w:lvl>
    <w:lvl w:ilvl="7" w:tplc="0C090019" w:tentative="1">
      <w:start w:val="1"/>
      <w:numFmt w:val="lowerLetter"/>
      <w:lvlText w:val="%8."/>
      <w:lvlJc w:val="left"/>
      <w:pPr>
        <w:ind w:left="6043" w:hanging="360"/>
      </w:pPr>
    </w:lvl>
    <w:lvl w:ilvl="8" w:tplc="0C09001B" w:tentative="1">
      <w:start w:val="1"/>
      <w:numFmt w:val="lowerRoman"/>
      <w:lvlText w:val="%9."/>
      <w:lvlJc w:val="right"/>
      <w:pPr>
        <w:ind w:left="6763" w:hanging="180"/>
      </w:pPr>
    </w:lvl>
  </w:abstractNum>
  <w:abstractNum w:abstractNumId="6">
    <w:nsid w:val="2D665DFA"/>
    <w:multiLevelType w:val="singleLevel"/>
    <w:tmpl w:val="7E8429CA"/>
    <w:name w:val="OneLevelAlphaParagraphList"/>
    <w:lvl w:ilvl="0">
      <w:start w:val="1"/>
      <w:numFmt w:val="lowerLetter"/>
      <w:lvlRestart w:val="0"/>
      <w:pStyle w:val="AlphaParagraph"/>
      <w:lvlText w:val="(%1)"/>
      <w:lvlJc w:val="left"/>
      <w:pPr>
        <w:tabs>
          <w:tab w:val="num" w:pos="567"/>
        </w:tabs>
        <w:ind w:left="567" w:hanging="567"/>
      </w:pPr>
      <w:rPr>
        <w:rFonts w:ascii="Book Antiqua" w:hAnsi="Book Antiqua"/>
        <w:b w:val="0"/>
        <w:i w:val="0"/>
        <w:sz w:val="20"/>
      </w:rPr>
    </w:lvl>
  </w:abstractNum>
  <w:abstractNum w:abstractNumId="7">
    <w:nsid w:val="2DF54350"/>
    <w:multiLevelType w:val="multilevel"/>
    <w:tmpl w:val="A6800B9E"/>
    <w:styleLink w:val="Outlinenumbering"/>
    <w:lvl w:ilvl="0">
      <w:start w:val="1"/>
      <w:numFmt w:val="decimal"/>
      <w:lvlRestart w:val="0"/>
      <w:pStyle w:val="OutlineNumbered1"/>
      <w:lvlText w:val="%1."/>
      <w:lvlJc w:val="left"/>
      <w:pPr>
        <w:tabs>
          <w:tab w:val="num" w:pos="567"/>
        </w:tabs>
        <w:ind w:left="567" w:hanging="567"/>
      </w:pPr>
      <w:rPr>
        <w:rFonts w:hint="default"/>
        <w:b w:val="0"/>
        <w:i w:val="0"/>
      </w:rPr>
    </w:lvl>
    <w:lvl w:ilvl="1">
      <w:start w:val="1"/>
      <w:numFmt w:val="decimal"/>
      <w:pStyle w:val="OutlineNumbered2"/>
      <w:lvlText w:val="%1.%2."/>
      <w:lvlJc w:val="left"/>
      <w:pPr>
        <w:tabs>
          <w:tab w:val="num" w:pos="851"/>
        </w:tabs>
        <w:ind w:left="851" w:hanging="567"/>
      </w:pPr>
      <w:rPr>
        <w:rFonts w:hint="default"/>
        <w:b w:val="0"/>
        <w:i w:val="0"/>
      </w:rPr>
    </w:lvl>
    <w:lvl w:ilvl="2">
      <w:start w:val="1"/>
      <w:numFmt w:val="decimal"/>
      <w:pStyle w:val="OutlineNumbered3"/>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8">
    <w:nsid w:val="3B125FC2"/>
    <w:multiLevelType w:val="singleLevel"/>
    <w:tmpl w:val="96F0F1D4"/>
    <w:name w:val="OptionHeadingList"/>
    <w:lvl w:ilvl="0">
      <w:start w:val="1"/>
      <w:numFmt w:val="decimal"/>
      <w:lvlRestart w:val="0"/>
      <w:suff w:val="nothing"/>
      <w:lvlText w:val="Option %1"/>
      <w:lvlJc w:val="left"/>
      <w:pPr>
        <w:ind w:left="0" w:firstLine="0"/>
      </w:pPr>
      <w:rPr>
        <w:rFonts w:ascii="Century Gothic" w:hAnsi="Century Gothic"/>
        <w:b/>
        <w:i w:val="0"/>
        <w:color w:val="000080"/>
        <w:sz w:val="22"/>
      </w:rPr>
    </w:lvl>
  </w:abstractNum>
  <w:abstractNum w:abstractNumId="9">
    <w:nsid w:val="48BC0DC4"/>
    <w:multiLevelType w:val="multilevel"/>
    <w:tmpl w:val="776E1F70"/>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851"/>
        </w:tabs>
        <w:ind w:left="851" w:hanging="567"/>
      </w:pPr>
      <w:rPr>
        <w:rFonts w:hint="default"/>
        <w:b w:val="0"/>
        <w:i w:val="0"/>
      </w:rPr>
    </w:lvl>
    <w:lvl w:ilvl="2">
      <w:start w:val="1"/>
      <w:numFmt w:val="decimal"/>
      <w:lvlText w:val="%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0">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11">
    <w:nsid w:val="4FFF2975"/>
    <w:multiLevelType w:val="hybridMultilevel"/>
    <w:tmpl w:val="1F3A3CD8"/>
    <w:lvl w:ilvl="0" w:tplc="B33EF10C">
      <w:start w:val="1"/>
      <w:numFmt w:val="bullet"/>
      <w:lvlText w:val="•"/>
      <w:lvlJc w:val="left"/>
      <w:pPr>
        <w:ind w:left="720" w:hanging="360"/>
      </w:pPr>
      <w:rPr>
        <w:rFonts w:ascii="Times New Roman" w:hAnsi="Times New Roman" w:cs="Times New Roman" w:hint="default"/>
        <w:color w:val="231E6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8101827"/>
    <w:multiLevelType w:val="multilevel"/>
    <w:tmpl w:val="624A0496"/>
    <w:name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nsid w:val="5E0A6F8D"/>
    <w:multiLevelType w:val="multilevel"/>
    <w:tmpl w:val="17E03816"/>
    <w:name w:val="RecommendationBulletedList_"/>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4">
    <w:nsid w:val="6CB353A2"/>
    <w:multiLevelType w:val="multilevel"/>
    <w:tmpl w:val="129E9092"/>
    <w:styleLink w:val="Optionboxheading"/>
    <w:lvl w:ilvl="0">
      <w:start w:val="1"/>
      <w:numFmt w:val="decimal"/>
      <w:lvlRestart w:val="0"/>
      <w:pStyle w:val="BoxHeading"/>
      <w:suff w:val="nothing"/>
      <w:lvlText w:val="Option %1"/>
      <w:lvlJc w:val="left"/>
      <w:pPr>
        <w:ind w:left="0" w:firstLine="0"/>
      </w:pPr>
      <w:rPr>
        <w:rFonts w:ascii="Century Gothic" w:hAnsi="Century Gothic" w:hint="default"/>
        <w:b/>
        <w:i w:val="0"/>
        <w:color w:val="00008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7C2E32C3"/>
    <w:multiLevelType w:val="hybridMultilevel"/>
    <w:tmpl w:val="25A2112C"/>
    <w:lvl w:ilvl="0" w:tplc="0C09001B">
      <w:start w:val="1"/>
      <w:numFmt w:val="lowerRoman"/>
      <w:lvlText w:val="%1."/>
      <w:lvlJc w:val="right"/>
      <w:pPr>
        <w:ind w:left="1003" w:hanging="360"/>
      </w:pPr>
    </w:lvl>
    <w:lvl w:ilvl="1" w:tplc="0C090019" w:tentative="1">
      <w:start w:val="1"/>
      <w:numFmt w:val="lowerLetter"/>
      <w:lvlText w:val="%2."/>
      <w:lvlJc w:val="left"/>
      <w:pPr>
        <w:ind w:left="1723" w:hanging="360"/>
      </w:pPr>
    </w:lvl>
    <w:lvl w:ilvl="2" w:tplc="0C09001B" w:tentative="1">
      <w:start w:val="1"/>
      <w:numFmt w:val="lowerRoman"/>
      <w:lvlText w:val="%3."/>
      <w:lvlJc w:val="right"/>
      <w:pPr>
        <w:ind w:left="2443" w:hanging="180"/>
      </w:pPr>
    </w:lvl>
    <w:lvl w:ilvl="3" w:tplc="0C09000F" w:tentative="1">
      <w:start w:val="1"/>
      <w:numFmt w:val="decimal"/>
      <w:lvlText w:val="%4."/>
      <w:lvlJc w:val="left"/>
      <w:pPr>
        <w:ind w:left="3163" w:hanging="360"/>
      </w:pPr>
    </w:lvl>
    <w:lvl w:ilvl="4" w:tplc="0C090019" w:tentative="1">
      <w:start w:val="1"/>
      <w:numFmt w:val="lowerLetter"/>
      <w:lvlText w:val="%5."/>
      <w:lvlJc w:val="left"/>
      <w:pPr>
        <w:ind w:left="3883" w:hanging="360"/>
      </w:pPr>
    </w:lvl>
    <w:lvl w:ilvl="5" w:tplc="0C09001B" w:tentative="1">
      <w:start w:val="1"/>
      <w:numFmt w:val="lowerRoman"/>
      <w:lvlText w:val="%6."/>
      <w:lvlJc w:val="right"/>
      <w:pPr>
        <w:ind w:left="4603" w:hanging="180"/>
      </w:pPr>
    </w:lvl>
    <w:lvl w:ilvl="6" w:tplc="0C09000F" w:tentative="1">
      <w:start w:val="1"/>
      <w:numFmt w:val="decimal"/>
      <w:lvlText w:val="%7."/>
      <w:lvlJc w:val="left"/>
      <w:pPr>
        <w:ind w:left="5323" w:hanging="360"/>
      </w:pPr>
    </w:lvl>
    <w:lvl w:ilvl="7" w:tplc="0C090019" w:tentative="1">
      <w:start w:val="1"/>
      <w:numFmt w:val="lowerLetter"/>
      <w:lvlText w:val="%8."/>
      <w:lvlJc w:val="left"/>
      <w:pPr>
        <w:ind w:left="6043" w:hanging="360"/>
      </w:pPr>
    </w:lvl>
    <w:lvl w:ilvl="8" w:tplc="0C09001B" w:tentative="1">
      <w:start w:val="1"/>
      <w:numFmt w:val="lowerRoman"/>
      <w:lvlText w:val="%9."/>
      <w:lvlJc w:val="right"/>
      <w:pPr>
        <w:ind w:left="6763" w:hanging="180"/>
      </w:pPr>
    </w:lvl>
  </w:abstractNum>
  <w:abstractNum w:abstractNumId="16">
    <w:nsid w:val="7EBF275E"/>
    <w:multiLevelType w:val="multilevel"/>
    <w:tmpl w:val="A6800B9E"/>
    <w:numStyleLink w:val="Outlinenumbering"/>
  </w:abstractNum>
  <w:num w:numId="1">
    <w:abstractNumId w:val="4"/>
  </w:num>
  <w:num w:numId="2">
    <w:abstractNumId w:val="6"/>
  </w:num>
  <w:num w:numId="3">
    <w:abstractNumId w:val="10"/>
  </w:num>
  <w:num w:numId="4">
    <w:abstractNumId w:val="12"/>
  </w:num>
  <w:num w:numId="5">
    <w:abstractNumId w:val="0"/>
  </w:num>
  <w:num w:numId="6">
    <w:abstractNumId w:val="1"/>
  </w:num>
  <w:num w:numId="7">
    <w:abstractNumId w:val="3"/>
  </w:num>
  <w:num w:numId="8">
    <w:abstractNumId w:val="7"/>
  </w:num>
  <w:num w:numId="9">
    <w:abstractNumId w:val="16"/>
  </w:num>
  <w:num w:numId="10">
    <w:abstractNumId w:val="14"/>
  </w:num>
  <w:num w:numId="11">
    <w:abstractNumId w:val="2"/>
  </w:num>
  <w:num w:numId="12">
    <w:abstractNumId w:val="11"/>
  </w:num>
  <w:num w:numId="13">
    <w:abstractNumId w:val="16"/>
  </w:num>
  <w:num w:numId="14">
    <w:abstractNumId w:val="16"/>
  </w:num>
  <w:num w:numId="15">
    <w:abstractNumId w:val="16"/>
  </w:num>
  <w:num w:numId="16">
    <w:abstractNumId w:val="16"/>
  </w:num>
  <w:num w:numId="17">
    <w:abstractNumId w:val="16"/>
  </w:num>
  <w:num w:numId="18">
    <w:abstractNumId w:val="9"/>
  </w:num>
  <w:num w:numId="19">
    <w:abstractNumId w:val="15"/>
  </w:num>
  <w:num w:numId="20">
    <w:abstractNumId w:val="5"/>
  </w:num>
  <w:num w:numId="21">
    <w:abstractNumId w:val="16"/>
  </w:num>
  <w:num w:numId="22">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栜熉֩╀ЫӤင뺘牜Ɇ`Ѐ䘠˞䜀˞"/>
  </w:docVars>
  <w:rsids>
    <w:rsidRoot w:val="009F002F"/>
    <w:rsid w:val="000022FB"/>
    <w:rsid w:val="00003DC4"/>
    <w:rsid w:val="000150D1"/>
    <w:rsid w:val="00021873"/>
    <w:rsid w:val="00022328"/>
    <w:rsid w:val="000255AD"/>
    <w:rsid w:val="00025FD5"/>
    <w:rsid w:val="00026487"/>
    <w:rsid w:val="00030B34"/>
    <w:rsid w:val="00031647"/>
    <w:rsid w:val="00035379"/>
    <w:rsid w:val="000355D2"/>
    <w:rsid w:val="00037625"/>
    <w:rsid w:val="000377EF"/>
    <w:rsid w:val="00041622"/>
    <w:rsid w:val="00045F83"/>
    <w:rsid w:val="000469B5"/>
    <w:rsid w:val="00052C5E"/>
    <w:rsid w:val="00057F5D"/>
    <w:rsid w:val="0006339A"/>
    <w:rsid w:val="00066657"/>
    <w:rsid w:val="00070C2E"/>
    <w:rsid w:val="00075AAC"/>
    <w:rsid w:val="00080AC2"/>
    <w:rsid w:val="00083084"/>
    <w:rsid w:val="000854BC"/>
    <w:rsid w:val="00090F96"/>
    <w:rsid w:val="00091118"/>
    <w:rsid w:val="000925D5"/>
    <w:rsid w:val="0009349A"/>
    <w:rsid w:val="0009680E"/>
    <w:rsid w:val="000A08AA"/>
    <w:rsid w:val="000A2B39"/>
    <w:rsid w:val="000A5814"/>
    <w:rsid w:val="000A7BCF"/>
    <w:rsid w:val="000A7C35"/>
    <w:rsid w:val="000B5293"/>
    <w:rsid w:val="000B65E6"/>
    <w:rsid w:val="000C0446"/>
    <w:rsid w:val="000C0522"/>
    <w:rsid w:val="000C53E1"/>
    <w:rsid w:val="000D13E6"/>
    <w:rsid w:val="000D2746"/>
    <w:rsid w:val="000D3F01"/>
    <w:rsid w:val="000D5208"/>
    <w:rsid w:val="000D575B"/>
    <w:rsid w:val="000E1AB0"/>
    <w:rsid w:val="000E2A62"/>
    <w:rsid w:val="000E3A4E"/>
    <w:rsid w:val="000E3BCC"/>
    <w:rsid w:val="000E7971"/>
    <w:rsid w:val="000F135A"/>
    <w:rsid w:val="000F352B"/>
    <w:rsid w:val="000F442B"/>
    <w:rsid w:val="000F6B26"/>
    <w:rsid w:val="0011007D"/>
    <w:rsid w:val="00112275"/>
    <w:rsid w:val="0011462E"/>
    <w:rsid w:val="00115F66"/>
    <w:rsid w:val="0012038A"/>
    <w:rsid w:val="001218CF"/>
    <w:rsid w:val="0013032B"/>
    <w:rsid w:val="00136733"/>
    <w:rsid w:val="00146114"/>
    <w:rsid w:val="00151752"/>
    <w:rsid w:val="0015258C"/>
    <w:rsid w:val="001644FC"/>
    <w:rsid w:val="00165F8C"/>
    <w:rsid w:val="00167304"/>
    <w:rsid w:val="00177FAD"/>
    <w:rsid w:val="001844C9"/>
    <w:rsid w:val="00190091"/>
    <w:rsid w:val="001911CA"/>
    <w:rsid w:val="001951A8"/>
    <w:rsid w:val="001A1602"/>
    <w:rsid w:val="001A38D5"/>
    <w:rsid w:val="001A7D6C"/>
    <w:rsid w:val="001B1886"/>
    <w:rsid w:val="001B2E70"/>
    <w:rsid w:val="001B3CA1"/>
    <w:rsid w:val="001B3F93"/>
    <w:rsid w:val="001B71A5"/>
    <w:rsid w:val="001C0CC9"/>
    <w:rsid w:val="001C0E16"/>
    <w:rsid w:val="001C481E"/>
    <w:rsid w:val="001C58AC"/>
    <w:rsid w:val="001D0597"/>
    <w:rsid w:val="001D43AF"/>
    <w:rsid w:val="001E1C66"/>
    <w:rsid w:val="001E239A"/>
    <w:rsid w:val="001E43D3"/>
    <w:rsid w:val="001F32AD"/>
    <w:rsid w:val="001F3FED"/>
    <w:rsid w:val="00206977"/>
    <w:rsid w:val="00206B34"/>
    <w:rsid w:val="002102A8"/>
    <w:rsid w:val="00212A18"/>
    <w:rsid w:val="00214941"/>
    <w:rsid w:val="00224431"/>
    <w:rsid w:val="0023396E"/>
    <w:rsid w:val="00233E0E"/>
    <w:rsid w:val="00234FE7"/>
    <w:rsid w:val="002401EF"/>
    <w:rsid w:val="00246A38"/>
    <w:rsid w:val="0025050F"/>
    <w:rsid w:val="00255135"/>
    <w:rsid w:val="00263F57"/>
    <w:rsid w:val="00266467"/>
    <w:rsid w:val="00271B3C"/>
    <w:rsid w:val="002727DF"/>
    <w:rsid w:val="00272D30"/>
    <w:rsid w:val="00273B98"/>
    <w:rsid w:val="00273EBF"/>
    <w:rsid w:val="00277A9E"/>
    <w:rsid w:val="002871F6"/>
    <w:rsid w:val="002874E8"/>
    <w:rsid w:val="00296080"/>
    <w:rsid w:val="002A55B5"/>
    <w:rsid w:val="002A5721"/>
    <w:rsid w:val="002A6461"/>
    <w:rsid w:val="002A6623"/>
    <w:rsid w:val="002A6845"/>
    <w:rsid w:val="002A6BA8"/>
    <w:rsid w:val="002B5EB8"/>
    <w:rsid w:val="002B5EF1"/>
    <w:rsid w:val="002C10C3"/>
    <w:rsid w:val="002C6532"/>
    <w:rsid w:val="002C6F0A"/>
    <w:rsid w:val="002D54C4"/>
    <w:rsid w:val="002E475E"/>
    <w:rsid w:val="002F1351"/>
    <w:rsid w:val="002F1CE2"/>
    <w:rsid w:val="002F2A12"/>
    <w:rsid w:val="002F588F"/>
    <w:rsid w:val="00303BE7"/>
    <w:rsid w:val="00307DC9"/>
    <w:rsid w:val="00311CBF"/>
    <w:rsid w:val="003174A3"/>
    <w:rsid w:val="0032140A"/>
    <w:rsid w:val="0032317E"/>
    <w:rsid w:val="00326FD7"/>
    <w:rsid w:val="003322F8"/>
    <w:rsid w:val="003325B0"/>
    <w:rsid w:val="00336651"/>
    <w:rsid w:val="00344D3C"/>
    <w:rsid w:val="00352FBD"/>
    <w:rsid w:val="00352FCF"/>
    <w:rsid w:val="0035531A"/>
    <w:rsid w:val="00357421"/>
    <w:rsid w:val="00360DFB"/>
    <w:rsid w:val="0036359D"/>
    <w:rsid w:val="0036750C"/>
    <w:rsid w:val="00370FFD"/>
    <w:rsid w:val="00374873"/>
    <w:rsid w:val="00375266"/>
    <w:rsid w:val="00376B6B"/>
    <w:rsid w:val="00380BF4"/>
    <w:rsid w:val="003851D2"/>
    <w:rsid w:val="0038566F"/>
    <w:rsid w:val="00385854"/>
    <w:rsid w:val="00397EF3"/>
    <w:rsid w:val="003B1DC3"/>
    <w:rsid w:val="003B5638"/>
    <w:rsid w:val="003B6348"/>
    <w:rsid w:val="003C02D5"/>
    <w:rsid w:val="003C0E4D"/>
    <w:rsid w:val="003C118D"/>
    <w:rsid w:val="003C491B"/>
    <w:rsid w:val="003C6EB1"/>
    <w:rsid w:val="003D5AF5"/>
    <w:rsid w:val="003E08D9"/>
    <w:rsid w:val="003E4C70"/>
    <w:rsid w:val="003E73C2"/>
    <w:rsid w:val="003F65D6"/>
    <w:rsid w:val="004007DF"/>
    <w:rsid w:val="00400F46"/>
    <w:rsid w:val="004010AF"/>
    <w:rsid w:val="00403A4B"/>
    <w:rsid w:val="00404A14"/>
    <w:rsid w:val="0040566D"/>
    <w:rsid w:val="00413ED9"/>
    <w:rsid w:val="00414A89"/>
    <w:rsid w:val="004157BD"/>
    <w:rsid w:val="00416B11"/>
    <w:rsid w:val="004208A1"/>
    <w:rsid w:val="00420DB7"/>
    <w:rsid w:val="0042396F"/>
    <w:rsid w:val="00431202"/>
    <w:rsid w:val="004333C0"/>
    <w:rsid w:val="004352F4"/>
    <w:rsid w:val="004365D6"/>
    <w:rsid w:val="004376E6"/>
    <w:rsid w:val="004401A3"/>
    <w:rsid w:val="00446D66"/>
    <w:rsid w:val="00447234"/>
    <w:rsid w:val="00447705"/>
    <w:rsid w:val="00452235"/>
    <w:rsid w:val="00452B2C"/>
    <w:rsid w:val="004555D0"/>
    <w:rsid w:val="00455D15"/>
    <w:rsid w:val="004622A8"/>
    <w:rsid w:val="00465D3F"/>
    <w:rsid w:val="00466B31"/>
    <w:rsid w:val="004733BB"/>
    <w:rsid w:val="00473D35"/>
    <w:rsid w:val="0048136F"/>
    <w:rsid w:val="00483847"/>
    <w:rsid w:val="00485730"/>
    <w:rsid w:val="00493499"/>
    <w:rsid w:val="004937AE"/>
    <w:rsid w:val="00494DE6"/>
    <w:rsid w:val="004A41F8"/>
    <w:rsid w:val="004A5479"/>
    <w:rsid w:val="004B1681"/>
    <w:rsid w:val="004B5946"/>
    <w:rsid w:val="004B5E87"/>
    <w:rsid w:val="004C529B"/>
    <w:rsid w:val="004C7BF4"/>
    <w:rsid w:val="004D27B9"/>
    <w:rsid w:val="004E43BC"/>
    <w:rsid w:val="004E537A"/>
    <w:rsid w:val="004E6AD1"/>
    <w:rsid w:val="004E7B87"/>
    <w:rsid w:val="004F2F82"/>
    <w:rsid w:val="004F5B24"/>
    <w:rsid w:val="004F6FD6"/>
    <w:rsid w:val="004F7481"/>
    <w:rsid w:val="00501C9E"/>
    <w:rsid w:val="005039EE"/>
    <w:rsid w:val="005049E1"/>
    <w:rsid w:val="00504BBA"/>
    <w:rsid w:val="00505B8F"/>
    <w:rsid w:val="005145E2"/>
    <w:rsid w:val="005161CF"/>
    <w:rsid w:val="00521D34"/>
    <w:rsid w:val="00522E69"/>
    <w:rsid w:val="00532C70"/>
    <w:rsid w:val="00534A5D"/>
    <w:rsid w:val="0053515C"/>
    <w:rsid w:val="00543F09"/>
    <w:rsid w:val="005441E4"/>
    <w:rsid w:val="005507B8"/>
    <w:rsid w:val="005516F2"/>
    <w:rsid w:val="00551760"/>
    <w:rsid w:val="00551CF3"/>
    <w:rsid w:val="005648FF"/>
    <w:rsid w:val="0056559F"/>
    <w:rsid w:val="00573897"/>
    <w:rsid w:val="00574E9D"/>
    <w:rsid w:val="005750C6"/>
    <w:rsid w:val="00575E8F"/>
    <w:rsid w:val="005816FC"/>
    <w:rsid w:val="00584976"/>
    <w:rsid w:val="00586355"/>
    <w:rsid w:val="0059381F"/>
    <w:rsid w:val="005A4EA4"/>
    <w:rsid w:val="005B021E"/>
    <w:rsid w:val="005B0B62"/>
    <w:rsid w:val="005B27C5"/>
    <w:rsid w:val="005B411F"/>
    <w:rsid w:val="005B7251"/>
    <w:rsid w:val="005C2F44"/>
    <w:rsid w:val="005D145D"/>
    <w:rsid w:val="005D2966"/>
    <w:rsid w:val="005D42B0"/>
    <w:rsid w:val="005D6AE6"/>
    <w:rsid w:val="005E0F88"/>
    <w:rsid w:val="005E10A4"/>
    <w:rsid w:val="005E3CBC"/>
    <w:rsid w:val="005E4A0E"/>
    <w:rsid w:val="005E7B9F"/>
    <w:rsid w:val="005F6859"/>
    <w:rsid w:val="00605B5C"/>
    <w:rsid w:val="00614FE7"/>
    <w:rsid w:val="00615846"/>
    <w:rsid w:val="00615B09"/>
    <w:rsid w:val="00620046"/>
    <w:rsid w:val="006221F4"/>
    <w:rsid w:val="00623695"/>
    <w:rsid w:val="00623C25"/>
    <w:rsid w:val="0062596C"/>
    <w:rsid w:val="00626B7D"/>
    <w:rsid w:val="00626FB2"/>
    <w:rsid w:val="00637682"/>
    <w:rsid w:val="006408B0"/>
    <w:rsid w:val="00647358"/>
    <w:rsid w:val="0065650A"/>
    <w:rsid w:val="0066207F"/>
    <w:rsid w:val="00671AC3"/>
    <w:rsid w:val="00683151"/>
    <w:rsid w:val="00685538"/>
    <w:rsid w:val="00692BE9"/>
    <w:rsid w:val="00694E91"/>
    <w:rsid w:val="00695120"/>
    <w:rsid w:val="006A4E6E"/>
    <w:rsid w:val="006A4EC0"/>
    <w:rsid w:val="006A6253"/>
    <w:rsid w:val="006B494A"/>
    <w:rsid w:val="006C008F"/>
    <w:rsid w:val="006D459B"/>
    <w:rsid w:val="006E462E"/>
    <w:rsid w:val="006E5587"/>
    <w:rsid w:val="006F5D27"/>
    <w:rsid w:val="007031C4"/>
    <w:rsid w:val="00707606"/>
    <w:rsid w:val="00707A8C"/>
    <w:rsid w:val="00707AAE"/>
    <w:rsid w:val="007163DF"/>
    <w:rsid w:val="00717426"/>
    <w:rsid w:val="007179ED"/>
    <w:rsid w:val="00720AC4"/>
    <w:rsid w:val="00721930"/>
    <w:rsid w:val="00724447"/>
    <w:rsid w:val="0073259B"/>
    <w:rsid w:val="00735DD0"/>
    <w:rsid w:val="00741D03"/>
    <w:rsid w:val="00743E37"/>
    <w:rsid w:val="00745717"/>
    <w:rsid w:val="0074764C"/>
    <w:rsid w:val="00747891"/>
    <w:rsid w:val="007544E7"/>
    <w:rsid w:val="00756381"/>
    <w:rsid w:val="00757420"/>
    <w:rsid w:val="007633B7"/>
    <w:rsid w:val="00767A07"/>
    <w:rsid w:val="007700C6"/>
    <w:rsid w:val="00776E7C"/>
    <w:rsid w:val="00777FEB"/>
    <w:rsid w:val="0078766B"/>
    <w:rsid w:val="0079055E"/>
    <w:rsid w:val="007906AC"/>
    <w:rsid w:val="00791D11"/>
    <w:rsid w:val="00792491"/>
    <w:rsid w:val="0079457F"/>
    <w:rsid w:val="007A1EA1"/>
    <w:rsid w:val="007A26A7"/>
    <w:rsid w:val="007B0C60"/>
    <w:rsid w:val="007B0FB6"/>
    <w:rsid w:val="007B265E"/>
    <w:rsid w:val="007B4589"/>
    <w:rsid w:val="007B5680"/>
    <w:rsid w:val="007B5A5B"/>
    <w:rsid w:val="007C0C41"/>
    <w:rsid w:val="007C6073"/>
    <w:rsid w:val="007C6460"/>
    <w:rsid w:val="007C6981"/>
    <w:rsid w:val="007C74E4"/>
    <w:rsid w:val="007C7CFB"/>
    <w:rsid w:val="007D6B44"/>
    <w:rsid w:val="007E20D5"/>
    <w:rsid w:val="007E221E"/>
    <w:rsid w:val="007E22CB"/>
    <w:rsid w:val="007E2FFF"/>
    <w:rsid w:val="007F6F91"/>
    <w:rsid w:val="007F7011"/>
    <w:rsid w:val="007F708A"/>
    <w:rsid w:val="00810145"/>
    <w:rsid w:val="00810F1F"/>
    <w:rsid w:val="00813AC3"/>
    <w:rsid w:val="00815AA8"/>
    <w:rsid w:val="008402AC"/>
    <w:rsid w:val="00841F0E"/>
    <w:rsid w:val="00843AF0"/>
    <w:rsid w:val="00844603"/>
    <w:rsid w:val="00846E29"/>
    <w:rsid w:val="00853D4B"/>
    <w:rsid w:val="00856201"/>
    <w:rsid w:val="008570B1"/>
    <w:rsid w:val="00860C55"/>
    <w:rsid w:val="00865EC2"/>
    <w:rsid w:val="00866AE3"/>
    <w:rsid w:val="008717BE"/>
    <w:rsid w:val="00875C21"/>
    <w:rsid w:val="00875F78"/>
    <w:rsid w:val="00885DDB"/>
    <w:rsid w:val="008872B8"/>
    <w:rsid w:val="00891506"/>
    <w:rsid w:val="0089384C"/>
    <w:rsid w:val="008958A0"/>
    <w:rsid w:val="008A6E5C"/>
    <w:rsid w:val="008B0CFA"/>
    <w:rsid w:val="008B4699"/>
    <w:rsid w:val="008B583C"/>
    <w:rsid w:val="008B648C"/>
    <w:rsid w:val="008B7BD7"/>
    <w:rsid w:val="008D0464"/>
    <w:rsid w:val="008D10BC"/>
    <w:rsid w:val="008D352D"/>
    <w:rsid w:val="008D4BB0"/>
    <w:rsid w:val="008D5859"/>
    <w:rsid w:val="008D703A"/>
    <w:rsid w:val="008D7A23"/>
    <w:rsid w:val="008E7587"/>
    <w:rsid w:val="008F12DF"/>
    <w:rsid w:val="008F59AC"/>
    <w:rsid w:val="00905D26"/>
    <w:rsid w:val="009068F0"/>
    <w:rsid w:val="00906C08"/>
    <w:rsid w:val="0091227B"/>
    <w:rsid w:val="00913EA6"/>
    <w:rsid w:val="0092213A"/>
    <w:rsid w:val="00935173"/>
    <w:rsid w:val="00946577"/>
    <w:rsid w:val="00954C5A"/>
    <w:rsid w:val="00956BDC"/>
    <w:rsid w:val="0096286F"/>
    <w:rsid w:val="00963F5A"/>
    <w:rsid w:val="009802A9"/>
    <w:rsid w:val="00987EEA"/>
    <w:rsid w:val="00990D20"/>
    <w:rsid w:val="0099399E"/>
    <w:rsid w:val="00996CBC"/>
    <w:rsid w:val="009A0193"/>
    <w:rsid w:val="009A0562"/>
    <w:rsid w:val="009A1724"/>
    <w:rsid w:val="009A4CB9"/>
    <w:rsid w:val="009A6AED"/>
    <w:rsid w:val="009A7A0D"/>
    <w:rsid w:val="009B198C"/>
    <w:rsid w:val="009B254E"/>
    <w:rsid w:val="009B3C61"/>
    <w:rsid w:val="009B5510"/>
    <w:rsid w:val="009B6C5F"/>
    <w:rsid w:val="009C67B5"/>
    <w:rsid w:val="009C784E"/>
    <w:rsid w:val="009D38E7"/>
    <w:rsid w:val="009D4E79"/>
    <w:rsid w:val="009D7908"/>
    <w:rsid w:val="009E1420"/>
    <w:rsid w:val="009E2787"/>
    <w:rsid w:val="009E58EA"/>
    <w:rsid w:val="009F002F"/>
    <w:rsid w:val="009F2018"/>
    <w:rsid w:val="009F4C1B"/>
    <w:rsid w:val="009F7378"/>
    <w:rsid w:val="00A00E88"/>
    <w:rsid w:val="00A00E96"/>
    <w:rsid w:val="00A02623"/>
    <w:rsid w:val="00A03684"/>
    <w:rsid w:val="00A03891"/>
    <w:rsid w:val="00A03B78"/>
    <w:rsid w:val="00A05777"/>
    <w:rsid w:val="00A07E52"/>
    <w:rsid w:val="00A14BFB"/>
    <w:rsid w:val="00A17DEB"/>
    <w:rsid w:val="00A24ED8"/>
    <w:rsid w:val="00A24F30"/>
    <w:rsid w:val="00A3051B"/>
    <w:rsid w:val="00A415B1"/>
    <w:rsid w:val="00A43660"/>
    <w:rsid w:val="00A43E47"/>
    <w:rsid w:val="00A47000"/>
    <w:rsid w:val="00A5481A"/>
    <w:rsid w:val="00A56141"/>
    <w:rsid w:val="00A57C18"/>
    <w:rsid w:val="00A62BC3"/>
    <w:rsid w:val="00A77943"/>
    <w:rsid w:val="00A80833"/>
    <w:rsid w:val="00A83060"/>
    <w:rsid w:val="00A9151E"/>
    <w:rsid w:val="00A926FC"/>
    <w:rsid w:val="00A93D39"/>
    <w:rsid w:val="00AA14E7"/>
    <w:rsid w:val="00AA3EBF"/>
    <w:rsid w:val="00AB2E37"/>
    <w:rsid w:val="00AB56F3"/>
    <w:rsid w:val="00AC2A5B"/>
    <w:rsid w:val="00AC45A1"/>
    <w:rsid w:val="00AC4AF9"/>
    <w:rsid w:val="00AC510D"/>
    <w:rsid w:val="00AD04D6"/>
    <w:rsid w:val="00AD5264"/>
    <w:rsid w:val="00AD78DD"/>
    <w:rsid w:val="00AE389F"/>
    <w:rsid w:val="00AE48D3"/>
    <w:rsid w:val="00AE515C"/>
    <w:rsid w:val="00AE5377"/>
    <w:rsid w:val="00AF251C"/>
    <w:rsid w:val="00AF32CB"/>
    <w:rsid w:val="00B16D74"/>
    <w:rsid w:val="00B24EFC"/>
    <w:rsid w:val="00B26608"/>
    <w:rsid w:val="00B27551"/>
    <w:rsid w:val="00B30E86"/>
    <w:rsid w:val="00B3103B"/>
    <w:rsid w:val="00B35A7C"/>
    <w:rsid w:val="00B42412"/>
    <w:rsid w:val="00B4773D"/>
    <w:rsid w:val="00B53B82"/>
    <w:rsid w:val="00B53BD7"/>
    <w:rsid w:val="00B553A0"/>
    <w:rsid w:val="00B56E6F"/>
    <w:rsid w:val="00B6089B"/>
    <w:rsid w:val="00B65060"/>
    <w:rsid w:val="00B67A75"/>
    <w:rsid w:val="00B752EC"/>
    <w:rsid w:val="00B80319"/>
    <w:rsid w:val="00B82E6D"/>
    <w:rsid w:val="00B8354F"/>
    <w:rsid w:val="00B91833"/>
    <w:rsid w:val="00B92217"/>
    <w:rsid w:val="00B92845"/>
    <w:rsid w:val="00B93D88"/>
    <w:rsid w:val="00B969EB"/>
    <w:rsid w:val="00BA5E24"/>
    <w:rsid w:val="00BA5F05"/>
    <w:rsid w:val="00BA6443"/>
    <w:rsid w:val="00BB0ECF"/>
    <w:rsid w:val="00BB7578"/>
    <w:rsid w:val="00BE4B68"/>
    <w:rsid w:val="00BE6008"/>
    <w:rsid w:val="00BF42A1"/>
    <w:rsid w:val="00BF68E0"/>
    <w:rsid w:val="00C04E69"/>
    <w:rsid w:val="00C06D1B"/>
    <w:rsid w:val="00C070FE"/>
    <w:rsid w:val="00C12750"/>
    <w:rsid w:val="00C14AC5"/>
    <w:rsid w:val="00C22522"/>
    <w:rsid w:val="00C25DB4"/>
    <w:rsid w:val="00C33F3C"/>
    <w:rsid w:val="00C3449F"/>
    <w:rsid w:val="00C3544B"/>
    <w:rsid w:val="00C41124"/>
    <w:rsid w:val="00C43DE4"/>
    <w:rsid w:val="00C45CED"/>
    <w:rsid w:val="00C505F4"/>
    <w:rsid w:val="00C52339"/>
    <w:rsid w:val="00C5338B"/>
    <w:rsid w:val="00C54333"/>
    <w:rsid w:val="00C55198"/>
    <w:rsid w:val="00C601C3"/>
    <w:rsid w:val="00C651DF"/>
    <w:rsid w:val="00C6531E"/>
    <w:rsid w:val="00C6761B"/>
    <w:rsid w:val="00C76F10"/>
    <w:rsid w:val="00C814DC"/>
    <w:rsid w:val="00C8441B"/>
    <w:rsid w:val="00C84EB8"/>
    <w:rsid w:val="00C8733E"/>
    <w:rsid w:val="00C919B1"/>
    <w:rsid w:val="00C96DBC"/>
    <w:rsid w:val="00CA574B"/>
    <w:rsid w:val="00CA601E"/>
    <w:rsid w:val="00CB34A3"/>
    <w:rsid w:val="00CB6B79"/>
    <w:rsid w:val="00CC346C"/>
    <w:rsid w:val="00CC6C15"/>
    <w:rsid w:val="00CD1AD4"/>
    <w:rsid w:val="00CD7D7A"/>
    <w:rsid w:val="00CD7F32"/>
    <w:rsid w:val="00CE014A"/>
    <w:rsid w:val="00CE76FB"/>
    <w:rsid w:val="00CF38A9"/>
    <w:rsid w:val="00CF4586"/>
    <w:rsid w:val="00CF5AA3"/>
    <w:rsid w:val="00D03F39"/>
    <w:rsid w:val="00D24BCE"/>
    <w:rsid w:val="00D32672"/>
    <w:rsid w:val="00D32E11"/>
    <w:rsid w:val="00D3572D"/>
    <w:rsid w:val="00D367E4"/>
    <w:rsid w:val="00D40AC8"/>
    <w:rsid w:val="00D44003"/>
    <w:rsid w:val="00D45213"/>
    <w:rsid w:val="00D47381"/>
    <w:rsid w:val="00D47CCD"/>
    <w:rsid w:val="00D50431"/>
    <w:rsid w:val="00D5191F"/>
    <w:rsid w:val="00D52C0C"/>
    <w:rsid w:val="00D56D41"/>
    <w:rsid w:val="00D57D54"/>
    <w:rsid w:val="00D60341"/>
    <w:rsid w:val="00D63CF1"/>
    <w:rsid w:val="00D75E1B"/>
    <w:rsid w:val="00D77920"/>
    <w:rsid w:val="00D83227"/>
    <w:rsid w:val="00D856A2"/>
    <w:rsid w:val="00D90EE5"/>
    <w:rsid w:val="00D92E8B"/>
    <w:rsid w:val="00D9550B"/>
    <w:rsid w:val="00D978FE"/>
    <w:rsid w:val="00DA441F"/>
    <w:rsid w:val="00DB4990"/>
    <w:rsid w:val="00DB5083"/>
    <w:rsid w:val="00DE08FB"/>
    <w:rsid w:val="00DE253A"/>
    <w:rsid w:val="00DE32BB"/>
    <w:rsid w:val="00DF0415"/>
    <w:rsid w:val="00E00526"/>
    <w:rsid w:val="00E05E0D"/>
    <w:rsid w:val="00E07267"/>
    <w:rsid w:val="00E07B22"/>
    <w:rsid w:val="00E07B29"/>
    <w:rsid w:val="00E16652"/>
    <w:rsid w:val="00E258E1"/>
    <w:rsid w:val="00E33217"/>
    <w:rsid w:val="00E37169"/>
    <w:rsid w:val="00E40519"/>
    <w:rsid w:val="00E40A03"/>
    <w:rsid w:val="00E42408"/>
    <w:rsid w:val="00E437DE"/>
    <w:rsid w:val="00E46E9B"/>
    <w:rsid w:val="00E479D0"/>
    <w:rsid w:val="00E51657"/>
    <w:rsid w:val="00E52639"/>
    <w:rsid w:val="00E62534"/>
    <w:rsid w:val="00E71A19"/>
    <w:rsid w:val="00E74555"/>
    <w:rsid w:val="00E74AD2"/>
    <w:rsid w:val="00E76AA8"/>
    <w:rsid w:val="00E76D44"/>
    <w:rsid w:val="00E813D6"/>
    <w:rsid w:val="00E85FCC"/>
    <w:rsid w:val="00E90667"/>
    <w:rsid w:val="00E91918"/>
    <w:rsid w:val="00E9217B"/>
    <w:rsid w:val="00E94BC3"/>
    <w:rsid w:val="00E95EC6"/>
    <w:rsid w:val="00EA184B"/>
    <w:rsid w:val="00EA2A50"/>
    <w:rsid w:val="00EA2B5E"/>
    <w:rsid w:val="00EA3A1C"/>
    <w:rsid w:val="00EA49F2"/>
    <w:rsid w:val="00EA542E"/>
    <w:rsid w:val="00EA7F10"/>
    <w:rsid w:val="00EB22A1"/>
    <w:rsid w:val="00EC1E27"/>
    <w:rsid w:val="00EC4D3B"/>
    <w:rsid w:val="00EC6BEC"/>
    <w:rsid w:val="00ED6D21"/>
    <w:rsid w:val="00EE3879"/>
    <w:rsid w:val="00F02243"/>
    <w:rsid w:val="00F04EA9"/>
    <w:rsid w:val="00F050DC"/>
    <w:rsid w:val="00F174E0"/>
    <w:rsid w:val="00F21092"/>
    <w:rsid w:val="00F30068"/>
    <w:rsid w:val="00F317F6"/>
    <w:rsid w:val="00F34F88"/>
    <w:rsid w:val="00F37C93"/>
    <w:rsid w:val="00F40255"/>
    <w:rsid w:val="00F418D5"/>
    <w:rsid w:val="00F45B47"/>
    <w:rsid w:val="00F516B3"/>
    <w:rsid w:val="00F5707E"/>
    <w:rsid w:val="00F573F5"/>
    <w:rsid w:val="00F70623"/>
    <w:rsid w:val="00F71EF5"/>
    <w:rsid w:val="00F75B1A"/>
    <w:rsid w:val="00F760CC"/>
    <w:rsid w:val="00F762DD"/>
    <w:rsid w:val="00F80CC2"/>
    <w:rsid w:val="00F84C1C"/>
    <w:rsid w:val="00F91A2F"/>
    <w:rsid w:val="00F93D7F"/>
    <w:rsid w:val="00FA1A3A"/>
    <w:rsid w:val="00FA28F8"/>
    <w:rsid w:val="00FA299F"/>
    <w:rsid w:val="00FA2EF4"/>
    <w:rsid w:val="00FA3161"/>
    <w:rsid w:val="00FA339F"/>
    <w:rsid w:val="00FA58CE"/>
    <w:rsid w:val="00FB1B28"/>
    <w:rsid w:val="00FB32D3"/>
    <w:rsid w:val="00FB5131"/>
    <w:rsid w:val="00FC0070"/>
    <w:rsid w:val="00FC00E6"/>
    <w:rsid w:val="00FC7F40"/>
    <w:rsid w:val="00FD27BB"/>
    <w:rsid w:val="00FE1949"/>
    <w:rsid w:val="00FE53EF"/>
    <w:rsid w:val="00FE5B63"/>
    <w:rsid w:val="00FF18F5"/>
    <w:rsid w:val="00FF2B3F"/>
    <w:rsid w:val="00FF2EDA"/>
    <w:rsid w:val="00FF4725"/>
    <w:rsid w:val="00FF664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D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45D"/>
    <w:pPr>
      <w:spacing w:after="240" w:line="260" w:lineRule="exact"/>
      <w:jc w:val="both"/>
    </w:pPr>
    <w:rPr>
      <w:rFonts w:ascii="Book Antiqua" w:hAnsi="Book Antiqua"/>
      <w:color w:val="000000"/>
      <w:sz w:val="22"/>
    </w:rPr>
  </w:style>
  <w:style w:type="paragraph" w:styleId="Heading1">
    <w:name w:val="heading 1"/>
    <w:basedOn w:val="HeadingBase"/>
    <w:next w:val="OutlineNumbered1"/>
    <w:qFormat/>
    <w:rsid w:val="000A7BCF"/>
    <w:pPr>
      <w:spacing w:before="360" w:after="360"/>
      <w:outlineLvl w:val="0"/>
    </w:pPr>
    <w:rPr>
      <w:rFonts w:cs="Arial"/>
      <w:b/>
      <w:bCs/>
      <w:smallCaps/>
      <w:kern w:val="32"/>
      <w:sz w:val="36"/>
      <w:szCs w:val="36"/>
    </w:rPr>
  </w:style>
  <w:style w:type="paragraph" w:styleId="Heading2">
    <w:name w:val="heading 2"/>
    <w:basedOn w:val="HeadingBase"/>
    <w:next w:val="OutlineNumbered1"/>
    <w:qFormat/>
    <w:rsid w:val="005750C6"/>
    <w:pPr>
      <w:spacing w:before="300" w:after="180"/>
      <w:outlineLvl w:val="1"/>
    </w:pPr>
    <w:rPr>
      <w:rFonts w:cs="Arial"/>
      <w:b/>
      <w:bCs/>
      <w:iCs/>
      <w:smallCaps/>
      <w:sz w:val="32"/>
      <w:szCs w:val="28"/>
    </w:rPr>
  </w:style>
  <w:style w:type="paragraph" w:styleId="Heading3">
    <w:name w:val="heading 3"/>
    <w:basedOn w:val="HeadingBase"/>
    <w:next w:val="OutlineNumbered1"/>
    <w:qFormat/>
    <w:rsid w:val="000A7BCF"/>
    <w:pPr>
      <w:spacing w:before="120" w:after="240"/>
      <w:outlineLvl w:val="2"/>
    </w:pPr>
    <w:rPr>
      <w:rFonts w:cs="Arial"/>
      <w:b/>
      <w:bCs/>
      <w:sz w:val="26"/>
      <w:szCs w:val="26"/>
    </w:rPr>
  </w:style>
  <w:style w:type="paragraph" w:styleId="Heading4">
    <w:name w:val="heading 4"/>
    <w:basedOn w:val="HeadingBase"/>
    <w:next w:val="OutlineNumbered1"/>
    <w:link w:val="Heading4Char"/>
    <w:qFormat/>
    <w:rsid w:val="000A7BCF"/>
    <w:pPr>
      <w:spacing w:after="240"/>
      <w:outlineLvl w:val="3"/>
    </w:pPr>
    <w:rPr>
      <w:b/>
      <w:bCs/>
      <w:sz w:val="22"/>
      <w:szCs w:val="22"/>
    </w:rPr>
  </w:style>
  <w:style w:type="paragraph" w:styleId="Heading5">
    <w:name w:val="heading 5"/>
    <w:basedOn w:val="HeadingBase"/>
    <w:next w:val="OutlineNumbered1"/>
    <w:link w:val="Heading5Char"/>
    <w:qFormat/>
    <w:rsid w:val="000A7BCF"/>
    <w:pPr>
      <w:spacing w:after="120"/>
      <w:outlineLvl w:val="4"/>
    </w:pPr>
    <w:rPr>
      <w:b/>
      <w:bCs/>
      <w:iCs/>
    </w:rPr>
  </w:style>
  <w:style w:type="paragraph" w:styleId="Heading6">
    <w:name w:val="heading 6"/>
    <w:basedOn w:val="HeadingBase"/>
    <w:next w:val="OutlineNumbered1"/>
    <w:qFormat/>
    <w:rsid w:val="000A7BCF"/>
    <w:pPr>
      <w:spacing w:after="120"/>
      <w:outlineLvl w:val="5"/>
    </w:pPr>
    <w:rPr>
      <w:bCs/>
      <w:szCs w:val="22"/>
    </w:rPr>
  </w:style>
  <w:style w:type="paragraph" w:styleId="Heading7">
    <w:name w:val="heading 7"/>
    <w:basedOn w:val="HeadingBase"/>
    <w:next w:val="Normal"/>
    <w:link w:val="Heading7Char"/>
    <w:qFormat/>
    <w:rsid w:val="000A7BCF"/>
    <w:pPr>
      <w:spacing w:after="120"/>
      <w:outlineLvl w:val="6"/>
    </w:pPr>
    <w:rPr>
      <w:szCs w:val="24"/>
    </w:rPr>
  </w:style>
  <w:style w:type="paragraph" w:styleId="Heading8">
    <w:name w:val="heading 8"/>
    <w:basedOn w:val="HeadingBase"/>
    <w:next w:val="Normal"/>
    <w:qFormat/>
    <w:rsid w:val="000A7BCF"/>
    <w:pPr>
      <w:spacing w:after="120"/>
      <w:outlineLvl w:val="7"/>
    </w:pPr>
    <w:rPr>
      <w:iCs/>
      <w:szCs w:val="24"/>
    </w:rPr>
  </w:style>
  <w:style w:type="paragraph" w:styleId="Heading9">
    <w:name w:val="heading 9"/>
    <w:basedOn w:val="HeadingBase"/>
    <w:next w:val="Normal"/>
    <w:qFormat/>
    <w:rsid w:val="000A7BCF"/>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0A7BCF"/>
    <w:pPr>
      <w:spacing w:after="0"/>
    </w:pPr>
  </w:style>
  <w:style w:type="character" w:styleId="Hyperlink">
    <w:name w:val="Hyperlink"/>
    <w:basedOn w:val="DefaultParagraphFont"/>
    <w:uiPriority w:val="99"/>
    <w:rsid w:val="000A7BCF"/>
    <w:rPr>
      <w:color w:val="auto"/>
      <w:u w:val="none"/>
    </w:rPr>
  </w:style>
  <w:style w:type="character" w:customStyle="1" w:styleId="BoldandItalic">
    <w:name w:val="Bold and Italic"/>
    <w:basedOn w:val="DefaultParagraphFont"/>
    <w:rsid w:val="000A7BCF"/>
    <w:rPr>
      <w:rFonts w:ascii="Arial" w:hAnsi="Arial"/>
      <w:b/>
      <w:i/>
    </w:rPr>
  </w:style>
  <w:style w:type="table" w:styleId="TableGrid">
    <w:name w:val="Table Grid"/>
    <w:basedOn w:val="TableNormal"/>
    <w:uiPriority w:val="59"/>
    <w:rsid w:val="000A7BCF"/>
    <w:pPr>
      <w:spacing w:after="240" w:line="260" w:lineRule="exact"/>
      <w:jc w:val="both"/>
    </w:pPr>
    <w:tblPr>
      <w:tblInd w:w="0" w:type="dxa"/>
      <w:tblCellMar>
        <w:top w:w="0" w:type="dxa"/>
        <w:left w:w="108" w:type="dxa"/>
        <w:bottom w:w="0" w:type="dxa"/>
        <w:right w:w="108" w:type="dxa"/>
      </w:tblCellMar>
    </w:tblPr>
    <w:tcPr>
      <w:shd w:val="clear" w:color="auto" w:fill="E6E6E6"/>
    </w:tcPr>
  </w:style>
  <w:style w:type="character" w:styleId="PageNumber">
    <w:name w:val="page number"/>
    <w:basedOn w:val="DefaultParagraphFont"/>
    <w:rsid w:val="0056559F"/>
    <w:rPr>
      <w:rFonts w:ascii="Book Antiqua" w:hAnsi="Book Antiqua"/>
      <w:sz w:val="18"/>
    </w:rPr>
  </w:style>
  <w:style w:type="paragraph" w:styleId="FootnoteText">
    <w:name w:val="footnote text"/>
    <w:basedOn w:val="Normal"/>
    <w:rsid w:val="005039EE"/>
    <w:pPr>
      <w:tabs>
        <w:tab w:val="left" w:pos="284"/>
      </w:tabs>
      <w:ind w:left="284" w:hanging="284"/>
    </w:pPr>
    <w:rPr>
      <w:sz w:val="18"/>
    </w:rPr>
  </w:style>
  <w:style w:type="paragraph" w:customStyle="1" w:styleId="Bullet">
    <w:name w:val="Bullet"/>
    <w:aliases w:val="b,b1,b + line,Body,level 1,Bullet + line"/>
    <w:basedOn w:val="Normal"/>
    <w:link w:val="BulletChar"/>
    <w:qFormat/>
    <w:rsid w:val="000A7BCF"/>
    <w:pPr>
      <w:numPr>
        <w:numId w:val="1"/>
      </w:numPr>
    </w:pPr>
  </w:style>
  <w:style w:type="paragraph" w:customStyle="1" w:styleId="Dash">
    <w:name w:val="Dash"/>
    <w:basedOn w:val="Normal"/>
    <w:link w:val="DashChar"/>
    <w:qFormat/>
    <w:rsid w:val="000A7BCF"/>
    <w:pPr>
      <w:numPr>
        <w:ilvl w:val="1"/>
        <w:numId w:val="1"/>
      </w:numPr>
    </w:pPr>
  </w:style>
  <w:style w:type="paragraph" w:customStyle="1" w:styleId="DoubleDot">
    <w:name w:val="Double Dot"/>
    <w:basedOn w:val="Normal"/>
    <w:link w:val="DoubleDotChar"/>
    <w:qFormat/>
    <w:rsid w:val="000A7BCF"/>
    <w:pPr>
      <w:numPr>
        <w:ilvl w:val="2"/>
        <w:numId w:val="1"/>
      </w:numPr>
    </w:pPr>
  </w:style>
  <w:style w:type="paragraph" w:customStyle="1" w:styleId="OutlineNumbered1">
    <w:name w:val="Outline Numbered 1"/>
    <w:basedOn w:val="Normal"/>
    <w:rsid w:val="001E43D3"/>
    <w:pPr>
      <w:numPr>
        <w:numId w:val="9"/>
      </w:numPr>
    </w:pPr>
  </w:style>
  <w:style w:type="paragraph" w:customStyle="1" w:styleId="OutlineNumbered2">
    <w:name w:val="Outline Numbered 2"/>
    <w:basedOn w:val="Normal"/>
    <w:rsid w:val="001E43D3"/>
    <w:pPr>
      <w:numPr>
        <w:ilvl w:val="1"/>
        <w:numId w:val="9"/>
      </w:numPr>
    </w:pPr>
  </w:style>
  <w:style w:type="paragraph" w:customStyle="1" w:styleId="OutlineNumbered3">
    <w:name w:val="Outline Numbered 3"/>
    <w:basedOn w:val="Normal"/>
    <w:rsid w:val="001E43D3"/>
    <w:pPr>
      <w:numPr>
        <w:ilvl w:val="2"/>
        <w:numId w:val="9"/>
      </w:numPr>
    </w:pPr>
  </w:style>
  <w:style w:type="paragraph" w:customStyle="1" w:styleId="AlphaParagraph">
    <w:name w:val="Alpha Paragraph"/>
    <w:basedOn w:val="Normal"/>
    <w:rsid w:val="000A7BCF"/>
    <w:pPr>
      <w:numPr>
        <w:numId w:val="2"/>
      </w:numPr>
      <w:tabs>
        <w:tab w:val="clear" w:pos="567"/>
        <w:tab w:val="num" w:pos="283"/>
      </w:tabs>
      <w:ind w:left="283" w:hanging="283"/>
    </w:pPr>
  </w:style>
  <w:style w:type="paragraph" w:customStyle="1" w:styleId="HeadingBase">
    <w:name w:val="Heading Base"/>
    <w:next w:val="Normal"/>
    <w:rsid w:val="0056559F"/>
    <w:pPr>
      <w:keepNext/>
    </w:pPr>
    <w:rPr>
      <w:rFonts w:ascii="Century Gothic" w:hAnsi="Century Gothic"/>
      <w:color w:val="1F497D" w:themeColor="text2"/>
    </w:rPr>
  </w:style>
  <w:style w:type="paragraph" w:customStyle="1" w:styleId="AppendixHeading">
    <w:name w:val="Appendix Heading"/>
    <w:basedOn w:val="HeadingBase"/>
    <w:next w:val="Normal"/>
    <w:rsid w:val="000A7BCF"/>
    <w:pPr>
      <w:spacing w:before="720" w:after="360"/>
    </w:pPr>
    <w:rPr>
      <w:rFonts w:ascii="Arial Bold" w:hAnsi="Arial Bold"/>
      <w:b/>
      <w:smallCaps/>
      <w:sz w:val="36"/>
      <w:szCs w:val="36"/>
    </w:rPr>
  </w:style>
  <w:style w:type="character" w:customStyle="1" w:styleId="Bold">
    <w:name w:val="Bold"/>
    <w:basedOn w:val="DefaultParagraphFont"/>
    <w:rsid w:val="000A7BCF"/>
    <w:rPr>
      <w:b/>
    </w:rPr>
  </w:style>
  <w:style w:type="paragraph" w:customStyle="1" w:styleId="BoxHeading">
    <w:name w:val="Box Heading"/>
    <w:basedOn w:val="HeadingBase"/>
    <w:next w:val="BoxText"/>
    <w:rsid w:val="00CA601E"/>
    <w:pPr>
      <w:numPr>
        <w:numId w:val="10"/>
      </w:numPr>
      <w:spacing w:before="120" w:after="120"/>
    </w:pPr>
    <w:rPr>
      <w:b/>
      <w:sz w:val="22"/>
    </w:rPr>
  </w:style>
  <w:style w:type="paragraph" w:customStyle="1" w:styleId="BoxTextBase">
    <w:name w:val="Box Text Base"/>
    <w:basedOn w:val="Normal"/>
    <w:rsid w:val="000A7BCF"/>
    <w:pPr>
      <w:spacing w:line="240" w:lineRule="auto"/>
    </w:pPr>
    <w:rPr>
      <w:color w:val="000080"/>
    </w:rPr>
  </w:style>
  <w:style w:type="paragraph" w:customStyle="1" w:styleId="ChartandTableFootnoteAlpha">
    <w:name w:val="Chart and Table Footnote Alpha"/>
    <w:rsid w:val="000A7BCF"/>
    <w:pPr>
      <w:numPr>
        <w:numId w:val="3"/>
      </w:numPr>
      <w:jc w:val="both"/>
    </w:pPr>
    <w:rPr>
      <w:rFonts w:ascii="Arial" w:hAnsi="Arial"/>
      <w:color w:val="000000"/>
      <w:sz w:val="16"/>
      <w:szCs w:val="16"/>
    </w:rPr>
  </w:style>
  <w:style w:type="paragraph" w:customStyle="1" w:styleId="ChartGraphic">
    <w:name w:val="Chart Graphic"/>
    <w:basedOn w:val="HeadingBase"/>
    <w:rsid w:val="000A7BCF"/>
    <w:pPr>
      <w:jc w:val="center"/>
    </w:pPr>
  </w:style>
  <w:style w:type="paragraph" w:customStyle="1" w:styleId="ChartMainHeading">
    <w:name w:val="Chart Main Heading"/>
    <w:basedOn w:val="HeadingBase"/>
    <w:next w:val="ChartGraphic"/>
    <w:rsid w:val="000A7BCF"/>
    <w:pPr>
      <w:spacing w:after="20"/>
      <w:jc w:val="center"/>
    </w:pPr>
    <w:rPr>
      <w:b/>
      <w:sz w:val="22"/>
    </w:rPr>
  </w:style>
  <w:style w:type="paragraph" w:customStyle="1" w:styleId="ChartorTableNote">
    <w:name w:val="Chart or Table Note"/>
    <w:next w:val="Normal"/>
    <w:rsid w:val="000A7BCF"/>
    <w:pPr>
      <w:jc w:val="both"/>
    </w:pPr>
    <w:rPr>
      <w:rFonts w:ascii="Arial" w:hAnsi="Arial"/>
      <w:color w:val="000000"/>
      <w:sz w:val="16"/>
    </w:rPr>
  </w:style>
  <w:style w:type="paragraph" w:customStyle="1" w:styleId="ChartSecondHeading">
    <w:name w:val="Chart Second Heading"/>
    <w:basedOn w:val="HeadingBase"/>
    <w:next w:val="ChartGraphic"/>
    <w:rsid w:val="000A7BCF"/>
    <w:pPr>
      <w:spacing w:after="20"/>
      <w:jc w:val="center"/>
    </w:pPr>
  </w:style>
  <w:style w:type="paragraph" w:customStyle="1" w:styleId="Classification">
    <w:name w:val="Classification"/>
    <w:basedOn w:val="HeadingBase"/>
    <w:next w:val="Footer"/>
    <w:rsid w:val="000A7BCF"/>
    <w:pPr>
      <w:spacing w:after="120"/>
      <w:jc w:val="center"/>
    </w:pPr>
    <w:rPr>
      <w:b/>
      <w:smallCaps/>
    </w:rPr>
  </w:style>
  <w:style w:type="paragraph" w:styleId="Footer">
    <w:name w:val="footer"/>
    <w:basedOn w:val="HeadingBase"/>
    <w:rsid w:val="000A7BCF"/>
    <w:rPr>
      <w:sz w:val="18"/>
    </w:rPr>
  </w:style>
  <w:style w:type="paragraph" w:customStyle="1" w:styleId="ContentsHeading">
    <w:name w:val="Contents Heading"/>
    <w:basedOn w:val="HeadingBase"/>
    <w:next w:val="Normal"/>
    <w:rsid w:val="0056559F"/>
    <w:pPr>
      <w:spacing w:after="360"/>
      <w:jc w:val="center"/>
    </w:pPr>
    <w:rPr>
      <w:smallCaps/>
      <w:sz w:val="36"/>
      <w:szCs w:val="36"/>
    </w:rPr>
  </w:style>
  <w:style w:type="paragraph" w:customStyle="1" w:styleId="CoverTitleMain">
    <w:name w:val="Cover Title Main"/>
    <w:basedOn w:val="HeadingBase"/>
    <w:next w:val="Normal"/>
    <w:rsid w:val="000A7BCF"/>
    <w:pPr>
      <w:spacing w:after="480"/>
      <w:jc w:val="center"/>
    </w:pPr>
    <w:rPr>
      <w:b/>
      <w:sz w:val="48"/>
    </w:rPr>
  </w:style>
  <w:style w:type="paragraph" w:customStyle="1" w:styleId="CoverTitleSub">
    <w:name w:val="Cover Title Sub"/>
    <w:basedOn w:val="HeadingBase"/>
    <w:rsid w:val="000A7BCF"/>
    <w:pPr>
      <w:spacing w:after="360"/>
      <w:jc w:val="center"/>
    </w:pPr>
    <w:rPr>
      <w:sz w:val="36"/>
    </w:rPr>
  </w:style>
  <w:style w:type="paragraph" w:customStyle="1" w:styleId="FooterCentered">
    <w:name w:val="Footer Centered"/>
    <w:basedOn w:val="Footer"/>
    <w:rsid w:val="000A7BCF"/>
    <w:pPr>
      <w:jc w:val="center"/>
    </w:pPr>
    <w:rPr>
      <w:rFonts w:ascii="Book Antiqua" w:hAnsi="Book Antiqua"/>
      <w:sz w:val="22"/>
    </w:rPr>
  </w:style>
  <w:style w:type="paragraph" w:customStyle="1" w:styleId="FooterEven">
    <w:name w:val="Footer Even"/>
    <w:basedOn w:val="Footer"/>
    <w:rsid w:val="000A7BCF"/>
  </w:style>
  <w:style w:type="paragraph" w:customStyle="1" w:styleId="FooterOdd">
    <w:name w:val="Footer Odd"/>
    <w:basedOn w:val="Footer"/>
    <w:rsid w:val="000A7BCF"/>
    <w:pPr>
      <w:jc w:val="right"/>
    </w:pPr>
  </w:style>
  <w:style w:type="character" w:customStyle="1" w:styleId="FramedFooter">
    <w:name w:val="Framed Footer"/>
    <w:rsid w:val="000A7BCF"/>
    <w:rPr>
      <w:rFonts w:ascii="Arial" w:hAnsi="Arial"/>
      <w:sz w:val="18"/>
    </w:rPr>
  </w:style>
  <w:style w:type="character" w:customStyle="1" w:styleId="FramedHeader">
    <w:name w:val="Framed Header"/>
    <w:basedOn w:val="DefaultParagraphFont"/>
    <w:rsid w:val="000A7BCF"/>
    <w:rPr>
      <w:rFonts w:ascii="Arial" w:hAnsi="Arial"/>
      <w:dstrike w:val="0"/>
      <w:color w:val="auto"/>
      <w:sz w:val="18"/>
      <w:vertAlign w:val="baseline"/>
    </w:rPr>
  </w:style>
  <w:style w:type="paragraph" w:styleId="Header">
    <w:name w:val="header"/>
    <w:basedOn w:val="HeadingBase"/>
    <w:rsid w:val="000A7BCF"/>
    <w:rPr>
      <w:sz w:val="18"/>
    </w:rPr>
  </w:style>
  <w:style w:type="paragraph" w:customStyle="1" w:styleId="HeaderEven">
    <w:name w:val="Header Even"/>
    <w:basedOn w:val="Header"/>
    <w:rsid w:val="000A7BCF"/>
  </w:style>
  <w:style w:type="paragraph" w:customStyle="1" w:styleId="HeaderOdd">
    <w:name w:val="Header Odd"/>
    <w:basedOn w:val="Header"/>
    <w:rsid w:val="000A7BCF"/>
    <w:pPr>
      <w:jc w:val="right"/>
    </w:pPr>
  </w:style>
  <w:style w:type="paragraph" w:styleId="NormalIndent">
    <w:name w:val="Normal Indent"/>
    <w:basedOn w:val="Normal"/>
    <w:rsid w:val="000A7BCF"/>
    <w:pPr>
      <w:ind w:left="567"/>
    </w:pPr>
  </w:style>
  <w:style w:type="paragraph" w:customStyle="1" w:styleId="RecommendationHeading">
    <w:name w:val="Recommendation Heading"/>
    <w:basedOn w:val="HeadingBase"/>
    <w:next w:val="RecommendationText"/>
    <w:rsid w:val="000A7BCF"/>
    <w:pPr>
      <w:numPr>
        <w:numId w:val="7"/>
      </w:numPr>
      <w:spacing w:before="120" w:after="240"/>
    </w:pPr>
    <w:rPr>
      <w:b/>
      <w:sz w:val="22"/>
    </w:rPr>
  </w:style>
  <w:style w:type="paragraph" w:customStyle="1" w:styleId="RecommendationTextBase">
    <w:name w:val="Recommendation Text Base"/>
    <w:basedOn w:val="Normal"/>
    <w:rsid w:val="000A7BCF"/>
  </w:style>
  <w:style w:type="paragraph" w:customStyle="1" w:styleId="RecommendationText">
    <w:name w:val="Recommendation Text"/>
    <w:basedOn w:val="RecommendationTextBase"/>
    <w:rsid w:val="000A7BCF"/>
  </w:style>
  <w:style w:type="paragraph" w:customStyle="1" w:styleId="TableTextBase">
    <w:name w:val="Table Text Base"/>
    <w:rsid w:val="000A7BCF"/>
    <w:pPr>
      <w:spacing w:before="40" w:after="40"/>
    </w:pPr>
    <w:rPr>
      <w:rFonts w:ascii="Arial" w:hAnsi="Arial"/>
      <w:color w:val="000000"/>
      <w:sz w:val="16"/>
    </w:rPr>
  </w:style>
  <w:style w:type="paragraph" w:customStyle="1" w:styleId="TableColumnHeadingCentred">
    <w:name w:val="Table Column Heading Centred"/>
    <w:basedOn w:val="TableTextBase"/>
    <w:rsid w:val="000A7BCF"/>
    <w:pPr>
      <w:jc w:val="center"/>
    </w:pPr>
    <w:rPr>
      <w:b/>
    </w:rPr>
  </w:style>
  <w:style w:type="paragraph" w:customStyle="1" w:styleId="TableColumnHeadingLeft">
    <w:name w:val="Table Column Heading Left"/>
    <w:basedOn w:val="TableTextBase"/>
    <w:rsid w:val="000A7BCF"/>
    <w:rPr>
      <w:b/>
    </w:rPr>
  </w:style>
  <w:style w:type="paragraph" w:customStyle="1" w:styleId="TableColumnHeadingRight">
    <w:name w:val="Table Column Heading Right"/>
    <w:basedOn w:val="TableTextBase"/>
    <w:rsid w:val="000A7BCF"/>
    <w:pPr>
      <w:jc w:val="right"/>
    </w:pPr>
    <w:rPr>
      <w:b/>
    </w:rPr>
  </w:style>
  <w:style w:type="paragraph" w:customStyle="1" w:styleId="TableGraphic">
    <w:name w:val="Table Graphic"/>
    <w:basedOn w:val="HeadingBase"/>
    <w:next w:val="Normal"/>
    <w:rsid w:val="000A7BCF"/>
  </w:style>
  <w:style w:type="paragraph" w:customStyle="1" w:styleId="TableMainHeading">
    <w:name w:val="Table Main Heading"/>
    <w:basedOn w:val="HeadingBase"/>
    <w:next w:val="TableGraphic"/>
    <w:rsid w:val="000A7BCF"/>
    <w:pPr>
      <w:spacing w:after="20"/>
    </w:pPr>
    <w:rPr>
      <w:b/>
      <w:sz w:val="22"/>
    </w:rPr>
  </w:style>
  <w:style w:type="paragraph" w:customStyle="1" w:styleId="TableMainHeadingContd">
    <w:name w:val="Table Main Heading Contd"/>
    <w:basedOn w:val="HeadingBase"/>
    <w:next w:val="TableGraphic"/>
    <w:rsid w:val="000A7BCF"/>
    <w:pPr>
      <w:spacing w:after="20"/>
    </w:pPr>
    <w:rPr>
      <w:b/>
      <w:sz w:val="22"/>
    </w:rPr>
  </w:style>
  <w:style w:type="paragraph" w:customStyle="1" w:styleId="TableSecondHeading">
    <w:name w:val="Table Second Heading"/>
    <w:basedOn w:val="HeadingBase"/>
    <w:next w:val="TableGraphic"/>
    <w:rsid w:val="000A7BCF"/>
    <w:pPr>
      <w:spacing w:after="20"/>
    </w:pPr>
  </w:style>
  <w:style w:type="paragraph" w:customStyle="1" w:styleId="TableTextCentered">
    <w:name w:val="Table Text Centered"/>
    <w:basedOn w:val="TableTextBase"/>
    <w:rsid w:val="000A7BCF"/>
    <w:pPr>
      <w:jc w:val="center"/>
    </w:pPr>
  </w:style>
  <w:style w:type="paragraph" w:customStyle="1" w:styleId="TableTextIndented">
    <w:name w:val="Table Text Indented"/>
    <w:basedOn w:val="TableTextBase"/>
    <w:rsid w:val="000A7BCF"/>
    <w:pPr>
      <w:ind w:left="284"/>
    </w:pPr>
  </w:style>
  <w:style w:type="paragraph" w:customStyle="1" w:styleId="TableTextLeft">
    <w:name w:val="Table Text Left"/>
    <w:basedOn w:val="TableTextBase"/>
    <w:rsid w:val="000A7BCF"/>
  </w:style>
  <w:style w:type="paragraph" w:customStyle="1" w:styleId="TableTextRight">
    <w:name w:val="Table Text Right"/>
    <w:basedOn w:val="TableTextBase"/>
    <w:rsid w:val="000A7BCF"/>
    <w:pPr>
      <w:jc w:val="right"/>
    </w:pPr>
  </w:style>
  <w:style w:type="paragraph" w:styleId="TOC1">
    <w:name w:val="toc 1"/>
    <w:basedOn w:val="HeadingBase"/>
    <w:next w:val="Normal"/>
    <w:uiPriority w:val="39"/>
    <w:rsid w:val="0056559F"/>
    <w:pPr>
      <w:tabs>
        <w:tab w:val="right" w:leader="dot" w:pos="9072"/>
      </w:tabs>
      <w:spacing w:before="180" w:after="60"/>
      <w:ind w:right="851"/>
    </w:pPr>
    <w:rPr>
      <w:b/>
      <w:sz w:val="24"/>
      <w:szCs w:val="22"/>
    </w:rPr>
  </w:style>
  <w:style w:type="paragraph" w:styleId="TOC2">
    <w:name w:val="toc 2"/>
    <w:basedOn w:val="HeadingBase"/>
    <w:next w:val="Normal"/>
    <w:uiPriority w:val="39"/>
    <w:rsid w:val="0056559F"/>
    <w:pPr>
      <w:tabs>
        <w:tab w:val="right" w:leader="dot" w:pos="9072"/>
      </w:tabs>
      <w:spacing w:before="60"/>
      <w:ind w:right="851"/>
    </w:pPr>
    <w:rPr>
      <w:sz w:val="22"/>
    </w:rPr>
  </w:style>
  <w:style w:type="paragraph" w:styleId="TOC3">
    <w:name w:val="toc 3"/>
    <w:basedOn w:val="Normal"/>
    <w:next w:val="Normal"/>
    <w:uiPriority w:val="39"/>
    <w:rsid w:val="00813AC3"/>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0A7BCF"/>
    <w:pPr>
      <w:tabs>
        <w:tab w:val="right" w:leader="dot" w:pos="9072"/>
      </w:tabs>
      <w:spacing w:after="0" w:line="240" w:lineRule="auto"/>
      <w:ind w:left="284" w:right="851"/>
    </w:pPr>
  </w:style>
  <w:style w:type="character" w:customStyle="1" w:styleId="italic">
    <w:name w:val="italic"/>
    <w:basedOn w:val="DefaultParagraphFont"/>
    <w:rsid w:val="000A7BCF"/>
    <w:rPr>
      <w:i/>
    </w:rPr>
  </w:style>
  <w:style w:type="paragraph" w:customStyle="1" w:styleId="OneLevelNumberedParagraph">
    <w:name w:val="One Level Numbered Paragraph"/>
    <w:basedOn w:val="Normal"/>
    <w:rsid w:val="000A7BCF"/>
    <w:pPr>
      <w:numPr>
        <w:numId w:val="5"/>
      </w:numPr>
    </w:pPr>
  </w:style>
  <w:style w:type="paragraph" w:customStyle="1" w:styleId="BoxText">
    <w:name w:val="Box Text"/>
    <w:basedOn w:val="BoxTextBase"/>
    <w:rsid w:val="000A7BCF"/>
  </w:style>
  <w:style w:type="paragraph" w:customStyle="1" w:styleId="BoxBullet">
    <w:name w:val="Box Bullet"/>
    <w:basedOn w:val="BoxTextBase"/>
    <w:rsid w:val="000A7BCF"/>
    <w:pPr>
      <w:numPr>
        <w:numId w:val="4"/>
      </w:numPr>
    </w:pPr>
  </w:style>
  <w:style w:type="paragraph" w:customStyle="1" w:styleId="BoxDash">
    <w:name w:val="Box Dash"/>
    <w:basedOn w:val="BoxTextBase"/>
    <w:rsid w:val="000A7BCF"/>
    <w:pPr>
      <w:numPr>
        <w:ilvl w:val="1"/>
        <w:numId w:val="4"/>
      </w:numPr>
    </w:pPr>
  </w:style>
  <w:style w:type="paragraph" w:customStyle="1" w:styleId="BoxDoubleDot">
    <w:name w:val="Box Double Dot"/>
    <w:basedOn w:val="BoxTextBase"/>
    <w:rsid w:val="000A7BCF"/>
    <w:pPr>
      <w:numPr>
        <w:ilvl w:val="2"/>
        <w:numId w:val="4"/>
      </w:numPr>
    </w:pPr>
  </w:style>
  <w:style w:type="paragraph" w:customStyle="1" w:styleId="RecommendationBullet">
    <w:name w:val="Recommendation Bullet"/>
    <w:basedOn w:val="RecommendationTextBase"/>
    <w:rsid w:val="000A7BCF"/>
    <w:pPr>
      <w:numPr>
        <w:numId w:val="6"/>
      </w:numPr>
    </w:pPr>
  </w:style>
  <w:style w:type="paragraph" w:customStyle="1" w:styleId="RecommendationDash">
    <w:name w:val="Recommendation Dash"/>
    <w:basedOn w:val="RecommendationTextBase"/>
    <w:rsid w:val="000A7BCF"/>
    <w:pPr>
      <w:numPr>
        <w:ilvl w:val="1"/>
        <w:numId w:val="6"/>
      </w:numPr>
    </w:pPr>
  </w:style>
  <w:style w:type="paragraph" w:customStyle="1" w:styleId="RecommendationDoubleDot">
    <w:name w:val="Recommendation Double Dot"/>
    <w:basedOn w:val="RecommendationTextBase"/>
    <w:rsid w:val="000A7BCF"/>
    <w:pPr>
      <w:numPr>
        <w:ilvl w:val="2"/>
        <w:numId w:val="6"/>
      </w:numPr>
    </w:pPr>
  </w:style>
  <w:style w:type="character" w:styleId="FollowedHyperlink">
    <w:name w:val="FollowedHyperlink"/>
    <w:basedOn w:val="DefaultParagraphFont"/>
    <w:rsid w:val="000A7BCF"/>
    <w:rPr>
      <w:color w:val="auto"/>
      <w:u w:val="none"/>
    </w:rPr>
  </w:style>
  <w:style w:type="paragraph" w:customStyle="1" w:styleId="Disclaimer">
    <w:name w:val="Disclaimer"/>
    <w:basedOn w:val="HeadingBase"/>
    <w:rsid w:val="000A7BCF"/>
    <w:pPr>
      <w:spacing w:after="240"/>
    </w:pPr>
    <w:rPr>
      <w:b/>
      <w:sz w:val="22"/>
    </w:rPr>
  </w:style>
  <w:style w:type="paragraph" w:customStyle="1" w:styleId="SecurityClassificationHeader">
    <w:name w:val="Security Classification Header"/>
    <w:rsid w:val="000A7BCF"/>
    <w:pPr>
      <w:spacing w:after="240"/>
      <w:jc w:val="center"/>
    </w:pPr>
    <w:rPr>
      <w:rFonts w:ascii="Book Antiqua" w:hAnsi="Book Antiqua"/>
      <w:b/>
      <w:caps/>
      <w:color w:val="000080"/>
      <w:sz w:val="22"/>
    </w:rPr>
  </w:style>
  <w:style w:type="paragraph" w:customStyle="1" w:styleId="SecurityClassificationFooter">
    <w:name w:val="Security Classification Footer"/>
    <w:rsid w:val="000A7BCF"/>
    <w:pPr>
      <w:spacing w:before="240"/>
      <w:jc w:val="center"/>
    </w:pPr>
    <w:rPr>
      <w:rFonts w:ascii="Book Antiqua" w:hAnsi="Book Antiqua"/>
      <w:b/>
      <w:caps/>
      <w:color w:val="000080"/>
      <w:sz w:val="22"/>
    </w:rPr>
  </w:style>
  <w:style w:type="character" w:customStyle="1" w:styleId="EmailStyle84">
    <w:name w:val="EmailStyle84"/>
    <w:basedOn w:val="DefaultParagraphFont"/>
    <w:semiHidden/>
    <w:rsid w:val="000A7BCF"/>
    <w:rPr>
      <w:rFonts w:ascii="Arial" w:hAnsi="Arial" w:cs="Arial"/>
      <w:color w:val="auto"/>
      <w:sz w:val="20"/>
      <w:szCs w:val="20"/>
    </w:rPr>
  </w:style>
  <w:style w:type="character" w:customStyle="1" w:styleId="Italics">
    <w:name w:val="Italics"/>
    <w:basedOn w:val="DefaultParagraphFont"/>
    <w:rsid w:val="000A7BCF"/>
    <w:rPr>
      <w:i/>
    </w:rPr>
  </w:style>
  <w:style w:type="paragraph" w:customStyle="1" w:styleId="NotesHeading">
    <w:name w:val="Notes Heading"/>
    <w:basedOn w:val="ContentsHeading"/>
    <w:rsid w:val="000A7BCF"/>
    <w:pPr>
      <w:spacing w:before="240"/>
    </w:pPr>
  </w:style>
  <w:style w:type="paragraph" w:customStyle="1" w:styleId="BoxHeadingnonumber">
    <w:name w:val="Box Heading no number"/>
    <w:basedOn w:val="BoxHeading"/>
    <w:next w:val="BoxText"/>
    <w:qFormat/>
    <w:rsid w:val="00EA2B5E"/>
    <w:pPr>
      <w:numPr>
        <w:numId w:val="0"/>
      </w:numPr>
    </w:pPr>
  </w:style>
  <w:style w:type="paragraph" w:styleId="BalloonText">
    <w:name w:val="Balloon Text"/>
    <w:basedOn w:val="Normal"/>
    <w:link w:val="BalloonTextChar"/>
    <w:uiPriority w:val="99"/>
    <w:semiHidden/>
    <w:unhideWhenUsed/>
    <w:rsid w:val="00C76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10"/>
    <w:rPr>
      <w:rFonts w:ascii="Tahoma" w:hAnsi="Tahoma" w:cs="Tahoma"/>
      <w:color w:val="000000"/>
      <w:sz w:val="16"/>
      <w:szCs w:val="16"/>
    </w:rPr>
  </w:style>
  <w:style w:type="numbering" w:customStyle="1" w:styleId="Outlinenumbering">
    <w:name w:val="Outline numbering"/>
    <w:rsid w:val="001E43D3"/>
    <w:pPr>
      <w:numPr>
        <w:numId w:val="8"/>
      </w:numPr>
    </w:pPr>
  </w:style>
  <w:style w:type="numbering" w:customStyle="1" w:styleId="Optionboxheading">
    <w:name w:val="Option box heading"/>
    <w:uiPriority w:val="99"/>
    <w:rsid w:val="00CA601E"/>
    <w:pPr>
      <w:numPr>
        <w:numId w:val="10"/>
      </w:numPr>
    </w:pPr>
  </w:style>
  <w:style w:type="character" w:customStyle="1" w:styleId="A5">
    <w:name w:val="A5"/>
    <w:uiPriority w:val="99"/>
    <w:rsid w:val="0011462E"/>
    <w:rPr>
      <w:rFonts w:cs="Swiss 721 BT"/>
      <w:color w:val="000000"/>
      <w:sz w:val="20"/>
      <w:szCs w:val="20"/>
    </w:rPr>
  </w:style>
  <w:style w:type="paragraph" w:customStyle="1" w:styleId="Heading2NotNumbered">
    <w:name w:val="Heading 2 Not Numbered"/>
    <w:basedOn w:val="Heading2"/>
    <w:next w:val="Normal"/>
    <w:rsid w:val="005750C6"/>
  </w:style>
  <w:style w:type="character" w:customStyle="1" w:styleId="SingleParagraphChar">
    <w:name w:val="Single Paragraph Char"/>
    <w:basedOn w:val="DefaultParagraphFont"/>
    <w:link w:val="SingleParagraph"/>
    <w:rsid w:val="00F30068"/>
    <w:rPr>
      <w:rFonts w:ascii="Book Antiqua" w:hAnsi="Book Antiqua"/>
      <w:color w:val="000000"/>
      <w:sz w:val="22"/>
    </w:rPr>
  </w:style>
  <w:style w:type="character" w:customStyle="1" w:styleId="DoubleDotChar">
    <w:name w:val="Double Dot Char"/>
    <w:basedOn w:val="DefaultParagraphFont"/>
    <w:link w:val="DoubleDot"/>
    <w:rsid w:val="009D38E7"/>
    <w:rPr>
      <w:rFonts w:ascii="Book Antiqua" w:hAnsi="Book Antiqua"/>
      <w:color w:val="000000"/>
      <w:sz w:val="22"/>
    </w:rPr>
  </w:style>
  <w:style w:type="character" w:customStyle="1" w:styleId="BulletChar">
    <w:name w:val="Bullet Char"/>
    <w:aliases w:val="b Char,b + line Char Char,b Char Char"/>
    <w:basedOn w:val="DefaultParagraphFont"/>
    <w:link w:val="Bullet"/>
    <w:rsid w:val="00EA49F2"/>
    <w:rPr>
      <w:rFonts w:ascii="Book Antiqua" w:hAnsi="Book Antiqua"/>
      <w:color w:val="000000"/>
      <w:sz w:val="22"/>
    </w:rPr>
  </w:style>
  <w:style w:type="paragraph" w:styleId="ListParagraph">
    <w:name w:val="List Paragraph"/>
    <w:basedOn w:val="Normal"/>
    <w:uiPriority w:val="34"/>
    <w:qFormat/>
    <w:rsid w:val="009068F0"/>
    <w:pPr>
      <w:ind w:left="720"/>
      <w:contextualSpacing/>
    </w:pPr>
  </w:style>
  <w:style w:type="character" w:styleId="FootnoteReference">
    <w:name w:val="footnote reference"/>
    <w:basedOn w:val="DefaultParagraphFont"/>
    <w:uiPriority w:val="99"/>
    <w:semiHidden/>
    <w:unhideWhenUsed/>
    <w:rsid w:val="00B30E86"/>
    <w:rPr>
      <w:vertAlign w:val="superscript"/>
    </w:rPr>
  </w:style>
  <w:style w:type="character" w:customStyle="1" w:styleId="DashChar">
    <w:name w:val="Dash Char"/>
    <w:basedOn w:val="DefaultParagraphFont"/>
    <w:link w:val="Dash"/>
    <w:rsid w:val="00B26608"/>
    <w:rPr>
      <w:rFonts w:ascii="Book Antiqua" w:hAnsi="Book Antiqua"/>
      <w:color w:val="000000"/>
      <w:sz w:val="22"/>
    </w:rPr>
  </w:style>
  <w:style w:type="character" w:styleId="CommentReference">
    <w:name w:val="annotation reference"/>
    <w:basedOn w:val="DefaultParagraphFont"/>
    <w:uiPriority w:val="99"/>
    <w:semiHidden/>
    <w:unhideWhenUsed/>
    <w:rsid w:val="008B4699"/>
    <w:rPr>
      <w:sz w:val="16"/>
      <w:szCs w:val="16"/>
    </w:rPr>
  </w:style>
  <w:style w:type="paragraph" w:styleId="CommentText">
    <w:name w:val="annotation text"/>
    <w:basedOn w:val="Normal"/>
    <w:link w:val="CommentTextChar"/>
    <w:uiPriority w:val="99"/>
    <w:semiHidden/>
    <w:unhideWhenUsed/>
    <w:rsid w:val="008B4699"/>
    <w:pPr>
      <w:spacing w:line="240" w:lineRule="auto"/>
    </w:pPr>
    <w:rPr>
      <w:sz w:val="20"/>
    </w:rPr>
  </w:style>
  <w:style w:type="character" w:customStyle="1" w:styleId="CommentTextChar">
    <w:name w:val="Comment Text Char"/>
    <w:basedOn w:val="DefaultParagraphFont"/>
    <w:link w:val="CommentText"/>
    <w:uiPriority w:val="99"/>
    <w:semiHidden/>
    <w:rsid w:val="008B4699"/>
    <w:rPr>
      <w:rFonts w:ascii="Book Antiqua" w:hAnsi="Book Antiqua"/>
      <w:color w:val="000000"/>
    </w:rPr>
  </w:style>
  <w:style w:type="paragraph" w:styleId="CommentSubject">
    <w:name w:val="annotation subject"/>
    <w:basedOn w:val="CommentText"/>
    <w:next w:val="CommentText"/>
    <w:link w:val="CommentSubjectChar"/>
    <w:uiPriority w:val="99"/>
    <w:semiHidden/>
    <w:unhideWhenUsed/>
    <w:rsid w:val="008B4699"/>
    <w:rPr>
      <w:b/>
      <w:bCs/>
    </w:rPr>
  </w:style>
  <w:style w:type="character" w:customStyle="1" w:styleId="CommentSubjectChar">
    <w:name w:val="Comment Subject Char"/>
    <w:basedOn w:val="CommentTextChar"/>
    <w:link w:val="CommentSubject"/>
    <w:uiPriority w:val="99"/>
    <w:semiHidden/>
    <w:rsid w:val="008B4699"/>
    <w:rPr>
      <w:rFonts w:ascii="Book Antiqua" w:hAnsi="Book Antiqua"/>
      <w:b/>
      <w:bCs/>
      <w:color w:val="000000"/>
    </w:rPr>
  </w:style>
  <w:style w:type="table" w:customStyle="1" w:styleId="TableGrid1">
    <w:name w:val="Table Grid1"/>
    <w:basedOn w:val="TableNormal"/>
    <w:next w:val="TableGrid"/>
    <w:uiPriority w:val="59"/>
    <w:rsid w:val="007B45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lumnHeading">
    <w:name w:val="Table Column Heading"/>
    <w:basedOn w:val="Heading3"/>
    <w:rsid w:val="007B4589"/>
    <w:pPr>
      <w:keepNext w:val="0"/>
      <w:spacing w:before="80" w:after="80"/>
      <w:outlineLvl w:val="9"/>
    </w:pPr>
    <w:rPr>
      <w:rFonts w:ascii="Arial Narrow" w:hAnsi="Arial Narrow" w:cs="Times New Roman"/>
      <w:bCs w:val="0"/>
      <w:color w:val="003E74"/>
      <w:sz w:val="22"/>
      <w:szCs w:val="22"/>
    </w:rPr>
  </w:style>
  <w:style w:type="table" w:customStyle="1" w:styleId="TableGrid2">
    <w:name w:val="Table Grid2"/>
    <w:basedOn w:val="TableNormal"/>
    <w:next w:val="TableGrid"/>
    <w:uiPriority w:val="59"/>
    <w:rsid w:val="007B45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Bullet">
    <w:name w:val="Table Text Bullet"/>
    <w:basedOn w:val="TableTextLeft"/>
    <w:rsid w:val="007B4589"/>
    <w:pPr>
      <w:tabs>
        <w:tab w:val="left" w:pos="397"/>
      </w:tabs>
      <w:spacing w:before="60" w:after="60"/>
    </w:pPr>
    <w:rPr>
      <w:rFonts w:ascii="Arial Narrow" w:hAnsi="Arial Narrow"/>
      <w:color w:val="000000" w:themeColor="text1"/>
      <w:sz w:val="22"/>
      <w:szCs w:val="24"/>
    </w:rPr>
  </w:style>
  <w:style w:type="table" w:customStyle="1" w:styleId="TableGrid3">
    <w:name w:val="Table Grid3"/>
    <w:basedOn w:val="TableNormal"/>
    <w:next w:val="TableGrid"/>
    <w:uiPriority w:val="59"/>
    <w:rsid w:val="007B45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FA3161"/>
    <w:rPr>
      <w:rFonts w:ascii="Century Gothic" w:hAnsi="Century Gothic"/>
      <w:b/>
      <w:bCs/>
      <w:iCs/>
      <w:color w:val="1F497D" w:themeColor="text2"/>
    </w:rPr>
  </w:style>
  <w:style w:type="character" w:customStyle="1" w:styleId="Heading4Char">
    <w:name w:val="Heading 4 Char"/>
    <w:basedOn w:val="DefaultParagraphFont"/>
    <w:link w:val="Heading4"/>
    <w:rsid w:val="00D5191F"/>
    <w:rPr>
      <w:rFonts w:ascii="Century Gothic" w:hAnsi="Century Gothic"/>
      <w:b/>
      <w:bCs/>
      <w:color w:val="1F497D" w:themeColor="text2"/>
      <w:sz w:val="22"/>
      <w:szCs w:val="22"/>
    </w:rPr>
  </w:style>
  <w:style w:type="character" w:customStyle="1" w:styleId="Heading7Char">
    <w:name w:val="Heading 7 Char"/>
    <w:basedOn w:val="DefaultParagraphFont"/>
    <w:link w:val="Heading7"/>
    <w:rsid w:val="001C0CC9"/>
    <w:rPr>
      <w:rFonts w:ascii="Century Gothic" w:hAnsi="Century Gothic"/>
      <w:color w:val="1F497D" w:themeColor="text2"/>
      <w:szCs w:val="24"/>
    </w:rPr>
  </w:style>
  <w:style w:type="numbering" w:customStyle="1" w:styleId="Outlinenumbering1">
    <w:name w:val="Outline numbering1"/>
    <w:rsid w:val="00404A14"/>
  </w:style>
  <w:style w:type="paragraph" w:customStyle="1" w:styleId="TableText">
    <w:name w:val="TableText"/>
    <w:basedOn w:val="Normal"/>
    <w:qFormat/>
    <w:rsid w:val="000F352B"/>
    <w:pPr>
      <w:spacing w:before="120" w:after="120" w:line="240" w:lineRule="auto"/>
      <w:jc w:val="left"/>
    </w:pPr>
    <w:rPr>
      <w:rFonts w:ascii="Arial" w:eastAsiaTheme="majorEastAsia" w:hAnsi="Arial" w:cs="Arial"/>
      <w:bCs/>
      <w:color w:val="auto"/>
      <w:sz w:val="20"/>
      <w:lang w:eastAsia="en-US"/>
    </w:rPr>
  </w:style>
  <w:style w:type="table" w:styleId="MediumShading1-Accent1">
    <w:name w:val="Medium Shading 1 Accent 1"/>
    <w:basedOn w:val="TableNormal"/>
    <w:uiPriority w:val="63"/>
    <w:rsid w:val="000F352B"/>
    <w:rPr>
      <w:rFonts w:asciiTheme="minorHAnsi" w:eastAsiaTheme="minorHAnsi" w:hAnsiTheme="minorHAnsi" w:cstheme="minorBidi"/>
      <w:sz w:val="22"/>
      <w:szCs w:val="22"/>
      <w:lang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D978FE"/>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45D"/>
    <w:pPr>
      <w:spacing w:after="240" w:line="260" w:lineRule="exact"/>
      <w:jc w:val="both"/>
    </w:pPr>
    <w:rPr>
      <w:rFonts w:ascii="Book Antiqua" w:hAnsi="Book Antiqua"/>
      <w:color w:val="000000"/>
      <w:sz w:val="22"/>
    </w:rPr>
  </w:style>
  <w:style w:type="paragraph" w:styleId="Heading1">
    <w:name w:val="heading 1"/>
    <w:basedOn w:val="HeadingBase"/>
    <w:next w:val="OutlineNumbered1"/>
    <w:qFormat/>
    <w:rsid w:val="000A7BCF"/>
    <w:pPr>
      <w:spacing w:before="360" w:after="360"/>
      <w:outlineLvl w:val="0"/>
    </w:pPr>
    <w:rPr>
      <w:rFonts w:cs="Arial"/>
      <w:b/>
      <w:bCs/>
      <w:smallCaps/>
      <w:kern w:val="32"/>
      <w:sz w:val="36"/>
      <w:szCs w:val="36"/>
    </w:rPr>
  </w:style>
  <w:style w:type="paragraph" w:styleId="Heading2">
    <w:name w:val="heading 2"/>
    <w:basedOn w:val="HeadingBase"/>
    <w:next w:val="OutlineNumbered1"/>
    <w:qFormat/>
    <w:rsid w:val="005750C6"/>
    <w:pPr>
      <w:spacing w:before="300" w:after="180"/>
      <w:outlineLvl w:val="1"/>
    </w:pPr>
    <w:rPr>
      <w:rFonts w:cs="Arial"/>
      <w:b/>
      <w:bCs/>
      <w:iCs/>
      <w:smallCaps/>
      <w:sz w:val="32"/>
      <w:szCs w:val="28"/>
    </w:rPr>
  </w:style>
  <w:style w:type="paragraph" w:styleId="Heading3">
    <w:name w:val="heading 3"/>
    <w:basedOn w:val="HeadingBase"/>
    <w:next w:val="OutlineNumbered1"/>
    <w:qFormat/>
    <w:rsid w:val="000A7BCF"/>
    <w:pPr>
      <w:spacing w:before="120" w:after="240"/>
      <w:outlineLvl w:val="2"/>
    </w:pPr>
    <w:rPr>
      <w:rFonts w:cs="Arial"/>
      <w:b/>
      <w:bCs/>
      <w:sz w:val="26"/>
      <w:szCs w:val="26"/>
    </w:rPr>
  </w:style>
  <w:style w:type="paragraph" w:styleId="Heading4">
    <w:name w:val="heading 4"/>
    <w:basedOn w:val="HeadingBase"/>
    <w:next w:val="OutlineNumbered1"/>
    <w:link w:val="Heading4Char"/>
    <w:qFormat/>
    <w:rsid w:val="000A7BCF"/>
    <w:pPr>
      <w:spacing w:after="240"/>
      <w:outlineLvl w:val="3"/>
    </w:pPr>
    <w:rPr>
      <w:b/>
      <w:bCs/>
      <w:sz w:val="22"/>
      <w:szCs w:val="22"/>
    </w:rPr>
  </w:style>
  <w:style w:type="paragraph" w:styleId="Heading5">
    <w:name w:val="heading 5"/>
    <w:basedOn w:val="HeadingBase"/>
    <w:next w:val="OutlineNumbered1"/>
    <w:link w:val="Heading5Char"/>
    <w:qFormat/>
    <w:rsid w:val="000A7BCF"/>
    <w:pPr>
      <w:spacing w:after="120"/>
      <w:outlineLvl w:val="4"/>
    </w:pPr>
    <w:rPr>
      <w:b/>
      <w:bCs/>
      <w:iCs/>
    </w:rPr>
  </w:style>
  <w:style w:type="paragraph" w:styleId="Heading6">
    <w:name w:val="heading 6"/>
    <w:basedOn w:val="HeadingBase"/>
    <w:next w:val="OutlineNumbered1"/>
    <w:qFormat/>
    <w:rsid w:val="000A7BCF"/>
    <w:pPr>
      <w:spacing w:after="120"/>
      <w:outlineLvl w:val="5"/>
    </w:pPr>
    <w:rPr>
      <w:bCs/>
      <w:szCs w:val="22"/>
    </w:rPr>
  </w:style>
  <w:style w:type="paragraph" w:styleId="Heading7">
    <w:name w:val="heading 7"/>
    <w:basedOn w:val="HeadingBase"/>
    <w:next w:val="Normal"/>
    <w:link w:val="Heading7Char"/>
    <w:qFormat/>
    <w:rsid w:val="000A7BCF"/>
    <w:pPr>
      <w:spacing w:after="120"/>
      <w:outlineLvl w:val="6"/>
    </w:pPr>
    <w:rPr>
      <w:szCs w:val="24"/>
    </w:rPr>
  </w:style>
  <w:style w:type="paragraph" w:styleId="Heading8">
    <w:name w:val="heading 8"/>
    <w:basedOn w:val="HeadingBase"/>
    <w:next w:val="Normal"/>
    <w:qFormat/>
    <w:rsid w:val="000A7BCF"/>
    <w:pPr>
      <w:spacing w:after="120"/>
      <w:outlineLvl w:val="7"/>
    </w:pPr>
    <w:rPr>
      <w:iCs/>
      <w:szCs w:val="24"/>
    </w:rPr>
  </w:style>
  <w:style w:type="paragraph" w:styleId="Heading9">
    <w:name w:val="heading 9"/>
    <w:basedOn w:val="HeadingBase"/>
    <w:next w:val="Normal"/>
    <w:qFormat/>
    <w:rsid w:val="000A7BCF"/>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0A7BCF"/>
    <w:pPr>
      <w:spacing w:after="0"/>
    </w:pPr>
  </w:style>
  <w:style w:type="character" w:styleId="Hyperlink">
    <w:name w:val="Hyperlink"/>
    <w:basedOn w:val="DefaultParagraphFont"/>
    <w:uiPriority w:val="99"/>
    <w:rsid w:val="000A7BCF"/>
    <w:rPr>
      <w:color w:val="auto"/>
      <w:u w:val="none"/>
    </w:rPr>
  </w:style>
  <w:style w:type="character" w:customStyle="1" w:styleId="BoldandItalic">
    <w:name w:val="Bold and Italic"/>
    <w:basedOn w:val="DefaultParagraphFont"/>
    <w:rsid w:val="000A7BCF"/>
    <w:rPr>
      <w:rFonts w:ascii="Arial" w:hAnsi="Arial"/>
      <w:b/>
      <w:i/>
    </w:rPr>
  </w:style>
  <w:style w:type="table" w:styleId="TableGrid">
    <w:name w:val="Table Grid"/>
    <w:basedOn w:val="TableNormal"/>
    <w:uiPriority w:val="59"/>
    <w:rsid w:val="000A7BCF"/>
    <w:pPr>
      <w:spacing w:after="240" w:line="260" w:lineRule="exact"/>
      <w:jc w:val="both"/>
    </w:pPr>
    <w:tblPr>
      <w:tblInd w:w="0" w:type="dxa"/>
      <w:tblCellMar>
        <w:top w:w="0" w:type="dxa"/>
        <w:left w:w="108" w:type="dxa"/>
        <w:bottom w:w="0" w:type="dxa"/>
        <w:right w:w="108" w:type="dxa"/>
      </w:tblCellMar>
    </w:tblPr>
    <w:tcPr>
      <w:shd w:val="clear" w:color="auto" w:fill="E6E6E6"/>
    </w:tcPr>
  </w:style>
  <w:style w:type="character" w:styleId="PageNumber">
    <w:name w:val="page number"/>
    <w:basedOn w:val="DefaultParagraphFont"/>
    <w:rsid w:val="0056559F"/>
    <w:rPr>
      <w:rFonts w:ascii="Book Antiqua" w:hAnsi="Book Antiqua"/>
      <w:sz w:val="18"/>
    </w:rPr>
  </w:style>
  <w:style w:type="paragraph" w:styleId="FootnoteText">
    <w:name w:val="footnote text"/>
    <w:basedOn w:val="Normal"/>
    <w:rsid w:val="005039EE"/>
    <w:pPr>
      <w:tabs>
        <w:tab w:val="left" w:pos="284"/>
      </w:tabs>
      <w:ind w:left="284" w:hanging="284"/>
    </w:pPr>
    <w:rPr>
      <w:sz w:val="18"/>
    </w:rPr>
  </w:style>
  <w:style w:type="paragraph" w:customStyle="1" w:styleId="Bullet">
    <w:name w:val="Bullet"/>
    <w:aliases w:val="b,b1,b + line,Body,level 1,Bullet + line"/>
    <w:basedOn w:val="Normal"/>
    <w:link w:val="BulletChar"/>
    <w:qFormat/>
    <w:rsid w:val="000A7BCF"/>
    <w:pPr>
      <w:numPr>
        <w:numId w:val="1"/>
      </w:numPr>
    </w:pPr>
  </w:style>
  <w:style w:type="paragraph" w:customStyle="1" w:styleId="Dash">
    <w:name w:val="Dash"/>
    <w:basedOn w:val="Normal"/>
    <w:link w:val="DashChar"/>
    <w:qFormat/>
    <w:rsid w:val="000A7BCF"/>
    <w:pPr>
      <w:numPr>
        <w:ilvl w:val="1"/>
        <w:numId w:val="1"/>
      </w:numPr>
    </w:pPr>
  </w:style>
  <w:style w:type="paragraph" w:customStyle="1" w:styleId="DoubleDot">
    <w:name w:val="Double Dot"/>
    <w:basedOn w:val="Normal"/>
    <w:link w:val="DoubleDotChar"/>
    <w:qFormat/>
    <w:rsid w:val="000A7BCF"/>
    <w:pPr>
      <w:numPr>
        <w:ilvl w:val="2"/>
        <w:numId w:val="1"/>
      </w:numPr>
    </w:pPr>
  </w:style>
  <w:style w:type="paragraph" w:customStyle="1" w:styleId="OutlineNumbered1">
    <w:name w:val="Outline Numbered 1"/>
    <w:basedOn w:val="Normal"/>
    <w:rsid w:val="001E43D3"/>
    <w:pPr>
      <w:numPr>
        <w:numId w:val="9"/>
      </w:numPr>
    </w:pPr>
  </w:style>
  <w:style w:type="paragraph" w:customStyle="1" w:styleId="OutlineNumbered2">
    <w:name w:val="Outline Numbered 2"/>
    <w:basedOn w:val="Normal"/>
    <w:rsid w:val="001E43D3"/>
    <w:pPr>
      <w:numPr>
        <w:ilvl w:val="1"/>
        <w:numId w:val="9"/>
      </w:numPr>
    </w:pPr>
  </w:style>
  <w:style w:type="paragraph" w:customStyle="1" w:styleId="OutlineNumbered3">
    <w:name w:val="Outline Numbered 3"/>
    <w:basedOn w:val="Normal"/>
    <w:rsid w:val="001E43D3"/>
    <w:pPr>
      <w:numPr>
        <w:ilvl w:val="2"/>
        <w:numId w:val="9"/>
      </w:numPr>
    </w:pPr>
  </w:style>
  <w:style w:type="paragraph" w:customStyle="1" w:styleId="AlphaParagraph">
    <w:name w:val="Alpha Paragraph"/>
    <w:basedOn w:val="Normal"/>
    <w:rsid w:val="000A7BCF"/>
    <w:pPr>
      <w:numPr>
        <w:numId w:val="2"/>
      </w:numPr>
      <w:tabs>
        <w:tab w:val="clear" w:pos="567"/>
        <w:tab w:val="num" w:pos="283"/>
      </w:tabs>
      <w:ind w:left="283" w:hanging="283"/>
    </w:pPr>
  </w:style>
  <w:style w:type="paragraph" w:customStyle="1" w:styleId="HeadingBase">
    <w:name w:val="Heading Base"/>
    <w:next w:val="Normal"/>
    <w:rsid w:val="0056559F"/>
    <w:pPr>
      <w:keepNext/>
    </w:pPr>
    <w:rPr>
      <w:rFonts w:ascii="Century Gothic" w:hAnsi="Century Gothic"/>
      <w:color w:val="1F497D" w:themeColor="text2"/>
    </w:rPr>
  </w:style>
  <w:style w:type="paragraph" w:customStyle="1" w:styleId="AppendixHeading">
    <w:name w:val="Appendix Heading"/>
    <w:basedOn w:val="HeadingBase"/>
    <w:next w:val="Normal"/>
    <w:rsid w:val="000A7BCF"/>
    <w:pPr>
      <w:spacing w:before="720" w:after="360"/>
    </w:pPr>
    <w:rPr>
      <w:rFonts w:ascii="Arial Bold" w:hAnsi="Arial Bold"/>
      <w:b/>
      <w:smallCaps/>
      <w:sz w:val="36"/>
      <w:szCs w:val="36"/>
    </w:rPr>
  </w:style>
  <w:style w:type="character" w:customStyle="1" w:styleId="Bold">
    <w:name w:val="Bold"/>
    <w:basedOn w:val="DefaultParagraphFont"/>
    <w:rsid w:val="000A7BCF"/>
    <w:rPr>
      <w:b/>
    </w:rPr>
  </w:style>
  <w:style w:type="paragraph" w:customStyle="1" w:styleId="BoxHeading">
    <w:name w:val="Box Heading"/>
    <w:basedOn w:val="HeadingBase"/>
    <w:next w:val="BoxText"/>
    <w:rsid w:val="00CA601E"/>
    <w:pPr>
      <w:numPr>
        <w:numId w:val="10"/>
      </w:numPr>
      <w:spacing w:before="120" w:after="120"/>
    </w:pPr>
    <w:rPr>
      <w:b/>
      <w:sz w:val="22"/>
    </w:rPr>
  </w:style>
  <w:style w:type="paragraph" w:customStyle="1" w:styleId="BoxTextBase">
    <w:name w:val="Box Text Base"/>
    <w:basedOn w:val="Normal"/>
    <w:rsid w:val="000A7BCF"/>
    <w:pPr>
      <w:spacing w:line="240" w:lineRule="auto"/>
    </w:pPr>
    <w:rPr>
      <w:color w:val="000080"/>
    </w:rPr>
  </w:style>
  <w:style w:type="paragraph" w:customStyle="1" w:styleId="ChartandTableFootnoteAlpha">
    <w:name w:val="Chart and Table Footnote Alpha"/>
    <w:rsid w:val="000A7BCF"/>
    <w:pPr>
      <w:numPr>
        <w:numId w:val="3"/>
      </w:numPr>
      <w:jc w:val="both"/>
    </w:pPr>
    <w:rPr>
      <w:rFonts w:ascii="Arial" w:hAnsi="Arial"/>
      <w:color w:val="000000"/>
      <w:sz w:val="16"/>
      <w:szCs w:val="16"/>
    </w:rPr>
  </w:style>
  <w:style w:type="paragraph" w:customStyle="1" w:styleId="ChartGraphic">
    <w:name w:val="Chart Graphic"/>
    <w:basedOn w:val="HeadingBase"/>
    <w:rsid w:val="000A7BCF"/>
    <w:pPr>
      <w:jc w:val="center"/>
    </w:pPr>
  </w:style>
  <w:style w:type="paragraph" w:customStyle="1" w:styleId="ChartMainHeading">
    <w:name w:val="Chart Main Heading"/>
    <w:basedOn w:val="HeadingBase"/>
    <w:next w:val="ChartGraphic"/>
    <w:rsid w:val="000A7BCF"/>
    <w:pPr>
      <w:spacing w:after="20"/>
      <w:jc w:val="center"/>
    </w:pPr>
    <w:rPr>
      <w:b/>
      <w:sz w:val="22"/>
    </w:rPr>
  </w:style>
  <w:style w:type="paragraph" w:customStyle="1" w:styleId="ChartorTableNote">
    <w:name w:val="Chart or Table Note"/>
    <w:next w:val="Normal"/>
    <w:rsid w:val="000A7BCF"/>
    <w:pPr>
      <w:jc w:val="both"/>
    </w:pPr>
    <w:rPr>
      <w:rFonts w:ascii="Arial" w:hAnsi="Arial"/>
      <w:color w:val="000000"/>
      <w:sz w:val="16"/>
    </w:rPr>
  </w:style>
  <w:style w:type="paragraph" w:customStyle="1" w:styleId="ChartSecondHeading">
    <w:name w:val="Chart Second Heading"/>
    <w:basedOn w:val="HeadingBase"/>
    <w:next w:val="ChartGraphic"/>
    <w:rsid w:val="000A7BCF"/>
    <w:pPr>
      <w:spacing w:after="20"/>
      <w:jc w:val="center"/>
    </w:pPr>
  </w:style>
  <w:style w:type="paragraph" w:customStyle="1" w:styleId="Classification">
    <w:name w:val="Classification"/>
    <w:basedOn w:val="HeadingBase"/>
    <w:next w:val="Footer"/>
    <w:rsid w:val="000A7BCF"/>
    <w:pPr>
      <w:spacing w:after="120"/>
      <w:jc w:val="center"/>
    </w:pPr>
    <w:rPr>
      <w:b/>
      <w:smallCaps/>
    </w:rPr>
  </w:style>
  <w:style w:type="paragraph" w:styleId="Footer">
    <w:name w:val="footer"/>
    <w:basedOn w:val="HeadingBase"/>
    <w:rsid w:val="000A7BCF"/>
    <w:rPr>
      <w:sz w:val="18"/>
    </w:rPr>
  </w:style>
  <w:style w:type="paragraph" w:customStyle="1" w:styleId="ContentsHeading">
    <w:name w:val="Contents Heading"/>
    <w:basedOn w:val="HeadingBase"/>
    <w:next w:val="Normal"/>
    <w:rsid w:val="0056559F"/>
    <w:pPr>
      <w:spacing w:after="360"/>
      <w:jc w:val="center"/>
    </w:pPr>
    <w:rPr>
      <w:smallCaps/>
      <w:sz w:val="36"/>
      <w:szCs w:val="36"/>
    </w:rPr>
  </w:style>
  <w:style w:type="paragraph" w:customStyle="1" w:styleId="CoverTitleMain">
    <w:name w:val="Cover Title Main"/>
    <w:basedOn w:val="HeadingBase"/>
    <w:next w:val="Normal"/>
    <w:rsid w:val="000A7BCF"/>
    <w:pPr>
      <w:spacing w:after="480"/>
      <w:jc w:val="center"/>
    </w:pPr>
    <w:rPr>
      <w:b/>
      <w:sz w:val="48"/>
    </w:rPr>
  </w:style>
  <w:style w:type="paragraph" w:customStyle="1" w:styleId="CoverTitleSub">
    <w:name w:val="Cover Title Sub"/>
    <w:basedOn w:val="HeadingBase"/>
    <w:rsid w:val="000A7BCF"/>
    <w:pPr>
      <w:spacing w:after="360"/>
      <w:jc w:val="center"/>
    </w:pPr>
    <w:rPr>
      <w:sz w:val="36"/>
    </w:rPr>
  </w:style>
  <w:style w:type="paragraph" w:customStyle="1" w:styleId="FooterCentered">
    <w:name w:val="Footer Centered"/>
    <w:basedOn w:val="Footer"/>
    <w:rsid w:val="000A7BCF"/>
    <w:pPr>
      <w:jc w:val="center"/>
    </w:pPr>
    <w:rPr>
      <w:rFonts w:ascii="Book Antiqua" w:hAnsi="Book Antiqua"/>
      <w:sz w:val="22"/>
    </w:rPr>
  </w:style>
  <w:style w:type="paragraph" w:customStyle="1" w:styleId="FooterEven">
    <w:name w:val="Footer Even"/>
    <w:basedOn w:val="Footer"/>
    <w:rsid w:val="000A7BCF"/>
  </w:style>
  <w:style w:type="paragraph" w:customStyle="1" w:styleId="FooterOdd">
    <w:name w:val="Footer Odd"/>
    <w:basedOn w:val="Footer"/>
    <w:rsid w:val="000A7BCF"/>
    <w:pPr>
      <w:jc w:val="right"/>
    </w:pPr>
  </w:style>
  <w:style w:type="character" w:customStyle="1" w:styleId="FramedFooter">
    <w:name w:val="Framed Footer"/>
    <w:rsid w:val="000A7BCF"/>
    <w:rPr>
      <w:rFonts w:ascii="Arial" w:hAnsi="Arial"/>
      <w:sz w:val="18"/>
    </w:rPr>
  </w:style>
  <w:style w:type="character" w:customStyle="1" w:styleId="FramedHeader">
    <w:name w:val="Framed Header"/>
    <w:basedOn w:val="DefaultParagraphFont"/>
    <w:rsid w:val="000A7BCF"/>
    <w:rPr>
      <w:rFonts w:ascii="Arial" w:hAnsi="Arial"/>
      <w:dstrike w:val="0"/>
      <w:color w:val="auto"/>
      <w:sz w:val="18"/>
      <w:vertAlign w:val="baseline"/>
    </w:rPr>
  </w:style>
  <w:style w:type="paragraph" w:styleId="Header">
    <w:name w:val="header"/>
    <w:basedOn w:val="HeadingBase"/>
    <w:rsid w:val="000A7BCF"/>
    <w:rPr>
      <w:sz w:val="18"/>
    </w:rPr>
  </w:style>
  <w:style w:type="paragraph" w:customStyle="1" w:styleId="HeaderEven">
    <w:name w:val="Header Even"/>
    <w:basedOn w:val="Header"/>
    <w:rsid w:val="000A7BCF"/>
  </w:style>
  <w:style w:type="paragraph" w:customStyle="1" w:styleId="HeaderOdd">
    <w:name w:val="Header Odd"/>
    <w:basedOn w:val="Header"/>
    <w:rsid w:val="000A7BCF"/>
    <w:pPr>
      <w:jc w:val="right"/>
    </w:pPr>
  </w:style>
  <w:style w:type="paragraph" w:styleId="NormalIndent">
    <w:name w:val="Normal Indent"/>
    <w:basedOn w:val="Normal"/>
    <w:rsid w:val="000A7BCF"/>
    <w:pPr>
      <w:ind w:left="567"/>
    </w:pPr>
  </w:style>
  <w:style w:type="paragraph" w:customStyle="1" w:styleId="RecommendationHeading">
    <w:name w:val="Recommendation Heading"/>
    <w:basedOn w:val="HeadingBase"/>
    <w:next w:val="RecommendationText"/>
    <w:rsid w:val="000A7BCF"/>
    <w:pPr>
      <w:numPr>
        <w:numId w:val="7"/>
      </w:numPr>
      <w:spacing w:before="120" w:after="240"/>
    </w:pPr>
    <w:rPr>
      <w:b/>
      <w:sz w:val="22"/>
    </w:rPr>
  </w:style>
  <w:style w:type="paragraph" w:customStyle="1" w:styleId="RecommendationTextBase">
    <w:name w:val="Recommendation Text Base"/>
    <w:basedOn w:val="Normal"/>
    <w:rsid w:val="000A7BCF"/>
  </w:style>
  <w:style w:type="paragraph" w:customStyle="1" w:styleId="RecommendationText">
    <w:name w:val="Recommendation Text"/>
    <w:basedOn w:val="RecommendationTextBase"/>
    <w:rsid w:val="000A7BCF"/>
  </w:style>
  <w:style w:type="paragraph" w:customStyle="1" w:styleId="TableTextBase">
    <w:name w:val="Table Text Base"/>
    <w:rsid w:val="000A7BCF"/>
    <w:pPr>
      <w:spacing w:before="40" w:after="40"/>
    </w:pPr>
    <w:rPr>
      <w:rFonts w:ascii="Arial" w:hAnsi="Arial"/>
      <w:color w:val="000000"/>
      <w:sz w:val="16"/>
    </w:rPr>
  </w:style>
  <w:style w:type="paragraph" w:customStyle="1" w:styleId="TableColumnHeadingCentred">
    <w:name w:val="Table Column Heading Centred"/>
    <w:basedOn w:val="TableTextBase"/>
    <w:rsid w:val="000A7BCF"/>
    <w:pPr>
      <w:jc w:val="center"/>
    </w:pPr>
    <w:rPr>
      <w:b/>
    </w:rPr>
  </w:style>
  <w:style w:type="paragraph" w:customStyle="1" w:styleId="TableColumnHeadingLeft">
    <w:name w:val="Table Column Heading Left"/>
    <w:basedOn w:val="TableTextBase"/>
    <w:rsid w:val="000A7BCF"/>
    <w:rPr>
      <w:b/>
    </w:rPr>
  </w:style>
  <w:style w:type="paragraph" w:customStyle="1" w:styleId="TableColumnHeadingRight">
    <w:name w:val="Table Column Heading Right"/>
    <w:basedOn w:val="TableTextBase"/>
    <w:rsid w:val="000A7BCF"/>
    <w:pPr>
      <w:jc w:val="right"/>
    </w:pPr>
    <w:rPr>
      <w:b/>
    </w:rPr>
  </w:style>
  <w:style w:type="paragraph" w:customStyle="1" w:styleId="TableGraphic">
    <w:name w:val="Table Graphic"/>
    <w:basedOn w:val="HeadingBase"/>
    <w:next w:val="Normal"/>
    <w:rsid w:val="000A7BCF"/>
  </w:style>
  <w:style w:type="paragraph" w:customStyle="1" w:styleId="TableMainHeading">
    <w:name w:val="Table Main Heading"/>
    <w:basedOn w:val="HeadingBase"/>
    <w:next w:val="TableGraphic"/>
    <w:rsid w:val="000A7BCF"/>
    <w:pPr>
      <w:spacing w:after="20"/>
    </w:pPr>
    <w:rPr>
      <w:b/>
      <w:sz w:val="22"/>
    </w:rPr>
  </w:style>
  <w:style w:type="paragraph" w:customStyle="1" w:styleId="TableMainHeadingContd">
    <w:name w:val="Table Main Heading Contd"/>
    <w:basedOn w:val="HeadingBase"/>
    <w:next w:val="TableGraphic"/>
    <w:rsid w:val="000A7BCF"/>
    <w:pPr>
      <w:spacing w:after="20"/>
    </w:pPr>
    <w:rPr>
      <w:b/>
      <w:sz w:val="22"/>
    </w:rPr>
  </w:style>
  <w:style w:type="paragraph" w:customStyle="1" w:styleId="TableSecondHeading">
    <w:name w:val="Table Second Heading"/>
    <w:basedOn w:val="HeadingBase"/>
    <w:next w:val="TableGraphic"/>
    <w:rsid w:val="000A7BCF"/>
    <w:pPr>
      <w:spacing w:after="20"/>
    </w:pPr>
  </w:style>
  <w:style w:type="paragraph" w:customStyle="1" w:styleId="TableTextCentered">
    <w:name w:val="Table Text Centered"/>
    <w:basedOn w:val="TableTextBase"/>
    <w:rsid w:val="000A7BCF"/>
    <w:pPr>
      <w:jc w:val="center"/>
    </w:pPr>
  </w:style>
  <w:style w:type="paragraph" w:customStyle="1" w:styleId="TableTextIndented">
    <w:name w:val="Table Text Indented"/>
    <w:basedOn w:val="TableTextBase"/>
    <w:rsid w:val="000A7BCF"/>
    <w:pPr>
      <w:ind w:left="284"/>
    </w:pPr>
  </w:style>
  <w:style w:type="paragraph" w:customStyle="1" w:styleId="TableTextLeft">
    <w:name w:val="Table Text Left"/>
    <w:basedOn w:val="TableTextBase"/>
    <w:rsid w:val="000A7BCF"/>
  </w:style>
  <w:style w:type="paragraph" w:customStyle="1" w:styleId="TableTextRight">
    <w:name w:val="Table Text Right"/>
    <w:basedOn w:val="TableTextBase"/>
    <w:rsid w:val="000A7BCF"/>
    <w:pPr>
      <w:jc w:val="right"/>
    </w:pPr>
  </w:style>
  <w:style w:type="paragraph" w:styleId="TOC1">
    <w:name w:val="toc 1"/>
    <w:basedOn w:val="HeadingBase"/>
    <w:next w:val="Normal"/>
    <w:uiPriority w:val="39"/>
    <w:rsid w:val="0056559F"/>
    <w:pPr>
      <w:tabs>
        <w:tab w:val="right" w:leader="dot" w:pos="9072"/>
      </w:tabs>
      <w:spacing w:before="180" w:after="60"/>
      <w:ind w:right="851"/>
    </w:pPr>
    <w:rPr>
      <w:b/>
      <w:sz w:val="24"/>
      <w:szCs w:val="22"/>
    </w:rPr>
  </w:style>
  <w:style w:type="paragraph" w:styleId="TOC2">
    <w:name w:val="toc 2"/>
    <w:basedOn w:val="HeadingBase"/>
    <w:next w:val="Normal"/>
    <w:uiPriority w:val="39"/>
    <w:rsid w:val="0056559F"/>
    <w:pPr>
      <w:tabs>
        <w:tab w:val="right" w:leader="dot" w:pos="9072"/>
      </w:tabs>
      <w:spacing w:before="60"/>
      <w:ind w:right="851"/>
    </w:pPr>
    <w:rPr>
      <w:sz w:val="22"/>
    </w:rPr>
  </w:style>
  <w:style w:type="paragraph" w:styleId="TOC3">
    <w:name w:val="toc 3"/>
    <w:basedOn w:val="Normal"/>
    <w:next w:val="Normal"/>
    <w:uiPriority w:val="39"/>
    <w:rsid w:val="00813AC3"/>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0A7BCF"/>
    <w:pPr>
      <w:tabs>
        <w:tab w:val="right" w:leader="dot" w:pos="9072"/>
      </w:tabs>
      <w:spacing w:after="0" w:line="240" w:lineRule="auto"/>
      <w:ind w:left="284" w:right="851"/>
    </w:pPr>
  </w:style>
  <w:style w:type="character" w:customStyle="1" w:styleId="italic">
    <w:name w:val="italic"/>
    <w:basedOn w:val="DefaultParagraphFont"/>
    <w:rsid w:val="000A7BCF"/>
    <w:rPr>
      <w:i/>
    </w:rPr>
  </w:style>
  <w:style w:type="paragraph" w:customStyle="1" w:styleId="OneLevelNumberedParagraph">
    <w:name w:val="One Level Numbered Paragraph"/>
    <w:basedOn w:val="Normal"/>
    <w:rsid w:val="000A7BCF"/>
    <w:pPr>
      <w:numPr>
        <w:numId w:val="5"/>
      </w:numPr>
    </w:pPr>
  </w:style>
  <w:style w:type="paragraph" w:customStyle="1" w:styleId="BoxText">
    <w:name w:val="Box Text"/>
    <w:basedOn w:val="BoxTextBase"/>
    <w:rsid w:val="000A7BCF"/>
  </w:style>
  <w:style w:type="paragraph" w:customStyle="1" w:styleId="BoxBullet">
    <w:name w:val="Box Bullet"/>
    <w:basedOn w:val="BoxTextBase"/>
    <w:rsid w:val="000A7BCF"/>
    <w:pPr>
      <w:numPr>
        <w:numId w:val="4"/>
      </w:numPr>
    </w:pPr>
  </w:style>
  <w:style w:type="paragraph" w:customStyle="1" w:styleId="BoxDash">
    <w:name w:val="Box Dash"/>
    <w:basedOn w:val="BoxTextBase"/>
    <w:rsid w:val="000A7BCF"/>
    <w:pPr>
      <w:numPr>
        <w:ilvl w:val="1"/>
        <w:numId w:val="4"/>
      </w:numPr>
    </w:pPr>
  </w:style>
  <w:style w:type="paragraph" w:customStyle="1" w:styleId="BoxDoubleDot">
    <w:name w:val="Box Double Dot"/>
    <w:basedOn w:val="BoxTextBase"/>
    <w:rsid w:val="000A7BCF"/>
    <w:pPr>
      <w:numPr>
        <w:ilvl w:val="2"/>
        <w:numId w:val="4"/>
      </w:numPr>
    </w:pPr>
  </w:style>
  <w:style w:type="paragraph" w:customStyle="1" w:styleId="RecommendationBullet">
    <w:name w:val="Recommendation Bullet"/>
    <w:basedOn w:val="RecommendationTextBase"/>
    <w:rsid w:val="000A7BCF"/>
    <w:pPr>
      <w:numPr>
        <w:numId w:val="6"/>
      </w:numPr>
    </w:pPr>
  </w:style>
  <w:style w:type="paragraph" w:customStyle="1" w:styleId="RecommendationDash">
    <w:name w:val="Recommendation Dash"/>
    <w:basedOn w:val="RecommendationTextBase"/>
    <w:rsid w:val="000A7BCF"/>
    <w:pPr>
      <w:numPr>
        <w:ilvl w:val="1"/>
        <w:numId w:val="6"/>
      </w:numPr>
    </w:pPr>
  </w:style>
  <w:style w:type="paragraph" w:customStyle="1" w:styleId="RecommendationDoubleDot">
    <w:name w:val="Recommendation Double Dot"/>
    <w:basedOn w:val="RecommendationTextBase"/>
    <w:rsid w:val="000A7BCF"/>
    <w:pPr>
      <w:numPr>
        <w:ilvl w:val="2"/>
        <w:numId w:val="6"/>
      </w:numPr>
    </w:pPr>
  </w:style>
  <w:style w:type="character" w:styleId="FollowedHyperlink">
    <w:name w:val="FollowedHyperlink"/>
    <w:basedOn w:val="DefaultParagraphFont"/>
    <w:rsid w:val="000A7BCF"/>
    <w:rPr>
      <w:color w:val="auto"/>
      <w:u w:val="none"/>
    </w:rPr>
  </w:style>
  <w:style w:type="paragraph" w:customStyle="1" w:styleId="Disclaimer">
    <w:name w:val="Disclaimer"/>
    <w:basedOn w:val="HeadingBase"/>
    <w:rsid w:val="000A7BCF"/>
    <w:pPr>
      <w:spacing w:after="240"/>
    </w:pPr>
    <w:rPr>
      <w:b/>
      <w:sz w:val="22"/>
    </w:rPr>
  </w:style>
  <w:style w:type="paragraph" w:customStyle="1" w:styleId="SecurityClassificationHeader">
    <w:name w:val="Security Classification Header"/>
    <w:rsid w:val="000A7BCF"/>
    <w:pPr>
      <w:spacing w:after="240"/>
      <w:jc w:val="center"/>
    </w:pPr>
    <w:rPr>
      <w:rFonts w:ascii="Book Antiqua" w:hAnsi="Book Antiqua"/>
      <w:b/>
      <w:caps/>
      <w:color w:val="000080"/>
      <w:sz w:val="22"/>
    </w:rPr>
  </w:style>
  <w:style w:type="paragraph" w:customStyle="1" w:styleId="SecurityClassificationFooter">
    <w:name w:val="Security Classification Footer"/>
    <w:rsid w:val="000A7BCF"/>
    <w:pPr>
      <w:spacing w:before="240"/>
      <w:jc w:val="center"/>
    </w:pPr>
    <w:rPr>
      <w:rFonts w:ascii="Book Antiqua" w:hAnsi="Book Antiqua"/>
      <w:b/>
      <w:caps/>
      <w:color w:val="000080"/>
      <w:sz w:val="22"/>
    </w:rPr>
  </w:style>
  <w:style w:type="character" w:customStyle="1" w:styleId="EmailStyle84">
    <w:name w:val="EmailStyle84"/>
    <w:basedOn w:val="DefaultParagraphFont"/>
    <w:semiHidden/>
    <w:rsid w:val="000A7BCF"/>
    <w:rPr>
      <w:rFonts w:ascii="Arial" w:hAnsi="Arial" w:cs="Arial"/>
      <w:color w:val="auto"/>
      <w:sz w:val="20"/>
      <w:szCs w:val="20"/>
    </w:rPr>
  </w:style>
  <w:style w:type="character" w:customStyle="1" w:styleId="Italics">
    <w:name w:val="Italics"/>
    <w:basedOn w:val="DefaultParagraphFont"/>
    <w:rsid w:val="000A7BCF"/>
    <w:rPr>
      <w:i/>
    </w:rPr>
  </w:style>
  <w:style w:type="paragraph" w:customStyle="1" w:styleId="NotesHeading">
    <w:name w:val="Notes Heading"/>
    <w:basedOn w:val="ContentsHeading"/>
    <w:rsid w:val="000A7BCF"/>
    <w:pPr>
      <w:spacing w:before="240"/>
    </w:pPr>
  </w:style>
  <w:style w:type="paragraph" w:customStyle="1" w:styleId="BoxHeadingnonumber">
    <w:name w:val="Box Heading no number"/>
    <w:basedOn w:val="BoxHeading"/>
    <w:next w:val="BoxText"/>
    <w:qFormat/>
    <w:rsid w:val="00EA2B5E"/>
    <w:pPr>
      <w:numPr>
        <w:numId w:val="0"/>
      </w:numPr>
    </w:pPr>
  </w:style>
  <w:style w:type="paragraph" w:styleId="BalloonText">
    <w:name w:val="Balloon Text"/>
    <w:basedOn w:val="Normal"/>
    <w:link w:val="BalloonTextChar"/>
    <w:uiPriority w:val="99"/>
    <w:semiHidden/>
    <w:unhideWhenUsed/>
    <w:rsid w:val="00C76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10"/>
    <w:rPr>
      <w:rFonts w:ascii="Tahoma" w:hAnsi="Tahoma" w:cs="Tahoma"/>
      <w:color w:val="000000"/>
      <w:sz w:val="16"/>
      <w:szCs w:val="16"/>
    </w:rPr>
  </w:style>
  <w:style w:type="numbering" w:customStyle="1" w:styleId="Outlinenumbering">
    <w:name w:val="Outline numbering"/>
    <w:rsid w:val="001E43D3"/>
    <w:pPr>
      <w:numPr>
        <w:numId w:val="8"/>
      </w:numPr>
    </w:pPr>
  </w:style>
  <w:style w:type="numbering" w:customStyle="1" w:styleId="Optionboxheading">
    <w:name w:val="Option box heading"/>
    <w:uiPriority w:val="99"/>
    <w:rsid w:val="00CA601E"/>
    <w:pPr>
      <w:numPr>
        <w:numId w:val="10"/>
      </w:numPr>
    </w:pPr>
  </w:style>
  <w:style w:type="character" w:customStyle="1" w:styleId="A5">
    <w:name w:val="A5"/>
    <w:uiPriority w:val="99"/>
    <w:rsid w:val="0011462E"/>
    <w:rPr>
      <w:rFonts w:cs="Swiss 721 BT"/>
      <w:color w:val="000000"/>
      <w:sz w:val="20"/>
      <w:szCs w:val="20"/>
    </w:rPr>
  </w:style>
  <w:style w:type="paragraph" w:customStyle="1" w:styleId="Heading2NotNumbered">
    <w:name w:val="Heading 2 Not Numbered"/>
    <w:basedOn w:val="Heading2"/>
    <w:next w:val="Normal"/>
    <w:rsid w:val="005750C6"/>
  </w:style>
  <w:style w:type="character" w:customStyle="1" w:styleId="SingleParagraphChar">
    <w:name w:val="Single Paragraph Char"/>
    <w:basedOn w:val="DefaultParagraphFont"/>
    <w:link w:val="SingleParagraph"/>
    <w:rsid w:val="00F30068"/>
    <w:rPr>
      <w:rFonts w:ascii="Book Antiqua" w:hAnsi="Book Antiqua"/>
      <w:color w:val="000000"/>
      <w:sz w:val="22"/>
    </w:rPr>
  </w:style>
  <w:style w:type="character" w:customStyle="1" w:styleId="DoubleDotChar">
    <w:name w:val="Double Dot Char"/>
    <w:basedOn w:val="DefaultParagraphFont"/>
    <w:link w:val="DoubleDot"/>
    <w:rsid w:val="009D38E7"/>
    <w:rPr>
      <w:rFonts w:ascii="Book Antiqua" w:hAnsi="Book Antiqua"/>
      <w:color w:val="000000"/>
      <w:sz w:val="22"/>
    </w:rPr>
  </w:style>
  <w:style w:type="character" w:customStyle="1" w:styleId="BulletChar">
    <w:name w:val="Bullet Char"/>
    <w:aliases w:val="b Char,b + line Char Char,b Char Char"/>
    <w:basedOn w:val="DefaultParagraphFont"/>
    <w:link w:val="Bullet"/>
    <w:rsid w:val="00EA49F2"/>
    <w:rPr>
      <w:rFonts w:ascii="Book Antiqua" w:hAnsi="Book Antiqua"/>
      <w:color w:val="000000"/>
      <w:sz w:val="22"/>
    </w:rPr>
  </w:style>
  <w:style w:type="paragraph" w:styleId="ListParagraph">
    <w:name w:val="List Paragraph"/>
    <w:basedOn w:val="Normal"/>
    <w:uiPriority w:val="34"/>
    <w:qFormat/>
    <w:rsid w:val="009068F0"/>
    <w:pPr>
      <w:ind w:left="720"/>
      <w:contextualSpacing/>
    </w:pPr>
  </w:style>
  <w:style w:type="character" w:styleId="FootnoteReference">
    <w:name w:val="footnote reference"/>
    <w:basedOn w:val="DefaultParagraphFont"/>
    <w:uiPriority w:val="99"/>
    <w:semiHidden/>
    <w:unhideWhenUsed/>
    <w:rsid w:val="00B30E86"/>
    <w:rPr>
      <w:vertAlign w:val="superscript"/>
    </w:rPr>
  </w:style>
  <w:style w:type="character" w:customStyle="1" w:styleId="DashChar">
    <w:name w:val="Dash Char"/>
    <w:basedOn w:val="DefaultParagraphFont"/>
    <w:link w:val="Dash"/>
    <w:rsid w:val="00B26608"/>
    <w:rPr>
      <w:rFonts w:ascii="Book Antiqua" w:hAnsi="Book Antiqua"/>
      <w:color w:val="000000"/>
      <w:sz w:val="22"/>
    </w:rPr>
  </w:style>
  <w:style w:type="character" w:styleId="CommentReference">
    <w:name w:val="annotation reference"/>
    <w:basedOn w:val="DefaultParagraphFont"/>
    <w:uiPriority w:val="99"/>
    <w:semiHidden/>
    <w:unhideWhenUsed/>
    <w:rsid w:val="008B4699"/>
    <w:rPr>
      <w:sz w:val="16"/>
      <w:szCs w:val="16"/>
    </w:rPr>
  </w:style>
  <w:style w:type="paragraph" w:styleId="CommentText">
    <w:name w:val="annotation text"/>
    <w:basedOn w:val="Normal"/>
    <w:link w:val="CommentTextChar"/>
    <w:uiPriority w:val="99"/>
    <w:semiHidden/>
    <w:unhideWhenUsed/>
    <w:rsid w:val="008B4699"/>
    <w:pPr>
      <w:spacing w:line="240" w:lineRule="auto"/>
    </w:pPr>
    <w:rPr>
      <w:sz w:val="20"/>
    </w:rPr>
  </w:style>
  <w:style w:type="character" w:customStyle="1" w:styleId="CommentTextChar">
    <w:name w:val="Comment Text Char"/>
    <w:basedOn w:val="DefaultParagraphFont"/>
    <w:link w:val="CommentText"/>
    <w:uiPriority w:val="99"/>
    <w:semiHidden/>
    <w:rsid w:val="008B4699"/>
    <w:rPr>
      <w:rFonts w:ascii="Book Antiqua" w:hAnsi="Book Antiqua"/>
      <w:color w:val="000000"/>
    </w:rPr>
  </w:style>
  <w:style w:type="paragraph" w:styleId="CommentSubject">
    <w:name w:val="annotation subject"/>
    <w:basedOn w:val="CommentText"/>
    <w:next w:val="CommentText"/>
    <w:link w:val="CommentSubjectChar"/>
    <w:uiPriority w:val="99"/>
    <w:semiHidden/>
    <w:unhideWhenUsed/>
    <w:rsid w:val="008B4699"/>
    <w:rPr>
      <w:b/>
      <w:bCs/>
    </w:rPr>
  </w:style>
  <w:style w:type="character" w:customStyle="1" w:styleId="CommentSubjectChar">
    <w:name w:val="Comment Subject Char"/>
    <w:basedOn w:val="CommentTextChar"/>
    <w:link w:val="CommentSubject"/>
    <w:uiPriority w:val="99"/>
    <w:semiHidden/>
    <w:rsid w:val="008B4699"/>
    <w:rPr>
      <w:rFonts w:ascii="Book Antiqua" w:hAnsi="Book Antiqua"/>
      <w:b/>
      <w:bCs/>
      <w:color w:val="000000"/>
    </w:rPr>
  </w:style>
  <w:style w:type="table" w:customStyle="1" w:styleId="TableGrid1">
    <w:name w:val="Table Grid1"/>
    <w:basedOn w:val="TableNormal"/>
    <w:next w:val="TableGrid"/>
    <w:uiPriority w:val="59"/>
    <w:rsid w:val="007B45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lumnHeading">
    <w:name w:val="Table Column Heading"/>
    <w:basedOn w:val="Heading3"/>
    <w:rsid w:val="007B4589"/>
    <w:pPr>
      <w:keepNext w:val="0"/>
      <w:spacing w:before="80" w:after="80"/>
      <w:outlineLvl w:val="9"/>
    </w:pPr>
    <w:rPr>
      <w:rFonts w:ascii="Arial Narrow" w:hAnsi="Arial Narrow" w:cs="Times New Roman"/>
      <w:bCs w:val="0"/>
      <w:color w:val="003E74"/>
      <w:sz w:val="22"/>
      <w:szCs w:val="22"/>
    </w:rPr>
  </w:style>
  <w:style w:type="table" w:customStyle="1" w:styleId="TableGrid2">
    <w:name w:val="Table Grid2"/>
    <w:basedOn w:val="TableNormal"/>
    <w:next w:val="TableGrid"/>
    <w:uiPriority w:val="59"/>
    <w:rsid w:val="007B45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Bullet">
    <w:name w:val="Table Text Bullet"/>
    <w:basedOn w:val="TableTextLeft"/>
    <w:rsid w:val="007B4589"/>
    <w:pPr>
      <w:tabs>
        <w:tab w:val="left" w:pos="397"/>
      </w:tabs>
      <w:spacing w:before="60" w:after="60"/>
    </w:pPr>
    <w:rPr>
      <w:rFonts w:ascii="Arial Narrow" w:hAnsi="Arial Narrow"/>
      <w:color w:val="000000" w:themeColor="text1"/>
      <w:sz w:val="22"/>
      <w:szCs w:val="24"/>
    </w:rPr>
  </w:style>
  <w:style w:type="table" w:customStyle="1" w:styleId="TableGrid3">
    <w:name w:val="Table Grid3"/>
    <w:basedOn w:val="TableNormal"/>
    <w:next w:val="TableGrid"/>
    <w:uiPriority w:val="59"/>
    <w:rsid w:val="007B45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FA3161"/>
    <w:rPr>
      <w:rFonts w:ascii="Century Gothic" w:hAnsi="Century Gothic"/>
      <w:b/>
      <w:bCs/>
      <w:iCs/>
      <w:color w:val="1F497D" w:themeColor="text2"/>
    </w:rPr>
  </w:style>
  <w:style w:type="character" w:customStyle="1" w:styleId="Heading4Char">
    <w:name w:val="Heading 4 Char"/>
    <w:basedOn w:val="DefaultParagraphFont"/>
    <w:link w:val="Heading4"/>
    <w:rsid w:val="00D5191F"/>
    <w:rPr>
      <w:rFonts w:ascii="Century Gothic" w:hAnsi="Century Gothic"/>
      <w:b/>
      <w:bCs/>
      <w:color w:val="1F497D" w:themeColor="text2"/>
      <w:sz w:val="22"/>
      <w:szCs w:val="22"/>
    </w:rPr>
  </w:style>
  <w:style w:type="character" w:customStyle="1" w:styleId="Heading7Char">
    <w:name w:val="Heading 7 Char"/>
    <w:basedOn w:val="DefaultParagraphFont"/>
    <w:link w:val="Heading7"/>
    <w:rsid w:val="001C0CC9"/>
    <w:rPr>
      <w:rFonts w:ascii="Century Gothic" w:hAnsi="Century Gothic"/>
      <w:color w:val="1F497D" w:themeColor="text2"/>
      <w:szCs w:val="24"/>
    </w:rPr>
  </w:style>
  <w:style w:type="numbering" w:customStyle="1" w:styleId="Outlinenumbering1">
    <w:name w:val="Outline numbering1"/>
    <w:rsid w:val="00404A14"/>
  </w:style>
  <w:style w:type="paragraph" w:customStyle="1" w:styleId="TableText">
    <w:name w:val="TableText"/>
    <w:basedOn w:val="Normal"/>
    <w:qFormat/>
    <w:rsid w:val="000F352B"/>
    <w:pPr>
      <w:spacing w:before="120" w:after="120" w:line="240" w:lineRule="auto"/>
      <w:jc w:val="left"/>
    </w:pPr>
    <w:rPr>
      <w:rFonts w:ascii="Arial" w:eastAsiaTheme="majorEastAsia" w:hAnsi="Arial" w:cs="Arial"/>
      <w:bCs/>
      <w:color w:val="auto"/>
      <w:sz w:val="20"/>
      <w:lang w:eastAsia="en-US"/>
    </w:rPr>
  </w:style>
  <w:style w:type="table" w:styleId="MediumShading1-Accent1">
    <w:name w:val="Medium Shading 1 Accent 1"/>
    <w:basedOn w:val="TableNormal"/>
    <w:uiPriority w:val="63"/>
    <w:rsid w:val="000F352B"/>
    <w:rPr>
      <w:rFonts w:asciiTheme="minorHAnsi" w:eastAsiaTheme="minorHAnsi" w:hAnsiTheme="minorHAnsi" w:cstheme="minorBidi"/>
      <w:sz w:val="22"/>
      <w:szCs w:val="22"/>
      <w:lang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D978F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94455">
      <w:bodyDiv w:val="1"/>
      <w:marLeft w:val="0"/>
      <w:marRight w:val="0"/>
      <w:marTop w:val="0"/>
      <w:marBottom w:val="0"/>
      <w:divBdr>
        <w:top w:val="none" w:sz="0" w:space="0" w:color="auto"/>
        <w:left w:val="none" w:sz="0" w:space="0" w:color="auto"/>
        <w:bottom w:val="none" w:sz="0" w:space="0" w:color="auto"/>
        <w:right w:val="none" w:sz="0" w:space="0" w:color="auto"/>
      </w:divBdr>
      <w:divsChild>
        <w:div w:id="199514295">
          <w:marLeft w:val="0"/>
          <w:marRight w:val="0"/>
          <w:marTop w:val="0"/>
          <w:marBottom w:val="0"/>
          <w:divBdr>
            <w:top w:val="none" w:sz="0" w:space="0" w:color="auto"/>
            <w:left w:val="none" w:sz="0" w:space="0" w:color="auto"/>
            <w:bottom w:val="none" w:sz="0" w:space="0" w:color="auto"/>
            <w:right w:val="none" w:sz="0" w:space="0" w:color="auto"/>
          </w:divBdr>
          <w:divsChild>
            <w:div w:id="1166702717">
              <w:marLeft w:val="-225"/>
              <w:marRight w:val="-225"/>
              <w:marTop w:val="0"/>
              <w:marBottom w:val="0"/>
              <w:divBdr>
                <w:top w:val="none" w:sz="0" w:space="0" w:color="auto"/>
                <w:left w:val="none" w:sz="0" w:space="0" w:color="auto"/>
                <w:bottom w:val="none" w:sz="0" w:space="0" w:color="auto"/>
                <w:right w:val="none" w:sz="0" w:space="0" w:color="auto"/>
              </w:divBdr>
              <w:divsChild>
                <w:div w:id="3585531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61746366">
      <w:bodyDiv w:val="1"/>
      <w:marLeft w:val="0"/>
      <w:marRight w:val="0"/>
      <w:marTop w:val="0"/>
      <w:marBottom w:val="0"/>
      <w:divBdr>
        <w:top w:val="none" w:sz="0" w:space="0" w:color="auto"/>
        <w:left w:val="none" w:sz="0" w:space="0" w:color="auto"/>
        <w:bottom w:val="none" w:sz="0" w:space="0" w:color="auto"/>
        <w:right w:val="none" w:sz="0" w:space="0" w:color="auto"/>
      </w:divBdr>
    </w:div>
    <w:div w:id="209150896">
      <w:bodyDiv w:val="1"/>
      <w:marLeft w:val="0"/>
      <w:marRight w:val="0"/>
      <w:marTop w:val="0"/>
      <w:marBottom w:val="0"/>
      <w:divBdr>
        <w:top w:val="none" w:sz="0" w:space="0" w:color="auto"/>
        <w:left w:val="none" w:sz="0" w:space="0" w:color="auto"/>
        <w:bottom w:val="none" w:sz="0" w:space="0" w:color="auto"/>
        <w:right w:val="none" w:sz="0" w:space="0" w:color="auto"/>
      </w:divBdr>
    </w:div>
    <w:div w:id="229000873">
      <w:bodyDiv w:val="1"/>
      <w:marLeft w:val="0"/>
      <w:marRight w:val="0"/>
      <w:marTop w:val="0"/>
      <w:marBottom w:val="0"/>
      <w:divBdr>
        <w:top w:val="none" w:sz="0" w:space="0" w:color="auto"/>
        <w:left w:val="none" w:sz="0" w:space="0" w:color="auto"/>
        <w:bottom w:val="none" w:sz="0" w:space="0" w:color="auto"/>
        <w:right w:val="none" w:sz="0" w:space="0" w:color="auto"/>
      </w:divBdr>
    </w:div>
    <w:div w:id="1076511058">
      <w:bodyDiv w:val="1"/>
      <w:marLeft w:val="0"/>
      <w:marRight w:val="0"/>
      <w:marTop w:val="0"/>
      <w:marBottom w:val="0"/>
      <w:divBdr>
        <w:top w:val="none" w:sz="0" w:space="0" w:color="auto"/>
        <w:left w:val="none" w:sz="0" w:space="0" w:color="auto"/>
        <w:bottom w:val="none" w:sz="0" w:space="0" w:color="auto"/>
        <w:right w:val="none" w:sz="0" w:space="0" w:color="auto"/>
      </w:divBdr>
    </w:div>
    <w:div w:id="1455706718">
      <w:bodyDiv w:val="1"/>
      <w:marLeft w:val="0"/>
      <w:marRight w:val="0"/>
      <w:marTop w:val="0"/>
      <w:marBottom w:val="0"/>
      <w:divBdr>
        <w:top w:val="none" w:sz="0" w:space="0" w:color="auto"/>
        <w:left w:val="none" w:sz="0" w:space="0" w:color="auto"/>
        <w:bottom w:val="none" w:sz="0" w:space="0" w:color="auto"/>
        <w:right w:val="none" w:sz="0" w:space="0" w:color="auto"/>
      </w:divBdr>
    </w:div>
    <w:div w:id="1480730302">
      <w:bodyDiv w:val="1"/>
      <w:marLeft w:val="0"/>
      <w:marRight w:val="0"/>
      <w:marTop w:val="0"/>
      <w:marBottom w:val="0"/>
      <w:divBdr>
        <w:top w:val="none" w:sz="0" w:space="0" w:color="auto"/>
        <w:left w:val="none" w:sz="0" w:space="0" w:color="auto"/>
        <w:bottom w:val="none" w:sz="0" w:space="0" w:color="auto"/>
        <w:right w:val="none" w:sz="0" w:space="0" w:color="auto"/>
      </w:divBdr>
    </w:div>
    <w:div w:id="1822963158">
      <w:bodyDiv w:val="1"/>
      <w:marLeft w:val="0"/>
      <w:marRight w:val="0"/>
      <w:marTop w:val="0"/>
      <w:marBottom w:val="0"/>
      <w:divBdr>
        <w:top w:val="none" w:sz="0" w:space="0" w:color="auto"/>
        <w:left w:val="none" w:sz="0" w:space="0" w:color="auto"/>
        <w:bottom w:val="none" w:sz="0" w:space="0" w:color="auto"/>
        <w:right w:val="none" w:sz="0" w:space="0" w:color="auto"/>
      </w:divBdr>
    </w:div>
    <w:div w:id="1840775799">
      <w:bodyDiv w:val="1"/>
      <w:marLeft w:val="0"/>
      <w:marRight w:val="0"/>
      <w:marTop w:val="0"/>
      <w:marBottom w:val="0"/>
      <w:divBdr>
        <w:top w:val="none" w:sz="0" w:space="0" w:color="auto"/>
        <w:left w:val="none" w:sz="0" w:space="0" w:color="auto"/>
        <w:bottom w:val="none" w:sz="0" w:space="0" w:color="auto"/>
        <w:right w:val="none" w:sz="0" w:space="0" w:color="auto"/>
      </w:divBdr>
    </w:div>
    <w:div w:id="209501029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B296F03498E9448202E36B7829D846" ma:contentTypeVersion="868" ma:contentTypeDescription=" " ma:contentTypeScope="" ma:versionID="e6c7ed77bf9e7b79df5d4dc92a42b45d">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ba8feda4465506ef6155df3883c50c75"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PersistId" minOccurs="0"/>
                <xsd:element ref="ns2:_dlc_DocIdUrl"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lb508a4dc5e84436a0fe496b536466aa" ma:index="12" nillable="true" ma:taxonomy="true" ma:internalName="lb508a4dc5e84436a0fe496b536466aa" ma:taxonomyFieldName="TSYRecordClass" ma:displayName="Record Class" ma:readOnly="false" ma:default="16;#TSY RA-8909 - Retain as national archives|783df9f6-6a3b-4626-95aa-7d6467e087f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16</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RA-8909 - Retain as national archives</TermName>
          <TermId xmlns="http://schemas.microsoft.com/office/infopath/2007/PartnerControls">783df9f6-6a3b-4626-95aa-7d6467e087f0</TermId>
        </TermInfo>
      </Terms>
    </lb508a4dc5e84436a0fe496b536466aa>
    <_dlc_DocId xmlns="d4dd4adf-ddb3-46a3-8d7c-fab3fb2a6bc7">2017MG-107-10259</_dlc_DocId>
    <_dlc_DocIdUrl xmlns="d4dd4adf-ddb3-46a3-8d7c-fab3fb2a6bc7">
      <Url>http://tweb/sites/mg/fitpd/_layouts/15/DocIdRedir.aspx?ID=2017MG-107-10259</Url>
      <Description>2017MG-107-10259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EA3D3-2256-49E4-A777-CA747CFB7D31}">
  <ds:schemaRefs>
    <ds:schemaRef ds:uri="http://schemas.microsoft.com/sharepoint/v3/contenttype/forms"/>
  </ds:schemaRefs>
</ds:datastoreItem>
</file>

<file path=customXml/itemProps2.xml><?xml version="1.0" encoding="utf-8"?>
<ds:datastoreItem xmlns:ds="http://schemas.openxmlformats.org/officeDocument/2006/customXml" ds:itemID="{B6455140-3B12-4FFD-9500-66C398E34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35B12B-28BE-4363-A7F1-071730649645}">
  <ds:schemaRefs>
    <ds:schemaRef ds:uri="http://schemas.microsoft.com/sharepoint/events"/>
  </ds:schemaRefs>
</ds:datastoreItem>
</file>

<file path=customXml/itemProps4.xml><?xml version="1.0" encoding="utf-8"?>
<ds:datastoreItem xmlns:ds="http://schemas.openxmlformats.org/officeDocument/2006/customXml" ds:itemID="{70E4112A-8D93-445E-B078-B953D1DD6FF8}">
  <ds:schemaRefs>
    <ds:schemaRef ds:uri="office.server.policy"/>
  </ds:schemaRefs>
</ds:datastoreItem>
</file>

<file path=customXml/itemProps5.xml><?xml version="1.0" encoding="utf-8"?>
<ds:datastoreItem xmlns:ds="http://schemas.openxmlformats.org/officeDocument/2006/customXml" ds:itemID="{7BD68C11-5656-4459-8076-C16A2B95C209}">
  <ds:schemaRefs>
    <ds:schemaRef ds:uri="d4dd4adf-ddb3-46a3-8d7c-fab3fb2a6bc7"/>
    <ds:schemaRef ds:uri="http://www.w3.org/XML/1998/namespace"/>
    <ds:schemaRef ds:uri="http://purl.org/dc/elements/1.1/"/>
    <ds:schemaRef ds:uri="http://purl.org/dc/terms/"/>
    <ds:schemaRef ds:uri="http://purl.org/dc/dcmitype/"/>
    <ds:schemaRef ds:uri="http://schemas.microsoft.com/office/infopath/2007/PartnerControls"/>
    <ds:schemaRef ds:uri="http://schemas.microsoft.com/sharepoint/v3"/>
    <ds:schemaRef ds:uri="http://schemas.microsoft.com/office/2006/documentManagement/types"/>
    <ds:schemaRef ds:uri="http://schemas.openxmlformats.org/package/2006/metadata/core-properties"/>
    <ds:schemaRef ds:uri="http://schemas.microsoft.com/sharepoint/v4"/>
    <ds:schemaRef ds:uri="http://schemas.microsoft.com/office/2006/metadata/properties"/>
  </ds:schemaRefs>
</ds:datastoreItem>
</file>

<file path=customXml/itemProps6.xml><?xml version="1.0" encoding="utf-8"?>
<ds:datastoreItem xmlns:ds="http://schemas.openxmlformats.org/officeDocument/2006/customXml" ds:itemID="{75076E63-CAFF-46BA-9E40-42F04DAA6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74</TotalTime>
  <Pages>29</Pages>
  <Words>8229</Words>
  <Characters>47780</Characters>
  <Application>Microsoft Office Word</Application>
  <DocSecurity>0</DocSecurity>
  <Lines>398</Lines>
  <Paragraphs>111</Paragraphs>
  <ScaleCrop>false</ScaleCrop>
  <HeadingPairs>
    <vt:vector size="2" baseType="variant">
      <vt:variant>
        <vt:lpstr>Title</vt:lpstr>
      </vt:variant>
      <vt:variant>
        <vt:i4>1</vt:i4>
      </vt:variant>
    </vt:vector>
  </HeadingPairs>
  <TitlesOfParts>
    <vt:vector size="1" baseType="lpstr">
      <vt:lpstr>Consultation/Discussion paper</vt:lpstr>
    </vt:vector>
  </TitlesOfParts>
  <Company>The Treasury</Company>
  <LinksUpToDate>false</LinksUpToDate>
  <CharactersWithSpaces>55898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Consultation/Discussion paper</dc:title>
  <dc:subject>[Subject]</dc:subject>
  <dc:creator>Levanat, Anita</dc:creator>
  <cp:lastModifiedBy>Moore, Ben</cp:lastModifiedBy>
  <cp:revision>18</cp:revision>
  <cp:lastPrinted>2017-03-08T00:28:00Z</cp:lastPrinted>
  <dcterms:created xsi:type="dcterms:W3CDTF">2017-02-27T03:48:00Z</dcterms:created>
  <dcterms:modified xsi:type="dcterms:W3CDTF">2017-03-08T05:33:00Z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Classification">
    <vt:lpwstr>In Confidence</vt:lpwstr>
  </property>
  <property fmtid="{D5CDD505-2E9C-101B-9397-08002B2CF9AE}" pid="3" name="Language">
    <vt:lpwstr>English</vt:lpwstr>
  </property>
  <property fmtid="{D5CDD505-2E9C-101B-9397-08002B2CF9AE}" pid="4" name="ContentTypeId">
    <vt:lpwstr>0x010100E95D40E5DFEA714B90E88DB5CE07A6B500DDB296F03498E9448202E36B7829D846</vt:lpwstr>
  </property>
  <property fmtid="{D5CDD505-2E9C-101B-9397-08002B2CF9AE}" pid="5" name="RecordPoint_ActiveItemUniqueId">
    <vt:lpwstr>{7a32a26c-72fe-451c-9072-2863ec0d6685}</vt:lpwstr>
  </property>
  <property fmtid="{D5CDD505-2E9C-101B-9397-08002B2CF9AE}" pid="6" name="TSYRecordClass">
    <vt:lpwstr>16;#TSY RA-8909 - Retain as national archives|783df9f6-6a3b-4626-95aa-7d6467e087f0</vt:lpwstr>
  </property>
  <property fmtid="{D5CDD505-2E9C-101B-9397-08002B2CF9AE}" pid="7" name="RecordPoint_WorkflowType">
    <vt:lpwstr>ActiveSubmitStub</vt:lpwstr>
  </property>
  <property fmtid="{D5CDD505-2E9C-101B-9397-08002B2CF9AE}" pid="8" name="_dlc_DocIdItemGuid">
    <vt:lpwstr>7a32a26c-72fe-451c-9072-2863ec0d6685</vt:lpwstr>
  </property>
  <property fmtid="{D5CDD505-2E9C-101B-9397-08002B2CF9AE}" pid="9" name="RecordPoint_ActiveItemListId">
    <vt:lpwstr>{fe648906-d97a-4f0a-9d1e-449725c6c5ae}</vt:lpwstr>
  </property>
  <property fmtid="{D5CDD505-2E9C-101B-9397-08002B2CF9AE}" pid="10" name="RecordPoint_ActiveItemWebId">
    <vt:lpwstr>{31eac4f3-160a-4a13-a9a0-2808d5b44bbf}</vt:lpwstr>
  </property>
  <property fmtid="{D5CDD505-2E9C-101B-9397-08002B2CF9AE}" pid="11" name="RecordPoint_ActiveItemSiteId">
    <vt:lpwstr>{08cedf7d-7ad2-4b81-a81f-47e3ec332c41}</vt:lpwstr>
  </property>
  <property fmtid="{D5CDD505-2E9C-101B-9397-08002B2CF9AE}" pid="12" name="RecordPoint_RecordNumberSubmitted">
    <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_AdHocReviewCycleID">
    <vt:i4>1545834873</vt:i4>
  </property>
  <property fmtid="{D5CDD505-2E9C-101B-9397-08002B2CF9AE}" pid="17" name="_NewReviewCycle">
    <vt:lpwstr/>
  </property>
  <property fmtid="{D5CDD505-2E9C-101B-9397-08002B2CF9AE}" pid="18" name="_EmailSubject">
    <vt:lpwstr>Mockup Approval needed for: #T159835. [SEC=UNCLASSIFIED]</vt:lpwstr>
  </property>
  <property fmtid="{D5CDD505-2E9C-101B-9397-08002B2CF9AE}" pid="19" name="_AuthorEmail">
    <vt:lpwstr>Anita.Levanat@TREASURY.GOV.AU</vt:lpwstr>
  </property>
  <property fmtid="{D5CDD505-2E9C-101B-9397-08002B2CF9AE}" pid="20" name="_AuthorEmailDisplayName">
    <vt:lpwstr>Levanat, Anita</vt:lpwstr>
  </property>
  <property fmtid="{D5CDD505-2E9C-101B-9397-08002B2CF9AE}" pid="21" name="_PreviousAdHocReviewCycleID">
    <vt:i4>1475158688</vt:i4>
  </property>
  <property fmtid="{D5CDD505-2E9C-101B-9397-08002B2CF9AE}" pid="22" name="RecordPoint_SubmissionCompleted">
    <vt:lpwstr/>
  </property>
  <property fmtid="{D5CDD505-2E9C-101B-9397-08002B2CF9AE}" pid="23" name="_ReviewingToolsShownOnce">
    <vt:lpwstr/>
  </property>
</Properties>
</file>