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897A3" w14:textId="77777777" w:rsidR="000E0B74" w:rsidRPr="00DE0FD0" w:rsidRDefault="007C2F4E" w:rsidP="00DE0FD0">
      <w:pPr>
        <w:pStyle w:val="Title"/>
      </w:pPr>
      <w:bookmarkStart w:id="0" w:name="_GoBack"/>
      <w:bookmarkEnd w:id="0"/>
      <w:r w:rsidRPr="00DE0FD0">
        <w:t>Stapled structures</w:t>
      </w:r>
    </w:p>
    <w:p w14:paraId="1C4E3264" w14:textId="12A7CC19" w:rsidR="000E0B74" w:rsidRPr="00DE0FD0" w:rsidRDefault="00C66C8C">
      <w:pPr>
        <w:pStyle w:val="Subtitle"/>
      </w:pPr>
      <w:r>
        <w:t>Details of integrity package</w:t>
      </w:r>
    </w:p>
    <w:p w14:paraId="7FD56328" w14:textId="64171F49" w:rsidR="000E0B74" w:rsidRDefault="00102CEE" w:rsidP="00223010">
      <w:pPr>
        <w:pStyle w:val="ReportDate"/>
        <w:rPr>
          <w:rFonts w:cs="Calibri"/>
          <w:sz w:val="20"/>
        </w:rPr>
      </w:pPr>
      <w:r>
        <w:rPr>
          <w:rStyle w:val="ReportDateChar"/>
        </w:rPr>
        <w:t>March</w:t>
      </w:r>
      <w:r w:rsidRPr="00E427BE">
        <w:rPr>
          <w:rStyle w:val="ReportDateChar"/>
        </w:rPr>
        <w:t xml:space="preserve"> </w:t>
      </w:r>
      <w:r w:rsidR="007C2F4E" w:rsidRPr="00E427BE">
        <w:rPr>
          <w:rStyle w:val="ReportDateChar"/>
        </w:rPr>
        <w:t>2018</w:t>
      </w:r>
    </w:p>
    <w:p w14:paraId="3849F210" w14:textId="77777777" w:rsidR="000E0B74" w:rsidRDefault="000E0B74" w:rsidP="000E0B74">
      <w:pPr>
        <w:sectPr w:rsidR="000E0B74" w:rsidSect="00223010">
          <w:headerReference w:type="even" r:id="rId9"/>
          <w:headerReference w:type="default" r:id="rId10"/>
          <w:footerReference w:type="even" r:id="rId11"/>
          <w:footerReference w:type="default" r:id="rId12"/>
          <w:headerReference w:type="first" r:id="rId13"/>
          <w:footerReference w:type="first" r:id="rId14"/>
          <w:pgSz w:w="11906" w:h="16838" w:code="277"/>
          <w:pgMar w:top="1418" w:right="1418" w:bottom="1418" w:left="1418" w:header="709" w:footer="709" w:gutter="0"/>
          <w:pgNumType w:fmt="lowerRoman" w:start="1"/>
          <w:cols w:space="720"/>
          <w:vAlign w:val="center"/>
          <w:titlePg/>
          <w:docGrid w:linePitch="299"/>
        </w:sectPr>
      </w:pPr>
    </w:p>
    <w:p w14:paraId="252BE79D" w14:textId="155B22B4" w:rsidR="008A0A5B" w:rsidRDefault="008A0A5B" w:rsidP="00CD0F5D">
      <w:pPr>
        <w:pStyle w:val="Heading1Numbered"/>
      </w:pPr>
      <w:r>
        <w:lastRenderedPageBreak/>
        <w:t>Overview</w:t>
      </w:r>
    </w:p>
    <w:p w14:paraId="52CF0677" w14:textId="77777777" w:rsidR="00F34509" w:rsidRPr="00D975AA" w:rsidRDefault="00F34509" w:rsidP="00F34509">
      <w:pPr>
        <w:pStyle w:val="OutlineNumbered1"/>
      </w:pPr>
      <w:r w:rsidRPr="00223010">
        <w:t>A stapled structure is a</w:t>
      </w:r>
      <w:r>
        <w:t>n</w:t>
      </w:r>
      <w:r w:rsidRPr="00223010">
        <w:t xml:space="preserve"> arrangement where two or more entities that are commonly owned (at least one of which is a trust) are bound together, such that they cannot be bought or sold separately.</w:t>
      </w:r>
      <w:r>
        <w:t xml:space="preserve"> </w:t>
      </w:r>
      <w:r w:rsidRPr="00D975AA">
        <w:t>Staples have been used in Australia by the property sector since the 1980s. Prior to the introduction of the Managed Investment Trust (MIT) regime in 2008, stapled entiti</w:t>
      </w:r>
      <w:r w:rsidRPr="00507A59">
        <w:t>es bore a similar level of Australian tax as if they had been operated as companies</w:t>
      </w:r>
      <w:r w:rsidRPr="00DD5E1B">
        <w:t xml:space="preserve">. Domestic and foreign </w:t>
      </w:r>
      <w:r w:rsidRPr="00C62C91">
        <w:t>direct investors were taxed in Australia at their marginal tax rates on business income (although they enjoyed some timing benefits). Genera</w:t>
      </w:r>
      <w:r w:rsidRPr="006519D9">
        <w:t xml:space="preserve">lly, foreign </w:t>
      </w:r>
      <w:r w:rsidRPr="00430150">
        <w:t>institutional</w:t>
      </w:r>
      <w:r>
        <w:t xml:space="preserve"> </w:t>
      </w:r>
      <w:r w:rsidRPr="006519D9">
        <w:t xml:space="preserve">investors in managed funds </w:t>
      </w:r>
      <w:r>
        <w:t xml:space="preserve">(that typically invest using a foreign company) </w:t>
      </w:r>
      <w:r w:rsidRPr="006519D9">
        <w:t>would have paid tax at the corporate tax rate.</w:t>
      </w:r>
    </w:p>
    <w:p w14:paraId="6B37EF20" w14:textId="77777777" w:rsidR="00F34509" w:rsidRPr="006519D9" w:rsidRDefault="00F34509" w:rsidP="00F34509">
      <w:pPr>
        <w:pStyle w:val="OutlineNumbered1"/>
      </w:pPr>
      <w:r w:rsidRPr="00D975AA">
        <w:t xml:space="preserve">The MIT regime was aimed at increasing the attractiveness of Australia’s fund management industry (especially </w:t>
      </w:r>
      <w:r>
        <w:t xml:space="preserve">commercial and retail </w:t>
      </w:r>
      <w:r w:rsidRPr="00D975AA">
        <w:t>property funds) to mobile foreign investment. It did this by lowering</w:t>
      </w:r>
      <w:r w:rsidRPr="00507A59">
        <w:t xml:space="preserve"> the withholding taxes </w:t>
      </w:r>
      <w:r>
        <w:t>on</w:t>
      </w:r>
      <w:r w:rsidRPr="00507A59">
        <w:t xml:space="preserve"> certain distributions to foreign investors</w:t>
      </w:r>
      <w:r w:rsidRPr="00DD5E1B">
        <w:t xml:space="preserve">, particularly rental income. In recent years, the withholding tax rate has </w:t>
      </w:r>
      <w:r w:rsidRPr="00C62C91">
        <w:t>generally been 15 per cent.</w:t>
      </w:r>
    </w:p>
    <w:p w14:paraId="5BDD8E0B" w14:textId="77777777" w:rsidR="00F34509" w:rsidRPr="006519D9" w:rsidRDefault="00F34509" w:rsidP="00F34509">
      <w:pPr>
        <w:pStyle w:val="OutlineNumbered1"/>
      </w:pPr>
      <w:r w:rsidRPr="006519D9">
        <w:t xml:space="preserve">As a result of the MIT regime, foreign investors in stapled businesses </w:t>
      </w:r>
      <w:r>
        <w:t xml:space="preserve">were </w:t>
      </w:r>
      <w:r w:rsidRPr="006519D9">
        <w:t xml:space="preserve">no longer </w:t>
      </w:r>
      <w:r>
        <w:t>effectively subject to</w:t>
      </w:r>
      <w:r w:rsidRPr="006519D9">
        <w:t xml:space="preserve"> tax at the corporate tax rate. If the trust side of the staple was a MIT, tax was generally withheld on rental income at 15 per cent.</w:t>
      </w:r>
    </w:p>
    <w:p w14:paraId="5D9F19BB" w14:textId="77777777" w:rsidR="00F34509" w:rsidRPr="006519D9" w:rsidRDefault="00F34509" w:rsidP="00F34509">
      <w:pPr>
        <w:pStyle w:val="OutlineNumbered1"/>
      </w:pPr>
      <w:r w:rsidRPr="006519D9">
        <w:t>For traditional staples</w:t>
      </w:r>
      <w:r>
        <w:t xml:space="preserve"> in the commercial and retail property sectors that earned rental income</w:t>
      </w:r>
      <w:r w:rsidRPr="006519D9">
        <w:t>, th</w:t>
      </w:r>
      <w:r>
        <w:t xml:space="preserve">e introduction of the MIT regime </w:t>
      </w:r>
      <w:r w:rsidRPr="006519D9">
        <w:t xml:space="preserve">did not raise significant integrity issues. The </w:t>
      </w:r>
      <w:proofErr w:type="gramStart"/>
      <w:r w:rsidRPr="006519D9">
        <w:t>trust</w:t>
      </w:r>
      <w:proofErr w:type="gramEnd"/>
      <w:r w:rsidRPr="006519D9">
        <w:t xml:space="preserve"> side of traditional property staples generally held portfolios of property assets that derived passive rental income from </w:t>
      </w:r>
      <w:r>
        <w:t xml:space="preserve">independent third party </w:t>
      </w:r>
      <w:r w:rsidRPr="006519D9">
        <w:t xml:space="preserve">tenants. A lower tax rate on this income was an intended outcome of the MIT regime. Trading activities (for example, </w:t>
      </w:r>
      <w:r>
        <w:t xml:space="preserve">commercial and retail </w:t>
      </w:r>
      <w:r w:rsidRPr="006519D9">
        <w:t>property development) were undertaken by the company side of the staple, which continued to pay corporate tax. There was no conversion of active income into passive income.</w:t>
      </w:r>
    </w:p>
    <w:p w14:paraId="3BAAFDB1" w14:textId="77777777" w:rsidR="00F34509" w:rsidRPr="006519D9" w:rsidRDefault="00F34509" w:rsidP="00F34509">
      <w:pPr>
        <w:pStyle w:val="OutlineNumbered1"/>
      </w:pPr>
      <w:r w:rsidRPr="006519D9">
        <w:t xml:space="preserve">Over time, the tax rate differential encouraged an increase in the use of stapled structures to convert active business income into passive rental income. For example, a single business would be </w:t>
      </w:r>
      <w:r>
        <w:t>split</w:t>
      </w:r>
      <w:r w:rsidRPr="006519D9">
        <w:t xml:space="preserve"> between a MIT and an operating company. The land assets necessary for use in the business would be held in a MIT but leased to an operating company. The taxable income of the operating company would be reduced by rental payments to the MIT. The rental payments would obtain access to the 15 per cent MIT withholding tax rate when distributed to foreign investors. In this way, the active income of a trading business </w:t>
      </w:r>
      <w:r>
        <w:t>was</w:t>
      </w:r>
      <w:r w:rsidRPr="006519D9">
        <w:t xml:space="preserve"> converted into </w:t>
      </w:r>
      <w:proofErr w:type="spellStart"/>
      <w:r w:rsidRPr="006519D9">
        <w:t>concessionally</w:t>
      </w:r>
      <w:proofErr w:type="spellEnd"/>
      <w:r w:rsidRPr="006519D9">
        <w:t xml:space="preserve"> taxed </w:t>
      </w:r>
      <w:r>
        <w:t>rental</w:t>
      </w:r>
      <w:r w:rsidRPr="006519D9">
        <w:t xml:space="preserve"> income.</w:t>
      </w:r>
    </w:p>
    <w:p w14:paraId="29D33237" w14:textId="77777777" w:rsidR="00F34509" w:rsidRPr="006519D9" w:rsidRDefault="00F34509" w:rsidP="00F34509">
      <w:pPr>
        <w:pStyle w:val="OutlineNumbered1"/>
      </w:pPr>
      <w:r w:rsidRPr="006519D9">
        <w:t xml:space="preserve">Increasingly, businesses in a broad range of sectors are seeking to access the MIT concession by using stapled structures. In some cases, these arrangements have no clear commercial justification </w:t>
      </w:r>
      <w:r>
        <w:t xml:space="preserve">and appear to be solely a tax driven strategy </w:t>
      </w:r>
      <w:r w:rsidRPr="006519D9">
        <w:t>to reduce effective tax rates for foreign investors.</w:t>
      </w:r>
    </w:p>
    <w:p w14:paraId="263A2353" w14:textId="77777777" w:rsidR="00F34509" w:rsidRPr="006519D9" w:rsidRDefault="00F34509" w:rsidP="00F34509">
      <w:pPr>
        <w:pStyle w:val="OutlineNumbered1"/>
      </w:pPr>
      <w:r w:rsidRPr="006519D9">
        <w:t xml:space="preserve">Meanwhile, globally, </w:t>
      </w:r>
      <w:r>
        <w:t xml:space="preserve">the pool of funds invested by </w:t>
      </w:r>
      <w:r w:rsidRPr="006519D9">
        <w:t>sovereign wealth funds and pension funds ha</w:t>
      </w:r>
      <w:r>
        <w:t>s</w:t>
      </w:r>
      <w:r w:rsidRPr="006519D9">
        <w:t xml:space="preserve"> grown rapidly. As these types of investors have access to a range of additional tax </w:t>
      </w:r>
      <w:r w:rsidRPr="006519D9">
        <w:lastRenderedPageBreak/>
        <w:t>concessions, effective tax rates on distributions from stapled businesses for these investors can be between 0 and 15 per cent.</w:t>
      </w:r>
    </w:p>
    <w:p w14:paraId="1F69FB99" w14:textId="0ADAFC0C" w:rsidR="00F34509" w:rsidRPr="006519D9" w:rsidRDefault="00F34509" w:rsidP="00F34509">
      <w:pPr>
        <w:pStyle w:val="OutlineNumbered1"/>
      </w:pPr>
      <w:r w:rsidRPr="006519D9">
        <w:t xml:space="preserve">In effect, stapled structures have resulted in the unintended emergence of a dual corporate tax system that taxes foreign institutional investors in land-rich industries at rates anywhere between 0 and 15 per cent. Meanwhile, other large businesses remain subject to the 30 per cent corporate tax rate. This creates a tax bias in investment decisions, potentially </w:t>
      </w:r>
      <w:r>
        <w:t>attracting</w:t>
      </w:r>
      <w:r w:rsidRPr="006519D9">
        <w:t xml:space="preserve"> capital </w:t>
      </w:r>
      <w:r>
        <w:t>towards land-rich business</w:t>
      </w:r>
      <w:r w:rsidR="00B3632C">
        <w:t>es</w:t>
      </w:r>
      <w:r>
        <w:t xml:space="preserve"> rather than </w:t>
      </w:r>
      <w:r w:rsidRPr="006519D9">
        <w:t>businesses that are capital intensive, knowledge based and/or research and development intensive.</w:t>
      </w:r>
    </w:p>
    <w:p w14:paraId="3FE5EB42" w14:textId="77777777" w:rsidR="00F34509" w:rsidRPr="006519D9" w:rsidRDefault="00F34509" w:rsidP="00F34509">
      <w:pPr>
        <w:pStyle w:val="OutlineNumbered1"/>
      </w:pPr>
      <w:r w:rsidRPr="006519D9">
        <w:t>The Government is committed to ensuring Australia has a tax system that is both fair and competitive</w:t>
      </w:r>
      <w:r>
        <w:t xml:space="preserve"> for domestic and foreign investors</w:t>
      </w:r>
      <w:r w:rsidRPr="006519D9">
        <w:t xml:space="preserve">. So while the Government is </w:t>
      </w:r>
      <w:r>
        <w:t xml:space="preserve">committed to </w:t>
      </w:r>
      <w:r w:rsidRPr="006519D9">
        <w:t>cutting the corporate tax rate for all businesses as part of its Enterprise Tax Plan, it also considers it necessary to address the use of stapled structures in order to protect the integrity of Australia’s tax system. A clear set of rules in this area will also provide more certainty for investors and a fairer and more predictable investment environment in the future.</w:t>
      </w:r>
    </w:p>
    <w:p w14:paraId="727F122C" w14:textId="77777777" w:rsidR="00F34509" w:rsidRPr="006519D9" w:rsidRDefault="00F34509" w:rsidP="00F34509">
      <w:pPr>
        <w:pStyle w:val="OutlineNumbered1"/>
      </w:pPr>
      <w:r w:rsidRPr="006519D9">
        <w:t xml:space="preserve">In </w:t>
      </w:r>
      <w:r>
        <w:t>choosing to</w:t>
      </w:r>
      <w:r w:rsidRPr="006519D9">
        <w:t xml:space="preserve"> address the use of stapled structures, the Government has balanced the following objectives:</w:t>
      </w:r>
    </w:p>
    <w:p w14:paraId="0FE921F7" w14:textId="77777777" w:rsidR="00F34509" w:rsidRPr="00752E4A" w:rsidRDefault="00F34509" w:rsidP="00F34509">
      <w:pPr>
        <w:pStyle w:val="Bullet-Indent"/>
      </w:pPr>
      <w:r>
        <w:t>removing the tax benefits associated with converting</w:t>
      </w:r>
      <w:r w:rsidRPr="00752E4A" w:rsidDel="00BB6869">
        <w:t xml:space="preserve"> </w:t>
      </w:r>
      <w:r w:rsidRPr="00752E4A">
        <w:t>active business income into passive income so as to protect revenue and assist in the sustainability of the tax base;</w:t>
      </w:r>
    </w:p>
    <w:p w14:paraId="7DC8BD7E" w14:textId="77777777" w:rsidR="00F34509" w:rsidRPr="002B213C" w:rsidRDefault="00F34509" w:rsidP="00F34509">
      <w:pPr>
        <w:pStyle w:val="Bullet-Indent"/>
      </w:pPr>
      <w:r w:rsidRPr="002B213C">
        <w:t>ensur</w:t>
      </w:r>
      <w:r>
        <w:t>ing</w:t>
      </w:r>
      <w:r w:rsidRPr="002B213C">
        <w:t xml:space="preserve"> Australia retains globally competitive tax settings, particularly for nationally significant infrastructure projects;</w:t>
      </w:r>
    </w:p>
    <w:p w14:paraId="191A96E4" w14:textId="77777777" w:rsidR="00F34509" w:rsidRPr="002B213C" w:rsidRDefault="00F34509" w:rsidP="00F34509">
      <w:pPr>
        <w:pStyle w:val="Bullet-Indent"/>
      </w:pPr>
      <w:r w:rsidRPr="002B213C">
        <w:t>provid</w:t>
      </w:r>
      <w:r>
        <w:t>ing</w:t>
      </w:r>
      <w:r w:rsidRPr="002B213C">
        <w:t xml:space="preserve"> a more level playing field between domestic and foreign investors; and</w:t>
      </w:r>
    </w:p>
    <w:p w14:paraId="2C1B75EE" w14:textId="77777777" w:rsidR="00F34509" w:rsidRPr="002B213C" w:rsidRDefault="00F34509" w:rsidP="00F34509">
      <w:pPr>
        <w:pStyle w:val="Bullet-Indent"/>
      </w:pPr>
      <w:proofErr w:type="gramStart"/>
      <w:r w:rsidRPr="002B213C">
        <w:t>increas</w:t>
      </w:r>
      <w:r>
        <w:t>ing</w:t>
      </w:r>
      <w:proofErr w:type="gramEnd"/>
      <w:r w:rsidRPr="002B213C">
        <w:t xml:space="preserve"> certainty for businesses</w:t>
      </w:r>
      <w:r w:rsidRPr="00CA2D7A">
        <w:t xml:space="preserve"> </w:t>
      </w:r>
      <w:r w:rsidRPr="002B213C">
        <w:t>and investors.</w:t>
      </w:r>
    </w:p>
    <w:p w14:paraId="348801C8" w14:textId="77777777" w:rsidR="00F34509" w:rsidRPr="00D975AA" w:rsidRDefault="00F34509" w:rsidP="00F34509">
      <w:pPr>
        <w:pStyle w:val="OutlineNumbered1"/>
      </w:pPr>
      <w:r>
        <w:t>A package of</w:t>
      </w:r>
      <w:r w:rsidRPr="00D975AA">
        <w:t xml:space="preserve"> policy measures </w:t>
      </w:r>
      <w:r>
        <w:t xml:space="preserve">has been </w:t>
      </w:r>
      <w:r w:rsidRPr="00D975AA">
        <w:t>designed</w:t>
      </w:r>
      <w:r w:rsidRPr="00507A59">
        <w:t xml:space="preserve"> to address the tax integrity risks posed by stapled structures and other tax concessions</w:t>
      </w:r>
      <w:r w:rsidRPr="00DD5E1B">
        <w:t xml:space="preserve">, consistent with these objectives. </w:t>
      </w:r>
      <w:r w:rsidRPr="00C62C91">
        <w:t>This package seek</w:t>
      </w:r>
      <w:r w:rsidRPr="006519D9">
        <w:t>s to neutralise the tax benefits delivered by staples without requiring investors to restructure their existing arrangements</w:t>
      </w:r>
      <w:r>
        <w:t>.</w:t>
      </w:r>
    </w:p>
    <w:p w14:paraId="60B912B9" w14:textId="77777777" w:rsidR="00F34509" w:rsidRPr="006519D9" w:rsidRDefault="00F34509" w:rsidP="00F34509">
      <w:pPr>
        <w:pStyle w:val="OutlineNumbered1"/>
      </w:pPr>
      <w:r w:rsidRPr="00D975AA">
        <w:t xml:space="preserve">The development of this package </w:t>
      </w:r>
      <w:r w:rsidRPr="00DD5E1B">
        <w:t xml:space="preserve">has drawn </w:t>
      </w:r>
      <w:r>
        <w:t xml:space="preserve">heavily </w:t>
      </w:r>
      <w:r w:rsidRPr="00DD5E1B">
        <w:t xml:space="preserve">on </w:t>
      </w:r>
      <w:r>
        <w:t>s</w:t>
      </w:r>
      <w:r w:rsidRPr="00DD5E1B">
        <w:t xml:space="preserve">takeholder feedback provided to Treasury throughout 2017 </w:t>
      </w:r>
      <w:r>
        <w:t xml:space="preserve">during </w:t>
      </w:r>
      <w:r w:rsidRPr="00DD5E1B">
        <w:t>extensive consult</w:t>
      </w:r>
      <w:r>
        <w:t>ation</w:t>
      </w:r>
      <w:r w:rsidRPr="00DD5E1B">
        <w:t xml:space="preserve"> on policy principles and options</w:t>
      </w:r>
      <w:r>
        <w:t xml:space="preserve"> in the course of its </w:t>
      </w:r>
      <w:r w:rsidRPr="00DD5E1B">
        <w:t xml:space="preserve">review of the tax treatment of stapled structures.  </w:t>
      </w:r>
    </w:p>
    <w:p w14:paraId="37101E78" w14:textId="0FFDDA37" w:rsidR="00F34509" w:rsidRPr="00507A59" w:rsidRDefault="001A6BA5" w:rsidP="00F34509">
      <w:pPr>
        <w:pStyle w:val="Heading2"/>
      </w:pPr>
      <w:bookmarkStart w:id="1" w:name="_Toc504578071"/>
      <w:bookmarkStart w:id="2" w:name="_Toc509863993"/>
      <w:bookmarkStart w:id="3" w:name="_Toc509868691"/>
      <w:bookmarkStart w:id="4" w:name="_Toc509868875"/>
      <w:r>
        <w:t>Detail</w:t>
      </w:r>
      <w:r w:rsidR="00F34509" w:rsidRPr="00D975AA">
        <w:t xml:space="preserve"> of </w:t>
      </w:r>
      <w:bookmarkEnd w:id="1"/>
      <w:r w:rsidR="00F34509" w:rsidRPr="00D975AA">
        <w:t>measures</w:t>
      </w:r>
      <w:bookmarkEnd w:id="2"/>
      <w:bookmarkEnd w:id="3"/>
      <w:bookmarkEnd w:id="4"/>
    </w:p>
    <w:p w14:paraId="006DC494" w14:textId="77777777" w:rsidR="00F34509" w:rsidRDefault="00F34509" w:rsidP="00F34509">
      <w:pPr>
        <w:pStyle w:val="Heading3"/>
      </w:pPr>
      <w:r>
        <w:t>Element A: Preventing active business income from accessing the</w:t>
      </w:r>
      <w:r>
        <w:br/>
        <w:t>15 per cent MIT rate</w:t>
      </w:r>
    </w:p>
    <w:p w14:paraId="0E1B1339" w14:textId="77777777" w:rsidR="00F34509" w:rsidRPr="0058664B" w:rsidRDefault="00F34509" w:rsidP="00F34509">
      <w:pPr>
        <w:pStyle w:val="OutlineNumbered1"/>
      </w:pPr>
      <w:r w:rsidRPr="005F6F8C">
        <w:t xml:space="preserve">This measure neutralises the tax benefits of stapled structures by preventing foreign investors from accessing the 15 per cent MIT rate on active business income. Instead, this income will be subject to withholding tax </w:t>
      </w:r>
      <w:r w:rsidRPr="003C4C5C">
        <w:t>at the company tax rate</w:t>
      </w:r>
      <w:r w:rsidRPr="005F6F8C">
        <w:t xml:space="preserve">. Specifically, the higher MIT withholding tax rate will apply to MIT fund payments derived from cross staple rental </w:t>
      </w:r>
      <w:r w:rsidRPr="005F6F8C">
        <w:lastRenderedPageBreak/>
        <w:t>payments, cross staple payments made under some financial arrangements such as total return swaps, or where the MIT receives a distribution from a trading trust.</w:t>
      </w:r>
    </w:p>
    <w:p w14:paraId="3FBD20B0" w14:textId="4864845E" w:rsidR="00F34509" w:rsidRPr="004B69AE" w:rsidRDefault="00F34509" w:rsidP="00F34509">
      <w:pPr>
        <w:pStyle w:val="OutlineNumbered1"/>
      </w:pPr>
      <w:r>
        <w:t>The</w:t>
      </w:r>
      <w:r w:rsidRPr="006021F3">
        <w:t xml:space="preserve"> higher withholding tax w</w:t>
      </w:r>
      <w:r>
        <w:t>ill</w:t>
      </w:r>
      <w:r w:rsidRPr="006021F3">
        <w:t xml:space="preserve"> not apply where the stapled operating entity receives rent from third parties and this is merely passed through </w:t>
      </w:r>
      <w:r>
        <w:t xml:space="preserve">as rent </w:t>
      </w:r>
      <w:r w:rsidRPr="006021F3">
        <w:t xml:space="preserve">to the trust.  </w:t>
      </w:r>
      <w:r>
        <w:t>These staples do not convert active business income – the cross</w:t>
      </w:r>
      <w:r w:rsidR="008B19D4">
        <w:t xml:space="preserve"> </w:t>
      </w:r>
      <w:r>
        <w:t xml:space="preserve">staple payment doesn’t change the character of the rental </w:t>
      </w:r>
      <w:r w:rsidR="007D6D61">
        <w:t>income</w:t>
      </w:r>
      <w:r>
        <w:t>. R</w:t>
      </w:r>
      <w:r w:rsidRPr="002B4B64">
        <w:t>equiring these staples to restructure in order for the trust to receive these third party rents directly would create compliance costs, without raising revenue.</w:t>
      </w:r>
      <w:r>
        <w:t xml:space="preserve">  </w:t>
      </w:r>
    </w:p>
    <w:p w14:paraId="559BE102" w14:textId="77777777" w:rsidR="00F34509" w:rsidRDefault="00F34509" w:rsidP="00F34509">
      <w:pPr>
        <w:pStyle w:val="OutlineNumbered1"/>
      </w:pPr>
      <w:r>
        <w:t xml:space="preserve">The higher withholding tax will also not apply where only a small proportion of </w:t>
      </w:r>
      <w:r w:rsidRPr="00805156">
        <w:t xml:space="preserve">the gross income of the trust </w:t>
      </w:r>
      <w:r>
        <w:t>relates to cross staple payments. This will lower compliance costs for entities that have some cross staple arrangements but where the conversion of active business income is not central to the structure.</w:t>
      </w:r>
    </w:p>
    <w:p w14:paraId="5813DC85" w14:textId="77777777" w:rsidR="00F34509" w:rsidRDefault="00F34509" w:rsidP="00F34509">
      <w:pPr>
        <w:pStyle w:val="OutlineNumbered1"/>
      </w:pPr>
      <w:r>
        <w:t xml:space="preserve">The Government will also introduce a concession for certain infrastructure projects to encourage the construction of nationally significant infrastructure. To achieve this, a time-limited exemption from this measure will be available for new investment in economic infrastructure assets approved by the Government. This exemption will allow approved infrastructure assets held in a stapled structure to enjoy the 15 per cent MIT withholding tax rate on cross staple rental income for the exemption period (provided they satisfy the other conditions for this concession). At the end of the exemption period of 15 years, the MIT withholding tax rate on this income will increase to align with the company tax </w:t>
      </w:r>
      <w:r w:rsidRPr="003572CC">
        <w:t xml:space="preserve">rate. </w:t>
      </w:r>
      <w:r w:rsidRPr="00897C23">
        <w:t>This exem</w:t>
      </w:r>
      <w:r w:rsidRPr="00C8336E">
        <w:t xml:space="preserve">ption will </w:t>
      </w:r>
      <w:r w:rsidRPr="002277C4">
        <w:t xml:space="preserve">facilitate investment in </w:t>
      </w:r>
      <w:r w:rsidRPr="00897C23">
        <w:t>productivity enhancing projects</w:t>
      </w:r>
      <w:r w:rsidRPr="002277C4">
        <w:t>.</w:t>
      </w:r>
    </w:p>
    <w:p w14:paraId="0CFFCF82" w14:textId="77777777" w:rsidR="00F34509" w:rsidRPr="002277C4" w:rsidRDefault="00F34509" w:rsidP="00F34509">
      <w:pPr>
        <w:pStyle w:val="OutlineNumbered1"/>
      </w:pPr>
      <w:r>
        <w:t xml:space="preserve">Treasury will consult separately on the conditions stapled entities must comply with to access the infrastructure concession (for example, stronger integrity rules may be needed to protect against aggressive cross staple pricing). </w:t>
      </w:r>
    </w:p>
    <w:p w14:paraId="4CC86500" w14:textId="77777777" w:rsidR="00F34509" w:rsidRDefault="00F34509" w:rsidP="00F34509">
      <w:pPr>
        <w:pStyle w:val="Heading3"/>
      </w:pPr>
      <w:r>
        <w:t>Element B: Preventing double gearing structures through the thin capitalisation rules</w:t>
      </w:r>
    </w:p>
    <w:p w14:paraId="3ED7825F" w14:textId="77777777" w:rsidR="00F34509" w:rsidRPr="00C62C91" w:rsidRDefault="00F34509" w:rsidP="00F34509">
      <w:pPr>
        <w:pStyle w:val="OutlineNumbered1"/>
      </w:pPr>
      <w:r w:rsidRPr="00D975AA">
        <w:t xml:space="preserve">Stapled structures are often very heavily geared with debt. </w:t>
      </w:r>
      <w:r>
        <w:t xml:space="preserve">Gearing in the form of investor debt from foreign investors </w:t>
      </w:r>
      <w:r w:rsidRPr="00D975AA">
        <w:t xml:space="preserve">reduces the amount of tax that is paid in Australia </w:t>
      </w:r>
      <w:r>
        <w:t xml:space="preserve">in respect of the project </w:t>
      </w:r>
      <w:r w:rsidRPr="00D975AA">
        <w:t xml:space="preserve">as interest payments are generally deductible and subject to withholding tax at rates of 10 per cent or lower </w:t>
      </w:r>
      <w:r>
        <w:t xml:space="preserve">when </w:t>
      </w:r>
      <w:r w:rsidRPr="00D975AA">
        <w:t>the interest is paid offshore</w:t>
      </w:r>
      <w:r w:rsidRPr="00507A59">
        <w:t xml:space="preserve">. Australia’s thin capitalisation rules put limits on the amount </w:t>
      </w:r>
      <w:r w:rsidRPr="00DD5E1B">
        <w:t>of interest that foreign-controlled Australian entities can deduct.</w:t>
      </w:r>
    </w:p>
    <w:p w14:paraId="6CB15A64" w14:textId="77777777" w:rsidR="00F34509" w:rsidRPr="006519D9" w:rsidRDefault="00F34509" w:rsidP="00F34509">
      <w:pPr>
        <w:pStyle w:val="OutlineNumbered1"/>
      </w:pPr>
      <w:r w:rsidRPr="00C62C91">
        <w:t>Some investors are able to gear at levels greater than the intended thin capitalisation limits by using</w:t>
      </w:r>
      <w:r w:rsidRPr="006519D9">
        <w:t xml:space="preserve"> ‘double gearing’ structures. These structures involve the use of multiple layers of entities that are ‘flow</w:t>
      </w:r>
      <w:r>
        <w:t>-</w:t>
      </w:r>
      <w:r w:rsidRPr="006519D9">
        <w:t>through’ for tax purposes (</w:t>
      </w:r>
      <w:r>
        <w:t>for example,</w:t>
      </w:r>
      <w:r w:rsidRPr="006519D9">
        <w:t xml:space="preserve"> trusts and partnerships), each issuing debt against the same underlying asset. This strategy is often employed in conjunction with a stapled structure to achieve very low effective tax rates as investors can provide excessive amounts of their capital as </w:t>
      </w:r>
      <w:proofErr w:type="spellStart"/>
      <w:r w:rsidRPr="006519D9">
        <w:t>concessionally</w:t>
      </w:r>
      <w:proofErr w:type="spellEnd"/>
      <w:r w:rsidRPr="006519D9">
        <w:t xml:space="preserve"> taxed investor debt.</w:t>
      </w:r>
    </w:p>
    <w:p w14:paraId="6AE58D09" w14:textId="77777777" w:rsidR="00F34509" w:rsidRPr="006519D9" w:rsidRDefault="00F34509" w:rsidP="00F34509">
      <w:pPr>
        <w:pStyle w:val="OutlineNumbered1"/>
      </w:pPr>
      <w:r w:rsidRPr="006519D9">
        <w:t>There are provisions which are intended to prevent this ‘double gearing’, by grouping ‘associate entities’ when working out the thin capitalisation limits. Entities are generally considered to be associate entities where there is an ownership interest of 50 per cent or more. However, investors do not require full control of an entity to influence its financing arrangements to achieve double gearing.</w:t>
      </w:r>
    </w:p>
    <w:p w14:paraId="036082E4" w14:textId="77777777" w:rsidR="00F34509" w:rsidRPr="006519D9" w:rsidRDefault="00F34509" w:rsidP="00F34509">
      <w:pPr>
        <w:pStyle w:val="OutlineNumbered1"/>
      </w:pPr>
      <w:r w:rsidRPr="00D975AA">
        <w:t>This measure will</w:t>
      </w:r>
      <w:r w:rsidRPr="00507A59">
        <w:t xml:space="preserve"> lower the thin capitalisation </w:t>
      </w:r>
      <w:r w:rsidRPr="00DD5E1B">
        <w:t>associate entity test (for the purposes of determining</w:t>
      </w:r>
      <w:r w:rsidRPr="00C62C91">
        <w:t xml:space="preserve"> associate entity equity and associate entity debt) from 50 per cent or more to 10</w:t>
      </w:r>
      <w:r>
        <w:t> </w:t>
      </w:r>
      <w:r w:rsidRPr="00C62C91">
        <w:t>per cent or more for</w:t>
      </w:r>
      <w:r w:rsidRPr="006519D9">
        <w:t xml:space="preserve"> interests in flow</w:t>
      </w:r>
      <w:r>
        <w:t>-</w:t>
      </w:r>
      <w:r w:rsidRPr="006519D9">
        <w:t>through entities. This will help prevent tax avoidance using double gearing structures. To safeguard against adverse behavioural responses, this measure will also clarify that the thin capitalisation arm’s length debt test requires consideration of gearing against the underlying assets for interests in any entity.</w:t>
      </w:r>
    </w:p>
    <w:p w14:paraId="288A189B" w14:textId="77777777" w:rsidR="00F34509" w:rsidRDefault="00F34509" w:rsidP="00F34509">
      <w:pPr>
        <w:pStyle w:val="Heading3"/>
      </w:pPr>
      <w:r>
        <w:t xml:space="preserve">Element C: </w:t>
      </w:r>
      <w:r w:rsidRPr="004B10AE">
        <w:t xml:space="preserve">Limiting </w:t>
      </w:r>
      <w:r>
        <w:t xml:space="preserve">the </w:t>
      </w:r>
      <w:r w:rsidRPr="00091BE9">
        <w:t>f</w:t>
      </w:r>
      <w:r w:rsidRPr="006C3EEF">
        <w:t>oreign pension fund</w:t>
      </w:r>
      <w:r w:rsidRPr="007E6EDC">
        <w:t xml:space="preserve"> </w:t>
      </w:r>
      <w:r w:rsidRPr="0068078E">
        <w:t>withholding tax</w:t>
      </w:r>
      <w:r>
        <w:t xml:space="preserve"> exemptions</w:t>
      </w:r>
    </w:p>
    <w:p w14:paraId="54DEB97D" w14:textId="77777777" w:rsidR="00F34509" w:rsidRPr="00D975AA" w:rsidRDefault="00F34509" w:rsidP="00F34509">
      <w:pPr>
        <w:pStyle w:val="OutlineNumbered1"/>
      </w:pPr>
      <w:r w:rsidRPr="00D975AA">
        <w:t xml:space="preserve">Australia currently provides broad unilateral exemptions from dividend and interest withholding tax for both government and private sector foreign pension funds that are exempt from tax in their home country. Most other countries do not </w:t>
      </w:r>
      <w:r>
        <w:t>provide such broad exemptions meaning that Australian superannuation funds do not generally receive reciprocal</w:t>
      </w:r>
      <w:r w:rsidRPr="00D975AA">
        <w:t xml:space="preserve"> </w:t>
      </w:r>
      <w:r>
        <w:t xml:space="preserve">treatment when investing offshore.  </w:t>
      </w:r>
    </w:p>
    <w:p w14:paraId="7F7EDFAD" w14:textId="77777777" w:rsidR="00F34509" w:rsidRPr="006519D9" w:rsidRDefault="00F34509" w:rsidP="00F34509">
      <w:pPr>
        <w:pStyle w:val="OutlineNumbered1"/>
      </w:pPr>
      <w:r w:rsidRPr="00D975AA">
        <w:t xml:space="preserve">The exemption </w:t>
      </w:r>
      <w:r w:rsidRPr="00507A59">
        <w:t xml:space="preserve">from interest withholding tax makes it very attractive for </w:t>
      </w:r>
      <w:r w:rsidRPr="00DD5E1B">
        <w:t xml:space="preserve">foreign pension funds to gear their Australian equity investments </w:t>
      </w:r>
      <w:r w:rsidRPr="00C62C91">
        <w:t xml:space="preserve">using investor debt to lower their overall </w:t>
      </w:r>
      <w:r w:rsidRPr="006519D9">
        <w:t>Australian tax on the investment. Combined with a stapled structure, this exemption can result in foreign pension funds paying little Australian tax on their investments in Australian businesses.</w:t>
      </w:r>
    </w:p>
    <w:p w14:paraId="4157E5EF" w14:textId="77777777" w:rsidR="00F34509" w:rsidRPr="006519D9" w:rsidRDefault="00F34509" w:rsidP="00F34509">
      <w:pPr>
        <w:pStyle w:val="OutlineNumbered1"/>
      </w:pPr>
      <w:r w:rsidRPr="006519D9">
        <w:t>To address this, the measure will limit the withholding tax exemptions for foreign pension funds to interest and dividend income derived from an entity in which the fund has a</w:t>
      </w:r>
      <w:r>
        <w:br/>
      </w:r>
      <w:r w:rsidRPr="006519D9">
        <w:t>portfolio-like interest (holds an ownership interest of less than 10 per cent and does not have influence over the entity’s key decision-making).</w:t>
      </w:r>
    </w:p>
    <w:p w14:paraId="641CE5DA" w14:textId="77777777" w:rsidR="00F34509" w:rsidRPr="00316122" w:rsidRDefault="00F34509" w:rsidP="00F34509">
      <w:pPr>
        <w:pStyle w:val="Heading3"/>
      </w:pPr>
      <w:r>
        <w:t>Element D: Limiting the s</w:t>
      </w:r>
      <w:r w:rsidRPr="00630EB3">
        <w:t>overeign immunity</w:t>
      </w:r>
      <w:r>
        <w:t xml:space="preserve"> tax exemption</w:t>
      </w:r>
    </w:p>
    <w:p w14:paraId="43AAC8D7" w14:textId="77777777" w:rsidR="00F34509" w:rsidRPr="00507A59" w:rsidRDefault="00F34509" w:rsidP="00F34509">
      <w:pPr>
        <w:pStyle w:val="OutlineNumbered1"/>
      </w:pPr>
      <w:r w:rsidRPr="00D975AA">
        <w:t>The ATO provides an administrative concession to foreign government (‘sovereign’) investors</w:t>
      </w:r>
      <w:r>
        <w:t xml:space="preserve"> on income from ’non-commercial’ investments</w:t>
      </w:r>
      <w:r w:rsidRPr="00D975AA">
        <w:t>. No exemption exists in legislation – it is based on longstanding AT</w:t>
      </w:r>
      <w:r w:rsidRPr="00507A59">
        <w:t>O practice.</w:t>
      </w:r>
    </w:p>
    <w:p w14:paraId="09E7C87C" w14:textId="77777777" w:rsidR="00F34509" w:rsidRPr="00C62C91" w:rsidRDefault="00F34509" w:rsidP="00F34509">
      <w:pPr>
        <w:pStyle w:val="OutlineNumbered1"/>
      </w:pPr>
      <w:r w:rsidRPr="00507A59">
        <w:t>The ATO generally exempts a sovereign investor from tax where the investor is not acting in a commercial capacity and cannot influence the decision</w:t>
      </w:r>
      <w:r>
        <w:t>-</w:t>
      </w:r>
      <w:r w:rsidRPr="00507A59">
        <w:t xml:space="preserve">making of an entity. In some instances, this can mean a sovereign investor with an ownership interest of </w:t>
      </w:r>
      <w:r w:rsidRPr="00DD5E1B">
        <w:t xml:space="preserve">more than 10 per cent can be exempt from interest and dividend withholding taxes, capital gains tax and tax on trust distributions (there is no exemption from company tax). In a stapled structure, this means sovereign investors </w:t>
      </w:r>
      <w:r>
        <w:t xml:space="preserve">that meet the ATO’s conditions for sovereign immunity </w:t>
      </w:r>
      <w:r w:rsidRPr="00DD5E1B">
        <w:t>pay no MIT withholding tax</w:t>
      </w:r>
      <w:r>
        <w:t xml:space="preserve"> and get a tax exemption for income earned by a trading trust</w:t>
      </w:r>
      <w:r w:rsidRPr="00DD5E1B">
        <w:t xml:space="preserve"> </w:t>
      </w:r>
      <w:r>
        <w:t xml:space="preserve">which </w:t>
      </w:r>
      <w:r w:rsidRPr="00DD5E1B">
        <w:t xml:space="preserve">can achieve tax rates of close to 0 per cent on </w:t>
      </w:r>
      <w:r w:rsidRPr="00C62C91">
        <w:t>active business income.</w:t>
      </w:r>
    </w:p>
    <w:p w14:paraId="1C02F180" w14:textId="0ADA2ECE" w:rsidR="00F34509" w:rsidRPr="00223010" w:rsidRDefault="00F34509" w:rsidP="00171734">
      <w:pPr>
        <w:pStyle w:val="OutlineNumbered1"/>
      </w:pPr>
      <w:r w:rsidRPr="00223010">
        <w:t xml:space="preserve">Most countries do not provide </w:t>
      </w:r>
      <w:r w:rsidR="00171734" w:rsidRPr="00171734">
        <w:t xml:space="preserve">reciprocity through </w:t>
      </w:r>
      <w:r>
        <w:t xml:space="preserve">such broad </w:t>
      </w:r>
      <w:r w:rsidRPr="00223010">
        <w:t xml:space="preserve">tax concessions for sovereign investors. </w:t>
      </w:r>
      <w:r>
        <w:t>This means that f</w:t>
      </w:r>
      <w:r w:rsidRPr="004B69AE" w:rsidDel="00D4619D">
        <w:t>oreign</w:t>
      </w:r>
      <w:r w:rsidRPr="004B69AE">
        <w:t xml:space="preserve"> sovereign investors</w:t>
      </w:r>
      <w:r>
        <w:t xml:space="preserve"> generally </w:t>
      </w:r>
      <w:r w:rsidRPr="004B69AE">
        <w:t xml:space="preserve">receive a much greater benefit when they invest in Australia </w:t>
      </w:r>
      <w:r>
        <w:t>than</w:t>
      </w:r>
      <w:r w:rsidRPr="004B69AE">
        <w:t xml:space="preserve"> </w:t>
      </w:r>
      <w:r>
        <w:t>we receive</w:t>
      </w:r>
      <w:r w:rsidRPr="004B69AE">
        <w:t xml:space="preserve"> when </w:t>
      </w:r>
      <w:r w:rsidR="00BF2411">
        <w:t>our sovereign wealth fund</w:t>
      </w:r>
      <w:r w:rsidR="008B19D4">
        <w:t>s</w:t>
      </w:r>
      <w:r>
        <w:t xml:space="preserve"> </w:t>
      </w:r>
      <w:r w:rsidRPr="004B69AE">
        <w:t xml:space="preserve">invest in </w:t>
      </w:r>
      <w:r>
        <w:t>other</w:t>
      </w:r>
      <w:r w:rsidRPr="004B69AE">
        <w:t xml:space="preserve"> countries.</w:t>
      </w:r>
    </w:p>
    <w:p w14:paraId="37F774AC" w14:textId="77777777" w:rsidR="00F34509" w:rsidRPr="00D975AA" w:rsidRDefault="00F34509" w:rsidP="00F34509">
      <w:pPr>
        <w:pStyle w:val="OutlineNumbered1"/>
      </w:pPr>
      <w:r w:rsidRPr="00C62C91">
        <w:t xml:space="preserve">This </w:t>
      </w:r>
      <w:r w:rsidRPr="006519D9">
        <w:t xml:space="preserve">measure will create a legislative framework for the sovereign immunity tax exemption and limit it to </w:t>
      </w:r>
      <w:r>
        <w:t xml:space="preserve">situations </w:t>
      </w:r>
      <w:r w:rsidRPr="006519D9">
        <w:t>where sovereign investors have an ownership interest of less than 10 per cent and do not have influence over the entity’s key decision</w:t>
      </w:r>
      <w:r w:rsidRPr="006519D9">
        <w:noBreakHyphen/>
        <w:t xml:space="preserve">making. </w:t>
      </w:r>
    </w:p>
    <w:p w14:paraId="2B43B4AA" w14:textId="77777777" w:rsidR="00F34509" w:rsidRDefault="00F34509" w:rsidP="00F34509">
      <w:pPr>
        <w:pStyle w:val="OutlineNumbered1"/>
      </w:pPr>
      <w:r>
        <w:t>T</w:t>
      </w:r>
      <w:r w:rsidRPr="006519D9">
        <w:t>o ensure foreign sovereign investors are subject to tax on active business income earned through a trust, the exemption will not extend to distributions of active business income from trusts</w:t>
      </w:r>
      <w:r>
        <w:t xml:space="preserve"> (including where the active income has been converted to rent through cross staple payments)</w:t>
      </w:r>
      <w:r w:rsidRPr="006519D9">
        <w:t>.</w:t>
      </w:r>
    </w:p>
    <w:p w14:paraId="322208DF" w14:textId="3BDB1A3E" w:rsidR="007C2F4E" w:rsidRPr="00755812" w:rsidRDefault="007C2F4E" w:rsidP="00D675B9">
      <w:pPr>
        <w:pStyle w:val="Heading3"/>
      </w:pPr>
      <w:r>
        <w:t xml:space="preserve">Element E: Preventing </w:t>
      </w:r>
      <w:r w:rsidRPr="00755812">
        <w:rPr>
          <w:bCs/>
        </w:rPr>
        <w:t>agricultural MIT</w:t>
      </w:r>
      <w:r>
        <w:t>s</w:t>
      </w:r>
    </w:p>
    <w:p w14:paraId="6556EDDF" w14:textId="77777777" w:rsidR="00F34509" w:rsidRPr="00C62C91" w:rsidRDefault="00F34509" w:rsidP="00F34509">
      <w:pPr>
        <w:pStyle w:val="OutlineNumbered1"/>
      </w:pPr>
      <w:r w:rsidRPr="00D975AA">
        <w:t xml:space="preserve">Foreign investors can currently access the 15 per cent MIT rate on rent and capital gains derived by a MIT from agricultural land. This means that foreign investors enjoy lower tax rates on </w:t>
      </w:r>
      <w:r>
        <w:t xml:space="preserve">rent and capital gains from agricultural land compared to </w:t>
      </w:r>
      <w:r w:rsidRPr="00D975AA">
        <w:t>most domestic investors</w:t>
      </w:r>
      <w:r>
        <w:t xml:space="preserve">. This </w:t>
      </w:r>
      <w:r w:rsidRPr="00D975AA">
        <w:t>provid</w:t>
      </w:r>
      <w:r>
        <w:t>es</w:t>
      </w:r>
      <w:r w:rsidRPr="00D975AA">
        <w:t xml:space="preserve"> foreigners with a </w:t>
      </w:r>
      <w:r>
        <w:t>competitive</w:t>
      </w:r>
      <w:r w:rsidRPr="00D975AA">
        <w:t xml:space="preserve"> advantage </w:t>
      </w:r>
      <w:r>
        <w:t>over domestic investors when purchasing</w:t>
      </w:r>
      <w:r w:rsidRPr="00D975AA" w:rsidDel="00DE7366">
        <w:t xml:space="preserve"> </w:t>
      </w:r>
      <w:r w:rsidRPr="00D975AA">
        <w:t xml:space="preserve">Australian agricultural land. To level the playing field, this </w:t>
      </w:r>
      <w:r w:rsidRPr="00507A59">
        <w:t xml:space="preserve">measure will prevent </w:t>
      </w:r>
      <w:r w:rsidRPr="00DD5E1B">
        <w:t>rent from agricultural land from qu</w:t>
      </w:r>
      <w:r w:rsidRPr="00C62C91">
        <w:t>alifying as eligible investment business income.</w:t>
      </w:r>
    </w:p>
    <w:p w14:paraId="4BDD0E14" w14:textId="17CF27CF" w:rsidR="007C2F4E" w:rsidRPr="007C2F4E" w:rsidRDefault="007C2F4E" w:rsidP="00D675B9">
      <w:pPr>
        <w:pStyle w:val="Heading3"/>
      </w:pPr>
      <w:r w:rsidRPr="007C2F4E">
        <w:t>T</w:t>
      </w:r>
      <w:r w:rsidR="009E5422">
        <w:t>iming and t</w:t>
      </w:r>
      <w:r w:rsidRPr="007C2F4E">
        <w:t>ransition</w:t>
      </w:r>
    </w:p>
    <w:p w14:paraId="05A37C44" w14:textId="77777777" w:rsidR="00F34509" w:rsidRPr="00F34509" w:rsidRDefault="00F34509" w:rsidP="00F34509">
      <w:pPr>
        <w:numPr>
          <w:ilvl w:val="0"/>
          <w:numId w:val="6"/>
        </w:numPr>
      </w:pPr>
      <w:bookmarkStart w:id="5" w:name="_Toc489016271"/>
      <w:bookmarkEnd w:id="5"/>
      <w:r w:rsidRPr="00F34509">
        <w:t xml:space="preserve">Elements A, C, D and E will commence on 1 July 2019 but arrangements in existence at the date of government announcement of this package will have access to a seven year transition period. For arrangements qualifying for transitional relief, the earliest these tax changes (other than the thin capitalisation changes) will apply is 1 July 2026. Given the long life of infrastructure assets, a 15 year transition period for existing economic infrastructure staples will be given with respect to Element A. </w:t>
      </w:r>
    </w:p>
    <w:p w14:paraId="6BE2DEB8" w14:textId="77777777" w:rsidR="00F34509" w:rsidRPr="00F34509" w:rsidRDefault="00F34509" w:rsidP="00F34509">
      <w:pPr>
        <w:numPr>
          <w:ilvl w:val="0"/>
          <w:numId w:val="6"/>
        </w:numPr>
      </w:pPr>
      <w:r w:rsidRPr="00F34509">
        <w:t>During these transition periods, qualifying foreign investors can still access the MIT concession on converted active business income and the foreign pension fund and sovereign immunity exemptions. During the transition period, concessional tax rates will only apply in relation to investments made or, in the case of Element A, committed to at the date of announcement. Sovereign investors that have a ruling from the ATO on sovereign immunity for a particular investment extending beyond the seven year period will be able to access the transition period on that investment until the expiry of the ruling.</w:t>
      </w:r>
    </w:p>
    <w:p w14:paraId="79872483" w14:textId="77777777" w:rsidR="00F34509" w:rsidRPr="00F34509" w:rsidRDefault="00F34509" w:rsidP="00F34509">
      <w:pPr>
        <w:numPr>
          <w:ilvl w:val="0"/>
          <w:numId w:val="6"/>
        </w:numPr>
      </w:pPr>
      <w:r w:rsidRPr="00F34509">
        <w:t xml:space="preserve">In Taxpayer Alert 2017/01, the ATO warned that some stapled structures might attract the operation of the general anti-avoidance rule in Part IVA of the </w:t>
      </w:r>
      <w:r w:rsidRPr="00F34509">
        <w:rPr>
          <w:i/>
        </w:rPr>
        <w:t>Income Tax Assessment Act 1936</w:t>
      </w:r>
      <w:r w:rsidRPr="00F34509">
        <w:t xml:space="preserve">. Following the implementation of this policy package, the general anti-avoidance rule will not apply </w:t>
      </w:r>
      <w:r w:rsidRPr="00F34509" w:rsidDel="004D3929">
        <w:t xml:space="preserve">with respect </w:t>
      </w:r>
      <w:r w:rsidRPr="00F34509">
        <w:t xml:space="preserve">to the choice of a </w:t>
      </w:r>
      <w:r w:rsidRPr="00F34509" w:rsidDel="004D3929">
        <w:t xml:space="preserve">stapled structure </w:t>
      </w:r>
      <w:r w:rsidRPr="00F34509">
        <w:t>to obtain a deduction in respect of cross staple rent</w:t>
      </w:r>
      <w:r w:rsidRPr="00F34509" w:rsidDel="004D3929">
        <w:t xml:space="preserve"> during the transition period</w:t>
      </w:r>
      <w:r w:rsidRPr="00F34509">
        <w:t>. Consistent with the ATO’s taxpayer alert, the Government also expects that Part IVA will apply to egregious tax-driven arrangements such as royalty staples.</w:t>
      </w:r>
    </w:p>
    <w:p w14:paraId="5090B68A" w14:textId="77777777" w:rsidR="00F34509" w:rsidRPr="00F34509" w:rsidRDefault="00F34509" w:rsidP="00F34509">
      <w:pPr>
        <w:numPr>
          <w:ilvl w:val="0"/>
          <w:numId w:val="6"/>
        </w:numPr>
      </w:pPr>
      <w:r w:rsidRPr="00F34509">
        <w:t xml:space="preserve">Treasury will consult separately on the conditions stapled entities must comply with to access the transitional arrangements available under Element A (for example, stronger integrity rules may be needed to protect against aggressive cross staple pricing). </w:t>
      </w:r>
    </w:p>
    <w:p w14:paraId="57E1D77A" w14:textId="4FDF16C2" w:rsidR="00A57927" w:rsidRPr="00CD0F5D" w:rsidRDefault="00F34509" w:rsidP="00F34509">
      <w:pPr>
        <w:numPr>
          <w:ilvl w:val="0"/>
          <w:numId w:val="6"/>
        </w:numPr>
      </w:pPr>
      <w:r w:rsidRPr="00F34509">
        <w:t>Element B will apply to income years commencing on or after 1 July 2018 (with no transitional period as it addresses an unintended legislative outcome).</w:t>
      </w:r>
    </w:p>
    <w:sectPr w:rsidR="00A57927" w:rsidRPr="00CD0F5D" w:rsidSect="00A57927">
      <w:headerReference w:type="default" r:id="rId15"/>
      <w:headerReference w:type="first" r:id="rId16"/>
      <w:footerReference w:type="first" r:id="rId17"/>
      <w:type w:val="oddPage"/>
      <w:pgSz w:w="11906" w:h="16838" w:code="9"/>
      <w:pgMar w:top="1418" w:right="1418" w:bottom="1418" w:left="1418" w:header="737"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08827" w14:textId="77777777" w:rsidR="00FC2A00" w:rsidRDefault="00FC2A00">
      <w:pPr>
        <w:spacing w:after="0"/>
      </w:pPr>
      <w:r>
        <w:separator/>
      </w:r>
    </w:p>
  </w:endnote>
  <w:endnote w:type="continuationSeparator" w:id="0">
    <w:p w14:paraId="74FF7679" w14:textId="77777777" w:rsidR="00FC2A00" w:rsidRDefault="00FC2A00">
      <w:pPr>
        <w:spacing w:after="0"/>
      </w:pPr>
      <w:r>
        <w:continuationSeparator/>
      </w:r>
    </w:p>
  </w:endnote>
  <w:endnote w:type="continuationNotice" w:id="1">
    <w:p w14:paraId="1556941D" w14:textId="77777777" w:rsidR="00FC2A00" w:rsidRDefault="00FC2A0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64D8F" w14:textId="1A8B279D" w:rsidR="00FC2A00" w:rsidRDefault="00A57927" w:rsidP="00CD0F5D">
    <w:pPr>
      <w:pStyle w:val="FooterEven"/>
    </w:pPr>
    <w:r>
      <w:t xml:space="preserve">Page </w:t>
    </w:r>
    <w:r>
      <w:fldChar w:fldCharType="begin"/>
    </w:r>
    <w:r>
      <w:instrText xml:space="preserve"> PAGE   \* MERGEFORMAT </w:instrText>
    </w:r>
    <w:r>
      <w:fldChar w:fldCharType="separate"/>
    </w:r>
    <w:r w:rsidR="00D31155">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AB392" w14:textId="677B78EA" w:rsidR="00FC2A00" w:rsidRDefault="00A57927" w:rsidP="00CD0F5D">
    <w:pPr>
      <w:pStyle w:val="FooterOdd"/>
    </w:pPr>
    <w:r>
      <w:t xml:space="preserve">Page </w:t>
    </w:r>
    <w:r>
      <w:fldChar w:fldCharType="begin"/>
    </w:r>
    <w:r>
      <w:instrText xml:space="preserve"> PAGE   \* MERGEFORMAT </w:instrText>
    </w:r>
    <w:r>
      <w:fldChar w:fldCharType="separate"/>
    </w:r>
    <w:r w:rsidR="00D31155">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4F938" w14:textId="42990D12" w:rsidR="00A57927" w:rsidRPr="00A57927" w:rsidRDefault="00A5792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7F2B8" w14:textId="77777777" w:rsidR="00A57927" w:rsidRDefault="00A57927" w:rsidP="00CD0F5D">
    <w:pPr>
      <w:pStyle w:val="FooterOdd"/>
    </w:pPr>
    <w:r>
      <w:t xml:space="preserve">Page </w:t>
    </w:r>
    <w:r>
      <w:fldChar w:fldCharType="begin"/>
    </w:r>
    <w:r>
      <w:instrText xml:space="preserve"> PAGE   \* MERGEFORMAT </w:instrText>
    </w:r>
    <w:r>
      <w:fldChar w:fldCharType="separate"/>
    </w:r>
    <w:r w:rsidR="00D3115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512B9" w14:textId="77777777" w:rsidR="00FC2A00" w:rsidRDefault="00FC2A00">
      <w:pPr>
        <w:spacing w:after="0"/>
      </w:pPr>
      <w:r>
        <w:separator/>
      </w:r>
    </w:p>
  </w:footnote>
  <w:footnote w:type="continuationSeparator" w:id="0">
    <w:p w14:paraId="46B69816" w14:textId="77777777" w:rsidR="00FC2A00" w:rsidRDefault="00FC2A00">
      <w:pPr>
        <w:spacing w:after="0"/>
      </w:pPr>
      <w:r>
        <w:continuationSeparator/>
      </w:r>
    </w:p>
  </w:footnote>
  <w:footnote w:type="continuationNotice" w:id="1">
    <w:p w14:paraId="1114E671" w14:textId="77777777" w:rsidR="00FC2A00" w:rsidRDefault="00FC2A0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A6D8B" w14:textId="42BE2867" w:rsidR="00FC2A00" w:rsidRPr="00CD0F5D" w:rsidRDefault="00171734" w:rsidP="00CD0F5D">
    <w:pPr>
      <w:pStyle w:val="HeaderEven"/>
    </w:pPr>
    <w:fldSimple w:instr=" TITLE   \* MERGEFORMAT ">
      <w:r w:rsidR="004D2CC2">
        <w:t>Stapled Structures - Details of Integrity Package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9CCD4" w14:textId="1420D070" w:rsidR="00FC2A00" w:rsidRDefault="00A57927">
    <w:pPr>
      <w:pStyle w:val="SecurityClassificationHeader"/>
    </w:pPr>
    <w:r>
      <w:rPr>
        <w:b w:val="0"/>
        <w:caps w:val="0"/>
        <w:noProof/>
      </w:rPr>
      <w:drawing>
        <wp:anchor distT="0" distB="0" distL="114300" distR="114300" simplePos="1" relativeHeight="251658241" behindDoc="1" locked="0" layoutInCell="1" allowOverlap="1" wp14:anchorId="7848AC7E" wp14:editId="170E61A6">
          <wp:simplePos x="1209675" y="762000"/>
          <wp:positionH relativeFrom="page">
            <wp:posOffset>1209675</wp:posOffset>
          </wp:positionH>
          <wp:positionV relativeFrom="page">
            <wp:posOffset>762000</wp:posOffset>
          </wp:positionV>
          <wp:extent cx="2628900" cy="639955"/>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a:extLst>
                      <a:ext uri="{28A0092B-C50C-407E-A947-70E740481C1C}">
                        <a14:useLocalDpi xmlns:a14="http://schemas.microsoft.com/office/drawing/2010/main" val="0"/>
                      </a:ext>
                    </a:extLst>
                  </a:blip>
                  <a:stretch>
                    <a:fillRect/>
                  </a:stretch>
                </pic:blipFill>
                <pic:spPr>
                  <a:xfrm>
                    <a:off x="0" y="0"/>
                    <a:ext cx="2627432" cy="6395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C9E0" w14:textId="469D2AB8" w:rsidR="00FC2A00" w:rsidRPr="00E427BE" w:rsidRDefault="00A57927">
    <w:pPr>
      <w:pStyle w:val="SecurityClassificationHeader"/>
    </w:pPr>
    <w:r>
      <w:rPr>
        <w:b w:val="0"/>
        <w:caps w:val="0"/>
        <w:noProof/>
      </w:rPr>
      <w:drawing>
        <wp:anchor distT="0" distB="0" distL="114300" distR="114300" simplePos="0" relativeHeight="251658242" behindDoc="1" locked="0" layoutInCell="1" allowOverlap="1" wp14:anchorId="167CA3F9" wp14:editId="3ED041D8">
          <wp:simplePos x="0" y="0"/>
          <wp:positionH relativeFrom="page">
            <wp:posOffset>196308</wp:posOffset>
          </wp:positionH>
          <wp:positionV relativeFrom="page">
            <wp:posOffset>266700</wp:posOffset>
          </wp:positionV>
          <wp:extent cx="7188014" cy="1079500"/>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a:extLst>
                      <a:ext uri="{28A0092B-C50C-407E-A947-70E740481C1C}">
                        <a14:useLocalDpi xmlns:a14="http://schemas.microsoft.com/office/drawing/2010/main" val="0"/>
                      </a:ext>
                    </a:extLst>
                  </a:blip>
                  <a:stretch>
                    <a:fillRect/>
                  </a:stretch>
                </pic:blipFill>
                <pic:spPr>
                  <a:xfrm>
                    <a:off x="0" y="0"/>
                    <a:ext cx="7188014" cy="1079500"/>
                  </a:xfrm>
                  <a:prstGeom prst="rect">
                    <a:avLst/>
                  </a:prstGeom>
                </pic:spPr>
              </pic:pic>
            </a:graphicData>
          </a:graphic>
          <wp14:sizeRelH relativeFrom="margin">
            <wp14:pctWidth>0</wp14:pctWidth>
          </wp14:sizeRelH>
          <wp14:sizeRelV relativeFrom="margin">
            <wp14:pctHeight>0</wp14:pctHeight>
          </wp14:sizeRelV>
        </wp:anchor>
      </w:drawing>
    </w:r>
    <w:r w:rsidR="00FC2A00">
      <w:rPr>
        <w:b w:val="0"/>
        <w:caps w:val="0"/>
        <w:noProof/>
      </w:rPr>
      <w:drawing>
        <wp:anchor distT="0" distB="0" distL="114300" distR="114300" simplePos="0" relativeHeight="251658240" behindDoc="1" locked="0" layoutInCell="1" allowOverlap="1" wp14:anchorId="3525664E" wp14:editId="241EA498">
          <wp:simplePos x="0" y="0"/>
          <wp:positionH relativeFrom="page">
            <wp:posOffset>189230</wp:posOffset>
          </wp:positionH>
          <wp:positionV relativeFrom="page">
            <wp:posOffset>4851400</wp:posOffset>
          </wp:positionV>
          <wp:extent cx="7199630" cy="567563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199630" cy="56756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D10B1" w14:textId="6812B3AC" w:rsidR="00FC2A00" w:rsidRDefault="00171734">
    <w:pPr>
      <w:pStyle w:val="HeaderOdd"/>
    </w:pPr>
    <w:fldSimple w:instr=" TITLE   \* MERGEFORMAT ">
      <w:r w:rsidR="004D2CC2">
        <w:t>Stapled Structures - Details of Integrity Package</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C5B1E" w14:textId="3083C838" w:rsidR="00A57927" w:rsidRPr="00E427BE" w:rsidRDefault="00A57927">
    <w:pPr>
      <w:pStyle w:val="SecurityClassification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AC77F4"/>
    <w:lvl w:ilvl="0">
      <w:start w:val="1"/>
      <w:numFmt w:val="decimal"/>
      <w:lvlText w:val="%1."/>
      <w:lvlJc w:val="left"/>
      <w:pPr>
        <w:tabs>
          <w:tab w:val="num" w:pos="1492"/>
        </w:tabs>
        <w:ind w:left="1492" w:hanging="360"/>
      </w:pPr>
    </w:lvl>
  </w:abstractNum>
  <w:abstractNum w:abstractNumId="1">
    <w:nsid w:val="FFFFFF7D"/>
    <w:multiLevelType w:val="singleLevel"/>
    <w:tmpl w:val="4928089A"/>
    <w:lvl w:ilvl="0">
      <w:start w:val="1"/>
      <w:numFmt w:val="decimal"/>
      <w:lvlText w:val="%1."/>
      <w:lvlJc w:val="left"/>
      <w:pPr>
        <w:tabs>
          <w:tab w:val="num" w:pos="1209"/>
        </w:tabs>
        <w:ind w:left="1209" w:hanging="360"/>
      </w:pPr>
    </w:lvl>
  </w:abstractNum>
  <w:abstractNum w:abstractNumId="2">
    <w:nsid w:val="FFFFFF7E"/>
    <w:multiLevelType w:val="singleLevel"/>
    <w:tmpl w:val="E28489B4"/>
    <w:lvl w:ilvl="0">
      <w:start w:val="1"/>
      <w:numFmt w:val="decimal"/>
      <w:lvlText w:val="%1."/>
      <w:lvlJc w:val="left"/>
      <w:pPr>
        <w:tabs>
          <w:tab w:val="num" w:pos="926"/>
        </w:tabs>
        <w:ind w:left="926" w:hanging="360"/>
      </w:pPr>
    </w:lvl>
  </w:abstractNum>
  <w:abstractNum w:abstractNumId="3">
    <w:nsid w:val="FFFFFF7F"/>
    <w:multiLevelType w:val="singleLevel"/>
    <w:tmpl w:val="7F460FA8"/>
    <w:lvl w:ilvl="0">
      <w:start w:val="1"/>
      <w:numFmt w:val="decimal"/>
      <w:lvlText w:val="%1."/>
      <w:lvlJc w:val="left"/>
      <w:pPr>
        <w:tabs>
          <w:tab w:val="num" w:pos="643"/>
        </w:tabs>
        <w:ind w:left="643" w:hanging="360"/>
      </w:pPr>
    </w:lvl>
  </w:abstractNum>
  <w:abstractNum w:abstractNumId="4">
    <w:nsid w:val="FFFFFF80"/>
    <w:multiLevelType w:val="singleLevel"/>
    <w:tmpl w:val="96304C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546AA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9A64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42AB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3F87E8E"/>
    <w:lvl w:ilvl="0">
      <w:start w:val="1"/>
      <w:numFmt w:val="decimal"/>
      <w:lvlText w:val="%1."/>
      <w:lvlJc w:val="left"/>
      <w:pPr>
        <w:tabs>
          <w:tab w:val="num" w:pos="360"/>
        </w:tabs>
        <w:ind w:left="360" w:hanging="360"/>
      </w:pPr>
    </w:lvl>
  </w:abstractNum>
  <w:abstractNum w:abstractNumId="9">
    <w:nsid w:val="FFFFFF89"/>
    <w:multiLevelType w:val="singleLevel"/>
    <w:tmpl w:val="E9283978"/>
    <w:lvl w:ilvl="0">
      <w:start w:val="1"/>
      <w:numFmt w:val="bullet"/>
      <w:lvlText w:val=""/>
      <w:lvlJc w:val="left"/>
      <w:pPr>
        <w:tabs>
          <w:tab w:val="num" w:pos="360"/>
        </w:tabs>
        <w:ind w:left="360" w:hanging="360"/>
      </w:pPr>
      <w:rPr>
        <w:rFonts w:ascii="Symbol" w:hAnsi="Symbol" w:hint="default"/>
      </w:rPr>
    </w:lvl>
  </w:abstractNum>
  <w:abstractNum w:abstractNumId="10">
    <w:nsid w:val="02355FE7"/>
    <w:multiLevelType w:val="multilevel"/>
    <w:tmpl w:val="8DD81EA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nsid w:val="0B376405"/>
    <w:multiLevelType w:val="multilevel"/>
    <w:tmpl w:val="0E1C8DAE"/>
    <w:lvl w:ilvl="0">
      <w:start w:val="1"/>
      <w:numFmt w:val="decimal"/>
      <w:lvlText w:val="Chapter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CC4E5D"/>
    <w:multiLevelType w:val="multilevel"/>
    <w:tmpl w:val="D10E9CF6"/>
    <w:numStyleLink w:val="OneLevelList"/>
  </w:abstractNum>
  <w:abstractNum w:abstractNumId="16">
    <w:nsid w:val="17DF7717"/>
    <w:multiLevelType w:val="multilevel"/>
    <w:tmpl w:val="B91AC3AC"/>
    <w:lvl w:ilvl="0">
      <w:start w:val="1"/>
      <w:numFmt w:val="decimal"/>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9C960FD"/>
    <w:multiLevelType w:val="multilevel"/>
    <w:tmpl w:val="F9EA08CE"/>
    <w:name w:val="OneLevelNumberedParagraphList"/>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8">
    <w:nsid w:val="1C8F5EA7"/>
    <w:multiLevelType w:val="multilevel"/>
    <w:tmpl w:val="74A2E93E"/>
    <w:name w:val="Recommendation List"/>
    <w:lvl w:ilvl="0">
      <w:start w:val="1"/>
      <w:numFmt w:val="lowerLetter"/>
      <w:lvlRestart w:val="0"/>
      <w:pStyle w:val="RecommendationBullet"/>
      <w:lvlText w:val="(%1)"/>
      <w:lvlJc w:val="left"/>
      <w:pPr>
        <w:tabs>
          <w:tab w:val="num" w:pos="567"/>
        </w:tabs>
        <w:ind w:left="567" w:hanging="567"/>
      </w:pPr>
      <w:rPr>
        <w:rFonts w:ascii="Book Antiqua" w:hAnsi="Book Antiqua"/>
        <w:b w:val="0"/>
        <w:i w:val="0"/>
        <w:color w:val="000000"/>
        <w:sz w:val="22"/>
      </w:rPr>
    </w:lvl>
    <w:lvl w:ilvl="1">
      <w:start w:val="1"/>
      <w:numFmt w:val="lowerRoman"/>
      <w:lvlText w:val="(%2)"/>
      <w:lvlJc w:val="left"/>
      <w:pPr>
        <w:tabs>
          <w:tab w:val="num" w:pos="1134"/>
        </w:tabs>
        <w:ind w:left="1134" w:hanging="567"/>
      </w:pPr>
      <w:rPr>
        <w:rFonts w:ascii="Book Antiqua" w:hAnsi="Book Antiqua"/>
        <w:b w:val="0"/>
        <w:i w:val="0"/>
        <w:color w:val="000000"/>
        <w:sz w:val="22"/>
      </w:rPr>
    </w:lvl>
    <w:lvl w:ilvl="2">
      <w:start w:val="1"/>
      <w:numFmt w:val="upperLetter"/>
      <w:pStyle w:val="RecommendationDoubleDot"/>
      <w:lvlText w:val="(%3)"/>
      <w:lvlJc w:val="left"/>
      <w:pPr>
        <w:tabs>
          <w:tab w:val="num" w:pos="1701"/>
        </w:tabs>
        <w:ind w:left="1701" w:hanging="567"/>
      </w:pPr>
      <w:rPr>
        <w:rFonts w:ascii="Book Antiqua" w:hAnsi="Book Antiqua"/>
        <w:b w:val="0"/>
        <w:i w:val="0"/>
        <w:color w:val="000000"/>
        <w:sz w:val="22"/>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1D4F1E3D"/>
    <w:multiLevelType w:val="multilevel"/>
    <w:tmpl w:val="CA88651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56548E1"/>
    <w:multiLevelType w:val="multilevel"/>
    <w:tmpl w:val="1FA8B282"/>
    <w:name w:val="Recommendation Heading List"/>
    <w:lvl w:ilvl="0">
      <w:start w:val="1"/>
      <w:numFmt w:val="decimal"/>
      <w:lvlRestart w:val="0"/>
      <w:pStyle w:val="RecommendationHeading"/>
      <w:suff w:val="nothing"/>
      <w:lvlText w:val="Recommendation %1"/>
      <w:lvlJc w:val="left"/>
      <w:pPr>
        <w:ind w:left="0" w:firstLine="0"/>
      </w:pPr>
      <w:rPr>
        <w:rFonts w:ascii="Century Gothic" w:hAnsi="Century Gothic"/>
        <w:b/>
        <w:i w:val="0"/>
        <w:color w:val="000080"/>
        <w:sz w:val="22"/>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27440C8B"/>
    <w:multiLevelType w:val="multilevel"/>
    <w:tmpl w:val="1C96F426"/>
    <w:name w:val="StandardBulletedList"/>
    <w:lvl w:ilvl="0">
      <w:start w:val="1"/>
      <w:numFmt w:val="bullet"/>
      <w:lvlText w:val="•"/>
      <w:lvlJc w:val="left"/>
      <w:pPr>
        <w:tabs>
          <w:tab w:val="num" w:pos="1040"/>
        </w:tabs>
        <w:ind w:left="1040" w:hanging="520"/>
      </w:pPr>
      <w:rPr>
        <w:rFonts w:ascii="Times New Roman" w:hAnsi="Times New Roman" w:cs="Times New Roman"/>
        <w:b w:val="0"/>
        <w:i w:val="0"/>
      </w:rPr>
    </w:lvl>
    <w:lvl w:ilvl="1">
      <w:start w:val="1"/>
      <w:numFmt w:val="bullet"/>
      <w:lvlText w:val="–"/>
      <w:lvlJc w:val="left"/>
      <w:pPr>
        <w:tabs>
          <w:tab w:val="num" w:pos="1560"/>
        </w:tabs>
        <w:ind w:left="1560" w:hanging="520"/>
      </w:pPr>
      <w:rPr>
        <w:rFonts w:ascii="Times New Roman" w:hAnsi="Times New Roman" w:cs="Times New Roman" w:hint="default"/>
        <w:b w:val="0"/>
        <w:i w:val="0"/>
      </w:rPr>
    </w:lvl>
    <w:lvl w:ilvl="2">
      <w:start w:val="1"/>
      <w:numFmt w:val="bullet"/>
      <w:lvlText w:val=":"/>
      <w:lvlJc w:val="left"/>
      <w:pPr>
        <w:tabs>
          <w:tab w:val="num" w:pos="2080"/>
        </w:tabs>
        <w:ind w:left="2080" w:hanging="520"/>
      </w:pPr>
      <w:rPr>
        <w:rFonts w:ascii="Times New Roman" w:hAnsi="Times New Roman" w:cs="Times New Roman"/>
        <w:b w:val="0"/>
        <w:i w:val="0"/>
      </w:rPr>
    </w:lvl>
    <w:lvl w:ilvl="3">
      <w:start w:val="1"/>
      <w:numFmt w:val="decimal"/>
      <w:lvlText w:val="(%4)"/>
      <w:lvlJc w:val="left"/>
      <w:pPr>
        <w:tabs>
          <w:tab w:val="num" w:pos="16485"/>
        </w:tabs>
        <w:ind w:left="16485" w:hanging="360"/>
      </w:pPr>
      <w:rPr>
        <w:b w:val="0"/>
        <w:i w:val="0"/>
      </w:rPr>
    </w:lvl>
    <w:lvl w:ilvl="4">
      <w:start w:val="1"/>
      <w:numFmt w:val="lowerLetter"/>
      <w:lvlText w:val="(%5)"/>
      <w:lvlJc w:val="left"/>
      <w:pPr>
        <w:tabs>
          <w:tab w:val="num" w:pos="16845"/>
        </w:tabs>
        <w:ind w:left="16845" w:hanging="360"/>
      </w:pPr>
      <w:rPr>
        <w:b w:val="0"/>
        <w:i w:val="0"/>
      </w:rPr>
    </w:lvl>
    <w:lvl w:ilvl="5">
      <w:start w:val="1"/>
      <w:numFmt w:val="lowerRoman"/>
      <w:lvlText w:val="(%6)"/>
      <w:lvlJc w:val="left"/>
      <w:pPr>
        <w:tabs>
          <w:tab w:val="num" w:pos="17205"/>
        </w:tabs>
        <w:ind w:left="17205" w:hanging="360"/>
      </w:pPr>
      <w:rPr>
        <w:b w:val="0"/>
        <w:i w:val="0"/>
      </w:rPr>
    </w:lvl>
    <w:lvl w:ilvl="6">
      <w:start w:val="1"/>
      <w:numFmt w:val="decimal"/>
      <w:lvlText w:val="%7."/>
      <w:lvlJc w:val="left"/>
      <w:pPr>
        <w:tabs>
          <w:tab w:val="num" w:pos="17565"/>
        </w:tabs>
        <w:ind w:left="17565" w:hanging="360"/>
      </w:pPr>
      <w:rPr>
        <w:b w:val="0"/>
        <w:i w:val="0"/>
      </w:rPr>
    </w:lvl>
    <w:lvl w:ilvl="7">
      <w:start w:val="1"/>
      <w:numFmt w:val="lowerLetter"/>
      <w:lvlText w:val="%8."/>
      <w:lvlJc w:val="left"/>
      <w:pPr>
        <w:tabs>
          <w:tab w:val="num" w:pos="17925"/>
        </w:tabs>
        <w:ind w:left="17925" w:hanging="360"/>
      </w:pPr>
      <w:rPr>
        <w:b w:val="0"/>
        <w:i w:val="0"/>
      </w:rPr>
    </w:lvl>
    <w:lvl w:ilvl="8">
      <w:start w:val="1"/>
      <w:numFmt w:val="lowerRoman"/>
      <w:lvlText w:val="%9."/>
      <w:lvlJc w:val="left"/>
      <w:pPr>
        <w:tabs>
          <w:tab w:val="num" w:pos="18285"/>
        </w:tabs>
        <w:ind w:left="18285" w:hanging="360"/>
      </w:pPr>
      <w:rPr>
        <w:b w:val="0"/>
        <w:i w:val="0"/>
      </w:rPr>
    </w:lvl>
  </w:abstractNum>
  <w:abstractNum w:abstractNumId="22">
    <w:nsid w:val="27826BF0"/>
    <w:multiLevelType w:val="multilevel"/>
    <w:tmpl w:val="2A44CE48"/>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2D665DFA"/>
    <w:multiLevelType w:val="singleLevel"/>
    <w:tmpl w:val="7E8429CA"/>
    <w:name w:val="OneLevelAlphaParagraphList"/>
    <w:lvl w:ilvl="0">
      <w:start w:val="1"/>
      <w:numFmt w:val="lowerLetter"/>
      <w:lvlRestart w:val="0"/>
      <w:lvlText w:val="(%1)"/>
      <w:lvlJc w:val="left"/>
      <w:pPr>
        <w:tabs>
          <w:tab w:val="num" w:pos="567"/>
        </w:tabs>
        <w:ind w:left="567" w:hanging="567"/>
      </w:pPr>
      <w:rPr>
        <w:rFonts w:ascii="Book Antiqua" w:hAnsi="Book Antiqua"/>
        <w:b w:val="0"/>
        <w:i w:val="0"/>
        <w:sz w:val="20"/>
      </w:rPr>
    </w:lvl>
  </w:abstractNum>
  <w:abstractNum w:abstractNumId="24">
    <w:nsid w:val="2DF54350"/>
    <w:multiLevelType w:val="multilevel"/>
    <w:tmpl w:val="A6800B9E"/>
    <w:styleLink w:val="Outlinenumbering"/>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5">
    <w:nsid w:val="308C2710"/>
    <w:multiLevelType w:val="multilevel"/>
    <w:tmpl w:val="EC484104"/>
    <w:styleLink w:val="BulletedList"/>
    <w:lvl w:ilvl="0">
      <w:start w:val="1"/>
      <w:numFmt w:val="bullet"/>
      <w:lvlRestart w:val="0"/>
      <w:pStyle w:val="Bullet"/>
      <w:lvlText w:val="•"/>
      <w:lvlJc w:val="left"/>
      <w:pPr>
        <w:tabs>
          <w:tab w:val="num" w:pos="1135"/>
        </w:tabs>
        <w:ind w:left="1135" w:hanging="283"/>
      </w:pPr>
      <w:rPr>
        <w:rFonts w:ascii="Times New Roman" w:hAnsi="Times New Roman" w:cs="Times New Roman" w:hint="default"/>
        <w:b w:val="0"/>
        <w:i w:val="0"/>
      </w:rPr>
    </w:lvl>
    <w:lvl w:ilvl="1">
      <w:start w:val="1"/>
      <w:numFmt w:val="bullet"/>
      <w:pStyle w:val="Dash"/>
      <w:lvlText w:val="–"/>
      <w:lvlJc w:val="left"/>
      <w:pPr>
        <w:tabs>
          <w:tab w:val="num" w:pos="1419"/>
        </w:tabs>
        <w:ind w:left="1419" w:hanging="284"/>
      </w:pPr>
      <w:rPr>
        <w:rFonts w:ascii="Times New Roman" w:hAnsi="Times New Roman" w:cs="Times New Roman" w:hint="default"/>
        <w:b w:val="0"/>
        <w:i w:val="0"/>
      </w:rPr>
    </w:lvl>
    <w:lvl w:ilvl="2">
      <w:start w:val="1"/>
      <w:numFmt w:val="bullet"/>
      <w:pStyle w:val="DoubleDot"/>
      <w:lvlText w:val=":"/>
      <w:lvlJc w:val="left"/>
      <w:pPr>
        <w:tabs>
          <w:tab w:val="num" w:pos="1702"/>
        </w:tabs>
        <w:ind w:left="1702" w:hanging="283"/>
      </w:pPr>
      <w:rPr>
        <w:rFonts w:ascii="Times New Roman" w:hAnsi="Times New Roman" w:cs="Times New Roman" w:hint="default"/>
        <w:b w:val="0"/>
        <w:i w:val="0"/>
      </w:rPr>
    </w:lvl>
    <w:lvl w:ilvl="3">
      <w:start w:val="1"/>
      <w:numFmt w:val="decimal"/>
      <w:lvlText w:val="(%4)"/>
      <w:lvlJc w:val="left"/>
      <w:pPr>
        <w:tabs>
          <w:tab w:val="num" w:pos="2292"/>
        </w:tabs>
        <w:ind w:left="2292" w:hanging="360"/>
      </w:pPr>
      <w:rPr>
        <w:rFonts w:hint="default"/>
        <w:b w:val="0"/>
        <w:i w:val="0"/>
      </w:rPr>
    </w:lvl>
    <w:lvl w:ilvl="4">
      <w:start w:val="1"/>
      <w:numFmt w:val="lowerLetter"/>
      <w:lvlText w:val="(%5)"/>
      <w:lvlJc w:val="left"/>
      <w:pPr>
        <w:tabs>
          <w:tab w:val="num" w:pos="2652"/>
        </w:tabs>
        <w:ind w:left="2652" w:hanging="360"/>
      </w:pPr>
      <w:rPr>
        <w:rFonts w:hint="default"/>
        <w:b w:val="0"/>
        <w:i w:val="0"/>
      </w:rPr>
    </w:lvl>
    <w:lvl w:ilvl="5">
      <w:start w:val="1"/>
      <w:numFmt w:val="lowerRoman"/>
      <w:lvlText w:val="(%6)"/>
      <w:lvlJc w:val="left"/>
      <w:pPr>
        <w:tabs>
          <w:tab w:val="num" w:pos="3012"/>
        </w:tabs>
        <w:ind w:left="3012" w:hanging="360"/>
      </w:pPr>
      <w:rPr>
        <w:rFonts w:hint="default"/>
        <w:b w:val="0"/>
        <w:i w:val="0"/>
      </w:rPr>
    </w:lvl>
    <w:lvl w:ilvl="6">
      <w:start w:val="1"/>
      <w:numFmt w:val="decimal"/>
      <w:lvlText w:val="%7."/>
      <w:lvlJc w:val="left"/>
      <w:pPr>
        <w:tabs>
          <w:tab w:val="num" w:pos="3372"/>
        </w:tabs>
        <w:ind w:left="3372" w:hanging="360"/>
      </w:pPr>
      <w:rPr>
        <w:rFonts w:hint="default"/>
        <w:b w:val="0"/>
        <w:i w:val="0"/>
      </w:rPr>
    </w:lvl>
    <w:lvl w:ilvl="7">
      <w:start w:val="1"/>
      <w:numFmt w:val="lowerLetter"/>
      <w:lvlText w:val="%8."/>
      <w:lvlJc w:val="left"/>
      <w:pPr>
        <w:tabs>
          <w:tab w:val="num" w:pos="3732"/>
        </w:tabs>
        <w:ind w:left="3732" w:hanging="360"/>
      </w:pPr>
      <w:rPr>
        <w:rFonts w:hint="default"/>
        <w:b w:val="0"/>
        <w:i w:val="0"/>
      </w:rPr>
    </w:lvl>
    <w:lvl w:ilvl="8">
      <w:start w:val="1"/>
      <w:numFmt w:val="lowerRoman"/>
      <w:lvlText w:val="%9."/>
      <w:lvlJc w:val="left"/>
      <w:pPr>
        <w:tabs>
          <w:tab w:val="num" w:pos="4092"/>
        </w:tabs>
        <w:ind w:left="4092" w:hanging="360"/>
      </w:pPr>
      <w:rPr>
        <w:rFonts w:hint="default"/>
        <w:b w:val="0"/>
        <w:i w:val="0"/>
      </w:rPr>
    </w:lvl>
  </w:abstractNum>
  <w:abstractNum w:abstractNumId="26">
    <w:nsid w:val="3238442C"/>
    <w:multiLevelType w:val="multilevel"/>
    <w:tmpl w:val="FEB87FB6"/>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34F125C"/>
    <w:multiLevelType w:val="hybridMultilevel"/>
    <w:tmpl w:val="FF6C8214"/>
    <w:lvl w:ilvl="0" w:tplc="9A14A17E">
      <w:start w:val="1"/>
      <w:numFmt w:val="bullet"/>
      <w:lvlText w:val="•"/>
      <w:lvlJc w:val="left"/>
      <w:pPr>
        <w:tabs>
          <w:tab w:val="num" w:pos="720"/>
        </w:tabs>
        <w:ind w:left="720" w:hanging="360"/>
      </w:pPr>
      <w:rPr>
        <w:rFonts w:ascii="Arial" w:hAnsi="Arial" w:hint="default"/>
      </w:rPr>
    </w:lvl>
    <w:lvl w:ilvl="1" w:tplc="E930991A" w:tentative="1">
      <w:start w:val="1"/>
      <w:numFmt w:val="bullet"/>
      <w:lvlText w:val="•"/>
      <w:lvlJc w:val="left"/>
      <w:pPr>
        <w:tabs>
          <w:tab w:val="num" w:pos="1440"/>
        </w:tabs>
        <w:ind w:left="1440" w:hanging="360"/>
      </w:pPr>
      <w:rPr>
        <w:rFonts w:ascii="Arial" w:hAnsi="Arial" w:hint="default"/>
      </w:rPr>
    </w:lvl>
    <w:lvl w:ilvl="2" w:tplc="245655A6" w:tentative="1">
      <w:start w:val="1"/>
      <w:numFmt w:val="bullet"/>
      <w:lvlText w:val="•"/>
      <w:lvlJc w:val="left"/>
      <w:pPr>
        <w:tabs>
          <w:tab w:val="num" w:pos="2160"/>
        </w:tabs>
        <w:ind w:left="2160" w:hanging="360"/>
      </w:pPr>
      <w:rPr>
        <w:rFonts w:ascii="Arial" w:hAnsi="Arial" w:hint="default"/>
      </w:rPr>
    </w:lvl>
    <w:lvl w:ilvl="3" w:tplc="1C3219D6" w:tentative="1">
      <w:start w:val="1"/>
      <w:numFmt w:val="bullet"/>
      <w:lvlText w:val="•"/>
      <w:lvlJc w:val="left"/>
      <w:pPr>
        <w:tabs>
          <w:tab w:val="num" w:pos="2880"/>
        </w:tabs>
        <w:ind w:left="2880" w:hanging="360"/>
      </w:pPr>
      <w:rPr>
        <w:rFonts w:ascii="Arial" w:hAnsi="Arial" w:hint="default"/>
      </w:rPr>
    </w:lvl>
    <w:lvl w:ilvl="4" w:tplc="64F69CD6" w:tentative="1">
      <w:start w:val="1"/>
      <w:numFmt w:val="bullet"/>
      <w:lvlText w:val="•"/>
      <w:lvlJc w:val="left"/>
      <w:pPr>
        <w:tabs>
          <w:tab w:val="num" w:pos="3600"/>
        </w:tabs>
        <w:ind w:left="3600" w:hanging="360"/>
      </w:pPr>
      <w:rPr>
        <w:rFonts w:ascii="Arial" w:hAnsi="Arial" w:hint="default"/>
      </w:rPr>
    </w:lvl>
    <w:lvl w:ilvl="5" w:tplc="5BA668D0" w:tentative="1">
      <w:start w:val="1"/>
      <w:numFmt w:val="bullet"/>
      <w:lvlText w:val="•"/>
      <w:lvlJc w:val="left"/>
      <w:pPr>
        <w:tabs>
          <w:tab w:val="num" w:pos="4320"/>
        </w:tabs>
        <w:ind w:left="4320" w:hanging="360"/>
      </w:pPr>
      <w:rPr>
        <w:rFonts w:ascii="Arial" w:hAnsi="Arial" w:hint="default"/>
      </w:rPr>
    </w:lvl>
    <w:lvl w:ilvl="6" w:tplc="66C88794" w:tentative="1">
      <w:start w:val="1"/>
      <w:numFmt w:val="bullet"/>
      <w:lvlText w:val="•"/>
      <w:lvlJc w:val="left"/>
      <w:pPr>
        <w:tabs>
          <w:tab w:val="num" w:pos="5040"/>
        </w:tabs>
        <w:ind w:left="5040" w:hanging="360"/>
      </w:pPr>
      <w:rPr>
        <w:rFonts w:ascii="Arial" w:hAnsi="Arial" w:hint="default"/>
      </w:rPr>
    </w:lvl>
    <w:lvl w:ilvl="7" w:tplc="CC543780" w:tentative="1">
      <w:start w:val="1"/>
      <w:numFmt w:val="bullet"/>
      <w:lvlText w:val="•"/>
      <w:lvlJc w:val="left"/>
      <w:pPr>
        <w:tabs>
          <w:tab w:val="num" w:pos="5760"/>
        </w:tabs>
        <w:ind w:left="5760" w:hanging="360"/>
      </w:pPr>
      <w:rPr>
        <w:rFonts w:ascii="Arial" w:hAnsi="Arial" w:hint="default"/>
      </w:rPr>
    </w:lvl>
    <w:lvl w:ilvl="8" w:tplc="73447470" w:tentative="1">
      <w:start w:val="1"/>
      <w:numFmt w:val="bullet"/>
      <w:lvlText w:val="•"/>
      <w:lvlJc w:val="left"/>
      <w:pPr>
        <w:tabs>
          <w:tab w:val="num" w:pos="6480"/>
        </w:tabs>
        <w:ind w:left="6480" w:hanging="360"/>
      </w:pPr>
      <w:rPr>
        <w:rFonts w:ascii="Arial" w:hAnsi="Arial" w:hint="default"/>
      </w:rPr>
    </w:lvl>
  </w:abstractNum>
  <w:abstractNum w:abstractNumId="29">
    <w:nsid w:val="33B029EF"/>
    <w:multiLevelType w:val="multilevel"/>
    <w:tmpl w:val="8028F64A"/>
    <w:lvl w:ilvl="0">
      <w:start w:val="1"/>
      <w:numFmt w:val="decimal"/>
      <w:lvlText w:val="%1."/>
      <w:lvlJc w:val="left"/>
      <w:pPr>
        <w:tabs>
          <w:tab w:val="num" w:pos="520"/>
        </w:tabs>
        <w:ind w:left="520" w:hanging="520"/>
      </w:pPr>
      <w:rPr>
        <w:b w:val="0"/>
        <w:i w:val="0"/>
      </w:rPr>
    </w:lvl>
    <w:lvl w:ilvl="1">
      <w:start w:val="1"/>
      <w:numFmt w:val="decimal"/>
      <w:lvlText w:val="%1.%2."/>
      <w:lvlJc w:val="left"/>
      <w:pPr>
        <w:tabs>
          <w:tab w:val="num" w:pos="520"/>
        </w:tabs>
        <w:ind w:left="52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37296CA7"/>
    <w:multiLevelType w:val="multilevel"/>
    <w:tmpl w:val="ABFC67E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389C6AB0"/>
    <w:multiLevelType w:val="hybridMultilevel"/>
    <w:tmpl w:val="79DEB1AC"/>
    <w:lvl w:ilvl="0" w:tplc="B9B4BC1C">
      <w:start w:val="1"/>
      <w:numFmt w:val="bullet"/>
      <w:lvlText w:val="•"/>
      <w:lvlJc w:val="left"/>
      <w:pPr>
        <w:tabs>
          <w:tab w:val="num" w:pos="720"/>
        </w:tabs>
        <w:ind w:left="720" w:hanging="360"/>
      </w:pPr>
      <w:rPr>
        <w:rFonts w:ascii="Arial" w:hAnsi="Arial" w:hint="default"/>
      </w:rPr>
    </w:lvl>
    <w:lvl w:ilvl="1" w:tplc="27F675EC" w:tentative="1">
      <w:start w:val="1"/>
      <w:numFmt w:val="bullet"/>
      <w:lvlText w:val="•"/>
      <w:lvlJc w:val="left"/>
      <w:pPr>
        <w:tabs>
          <w:tab w:val="num" w:pos="1440"/>
        </w:tabs>
        <w:ind w:left="1440" w:hanging="360"/>
      </w:pPr>
      <w:rPr>
        <w:rFonts w:ascii="Arial" w:hAnsi="Arial" w:hint="default"/>
      </w:rPr>
    </w:lvl>
    <w:lvl w:ilvl="2" w:tplc="7106702E" w:tentative="1">
      <w:start w:val="1"/>
      <w:numFmt w:val="bullet"/>
      <w:lvlText w:val="•"/>
      <w:lvlJc w:val="left"/>
      <w:pPr>
        <w:tabs>
          <w:tab w:val="num" w:pos="2160"/>
        </w:tabs>
        <w:ind w:left="2160" w:hanging="360"/>
      </w:pPr>
      <w:rPr>
        <w:rFonts w:ascii="Arial" w:hAnsi="Arial" w:hint="default"/>
      </w:rPr>
    </w:lvl>
    <w:lvl w:ilvl="3" w:tplc="3612D69C" w:tentative="1">
      <w:start w:val="1"/>
      <w:numFmt w:val="bullet"/>
      <w:lvlText w:val="•"/>
      <w:lvlJc w:val="left"/>
      <w:pPr>
        <w:tabs>
          <w:tab w:val="num" w:pos="2880"/>
        </w:tabs>
        <w:ind w:left="2880" w:hanging="360"/>
      </w:pPr>
      <w:rPr>
        <w:rFonts w:ascii="Arial" w:hAnsi="Arial" w:hint="default"/>
      </w:rPr>
    </w:lvl>
    <w:lvl w:ilvl="4" w:tplc="C7C6B256" w:tentative="1">
      <w:start w:val="1"/>
      <w:numFmt w:val="bullet"/>
      <w:lvlText w:val="•"/>
      <w:lvlJc w:val="left"/>
      <w:pPr>
        <w:tabs>
          <w:tab w:val="num" w:pos="3600"/>
        </w:tabs>
        <w:ind w:left="3600" w:hanging="360"/>
      </w:pPr>
      <w:rPr>
        <w:rFonts w:ascii="Arial" w:hAnsi="Arial" w:hint="default"/>
      </w:rPr>
    </w:lvl>
    <w:lvl w:ilvl="5" w:tplc="3D2AF454" w:tentative="1">
      <w:start w:val="1"/>
      <w:numFmt w:val="bullet"/>
      <w:lvlText w:val="•"/>
      <w:lvlJc w:val="left"/>
      <w:pPr>
        <w:tabs>
          <w:tab w:val="num" w:pos="4320"/>
        </w:tabs>
        <w:ind w:left="4320" w:hanging="360"/>
      </w:pPr>
      <w:rPr>
        <w:rFonts w:ascii="Arial" w:hAnsi="Arial" w:hint="default"/>
      </w:rPr>
    </w:lvl>
    <w:lvl w:ilvl="6" w:tplc="00C253D4" w:tentative="1">
      <w:start w:val="1"/>
      <w:numFmt w:val="bullet"/>
      <w:lvlText w:val="•"/>
      <w:lvlJc w:val="left"/>
      <w:pPr>
        <w:tabs>
          <w:tab w:val="num" w:pos="5040"/>
        </w:tabs>
        <w:ind w:left="5040" w:hanging="360"/>
      </w:pPr>
      <w:rPr>
        <w:rFonts w:ascii="Arial" w:hAnsi="Arial" w:hint="default"/>
      </w:rPr>
    </w:lvl>
    <w:lvl w:ilvl="7" w:tplc="64F21512" w:tentative="1">
      <w:start w:val="1"/>
      <w:numFmt w:val="bullet"/>
      <w:lvlText w:val="•"/>
      <w:lvlJc w:val="left"/>
      <w:pPr>
        <w:tabs>
          <w:tab w:val="num" w:pos="5760"/>
        </w:tabs>
        <w:ind w:left="5760" w:hanging="360"/>
      </w:pPr>
      <w:rPr>
        <w:rFonts w:ascii="Arial" w:hAnsi="Arial" w:hint="default"/>
      </w:rPr>
    </w:lvl>
    <w:lvl w:ilvl="8" w:tplc="C59A4194" w:tentative="1">
      <w:start w:val="1"/>
      <w:numFmt w:val="bullet"/>
      <w:lvlText w:val="•"/>
      <w:lvlJc w:val="left"/>
      <w:pPr>
        <w:tabs>
          <w:tab w:val="num" w:pos="6480"/>
        </w:tabs>
        <w:ind w:left="6480" w:hanging="360"/>
      </w:pPr>
      <w:rPr>
        <w:rFonts w:ascii="Arial" w:hAnsi="Arial" w:hint="default"/>
      </w:rPr>
    </w:lvl>
  </w:abstractNum>
  <w:abstractNum w:abstractNumId="32">
    <w:nsid w:val="3BBB4575"/>
    <w:multiLevelType w:val="multilevel"/>
    <w:tmpl w:val="BEB00924"/>
    <w:lvl w:ilvl="0">
      <w:start w:val="1"/>
      <w:numFmt w:val="decimal"/>
      <w:lvlText w:val="%1"/>
      <w:lvlJc w:val="left"/>
      <w:pPr>
        <w:ind w:left="360" w:hanging="360"/>
      </w:pPr>
      <w:rPr>
        <w:rFonts w:hint="default"/>
        <w:sz w:val="28"/>
      </w:rPr>
    </w:lvl>
    <w:lvl w:ilvl="1">
      <w:start w:val="1"/>
      <w:numFmt w:val="decimal"/>
      <w:lvlText w:val="%2."/>
      <w:lvlJc w:val="left"/>
      <w:pPr>
        <w:tabs>
          <w:tab w:val="num" w:pos="340"/>
        </w:tabs>
        <w:ind w:left="34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3031D63"/>
    <w:multiLevelType w:val="hybridMultilevel"/>
    <w:tmpl w:val="3DC2A904"/>
    <w:lvl w:ilvl="0" w:tplc="B2F868A6">
      <w:start w:val="1"/>
      <w:numFmt w:val="bullet"/>
      <w:lvlText w:val="•"/>
      <w:lvlJc w:val="left"/>
      <w:pPr>
        <w:tabs>
          <w:tab w:val="num" w:pos="720"/>
        </w:tabs>
        <w:ind w:left="720" w:hanging="360"/>
      </w:pPr>
      <w:rPr>
        <w:rFonts w:ascii="Arial" w:hAnsi="Arial" w:hint="default"/>
      </w:rPr>
    </w:lvl>
    <w:lvl w:ilvl="1" w:tplc="4A68E954">
      <w:start w:val="1"/>
      <w:numFmt w:val="bullet"/>
      <w:lvlText w:val="•"/>
      <w:lvlJc w:val="left"/>
      <w:pPr>
        <w:tabs>
          <w:tab w:val="num" w:pos="1440"/>
        </w:tabs>
        <w:ind w:left="1440" w:hanging="360"/>
      </w:pPr>
      <w:rPr>
        <w:rFonts w:ascii="Arial" w:hAnsi="Arial" w:hint="default"/>
      </w:rPr>
    </w:lvl>
    <w:lvl w:ilvl="2" w:tplc="C740756A" w:tentative="1">
      <w:start w:val="1"/>
      <w:numFmt w:val="bullet"/>
      <w:lvlText w:val="•"/>
      <w:lvlJc w:val="left"/>
      <w:pPr>
        <w:tabs>
          <w:tab w:val="num" w:pos="2160"/>
        </w:tabs>
        <w:ind w:left="2160" w:hanging="360"/>
      </w:pPr>
      <w:rPr>
        <w:rFonts w:ascii="Arial" w:hAnsi="Arial" w:hint="default"/>
      </w:rPr>
    </w:lvl>
    <w:lvl w:ilvl="3" w:tplc="CA50186C" w:tentative="1">
      <w:start w:val="1"/>
      <w:numFmt w:val="bullet"/>
      <w:lvlText w:val="•"/>
      <w:lvlJc w:val="left"/>
      <w:pPr>
        <w:tabs>
          <w:tab w:val="num" w:pos="2880"/>
        </w:tabs>
        <w:ind w:left="2880" w:hanging="360"/>
      </w:pPr>
      <w:rPr>
        <w:rFonts w:ascii="Arial" w:hAnsi="Arial" w:hint="default"/>
      </w:rPr>
    </w:lvl>
    <w:lvl w:ilvl="4" w:tplc="518603D8" w:tentative="1">
      <w:start w:val="1"/>
      <w:numFmt w:val="bullet"/>
      <w:lvlText w:val="•"/>
      <w:lvlJc w:val="left"/>
      <w:pPr>
        <w:tabs>
          <w:tab w:val="num" w:pos="3600"/>
        </w:tabs>
        <w:ind w:left="3600" w:hanging="360"/>
      </w:pPr>
      <w:rPr>
        <w:rFonts w:ascii="Arial" w:hAnsi="Arial" w:hint="default"/>
      </w:rPr>
    </w:lvl>
    <w:lvl w:ilvl="5" w:tplc="EEEC814C" w:tentative="1">
      <w:start w:val="1"/>
      <w:numFmt w:val="bullet"/>
      <w:lvlText w:val="•"/>
      <w:lvlJc w:val="left"/>
      <w:pPr>
        <w:tabs>
          <w:tab w:val="num" w:pos="4320"/>
        </w:tabs>
        <w:ind w:left="4320" w:hanging="360"/>
      </w:pPr>
      <w:rPr>
        <w:rFonts w:ascii="Arial" w:hAnsi="Arial" w:hint="default"/>
      </w:rPr>
    </w:lvl>
    <w:lvl w:ilvl="6" w:tplc="E962F84C" w:tentative="1">
      <w:start w:val="1"/>
      <w:numFmt w:val="bullet"/>
      <w:lvlText w:val="•"/>
      <w:lvlJc w:val="left"/>
      <w:pPr>
        <w:tabs>
          <w:tab w:val="num" w:pos="5040"/>
        </w:tabs>
        <w:ind w:left="5040" w:hanging="360"/>
      </w:pPr>
      <w:rPr>
        <w:rFonts w:ascii="Arial" w:hAnsi="Arial" w:hint="default"/>
      </w:rPr>
    </w:lvl>
    <w:lvl w:ilvl="7" w:tplc="370E81E0" w:tentative="1">
      <w:start w:val="1"/>
      <w:numFmt w:val="bullet"/>
      <w:lvlText w:val="•"/>
      <w:lvlJc w:val="left"/>
      <w:pPr>
        <w:tabs>
          <w:tab w:val="num" w:pos="5760"/>
        </w:tabs>
        <w:ind w:left="5760" w:hanging="360"/>
      </w:pPr>
      <w:rPr>
        <w:rFonts w:ascii="Arial" w:hAnsi="Arial" w:hint="default"/>
      </w:rPr>
    </w:lvl>
    <w:lvl w:ilvl="8" w:tplc="D060ADBE" w:tentative="1">
      <w:start w:val="1"/>
      <w:numFmt w:val="bullet"/>
      <w:lvlText w:val="•"/>
      <w:lvlJc w:val="left"/>
      <w:pPr>
        <w:tabs>
          <w:tab w:val="num" w:pos="6480"/>
        </w:tabs>
        <w:ind w:left="6480" w:hanging="360"/>
      </w:pPr>
      <w:rPr>
        <w:rFonts w:ascii="Arial" w:hAnsi="Arial" w:hint="default"/>
      </w:rPr>
    </w:lvl>
  </w:abstractNum>
  <w:abstractNum w:abstractNumId="34">
    <w:nsid w:val="4CE06931"/>
    <w:multiLevelType w:val="singleLevel"/>
    <w:tmpl w:val="4366EF18"/>
    <w:name w:val="ChartTableFootnoteAlpha"/>
    <w:lvl w:ilvl="0">
      <w:start w:val="1"/>
      <w:numFmt w:val="lowerLetter"/>
      <w:lvlRestart w:val="0"/>
      <w:lvlText w:val="(%1)"/>
      <w:lvlJc w:val="left"/>
      <w:pPr>
        <w:tabs>
          <w:tab w:val="num" w:pos="283"/>
        </w:tabs>
        <w:ind w:left="283" w:hanging="283"/>
      </w:pPr>
      <w:rPr>
        <w:rFonts w:ascii="Arial" w:hAnsi="Arial" w:cs="Arial" w:hint="default"/>
        <w:b w:val="0"/>
        <w:i w:val="0"/>
        <w:sz w:val="16"/>
      </w:rPr>
    </w:lvl>
  </w:abstractNum>
  <w:abstractNum w:abstractNumId="35">
    <w:nsid w:val="510D2021"/>
    <w:multiLevelType w:val="multilevel"/>
    <w:tmpl w:val="72F8140E"/>
    <w:numStyleLink w:val="OutlineList"/>
  </w:abstractNum>
  <w:abstractNum w:abstractNumId="36">
    <w:nsid w:val="512F33C3"/>
    <w:multiLevelType w:val="multilevel"/>
    <w:tmpl w:val="96666890"/>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51323868"/>
    <w:multiLevelType w:val="hybridMultilevel"/>
    <w:tmpl w:val="7E24B63C"/>
    <w:lvl w:ilvl="0" w:tplc="A88C72B2">
      <w:start w:val="1"/>
      <w:numFmt w:val="bullet"/>
      <w:lvlText w:val="•"/>
      <w:lvlJc w:val="left"/>
      <w:pPr>
        <w:tabs>
          <w:tab w:val="num" w:pos="720"/>
        </w:tabs>
        <w:ind w:left="720" w:hanging="360"/>
      </w:pPr>
      <w:rPr>
        <w:rFonts w:ascii="Arial" w:hAnsi="Arial" w:hint="default"/>
      </w:rPr>
    </w:lvl>
    <w:lvl w:ilvl="1" w:tplc="93BAAF62" w:tentative="1">
      <w:start w:val="1"/>
      <w:numFmt w:val="bullet"/>
      <w:lvlText w:val="•"/>
      <w:lvlJc w:val="left"/>
      <w:pPr>
        <w:tabs>
          <w:tab w:val="num" w:pos="1440"/>
        </w:tabs>
        <w:ind w:left="1440" w:hanging="360"/>
      </w:pPr>
      <w:rPr>
        <w:rFonts w:ascii="Arial" w:hAnsi="Arial" w:hint="default"/>
      </w:rPr>
    </w:lvl>
    <w:lvl w:ilvl="2" w:tplc="F5DCBDD8" w:tentative="1">
      <w:start w:val="1"/>
      <w:numFmt w:val="bullet"/>
      <w:lvlText w:val="•"/>
      <w:lvlJc w:val="left"/>
      <w:pPr>
        <w:tabs>
          <w:tab w:val="num" w:pos="2160"/>
        </w:tabs>
        <w:ind w:left="2160" w:hanging="360"/>
      </w:pPr>
      <w:rPr>
        <w:rFonts w:ascii="Arial" w:hAnsi="Arial" w:hint="default"/>
      </w:rPr>
    </w:lvl>
    <w:lvl w:ilvl="3" w:tplc="906C081C" w:tentative="1">
      <w:start w:val="1"/>
      <w:numFmt w:val="bullet"/>
      <w:lvlText w:val="•"/>
      <w:lvlJc w:val="left"/>
      <w:pPr>
        <w:tabs>
          <w:tab w:val="num" w:pos="2880"/>
        </w:tabs>
        <w:ind w:left="2880" w:hanging="360"/>
      </w:pPr>
      <w:rPr>
        <w:rFonts w:ascii="Arial" w:hAnsi="Arial" w:hint="default"/>
      </w:rPr>
    </w:lvl>
    <w:lvl w:ilvl="4" w:tplc="68DC1D7C" w:tentative="1">
      <w:start w:val="1"/>
      <w:numFmt w:val="bullet"/>
      <w:lvlText w:val="•"/>
      <w:lvlJc w:val="left"/>
      <w:pPr>
        <w:tabs>
          <w:tab w:val="num" w:pos="3600"/>
        </w:tabs>
        <w:ind w:left="3600" w:hanging="360"/>
      </w:pPr>
      <w:rPr>
        <w:rFonts w:ascii="Arial" w:hAnsi="Arial" w:hint="default"/>
      </w:rPr>
    </w:lvl>
    <w:lvl w:ilvl="5" w:tplc="7BE0B70E" w:tentative="1">
      <w:start w:val="1"/>
      <w:numFmt w:val="bullet"/>
      <w:lvlText w:val="•"/>
      <w:lvlJc w:val="left"/>
      <w:pPr>
        <w:tabs>
          <w:tab w:val="num" w:pos="4320"/>
        </w:tabs>
        <w:ind w:left="4320" w:hanging="360"/>
      </w:pPr>
      <w:rPr>
        <w:rFonts w:ascii="Arial" w:hAnsi="Arial" w:hint="default"/>
      </w:rPr>
    </w:lvl>
    <w:lvl w:ilvl="6" w:tplc="01BA7F08" w:tentative="1">
      <w:start w:val="1"/>
      <w:numFmt w:val="bullet"/>
      <w:lvlText w:val="•"/>
      <w:lvlJc w:val="left"/>
      <w:pPr>
        <w:tabs>
          <w:tab w:val="num" w:pos="5040"/>
        </w:tabs>
        <w:ind w:left="5040" w:hanging="360"/>
      </w:pPr>
      <w:rPr>
        <w:rFonts w:ascii="Arial" w:hAnsi="Arial" w:hint="default"/>
      </w:rPr>
    </w:lvl>
    <w:lvl w:ilvl="7" w:tplc="EAAC7814" w:tentative="1">
      <w:start w:val="1"/>
      <w:numFmt w:val="bullet"/>
      <w:lvlText w:val="•"/>
      <w:lvlJc w:val="left"/>
      <w:pPr>
        <w:tabs>
          <w:tab w:val="num" w:pos="5760"/>
        </w:tabs>
        <w:ind w:left="5760" w:hanging="360"/>
      </w:pPr>
      <w:rPr>
        <w:rFonts w:ascii="Arial" w:hAnsi="Arial" w:hint="default"/>
      </w:rPr>
    </w:lvl>
    <w:lvl w:ilvl="8" w:tplc="09EC02DC" w:tentative="1">
      <w:start w:val="1"/>
      <w:numFmt w:val="bullet"/>
      <w:lvlText w:val="•"/>
      <w:lvlJc w:val="left"/>
      <w:pPr>
        <w:tabs>
          <w:tab w:val="num" w:pos="6480"/>
        </w:tabs>
        <w:ind w:left="6480" w:hanging="360"/>
      </w:pPr>
      <w:rPr>
        <w:rFonts w:ascii="Arial" w:hAnsi="Arial" w:hint="default"/>
      </w:rPr>
    </w:lvl>
  </w:abstractNum>
  <w:abstractNum w:abstractNumId="38">
    <w:nsid w:val="58101827"/>
    <w:multiLevelType w:val="multilevel"/>
    <w:tmpl w:val="624A0496"/>
    <w:name w:val="BoxBulletedList"/>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nsid w:val="5BAA5A28"/>
    <w:multiLevelType w:val="multilevel"/>
    <w:tmpl w:val="0E400C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5C810840"/>
    <w:multiLevelType w:val="multilevel"/>
    <w:tmpl w:val="5C06C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CB353A2"/>
    <w:multiLevelType w:val="multilevel"/>
    <w:tmpl w:val="129E9092"/>
    <w:styleLink w:val="Optionboxheading"/>
    <w:lvl w:ilvl="0">
      <w:start w:val="1"/>
      <w:numFmt w:val="decimal"/>
      <w:lvlRestart w:val="0"/>
      <w:suff w:val="nothing"/>
      <w:lvlText w:val="Option %1"/>
      <w:lvlJc w:val="left"/>
      <w:pPr>
        <w:ind w:left="0" w:firstLine="0"/>
      </w:pPr>
      <w:rPr>
        <w:rFonts w:ascii="Century Gothic" w:hAnsi="Century Gothic" w:hint="default"/>
        <w:b/>
        <w:i w:val="0"/>
        <w:color w:val="00008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6F26231"/>
    <w:multiLevelType w:val="hybridMultilevel"/>
    <w:tmpl w:val="E8627772"/>
    <w:lvl w:ilvl="0" w:tplc="D61208B6">
      <w:start w:val="1"/>
      <w:numFmt w:val="bullet"/>
      <w:pStyle w:val="CAB-BulletList"/>
      <w:lvlText w:val=""/>
      <w:lvlJc w:val="left"/>
      <w:pPr>
        <w:ind w:left="284" w:hanging="284"/>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D279CD"/>
    <w:multiLevelType w:val="hybridMultilevel"/>
    <w:tmpl w:val="EC143EBC"/>
    <w:lvl w:ilvl="0" w:tplc="27B6C674">
      <w:start w:val="1"/>
      <w:numFmt w:val="bullet"/>
      <w:lvlText w:val="•"/>
      <w:lvlJc w:val="left"/>
      <w:pPr>
        <w:tabs>
          <w:tab w:val="num" w:pos="720"/>
        </w:tabs>
        <w:ind w:left="720" w:hanging="360"/>
      </w:pPr>
      <w:rPr>
        <w:rFonts w:ascii="Arial" w:hAnsi="Arial" w:hint="default"/>
      </w:rPr>
    </w:lvl>
    <w:lvl w:ilvl="1" w:tplc="08363864">
      <w:start w:val="1548"/>
      <w:numFmt w:val="bullet"/>
      <w:lvlText w:val="–"/>
      <w:lvlJc w:val="left"/>
      <w:pPr>
        <w:tabs>
          <w:tab w:val="num" w:pos="1440"/>
        </w:tabs>
        <w:ind w:left="1440" w:hanging="360"/>
      </w:pPr>
      <w:rPr>
        <w:rFonts w:ascii="Arial" w:hAnsi="Arial" w:hint="default"/>
      </w:rPr>
    </w:lvl>
    <w:lvl w:ilvl="2" w:tplc="CF0EEDDC" w:tentative="1">
      <w:start w:val="1"/>
      <w:numFmt w:val="bullet"/>
      <w:lvlText w:val="•"/>
      <w:lvlJc w:val="left"/>
      <w:pPr>
        <w:tabs>
          <w:tab w:val="num" w:pos="2160"/>
        </w:tabs>
        <w:ind w:left="2160" w:hanging="360"/>
      </w:pPr>
      <w:rPr>
        <w:rFonts w:ascii="Arial" w:hAnsi="Arial" w:hint="default"/>
      </w:rPr>
    </w:lvl>
    <w:lvl w:ilvl="3" w:tplc="D0F01AB8" w:tentative="1">
      <w:start w:val="1"/>
      <w:numFmt w:val="bullet"/>
      <w:lvlText w:val="•"/>
      <w:lvlJc w:val="left"/>
      <w:pPr>
        <w:tabs>
          <w:tab w:val="num" w:pos="2880"/>
        </w:tabs>
        <w:ind w:left="2880" w:hanging="360"/>
      </w:pPr>
      <w:rPr>
        <w:rFonts w:ascii="Arial" w:hAnsi="Arial" w:hint="default"/>
      </w:rPr>
    </w:lvl>
    <w:lvl w:ilvl="4" w:tplc="88E4FD32" w:tentative="1">
      <w:start w:val="1"/>
      <w:numFmt w:val="bullet"/>
      <w:lvlText w:val="•"/>
      <w:lvlJc w:val="left"/>
      <w:pPr>
        <w:tabs>
          <w:tab w:val="num" w:pos="3600"/>
        </w:tabs>
        <w:ind w:left="3600" w:hanging="360"/>
      </w:pPr>
      <w:rPr>
        <w:rFonts w:ascii="Arial" w:hAnsi="Arial" w:hint="default"/>
      </w:rPr>
    </w:lvl>
    <w:lvl w:ilvl="5" w:tplc="27E00C42" w:tentative="1">
      <w:start w:val="1"/>
      <w:numFmt w:val="bullet"/>
      <w:lvlText w:val="•"/>
      <w:lvlJc w:val="left"/>
      <w:pPr>
        <w:tabs>
          <w:tab w:val="num" w:pos="4320"/>
        </w:tabs>
        <w:ind w:left="4320" w:hanging="360"/>
      </w:pPr>
      <w:rPr>
        <w:rFonts w:ascii="Arial" w:hAnsi="Arial" w:hint="default"/>
      </w:rPr>
    </w:lvl>
    <w:lvl w:ilvl="6" w:tplc="B35E9C18" w:tentative="1">
      <w:start w:val="1"/>
      <w:numFmt w:val="bullet"/>
      <w:lvlText w:val="•"/>
      <w:lvlJc w:val="left"/>
      <w:pPr>
        <w:tabs>
          <w:tab w:val="num" w:pos="5040"/>
        </w:tabs>
        <w:ind w:left="5040" w:hanging="360"/>
      </w:pPr>
      <w:rPr>
        <w:rFonts w:ascii="Arial" w:hAnsi="Arial" w:hint="default"/>
      </w:rPr>
    </w:lvl>
    <w:lvl w:ilvl="7" w:tplc="ADE6FC4A" w:tentative="1">
      <w:start w:val="1"/>
      <w:numFmt w:val="bullet"/>
      <w:lvlText w:val="•"/>
      <w:lvlJc w:val="left"/>
      <w:pPr>
        <w:tabs>
          <w:tab w:val="num" w:pos="5760"/>
        </w:tabs>
        <w:ind w:left="5760" w:hanging="360"/>
      </w:pPr>
      <w:rPr>
        <w:rFonts w:ascii="Arial" w:hAnsi="Arial" w:hint="default"/>
      </w:rPr>
    </w:lvl>
    <w:lvl w:ilvl="8" w:tplc="3B8026DA" w:tentative="1">
      <w:start w:val="1"/>
      <w:numFmt w:val="bullet"/>
      <w:lvlText w:val="•"/>
      <w:lvlJc w:val="left"/>
      <w:pPr>
        <w:tabs>
          <w:tab w:val="num" w:pos="6480"/>
        </w:tabs>
        <w:ind w:left="6480" w:hanging="360"/>
      </w:pPr>
      <w:rPr>
        <w:rFonts w:ascii="Arial" w:hAnsi="Arial" w:hint="default"/>
      </w:rPr>
    </w:lvl>
  </w:abstractNum>
  <w:abstractNum w:abstractNumId="44">
    <w:nsid w:val="7EBF275E"/>
    <w:multiLevelType w:val="multilevel"/>
    <w:tmpl w:val="5CDE21CA"/>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num w:numId="1">
    <w:abstractNumId w:val="25"/>
  </w:num>
  <w:num w:numId="2">
    <w:abstractNumId w:val="12"/>
  </w:num>
  <w:num w:numId="3">
    <w:abstractNumId w:val="27"/>
  </w:num>
  <w:num w:numId="4">
    <w:abstractNumId w:val="14"/>
  </w:num>
  <w:num w:numId="5">
    <w:abstractNumId w:val="15"/>
  </w:num>
  <w:num w:numId="6">
    <w:abstractNumId w:val="35"/>
    <w:lvlOverride w:ilvl="0">
      <w:lvl w:ilvl="0">
        <w:start w:val="1"/>
        <w:numFmt w:val="decimal"/>
        <w:pStyle w:val="OutlineNumbered1"/>
        <w:lvlText w:val="%1."/>
        <w:lvlJc w:val="left"/>
        <w:pPr>
          <w:tabs>
            <w:tab w:val="num" w:pos="851"/>
          </w:tabs>
          <w:ind w:left="851" w:hanging="851"/>
        </w:pPr>
        <w:rPr>
          <w:rFonts w:hint="default"/>
          <w:b w:val="0"/>
          <w:i w:val="0"/>
        </w:rPr>
      </w:lvl>
    </w:lvlOverride>
  </w:num>
  <w:num w:numId="7">
    <w:abstractNumId w:val="26"/>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16"/>
  </w:num>
  <w:num w:numId="9">
    <w:abstractNumId w:val="44"/>
  </w:num>
  <w:num w:numId="10">
    <w:abstractNumId w:val="22"/>
  </w:num>
  <w:num w:numId="11">
    <w:abstractNumId w:val="26"/>
  </w:num>
  <w:num w:numId="12">
    <w:abstractNumId w:val="21"/>
  </w:num>
  <w:num w:numId="13">
    <w:abstractNumId w:val="18"/>
  </w:num>
  <w:num w:numId="14">
    <w:abstractNumId w:val="20"/>
  </w:num>
  <w:num w:numId="15">
    <w:abstractNumId w:val="24"/>
  </w:num>
  <w:num w:numId="16">
    <w:abstractNumId w:val="41"/>
  </w:num>
  <w:num w:numId="17">
    <w:abstractNumId w:val="44"/>
  </w:num>
  <w:num w:numId="18">
    <w:abstractNumId w:val="13"/>
  </w:num>
  <w:num w:numId="19">
    <w:abstractNumId w:val="32"/>
  </w:num>
  <w:num w:numId="20">
    <w:abstractNumId w:val="42"/>
  </w:num>
  <w:num w:numId="21">
    <w:abstractNumId w:val="29"/>
  </w:num>
  <w:num w:numId="22">
    <w:abstractNumId w:val="35"/>
  </w:num>
  <w:num w:numId="23">
    <w:abstractNumId w:val="35"/>
  </w:num>
  <w:num w:numId="24">
    <w:abstractNumId w:val="35"/>
  </w:num>
  <w:num w:numId="25">
    <w:abstractNumId w:val="33"/>
  </w:num>
  <w:num w:numId="26">
    <w:abstractNumId w:val="37"/>
  </w:num>
  <w:num w:numId="27">
    <w:abstractNumId w:val="28"/>
  </w:num>
  <w:num w:numId="28">
    <w:abstractNumId w:val="31"/>
  </w:num>
  <w:num w:numId="29">
    <w:abstractNumId w:val="36"/>
  </w:num>
  <w:num w:numId="30">
    <w:abstractNumId w:val="39"/>
  </w:num>
  <w:num w:numId="31">
    <w:abstractNumId w:val="43"/>
  </w:num>
  <w:num w:numId="32">
    <w:abstractNumId w:val="40"/>
  </w:num>
  <w:num w:numId="33">
    <w:abstractNumId w:val="10"/>
  </w:num>
  <w:num w:numId="34">
    <w:abstractNumId w:val="35"/>
  </w:num>
  <w:num w:numId="35">
    <w:abstractNumId w:val="35"/>
  </w:num>
  <w:num w:numId="36">
    <w:abstractNumId w:val="35"/>
  </w:num>
  <w:num w:numId="37">
    <w:abstractNumId w:val="35"/>
  </w:num>
  <w:num w:numId="38">
    <w:abstractNumId w:val="11"/>
  </w:num>
  <w:num w:numId="39">
    <w:abstractNumId w:val="30"/>
  </w:num>
  <w:num w:numId="4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3"/>
  </w:num>
  <w:num w:numId="43">
    <w:abstractNumId w:val="35"/>
  </w:num>
  <w:num w:numId="44">
    <w:abstractNumId w:val="35"/>
  </w:num>
  <w:num w:numId="45">
    <w:abstractNumId w:val="35"/>
  </w:num>
  <w:num w:numId="46">
    <w:abstractNumId w:val="25"/>
  </w:num>
  <w:num w:numId="47">
    <w:abstractNumId w:val="35"/>
  </w:num>
  <w:num w:numId="48">
    <w:abstractNumId w:val="35"/>
  </w:num>
  <w:num w:numId="49">
    <w:abstractNumId w:val="35"/>
  </w:num>
  <w:num w:numId="50">
    <w:abstractNumId w:val="35"/>
  </w:num>
  <w:num w:numId="51">
    <w:abstractNumId w:val="35"/>
  </w:num>
  <w:num w:numId="52">
    <w:abstractNumId w:val="25"/>
  </w:num>
  <w:num w:numId="53">
    <w:abstractNumId w:val="35"/>
  </w:num>
  <w:num w:numId="54">
    <w:abstractNumId w:val="35"/>
  </w:num>
  <w:num w:numId="55">
    <w:abstractNumId w:val="35"/>
  </w:num>
  <w:num w:numId="56">
    <w:abstractNumId w:val="9"/>
  </w:num>
  <w:num w:numId="57">
    <w:abstractNumId w:val="7"/>
  </w:num>
  <w:num w:numId="58">
    <w:abstractNumId w:val="6"/>
  </w:num>
  <w:num w:numId="59">
    <w:abstractNumId w:val="5"/>
  </w:num>
  <w:num w:numId="60">
    <w:abstractNumId w:val="4"/>
  </w:num>
  <w:num w:numId="61">
    <w:abstractNumId w:val="8"/>
  </w:num>
  <w:num w:numId="62">
    <w:abstractNumId w:val="3"/>
  </w:num>
  <w:num w:numId="63">
    <w:abstractNumId w:val="2"/>
  </w:num>
  <w:num w:numId="64">
    <w:abstractNumId w:val="1"/>
  </w:num>
  <w:num w:numId="65">
    <w:abstractNumId w:val="0"/>
  </w:num>
  <w:num w:numId="66">
    <w:abstractNumId w:val="35"/>
    <w:lvlOverride w:ilvl="0">
      <w:lvl w:ilvl="0">
        <w:start w:val="1"/>
        <w:numFmt w:val="decimal"/>
        <w:pStyle w:val="OutlineNumbered1"/>
        <w:lvlText w:val="%1."/>
        <w:lvlJc w:val="left"/>
        <w:pPr>
          <w:tabs>
            <w:tab w:val="num" w:pos="851"/>
          </w:tabs>
          <w:ind w:left="851" w:hanging="851"/>
        </w:pPr>
        <w:rPr>
          <w:rFonts w:hint="default"/>
          <w:b w:val="0"/>
          <w:i w:val="0"/>
        </w:rPr>
      </w:lvl>
    </w:lvlOverride>
  </w:num>
  <w:num w:numId="67">
    <w:abstractNumId w:val="35"/>
    <w:lvlOverride w:ilvl="0">
      <w:lvl w:ilvl="0">
        <w:start w:val="1"/>
        <w:numFmt w:val="decimal"/>
        <w:pStyle w:val="OutlineNumbered1"/>
        <w:lvlText w:val="%1."/>
        <w:lvlJc w:val="left"/>
        <w:pPr>
          <w:tabs>
            <w:tab w:val="num" w:pos="851"/>
          </w:tabs>
          <w:ind w:left="851" w:hanging="851"/>
        </w:pPr>
        <w:rPr>
          <w:rFonts w:hint="default"/>
          <w:b w:val="0"/>
          <w:i w:val="0"/>
        </w:rPr>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evenAndOddHeaders/>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True"/>
  </w:docVars>
  <w:rsids>
    <w:rsidRoot w:val="007C2F4E"/>
    <w:rsid w:val="0000084F"/>
    <w:rsid w:val="0000265B"/>
    <w:rsid w:val="000053A9"/>
    <w:rsid w:val="00005E23"/>
    <w:rsid w:val="00006689"/>
    <w:rsid w:val="00006C08"/>
    <w:rsid w:val="00006F93"/>
    <w:rsid w:val="00010DB7"/>
    <w:rsid w:val="000114E8"/>
    <w:rsid w:val="00011725"/>
    <w:rsid w:val="00012C62"/>
    <w:rsid w:val="000135FA"/>
    <w:rsid w:val="000139BF"/>
    <w:rsid w:val="00013A20"/>
    <w:rsid w:val="00014BB6"/>
    <w:rsid w:val="00015729"/>
    <w:rsid w:val="0001767E"/>
    <w:rsid w:val="00020788"/>
    <w:rsid w:val="000208DE"/>
    <w:rsid w:val="00022EE2"/>
    <w:rsid w:val="000231C0"/>
    <w:rsid w:val="000238E2"/>
    <w:rsid w:val="00024155"/>
    <w:rsid w:val="000250A9"/>
    <w:rsid w:val="0002544D"/>
    <w:rsid w:val="00027916"/>
    <w:rsid w:val="00027FE8"/>
    <w:rsid w:val="00030603"/>
    <w:rsid w:val="00030EFC"/>
    <w:rsid w:val="0003356C"/>
    <w:rsid w:val="00033FAA"/>
    <w:rsid w:val="0003516D"/>
    <w:rsid w:val="0003709C"/>
    <w:rsid w:val="0003713F"/>
    <w:rsid w:val="00041A8B"/>
    <w:rsid w:val="0004274D"/>
    <w:rsid w:val="00044C0A"/>
    <w:rsid w:val="00044CDE"/>
    <w:rsid w:val="000452FE"/>
    <w:rsid w:val="00046013"/>
    <w:rsid w:val="00046F55"/>
    <w:rsid w:val="000473A0"/>
    <w:rsid w:val="000500D4"/>
    <w:rsid w:val="0005136C"/>
    <w:rsid w:val="00054903"/>
    <w:rsid w:val="00054C9C"/>
    <w:rsid w:val="00056880"/>
    <w:rsid w:val="000577D2"/>
    <w:rsid w:val="00064F3C"/>
    <w:rsid w:val="0006574F"/>
    <w:rsid w:val="000672D3"/>
    <w:rsid w:val="000675D1"/>
    <w:rsid w:val="0007102C"/>
    <w:rsid w:val="000717C7"/>
    <w:rsid w:val="00071AA0"/>
    <w:rsid w:val="00072245"/>
    <w:rsid w:val="00073521"/>
    <w:rsid w:val="00073879"/>
    <w:rsid w:val="00075AB5"/>
    <w:rsid w:val="00076109"/>
    <w:rsid w:val="00076AFB"/>
    <w:rsid w:val="0007702D"/>
    <w:rsid w:val="000775DE"/>
    <w:rsid w:val="00081C74"/>
    <w:rsid w:val="0008409C"/>
    <w:rsid w:val="00084AF9"/>
    <w:rsid w:val="000858F2"/>
    <w:rsid w:val="000864F8"/>
    <w:rsid w:val="00086C14"/>
    <w:rsid w:val="00087A09"/>
    <w:rsid w:val="00087FAF"/>
    <w:rsid w:val="0009090C"/>
    <w:rsid w:val="000915B3"/>
    <w:rsid w:val="00094951"/>
    <w:rsid w:val="00094C33"/>
    <w:rsid w:val="00096214"/>
    <w:rsid w:val="00096966"/>
    <w:rsid w:val="00097525"/>
    <w:rsid w:val="000A036A"/>
    <w:rsid w:val="000A212A"/>
    <w:rsid w:val="000A3A54"/>
    <w:rsid w:val="000A50B3"/>
    <w:rsid w:val="000A5E58"/>
    <w:rsid w:val="000A762B"/>
    <w:rsid w:val="000B11CD"/>
    <w:rsid w:val="000B12D3"/>
    <w:rsid w:val="000B1B00"/>
    <w:rsid w:val="000B3186"/>
    <w:rsid w:val="000B3ACB"/>
    <w:rsid w:val="000B5122"/>
    <w:rsid w:val="000B520C"/>
    <w:rsid w:val="000B544D"/>
    <w:rsid w:val="000B7010"/>
    <w:rsid w:val="000B7B01"/>
    <w:rsid w:val="000C0294"/>
    <w:rsid w:val="000C0FA3"/>
    <w:rsid w:val="000C10C0"/>
    <w:rsid w:val="000C2D7B"/>
    <w:rsid w:val="000C5F40"/>
    <w:rsid w:val="000D0728"/>
    <w:rsid w:val="000D17E4"/>
    <w:rsid w:val="000D1DB0"/>
    <w:rsid w:val="000D2F60"/>
    <w:rsid w:val="000D677F"/>
    <w:rsid w:val="000D69A4"/>
    <w:rsid w:val="000D6CF6"/>
    <w:rsid w:val="000E0449"/>
    <w:rsid w:val="000E0B74"/>
    <w:rsid w:val="000E141B"/>
    <w:rsid w:val="000E2592"/>
    <w:rsid w:val="000E4F19"/>
    <w:rsid w:val="000E75E5"/>
    <w:rsid w:val="000F0BF8"/>
    <w:rsid w:val="000F11C9"/>
    <w:rsid w:val="000F4F4F"/>
    <w:rsid w:val="000F4FA0"/>
    <w:rsid w:val="000F526C"/>
    <w:rsid w:val="000F6B86"/>
    <w:rsid w:val="000F7517"/>
    <w:rsid w:val="000F7A01"/>
    <w:rsid w:val="00100BEA"/>
    <w:rsid w:val="00101B14"/>
    <w:rsid w:val="0010202A"/>
    <w:rsid w:val="00102B1E"/>
    <w:rsid w:val="00102CEE"/>
    <w:rsid w:val="001055FD"/>
    <w:rsid w:val="001065C7"/>
    <w:rsid w:val="0011213B"/>
    <w:rsid w:val="00112DBF"/>
    <w:rsid w:val="0011583C"/>
    <w:rsid w:val="001166B6"/>
    <w:rsid w:val="00120F7D"/>
    <w:rsid w:val="0012121F"/>
    <w:rsid w:val="001218BD"/>
    <w:rsid w:val="00121C45"/>
    <w:rsid w:val="001234CE"/>
    <w:rsid w:val="00123849"/>
    <w:rsid w:val="00124400"/>
    <w:rsid w:val="00125A8E"/>
    <w:rsid w:val="00125F81"/>
    <w:rsid w:val="00127809"/>
    <w:rsid w:val="00132B4D"/>
    <w:rsid w:val="00134C70"/>
    <w:rsid w:val="0014091C"/>
    <w:rsid w:val="00142997"/>
    <w:rsid w:val="00143EDD"/>
    <w:rsid w:val="001446BB"/>
    <w:rsid w:val="001461A8"/>
    <w:rsid w:val="0014683B"/>
    <w:rsid w:val="00146EE8"/>
    <w:rsid w:val="00147A77"/>
    <w:rsid w:val="001509D9"/>
    <w:rsid w:val="00150A28"/>
    <w:rsid w:val="00154476"/>
    <w:rsid w:val="00154EB6"/>
    <w:rsid w:val="0015559D"/>
    <w:rsid w:val="00156B45"/>
    <w:rsid w:val="00160233"/>
    <w:rsid w:val="001606CF"/>
    <w:rsid w:val="00160EA3"/>
    <w:rsid w:val="0016128D"/>
    <w:rsid w:val="001654C2"/>
    <w:rsid w:val="00166649"/>
    <w:rsid w:val="0016707F"/>
    <w:rsid w:val="0017089D"/>
    <w:rsid w:val="00170921"/>
    <w:rsid w:val="00171734"/>
    <w:rsid w:val="001722C9"/>
    <w:rsid w:val="001726FE"/>
    <w:rsid w:val="00172DFE"/>
    <w:rsid w:val="00175519"/>
    <w:rsid w:val="00176C14"/>
    <w:rsid w:val="001779F2"/>
    <w:rsid w:val="0018077C"/>
    <w:rsid w:val="00182080"/>
    <w:rsid w:val="00183441"/>
    <w:rsid w:val="00183CE0"/>
    <w:rsid w:val="001845E2"/>
    <w:rsid w:val="0018561A"/>
    <w:rsid w:val="00185FF8"/>
    <w:rsid w:val="0019101A"/>
    <w:rsid w:val="00191C74"/>
    <w:rsid w:val="00192659"/>
    <w:rsid w:val="00193B7F"/>
    <w:rsid w:val="001957A3"/>
    <w:rsid w:val="001A006C"/>
    <w:rsid w:val="001A248E"/>
    <w:rsid w:val="001A3AC3"/>
    <w:rsid w:val="001A6463"/>
    <w:rsid w:val="001A65FD"/>
    <w:rsid w:val="001A6A63"/>
    <w:rsid w:val="001A6BA5"/>
    <w:rsid w:val="001B2CE4"/>
    <w:rsid w:val="001B3971"/>
    <w:rsid w:val="001B584B"/>
    <w:rsid w:val="001B5D33"/>
    <w:rsid w:val="001C138B"/>
    <w:rsid w:val="001C358D"/>
    <w:rsid w:val="001C77CB"/>
    <w:rsid w:val="001D095B"/>
    <w:rsid w:val="001D1626"/>
    <w:rsid w:val="001D24A7"/>
    <w:rsid w:val="001D2A7D"/>
    <w:rsid w:val="001D3164"/>
    <w:rsid w:val="001D3B5B"/>
    <w:rsid w:val="001D47E2"/>
    <w:rsid w:val="001D4E80"/>
    <w:rsid w:val="001D5E88"/>
    <w:rsid w:val="001E0F79"/>
    <w:rsid w:val="001E3669"/>
    <w:rsid w:val="001E3A41"/>
    <w:rsid w:val="001E56D3"/>
    <w:rsid w:val="001E6AC6"/>
    <w:rsid w:val="001E7105"/>
    <w:rsid w:val="001F24BC"/>
    <w:rsid w:val="001F305E"/>
    <w:rsid w:val="001F420F"/>
    <w:rsid w:val="001F6069"/>
    <w:rsid w:val="002030E5"/>
    <w:rsid w:val="002037EF"/>
    <w:rsid w:val="00204097"/>
    <w:rsid w:val="0020568A"/>
    <w:rsid w:val="00206DAF"/>
    <w:rsid w:val="00210267"/>
    <w:rsid w:val="00213F1F"/>
    <w:rsid w:val="00215232"/>
    <w:rsid w:val="00217E85"/>
    <w:rsid w:val="0022190E"/>
    <w:rsid w:val="00223010"/>
    <w:rsid w:val="0022609A"/>
    <w:rsid w:val="002277C4"/>
    <w:rsid w:val="00231049"/>
    <w:rsid w:val="002314D2"/>
    <w:rsid w:val="002339CD"/>
    <w:rsid w:val="0023523F"/>
    <w:rsid w:val="002372A6"/>
    <w:rsid w:val="0023735C"/>
    <w:rsid w:val="00237A02"/>
    <w:rsid w:val="0024134C"/>
    <w:rsid w:val="00241698"/>
    <w:rsid w:val="0024278E"/>
    <w:rsid w:val="0024400A"/>
    <w:rsid w:val="00245505"/>
    <w:rsid w:val="00246019"/>
    <w:rsid w:val="00246112"/>
    <w:rsid w:val="00246C6B"/>
    <w:rsid w:val="00251A4A"/>
    <w:rsid w:val="00254A15"/>
    <w:rsid w:val="00257AEE"/>
    <w:rsid w:val="00257C23"/>
    <w:rsid w:val="00257CAB"/>
    <w:rsid w:val="0026031E"/>
    <w:rsid w:val="00260C5A"/>
    <w:rsid w:val="00260F4C"/>
    <w:rsid w:val="00261814"/>
    <w:rsid w:val="00262A36"/>
    <w:rsid w:val="00262B36"/>
    <w:rsid w:val="00263B6C"/>
    <w:rsid w:val="00264713"/>
    <w:rsid w:val="002703CF"/>
    <w:rsid w:val="002711A4"/>
    <w:rsid w:val="0027235D"/>
    <w:rsid w:val="00272C57"/>
    <w:rsid w:val="00275317"/>
    <w:rsid w:val="0027590B"/>
    <w:rsid w:val="0028308D"/>
    <w:rsid w:val="0028587C"/>
    <w:rsid w:val="00285969"/>
    <w:rsid w:val="00285980"/>
    <w:rsid w:val="00286323"/>
    <w:rsid w:val="00287878"/>
    <w:rsid w:val="002940EC"/>
    <w:rsid w:val="00294D7D"/>
    <w:rsid w:val="002A088C"/>
    <w:rsid w:val="002A3F40"/>
    <w:rsid w:val="002A7540"/>
    <w:rsid w:val="002A791C"/>
    <w:rsid w:val="002B11F8"/>
    <w:rsid w:val="002B213C"/>
    <w:rsid w:val="002B3829"/>
    <w:rsid w:val="002B3CF5"/>
    <w:rsid w:val="002B401D"/>
    <w:rsid w:val="002B4C86"/>
    <w:rsid w:val="002B4DAC"/>
    <w:rsid w:val="002B5267"/>
    <w:rsid w:val="002B5C39"/>
    <w:rsid w:val="002B759D"/>
    <w:rsid w:val="002B7CDC"/>
    <w:rsid w:val="002C026E"/>
    <w:rsid w:val="002C068D"/>
    <w:rsid w:val="002C0D17"/>
    <w:rsid w:val="002C0DD8"/>
    <w:rsid w:val="002C478B"/>
    <w:rsid w:val="002C4F5F"/>
    <w:rsid w:val="002C6156"/>
    <w:rsid w:val="002C616B"/>
    <w:rsid w:val="002C78E4"/>
    <w:rsid w:val="002D3E9D"/>
    <w:rsid w:val="002D488F"/>
    <w:rsid w:val="002D4946"/>
    <w:rsid w:val="002D4EE3"/>
    <w:rsid w:val="002D51FF"/>
    <w:rsid w:val="002E306D"/>
    <w:rsid w:val="002E43F9"/>
    <w:rsid w:val="002E4471"/>
    <w:rsid w:val="002E5DB3"/>
    <w:rsid w:val="002F617F"/>
    <w:rsid w:val="00300C3F"/>
    <w:rsid w:val="003014D9"/>
    <w:rsid w:val="00303E6B"/>
    <w:rsid w:val="003048EE"/>
    <w:rsid w:val="003062E2"/>
    <w:rsid w:val="00310419"/>
    <w:rsid w:val="003122F4"/>
    <w:rsid w:val="00317BDD"/>
    <w:rsid w:val="00321901"/>
    <w:rsid w:val="003251F3"/>
    <w:rsid w:val="003268D5"/>
    <w:rsid w:val="0032713A"/>
    <w:rsid w:val="003308CC"/>
    <w:rsid w:val="0033257F"/>
    <w:rsid w:val="003325F5"/>
    <w:rsid w:val="0033609A"/>
    <w:rsid w:val="00337B48"/>
    <w:rsid w:val="00337EC9"/>
    <w:rsid w:val="003401F4"/>
    <w:rsid w:val="00341454"/>
    <w:rsid w:val="00342C59"/>
    <w:rsid w:val="00343B7E"/>
    <w:rsid w:val="00343CB4"/>
    <w:rsid w:val="00344779"/>
    <w:rsid w:val="00344E13"/>
    <w:rsid w:val="0034512F"/>
    <w:rsid w:val="003463D7"/>
    <w:rsid w:val="00346BC1"/>
    <w:rsid w:val="00347880"/>
    <w:rsid w:val="003533CD"/>
    <w:rsid w:val="00353854"/>
    <w:rsid w:val="00354D27"/>
    <w:rsid w:val="003553C4"/>
    <w:rsid w:val="00356344"/>
    <w:rsid w:val="003572CC"/>
    <w:rsid w:val="003576B0"/>
    <w:rsid w:val="003615E3"/>
    <w:rsid w:val="00361AF9"/>
    <w:rsid w:val="0036286B"/>
    <w:rsid w:val="00363FDF"/>
    <w:rsid w:val="00364ADD"/>
    <w:rsid w:val="00364EBF"/>
    <w:rsid w:val="00371421"/>
    <w:rsid w:val="00372124"/>
    <w:rsid w:val="00372581"/>
    <w:rsid w:val="00375379"/>
    <w:rsid w:val="003757CB"/>
    <w:rsid w:val="0038297E"/>
    <w:rsid w:val="00382F7E"/>
    <w:rsid w:val="003835AE"/>
    <w:rsid w:val="003839F0"/>
    <w:rsid w:val="00384815"/>
    <w:rsid w:val="003858A6"/>
    <w:rsid w:val="003910CB"/>
    <w:rsid w:val="003919D9"/>
    <w:rsid w:val="00392031"/>
    <w:rsid w:val="00392945"/>
    <w:rsid w:val="00392DCC"/>
    <w:rsid w:val="00393FD9"/>
    <w:rsid w:val="00394D34"/>
    <w:rsid w:val="00395967"/>
    <w:rsid w:val="00396E30"/>
    <w:rsid w:val="003A2448"/>
    <w:rsid w:val="003A317D"/>
    <w:rsid w:val="003A33AC"/>
    <w:rsid w:val="003A3EEF"/>
    <w:rsid w:val="003A7139"/>
    <w:rsid w:val="003A7CA6"/>
    <w:rsid w:val="003B16FF"/>
    <w:rsid w:val="003B30C9"/>
    <w:rsid w:val="003B4934"/>
    <w:rsid w:val="003B4E8C"/>
    <w:rsid w:val="003B5745"/>
    <w:rsid w:val="003B69EA"/>
    <w:rsid w:val="003B6F07"/>
    <w:rsid w:val="003B70F3"/>
    <w:rsid w:val="003B7F8F"/>
    <w:rsid w:val="003C03F0"/>
    <w:rsid w:val="003C3015"/>
    <w:rsid w:val="003C371F"/>
    <w:rsid w:val="003C4797"/>
    <w:rsid w:val="003C48E0"/>
    <w:rsid w:val="003C4C5C"/>
    <w:rsid w:val="003C52F3"/>
    <w:rsid w:val="003C545B"/>
    <w:rsid w:val="003C5551"/>
    <w:rsid w:val="003C592A"/>
    <w:rsid w:val="003C5F8D"/>
    <w:rsid w:val="003D02EE"/>
    <w:rsid w:val="003D5FF2"/>
    <w:rsid w:val="003D6532"/>
    <w:rsid w:val="003E0A48"/>
    <w:rsid w:val="003E4D87"/>
    <w:rsid w:val="003E6461"/>
    <w:rsid w:val="003E7DC6"/>
    <w:rsid w:val="003F0731"/>
    <w:rsid w:val="003F191F"/>
    <w:rsid w:val="003F23B9"/>
    <w:rsid w:val="003F297E"/>
    <w:rsid w:val="003F384A"/>
    <w:rsid w:val="003F52BD"/>
    <w:rsid w:val="003F6F11"/>
    <w:rsid w:val="003F71F2"/>
    <w:rsid w:val="003F7C8D"/>
    <w:rsid w:val="00400CB5"/>
    <w:rsid w:val="004012B0"/>
    <w:rsid w:val="004029EE"/>
    <w:rsid w:val="00402B74"/>
    <w:rsid w:val="0040520E"/>
    <w:rsid w:val="00405FDB"/>
    <w:rsid w:val="00411890"/>
    <w:rsid w:val="00412938"/>
    <w:rsid w:val="00414B22"/>
    <w:rsid w:val="00414B51"/>
    <w:rsid w:val="004155AB"/>
    <w:rsid w:val="00416762"/>
    <w:rsid w:val="00417776"/>
    <w:rsid w:val="00420466"/>
    <w:rsid w:val="0042133B"/>
    <w:rsid w:val="004215BD"/>
    <w:rsid w:val="00421AD3"/>
    <w:rsid w:val="00422BA7"/>
    <w:rsid w:val="00424DAF"/>
    <w:rsid w:val="004255AF"/>
    <w:rsid w:val="0042769B"/>
    <w:rsid w:val="00430150"/>
    <w:rsid w:val="004319DF"/>
    <w:rsid w:val="00432E4C"/>
    <w:rsid w:val="004415C7"/>
    <w:rsid w:val="0044209E"/>
    <w:rsid w:val="00444383"/>
    <w:rsid w:val="00445265"/>
    <w:rsid w:val="00446BE3"/>
    <w:rsid w:val="004474BC"/>
    <w:rsid w:val="004559CE"/>
    <w:rsid w:val="00455E8E"/>
    <w:rsid w:val="00457E74"/>
    <w:rsid w:val="004609ED"/>
    <w:rsid w:val="004654F3"/>
    <w:rsid w:val="00465E07"/>
    <w:rsid w:val="00472109"/>
    <w:rsid w:val="00472582"/>
    <w:rsid w:val="00472BF8"/>
    <w:rsid w:val="00472DCD"/>
    <w:rsid w:val="00475B7B"/>
    <w:rsid w:val="00475F4D"/>
    <w:rsid w:val="00477925"/>
    <w:rsid w:val="0048073B"/>
    <w:rsid w:val="00480853"/>
    <w:rsid w:val="00480EC1"/>
    <w:rsid w:val="00482AD1"/>
    <w:rsid w:val="00483049"/>
    <w:rsid w:val="00485800"/>
    <w:rsid w:val="00486F53"/>
    <w:rsid w:val="00492FCB"/>
    <w:rsid w:val="004931C9"/>
    <w:rsid w:val="004938D1"/>
    <w:rsid w:val="00495188"/>
    <w:rsid w:val="004951A8"/>
    <w:rsid w:val="00495A63"/>
    <w:rsid w:val="00495D19"/>
    <w:rsid w:val="00496CC5"/>
    <w:rsid w:val="004A025E"/>
    <w:rsid w:val="004A1081"/>
    <w:rsid w:val="004A223C"/>
    <w:rsid w:val="004A3EBE"/>
    <w:rsid w:val="004A4FF8"/>
    <w:rsid w:val="004A6D27"/>
    <w:rsid w:val="004B0749"/>
    <w:rsid w:val="004B0DF2"/>
    <w:rsid w:val="004B1691"/>
    <w:rsid w:val="004B22D6"/>
    <w:rsid w:val="004B3FE8"/>
    <w:rsid w:val="004B69AE"/>
    <w:rsid w:val="004B76CE"/>
    <w:rsid w:val="004B79D3"/>
    <w:rsid w:val="004B7B2B"/>
    <w:rsid w:val="004C29DB"/>
    <w:rsid w:val="004C3754"/>
    <w:rsid w:val="004C569F"/>
    <w:rsid w:val="004C69AA"/>
    <w:rsid w:val="004C7673"/>
    <w:rsid w:val="004D02FB"/>
    <w:rsid w:val="004D1BDD"/>
    <w:rsid w:val="004D2081"/>
    <w:rsid w:val="004D2CC2"/>
    <w:rsid w:val="004D32C9"/>
    <w:rsid w:val="004D3929"/>
    <w:rsid w:val="004D52FF"/>
    <w:rsid w:val="004D7FFD"/>
    <w:rsid w:val="004E0284"/>
    <w:rsid w:val="004E0351"/>
    <w:rsid w:val="004E2ABB"/>
    <w:rsid w:val="004E3E0F"/>
    <w:rsid w:val="004E417B"/>
    <w:rsid w:val="004E4599"/>
    <w:rsid w:val="004E46C5"/>
    <w:rsid w:val="004E612F"/>
    <w:rsid w:val="004F0A35"/>
    <w:rsid w:val="004F1164"/>
    <w:rsid w:val="004F4090"/>
    <w:rsid w:val="004F74EB"/>
    <w:rsid w:val="0050028D"/>
    <w:rsid w:val="00500A9D"/>
    <w:rsid w:val="00501917"/>
    <w:rsid w:val="005027B7"/>
    <w:rsid w:val="00502CDC"/>
    <w:rsid w:val="00503FE8"/>
    <w:rsid w:val="00507343"/>
    <w:rsid w:val="00507A59"/>
    <w:rsid w:val="0051294D"/>
    <w:rsid w:val="00514172"/>
    <w:rsid w:val="00516785"/>
    <w:rsid w:val="005179D4"/>
    <w:rsid w:val="00517C06"/>
    <w:rsid w:val="00517E0E"/>
    <w:rsid w:val="0052419D"/>
    <w:rsid w:val="00525788"/>
    <w:rsid w:val="00525DF0"/>
    <w:rsid w:val="00525FA4"/>
    <w:rsid w:val="00526ED8"/>
    <w:rsid w:val="005301F8"/>
    <w:rsid w:val="00530400"/>
    <w:rsid w:val="00530752"/>
    <w:rsid w:val="005312FC"/>
    <w:rsid w:val="00533CA6"/>
    <w:rsid w:val="00534433"/>
    <w:rsid w:val="00534863"/>
    <w:rsid w:val="0053603D"/>
    <w:rsid w:val="00536842"/>
    <w:rsid w:val="00537618"/>
    <w:rsid w:val="00537B31"/>
    <w:rsid w:val="00537E8B"/>
    <w:rsid w:val="0054523F"/>
    <w:rsid w:val="00550443"/>
    <w:rsid w:val="0055344A"/>
    <w:rsid w:val="00553FC3"/>
    <w:rsid w:val="00555FB6"/>
    <w:rsid w:val="00556078"/>
    <w:rsid w:val="005571F6"/>
    <w:rsid w:val="00557CCA"/>
    <w:rsid w:val="00561957"/>
    <w:rsid w:val="005628F9"/>
    <w:rsid w:val="00564290"/>
    <w:rsid w:val="00566346"/>
    <w:rsid w:val="00570B04"/>
    <w:rsid w:val="00573EFC"/>
    <w:rsid w:val="005749EE"/>
    <w:rsid w:val="00574F22"/>
    <w:rsid w:val="00582211"/>
    <w:rsid w:val="005850E4"/>
    <w:rsid w:val="00585862"/>
    <w:rsid w:val="0058664B"/>
    <w:rsid w:val="005868DE"/>
    <w:rsid w:val="00586E81"/>
    <w:rsid w:val="005957B8"/>
    <w:rsid w:val="00596C62"/>
    <w:rsid w:val="005976B5"/>
    <w:rsid w:val="0059787C"/>
    <w:rsid w:val="005A1A8C"/>
    <w:rsid w:val="005A3E81"/>
    <w:rsid w:val="005A504F"/>
    <w:rsid w:val="005A56F2"/>
    <w:rsid w:val="005A5FA9"/>
    <w:rsid w:val="005A6B79"/>
    <w:rsid w:val="005B1A9F"/>
    <w:rsid w:val="005B22BE"/>
    <w:rsid w:val="005B252D"/>
    <w:rsid w:val="005B35D5"/>
    <w:rsid w:val="005B6BB7"/>
    <w:rsid w:val="005B7FAE"/>
    <w:rsid w:val="005C0DE5"/>
    <w:rsid w:val="005C12A1"/>
    <w:rsid w:val="005C163D"/>
    <w:rsid w:val="005C1659"/>
    <w:rsid w:val="005C428E"/>
    <w:rsid w:val="005D09F1"/>
    <w:rsid w:val="005D10D3"/>
    <w:rsid w:val="005D21DE"/>
    <w:rsid w:val="005D262C"/>
    <w:rsid w:val="005D27A1"/>
    <w:rsid w:val="005D29CE"/>
    <w:rsid w:val="005D29E9"/>
    <w:rsid w:val="005D3E72"/>
    <w:rsid w:val="005D3FEF"/>
    <w:rsid w:val="005D756E"/>
    <w:rsid w:val="005E7604"/>
    <w:rsid w:val="005F0A50"/>
    <w:rsid w:val="005F0C10"/>
    <w:rsid w:val="005F1AA8"/>
    <w:rsid w:val="005F6F8C"/>
    <w:rsid w:val="005F73EC"/>
    <w:rsid w:val="005F745D"/>
    <w:rsid w:val="005F7AF0"/>
    <w:rsid w:val="00604644"/>
    <w:rsid w:val="0060595B"/>
    <w:rsid w:val="00605AFD"/>
    <w:rsid w:val="00605D43"/>
    <w:rsid w:val="0060760D"/>
    <w:rsid w:val="00607C7C"/>
    <w:rsid w:val="00610B13"/>
    <w:rsid w:val="006123D4"/>
    <w:rsid w:val="00612788"/>
    <w:rsid w:val="006133FD"/>
    <w:rsid w:val="006163EE"/>
    <w:rsid w:val="006178CF"/>
    <w:rsid w:val="00622754"/>
    <w:rsid w:val="00623F3C"/>
    <w:rsid w:val="006254D8"/>
    <w:rsid w:val="00625EF4"/>
    <w:rsid w:val="00626E91"/>
    <w:rsid w:val="006278D2"/>
    <w:rsid w:val="00630010"/>
    <w:rsid w:val="0063295C"/>
    <w:rsid w:val="0063428B"/>
    <w:rsid w:val="00635520"/>
    <w:rsid w:val="00636784"/>
    <w:rsid w:val="00637C14"/>
    <w:rsid w:val="006422F2"/>
    <w:rsid w:val="006428C7"/>
    <w:rsid w:val="00642BD9"/>
    <w:rsid w:val="00642F6F"/>
    <w:rsid w:val="00643CDA"/>
    <w:rsid w:val="00644945"/>
    <w:rsid w:val="00644A6C"/>
    <w:rsid w:val="00646FCB"/>
    <w:rsid w:val="00651375"/>
    <w:rsid w:val="006519D9"/>
    <w:rsid w:val="00652352"/>
    <w:rsid w:val="0065293B"/>
    <w:rsid w:val="0065330E"/>
    <w:rsid w:val="00653556"/>
    <w:rsid w:val="00653782"/>
    <w:rsid w:val="00656356"/>
    <w:rsid w:val="006572C8"/>
    <w:rsid w:val="0065785C"/>
    <w:rsid w:val="00660540"/>
    <w:rsid w:val="0066347C"/>
    <w:rsid w:val="006642BB"/>
    <w:rsid w:val="00664300"/>
    <w:rsid w:val="00664B7F"/>
    <w:rsid w:val="006665A8"/>
    <w:rsid w:val="00666B5B"/>
    <w:rsid w:val="006705C1"/>
    <w:rsid w:val="00671058"/>
    <w:rsid w:val="00671BF6"/>
    <w:rsid w:val="006729C2"/>
    <w:rsid w:val="006755BF"/>
    <w:rsid w:val="00677689"/>
    <w:rsid w:val="00680024"/>
    <w:rsid w:val="0068161F"/>
    <w:rsid w:val="0068195A"/>
    <w:rsid w:val="00684272"/>
    <w:rsid w:val="00684288"/>
    <w:rsid w:val="00686165"/>
    <w:rsid w:val="00687830"/>
    <w:rsid w:val="006916CC"/>
    <w:rsid w:val="00691CB5"/>
    <w:rsid w:val="0069271D"/>
    <w:rsid w:val="006941EE"/>
    <w:rsid w:val="0069423C"/>
    <w:rsid w:val="00697C1F"/>
    <w:rsid w:val="00697F79"/>
    <w:rsid w:val="006A03CC"/>
    <w:rsid w:val="006A1244"/>
    <w:rsid w:val="006A23D8"/>
    <w:rsid w:val="006A290F"/>
    <w:rsid w:val="006A60FE"/>
    <w:rsid w:val="006A6EE1"/>
    <w:rsid w:val="006A700C"/>
    <w:rsid w:val="006B1438"/>
    <w:rsid w:val="006B15F7"/>
    <w:rsid w:val="006B38F1"/>
    <w:rsid w:val="006B5435"/>
    <w:rsid w:val="006B5E7C"/>
    <w:rsid w:val="006B60DE"/>
    <w:rsid w:val="006C1044"/>
    <w:rsid w:val="006C25A4"/>
    <w:rsid w:val="006C3887"/>
    <w:rsid w:val="006C6204"/>
    <w:rsid w:val="006C645D"/>
    <w:rsid w:val="006D108F"/>
    <w:rsid w:val="006D1E38"/>
    <w:rsid w:val="006D277A"/>
    <w:rsid w:val="006D3D9A"/>
    <w:rsid w:val="006D42C7"/>
    <w:rsid w:val="006D4BDC"/>
    <w:rsid w:val="006D5531"/>
    <w:rsid w:val="006D5951"/>
    <w:rsid w:val="006E036D"/>
    <w:rsid w:val="006E2CB7"/>
    <w:rsid w:val="006E2D70"/>
    <w:rsid w:val="006E3CC3"/>
    <w:rsid w:val="006E4524"/>
    <w:rsid w:val="006E48C6"/>
    <w:rsid w:val="006E5487"/>
    <w:rsid w:val="006E599B"/>
    <w:rsid w:val="006E64B2"/>
    <w:rsid w:val="006E687E"/>
    <w:rsid w:val="006E7FE5"/>
    <w:rsid w:val="006F0063"/>
    <w:rsid w:val="006F1558"/>
    <w:rsid w:val="006F190F"/>
    <w:rsid w:val="006F3CC7"/>
    <w:rsid w:val="006F4ECE"/>
    <w:rsid w:val="006F611A"/>
    <w:rsid w:val="006F6527"/>
    <w:rsid w:val="006F656C"/>
    <w:rsid w:val="00701366"/>
    <w:rsid w:val="00702EB9"/>
    <w:rsid w:val="0070447F"/>
    <w:rsid w:val="0070493C"/>
    <w:rsid w:val="00704D4B"/>
    <w:rsid w:val="00704EE1"/>
    <w:rsid w:val="007050A8"/>
    <w:rsid w:val="00705A71"/>
    <w:rsid w:val="0070685F"/>
    <w:rsid w:val="00707014"/>
    <w:rsid w:val="007122D9"/>
    <w:rsid w:val="00712F2D"/>
    <w:rsid w:val="007141B1"/>
    <w:rsid w:val="007166FD"/>
    <w:rsid w:val="00716876"/>
    <w:rsid w:val="00721B57"/>
    <w:rsid w:val="00722F35"/>
    <w:rsid w:val="00724C68"/>
    <w:rsid w:val="00726821"/>
    <w:rsid w:val="0072726F"/>
    <w:rsid w:val="00727330"/>
    <w:rsid w:val="00727983"/>
    <w:rsid w:val="00730E69"/>
    <w:rsid w:val="00731279"/>
    <w:rsid w:val="00732CE1"/>
    <w:rsid w:val="00733E96"/>
    <w:rsid w:val="007365D0"/>
    <w:rsid w:val="007379AF"/>
    <w:rsid w:val="00740C26"/>
    <w:rsid w:val="00741C8F"/>
    <w:rsid w:val="007424CF"/>
    <w:rsid w:val="00743321"/>
    <w:rsid w:val="00743332"/>
    <w:rsid w:val="00745A87"/>
    <w:rsid w:val="00750B0E"/>
    <w:rsid w:val="00750D73"/>
    <w:rsid w:val="00752E4A"/>
    <w:rsid w:val="00753A6C"/>
    <w:rsid w:val="00753B56"/>
    <w:rsid w:val="0075433B"/>
    <w:rsid w:val="0075570A"/>
    <w:rsid w:val="00756126"/>
    <w:rsid w:val="007568B6"/>
    <w:rsid w:val="0076215E"/>
    <w:rsid w:val="0076745A"/>
    <w:rsid w:val="0077179E"/>
    <w:rsid w:val="0077190E"/>
    <w:rsid w:val="00772916"/>
    <w:rsid w:val="00773FF0"/>
    <w:rsid w:val="007752F9"/>
    <w:rsid w:val="00776AAF"/>
    <w:rsid w:val="00783CB9"/>
    <w:rsid w:val="0078509F"/>
    <w:rsid w:val="007868D3"/>
    <w:rsid w:val="00787616"/>
    <w:rsid w:val="00790931"/>
    <w:rsid w:val="0079195A"/>
    <w:rsid w:val="00793BF3"/>
    <w:rsid w:val="00794499"/>
    <w:rsid w:val="007A0421"/>
    <w:rsid w:val="007A153D"/>
    <w:rsid w:val="007A1C54"/>
    <w:rsid w:val="007A2D44"/>
    <w:rsid w:val="007A33A0"/>
    <w:rsid w:val="007A4BA9"/>
    <w:rsid w:val="007A530C"/>
    <w:rsid w:val="007A5F27"/>
    <w:rsid w:val="007B1EB6"/>
    <w:rsid w:val="007B2545"/>
    <w:rsid w:val="007B2F3F"/>
    <w:rsid w:val="007B5C5D"/>
    <w:rsid w:val="007B7A7A"/>
    <w:rsid w:val="007C03CF"/>
    <w:rsid w:val="007C099A"/>
    <w:rsid w:val="007C223C"/>
    <w:rsid w:val="007C225B"/>
    <w:rsid w:val="007C2AC7"/>
    <w:rsid w:val="007C2F4E"/>
    <w:rsid w:val="007C3456"/>
    <w:rsid w:val="007C613C"/>
    <w:rsid w:val="007C7C6E"/>
    <w:rsid w:val="007C7D62"/>
    <w:rsid w:val="007D1030"/>
    <w:rsid w:val="007D1BF5"/>
    <w:rsid w:val="007D2612"/>
    <w:rsid w:val="007D3A57"/>
    <w:rsid w:val="007D5AA6"/>
    <w:rsid w:val="007D5F7A"/>
    <w:rsid w:val="007D6D61"/>
    <w:rsid w:val="007D75FE"/>
    <w:rsid w:val="007D7B0B"/>
    <w:rsid w:val="007E2AB9"/>
    <w:rsid w:val="007E4AE6"/>
    <w:rsid w:val="007E6456"/>
    <w:rsid w:val="007F0ADE"/>
    <w:rsid w:val="007F0DD2"/>
    <w:rsid w:val="007F4702"/>
    <w:rsid w:val="007F5E00"/>
    <w:rsid w:val="007F73D9"/>
    <w:rsid w:val="0080018C"/>
    <w:rsid w:val="00802A8B"/>
    <w:rsid w:val="00803E54"/>
    <w:rsid w:val="0080427F"/>
    <w:rsid w:val="00804E69"/>
    <w:rsid w:val="0080640C"/>
    <w:rsid w:val="00807D8E"/>
    <w:rsid w:val="00810D03"/>
    <w:rsid w:val="00811128"/>
    <w:rsid w:val="00813671"/>
    <w:rsid w:val="00813D29"/>
    <w:rsid w:val="00823655"/>
    <w:rsid w:val="0082451F"/>
    <w:rsid w:val="00825965"/>
    <w:rsid w:val="008263BB"/>
    <w:rsid w:val="008316E8"/>
    <w:rsid w:val="008321B2"/>
    <w:rsid w:val="008329A2"/>
    <w:rsid w:val="00833867"/>
    <w:rsid w:val="008339C0"/>
    <w:rsid w:val="00834243"/>
    <w:rsid w:val="00834F54"/>
    <w:rsid w:val="0084149B"/>
    <w:rsid w:val="00842448"/>
    <w:rsid w:val="00842F78"/>
    <w:rsid w:val="00843814"/>
    <w:rsid w:val="00844F88"/>
    <w:rsid w:val="00847956"/>
    <w:rsid w:val="0085068A"/>
    <w:rsid w:val="00851ACC"/>
    <w:rsid w:val="00853C2A"/>
    <w:rsid w:val="00855618"/>
    <w:rsid w:val="00855E1B"/>
    <w:rsid w:val="00857506"/>
    <w:rsid w:val="00857637"/>
    <w:rsid w:val="00857969"/>
    <w:rsid w:val="00860D4C"/>
    <w:rsid w:val="008610B6"/>
    <w:rsid w:val="008637E5"/>
    <w:rsid w:val="00864D1C"/>
    <w:rsid w:val="00866FF9"/>
    <w:rsid w:val="0087163D"/>
    <w:rsid w:val="0087291F"/>
    <w:rsid w:val="00872F3E"/>
    <w:rsid w:val="00874D00"/>
    <w:rsid w:val="00876E45"/>
    <w:rsid w:val="00877DA8"/>
    <w:rsid w:val="0088101D"/>
    <w:rsid w:val="00881C8D"/>
    <w:rsid w:val="008824D8"/>
    <w:rsid w:val="0088516F"/>
    <w:rsid w:val="008851AC"/>
    <w:rsid w:val="00885E2F"/>
    <w:rsid w:val="008879F4"/>
    <w:rsid w:val="0089067A"/>
    <w:rsid w:val="00891026"/>
    <w:rsid w:val="00893137"/>
    <w:rsid w:val="00895E2A"/>
    <w:rsid w:val="00897C23"/>
    <w:rsid w:val="008A0A5B"/>
    <w:rsid w:val="008A1187"/>
    <w:rsid w:val="008A4AEC"/>
    <w:rsid w:val="008A4C35"/>
    <w:rsid w:val="008A4D9C"/>
    <w:rsid w:val="008B0833"/>
    <w:rsid w:val="008B1499"/>
    <w:rsid w:val="008B1777"/>
    <w:rsid w:val="008B19D4"/>
    <w:rsid w:val="008B24EF"/>
    <w:rsid w:val="008B25CF"/>
    <w:rsid w:val="008B5F5B"/>
    <w:rsid w:val="008B6FD3"/>
    <w:rsid w:val="008C0E6A"/>
    <w:rsid w:val="008C555F"/>
    <w:rsid w:val="008C66B0"/>
    <w:rsid w:val="008D0BC2"/>
    <w:rsid w:val="008D0D0D"/>
    <w:rsid w:val="008D0FFE"/>
    <w:rsid w:val="008D2E20"/>
    <w:rsid w:val="008D2E6F"/>
    <w:rsid w:val="008D2F17"/>
    <w:rsid w:val="008D339F"/>
    <w:rsid w:val="008D420E"/>
    <w:rsid w:val="008D712A"/>
    <w:rsid w:val="008D7F38"/>
    <w:rsid w:val="008E00FA"/>
    <w:rsid w:val="008E0F41"/>
    <w:rsid w:val="008E17BA"/>
    <w:rsid w:val="008E17DA"/>
    <w:rsid w:val="008E1CFD"/>
    <w:rsid w:val="008E370F"/>
    <w:rsid w:val="008E424B"/>
    <w:rsid w:val="008E4C88"/>
    <w:rsid w:val="008E4C8E"/>
    <w:rsid w:val="008E6292"/>
    <w:rsid w:val="008E671C"/>
    <w:rsid w:val="008F329E"/>
    <w:rsid w:val="008F53F5"/>
    <w:rsid w:val="008F5F84"/>
    <w:rsid w:val="00902670"/>
    <w:rsid w:val="00906B8F"/>
    <w:rsid w:val="00906C8A"/>
    <w:rsid w:val="00907864"/>
    <w:rsid w:val="00911A6B"/>
    <w:rsid w:val="00913123"/>
    <w:rsid w:val="00916FBE"/>
    <w:rsid w:val="00920DBF"/>
    <w:rsid w:val="00921759"/>
    <w:rsid w:val="00922447"/>
    <w:rsid w:val="00922C08"/>
    <w:rsid w:val="00923090"/>
    <w:rsid w:val="00924D6B"/>
    <w:rsid w:val="00924E14"/>
    <w:rsid w:val="00925AA5"/>
    <w:rsid w:val="00927317"/>
    <w:rsid w:val="00934149"/>
    <w:rsid w:val="00934463"/>
    <w:rsid w:val="009355E5"/>
    <w:rsid w:val="00937652"/>
    <w:rsid w:val="009377C6"/>
    <w:rsid w:val="0094019D"/>
    <w:rsid w:val="0094110C"/>
    <w:rsid w:val="00942C11"/>
    <w:rsid w:val="009434BA"/>
    <w:rsid w:val="00946D2E"/>
    <w:rsid w:val="00947305"/>
    <w:rsid w:val="00947F3C"/>
    <w:rsid w:val="00947F94"/>
    <w:rsid w:val="00951CED"/>
    <w:rsid w:val="00951FEF"/>
    <w:rsid w:val="00954146"/>
    <w:rsid w:val="00956ABC"/>
    <w:rsid w:val="00957752"/>
    <w:rsid w:val="00960D04"/>
    <w:rsid w:val="00961FE7"/>
    <w:rsid w:val="00962B3A"/>
    <w:rsid w:val="00964A6B"/>
    <w:rsid w:val="00964B74"/>
    <w:rsid w:val="00964FDF"/>
    <w:rsid w:val="009657D0"/>
    <w:rsid w:val="00971089"/>
    <w:rsid w:val="00971DA5"/>
    <w:rsid w:val="009732EC"/>
    <w:rsid w:val="00973691"/>
    <w:rsid w:val="00974B36"/>
    <w:rsid w:val="009757F2"/>
    <w:rsid w:val="00975EBF"/>
    <w:rsid w:val="00977593"/>
    <w:rsid w:val="00977998"/>
    <w:rsid w:val="009804EB"/>
    <w:rsid w:val="009821CE"/>
    <w:rsid w:val="009825B4"/>
    <w:rsid w:val="00982CA2"/>
    <w:rsid w:val="009835EB"/>
    <w:rsid w:val="00983A3A"/>
    <w:rsid w:val="00984E75"/>
    <w:rsid w:val="009852CF"/>
    <w:rsid w:val="00985B5F"/>
    <w:rsid w:val="0098652C"/>
    <w:rsid w:val="0098793A"/>
    <w:rsid w:val="00991703"/>
    <w:rsid w:val="00992B66"/>
    <w:rsid w:val="009957F8"/>
    <w:rsid w:val="009A2EEB"/>
    <w:rsid w:val="009A33C5"/>
    <w:rsid w:val="009A3EEF"/>
    <w:rsid w:val="009A4146"/>
    <w:rsid w:val="009A658F"/>
    <w:rsid w:val="009B110F"/>
    <w:rsid w:val="009B2079"/>
    <w:rsid w:val="009B35B3"/>
    <w:rsid w:val="009B488F"/>
    <w:rsid w:val="009B5BB1"/>
    <w:rsid w:val="009B616E"/>
    <w:rsid w:val="009C3227"/>
    <w:rsid w:val="009C4475"/>
    <w:rsid w:val="009C53D6"/>
    <w:rsid w:val="009C7270"/>
    <w:rsid w:val="009D0F6A"/>
    <w:rsid w:val="009D23B4"/>
    <w:rsid w:val="009D2923"/>
    <w:rsid w:val="009D3A6A"/>
    <w:rsid w:val="009D41B9"/>
    <w:rsid w:val="009D6FC3"/>
    <w:rsid w:val="009D7E50"/>
    <w:rsid w:val="009E5422"/>
    <w:rsid w:val="009E7436"/>
    <w:rsid w:val="009E7852"/>
    <w:rsid w:val="009E7F0F"/>
    <w:rsid w:val="009F0049"/>
    <w:rsid w:val="009F084E"/>
    <w:rsid w:val="009F154A"/>
    <w:rsid w:val="009F62AB"/>
    <w:rsid w:val="00A00525"/>
    <w:rsid w:val="00A00DAD"/>
    <w:rsid w:val="00A04A18"/>
    <w:rsid w:val="00A078C2"/>
    <w:rsid w:val="00A10006"/>
    <w:rsid w:val="00A10436"/>
    <w:rsid w:val="00A1050B"/>
    <w:rsid w:val="00A1088F"/>
    <w:rsid w:val="00A117F9"/>
    <w:rsid w:val="00A11F47"/>
    <w:rsid w:val="00A12611"/>
    <w:rsid w:val="00A127EB"/>
    <w:rsid w:val="00A15939"/>
    <w:rsid w:val="00A16715"/>
    <w:rsid w:val="00A16E03"/>
    <w:rsid w:val="00A20E59"/>
    <w:rsid w:val="00A2243A"/>
    <w:rsid w:val="00A23A75"/>
    <w:rsid w:val="00A24556"/>
    <w:rsid w:val="00A25E22"/>
    <w:rsid w:val="00A260CD"/>
    <w:rsid w:val="00A34596"/>
    <w:rsid w:val="00A35180"/>
    <w:rsid w:val="00A3749B"/>
    <w:rsid w:val="00A40E45"/>
    <w:rsid w:val="00A41406"/>
    <w:rsid w:val="00A44C0C"/>
    <w:rsid w:val="00A450F5"/>
    <w:rsid w:val="00A47EA6"/>
    <w:rsid w:val="00A505FE"/>
    <w:rsid w:val="00A562BE"/>
    <w:rsid w:val="00A57927"/>
    <w:rsid w:val="00A57A00"/>
    <w:rsid w:val="00A57AF8"/>
    <w:rsid w:val="00A57D4E"/>
    <w:rsid w:val="00A60397"/>
    <w:rsid w:val="00A617AB"/>
    <w:rsid w:val="00A62205"/>
    <w:rsid w:val="00A62E42"/>
    <w:rsid w:val="00A64A71"/>
    <w:rsid w:val="00A65A53"/>
    <w:rsid w:val="00A65D77"/>
    <w:rsid w:val="00A65F84"/>
    <w:rsid w:val="00A66E45"/>
    <w:rsid w:val="00A672D1"/>
    <w:rsid w:val="00A67AE4"/>
    <w:rsid w:val="00A67C15"/>
    <w:rsid w:val="00A70FF5"/>
    <w:rsid w:val="00A76811"/>
    <w:rsid w:val="00A81160"/>
    <w:rsid w:val="00A82556"/>
    <w:rsid w:val="00A832CA"/>
    <w:rsid w:val="00A83D20"/>
    <w:rsid w:val="00A9018C"/>
    <w:rsid w:val="00A91786"/>
    <w:rsid w:val="00A919B4"/>
    <w:rsid w:val="00A96037"/>
    <w:rsid w:val="00A9748B"/>
    <w:rsid w:val="00A9761A"/>
    <w:rsid w:val="00AA2187"/>
    <w:rsid w:val="00AA369F"/>
    <w:rsid w:val="00AA3786"/>
    <w:rsid w:val="00AA37CC"/>
    <w:rsid w:val="00AA6696"/>
    <w:rsid w:val="00AA6BEB"/>
    <w:rsid w:val="00AA7601"/>
    <w:rsid w:val="00AB154D"/>
    <w:rsid w:val="00AC0C9D"/>
    <w:rsid w:val="00AC3EA2"/>
    <w:rsid w:val="00AC5DA6"/>
    <w:rsid w:val="00AC6382"/>
    <w:rsid w:val="00AC6704"/>
    <w:rsid w:val="00AD16C0"/>
    <w:rsid w:val="00AD48A8"/>
    <w:rsid w:val="00AD57B0"/>
    <w:rsid w:val="00AD5D5E"/>
    <w:rsid w:val="00AE073D"/>
    <w:rsid w:val="00AE2F90"/>
    <w:rsid w:val="00AE38B6"/>
    <w:rsid w:val="00AE4F91"/>
    <w:rsid w:val="00AE4FF3"/>
    <w:rsid w:val="00AE65F6"/>
    <w:rsid w:val="00AE7908"/>
    <w:rsid w:val="00AF0EED"/>
    <w:rsid w:val="00AF3278"/>
    <w:rsid w:val="00AF5D56"/>
    <w:rsid w:val="00AF61B2"/>
    <w:rsid w:val="00AF7474"/>
    <w:rsid w:val="00B003E1"/>
    <w:rsid w:val="00B008D7"/>
    <w:rsid w:val="00B048AF"/>
    <w:rsid w:val="00B05356"/>
    <w:rsid w:val="00B055D9"/>
    <w:rsid w:val="00B05A44"/>
    <w:rsid w:val="00B12A3A"/>
    <w:rsid w:val="00B13275"/>
    <w:rsid w:val="00B15D8D"/>
    <w:rsid w:val="00B20972"/>
    <w:rsid w:val="00B23C52"/>
    <w:rsid w:val="00B23D8F"/>
    <w:rsid w:val="00B247EB"/>
    <w:rsid w:val="00B251C5"/>
    <w:rsid w:val="00B26A27"/>
    <w:rsid w:val="00B274D7"/>
    <w:rsid w:val="00B3149D"/>
    <w:rsid w:val="00B3441E"/>
    <w:rsid w:val="00B34577"/>
    <w:rsid w:val="00B361A6"/>
    <w:rsid w:val="00B3632C"/>
    <w:rsid w:val="00B37374"/>
    <w:rsid w:val="00B416FD"/>
    <w:rsid w:val="00B4360B"/>
    <w:rsid w:val="00B46D70"/>
    <w:rsid w:val="00B51B40"/>
    <w:rsid w:val="00B6006A"/>
    <w:rsid w:val="00B61CEE"/>
    <w:rsid w:val="00B6208F"/>
    <w:rsid w:val="00B621A0"/>
    <w:rsid w:val="00B65D6C"/>
    <w:rsid w:val="00B706DC"/>
    <w:rsid w:val="00B7270A"/>
    <w:rsid w:val="00B74E24"/>
    <w:rsid w:val="00B767D8"/>
    <w:rsid w:val="00B770FF"/>
    <w:rsid w:val="00B804AF"/>
    <w:rsid w:val="00B82EF9"/>
    <w:rsid w:val="00B8349C"/>
    <w:rsid w:val="00B84941"/>
    <w:rsid w:val="00B85A29"/>
    <w:rsid w:val="00B85F47"/>
    <w:rsid w:val="00B878FD"/>
    <w:rsid w:val="00B87927"/>
    <w:rsid w:val="00B87B10"/>
    <w:rsid w:val="00B92619"/>
    <w:rsid w:val="00B934DF"/>
    <w:rsid w:val="00B959A6"/>
    <w:rsid w:val="00B96600"/>
    <w:rsid w:val="00B97FE8"/>
    <w:rsid w:val="00BA155C"/>
    <w:rsid w:val="00BA2785"/>
    <w:rsid w:val="00BA28C7"/>
    <w:rsid w:val="00BA2E0F"/>
    <w:rsid w:val="00BA46FE"/>
    <w:rsid w:val="00BA689C"/>
    <w:rsid w:val="00BA708C"/>
    <w:rsid w:val="00BA7463"/>
    <w:rsid w:val="00BB1122"/>
    <w:rsid w:val="00BB1841"/>
    <w:rsid w:val="00BB1F7F"/>
    <w:rsid w:val="00BB2CA5"/>
    <w:rsid w:val="00BB41E1"/>
    <w:rsid w:val="00BB4A46"/>
    <w:rsid w:val="00BB6869"/>
    <w:rsid w:val="00BC03EF"/>
    <w:rsid w:val="00BC0AFA"/>
    <w:rsid w:val="00BC1C77"/>
    <w:rsid w:val="00BC2D15"/>
    <w:rsid w:val="00BD105D"/>
    <w:rsid w:val="00BD3B5A"/>
    <w:rsid w:val="00BD40C8"/>
    <w:rsid w:val="00BD4605"/>
    <w:rsid w:val="00BD5650"/>
    <w:rsid w:val="00BD5DAE"/>
    <w:rsid w:val="00BD782B"/>
    <w:rsid w:val="00BE1157"/>
    <w:rsid w:val="00BE2556"/>
    <w:rsid w:val="00BE406B"/>
    <w:rsid w:val="00BE4424"/>
    <w:rsid w:val="00BE7E15"/>
    <w:rsid w:val="00BF2411"/>
    <w:rsid w:val="00BF3FE4"/>
    <w:rsid w:val="00BF7DA0"/>
    <w:rsid w:val="00C02539"/>
    <w:rsid w:val="00C0253C"/>
    <w:rsid w:val="00C027A4"/>
    <w:rsid w:val="00C0673A"/>
    <w:rsid w:val="00C07452"/>
    <w:rsid w:val="00C07BD7"/>
    <w:rsid w:val="00C10B0B"/>
    <w:rsid w:val="00C10C08"/>
    <w:rsid w:val="00C11011"/>
    <w:rsid w:val="00C12C2E"/>
    <w:rsid w:val="00C13ABD"/>
    <w:rsid w:val="00C150D6"/>
    <w:rsid w:val="00C1563E"/>
    <w:rsid w:val="00C17E01"/>
    <w:rsid w:val="00C203D6"/>
    <w:rsid w:val="00C26732"/>
    <w:rsid w:val="00C30297"/>
    <w:rsid w:val="00C3103F"/>
    <w:rsid w:val="00C31399"/>
    <w:rsid w:val="00C34E71"/>
    <w:rsid w:val="00C3794E"/>
    <w:rsid w:val="00C37965"/>
    <w:rsid w:val="00C42BAE"/>
    <w:rsid w:val="00C44066"/>
    <w:rsid w:val="00C45D57"/>
    <w:rsid w:val="00C46A82"/>
    <w:rsid w:val="00C47A96"/>
    <w:rsid w:val="00C5291E"/>
    <w:rsid w:val="00C52CA8"/>
    <w:rsid w:val="00C5384B"/>
    <w:rsid w:val="00C54E4E"/>
    <w:rsid w:val="00C5519C"/>
    <w:rsid w:val="00C55918"/>
    <w:rsid w:val="00C601DF"/>
    <w:rsid w:val="00C62C91"/>
    <w:rsid w:val="00C634AC"/>
    <w:rsid w:val="00C64437"/>
    <w:rsid w:val="00C65CF1"/>
    <w:rsid w:val="00C663AB"/>
    <w:rsid w:val="00C66C8C"/>
    <w:rsid w:val="00C67CA8"/>
    <w:rsid w:val="00C7065F"/>
    <w:rsid w:val="00C72C71"/>
    <w:rsid w:val="00C7386F"/>
    <w:rsid w:val="00C741E9"/>
    <w:rsid w:val="00C74922"/>
    <w:rsid w:val="00C75127"/>
    <w:rsid w:val="00C822B2"/>
    <w:rsid w:val="00C83205"/>
    <w:rsid w:val="00C8336E"/>
    <w:rsid w:val="00C84104"/>
    <w:rsid w:val="00C84396"/>
    <w:rsid w:val="00C85314"/>
    <w:rsid w:val="00C9065C"/>
    <w:rsid w:val="00C922CD"/>
    <w:rsid w:val="00C9331D"/>
    <w:rsid w:val="00C94847"/>
    <w:rsid w:val="00C9582C"/>
    <w:rsid w:val="00C9689F"/>
    <w:rsid w:val="00C97AA1"/>
    <w:rsid w:val="00C97CD1"/>
    <w:rsid w:val="00CA00EE"/>
    <w:rsid w:val="00CA05B3"/>
    <w:rsid w:val="00CA10FF"/>
    <w:rsid w:val="00CA1E38"/>
    <w:rsid w:val="00CA2B83"/>
    <w:rsid w:val="00CA2D7A"/>
    <w:rsid w:val="00CA46D6"/>
    <w:rsid w:val="00CA4BC0"/>
    <w:rsid w:val="00CB17B7"/>
    <w:rsid w:val="00CB295F"/>
    <w:rsid w:val="00CB3DEE"/>
    <w:rsid w:val="00CB5E22"/>
    <w:rsid w:val="00CB6B5A"/>
    <w:rsid w:val="00CB7017"/>
    <w:rsid w:val="00CC0CA6"/>
    <w:rsid w:val="00CC4E75"/>
    <w:rsid w:val="00CC559D"/>
    <w:rsid w:val="00CC5728"/>
    <w:rsid w:val="00CC5B8B"/>
    <w:rsid w:val="00CC7A51"/>
    <w:rsid w:val="00CD0F5D"/>
    <w:rsid w:val="00CD173C"/>
    <w:rsid w:val="00CD1852"/>
    <w:rsid w:val="00CD54F5"/>
    <w:rsid w:val="00CD654B"/>
    <w:rsid w:val="00CD6BD4"/>
    <w:rsid w:val="00CD6BD8"/>
    <w:rsid w:val="00CE0F4F"/>
    <w:rsid w:val="00CE14EB"/>
    <w:rsid w:val="00CE223E"/>
    <w:rsid w:val="00CE27DB"/>
    <w:rsid w:val="00CE2BB3"/>
    <w:rsid w:val="00CE2BB6"/>
    <w:rsid w:val="00CE444F"/>
    <w:rsid w:val="00CE58F5"/>
    <w:rsid w:val="00CE72F6"/>
    <w:rsid w:val="00CE765B"/>
    <w:rsid w:val="00CF1665"/>
    <w:rsid w:val="00CF1686"/>
    <w:rsid w:val="00CF194A"/>
    <w:rsid w:val="00CF1F95"/>
    <w:rsid w:val="00CF249F"/>
    <w:rsid w:val="00CF3998"/>
    <w:rsid w:val="00CF46E6"/>
    <w:rsid w:val="00CF5C7E"/>
    <w:rsid w:val="00CF6AE3"/>
    <w:rsid w:val="00D010E3"/>
    <w:rsid w:val="00D02CAE"/>
    <w:rsid w:val="00D0461D"/>
    <w:rsid w:val="00D07554"/>
    <w:rsid w:val="00D145F5"/>
    <w:rsid w:val="00D14CD9"/>
    <w:rsid w:val="00D152FA"/>
    <w:rsid w:val="00D1732E"/>
    <w:rsid w:val="00D21631"/>
    <w:rsid w:val="00D245BE"/>
    <w:rsid w:val="00D256CE"/>
    <w:rsid w:val="00D256E7"/>
    <w:rsid w:val="00D26929"/>
    <w:rsid w:val="00D27081"/>
    <w:rsid w:val="00D27581"/>
    <w:rsid w:val="00D27C1C"/>
    <w:rsid w:val="00D31105"/>
    <w:rsid w:val="00D31155"/>
    <w:rsid w:val="00D35588"/>
    <w:rsid w:val="00D355F0"/>
    <w:rsid w:val="00D35738"/>
    <w:rsid w:val="00D3705D"/>
    <w:rsid w:val="00D3788D"/>
    <w:rsid w:val="00D37E62"/>
    <w:rsid w:val="00D4157B"/>
    <w:rsid w:val="00D43411"/>
    <w:rsid w:val="00D45AF8"/>
    <w:rsid w:val="00D4619D"/>
    <w:rsid w:val="00D46F00"/>
    <w:rsid w:val="00D5059F"/>
    <w:rsid w:val="00D51C05"/>
    <w:rsid w:val="00D54DB8"/>
    <w:rsid w:val="00D5704D"/>
    <w:rsid w:val="00D576AC"/>
    <w:rsid w:val="00D57B6D"/>
    <w:rsid w:val="00D57EE3"/>
    <w:rsid w:val="00D60DAB"/>
    <w:rsid w:val="00D61555"/>
    <w:rsid w:val="00D6192C"/>
    <w:rsid w:val="00D63827"/>
    <w:rsid w:val="00D65820"/>
    <w:rsid w:val="00D66CA4"/>
    <w:rsid w:val="00D675B9"/>
    <w:rsid w:val="00D7148C"/>
    <w:rsid w:val="00D72B1C"/>
    <w:rsid w:val="00D7632E"/>
    <w:rsid w:val="00D81032"/>
    <w:rsid w:val="00D820BA"/>
    <w:rsid w:val="00D83BD9"/>
    <w:rsid w:val="00D86066"/>
    <w:rsid w:val="00D866A0"/>
    <w:rsid w:val="00D86FF3"/>
    <w:rsid w:val="00D87C72"/>
    <w:rsid w:val="00D917AA"/>
    <w:rsid w:val="00D91ADA"/>
    <w:rsid w:val="00D92543"/>
    <w:rsid w:val="00D95FB9"/>
    <w:rsid w:val="00D963F5"/>
    <w:rsid w:val="00D96957"/>
    <w:rsid w:val="00D96BF2"/>
    <w:rsid w:val="00D975AA"/>
    <w:rsid w:val="00D97B8E"/>
    <w:rsid w:val="00DA135C"/>
    <w:rsid w:val="00DA1D5F"/>
    <w:rsid w:val="00DA1F91"/>
    <w:rsid w:val="00DA4140"/>
    <w:rsid w:val="00DA48C1"/>
    <w:rsid w:val="00DA5D66"/>
    <w:rsid w:val="00DA686B"/>
    <w:rsid w:val="00DB1C7E"/>
    <w:rsid w:val="00DB4406"/>
    <w:rsid w:val="00DB7F09"/>
    <w:rsid w:val="00DC00E8"/>
    <w:rsid w:val="00DC432E"/>
    <w:rsid w:val="00DC5396"/>
    <w:rsid w:val="00DC6ADC"/>
    <w:rsid w:val="00DC79E3"/>
    <w:rsid w:val="00DD0E06"/>
    <w:rsid w:val="00DD1E7E"/>
    <w:rsid w:val="00DD2139"/>
    <w:rsid w:val="00DD39E7"/>
    <w:rsid w:val="00DD5983"/>
    <w:rsid w:val="00DD5B64"/>
    <w:rsid w:val="00DD5E1B"/>
    <w:rsid w:val="00DD7598"/>
    <w:rsid w:val="00DE0074"/>
    <w:rsid w:val="00DE0783"/>
    <w:rsid w:val="00DE0F55"/>
    <w:rsid w:val="00DE0FD0"/>
    <w:rsid w:val="00DE12B0"/>
    <w:rsid w:val="00DE2678"/>
    <w:rsid w:val="00DE3494"/>
    <w:rsid w:val="00DE35E3"/>
    <w:rsid w:val="00DE3ED4"/>
    <w:rsid w:val="00DE40DD"/>
    <w:rsid w:val="00DE51AE"/>
    <w:rsid w:val="00DE70F8"/>
    <w:rsid w:val="00DE7366"/>
    <w:rsid w:val="00DF0BA4"/>
    <w:rsid w:val="00DF12F3"/>
    <w:rsid w:val="00DF2770"/>
    <w:rsid w:val="00DF3926"/>
    <w:rsid w:val="00DF41AB"/>
    <w:rsid w:val="00DF673E"/>
    <w:rsid w:val="00E01DA1"/>
    <w:rsid w:val="00E01EFB"/>
    <w:rsid w:val="00E01FCF"/>
    <w:rsid w:val="00E031CD"/>
    <w:rsid w:val="00E03D00"/>
    <w:rsid w:val="00E0589C"/>
    <w:rsid w:val="00E05F42"/>
    <w:rsid w:val="00E06853"/>
    <w:rsid w:val="00E10D39"/>
    <w:rsid w:val="00E1136B"/>
    <w:rsid w:val="00E143E4"/>
    <w:rsid w:val="00E17739"/>
    <w:rsid w:val="00E17F39"/>
    <w:rsid w:val="00E20C24"/>
    <w:rsid w:val="00E21ECD"/>
    <w:rsid w:val="00E22D51"/>
    <w:rsid w:val="00E2615D"/>
    <w:rsid w:val="00E27A13"/>
    <w:rsid w:val="00E27D7E"/>
    <w:rsid w:val="00E300C9"/>
    <w:rsid w:val="00E309B6"/>
    <w:rsid w:val="00E32042"/>
    <w:rsid w:val="00E358E3"/>
    <w:rsid w:val="00E35FA1"/>
    <w:rsid w:val="00E37BFC"/>
    <w:rsid w:val="00E402BB"/>
    <w:rsid w:val="00E40CE3"/>
    <w:rsid w:val="00E427BE"/>
    <w:rsid w:val="00E47F0E"/>
    <w:rsid w:val="00E50E7C"/>
    <w:rsid w:val="00E50FAF"/>
    <w:rsid w:val="00E51545"/>
    <w:rsid w:val="00E51E2B"/>
    <w:rsid w:val="00E522FF"/>
    <w:rsid w:val="00E55326"/>
    <w:rsid w:val="00E55389"/>
    <w:rsid w:val="00E55DC0"/>
    <w:rsid w:val="00E57732"/>
    <w:rsid w:val="00E57ACF"/>
    <w:rsid w:val="00E61CB8"/>
    <w:rsid w:val="00E6213A"/>
    <w:rsid w:val="00E623A6"/>
    <w:rsid w:val="00E6419E"/>
    <w:rsid w:val="00E641A2"/>
    <w:rsid w:val="00E661D2"/>
    <w:rsid w:val="00E667AC"/>
    <w:rsid w:val="00E66917"/>
    <w:rsid w:val="00E67D45"/>
    <w:rsid w:val="00E708EE"/>
    <w:rsid w:val="00E711D7"/>
    <w:rsid w:val="00E7484F"/>
    <w:rsid w:val="00E74B0C"/>
    <w:rsid w:val="00E8122D"/>
    <w:rsid w:val="00E83BBC"/>
    <w:rsid w:val="00E8664A"/>
    <w:rsid w:val="00E87997"/>
    <w:rsid w:val="00E87FC3"/>
    <w:rsid w:val="00E902B0"/>
    <w:rsid w:val="00E902E8"/>
    <w:rsid w:val="00E9188F"/>
    <w:rsid w:val="00E91D75"/>
    <w:rsid w:val="00E91FB6"/>
    <w:rsid w:val="00E93AAB"/>
    <w:rsid w:val="00E94674"/>
    <w:rsid w:val="00E9767B"/>
    <w:rsid w:val="00EA0B51"/>
    <w:rsid w:val="00EA1134"/>
    <w:rsid w:val="00EA4312"/>
    <w:rsid w:val="00EA4575"/>
    <w:rsid w:val="00EA6C00"/>
    <w:rsid w:val="00EB030F"/>
    <w:rsid w:val="00EB1762"/>
    <w:rsid w:val="00EB199F"/>
    <w:rsid w:val="00EB2506"/>
    <w:rsid w:val="00EB2D84"/>
    <w:rsid w:val="00EB49A2"/>
    <w:rsid w:val="00EB7B3D"/>
    <w:rsid w:val="00EC1D8C"/>
    <w:rsid w:val="00EC21A5"/>
    <w:rsid w:val="00EC2B84"/>
    <w:rsid w:val="00EC3064"/>
    <w:rsid w:val="00EC3393"/>
    <w:rsid w:val="00EC5DFC"/>
    <w:rsid w:val="00EC6B16"/>
    <w:rsid w:val="00ED074F"/>
    <w:rsid w:val="00ED3599"/>
    <w:rsid w:val="00ED7F8E"/>
    <w:rsid w:val="00EE0CBD"/>
    <w:rsid w:val="00EE2C02"/>
    <w:rsid w:val="00EE36A2"/>
    <w:rsid w:val="00EE4D25"/>
    <w:rsid w:val="00EE5048"/>
    <w:rsid w:val="00EE677F"/>
    <w:rsid w:val="00EE7782"/>
    <w:rsid w:val="00EF0FA0"/>
    <w:rsid w:val="00EF2B6E"/>
    <w:rsid w:val="00EF53F3"/>
    <w:rsid w:val="00EF7D11"/>
    <w:rsid w:val="00F00023"/>
    <w:rsid w:val="00F001DF"/>
    <w:rsid w:val="00F0082D"/>
    <w:rsid w:val="00F01238"/>
    <w:rsid w:val="00F0437A"/>
    <w:rsid w:val="00F0498D"/>
    <w:rsid w:val="00F0589B"/>
    <w:rsid w:val="00F05C4A"/>
    <w:rsid w:val="00F05EF1"/>
    <w:rsid w:val="00F07C90"/>
    <w:rsid w:val="00F114A2"/>
    <w:rsid w:val="00F12AE7"/>
    <w:rsid w:val="00F146EC"/>
    <w:rsid w:val="00F15E2E"/>
    <w:rsid w:val="00F166E4"/>
    <w:rsid w:val="00F1722B"/>
    <w:rsid w:val="00F20469"/>
    <w:rsid w:val="00F217C6"/>
    <w:rsid w:val="00F2359D"/>
    <w:rsid w:val="00F23806"/>
    <w:rsid w:val="00F244C8"/>
    <w:rsid w:val="00F255C3"/>
    <w:rsid w:val="00F258A7"/>
    <w:rsid w:val="00F2781A"/>
    <w:rsid w:val="00F304DE"/>
    <w:rsid w:val="00F32ACB"/>
    <w:rsid w:val="00F34509"/>
    <w:rsid w:val="00F3688A"/>
    <w:rsid w:val="00F3705C"/>
    <w:rsid w:val="00F4218C"/>
    <w:rsid w:val="00F42871"/>
    <w:rsid w:val="00F431BC"/>
    <w:rsid w:val="00F469FF"/>
    <w:rsid w:val="00F5114E"/>
    <w:rsid w:val="00F516B5"/>
    <w:rsid w:val="00F51722"/>
    <w:rsid w:val="00F526E6"/>
    <w:rsid w:val="00F553DD"/>
    <w:rsid w:val="00F55DF5"/>
    <w:rsid w:val="00F5788D"/>
    <w:rsid w:val="00F57B32"/>
    <w:rsid w:val="00F57CC2"/>
    <w:rsid w:val="00F6020B"/>
    <w:rsid w:val="00F614A7"/>
    <w:rsid w:val="00F6524F"/>
    <w:rsid w:val="00F663BC"/>
    <w:rsid w:val="00F66B9F"/>
    <w:rsid w:val="00F707E8"/>
    <w:rsid w:val="00F70924"/>
    <w:rsid w:val="00F70A4E"/>
    <w:rsid w:val="00F71A0E"/>
    <w:rsid w:val="00F71A35"/>
    <w:rsid w:val="00F75523"/>
    <w:rsid w:val="00F75EEF"/>
    <w:rsid w:val="00F76DF9"/>
    <w:rsid w:val="00F8401A"/>
    <w:rsid w:val="00F86A2A"/>
    <w:rsid w:val="00F91C2C"/>
    <w:rsid w:val="00F92279"/>
    <w:rsid w:val="00F928A1"/>
    <w:rsid w:val="00FA3BEC"/>
    <w:rsid w:val="00FA54F7"/>
    <w:rsid w:val="00FA6065"/>
    <w:rsid w:val="00FA7B91"/>
    <w:rsid w:val="00FA7F37"/>
    <w:rsid w:val="00FB1056"/>
    <w:rsid w:val="00FB1589"/>
    <w:rsid w:val="00FB1620"/>
    <w:rsid w:val="00FB1FF5"/>
    <w:rsid w:val="00FB2BEA"/>
    <w:rsid w:val="00FB2C27"/>
    <w:rsid w:val="00FB3393"/>
    <w:rsid w:val="00FB3750"/>
    <w:rsid w:val="00FB61B2"/>
    <w:rsid w:val="00FB64AA"/>
    <w:rsid w:val="00FC08DD"/>
    <w:rsid w:val="00FC214F"/>
    <w:rsid w:val="00FC2A00"/>
    <w:rsid w:val="00FC4B8A"/>
    <w:rsid w:val="00FC4D1F"/>
    <w:rsid w:val="00FC5275"/>
    <w:rsid w:val="00FC5702"/>
    <w:rsid w:val="00FC5749"/>
    <w:rsid w:val="00FC6ADA"/>
    <w:rsid w:val="00FD0750"/>
    <w:rsid w:val="00FD2476"/>
    <w:rsid w:val="00FD2D21"/>
    <w:rsid w:val="00FD2FB8"/>
    <w:rsid w:val="00FD575B"/>
    <w:rsid w:val="00FD5A7A"/>
    <w:rsid w:val="00FD79AF"/>
    <w:rsid w:val="00FE15C9"/>
    <w:rsid w:val="00FE1C3E"/>
    <w:rsid w:val="00FE4558"/>
    <w:rsid w:val="00FE644C"/>
    <w:rsid w:val="00FE71BD"/>
    <w:rsid w:val="00FF0D9C"/>
    <w:rsid w:val="00FF14A1"/>
    <w:rsid w:val="00FF544B"/>
    <w:rsid w:val="00FF5DA9"/>
    <w:rsid w:val="00FF6794"/>
    <w:rsid w:val="00FF6862"/>
    <w:rsid w:val="00FF6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3583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2"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D0"/>
    <w:pPr>
      <w:spacing w:after="240" w:line="280" w:lineRule="exact"/>
      <w:jc w:val="both"/>
    </w:pPr>
    <w:rPr>
      <w:rFonts w:ascii="Calibri" w:eastAsia="Times New Roman" w:hAnsi="Calibri" w:cs="Times New Roman"/>
      <w:szCs w:val="20"/>
      <w:lang w:eastAsia="en-AU"/>
    </w:rPr>
  </w:style>
  <w:style w:type="paragraph" w:styleId="Heading1">
    <w:name w:val="heading 1"/>
    <w:aliases w:val="Heading 1 Cab"/>
    <w:basedOn w:val="HeadingBase"/>
    <w:next w:val="Normal"/>
    <w:link w:val="Heading1Char"/>
    <w:uiPriority w:val="4"/>
    <w:qFormat/>
    <w:rsid w:val="00BC2D15"/>
    <w:pPr>
      <w:pBdr>
        <w:bottom w:val="single" w:sz="12" w:space="12" w:color="004A7F"/>
      </w:pBdr>
      <w:spacing w:after="480"/>
      <w:outlineLvl w:val="0"/>
    </w:pPr>
    <w:rPr>
      <w:b/>
      <w:bCs w:val="0"/>
      <w:caps/>
      <w:sz w:val="40"/>
    </w:rPr>
  </w:style>
  <w:style w:type="paragraph" w:styleId="Heading2">
    <w:name w:val="heading 2"/>
    <w:basedOn w:val="HeadingBase"/>
    <w:next w:val="Normal"/>
    <w:link w:val="Heading2Char"/>
    <w:qFormat/>
    <w:rsid w:val="00752E4A"/>
    <w:pPr>
      <w:spacing w:before="240" w:after="240"/>
      <w:outlineLvl w:val="1"/>
    </w:pPr>
    <w:rPr>
      <w:b/>
      <w:bCs w:val="0"/>
      <w:iCs/>
      <w:smallCaps/>
      <w:sz w:val="36"/>
      <w:szCs w:val="28"/>
    </w:rPr>
  </w:style>
  <w:style w:type="paragraph" w:styleId="Heading3">
    <w:name w:val="heading 3"/>
    <w:basedOn w:val="HeadingBase"/>
    <w:next w:val="Normal"/>
    <w:link w:val="Heading3Char"/>
    <w:qFormat/>
    <w:rsid w:val="005B1A9F"/>
    <w:pPr>
      <w:spacing w:before="240" w:after="240"/>
      <w:outlineLvl w:val="2"/>
    </w:pPr>
    <w:rPr>
      <w:b/>
      <w:bCs w:val="0"/>
      <w:color w:val="7F7F7F"/>
      <w:sz w:val="30"/>
      <w:szCs w:val="26"/>
    </w:rPr>
  </w:style>
  <w:style w:type="paragraph" w:styleId="Heading4">
    <w:name w:val="heading 4"/>
    <w:basedOn w:val="HeadingBase"/>
    <w:next w:val="Normal"/>
    <w:link w:val="Heading4Char"/>
    <w:qFormat/>
    <w:rsid w:val="005B1A9F"/>
    <w:pPr>
      <w:spacing w:before="120" w:after="180"/>
      <w:outlineLvl w:val="3"/>
    </w:pPr>
    <w:rPr>
      <w:b/>
      <w:bCs w:val="0"/>
      <w:sz w:val="26"/>
      <w:szCs w:val="26"/>
    </w:rPr>
  </w:style>
  <w:style w:type="paragraph" w:styleId="Heading5">
    <w:name w:val="heading 5"/>
    <w:basedOn w:val="HeadingBase"/>
    <w:next w:val="Normal"/>
    <w:link w:val="Heading5Char"/>
    <w:qFormat/>
    <w:rsid w:val="004B69AE"/>
    <w:pPr>
      <w:spacing w:before="120" w:after="180"/>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paragraph" w:styleId="Heading7">
    <w:name w:val="heading 7"/>
    <w:basedOn w:val="HeadingBase"/>
    <w:next w:val="Normal"/>
    <w:link w:val="Heading7Char"/>
    <w:qFormat/>
    <w:rsid w:val="007C2F4E"/>
    <w:pPr>
      <w:outlineLvl w:val="6"/>
    </w:pPr>
    <w:rPr>
      <w:rFonts w:ascii="Century Gothic" w:hAnsi="Century Gothic" w:cs="Times New Roman"/>
      <w:bCs w:val="0"/>
      <w:color w:val="44546A" w:themeColor="text2"/>
      <w:kern w:val="0"/>
      <w:sz w:val="20"/>
      <w:szCs w:val="24"/>
    </w:rPr>
  </w:style>
  <w:style w:type="paragraph" w:styleId="Heading8">
    <w:name w:val="heading 8"/>
    <w:basedOn w:val="HeadingBase"/>
    <w:next w:val="Normal"/>
    <w:link w:val="Heading8Char"/>
    <w:qFormat/>
    <w:rsid w:val="007C2F4E"/>
    <w:pPr>
      <w:outlineLvl w:val="7"/>
    </w:pPr>
    <w:rPr>
      <w:rFonts w:ascii="Century Gothic" w:hAnsi="Century Gothic" w:cs="Times New Roman"/>
      <w:bCs w:val="0"/>
      <w:iCs/>
      <w:color w:val="44546A" w:themeColor="text2"/>
      <w:kern w:val="0"/>
      <w:sz w:val="20"/>
      <w:szCs w:val="24"/>
    </w:rPr>
  </w:style>
  <w:style w:type="paragraph" w:styleId="Heading9">
    <w:name w:val="heading 9"/>
    <w:basedOn w:val="HeadingBase"/>
    <w:next w:val="Normal"/>
    <w:link w:val="Heading9Char"/>
    <w:qFormat/>
    <w:rsid w:val="007C2F4E"/>
    <w:pPr>
      <w:outlineLvl w:val="8"/>
    </w:pPr>
    <w:rPr>
      <w:rFonts w:ascii="Century Gothic" w:hAnsi="Century Gothic"/>
      <w:bCs w:val="0"/>
      <w:color w:val="44546A" w:themeColor="text2"/>
      <w:kern w:val="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4"/>
    <w:rsid w:val="00BC2D15"/>
    <w:rPr>
      <w:rFonts w:ascii="Calibri" w:eastAsia="Times New Roman" w:hAnsi="Calibri" w:cs="Arial"/>
      <w:b/>
      <w:caps/>
      <w:color w:val="004A7F"/>
      <w:kern w:val="32"/>
      <w:sz w:val="40"/>
      <w:szCs w:val="36"/>
      <w:lang w:eastAsia="en-AU"/>
    </w:rPr>
  </w:style>
  <w:style w:type="character" w:customStyle="1" w:styleId="Heading2Char">
    <w:name w:val="Heading 2 Char"/>
    <w:basedOn w:val="DefaultParagraphFont"/>
    <w:link w:val="Heading2"/>
    <w:rsid w:val="00752E4A"/>
    <w:rPr>
      <w:rFonts w:ascii="Calibri" w:eastAsia="Times New Roman" w:hAnsi="Calibri" w:cs="Arial"/>
      <w:b/>
      <w:iCs/>
      <w:smallCaps/>
      <w:color w:val="004A7F"/>
      <w:kern w:val="32"/>
      <w:sz w:val="36"/>
      <w:szCs w:val="28"/>
      <w:lang w:eastAsia="en-AU"/>
    </w:rPr>
  </w:style>
  <w:style w:type="character" w:customStyle="1" w:styleId="Heading3Char">
    <w:name w:val="Heading 3 Char"/>
    <w:basedOn w:val="DefaultParagraphFont"/>
    <w:link w:val="Heading3"/>
    <w:rsid w:val="005B1A9F"/>
    <w:rPr>
      <w:rFonts w:ascii="Calibri" w:eastAsia="Times New Roman" w:hAnsi="Calibri" w:cs="Arial"/>
      <w:b/>
      <w:color w:val="7F7F7F"/>
      <w:kern w:val="32"/>
      <w:sz w:val="30"/>
      <w:szCs w:val="26"/>
      <w:lang w:eastAsia="en-AU"/>
    </w:rPr>
  </w:style>
  <w:style w:type="character" w:customStyle="1" w:styleId="Heading4Char">
    <w:name w:val="Heading 4 Char"/>
    <w:basedOn w:val="DefaultParagraphFont"/>
    <w:link w:val="Heading4"/>
    <w:rsid w:val="005B1A9F"/>
    <w:rPr>
      <w:rFonts w:ascii="Calibri" w:eastAsia="Times New Roman" w:hAnsi="Calibri" w:cs="Arial"/>
      <w:b/>
      <w:color w:val="004A7F"/>
      <w:kern w:val="32"/>
      <w:sz w:val="26"/>
      <w:szCs w:val="26"/>
      <w:lang w:eastAsia="en-AU"/>
    </w:rPr>
  </w:style>
  <w:style w:type="character" w:customStyle="1" w:styleId="Heading5Char">
    <w:name w:val="Heading 5 Char"/>
    <w:basedOn w:val="DefaultParagraphFont"/>
    <w:link w:val="Heading5"/>
    <w:rsid w:val="004B69AE"/>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TableGraphic"/>
    <w:next w:val="Normal"/>
    <w:rsid w:val="003014D9"/>
    <w:pPr>
      <w:jc w:val="center"/>
    </w:pPr>
    <w:rPr>
      <w:noProof/>
    </w:rPr>
  </w:style>
  <w:style w:type="paragraph" w:customStyle="1" w:styleId="AlphaParagraph">
    <w:name w:val="Alpha Paragraph"/>
    <w:basedOn w:val="Normal"/>
    <w:qFormat/>
    <w:rsid w:val="000E0B74"/>
    <w:pPr>
      <w:numPr>
        <w:ilvl w:val="1"/>
        <w:numId w:val="10"/>
      </w:numPr>
    </w:pPr>
  </w:style>
  <w:style w:type="paragraph" w:customStyle="1" w:styleId="BoxBullet">
    <w:name w:val="Box Bullet"/>
    <w:basedOn w:val="Normal"/>
    <w:rsid w:val="000E0B74"/>
    <w:pPr>
      <w:numPr>
        <w:numId w:val="2"/>
      </w:numPr>
      <w:ind w:left="284" w:hanging="284"/>
    </w:pPr>
  </w:style>
  <w:style w:type="paragraph" w:customStyle="1" w:styleId="BoxDash">
    <w:name w:val="Box Dash"/>
    <w:basedOn w:val="Normal"/>
    <w:rsid w:val="000E0B74"/>
    <w:pPr>
      <w:numPr>
        <w:ilvl w:val="1"/>
        <w:numId w:val="2"/>
      </w:numPr>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6519D9"/>
    <w:pPr>
      <w:keepNext/>
      <w:spacing w:before="120" w:after="0" w:line="240" w:lineRule="auto"/>
      <w:jc w:val="left"/>
    </w:pPr>
    <w:rPr>
      <w:rFonts w:ascii="Arial Bold" w:hAnsi="Arial Bold"/>
      <w:b/>
      <w:caps/>
      <w:color w:val="004A7F"/>
      <w:szCs w:val="26"/>
    </w:rPr>
  </w:style>
  <w:style w:type="paragraph" w:customStyle="1" w:styleId="BoxText">
    <w:name w:val="Box Text"/>
    <w:basedOn w:val="Normal"/>
    <w:rsid w:val="006519D9"/>
    <w:pPr>
      <w:spacing w:before="120" w:after="120" w:line="260" w:lineRule="exact"/>
      <w:jc w:val="left"/>
    </w:pPr>
    <w:rPr>
      <w:rFonts w:ascii="Arial" w:hAnsi="Arial"/>
      <w:sz w:val="20"/>
    </w:rPr>
  </w:style>
  <w:style w:type="paragraph" w:customStyle="1" w:styleId="Bullet">
    <w:name w:val="Bullet"/>
    <w:aliases w:val="b,b + line,b1,Body,level 1,Bullet + line"/>
    <w:basedOn w:val="Normal"/>
    <w:link w:val="BulletChar"/>
    <w:qFormat/>
    <w:rsid w:val="000E0B74"/>
    <w:pPr>
      <w:numPr>
        <w:numId w:val="1"/>
      </w:numPr>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5F6F8C"/>
    <w:pPr>
      <w:spacing w:after="60"/>
      <w:jc w:val="center"/>
    </w:pPr>
    <w:rPr>
      <w:rFonts w:ascii="Arial" w:hAnsi="Arial"/>
      <w:b/>
      <w:caps/>
      <w:sz w:val="22"/>
    </w:r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DE0FD0"/>
    <w:pPr>
      <w:keepNext/>
      <w:spacing w:after="360" w:line="240" w:lineRule="auto"/>
      <w:jc w:val="right"/>
    </w:pPr>
    <w:rPr>
      <w:color w:val="004A7F"/>
      <w:sz w:val="44"/>
    </w:rPr>
  </w:style>
  <w:style w:type="paragraph" w:customStyle="1" w:styleId="Dash">
    <w:name w:val="Dash"/>
    <w:basedOn w:val="Normal"/>
    <w:link w:val="DashChar"/>
    <w:qFormat/>
    <w:rsid w:val="000E0B74"/>
    <w:pPr>
      <w:numPr>
        <w:ilvl w:val="1"/>
        <w:numId w:val="1"/>
      </w:numPr>
      <w:ind w:left="568"/>
    </w:pPr>
  </w:style>
  <w:style w:type="paragraph" w:customStyle="1" w:styleId="DoubleDot">
    <w:name w:val="Double Dot"/>
    <w:basedOn w:val="Normal"/>
    <w:link w:val="DoubleDotChar"/>
    <w:qFormat/>
    <w:rsid w:val="000E0B74"/>
    <w:pPr>
      <w:numPr>
        <w:ilvl w:val="2"/>
        <w:numId w:val="1"/>
      </w:numPr>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link w:val="FooterEvenChar"/>
    <w:rsid w:val="00D975AA"/>
    <w:pPr>
      <w:keepNext/>
      <w:tabs>
        <w:tab w:val="clear" w:pos="4513"/>
        <w:tab w:val="clear" w:pos="9026"/>
      </w:tabs>
      <w:spacing w:line="240" w:lineRule="auto"/>
      <w:jc w:val="left"/>
    </w:pPr>
    <w:rPr>
      <w:noProof/>
    </w:rPr>
  </w:style>
  <w:style w:type="paragraph" w:customStyle="1" w:styleId="FooterOdd">
    <w:name w:val="Footer Odd"/>
    <w:basedOn w:val="Footer"/>
    <w:link w:val="FooterOddChar"/>
    <w:rsid w:val="004B69AE"/>
    <w:pPr>
      <w:keepNext/>
      <w:tabs>
        <w:tab w:val="clear" w:pos="4513"/>
        <w:tab w:val="clear" w:pos="9026"/>
      </w:tabs>
      <w:spacing w:line="240" w:lineRule="auto"/>
      <w:jc w:val="right"/>
    </w:pPr>
  </w:style>
  <w:style w:type="character" w:styleId="Hyperlink">
    <w:name w:val="Hyperlink"/>
    <w:basedOn w:val="DefaultParagraphFont"/>
    <w:uiPriority w:val="99"/>
    <w:rsid w:val="00DE0FD0"/>
    <w:rPr>
      <w:b/>
      <w:color w:val="004A7F"/>
      <w:u w:val="none"/>
    </w:rPr>
  </w:style>
  <w:style w:type="paragraph" w:customStyle="1" w:styleId="OutlineNumbered1">
    <w:name w:val="Outline Numbered 1"/>
    <w:basedOn w:val="Normal"/>
    <w:link w:val="OutlineNumbered1Char"/>
    <w:rsid w:val="006519D9"/>
    <w:pPr>
      <w:numPr>
        <w:numId w:val="6"/>
      </w:numPr>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10"/>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507A59"/>
    <w:pPr>
      <w:keepNext/>
      <w:tabs>
        <w:tab w:val="left" w:pos="1078"/>
        <w:tab w:val="right" w:leader="dot" w:pos="9072"/>
      </w:tabs>
      <w:spacing w:before="120" w:after="80" w:line="240" w:lineRule="auto"/>
      <w:jc w:val="left"/>
    </w:pPr>
    <w:rPr>
      <w:b/>
      <w:caps/>
      <w:noProof/>
      <w:color w:val="004A7F"/>
      <w:szCs w:val="22"/>
    </w:rPr>
  </w:style>
  <w:style w:type="paragraph" w:styleId="TOC2">
    <w:name w:val="toc 2"/>
    <w:basedOn w:val="Normal"/>
    <w:next w:val="Normal"/>
    <w:uiPriority w:val="39"/>
    <w:qFormat/>
    <w:rsid w:val="00DE0FD0"/>
    <w:pPr>
      <w:keepNext/>
      <w:tabs>
        <w:tab w:val="right" w:leader="dot" w:pos="9072"/>
      </w:tabs>
      <w:spacing w:before="40" w:after="80" w:line="240" w:lineRule="auto"/>
      <w:ind w:left="284"/>
      <w:jc w:val="left"/>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1"/>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A57927"/>
    <w:pPr>
      <w:spacing w:after="360"/>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DE0FD0"/>
    <w:pPr>
      <w:spacing w:after="360" w:line="240" w:lineRule="auto"/>
      <w:contextualSpacing/>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DE0FD0"/>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2"/>
    <w:qFormat/>
    <w:rsid w:val="00DE0FD0"/>
    <w:pPr>
      <w:numPr>
        <w:ilvl w:val="1"/>
      </w:numPr>
      <w:spacing w:after="360" w:line="240" w:lineRule="auto"/>
      <w:jc w:val="right"/>
    </w:pPr>
    <w:rPr>
      <w:rFonts w:eastAsiaTheme="majorEastAsia" w:cstheme="majorBidi"/>
      <w:b/>
      <w:iCs/>
      <w:smallCaps/>
      <w:color w:val="7F7F7F" w:themeColor="text1" w:themeTint="80"/>
      <w:sz w:val="52"/>
      <w:szCs w:val="44"/>
    </w:rPr>
  </w:style>
  <w:style w:type="character" w:customStyle="1" w:styleId="SubtitleChar">
    <w:name w:val="Subtitle Char"/>
    <w:basedOn w:val="DefaultParagraphFont"/>
    <w:link w:val="Subtitle"/>
    <w:uiPriority w:val="2"/>
    <w:rsid w:val="00DE0FD0"/>
    <w:rPr>
      <w:rFonts w:ascii="Calibri" w:eastAsiaTheme="majorEastAsia" w:hAnsi="Calibri" w:cstheme="majorBidi"/>
      <w:b/>
      <w:iCs/>
      <w:smallCaps/>
      <w:color w:val="7F7F7F" w:themeColor="text1" w:themeTint="80"/>
      <w:sz w:val="52"/>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nhideWhenUsed/>
    <w:rsid w:val="001606CF"/>
    <w:pPr>
      <w:keepNext/>
      <w:spacing w:after="0"/>
      <w:jc w:val="right"/>
    </w:pPr>
    <w:rPr>
      <w:color w:val="004A7F"/>
      <w:sz w:val="20"/>
    </w:rPr>
  </w:style>
  <w:style w:type="character" w:customStyle="1" w:styleId="HeaderChar">
    <w:name w:val="Header Char"/>
    <w:basedOn w:val="DefaultParagraphFont"/>
    <w:link w:val="Header"/>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DE0FD0"/>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3014D9"/>
    <w:pPr>
      <w:spacing w:after="20" w:line="240" w:lineRule="auto"/>
      <w:ind w:left="284" w:hanging="284"/>
    </w:pPr>
    <w:rPr>
      <w:sz w:val="18"/>
    </w:rPr>
  </w:style>
  <w:style w:type="character" w:customStyle="1" w:styleId="FootnoteTextChar">
    <w:name w:val="Footnote Text Char"/>
    <w:basedOn w:val="DefaultParagraphFont"/>
    <w:link w:val="FootnoteText"/>
    <w:uiPriority w:val="99"/>
    <w:rsid w:val="003014D9"/>
    <w:rPr>
      <w:rFonts w:ascii="Calibri" w:eastAsia="Times New Roman" w:hAnsi="Calibri" w:cs="Times New Roman"/>
      <w:sz w:val="18"/>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Heading7Char">
    <w:name w:val="Heading 7 Char"/>
    <w:basedOn w:val="DefaultParagraphFont"/>
    <w:link w:val="Heading7"/>
    <w:rsid w:val="007C2F4E"/>
    <w:rPr>
      <w:rFonts w:ascii="Century Gothic" w:eastAsia="Times New Roman" w:hAnsi="Century Gothic" w:cs="Times New Roman"/>
      <w:color w:val="44546A" w:themeColor="text2"/>
      <w:sz w:val="20"/>
      <w:szCs w:val="24"/>
      <w:lang w:eastAsia="en-AU"/>
    </w:rPr>
  </w:style>
  <w:style w:type="character" w:customStyle="1" w:styleId="Heading8Char">
    <w:name w:val="Heading 8 Char"/>
    <w:basedOn w:val="DefaultParagraphFont"/>
    <w:link w:val="Heading8"/>
    <w:rsid w:val="007C2F4E"/>
    <w:rPr>
      <w:rFonts w:ascii="Century Gothic" w:eastAsia="Times New Roman" w:hAnsi="Century Gothic" w:cs="Times New Roman"/>
      <w:iCs/>
      <w:color w:val="44546A" w:themeColor="text2"/>
      <w:sz w:val="20"/>
      <w:szCs w:val="24"/>
      <w:lang w:eastAsia="en-AU"/>
    </w:rPr>
  </w:style>
  <w:style w:type="character" w:customStyle="1" w:styleId="Heading9Char">
    <w:name w:val="Heading 9 Char"/>
    <w:basedOn w:val="DefaultParagraphFont"/>
    <w:link w:val="Heading9"/>
    <w:rsid w:val="007C2F4E"/>
    <w:rPr>
      <w:rFonts w:ascii="Century Gothic" w:eastAsia="Times New Roman" w:hAnsi="Century Gothic" w:cs="Arial"/>
      <w:color w:val="44546A" w:themeColor="text2"/>
      <w:sz w:val="20"/>
      <w:lang w:eastAsia="en-AU"/>
    </w:rPr>
  </w:style>
  <w:style w:type="character" w:customStyle="1" w:styleId="BoldandItalic">
    <w:name w:val="Bold and Italic"/>
    <w:basedOn w:val="DefaultParagraphFont"/>
    <w:rsid w:val="007C2F4E"/>
    <w:rPr>
      <w:rFonts w:ascii="Arial" w:hAnsi="Arial"/>
      <w:b/>
      <w:i/>
    </w:rPr>
  </w:style>
  <w:style w:type="character" w:styleId="PageNumber">
    <w:name w:val="page number"/>
    <w:basedOn w:val="DefaultParagraphFont"/>
    <w:rsid w:val="007C2F4E"/>
    <w:rPr>
      <w:rFonts w:ascii="Book Antiqua" w:hAnsi="Book Antiqua"/>
      <w:sz w:val="18"/>
    </w:rPr>
  </w:style>
  <w:style w:type="character" w:customStyle="1" w:styleId="Bold">
    <w:name w:val="Bold"/>
    <w:basedOn w:val="DefaultParagraphFont"/>
    <w:rsid w:val="007C2F4E"/>
    <w:rPr>
      <w:b/>
    </w:rPr>
  </w:style>
  <w:style w:type="paragraph" w:customStyle="1" w:styleId="BoxTextBase">
    <w:name w:val="Box Text Base"/>
    <w:basedOn w:val="Normal"/>
    <w:rsid w:val="007C2F4E"/>
    <w:rPr>
      <w:rFonts w:ascii="Book Antiqua" w:hAnsi="Book Antiqua"/>
      <w:color w:val="000080"/>
    </w:rPr>
  </w:style>
  <w:style w:type="paragraph" w:customStyle="1" w:styleId="Classification">
    <w:name w:val="Classification"/>
    <w:basedOn w:val="HeadingBase"/>
    <w:next w:val="Footer"/>
    <w:rsid w:val="007C2F4E"/>
    <w:pPr>
      <w:jc w:val="center"/>
    </w:pPr>
    <w:rPr>
      <w:rFonts w:ascii="Century Gothic" w:hAnsi="Century Gothic" w:cs="Times New Roman"/>
      <w:b/>
      <w:bCs w:val="0"/>
      <w:smallCaps/>
      <w:color w:val="44546A" w:themeColor="text2"/>
      <w:kern w:val="0"/>
      <w:sz w:val="20"/>
      <w:szCs w:val="20"/>
    </w:rPr>
  </w:style>
  <w:style w:type="paragraph" w:customStyle="1" w:styleId="ContentsHeading">
    <w:name w:val="Contents Heading"/>
    <w:basedOn w:val="HeadingBase"/>
    <w:next w:val="Normal"/>
    <w:rsid w:val="00DE0FD0"/>
    <w:pPr>
      <w:pBdr>
        <w:bottom w:val="single" w:sz="12" w:space="12" w:color="004A7F"/>
      </w:pBdr>
      <w:spacing w:after="480"/>
    </w:pPr>
    <w:rPr>
      <w:rFonts w:cs="Times New Roman"/>
      <w:b/>
      <w:bCs w:val="0"/>
      <w:caps/>
      <w:kern w:val="0"/>
      <w:sz w:val="40"/>
    </w:rPr>
  </w:style>
  <w:style w:type="paragraph" w:customStyle="1" w:styleId="CoverTitleMain">
    <w:name w:val="Cover Title Main"/>
    <w:basedOn w:val="HeadingBase"/>
    <w:next w:val="Normal"/>
    <w:rsid w:val="007C2F4E"/>
    <w:pPr>
      <w:spacing w:after="480"/>
      <w:jc w:val="center"/>
    </w:pPr>
    <w:rPr>
      <w:rFonts w:ascii="Century Gothic" w:hAnsi="Century Gothic" w:cs="Times New Roman"/>
      <w:b/>
      <w:bCs w:val="0"/>
      <w:color w:val="44546A" w:themeColor="text2"/>
      <w:kern w:val="0"/>
      <w:sz w:val="48"/>
      <w:szCs w:val="20"/>
    </w:rPr>
  </w:style>
  <w:style w:type="paragraph" w:customStyle="1" w:styleId="CoverTitleSub">
    <w:name w:val="Cover Title Sub"/>
    <w:basedOn w:val="HeadingBase"/>
    <w:rsid w:val="007C2F4E"/>
    <w:pPr>
      <w:spacing w:after="360"/>
      <w:jc w:val="center"/>
    </w:pPr>
    <w:rPr>
      <w:rFonts w:ascii="Century Gothic" w:hAnsi="Century Gothic" w:cs="Times New Roman"/>
      <w:bCs w:val="0"/>
      <w:color w:val="44546A" w:themeColor="text2"/>
      <w:kern w:val="0"/>
      <w:sz w:val="36"/>
      <w:szCs w:val="20"/>
    </w:rPr>
  </w:style>
  <w:style w:type="paragraph" w:customStyle="1" w:styleId="FooterCentered">
    <w:name w:val="Footer Centered"/>
    <w:basedOn w:val="Footer"/>
    <w:rsid w:val="007C2F4E"/>
    <w:pPr>
      <w:keepNext/>
      <w:tabs>
        <w:tab w:val="clear" w:pos="4513"/>
        <w:tab w:val="clear" w:pos="9026"/>
      </w:tabs>
    </w:pPr>
    <w:rPr>
      <w:rFonts w:ascii="Book Antiqua" w:hAnsi="Book Antiqua"/>
      <w:color w:val="44546A" w:themeColor="text2"/>
      <w:sz w:val="22"/>
    </w:rPr>
  </w:style>
  <w:style w:type="paragraph" w:customStyle="1" w:styleId="HeaderEven">
    <w:name w:val="Header Even"/>
    <w:basedOn w:val="Header"/>
    <w:rsid w:val="00913123"/>
    <w:pPr>
      <w:spacing w:line="240" w:lineRule="auto"/>
      <w:jc w:val="left"/>
    </w:pPr>
  </w:style>
  <w:style w:type="paragraph" w:customStyle="1" w:styleId="HeaderOdd">
    <w:name w:val="Header Odd"/>
    <w:basedOn w:val="Header"/>
    <w:rsid w:val="00913123"/>
    <w:pPr>
      <w:spacing w:line="240" w:lineRule="auto"/>
    </w:pPr>
  </w:style>
  <w:style w:type="paragraph" w:styleId="NormalIndent">
    <w:name w:val="Normal Indent"/>
    <w:basedOn w:val="Normal"/>
    <w:rsid w:val="007C2F4E"/>
    <w:pPr>
      <w:spacing w:line="260" w:lineRule="exact"/>
      <w:ind w:left="567"/>
    </w:pPr>
    <w:rPr>
      <w:rFonts w:ascii="Book Antiqua" w:hAnsi="Book Antiqua"/>
      <w:color w:val="000000"/>
    </w:rPr>
  </w:style>
  <w:style w:type="paragraph" w:customStyle="1" w:styleId="RecommendationHeading">
    <w:name w:val="Recommendation Heading"/>
    <w:basedOn w:val="HeadingBase"/>
    <w:next w:val="RecommendationText"/>
    <w:rsid w:val="007C2F4E"/>
    <w:pPr>
      <w:numPr>
        <w:numId w:val="14"/>
      </w:numPr>
      <w:spacing w:before="120" w:after="240"/>
    </w:pPr>
    <w:rPr>
      <w:rFonts w:ascii="Century Gothic" w:hAnsi="Century Gothic" w:cs="Times New Roman"/>
      <w:b/>
      <w:bCs w:val="0"/>
      <w:color w:val="44546A" w:themeColor="text2"/>
      <w:kern w:val="0"/>
      <w:szCs w:val="20"/>
    </w:rPr>
  </w:style>
  <w:style w:type="paragraph" w:customStyle="1" w:styleId="RecommendationTextBase">
    <w:name w:val="Recommendation Text Base"/>
    <w:basedOn w:val="Normal"/>
    <w:rsid w:val="007C2F4E"/>
    <w:pPr>
      <w:spacing w:line="260" w:lineRule="exact"/>
    </w:pPr>
    <w:rPr>
      <w:rFonts w:ascii="Book Antiqua" w:hAnsi="Book Antiqua"/>
      <w:color w:val="000000"/>
    </w:rPr>
  </w:style>
  <w:style w:type="paragraph" w:customStyle="1" w:styleId="RecommendationText">
    <w:name w:val="Recommendation Text"/>
    <w:basedOn w:val="RecommendationTextBase"/>
    <w:rsid w:val="007C2F4E"/>
  </w:style>
  <w:style w:type="paragraph" w:customStyle="1" w:styleId="TableTextBase">
    <w:name w:val="Table Text Base"/>
    <w:rsid w:val="007C2F4E"/>
    <w:pPr>
      <w:spacing w:before="40" w:after="40" w:line="240" w:lineRule="auto"/>
    </w:pPr>
    <w:rPr>
      <w:rFonts w:ascii="Arial" w:eastAsia="Times New Roman" w:hAnsi="Arial" w:cs="Times New Roman"/>
      <w:color w:val="000000"/>
      <w:sz w:val="16"/>
      <w:szCs w:val="20"/>
      <w:lang w:eastAsia="en-AU"/>
    </w:rPr>
  </w:style>
  <w:style w:type="paragraph" w:customStyle="1" w:styleId="TableMainHeadingContd">
    <w:name w:val="Table Main Heading Contd"/>
    <w:basedOn w:val="HeadingBase"/>
    <w:next w:val="TableGraphic"/>
    <w:rsid w:val="007C2F4E"/>
    <w:pPr>
      <w:spacing w:after="20"/>
    </w:pPr>
    <w:rPr>
      <w:rFonts w:ascii="Century Gothic" w:hAnsi="Century Gothic" w:cs="Times New Roman"/>
      <w:b/>
      <w:bCs w:val="0"/>
      <w:color w:val="44546A" w:themeColor="text2"/>
      <w:kern w:val="0"/>
      <w:szCs w:val="20"/>
    </w:rPr>
  </w:style>
  <w:style w:type="paragraph" w:styleId="TOC4">
    <w:name w:val="toc 4"/>
    <w:basedOn w:val="Normal"/>
    <w:next w:val="Normal"/>
    <w:rsid w:val="007C2F4E"/>
    <w:pPr>
      <w:tabs>
        <w:tab w:val="right" w:leader="dot" w:pos="9072"/>
      </w:tabs>
      <w:spacing w:after="0"/>
      <w:ind w:left="284" w:right="851"/>
    </w:pPr>
    <w:rPr>
      <w:rFonts w:ascii="Book Antiqua" w:hAnsi="Book Antiqua"/>
      <w:color w:val="000000"/>
    </w:rPr>
  </w:style>
  <w:style w:type="character" w:customStyle="1" w:styleId="italic">
    <w:name w:val="italic"/>
    <w:basedOn w:val="DefaultParagraphFont"/>
    <w:rsid w:val="007C2F4E"/>
    <w:rPr>
      <w:i/>
    </w:rPr>
  </w:style>
  <w:style w:type="paragraph" w:customStyle="1" w:styleId="RecommendationBullet">
    <w:name w:val="Recommendation Bullet"/>
    <w:basedOn w:val="RecommendationTextBase"/>
    <w:rsid w:val="007C2F4E"/>
    <w:pPr>
      <w:numPr>
        <w:numId w:val="13"/>
      </w:numPr>
    </w:pPr>
  </w:style>
  <w:style w:type="paragraph" w:customStyle="1" w:styleId="RecommendationDash">
    <w:name w:val="Recommendation Dash"/>
    <w:basedOn w:val="RecommendationTextBase"/>
    <w:rsid w:val="007C2F4E"/>
  </w:style>
  <w:style w:type="paragraph" w:customStyle="1" w:styleId="RecommendationDoubleDot">
    <w:name w:val="Recommendation Double Dot"/>
    <w:basedOn w:val="RecommendationTextBase"/>
    <w:rsid w:val="007C2F4E"/>
    <w:pPr>
      <w:numPr>
        <w:ilvl w:val="2"/>
        <w:numId w:val="13"/>
      </w:numPr>
    </w:pPr>
  </w:style>
  <w:style w:type="character" w:styleId="FollowedHyperlink">
    <w:name w:val="FollowedHyperlink"/>
    <w:basedOn w:val="DefaultParagraphFont"/>
    <w:rsid w:val="007C2F4E"/>
    <w:rPr>
      <w:color w:val="auto"/>
      <w:u w:val="none"/>
    </w:rPr>
  </w:style>
  <w:style w:type="paragraph" w:customStyle="1" w:styleId="SecurityClassificationHeader">
    <w:name w:val="Security Classification Header"/>
    <w:link w:val="SecurityClassificationHeaderChar"/>
    <w:rsid w:val="00BC2D15"/>
    <w:pPr>
      <w:spacing w:after="40" w:line="240" w:lineRule="auto"/>
      <w:jc w:val="center"/>
    </w:pPr>
    <w:rPr>
      <w:rFonts w:ascii="Arial" w:eastAsia="Times New Roman" w:hAnsi="Arial" w:cs="Times New Roman"/>
      <w:b/>
      <w:caps/>
      <w:color w:val="000080"/>
      <w:sz w:val="21"/>
      <w:szCs w:val="20"/>
      <w:lang w:eastAsia="en-AU"/>
    </w:rPr>
  </w:style>
  <w:style w:type="paragraph" w:customStyle="1" w:styleId="SecurityClassificationFooter">
    <w:name w:val="Security Classification Footer"/>
    <w:rsid w:val="007C2F4E"/>
    <w:pPr>
      <w:spacing w:before="240" w:after="0" w:line="240" w:lineRule="auto"/>
      <w:jc w:val="center"/>
    </w:pPr>
    <w:rPr>
      <w:rFonts w:ascii="Book Antiqua" w:eastAsia="Times New Roman" w:hAnsi="Book Antiqua" w:cs="Times New Roman"/>
      <w:b/>
      <w:caps/>
      <w:color w:val="000080"/>
      <w:szCs w:val="20"/>
      <w:lang w:eastAsia="en-AU"/>
    </w:rPr>
  </w:style>
  <w:style w:type="character" w:customStyle="1" w:styleId="EmailStyle84">
    <w:name w:val="EmailStyle84"/>
    <w:basedOn w:val="DefaultParagraphFont"/>
    <w:semiHidden/>
    <w:rsid w:val="007C2F4E"/>
    <w:rPr>
      <w:rFonts w:ascii="Arial" w:hAnsi="Arial" w:cs="Arial"/>
      <w:color w:val="auto"/>
      <w:sz w:val="20"/>
      <w:szCs w:val="20"/>
    </w:rPr>
  </w:style>
  <w:style w:type="character" w:customStyle="1" w:styleId="Italics">
    <w:name w:val="Italics"/>
    <w:basedOn w:val="DefaultParagraphFont"/>
    <w:rsid w:val="007C2F4E"/>
    <w:rPr>
      <w:i/>
    </w:rPr>
  </w:style>
  <w:style w:type="paragraph" w:customStyle="1" w:styleId="BoxHeadingnonumber">
    <w:name w:val="Box Heading no number"/>
    <w:basedOn w:val="BoxHeading"/>
    <w:next w:val="BoxText"/>
    <w:qFormat/>
    <w:rsid w:val="007C2F4E"/>
    <w:rPr>
      <w:rFonts w:ascii="Century Gothic" w:hAnsi="Century Gothic"/>
      <w:color w:val="44546A" w:themeColor="text2"/>
      <w:szCs w:val="20"/>
    </w:rPr>
  </w:style>
  <w:style w:type="numbering" w:customStyle="1" w:styleId="Outlinenumbering">
    <w:name w:val="Outline numbering"/>
    <w:uiPriority w:val="99"/>
    <w:rsid w:val="007C2F4E"/>
    <w:pPr>
      <w:numPr>
        <w:numId w:val="15"/>
      </w:numPr>
    </w:pPr>
  </w:style>
  <w:style w:type="numbering" w:customStyle="1" w:styleId="Optionboxheading">
    <w:name w:val="Option box heading"/>
    <w:uiPriority w:val="99"/>
    <w:rsid w:val="007C2F4E"/>
    <w:pPr>
      <w:numPr>
        <w:numId w:val="16"/>
      </w:numPr>
    </w:pPr>
  </w:style>
  <w:style w:type="character" w:customStyle="1" w:styleId="A5">
    <w:name w:val="A5"/>
    <w:uiPriority w:val="99"/>
    <w:rsid w:val="007C2F4E"/>
    <w:rPr>
      <w:rFonts w:cs="Swiss 721 BT"/>
      <w:color w:val="000000"/>
      <w:sz w:val="20"/>
      <w:szCs w:val="20"/>
    </w:rPr>
  </w:style>
  <w:style w:type="paragraph" w:customStyle="1" w:styleId="Heading2NotNumbered">
    <w:name w:val="Heading 2 Not Numbered"/>
    <w:basedOn w:val="Heading2"/>
    <w:next w:val="Normal"/>
    <w:rsid w:val="007C2F4E"/>
    <w:pPr>
      <w:spacing w:before="300" w:after="180"/>
    </w:pPr>
    <w:rPr>
      <w:rFonts w:ascii="Century Gothic" w:hAnsi="Century Gothic"/>
      <w:b w:val="0"/>
      <w:bCs/>
      <w:smallCaps w:val="0"/>
      <w:color w:val="44546A" w:themeColor="text2"/>
      <w:kern w:val="0"/>
      <w:sz w:val="32"/>
    </w:rPr>
  </w:style>
  <w:style w:type="paragraph" w:customStyle="1" w:styleId="DLMSecurityHeader">
    <w:name w:val="DLM Security Header"/>
    <w:link w:val="DLMSecurityHeaderChar"/>
    <w:rsid w:val="007C2F4E"/>
    <w:pPr>
      <w:spacing w:before="60" w:after="240" w:line="240" w:lineRule="auto"/>
      <w:jc w:val="center"/>
    </w:pPr>
    <w:rPr>
      <w:rFonts w:ascii="Calibri" w:eastAsia="Times New Roman" w:hAnsi="Calibri" w:cs="Times New Roman"/>
      <w:b/>
      <w:caps/>
      <w:color w:val="000080"/>
      <w:sz w:val="24"/>
      <w:szCs w:val="20"/>
      <w:lang w:eastAsia="en-AU"/>
    </w:rPr>
  </w:style>
  <w:style w:type="character" w:customStyle="1" w:styleId="SecurityClassificationHeaderChar">
    <w:name w:val="Security Classification Header Char"/>
    <w:basedOn w:val="DefaultParagraphFont"/>
    <w:link w:val="SecurityClassificationHeader"/>
    <w:rsid w:val="00BC2D15"/>
    <w:rPr>
      <w:rFonts w:ascii="Arial" w:eastAsia="Times New Roman" w:hAnsi="Arial" w:cs="Times New Roman"/>
      <w:b/>
      <w:caps/>
      <w:color w:val="000080"/>
      <w:sz w:val="21"/>
      <w:szCs w:val="20"/>
      <w:lang w:eastAsia="en-AU"/>
    </w:rPr>
  </w:style>
  <w:style w:type="character" w:customStyle="1" w:styleId="DLMSecurityHeaderChar">
    <w:name w:val="DLM Security Header Char"/>
    <w:basedOn w:val="SecurityClassificationHeaderChar"/>
    <w:link w:val="DLMSecurityHeader"/>
    <w:rsid w:val="007C2F4E"/>
    <w:rPr>
      <w:rFonts w:ascii="Calibri" w:eastAsia="Times New Roman" w:hAnsi="Calibri" w:cs="Times New Roman"/>
      <w:b/>
      <w:caps/>
      <w:color w:val="000080"/>
      <w:sz w:val="24"/>
      <w:szCs w:val="20"/>
      <w:lang w:eastAsia="en-AU"/>
    </w:rPr>
  </w:style>
  <w:style w:type="paragraph" w:customStyle="1" w:styleId="DLMSecurityFooter">
    <w:name w:val="DLM Security Footer"/>
    <w:link w:val="DLMSecurityFooterChar"/>
    <w:rsid w:val="007C2F4E"/>
    <w:pPr>
      <w:spacing w:before="240" w:after="60" w:line="240" w:lineRule="auto"/>
      <w:jc w:val="center"/>
    </w:pPr>
    <w:rPr>
      <w:rFonts w:ascii="Calibri" w:eastAsia="Times New Roman" w:hAnsi="Calibri" w:cs="Times New Roman"/>
      <w:b/>
      <w:caps/>
      <w:color w:val="000080"/>
      <w:sz w:val="24"/>
      <w:szCs w:val="20"/>
      <w:lang w:eastAsia="en-AU"/>
    </w:rPr>
  </w:style>
  <w:style w:type="character" w:customStyle="1" w:styleId="DLMSecurityFooterChar">
    <w:name w:val="DLM Security Footer Char"/>
    <w:basedOn w:val="SecurityClassificationHeaderChar"/>
    <w:link w:val="DLMSecurityFooter"/>
    <w:rsid w:val="007C2F4E"/>
    <w:rPr>
      <w:rFonts w:ascii="Calibri" w:eastAsia="Times New Roman" w:hAnsi="Calibri" w:cs="Times New Roman"/>
      <w:b/>
      <w:caps/>
      <w:color w:val="000080"/>
      <w:sz w:val="24"/>
      <w:szCs w:val="20"/>
      <w:lang w:eastAsia="en-AU"/>
    </w:rPr>
  </w:style>
  <w:style w:type="character" w:styleId="CommentReference">
    <w:name w:val="annotation reference"/>
    <w:basedOn w:val="DefaultParagraphFont"/>
    <w:uiPriority w:val="99"/>
    <w:semiHidden/>
    <w:unhideWhenUsed/>
    <w:rsid w:val="007C2F4E"/>
    <w:rPr>
      <w:sz w:val="16"/>
      <w:szCs w:val="16"/>
    </w:rPr>
  </w:style>
  <w:style w:type="paragraph" w:styleId="CommentText">
    <w:name w:val="annotation text"/>
    <w:basedOn w:val="Normal"/>
    <w:link w:val="CommentTextChar"/>
    <w:uiPriority w:val="99"/>
    <w:semiHidden/>
    <w:unhideWhenUsed/>
    <w:rsid w:val="007C2F4E"/>
    <w:rPr>
      <w:rFonts w:ascii="Book Antiqua" w:hAnsi="Book Antiqua"/>
      <w:color w:val="000000"/>
      <w:sz w:val="20"/>
    </w:rPr>
  </w:style>
  <w:style w:type="character" w:customStyle="1" w:styleId="CommentTextChar">
    <w:name w:val="Comment Text Char"/>
    <w:basedOn w:val="DefaultParagraphFont"/>
    <w:link w:val="CommentText"/>
    <w:uiPriority w:val="99"/>
    <w:semiHidden/>
    <w:rsid w:val="007C2F4E"/>
    <w:rPr>
      <w:rFonts w:ascii="Book Antiqua" w:eastAsia="Times New Roman" w:hAnsi="Book Antiqua"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7C2F4E"/>
    <w:rPr>
      <w:b/>
      <w:bCs/>
    </w:rPr>
  </w:style>
  <w:style w:type="character" w:customStyle="1" w:styleId="CommentSubjectChar">
    <w:name w:val="Comment Subject Char"/>
    <w:basedOn w:val="CommentTextChar"/>
    <w:link w:val="CommentSubject"/>
    <w:uiPriority w:val="99"/>
    <w:semiHidden/>
    <w:rsid w:val="007C2F4E"/>
    <w:rPr>
      <w:rFonts w:ascii="Book Antiqua" w:eastAsia="Times New Roman" w:hAnsi="Book Antiqua" w:cs="Times New Roman"/>
      <w:b/>
      <w:bCs/>
      <w:color w:val="000000"/>
      <w:sz w:val="20"/>
      <w:szCs w:val="20"/>
      <w:lang w:eastAsia="en-AU"/>
    </w:rPr>
  </w:style>
  <w:style w:type="paragraph" w:styleId="ListParagraph">
    <w:name w:val="List Paragraph"/>
    <w:basedOn w:val="Normal"/>
    <w:uiPriority w:val="34"/>
    <w:qFormat/>
    <w:rsid w:val="007C2F4E"/>
    <w:pPr>
      <w:spacing w:after="200" w:line="276" w:lineRule="auto"/>
      <w:ind w:left="720"/>
    </w:pPr>
    <w:rPr>
      <w:rFonts w:eastAsia="Calibri"/>
      <w:szCs w:val="22"/>
      <w:lang w:eastAsia="en-US"/>
    </w:rPr>
  </w:style>
  <w:style w:type="character" w:customStyle="1" w:styleId="BulletChar">
    <w:name w:val="Bullet Char"/>
    <w:aliases w:val="b + line Char Char,b Char,b Char Char,b1 Char,b + line Char,Body Char,level 1 Char,Bulleted Para Char,Bullets Char,FooterText Char,L Char,List Paragraph Char,List Paragraph1 Char,List Paragraph11 Char,List Paragraph2 Char,Number Char"/>
    <w:basedOn w:val="DefaultParagraphFont"/>
    <w:link w:val="Bullet"/>
    <w:qFormat/>
    <w:rsid w:val="007C2F4E"/>
    <w:rPr>
      <w:rFonts w:ascii="Calibri" w:eastAsia="Times New Roman" w:hAnsi="Calibri" w:cs="Times New Roman"/>
      <w:szCs w:val="20"/>
      <w:lang w:eastAsia="en-AU"/>
    </w:rPr>
  </w:style>
  <w:style w:type="character" w:customStyle="1" w:styleId="DashChar">
    <w:name w:val="Dash Char"/>
    <w:basedOn w:val="DefaultParagraphFont"/>
    <w:link w:val="Dash"/>
    <w:rsid w:val="007C2F4E"/>
    <w:rPr>
      <w:rFonts w:ascii="Calibri" w:eastAsia="Times New Roman" w:hAnsi="Calibri" w:cs="Times New Roman"/>
      <w:szCs w:val="20"/>
      <w:lang w:eastAsia="en-AU"/>
    </w:rPr>
  </w:style>
  <w:style w:type="character" w:customStyle="1" w:styleId="DoubleDotChar">
    <w:name w:val="Double Dot Char"/>
    <w:basedOn w:val="DefaultParagraphFont"/>
    <w:link w:val="DoubleDot"/>
    <w:locked/>
    <w:rsid w:val="007C2F4E"/>
    <w:rPr>
      <w:rFonts w:ascii="Calibri" w:eastAsia="Times New Roman" w:hAnsi="Calibri" w:cs="Times New Roman"/>
      <w:szCs w:val="20"/>
      <w:lang w:eastAsia="en-AU"/>
    </w:rPr>
  </w:style>
  <w:style w:type="paragraph" w:styleId="NormalWeb">
    <w:name w:val="Normal (Web)"/>
    <w:basedOn w:val="Normal"/>
    <w:uiPriority w:val="99"/>
    <w:semiHidden/>
    <w:unhideWhenUsed/>
    <w:rsid w:val="007C2F4E"/>
    <w:pPr>
      <w:spacing w:line="260" w:lineRule="exact"/>
    </w:pPr>
    <w:rPr>
      <w:rFonts w:ascii="Times New Roman" w:hAnsi="Times New Roman"/>
      <w:color w:val="000000"/>
      <w:sz w:val="24"/>
      <w:szCs w:val="24"/>
    </w:rPr>
  </w:style>
  <w:style w:type="table" w:styleId="LightShading">
    <w:name w:val="Light Shading"/>
    <w:basedOn w:val="TableNormal"/>
    <w:uiPriority w:val="60"/>
    <w:rsid w:val="007C2F4E"/>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C2F4E"/>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ion">
    <w:name w:val="Revision"/>
    <w:hidden/>
    <w:uiPriority w:val="99"/>
    <w:semiHidden/>
    <w:rsid w:val="007C2F4E"/>
    <w:pPr>
      <w:spacing w:after="0" w:line="240" w:lineRule="auto"/>
    </w:pPr>
    <w:rPr>
      <w:rFonts w:ascii="Book Antiqua" w:eastAsia="Times New Roman" w:hAnsi="Book Antiqua" w:cs="Times New Roman"/>
      <w:color w:val="000000"/>
      <w:szCs w:val="20"/>
      <w:lang w:eastAsia="en-AU"/>
    </w:rPr>
  </w:style>
  <w:style w:type="character" w:customStyle="1" w:styleId="CAB-NumberedParagraphChar">
    <w:name w:val="CAB - Numbered Paragraph Char"/>
    <w:basedOn w:val="DefaultParagraphFont"/>
    <w:link w:val="CAB-NumberedParagraph"/>
    <w:uiPriority w:val="98"/>
    <w:locked/>
    <w:rsid w:val="007C2F4E"/>
    <w:rPr>
      <w:rFonts w:ascii="Arial" w:hAnsi="Arial" w:cs="Arial"/>
    </w:rPr>
  </w:style>
  <w:style w:type="paragraph" w:customStyle="1" w:styleId="CAB-NumberedParagraph">
    <w:name w:val="CAB - Numbered Paragraph"/>
    <w:basedOn w:val="Normal"/>
    <w:link w:val="CAB-NumberedParagraphChar"/>
    <w:uiPriority w:val="98"/>
    <w:rsid w:val="007C2F4E"/>
    <w:pPr>
      <w:tabs>
        <w:tab w:val="num" w:pos="340"/>
      </w:tabs>
      <w:ind w:left="567" w:hanging="567"/>
    </w:pPr>
    <w:rPr>
      <w:rFonts w:ascii="Arial" w:eastAsiaTheme="minorHAnsi" w:hAnsi="Arial" w:cs="Arial"/>
      <w:szCs w:val="22"/>
      <w:lang w:eastAsia="en-US"/>
    </w:rPr>
  </w:style>
  <w:style w:type="character" w:customStyle="1" w:styleId="OutlineNumbered1Char">
    <w:name w:val="Outline Numbered 1 Char"/>
    <w:basedOn w:val="DefaultParagraphFont"/>
    <w:link w:val="OutlineNumbered1"/>
    <w:rsid w:val="006519D9"/>
    <w:rPr>
      <w:rFonts w:ascii="Calibri" w:eastAsia="Times New Roman" w:hAnsi="Calibri" w:cs="Times New Roman"/>
      <w:szCs w:val="20"/>
      <w:lang w:eastAsia="en-AU"/>
    </w:rPr>
  </w:style>
  <w:style w:type="paragraph" w:styleId="TOCHeading">
    <w:name w:val="TOC Heading"/>
    <w:basedOn w:val="Heading1"/>
    <w:next w:val="Normal"/>
    <w:uiPriority w:val="39"/>
    <w:semiHidden/>
    <w:unhideWhenUsed/>
    <w:qFormat/>
    <w:rsid w:val="007C2F4E"/>
    <w:pPr>
      <w:keepLines/>
      <w:spacing w:after="0" w:line="276" w:lineRule="auto"/>
      <w:outlineLvl w:val="9"/>
    </w:pPr>
    <w:rPr>
      <w:rFonts w:asciiTheme="majorHAnsi" w:eastAsiaTheme="majorEastAsia" w:hAnsiTheme="majorHAnsi" w:cstheme="majorBidi"/>
      <w:b w:val="0"/>
      <w:bCs/>
      <w:color w:val="2E74B5" w:themeColor="accent1" w:themeShade="BF"/>
      <w:kern w:val="0"/>
      <w:sz w:val="28"/>
      <w:szCs w:val="28"/>
      <w:lang w:val="en-US" w:eastAsia="ja-JP"/>
    </w:rPr>
  </w:style>
  <w:style w:type="table" w:styleId="LightList-Accent5">
    <w:name w:val="Light List Accent 5"/>
    <w:basedOn w:val="TableNormal"/>
    <w:uiPriority w:val="61"/>
    <w:rsid w:val="007C2F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1">
    <w:name w:val="Light List Accent 1"/>
    <w:basedOn w:val="TableNormal"/>
    <w:uiPriority w:val="61"/>
    <w:rsid w:val="007C2F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Textform">
    <w:name w:val="TableText form"/>
    <w:basedOn w:val="Normal"/>
    <w:qFormat/>
    <w:rsid w:val="007C2F4E"/>
    <w:pPr>
      <w:spacing w:before="40"/>
    </w:pPr>
    <w:rPr>
      <w:rFonts w:ascii="Arial" w:eastAsiaTheme="majorEastAsia" w:hAnsi="Arial" w:cs="Arial"/>
      <w:bCs/>
      <w:sz w:val="20"/>
      <w:lang w:eastAsia="en-US"/>
    </w:rPr>
  </w:style>
  <w:style w:type="paragraph" w:styleId="EndnoteText">
    <w:name w:val="endnote text"/>
    <w:basedOn w:val="Normal"/>
    <w:link w:val="EndnoteTextChar"/>
    <w:uiPriority w:val="99"/>
    <w:semiHidden/>
    <w:unhideWhenUsed/>
    <w:rsid w:val="007C2F4E"/>
    <w:pPr>
      <w:spacing w:after="0"/>
    </w:pPr>
    <w:rPr>
      <w:rFonts w:ascii="Book Antiqua" w:hAnsi="Book Antiqua"/>
      <w:color w:val="000000"/>
      <w:sz w:val="20"/>
    </w:rPr>
  </w:style>
  <w:style w:type="character" w:customStyle="1" w:styleId="EndnoteTextChar">
    <w:name w:val="Endnote Text Char"/>
    <w:basedOn w:val="DefaultParagraphFont"/>
    <w:link w:val="EndnoteText"/>
    <w:uiPriority w:val="99"/>
    <w:semiHidden/>
    <w:rsid w:val="007C2F4E"/>
    <w:rPr>
      <w:rFonts w:ascii="Book Antiqua" w:eastAsia="Times New Roman" w:hAnsi="Book Antiqua" w:cs="Times New Roman"/>
      <w:color w:val="000000"/>
      <w:sz w:val="20"/>
      <w:szCs w:val="20"/>
      <w:lang w:eastAsia="en-AU"/>
    </w:rPr>
  </w:style>
  <w:style w:type="character" w:styleId="EndnoteReference">
    <w:name w:val="endnote reference"/>
    <w:basedOn w:val="DefaultParagraphFont"/>
    <w:uiPriority w:val="99"/>
    <w:semiHidden/>
    <w:unhideWhenUsed/>
    <w:rsid w:val="007C2F4E"/>
    <w:rPr>
      <w:vertAlign w:val="superscript"/>
    </w:rPr>
  </w:style>
  <w:style w:type="table" w:customStyle="1" w:styleId="TableGrid1">
    <w:name w:val="Table Grid1"/>
    <w:basedOn w:val="TableNormal"/>
    <w:next w:val="TableGrid"/>
    <w:uiPriority w:val="59"/>
    <w:rsid w:val="007C2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BulletList">
    <w:name w:val="CAB - Bullet List"/>
    <w:basedOn w:val="ListParagraph"/>
    <w:uiPriority w:val="98"/>
    <w:rsid w:val="007C2F4E"/>
    <w:pPr>
      <w:numPr>
        <w:numId w:val="20"/>
      </w:numPr>
      <w:tabs>
        <w:tab w:val="left" w:pos="851"/>
      </w:tabs>
      <w:spacing w:after="0" w:line="240" w:lineRule="auto"/>
      <w:contextualSpacing/>
    </w:pPr>
    <w:rPr>
      <w:rFonts w:ascii="Arial" w:eastAsiaTheme="minorHAnsi" w:hAnsi="Arial" w:cstheme="minorBidi"/>
    </w:rPr>
  </w:style>
  <w:style w:type="paragraph" w:customStyle="1" w:styleId="CABNETParagraph">
    <w:name w:val="CABNET Paragraph."/>
    <w:basedOn w:val="Normal"/>
    <w:link w:val="CABNETParagraphChar"/>
    <w:uiPriority w:val="98"/>
    <w:qFormat/>
    <w:rsid w:val="007C2F4E"/>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7C2F4E"/>
    <w:rPr>
      <w:rFonts w:ascii="Arial" w:hAnsi="Arial" w:cstheme="minorHAnsi"/>
    </w:rPr>
  </w:style>
  <w:style w:type="paragraph" w:customStyle="1" w:styleId="paragraph">
    <w:name w:val="paragraph"/>
    <w:basedOn w:val="Normal"/>
    <w:rsid w:val="00D43411"/>
    <w:pPr>
      <w:spacing w:before="100" w:beforeAutospacing="1" w:after="100" w:afterAutospacing="1"/>
    </w:pPr>
    <w:rPr>
      <w:rFonts w:ascii="Times New Roman" w:hAnsi="Times New Roman"/>
      <w:sz w:val="24"/>
      <w:szCs w:val="24"/>
    </w:rPr>
  </w:style>
  <w:style w:type="paragraph" w:customStyle="1" w:styleId="Bullet-Indent">
    <w:name w:val="Bullet - Indent"/>
    <w:basedOn w:val="Bullet"/>
    <w:rsid w:val="00752E4A"/>
    <w:pPr>
      <w:ind w:hanging="568"/>
    </w:pPr>
  </w:style>
  <w:style w:type="paragraph" w:customStyle="1" w:styleId="BoxHeading-Sub">
    <w:name w:val="Box Heading - Sub"/>
    <w:basedOn w:val="BoxText"/>
    <w:rsid w:val="006519D9"/>
    <w:pPr>
      <w:spacing w:line="240" w:lineRule="auto"/>
    </w:pPr>
    <w:rPr>
      <w:b/>
      <w:color w:val="004A7F"/>
      <w:sz w:val="21"/>
    </w:rPr>
  </w:style>
  <w:style w:type="character" w:customStyle="1" w:styleId="FooterOddChar">
    <w:name w:val="Footer Odd Char"/>
    <w:basedOn w:val="FooterChar"/>
    <w:link w:val="FooterOdd"/>
    <w:rsid w:val="00C62C91"/>
    <w:rPr>
      <w:rFonts w:ascii="Calibri" w:eastAsia="Times New Roman" w:hAnsi="Calibri" w:cs="Times New Roman"/>
      <w:color w:val="004A7F"/>
      <w:sz w:val="20"/>
      <w:szCs w:val="20"/>
      <w:lang w:eastAsia="en-AU"/>
    </w:rPr>
  </w:style>
  <w:style w:type="character" w:customStyle="1" w:styleId="FooterEvenChar">
    <w:name w:val="Footer Even Char"/>
    <w:basedOn w:val="FooterChar"/>
    <w:link w:val="FooterEven"/>
    <w:rsid w:val="00C62C91"/>
    <w:rPr>
      <w:rFonts w:ascii="Calibri" w:eastAsia="Times New Roman" w:hAnsi="Calibri" w:cs="Times New Roman"/>
      <w:noProof/>
      <w:color w:val="004A7F"/>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2"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D0"/>
    <w:pPr>
      <w:spacing w:after="240" w:line="280" w:lineRule="exact"/>
      <w:jc w:val="both"/>
    </w:pPr>
    <w:rPr>
      <w:rFonts w:ascii="Calibri" w:eastAsia="Times New Roman" w:hAnsi="Calibri" w:cs="Times New Roman"/>
      <w:szCs w:val="20"/>
      <w:lang w:eastAsia="en-AU"/>
    </w:rPr>
  </w:style>
  <w:style w:type="paragraph" w:styleId="Heading1">
    <w:name w:val="heading 1"/>
    <w:aliases w:val="Heading 1 Cab"/>
    <w:basedOn w:val="HeadingBase"/>
    <w:next w:val="Normal"/>
    <w:link w:val="Heading1Char"/>
    <w:uiPriority w:val="4"/>
    <w:qFormat/>
    <w:rsid w:val="00BC2D15"/>
    <w:pPr>
      <w:pBdr>
        <w:bottom w:val="single" w:sz="12" w:space="12" w:color="004A7F"/>
      </w:pBdr>
      <w:spacing w:after="480"/>
      <w:outlineLvl w:val="0"/>
    </w:pPr>
    <w:rPr>
      <w:b/>
      <w:bCs w:val="0"/>
      <w:caps/>
      <w:sz w:val="40"/>
    </w:rPr>
  </w:style>
  <w:style w:type="paragraph" w:styleId="Heading2">
    <w:name w:val="heading 2"/>
    <w:basedOn w:val="HeadingBase"/>
    <w:next w:val="Normal"/>
    <w:link w:val="Heading2Char"/>
    <w:qFormat/>
    <w:rsid w:val="00752E4A"/>
    <w:pPr>
      <w:spacing w:before="240" w:after="240"/>
      <w:outlineLvl w:val="1"/>
    </w:pPr>
    <w:rPr>
      <w:b/>
      <w:bCs w:val="0"/>
      <w:iCs/>
      <w:smallCaps/>
      <w:sz w:val="36"/>
      <w:szCs w:val="28"/>
    </w:rPr>
  </w:style>
  <w:style w:type="paragraph" w:styleId="Heading3">
    <w:name w:val="heading 3"/>
    <w:basedOn w:val="HeadingBase"/>
    <w:next w:val="Normal"/>
    <w:link w:val="Heading3Char"/>
    <w:qFormat/>
    <w:rsid w:val="005B1A9F"/>
    <w:pPr>
      <w:spacing w:before="240" w:after="240"/>
      <w:outlineLvl w:val="2"/>
    </w:pPr>
    <w:rPr>
      <w:b/>
      <w:bCs w:val="0"/>
      <w:color w:val="7F7F7F"/>
      <w:sz w:val="30"/>
      <w:szCs w:val="26"/>
    </w:rPr>
  </w:style>
  <w:style w:type="paragraph" w:styleId="Heading4">
    <w:name w:val="heading 4"/>
    <w:basedOn w:val="HeadingBase"/>
    <w:next w:val="Normal"/>
    <w:link w:val="Heading4Char"/>
    <w:qFormat/>
    <w:rsid w:val="005B1A9F"/>
    <w:pPr>
      <w:spacing w:before="120" w:after="180"/>
      <w:outlineLvl w:val="3"/>
    </w:pPr>
    <w:rPr>
      <w:b/>
      <w:bCs w:val="0"/>
      <w:sz w:val="26"/>
      <w:szCs w:val="26"/>
    </w:rPr>
  </w:style>
  <w:style w:type="paragraph" w:styleId="Heading5">
    <w:name w:val="heading 5"/>
    <w:basedOn w:val="HeadingBase"/>
    <w:next w:val="Normal"/>
    <w:link w:val="Heading5Char"/>
    <w:qFormat/>
    <w:rsid w:val="004B69AE"/>
    <w:pPr>
      <w:spacing w:before="120" w:after="180"/>
      <w:outlineLvl w:val="4"/>
    </w:pPr>
    <w:rPr>
      <w:b/>
      <w:bCs w:val="0"/>
      <w:iCs/>
    </w:rPr>
  </w:style>
  <w:style w:type="paragraph" w:styleId="Heading6">
    <w:name w:val="heading 6"/>
    <w:basedOn w:val="HeadingBase"/>
    <w:next w:val="Normal"/>
    <w:link w:val="Heading6Char"/>
    <w:qFormat/>
    <w:rsid w:val="003E4D87"/>
    <w:pPr>
      <w:outlineLvl w:val="5"/>
    </w:pPr>
    <w:rPr>
      <w:bCs w:val="0"/>
      <w:szCs w:val="22"/>
    </w:rPr>
  </w:style>
  <w:style w:type="paragraph" w:styleId="Heading7">
    <w:name w:val="heading 7"/>
    <w:basedOn w:val="HeadingBase"/>
    <w:next w:val="Normal"/>
    <w:link w:val="Heading7Char"/>
    <w:qFormat/>
    <w:rsid w:val="007C2F4E"/>
    <w:pPr>
      <w:outlineLvl w:val="6"/>
    </w:pPr>
    <w:rPr>
      <w:rFonts w:ascii="Century Gothic" w:hAnsi="Century Gothic" w:cs="Times New Roman"/>
      <w:bCs w:val="0"/>
      <w:color w:val="44546A" w:themeColor="text2"/>
      <w:kern w:val="0"/>
      <w:sz w:val="20"/>
      <w:szCs w:val="24"/>
    </w:rPr>
  </w:style>
  <w:style w:type="paragraph" w:styleId="Heading8">
    <w:name w:val="heading 8"/>
    <w:basedOn w:val="HeadingBase"/>
    <w:next w:val="Normal"/>
    <w:link w:val="Heading8Char"/>
    <w:qFormat/>
    <w:rsid w:val="007C2F4E"/>
    <w:pPr>
      <w:outlineLvl w:val="7"/>
    </w:pPr>
    <w:rPr>
      <w:rFonts w:ascii="Century Gothic" w:hAnsi="Century Gothic" w:cs="Times New Roman"/>
      <w:bCs w:val="0"/>
      <w:iCs/>
      <w:color w:val="44546A" w:themeColor="text2"/>
      <w:kern w:val="0"/>
      <w:sz w:val="20"/>
      <w:szCs w:val="24"/>
    </w:rPr>
  </w:style>
  <w:style w:type="paragraph" w:styleId="Heading9">
    <w:name w:val="heading 9"/>
    <w:basedOn w:val="HeadingBase"/>
    <w:next w:val="Normal"/>
    <w:link w:val="Heading9Char"/>
    <w:qFormat/>
    <w:rsid w:val="007C2F4E"/>
    <w:pPr>
      <w:outlineLvl w:val="8"/>
    </w:pPr>
    <w:rPr>
      <w:rFonts w:ascii="Century Gothic" w:hAnsi="Century Gothic"/>
      <w:bCs w:val="0"/>
      <w:color w:val="44546A" w:themeColor="text2"/>
      <w:kern w:val="0"/>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
    <w:basedOn w:val="DefaultParagraphFont"/>
    <w:link w:val="Heading1"/>
    <w:uiPriority w:val="4"/>
    <w:rsid w:val="00BC2D15"/>
    <w:rPr>
      <w:rFonts w:ascii="Calibri" w:eastAsia="Times New Roman" w:hAnsi="Calibri" w:cs="Arial"/>
      <w:b/>
      <w:caps/>
      <w:color w:val="004A7F"/>
      <w:kern w:val="32"/>
      <w:sz w:val="40"/>
      <w:szCs w:val="36"/>
      <w:lang w:eastAsia="en-AU"/>
    </w:rPr>
  </w:style>
  <w:style w:type="character" w:customStyle="1" w:styleId="Heading2Char">
    <w:name w:val="Heading 2 Char"/>
    <w:basedOn w:val="DefaultParagraphFont"/>
    <w:link w:val="Heading2"/>
    <w:rsid w:val="00752E4A"/>
    <w:rPr>
      <w:rFonts w:ascii="Calibri" w:eastAsia="Times New Roman" w:hAnsi="Calibri" w:cs="Arial"/>
      <w:b/>
      <w:iCs/>
      <w:smallCaps/>
      <w:color w:val="004A7F"/>
      <w:kern w:val="32"/>
      <w:sz w:val="36"/>
      <w:szCs w:val="28"/>
      <w:lang w:eastAsia="en-AU"/>
    </w:rPr>
  </w:style>
  <w:style w:type="character" w:customStyle="1" w:styleId="Heading3Char">
    <w:name w:val="Heading 3 Char"/>
    <w:basedOn w:val="DefaultParagraphFont"/>
    <w:link w:val="Heading3"/>
    <w:rsid w:val="005B1A9F"/>
    <w:rPr>
      <w:rFonts w:ascii="Calibri" w:eastAsia="Times New Roman" w:hAnsi="Calibri" w:cs="Arial"/>
      <w:b/>
      <w:color w:val="7F7F7F"/>
      <w:kern w:val="32"/>
      <w:sz w:val="30"/>
      <w:szCs w:val="26"/>
      <w:lang w:eastAsia="en-AU"/>
    </w:rPr>
  </w:style>
  <w:style w:type="character" w:customStyle="1" w:styleId="Heading4Char">
    <w:name w:val="Heading 4 Char"/>
    <w:basedOn w:val="DefaultParagraphFont"/>
    <w:link w:val="Heading4"/>
    <w:rsid w:val="005B1A9F"/>
    <w:rPr>
      <w:rFonts w:ascii="Calibri" w:eastAsia="Times New Roman" w:hAnsi="Calibri" w:cs="Arial"/>
      <w:b/>
      <w:color w:val="004A7F"/>
      <w:kern w:val="32"/>
      <w:sz w:val="26"/>
      <w:szCs w:val="26"/>
      <w:lang w:eastAsia="en-AU"/>
    </w:rPr>
  </w:style>
  <w:style w:type="character" w:customStyle="1" w:styleId="Heading5Char">
    <w:name w:val="Heading 5 Char"/>
    <w:basedOn w:val="DefaultParagraphFont"/>
    <w:link w:val="Heading5"/>
    <w:rsid w:val="004B69AE"/>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3E4D87"/>
    <w:rPr>
      <w:rFonts w:ascii="Calibri" w:eastAsia="Times New Roman" w:hAnsi="Calibri" w:cs="Arial"/>
      <w:color w:val="004A7F"/>
      <w:kern w:val="32"/>
      <w:lang w:eastAsia="en-AU"/>
    </w:rPr>
  </w:style>
  <w:style w:type="paragraph" w:customStyle="1" w:styleId="ChartGraphic">
    <w:name w:val="Chart Graphic"/>
    <w:basedOn w:val="TableGraphic"/>
    <w:next w:val="Normal"/>
    <w:rsid w:val="003014D9"/>
    <w:pPr>
      <w:jc w:val="center"/>
    </w:pPr>
    <w:rPr>
      <w:noProof/>
    </w:rPr>
  </w:style>
  <w:style w:type="paragraph" w:customStyle="1" w:styleId="AlphaParagraph">
    <w:name w:val="Alpha Paragraph"/>
    <w:basedOn w:val="Normal"/>
    <w:qFormat/>
    <w:rsid w:val="000E0B74"/>
    <w:pPr>
      <w:numPr>
        <w:ilvl w:val="1"/>
        <w:numId w:val="10"/>
      </w:numPr>
    </w:pPr>
  </w:style>
  <w:style w:type="paragraph" w:customStyle="1" w:styleId="BoxBullet">
    <w:name w:val="Box Bullet"/>
    <w:basedOn w:val="Normal"/>
    <w:rsid w:val="000E0B74"/>
    <w:pPr>
      <w:numPr>
        <w:numId w:val="2"/>
      </w:numPr>
      <w:ind w:left="284" w:hanging="284"/>
    </w:pPr>
  </w:style>
  <w:style w:type="paragraph" w:customStyle="1" w:styleId="BoxDash">
    <w:name w:val="Box Dash"/>
    <w:basedOn w:val="Normal"/>
    <w:rsid w:val="000E0B74"/>
    <w:pPr>
      <w:numPr>
        <w:ilvl w:val="1"/>
        <w:numId w:val="2"/>
      </w:numPr>
      <w:ind w:left="568"/>
    </w:pPr>
  </w:style>
  <w:style w:type="paragraph" w:customStyle="1" w:styleId="BoxDoubleDot">
    <w:name w:val="Box Double Dot"/>
    <w:basedOn w:val="Normal"/>
    <w:rsid w:val="000E0B74"/>
    <w:pPr>
      <w:numPr>
        <w:ilvl w:val="2"/>
        <w:numId w:val="2"/>
      </w:numPr>
      <w:ind w:left="851" w:hanging="284"/>
    </w:pPr>
  </w:style>
  <w:style w:type="paragraph" w:customStyle="1" w:styleId="BoxHeading">
    <w:name w:val="Box Heading"/>
    <w:basedOn w:val="Normal"/>
    <w:next w:val="Normal"/>
    <w:rsid w:val="006519D9"/>
    <w:pPr>
      <w:keepNext/>
      <w:spacing w:before="120" w:after="0" w:line="240" w:lineRule="auto"/>
      <w:jc w:val="left"/>
    </w:pPr>
    <w:rPr>
      <w:rFonts w:ascii="Arial Bold" w:hAnsi="Arial Bold"/>
      <w:b/>
      <w:caps/>
      <w:color w:val="004A7F"/>
      <w:szCs w:val="26"/>
    </w:rPr>
  </w:style>
  <w:style w:type="paragraph" w:customStyle="1" w:styleId="BoxText">
    <w:name w:val="Box Text"/>
    <w:basedOn w:val="Normal"/>
    <w:rsid w:val="006519D9"/>
    <w:pPr>
      <w:spacing w:before="120" w:after="120" w:line="260" w:lineRule="exact"/>
      <w:jc w:val="left"/>
    </w:pPr>
    <w:rPr>
      <w:rFonts w:ascii="Arial" w:hAnsi="Arial"/>
      <w:sz w:val="20"/>
    </w:rPr>
  </w:style>
  <w:style w:type="paragraph" w:customStyle="1" w:styleId="Bullet">
    <w:name w:val="Bullet"/>
    <w:aliases w:val="b,b + line,b1,Body,level 1,Bullet + line"/>
    <w:basedOn w:val="Normal"/>
    <w:link w:val="BulletChar"/>
    <w:qFormat/>
    <w:rsid w:val="000E0B74"/>
    <w:pPr>
      <w:numPr>
        <w:numId w:val="1"/>
      </w:numPr>
    </w:pPr>
  </w:style>
  <w:style w:type="paragraph" w:customStyle="1" w:styleId="ChartandTableFootnoteAlpha">
    <w:name w:val="Chart and Table Footnote Alpha"/>
    <w:rsid w:val="002D488F"/>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5F6F8C"/>
    <w:pPr>
      <w:spacing w:after="60"/>
      <w:jc w:val="center"/>
    </w:pPr>
    <w:rPr>
      <w:rFonts w:ascii="Arial" w:hAnsi="Arial"/>
      <w:b/>
      <w:caps/>
      <w:sz w:val="22"/>
    </w:r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DE0FD0"/>
    <w:pPr>
      <w:keepNext/>
      <w:spacing w:after="360" w:line="240" w:lineRule="auto"/>
      <w:jc w:val="right"/>
    </w:pPr>
    <w:rPr>
      <w:color w:val="004A7F"/>
      <w:sz w:val="44"/>
    </w:rPr>
  </w:style>
  <w:style w:type="paragraph" w:customStyle="1" w:styleId="Dash">
    <w:name w:val="Dash"/>
    <w:basedOn w:val="Normal"/>
    <w:link w:val="DashChar"/>
    <w:qFormat/>
    <w:rsid w:val="000E0B74"/>
    <w:pPr>
      <w:numPr>
        <w:ilvl w:val="1"/>
        <w:numId w:val="1"/>
      </w:numPr>
      <w:ind w:left="568"/>
    </w:pPr>
  </w:style>
  <w:style w:type="paragraph" w:customStyle="1" w:styleId="DoubleDot">
    <w:name w:val="Double Dot"/>
    <w:basedOn w:val="Normal"/>
    <w:link w:val="DoubleDotChar"/>
    <w:qFormat/>
    <w:rsid w:val="000E0B74"/>
    <w:pPr>
      <w:numPr>
        <w:ilvl w:val="2"/>
        <w:numId w:val="1"/>
      </w:numPr>
      <w:ind w:left="851" w:hanging="284"/>
    </w:pPr>
  </w:style>
  <w:style w:type="paragraph" w:customStyle="1" w:styleId="TableMainHeading">
    <w:name w:val="Table Main Heading"/>
    <w:basedOn w:val="Heading3"/>
    <w:next w:val="Normal"/>
    <w:rsid w:val="000E0B74"/>
    <w:pPr>
      <w:spacing w:before="120" w:after="0"/>
    </w:pPr>
    <w:rPr>
      <w:b w:val="0"/>
    </w:rPr>
  </w:style>
  <w:style w:type="paragraph" w:customStyle="1" w:styleId="FooterEven">
    <w:name w:val="Footer Even"/>
    <w:basedOn w:val="Footer"/>
    <w:link w:val="FooterEvenChar"/>
    <w:rsid w:val="00D975AA"/>
    <w:pPr>
      <w:keepNext/>
      <w:tabs>
        <w:tab w:val="clear" w:pos="4513"/>
        <w:tab w:val="clear" w:pos="9026"/>
      </w:tabs>
      <w:spacing w:line="240" w:lineRule="auto"/>
      <w:jc w:val="left"/>
    </w:pPr>
    <w:rPr>
      <w:noProof/>
    </w:rPr>
  </w:style>
  <w:style w:type="paragraph" w:customStyle="1" w:styleId="FooterOdd">
    <w:name w:val="Footer Odd"/>
    <w:basedOn w:val="Footer"/>
    <w:link w:val="FooterOddChar"/>
    <w:rsid w:val="004B69AE"/>
    <w:pPr>
      <w:keepNext/>
      <w:tabs>
        <w:tab w:val="clear" w:pos="4513"/>
        <w:tab w:val="clear" w:pos="9026"/>
      </w:tabs>
      <w:spacing w:line="240" w:lineRule="auto"/>
      <w:jc w:val="right"/>
    </w:pPr>
  </w:style>
  <w:style w:type="character" w:styleId="Hyperlink">
    <w:name w:val="Hyperlink"/>
    <w:basedOn w:val="DefaultParagraphFont"/>
    <w:uiPriority w:val="99"/>
    <w:rsid w:val="00DE0FD0"/>
    <w:rPr>
      <w:b/>
      <w:color w:val="004A7F"/>
      <w:u w:val="none"/>
    </w:rPr>
  </w:style>
  <w:style w:type="paragraph" w:customStyle="1" w:styleId="OutlineNumbered1">
    <w:name w:val="Outline Numbered 1"/>
    <w:basedOn w:val="Normal"/>
    <w:link w:val="OutlineNumbered1Char"/>
    <w:rsid w:val="006519D9"/>
    <w:pPr>
      <w:numPr>
        <w:numId w:val="6"/>
      </w:numPr>
    </w:pPr>
  </w:style>
  <w:style w:type="paragraph" w:customStyle="1" w:styleId="OneLevelNumberedParagraph">
    <w:name w:val="One Level Numbered Paragraph"/>
    <w:basedOn w:val="Normal"/>
    <w:rsid w:val="000E0B74"/>
    <w:pPr>
      <w:numPr>
        <w:numId w:val="5"/>
      </w:numPr>
    </w:pPr>
  </w:style>
  <w:style w:type="paragraph" w:customStyle="1" w:styleId="OutlineNumbered2">
    <w:name w:val="Outline Numbered 2"/>
    <w:basedOn w:val="Normal"/>
    <w:rsid w:val="000E0B74"/>
    <w:pPr>
      <w:numPr>
        <w:ilvl w:val="1"/>
        <w:numId w:val="6"/>
      </w:numPr>
    </w:pPr>
  </w:style>
  <w:style w:type="paragraph" w:customStyle="1" w:styleId="OutlineNumbered3">
    <w:name w:val="Outline Numbered 3"/>
    <w:basedOn w:val="Normal"/>
    <w:rsid w:val="000E0B74"/>
    <w:pPr>
      <w:numPr>
        <w:ilvl w:val="2"/>
        <w:numId w:val="6"/>
      </w:numPr>
    </w:pPr>
  </w:style>
  <w:style w:type="paragraph" w:customStyle="1" w:styleId="Romannumeral">
    <w:name w:val="Roman numeral"/>
    <w:basedOn w:val="Normal"/>
    <w:rsid w:val="00E35FA1"/>
    <w:pPr>
      <w:numPr>
        <w:numId w:val="10"/>
      </w:numPr>
      <w:tabs>
        <w:tab w:val="clear" w:pos="720"/>
        <w:tab w:val="left" w:pos="851"/>
      </w:tabs>
      <w:ind w:left="851" w:hanging="851"/>
    </w:pPr>
  </w:style>
  <w:style w:type="paragraph" w:customStyle="1" w:styleId="SingleParagraph">
    <w:name w:val="Single Paragraph"/>
    <w:basedOn w:val="Normal"/>
    <w:link w:val="SingleParagraphChar"/>
    <w:rsid w:val="000E0B74"/>
    <w:pPr>
      <w:spacing w:after="0"/>
    </w:pPr>
  </w:style>
  <w:style w:type="paragraph" w:customStyle="1" w:styleId="TableSecondHeading">
    <w:name w:val="Table Second Heading"/>
    <w:basedOn w:val="Normal"/>
    <w:next w:val="Normal"/>
    <w:rsid w:val="000E0B74"/>
    <w:pPr>
      <w:keepNext/>
      <w:spacing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60595B"/>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507A59"/>
    <w:pPr>
      <w:keepNext/>
      <w:tabs>
        <w:tab w:val="left" w:pos="1078"/>
        <w:tab w:val="right" w:leader="dot" w:pos="9072"/>
      </w:tabs>
      <w:spacing w:before="120" w:after="80" w:line="240" w:lineRule="auto"/>
      <w:jc w:val="left"/>
    </w:pPr>
    <w:rPr>
      <w:b/>
      <w:caps/>
      <w:noProof/>
      <w:color w:val="004A7F"/>
      <w:szCs w:val="22"/>
    </w:rPr>
  </w:style>
  <w:style w:type="paragraph" w:styleId="TOC2">
    <w:name w:val="toc 2"/>
    <w:basedOn w:val="Normal"/>
    <w:next w:val="Normal"/>
    <w:uiPriority w:val="39"/>
    <w:qFormat/>
    <w:rsid w:val="00DE0FD0"/>
    <w:pPr>
      <w:keepNext/>
      <w:tabs>
        <w:tab w:val="right" w:leader="dot" w:pos="9072"/>
      </w:tabs>
      <w:spacing w:before="40" w:after="80" w:line="240" w:lineRule="auto"/>
      <w:ind w:left="284"/>
      <w:jc w:val="left"/>
    </w:pPr>
    <w:rPr>
      <w:noProof/>
      <w:color w:val="004A7F"/>
    </w:rPr>
  </w:style>
  <w:style w:type="paragraph" w:styleId="TOC3">
    <w:name w:val="toc 3"/>
    <w:basedOn w:val="Normal"/>
    <w:next w:val="Normal"/>
    <w:uiPriority w:val="39"/>
    <w:qFormat/>
    <w:rsid w:val="00E55326"/>
    <w:pPr>
      <w:tabs>
        <w:tab w:val="right" w:leader="dot" w:pos="9072"/>
      </w:tabs>
      <w:spacing w:before="20" w:after="0"/>
      <w:ind w:left="284" w:right="-2"/>
    </w:pPr>
    <w:rPr>
      <w:rFonts w:cs="Calibri"/>
      <w:noProof/>
      <w:color w:val="7F7F7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1"/>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A57927"/>
    <w:pPr>
      <w:spacing w:after="360"/>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DE0FD0"/>
    <w:pPr>
      <w:spacing w:after="360" w:line="240" w:lineRule="auto"/>
      <w:contextualSpacing/>
      <w:jc w:val="right"/>
    </w:pPr>
    <w:rPr>
      <w:rFonts w:eastAsiaTheme="majorEastAsia" w:cstheme="majorBidi"/>
      <w:b/>
      <w:caps/>
      <w:color w:val="004A7F"/>
      <w:spacing w:val="5"/>
      <w:kern w:val="28"/>
      <w:sz w:val="72"/>
      <w:szCs w:val="52"/>
    </w:rPr>
  </w:style>
  <w:style w:type="character" w:customStyle="1" w:styleId="TitleChar">
    <w:name w:val="Title Char"/>
    <w:basedOn w:val="DefaultParagraphFont"/>
    <w:link w:val="Title"/>
    <w:uiPriority w:val="10"/>
    <w:rsid w:val="00DE0FD0"/>
    <w:rPr>
      <w:rFonts w:ascii="Calibri" w:eastAsiaTheme="majorEastAsia" w:hAnsi="Calibri" w:cstheme="majorBidi"/>
      <w:b/>
      <w:caps/>
      <w:color w:val="004A7F"/>
      <w:spacing w:val="5"/>
      <w:kern w:val="28"/>
      <w:sz w:val="72"/>
      <w:szCs w:val="52"/>
      <w:lang w:eastAsia="en-AU"/>
    </w:rPr>
  </w:style>
  <w:style w:type="paragraph" w:styleId="Subtitle">
    <w:name w:val="Subtitle"/>
    <w:basedOn w:val="Normal"/>
    <w:next w:val="Normal"/>
    <w:link w:val="SubtitleChar"/>
    <w:uiPriority w:val="2"/>
    <w:qFormat/>
    <w:rsid w:val="00DE0FD0"/>
    <w:pPr>
      <w:numPr>
        <w:ilvl w:val="1"/>
      </w:numPr>
      <w:spacing w:after="360" w:line="240" w:lineRule="auto"/>
      <w:jc w:val="right"/>
    </w:pPr>
    <w:rPr>
      <w:rFonts w:eastAsiaTheme="majorEastAsia" w:cstheme="majorBidi"/>
      <w:b/>
      <w:iCs/>
      <w:smallCaps/>
      <w:color w:val="7F7F7F" w:themeColor="text1" w:themeTint="80"/>
      <w:sz w:val="52"/>
      <w:szCs w:val="44"/>
    </w:rPr>
  </w:style>
  <w:style w:type="character" w:customStyle="1" w:styleId="SubtitleChar">
    <w:name w:val="Subtitle Char"/>
    <w:basedOn w:val="DefaultParagraphFont"/>
    <w:link w:val="Subtitle"/>
    <w:uiPriority w:val="2"/>
    <w:rsid w:val="00DE0FD0"/>
    <w:rPr>
      <w:rFonts w:ascii="Calibri" w:eastAsiaTheme="majorEastAsia" w:hAnsi="Calibri" w:cstheme="majorBidi"/>
      <w:b/>
      <w:iCs/>
      <w:smallCaps/>
      <w:color w:val="7F7F7F" w:themeColor="text1" w:themeTint="80"/>
      <w:sz w:val="52"/>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iPriority w:val="99"/>
    <w:unhideWhenUsed/>
    <w:rsid w:val="001606CF"/>
    <w:pPr>
      <w:tabs>
        <w:tab w:val="center" w:pos="4513"/>
        <w:tab w:val="right" w:pos="9026"/>
      </w:tabs>
      <w:spacing w:after="0"/>
      <w:jc w:val="center"/>
    </w:pPr>
    <w:rPr>
      <w:color w:val="004A7F"/>
      <w:sz w:val="20"/>
    </w:rPr>
  </w:style>
  <w:style w:type="character" w:customStyle="1" w:styleId="FooterChar">
    <w:name w:val="Footer Char"/>
    <w:basedOn w:val="DefaultParagraphFont"/>
    <w:link w:val="Footer"/>
    <w:uiPriority w:val="99"/>
    <w:rsid w:val="001606CF"/>
    <w:rPr>
      <w:rFonts w:ascii="Calibri" w:eastAsia="Times New Roman" w:hAnsi="Calibri" w:cs="Times New Roman"/>
      <w:color w:val="004A7F"/>
      <w:sz w:val="20"/>
      <w:szCs w:val="20"/>
      <w:lang w:eastAsia="en-AU"/>
    </w:rPr>
  </w:style>
  <w:style w:type="paragraph" w:styleId="Header">
    <w:name w:val="header"/>
    <w:basedOn w:val="Normal"/>
    <w:link w:val="HeaderChar"/>
    <w:unhideWhenUsed/>
    <w:rsid w:val="001606CF"/>
    <w:pPr>
      <w:keepNext/>
      <w:spacing w:after="0"/>
      <w:jc w:val="right"/>
    </w:pPr>
    <w:rPr>
      <w:color w:val="004A7F"/>
      <w:sz w:val="20"/>
    </w:rPr>
  </w:style>
  <w:style w:type="character" w:customStyle="1" w:styleId="HeaderChar">
    <w:name w:val="Header Char"/>
    <w:basedOn w:val="DefaultParagraphFont"/>
    <w:link w:val="Header"/>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263B6C"/>
    <w:pPr>
      <w:keepNext/>
      <w:spacing w:after="120" w:line="240" w:lineRule="auto"/>
    </w:pPr>
    <w:rPr>
      <w:rFonts w:ascii="Calibri" w:eastAsia="Times New Roman" w:hAnsi="Calibri" w:cs="Arial"/>
      <w:bCs/>
      <w:color w:val="004A7F"/>
      <w:kern w:val="32"/>
      <w:szCs w:val="36"/>
      <w:lang w:eastAsia="en-AU"/>
    </w:rPr>
  </w:style>
  <w:style w:type="character" w:customStyle="1" w:styleId="ReportDateChar">
    <w:name w:val="Report Date Char"/>
    <w:basedOn w:val="DefaultParagraphFont"/>
    <w:link w:val="ReportDate"/>
    <w:rsid w:val="00DE0FD0"/>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7E2AB9"/>
  </w:style>
  <w:style w:type="paragraph" w:customStyle="1" w:styleId="TableGraphic">
    <w:name w:val="Table Graphic"/>
    <w:basedOn w:val="HeadingBase"/>
    <w:next w:val="Normal"/>
    <w:qFormat/>
    <w:rsid w:val="008E6292"/>
    <w:pPr>
      <w:spacing w:after="0"/>
    </w:pPr>
  </w:style>
  <w:style w:type="character" w:styleId="FootnoteReference">
    <w:name w:val="footnote reference"/>
    <w:basedOn w:val="DefaultParagraphFont"/>
    <w:uiPriority w:val="99"/>
    <w:rsid w:val="000F7517"/>
    <w:rPr>
      <w:rFonts w:ascii="Calibri" w:hAnsi="Calibri"/>
      <w:sz w:val="20"/>
      <w:vertAlign w:val="superscript"/>
    </w:rPr>
  </w:style>
  <w:style w:type="paragraph" w:styleId="FootnoteText">
    <w:name w:val="footnote text"/>
    <w:basedOn w:val="Normal"/>
    <w:link w:val="FootnoteTextChar"/>
    <w:uiPriority w:val="99"/>
    <w:rsid w:val="003014D9"/>
    <w:pPr>
      <w:spacing w:after="20" w:line="240" w:lineRule="auto"/>
      <w:ind w:left="284" w:hanging="284"/>
    </w:pPr>
    <w:rPr>
      <w:sz w:val="18"/>
    </w:rPr>
  </w:style>
  <w:style w:type="character" w:customStyle="1" w:styleId="FootnoteTextChar">
    <w:name w:val="Footnote Text Char"/>
    <w:basedOn w:val="DefaultParagraphFont"/>
    <w:link w:val="FootnoteText"/>
    <w:uiPriority w:val="99"/>
    <w:rsid w:val="003014D9"/>
    <w:rPr>
      <w:rFonts w:ascii="Calibri" w:eastAsia="Times New Roman" w:hAnsi="Calibri" w:cs="Times New Roman"/>
      <w:sz w:val="18"/>
      <w:szCs w:val="20"/>
      <w:lang w:eastAsia="en-AU"/>
    </w:rPr>
  </w:style>
  <w:style w:type="paragraph" w:customStyle="1" w:styleId="Heading3noTOC">
    <w:name w:val="Heading 3 no TOC"/>
    <w:basedOn w:val="Heading3"/>
    <w:qFormat/>
    <w:rsid w:val="00257AEE"/>
    <w:rPr>
      <w:rFonts w:cs="Calibri"/>
    </w:rPr>
  </w:style>
  <w:style w:type="paragraph" w:styleId="BalloonText">
    <w:name w:val="Balloon Text"/>
    <w:basedOn w:val="Normal"/>
    <w:link w:val="BalloonTextChar"/>
    <w:uiPriority w:val="99"/>
    <w:semiHidden/>
    <w:unhideWhenUsed/>
    <w:rsid w:val="00475B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B7B"/>
    <w:rPr>
      <w:rFonts w:ascii="Tahoma" w:eastAsia="Times New Roman" w:hAnsi="Tahoma" w:cs="Tahoma"/>
      <w:sz w:val="16"/>
      <w:szCs w:val="16"/>
      <w:lang w:eastAsia="en-AU"/>
    </w:rPr>
  </w:style>
  <w:style w:type="character" w:customStyle="1" w:styleId="Heading7Char">
    <w:name w:val="Heading 7 Char"/>
    <w:basedOn w:val="DefaultParagraphFont"/>
    <w:link w:val="Heading7"/>
    <w:rsid w:val="007C2F4E"/>
    <w:rPr>
      <w:rFonts w:ascii="Century Gothic" w:eastAsia="Times New Roman" w:hAnsi="Century Gothic" w:cs="Times New Roman"/>
      <w:color w:val="44546A" w:themeColor="text2"/>
      <w:sz w:val="20"/>
      <w:szCs w:val="24"/>
      <w:lang w:eastAsia="en-AU"/>
    </w:rPr>
  </w:style>
  <w:style w:type="character" w:customStyle="1" w:styleId="Heading8Char">
    <w:name w:val="Heading 8 Char"/>
    <w:basedOn w:val="DefaultParagraphFont"/>
    <w:link w:val="Heading8"/>
    <w:rsid w:val="007C2F4E"/>
    <w:rPr>
      <w:rFonts w:ascii="Century Gothic" w:eastAsia="Times New Roman" w:hAnsi="Century Gothic" w:cs="Times New Roman"/>
      <w:iCs/>
      <w:color w:val="44546A" w:themeColor="text2"/>
      <w:sz w:val="20"/>
      <w:szCs w:val="24"/>
      <w:lang w:eastAsia="en-AU"/>
    </w:rPr>
  </w:style>
  <w:style w:type="character" w:customStyle="1" w:styleId="Heading9Char">
    <w:name w:val="Heading 9 Char"/>
    <w:basedOn w:val="DefaultParagraphFont"/>
    <w:link w:val="Heading9"/>
    <w:rsid w:val="007C2F4E"/>
    <w:rPr>
      <w:rFonts w:ascii="Century Gothic" w:eastAsia="Times New Roman" w:hAnsi="Century Gothic" w:cs="Arial"/>
      <w:color w:val="44546A" w:themeColor="text2"/>
      <w:sz w:val="20"/>
      <w:lang w:eastAsia="en-AU"/>
    </w:rPr>
  </w:style>
  <w:style w:type="character" w:customStyle="1" w:styleId="BoldandItalic">
    <w:name w:val="Bold and Italic"/>
    <w:basedOn w:val="DefaultParagraphFont"/>
    <w:rsid w:val="007C2F4E"/>
    <w:rPr>
      <w:rFonts w:ascii="Arial" w:hAnsi="Arial"/>
      <w:b/>
      <w:i/>
    </w:rPr>
  </w:style>
  <w:style w:type="character" w:styleId="PageNumber">
    <w:name w:val="page number"/>
    <w:basedOn w:val="DefaultParagraphFont"/>
    <w:rsid w:val="007C2F4E"/>
    <w:rPr>
      <w:rFonts w:ascii="Book Antiqua" w:hAnsi="Book Antiqua"/>
      <w:sz w:val="18"/>
    </w:rPr>
  </w:style>
  <w:style w:type="character" w:customStyle="1" w:styleId="Bold">
    <w:name w:val="Bold"/>
    <w:basedOn w:val="DefaultParagraphFont"/>
    <w:rsid w:val="007C2F4E"/>
    <w:rPr>
      <w:b/>
    </w:rPr>
  </w:style>
  <w:style w:type="paragraph" w:customStyle="1" w:styleId="BoxTextBase">
    <w:name w:val="Box Text Base"/>
    <w:basedOn w:val="Normal"/>
    <w:rsid w:val="007C2F4E"/>
    <w:rPr>
      <w:rFonts w:ascii="Book Antiqua" w:hAnsi="Book Antiqua"/>
      <w:color w:val="000080"/>
    </w:rPr>
  </w:style>
  <w:style w:type="paragraph" w:customStyle="1" w:styleId="Classification">
    <w:name w:val="Classification"/>
    <w:basedOn w:val="HeadingBase"/>
    <w:next w:val="Footer"/>
    <w:rsid w:val="007C2F4E"/>
    <w:pPr>
      <w:jc w:val="center"/>
    </w:pPr>
    <w:rPr>
      <w:rFonts w:ascii="Century Gothic" w:hAnsi="Century Gothic" w:cs="Times New Roman"/>
      <w:b/>
      <w:bCs w:val="0"/>
      <w:smallCaps/>
      <w:color w:val="44546A" w:themeColor="text2"/>
      <w:kern w:val="0"/>
      <w:sz w:val="20"/>
      <w:szCs w:val="20"/>
    </w:rPr>
  </w:style>
  <w:style w:type="paragraph" w:customStyle="1" w:styleId="ContentsHeading">
    <w:name w:val="Contents Heading"/>
    <w:basedOn w:val="HeadingBase"/>
    <w:next w:val="Normal"/>
    <w:rsid w:val="00DE0FD0"/>
    <w:pPr>
      <w:pBdr>
        <w:bottom w:val="single" w:sz="12" w:space="12" w:color="004A7F"/>
      </w:pBdr>
      <w:spacing w:after="480"/>
    </w:pPr>
    <w:rPr>
      <w:rFonts w:cs="Times New Roman"/>
      <w:b/>
      <w:bCs w:val="0"/>
      <w:caps/>
      <w:kern w:val="0"/>
      <w:sz w:val="40"/>
    </w:rPr>
  </w:style>
  <w:style w:type="paragraph" w:customStyle="1" w:styleId="CoverTitleMain">
    <w:name w:val="Cover Title Main"/>
    <w:basedOn w:val="HeadingBase"/>
    <w:next w:val="Normal"/>
    <w:rsid w:val="007C2F4E"/>
    <w:pPr>
      <w:spacing w:after="480"/>
      <w:jc w:val="center"/>
    </w:pPr>
    <w:rPr>
      <w:rFonts w:ascii="Century Gothic" w:hAnsi="Century Gothic" w:cs="Times New Roman"/>
      <w:b/>
      <w:bCs w:val="0"/>
      <w:color w:val="44546A" w:themeColor="text2"/>
      <w:kern w:val="0"/>
      <w:sz w:val="48"/>
      <w:szCs w:val="20"/>
    </w:rPr>
  </w:style>
  <w:style w:type="paragraph" w:customStyle="1" w:styleId="CoverTitleSub">
    <w:name w:val="Cover Title Sub"/>
    <w:basedOn w:val="HeadingBase"/>
    <w:rsid w:val="007C2F4E"/>
    <w:pPr>
      <w:spacing w:after="360"/>
      <w:jc w:val="center"/>
    </w:pPr>
    <w:rPr>
      <w:rFonts w:ascii="Century Gothic" w:hAnsi="Century Gothic" w:cs="Times New Roman"/>
      <w:bCs w:val="0"/>
      <w:color w:val="44546A" w:themeColor="text2"/>
      <w:kern w:val="0"/>
      <w:sz w:val="36"/>
      <w:szCs w:val="20"/>
    </w:rPr>
  </w:style>
  <w:style w:type="paragraph" w:customStyle="1" w:styleId="FooterCentered">
    <w:name w:val="Footer Centered"/>
    <w:basedOn w:val="Footer"/>
    <w:rsid w:val="007C2F4E"/>
    <w:pPr>
      <w:keepNext/>
      <w:tabs>
        <w:tab w:val="clear" w:pos="4513"/>
        <w:tab w:val="clear" w:pos="9026"/>
      </w:tabs>
    </w:pPr>
    <w:rPr>
      <w:rFonts w:ascii="Book Antiqua" w:hAnsi="Book Antiqua"/>
      <w:color w:val="44546A" w:themeColor="text2"/>
      <w:sz w:val="22"/>
    </w:rPr>
  </w:style>
  <w:style w:type="paragraph" w:customStyle="1" w:styleId="HeaderEven">
    <w:name w:val="Header Even"/>
    <w:basedOn w:val="Header"/>
    <w:rsid w:val="00913123"/>
    <w:pPr>
      <w:spacing w:line="240" w:lineRule="auto"/>
      <w:jc w:val="left"/>
    </w:pPr>
  </w:style>
  <w:style w:type="paragraph" w:customStyle="1" w:styleId="HeaderOdd">
    <w:name w:val="Header Odd"/>
    <w:basedOn w:val="Header"/>
    <w:rsid w:val="00913123"/>
    <w:pPr>
      <w:spacing w:line="240" w:lineRule="auto"/>
    </w:pPr>
  </w:style>
  <w:style w:type="paragraph" w:styleId="NormalIndent">
    <w:name w:val="Normal Indent"/>
    <w:basedOn w:val="Normal"/>
    <w:rsid w:val="007C2F4E"/>
    <w:pPr>
      <w:spacing w:line="260" w:lineRule="exact"/>
      <w:ind w:left="567"/>
    </w:pPr>
    <w:rPr>
      <w:rFonts w:ascii="Book Antiqua" w:hAnsi="Book Antiqua"/>
      <w:color w:val="000000"/>
    </w:rPr>
  </w:style>
  <w:style w:type="paragraph" w:customStyle="1" w:styleId="RecommendationHeading">
    <w:name w:val="Recommendation Heading"/>
    <w:basedOn w:val="HeadingBase"/>
    <w:next w:val="RecommendationText"/>
    <w:rsid w:val="007C2F4E"/>
    <w:pPr>
      <w:numPr>
        <w:numId w:val="14"/>
      </w:numPr>
      <w:spacing w:before="120" w:after="240"/>
    </w:pPr>
    <w:rPr>
      <w:rFonts w:ascii="Century Gothic" w:hAnsi="Century Gothic" w:cs="Times New Roman"/>
      <w:b/>
      <w:bCs w:val="0"/>
      <w:color w:val="44546A" w:themeColor="text2"/>
      <w:kern w:val="0"/>
      <w:szCs w:val="20"/>
    </w:rPr>
  </w:style>
  <w:style w:type="paragraph" w:customStyle="1" w:styleId="RecommendationTextBase">
    <w:name w:val="Recommendation Text Base"/>
    <w:basedOn w:val="Normal"/>
    <w:rsid w:val="007C2F4E"/>
    <w:pPr>
      <w:spacing w:line="260" w:lineRule="exact"/>
    </w:pPr>
    <w:rPr>
      <w:rFonts w:ascii="Book Antiqua" w:hAnsi="Book Antiqua"/>
      <w:color w:val="000000"/>
    </w:rPr>
  </w:style>
  <w:style w:type="paragraph" w:customStyle="1" w:styleId="RecommendationText">
    <w:name w:val="Recommendation Text"/>
    <w:basedOn w:val="RecommendationTextBase"/>
    <w:rsid w:val="007C2F4E"/>
  </w:style>
  <w:style w:type="paragraph" w:customStyle="1" w:styleId="TableTextBase">
    <w:name w:val="Table Text Base"/>
    <w:rsid w:val="007C2F4E"/>
    <w:pPr>
      <w:spacing w:before="40" w:after="40" w:line="240" w:lineRule="auto"/>
    </w:pPr>
    <w:rPr>
      <w:rFonts w:ascii="Arial" w:eastAsia="Times New Roman" w:hAnsi="Arial" w:cs="Times New Roman"/>
      <w:color w:val="000000"/>
      <w:sz w:val="16"/>
      <w:szCs w:val="20"/>
      <w:lang w:eastAsia="en-AU"/>
    </w:rPr>
  </w:style>
  <w:style w:type="paragraph" w:customStyle="1" w:styleId="TableMainHeadingContd">
    <w:name w:val="Table Main Heading Contd"/>
    <w:basedOn w:val="HeadingBase"/>
    <w:next w:val="TableGraphic"/>
    <w:rsid w:val="007C2F4E"/>
    <w:pPr>
      <w:spacing w:after="20"/>
    </w:pPr>
    <w:rPr>
      <w:rFonts w:ascii="Century Gothic" w:hAnsi="Century Gothic" w:cs="Times New Roman"/>
      <w:b/>
      <w:bCs w:val="0"/>
      <w:color w:val="44546A" w:themeColor="text2"/>
      <w:kern w:val="0"/>
      <w:szCs w:val="20"/>
    </w:rPr>
  </w:style>
  <w:style w:type="paragraph" w:styleId="TOC4">
    <w:name w:val="toc 4"/>
    <w:basedOn w:val="Normal"/>
    <w:next w:val="Normal"/>
    <w:rsid w:val="007C2F4E"/>
    <w:pPr>
      <w:tabs>
        <w:tab w:val="right" w:leader="dot" w:pos="9072"/>
      </w:tabs>
      <w:spacing w:after="0"/>
      <w:ind w:left="284" w:right="851"/>
    </w:pPr>
    <w:rPr>
      <w:rFonts w:ascii="Book Antiqua" w:hAnsi="Book Antiqua"/>
      <w:color w:val="000000"/>
    </w:rPr>
  </w:style>
  <w:style w:type="character" w:customStyle="1" w:styleId="italic">
    <w:name w:val="italic"/>
    <w:basedOn w:val="DefaultParagraphFont"/>
    <w:rsid w:val="007C2F4E"/>
    <w:rPr>
      <w:i/>
    </w:rPr>
  </w:style>
  <w:style w:type="paragraph" w:customStyle="1" w:styleId="RecommendationBullet">
    <w:name w:val="Recommendation Bullet"/>
    <w:basedOn w:val="RecommendationTextBase"/>
    <w:rsid w:val="007C2F4E"/>
    <w:pPr>
      <w:numPr>
        <w:numId w:val="13"/>
      </w:numPr>
    </w:pPr>
  </w:style>
  <w:style w:type="paragraph" w:customStyle="1" w:styleId="RecommendationDash">
    <w:name w:val="Recommendation Dash"/>
    <w:basedOn w:val="RecommendationTextBase"/>
    <w:rsid w:val="007C2F4E"/>
  </w:style>
  <w:style w:type="paragraph" w:customStyle="1" w:styleId="RecommendationDoubleDot">
    <w:name w:val="Recommendation Double Dot"/>
    <w:basedOn w:val="RecommendationTextBase"/>
    <w:rsid w:val="007C2F4E"/>
    <w:pPr>
      <w:numPr>
        <w:ilvl w:val="2"/>
        <w:numId w:val="13"/>
      </w:numPr>
    </w:pPr>
  </w:style>
  <w:style w:type="character" w:styleId="FollowedHyperlink">
    <w:name w:val="FollowedHyperlink"/>
    <w:basedOn w:val="DefaultParagraphFont"/>
    <w:rsid w:val="007C2F4E"/>
    <w:rPr>
      <w:color w:val="auto"/>
      <w:u w:val="none"/>
    </w:rPr>
  </w:style>
  <w:style w:type="paragraph" w:customStyle="1" w:styleId="SecurityClassificationHeader">
    <w:name w:val="Security Classification Header"/>
    <w:link w:val="SecurityClassificationHeaderChar"/>
    <w:rsid w:val="00BC2D15"/>
    <w:pPr>
      <w:spacing w:after="40" w:line="240" w:lineRule="auto"/>
      <w:jc w:val="center"/>
    </w:pPr>
    <w:rPr>
      <w:rFonts w:ascii="Arial" w:eastAsia="Times New Roman" w:hAnsi="Arial" w:cs="Times New Roman"/>
      <w:b/>
      <w:caps/>
      <w:color w:val="000080"/>
      <w:sz w:val="21"/>
      <w:szCs w:val="20"/>
      <w:lang w:eastAsia="en-AU"/>
    </w:rPr>
  </w:style>
  <w:style w:type="paragraph" w:customStyle="1" w:styleId="SecurityClassificationFooter">
    <w:name w:val="Security Classification Footer"/>
    <w:rsid w:val="007C2F4E"/>
    <w:pPr>
      <w:spacing w:before="240" w:after="0" w:line="240" w:lineRule="auto"/>
      <w:jc w:val="center"/>
    </w:pPr>
    <w:rPr>
      <w:rFonts w:ascii="Book Antiqua" w:eastAsia="Times New Roman" w:hAnsi="Book Antiqua" w:cs="Times New Roman"/>
      <w:b/>
      <w:caps/>
      <w:color w:val="000080"/>
      <w:szCs w:val="20"/>
      <w:lang w:eastAsia="en-AU"/>
    </w:rPr>
  </w:style>
  <w:style w:type="character" w:customStyle="1" w:styleId="EmailStyle84">
    <w:name w:val="EmailStyle84"/>
    <w:basedOn w:val="DefaultParagraphFont"/>
    <w:semiHidden/>
    <w:rsid w:val="007C2F4E"/>
    <w:rPr>
      <w:rFonts w:ascii="Arial" w:hAnsi="Arial" w:cs="Arial"/>
      <w:color w:val="auto"/>
      <w:sz w:val="20"/>
      <w:szCs w:val="20"/>
    </w:rPr>
  </w:style>
  <w:style w:type="character" w:customStyle="1" w:styleId="Italics">
    <w:name w:val="Italics"/>
    <w:basedOn w:val="DefaultParagraphFont"/>
    <w:rsid w:val="007C2F4E"/>
    <w:rPr>
      <w:i/>
    </w:rPr>
  </w:style>
  <w:style w:type="paragraph" w:customStyle="1" w:styleId="BoxHeadingnonumber">
    <w:name w:val="Box Heading no number"/>
    <w:basedOn w:val="BoxHeading"/>
    <w:next w:val="BoxText"/>
    <w:qFormat/>
    <w:rsid w:val="007C2F4E"/>
    <w:rPr>
      <w:rFonts w:ascii="Century Gothic" w:hAnsi="Century Gothic"/>
      <w:color w:val="44546A" w:themeColor="text2"/>
      <w:szCs w:val="20"/>
    </w:rPr>
  </w:style>
  <w:style w:type="numbering" w:customStyle="1" w:styleId="Outlinenumbering">
    <w:name w:val="Outline numbering"/>
    <w:uiPriority w:val="99"/>
    <w:rsid w:val="007C2F4E"/>
    <w:pPr>
      <w:numPr>
        <w:numId w:val="15"/>
      </w:numPr>
    </w:pPr>
  </w:style>
  <w:style w:type="numbering" w:customStyle="1" w:styleId="Optionboxheading">
    <w:name w:val="Option box heading"/>
    <w:uiPriority w:val="99"/>
    <w:rsid w:val="007C2F4E"/>
    <w:pPr>
      <w:numPr>
        <w:numId w:val="16"/>
      </w:numPr>
    </w:pPr>
  </w:style>
  <w:style w:type="character" w:customStyle="1" w:styleId="A5">
    <w:name w:val="A5"/>
    <w:uiPriority w:val="99"/>
    <w:rsid w:val="007C2F4E"/>
    <w:rPr>
      <w:rFonts w:cs="Swiss 721 BT"/>
      <w:color w:val="000000"/>
      <w:sz w:val="20"/>
      <w:szCs w:val="20"/>
    </w:rPr>
  </w:style>
  <w:style w:type="paragraph" w:customStyle="1" w:styleId="Heading2NotNumbered">
    <w:name w:val="Heading 2 Not Numbered"/>
    <w:basedOn w:val="Heading2"/>
    <w:next w:val="Normal"/>
    <w:rsid w:val="007C2F4E"/>
    <w:pPr>
      <w:spacing w:before="300" w:after="180"/>
    </w:pPr>
    <w:rPr>
      <w:rFonts w:ascii="Century Gothic" w:hAnsi="Century Gothic"/>
      <w:b w:val="0"/>
      <w:bCs/>
      <w:smallCaps w:val="0"/>
      <w:color w:val="44546A" w:themeColor="text2"/>
      <w:kern w:val="0"/>
      <w:sz w:val="32"/>
    </w:rPr>
  </w:style>
  <w:style w:type="paragraph" w:customStyle="1" w:styleId="DLMSecurityHeader">
    <w:name w:val="DLM Security Header"/>
    <w:link w:val="DLMSecurityHeaderChar"/>
    <w:rsid w:val="007C2F4E"/>
    <w:pPr>
      <w:spacing w:before="60" w:after="240" w:line="240" w:lineRule="auto"/>
      <w:jc w:val="center"/>
    </w:pPr>
    <w:rPr>
      <w:rFonts w:ascii="Calibri" w:eastAsia="Times New Roman" w:hAnsi="Calibri" w:cs="Times New Roman"/>
      <w:b/>
      <w:caps/>
      <w:color w:val="000080"/>
      <w:sz w:val="24"/>
      <w:szCs w:val="20"/>
      <w:lang w:eastAsia="en-AU"/>
    </w:rPr>
  </w:style>
  <w:style w:type="character" w:customStyle="1" w:styleId="SecurityClassificationHeaderChar">
    <w:name w:val="Security Classification Header Char"/>
    <w:basedOn w:val="DefaultParagraphFont"/>
    <w:link w:val="SecurityClassificationHeader"/>
    <w:rsid w:val="00BC2D15"/>
    <w:rPr>
      <w:rFonts w:ascii="Arial" w:eastAsia="Times New Roman" w:hAnsi="Arial" w:cs="Times New Roman"/>
      <w:b/>
      <w:caps/>
      <w:color w:val="000080"/>
      <w:sz w:val="21"/>
      <w:szCs w:val="20"/>
      <w:lang w:eastAsia="en-AU"/>
    </w:rPr>
  </w:style>
  <w:style w:type="character" w:customStyle="1" w:styleId="DLMSecurityHeaderChar">
    <w:name w:val="DLM Security Header Char"/>
    <w:basedOn w:val="SecurityClassificationHeaderChar"/>
    <w:link w:val="DLMSecurityHeader"/>
    <w:rsid w:val="007C2F4E"/>
    <w:rPr>
      <w:rFonts w:ascii="Calibri" w:eastAsia="Times New Roman" w:hAnsi="Calibri" w:cs="Times New Roman"/>
      <w:b/>
      <w:caps/>
      <w:color w:val="000080"/>
      <w:sz w:val="24"/>
      <w:szCs w:val="20"/>
      <w:lang w:eastAsia="en-AU"/>
    </w:rPr>
  </w:style>
  <w:style w:type="paragraph" w:customStyle="1" w:styleId="DLMSecurityFooter">
    <w:name w:val="DLM Security Footer"/>
    <w:link w:val="DLMSecurityFooterChar"/>
    <w:rsid w:val="007C2F4E"/>
    <w:pPr>
      <w:spacing w:before="240" w:after="60" w:line="240" w:lineRule="auto"/>
      <w:jc w:val="center"/>
    </w:pPr>
    <w:rPr>
      <w:rFonts w:ascii="Calibri" w:eastAsia="Times New Roman" w:hAnsi="Calibri" w:cs="Times New Roman"/>
      <w:b/>
      <w:caps/>
      <w:color w:val="000080"/>
      <w:sz w:val="24"/>
      <w:szCs w:val="20"/>
      <w:lang w:eastAsia="en-AU"/>
    </w:rPr>
  </w:style>
  <w:style w:type="character" w:customStyle="1" w:styleId="DLMSecurityFooterChar">
    <w:name w:val="DLM Security Footer Char"/>
    <w:basedOn w:val="SecurityClassificationHeaderChar"/>
    <w:link w:val="DLMSecurityFooter"/>
    <w:rsid w:val="007C2F4E"/>
    <w:rPr>
      <w:rFonts w:ascii="Calibri" w:eastAsia="Times New Roman" w:hAnsi="Calibri" w:cs="Times New Roman"/>
      <w:b/>
      <w:caps/>
      <w:color w:val="000080"/>
      <w:sz w:val="24"/>
      <w:szCs w:val="20"/>
      <w:lang w:eastAsia="en-AU"/>
    </w:rPr>
  </w:style>
  <w:style w:type="character" w:styleId="CommentReference">
    <w:name w:val="annotation reference"/>
    <w:basedOn w:val="DefaultParagraphFont"/>
    <w:uiPriority w:val="99"/>
    <w:semiHidden/>
    <w:unhideWhenUsed/>
    <w:rsid w:val="007C2F4E"/>
    <w:rPr>
      <w:sz w:val="16"/>
      <w:szCs w:val="16"/>
    </w:rPr>
  </w:style>
  <w:style w:type="paragraph" w:styleId="CommentText">
    <w:name w:val="annotation text"/>
    <w:basedOn w:val="Normal"/>
    <w:link w:val="CommentTextChar"/>
    <w:uiPriority w:val="99"/>
    <w:semiHidden/>
    <w:unhideWhenUsed/>
    <w:rsid w:val="007C2F4E"/>
    <w:rPr>
      <w:rFonts w:ascii="Book Antiqua" w:hAnsi="Book Antiqua"/>
      <w:color w:val="000000"/>
      <w:sz w:val="20"/>
    </w:rPr>
  </w:style>
  <w:style w:type="character" w:customStyle="1" w:styleId="CommentTextChar">
    <w:name w:val="Comment Text Char"/>
    <w:basedOn w:val="DefaultParagraphFont"/>
    <w:link w:val="CommentText"/>
    <w:uiPriority w:val="99"/>
    <w:semiHidden/>
    <w:rsid w:val="007C2F4E"/>
    <w:rPr>
      <w:rFonts w:ascii="Book Antiqua" w:eastAsia="Times New Roman" w:hAnsi="Book Antiqua" w:cs="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7C2F4E"/>
    <w:rPr>
      <w:b/>
      <w:bCs/>
    </w:rPr>
  </w:style>
  <w:style w:type="character" w:customStyle="1" w:styleId="CommentSubjectChar">
    <w:name w:val="Comment Subject Char"/>
    <w:basedOn w:val="CommentTextChar"/>
    <w:link w:val="CommentSubject"/>
    <w:uiPriority w:val="99"/>
    <w:semiHidden/>
    <w:rsid w:val="007C2F4E"/>
    <w:rPr>
      <w:rFonts w:ascii="Book Antiqua" w:eastAsia="Times New Roman" w:hAnsi="Book Antiqua" w:cs="Times New Roman"/>
      <w:b/>
      <w:bCs/>
      <w:color w:val="000000"/>
      <w:sz w:val="20"/>
      <w:szCs w:val="20"/>
      <w:lang w:eastAsia="en-AU"/>
    </w:rPr>
  </w:style>
  <w:style w:type="paragraph" w:styleId="ListParagraph">
    <w:name w:val="List Paragraph"/>
    <w:basedOn w:val="Normal"/>
    <w:uiPriority w:val="34"/>
    <w:qFormat/>
    <w:rsid w:val="007C2F4E"/>
    <w:pPr>
      <w:spacing w:after="200" w:line="276" w:lineRule="auto"/>
      <w:ind w:left="720"/>
    </w:pPr>
    <w:rPr>
      <w:rFonts w:eastAsia="Calibri"/>
      <w:szCs w:val="22"/>
      <w:lang w:eastAsia="en-US"/>
    </w:rPr>
  </w:style>
  <w:style w:type="character" w:customStyle="1" w:styleId="BulletChar">
    <w:name w:val="Bullet Char"/>
    <w:aliases w:val="b + line Char Char,b Char,b Char Char,b1 Char,b + line Char,Body Char,level 1 Char,Bulleted Para Char,Bullets Char,FooterText Char,L Char,List Paragraph Char,List Paragraph1 Char,List Paragraph11 Char,List Paragraph2 Char,Number Char"/>
    <w:basedOn w:val="DefaultParagraphFont"/>
    <w:link w:val="Bullet"/>
    <w:qFormat/>
    <w:rsid w:val="007C2F4E"/>
    <w:rPr>
      <w:rFonts w:ascii="Calibri" w:eastAsia="Times New Roman" w:hAnsi="Calibri" w:cs="Times New Roman"/>
      <w:szCs w:val="20"/>
      <w:lang w:eastAsia="en-AU"/>
    </w:rPr>
  </w:style>
  <w:style w:type="character" w:customStyle="1" w:styleId="DashChar">
    <w:name w:val="Dash Char"/>
    <w:basedOn w:val="DefaultParagraphFont"/>
    <w:link w:val="Dash"/>
    <w:rsid w:val="007C2F4E"/>
    <w:rPr>
      <w:rFonts w:ascii="Calibri" w:eastAsia="Times New Roman" w:hAnsi="Calibri" w:cs="Times New Roman"/>
      <w:szCs w:val="20"/>
      <w:lang w:eastAsia="en-AU"/>
    </w:rPr>
  </w:style>
  <w:style w:type="character" w:customStyle="1" w:styleId="DoubleDotChar">
    <w:name w:val="Double Dot Char"/>
    <w:basedOn w:val="DefaultParagraphFont"/>
    <w:link w:val="DoubleDot"/>
    <w:locked/>
    <w:rsid w:val="007C2F4E"/>
    <w:rPr>
      <w:rFonts w:ascii="Calibri" w:eastAsia="Times New Roman" w:hAnsi="Calibri" w:cs="Times New Roman"/>
      <w:szCs w:val="20"/>
      <w:lang w:eastAsia="en-AU"/>
    </w:rPr>
  </w:style>
  <w:style w:type="paragraph" w:styleId="NormalWeb">
    <w:name w:val="Normal (Web)"/>
    <w:basedOn w:val="Normal"/>
    <w:uiPriority w:val="99"/>
    <w:semiHidden/>
    <w:unhideWhenUsed/>
    <w:rsid w:val="007C2F4E"/>
    <w:pPr>
      <w:spacing w:line="260" w:lineRule="exact"/>
    </w:pPr>
    <w:rPr>
      <w:rFonts w:ascii="Times New Roman" w:hAnsi="Times New Roman"/>
      <w:color w:val="000000"/>
      <w:sz w:val="24"/>
      <w:szCs w:val="24"/>
    </w:rPr>
  </w:style>
  <w:style w:type="table" w:styleId="LightShading">
    <w:name w:val="Light Shading"/>
    <w:basedOn w:val="TableNormal"/>
    <w:uiPriority w:val="60"/>
    <w:rsid w:val="007C2F4E"/>
    <w:pPr>
      <w:spacing w:after="0" w:line="240" w:lineRule="auto"/>
    </w:pPr>
    <w:rPr>
      <w:rFonts w:ascii="Times New Roman" w:eastAsia="Times New Roman" w:hAnsi="Times New Roman"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C2F4E"/>
    <w:pPr>
      <w:spacing w:after="0" w:line="240" w:lineRule="auto"/>
    </w:pPr>
    <w:rPr>
      <w:rFonts w:ascii="Times New Roman" w:eastAsia="Times New Roman" w:hAnsi="Times New Roman" w:cs="Times New Roman"/>
      <w:color w:val="2E74B5" w:themeColor="accent1" w:themeShade="BF"/>
      <w:sz w:val="20"/>
      <w:szCs w:val="20"/>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Revision">
    <w:name w:val="Revision"/>
    <w:hidden/>
    <w:uiPriority w:val="99"/>
    <w:semiHidden/>
    <w:rsid w:val="007C2F4E"/>
    <w:pPr>
      <w:spacing w:after="0" w:line="240" w:lineRule="auto"/>
    </w:pPr>
    <w:rPr>
      <w:rFonts w:ascii="Book Antiqua" w:eastAsia="Times New Roman" w:hAnsi="Book Antiqua" w:cs="Times New Roman"/>
      <w:color w:val="000000"/>
      <w:szCs w:val="20"/>
      <w:lang w:eastAsia="en-AU"/>
    </w:rPr>
  </w:style>
  <w:style w:type="character" w:customStyle="1" w:styleId="CAB-NumberedParagraphChar">
    <w:name w:val="CAB - Numbered Paragraph Char"/>
    <w:basedOn w:val="DefaultParagraphFont"/>
    <w:link w:val="CAB-NumberedParagraph"/>
    <w:uiPriority w:val="98"/>
    <w:locked/>
    <w:rsid w:val="007C2F4E"/>
    <w:rPr>
      <w:rFonts w:ascii="Arial" w:hAnsi="Arial" w:cs="Arial"/>
    </w:rPr>
  </w:style>
  <w:style w:type="paragraph" w:customStyle="1" w:styleId="CAB-NumberedParagraph">
    <w:name w:val="CAB - Numbered Paragraph"/>
    <w:basedOn w:val="Normal"/>
    <w:link w:val="CAB-NumberedParagraphChar"/>
    <w:uiPriority w:val="98"/>
    <w:rsid w:val="007C2F4E"/>
    <w:pPr>
      <w:tabs>
        <w:tab w:val="num" w:pos="340"/>
      </w:tabs>
      <w:ind w:left="567" w:hanging="567"/>
    </w:pPr>
    <w:rPr>
      <w:rFonts w:ascii="Arial" w:eastAsiaTheme="minorHAnsi" w:hAnsi="Arial" w:cs="Arial"/>
      <w:szCs w:val="22"/>
      <w:lang w:eastAsia="en-US"/>
    </w:rPr>
  </w:style>
  <w:style w:type="character" w:customStyle="1" w:styleId="OutlineNumbered1Char">
    <w:name w:val="Outline Numbered 1 Char"/>
    <w:basedOn w:val="DefaultParagraphFont"/>
    <w:link w:val="OutlineNumbered1"/>
    <w:rsid w:val="006519D9"/>
    <w:rPr>
      <w:rFonts w:ascii="Calibri" w:eastAsia="Times New Roman" w:hAnsi="Calibri" w:cs="Times New Roman"/>
      <w:szCs w:val="20"/>
      <w:lang w:eastAsia="en-AU"/>
    </w:rPr>
  </w:style>
  <w:style w:type="paragraph" w:styleId="TOCHeading">
    <w:name w:val="TOC Heading"/>
    <w:basedOn w:val="Heading1"/>
    <w:next w:val="Normal"/>
    <w:uiPriority w:val="39"/>
    <w:semiHidden/>
    <w:unhideWhenUsed/>
    <w:qFormat/>
    <w:rsid w:val="007C2F4E"/>
    <w:pPr>
      <w:keepLines/>
      <w:spacing w:after="0" w:line="276" w:lineRule="auto"/>
      <w:outlineLvl w:val="9"/>
    </w:pPr>
    <w:rPr>
      <w:rFonts w:asciiTheme="majorHAnsi" w:eastAsiaTheme="majorEastAsia" w:hAnsiTheme="majorHAnsi" w:cstheme="majorBidi"/>
      <w:b w:val="0"/>
      <w:bCs/>
      <w:color w:val="2E74B5" w:themeColor="accent1" w:themeShade="BF"/>
      <w:kern w:val="0"/>
      <w:sz w:val="28"/>
      <w:szCs w:val="28"/>
      <w:lang w:val="en-US" w:eastAsia="ja-JP"/>
    </w:rPr>
  </w:style>
  <w:style w:type="table" w:styleId="LightList-Accent5">
    <w:name w:val="Light List Accent 5"/>
    <w:basedOn w:val="TableNormal"/>
    <w:uiPriority w:val="61"/>
    <w:rsid w:val="007C2F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1">
    <w:name w:val="Light List Accent 1"/>
    <w:basedOn w:val="TableNormal"/>
    <w:uiPriority w:val="61"/>
    <w:rsid w:val="007C2F4E"/>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ableTextform">
    <w:name w:val="TableText form"/>
    <w:basedOn w:val="Normal"/>
    <w:qFormat/>
    <w:rsid w:val="007C2F4E"/>
    <w:pPr>
      <w:spacing w:before="40"/>
    </w:pPr>
    <w:rPr>
      <w:rFonts w:ascii="Arial" w:eastAsiaTheme="majorEastAsia" w:hAnsi="Arial" w:cs="Arial"/>
      <w:bCs/>
      <w:sz w:val="20"/>
      <w:lang w:eastAsia="en-US"/>
    </w:rPr>
  </w:style>
  <w:style w:type="paragraph" w:styleId="EndnoteText">
    <w:name w:val="endnote text"/>
    <w:basedOn w:val="Normal"/>
    <w:link w:val="EndnoteTextChar"/>
    <w:uiPriority w:val="99"/>
    <w:semiHidden/>
    <w:unhideWhenUsed/>
    <w:rsid w:val="007C2F4E"/>
    <w:pPr>
      <w:spacing w:after="0"/>
    </w:pPr>
    <w:rPr>
      <w:rFonts w:ascii="Book Antiqua" w:hAnsi="Book Antiqua"/>
      <w:color w:val="000000"/>
      <w:sz w:val="20"/>
    </w:rPr>
  </w:style>
  <w:style w:type="character" w:customStyle="1" w:styleId="EndnoteTextChar">
    <w:name w:val="Endnote Text Char"/>
    <w:basedOn w:val="DefaultParagraphFont"/>
    <w:link w:val="EndnoteText"/>
    <w:uiPriority w:val="99"/>
    <w:semiHidden/>
    <w:rsid w:val="007C2F4E"/>
    <w:rPr>
      <w:rFonts w:ascii="Book Antiqua" w:eastAsia="Times New Roman" w:hAnsi="Book Antiqua" w:cs="Times New Roman"/>
      <w:color w:val="000000"/>
      <w:sz w:val="20"/>
      <w:szCs w:val="20"/>
      <w:lang w:eastAsia="en-AU"/>
    </w:rPr>
  </w:style>
  <w:style w:type="character" w:styleId="EndnoteReference">
    <w:name w:val="endnote reference"/>
    <w:basedOn w:val="DefaultParagraphFont"/>
    <w:uiPriority w:val="99"/>
    <w:semiHidden/>
    <w:unhideWhenUsed/>
    <w:rsid w:val="007C2F4E"/>
    <w:rPr>
      <w:vertAlign w:val="superscript"/>
    </w:rPr>
  </w:style>
  <w:style w:type="table" w:customStyle="1" w:styleId="TableGrid1">
    <w:name w:val="Table Grid1"/>
    <w:basedOn w:val="TableNormal"/>
    <w:next w:val="TableGrid"/>
    <w:uiPriority w:val="59"/>
    <w:rsid w:val="007C2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BulletList">
    <w:name w:val="CAB - Bullet List"/>
    <w:basedOn w:val="ListParagraph"/>
    <w:uiPriority w:val="98"/>
    <w:rsid w:val="007C2F4E"/>
    <w:pPr>
      <w:numPr>
        <w:numId w:val="20"/>
      </w:numPr>
      <w:tabs>
        <w:tab w:val="left" w:pos="851"/>
      </w:tabs>
      <w:spacing w:after="0" w:line="240" w:lineRule="auto"/>
      <w:contextualSpacing/>
    </w:pPr>
    <w:rPr>
      <w:rFonts w:ascii="Arial" w:eastAsiaTheme="minorHAnsi" w:hAnsi="Arial" w:cstheme="minorBidi"/>
    </w:rPr>
  </w:style>
  <w:style w:type="paragraph" w:customStyle="1" w:styleId="CABNETParagraph">
    <w:name w:val="CABNET Paragraph."/>
    <w:basedOn w:val="Normal"/>
    <w:link w:val="CABNETParagraphChar"/>
    <w:uiPriority w:val="98"/>
    <w:qFormat/>
    <w:rsid w:val="007C2F4E"/>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7C2F4E"/>
    <w:rPr>
      <w:rFonts w:ascii="Arial" w:hAnsi="Arial" w:cstheme="minorHAnsi"/>
    </w:rPr>
  </w:style>
  <w:style w:type="paragraph" w:customStyle="1" w:styleId="paragraph">
    <w:name w:val="paragraph"/>
    <w:basedOn w:val="Normal"/>
    <w:rsid w:val="00D43411"/>
    <w:pPr>
      <w:spacing w:before="100" w:beforeAutospacing="1" w:after="100" w:afterAutospacing="1"/>
    </w:pPr>
    <w:rPr>
      <w:rFonts w:ascii="Times New Roman" w:hAnsi="Times New Roman"/>
      <w:sz w:val="24"/>
      <w:szCs w:val="24"/>
    </w:rPr>
  </w:style>
  <w:style w:type="paragraph" w:customStyle="1" w:styleId="Bullet-Indent">
    <w:name w:val="Bullet - Indent"/>
    <w:basedOn w:val="Bullet"/>
    <w:rsid w:val="00752E4A"/>
    <w:pPr>
      <w:ind w:hanging="568"/>
    </w:pPr>
  </w:style>
  <w:style w:type="paragraph" w:customStyle="1" w:styleId="BoxHeading-Sub">
    <w:name w:val="Box Heading - Sub"/>
    <w:basedOn w:val="BoxText"/>
    <w:rsid w:val="006519D9"/>
    <w:pPr>
      <w:spacing w:line="240" w:lineRule="auto"/>
    </w:pPr>
    <w:rPr>
      <w:b/>
      <w:color w:val="004A7F"/>
      <w:sz w:val="21"/>
    </w:rPr>
  </w:style>
  <w:style w:type="character" w:customStyle="1" w:styleId="FooterOddChar">
    <w:name w:val="Footer Odd Char"/>
    <w:basedOn w:val="FooterChar"/>
    <w:link w:val="FooterOdd"/>
    <w:rsid w:val="00C62C91"/>
    <w:rPr>
      <w:rFonts w:ascii="Calibri" w:eastAsia="Times New Roman" w:hAnsi="Calibri" w:cs="Times New Roman"/>
      <w:color w:val="004A7F"/>
      <w:sz w:val="20"/>
      <w:szCs w:val="20"/>
      <w:lang w:eastAsia="en-AU"/>
    </w:rPr>
  </w:style>
  <w:style w:type="character" w:customStyle="1" w:styleId="FooterEvenChar">
    <w:name w:val="Footer Even Char"/>
    <w:basedOn w:val="FooterChar"/>
    <w:link w:val="FooterEven"/>
    <w:rsid w:val="00C62C91"/>
    <w:rPr>
      <w:rFonts w:ascii="Calibri" w:eastAsia="Times New Roman" w:hAnsi="Calibri" w:cs="Times New Roman"/>
      <w:noProof/>
      <w:color w:val="004A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94736">
      <w:bodyDiv w:val="1"/>
      <w:marLeft w:val="0"/>
      <w:marRight w:val="0"/>
      <w:marTop w:val="0"/>
      <w:marBottom w:val="0"/>
      <w:divBdr>
        <w:top w:val="none" w:sz="0" w:space="0" w:color="auto"/>
        <w:left w:val="none" w:sz="0" w:space="0" w:color="auto"/>
        <w:bottom w:val="none" w:sz="0" w:space="0" w:color="auto"/>
        <w:right w:val="none" w:sz="0" w:space="0" w:color="auto"/>
      </w:divBdr>
    </w:div>
    <w:div w:id="1063143700">
      <w:bodyDiv w:val="1"/>
      <w:marLeft w:val="0"/>
      <w:marRight w:val="0"/>
      <w:marTop w:val="0"/>
      <w:marBottom w:val="0"/>
      <w:divBdr>
        <w:top w:val="none" w:sz="0" w:space="0" w:color="auto"/>
        <w:left w:val="none" w:sz="0" w:space="0" w:color="auto"/>
        <w:bottom w:val="none" w:sz="0" w:space="0" w:color="auto"/>
        <w:right w:val="none" w:sz="0" w:space="0" w:color="auto"/>
      </w:divBdr>
      <w:divsChild>
        <w:div w:id="1163357373">
          <w:marLeft w:val="0"/>
          <w:marRight w:val="0"/>
          <w:marTop w:val="0"/>
          <w:marBottom w:val="0"/>
          <w:divBdr>
            <w:top w:val="none" w:sz="0" w:space="0" w:color="auto"/>
            <w:left w:val="none" w:sz="0" w:space="0" w:color="auto"/>
            <w:bottom w:val="none" w:sz="0" w:space="0" w:color="auto"/>
            <w:right w:val="none" w:sz="0" w:space="0" w:color="auto"/>
          </w:divBdr>
          <w:divsChild>
            <w:div w:id="41736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750FB-E848-437F-B206-587C441E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Stapled structures – Details of integrity package</vt:lpstr>
    </vt:vector>
  </TitlesOfParts>
  <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Stapled structures – Details of integrity package</dc:title>
  <dc:subject/>
  <dc:creator/>
  <cp:keywords/>
  <cp:lastModifiedBy/>
  <cp:revision>1</cp:revision>
  <dcterms:created xsi:type="dcterms:W3CDTF">2018-03-27T04:40:00Z</dcterms:created>
  <dcterms:modified xsi:type="dcterms:W3CDTF">2018-03-27T04:41:00Z</dcterms:modified>
</cp:coreProperties>
</file>